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1D49" w14:textId="77777777" w:rsidR="0074696E" w:rsidRPr="004C6EEE" w:rsidRDefault="000E0970" w:rsidP="00AD784C">
      <w:pPr>
        <w:pStyle w:val="Spacerparatopoffirstpage"/>
      </w:pPr>
      <w:r>
        <w:rPr>
          <w:lang w:eastAsia="en-AU"/>
        </w:rPr>
        <w:drawing>
          <wp:anchor distT="0" distB="0" distL="114300" distR="114300" simplePos="0" relativeHeight="251658240" behindDoc="1" locked="1" layoutInCell="0" allowOverlap="1" wp14:anchorId="0C646048" wp14:editId="3070FEF5">
            <wp:simplePos x="0" y="0"/>
            <wp:positionH relativeFrom="page">
              <wp:posOffset>0</wp:posOffset>
            </wp:positionH>
            <wp:positionV relativeFrom="page">
              <wp:posOffset>0</wp:posOffset>
            </wp:positionV>
            <wp:extent cx="7569835" cy="20726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460C5" w14:textId="77777777" w:rsidR="00A62D44" w:rsidRPr="004C6EEE" w:rsidRDefault="00A62D44" w:rsidP="004C6EEE">
      <w:pPr>
        <w:pStyle w:val="Sectionbreakfirstpage"/>
        <w:sectPr w:rsidR="00A62D44" w:rsidRPr="004C6EEE" w:rsidSect="00AD784C">
          <w:footerReference w:type="default" r:id="rId11"/>
          <w:footerReference w:type="first" r:id="rId12"/>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2484F68A" w14:textId="77777777" w:rsidTr="008A28A8">
        <w:trPr>
          <w:trHeight w:val="1247"/>
        </w:trPr>
        <w:tc>
          <w:tcPr>
            <w:tcW w:w="8046" w:type="dxa"/>
            <w:shd w:val="clear" w:color="auto" w:fill="auto"/>
            <w:vAlign w:val="bottom"/>
          </w:tcPr>
          <w:p w14:paraId="79614AF1" w14:textId="78768536" w:rsidR="00AD784C" w:rsidRPr="00161AA0" w:rsidRDefault="004034B7" w:rsidP="00A91406">
            <w:pPr>
              <w:pStyle w:val="DHHSmainheading"/>
            </w:pPr>
            <w:r w:rsidRPr="002C684F">
              <w:rPr>
                <w:sz w:val="40"/>
                <w:szCs w:val="40"/>
              </w:rPr>
              <w:t xml:space="preserve">CDIS </w:t>
            </w:r>
            <w:r>
              <w:rPr>
                <w:sz w:val="40"/>
                <w:szCs w:val="40"/>
              </w:rPr>
              <w:t>User update</w:t>
            </w:r>
          </w:p>
        </w:tc>
      </w:tr>
      <w:tr w:rsidR="00AD784C" w14:paraId="4D3CF7DB" w14:textId="77777777" w:rsidTr="008A28A8">
        <w:trPr>
          <w:trHeight w:hRule="exact" w:val="1162"/>
        </w:trPr>
        <w:tc>
          <w:tcPr>
            <w:tcW w:w="8046" w:type="dxa"/>
            <w:shd w:val="clear" w:color="auto" w:fill="auto"/>
            <w:tcMar>
              <w:top w:w="170" w:type="dxa"/>
              <w:bottom w:w="510" w:type="dxa"/>
            </w:tcMar>
          </w:tcPr>
          <w:p w14:paraId="299245E0" w14:textId="77777777" w:rsidR="004034B7" w:rsidRDefault="004034B7" w:rsidP="00357B4E">
            <w:pPr>
              <w:pStyle w:val="DHHSmainsubheading"/>
              <w:rPr>
                <w:szCs w:val="28"/>
              </w:rPr>
            </w:pPr>
            <w:r w:rsidRPr="00A80591">
              <w:rPr>
                <w:szCs w:val="28"/>
              </w:rPr>
              <w:t>Victorian Maternal and Child Health (MCH) Child Development Information System (CDIS)</w:t>
            </w:r>
            <w:r>
              <w:rPr>
                <w:szCs w:val="28"/>
              </w:rPr>
              <w:t xml:space="preserve"> </w:t>
            </w:r>
          </w:p>
          <w:p w14:paraId="1BF2D0B2" w14:textId="1B8A7409" w:rsidR="00357B4E" w:rsidRPr="00AD784C" w:rsidRDefault="004034B7" w:rsidP="00357B4E">
            <w:pPr>
              <w:pStyle w:val="DHHSmainsubheading"/>
              <w:rPr>
                <w:szCs w:val="28"/>
              </w:rPr>
            </w:pPr>
            <w:r>
              <w:t>December 2020</w:t>
            </w:r>
          </w:p>
        </w:tc>
      </w:tr>
    </w:tbl>
    <w:p w14:paraId="28763CB3" w14:textId="77777777" w:rsidR="004034B7" w:rsidRPr="004034B7" w:rsidRDefault="004034B7" w:rsidP="004034B7">
      <w:pPr>
        <w:pStyle w:val="Heading1"/>
      </w:pPr>
      <w:bookmarkStart w:id="0" w:name="_Toc58238944"/>
      <w:r w:rsidRPr="004034B7">
        <w:t>Contents</w:t>
      </w:r>
      <w:bookmarkEnd w:id="0"/>
    </w:p>
    <w:sdt>
      <w:sdtPr>
        <w:rPr>
          <w:rFonts w:ascii="Cambria" w:hAnsi="Cambria"/>
          <w:b w:val="0"/>
          <w:noProof w:val="0"/>
        </w:rPr>
        <w:id w:val="-155690252"/>
        <w:docPartObj>
          <w:docPartGallery w:val="Table of Contents"/>
          <w:docPartUnique/>
        </w:docPartObj>
      </w:sdtPr>
      <w:sdtEndPr>
        <w:rPr>
          <w:bCs/>
        </w:rPr>
      </w:sdtEndPr>
      <w:sdtContent>
        <w:p w14:paraId="056A5FFF" w14:textId="493B4C01" w:rsidR="00142B2E" w:rsidRDefault="004034B7">
          <w:pPr>
            <w:pStyle w:val="TOC1"/>
            <w:rPr>
              <w:rFonts w:asciiTheme="minorHAnsi" w:eastAsiaTheme="minorEastAsia" w:hAnsiTheme="minorHAnsi" w:cstheme="minorBidi"/>
              <w:b w:val="0"/>
              <w:sz w:val="22"/>
              <w:szCs w:val="22"/>
              <w:lang w:eastAsia="en-AU"/>
            </w:rPr>
          </w:pPr>
          <w:r w:rsidRPr="004034B7">
            <w:fldChar w:fldCharType="begin"/>
          </w:r>
          <w:r w:rsidRPr="004034B7">
            <w:instrText xml:space="preserve"> TOC \o "1-3" \h \z \u </w:instrText>
          </w:r>
          <w:r w:rsidRPr="004034B7">
            <w:fldChar w:fldCharType="separate"/>
          </w:r>
          <w:hyperlink w:anchor="_Toc58238944" w:history="1">
            <w:r w:rsidR="00142B2E" w:rsidRPr="00FC3E1A">
              <w:rPr>
                <w:rStyle w:val="Hyperlink"/>
              </w:rPr>
              <w:t>Contents</w:t>
            </w:r>
            <w:r w:rsidR="00142B2E">
              <w:rPr>
                <w:webHidden/>
              </w:rPr>
              <w:tab/>
            </w:r>
            <w:r w:rsidR="00142B2E">
              <w:rPr>
                <w:webHidden/>
              </w:rPr>
              <w:fldChar w:fldCharType="begin"/>
            </w:r>
            <w:r w:rsidR="00142B2E">
              <w:rPr>
                <w:webHidden/>
              </w:rPr>
              <w:instrText xml:space="preserve"> PAGEREF _Toc58238944 \h </w:instrText>
            </w:r>
            <w:r w:rsidR="00142B2E">
              <w:rPr>
                <w:webHidden/>
              </w:rPr>
            </w:r>
            <w:r w:rsidR="00142B2E">
              <w:rPr>
                <w:webHidden/>
              </w:rPr>
              <w:fldChar w:fldCharType="separate"/>
            </w:r>
            <w:r w:rsidR="00142B2E">
              <w:rPr>
                <w:webHidden/>
              </w:rPr>
              <w:t>1</w:t>
            </w:r>
            <w:r w:rsidR="00142B2E">
              <w:rPr>
                <w:webHidden/>
              </w:rPr>
              <w:fldChar w:fldCharType="end"/>
            </w:r>
          </w:hyperlink>
        </w:p>
        <w:p w14:paraId="5CF169BD" w14:textId="7C7D7E00" w:rsidR="00142B2E" w:rsidRDefault="00A73642">
          <w:pPr>
            <w:pStyle w:val="TOC1"/>
            <w:rPr>
              <w:rFonts w:asciiTheme="minorHAnsi" w:eastAsiaTheme="minorEastAsia" w:hAnsiTheme="minorHAnsi" w:cstheme="minorBidi"/>
              <w:b w:val="0"/>
              <w:sz w:val="22"/>
              <w:szCs w:val="22"/>
              <w:lang w:eastAsia="en-AU"/>
            </w:rPr>
          </w:pPr>
          <w:hyperlink w:anchor="_Toc58238945" w:history="1">
            <w:r w:rsidR="00142B2E" w:rsidRPr="00FC3E1A">
              <w:rPr>
                <w:rStyle w:val="Hyperlink"/>
              </w:rPr>
              <w:t>Overview</w:t>
            </w:r>
            <w:r w:rsidR="00142B2E">
              <w:rPr>
                <w:webHidden/>
              </w:rPr>
              <w:tab/>
            </w:r>
            <w:r w:rsidR="00142B2E">
              <w:rPr>
                <w:webHidden/>
              </w:rPr>
              <w:fldChar w:fldCharType="begin"/>
            </w:r>
            <w:r w:rsidR="00142B2E">
              <w:rPr>
                <w:webHidden/>
              </w:rPr>
              <w:instrText xml:space="preserve"> PAGEREF _Toc58238945 \h </w:instrText>
            </w:r>
            <w:r w:rsidR="00142B2E">
              <w:rPr>
                <w:webHidden/>
              </w:rPr>
            </w:r>
            <w:r w:rsidR="00142B2E">
              <w:rPr>
                <w:webHidden/>
              </w:rPr>
              <w:fldChar w:fldCharType="separate"/>
            </w:r>
            <w:r w:rsidR="00142B2E">
              <w:rPr>
                <w:webHidden/>
              </w:rPr>
              <w:t>1</w:t>
            </w:r>
            <w:r w:rsidR="00142B2E">
              <w:rPr>
                <w:webHidden/>
              </w:rPr>
              <w:fldChar w:fldCharType="end"/>
            </w:r>
          </w:hyperlink>
        </w:p>
        <w:p w14:paraId="34726907" w14:textId="11B09BE0" w:rsidR="00142B2E" w:rsidRDefault="00A73642">
          <w:pPr>
            <w:pStyle w:val="TOC1"/>
            <w:rPr>
              <w:rFonts w:asciiTheme="minorHAnsi" w:eastAsiaTheme="minorEastAsia" w:hAnsiTheme="minorHAnsi" w:cstheme="minorBidi"/>
              <w:b w:val="0"/>
              <w:sz w:val="22"/>
              <w:szCs w:val="22"/>
              <w:lang w:eastAsia="en-AU"/>
            </w:rPr>
          </w:pPr>
          <w:hyperlink w:anchor="_Toc58238946" w:history="1">
            <w:r w:rsidR="00142B2E" w:rsidRPr="00FC3E1A">
              <w:rPr>
                <w:rStyle w:val="Hyperlink"/>
              </w:rPr>
              <w:t>Delivered hours</w:t>
            </w:r>
            <w:r w:rsidR="00142B2E">
              <w:rPr>
                <w:webHidden/>
              </w:rPr>
              <w:tab/>
            </w:r>
            <w:r w:rsidR="00142B2E">
              <w:rPr>
                <w:webHidden/>
              </w:rPr>
              <w:fldChar w:fldCharType="begin"/>
            </w:r>
            <w:r w:rsidR="00142B2E">
              <w:rPr>
                <w:webHidden/>
              </w:rPr>
              <w:instrText xml:space="preserve"> PAGEREF _Toc58238946 \h </w:instrText>
            </w:r>
            <w:r w:rsidR="00142B2E">
              <w:rPr>
                <w:webHidden/>
              </w:rPr>
            </w:r>
            <w:r w:rsidR="00142B2E">
              <w:rPr>
                <w:webHidden/>
              </w:rPr>
              <w:fldChar w:fldCharType="separate"/>
            </w:r>
            <w:r w:rsidR="00142B2E">
              <w:rPr>
                <w:webHidden/>
              </w:rPr>
              <w:t>1</w:t>
            </w:r>
            <w:r w:rsidR="00142B2E">
              <w:rPr>
                <w:webHidden/>
              </w:rPr>
              <w:fldChar w:fldCharType="end"/>
            </w:r>
          </w:hyperlink>
        </w:p>
        <w:p w14:paraId="24340491" w14:textId="596B93A9" w:rsidR="00142B2E" w:rsidRDefault="00A73642">
          <w:pPr>
            <w:pStyle w:val="TOC1"/>
            <w:rPr>
              <w:rFonts w:asciiTheme="minorHAnsi" w:eastAsiaTheme="minorEastAsia" w:hAnsiTheme="minorHAnsi" w:cstheme="minorBidi"/>
              <w:b w:val="0"/>
              <w:sz w:val="22"/>
              <w:szCs w:val="22"/>
              <w:lang w:eastAsia="en-AU"/>
            </w:rPr>
          </w:pPr>
          <w:hyperlink w:anchor="_Toc58238947" w:history="1">
            <w:r w:rsidR="00142B2E" w:rsidRPr="00FC3E1A">
              <w:rPr>
                <w:rStyle w:val="Hyperlink"/>
              </w:rPr>
              <w:t>New assessment tools</w:t>
            </w:r>
            <w:r w:rsidR="00142B2E">
              <w:rPr>
                <w:webHidden/>
              </w:rPr>
              <w:tab/>
            </w:r>
            <w:r w:rsidR="00142B2E">
              <w:rPr>
                <w:webHidden/>
              </w:rPr>
              <w:fldChar w:fldCharType="begin"/>
            </w:r>
            <w:r w:rsidR="00142B2E">
              <w:rPr>
                <w:webHidden/>
              </w:rPr>
              <w:instrText xml:space="preserve"> PAGEREF _Toc58238947 \h </w:instrText>
            </w:r>
            <w:r w:rsidR="00142B2E">
              <w:rPr>
                <w:webHidden/>
              </w:rPr>
            </w:r>
            <w:r w:rsidR="00142B2E">
              <w:rPr>
                <w:webHidden/>
              </w:rPr>
              <w:fldChar w:fldCharType="separate"/>
            </w:r>
            <w:r w:rsidR="00142B2E">
              <w:rPr>
                <w:webHidden/>
              </w:rPr>
              <w:t>2</w:t>
            </w:r>
            <w:r w:rsidR="00142B2E">
              <w:rPr>
                <w:webHidden/>
              </w:rPr>
              <w:fldChar w:fldCharType="end"/>
            </w:r>
          </w:hyperlink>
        </w:p>
        <w:p w14:paraId="7A9FEC0A" w14:textId="70D297D7" w:rsidR="00142B2E" w:rsidRDefault="00A73642">
          <w:pPr>
            <w:pStyle w:val="TOC1"/>
            <w:rPr>
              <w:rFonts w:asciiTheme="minorHAnsi" w:eastAsiaTheme="minorEastAsia" w:hAnsiTheme="minorHAnsi" w:cstheme="minorBidi"/>
              <w:b w:val="0"/>
              <w:sz w:val="22"/>
              <w:szCs w:val="22"/>
              <w:lang w:eastAsia="en-AU"/>
            </w:rPr>
          </w:pPr>
          <w:hyperlink w:anchor="_Toc58238948" w:history="1">
            <w:r w:rsidR="00142B2E" w:rsidRPr="00FC3E1A">
              <w:rPr>
                <w:rStyle w:val="Hyperlink"/>
              </w:rPr>
              <w:t>New groups</w:t>
            </w:r>
            <w:r w:rsidR="00142B2E">
              <w:rPr>
                <w:webHidden/>
              </w:rPr>
              <w:tab/>
            </w:r>
            <w:r w:rsidR="00142B2E">
              <w:rPr>
                <w:webHidden/>
              </w:rPr>
              <w:fldChar w:fldCharType="begin"/>
            </w:r>
            <w:r w:rsidR="00142B2E">
              <w:rPr>
                <w:webHidden/>
              </w:rPr>
              <w:instrText xml:space="preserve"> PAGEREF _Toc58238948 \h </w:instrText>
            </w:r>
            <w:r w:rsidR="00142B2E">
              <w:rPr>
                <w:webHidden/>
              </w:rPr>
            </w:r>
            <w:r w:rsidR="00142B2E">
              <w:rPr>
                <w:webHidden/>
              </w:rPr>
              <w:fldChar w:fldCharType="separate"/>
            </w:r>
            <w:r w:rsidR="00142B2E">
              <w:rPr>
                <w:webHidden/>
              </w:rPr>
              <w:t>2</w:t>
            </w:r>
            <w:r w:rsidR="00142B2E">
              <w:rPr>
                <w:webHidden/>
              </w:rPr>
              <w:fldChar w:fldCharType="end"/>
            </w:r>
          </w:hyperlink>
        </w:p>
        <w:p w14:paraId="642F32C4" w14:textId="72BC8FDC" w:rsidR="00142B2E" w:rsidRDefault="00A73642">
          <w:pPr>
            <w:pStyle w:val="TOC2"/>
            <w:rPr>
              <w:rFonts w:asciiTheme="minorHAnsi" w:eastAsiaTheme="minorEastAsia" w:hAnsiTheme="minorHAnsi" w:cstheme="minorBidi"/>
              <w:sz w:val="22"/>
              <w:szCs w:val="22"/>
              <w:lang w:eastAsia="en-AU"/>
            </w:rPr>
          </w:pPr>
          <w:hyperlink w:anchor="_Toc58238949" w:history="1">
            <w:r w:rsidR="00142B2E" w:rsidRPr="00FC3E1A">
              <w:rPr>
                <w:rStyle w:val="Hyperlink"/>
                <w:rFonts w:eastAsia="MS Mincho"/>
              </w:rPr>
              <w:t>Sleep and settling related changes</w:t>
            </w:r>
            <w:r w:rsidR="00142B2E">
              <w:rPr>
                <w:webHidden/>
              </w:rPr>
              <w:tab/>
            </w:r>
            <w:r w:rsidR="00142B2E">
              <w:rPr>
                <w:webHidden/>
              </w:rPr>
              <w:fldChar w:fldCharType="begin"/>
            </w:r>
            <w:r w:rsidR="00142B2E">
              <w:rPr>
                <w:webHidden/>
              </w:rPr>
              <w:instrText xml:space="preserve"> PAGEREF _Toc58238949 \h </w:instrText>
            </w:r>
            <w:r w:rsidR="00142B2E">
              <w:rPr>
                <w:webHidden/>
              </w:rPr>
            </w:r>
            <w:r w:rsidR="00142B2E">
              <w:rPr>
                <w:webHidden/>
              </w:rPr>
              <w:fldChar w:fldCharType="separate"/>
            </w:r>
            <w:r w:rsidR="00142B2E">
              <w:rPr>
                <w:webHidden/>
              </w:rPr>
              <w:t>2</w:t>
            </w:r>
            <w:r w:rsidR="00142B2E">
              <w:rPr>
                <w:webHidden/>
              </w:rPr>
              <w:fldChar w:fldCharType="end"/>
            </w:r>
          </w:hyperlink>
        </w:p>
        <w:p w14:paraId="01BB8237" w14:textId="6A167048" w:rsidR="00142B2E" w:rsidRDefault="00A73642">
          <w:pPr>
            <w:pStyle w:val="TOC2"/>
            <w:rPr>
              <w:rFonts w:asciiTheme="minorHAnsi" w:eastAsiaTheme="minorEastAsia" w:hAnsiTheme="minorHAnsi" w:cstheme="minorBidi"/>
              <w:sz w:val="22"/>
              <w:szCs w:val="22"/>
              <w:lang w:eastAsia="en-AU"/>
            </w:rPr>
          </w:pPr>
          <w:hyperlink w:anchor="_Toc58238950" w:history="1">
            <w:r w:rsidR="00142B2E" w:rsidRPr="00FC3E1A">
              <w:rPr>
                <w:rStyle w:val="Hyperlink"/>
                <w:rFonts w:eastAsia="MS Mincho"/>
              </w:rPr>
              <w:t>Enhanced MCH related changes</w:t>
            </w:r>
            <w:r w:rsidR="00142B2E">
              <w:rPr>
                <w:webHidden/>
              </w:rPr>
              <w:tab/>
            </w:r>
            <w:r w:rsidR="00142B2E">
              <w:rPr>
                <w:webHidden/>
              </w:rPr>
              <w:fldChar w:fldCharType="begin"/>
            </w:r>
            <w:r w:rsidR="00142B2E">
              <w:rPr>
                <w:webHidden/>
              </w:rPr>
              <w:instrText xml:space="preserve"> PAGEREF _Toc58238950 \h </w:instrText>
            </w:r>
            <w:r w:rsidR="00142B2E">
              <w:rPr>
                <w:webHidden/>
              </w:rPr>
            </w:r>
            <w:r w:rsidR="00142B2E">
              <w:rPr>
                <w:webHidden/>
              </w:rPr>
              <w:fldChar w:fldCharType="separate"/>
            </w:r>
            <w:r w:rsidR="00142B2E">
              <w:rPr>
                <w:webHidden/>
              </w:rPr>
              <w:t>2</w:t>
            </w:r>
            <w:r w:rsidR="00142B2E">
              <w:rPr>
                <w:webHidden/>
              </w:rPr>
              <w:fldChar w:fldCharType="end"/>
            </w:r>
          </w:hyperlink>
        </w:p>
        <w:p w14:paraId="117F38DF" w14:textId="281B883C" w:rsidR="00142B2E" w:rsidRDefault="00A73642">
          <w:pPr>
            <w:pStyle w:val="TOC1"/>
            <w:rPr>
              <w:rFonts w:asciiTheme="minorHAnsi" w:eastAsiaTheme="minorEastAsia" w:hAnsiTheme="minorHAnsi" w:cstheme="minorBidi"/>
              <w:b w:val="0"/>
              <w:sz w:val="22"/>
              <w:szCs w:val="22"/>
              <w:lang w:eastAsia="en-AU"/>
            </w:rPr>
          </w:pPr>
          <w:hyperlink w:anchor="_Toc58238951" w:history="1">
            <w:r w:rsidR="00142B2E" w:rsidRPr="00FC3E1A">
              <w:rPr>
                <w:rStyle w:val="Hyperlink"/>
              </w:rPr>
              <w:t>Support for Enhanced MCH</w:t>
            </w:r>
            <w:r w:rsidR="00142B2E">
              <w:rPr>
                <w:webHidden/>
              </w:rPr>
              <w:tab/>
            </w:r>
            <w:r w:rsidR="00142B2E">
              <w:rPr>
                <w:webHidden/>
              </w:rPr>
              <w:fldChar w:fldCharType="begin"/>
            </w:r>
            <w:r w:rsidR="00142B2E">
              <w:rPr>
                <w:webHidden/>
              </w:rPr>
              <w:instrText xml:space="preserve"> PAGEREF _Toc58238951 \h </w:instrText>
            </w:r>
            <w:r w:rsidR="00142B2E">
              <w:rPr>
                <w:webHidden/>
              </w:rPr>
            </w:r>
            <w:r w:rsidR="00142B2E">
              <w:rPr>
                <w:webHidden/>
              </w:rPr>
              <w:fldChar w:fldCharType="separate"/>
            </w:r>
            <w:r w:rsidR="00142B2E">
              <w:rPr>
                <w:webHidden/>
              </w:rPr>
              <w:t>2</w:t>
            </w:r>
            <w:r w:rsidR="00142B2E">
              <w:rPr>
                <w:webHidden/>
              </w:rPr>
              <w:fldChar w:fldCharType="end"/>
            </w:r>
          </w:hyperlink>
        </w:p>
        <w:p w14:paraId="58B58207" w14:textId="4EB60FE5" w:rsidR="00142B2E" w:rsidRDefault="00A73642">
          <w:pPr>
            <w:pStyle w:val="TOC3"/>
            <w:rPr>
              <w:rFonts w:asciiTheme="minorHAnsi" w:eastAsiaTheme="minorEastAsia" w:hAnsiTheme="minorHAnsi" w:cstheme="minorBidi"/>
              <w:sz w:val="22"/>
              <w:szCs w:val="22"/>
              <w:lang w:eastAsia="en-AU"/>
            </w:rPr>
          </w:pPr>
          <w:hyperlink w:anchor="_Toc58238952" w:history="1">
            <w:r w:rsidR="00142B2E" w:rsidRPr="00FC3E1A">
              <w:rPr>
                <w:rStyle w:val="Hyperlink"/>
              </w:rPr>
              <w:t>Regarding IRIS</w:t>
            </w:r>
            <w:r w:rsidR="00142B2E">
              <w:rPr>
                <w:webHidden/>
              </w:rPr>
              <w:tab/>
            </w:r>
            <w:r w:rsidR="00142B2E">
              <w:rPr>
                <w:webHidden/>
              </w:rPr>
              <w:fldChar w:fldCharType="begin"/>
            </w:r>
            <w:r w:rsidR="00142B2E">
              <w:rPr>
                <w:webHidden/>
              </w:rPr>
              <w:instrText xml:space="preserve"> PAGEREF _Toc58238952 \h </w:instrText>
            </w:r>
            <w:r w:rsidR="00142B2E">
              <w:rPr>
                <w:webHidden/>
              </w:rPr>
            </w:r>
            <w:r w:rsidR="00142B2E">
              <w:rPr>
                <w:webHidden/>
              </w:rPr>
              <w:fldChar w:fldCharType="separate"/>
            </w:r>
            <w:r w:rsidR="00142B2E">
              <w:rPr>
                <w:webHidden/>
              </w:rPr>
              <w:t>3</w:t>
            </w:r>
            <w:r w:rsidR="00142B2E">
              <w:rPr>
                <w:webHidden/>
              </w:rPr>
              <w:fldChar w:fldCharType="end"/>
            </w:r>
          </w:hyperlink>
        </w:p>
        <w:p w14:paraId="464A2E2B" w14:textId="12D4B49A" w:rsidR="00142B2E" w:rsidRDefault="00A73642">
          <w:pPr>
            <w:pStyle w:val="TOC1"/>
            <w:rPr>
              <w:rFonts w:asciiTheme="minorHAnsi" w:eastAsiaTheme="minorEastAsia" w:hAnsiTheme="minorHAnsi" w:cstheme="minorBidi"/>
              <w:b w:val="0"/>
              <w:sz w:val="22"/>
              <w:szCs w:val="22"/>
              <w:lang w:eastAsia="en-AU"/>
            </w:rPr>
          </w:pPr>
          <w:hyperlink w:anchor="_Toc58238953" w:history="1">
            <w:r w:rsidR="00142B2E" w:rsidRPr="00FC3E1A">
              <w:rPr>
                <w:rStyle w:val="Hyperlink"/>
              </w:rPr>
              <w:t>Support for Sleep and Settling - Outreach</w:t>
            </w:r>
            <w:r w:rsidR="00142B2E">
              <w:rPr>
                <w:webHidden/>
              </w:rPr>
              <w:tab/>
            </w:r>
            <w:r w:rsidR="00142B2E">
              <w:rPr>
                <w:webHidden/>
              </w:rPr>
              <w:fldChar w:fldCharType="begin"/>
            </w:r>
            <w:r w:rsidR="00142B2E">
              <w:rPr>
                <w:webHidden/>
              </w:rPr>
              <w:instrText xml:space="preserve"> PAGEREF _Toc58238953 \h </w:instrText>
            </w:r>
            <w:r w:rsidR="00142B2E">
              <w:rPr>
                <w:webHidden/>
              </w:rPr>
            </w:r>
            <w:r w:rsidR="00142B2E">
              <w:rPr>
                <w:webHidden/>
              </w:rPr>
              <w:fldChar w:fldCharType="separate"/>
            </w:r>
            <w:r w:rsidR="00142B2E">
              <w:rPr>
                <w:webHidden/>
              </w:rPr>
              <w:t>3</w:t>
            </w:r>
            <w:r w:rsidR="00142B2E">
              <w:rPr>
                <w:webHidden/>
              </w:rPr>
              <w:fldChar w:fldCharType="end"/>
            </w:r>
          </w:hyperlink>
        </w:p>
        <w:p w14:paraId="26DA097B" w14:textId="335E67F6" w:rsidR="00142B2E" w:rsidRDefault="00A73642">
          <w:pPr>
            <w:pStyle w:val="TOC1"/>
            <w:rPr>
              <w:rFonts w:asciiTheme="minorHAnsi" w:eastAsiaTheme="minorEastAsia" w:hAnsiTheme="minorHAnsi" w:cstheme="minorBidi"/>
              <w:b w:val="0"/>
              <w:sz w:val="22"/>
              <w:szCs w:val="22"/>
              <w:lang w:eastAsia="en-AU"/>
            </w:rPr>
          </w:pPr>
          <w:hyperlink w:anchor="_Toc58238954" w:history="1">
            <w:r w:rsidR="00142B2E" w:rsidRPr="00FC3E1A">
              <w:rPr>
                <w:rStyle w:val="Hyperlink"/>
              </w:rPr>
              <w:t>Closing programs for transferring clients</w:t>
            </w:r>
            <w:r w:rsidR="00142B2E">
              <w:rPr>
                <w:webHidden/>
              </w:rPr>
              <w:tab/>
            </w:r>
            <w:r w:rsidR="00142B2E">
              <w:rPr>
                <w:webHidden/>
              </w:rPr>
              <w:fldChar w:fldCharType="begin"/>
            </w:r>
            <w:r w:rsidR="00142B2E">
              <w:rPr>
                <w:webHidden/>
              </w:rPr>
              <w:instrText xml:space="preserve"> PAGEREF _Toc58238954 \h </w:instrText>
            </w:r>
            <w:r w:rsidR="00142B2E">
              <w:rPr>
                <w:webHidden/>
              </w:rPr>
            </w:r>
            <w:r w:rsidR="00142B2E">
              <w:rPr>
                <w:webHidden/>
              </w:rPr>
              <w:fldChar w:fldCharType="separate"/>
            </w:r>
            <w:r w:rsidR="00142B2E">
              <w:rPr>
                <w:webHidden/>
              </w:rPr>
              <w:t>3</w:t>
            </w:r>
            <w:r w:rsidR="00142B2E">
              <w:rPr>
                <w:webHidden/>
              </w:rPr>
              <w:fldChar w:fldCharType="end"/>
            </w:r>
          </w:hyperlink>
        </w:p>
        <w:p w14:paraId="15AA6FB4" w14:textId="57CC6D93" w:rsidR="00142B2E" w:rsidRDefault="00A73642">
          <w:pPr>
            <w:pStyle w:val="TOC1"/>
            <w:rPr>
              <w:rFonts w:asciiTheme="minorHAnsi" w:eastAsiaTheme="minorEastAsia" w:hAnsiTheme="minorHAnsi" w:cstheme="minorBidi"/>
              <w:b w:val="0"/>
              <w:sz w:val="22"/>
              <w:szCs w:val="22"/>
              <w:lang w:eastAsia="en-AU"/>
            </w:rPr>
          </w:pPr>
          <w:hyperlink w:anchor="_Toc58238955" w:history="1">
            <w:r w:rsidR="00142B2E" w:rsidRPr="00FC3E1A">
              <w:rPr>
                <w:rStyle w:val="Hyperlink"/>
              </w:rPr>
              <w:t>Warning screen for direct program enrolments</w:t>
            </w:r>
            <w:r w:rsidR="00142B2E">
              <w:rPr>
                <w:webHidden/>
              </w:rPr>
              <w:tab/>
            </w:r>
            <w:r w:rsidR="00142B2E">
              <w:rPr>
                <w:webHidden/>
              </w:rPr>
              <w:fldChar w:fldCharType="begin"/>
            </w:r>
            <w:r w:rsidR="00142B2E">
              <w:rPr>
                <w:webHidden/>
              </w:rPr>
              <w:instrText xml:space="preserve"> PAGEREF _Toc58238955 \h </w:instrText>
            </w:r>
            <w:r w:rsidR="00142B2E">
              <w:rPr>
                <w:webHidden/>
              </w:rPr>
            </w:r>
            <w:r w:rsidR="00142B2E">
              <w:rPr>
                <w:webHidden/>
              </w:rPr>
              <w:fldChar w:fldCharType="separate"/>
            </w:r>
            <w:r w:rsidR="00142B2E">
              <w:rPr>
                <w:webHidden/>
              </w:rPr>
              <w:t>3</w:t>
            </w:r>
            <w:r w:rsidR="00142B2E">
              <w:rPr>
                <w:webHidden/>
              </w:rPr>
              <w:fldChar w:fldCharType="end"/>
            </w:r>
          </w:hyperlink>
        </w:p>
        <w:p w14:paraId="468C12D3" w14:textId="3BA5FD1D" w:rsidR="00142B2E" w:rsidRDefault="00A73642">
          <w:pPr>
            <w:pStyle w:val="TOC1"/>
            <w:rPr>
              <w:rFonts w:asciiTheme="minorHAnsi" w:eastAsiaTheme="minorEastAsia" w:hAnsiTheme="minorHAnsi" w:cstheme="minorBidi"/>
              <w:b w:val="0"/>
              <w:sz w:val="22"/>
              <w:szCs w:val="22"/>
              <w:lang w:eastAsia="en-AU"/>
            </w:rPr>
          </w:pPr>
          <w:hyperlink w:anchor="_Toc58238956" w:history="1">
            <w:r w:rsidR="00142B2E" w:rsidRPr="00FC3E1A">
              <w:rPr>
                <w:rStyle w:val="Hyperlink"/>
              </w:rPr>
              <w:t>Reporting impacts</w:t>
            </w:r>
            <w:r w:rsidR="00142B2E">
              <w:rPr>
                <w:webHidden/>
              </w:rPr>
              <w:tab/>
            </w:r>
            <w:r w:rsidR="00142B2E">
              <w:rPr>
                <w:webHidden/>
              </w:rPr>
              <w:fldChar w:fldCharType="begin"/>
            </w:r>
            <w:r w:rsidR="00142B2E">
              <w:rPr>
                <w:webHidden/>
              </w:rPr>
              <w:instrText xml:space="preserve"> PAGEREF _Toc58238956 \h </w:instrText>
            </w:r>
            <w:r w:rsidR="00142B2E">
              <w:rPr>
                <w:webHidden/>
              </w:rPr>
            </w:r>
            <w:r w:rsidR="00142B2E">
              <w:rPr>
                <w:webHidden/>
              </w:rPr>
              <w:fldChar w:fldCharType="separate"/>
            </w:r>
            <w:r w:rsidR="00142B2E">
              <w:rPr>
                <w:webHidden/>
              </w:rPr>
              <w:t>3</w:t>
            </w:r>
            <w:r w:rsidR="00142B2E">
              <w:rPr>
                <w:webHidden/>
              </w:rPr>
              <w:fldChar w:fldCharType="end"/>
            </w:r>
          </w:hyperlink>
        </w:p>
        <w:p w14:paraId="78F3FF59" w14:textId="06BAF89B" w:rsidR="004034B7" w:rsidRPr="00487415" w:rsidRDefault="004034B7" w:rsidP="00487415">
          <w:pPr>
            <w:sectPr w:rsidR="004034B7" w:rsidRPr="00487415"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pPr>
          <w:r w:rsidRPr="004034B7">
            <w:rPr>
              <w:b/>
              <w:bCs/>
              <w:noProof/>
            </w:rPr>
            <w:fldChar w:fldCharType="end"/>
          </w:r>
        </w:p>
      </w:sdtContent>
    </w:sdt>
    <w:p w14:paraId="4397F184" w14:textId="5F391943" w:rsidR="004034B7" w:rsidRPr="004034B7" w:rsidRDefault="004034B7" w:rsidP="00487415">
      <w:pPr>
        <w:pStyle w:val="Heading1"/>
        <w:spacing w:before="0"/>
      </w:pPr>
      <w:bookmarkStart w:id="1" w:name="_Toc55893927"/>
      <w:bookmarkStart w:id="2" w:name="_Toc58238945"/>
      <w:r w:rsidRPr="004034B7">
        <w:t>Overview</w:t>
      </w:r>
      <w:bookmarkEnd w:id="1"/>
      <w:bookmarkEnd w:id="2"/>
    </w:p>
    <w:p w14:paraId="37193C48" w14:textId="77777777" w:rsidR="004034B7" w:rsidRPr="004034B7" w:rsidRDefault="004034B7" w:rsidP="004034B7">
      <w:pPr>
        <w:spacing w:after="60" w:line="270" w:lineRule="atLeast"/>
        <w:rPr>
          <w:rFonts w:ascii="Arial" w:eastAsia="Times" w:hAnsi="Arial"/>
        </w:rPr>
      </w:pPr>
      <w:bookmarkStart w:id="3" w:name="_Hlk58229902"/>
      <w:r w:rsidRPr="004034B7">
        <w:rPr>
          <w:rFonts w:ascii="Arial" w:eastAsia="Times" w:hAnsi="Arial"/>
        </w:rPr>
        <w:t>As of December 2020, a number of changes have been made to CDIS, including:</w:t>
      </w:r>
    </w:p>
    <w:p w14:paraId="5E2A5C23" w14:textId="77777777" w:rsidR="004034B7" w:rsidRPr="004034B7" w:rsidRDefault="004034B7" w:rsidP="00207A9A">
      <w:pPr>
        <w:pStyle w:val="DHHSbullet1"/>
      </w:pPr>
      <w:r w:rsidRPr="004034B7">
        <w:t>Update to how delivered hours are recorded</w:t>
      </w:r>
    </w:p>
    <w:p w14:paraId="1A1D9D95" w14:textId="77777777" w:rsidR="004034B7" w:rsidRPr="004034B7" w:rsidRDefault="004034B7" w:rsidP="00207A9A">
      <w:pPr>
        <w:pStyle w:val="DHHSbullet1"/>
      </w:pPr>
      <w:r w:rsidRPr="004034B7">
        <w:t>New assessment tools</w:t>
      </w:r>
    </w:p>
    <w:p w14:paraId="7D33220F" w14:textId="77777777" w:rsidR="004034B7" w:rsidRPr="004034B7" w:rsidRDefault="004034B7" w:rsidP="00207A9A">
      <w:pPr>
        <w:pStyle w:val="DHHSbullet1"/>
      </w:pPr>
      <w:r w:rsidRPr="004034B7">
        <w:t>New groups</w:t>
      </w:r>
    </w:p>
    <w:p w14:paraId="2DAE9DD9" w14:textId="77777777" w:rsidR="004034B7" w:rsidRPr="004034B7" w:rsidRDefault="004034B7" w:rsidP="00207A9A">
      <w:pPr>
        <w:pStyle w:val="DHHSbullet1"/>
      </w:pPr>
      <w:r w:rsidRPr="004034B7">
        <w:t>New capabilities to support Enhanced MCH and Sleep &amp; Settling – Outreach programs</w:t>
      </w:r>
    </w:p>
    <w:p w14:paraId="1EEA662D" w14:textId="77777777" w:rsidR="004034B7" w:rsidRPr="004034B7" w:rsidRDefault="004034B7" w:rsidP="00207A9A">
      <w:pPr>
        <w:pStyle w:val="DHHSbullet1"/>
      </w:pPr>
      <w:r w:rsidRPr="004034B7">
        <w:t>Closing programs for transferred clients</w:t>
      </w:r>
    </w:p>
    <w:p w14:paraId="215E85BF" w14:textId="77777777" w:rsidR="004034B7" w:rsidRPr="004034B7" w:rsidRDefault="004034B7" w:rsidP="00207A9A">
      <w:pPr>
        <w:pStyle w:val="DHHSbullet1"/>
      </w:pPr>
      <w:bookmarkStart w:id="4" w:name="_Hlk57184354"/>
      <w:r w:rsidRPr="004034B7">
        <w:t>Warning screen for direct program enrolments</w:t>
      </w:r>
    </w:p>
    <w:bookmarkEnd w:id="4"/>
    <w:p w14:paraId="423DA91C" w14:textId="77777777" w:rsidR="004034B7" w:rsidRPr="004034B7" w:rsidRDefault="004034B7" w:rsidP="004034B7">
      <w:pPr>
        <w:spacing w:after="120" w:line="270" w:lineRule="atLeast"/>
        <w:rPr>
          <w:rFonts w:ascii="Arial" w:eastAsia="Times" w:hAnsi="Arial"/>
        </w:rPr>
      </w:pPr>
      <w:r w:rsidRPr="004034B7">
        <w:rPr>
          <w:rFonts w:ascii="Arial" w:eastAsia="Times" w:hAnsi="Arial"/>
        </w:rPr>
        <w:t>There are also some impacts on reporting.</w:t>
      </w:r>
    </w:p>
    <w:p w14:paraId="528D5DE7" w14:textId="77777777" w:rsidR="004034B7" w:rsidRPr="004034B7" w:rsidRDefault="004034B7" w:rsidP="004034B7">
      <w:pPr>
        <w:pStyle w:val="Heading1"/>
      </w:pPr>
      <w:bookmarkStart w:id="5" w:name="_Toc58238946"/>
      <w:bookmarkEnd w:id="3"/>
      <w:r w:rsidRPr="004034B7">
        <w:t>Delivered hours</w:t>
      </w:r>
      <w:bookmarkEnd w:id="5"/>
    </w:p>
    <w:p w14:paraId="145852BE" w14:textId="77777777" w:rsidR="004034B7" w:rsidRPr="004034B7" w:rsidRDefault="004034B7" w:rsidP="004034B7">
      <w:pPr>
        <w:spacing w:after="120" w:line="270" w:lineRule="atLeast"/>
        <w:rPr>
          <w:rFonts w:ascii="Arial" w:eastAsia="Times" w:hAnsi="Arial"/>
        </w:rPr>
      </w:pPr>
      <w:bookmarkStart w:id="6" w:name="_Hlk58230269"/>
      <w:r w:rsidRPr="004034B7">
        <w:rPr>
          <w:rFonts w:ascii="Arial" w:eastAsia="Times" w:hAnsi="Arial"/>
        </w:rPr>
        <w:t xml:space="preserve">On all </w:t>
      </w:r>
      <w:r w:rsidRPr="004034B7">
        <w:rPr>
          <w:rFonts w:ascii="Arial" w:eastAsia="Times" w:hAnsi="Arial"/>
          <w:b/>
          <w:bCs/>
        </w:rPr>
        <w:t>Consultation</w:t>
      </w:r>
      <w:r w:rsidRPr="004034B7">
        <w:rPr>
          <w:rFonts w:ascii="Arial" w:eastAsia="Times" w:hAnsi="Arial"/>
        </w:rPr>
        <w:t xml:space="preserve"> and </w:t>
      </w:r>
      <w:r w:rsidRPr="004034B7">
        <w:rPr>
          <w:rFonts w:ascii="Arial" w:eastAsia="Times" w:hAnsi="Arial"/>
          <w:b/>
          <w:bCs/>
        </w:rPr>
        <w:t>Client Not Present</w:t>
      </w:r>
      <w:r w:rsidRPr="004034B7">
        <w:rPr>
          <w:rFonts w:ascii="Arial" w:eastAsia="Times" w:hAnsi="Arial"/>
        </w:rPr>
        <w:t xml:space="preserve"> screens, CDIS now mandates the collection of time data, to record the amount of time that each activity has taken to deliver.</w:t>
      </w:r>
    </w:p>
    <w:p w14:paraId="1B6B051D" w14:textId="77777777" w:rsidR="004034B7" w:rsidRPr="004034B7" w:rsidRDefault="004034B7" w:rsidP="004034B7">
      <w:pPr>
        <w:spacing w:after="60" w:line="270" w:lineRule="atLeast"/>
        <w:rPr>
          <w:rFonts w:ascii="Arial" w:eastAsia="Times" w:hAnsi="Arial"/>
        </w:rPr>
      </w:pPr>
      <w:r w:rsidRPr="004034B7">
        <w:rPr>
          <w:rFonts w:ascii="Arial" w:eastAsia="Times" w:hAnsi="Arial"/>
        </w:rPr>
        <w:t>Time is collected across three different categories:</w:t>
      </w:r>
    </w:p>
    <w:p w14:paraId="73AFE4F3" w14:textId="77777777" w:rsidR="004034B7" w:rsidRPr="004034B7" w:rsidRDefault="004034B7" w:rsidP="00207A9A">
      <w:pPr>
        <w:pStyle w:val="DHHSbullet1"/>
      </w:pPr>
      <w:r w:rsidRPr="004034B7">
        <w:rPr>
          <w:b/>
        </w:rPr>
        <w:t>Direct</w:t>
      </w:r>
      <w:r w:rsidRPr="004034B7">
        <w:t xml:space="preserve"> – defined as time spent with client, either face-to-face or over-the-phone</w:t>
      </w:r>
    </w:p>
    <w:p w14:paraId="3DEF400E" w14:textId="77777777" w:rsidR="004034B7" w:rsidRPr="004034B7" w:rsidRDefault="004034B7" w:rsidP="00207A9A">
      <w:pPr>
        <w:pStyle w:val="DHHSbullet1"/>
      </w:pPr>
      <w:r w:rsidRPr="004034B7">
        <w:rPr>
          <w:b/>
        </w:rPr>
        <w:t>Indirect</w:t>
      </w:r>
      <w:r w:rsidRPr="004034B7">
        <w:t xml:space="preserve"> – defined as note-taking and other non-client time</w:t>
      </w:r>
    </w:p>
    <w:p w14:paraId="1E7923A4" w14:textId="77777777" w:rsidR="004034B7" w:rsidRPr="004034B7" w:rsidRDefault="004034B7" w:rsidP="00207A9A">
      <w:pPr>
        <w:pStyle w:val="DHHSbullet1"/>
      </w:pPr>
      <w:r w:rsidRPr="004034B7">
        <w:rPr>
          <w:b/>
        </w:rPr>
        <w:t>Travel</w:t>
      </w:r>
      <w:r w:rsidRPr="004034B7">
        <w:t xml:space="preserve"> – defined as travel time to-and-from an appointment</w:t>
      </w:r>
    </w:p>
    <w:p w14:paraId="28591A27" w14:textId="77777777" w:rsidR="004034B7" w:rsidRPr="004034B7" w:rsidRDefault="004034B7" w:rsidP="004034B7">
      <w:pPr>
        <w:spacing w:after="120" w:line="270" w:lineRule="atLeast"/>
        <w:rPr>
          <w:rFonts w:ascii="Arial" w:eastAsia="Times" w:hAnsi="Arial"/>
        </w:rPr>
      </w:pPr>
      <w:r w:rsidRPr="004034B7">
        <w:rPr>
          <w:rFonts w:ascii="Arial" w:eastAsia="Times" w:hAnsi="Arial"/>
        </w:rPr>
        <w:lastRenderedPageBreak/>
        <w:t xml:space="preserve">Users are obligated to complete these fields with as much accuracy as possible. Please </w:t>
      </w:r>
      <w:r w:rsidRPr="004034B7">
        <w:rPr>
          <w:rFonts w:ascii="Arial" w:eastAsia="Times" w:hAnsi="Arial"/>
          <w:u w:val="single"/>
        </w:rPr>
        <w:t>do not</w:t>
      </w:r>
      <w:r w:rsidRPr="004034B7">
        <w:rPr>
          <w:rFonts w:ascii="Arial" w:eastAsia="Times" w:hAnsi="Arial"/>
        </w:rPr>
        <w:t xml:space="preserve"> simply enter the standard time allocation for the consultation you are delivering. Accurate data will improve service-wide understanding of the real time and cost of MCH service delivery.</w:t>
      </w:r>
    </w:p>
    <w:bookmarkEnd w:id="6"/>
    <w:p w14:paraId="7D4D2042" w14:textId="77777777" w:rsidR="004034B7" w:rsidRPr="004034B7" w:rsidRDefault="004034B7" w:rsidP="004034B7">
      <w:pPr>
        <w:spacing w:after="120" w:line="270" w:lineRule="atLeast"/>
        <w:rPr>
          <w:rFonts w:ascii="Arial" w:eastAsia="Times" w:hAnsi="Arial"/>
        </w:rPr>
      </w:pPr>
      <w:r w:rsidRPr="004034B7">
        <w:rPr>
          <w:rFonts w:ascii="Arial" w:eastAsia="Times" w:hAnsi="Arial"/>
        </w:rPr>
        <w:t xml:space="preserve">For more information see </w:t>
      </w:r>
      <w:r w:rsidRPr="004034B7">
        <w:rPr>
          <w:rFonts w:ascii="Arial" w:eastAsia="Times" w:hAnsi="Arial"/>
          <w:b/>
          <w:bCs/>
          <w:i/>
          <w:iCs/>
          <w:color w:val="7030A0"/>
        </w:rPr>
        <w:t>CDIS Delivered hours guide - Dec 2020</w:t>
      </w:r>
    </w:p>
    <w:p w14:paraId="12DB78DE" w14:textId="77777777" w:rsidR="004034B7" w:rsidRPr="004034B7" w:rsidRDefault="004034B7" w:rsidP="004034B7">
      <w:pPr>
        <w:pStyle w:val="Heading1"/>
      </w:pPr>
      <w:bookmarkStart w:id="7" w:name="_Toc58238947"/>
      <w:r w:rsidRPr="004034B7">
        <w:t>New assessment tools</w:t>
      </w:r>
      <w:bookmarkEnd w:id="7"/>
    </w:p>
    <w:p w14:paraId="08B89DEA" w14:textId="77777777" w:rsidR="004034B7" w:rsidRPr="004034B7" w:rsidRDefault="004034B7" w:rsidP="004034B7">
      <w:pPr>
        <w:spacing w:after="120" w:line="270" w:lineRule="atLeast"/>
        <w:rPr>
          <w:rFonts w:ascii="Arial" w:eastAsia="Times" w:hAnsi="Arial"/>
        </w:rPr>
      </w:pPr>
      <w:r w:rsidRPr="004034B7">
        <w:rPr>
          <w:rFonts w:ascii="Arial" w:eastAsia="Times" w:hAnsi="Arial"/>
        </w:rPr>
        <w:t>Three new assessment tools have been added to CDIS:</w:t>
      </w:r>
    </w:p>
    <w:p w14:paraId="2D8ED581" w14:textId="77777777" w:rsidR="004034B7" w:rsidRPr="004034B7" w:rsidRDefault="004034B7" w:rsidP="004034B7">
      <w:pPr>
        <w:numPr>
          <w:ilvl w:val="0"/>
          <w:numId w:val="23"/>
        </w:numPr>
        <w:spacing w:after="120" w:line="270" w:lineRule="atLeast"/>
        <w:rPr>
          <w:rFonts w:ascii="Arial" w:eastAsia="Times" w:hAnsi="Arial"/>
        </w:rPr>
      </w:pPr>
      <w:r w:rsidRPr="004034B7">
        <w:rPr>
          <w:rFonts w:ascii="Arial" w:eastAsia="Times" w:hAnsi="Arial"/>
        </w:rPr>
        <w:t>Parent and carers psychosocial assessment</w:t>
      </w:r>
    </w:p>
    <w:p w14:paraId="5BA171E1" w14:textId="77777777" w:rsidR="004034B7" w:rsidRPr="004034B7" w:rsidRDefault="004034B7" w:rsidP="004034B7">
      <w:pPr>
        <w:numPr>
          <w:ilvl w:val="0"/>
          <w:numId w:val="23"/>
        </w:numPr>
        <w:spacing w:after="120" w:line="270" w:lineRule="atLeast"/>
        <w:rPr>
          <w:rFonts w:ascii="Arial" w:eastAsia="Times" w:hAnsi="Arial"/>
        </w:rPr>
      </w:pPr>
      <w:r w:rsidRPr="004034B7">
        <w:rPr>
          <w:rFonts w:ascii="Arial" w:eastAsia="Times" w:hAnsi="Arial"/>
        </w:rPr>
        <w:t>Parent-child interactions scale - Infant and toddler (Brigance III)</w:t>
      </w:r>
    </w:p>
    <w:p w14:paraId="5B9AB188" w14:textId="77777777" w:rsidR="004034B7" w:rsidRPr="004034B7" w:rsidRDefault="004034B7" w:rsidP="004034B7">
      <w:pPr>
        <w:numPr>
          <w:ilvl w:val="0"/>
          <w:numId w:val="23"/>
        </w:numPr>
        <w:spacing w:after="120" w:line="270" w:lineRule="atLeast"/>
        <w:rPr>
          <w:rFonts w:ascii="Arial" w:eastAsia="Times" w:hAnsi="Arial"/>
        </w:rPr>
      </w:pPr>
      <w:r w:rsidRPr="004034B7">
        <w:rPr>
          <w:rFonts w:ascii="Arial" w:eastAsia="Times" w:hAnsi="Arial"/>
        </w:rPr>
        <w:t xml:space="preserve">Sleep Pathways Assessment form </w:t>
      </w:r>
      <w:r w:rsidRPr="004034B7">
        <w:rPr>
          <w:rFonts w:ascii="Arial" w:eastAsia="Times" w:hAnsi="Arial"/>
          <w:i/>
          <w:iCs/>
        </w:rPr>
        <w:t>(this tool replaces the infant sleeping tool)</w:t>
      </w:r>
    </w:p>
    <w:p w14:paraId="5899A4B8" w14:textId="77777777" w:rsidR="004034B7" w:rsidRPr="004034B7" w:rsidRDefault="004034B7" w:rsidP="004034B7">
      <w:pPr>
        <w:spacing w:after="120" w:line="270" w:lineRule="atLeast"/>
        <w:rPr>
          <w:rFonts w:ascii="Arial" w:eastAsia="Times" w:hAnsi="Arial"/>
        </w:rPr>
      </w:pPr>
      <w:r w:rsidRPr="004034B7">
        <w:rPr>
          <w:rFonts w:ascii="Arial" w:eastAsia="Times" w:hAnsi="Arial"/>
        </w:rPr>
        <w:t xml:space="preserve">For more information see </w:t>
      </w:r>
      <w:r w:rsidRPr="004034B7">
        <w:rPr>
          <w:rFonts w:ascii="Arial" w:eastAsia="Times" w:hAnsi="Arial"/>
          <w:b/>
          <w:bCs/>
          <w:i/>
          <w:iCs/>
          <w:color w:val="7030A0"/>
        </w:rPr>
        <w:t>CDIS Additional assessment tools - Dec 2020</w:t>
      </w:r>
    </w:p>
    <w:p w14:paraId="1950F96B" w14:textId="77777777" w:rsidR="004034B7" w:rsidRPr="004034B7" w:rsidRDefault="004034B7" w:rsidP="004034B7">
      <w:pPr>
        <w:pStyle w:val="Heading1"/>
      </w:pPr>
      <w:bookmarkStart w:id="8" w:name="_Toc58238948"/>
      <w:r w:rsidRPr="004034B7">
        <w:t>New groups</w:t>
      </w:r>
      <w:bookmarkEnd w:id="8"/>
    </w:p>
    <w:p w14:paraId="527D37CA" w14:textId="77777777" w:rsidR="004034B7" w:rsidRPr="004034B7" w:rsidRDefault="004034B7" w:rsidP="00487415">
      <w:pPr>
        <w:pStyle w:val="Heading2"/>
        <w:rPr>
          <w:rFonts w:eastAsia="MS Mincho"/>
        </w:rPr>
      </w:pPr>
      <w:bookmarkStart w:id="9" w:name="_Toc58238949"/>
      <w:r w:rsidRPr="004034B7">
        <w:rPr>
          <w:rFonts w:eastAsia="MS Mincho"/>
        </w:rPr>
        <w:t>Sleep and settling related changes</w:t>
      </w:r>
      <w:bookmarkEnd w:id="9"/>
    </w:p>
    <w:p w14:paraId="4BB9D545" w14:textId="029FD868" w:rsidR="00B4200D" w:rsidRPr="00886FF3" w:rsidRDefault="00B4200D" w:rsidP="00886FF3">
      <w:pPr>
        <w:pStyle w:val="DHHSbody"/>
        <w:rPr>
          <w:rStyle w:val="Strong"/>
        </w:rPr>
      </w:pPr>
      <w:r w:rsidRPr="00886FF3">
        <w:rPr>
          <w:rStyle w:val="Strong"/>
        </w:rPr>
        <w:t>New Group Types</w:t>
      </w:r>
    </w:p>
    <w:p w14:paraId="28D229E2" w14:textId="7BC19304" w:rsidR="004034B7" w:rsidRPr="004034B7" w:rsidRDefault="004034B7" w:rsidP="00C65077">
      <w:pPr>
        <w:pStyle w:val="DHHSbullet1"/>
        <w:rPr>
          <w:rFonts w:eastAsia="Arial" w:cs="Arial"/>
        </w:rPr>
      </w:pPr>
      <w:r w:rsidRPr="004034B7">
        <w:t xml:space="preserve">Sleep and Settling – newborn group </w:t>
      </w:r>
    </w:p>
    <w:p w14:paraId="219D935A" w14:textId="32D79B3B" w:rsidR="004034B7" w:rsidRPr="004034B7" w:rsidRDefault="004034B7" w:rsidP="00C65077">
      <w:pPr>
        <w:pStyle w:val="DHHSbullet1"/>
      </w:pPr>
      <w:r w:rsidRPr="004034B7">
        <w:t xml:space="preserve">Sleep and Settling – baby group </w:t>
      </w:r>
    </w:p>
    <w:p w14:paraId="352AABC7" w14:textId="6D7DAAE0" w:rsidR="004034B7" w:rsidRPr="004034B7" w:rsidRDefault="004034B7" w:rsidP="00C65077">
      <w:pPr>
        <w:pStyle w:val="DHHSbullet1"/>
      </w:pPr>
      <w:r w:rsidRPr="004034B7">
        <w:t xml:space="preserve">Sleep and Settling – toddler group </w:t>
      </w:r>
    </w:p>
    <w:p w14:paraId="6499AC96" w14:textId="11BEF372" w:rsidR="00B4200D" w:rsidRPr="00886FF3" w:rsidRDefault="00A72F0A" w:rsidP="00487415">
      <w:pPr>
        <w:pStyle w:val="DHHSbody"/>
        <w:spacing w:before="120"/>
        <w:rPr>
          <w:rStyle w:val="Strong"/>
        </w:rPr>
      </w:pPr>
      <w:r w:rsidRPr="00886FF3">
        <w:rPr>
          <w:rStyle w:val="Strong"/>
        </w:rPr>
        <w:t>New Activity/Topic type</w:t>
      </w:r>
    </w:p>
    <w:p w14:paraId="7B920CF6" w14:textId="736277E4" w:rsidR="00B4200D" w:rsidRPr="00886FF3" w:rsidRDefault="00B4200D" w:rsidP="00886FF3">
      <w:pPr>
        <w:pStyle w:val="DHHSbullet1"/>
        <w:rPr>
          <w:rFonts w:eastAsia="Arial" w:cs="Arial"/>
        </w:rPr>
      </w:pPr>
      <w:r w:rsidRPr="004034B7">
        <w:t>The First Time Parent Group (FTPG) group now includes a</w:t>
      </w:r>
      <w:r>
        <w:t>n</w:t>
      </w:r>
      <w:r w:rsidRPr="004034B7">
        <w:t xml:space="preserve"> </w:t>
      </w:r>
      <w:r>
        <w:t>activity/topic type</w:t>
      </w:r>
      <w:r w:rsidRPr="004034B7">
        <w:t xml:space="preserve"> called Sleep and settling – newborn</w:t>
      </w:r>
    </w:p>
    <w:p w14:paraId="2F3768C5" w14:textId="7C5CBC76" w:rsidR="00947F46" w:rsidRDefault="004034B7" w:rsidP="00C65077">
      <w:pPr>
        <w:spacing w:after="120" w:line="270" w:lineRule="atLeast"/>
        <w:rPr>
          <w:rFonts w:ascii="Arial" w:eastAsia="Times" w:hAnsi="Arial"/>
        </w:rPr>
      </w:pPr>
      <w:r w:rsidRPr="004034B7">
        <w:rPr>
          <w:rFonts w:ascii="Arial" w:eastAsia="Times" w:hAnsi="Arial"/>
        </w:rPr>
        <w:t xml:space="preserve">For information on these new groups and sessions, see </w:t>
      </w:r>
      <w:r w:rsidRPr="004034B7">
        <w:rPr>
          <w:rFonts w:ascii="Arial" w:eastAsia="Times" w:hAnsi="Arial"/>
          <w:b/>
          <w:bCs/>
          <w:i/>
          <w:iCs/>
          <w:color w:val="7030A0"/>
        </w:rPr>
        <w:t>Sleep and settling model of care</w:t>
      </w:r>
      <w:r w:rsidRPr="004034B7">
        <w:rPr>
          <w:rFonts w:ascii="Arial" w:eastAsia="Times" w:hAnsi="Arial"/>
        </w:rPr>
        <w:t xml:space="preserve"> (2019)</w:t>
      </w:r>
      <w:r w:rsidR="00487415">
        <w:rPr>
          <w:rFonts w:ascii="Arial" w:eastAsia="Times" w:hAnsi="Arial"/>
        </w:rPr>
        <w:t>.</w:t>
      </w:r>
    </w:p>
    <w:p w14:paraId="21587A5B" w14:textId="77777777" w:rsidR="004034B7" w:rsidRPr="004034B7" w:rsidRDefault="004034B7" w:rsidP="00487415">
      <w:pPr>
        <w:pStyle w:val="Heading2"/>
        <w:rPr>
          <w:rFonts w:eastAsia="MS Mincho"/>
        </w:rPr>
      </w:pPr>
      <w:bookmarkStart w:id="10" w:name="_Toc58238950"/>
      <w:r w:rsidRPr="004034B7">
        <w:rPr>
          <w:rFonts w:eastAsia="MS Mincho"/>
        </w:rPr>
        <w:t>Enhanced MCH related changes</w:t>
      </w:r>
      <w:bookmarkEnd w:id="10"/>
    </w:p>
    <w:p w14:paraId="4E601C38" w14:textId="5FCEB150" w:rsidR="00487415" w:rsidRPr="00487415" w:rsidRDefault="00487415" w:rsidP="00487415">
      <w:pPr>
        <w:pStyle w:val="DHHSbody"/>
        <w:rPr>
          <w:b/>
          <w:bCs/>
        </w:rPr>
      </w:pPr>
      <w:r w:rsidRPr="00886FF3">
        <w:rPr>
          <w:rStyle w:val="Strong"/>
        </w:rPr>
        <w:t>New Group Types</w:t>
      </w:r>
    </w:p>
    <w:p w14:paraId="5A5AB738" w14:textId="26F8544B" w:rsidR="004034B7" w:rsidRPr="004034B7" w:rsidRDefault="004034B7" w:rsidP="00487415">
      <w:pPr>
        <w:pStyle w:val="DHHSbullet1"/>
      </w:pPr>
      <w:r w:rsidRPr="00C26068">
        <w:t>Enhanced MCH</w:t>
      </w:r>
      <w:r w:rsidRPr="004034B7">
        <w:t xml:space="preserve"> group</w:t>
      </w:r>
    </w:p>
    <w:p w14:paraId="6533C817" w14:textId="038E1232" w:rsidR="004034B7" w:rsidRPr="004034B7" w:rsidRDefault="004034B7" w:rsidP="00487415">
      <w:pPr>
        <w:spacing w:before="120"/>
        <w:rPr>
          <w:rFonts w:ascii="Arial" w:eastAsia="Times" w:hAnsi="Arial"/>
          <w:b/>
          <w:bCs/>
          <w:i/>
          <w:iCs/>
          <w:color w:val="7030A0"/>
        </w:rPr>
      </w:pPr>
      <w:bookmarkStart w:id="11" w:name="_Hlk57183614"/>
      <w:r w:rsidRPr="004034B7">
        <w:rPr>
          <w:rFonts w:ascii="Arial" w:eastAsia="Times" w:hAnsi="Arial"/>
        </w:rPr>
        <w:t>For information on this group, see</w:t>
      </w:r>
      <w:r w:rsidRPr="004034B7">
        <w:t xml:space="preserve"> </w:t>
      </w:r>
      <w:r w:rsidRPr="004034B7">
        <w:rPr>
          <w:rFonts w:ascii="Arial" w:eastAsia="Times" w:hAnsi="Arial"/>
          <w:b/>
          <w:bCs/>
          <w:i/>
          <w:iCs/>
          <w:color w:val="7030A0"/>
        </w:rPr>
        <w:t xml:space="preserve">Enhanced maternal and child health program guidelines </w:t>
      </w:r>
      <w:r w:rsidRPr="004034B7">
        <w:rPr>
          <w:rFonts w:ascii="Arial" w:eastAsia="Times" w:hAnsi="Arial"/>
        </w:rPr>
        <w:t>(reissued 2019)</w:t>
      </w:r>
      <w:r w:rsidR="00487415">
        <w:rPr>
          <w:rFonts w:ascii="Arial" w:eastAsia="Times" w:hAnsi="Arial"/>
        </w:rPr>
        <w:t>.</w:t>
      </w:r>
    </w:p>
    <w:p w14:paraId="0E901803" w14:textId="77777777" w:rsidR="004034B7" w:rsidRPr="004034B7" w:rsidRDefault="004034B7" w:rsidP="004034B7">
      <w:pPr>
        <w:pStyle w:val="Heading1"/>
      </w:pPr>
      <w:bookmarkStart w:id="12" w:name="_Toc58238951"/>
      <w:bookmarkEnd w:id="11"/>
      <w:r w:rsidRPr="004034B7">
        <w:t>Support for Enhanced MCH</w:t>
      </w:r>
      <w:bookmarkEnd w:id="12"/>
    </w:p>
    <w:p w14:paraId="0C37B11F" w14:textId="5A3D6714" w:rsidR="00B255BB" w:rsidRDefault="00B255BB" w:rsidP="004034B7">
      <w:pPr>
        <w:spacing w:after="120" w:line="270" w:lineRule="atLeast"/>
        <w:rPr>
          <w:rFonts w:ascii="Arial" w:eastAsia="Times" w:hAnsi="Arial"/>
        </w:rPr>
      </w:pPr>
      <w:bookmarkStart w:id="13" w:name="_Hlk58232191"/>
      <w:r>
        <w:rPr>
          <w:rFonts w:ascii="Arial" w:eastAsia="Times" w:hAnsi="Arial"/>
        </w:rPr>
        <w:t xml:space="preserve">The existing Enhanced MCH </w:t>
      </w:r>
      <w:r w:rsidR="00EE5596">
        <w:rPr>
          <w:rFonts w:ascii="Arial" w:eastAsia="Times" w:hAnsi="Arial"/>
        </w:rPr>
        <w:t>program in CDIS has been renamed Old Enhanced</w:t>
      </w:r>
      <w:r w:rsidR="00386F56">
        <w:rPr>
          <w:rFonts w:ascii="Arial" w:eastAsia="Times" w:hAnsi="Arial"/>
        </w:rPr>
        <w:t xml:space="preserve"> MCH</w:t>
      </w:r>
      <w:r w:rsidR="00EE5596">
        <w:rPr>
          <w:rFonts w:ascii="Arial" w:eastAsia="Times" w:hAnsi="Arial"/>
        </w:rPr>
        <w:t xml:space="preserve"> Program. </w:t>
      </w:r>
      <w:r w:rsidR="00A620F9">
        <w:rPr>
          <w:rFonts w:ascii="Arial" w:eastAsia="Times" w:hAnsi="Arial"/>
        </w:rPr>
        <w:t>I</w:t>
      </w:r>
      <w:r w:rsidR="00A620F9" w:rsidRPr="00A620F9">
        <w:rPr>
          <w:rFonts w:ascii="Arial" w:eastAsia="Times" w:hAnsi="Arial"/>
        </w:rPr>
        <w:t xml:space="preserve">t still contains all </w:t>
      </w:r>
      <w:r w:rsidR="002D122D">
        <w:rPr>
          <w:rFonts w:ascii="Arial" w:eastAsia="Times" w:hAnsi="Arial"/>
        </w:rPr>
        <w:t>currently</w:t>
      </w:r>
      <w:r w:rsidR="00A620F9" w:rsidRPr="00A620F9">
        <w:rPr>
          <w:rFonts w:ascii="Arial" w:eastAsia="Times" w:hAnsi="Arial"/>
        </w:rPr>
        <w:t xml:space="preserve"> active Enhanced MCH clients and can continue to be used under its new name.</w:t>
      </w:r>
    </w:p>
    <w:bookmarkEnd w:id="13"/>
    <w:p w14:paraId="1EEBE9DF" w14:textId="6BBAB498" w:rsidR="004034B7" w:rsidRPr="00377540" w:rsidRDefault="002D122D" w:rsidP="00377540">
      <w:pPr>
        <w:spacing w:after="120" w:line="270" w:lineRule="atLeast"/>
        <w:rPr>
          <w:rFonts w:ascii="Arial" w:eastAsia="Times" w:hAnsi="Arial"/>
        </w:rPr>
      </w:pPr>
      <w:r>
        <w:rPr>
          <w:rFonts w:ascii="Arial" w:eastAsia="Times" w:hAnsi="Arial"/>
        </w:rPr>
        <w:t xml:space="preserve">A new program called Enhanced MCH </w:t>
      </w:r>
      <w:r w:rsidR="002D1C49">
        <w:rPr>
          <w:rFonts w:ascii="Arial" w:eastAsia="Times" w:hAnsi="Arial"/>
        </w:rPr>
        <w:t xml:space="preserve">has been added to CDIS. This new program </w:t>
      </w:r>
      <w:r w:rsidR="004034B7" w:rsidRPr="004034B7">
        <w:rPr>
          <w:rFonts w:ascii="Arial" w:eastAsia="Times" w:hAnsi="Arial"/>
        </w:rPr>
        <w:t>has been enabled with a range of additional capabilities to support the Enhanced MCH Program.</w:t>
      </w:r>
      <w:bookmarkStart w:id="14" w:name="_Hlk57183680"/>
      <w:r w:rsidR="00377540">
        <w:rPr>
          <w:rFonts w:ascii="Arial" w:eastAsia="Times" w:hAnsi="Arial"/>
        </w:rPr>
        <w:t xml:space="preserve"> </w:t>
      </w:r>
      <w:r w:rsidR="004034B7" w:rsidRPr="004034B7">
        <w:rPr>
          <w:rFonts w:ascii="Arial" w:eastAsia="Times" w:hAnsi="Arial"/>
        </w:rPr>
        <w:t>For information on how these capabilities work, see</w:t>
      </w:r>
      <w:r w:rsidR="004034B7" w:rsidRPr="004034B7">
        <w:t xml:space="preserve"> </w:t>
      </w:r>
      <w:r w:rsidR="004034B7" w:rsidRPr="004034B7">
        <w:rPr>
          <w:rFonts w:ascii="Arial" w:eastAsia="Times" w:hAnsi="Arial"/>
          <w:b/>
          <w:bCs/>
          <w:i/>
          <w:iCs/>
          <w:color w:val="7030A0"/>
        </w:rPr>
        <w:t>CDIS Enhanced MCH guide</w:t>
      </w:r>
      <w:r w:rsidR="00FF0520">
        <w:rPr>
          <w:rFonts w:ascii="Arial" w:eastAsia="Times" w:hAnsi="Arial"/>
          <w:b/>
          <w:bCs/>
          <w:i/>
          <w:iCs/>
          <w:color w:val="7030A0"/>
        </w:rPr>
        <w:t>.</w:t>
      </w:r>
    </w:p>
    <w:p w14:paraId="5B77D17F" w14:textId="61DC8273" w:rsidR="004034B7" w:rsidRDefault="004034B7" w:rsidP="004034B7">
      <w:pPr>
        <w:spacing w:after="120"/>
        <w:rPr>
          <w:rFonts w:ascii="Arial" w:eastAsia="Times" w:hAnsi="Arial"/>
          <w:b/>
          <w:bCs/>
          <w:i/>
          <w:iCs/>
          <w:color w:val="7030A0"/>
        </w:rPr>
      </w:pPr>
      <w:r w:rsidRPr="004034B7">
        <w:rPr>
          <w:rFonts w:ascii="Arial" w:eastAsia="Times" w:hAnsi="Arial"/>
        </w:rPr>
        <w:t xml:space="preserve">For information on how to migrate </w:t>
      </w:r>
      <w:r w:rsidR="00377540">
        <w:rPr>
          <w:rFonts w:ascii="Arial" w:eastAsia="Times" w:hAnsi="Arial"/>
        </w:rPr>
        <w:t xml:space="preserve">Old </w:t>
      </w:r>
      <w:r w:rsidRPr="004034B7">
        <w:rPr>
          <w:rFonts w:ascii="Arial" w:eastAsia="Times" w:hAnsi="Arial"/>
        </w:rPr>
        <w:t>Enhanced MCH enrolments across to the new Enhanced MCH Program, see</w:t>
      </w:r>
      <w:r w:rsidRPr="004034B7">
        <w:t xml:space="preserve"> </w:t>
      </w:r>
      <w:r w:rsidRPr="004034B7">
        <w:rPr>
          <w:rFonts w:ascii="Arial" w:eastAsia="Times" w:hAnsi="Arial"/>
          <w:b/>
          <w:bCs/>
          <w:i/>
          <w:iCs/>
          <w:color w:val="7030A0"/>
        </w:rPr>
        <w:t>CDIS Enhanced MCH migration guide</w:t>
      </w:r>
      <w:r w:rsidR="00FF0520">
        <w:rPr>
          <w:rFonts w:ascii="Arial" w:eastAsia="Times" w:hAnsi="Arial"/>
          <w:b/>
          <w:bCs/>
          <w:i/>
          <w:iCs/>
          <w:color w:val="7030A0"/>
        </w:rPr>
        <w:t>.</w:t>
      </w:r>
    </w:p>
    <w:p w14:paraId="6385680B" w14:textId="7844CB5F" w:rsidR="00345ED0" w:rsidRDefault="00345ED0" w:rsidP="004034B7">
      <w:pPr>
        <w:spacing w:after="120"/>
        <w:rPr>
          <w:rFonts w:ascii="Arial" w:eastAsia="Times" w:hAnsi="Arial"/>
        </w:rPr>
      </w:pPr>
      <w:r w:rsidRPr="00345ED0">
        <w:rPr>
          <w:rFonts w:ascii="Arial" w:eastAsia="Times" w:hAnsi="Arial"/>
          <w:u w:val="single"/>
        </w:rPr>
        <w:t>Note</w:t>
      </w:r>
      <w:r>
        <w:rPr>
          <w:rFonts w:ascii="Arial" w:eastAsia="Times" w:hAnsi="Arial"/>
        </w:rPr>
        <w:t>: Users are not required to immediately start using the (new) Enhanced MCH program, and can initially continue to use the original program, now call Old Enhanced MCH. Users will be supported to transition to the new program over time.</w:t>
      </w:r>
    </w:p>
    <w:p w14:paraId="3E653BE1" w14:textId="77777777" w:rsidR="00142B2E" w:rsidRDefault="00142B2E" w:rsidP="00142B2E">
      <w:pPr>
        <w:rPr>
          <w:rStyle w:val="Heading3Char"/>
        </w:rPr>
      </w:pPr>
    </w:p>
    <w:p w14:paraId="21173C8A" w14:textId="77777777" w:rsidR="00142B2E" w:rsidRDefault="00142B2E" w:rsidP="00142B2E">
      <w:pPr>
        <w:rPr>
          <w:rStyle w:val="Heading3Char"/>
        </w:rPr>
      </w:pPr>
    </w:p>
    <w:p w14:paraId="2F98F525" w14:textId="4CB6EFB8" w:rsidR="00142B2E" w:rsidRDefault="00142B2E" w:rsidP="00142B2E">
      <w:pPr>
        <w:spacing w:after="120"/>
        <w:rPr>
          <w:rFonts w:ascii="Arial" w:eastAsia="Times" w:hAnsi="Arial"/>
        </w:rPr>
      </w:pPr>
      <w:bookmarkStart w:id="15" w:name="_Toc58238952"/>
      <w:r w:rsidRPr="00142B2E">
        <w:rPr>
          <w:rStyle w:val="Heading3Char"/>
        </w:rPr>
        <w:lastRenderedPageBreak/>
        <w:t>Regarding IRIS</w:t>
      </w:r>
      <w:bookmarkEnd w:id="15"/>
    </w:p>
    <w:p w14:paraId="0EAB6F61" w14:textId="5B1929B5" w:rsidR="00345ED0" w:rsidRPr="00142B2E" w:rsidRDefault="00142B2E" w:rsidP="00142B2E">
      <w:pPr>
        <w:rPr>
          <w:rFonts w:ascii="Arial" w:eastAsia="Times" w:hAnsi="Arial"/>
        </w:rPr>
      </w:pPr>
      <w:r w:rsidRPr="00142B2E">
        <w:rPr>
          <w:rFonts w:ascii="Arial" w:eastAsia="Times" w:hAnsi="Arial"/>
        </w:rPr>
        <w:t>The introduction of these new capabilities in CDIS is an important step forward towards being able to stop entering Enhanced MCH data into IRIS. However, in the short term, users will need to continue entering data into IRIS as per current practice.</w:t>
      </w:r>
      <w:r>
        <w:rPr>
          <w:rFonts w:ascii="Arial" w:eastAsia="Times" w:hAnsi="Arial"/>
        </w:rPr>
        <w:t xml:space="preserve"> </w:t>
      </w:r>
      <w:r w:rsidRPr="00142B2E">
        <w:rPr>
          <w:rFonts w:ascii="Arial" w:eastAsia="Times" w:hAnsi="Arial"/>
        </w:rPr>
        <w:t>The Department of Health and Human Services (DHHS) is committed to ending the use of IRIS for the Enhanced MCH program by the end of this financial year at the latest, and potentially earlier if possible.</w:t>
      </w:r>
      <w:bookmarkEnd w:id="14"/>
    </w:p>
    <w:p w14:paraId="1EACEBE7" w14:textId="0F2161A3" w:rsidR="004034B7" w:rsidRPr="004034B7" w:rsidRDefault="004034B7" w:rsidP="004034B7">
      <w:pPr>
        <w:pStyle w:val="Heading1"/>
      </w:pPr>
      <w:bookmarkStart w:id="16" w:name="_Toc58238953"/>
      <w:r w:rsidRPr="004034B7">
        <w:t>Support for Sleep and Settling - Outreach</w:t>
      </w:r>
      <w:bookmarkEnd w:id="16"/>
    </w:p>
    <w:p w14:paraId="6AE2AC92" w14:textId="77777777" w:rsidR="004034B7" w:rsidRPr="004034B7" w:rsidRDefault="004034B7" w:rsidP="004034B7">
      <w:pPr>
        <w:spacing w:after="120" w:line="270" w:lineRule="atLeast"/>
        <w:rPr>
          <w:rFonts w:ascii="Arial" w:eastAsia="Times" w:hAnsi="Arial"/>
        </w:rPr>
      </w:pPr>
      <w:r w:rsidRPr="004034B7">
        <w:rPr>
          <w:rFonts w:ascii="Arial" w:eastAsia="Times" w:hAnsi="Arial"/>
        </w:rPr>
        <w:t>CDIS has been enabled with a range of additional capabilities to support the Sleep and Settling – Outreach Program.</w:t>
      </w:r>
    </w:p>
    <w:p w14:paraId="15034AF6" w14:textId="77777777" w:rsidR="004034B7" w:rsidRPr="004034B7" w:rsidRDefault="004034B7" w:rsidP="004034B7">
      <w:pPr>
        <w:spacing w:after="120"/>
        <w:rPr>
          <w:rFonts w:ascii="Arial" w:eastAsia="Times" w:hAnsi="Arial"/>
          <w:b/>
          <w:bCs/>
          <w:i/>
          <w:iCs/>
          <w:color w:val="7030A0"/>
        </w:rPr>
      </w:pPr>
      <w:r w:rsidRPr="004034B7">
        <w:rPr>
          <w:rFonts w:ascii="Arial" w:eastAsia="Times" w:hAnsi="Arial"/>
        </w:rPr>
        <w:t>For more information see</w:t>
      </w:r>
      <w:r w:rsidRPr="004034B7">
        <w:t xml:space="preserve"> </w:t>
      </w:r>
      <w:r w:rsidRPr="004034B7">
        <w:rPr>
          <w:rFonts w:ascii="Arial" w:eastAsia="Times" w:hAnsi="Arial"/>
          <w:b/>
          <w:bCs/>
          <w:i/>
          <w:iCs/>
          <w:color w:val="7030A0"/>
        </w:rPr>
        <w:t>CDIS Sleep and settling - outreach guide</w:t>
      </w:r>
    </w:p>
    <w:p w14:paraId="3A5F84D4" w14:textId="77777777" w:rsidR="004034B7" w:rsidRPr="004034B7" w:rsidRDefault="004034B7" w:rsidP="004034B7">
      <w:pPr>
        <w:pStyle w:val="Heading1"/>
      </w:pPr>
      <w:bookmarkStart w:id="17" w:name="_Toc58238954"/>
      <w:r w:rsidRPr="004034B7">
        <w:t>Closing programs for transferring clients</w:t>
      </w:r>
      <w:bookmarkEnd w:id="17"/>
    </w:p>
    <w:p w14:paraId="7D777B19" w14:textId="77777777" w:rsidR="004034B7" w:rsidRPr="004034B7" w:rsidRDefault="004034B7" w:rsidP="004034B7">
      <w:pPr>
        <w:spacing w:after="120" w:line="270" w:lineRule="atLeast"/>
        <w:rPr>
          <w:rFonts w:ascii="Arial" w:eastAsia="Times" w:hAnsi="Arial"/>
        </w:rPr>
      </w:pPr>
      <w:bookmarkStart w:id="18" w:name="_Hlk58230625"/>
      <w:r w:rsidRPr="004034B7">
        <w:rPr>
          <w:rFonts w:ascii="Arial" w:eastAsia="Times" w:hAnsi="Arial"/>
        </w:rPr>
        <w:t>When transferring in a client, the ‘Transfer Client’ screen will now list all programs that the client is currently active in. These enrolments will all end upon transfer.</w:t>
      </w:r>
    </w:p>
    <w:p w14:paraId="6BBA7639" w14:textId="77777777" w:rsidR="004034B7" w:rsidRPr="004034B7" w:rsidRDefault="004034B7" w:rsidP="004034B7">
      <w:pPr>
        <w:spacing w:after="120" w:line="270" w:lineRule="atLeast"/>
        <w:rPr>
          <w:rFonts w:ascii="Arial" w:eastAsia="Times" w:hAnsi="Arial"/>
        </w:rPr>
      </w:pPr>
      <w:r w:rsidRPr="004034B7">
        <w:rPr>
          <w:rFonts w:ascii="Arial" w:eastAsia="Times" w:hAnsi="Arial"/>
        </w:rPr>
        <w:t>Take note of any actions to be taken regarding program enrolment once the transfer has been completed. For example, if the client was active in a program at their former provider, they may require a referral into the same program at their new provider.</w:t>
      </w:r>
    </w:p>
    <w:p w14:paraId="6B566A8E" w14:textId="77777777" w:rsidR="004034B7" w:rsidRPr="004034B7" w:rsidRDefault="004034B7" w:rsidP="004034B7">
      <w:pPr>
        <w:pStyle w:val="Heading1"/>
        <w:rPr>
          <w:color w:val="D50032"/>
          <w:sz w:val="26"/>
          <w:szCs w:val="26"/>
        </w:rPr>
      </w:pPr>
      <w:bookmarkStart w:id="19" w:name="_Toc58238955"/>
      <w:bookmarkEnd w:id="18"/>
      <w:r w:rsidRPr="004034B7">
        <w:t>Warning screen for direct program enrolments</w:t>
      </w:r>
      <w:bookmarkEnd w:id="19"/>
    </w:p>
    <w:p w14:paraId="6D42C18B" w14:textId="77777777" w:rsidR="004034B7" w:rsidRPr="004034B7" w:rsidRDefault="004034B7" w:rsidP="004034B7">
      <w:pPr>
        <w:spacing w:after="120" w:line="270" w:lineRule="atLeast"/>
        <w:rPr>
          <w:rFonts w:ascii="Arial" w:eastAsia="Times" w:hAnsi="Arial"/>
        </w:rPr>
      </w:pPr>
      <w:r w:rsidRPr="004034B7">
        <w:rPr>
          <w:rFonts w:ascii="Arial" w:eastAsia="Times" w:hAnsi="Arial"/>
        </w:rPr>
        <w:t>CDIS currently supports over a dozen different programs. For most programs it is normal practice that an internal referral must be created in order to enrol a client. However in some circumstances for some programs it may be accepted practice to directly add a client to a program (without referral), via the Programs screen.</w:t>
      </w:r>
    </w:p>
    <w:p w14:paraId="3507EA5B" w14:textId="77777777" w:rsidR="004034B7" w:rsidRPr="004034B7" w:rsidRDefault="004034B7" w:rsidP="004034B7">
      <w:pPr>
        <w:spacing w:after="120" w:line="270" w:lineRule="atLeast"/>
        <w:rPr>
          <w:rFonts w:ascii="Arial" w:eastAsia="Times" w:hAnsi="Arial"/>
        </w:rPr>
      </w:pPr>
      <w:r w:rsidRPr="004034B7">
        <w:rPr>
          <w:rFonts w:ascii="Arial" w:eastAsia="Times" w:hAnsi="Arial"/>
        </w:rPr>
        <w:t xml:space="preserve">Whenever a user attempts to directly add a client to any program without a referral, a warning screen will now appear first. This is to help prevent inadvertent direct enrolments. If the program enrolment should be occurring via referral, users can </w:t>
      </w:r>
      <w:r w:rsidRPr="004034B7">
        <w:rPr>
          <w:rFonts w:ascii="Arial" w:eastAsia="Times" w:hAnsi="Arial"/>
          <w:b/>
          <w:bCs/>
        </w:rPr>
        <w:t>Go back</w:t>
      </w:r>
      <w:r w:rsidRPr="004034B7">
        <w:rPr>
          <w:rFonts w:ascii="Arial" w:eastAsia="Times" w:hAnsi="Arial"/>
        </w:rPr>
        <w:t xml:space="preserve"> from this screen. If direct enrolment is allowed, users can </w:t>
      </w:r>
      <w:r w:rsidRPr="004034B7">
        <w:rPr>
          <w:rFonts w:ascii="Arial" w:eastAsia="Times" w:hAnsi="Arial"/>
          <w:b/>
          <w:bCs/>
        </w:rPr>
        <w:t>Continue</w:t>
      </w:r>
      <w:r w:rsidRPr="004034B7">
        <w:rPr>
          <w:rFonts w:ascii="Arial" w:eastAsia="Times" w:hAnsi="Arial"/>
        </w:rPr>
        <w:t>.</w:t>
      </w:r>
    </w:p>
    <w:p w14:paraId="0BB67E74" w14:textId="4C700CC7" w:rsidR="004034B7" w:rsidRPr="004034B7" w:rsidRDefault="004034B7" w:rsidP="004034B7">
      <w:pPr>
        <w:rPr>
          <w:color w:val="D50032"/>
          <w:sz w:val="26"/>
          <w:szCs w:val="26"/>
        </w:rPr>
      </w:pPr>
      <w:r w:rsidRPr="004034B7">
        <w:rPr>
          <w:noProof/>
        </w:rPr>
        <w:drawing>
          <wp:inline distT="0" distB="0" distL="0" distR="0" wp14:anchorId="1CB5308A" wp14:editId="4BCAF93F">
            <wp:extent cx="6479539" cy="1323340"/>
            <wp:effectExtent l="0" t="0" r="0" b="0"/>
            <wp:docPr id="6" name="Picture 6" descr="Screen shot of warning pop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479539" cy="1323340"/>
                    </a:xfrm>
                    <a:prstGeom prst="rect">
                      <a:avLst/>
                    </a:prstGeom>
                  </pic:spPr>
                </pic:pic>
              </a:graphicData>
            </a:graphic>
          </wp:inline>
        </w:drawing>
      </w:r>
    </w:p>
    <w:p w14:paraId="731DD000" w14:textId="77777777" w:rsidR="004034B7" w:rsidRPr="004034B7" w:rsidRDefault="004034B7" w:rsidP="004034B7">
      <w:pPr>
        <w:pStyle w:val="Heading1"/>
        <w:rPr>
          <w:color w:val="D50032"/>
          <w:sz w:val="26"/>
          <w:szCs w:val="26"/>
        </w:rPr>
      </w:pPr>
      <w:bookmarkStart w:id="20" w:name="_Toc58238956"/>
      <w:r w:rsidRPr="004034B7">
        <w:t>Reporting impacts</w:t>
      </w:r>
      <w:bookmarkEnd w:id="20"/>
    </w:p>
    <w:p w14:paraId="6FA984F3" w14:textId="1C35B67F" w:rsidR="004034B7" w:rsidRPr="004034B7" w:rsidRDefault="004034B7" w:rsidP="00800EE3">
      <w:pPr>
        <w:spacing w:after="120"/>
        <w:rPr>
          <w:rFonts w:ascii="Arial" w:eastAsia="Times" w:hAnsi="Arial"/>
        </w:rPr>
      </w:pPr>
      <w:r w:rsidRPr="004034B7">
        <w:rPr>
          <w:rFonts w:ascii="Arial" w:eastAsia="Times" w:hAnsi="Arial"/>
        </w:rPr>
        <w:t>As a result of some of these and other recent changes to CDIS, some fields in existing reports will not count new data as expected.</w:t>
      </w:r>
      <w:r w:rsidR="00800EE3">
        <w:rPr>
          <w:rFonts w:ascii="Arial" w:eastAsia="Times" w:hAnsi="Arial"/>
        </w:rPr>
        <w:t xml:space="preserve"> </w:t>
      </w:r>
      <w:r w:rsidRPr="004034B7">
        <w:rPr>
          <w:rFonts w:ascii="Arial" w:eastAsia="Times" w:hAnsi="Arial"/>
        </w:rPr>
        <w:t>For more information see</w:t>
      </w:r>
      <w:r w:rsidRPr="004034B7">
        <w:rPr>
          <w:rFonts w:ascii="Arial" w:eastAsia="Times" w:hAnsi="Arial"/>
          <w:b/>
          <w:bCs/>
          <w:i/>
          <w:iCs/>
          <w:color w:val="7030A0"/>
        </w:rPr>
        <w:t xml:space="preserve"> CDIS Reporting update – Dec 2020</w:t>
      </w:r>
    </w:p>
    <w:p w14:paraId="63D0C5E1" w14:textId="220FB943" w:rsidR="00800EE3" w:rsidRPr="004034B7" w:rsidRDefault="00800EE3" w:rsidP="00800EE3">
      <w:pPr>
        <w:spacing w:after="120"/>
        <w:rPr>
          <w:rFonts w:ascii="Arial" w:eastAsia="Times" w:hAnsi="Arial"/>
        </w:rPr>
      </w:pPr>
      <w:bookmarkStart w:id="21" w:name="_Hlk58234955"/>
      <w:r>
        <w:rPr>
          <w:rFonts w:ascii="Arial" w:eastAsia="Times" w:hAnsi="Arial"/>
        </w:rPr>
        <w:t>The Programs Active List</w:t>
      </w:r>
      <w:r w:rsidRPr="00800EE3">
        <w:rPr>
          <w:rFonts w:ascii="Arial" w:eastAsia="Times" w:hAnsi="Arial"/>
        </w:rPr>
        <w:t xml:space="preserve"> previously </w:t>
      </w:r>
      <w:r>
        <w:rPr>
          <w:rFonts w:ascii="Arial" w:eastAsia="Times" w:hAnsi="Arial"/>
        </w:rPr>
        <w:t>included an ‘Hours’ column</w:t>
      </w:r>
      <w:bookmarkEnd w:id="21"/>
      <w:r w:rsidR="00626A22">
        <w:rPr>
          <w:rFonts w:ascii="Arial" w:eastAsia="Times" w:hAnsi="Arial"/>
        </w:rPr>
        <w:t xml:space="preserve">. </w:t>
      </w:r>
      <w:r w:rsidRPr="00800EE3">
        <w:rPr>
          <w:rFonts w:ascii="Arial" w:eastAsia="Times" w:hAnsi="Arial"/>
        </w:rPr>
        <w:t>This column has been removed</w:t>
      </w:r>
      <w:r w:rsidR="00C61D43">
        <w:rPr>
          <w:rFonts w:ascii="Arial" w:eastAsia="Times" w:hAnsi="Arial"/>
        </w:rPr>
        <w:t xml:space="preserve">. For more information see </w:t>
      </w:r>
      <w:r w:rsidR="00C61D43" w:rsidRPr="004034B7">
        <w:rPr>
          <w:rFonts w:ascii="Arial" w:eastAsia="Times" w:hAnsi="Arial"/>
          <w:b/>
          <w:bCs/>
          <w:i/>
          <w:iCs/>
          <w:color w:val="7030A0"/>
        </w:rPr>
        <w:t xml:space="preserve">CDIS </w:t>
      </w:r>
      <w:r w:rsidR="00C61D43">
        <w:rPr>
          <w:rFonts w:ascii="Arial" w:eastAsia="Times" w:hAnsi="Arial"/>
          <w:b/>
          <w:bCs/>
          <w:i/>
          <w:iCs/>
          <w:color w:val="7030A0"/>
        </w:rPr>
        <w:t>Programs Active List</w:t>
      </w:r>
      <w:r w:rsidR="00C61D43" w:rsidRPr="004034B7">
        <w:rPr>
          <w:rFonts w:ascii="Arial" w:eastAsia="Times" w:hAnsi="Arial"/>
          <w:b/>
          <w:bCs/>
          <w:i/>
          <w:iCs/>
          <w:color w:val="7030A0"/>
        </w:rPr>
        <w:t xml:space="preserve"> update – Dec 2020</w:t>
      </w:r>
    </w:p>
    <w:p w14:paraId="555E4621" w14:textId="77777777" w:rsidR="004034B7" w:rsidRPr="004034B7" w:rsidRDefault="004034B7" w:rsidP="004034B7">
      <w:pPr>
        <w:rPr>
          <w:rFonts w:ascii="Arial" w:eastAsia="Times" w:hAnsi="Arial"/>
          <w:color w:val="D50032"/>
          <w:sz w:val="26"/>
          <w:szCs w:val="26"/>
        </w:rPr>
      </w:pPr>
    </w:p>
    <w:p w14:paraId="52E48D92" w14:textId="7734C8D5" w:rsidR="006F6B8C" w:rsidRPr="00087228" w:rsidRDefault="006F6B8C" w:rsidP="007933F7">
      <w:pPr>
        <w:pStyle w:val="DHHSbody"/>
        <w:rPr>
          <w:color w:val="007B4B"/>
          <w:sz w:val="26"/>
          <w:szCs w:val="26"/>
        </w:rPr>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2F6F8BC5"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4CCD441" w14:textId="77777777" w:rsidR="001E4B78" w:rsidRDefault="001E4B78" w:rsidP="001E4B78">
            <w:pPr>
              <w:pStyle w:val="DHHSaccessibilitypara"/>
              <w:rPr>
                <w:lang w:val="en-US"/>
              </w:rPr>
            </w:pPr>
            <w:r>
              <w:rPr>
                <w:rStyle w:val="normaltextrun1"/>
                <w:rFonts w:cs="Arial"/>
              </w:rPr>
              <w:lastRenderedPageBreak/>
              <w:t xml:space="preserve">To receive this publication in an accessible format phone 1300 650 172, using the National Relay Service 13 36 77 if required, or </w:t>
            </w:r>
            <w:hyperlink r:id="rId16" w:tgtFrame="_blank" w:history="1">
              <w:r>
                <w:rPr>
                  <w:rStyle w:val="normaltextrun1"/>
                  <w:rFonts w:cs="Arial"/>
                  <w:color w:val="0072CE"/>
                  <w:u w:val="single"/>
                </w:rPr>
                <w:t>email Commissioning Performance and Improvement Aged and Community Based Health Care and Cancer Services</w:t>
              </w:r>
            </w:hyperlink>
            <w:r>
              <w:rPr>
                <w:rStyle w:val="normaltextrun1"/>
                <w:rFonts w:cs="Arial"/>
                <w:color w:val="0072CE"/>
                <w:u w:val="single"/>
              </w:rPr>
              <w:t xml:space="preserve"> </w:t>
            </w:r>
            <w:r>
              <w:rPr>
                <w:rStyle w:val="normaltextrun1"/>
                <w:rFonts w:cs="Arial"/>
              </w:rPr>
              <w:t>&lt;mch@dhhs.vic.gov.au&gt;</w:t>
            </w:r>
          </w:p>
          <w:p w14:paraId="70F7BB25" w14:textId="77777777" w:rsidR="001E4B78" w:rsidRDefault="001E4B78" w:rsidP="001E4B78">
            <w:pPr>
              <w:pStyle w:val="DHHSbody"/>
            </w:pPr>
            <w:r>
              <w:rPr>
                <w:rStyle w:val="normaltextrun1"/>
              </w:rPr>
              <w:t>Authorised and published by the Victorian Government, 1 Treasury Place, Melbourne.</w:t>
            </w:r>
            <w:r>
              <w:rPr>
                <w:rStyle w:val="eop"/>
              </w:rPr>
              <w:t> </w:t>
            </w:r>
          </w:p>
          <w:p w14:paraId="5D37ACDD" w14:textId="77777777" w:rsidR="00A73642" w:rsidRPr="001E5CFA" w:rsidRDefault="00A73642" w:rsidP="00A73642">
            <w:pPr>
              <w:pStyle w:val="DHHSaccessibilitypara"/>
              <w:spacing w:after="120"/>
              <w:rPr>
                <w:rStyle w:val="normaltextrun1"/>
                <w:rFonts w:cs="Arial"/>
                <w:sz w:val="20"/>
                <w:szCs w:val="20"/>
              </w:rPr>
            </w:pPr>
            <w:r w:rsidRPr="001E5CFA">
              <w:rPr>
                <w:rStyle w:val="normaltextrun1"/>
                <w:sz w:val="20"/>
                <w:szCs w:val="20"/>
              </w:rPr>
              <w:t xml:space="preserve">© State of Victoria, Australia, Department of Health and Human Services </w:t>
            </w:r>
            <w:r>
              <w:rPr>
                <w:rStyle w:val="normaltextrun1"/>
                <w:sz w:val="20"/>
                <w:szCs w:val="20"/>
              </w:rPr>
              <w:t>D</w:t>
            </w:r>
            <w:r w:rsidRPr="001E5CFA">
              <w:rPr>
                <w:rStyle w:val="normaltextrun1"/>
                <w:sz w:val="20"/>
                <w:szCs w:val="20"/>
              </w:rPr>
              <w:t>ecember</w:t>
            </w:r>
            <w:r w:rsidRPr="001E5CFA">
              <w:rPr>
                <w:rStyle w:val="normaltextrun1"/>
                <w:sz w:val="20"/>
                <w:szCs w:val="20"/>
              </w:rPr>
              <w:t xml:space="preserve"> 2020.</w:t>
            </w:r>
            <w:r w:rsidRPr="001E5CFA">
              <w:rPr>
                <w:rStyle w:val="eop"/>
                <w:sz w:val="20"/>
                <w:szCs w:val="20"/>
              </w:rPr>
              <w:t> </w:t>
            </w:r>
          </w:p>
          <w:p w14:paraId="55957767" w14:textId="77777777" w:rsidR="001E4B78" w:rsidRPr="004A0171" w:rsidRDefault="001E4B78" w:rsidP="001E4B78">
            <w:pPr>
              <w:pStyle w:val="DHHSbody"/>
            </w:pPr>
            <w:bookmarkStart w:id="22" w:name="_GoBack"/>
            <w:bookmarkEnd w:id="22"/>
            <w:r w:rsidRPr="004A0171">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62129EDB" w14:textId="77777777" w:rsidR="001E4B78" w:rsidRDefault="001E4B78" w:rsidP="001E4B78">
            <w:pPr>
              <w:pStyle w:val="DHHSbody"/>
            </w:pPr>
            <w:r w:rsidRPr="004A0171">
              <w:t>In this document, ‘Aboriginal’ refers to both Aboriginal and Torres Strait Islander people. ‘Indigenous’ or ‘Koori/</w:t>
            </w:r>
            <w:proofErr w:type="spellStart"/>
            <w:r w:rsidRPr="004A0171">
              <w:t>Koorie</w:t>
            </w:r>
            <w:proofErr w:type="spellEnd"/>
            <w:r w:rsidRPr="004A0171">
              <w:t>’ is retained when part of the title of a report, program or quotation.</w:t>
            </w:r>
          </w:p>
          <w:p w14:paraId="7F651BBC" w14:textId="7F194A3F" w:rsidR="001E4B78" w:rsidRDefault="00D66AE9" w:rsidP="001E4B78">
            <w:pPr>
              <w:pStyle w:val="DHHSbody"/>
              <w:rPr>
                <w:rStyle w:val="normaltextrun1"/>
              </w:rPr>
            </w:pPr>
            <w:r w:rsidRPr="00D66AE9">
              <w:t xml:space="preserve">ISBN 978-1-76096-230-2 </w:t>
            </w:r>
            <w:r w:rsidR="001E4B78" w:rsidRPr="00D66AE9">
              <w:t>(pdf/</w:t>
            </w:r>
            <w:r w:rsidR="001E4B78">
              <w:rPr>
                <w:rStyle w:val="normaltextrun1"/>
              </w:rPr>
              <w:t>online/MS word)</w:t>
            </w:r>
          </w:p>
          <w:p w14:paraId="3FB575A8" w14:textId="5CBA1E5D" w:rsidR="006254F8" w:rsidRPr="002802E3" w:rsidRDefault="001E4B78" w:rsidP="001E4B78">
            <w:pPr>
              <w:pStyle w:val="DHHSbody"/>
            </w:pPr>
            <w:r>
              <w:rPr>
                <w:rStyle w:val="normaltextrun1"/>
              </w:rPr>
              <w:t xml:space="preserve">Available at </w:t>
            </w:r>
            <w:hyperlink r:id="rId17" w:tgtFrame="_blank" w:history="1">
              <w:r>
                <w:rPr>
                  <w:rStyle w:val="Hyperlink"/>
                </w:rPr>
                <w:t>health.vic – Child Development Information System</w:t>
              </w:r>
            </w:hyperlink>
            <w:r>
              <w:rPr>
                <w:rStyle w:val="normaltextrun1"/>
              </w:rPr>
              <w:t xml:space="preserve"> &lt;https://www2.health.vic.gov.au/primary-and-community-health/maternal-child-health/child-development-information-system&gt;</w:t>
            </w:r>
            <w:r>
              <w:rPr>
                <w:rStyle w:val="eop"/>
              </w:rPr>
              <w:t> </w:t>
            </w:r>
          </w:p>
        </w:tc>
      </w:tr>
    </w:tbl>
    <w:p w14:paraId="6551C0F5" w14:textId="77777777" w:rsidR="00B2752E" w:rsidRPr="00906490" w:rsidRDefault="00B2752E" w:rsidP="00FF6D9D">
      <w:pPr>
        <w:pStyle w:val="DHHSbody"/>
      </w:pPr>
    </w:p>
    <w:sectPr w:rsidR="00B2752E" w:rsidRPr="00906490" w:rsidSect="004013C7">
      <w:headerReference w:type="default" r:id="rId18"/>
      <w:footerReference w:type="default" r:id="rId19"/>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2CEC4" w14:textId="77777777" w:rsidR="00120E69" w:rsidRDefault="00120E69">
      <w:r>
        <w:separator/>
      </w:r>
    </w:p>
  </w:endnote>
  <w:endnote w:type="continuationSeparator" w:id="0">
    <w:p w14:paraId="45199CD9" w14:textId="77777777" w:rsidR="00120E69" w:rsidRDefault="00120E69">
      <w:r>
        <w:continuationSeparator/>
      </w:r>
    </w:p>
  </w:endnote>
  <w:endnote w:type="continuationNotice" w:id="1">
    <w:p w14:paraId="4569E84F" w14:textId="77777777" w:rsidR="00120E69" w:rsidRDefault="00120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7003" w14:textId="63A3404D" w:rsidR="009D70A4" w:rsidRPr="00F65AA9" w:rsidRDefault="00FD0B3D" w:rsidP="0051568D">
    <w:pPr>
      <w:pStyle w:val="DHHSfooter"/>
    </w:pPr>
    <w:r>
      <w:rPr>
        <w:noProof/>
        <w:lang w:eastAsia="en-AU"/>
      </w:rPr>
      <mc:AlternateContent>
        <mc:Choice Requires="wps">
          <w:drawing>
            <wp:anchor distT="0" distB="0" distL="114300" distR="114300" simplePos="0" relativeHeight="251658241" behindDoc="0" locked="0" layoutInCell="0" allowOverlap="1" wp14:anchorId="08E6B127" wp14:editId="79F1DAD0">
              <wp:simplePos x="0" y="0"/>
              <wp:positionH relativeFrom="page">
                <wp:posOffset>0</wp:posOffset>
              </wp:positionH>
              <wp:positionV relativeFrom="page">
                <wp:posOffset>10189210</wp:posOffset>
              </wp:positionV>
              <wp:extent cx="7560310" cy="311785"/>
              <wp:effectExtent l="0" t="0" r="0" b="12065"/>
              <wp:wrapNone/>
              <wp:docPr id="2" name="MSIPCM02e7485d89311e9a604d5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5E7B31" w14:textId="5C0BD241" w:rsidR="00FD0B3D" w:rsidRPr="00FD0B3D" w:rsidRDefault="00FD0B3D" w:rsidP="00FD0B3D">
                          <w:pPr>
                            <w:jc w:val="center"/>
                            <w:rPr>
                              <w:rFonts w:ascii="Arial Black" w:hAnsi="Arial Black"/>
                              <w:color w:val="000000"/>
                            </w:rPr>
                          </w:pPr>
                          <w:r w:rsidRPr="00FD0B3D">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E6B127" id="_x0000_t202" coordsize="21600,21600" o:spt="202" path="m,l,21600r21600,l21600,xe">
              <v:stroke joinstyle="miter"/>
              <v:path gradientshapeok="t" o:connecttype="rect"/>
            </v:shapetype>
            <v:shape id="MSIPCM02e7485d89311e9a604d5152" o:spid="_x0000_s1026" type="#_x0000_t202"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OgPgIAAF0EAAAOAAAAZHJzL2Uyb0RvYy54bWysVEtv2zAMvg/YfxB0X2wncV6IU2QpMhRI&#10;2wDp0LMiy7EBW9QkJXb260fJdlp0PQ27yBRJ8fF9pJd3TVWSi9CmAJnQaBBSIiSHtJCnhP582X6b&#10;UWIskykrQYqEXoWhd6uvX5a1Wogh5FCmQhMMIs2iVgnNrVWLIDA8FxUzA1BCojEDXTGLV30KUs1q&#10;jF6VwTAMJ0ENOlUauDAGtfetka58/CwT3D5nmRGWlAnF2qw/tT+P7gxWS7Y4aabygndlsH+oomKF&#10;xKS3UPfMMnLWxV+hqoJrMJDZAYcqgCwruPA9YDdR+KGbQ86U8L0gOEbdYDL/Lyx/uuw1KdKEDimR&#10;rEKKHg8P+81jOBTT8SxOZ/NRFIk5m4TjNI7ioUOsVmaBDw8Kn9rmOzTIfK83qHRANJmu3BdbJGhH&#10;7K83vEVjCUflNJ6EowhNHG2YZjqLXZjg7bXSxv4QUBEnJFQjnx5mdtkZ27r2Li6ZhG1Rlp7TUpI6&#10;oZNRHPoHNwsGLyXmcD20tTrJNsema+wI6RX70tDOilF8W2DyHTN2zzQOB9aLA2+f8chKwCTQSZTk&#10;oH9/pnf+yBlaKalx2BJqfp2ZFpSUDxLZnEfjsZtOf0FBv9cee608VxvAOY5wpRT3ovO1ZS9mGqpX&#10;3Ie1y4YmJjnmTOixFze2HX3cJy7Wa++Ec6iY3cmD4i60g9FB+tK8Mq063C0y9gT9OLLFB/hb35aA&#10;9dlCVnhuHLAtmh3eOMOe3W7f3JK8v3uvt7/C6g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HHGY6A+AgAAXQQAAA4A&#10;AAAAAAAAAAAAAAAALgIAAGRycy9lMm9Eb2MueG1sUEsBAi0AFAAGAAgAAAAhAEgNXprfAAAACwEA&#10;AA8AAAAAAAAAAAAAAAAAmAQAAGRycy9kb3ducmV2LnhtbFBLBQYAAAAABAAEAPMAAACkBQAAAAA=&#10;" o:allowincell="f" filled="f" stroked="f" strokeweight=".5pt">
              <v:textbox inset=",0,,0">
                <w:txbxContent>
                  <w:p w14:paraId="2E5E7B31" w14:textId="5C0BD241" w:rsidR="00FD0B3D" w:rsidRPr="00FD0B3D" w:rsidRDefault="00FD0B3D" w:rsidP="00FD0B3D">
                    <w:pPr>
                      <w:jc w:val="center"/>
                      <w:rPr>
                        <w:rFonts w:ascii="Arial Black" w:hAnsi="Arial Black"/>
                        <w:color w:val="000000"/>
                      </w:rPr>
                    </w:pPr>
                    <w:r w:rsidRPr="00FD0B3D">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5BB9C231" wp14:editId="4E644749">
          <wp:simplePos x="0" y="0"/>
          <wp:positionH relativeFrom="page">
            <wp:posOffset>0</wp:posOffset>
          </wp:positionH>
          <wp:positionV relativeFrom="page">
            <wp:posOffset>9901555</wp:posOffset>
          </wp:positionV>
          <wp:extent cx="7561580" cy="791210"/>
          <wp:effectExtent l="0" t="0" r="127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D28B" w14:textId="5CC4B5D0" w:rsidR="00FD0B3D" w:rsidRDefault="00FD0B3D">
    <w:pPr>
      <w:pStyle w:val="Footer"/>
    </w:pPr>
    <w:r>
      <w:rPr>
        <w:noProof/>
      </w:rPr>
      <mc:AlternateContent>
        <mc:Choice Requires="wps">
          <w:drawing>
            <wp:anchor distT="0" distB="0" distL="114300" distR="114300" simplePos="1" relativeHeight="251658242" behindDoc="0" locked="0" layoutInCell="0" allowOverlap="1" wp14:anchorId="017FD265" wp14:editId="780FA0BF">
              <wp:simplePos x="0" y="10189687"/>
              <wp:positionH relativeFrom="page">
                <wp:posOffset>0</wp:posOffset>
              </wp:positionH>
              <wp:positionV relativeFrom="page">
                <wp:posOffset>10189210</wp:posOffset>
              </wp:positionV>
              <wp:extent cx="7560310" cy="311785"/>
              <wp:effectExtent l="0" t="0" r="0" b="12065"/>
              <wp:wrapNone/>
              <wp:docPr id="3" name="MSIPCM1f424a048df2a4e11f9442d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3BF8F" w14:textId="35FAE0AF" w:rsidR="00FD0B3D" w:rsidRPr="00FD0B3D" w:rsidRDefault="00FD0B3D" w:rsidP="00FD0B3D">
                          <w:pPr>
                            <w:jc w:val="center"/>
                            <w:rPr>
                              <w:rFonts w:ascii="Arial Black" w:hAnsi="Arial Black"/>
                              <w:color w:val="000000"/>
                            </w:rPr>
                          </w:pPr>
                          <w:r w:rsidRPr="00FD0B3D">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7FD265" id="_x0000_t202" coordsize="21600,21600" o:spt="202" path="m,l,21600r21600,l21600,xe">
              <v:stroke joinstyle="miter"/>
              <v:path gradientshapeok="t" o:connecttype="rect"/>
            </v:shapetype>
            <v:shape id="MSIPCM1f424a048df2a4e11f9442d5" o:spid="_x0000_s1027" type="#_x0000_t202"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0kPwIAAGQEAAAOAAAAZHJzL2Uyb0RvYy54bWysVN9v2jAQfp+0/8Hy+0gCgVJEqBgVUyXa&#10;ItGpz8axSaTE59mGhP31OzuEVl2fpr045/vlu++7y/yurStyEsaWoDKaDGJKhOKQl+qQ0Z8v629T&#10;SqxjKmcVKJHRs7D0bvH1y7zRMzGEAqpcGIJJlJ01OqOFc3oWRZYXomZ2AFooNEowNXN4NYcoN6zB&#10;7HUVDeN4EjVgcm2AC2tRe98Z6SLkl1Jw9yylFY5UGcXaXDhNOPf+jBZzNjsYpouSX8pg/1BFzUqF&#10;j15T3TPHyNGUf6WqS27AgnQDDnUEUpZchB6wmyT+0M2uYFqEXhAcq68w2f+Xlj+dtoaUeUZHlChW&#10;I0WPu4ft6jGR6TBlcTrN5ZClIknkbZoO87FHrNF2hoE7jaGu/Q4tMt/rLSo9EK00tf9iiwTtiP35&#10;irdoHeGovBlP4lGCJo62UZLcTEP66C1aG+t+CKiJFzJqkM8AMzttrMNK0LV38Y8pWJdVFTitFGky&#10;OhmN4xBwtWBEpTDQ99DV6iXX7tuAwrWPPeRnbM9ANzJW83WJNWyYdVtmcEawbJx794yHrADfgotE&#10;SQHm92d674/UoZWSBmcuo/bXkRlBSfWgkNTbJE39kIYLCua9dt9r1bFeAY5zgpuleRC9r6t6URqo&#10;X3Etlv41NDHF8c2M7ntx5boNwLXiYrkMTjiOmrmN2mnuU3s0PbIv7Ssz+gK/Q+KeoJ9KNvvAQufb&#10;8bA8OpBloMjj26F5gR1HOTB3WTu/K+/vwevt57D4A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BJW40kPwIAAGQEAAAO&#10;AAAAAAAAAAAAAAAAAC4CAABkcnMvZTJvRG9jLnhtbFBLAQItABQABgAIAAAAIQBIDV6a3wAAAAsB&#10;AAAPAAAAAAAAAAAAAAAAAJkEAABkcnMvZG93bnJldi54bWxQSwUGAAAAAAQABADzAAAApQUAAAAA&#10;" o:allowincell="f" filled="f" stroked="f" strokeweight=".5pt">
              <v:textbox inset=",0,,0">
                <w:txbxContent>
                  <w:p w14:paraId="1B43BF8F" w14:textId="35FAE0AF" w:rsidR="00FD0B3D" w:rsidRPr="00FD0B3D" w:rsidRDefault="00FD0B3D" w:rsidP="00FD0B3D">
                    <w:pPr>
                      <w:jc w:val="center"/>
                      <w:rPr>
                        <w:rFonts w:ascii="Arial Black" w:hAnsi="Arial Black"/>
                        <w:color w:val="000000"/>
                      </w:rPr>
                    </w:pPr>
                    <w:r w:rsidRPr="00FD0B3D">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F6BB" w14:textId="485ADADD" w:rsidR="004034B7" w:rsidRPr="00A11421" w:rsidRDefault="004034B7"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9172" w14:textId="2DF235F5" w:rsidR="009D70A4" w:rsidRPr="00A11421" w:rsidRDefault="004034B7" w:rsidP="0051568D">
    <w:pPr>
      <w:pStyle w:val="DHHSfooter"/>
    </w:pPr>
    <w:r>
      <w:rPr>
        <w:noProof/>
      </w:rPr>
      <mc:AlternateContent>
        <mc:Choice Requires="wps">
          <w:drawing>
            <wp:anchor distT="0" distB="0" distL="114300" distR="114300" simplePos="0" relativeHeight="251658243" behindDoc="0" locked="0" layoutInCell="0" allowOverlap="1" wp14:anchorId="7CD6F832" wp14:editId="0A96A871">
              <wp:simplePos x="0" y="0"/>
              <wp:positionH relativeFrom="page">
                <wp:align>right</wp:align>
              </wp:positionH>
              <wp:positionV relativeFrom="page">
                <wp:posOffset>10242196</wp:posOffset>
              </wp:positionV>
              <wp:extent cx="7560310" cy="311785"/>
              <wp:effectExtent l="0" t="0" r="0" b="12065"/>
              <wp:wrapNone/>
              <wp:docPr id="7" name="MSIPCM31234bb0bca1e11d676f61d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D37271" w14:textId="465D8ADC" w:rsidR="004034B7" w:rsidRPr="004034B7" w:rsidRDefault="004034B7" w:rsidP="004034B7">
                          <w:pPr>
                            <w:jc w:val="center"/>
                            <w:rPr>
                              <w:rFonts w:ascii="Arial Black" w:hAnsi="Arial Black"/>
                              <w:color w:val="000000"/>
                            </w:rPr>
                          </w:pPr>
                          <w:r w:rsidRPr="004034B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D6F832" id="_x0000_t202" coordsize="21600,21600" o:spt="202" path="m,l,21600r21600,l21600,xe">
              <v:stroke joinstyle="miter"/>
              <v:path gradientshapeok="t" o:connecttype="rect"/>
            </v:shapetype>
            <v:shape id="MSIPCM31234bb0bca1e11d676f61df" o:spid="_x0000_s1028" type="#_x0000_t202" style="position:absolute;margin-left:544.1pt;margin-top:806.45pt;width:595.3pt;height:24.55pt;z-index:251658243;visibility:visible;mso-wrap-style:square;mso-wrap-distance-left:9pt;mso-wrap-distance-top:0;mso-wrap-distance-right:9pt;mso-wrap-distance-bottom:0;mso-position-horizontal:righ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KHQAIAAGQEAAAOAAAAZHJzL2Uyb0RvYy54bWysVEtv2zAMvg/YfxB0X2zn4XRBnCJLkaFA&#10;HwHSoWdZlmIDtqhJSuzs14+S47Todhp2kSmS4uP7SC9vu6YmJ2FsBSqjySimRCgORaUOGf3xsv1y&#10;Q4l1TBWsBiUyehaW3q4+f1q2eiHGUEJdCEMwiLKLVme0dE4vosjyUjTMjkALhUYJpmEOr+YQFYa1&#10;GL2po3Ecp1ELptAGuLAWtXe9ka5CfCkFd89SWuFInVGszYXThDP3Z7RassXBMF1W/FIG+4cqGlYp&#10;THoNdcccI0dT/RGqqbgBC9KNODQRSFlxEXrAbpL4Qzf7kmkRekFwrL7CZP9fWP502hlSFRmdU6JY&#10;gxQ97u93m8dJMp5M8zzOOUtEkhTpPJVpUkiPWKvtAh/uNT513TfokPlBb1HpgeikafwXWyRoR+zP&#10;V7xF5whH5XyWxpMETRxtkySZ38x8mOjttTbWfRfQEC9k1CCfAWZ2erCudx1cfDIF26quA6e1Im1G&#10;08ksDg+uFgxeK8zhe+hr9ZLr8i6gMB76yKE4Y3sG+pGxmm8rrOGBWbdjBmcEy8a5d894yBowF1wk&#10;Skowv/6m9/5IHVopaXHmMmp/HpkRlNT3Ckn9mkynfkjDBQXzXpsPWnVsNoDjnOBmaR5E7+vqQZQG&#10;mldci7XPhiamOObMaD6IG9dvAK4VF+t1cMJx1Mw9qL3mPrRH0yP70r0yoy/wOyTuCYapZIsPLPS+&#10;PQ/rowNZBYo8vj2aF9hxlAPJl7Xzu/L+Hrzefg6r3wAAAP//AwBQSwMEFAAGAAgAAAAhAIKtYljf&#10;AAAACwEAAA8AAABkcnMvZG93bnJldi54bWxMj81qwzAQhO+FvoPYQm+NZBNM7VoOpaWXQAlNS8+y&#10;tf6JrZWxlMR++8in9rgzw+w3+W42A7vg5DpLEqKNAIZUWd1RI+Hn++PpGZjzirQaLKGEBR3sivu7&#10;XGXaXukLL0ffsFBCLlMSWu/HjHNXtWiU29gRKXi1nYzy4Zwarid1DeVm4LEQCTeqo/ChVSO+tVj1&#10;x7ORsD2kZc1PvTl9Lvtl6fr6972spXx8mF9fgHmc/V8YVvyADkVgKu2ZtGODhDDEBzWJ4hTY6kep&#10;SICVq5bEAniR8/8bihsAAAD//wMAUEsBAi0AFAAGAAgAAAAhALaDOJL+AAAA4QEAABMAAAAAAAAA&#10;AAAAAAAAAAAAAFtDb250ZW50X1R5cGVzXS54bWxQSwECLQAUAAYACAAAACEAOP0h/9YAAACUAQAA&#10;CwAAAAAAAAAAAAAAAAAvAQAAX3JlbHMvLnJlbHNQSwECLQAUAAYACAAAACEAew6Sh0ACAABkBAAA&#10;DgAAAAAAAAAAAAAAAAAuAgAAZHJzL2Uyb0RvYy54bWxQSwECLQAUAAYACAAAACEAgq1iWN8AAAAL&#10;AQAADwAAAAAAAAAAAAAAAACaBAAAZHJzL2Rvd25yZXYueG1sUEsFBgAAAAAEAAQA8wAAAKYFAAAA&#10;AA==&#10;" o:allowincell="f" filled="f" stroked="f" strokeweight=".5pt">
              <v:textbox inset=",0,,0">
                <w:txbxContent>
                  <w:p w14:paraId="3FD37271" w14:textId="465D8ADC" w:rsidR="004034B7" w:rsidRPr="004034B7" w:rsidRDefault="004034B7" w:rsidP="004034B7">
                    <w:pPr>
                      <w:jc w:val="center"/>
                      <w:rPr>
                        <w:rFonts w:ascii="Arial Black" w:hAnsi="Arial Black"/>
                        <w:color w:val="000000"/>
                      </w:rPr>
                    </w:pPr>
                    <w:r w:rsidRPr="004034B7">
                      <w:rPr>
                        <w:rFonts w:ascii="Arial Black" w:hAnsi="Arial Black"/>
                        <w:color w:val="000000"/>
                      </w:rPr>
                      <w:t>OFFICIAL</w:t>
                    </w:r>
                  </w:p>
                </w:txbxContent>
              </v:textbox>
              <w10:wrap anchorx="page" anchory="page"/>
            </v:shape>
          </w:pict>
        </mc:Fallback>
      </mc:AlternateContent>
    </w:r>
    <w:r w:rsidR="00DE284B">
      <w:t>CDIS User update – Dec 2020</w:t>
    </w:r>
    <w:r w:rsidR="009D70A4" w:rsidRPr="00A11421">
      <w:tab/>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B44DE" w14:textId="77777777" w:rsidR="00120E69" w:rsidRDefault="00120E69" w:rsidP="002862F1">
      <w:pPr>
        <w:spacing w:before="120"/>
      </w:pPr>
      <w:r>
        <w:separator/>
      </w:r>
    </w:p>
  </w:footnote>
  <w:footnote w:type="continuationSeparator" w:id="0">
    <w:p w14:paraId="4FA48619" w14:textId="77777777" w:rsidR="00120E69" w:rsidRDefault="00120E69">
      <w:r>
        <w:continuationSeparator/>
      </w:r>
    </w:p>
  </w:footnote>
  <w:footnote w:type="continuationNotice" w:id="1">
    <w:p w14:paraId="63779426" w14:textId="77777777" w:rsidR="00120E69" w:rsidRDefault="00120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2B00" w14:textId="77777777" w:rsidR="004034B7" w:rsidRPr="0051568D" w:rsidRDefault="004034B7" w:rsidP="0051568D">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8EDD"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86D71C2"/>
    <w:multiLevelType w:val="hybridMultilevel"/>
    <w:tmpl w:val="C1020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C2E1296"/>
    <w:multiLevelType w:val="hybridMultilevel"/>
    <w:tmpl w:val="8ABCB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69C15BC"/>
    <w:multiLevelType w:val="hybridMultilevel"/>
    <w:tmpl w:val="FD625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5A40F65"/>
    <w:multiLevelType w:val="hybridMultilevel"/>
    <w:tmpl w:val="B53C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0E71987"/>
    <w:multiLevelType w:val="hybridMultilevel"/>
    <w:tmpl w:val="FD96E6A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 w:numId="25">
    <w:abstractNumId w:val="15"/>
  </w:num>
  <w:num w:numId="26">
    <w:abstractNumId w:val="9"/>
  </w:num>
  <w:num w:numId="27">
    <w:abstractNumId w:val="5"/>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3D"/>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0C70"/>
    <w:rsid w:val="000733FE"/>
    <w:rsid w:val="00074219"/>
    <w:rsid w:val="00074ED5"/>
    <w:rsid w:val="0008508E"/>
    <w:rsid w:val="00087228"/>
    <w:rsid w:val="0009113B"/>
    <w:rsid w:val="00093402"/>
    <w:rsid w:val="00094DA3"/>
    <w:rsid w:val="00096CD1"/>
    <w:rsid w:val="000A012C"/>
    <w:rsid w:val="000A0EB9"/>
    <w:rsid w:val="000A186C"/>
    <w:rsid w:val="000A1EA4"/>
    <w:rsid w:val="000A621B"/>
    <w:rsid w:val="000B3EDB"/>
    <w:rsid w:val="000B543D"/>
    <w:rsid w:val="000B5BF7"/>
    <w:rsid w:val="000B6BC8"/>
    <w:rsid w:val="000C0303"/>
    <w:rsid w:val="000C42EA"/>
    <w:rsid w:val="000C4546"/>
    <w:rsid w:val="000D1242"/>
    <w:rsid w:val="000D5156"/>
    <w:rsid w:val="000D711F"/>
    <w:rsid w:val="000E0970"/>
    <w:rsid w:val="000E3CC7"/>
    <w:rsid w:val="000E6BD4"/>
    <w:rsid w:val="000F1F1E"/>
    <w:rsid w:val="000F2259"/>
    <w:rsid w:val="0010392D"/>
    <w:rsid w:val="0010447F"/>
    <w:rsid w:val="00104FE3"/>
    <w:rsid w:val="00120BD3"/>
    <w:rsid w:val="00120E69"/>
    <w:rsid w:val="00122FEA"/>
    <w:rsid w:val="001232BD"/>
    <w:rsid w:val="00123E62"/>
    <w:rsid w:val="00124ED5"/>
    <w:rsid w:val="001276FA"/>
    <w:rsid w:val="00141A49"/>
    <w:rsid w:val="00142B2E"/>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0DAC"/>
    <w:rsid w:val="001C277E"/>
    <w:rsid w:val="001C2A72"/>
    <w:rsid w:val="001D0B75"/>
    <w:rsid w:val="001D3C09"/>
    <w:rsid w:val="001D44E8"/>
    <w:rsid w:val="001D60EC"/>
    <w:rsid w:val="001E44DF"/>
    <w:rsid w:val="001E4B78"/>
    <w:rsid w:val="001E68A5"/>
    <w:rsid w:val="001E6BB0"/>
    <w:rsid w:val="001F3826"/>
    <w:rsid w:val="001F6E46"/>
    <w:rsid w:val="001F7C91"/>
    <w:rsid w:val="00206463"/>
    <w:rsid w:val="00206F2F"/>
    <w:rsid w:val="00207A9A"/>
    <w:rsid w:val="0021053D"/>
    <w:rsid w:val="002106CA"/>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122D"/>
    <w:rsid w:val="002D1C49"/>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45ED0"/>
    <w:rsid w:val="003468EF"/>
    <w:rsid w:val="00350D38"/>
    <w:rsid w:val="00351B36"/>
    <w:rsid w:val="00357B4E"/>
    <w:rsid w:val="003716FD"/>
    <w:rsid w:val="0037204B"/>
    <w:rsid w:val="00374219"/>
    <w:rsid w:val="003744CF"/>
    <w:rsid w:val="00374717"/>
    <w:rsid w:val="0037676C"/>
    <w:rsid w:val="00377540"/>
    <w:rsid w:val="00381043"/>
    <w:rsid w:val="003829E5"/>
    <w:rsid w:val="00386F56"/>
    <w:rsid w:val="003956CC"/>
    <w:rsid w:val="00395C9A"/>
    <w:rsid w:val="003A6B67"/>
    <w:rsid w:val="003B13B6"/>
    <w:rsid w:val="003B15E6"/>
    <w:rsid w:val="003C02B2"/>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34B7"/>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87415"/>
    <w:rsid w:val="00490746"/>
    <w:rsid w:val="00490852"/>
    <w:rsid w:val="00492F30"/>
    <w:rsid w:val="004945AB"/>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53DC8"/>
    <w:rsid w:val="00572031"/>
    <w:rsid w:val="00572282"/>
    <w:rsid w:val="00574E8B"/>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6A22"/>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0EE3"/>
    <w:rsid w:val="0080587B"/>
    <w:rsid w:val="00806468"/>
    <w:rsid w:val="008155F0"/>
    <w:rsid w:val="00816735"/>
    <w:rsid w:val="00820141"/>
    <w:rsid w:val="00820E0C"/>
    <w:rsid w:val="0082366F"/>
    <w:rsid w:val="008338A2"/>
    <w:rsid w:val="00841AA9"/>
    <w:rsid w:val="00853EE4"/>
    <w:rsid w:val="00855535"/>
    <w:rsid w:val="00855579"/>
    <w:rsid w:val="00857C5A"/>
    <w:rsid w:val="0086255E"/>
    <w:rsid w:val="008633F0"/>
    <w:rsid w:val="00867D9D"/>
    <w:rsid w:val="00872E0A"/>
    <w:rsid w:val="00875285"/>
    <w:rsid w:val="0088382A"/>
    <w:rsid w:val="00884B62"/>
    <w:rsid w:val="0088529C"/>
    <w:rsid w:val="00886FF3"/>
    <w:rsid w:val="00887903"/>
    <w:rsid w:val="0089270A"/>
    <w:rsid w:val="00893AF6"/>
    <w:rsid w:val="00894BC4"/>
    <w:rsid w:val="008A28A8"/>
    <w:rsid w:val="008A5B32"/>
    <w:rsid w:val="008A6E03"/>
    <w:rsid w:val="008B2EE4"/>
    <w:rsid w:val="008B42BA"/>
    <w:rsid w:val="008B4D3D"/>
    <w:rsid w:val="008B57C7"/>
    <w:rsid w:val="008C02F8"/>
    <w:rsid w:val="008C2F92"/>
    <w:rsid w:val="008D2846"/>
    <w:rsid w:val="008D4236"/>
    <w:rsid w:val="008D462F"/>
    <w:rsid w:val="008D6DCF"/>
    <w:rsid w:val="008E4376"/>
    <w:rsid w:val="008E6589"/>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7F46"/>
    <w:rsid w:val="00950E2C"/>
    <w:rsid w:val="00951D50"/>
    <w:rsid w:val="009525EB"/>
    <w:rsid w:val="00954874"/>
    <w:rsid w:val="00961400"/>
    <w:rsid w:val="00963646"/>
    <w:rsid w:val="0096632D"/>
    <w:rsid w:val="0097559F"/>
    <w:rsid w:val="009853E1"/>
    <w:rsid w:val="00986E6B"/>
    <w:rsid w:val="00991769"/>
    <w:rsid w:val="009931FA"/>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0F9"/>
    <w:rsid w:val="00A62D44"/>
    <w:rsid w:val="00A67263"/>
    <w:rsid w:val="00A7161C"/>
    <w:rsid w:val="00A72F0A"/>
    <w:rsid w:val="00A73642"/>
    <w:rsid w:val="00A77AA3"/>
    <w:rsid w:val="00A854EB"/>
    <w:rsid w:val="00A85E94"/>
    <w:rsid w:val="00A872E5"/>
    <w:rsid w:val="00A91406"/>
    <w:rsid w:val="00A96E65"/>
    <w:rsid w:val="00A97C72"/>
    <w:rsid w:val="00AA63D4"/>
    <w:rsid w:val="00AB06E8"/>
    <w:rsid w:val="00AB1CD3"/>
    <w:rsid w:val="00AB352F"/>
    <w:rsid w:val="00AC274B"/>
    <w:rsid w:val="00AC4764"/>
    <w:rsid w:val="00AC529A"/>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6674"/>
    <w:rsid w:val="00B22291"/>
    <w:rsid w:val="00B23F9A"/>
    <w:rsid w:val="00B2417B"/>
    <w:rsid w:val="00B24E6F"/>
    <w:rsid w:val="00B255BB"/>
    <w:rsid w:val="00B26CB5"/>
    <w:rsid w:val="00B2752E"/>
    <w:rsid w:val="00B307CC"/>
    <w:rsid w:val="00B326B7"/>
    <w:rsid w:val="00B4200D"/>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0472"/>
    <w:rsid w:val="00BD2850"/>
    <w:rsid w:val="00BE28D2"/>
    <w:rsid w:val="00BE4A64"/>
    <w:rsid w:val="00BF557D"/>
    <w:rsid w:val="00BF7F58"/>
    <w:rsid w:val="00C01381"/>
    <w:rsid w:val="00C01AB1"/>
    <w:rsid w:val="00C079B8"/>
    <w:rsid w:val="00C10037"/>
    <w:rsid w:val="00C123EA"/>
    <w:rsid w:val="00C12A49"/>
    <w:rsid w:val="00C133EE"/>
    <w:rsid w:val="00C149D0"/>
    <w:rsid w:val="00C26068"/>
    <w:rsid w:val="00C26588"/>
    <w:rsid w:val="00C27DE9"/>
    <w:rsid w:val="00C33388"/>
    <w:rsid w:val="00C35484"/>
    <w:rsid w:val="00C4173A"/>
    <w:rsid w:val="00C602FF"/>
    <w:rsid w:val="00C61174"/>
    <w:rsid w:val="00C6148F"/>
    <w:rsid w:val="00C61D43"/>
    <w:rsid w:val="00C621B1"/>
    <w:rsid w:val="00C62F7A"/>
    <w:rsid w:val="00C63B9C"/>
    <w:rsid w:val="00C65077"/>
    <w:rsid w:val="00C6682F"/>
    <w:rsid w:val="00C7275E"/>
    <w:rsid w:val="00C74C5D"/>
    <w:rsid w:val="00C863C4"/>
    <w:rsid w:val="00C920EA"/>
    <w:rsid w:val="00C93C3E"/>
    <w:rsid w:val="00CA12E3"/>
    <w:rsid w:val="00CA6611"/>
    <w:rsid w:val="00CA6AE6"/>
    <w:rsid w:val="00CA782F"/>
    <w:rsid w:val="00CB3285"/>
    <w:rsid w:val="00CC0C72"/>
    <w:rsid w:val="00CC2BFD"/>
    <w:rsid w:val="00CC3207"/>
    <w:rsid w:val="00CD3476"/>
    <w:rsid w:val="00CD64DF"/>
    <w:rsid w:val="00CF2F50"/>
    <w:rsid w:val="00CF6198"/>
    <w:rsid w:val="00D02919"/>
    <w:rsid w:val="00D04C61"/>
    <w:rsid w:val="00D05B8D"/>
    <w:rsid w:val="00D065A2"/>
    <w:rsid w:val="00D07F00"/>
    <w:rsid w:val="00D13B2A"/>
    <w:rsid w:val="00D17B72"/>
    <w:rsid w:val="00D3185C"/>
    <w:rsid w:val="00D3318E"/>
    <w:rsid w:val="00D33E72"/>
    <w:rsid w:val="00D35BD6"/>
    <w:rsid w:val="00D361B5"/>
    <w:rsid w:val="00D411A2"/>
    <w:rsid w:val="00D4606D"/>
    <w:rsid w:val="00D50B9C"/>
    <w:rsid w:val="00D52D73"/>
    <w:rsid w:val="00D52E58"/>
    <w:rsid w:val="00D56B20"/>
    <w:rsid w:val="00D66AE9"/>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284B"/>
    <w:rsid w:val="00DE3250"/>
    <w:rsid w:val="00DE6028"/>
    <w:rsid w:val="00DE78A3"/>
    <w:rsid w:val="00DF1A71"/>
    <w:rsid w:val="00DF68C7"/>
    <w:rsid w:val="00DF731A"/>
    <w:rsid w:val="00E06DC4"/>
    <w:rsid w:val="00E11332"/>
    <w:rsid w:val="00E11352"/>
    <w:rsid w:val="00E170DC"/>
    <w:rsid w:val="00E26818"/>
    <w:rsid w:val="00E27FFC"/>
    <w:rsid w:val="00E30B15"/>
    <w:rsid w:val="00E40181"/>
    <w:rsid w:val="00E56A01"/>
    <w:rsid w:val="00E629A1"/>
    <w:rsid w:val="00E6363A"/>
    <w:rsid w:val="00E6794C"/>
    <w:rsid w:val="00E71591"/>
    <w:rsid w:val="00E736D1"/>
    <w:rsid w:val="00E80DE3"/>
    <w:rsid w:val="00E82C55"/>
    <w:rsid w:val="00E92AC3"/>
    <w:rsid w:val="00EB00E0"/>
    <w:rsid w:val="00EC059F"/>
    <w:rsid w:val="00EC1F24"/>
    <w:rsid w:val="00EC2231"/>
    <w:rsid w:val="00EC22F6"/>
    <w:rsid w:val="00ED5B9B"/>
    <w:rsid w:val="00ED6BAD"/>
    <w:rsid w:val="00ED7447"/>
    <w:rsid w:val="00EE1488"/>
    <w:rsid w:val="00EE3E24"/>
    <w:rsid w:val="00EE4D5D"/>
    <w:rsid w:val="00EE5131"/>
    <w:rsid w:val="00EE5596"/>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32AB"/>
    <w:rsid w:val="00F64696"/>
    <w:rsid w:val="00F65AA9"/>
    <w:rsid w:val="00F6768F"/>
    <w:rsid w:val="00F71C3D"/>
    <w:rsid w:val="00F72C2C"/>
    <w:rsid w:val="00F76CAB"/>
    <w:rsid w:val="00F772C6"/>
    <w:rsid w:val="00F815B5"/>
    <w:rsid w:val="00F85195"/>
    <w:rsid w:val="00F86B54"/>
    <w:rsid w:val="00F938BA"/>
    <w:rsid w:val="00FA2C46"/>
    <w:rsid w:val="00FA3525"/>
    <w:rsid w:val="00FA5A53"/>
    <w:rsid w:val="00FB4769"/>
    <w:rsid w:val="00FB4CDA"/>
    <w:rsid w:val="00FC0F81"/>
    <w:rsid w:val="00FC395C"/>
    <w:rsid w:val="00FD0B3D"/>
    <w:rsid w:val="00FD3766"/>
    <w:rsid w:val="00FD47C4"/>
    <w:rsid w:val="00FE2DCF"/>
    <w:rsid w:val="00FE3FA7"/>
    <w:rsid w:val="00FF0520"/>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25C2760"/>
  <w15:docId w15:val="{D17CBB91-47F5-4F57-88EF-8F7B60EA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8E7B4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403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B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034B7"/>
    <w:rPr>
      <w:sz w:val="16"/>
      <w:szCs w:val="16"/>
    </w:rPr>
  </w:style>
  <w:style w:type="paragraph" w:styleId="CommentText">
    <w:name w:val="annotation text"/>
    <w:basedOn w:val="Normal"/>
    <w:link w:val="CommentTextChar"/>
    <w:uiPriority w:val="99"/>
    <w:semiHidden/>
    <w:unhideWhenUsed/>
    <w:rsid w:val="004034B7"/>
  </w:style>
  <w:style w:type="character" w:customStyle="1" w:styleId="CommentTextChar">
    <w:name w:val="Comment Text Char"/>
    <w:basedOn w:val="DefaultParagraphFont"/>
    <w:link w:val="CommentText"/>
    <w:uiPriority w:val="99"/>
    <w:semiHidden/>
    <w:rsid w:val="004034B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70C70"/>
    <w:rPr>
      <w:b/>
      <w:bCs/>
    </w:rPr>
  </w:style>
  <w:style w:type="character" w:customStyle="1" w:styleId="CommentSubjectChar">
    <w:name w:val="Comment Subject Char"/>
    <w:basedOn w:val="CommentTextChar"/>
    <w:link w:val="CommentSubject"/>
    <w:uiPriority w:val="99"/>
    <w:semiHidden/>
    <w:rsid w:val="00070C70"/>
    <w:rPr>
      <w:rFonts w:ascii="Cambria" w:hAnsi="Cambria"/>
      <w:b/>
      <w:bCs/>
      <w:lang w:eastAsia="en-US"/>
    </w:rPr>
  </w:style>
  <w:style w:type="character" w:styleId="UnresolvedMention">
    <w:name w:val="Unresolved Mention"/>
    <w:basedOn w:val="DefaultParagraphFont"/>
    <w:uiPriority w:val="99"/>
    <w:unhideWhenUsed/>
    <w:rsid w:val="00CC3207"/>
    <w:rPr>
      <w:color w:val="605E5C"/>
      <w:shd w:val="clear" w:color="auto" w:fill="E1DFDD"/>
    </w:rPr>
  </w:style>
  <w:style w:type="character" w:styleId="Mention">
    <w:name w:val="Mention"/>
    <w:basedOn w:val="DefaultParagraphFont"/>
    <w:uiPriority w:val="99"/>
    <w:unhideWhenUsed/>
    <w:rsid w:val="00CC3207"/>
    <w:rPr>
      <w:color w:val="2B579A"/>
      <w:shd w:val="clear" w:color="auto" w:fill="E1DFDD"/>
    </w:rPr>
  </w:style>
  <w:style w:type="character" w:customStyle="1" w:styleId="normaltextrun1">
    <w:name w:val="normaltextrun1"/>
    <w:basedOn w:val="DefaultParagraphFont"/>
    <w:rsid w:val="00142B2E"/>
  </w:style>
  <w:style w:type="character" w:customStyle="1" w:styleId="eop">
    <w:name w:val="eop"/>
    <w:basedOn w:val="DefaultParagraphFont"/>
    <w:rsid w:val="0014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090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2.health.vic.gov.au/primary-and-community-health/maternal-child-health/child-development-information-system" TargetMode="External"/><Relationship Id="rId2" Type="http://schemas.openxmlformats.org/officeDocument/2006/relationships/customXml" Target="../customXml/item2.xml"/><Relationship Id="rId16" Type="http://schemas.openxmlformats.org/officeDocument/2006/relationships/hyperlink" Target="mailto:mch@dhhs.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3" ma:contentTypeDescription="Create a new document." ma:contentTypeScope="" ma:versionID="b2777ec391c46b245c3719f8a80e99c4">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6131ccd5e00a6a5442401c97326e5dfd"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860F2-0B5B-47AF-9593-9CCDA577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CB3C0-18D3-49D4-AD7F-7A1857D5508E}">
  <ds:schemaRefs>
    <ds:schemaRef ds:uri="http://schemas.microsoft.com/office/2006/metadata/properties"/>
    <ds:schemaRef ds:uri="http://schemas.microsoft.com/office/infopath/2007/PartnerControls"/>
    <ds:schemaRef ds:uri="35a6475d-fdaf-4e44-ad26-67993a5eb8cb"/>
  </ds:schemaRefs>
</ds:datastoreItem>
</file>

<file path=customXml/itemProps3.xml><?xml version="1.0" encoding="utf-8"?>
<ds:datastoreItem xmlns:ds="http://schemas.openxmlformats.org/officeDocument/2006/customXml" ds:itemID="{53686054-BC7C-4426-933F-D2ED16DB4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1037</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7758</CharactersWithSpaces>
  <SharedDoc>false</SharedDoc>
  <HyperlinkBase/>
  <HLinks>
    <vt:vector size="90" baseType="variant">
      <vt:variant>
        <vt:i4>2162802</vt:i4>
      </vt:variant>
      <vt:variant>
        <vt:i4>84</vt:i4>
      </vt:variant>
      <vt:variant>
        <vt:i4>0</vt:i4>
      </vt:variant>
      <vt:variant>
        <vt:i4>5</vt:i4>
      </vt:variant>
      <vt:variant>
        <vt:lpwstr>https://www2.health.vic.gov.au/primary-and-community-health/maternal-child-health/child-development-information-system</vt:lpwstr>
      </vt:variant>
      <vt:variant>
        <vt:lpwstr/>
      </vt:variant>
      <vt:variant>
        <vt:i4>3538967</vt:i4>
      </vt:variant>
      <vt:variant>
        <vt:i4>81</vt:i4>
      </vt:variant>
      <vt:variant>
        <vt:i4>0</vt:i4>
      </vt:variant>
      <vt:variant>
        <vt:i4>5</vt:i4>
      </vt:variant>
      <vt:variant>
        <vt:lpwstr>mailto:mch@dhhs.vic.gov.au</vt:lpwstr>
      </vt:variant>
      <vt:variant>
        <vt:lpwstr/>
      </vt:variant>
      <vt:variant>
        <vt:i4>1245242</vt:i4>
      </vt:variant>
      <vt:variant>
        <vt:i4>74</vt:i4>
      </vt:variant>
      <vt:variant>
        <vt:i4>0</vt:i4>
      </vt:variant>
      <vt:variant>
        <vt:i4>5</vt:i4>
      </vt:variant>
      <vt:variant>
        <vt:lpwstr/>
      </vt:variant>
      <vt:variant>
        <vt:lpwstr>_Toc58238956</vt:lpwstr>
      </vt:variant>
      <vt:variant>
        <vt:i4>1048634</vt:i4>
      </vt:variant>
      <vt:variant>
        <vt:i4>68</vt:i4>
      </vt:variant>
      <vt:variant>
        <vt:i4>0</vt:i4>
      </vt:variant>
      <vt:variant>
        <vt:i4>5</vt:i4>
      </vt:variant>
      <vt:variant>
        <vt:lpwstr/>
      </vt:variant>
      <vt:variant>
        <vt:lpwstr>_Toc58238955</vt:lpwstr>
      </vt:variant>
      <vt:variant>
        <vt:i4>1114170</vt:i4>
      </vt:variant>
      <vt:variant>
        <vt:i4>62</vt:i4>
      </vt:variant>
      <vt:variant>
        <vt:i4>0</vt:i4>
      </vt:variant>
      <vt:variant>
        <vt:i4>5</vt:i4>
      </vt:variant>
      <vt:variant>
        <vt:lpwstr/>
      </vt:variant>
      <vt:variant>
        <vt:lpwstr>_Toc58238954</vt:lpwstr>
      </vt:variant>
      <vt:variant>
        <vt:i4>1441850</vt:i4>
      </vt:variant>
      <vt:variant>
        <vt:i4>56</vt:i4>
      </vt:variant>
      <vt:variant>
        <vt:i4>0</vt:i4>
      </vt:variant>
      <vt:variant>
        <vt:i4>5</vt:i4>
      </vt:variant>
      <vt:variant>
        <vt:lpwstr/>
      </vt:variant>
      <vt:variant>
        <vt:lpwstr>_Toc58238953</vt:lpwstr>
      </vt:variant>
      <vt:variant>
        <vt:i4>1507386</vt:i4>
      </vt:variant>
      <vt:variant>
        <vt:i4>50</vt:i4>
      </vt:variant>
      <vt:variant>
        <vt:i4>0</vt:i4>
      </vt:variant>
      <vt:variant>
        <vt:i4>5</vt:i4>
      </vt:variant>
      <vt:variant>
        <vt:lpwstr/>
      </vt:variant>
      <vt:variant>
        <vt:lpwstr>_Toc58238952</vt:lpwstr>
      </vt:variant>
      <vt:variant>
        <vt:i4>1310778</vt:i4>
      </vt:variant>
      <vt:variant>
        <vt:i4>44</vt:i4>
      </vt:variant>
      <vt:variant>
        <vt:i4>0</vt:i4>
      </vt:variant>
      <vt:variant>
        <vt:i4>5</vt:i4>
      </vt:variant>
      <vt:variant>
        <vt:lpwstr/>
      </vt:variant>
      <vt:variant>
        <vt:lpwstr>_Toc58238951</vt:lpwstr>
      </vt:variant>
      <vt:variant>
        <vt:i4>1376314</vt:i4>
      </vt:variant>
      <vt:variant>
        <vt:i4>38</vt:i4>
      </vt:variant>
      <vt:variant>
        <vt:i4>0</vt:i4>
      </vt:variant>
      <vt:variant>
        <vt:i4>5</vt:i4>
      </vt:variant>
      <vt:variant>
        <vt:lpwstr/>
      </vt:variant>
      <vt:variant>
        <vt:lpwstr>_Toc58238950</vt:lpwstr>
      </vt:variant>
      <vt:variant>
        <vt:i4>1835067</vt:i4>
      </vt:variant>
      <vt:variant>
        <vt:i4>32</vt:i4>
      </vt:variant>
      <vt:variant>
        <vt:i4>0</vt:i4>
      </vt:variant>
      <vt:variant>
        <vt:i4>5</vt:i4>
      </vt:variant>
      <vt:variant>
        <vt:lpwstr/>
      </vt:variant>
      <vt:variant>
        <vt:lpwstr>_Toc58238949</vt:lpwstr>
      </vt:variant>
      <vt:variant>
        <vt:i4>1900603</vt:i4>
      </vt:variant>
      <vt:variant>
        <vt:i4>26</vt:i4>
      </vt:variant>
      <vt:variant>
        <vt:i4>0</vt:i4>
      </vt:variant>
      <vt:variant>
        <vt:i4>5</vt:i4>
      </vt:variant>
      <vt:variant>
        <vt:lpwstr/>
      </vt:variant>
      <vt:variant>
        <vt:lpwstr>_Toc58238948</vt:lpwstr>
      </vt:variant>
      <vt:variant>
        <vt:i4>1179707</vt:i4>
      </vt:variant>
      <vt:variant>
        <vt:i4>20</vt:i4>
      </vt:variant>
      <vt:variant>
        <vt:i4>0</vt:i4>
      </vt:variant>
      <vt:variant>
        <vt:i4>5</vt:i4>
      </vt:variant>
      <vt:variant>
        <vt:lpwstr/>
      </vt:variant>
      <vt:variant>
        <vt:lpwstr>_Toc58238947</vt:lpwstr>
      </vt:variant>
      <vt:variant>
        <vt:i4>1245243</vt:i4>
      </vt:variant>
      <vt:variant>
        <vt:i4>14</vt:i4>
      </vt:variant>
      <vt:variant>
        <vt:i4>0</vt:i4>
      </vt:variant>
      <vt:variant>
        <vt:i4>5</vt:i4>
      </vt:variant>
      <vt:variant>
        <vt:lpwstr/>
      </vt:variant>
      <vt:variant>
        <vt:lpwstr>_Toc58238946</vt:lpwstr>
      </vt:variant>
      <vt:variant>
        <vt:i4>1048635</vt:i4>
      </vt:variant>
      <vt:variant>
        <vt:i4>8</vt:i4>
      </vt:variant>
      <vt:variant>
        <vt:i4>0</vt:i4>
      </vt:variant>
      <vt:variant>
        <vt:i4>5</vt:i4>
      </vt:variant>
      <vt:variant>
        <vt:lpwstr/>
      </vt:variant>
      <vt:variant>
        <vt:lpwstr>_Toc58238945</vt:lpwstr>
      </vt:variant>
      <vt:variant>
        <vt:i4>1114171</vt:i4>
      </vt:variant>
      <vt:variant>
        <vt:i4>2</vt:i4>
      </vt:variant>
      <vt:variant>
        <vt:i4>0</vt:i4>
      </vt:variant>
      <vt:variant>
        <vt:i4>5</vt:i4>
      </vt:variant>
      <vt:variant>
        <vt:lpwstr/>
      </vt:variant>
      <vt:variant>
        <vt:lpwstr>_Toc58238944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Cripps (DHHS)</dc:creator>
  <cp:keywords/>
  <cp:lastModifiedBy>Simone Baxt (DHHS)</cp:lastModifiedBy>
  <cp:revision>29</cp:revision>
  <cp:lastPrinted>2017-07-07T00:32:00Z</cp:lastPrinted>
  <dcterms:created xsi:type="dcterms:W3CDTF">2020-11-29T19:31:00Z</dcterms:created>
  <dcterms:modified xsi:type="dcterms:W3CDTF">2020-12-07T03:50:00Z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2020-11-29T19:35:01Z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1fca8e37-6f9c-4de7-bafb-0f92596d5ead</vt:lpwstr>
  </property>
  <property fmtid="{D5CDD505-2E9C-101B-9397-08002B2CF9AE}" pid="9" name="MSIP_Label_43e64453-338c-4f93-8a4d-0039a0a41f2a_ContentBits">
    <vt:lpwstr>2</vt:lpwstr>
  </property>
  <property fmtid="{D5CDD505-2E9C-101B-9397-08002B2CF9AE}" pid="10" name="ContentTypeId">
    <vt:lpwstr>0x0101002F209C19F1B35A4D851C7AB95CE09F78</vt:lpwstr>
  </property>
</Properties>
</file>