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1B2576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5602C1" w:rsidP="00A91406">
            <w:pPr>
              <w:pStyle w:val="DHHSmainheading"/>
            </w:pPr>
            <w:r>
              <w:lastRenderedPageBreak/>
              <w:t>Rapid Review</w:t>
            </w:r>
            <w:r w:rsidR="001B2576">
              <w:t xml:space="preserve"> (service reform</w:t>
            </w:r>
            <w:r w:rsidR="004323F9">
              <w:t xml:space="preserve"> and design</w:t>
            </w:r>
            <w:r w:rsidR="001B2576">
              <w:t>)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200D28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Designing for Diversity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5602C1" w:rsidRPr="005602C1" w:rsidRDefault="005602C1" w:rsidP="005602C1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bookmarkStart w:id="1" w:name="_Toc440566509"/>
      <w:bookmarkEnd w:id="0"/>
      <w:r w:rsidRPr="005602C1">
        <w:rPr>
          <w:rFonts w:eastAsia="MS Gothic" w:cs="Arial"/>
          <w:bCs/>
          <w:color w:val="D50032"/>
          <w:kern w:val="32"/>
          <w:sz w:val="36"/>
          <w:szCs w:val="40"/>
        </w:rPr>
        <w:lastRenderedPageBreak/>
        <w:t>Introduction</w:t>
      </w:r>
    </w:p>
    <w:p w:rsidR="005602C1" w:rsidRDefault="005602C1" w:rsidP="005602C1">
      <w:pPr>
        <w:pStyle w:val="DHHSbody"/>
      </w:pPr>
      <w:r>
        <w:t xml:space="preserve">The Rapid Review tool is part of the </w:t>
      </w:r>
      <w:r w:rsidRPr="00E64C0E">
        <w:t>Designing for Diversity</w:t>
      </w:r>
      <w:r>
        <w:t xml:space="preserve"> suite of resources. Its application should be underpinned by </w:t>
      </w:r>
      <w:r>
        <w:tab/>
        <w:t>considera</w:t>
      </w:r>
      <w:r w:rsidR="00C801B6">
        <w:t xml:space="preserve">tion of the core principles of </w:t>
      </w:r>
      <w:r>
        <w:t>access and equity, inclusiveness, responsiveness, and empowerment and self-determination. The questions in the tool align closely with the aspects of</w:t>
      </w:r>
      <w:r w:rsidR="001B2576">
        <w:t xml:space="preserve"> service</w:t>
      </w:r>
      <w:r>
        <w:t xml:space="preserve"> reform</w:t>
      </w:r>
      <w:r w:rsidR="001B2576">
        <w:t xml:space="preserve"> </w:t>
      </w:r>
      <w:r w:rsidR="004323F9">
        <w:t xml:space="preserve">and design </w:t>
      </w:r>
      <w:r w:rsidR="001B2576">
        <w:t xml:space="preserve">as </w:t>
      </w:r>
      <w:r>
        <w:t>outlined in the K</w:t>
      </w:r>
      <w:r w:rsidRPr="00E64C0E">
        <w:t xml:space="preserve">ey </w:t>
      </w:r>
      <w:r>
        <w:t>E</w:t>
      </w:r>
      <w:r w:rsidRPr="00E64C0E">
        <w:t>lements document,</w:t>
      </w:r>
      <w:r>
        <w:t xml:space="preserve"> which also provides examples that clearly illustrate ways in which diversity can and should be considered in planning processes.</w:t>
      </w:r>
    </w:p>
    <w:p w:rsidR="005602C1" w:rsidRPr="005602C1" w:rsidRDefault="005602C1" w:rsidP="005602C1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 w:rsidRPr="005602C1">
        <w:rPr>
          <w:rFonts w:eastAsia="MS Gothic" w:cs="Arial"/>
          <w:bCs/>
          <w:color w:val="D50032"/>
          <w:kern w:val="32"/>
          <w:sz w:val="36"/>
          <w:szCs w:val="40"/>
        </w:rPr>
        <w:t>Application of the tool</w:t>
      </w:r>
    </w:p>
    <w:p w:rsidR="005602C1" w:rsidRDefault="005602C1" w:rsidP="005602C1">
      <w:pPr>
        <w:pStyle w:val="DHHSbody"/>
      </w:pPr>
      <w:r>
        <w:t>This tool is designed to guide an assessment of how a new or existing policy or service design considers issues relating to diversity. It can be:</w:t>
      </w:r>
    </w:p>
    <w:p w:rsidR="005602C1" w:rsidRDefault="005602C1" w:rsidP="005602C1">
      <w:pPr>
        <w:pStyle w:val="DHHSbullet1"/>
        <w:numPr>
          <w:ilvl w:val="0"/>
          <w:numId w:val="1"/>
        </w:numPr>
        <w:ind w:left="568"/>
      </w:pPr>
      <w:r>
        <w:t>applied at a whole of initiative level or in relation to a particular component</w:t>
      </w:r>
    </w:p>
    <w:p w:rsidR="005602C1" w:rsidRDefault="005602C1" w:rsidP="005602C1">
      <w:pPr>
        <w:pStyle w:val="DHHSbullet1"/>
        <w:numPr>
          <w:ilvl w:val="0"/>
          <w:numId w:val="1"/>
        </w:numPr>
        <w:ind w:left="568"/>
      </w:pPr>
      <w:r>
        <w:t>applied</w:t>
      </w:r>
      <w:r w:rsidRPr="00B31D1C">
        <w:t xml:space="preserve"> in a planning or review context</w:t>
      </w:r>
    </w:p>
    <w:p w:rsidR="005602C1" w:rsidRDefault="005602C1" w:rsidP="005602C1">
      <w:pPr>
        <w:pStyle w:val="DHHSbullet1lastline"/>
        <w:numPr>
          <w:ilvl w:val="1"/>
          <w:numId w:val="1"/>
        </w:numPr>
        <w:ind w:left="568"/>
      </w:pPr>
      <w:r>
        <w:t>applied at a number of stages of the overall initiative</w:t>
      </w:r>
    </w:p>
    <w:p w:rsidR="005602C1" w:rsidRDefault="005602C1" w:rsidP="005602C1">
      <w:pPr>
        <w:pStyle w:val="DHHSbullet1"/>
        <w:numPr>
          <w:ilvl w:val="0"/>
          <w:numId w:val="1"/>
        </w:numPr>
        <w:ind w:left="568"/>
      </w:pPr>
      <w:r>
        <w:t>amenable to either a desktop analysis</w:t>
      </w:r>
      <w:r w:rsidR="00194F31">
        <w:t xml:space="preserve"> or facilitated discussion (</w:t>
      </w:r>
      <w:proofErr w:type="spellStart"/>
      <w:r w:rsidR="00194F31">
        <w:t>e.g</w:t>
      </w:r>
      <w:proofErr w:type="spellEnd"/>
      <w:r>
        <w:t>, in a steering committee or reference group)</w:t>
      </w:r>
    </w:p>
    <w:p w:rsidR="005602C1" w:rsidRPr="00A76037" w:rsidRDefault="005602C1" w:rsidP="005602C1">
      <w:pPr>
        <w:pStyle w:val="DHHSbullet1"/>
        <w:numPr>
          <w:ilvl w:val="0"/>
          <w:numId w:val="1"/>
        </w:numPr>
        <w:ind w:left="568"/>
      </w:pPr>
      <w:r>
        <w:t>c</w:t>
      </w:r>
      <w:r w:rsidRPr="00A76037">
        <w:t xml:space="preserve">ompleted by project leaders on their own, or with the assistance of </w:t>
      </w:r>
      <w:r>
        <w:t xml:space="preserve">the department’s </w:t>
      </w:r>
      <w:r w:rsidRPr="00A76037">
        <w:t>Diversity team to guide the process</w:t>
      </w:r>
      <w:r>
        <w:t>.</w:t>
      </w:r>
    </w:p>
    <w:p w:rsidR="005602C1" w:rsidRDefault="005602C1" w:rsidP="005602C1">
      <w:pPr>
        <w:pStyle w:val="DHHSbullet1"/>
        <w:numPr>
          <w:ilvl w:val="0"/>
          <w:numId w:val="0"/>
        </w:numPr>
        <w:ind w:left="568"/>
      </w:pPr>
    </w:p>
    <w:p w:rsidR="005602C1" w:rsidRPr="003E52E6" w:rsidRDefault="005602C1" w:rsidP="005602C1">
      <w:pPr>
        <w:pStyle w:val="DHHSbody"/>
        <w:rPr>
          <w:b/>
        </w:rPr>
      </w:pPr>
      <w:r w:rsidRPr="003E52E6">
        <w:rPr>
          <w:b/>
        </w:rPr>
        <w:t xml:space="preserve">Note that </w:t>
      </w:r>
      <w:r>
        <w:rPr>
          <w:b/>
        </w:rPr>
        <w:t>the tool</w:t>
      </w:r>
      <w:r w:rsidRPr="003E52E6">
        <w:rPr>
          <w:b/>
        </w:rPr>
        <w:t xml:space="preserve"> is not designed to assess outcomes or to address the needs or concerns of diverse population/client groups. The aim is to capture how and where the design </w:t>
      </w:r>
      <w:r>
        <w:rPr>
          <w:b/>
        </w:rPr>
        <w:t xml:space="preserve">and implementation </w:t>
      </w:r>
      <w:r w:rsidRPr="003E52E6">
        <w:rPr>
          <w:b/>
        </w:rPr>
        <w:t>process has considered diversity issues.</w:t>
      </w:r>
    </w:p>
    <w:p w:rsidR="005602C1" w:rsidRPr="005602C1" w:rsidRDefault="005602C1" w:rsidP="005602C1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 w:rsidRPr="005602C1">
        <w:rPr>
          <w:rFonts w:eastAsia="MS Gothic" w:cs="Arial"/>
          <w:bCs/>
          <w:color w:val="D50032"/>
          <w:kern w:val="32"/>
          <w:sz w:val="36"/>
          <w:szCs w:val="40"/>
        </w:rPr>
        <w:t>Answering the questions</w:t>
      </w:r>
    </w:p>
    <w:p w:rsidR="005602C1" w:rsidRPr="005F2279" w:rsidRDefault="005602C1" w:rsidP="005602C1">
      <w:pPr>
        <w:pStyle w:val="DHHSbody"/>
        <w:rPr>
          <w:color w:val="000000" w:themeColor="text1"/>
        </w:rPr>
      </w:pPr>
      <w:r w:rsidRPr="00F07237">
        <w:t xml:space="preserve">For each </w:t>
      </w:r>
      <w:r>
        <w:t xml:space="preserve">of the following </w:t>
      </w:r>
      <w:r w:rsidRPr="00F07237">
        <w:t>question</w:t>
      </w:r>
      <w:r>
        <w:t>s</w:t>
      </w:r>
      <w:r w:rsidR="00194F31">
        <w:t>, please select from:</w:t>
      </w:r>
      <w:r w:rsidRPr="00F07237">
        <w:t xml:space="preserve"> </w:t>
      </w:r>
      <w:r>
        <w:t>‘n</w:t>
      </w:r>
      <w:r w:rsidRPr="00F07237">
        <w:t>ot at all</w:t>
      </w:r>
      <w:r>
        <w:t>’</w:t>
      </w:r>
      <w:r w:rsidRPr="00F07237">
        <w:t xml:space="preserve">, </w:t>
      </w:r>
      <w:r>
        <w:t>‘p</w:t>
      </w:r>
      <w:r w:rsidRPr="00F07237">
        <w:t>artially</w:t>
      </w:r>
      <w:r>
        <w:t>’</w:t>
      </w:r>
      <w:r w:rsidRPr="00F07237">
        <w:t xml:space="preserve">, or </w:t>
      </w:r>
      <w:r>
        <w:t>‘c</w:t>
      </w:r>
      <w:r w:rsidRPr="00F07237">
        <w:t>omprehensively</w:t>
      </w:r>
      <w:r>
        <w:t>’</w:t>
      </w:r>
      <w:r w:rsidRPr="00F07237">
        <w:t xml:space="preserve"> before explaining how</w:t>
      </w:r>
      <w:r w:rsidR="00A8260B">
        <w:t xml:space="preserve"> diversity has been considered. </w:t>
      </w:r>
      <w:r w:rsidRPr="00F07237">
        <w:t xml:space="preserve">Each </w:t>
      </w:r>
      <w:r>
        <w:t>question</w:t>
      </w:r>
      <w:r w:rsidRPr="00F07237">
        <w:t xml:space="preserve"> should be considered in relation to </w:t>
      </w:r>
      <w:r>
        <w:t>achieving equity between (and within) the multiple and diverse communitie</w:t>
      </w:r>
      <w:r w:rsidR="00A8260B">
        <w:t xml:space="preserve">s in the Victorian population. </w:t>
      </w:r>
      <w:r w:rsidR="00A8260B" w:rsidRPr="005F2279">
        <w:rPr>
          <w:color w:val="000000" w:themeColor="text1"/>
        </w:rPr>
        <w:t>Questions also</w:t>
      </w:r>
      <w:r w:rsidRPr="005F2279">
        <w:rPr>
          <w:color w:val="000000" w:themeColor="text1"/>
        </w:rPr>
        <w:t xml:space="preserve"> seek to elicit how particular population group</w:t>
      </w:r>
      <w:r w:rsidR="00A8260B" w:rsidRPr="005F2279">
        <w:rPr>
          <w:color w:val="000000" w:themeColor="text1"/>
        </w:rPr>
        <w:t xml:space="preserve">s </w:t>
      </w:r>
      <w:r w:rsidRPr="005F2279">
        <w:rPr>
          <w:color w:val="000000" w:themeColor="text1"/>
        </w:rPr>
        <w:t>have been considered</w:t>
      </w:r>
      <w:r w:rsidR="00A8260B" w:rsidRPr="005F2279">
        <w:rPr>
          <w:color w:val="000000" w:themeColor="text1"/>
        </w:rPr>
        <w:t xml:space="preserve"> – for example, Aboriginal people, people from culturally and linguistically diverse communities, refugees and asylum-seekers, people from LGBTI communities, people with a disability, w</w:t>
      </w:r>
      <w:r w:rsidR="00C60164" w:rsidRPr="005F2279">
        <w:rPr>
          <w:color w:val="000000" w:themeColor="text1"/>
        </w:rPr>
        <w:t xml:space="preserve">omen, older and younger cohorts, </w:t>
      </w:r>
      <w:r w:rsidR="00A8260B" w:rsidRPr="005F2279">
        <w:rPr>
          <w:color w:val="000000" w:themeColor="text1"/>
        </w:rPr>
        <w:t>and people living in regional areas</w:t>
      </w:r>
      <w:r w:rsidR="00C60164" w:rsidRPr="005F2279">
        <w:rPr>
          <w:color w:val="000000" w:themeColor="text1"/>
        </w:rPr>
        <w:t xml:space="preserve"> and areas of disadvantage</w:t>
      </w:r>
      <w:r w:rsidR="00A8260B" w:rsidRPr="005F2279">
        <w:rPr>
          <w:color w:val="000000" w:themeColor="text1"/>
        </w:rPr>
        <w:t>.</w:t>
      </w:r>
    </w:p>
    <w:p w:rsidR="005602C1" w:rsidRDefault="005602C1" w:rsidP="005602C1">
      <w:pPr>
        <w:pStyle w:val="DHHSbody"/>
      </w:pPr>
      <w:r w:rsidRPr="00F07237">
        <w:t>It is recommended that relevant documentation relating to how each item has been addressed be noted to allow for further development.</w:t>
      </w:r>
    </w:p>
    <w:p w:rsidR="005602C1" w:rsidRPr="004D2AE8" w:rsidRDefault="005602C1" w:rsidP="005602C1">
      <w:pPr>
        <w:pStyle w:val="Heading1"/>
        <w:rPr>
          <w:sz w:val="28"/>
          <w:szCs w:val="28"/>
        </w:rPr>
      </w:pPr>
      <w:r>
        <w:br w:type="page"/>
      </w:r>
      <w:r w:rsidRPr="005602C1">
        <w:lastRenderedPageBreak/>
        <w:t>Population/client needs analysis</w:t>
      </w:r>
      <w:r>
        <w:br/>
      </w:r>
      <w:r w:rsidRPr="000D6E3E">
        <w:rPr>
          <w:b/>
          <w:sz w:val="28"/>
          <w:szCs w:val="28"/>
        </w:rPr>
        <w:t>Question 1: to what extent has demographic data for diverse groups been incorporated into the policy or service design process?</w:t>
      </w:r>
      <w:r>
        <w:rPr>
          <w:rFonts w:eastAsia="Times New Roman"/>
          <w:sz w:val="28"/>
          <w:szCs w:val="28"/>
        </w:rPr>
        <w:br/>
      </w:r>
      <w:r w:rsidRPr="004D2AE8">
        <w:rPr>
          <w:rFonts w:eastAsia="Times" w:cs="Times New Roman"/>
          <w:bCs w:val="0"/>
          <w:color w:val="auto"/>
          <w:kern w:val="0"/>
          <w:sz w:val="20"/>
          <w:szCs w:val="20"/>
        </w:rPr>
        <w:t>Mark with an ‘</w:t>
      </w:r>
      <w:r w:rsidRPr="004D2AE8">
        <w:rPr>
          <w:rFonts w:eastAsia="Times" w:cs="Times New Roman"/>
          <w:bCs w:val="0"/>
          <w:color w:val="auto"/>
          <w:kern w:val="0"/>
          <w:sz w:val="20"/>
          <w:szCs w:val="20"/>
        </w:rPr>
        <w:sym w:font="Wingdings" w:char="F0FC"/>
      </w:r>
      <w:r w:rsidRPr="004D2AE8">
        <w:rPr>
          <w:rFonts w:eastAsia="Times" w:cs="Times New Roman"/>
          <w:bCs w:val="0"/>
          <w:color w:val="auto"/>
          <w:kern w:val="0"/>
          <w:sz w:val="20"/>
          <w:szCs w:val="20"/>
        </w:rP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1E4958" w:rsidRDefault="005602C1" w:rsidP="001E4958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 w:rsidR="000D6E3E" w:rsidRPr="007F4833">
        <w:rPr>
          <w:b w:val="0"/>
          <w:color w:val="000000"/>
          <w:sz w:val="24"/>
          <w:szCs w:val="24"/>
        </w:rPr>
        <w:t xml:space="preserve"> </w:t>
      </w:r>
      <w:r w:rsidR="000D6E3E">
        <w:rPr>
          <w:rFonts w:eastAsia="Times"/>
          <w:b w:val="0"/>
          <w:color w:val="auto"/>
          <w:szCs w:val="20"/>
        </w:rPr>
        <w:br/>
      </w:r>
      <w:r w:rsidR="001E4958"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1E4958" w:rsidRDefault="001E4958" w:rsidP="001E4958">
      <w:pPr>
        <w:pStyle w:val="DHHSbody"/>
        <w:numPr>
          <w:ilvl w:val="0"/>
          <w:numId w:val="11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1E4958" w:rsidRDefault="001E4958" w:rsidP="001E4958">
      <w:pPr>
        <w:pStyle w:val="DHHSbody"/>
      </w:pPr>
    </w:p>
    <w:p w:rsidR="001E4958" w:rsidRPr="005F2279" w:rsidRDefault="001E4958" w:rsidP="001E4958">
      <w:pPr>
        <w:pStyle w:val="DHHSbody"/>
        <w:numPr>
          <w:ilvl w:val="0"/>
          <w:numId w:val="11"/>
        </w:numPr>
        <w:rPr>
          <w:color w:val="0D0D0D" w:themeColor="text1" w:themeTint="F2"/>
        </w:rPr>
      </w:pPr>
      <w:r w:rsidRPr="005F2279">
        <w:rPr>
          <w:color w:val="0D0D0D" w:themeColor="text1" w:themeTint="F2"/>
        </w:rPr>
        <w:t xml:space="preserve">Specific </w:t>
      </w:r>
      <w:r w:rsidR="00FF3DEE" w:rsidRPr="005F2279">
        <w:rPr>
          <w:color w:val="0D0D0D" w:themeColor="text1" w:themeTint="F2"/>
        </w:rPr>
        <w:t>population groups</w:t>
      </w:r>
      <w:r w:rsidRPr="005F2279">
        <w:rPr>
          <w:color w:val="0D0D0D" w:themeColor="text1" w:themeTint="F2"/>
        </w:rPr>
        <w:t>, including Aboriginal people, people from culturally and linguistically diverse co</w:t>
      </w:r>
      <w:r w:rsidR="00FF3DEE" w:rsidRPr="005F2279">
        <w:rPr>
          <w:color w:val="0D0D0D" w:themeColor="text1" w:themeTint="F2"/>
        </w:rPr>
        <w:t>mmunities, refugees and asylum-</w:t>
      </w:r>
      <w:r w:rsidRPr="005F2279">
        <w:rPr>
          <w:color w:val="0D0D0D" w:themeColor="text1" w:themeTint="F2"/>
        </w:rPr>
        <w:t>seekers, people from</w:t>
      </w:r>
      <w:r w:rsidR="00FF3DEE" w:rsidRPr="005F2279">
        <w:rPr>
          <w:color w:val="0D0D0D" w:themeColor="text1" w:themeTint="F2"/>
        </w:rPr>
        <w:t xml:space="preserve"> LGBTI communities, </w:t>
      </w:r>
      <w:r w:rsidRPr="005F2279">
        <w:rPr>
          <w:color w:val="0D0D0D" w:themeColor="text1" w:themeTint="F2"/>
        </w:rPr>
        <w:t>people with a disability</w:t>
      </w:r>
      <w:r w:rsidR="00DF6C9E" w:rsidRPr="005F2279">
        <w:rPr>
          <w:color w:val="0D0D0D" w:themeColor="text1" w:themeTint="F2"/>
        </w:rPr>
        <w:t xml:space="preserve">, </w:t>
      </w:r>
      <w:r w:rsidR="00FF3DEE" w:rsidRPr="005F2279">
        <w:rPr>
          <w:color w:val="0D0D0D" w:themeColor="text1" w:themeTint="F2"/>
        </w:rPr>
        <w:t>women, older and younger cohorts</w:t>
      </w:r>
      <w:r w:rsidR="00C9086A" w:rsidRPr="005F2279">
        <w:rPr>
          <w:color w:val="0D0D0D" w:themeColor="text1" w:themeTint="F2"/>
        </w:rPr>
        <w:t>,</w:t>
      </w:r>
      <w:r w:rsidR="00FF3DEE" w:rsidRPr="005F2279">
        <w:rPr>
          <w:color w:val="0D0D0D" w:themeColor="text1" w:themeTint="F2"/>
        </w:rPr>
        <w:t xml:space="preserve"> people living in regional areas</w:t>
      </w:r>
      <w:r w:rsidR="00C60164" w:rsidRPr="005F2279">
        <w:rPr>
          <w:color w:val="0D0D0D" w:themeColor="text1" w:themeTint="F2"/>
        </w:rPr>
        <w:t xml:space="preserve">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5602C1" w:rsidRPr="007F4833" w:rsidRDefault="005602C1" w:rsidP="001E4958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to improve the use of data and evidence in the design and planning process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5244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Default="005602C1" w:rsidP="005602C1">
      <w:pPr>
        <w:pStyle w:val="Heading2"/>
        <w:rPr>
          <w:rFonts w:eastAsia="Times"/>
          <w:szCs w:val="20"/>
        </w:rPr>
      </w:pPr>
      <w:r>
        <w:rPr>
          <w:rFonts w:eastAsia="Times"/>
          <w:szCs w:val="20"/>
        </w:rPr>
        <w:br w:type="page"/>
      </w:r>
    </w:p>
    <w:p w:rsidR="005602C1" w:rsidRPr="00074363" w:rsidRDefault="005602C1" w:rsidP="005602C1">
      <w:pPr>
        <w:pStyle w:val="Heading1"/>
        <w:rPr>
          <w:rFonts w:eastAsia="Times New Roman"/>
          <w:sz w:val="28"/>
          <w:szCs w:val="28"/>
        </w:rPr>
      </w:pPr>
      <w:r w:rsidRPr="001F022F">
        <w:lastRenderedPageBreak/>
        <w:t>Population/client needs analysis</w:t>
      </w:r>
      <w:r>
        <w:t xml:space="preserve"> (continued)</w:t>
      </w:r>
      <w:r>
        <w:rPr>
          <w:sz w:val="28"/>
          <w:szCs w:val="28"/>
        </w:rPr>
        <w:br/>
      </w:r>
      <w:r w:rsidR="00DB4D6E">
        <w:rPr>
          <w:b/>
          <w:sz w:val="28"/>
          <w:szCs w:val="28"/>
        </w:rPr>
        <w:t xml:space="preserve">Question 2: to </w:t>
      </w:r>
      <w:r w:rsidRPr="00C07B2F">
        <w:rPr>
          <w:b/>
          <w:sz w:val="28"/>
          <w:szCs w:val="28"/>
        </w:rPr>
        <w:t xml:space="preserve">what extent </w:t>
      </w:r>
      <w:r w:rsidR="00DB4D6E">
        <w:rPr>
          <w:b/>
          <w:sz w:val="28"/>
          <w:szCs w:val="28"/>
        </w:rPr>
        <w:t>have</w:t>
      </w:r>
      <w:r w:rsidRPr="00C07B2F">
        <w:rPr>
          <w:b/>
          <w:sz w:val="28"/>
          <w:szCs w:val="28"/>
        </w:rPr>
        <w:t xml:space="preserve"> </w:t>
      </w:r>
      <w:r w:rsidR="00DB4D6E">
        <w:rPr>
          <w:b/>
          <w:sz w:val="28"/>
          <w:szCs w:val="28"/>
        </w:rPr>
        <w:t>any</w:t>
      </w:r>
      <w:r w:rsidR="00DB4D6E" w:rsidRPr="00DB4D6E">
        <w:rPr>
          <w:b/>
          <w:sz w:val="28"/>
          <w:szCs w:val="28"/>
        </w:rPr>
        <w:t xml:space="preserve"> inclusion or access barriers for diverse </w:t>
      </w:r>
      <w:r w:rsidR="00DB4D6E">
        <w:rPr>
          <w:b/>
          <w:sz w:val="28"/>
          <w:szCs w:val="28"/>
        </w:rPr>
        <w:t>communities</w:t>
      </w:r>
      <w:r w:rsidR="00DB4D6E" w:rsidRPr="00DB4D6E">
        <w:rPr>
          <w:b/>
          <w:sz w:val="28"/>
          <w:szCs w:val="28"/>
        </w:rPr>
        <w:t xml:space="preserve"> been considered and addressed in the policy or service design</w:t>
      </w:r>
      <w:r w:rsidRPr="00C07B2F">
        <w:rPr>
          <w:b/>
          <w:sz w:val="28"/>
          <w:szCs w:val="28"/>
        </w:rPr>
        <w:t>?</w:t>
      </w:r>
    </w:p>
    <w:p w:rsidR="005602C1" w:rsidRDefault="005602C1" w:rsidP="005602C1">
      <w:pPr>
        <w:pStyle w:val="DHHStabletext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Default="005602C1" w:rsidP="005602C1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1E4958" w:rsidRDefault="005602C1" w:rsidP="00F9674E">
      <w:pPr>
        <w:pStyle w:val="DHHSbody"/>
        <w:numPr>
          <w:ilvl w:val="0"/>
          <w:numId w:val="25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1E4958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5602C1" w:rsidRDefault="005602C1" w:rsidP="001E4958">
      <w:pPr>
        <w:pStyle w:val="DHHSbody"/>
      </w:pPr>
    </w:p>
    <w:p w:rsidR="00FF3DEE" w:rsidRPr="005F2279" w:rsidRDefault="00C60164" w:rsidP="00C60164">
      <w:pPr>
        <w:pStyle w:val="DHHSbody"/>
        <w:numPr>
          <w:ilvl w:val="0"/>
          <w:numId w:val="25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</w:t>
      </w:r>
      <w:r w:rsidR="00F615E0">
        <w:rPr>
          <w:color w:val="000000" w:themeColor="text1"/>
        </w:rPr>
        <w:t xml:space="preserve">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1E4958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Pr="007F4833" w:rsidRDefault="005602C1" w:rsidP="005602C1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 xml:space="preserve">Future actions to </w:t>
      </w:r>
      <w:r w:rsidR="00194F31">
        <w:rPr>
          <w:color w:val="000000"/>
          <w:sz w:val="24"/>
          <w:szCs w:val="24"/>
        </w:rPr>
        <w:t xml:space="preserve">address inclusion or access barriers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Pr="00074363" w:rsidRDefault="005602C1" w:rsidP="005602C1">
      <w:pPr>
        <w:pStyle w:val="DHHSbody"/>
      </w:pPr>
    </w:p>
    <w:p w:rsidR="001E4958" w:rsidRDefault="001E4958">
      <w:pPr>
        <w:rPr>
          <w:rFonts w:ascii="Arial" w:eastAsia="Times" w:hAnsi="Arial"/>
        </w:rPr>
      </w:pPr>
      <w:r>
        <w:br w:type="page"/>
      </w:r>
    </w:p>
    <w:p w:rsidR="005602C1" w:rsidRPr="004D2AE8" w:rsidRDefault="005602C1" w:rsidP="005602C1">
      <w:pPr>
        <w:pStyle w:val="Heading1"/>
      </w:pPr>
      <w:r w:rsidRPr="001F022F">
        <w:lastRenderedPageBreak/>
        <w:t>Population/client needs analysis</w:t>
      </w:r>
      <w:r>
        <w:t xml:space="preserve"> (continued)</w:t>
      </w:r>
      <w:r>
        <w:rPr>
          <w:sz w:val="28"/>
          <w:szCs w:val="28"/>
        </w:rPr>
        <w:br/>
      </w:r>
      <w:r w:rsidRPr="00C07B2F">
        <w:rPr>
          <w:b/>
          <w:sz w:val="28"/>
          <w:szCs w:val="28"/>
        </w:rPr>
        <w:t xml:space="preserve">Question 3: to what extent </w:t>
      </w:r>
      <w:r w:rsidR="00DB4D6E">
        <w:rPr>
          <w:b/>
          <w:sz w:val="28"/>
          <w:szCs w:val="28"/>
        </w:rPr>
        <w:t>have</w:t>
      </w:r>
      <w:r w:rsidRPr="00C07B2F">
        <w:rPr>
          <w:b/>
          <w:sz w:val="28"/>
          <w:szCs w:val="28"/>
        </w:rPr>
        <w:t xml:space="preserve"> the health and wellbeing impacts of the policy or service design been considered for diverse communities?</w:t>
      </w:r>
    </w:p>
    <w:p w:rsidR="005602C1" w:rsidRDefault="005602C1" w:rsidP="005602C1">
      <w:pPr>
        <w:pStyle w:val="DHHStabletext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Default="005602C1" w:rsidP="005602C1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Pr="00C07B2F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1E4958" w:rsidRDefault="001E4958" w:rsidP="001E4958">
      <w:pPr>
        <w:pStyle w:val="Heading2"/>
      </w:pPr>
      <w:r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1E4958" w:rsidRDefault="001E4958" w:rsidP="001E4958">
      <w:pPr>
        <w:pStyle w:val="DHHSbody"/>
        <w:numPr>
          <w:ilvl w:val="0"/>
          <w:numId w:val="19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1E4958" w:rsidRDefault="001E4958" w:rsidP="001E4958">
      <w:pPr>
        <w:pStyle w:val="DHHSbody"/>
      </w:pPr>
    </w:p>
    <w:p w:rsidR="00C9086A" w:rsidRPr="005F2279" w:rsidRDefault="00C60164" w:rsidP="00C60164">
      <w:pPr>
        <w:pStyle w:val="DHHSbody"/>
        <w:numPr>
          <w:ilvl w:val="0"/>
          <w:numId w:val="19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5602C1" w:rsidRPr="007F4833" w:rsidRDefault="005602C1" w:rsidP="005602C1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to improve identification of health and wellbeing needs of diverse communities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Pr="00074363" w:rsidRDefault="005602C1" w:rsidP="005602C1">
      <w:pPr>
        <w:pStyle w:val="DHHSbody"/>
      </w:pPr>
    </w:p>
    <w:p w:rsidR="001E4958" w:rsidRDefault="001E4958">
      <w:pPr>
        <w:rPr>
          <w:rFonts w:ascii="Arial" w:eastAsia="Times" w:hAnsi="Arial"/>
        </w:rPr>
      </w:pPr>
      <w:r>
        <w:br w:type="page"/>
      </w:r>
    </w:p>
    <w:p w:rsidR="005602C1" w:rsidRPr="00074363" w:rsidRDefault="005602C1" w:rsidP="005602C1">
      <w:pPr>
        <w:pStyle w:val="DHHSbody"/>
      </w:pPr>
    </w:p>
    <w:p w:rsidR="005602C1" w:rsidRPr="00C07B2F" w:rsidRDefault="005602C1" w:rsidP="005602C1">
      <w:pPr>
        <w:pStyle w:val="Heading2"/>
        <w:rPr>
          <w:rFonts w:eastAsia="MS Gothic" w:cs="Arial"/>
          <w:b w:val="0"/>
          <w:bCs/>
          <w:kern w:val="32"/>
          <w:sz w:val="36"/>
          <w:szCs w:val="40"/>
        </w:rPr>
      </w:pPr>
      <w:r w:rsidRPr="00C07B2F">
        <w:rPr>
          <w:rFonts w:eastAsia="MS Gothic" w:cs="Arial"/>
          <w:b w:val="0"/>
          <w:bCs/>
          <w:kern w:val="32"/>
          <w:sz w:val="36"/>
          <w:szCs w:val="40"/>
        </w:rPr>
        <w:t xml:space="preserve">Governance and stakeholder engagement </w:t>
      </w:r>
    </w:p>
    <w:p w:rsidR="005602C1" w:rsidRPr="00C07B2F" w:rsidRDefault="005602C1" w:rsidP="005602C1">
      <w:pPr>
        <w:pStyle w:val="Heading2"/>
        <w:rPr>
          <w:rFonts w:eastAsia="MS Gothic" w:cs="Arial"/>
          <w:bCs/>
          <w:kern w:val="32"/>
        </w:rPr>
      </w:pPr>
      <w:r w:rsidRPr="00C07B2F">
        <w:rPr>
          <w:rFonts w:eastAsia="MS Gothic" w:cs="Arial"/>
          <w:bCs/>
          <w:kern w:val="32"/>
        </w:rPr>
        <w:t>Question 4: to what extent have diverse communities been involved in consultation or co-design processes</w:t>
      </w:r>
      <w:r w:rsidR="00C801B6">
        <w:rPr>
          <w:rFonts w:eastAsia="MS Gothic" w:cs="Arial"/>
          <w:bCs/>
          <w:kern w:val="32"/>
        </w:rPr>
        <w:t xml:space="preserve"> in the development of the policy or service design</w:t>
      </w:r>
      <w:r w:rsidRPr="00C07B2F">
        <w:rPr>
          <w:rFonts w:eastAsia="MS Gothic" w:cs="Arial"/>
          <w:bCs/>
          <w:kern w:val="32"/>
        </w:rPr>
        <w:t>?</w:t>
      </w:r>
    </w:p>
    <w:p w:rsidR="005602C1" w:rsidRDefault="005602C1" w:rsidP="005602C1">
      <w:pPr>
        <w:pStyle w:val="DHHSbody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1E4958" w:rsidRDefault="005602C1" w:rsidP="001E4958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="001E4958"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1E4958" w:rsidRDefault="001E4958" w:rsidP="001E4958">
      <w:pPr>
        <w:pStyle w:val="DHHSbody"/>
        <w:numPr>
          <w:ilvl w:val="0"/>
          <w:numId w:val="21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1E4958" w:rsidRDefault="001E4958" w:rsidP="001E4958">
      <w:pPr>
        <w:pStyle w:val="DHHSbody"/>
      </w:pPr>
    </w:p>
    <w:p w:rsidR="00C9086A" w:rsidRPr="005F2279" w:rsidRDefault="00C60164" w:rsidP="00C60164">
      <w:pPr>
        <w:pStyle w:val="DHHSbody"/>
        <w:numPr>
          <w:ilvl w:val="0"/>
          <w:numId w:val="21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1E4958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1E4958" w:rsidRDefault="001E4958" w:rsidP="00F9001F">
            <w:pPr>
              <w:pStyle w:val="DHHSbody"/>
            </w:pPr>
          </w:p>
        </w:tc>
      </w:tr>
    </w:tbl>
    <w:p w:rsidR="005602C1" w:rsidRPr="007F4833" w:rsidRDefault="005602C1" w:rsidP="001E4958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to incorporate diversity considerations into stakeholder engagement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Default="005602C1" w:rsidP="005602C1">
      <w:pPr>
        <w:pStyle w:val="Heading1"/>
      </w:pPr>
    </w:p>
    <w:p w:rsidR="005602C1" w:rsidRPr="00920AEA" w:rsidRDefault="005602C1" w:rsidP="005602C1">
      <w:pPr>
        <w:pStyle w:val="Heading1"/>
      </w:pPr>
      <w:r>
        <w:br w:type="page"/>
      </w:r>
    </w:p>
    <w:p w:rsidR="005602C1" w:rsidRPr="00C07B2F" w:rsidRDefault="005602C1" w:rsidP="005602C1">
      <w:pPr>
        <w:pStyle w:val="Heading2"/>
        <w:rPr>
          <w:rFonts w:eastAsia="MS Gothic" w:cs="Arial"/>
          <w:b w:val="0"/>
          <w:bCs/>
          <w:kern w:val="32"/>
          <w:sz w:val="36"/>
          <w:szCs w:val="40"/>
        </w:rPr>
      </w:pPr>
      <w:r w:rsidRPr="00C07B2F">
        <w:rPr>
          <w:rFonts w:eastAsia="MS Gothic" w:cs="Arial"/>
          <w:b w:val="0"/>
          <w:bCs/>
          <w:kern w:val="32"/>
          <w:sz w:val="36"/>
          <w:szCs w:val="40"/>
        </w:rPr>
        <w:lastRenderedPageBreak/>
        <w:t>Governance and stakeholder engagement (continued)</w:t>
      </w:r>
    </w:p>
    <w:p w:rsidR="005602C1" w:rsidRPr="00C07B2F" w:rsidRDefault="005602C1" w:rsidP="005602C1">
      <w:pPr>
        <w:pStyle w:val="Heading2"/>
        <w:rPr>
          <w:rFonts w:eastAsia="MS Gothic" w:cs="Arial"/>
          <w:bCs/>
          <w:kern w:val="32"/>
        </w:rPr>
      </w:pPr>
      <w:r w:rsidRPr="00C07B2F">
        <w:rPr>
          <w:rFonts w:eastAsia="MS Gothic" w:cs="Arial"/>
          <w:bCs/>
          <w:kern w:val="32"/>
        </w:rPr>
        <w:t>Question 5: to what extent have diverse communities or their representative groups been partnered with in the ongoing governance and implementation of the initiative?</w:t>
      </w:r>
    </w:p>
    <w:p w:rsidR="005602C1" w:rsidRDefault="005602C1" w:rsidP="005602C1">
      <w:pPr>
        <w:pStyle w:val="DHHSbody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F9674E" w:rsidRDefault="005602C1" w:rsidP="00F9674E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="00F9674E"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F9674E" w:rsidRDefault="00F9674E" w:rsidP="00F9674E">
      <w:pPr>
        <w:pStyle w:val="DHHSbody"/>
        <w:numPr>
          <w:ilvl w:val="0"/>
          <w:numId w:val="26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F9674E" w:rsidRDefault="00F9674E" w:rsidP="00F9674E">
      <w:pPr>
        <w:pStyle w:val="DHHSbody"/>
      </w:pPr>
    </w:p>
    <w:p w:rsidR="00C9086A" w:rsidRPr="005F2279" w:rsidRDefault="00C60164" w:rsidP="00C60164">
      <w:pPr>
        <w:pStyle w:val="DHHSbody"/>
        <w:numPr>
          <w:ilvl w:val="0"/>
          <w:numId w:val="26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5602C1" w:rsidRPr="007F4833" w:rsidRDefault="005602C1" w:rsidP="00F9674E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to establish and strengthen partnerships with communities/community organisations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Pr="00C07B2F" w:rsidRDefault="005602C1" w:rsidP="005602C1">
      <w:pPr>
        <w:pStyle w:val="Heading2"/>
        <w:rPr>
          <w:rFonts w:eastAsia="MS Gothic" w:cs="Arial"/>
          <w:b w:val="0"/>
          <w:bCs/>
          <w:kern w:val="32"/>
          <w:sz w:val="36"/>
          <w:szCs w:val="40"/>
        </w:rPr>
      </w:pPr>
      <w:r w:rsidRPr="00C07B2F">
        <w:rPr>
          <w:rFonts w:eastAsia="MS Gothic" w:cs="Arial"/>
          <w:b w:val="0"/>
          <w:bCs/>
          <w:kern w:val="32"/>
          <w:sz w:val="36"/>
          <w:szCs w:val="40"/>
        </w:rPr>
        <w:lastRenderedPageBreak/>
        <w:t>Goals, outcomes and review</w:t>
      </w:r>
    </w:p>
    <w:p w:rsidR="005602C1" w:rsidRPr="00C07B2F" w:rsidRDefault="005602C1" w:rsidP="005602C1">
      <w:pPr>
        <w:pStyle w:val="Heading2"/>
        <w:rPr>
          <w:rFonts w:eastAsia="MS Gothic" w:cs="Arial"/>
          <w:bCs/>
          <w:kern w:val="32"/>
        </w:rPr>
      </w:pPr>
      <w:r w:rsidRPr="00C07B2F">
        <w:rPr>
          <w:rFonts w:eastAsia="MS Gothic" w:cs="Arial"/>
          <w:bCs/>
          <w:kern w:val="32"/>
        </w:rPr>
        <w:t>Question 6: to what extent has the policy or service design process considered specific outcomes for particular communities and determined these in consultation with them?</w:t>
      </w:r>
    </w:p>
    <w:p w:rsidR="005602C1" w:rsidRDefault="005602C1" w:rsidP="005602C1">
      <w:pPr>
        <w:pStyle w:val="DHHStabletext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F9674E" w:rsidRDefault="005602C1" w:rsidP="00F9674E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="00F9674E"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F9674E" w:rsidRDefault="00F9674E" w:rsidP="00F9674E">
      <w:pPr>
        <w:pStyle w:val="DHHSbody"/>
        <w:numPr>
          <w:ilvl w:val="0"/>
          <w:numId w:val="27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F9674E" w:rsidRDefault="00F9674E" w:rsidP="00F9674E">
      <w:pPr>
        <w:pStyle w:val="DHHSbody"/>
      </w:pPr>
    </w:p>
    <w:p w:rsidR="00C9086A" w:rsidRPr="005F2279" w:rsidRDefault="00C60164" w:rsidP="00C60164">
      <w:pPr>
        <w:pStyle w:val="DHHSbody"/>
        <w:numPr>
          <w:ilvl w:val="0"/>
          <w:numId w:val="27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</w:t>
      </w:r>
      <w:r w:rsidR="00F615E0">
        <w:rPr>
          <w:color w:val="000000" w:themeColor="text1"/>
        </w:rPr>
        <w:t xml:space="preserve"> and areas of disadvantage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5602C1" w:rsidRPr="007F4833" w:rsidRDefault="005602C1" w:rsidP="00F9674E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to determine outcomes in consultation with diverse communities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5602C1" w:rsidRPr="00920AEA" w:rsidRDefault="005602C1" w:rsidP="005602C1">
      <w:pPr>
        <w:pStyle w:val="Heading1"/>
      </w:pPr>
      <w:r>
        <w:br w:type="page"/>
      </w:r>
      <w:r>
        <w:lastRenderedPageBreak/>
        <w:t xml:space="preserve">Goals, outcomes </w:t>
      </w:r>
      <w:r w:rsidRPr="001F022F">
        <w:t>and review</w:t>
      </w:r>
      <w:r>
        <w:t xml:space="preserve"> (continued)</w:t>
      </w:r>
    </w:p>
    <w:p w:rsidR="005602C1" w:rsidRPr="00FC27A3" w:rsidRDefault="005602C1" w:rsidP="005602C1">
      <w:pPr>
        <w:pStyle w:val="Heading2"/>
        <w:rPr>
          <w:rFonts w:eastAsia="MS Gothic" w:cs="Arial"/>
          <w:b w:val="0"/>
          <w:bCs/>
          <w:kern w:val="32"/>
        </w:rPr>
      </w:pPr>
      <w:r w:rsidRPr="00C07B2F">
        <w:rPr>
          <w:rFonts w:eastAsia="MS Gothic" w:cs="Arial"/>
          <w:bCs/>
          <w:kern w:val="32"/>
        </w:rPr>
        <w:t xml:space="preserve">Question 7: to what extent has the policy or service design process incorporated the use of </w:t>
      </w:r>
      <w:r w:rsidR="00F427F7">
        <w:rPr>
          <w:rFonts w:eastAsia="MS Gothic" w:cs="Arial"/>
          <w:bCs/>
          <w:kern w:val="32"/>
        </w:rPr>
        <w:t xml:space="preserve">qualitative and quantitative </w:t>
      </w:r>
      <w:r w:rsidRPr="00C07B2F">
        <w:rPr>
          <w:rFonts w:eastAsia="MS Gothic" w:cs="Arial"/>
          <w:bCs/>
          <w:kern w:val="32"/>
        </w:rPr>
        <w:t>data to evaluate the initiative and assess outcomes for people from particular communities?</w:t>
      </w:r>
      <w:r>
        <w:rPr>
          <w:rFonts w:eastAsia="MS Gothic" w:cs="Arial"/>
          <w:b w:val="0"/>
          <w:bCs/>
          <w:kern w:val="32"/>
        </w:rPr>
        <w:br/>
      </w:r>
    </w:p>
    <w:p w:rsidR="005602C1" w:rsidRDefault="005602C1" w:rsidP="005602C1">
      <w:pPr>
        <w:pStyle w:val="DHHStabletext"/>
      </w:pPr>
      <w:r>
        <w:t>Mark with an ‘</w:t>
      </w:r>
      <w:r>
        <w:sym w:font="Wingdings" w:char="F0FC"/>
      </w:r>
      <w:r>
        <w:t>’ as applicable: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426"/>
        <w:gridCol w:w="992"/>
        <w:gridCol w:w="425"/>
        <w:gridCol w:w="1843"/>
        <w:gridCol w:w="425"/>
      </w:tblGrid>
      <w:tr w:rsidR="005602C1" w:rsidTr="007F4833">
        <w:tc>
          <w:tcPr>
            <w:tcW w:w="1134" w:type="dxa"/>
            <w:tcBorders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Not at all</w:t>
            </w:r>
          </w:p>
        </w:tc>
        <w:tc>
          <w:tcPr>
            <w:tcW w:w="426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992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Partially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  <w:tc>
          <w:tcPr>
            <w:tcW w:w="1843" w:type="dxa"/>
            <w:tcBorders>
              <w:left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  <w:r>
              <w:t>Comprehensively</w:t>
            </w:r>
          </w:p>
        </w:tc>
        <w:tc>
          <w:tcPr>
            <w:tcW w:w="425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</w:tbl>
    <w:p w:rsidR="00F9674E" w:rsidRDefault="005602C1" w:rsidP="00F9674E">
      <w:pPr>
        <w:pStyle w:val="Heading2"/>
      </w:pPr>
      <w:r w:rsidRPr="007F4833">
        <w:rPr>
          <w:color w:val="000000"/>
          <w:sz w:val="24"/>
          <w:szCs w:val="24"/>
        </w:rPr>
        <w:t>Keys actions undertaken</w:t>
      </w:r>
      <w:r>
        <w:t xml:space="preserve"> </w:t>
      </w:r>
      <w:r>
        <w:br/>
      </w:r>
      <w:r w:rsidR="00F9674E" w:rsidRPr="00C42220">
        <w:rPr>
          <w:rFonts w:eastAsia="Times"/>
          <w:b w:val="0"/>
          <w:color w:val="auto"/>
          <w:sz w:val="20"/>
          <w:szCs w:val="20"/>
        </w:rPr>
        <w:t>In documenting these actions, consider actions that respond to:</w:t>
      </w:r>
    </w:p>
    <w:p w:rsidR="00F9674E" w:rsidRDefault="00F9674E" w:rsidP="00F9674E">
      <w:pPr>
        <w:pStyle w:val="DHHSbody"/>
        <w:numPr>
          <w:ilvl w:val="0"/>
          <w:numId w:val="28"/>
        </w:numPr>
      </w:pPr>
      <w:r>
        <w:t xml:space="preserve">Diversity in general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82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F9674E" w:rsidRDefault="00F9674E" w:rsidP="00F9674E">
      <w:pPr>
        <w:pStyle w:val="DHHSbody"/>
      </w:pPr>
    </w:p>
    <w:p w:rsidR="00C9086A" w:rsidRPr="005F2279" w:rsidRDefault="00C60164" w:rsidP="00C60164">
      <w:pPr>
        <w:pStyle w:val="DHHSbody"/>
        <w:numPr>
          <w:ilvl w:val="0"/>
          <w:numId w:val="28"/>
        </w:numPr>
        <w:rPr>
          <w:color w:val="000000" w:themeColor="text1"/>
        </w:rPr>
      </w:pPr>
      <w:r w:rsidRPr="005F2279">
        <w:rPr>
          <w:color w:val="000000" w:themeColor="text1"/>
        </w:rPr>
        <w:t>Specific population groups, including Aboriginal people, people from culturally and linguistically diverse communities, refugees and asylum-seekers, people from LGBTI communities, people with a disability, women, older and younger cohorts, people living in regional areas</w:t>
      </w:r>
      <w:r w:rsidR="00F615E0">
        <w:rPr>
          <w:color w:val="000000" w:themeColor="text1"/>
        </w:rPr>
        <w:t xml:space="preserve"> and areas of disadvantage</w:t>
      </w:r>
      <w:bookmarkStart w:id="2" w:name="_GoBack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F9674E" w:rsidTr="00F9001F">
        <w:trPr>
          <w:trHeight w:val="2060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F9674E" w:rsidRDefault="00F9674E" w:rsidP="00F9001F">
            <w:pPr>
              <w:pStyle w:val="DHHSbody"/>
            </w:pPr>
          </w:p>
        </w:tc>
      </w:tr>
    </w:tbl>
    <w:p w:rsidR="005602C1" w:rsidRPr="007F4833" w:rsidRDefault="005602C1" w:rsidP="00F9674E">
      <w:pPr>
        <w:pStyle w:val="Heading2"/>
        <w:rPr>
          <w:color w:val="000000"/>
          <w:sz w:val="24"/>
          <w:szCs w:val="24"/>
        </w:rPr>
      </w:pPr>
      <w:r w:rsidRPr="007F4833">
        <w:rPr>
          <w:color w:val="000000"/>
          <w:sz w:val="24"/>
          <w:szCs w:val="24"/>
        </w:rPr>
        <w:t>Future actions for assessing outcomes for diverse communities using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602C1" w:rsidTr="007F4833">
        <w:trPr>
          <w:trHeight w:val="1979"/>
        </w:trPr>
        <w:tc>
          <w:tcPr>
            <w:tcW w:w="10312" w:type="dxa"/>
            <w:tcBorders>
              <w:top w:val="single" w:sz="4" w:space="0" w:color="004EA8"/>
              <w:left w:val="single" w:sz="4" w:space="0" w:color="004EA8"/>
              <w:bottom w:val="single" w:sz="4" w:space="0" w:color="004EA8"/>
              <w:right w:val="single" w:sz="4" w:space="0" w:color="004EA8"/>
            </w:tcBorders>
            <w:shd w:val="clear" w:color="auto" w:fill="auto"/>
          </w:tcPr>
          <w:p w:rsidR="005602C1" w:rsidRDefault="005602C1" w:rsidP="007F4833">
            <w:pPr>
              <w:pStyle w:val="DHHSbody"/>
            </w:pPr>
          </w:p>
        </w:tc>
      </w:tr>
      <w:bookmarkEnd w:id="1"/>
    </w:tbl>
    <w:p w:rsidR="002802E3" w:rsidRPr="00BA3F8D" w:rsidRDefault="002802E3" w:rsidP="00F3122E">
      <w:pPr>
        <w:pStyle w:val="DHHSbody"/>
        <w:rPr>
          <w:i/>
          <w:color w:val="008950"/>
          <w:sz w:val="26"/>
          <w:szCs w:val="26"/>
        </w:rPr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0003"/>
      </w:tblGrid>
      <w:tr w:rsidR="002802E3" w:rsidRPr="002802E3" w:rsidTr="00254F58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254F58" w:rsidRDefault="00254F58" w:rsidP="00770F37">
            <w:pPr>
              <w:pStyle w:val="DHHSaccessibilitypara"/>
            </w:pPr>
            <w:r w:rsidRPr="00254F58">
              <w:lastRenderedPageBreak/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="00A04E31">
              <w:rPr>
                <w:color w:val="008950"/>
              </w:rPr>
              <w:t>9096 8225</w:t>
            </w:r>
            <w:r w:rsidRPr="00254F58">
              <w:t xml:space="preserve"> using the National Relay Service 13 36 77 if required, or email </w:t>
            </w:r>
            <w:r w:rsidR="00A04E31">
              <w:rPr>
                <w:color w:val="008950"/>
              </w:rPr>
              <w:t xml:space="preserve">Diversity unit </w:t>
            </w:r>
            <w:r w:rsidR="00A04E31" w:rsidRPr="00A04E31">
              <w:rPr>
                <w:color w:val="008950"/>
              </w:rPr>
              <w:t>&lt;diversity@dhhs.vic.gov.au&gt;</w:t>
            </w:r>
          </w:p>
          <w:p w:rsidR="00254F58" w:rsidRPr="00254F58" w:rsidRDefault="00254F58" w:rsidP="00254F58">
            <w:pPr>
              <w:pStyle w:val="DHHSbody"/>
            </w:pPr>
            <w:r w:rsidRPr="00254F58">
              <w:t>Authorised and published by the Victorian Governmen</w:t>
            </w:r>
            <w:r w:rsidR="001F3826">
              <w:t>t, 1 Treasury Place, Melbourne.</w:t>
            </w:r>
          </w:p>
          <w:p w:rsidR="00254F58" w:rsidRPr="00F61A9F" w:rsidRDefault="00254F58" w:rsidP="00254F58">
            <w:pPr>
              <w:pStyle w:val="DHHSbody"/>
            </w:pPr>
            <w:r w:rsidRPr="00254F58">
              <w:t xml:space="preserve">© State of </w:t>
            </w:r>
            <w:r w:rsidR="00A854EB">
              <w:t>Victoria, Department of Health and</w:t>
            </w:r>
            <w:r w:rsidRPr="00254F58">
              <w:t xml:space="preserve"> Human Services</w:t>
            </w:r>
            <w:r w:rsidRPr="00BA3F8D">
              <w:rPr>
                <w:color w:val="008950"/>
              </w:rPr>
              <w:t xml:space="preserve"> </w:t>
            </w:r>
            <w:r w:rsidR="00A04E31">
              <w:rPr>
                <w:color w:val="008950"/>
              </w:rPr>
              <w:t>February 2018</w:t>
            </w:r>
            <w:r w:rsidR="00BA3F8D">
              <w:rPr>
                <w:color w:val="008950"/>
              </w:rPr>
              <w:t>.</w:t>
            </w:r>
          </w:p>
          <w:p w:rsidR="00254F58" w:rsidRPr="00F61A9F" w:rsidRDefault="00254F58" w:rsidP="00254F58">
            <w:pPr>
              <w:pStyle w:val="DHHSbody"/>
            </w:pPr>
            <w:r w:rsidRPr="00BA3F8D">
              <w:rPr>
                <w:color w:val="008950"/>
              </w:rPr>
              <w:t>Where the term ‘Aboriginal’ is used it refers to both Aboriginal and Torres Strait Islander people. Indigenous is retained when it is part of the title of a report, program or quotation.</w:t>
            </w:r>
          </w:p>
          <w:p w:rsidR="002802E3" w:rsidRPr="00A04E31" w:rsidRDefault="00254F58" w:rsidP="00254F58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at </w:t>
            </w:r>
            <w:r w:rsidR="00A04E31" w:rsidRPr="00A04E31">
              <w:rPr>
                <w:color w:val="008950"/>
              </w:rPr>
              <w:t>https://www2.health.vic.gov.au/about/populations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576" w:rsidRDefault="001B2576">
      <w:r>
        <w:separator/>
      </w:r>
    </w:p>
  </w:endnote>
  <w:endnote w:type="continuationSeparator" w:id="0">
    <w:p w:rsidR="001B2576" w:rsidRDefault="001B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9" w:rsidRPr="00F65AA9" w:rsidRDefault="001B2576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9" w:rsidRPr="00A11421" w:rsidRDefault="00E74849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F615E0">
      <w:rPr>
        <w:noProof/>
      </w:rPr>
      <w:t>9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576" w:rsidRDefault="001B2576" w:rsidP="002862F1">
      <w:pPr>
        <w:spacing w:before="120"/>
      </w:pPr>
      <w:r>
        <w:separator/>
      </w:r>
    </w:p>
  </w:footnote>
  <w:footnote w:type="continuationSeparator" w:id="0">
    <w:p w:rsidR="001B2576" w:rsidRDefault="001B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49" w:rsidRPr="0051568D" w:rsidRDefault="00E74849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0CD7748"/>
    <w:multiLevelType w:val="hybridMultilevel"/>
    <w:tmpl w:val="93326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>
    <w:nsid w:val="0507010B"/>
    <w:multiLevelType w:val="hybridMultilevel"/>
    <w:tmpl w:val="32647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591F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D43DB"/>
    <w:multiLevelType w:val="multilevel"/>
    <w:tmpl w:val="4B4E7622"/>
    <w:numStyleLink w:val="ZZNumbers"/>
  </w:abstractNum>
  <w:abstractNum w:abstractNumId="6">
    <w:nsid w:val="151E58A7"/>
    <w:multiLevelType w:val="hybridMultilevel"/>
    <w:tmpl w:val="3DD8D9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0699E"/>
    <w:multiLevelType w:val="hybridMultilevel"/>
    <w:tmpl w:val="32647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03549"/>
    <w:multiLevelType w:val="hybridMultilevel"/>
    <w:tmpl w:val="84B82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E1E2D"/>
    <w:multiLevelType w:val="hybridMultilevel"/>
    <w:tmpl w:val="84B828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>
    <w:nsid w:val="3E4E6496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64871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050F6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06E60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5875355"/>
    <w:multiLevelType w:val="hybridMultilevel"/>
    <w:tmpl w:val="32647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83F3F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74674"/>
    <w:multiLevelType w:val="hybridMultilevel"/>
    <w:tmpl w:val="D37CE0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6819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8120E"/>
    <w:multiLevelType w:val="hybridMultilevel"/>
    <w:tmpl w:val="933268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71312"/>
    <w:multiLevelType w:val="hybridMultilevel"/>
    <w:tmpl w:val="ACDC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41051"/>
    <w:multiLevelType w:val="hybridMultilevel"/>
    <w:tmpl w:val="94FAB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81099E"/>
    <w:multiLevelType w:val="hybridMultilevel"/>
    <w:tmpl w:val="326479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2127C"/>
    <w:multiLevelType w:val="hybridMultilevel"/>
    <w:tmpl w:val="C008A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0"/>
  </w:num>
  <w:num w:numId="9">
    <w:abstractNumId w:val="21"/>
  </w:num>
  <w:num w:numId="10">
    <w:abstractNumId w:val="24"/>
  </w:num>
  <w:num w:numId="11">
    <w:abstractNumId w:val="9"/>
  </w:num>
  <w:num w:numId="12">
    <w:abstractNumId w:val="13"/>
  </w:num>
  <w:num w:numId="13">
    <w:abstractNumId w:val="1"/>
  </w:num>
  <w:num w:numId="14">
    <w:abstractNumId w:val="20"/>
  </w:num>
  <w:num w:numId="15">
    <w:abstractNumId w:val="6"/>
  </w:num>
  <w:num w:numId="16">
    <w:abstractNumId w:val="12"/>
  </w:num>
  <w:num w:numId="17">
    <w:abstractNumId w:val="22"/>
  </w:num>
  <w:num w:numId="18">
    <w:abstractNumId w:val="19"/>
  </w:num>
  <w:num w:numId="19">
    <w:abstractNumId w:val="18"/>
  </w:num>
  <w:num w:numId="20">
    <w:abstractNumId w:val="11"/>
  </w:num>
  <w:num w:numId="21">
    <w:abstractNumId w:val="3"/>
  </w:num>
  <w:num w:numId="22">
    <w:abstractNumId w:val="4"/>
  </w:num>
  <w:num w:numId="23">
    <w:abstractNumId w:val="14"/>
  </w:num>
  <w:num w:numId="24">
    <w:abstractNumId w:val="17"/>
  </w:num>
  <w:num w:numId="25">
    <w:abstractNumId w:val="8"/>
  </w:num>
  <w:num w:numId="26">
    <w:abstractNumId w:val="23"/>
  </w:num>
  <w:num w:numId="27">
    <w:abstractNumId w:val="16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76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D6E3E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4F31"/>
    <w:rsid w:val="00196EB8"/>
    <w:rsid w:val="001979FF"/>
    <w:rsid w:val="00197B17"/>
    <w:rsid w:val="001A3ACE"/>
    <w:rsid w:val="001B2576"/>
    <w:rsid w:val="001C277E"/>
    <w:rsid w:val="001C2A72"/>
    <w:rsid w:val="001D0B75"/>
    <w:rsid w:val="001D3C09"/>
    <w:rsid w:val="001D44E8"/>
    <w:rsid w:val="001D60EC"/>
    <w:rsid w:val="001E44DF"/>
    <w:rsid w:val="001E4958"/>
    <w:rsid w:val="001E68A5"/>
    <w:rsid w:val="001E6BB0"/>
    <w:rsid w:val="001F3826"/>
    <w:rsid w:val="001F6E46"/>
    <w:rsid w:val="001F7C91"/>
    <w:rsid w:val="00200D28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4FE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4C6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323F9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2C1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5F2279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25E30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4833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4E31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260B"/>
    <w:rsid w:val="00A854EB"/>
    <w:rsid w:val="00A872E5"/>
    <w:rsid w:val="00A91406"/>
    <w:rsid w:val="00A945AE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07B2F"/>
    <w:rsid w:val="00C122ED"/>
    <w:rsid w:val="00C123EA"/>
    <w:rsid w:val="00C12A49"/>
    <w:rsid w:val="00C133EE"/>
    <w:rsid w:val="00C27DE9"/>
    <w:rsid w:val="00C33388"/>
    <w:rsid w:val="00C35484"/>
    <w:rsid w:val="00C4173A"/>
    <w:rsid w:val="00C42220"/>
    <w:rsid w:val="00C60164"/>
    <w:rsid w:val="00C602FF"/>
    <w:rsid w:val="00C61174"/>
    <w:rsid w:val="00C6148F"/>
    <w:rsid w:val="00C62F7A"/>
    <w:rsid w:val="00C63B9C"/>
    <w:rsid w:val="00C6682F"/>
    <w:rsid w:val="00C7275E"/>
    <w:rsid w:val="00C74C5D"/>
    <w:rsid w:val="00C801B6"/>
    <w:rsid w:val="00C863C4"/>
    <w:rsid w:val="00C9086A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B4D6E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6C9E"/>
    <w:rsid w:val="00DF731A"/>
    <w:rsid w:val="00E170DC"/>
    <w:rsid w:val="00E26818"/>
    <w:rsid w:val="00E27FFC"/>
    <w:rsid w:val="00E30B15"/>
    <w:rsid w:val="00E40181"/>
    <w:rsid w:val="00E629A1"/>
    <w:rsid w:val="00E71591"/>
    <w:rsid w:val="00E74849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27F7"/>
    <w:rsid w:val="00F43A37"/>
    <w:rsid w:val="00F4641B"/>
    <w:rsid w:val="00F46EB8"/>
    <w:rsid w:val="00F511E4"/>
    <w:rsid w:val="00F52D09"/>
    <w:rsid w:val="00F52E08"/>
    <w:rsid w:val="00F55B21"/>
    <w:rsid w:val="00F56EF6"/>
    <w:rsid w:val="00F615E0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9674E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3DE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1E495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FF3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1E4958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59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ListParagraph">
    <w:name w:val="List Paragraph"/>
    <w:basedOn w:val="Normal"/>
    <w:uiPriority w:val="72"/>
    <w:semiHidden/>
    <w:qFormat/>
    <w:rsid w:val="00FF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8294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Black</dc:creator>
  <cp:lastModifiedBy>Emma Black</cp:lastModifiedBy>
  <cp:revision>3</cp:revision>
  <cp:lastPrinted>2015-08-21T03:17:00Z</cp:lastPrinted>
  <dcterms:created xsi:type="dcterms:W3CDTF">2018-02-08T00:37:00Z</dcterms:created>
  <dcterms:modified xsi:type="dcterms:W3CDTF">2018-02-08T00:38:00Z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