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F4996" w14:textId="77777777" w:rsidR="00056EC4" w:rsidRDefault="00E9042A" w:rsidP="00056EC4">
      <w:pPr>
        <w:pStyle w:val="Body"/>
      </w:pPr>
      <w:r>
        <w:rPr>
          <w:noProof/>
        </w:rPr>
        <w:drawing>
          <wp:anchor distT="0" distB="0" distL="114300" distR="114300" simplePos="0" relativeHeight="251658240" behindDoc="1" locked="1" layoutInCell="1" allowOverlap="0" wp14:anchorId="2318A9BF" wp14:editId="0434D6E3">
            <wp:simplePos x="0" y="0"/>
            <wp:positionH relativeFrom="page">
              <wp:posOffset>0</wp:posOffset>
            </wp:positionH>
            <wp:positionV relativeFrom="page">
              <wp:posOffset>0</wp:posOffset>
            </wp:positionV>
            <wp:extent cx="7556400" cy="10148400"/>
            <wp:effectExtent l="0" t="0" r="635" b="0"/>
            <wp:wrapNone/>
            <wp:docPr id="3" name="Picture 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7"/>
                    <a:stretch>
                      <a:fillRect/>
                    </a:stretch>
                  </pic:blipFill>
                  <pic:spPr>
                    <a:xfrm>
                      <a:off x="0" y="0"/>
                      <a:ext cx="7556400" cy="10148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500C12AE" w14:textId="77777777" w:rsidTr="00431F42">
        <w:trPr>
          <w:cantSplit/>
        </w:trPr>
        <w:tc>
          <w:tcPr>
            <w:tcW w:w="0" w:type="auto"/>
            <w:tcMar>
              <w:top w:w="0" w:type="dxa"/>
              <w:left w:w="0" w:type="dxa"/>
              <w:right w:w="0" w:type="dxa"/>
            </w:tcMar>
          </w:tcPr>
          <w:p w14:paraId="54D6D090" w14:textId="1BA96D8A" w:rsidR="00AD784C" w:rsidRPr="00431F42" w:rsidRDefault="00925672" w:rsidP="00431F42">
            <w:pPr>
              <w:pStyle w:val="Documenttitle"/>
            </w:pPr>
            <w:r>
              <w:t xml:space="preserve">Victorian guidance on </w:t>
            </w:r>
            <w:r w:rsidR="00D22D98">
              <w:t>p</w:t>
            </w:r>
            <w:r>
              <w:t xml:space="preserve">atient </w:t>
            </w:r>
            <w:r w:rsidR="00D22D98">
              <w:t>d</w:t>
            </w:r>
            <w:r>
              <w:t xml:space="preserve">elivered </w:t>
            </w:r>
            <w:r w:rsidR="00D22D98">
              <w:t>p</w:t>
            </w:r>
            <w:r>
              <w:t xml:space="preserve">artner </w:t>
            </w:r>
            <w:r w:rsidR="00D22D98">
              <w:t>t</w:t>
            </w:r>
            <w:r>
              <w:t>herapy (PDPT) for chlamydia</w:t>
            </w:r>
          </w:p>
        </w:tc>
      </w:tr>
      <w:tr w:rsidR="00AD784C" w14:paraId="73583A89" w14:textId="77777777" w:rsidTr="00431F42">
        <w:trPr>
          <w:cantSplit/>
        </w:trPr>
        <w:tc>
          <w:tcPr>
            <w:tcW w:w="0" w:type="auto"/>
          </w:tcPr>
          <w:p w14:paraId="7A358C67" w14:textId="29769887" w:rsidR="00386109" w:rsidRPr="00A1389F" w:rsidRDefault="00925672" w:rsidP="009315BE">
            <w:pPr>
              <w:pStyle w:val="Documentsubtitle"/>
            </w:pPr>
            <w:r>
              <w:t>Updated June 2022</w:t>
            </w:r>
          </w:p>
        </w:tc>
      </w:tr>
      <w:tr w:rsidR="00430393" w14:paraId="65E9E096" w14:textId="77777777" w:rsidTr="00431F42">
        <w:trPr>
          <w:cantSplit/>
        </w:trPr>
        <w:tc>
          <w:tcPr>
            <w:tcW w:w="0" w:type="auto"/>
          </w:tcPr>
          <w:p w14:paraId="1ACA81FF" w14:textId="77777777" w:rsidR="00430393" w:rsidRDefault="00D557EB" w:rsidP="00430393">
            <w:pPr>
              <w:pStyle w:val="Bannermarking"/>
            </w:pPr>
            <w:r>
              <w:fldChar w:fldCharType="begin"/>
            </w:r>
            <w:r>
              <w:instrText xml:space="preserve"> FILLIN  "Type the protective marking" \d OFFICIAL \o  \* MERGEFORMAT </w:instrText>
            </w:r>
            <w:r>
              <w:fldChar w:fldCharType="separate"/>
            </w:r>
            <w:r w:rsidR="00D0260C">
              <w:t>OFFICIAL</w:t>
            </w:r>
            <w:r>
              <w:fldChar w:fldCharType="end"/>
            </w:r>
          </w:p>
        </w:tc>
      </w:tr>
    </w:tbl>
    <w:p w14:paraId="0789EE79" w14:textId="77777777" w:rsidR="00FE4081" w:rsidRPr="00FE4081" w:rsidRDefault="00FE4081" w:rsidP="00FE4081">
      <w:pPr>
        <w:pStyle w:val="Body"/>
        <w:sectPr w:rsidR="00FE4081" w:rsidRPr="00FE4081" w:rsidSect="002C5B7C">
          <w:footerReference w:type="even" r:id="rId8"/>
          <w:footerReference w:type="default" r:id="rId9"/>
          <w:footerReference w:type="first" r:id="rId10"/>
          <w:type w:val="continuous"/>
          <w:pgSz w:w="11906" w:h="16838" w:code="9"/>
          <w:pgMar w:top="3969" w:right="1304" w:bottom="1418" w:left="1304" w:header="680" w:footer="851" w:gutter="0"/>
          <w:cols w:space="340"/>
          <w:docGrid w:linePitch="360"/>
        </w:sectPr>
      </w:pPr>
    </w:p>
    <w:p w14:paraId="15F0B2D2" w14:textId="2C2ED035" w:rsidR="009F2182" w:rsidRDefault="009F2182"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0F4850FC" w14:textId="77777777" w:rsidTr="00562507">
        <w:trPr>
          <w:cantSplit/>
          <w:trHeight w:val="7088"/>
        </w:trPr>
        <w:tc>
          <w:tcPr>
            <w:tcW w:w="9288" w:type="dxa"/>
          </w:tcPr>
          <w:p w14:paraId="33961C56" w14:textId="77777777" w:rsidR="00925672" w:rsidRPr="00925672" w:rsidRDefault="00925672" w:rsidP="005A2E4E">
            <w:pPr>
              <w:pStyle w:val="Heading1"/>
            </w:pPr>
            <w:r w:rsidRPr="00925672">
              <w:t>Acknowledgement</w:t>
            </w:r>
          </w:p>
          <w:p w14:paraId="20C9EBA2" w14:textId="40923E15" w:rsidR="00925672" w:rsidRPr="00925672" w:rsidRDefault="00925672" w:rsidP="00925672">
            <w:pPr>
              <w:pStyle w:val="Body"/>
            </w:pPr>
            <w:r w:rsidRPr="00925672">
              <w:t xml:space="preserve">The Victorian </w:t>
            </w:r>
            <w:r w:rsidR="00D22D98">
              <w:t xml:space="preserve">Government </w:t>
            </w:r>
            <w:r w:rsidRPr="00925672">
              <w:t>Department of Health would like to thank the following contributors:</w:t>
            </w:r>
          </w:p>
          <w:p w14:paraId="7D6157E6" w14:textId="77777777" w:rsidR="00925672" w:rsidRPr="00925672" w:rsidRDefault="00925672" w:rsidP="00925672">
            <w:pPr>
              <w:pStyle w:val="Bullet1"/>
            </w:pPr>
            <w:r w:rsidRPr="00925672">
              <w:t xml:space="preserve">University of Melbourne, Melbourne School of Population and Global Health: Dr Jane </w:t>
            </w:r>
            <w:proofErr w:type="spellStart"/>
            <w:r w:rsidRPr="00925672">
              <w:t>Goller</w:t>
            </w:r>
            <w:proofErr w:type="spellEnd"/>
            <w:r w:rsidRPr="00925672">
              <w:t xml:space="preserve"> and Professor Jane Hocking</w:t>
            </w:r>
          </w:p>
          <w:p w14:paraId="1A761FA6" w14:textId="1A856C44" w:rsidR="00925672" w:rsidRPr="00925672" w:rsidRDefault="00925672" w:rsidP="00925672">
            <w:pPr>
              <w:pStyle w:val="Bullet1"/>
            </w:pPr>
            <w:r w:rsidRPr="00925672">
              <w:t xml:space="preserve">Centre for Excellence in Rural Sexual Health: Professor Jane </w:t>
            </w:r>
            <w:proofErr w:type="spellStart"/>
            <w:r w:rsidRPr="00925672">
              <w:t>Tomnay</w:t>
            </w:r>
            <w:proofErr w:type="spellEnd"/>
          </w:p>
          <w:p w14:paraId="40A8D7FB" w14:textId="0B973217" w:rsidR="00925672" w:rsidRDefault="00925672" w:rsidP="00925672">
            <w:pPr>
              <w:pStyle w:val="Bullet1"/>
            </w:pPr>
            <w:r w:rsidRPr="00925672">
              <w:t>Sexual Health Victoria: Dr. Kathy McNamee, Medical Director</w:t>
            </w:r>
          </w:p>
          <w:p w14:paraId="42695779" w14:textId="3193300B" w:rsidR="005542B2" w:rsidRPr="005542B2" w:rsidRDefault="005542B2" w:rsidP="005542B2">
            <w:pPr>
              <w:pStyle w:val="Bullet1"/>
            </w:pPr>
            <w:r w:rsidRPr="005542B2">
              <w:t>Melbourne Sexual Health Centre: Adjunct Professor Marcus Chen</w:t>
            </w:r>
          </w:p>
          <w:p w14:paraId="28728643" w14:textId="77777777" w:rsidR="00925672" w:rsidRPr="00925672" w:rsidRDefault="00925672" w:rsidP="00925672">
            <w:pPr>
              <w:pStyle w:val="Bullet1"/>
            </w:pPr>
            <w:r w:rsidRPr="00925672">
              <w:t>Management of Chlamydia Cases in Australia (MOCCA) research project team</w:t>
            </w:r>
          </w:p>
          <w:p w14:paraId="4C957628" w14:textId="77777777" w:rsidR="00925672" w:rsidRPr="00925672" w:rsidRDefault="00925672" w:rsidP="00925672">
            <w:pPr>
              <w:pStyle w:val="Bullet1"/>
            </w:pPr>
            <w:r w:rsidRPr="00925672">
              <w:t xml:space="preserve">Solange </w:t>
            </w:r>
            <w:proofErr w:type="spellStart"/>
            <w:r w:rsidRPr="00925672">
              <w:t>Uwingeneye</w:t>
            </w:r>
            <w:proofErr w:type="spellEnd"/>
          </w:p>
          <w:p w14:paraId="1CE2B0C1" w14:textId="77777777" w:rsidR="00925672" w:rsidRPr="00925672" w:rsidRDefault="00925672" w:rsidP="00925672">
            <w:pPr>
              <w:pStyle w:val="Bullet1"/>
            </w:pPr>
            <w:r w:rsidRPr="00925672">
              <w:t>Clinicians who participated in the Victorian evaluation of PDPT.</w:t>
            </w:r>
          </w:p>
          <w:p w14:paraId="723C52FB" w14:textId="7E417D6E" w:rsidR="009F2182" w:rsidRPr="00BA26F6" w:rsidRDefault="009F2182" w:rsidP="00BA26F6">
            <w:pPr>
              <w:pStyle w:val="Body"/>
              <w:rPr>
                <w:rFonts w:eastAsia="Times New Roman"/>
                <w:color w:val="87189D"/>
                <w:sz w:val="24"/>
                <w:szCs w:val="24"/>
              </w:rPr>
            </w:pPr>
          </w:p>
        </w:tc>
      </w:tr>
      <w:tr w:rsidR="009F2182" w14:paraId="46A4C5DE" w14:textId="77777777" w:rsidTr="00562507">
        <w:trPr>
          <w:cantSplit/>
          <w:trHeight w:val="5103"/>
        </w:trPr>
        <w:tc>
          <w:tcPr>
            <w:tcW w:w="9288" w:type="dxa"/>
            <w:vAlign w:val="bottom"/>
          </w:tcPr>
          <w:p w14:paraId="6457994E" w14:textId="21AAB345" w:rsidR="009F2182" w:rsidRPr="0055119B" w:rsidRDefault="009F2182" w:rsidP="009F2182">
            <w:pPr>
              <w:pStyle w:val="Accessibilitypara"/>
            </w:pPr>
            <w:r w:rsidRPr="0055119B">
              <w:t>To receive this document in another format</w:t>
            </w:r>
            <w:r>
              <w:t>,</w:t>
            </w:r>
            <w:r w:rsidRPr="0055119B">
              <w:t xml:space="preserve"> </w:t>
            </w:r>
            <w:hyperlink r:id="rId11" w:history="1">
              <w:r w:rsidR="00925672" w:rsidRPr="00D22D98">
                <w:rPr>
                  <w:rStyle w:val="Hyperlink"/>
                </w:rPr>
                <w:t>email the Prevention and Population Health Branch</w:t>
              </w:r>
            </w:hyperlink>
            <w:r w:rsidRPr="00925672">
              <w:t>,</w:t>
            </w:r>
            <w:r w:rsidRPr="0055119B">
              <w:rPr>
                <w:color w:val="004C97"/>
              </w:rPr>
              <w:t xml:space="preserve"> </w:t>
            </w:r>
            <w:r w:rsidRPr="0055119B">
              <w:t>&lt;</w:t>
            </w:r>
            <w:r w:rsidR="00925672">
              <w:t>bbvsti.information@health.vic.gov.au</w:t>
            </w:r>
            <w:r w:rsidRPr="0055119B">
              <w:t>&gt;.</w:t>
            </w:r>
          </w:p>
          <w:p w14:paraId="0FA1234D" w14:textId="77777777" w:rsidR="009F2182" w:rsidRPr="0055119B" w:rsidRDefault="009F2182" w:rsidP="009F2182">
            <w:pPr>
              <w:pStyle w:val="Imprint"/>
            </w:pPr>
            <w:r w:rsidRPr="0055119B">
              <w:t>Authorised and published by the Victorian Government, 1 Treasury Place, Melbourne.</w:t>
            </w:r>
          </w:p>
          <w:p w14:paraId="33D3EBE8" w14:textId="11F81BFE" w:rsidR="009F2182" w:rsidRPr="0055119B" w:rsidRDefault="009F2182" w:rsidP="009F2182">
            <w:pPr>
              <w:pStyle w:val="Imprint"/>
            </w:pPr>
            <w:r w:rsidRPr="0055119B">
              <w:t xml:space="preserve">© State of Victoria, Australia, Department </w:t>
            </w:r>
            <w:r w:rsidRPr="001B058F">
              <w:t xml:space="preserve">of </w:t>
            </w:r>
            <w:r w:rsidR="00D76ECC">
              <w:t>Health</w:t>
            </w:r>
            <w:r w:rsidRPr="0055119B">
              <w:t xml:space="preserve">, </w:t>
            </w:r>
            <w:r w:rsidR="00925672" w:rsidRPr="00925672">
              <w:rPr>
                <w:color w:val="auto"/>
              </w:rPr>
              <w:t>June 2022</w:t>
            </w:r>
          </w:p>
          <w:p w14:paraId="571822BB" w14:textId="5FA68DBD" w:rsidR="009F2182" w:rsidRPr="00261A81" w:rsidRDefault="009F2182" w:rsidP="009F2182">
            <w:pPr>
              <w:pStyle w:val="Imprint"/>
            </w:pPr>
            <w:bookmarkStart w:id="0" w:name="_Hlk62746129"/>
            <w:r w:rsidRPr="00261A81">
              <w:t xml:space="preserve">ISBN </w:t>
            </w:r>
            <w:r w:rsidR="00855B32">
              <w:rPr>
                <w:rFonts w:cs="Arial"/>
                <w:color w:val="000000"/>
              </w:rPr>
              <w:t>978-1-76096-</w:t>
            </w:r>
            <w:r w:rsidR="00243B62">
              <w:rPr>
                <w:rFonts w:cs="Arial"/>
                <w:color w:val="000000"/>
              </w:rPr>
              <w:t>876-2</w:t>
            </w:r>
            <w:r w:rsidR="00855B32">
              <w:rPr>
                <w:rFonts w:cs="Arial"/>
                <w:color w:val="000000"/>
              </w:rPr>
              <w:t xml:space="preserve"> </w:t>
            </w:r>
            <w:r w:rsidRPr="00261A81">
              <w:t>(</w:t>
            </w:r>
            <w:r w:rsidR="00855B32" w:rsidRPr="00261A81">
              <w:t>PDF/online/MS Word)</w:t>
            </w:r>
          </w:p>
          <w:bookmarkEnd w:id="0"/>
          <w:p w14:paraId="1BB9EC23" w14:textId="3068C752" w:rsidR="009F2182" w:rsidRDefault="009F2182" w:rsidP="00925672">
            <w:pPr>
              <w:pStyle w:val="Imprint"/>
            </w:pPr>
            <w:r w:rsidRPr="00261A81">
              <w:t xml:space="preserve">Available at </w:t>
            </w:r>
            <w:r w:rsidR="00255F10" w:rsidRPr="00261A81">
              <w:rPr>
                <w:color w:val="auto"/>
              </w:rPr>
              <w:t>the</w:t>
            </w:r>
            <w:r w:rsidRPr="00261A81">
              <w:rPr>
                <w:color w:val="auto"/>
              </w:rPr>
              <w:t xml:space="preserve"> </w:t>
            </w:r>
            <w:hyperlink r:id="rId12" w:history="1">
              <w:r w:rsidR="00261A81" w:rsidRPr="00261A81">
                <w:rPr>
                  <w:rStyle w:val="Hyperlink"/>
                </w:rPr>
                <w:t>Department of Health website</w:t>
              </w:r>
            </w:hyperlink>
            <w:r w:rsidR="00261A81" w:rsidRPr="00261A81">
              <w:t xml:space="preserve"> </w:t>
            </w:r>
            <w:r w:rsidRPr="00261A81">
              <w:t>&lt;</w:t>
            </w:r>
            <w:r w:rsidR="00261A81" w:rsidRPr="00261A81">
              <w:rPr>
                <w:color w:val="auto"/>
              </w:rPr>
              <w:t>https://www.health.vic.gov.au/publications/patient-delivered-partner-therapy-clinical-guidelines</w:t>
            </w:r>
            <w:r w:rsidRPr="00261A81">
              <w:t>&gt;</w:t>
            </w:r>
            <w:r w:rsidR="000F0284">
              <w:t>.</w:t>
            </w:r>
          </w:p>
        </w:tc>
      </w:tr>
      <w:tr w:rsidR="0008204A" w14:paraId="6C3533CB" w14:textId="77777777" w:rsidTr="0008204A">
        <w:trPr>
          <w:cantSplit/>
        </w:trPr>
        <w:tc>
          <w:tcPr>
            <w:tcW w:w="9288" w:type="dxa"/>
          </w:tcPr>
          <w:p w14:paraId="3A47B69B" w14:textId="77777777" w:rsidR="0008204A" w:rsidRPr="0055119B" w:rsidRDefault="0008204A" w:rsidP="0008204A">
            <w:pPr>
              <w:pStyle w:val="Body"/>
            </w:pPr>
          </w:p>
        </w:tc>
      </w:tr>
    </w:tbl>
    <w:p w14:paraId="5010EAA1" w14:textId="77777777" w:rsidR="0008204A" w:rsidRPr="0008204A" w:rsidRDefault="0008204A" w:rsidP="0008204A">
      <w:pPr>
        <w:pStyle w:val="Body"/>
      </w:pPr>
      <w:r w:rsidRPr="0008204A">
        <w:br w:type="page"/>
      </w:r>
    </w:p>
    <w:p w14:paraId="3406144E" w14:textId="77777777" w:rsidR="00AD784C" w:rsidRPr="00B57329" w:rsidRDefault="00AD784C" w:rsidP="002365B4">
      <w:pPr>
        <w:pStyle w:val="TOCheadingreport"/>
      </w:pPr>
      <w:r w:rsidRPr="00B57329">
        <w:lastRenderedPageBreak/>
        <w:t>Contents</w:t>
      </w:r>
    </w:p>
    <w:p w14:paraId="79ACA089" w14:textId="21F106D8" w:rsidR="005542B2"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07311379" w:history="1">
        <w:r w:rsidR="005542B2" w:rsidRPr="001F6A7E">
          <w:rPr>
            <w:rStyle w:val="Hyperlink"/>
          </w:rPr>
          <w:t>Purpose</w:t>
        </w:r>
        <w:r w:rsidR="005542B2">
          <w:rPr>
            <w:webHidden/>
          </w:rPr>
          <w:tab/>
        </w:r>
        <w:r w:rsidR="005542B2">
          <w:rPr>
            <w:webHidden/>
          </w:rPr>
          <w:fldChar w:fldCharType="begin"/>
        </w:r>
        <w:r w:rsidR="005542B2">
          <w:rPr>
            <w:webHidden/>
          </w:rPr>
          <w:instrText xml:space="preserve"> PAGEREF _Toc107311379 \h </w:instrText>
        </w:r>
        <w:r w:rsidR="005542B2">
          <w:rPr>
            <w:webHidden/>
          </w:rPr>
        </w:r>
        <w:r w:rsidR="005542B2">
          <w:rPr>
            <w:webHidden/>
          </w:rPr>
          <w:fldChar w:fldCharType="separate"/>
        </w:r>
        <w:r w:rsidR="006A2224">
          <w:rPr>
            <w:webHidden/>
          </w:rPr>
          <w:t>4</w:t>
        </w:r>
        <w:r w:rsidR="005542B2">
          <w:rPr>
            <w:webHidden/>
          </w:rPr>
          <w:fldChar w:fldCharType="end"/>
        </w:r>
      </w:hyperlink>
    </w:p>
    <w:p w14:paraId="6E97A50C" w14:textId="1BF98EAA" w:rsidR="005542B2" w:rsidRDefault="00D557EB">
      <w:pPr>
        <w:pStyle w:val="TOC1"/>
        <w:rPr>
          <w:rFonts w:asciiTheme="minorHAnsi" w:eastAsiaTheme="minorEastAsia" w:hAnsiTheme="minorHAnsi" w:cstheme="minorBidi"/>
          <w:b w:val="0"/>
          <w:sz w:val="22"/>
          <w:szCs w:val="22"/>
          <w:lang w:eastAsia="en-AU"/>
        </w:rPr>
      </w:pPr>
      <w:hyperlink w:anchor="_Toc107311380" w:history="1">
        <w:r w:rsidR="005542B2" w:rsidRPr="001F6A7E">
          <w:rPr>
            <w:rStyle w:val="Hyperlink"/>
          </w:rPr>
          <w:t>Background</w:t>
        </w:r>
        <w:r w:rsidR="005542B2">
          <w:rPr>
            <w:webHidden/>
          </w:rPr>
          <w:tab/>
        </w:r>
        <w:r w:rsidR="005542B2">
          <w:rPr>
            <w:webHidden/>
          </w:rPr>
          <w:fldChar w:fldCharType="begin"/>
        </w:r>
        <w:r w:rsidR="005542B2">
          <w:rPr>
            <w:webHidden/>
          </w:rPr>
          <w:instrText xml:space="preserve"> PAGEREF _Toc107311380 \h </w:instrText>
        </w:r>
        <w:r w:rsidR="005542B2">
          <w:rPr>
            <w:webHidden/>
          </w:rPr>
        </w:r>
        <w:r w:rsidR="005542B2">
          <w:rPr>
            <w:webHidden/>
          </w:rPr>
          <w:fldChar w:fldCharType="separate"/>
        </w:r>
        <w:r w:rsidR="006A2224">
          <w:rPr>
            <w:webHidden/>
          </w:rPr>
          <w:t>4</w:t>
        </w:r>
        <w:r w:rsidR="005542B2">
          <w:rPr>
            <w:webHidden/>
          </w:rPr>
          <w:fldChar w:fldCharType="end"/>
        </w:r>
      </w:hyperlink>
    </w:p>
    <w:p w14:paraId="4AA3B22C" w14:textId="4E1A3069" w:rsidR="005542B2" w:rsidRDefault="00D557EB">
      <w:pPr>
        <w:pStyle w:val="TOC2"/>
        <w:rPr>
          <w:rFonts w:asciiTheme="minorHAnsi" w:eastAsiaTheme="minorEastAsia" w:hAnsiTheme="minorHAnsi" w:cstheme="minorBidi"/>
          <w:sz w:val="22"/>
          <w:szCs w:val="22"/>
          <w:lang w:eastAsia="en-AU"/>
        </w:rPr>
      </w:pPr>
      <w:hyperlink w:anchor="_Toc107311381" w:history="1">
        <w:r w:rsidR="005542B2" w:rsidRPr="001F6A7E">
          <w:rPr>
            <w:rStyle w:val="Hyperlink"/>
          </w:rPr>
          <w:t>Partner notification</w:t>
        </w:r>
        <w:r w:rsidR="005542B2">
          <w:rPr>
            <w:webHidden/>
          </w:rPr>
          <w:tab/>
        </w:r>
        <w:r w:rsidR="005542B2">
          <w:rPr>
            <w:webHidden/>
          </w:rPr>
          <w:fldChar w:fldCharType="begin"/>
        </w:r>
        <w:r w:rsidR="005542B2">
          <w:rPr>
            <w:webHidden/>
          </w:rPr>
          <w:instrText xml:space="preserve"> PAGEREF _Toc107311381 \h </w:instrText>
        </w:r>
        <w:r w:rsidR="005542B2">
          <w:rPr>
            <w:webHidden/>
          </w:rPr>
        </w:r>
        <w:r w:rsidR="005542B2">
          <w:rPr>
            <w:webHidden/>
          </w:rPr>
          <w:fldChar w:fldCharType="separate"/>
        </w:r>
        <w:r w:rsidR="006A2224">
          <w:rPr>
            <w:webHidden/>
          </w:rPr>
          <w:t>4</w:t>
        </w:r>
        <w:r w:rsidR="005542B2">
          <w:rPr>
            <w:webHidden/>
          </w:rPr>
          <w:fldChar w:fldCharType="end"/>
        </w:r>
      </w:hyperlink>
    </w:p>
    <w:p w14:paraId="04F722B9" w14:textId="2B30E088" w:rsidR="005542B2" w:rsidRDefault="00D557EB">
      <w:pPr>
        <w:pStyle w:val="TOC2"/>
        <w:rPr>
          <w:rFonts w:asciiTheme="minorHAnsi" w:eastAsiaTheme="minorEastAsia" w:hAnsiTheme="minorHAnsi" w:cstheme="minorBidi"/>
          <w:sz w:val="22"/>
          <w:szCs w:val="22"/>
          <w:lang w:eastAsia="en-AU"/>
        </w:rPr>
      </w:pPr>
      <w:hyperlink w:anchor="_Toc107311382" w:history="1">
        <w:r w:rsidR="005542B2" w:rsidRPr="001F6A7E">
          <w:rPr>
            <w:rStyle w:val="Hyperlink"/>
          </w:rPr>
          <w:t>Patient delivered partner therapy (PDPT)</w:t>
        </w:r>
        <w:r w:rsidR="005542B2">
          <w:rPr>
            <w:webHidden/>
          </w:rPr>
          <w:tab/>
        </w:r>
        <w:r w:rsidR="005542B2">
          <w:rPr>
            <w:webHidden/>
          </w:rPr>
          <w:fldChar w:fldCharType="begin"/>
        </w:r>
        <w:r w:rsidR="005542B2">
          <w:rPr>
            <w:webHidden/>
          </w:rPr>
          <w:instrText xml:space="preserve"> PAGEREF _Toc107311382 \h </w:instrText>
        </w:r>
        <w:r w:rsidR="005542B2">
          <w:rPr>
            <w:webHidden/>
          </w:rPr>
        </w:r>
        <w:r w:rsidR="005542B2">
          <w:rPr>
            <w:webHidden/>
          </w:rPr>
          <w:fldChar w:fldCharType="separate"/>
        </w:r>
        <w:r w:rsidR="006A2224">
          <w:rPr>
            <w:webHidden/>
          </w:rPr>
          <w:t>5</w:t>
        </w:r>
        <w:r w:rsidR="005542B2">
          <w:rPr>
            <w:webHidden/>
          </w:rPr>
          <w:fldChar w:fldCharType="end"/>
        </w:r>
      </w:hyperlink>
    </w:p>
    <w:p w14:paraId="17FBB36E" w14:textId="7F6C0271" w:rsidR="005542B2" w:rsidRDefault="00D557EB">
      <w:pPr>
        <w:pStyle w:val="TOC2"/>
        <w:rPr>
          <w:rFonts w:asciiTheme="minorHAnsi" w:eastAsiaTheme="minorEastAsia" w:hAnsiTheme="minorHAnsi" w:cstheme="minorBidi"/>
          <w:sz w:val="22"/>
          <w:szCs w:val="22"/>
          <w:lang w:eastAsia="en-AU"/>
        </w:rPr>
      </w:pPr>
      <w:hyperlink w:anchor="_Toc107311383" w:history="1">
        <w:r w:rsidR="005542B2" w:rsidRPr="001F6A7E">
          <w:rPr>
            <w:rStyle w:val="Hyperlink"/>
          </w:rPr>
          <w:t>Recommended PDPT treatment</w:t>
        </w:r>
        <w:r w:rsidR="005542B2">
          <w:rPr>
            <w:webHidden/>
          </w:rPr>
          <w:tab/>
        </w:r>
        <w:r w:rsidR="005542B2">
          <w:rPr>
            <w:webHidden/>
          </w:rPr>
          <w:fldChar w:fldCharType="begin"/>
        </w:r>
        <w:r w:rsidR="005542B2">
          <w:rPr>
            <w:webHidden/>
          </w:rPr>
          <w:instrText xml:space="preserve"> PAGEREF _Toc107311383 \h </w:instrText>
        </w:r>
        <w:r w:rsidR="005542B2">
          <w:rPr>
            <w:webHidden/>
          </w:rPr>
        </w:r>
        <w:r w:rsidR="005542B2">
          <w:rPr>
            <w:webHidden/>
          </w:rPr>
          <w:fldChar w:fldCharType="separate"/>
        </w:r>
        <w:r w:rsidR="006A2224">
          <w:rPr>
            <w:webHidden/>
          </w:rPr>
          <w:t>5</w:t>
        </w:r>
        <w:r w:rsidR="005542B2">
          <w:rPr>
            <w:webHidden/>
          </w:rPr>
          <w:fldChar w:fldCharType="end"/>
        </w:r>
      </w:hyperlink>
    </w:p>
    <w:p w14:paraId="2E1F3A7C" w14:textId="2B620F43" w:rsidR="005542B2" w:rsidRDefault="00D557EB">
      <w:pPr>
        <w:pStyle w:val="TOC2"/>
        <w:rPr>
          <w:rFonts w:asciiTheme="minorHAnsi" w:eastAsiaTheme="minorEastAsia" w:hAnsiTheme="minorHAnsi" w:cstheme="minorBidi"/>
          <w:sz w:val="22"/>
          <w:szCs w:val="22"/>
          <w:lang w:eastAsia="en-AU"/>
        </w:rPr>
      </w:pPr>
      <w:hyperlink w:anchor="_Toc107311384" w:history="1">
        <w:r w:rsidR="005542B2" w:rsidRPr="001F6A7E">
          <w:rPr>
            <w:rStyle w:val="Hyperlink"/>
          </w:rPr>
          <w:t>Evidence for PDPT</w:t>
        </w:r>
        <w:r w:rsidR="005542B2">
          <w:rPr>
            <w:webHidden/>
          </w:rPr>
          <w:tab/>
        </w:r>
        <w:r w:rsidR="005542B2">
          <w:rPr>
            <w:webHidden/>
          </w:rPr>
          <w:fldChar w:fldCharType="begin"/>
        </w:r>
        <w:r w:rsidR="005542B2">
          <w:rPr>
            <w:webHidden/>
          </w:rPr>
          <w:instrText xml:space="preserve"> PAGEREF _Toc107311384 \h </w:instrText>
        </w:r>
        <w:r w:rsidR="005542B2">
          <w:rPr>
            <w:webHidden/>
          </w:rPr>
        </w:r>
        <w:r w:rsidR="005542B2">
          <w:rPr>
            <w:webHidden/>
          </w:rPr>
          <w:fldChar w:fldCharType="separate"/>
        </w:r>
        <w:r w:rsidR="006A2224">
          <w:rPr>
            <w:webHidden/>
          </w:rPr>
          <w:t>5</w:t>
        </w:r>
        <w:r w:rsidR="005542B2">
          <w:rPr>
            <w:webHidden/>
          </w:rPr>
          <w:fldChar w:fldCharType="end"/>
        </w:r>
      </w:hyperlink>
    </w:p>
    <w:p w14:paraId="7F13715F" w14:textId="7B847174" w:rsidR="005542B2" w:rsidRDefault="00D557EB">
      <w:pPr>
        <w:pStyle w:val="TOC2"/>
        <w:rPr>
          <w:rFonts w:asciiTheme="minorHAnsi" w:eastAsiaTheme="minorEastAsia" w:hAnsiTheme="minorHAnsi" w:cstheme="minorBidi"/>
          <w:sz w:val="22"/>
          <w:szCs w:val="22"/>
          <w:lang w:eastAsia="en-AU"/>
        </w:rPr>
      </w:pPr>
      <w:hyperlink w:anchor="_Toc107311385" w:history="1">
        <w:r w:rsidR="005542B2" w:rsidRPr="001F6A7E">
          <w:rPr>
            <w:rStyle w:val="Hyperlink"/>
          </w:rPr>
          <w:t>PDPT safety</w:t>
        </w:r>
        <w:r w:rsidR="005542B2">
          <w:rPr>
            <w:webHidden/>
          </w:rPr>
          <w:tab/>
        </w:r>
        <w:r w:rsidR="005542B2">
          <w:rPr>
            <w:webHidden/>
          </w:rPr>
          <w:fldChar w:fldCharType="begin"/>
        </w:r>
        <w:r w:rsidR="005542B2">
          <w:rPr>
            <w:webHidden/>
          </w:rPr>
          <w:instrText xml:space="preserve"> PAGEREF _Toc107311385 \h </w:instrText>
        </w:r>
        <w:r w:rsidR="005542B2">
          <w:rPr>
            <w:webHidden/>
          </w:rPr>
        </w:r>
        <w:r w:rsidR="005542B2">
          <w:rPr>
            <w:webHidden/>
          </w:rPr>
          <w:fldChar w:fldCharType="separate"/>
        </w:r>
        <w:r w:rsidR="006A2224">
          <w:rPr>
            <w:webHidden/>
          </w:rPr>
          <w:t>5</w:t>
        </w:r>
        <w:r w:rsidR="005542B2">
          <w:rPr>
            <w:webHidden/>
          </w:rPr>
          <w:fldChar w:fldCharType="end"/>
        </w:r>
      </w:hyperlink>
    </w:p>
    <w:p w14:paraId="27F150E9" w14:textId="06FCED08" w:rsidR="005542B2" w:rsidRDefault="00D557EB">
      <w:pPr>
        <w:pStyle w:val="TOC2"/>
        <w:rPr>
          <w:rFonts w:asciiTheme="minorHAnsi" w:eastAsiaTheme="minorEastAsia" w:hAnsiTheme="minorHAnsi" w:cstheme="minorBidi"/>
          <w:sz w:val="22"/>
          <w:szCs w:val="22"/>
          <w:lang w:eastAsia="en-AU"/>
        </w:rPr>
      </w:pPr>
      <w:hyperlink w:anchor="_Toc107311386" w:history="1">
        <w:r w:rsidR="005542B2" w:rsidRPr="001F6A7E">
          <w:rPr>
            <w:rStyle w:val="Hyperlink"/>
          </w:rPr>
          <w:t>PDPT in Australia</w:t>
        </w:r>
        <w:r w:rsidR="005542B2">
          <w:rPr>
            <w:webHidden/>
          </w:rPr>
          <w:tab/>
        </w:r>
        <w:r w:rsidR="005542B2">
          <w:rPr>
            <w:webHidden/>
          </w:rPr>
          <w:fldChar w:fldCharType="begin"/>
        </w:r>
        <w:r w:rsidR="005542B2">
          <w:rPr>
            <w:webHidden/>
          </w:rPr>
          <w:instrText xml:space="preserve"> PAGEREF _Toc107311386 \h </w:instrText>
        </w:r>
        <w:r w:rsidR="005542B2">
          <w:rPr>
            <w:webHidden/>
          </w:rPr>
        </w:r>
        <w:r w:rsidR="005542B2">
          <w:rPr>
            <w:webHidden/>
          </w:rPr>
          <w:fldChar w:fldCharType="separate"/>
        </w:r>
        <w:r w:rsidR="006A2224">
          <w:rPr>
            <w:webHidden/>
          </w:rPr>
          <w:t>5</w:t>
        </w:r>
        <w:r w:rsidR="005542B2">
          <w:rPr>
            <w:webHidden/>
          </w:rPr>
          <w:fldChar w:fldCharType="end"/>
        </w:r>
      </w:hyperlink>
    </w:p>
    <w:p w14:paraId="6FB9B6CF" w14:textId="0BF4AC18" w:rsidR="005542B2" w:rsidRDefault="00D557EB">
      <w:pPr>
        <w:pStyle w:val="TOC1"/>
        <w:rPr>
          <w:rFonts w:asciiTheme="minorHAnsi" w:eastAsiaTheme="minorEastAsia" w:hAnsiTheme="minorHAnsi" w:cstheme="minorBidi"/>
          <w:b w:val="0"/>
          <w:sz w:val="22"/>
          <w:szCs w:val="22"/>
          <w:lang w:eastAsia="en-AU"/>
        </w:rPr>
      </w:pPr>
      <w:hyperlink w:anchor="_Toc107311387" w:history="1">
        <w:r w:rsidR="005542B2" w:rsidRPr="001F6A7E">
          <w:rPr>
            <w:rStyle w:val="Hyperlink"/>
          </w:rPr>
          <w:t>PDPT in Victoria</w:t>
        </w:r>
        <w:r w:rsidR="005542B2">
          <w:rPr>
            <w:webHidden/>
          </w:rPr>
          <w:tab/>
        </w:r>
        <w:r w:rsidR="005542B2">
          <w:rPr>
            <w:webHidden/>
          </w:rPr>
          <w:fldChar w:fldCharType="begin"/>
        </w:r>
        <w:r w:rsidR="005542B2">
          <w:rPr>
            <w:webHidden/>
          </w:rPr>
          <w:instrText xml:space="preserve"> PAGEREF _Toc107311387 \h </w:instrText>
        </w:r>
        <w:r w:rsidR="005542B2">
          <w:rPr>
            <w:webHidden/>
          </w:rPr>
        </w:r>
        <w:r w:rsidR="005542B2">
          <w:rPr>
            <w:webHidden/>
          </w:rPr>
          <w:fldChar w:fldCharType="separate"/>
        </w:r>
        <w:r w:rsidR="006A2224">
          <w:rPr>
            <w:webHidden/>
          </w:rPr>
          <w:t>6</w:t>
        </w:r>
        <w:r w:rsidR="005542B2">
          <w:rPr>
            <w:webHidden/>
          </w:rPr>
          <w:fldChar w:fldCharType="end"/>
        </w:r>
      </w:hyperlink>
    </w:p>
    <w:p w14:paraId="42A71DEF" w14:textId="34CC5E6F" w:rsidR="005542B2" w:rsidRDefault="00D557EB">
      <w:pPr>
        <w:pStyle w:val="TOC2"/>
        <w:rPr>
          <w:rFonts w:asciiTheme="minorHAnsi" w:eastAsiaTheme="minorEastAsia" w:hAnsiTheme="minorHAnsi" w:cstheme="minorBidi"/>
          <w:sz w:val="22"/>
          <w:szCs w:val="22"/>
          <w:lang w:eastAsia="en-AU"/>
        </w:rPr>
      </w:pPr>
      <w:hyperlink w:anchor="_Toc107311388" w:history="1">
        <w:r w:rsidR="005542B2" w:rsidRPr="001F6A7E">
          <w:rPr>
            <w:rStyle w:val="Hyperlink"/>
          </w:rPr>
          <w:t>Patient eligibility</w:t>
        </w:r>
        <w:r w:rsidR="005542B2">
          <w:rPr>
            <w:webHidden/>
          </w:rPr>
          <w:tab/>
        </w:r>
        <w:r w:rsidR="005542B2">
          <w:rPr>
            <w:webHidden/>
          </w:rPr>
          <w:fldChar w:fldCharType="begin"/>
        </w:r>
        <w:r w:rsidR="005542B2">
          <w:rPr>
            <w:webHidden/>
          </w:rPr>
          <w:instrText xml:space="preserve"> PAGEREF _Toc107311388 \h </w:instrText>
        </w:r>
        <w:r w:rsidR="005542B2">
          <w:rPr>
            <w:webHidden/>
          </w:rPr>
        </w:r>
        <w:r w:rsidR="005542B2">
          <w:rPr>
            <w:webHidden/>
          </w:rPr>
          <w:fldChar w:fldCharType="separate"/>
        </w:r>
        <w:r w:rsidR="006A2224">
          <w:rPr>
            <w:webHidden/>
          </w:rPr>
          <w:t>6</w:t>
        </w:r>
        <w:r w:rsidR="005542B2">
          <w:rPr>
            <w:webHidden/>
          </w:rPr>
          <w:fldChar w:fldCharType="end"/>
        </w:r>
      </w:hyperlink>
    </w:p>
    <w:p w14:paraId="203421AF" w14:textId="49FC3A3C" w:rsidR="005542B2" w:rsidRDefault="00D557EB">
      <w:pPr>
        <w:pStyle w:val="TOC2"/>
        <w:rPr>
          <w:rFonts w:asciiTheme="minorHAnsi" w:eastAsiaTheme="minorEastAsia" w:hAnsiTheme="minorHAnsi" w:cstheme="minorBidi"/>
          <w:sz w:val="22"/>
          <w:szCs w:val="22"/>
          <w:lang w:eastAsia="en-AU"/>
        </w:rPr>
      </w:pPr>
      <w:hyperlink w:anchor="_Toc107311389" w:history="1">
        <w:r w:rsidR="005542B2" w:rsidRPr="001F6A7E">
          <w:rPr>
            <w:rStyle w:val="Hyperlink"/>
          </w:rPr>
          <w:t>Other considerations</w:t>
        </w:r>
        <w:r w:rsidR="005542B2">
          <w:rPr>
            <w:webHidden/>
          </w:rPr>
          <w:tab/>
        </w:r>
        <w:r w:rsidR="005542B2">
          <w:rPr>
            <w:webHidden/>
          </w:rPr>
          <w:fldChar w:fldCharType="begin"/>
        </w:r>
        <w:r w:rsidR="005542B2">
          <w:rPr>
            <w:webHidden/>
          </w:rPr>
          <w:instrText xml:space="preserve"> PAGEREF _Toc107311389 \h </w:instrText>
        </w:r>
        <w:r w:rsidR="005542B2">
          <w:rPr>
            <w:webHidden/>
          </w:rPr>
        </w:r>
        <w:r w:rsidR="005542B2">
          <w:rPr>
            <w:webHidden/>
          </w:rPr>
          <w:fldChar w:fldCharType="separate"/>
        </w:r>
        <w:r w:rsidR="006A2224">
          <w:rPr>
            <w:webHidden/>
          </w:rPr>
          <w:t>7</w:t>
        </w:r>
        <w:r w:rsidR="005542B2">
          <w:rPr>
            <w:webHidden/>
          </w:rPr>
          <w:fldChar w:fldCharType="end"/>
        </w:r>
      </w:hyperlink>
    </w:p>
    <w:p w14:paraId="0AFCF179" w14:textId="45A8AF11" w:rsidR="005542B2" w:rsidRDefault="00D557EB">
      <w:pPr>
        <w:pStyle w:val="TOC1"/>
        <w:rPr>
          <w:rFonts w:asciiTheme="minorHAnsi" w:eastAsiaTheme="minorEastAsia" w:hAnsiTheme="minorHAnsi" w:cstheme="minorBidi"/>
          <w:b w:val="0"/>
          <w:sz w:val="22"/>
          <w:szCs w:val="22"/>
          <w:lang w:eastAsia="en-AU"/>
        </w:rPr>
      </w:pPr>
      <w:hyperlink w:anchor="_Toc107311390" w:history="1">
        <w:r w:rsidR="005542B2" w:rsidRPr="001F6A7E">
          <w:rPr>
            <w:rStyle w:val="Hyperlink"/>
          </w:rPr>
          <w:t>Appendix 1: PDPT clinical flowchart</w:t>
        </w:r>
        <w:r w:rsidR="005542B2">
          <w:rPr>
            <w:webHidden/>
          </w:rPr>
          <w:tab/>
        </w:r>
        <w:r w:rsidR="005542B2">
          <w:rPr>
            <w:webHidden/>
          </w:rPr>
          <w:fldChar w:fldCharType="begin"/>
        </w:r>
        <w:r w:rsidR="005542B2">
          <w:rPr>
            <w:webHidden/>
          </w:rPr>
          <w:instrText xml:space="preserve"> PAGEREF _Toc107311390 \h </w:instrText>
        </w:r>
        <w:r w:rsidR="005542B2">
          <w:rPr>
            <w:webHidden/>
          </w:rPr>
        </w:r>
        <w:r w:rsidR="005542B2">
          <w:rPr>
            <w:webHidden/>
          </w:rPr>
          <w:fldChar w:fldCharType="separate"/>
        </w:r>
        <w:r w:rsidR="006A2224">
          <w:rPr>
            <w:webHidden/>
          </w:rPr>
          <w:t>11</w:t>
        </w:r>
        <w:r w:rsidR="005542B2">
          <w:rPr>
            <w:webHidden/>
          </w:rPr>
          <w:fldChar w:fldCharType="end"/>
        </w:r>
      </w:hyperlink>
    </w:p>
    <w:p w14:paraId="24C85998" w14:textId="02AD744E" w:rsidR="005542B2" w:rsidRDefault="00D557EB">
      <w:pPr>
        <w:pStyle w:val="TOC1"/>
        <w:rPr>
          <w:rFonts w:asciiTheme="minorHAnsi" w:eastAsiaTheme="minorEastAsia" w:hAnsiTheme="minorHAnsi" w:cstheme="minorBidi"/>
          <w:b w:val="0"/>
          <w:sz w:val="22"/>
          <w:szCs w:val="22"/>
          <w:lang w:eastAsia="en-AU"/>
        </w:rPr>
      </w:pPr>
      <w:hyperlink w:anchor="_Toc107311391" w:history="1">
        <w:r w:rsidR="005542B2" w:rsidRPr="001F6A7E">
          <w:rPr>
            <w:rStyle w:val="Hyperlink"/>
          </w:rPr>
          <w:t>Appendix 2: suggested PDPT prescription template</w:t>
        </w:r>
        <w:r w:rsidR="005542B2">
          <w:rPr>
            <w:webHidden/>
          </w:rPr>
          <w:tab/>
        </w:r>
        <w:r w:rsidR="005542B2">
          <w:rPr>
            <w:webHidden/>
          </w:rPr>
          <w:fldChar w:fldCharType="begin"/>
        </w:r>
        <w:r w:rsidR="005542B2">
          <w:rPr>
            <w:webHidden/>
          </w:rPr>
          <w:instrText xml:space="preserve"> PAGEREF _Toc107311391 \h </w:instrText>
        </w:r>
        <w:r w:rsidR="005542B2">
          <w:rPr>
            <w:webHidden/>
          </w:rPr>
        </w:r>
        <w:r w:rsidR="005542B2">
          <w:rPr>
            <w:webHidden/>
          </w:rPr>
          <w:fldChar w:fldCharType="separate"/>
        </w:r>
        <w:r w:rsidR="006A2224">
          <w:rPr>
            <w:webHidden/>
          </w:rPr>
          <w:t>12</w:t>
        </w:r>
        <w:r w:rsidR="005542B2">
          <w:rPr>
            <w:webHidden/>
          </w:rPr>
          <w:fldChar w:fldCharType="end"/>
        </w:r>
      </w:hyperlink>
    </w:p>
    <w:p w14:paraId="3521DD42" w14:textId="451E18CA" w:rsidR="005542B2" w:rsidRDefault="00D557EB">
      <w:pPr>
        <w:pStyle w:val="TOC1"/>
        <w:rPr>
          <w:rFonts w:asciiTheme="minorHAnsi" w:eastAsiaTheme="minorEastAsia" w:hAnsiTheme="minorHAnsi" w:cstheme="minorBidi"/>
          <w:b w:val="0"/>
          <w:sz w:val="22"/>
          <w:szCs w:val="22"/>
          <w:lang w:eastAsia="en-AU"/>
        </w:rPr>
      </w:pPr>
      <w:hyperlink w:anchor="_Toc107311392" w:history="1">
        <w:r w:rsidR="005542B2" w:rsidRPr="001F6A7E">
          <w:rPr>
            <w:rStyle w:val="Hyperlink"/>
          </w:rPr>
          <w:t>References</w:t>
        </w:r>
        <w:r w:rsidR="005542B2">
          <w:rPr>
            <w:webHidden/>
          </w:rPr>
          <w:tab/>
        </w:r>
        <w:r w:rsidR="005542B2">
          <w:rPr>
            <w:webHidden/>
          </w:rPr>
          <w:fldChar w:fldCharType="begin"/>
        </w:r>
        <w:r w:rsidR="005542B2">
          <w:rPr>
            <w:webHidden/>
          </w:rPr>
          <w:instrText xml:space="preserve"> PAGEREF _Toc107311392 \h </w:instrText>
        </w:r>
        <w:r w:rsidR="005542B2">
          <w:rPr>
            <w:webHidden/>
          </w:rPr>
        </w:r>
        <w:r w:rsidR="005542B2">
          <w:rPr>
            <w:webHidden/>
          </w:rPr>
          <w:fldChar w:fldCharType="separate"/>
        </w:r>
        <w:r w:rsidR="006A2224">
          <w:rPr>
            <w:webHidden/>
          </w:rPr>
          <w:t>13</w:t>
        </w:r>
        <w:r w:rsidR="005542B2">
          <w:rPr>
            <w:webHidden/>
          </w:rPr>
          <w:fldChar w:fldCharType="end"/>
        </w:r>
      </w:hyperlink>
    </w:p>
    <w:p w14:paraId="7F011DDF" w14:textId="6F31F9ED" w:rsidR="00FB1F6E" w:rsidRDefault="00AD784C" w:rsidP="00D079AA">
      <w:pPr>
        <w:pStyle w:val="Body"/>
      </w:pPr>
      <w:r>
        <w:fldChar w:fldCharType="end"/>
      </w:r>
    </w:p>
    <w:p w14:paraId="0C089490" w14:textId="6A2E7476" w:rsidR="00454A7D" w:rsidRPr="00925672" w:rsidRDefault="00FB1F6E">
      <w:pPr>
        <w:spacing w:after="0" w:line="240" w:lineRule="auto"/>
        <w:rPr>
          <w:rFonts w:eastAsia="Times"/>
        </w:rPr>
      </w:pPr>
      <w:r>
        <w:br w:type="page"/>
      </w:r>
    </w:p>
    <w:p w14:paraId="51EBD875" w14:textId="579680BB" w:rsidR="00480C30" w:rsidRPr="00B57329" w:rsidRDefault="00480C30" w:rsidP="00480C30">
      <w:pPr>
        <w:pStyle w:val="Heading1"/>
      </w:pPr>
      <w:bookmarkStart w:id="1" w:name="_Toc107311379"/>
      <w:bookmarkStart w:id="2" w:name="_Hlk66712316"/>
      <w:r>
        <w:lastRenderedPageBreak/>
        <w:t>Purpose</w:t>
      </w:r>
      <w:bookmarkEnd w:id="1"/>
    </w:p>
    <w:p w14:paraId="37156317" w14:textId="1D7EC0F5" w:rsidR="00925672" w:rsidRPr="00246B28" w:rsidRDefault="00925672" w:rsidP="00480C30">
      <w:pPr>
        <w:pStyle w:val="Body"/>
      </w:pPr>
      <w:r w:rsidRPr="00246B28">
        <w:t xml:space="preserve">This document provides </w:t>
      </w:r>
      <w:r>
        <w:t xml:space="preserve">health </w:t>
      </w:r>
      <w:r w:rsidRPr="00246B28">
        <w:t xml:space="preserve">practitioners in Victoria with information </w:t>
      </w:r>
      <w:r w:rsidR="00D22D98">
        <w:t>about</w:t>
      </w:r>
      <w:r w:rsidRPr="00246B28">
        <w:t xml:space="preserve"> pr</w:t>
      </w:r>
      <w:r>
        <w:t xml:space="preserve">oviding </w:t>
      </w:r>
      <w:r w:rsidRPr="00246B28">
        <w:t xml:space="preserve">patient delivered partner therapy (PDPT) for the treatment of the sexual partners of patients with chlamydia. It includes </w:t>
      </w:r>
      <w:r>
        <w:t>guidance</w:t>
      </w:r>
      <w:r w:rsidRPr="00246B28">
        <w:t xml:space="preserve"> for prescribing PDPT, eligibility criteria, </w:t>
      </w:r>
      <w:r>
        <w:t xml:space="preserve">prescription </w:t>
      </w:r>
      <w:r w:rsidRPr="00246B28">
        <w:t>document</w:t>
      </w:r>
      <w:r>
        <w:t xml:space="preserve">ation, </w:t>
      </w:r>
      <w:r w:rsidRPr="00246B28">
        <w:t>compliance notes</w:t>
      </w:r>
      <w:r>
        <w:t xml:space="preserve"> and practical information on how to implement PDPT within best</w:t>
      </w:r>
      <w:r w:rsidR="003B2C2B">
        <w:t>-</w:t>
      </w:r>
      <w:r>
        <w:t>practice patient care</w:t>
      </w:r>
      <w:r w:rsidRPr="00246B28">
        <w:t xml:space="preserve">. </w:t>
      </w:r>
    </w:p>
    <w:p w14:paraId="4A874418" w14:textId="6B1DD150" w:rsidR="00925672" w:rsidRPr="00246B28" w:rsidRDefault="00925672" w:rsidP="00480C30">
      <w:pPr>
        <w:pStyle w:val="Body"/>
      </w:pPr>
      <w:r w:rsidRPr="00246B28">
        <w:t>These guidelines replace the following Department of Health (the department) 2015 documents:</w:t>
      </w:r>
    </w:p>
    <w:p w14:paraId="424C2549" w14:textId="77777777" w:rsidR="00925672" w:rsidRPr="00246B28" w:rsidRDefault="00925672" w:rsidP="00480C30">
      <w:pPr>
        <w:pStyle w:val="Bullet1"/>
      </w:pPr>
      <w:r w:rsidRPr="00246B28">
        <w:t>PDPT clinical guidelines</w:t>
      </w:r>
    </w:p>
    <w:p w14:paraId="7E3F2FD1" w14:textId="77777777" w:rsidR="00925672" w:rsidRPr="00246B28" w:rsidRDefault="00925672" w:rsidP="00480C30">
      <w:pPr>
        <w:pStyle w:val="Bullet1"/>
      </w:pPr>
      <w:r w:rsidRPr="00246B28">
        <w:t>FAQs for clinicians</w:t>
      </w:r>
    </w:p>
    <w:p w14:paraId="5041B09B" w14:textId="313F6E38" w:rsidR="00217A35" w:rsidRDefault="00925672" w:rsidP="00480C30">
      <w:pPr>
        <w:pStyle w:val="Bullet1"/>
      </w:pPr>
      <w:r w:rsidRPr="00246B28">
        <w:t>Your partner has been diagnosed with chlamydia – what now?</w:t>
      </w:r>
      <w:r w:rsidR="00217A35">
        <w:br/>
      </w:r>
    </w:p>
    <w:p w14:paraId="639560F2" w14:textId="14C765D9" w:rsidR="00925672" w:rsidRPr="00246B28" w:rsidRDefault="00925672" w:rsidP="00480C30">
      <w:pPr>
        <w:pStyle w:val="Body"/>
      </w:pPr>
      <w:r w:rsidRPr="00246B28">
        <w:t xml:space="preserve">The department recommends that health practitioners who prescribe PDPT use this guidance document in conjunction with the </w:t>
      </w:r>
      <w:r w:rsidR="006F72A1">
        <w:t>key documents listed on page 9.</w:t>
      </w:r>
      <w:r w:rsidRPr="00246B28">
        <w:t xml:space="preserve"> </w:t>
      </w:r>
    </w:p>
    <w:p w14:paraId="7C8DDC50" w14:textId="3362080C" w:rsidR="00925672" w:rsidRPr="00AA32E6" w:rsidRDefault="00925672" w:rsidP="00480C30">
      <w:pPr>
        <w:pStyle w:val="Heading1"/>
      </w:pPr>
      <w:bookmarkStart w:id="3" w:name="_Toc43719466"/>
      <w:bookmarkStart w:id="4" w:name="_Toc105682534"/>
      <w:bookmarkStart w:id="5" w:name="_Toc107311380"/>
      <w:r w:rsidRPr="00AA32E6">
        <w:t>Background</w:t>
      </w:r>
      <w:bookmarkEnd w:id="3"/>
      <w:bookmarkEnd w:id="4"/>
      <w:bookmarkEnd w:id="5"/>
    </w:p>
    <w:p w14:paraId="6949D3AF" w14:textId="4F21D4D5" w:rsidR="00925672" w:rsidRDefault="00925672" w:rsidP="00480C30">
      <w:pPr>
        <w:pStyle w:val="Body"/>
      </w:pPr>
      <w:r w:rsidRPr="00480C30">
        <w:rPr>
          <w:i/>
          <w:iCs/>
        </w:rPr>
        <w:t>Chlamydia trachomatis</w:t>
      </w:r>
      <w:r w:rsidRPr="009C04A1">
        <w:t xml:space="preserve"> (chlamydia) is the most common notifiable sexually transmissible infection (STI) in Australia</w:t>
      </w:r>
      <w:r>
        <w:t xml:space="preserve"> and the </w:t>
      </w:r>
      <w:proofErr w:type="gramStart"/>
      <w:r>
        <w:t xml:space="preserve">most commonly </w:t>
      </w:r>
      <w:r w:rsidRPr="00727A89">
        <w:t>diagnosed</w:t>
      </w:r>
      <w:proofErr w:type="gramEnd"/>
      <w:r w:rsidRPr="00727A89">
        <w:t xml:space="preserve"> bacterial STI</w:t>
      </w:r>
      <w:r w:rsidRPr="005B7231">
        <w:t xml:space="preserve"> </w:t>
      </w:r>
      <w:r w:rsidRPr="00727A89">
        <w:t>worldwide</w:t>
      </w:r>
      <w:r w:rsidRPr="009C04A1">
        <w:t xml:space="preserve">. </w:t>
      </w:r>
      <w:r w:rsidRPr="00781A2E">
        <w:t xml:space="preserve">It is spread by having unprotected sex of any kind (vaginal, </w:t>
      </w:r>
      <w:proofErr w:type="gramStart"/>
      <w:r w:rsidRPr="00781A2E">
        <w:t>oral</w:t>
      </w:r>
      <w:proofErr w:type="gramEnd"/>
      <w:r w:rsidRPr="00781A2E">
        <w:t xml:space="preserve"> or anal) with an infected person. </w:t>
      </w:r>
    </w:p>
    <w:p w14:paraId="68B84359" w14:textId="77777777" w:rsidR="005542B2" w:rsidRDefault="005542B2" w:rsidP="005542B2">
      <w:pPr>
        <w:pStyle w:val="Body"/>
      </w:pPr>
      <w:r w:rsidRPr="005542B2">
        <w:t xml:space="preserve">If left untreated, chlamydia infections can cause serious long-term complications including chronic pelvic pain, pelvic inflammatory disease, ectopic </w:t>
      </w:r>
      <w:proofErr w:type="gramStart"/>
      <w:r w:rsidRPr="005542B2">
        <w:t>pregnancy</w:t>
      </w:r>
      <w:proofErr w:type="gramEnd"/>
      <w:r w:rsidRPr="005542B2">
        <w:t xml:space="preserve"> and infertility. </w:t>
      </w:r>
      <w:r w:rsidRPr="005542B2">
        <w:rPr>
          <w:bCs/>
          <w:szCs w:val="21"/>
        </w:rPr>
        <w:t>If a pregnant woman has untreated chlamydia, it can be passed onto her baby during childbirth, causing lung or eye infections</w:t>
      </w:r>
      <w:r w:rsidRPr="005542B2">
        <w:t>.</w:t>
      </w:r>
    </w:p>
    <w:p w14:paraId="504ACCB2" w14:textId="4F9790E5" w:rsidR="00925672" w:rsidRPr="00781A2E" w:rsidRDefault="00925672" w:rsidP="00480C30">
      <w:pPr>
        <w:pStyle w:val="Body"/>
      </w:pPr>
      <w:r w:rsidRPr="00781A2E">
        <w:t>Over the past three decades, chlamydia notifications have dramatically increased in Victoria.</w:t>
      </w:r>
      <w:r w:rsidRPr="00480C30">
        <w:rPr>
          <w:vertAlign w:val="superscript"/>
        </w:rPr>
        <w:footnoteReference w:id="2"/>
      </w:r>
      <w:r w:rsidRPr="00781A2E">
        <w:t xml:space="preserve"> In 2019, cases peaked and were 33 times higher than cases notified in 1991.</w:t>
      </w:r>
      <w:r w:rsidR="00480C30">
        <w:t xml:space="preserve"> </w:t>
      </w:r>
      <w:r w:rsidRPr="00781A2E">
        <w:t xml:space="preserve">From 2016 </w:t>
      </w:r>
      <w:r w:rsidR="00AD0D67">
        <w:t>to</w:t>
      </w:r>
      <w:r w:rsidR="00AD0D67" w:rsidRPr="00781A2E">
        <w:t xml:space="preserve"> </w:t>
      </w:r>
      <w:r w:rsidRPr="00781A2E">
        <w:t>2021, a total of 137,587 chlamydia cases were notified in Victoria.</w:t>
      </w:r>
      <w:r w:rsidRPr="00480C30">
        <w:rPr>
          <w:vertAlign w:val="superscript"/>
        </w:rPr>
        <w:footnoteReference w:id="3"/>
      </w:r>
      <w:r w:rsidRPr="00781A2E">
        <w:t xml:space="preserve"> Adolescents and young people carry the </w:t>
      </w:r>
      <w:r w:rsidR="00772CDA">
        <w:t>bulk</w:t>
      </w:r>
      <w:r w:rsidR="00E251EE">
        <w:t xml:space="preserve"> of the </w:t>
      </w:r>
      <w:r w:rsidRPr="00781A2E">
        <w:t>infection</w:t>
      </w:r>
      <w:r w:rsidR="00E251EE">
        <w:t xml:space="preserve"> burden</w:t>
      </w:r>
      <w:r w:rsidRPr="00781A2E">
        <w:t xml:space="preserve">, with </w:t>
      </w:r>
      <w:r w:rsidR="00AD0D67" w:rsidRPr="00781A2E">
        <w:t>most</w:t>
      </w:r>
      <w:r w:rsidRPr="00781A2E">
        <w:t xml:space="preserve"> cases in the 20–29-year age range (median age 25 years). Nationally, the 5-year average of chlamydia cases (2016</w:t>
      </w:r>
      <w:r w:rsidR="0037746D">
        <w:t>–</w:t>
      </w:r>
      <w:r w:rsidRPr="00781A2E">
        <w:t xml:space="preserve">2021) was </w:t>
      </w:r>
      <w:r w:rsidRPr="0099303F">
        <w:t>100,33</w:t>
      </w:r>
      <w:r w:rsidR="00E251EE" w:rsidRPr="0099303F">
        <w:t>9</w:t>
      </w:r>
      <w:r w:rsidRPr="00781A2E">
        <w:t xml:space="preserve"> </w:t>
      </w:r>
      <w:r w:rsidR="00E01592">
        <w:t>(Australian Government Department of Health 2021).</w:t>
      </w:r>
    </w:p>
    <w:p w14:paraId="609BA69F" w14:textId="77777777" w:rsidR="00925672" w:rsidRPr="00B31C10" w:rsidRDefault="00925672" w:rsidP="007E5414">
      <w:pPr>
        <w:pStyle w:val="Heading2"/>
      </w:pPr>
      <w:bookmarkStart w:id="6" w:name="_Toc105682535"/>
      <w:bookmarkStart w:id="7" w:name="_Toc107311381"/>
      <w:r w:rsidRPr="00B31C10">
        <w:t>Partner notification</w:t>
      </w:r>
      <w:bookmarkEnd w:id="6"/>
      <w:bookmarkEnd w:id="7"/>
    </w:p>
    <w:p w14:paraId="4E54196C" w14:textId="40A8731C" w:rsidR="00925672" w:rsidRPr="003D1318" w:rsidRDefault="00925672" w:rsidP="005A2E4E">
      <w:pPr>
        <w:pStyle w:val="Body"/>
      </w:pPr>
      <w:r w:rsidRPr="003D1318">
        <w:t>Informing (or notifying) and treating the sexual partner/s of people diagnosed with chlamydia helps to reduce the duration of infection for treated partner/s</w:t>
      </w:r>
      <w:r w:rsidR="003B2C2B" w:rsidRPr="003D1318">
        <w:t>.</w:t>
      </w:r>
      <w:r w:rsidRPr="003D1318">
        <w:t xml:space="preserve"> </w:t>
      </w:r>
      <w:r w:rsidR="003B2C2B" w:rsidRPr="003D1318">
        <w:t>This helps reduce</w:t>
      </w:r>
      <w:r w:rsidRPr="003D1318">
        <w:t xml:space="preserve"> ongoing transmission, the risk of reinfection for the index patient</w:t>
      </w:r>
      <w:r w:rsidR="003B2C2B" w:rsidRPr="003D1318">
        <w:t>,</w:t>
      </w:r>
      <w:r w:rsidRPr="003D1318">
        <w:t xml:space="preserve"> and the risk of chlamydia</w:t>
      </w:r>
      <w:r w:rsidR="003B2C2B" w:rsidRPr="003D1318">
        <w:t>-</w:t>
      </w:r>
      <w:r w:rsidRPr="003D1318">
        <w:t>associated complications</w:t>
      </w:r>
      <w:r w:rsidR="003B2C2B" w:rsidRPr="003D1318">
        <w:t xml:space="preserve"> (such as pelvic inflammatory disease for women)</w:t>
      </w:r>
      <w:r w:rsidRPr="003D1318">
        <w:t xml:space="preserve"> for the index patient and their partner</w:t>
      </w:r>
      <w:r w:rsidR="003B2C2B" w:rsidRPr="003D1318">
        <w:t>/</w:t>
      </w:r>
      <w:r w:rsidRPr="003D1318">
        <w:t xml:space="preserve">s </w:t>
      </w:r>
      <w:r w:rsidR="00E01592" w:rsidRPr="003D1318">
        <w:t>(Althaus et al. 2014</w:t>
      </w:r>
      <w:r w:rsidR="007276F6" w:rsidRPr="003D1318">
        <w:t>;</w:t>
      </w:r>
      <w:r w:rsidR="00E01592" w:rsidRPr="003D1318">
        <w:t xml:space="preserve"> </w:t>
      </w:r>
      <w:proofErr w:type="spellStart"/>
      <w:r w:rsidR="00E01592" w:rsidRPr="003D1318">
        <w:t>Reddel</w:t>
      </w:r>
      <w:proofErr w:type="spellEnd"/>
      <w:r w:rsidR="00E01592" w:rsidRPr="003D1318">
        <w:t xml:space="preserve"> </w:t>
      </w:r>
      <w:r w:rsidR="007276F6" w:rsidRPr="003D1318">
        <w:t>&amp;</w:t>
      </w:r>
      <w:r w:rsidR="00E01592" w:rsidRPr="003D1318">
        <w:t xml:space="preserve"> Edmiston 2012).</w:t>
      </w:r>
      <w:r w:rsidRPr="003D1318">
        <w:t xml:space="preserve"> It is recommended that patients with a chlamydia infection inform their </w:t>
      </w:r>
      <w:r w:rsidRPr="003D1318">
        <w:lastRenderedPageBreak/>
        <w:t>partner/s from the preceding six months prior to diagnosis</w:t>
      </w:r>
      <w:r w:rsidR="00E01592" w:rsidRPr="003D1318">
        <w:t xml:space="preserve"> (Australasian Society for HIV Viral Hepatitis and Sexual Health Medicine [ASHM] 2016). </w:t>
      </w:r>
    </w:p>
    <w:p w14:paraId="0B602126" w14:textId="7126EEEA" w:rsidR="00925672" w:rsidRPr="003D1318" w:rsidRDefault="00925672" w:rsidP="005A2E4E">
      <w:pPr>
        <w:pStyle w:val="Body"/>
      </w:pPr>
      <w:r w:rsidRPr="003D1318">
        <w:t>It is the responsibility of the diagnosing clinician to initiate a discussion with the patient about the need for partner notification</w:t>
      </w:r>
      <w:r w:rsidR="003B2C2B" w:rsidRPr="003D1318">
        <w:t>, and to provide notification options,</w:t>
      </w:r>
      <w:r w:rsidRPr="003D1318">
        <w:t xml:space="preserve"> so the patient can make an informed decision about the most suitable option for each sexual partner</w:t>
      </w:r>
      <w:r w:rsidR="00E01592" w:rsidRPr="003D1318">
        <w:t xml:space="preserve"> (ASHM 2016).</w:t>
      </w:r>
      <w:r w:rsidRPr="003D1318">
        <w:t xml:space="preserve"> In most cases, </w:t>
      </w:r>
      <w:r w:rsidR="003B2C2B" w:rsidRPr="003D1318">
        <w:t xml:space="preserve">the </w:t>
      </w:r>
      <w:r w:rsidRPr="003D1318">
        <w:t xml:space="preserve">patient </w:t>
      </w:r>
      <w:r w:rsidR="003B2C2B" w:rsidRPr="003D1318">
        <w:t>can do this</w:t>
      </w:r>
      <w:r w:rsidRPr="003D1318">
        <w:t xml:space="preserve">. There are a range of options for the patient to do this such as by telling partners face-to-face or via online messaging or web-based services. These methods then require partners to seek treatment from a healthcare provider. </w:t>
      </w:r>
    </w:p>
    <w:p w14:paraId="01E46B47" w14:textId="087D54B7" w:rsidR="00925672" w:rsidRPr="00B31C10" w:rsidRDefault="00925672" w:rsidP="0037746D">
      <w:pPr>
        <w:pStyle w:val="Heading2"/>
      </w:pPr>
      <w:bookmarkStart w:id="8" w:name="_Toc105682536"/>
      <w:bookmarkStart w:id="9" w:name="_Toc107311382"/>
      <w:r w:rsidRPr="00B31C10">
        <w:t>Patient delivered partner therapy</w:t>
      </w:r>
      <w:bookmarkEnd w:id="8"/>
      <w:r w:rsidR="0037746D">
        <w:t xml:space="preserve"> (PDPT)</w:t>
      </w:r>
      <w:bookmarkEnd w:id="9"/>
    </w:p>
    <w:p w14:paraId="32F4264F" w14:textId="3F6229CE" w:rsidR="00925672" w:rsidRPr="003D1318" w:rsidRDefault="0037746D" w:rsidP="005A2E4E">
      <w:pPr>
        <w:pStyle w:val="Body"/>
      </w:pPr>
      <w:r w:rsidRPr="003D1318">
        <w:t>PDPT</w:t>
      </w:r>
      <w:r w:rsidR="00925672" w:rsidRPr="003D1318">
        <w:t xml:space="preserve"> is a method of prescribing or providing antibiotic treatment for both the patient and their sexual partner/s. The patient then delivers a prescription, or the treatment, to their partner/s. </w:t>
      </w:r>
    </w:p>
    <w:p w14:paraId="5B6E8249" w14:textId="77777777" w:rsidR="00925672" w:rsidRPr="00B205D2" w:rsidRDefault="00925672" w:rsidP="0037746D">
      <w:pPr>
        <w:pStyle w:val="Heading2"/>
      </w:pPr>
      <w:bookmarkStart w:id="10" w:name="_Toc105682537"/>
      <w:bookmarkStart w:id="11" w:name="_Toc107311383"/>
      <w:r w:rsidRPr="00B205D2">
        <w:t>Recommended PDPT treatment</w:t>
      </w:r>
      <w:bookmarkEnd w:id="10"/>
      <w:bookmarkEnd w:id="11"/>
    </w:p>
    <w:p w14:paraId="39891658" w14:textId="7CBDBD91" w:rsidR="00925672" w:rsidRPr="003D1318" w:rsidRDefault="00925672" w:rsidP="005A2E4E">
      <w:pPr>
        <w:pStyle w:val="Body"/>
      </w:pPr>
      <w:r w:rsidRPr="003D1318">
        <w:t>Azithromycin 1 gram given as a single oral dose</w:t>
      </w:r>
      <w:r w:rsidR="001A2DB3" w:rsidRPr="003D1318">
        <w:t xml:space="preserve"> of 2 tablets</w:t>
      </w:r>
      <w:r w:rsidR="00E251EE" w:rsidRPr="003D1318">
        <w:t xml:space="preserve"> (500mg each)</w:t>
      </w:r>
      <w:r w:rsidRPr="003D1318">
        <w:t>.</w:t>
      </w:r>
    </w:p>
    <w:p w14:paraId="5B2AF00E" w14:textId="77777777" w:rsidR="00925672" w:rsidRPr="001D0916" w:rsidRDefault="00925672" w:rsidP="0037746D">
      <w:pPr>
        <w:pStyle w:val="Heading2"/>
      </w:pPr>
      <w:bookmarkStart w:id="12" w:name="_Toc105682538"/>
      <w:bookmarkStart w:id="13" w:name="_Toc107311384"/>
      <w:r>
        <w:t>Evidence for PDPT</w:t>
      </w:r>
      <w:bookmarkEnd w:id="12"/>
      <w:bookmarkEnd w:id="13"/>
    </w:p>
    <w:p w14:paraId="4BF0ACCA" w14:textId="161DEBBA" w:rsidR="00732D35" w:rsidRPr="003D1318" w:rsidRDefault="00925672" w:rsidP="005A2E4E">
      <w:pPr>
        <w:pStyle w:val="Body"/>
      </w:pPr>
      <w:r w:rsidRPr="003D1318">
        <w:t xml:space="preserve">Clinical trials have shown that PDPT with a single </w:t>
      </w:r>
      <w:proofErr w:type="gramStart"/>
      <w:r w:rsidR="0037746D" w:rsidRPr="003D1318">
        <w:t>1 gram</w:t>
      </w:r>
      <w:proofErr w:type="gramEnd"/>
      <w:r w:rsidRPr="003D1318">
        <w:t xml:space="preserve"> dose of oral azithromycin for chlamydia, is a safe and effective method of treating sexual partners of people with chlamydia. There have been no serious adverse effects reported from azithromycin associated with PDPT</w:t>
      </w:r>
      <w:r w:rsidR="007276F6" w:rsidRPr="003D1318">
        <w:t xml:space="preserve"> (Golden et al. 2015; Schillinger et al. 2003; </w:t>
      </w:r>
      <w:proofErr w:type="spellStart"/>
      <w:r w:rsidR="007276F6" w:rsidRPr="003D1318">
        <w:t>Trelle</w:t>
      </w:r>
      <w:proofErr w:type="spellEnd"/>
      <w:r w:rsidR="007276F6" w:rsidRPr="003D1318">
        <w:t xml:space="preserve"> et al. 2007).</w:t>
      </w:r>
      <w:r w:rsidRPr="003D1318">
        <w:t xml:space="preserve"> PDPT has been demonstrated to treat more partners per case and to have a reduced risk of recurrent infection in the case </w:t>
      </w:r>
      <w:r w:rsidR="00AA1B8D" w:rsidRPr="003D1318">
        <w:t>than the</w:t>
      </w:r>
      <w:r w:rsidRPr="003D1318">
        <w:t xml:space="preserve"> patient advis</w:t>
      </w:r>
      <w:r w:rsidR="00AA1B8D" w:rsidRPr="003D1318">
        <w:t>ing</w:t>
      </w:r>
      <w:r w:rsidRPr="003D1318">
        <w:t xml:space="preserve"> their sexual partner/s to seek treatment.</w:t>
      </w:r>
      <w:r w:rsidR="00E01592" w:rsidRPr="003D1318">
        <w:t xml:space="preserve"> (Althaus et al. 2014</w:t>
      </w:r>
      <w:r w:rsidR="007276F6" w:rsidRPr="003D1318">
        <w:t>;</w:t>
      </w:r>
      <w:r w:rsidR="00E01592" w:rsidRPr="003D1318">
        <w:t xml:space="preserve"> </w:t>
      </w:r>
      <w:r w:rsidR="007276F6" w:rsidRPr="003D1318">
        <w:t xml:space="preserve">Golden et al. 2015; Schillinger et al. 2003; </w:t>
      </w:r>
      <w:proofErr w:type="spellStart"/>
      <w:r w:rsidR="00E01592" w:rsidRPr="003D1318">
        <w:t>Trelle</w:t>
      </w:r>
      <w:proofErr w:type="spellEnd"/>
      <w:r w:rsidR="00E01592" w:rsidRPr="003D1318">
        <w:t xml:space="preserve"> et al. 2007</w:t>
      </w:r>
      <w:r w:rsidR="007276F6" w:rsidRPr="003D1318">
        <w:t>).</w:t>
      </w:r>
      <w:r w:rsidRPr="003D1318">
        <w:t xml:space="preserve"> </w:t>
      </w:r>
    </w:p>
    <w:p w14:paraId="19482ADF" w14:textId="2F5F9771" w:rsidR="00925672" w:rsidRPr="003D1318" w:rsidRDefault="00925672" w:rsidP="005A2E4E">
      <w:pPr>
        <w:pStyle w:val="Body"/>
      </w:pPr>
      <w:r w:rsidRPr="003D1318">
        <w:t xml:space="preserve">An evaluation of PDPT in Australia found that PDPT was acceptable to patients; 34 per cent of eligible patients were offered PDPT and 79 per cent </w:t>
      </w:r>
      <w:r w:rsidR="00AA1B8D" w:rsidRPr="003D1318">
        <w:t xml:space="preserve">of those </w:t>
      </w:r>
      <w:r w:rsidRPr="003D1318">
        <w:t xml:space="preserve">accepted. Most partners </w:t>
      </w:r>
      <w:r w:rsidR="00AA1B8D" w:rsidRPr="003D1318">
        <w:t>who accepted</w:t>
      </w:r>
      <w:r w:rsidRPr="003D1318">
        <w:t xml:space="preserve"> PDPT were regular sexual partners</w:t>
      </w:r>
      <w:r w:rsidR="007276F6" w:rsidRPr="003D1318">
        <w:t xml:space="preserve"> (Lorch et al. 2019). </w:t>
      </w:r>
      <w:r w:rsidR="0082459B" w:rsidRPr="003D1318">
        <w:t>A</w:t>
      </w:r>
      <w:r w:rsidR="00F22572" w:rsidRPr="003D1318">
        <w:t>nother</w:t>
      </w:r>
      <w:r w:rsidR="0082459B" w:rsidRPr="003D1318">
        <w:t xml:space="preserve"> Australian study found that 92 per cent of partners receiving PDPT took the antibiotics on the same day as the index case (Woodward et al</w:t>
      </w:r>
      <w:r w:rsidR="00F22572" w:rsidRPr="003D1318">
        <w:t>.</w:t>
      </w:r>
      <w:r w:rsidR="0082459B" w:rsidRPr="003D1318">
        <w:t xml:space="preserve"> 2020). </w:t>
      </w:r>
      <w:r w:rsidR="00F22572" w:rsidRPr="003D1318">
        <w:t>Further, a</w:t>
      </w:r>
      <w:r w:rsidR="006A0761" w:rsidRPr="003D1318">
        <w:t>n Australian survey of general practitioners (GPs) found that GPs accepted that PDPT is best targeted to partners who may not access timely testing or treatment and is more likely to be delivered in state</w:t>
      </w:r>
      <w:r w:rsidR="00AA1B8D" w:rsidRPr="003D1318">
        <w:t>s</w:t>
      </w:r>
      <w:r w:rsidR="006A0761" w:rsidRPr="003D1318">
        <w:t xml:space="preserve"> and territories that provide clinical guidance (</w:t>
      </w:r>
      <w:proofErr w:type="spellStart"/>
      <w:r w:rsidR="006A0761" w:rsidRPr="003D1318">
        <w:t>Goller</w:t>
      </w:r>
      <w:proofErr w:type="spellEnd"/>
      <w:r w:rsidR="006A0761" w:rsidRPr="003D1318">
        <w:t xml:space="preserve"> et al</w:t>
      </w:r>
      <w:r w:rsidR="00F22572" w:rsidRPr="003D1318">
        <w:t>. 2021).</w:t>
      </w:r>
    </w:p>
    <w:p w14:paraId="00A16211" w14:textId="77777777" w:rsidR="00925672" w:rsidRPr="009C04A1" w:rsidRDefault="00925672" w:rsidP="0037746D">
      <w:pPr>
        <w:pStyle w:val="Heading2"/>
      </w:pPr>
      <w:bookmarkStart w:id="14" w:name="_Toc105682539"/>
      <w:bookmarkStart w:id="15" w:name="_Toc107311385"/>
      <w:r w:rsidRPr="009C04A1">
        <w:t>PDPT safety</w:t>
      </w:r>
      <w:bookmarkEnd w:id="14"/>
      <w:bookmarkEnd w:id="15"/>
    </w:p>
    <w:p w14:paraId="4A3BCA5E" w14:textId="01419DAD" w:rsidR="00925672" w:rsidRPr="003D1318" w:rsidRDefault="00925672" w:rsidP="005A2E4E">
      <w:pPr>
        <w:pStyle w:val="Body"/>
      </w:pPr>
      <w:r w:rsidRPr="003D1318">
        <w:t>Azithromycin is a safe and well</w:t>
      </w:r>
      <w:r w:rsidR="00827CCF" w:rsidRPr="003D1318">
        <w:t>-</w:t>
      </w:r>
      <w:r w:rsidRPr="003D1318">
        <w:t xml:space="preserve">tolerated antibiotic. The </w:t>
      </w:r>
      <w:proofErr w:type="gramStart"/>
      <w:r w:rsidRPr="003D1318">
        <w:t>most commonly reported</w:t>
      </w:r>
      <w:proofErr w:type="gramEnd"/>
      <w:r w:rsidRPr="003D1318">
        <w:t xml:space="preserve"> adverse effects include mild diarrhoea, nausea, vomiting, abdominal pain and dyspepsia</w:t>
      </w:r>
      <w:r w:rsidR="007276F6" w:rsidRPr="003D1318">
        <w:t xml:space="preserve"> (Hopkins 1991). </w:t>
      </w:r>
    </w:p>
    <w:p w14:paraId="72CF47B8" w14:textId="77777777" w:rsidR="00925672" w:rsidRPr="00B413A5" w:rsidRDefault="00925672" w:rsidP="0037746D">
      <w:pPr>
        <w:pStyle w:val="Heading2"/>
      </w:pPr>
      <w:bookmarkStart w:id="16" w:name="_Toc105682540"/>
      <w:bookmarkStart w:id="17" w:name="_Toc107311386"/>
      <w:r w:rsidRPr="00B413A5">
        <w:t>P</w:t>
      </w:r>
      <w:r>
        <w:t xml:space="preserve">DPT </w:t>
      </w:r>
      <w:r w:rsidRPr="00B413A5">
        <w:t>in Australia</w:t>
      </w:r>
      <w:bookmarkEnd w:id="16"/>
      <w:bookmarkEnd w:id="17"/>
    </w:p>
    <w:p w14:paraId="14FF65C4" w14:textId="6CD3D6EF" w:rsidR="00925672" w:rsidRPr="003D1318" w:rsidRDefault="00925672" w:rsidP="005A2E4E">
      <w:pPr>
        <w:pStyle w:val="Body"/>
      </w:pPr>
      <w:r w:rsidRPr="003D1318">
        <w:t xml:space="preserve">PDPT is highlighted as an option in the </w:t>
      </w:r>
      <w:r w:rsidRPr="0037746D">
        <w:rPr>
          <w:i/>
          <w:iCs/>
        </w:rPr>
        <w:t>Fourth National Sexually Transmissible Infection Strategy 2018</w:t>
      </w:r>
      <w:r w:rsidR="0037746D">
        <w:rPr>
          <w:i/>
          <w:iCs/>
        </w:rPr>
        <w:t>–</w:t>
      </w:r>
      <w:r w:rsidRPr="0037746D">
        <w:rPr>
          <w:i/>
          <w:iCs/>
        </w:rPr>
        <w:t>202</w:t>
      </w:r>
      <w:r w:rsidR="00E251EE">
        <w:rPr>
          <w:i/>
          <w:iCs/>
        </w:rPr>
        <w:t>2</w:t>
      </w:r>
      <w:r w:rsidR="007276F6" w:rsidRPr="003D1318">
        <w:t xml:space="preserve"> (</w:t>
      </w:r>
      <w:r w:rsidR="0000790D" w:rsidRPr="003D1318">
        <w:t xml:space="preserve">Australian Government </w:t>
      </w:r>
      <w:r w:rsidR="007276F6" w:rsidRPr="003D1318">
        <w:t>Department of Health 2018)</w:t>
      </w:r>
      <w:r w:rsidRPr="003D1318">
        <w:t xml:space="preserve">, the </w:t>
      </w:r>
      <w:r w:rsidRPr="005A2E4E">
        <w:rPr>
          <w:i/>
          <w:iCs/>
        </w:rPr>
        <w:t>Australasian contact tracing guidelines</w:t>
      </w:r>
      <w:r w:rsidR="007276F6" w:rsidRPr="003D1318">
        <w:t xml:space="preserve"> (ASHM 2016)</w:t>
      </w:r>
      <w:r w:rsidRPr="003D1318">
        <w:t xml:space="preserve">, the </w:t>
      </w:r>
      <w:r w:rsidRPr="005A2E4E">
        <w:rPr>
          <w:i/>
          <w:iCs/>
        </w:rPr>
        <w:t>Australian STI management guidelines</w:t>
      </w:r>
      <w:r w:rsidR="002A3CA0">
        <w:rPr>
          <w:i/>
          <w:iCs/>
        </w:rPr>
        <w:t>:</w:t>
      </w:r>
      <w:r w:rsidRPr="005A2E4E">
        <w:rPr>
          <w:i/>
          <w:iCs/>
        </w:rPr>
        <w:t xml:space="preserve"> for use in Primary Care</w:t>
      </w:r>
      <w:r w:rsidR="007276F6" w:rsidRPr="003D1318">
        <w:t xml:space="preserve"> (ASHM 2021)</w:t>
      </w:r>
      <w:r w:rsidRPr="003D1318">
        <w:t xml:space="preserve"> and the </w:t>
      </w:r>
      <w:r w:rsidRPr="0037746D">
        <w:rPr>
          <w:i/>
          <w:iCs/>
        </w:rPr>
        <w:t>Victorian sexually transmissible infections plan 2022</w:t>
      </w:r>
      <w:r w:rsidR="0037746D">
        <w:rPr>
          <w:i/>
          <w:iCs/>
        </w:rPr>
        <w:t>–</w:t>
      </w:r>
      <w:r w:rsidRPr="0037746D">
        <w:rPr>
          <w:i/>
          <w:iCs/>
        </w:rPr>
        <w:t>30</w:t>
      </w:r>
      <w:r w:rsidR="007276F6" w:rsidRPr="003D1318">
        <w:t xml:space="preserve"> (Department of Health 2022)</w:t>
      </w:r>
      <w:r w:rsidRPr="003D1318">
        <w:t xml:space="preserve">. The </w:t>
      </w:r>
      <w:r w:rsidRPr="005A2E4E">
        <w:rPr>
          <w:i/>
          <w:iCs/>
        </w:rPr>
        <w:t>Australasian Chapter of Sexual Health Medicine</w:t>
      </w:r>
      <w:r w:rsidR="007276F6" w:rsidRPr="003D1318">
        <w:t xml:space="preserve"> (2009)</w:t>
      </w:r>
      <w:r w:rsidRPr="003D1318">
        <w:t xml:space="preserve"> has issued PDPT guidelines that outline patient selection, contraindications, recommended </w:t>
      </w:r>
      <w:proofErr w:type="gramStart"/>
      <w:r w:rsidRPr="003D1318">
        <w:t>treatment</w:t>
      </w:r>
      <w:proofErr w:type="gramEnd"/>
      <w:r w:rsidRPr="003D1318">
        <w:t xml:space="preserve"> and advice for prescribing and documentation. </w:t>
      </w:r>
    </w:p>
    <w:p w14:paraId="24EFD6DD" w14:textId="45BE91DB" w:rsidR="00925672" w:rsidRPr="003D1318" w:rsidRDefault="00925672" w:rsidP="005A2E4E">
      <w:pPr>
        <w:pStyle w:val="Body"/>
      </w:pPr>
      <w:r w:rsidRPr="003D1318">
        <w:lastRenderedPageBreak/>
        <w:t>At a jurisdictional level, PDPT for chlamydia infection is not prohibited under prescribing regulations in Victoria, and the prescription or supply of PDPT for chlamydia infection has been provided for in the Northern Territory and New South Wales</w:t>
      </w:r>
      <w:r w:rsidR="007276F6" w:rsidRPr="003D1318">
        <w:t xml:space="preserve"> (</w:t>
      </w:r>
      <w:r w:rsidR="0000790D" w:rsidRPr="003D1318">
        <w:t>NT Department of Health</w:t>
      </w:r>
      <w:r w:rsidR="007276F6" w:rsidRPr="003D1318">
        <w:t xml:space="preserve"> 201</w:t>
      </w:r>
      <w:r w:rsidR="0000790D" w:rsidRPr="003D1318">
        <w:t>4</w:t>
      </w:r>
      <w:r w:rsidR="007276F6" w:rsidRPr="003D1318">
        <w:t>; NSW Government 2008; 2017).</w:t>
      </w:r>
    </w:p>
    <w:p w14:paraId="20129AC7" w14:textId="745720EF" w:rsidR="00925672" w:rsidRPr="005B5D29" w:rsidRDefault="00925672" w:rsidP="0037746D">
      <w:pPr>
        <w:pStyle w:val="Heading1"/>
      </w:pPr>
      <w:bookmarkStart w:id="18" w:name="_Toc43719467"/>
      <w:bookmarkStart w:id="19" w:name="_Toc105682541"/>
      <w:bookmarkStart w:id="20" w:name="_Toc107311387"/>
      <w:r w:rsidRPr="005B5D29">
        <w:t>P</w:t>
      </w:r>
      <w:r>
        <w:t xml:space="preserve">DPT </w:t>
      </w:r>
      <w:r w:rsidRPr="005B5D29">
        <w:t>in Victoria</w:t>
      </w:r>
      <w:bookmarkEnd w:id="18"/>
      <w:bookmarkEnd w:id="19"/>
      <w:bookmarkEnd w:id="20"/>
    </w:p>
    <w:p w14:paraId="04C88A81" w14:textId="54971670" w:rsidR="00925672" w:rsidRPr="005A2E4E" w:rsidRDefault="00925672" w:rsidP="00925672">
      <w:pPr>
        <w:pStyle w:val="DHHSbody"/>
        <w:rPr>
          <w:rStyle w:val="BodyChar"/>
        </w:rPr>
      </w:pPr>
      <w:r w:rsidRPr="005A2E4E">
        <w:rPr>
          <w:rStyle w:val="BodyChar"/>
        </w:rPr>
        <w:t>In Victoria</w:t>
      </w:r>
      <w:r w:rsidR="0037746D" w:rsidRPr="005A2E4E">
        <w:rPr>
          <w:rStyle w:val="BodyChar"/>
        </w:rPr>
        <w:t>,</w:t>
      </w:r>
      <w:r w:rsidRPr="005A2E4E">
        <w:rPr>
          <w:rStyle w:val="BodyChar"/>
        </w:rPr>
        <w:t xml:space="preserve"> the supply of Schedule 4 poisons (Prescription Only Medicines), including azithromycin, to a patient by a health practitioner</w:t>
      </w:r>
      <w:r w:rsidR="00827CCF" w:rsidRPr="005A2E4E">
        <w:rPr>
          <w:rStyle w:val="BodyChar"/>
        </w:rPr>
        <w:t>,</w:t>
      </w:r>
      <w:r w:rsidRPr="005A2E4E">
        <w:rPr>
          <w:rStyle w:val="BodyChar"/>
        </w:rPr>
        <w:t xml:space="preserve"> is governed by the Drugs, Poisons and Controlled Substances Act 1981 (the Act) and the </w:t>
      </w:r>
      <w:hyperlink r:id="rId13" w:history="1">
        <w:r w:rsidRPr="00217A35">
          <w:rPr>
            <w:sz w:val="21"/>
          </w:rPr>
          <w:t>Drugs Poisons and Controlled Substances Regulations 2017</w:t>
        </w:r>
      </w:hyperlink>
      <w:r w:rsidRPr="005A2E4E">
        <w:rPr>
          <w:rStyle w:val="BodyChar"/>
        </w:rPr>
        <w:t xml:space="preserve"> (the Regulations). The Regulations do not prevent the prescribing or supply of PDPT.</w:t>
      </w:r>
    </w:p>
    <w:p w14:paraId="1C7631E9" w14:textId="4421B102" w:rsidR="00925672" w:rsidRPr="00217A35" w:rsidRDefault="00925672" w:rsidP="005A2E4E">
      <w:pPr>
        <w:pStyle w:val="Body"/>
      </w:pPr>
      <w:r w:rsidRPr="00217A35">
        <w:t xml:space="preserve">In 2015, the department established formal PDPT clinical guidelines for chlamydia. This document provides an update to the 2015 guidelines and provides accompanying resources </w:t>
      </w:r>
      <w:r w:rsidR="00217A35">
        <w:t xml:space="preserve">for </w:t>
      </w:r>
      <w:r w:rsidRPr="00217A35">
        <w:t xml:space="preserve">health practitioners, patients and partners as follows: </w:t>
      </w:r>
    </w:p>
    <w:p w14:paraId="7D657036" w14:textId="77777777" w:rsidR="00925672" w:rsidRPr="00FE5A4C" w:rsidRDefault="00925672" w:rsidP="00217A35">
      <w:pPr>
        <w:pStyle w:val="Bullet1"/>
      </w:pPr>
      <w:r w:rsidRPr="00FE5A4C">
        <w:t>Appendix 1 – PDPT clinical flowchart</w:t>
      </w:r>
    </w:p>
    <w:p w14:paraId="378ECD24" w14:textId="77777777" w:rsidR="00925672" w:rsidRDefault="00925672" w:rsidP="00217A35">
      <w:pPr>
        <w:pStyle w:val="Bullet1"/>
      </w:pPr>
      <w:r w:rsidRPr="00FE5A4C">
        <w:t>Appendix 2 – PDPT prescription template</w:t>
      </w:r>
    </w:p>
    <w:p w14:paraId="5CE4518C" w14:textId="57AD99B0" w:rsidR="0099303F" w:rsidRPr="00FE5A4C" w:rsidRDefault="0099303F" w:rsidP="00217A35">
      <w:pPr>
        <w:pStyle w:val="Bullet1"/>
      </w:pPr>
      <w:r>
        <w:t>Frequently asked questions</w:t>
      </w:r>
      <w:r w:rsidR="00544BE6">
        <w:t xml:space="preserve"> (FAQs)</w:t>
      </w:r>
      <w:r w:rsidR="00B71EF4">
        <w:t xml:space="preserve"> (available on the </w:t>
      </w:r>
      <w:hyperlink r:id="rId14" w:history="1">
        <w:r w:rsidR="002A3CA0">
          <w:rPr>
            <w:rStyle w:val="Hyperlink"/>
          </w:rPr>
          <w:t>PDPT webpage</w:t>
        </w:r>
      </w:hyperlink>
      <w:r w:rsidR="00B71EF4">
        <w:t xml:space="preserve"> &lt;</w:t>
      </w:r>
      <w:r w:rsidR="00B71EF4" w:rsidRPr="00B71EF4">
        <w:t>https://www.health.vic.gov.au/publications/patient-delivered-partner-therapy-clinical-guidelines</w:t>
      </w:r>
      <w:r w:rsidR="00B71EF4">
        <w:t>&gt;).</w:t>
      </w:r>
    </w:p>
    <w:p w14:paraId="7C60ABED" w14:textId="1DBE2BAF" w:rsidR="00925672" w:rsidRPr="00FE5A4C" w:rsidRDefault="00B71EF4" w:rsidP="00B71EF4">
      <w:pPr>
        <w:pStyle w:val="Bullet2"/>
      </w:pPr>
      <w:r>
        <w:t>FAQs for</w:t>
      </w:r>
      <w:r w:rsidR="00925672" w:rsidRPr="00FE5A4C">
        <w:t xml:space="preserve"> health practitioners</w:t>
      </w:r>
    </w:p>
    <w:p w14:paraId="23B098BD" w14:textId="435C4BE6" w:rsidR="00925672" w:rsidRPr="00FE5A4C" w:rsidRDefault="00B71EF4" w:rsidP="00B71EF4">
      <w:pPr>
        <w:pStyle w:val="Bullet2"/>
      </w:pPr>
      <w:r>
        <w:t>FAQs</w:t>
      </w:r>
      <w:r w:rsidR="00925672" w:rsidRPr="00FE5A4C">
        <w:t xml:space="preserve"> for patients</w:t>
      </w:r>
    </w:p>
    <w:p w14:paraId="48E04507" w14:textId="2CB8AFCB" w:rsidR="00925672" w:rsidRPr="00FE5A4C" w:rsidRDefault="00B71EF4" w:rsidP="00B71EF4">
      <w:pPr>
        <w:pStyle w:val="Bullet2"/>
      </w:pPr>
      <w:r>
        <w:t>FAQs</w:t>
      </w:r>
      <w:r w:rsidR="00925672" w:rsidRPr="00FE5A4C">
        <w:t xml:space="preserve"> for partners</w:t>
      </w:r>
      <w:r w:rsidR="00A12A50">
        <w:t>.</w:t>
      </w:r>
    </w:p>
    <w:p w14:paraId="5EC50A7D" w14:textId="77777777" w:rsidR="00925672" w:rsidRDefault="00925672" w:rsidP="0037746D">
      <w:pPr>
        <w:pStyle w:val="Heading2"/>
      </w:pPr>
      <w:bookmarkStart w:id="21" w:name="_Toc105682542"/>
      <w:bookmarkStart w:id="22" w:name="_Toc107311388"/>
      <w:r>
        <w:t>Patient eligibility</w:t>
      </w:r>
      <w:bookmarkEnd w:id="21"/>
      <w:bookmarkEnd w:id="22"/>
      <w:r>
        <w:t xml:space="preserve"> </w:t>
      </w:r>
    </w:p>
    <w:p w14:paraId="48303B4C" w14:textId="48C4713F" w:rsidR="00925672" w:rsidRPr="000F4914" w:rsidRDefault="00925672" w:rsidP="005A2E4E">
      <w:pPr>
        <w:pStyle w:val="Body"/>
      </w:pPr>
      <w:r w:rsidRPr="00217A35">
        <w:t xml:space="preserve">Health practitioners should discuss a range of partner notification options with their patient (including PDPT) to ensure it is the correct option for the patient and partner. Further information about contact tracing can be found in </w:t>
      </w:r>
      <w:r w:rsidR="0004557C">
        <w:t>the Australasian Contact Tracing Manual (see Key Documents below).</w:t>
      </w:r>
      <w:r w:rsidRPr="354D4EB8">
        <w:rPr>
          <w:rStyle w:val="Hyperlink"/>
          <w:rFonts w:cs="Arial"/>
          <w:sz w:val="22"/>
          <w:szCs w:val="22"/>
        </w:rPr>
        <w:t xml:space="preserve"> </w:t>
      </w:r>
    </w:p>
    <w:p w14:paraId="7D5F9CEF" w14:textId="77777777" w:rsidR="00925672" w:rsidRPr="003D1318" w:rsidRDefault="00925672" w:rsidP="005A2E4E">
      <w:pPr>
        <w:pStyle w:val="Body"/>
      </w:pPr>
      <w:r w:rsidRPr="003D1318">
        <w:t>Patients eligible for PDPT:</w:t>
      </w:r>
    </w:p>
    <w:p w14:paraId="58148438" w14:textId="2D08BB05" w:rsidR="00925672" w:rsidRPr="00537C21" w:rsidRDefault="00A12A50" w:rsidP="00217A35">
      <w:pPr>
        <w:pStyle w:val="Bullet1"/>
      </w:pPr>
      <w:r>
        <w:t>o</w:t>
      </w:r>
      <w:r w:rsidR="00925672" w:rsidRPr="00537C21">
        <w:t>nly patients with a laboratory diagnosis of oral-pharyngeal or anogenital chlamydia</w:t>
      </w:r>
    </w:p>
    <w:p w14:paraId="26213AE0" w14:textId="2334183E" w:rsidR="00925672" w:rsidRPr="00537C21" w:rsidRDefault="00A12A50" w:rsidP="00217A35">
      <w:pPr>
        <w:pStyle w:val="Bullet1"/>
      </w:pPr>
      <w:r>
        <w:t>h</w:t>
      </w:r>
      <w:r w:rsidR="00925672" w:rsidRPr="00537C21">
        <w:t xml:space="preserve">eterosexual patients with partners who are unable or unlikely to attend a health service in a timely manner </w:t>
      </w:r>
    </w:p>
    <w:p w14:paraId="7C9EFF37" w14:textId="0D4E0C6C" w:rsidR="003D1318" w:rsidRDefault="00A12A50" w:rsidP="003D1318">
      <w:pPr>
        <w:pStyle w:val="Bullet1"/>
      </w:pPr>
      <w:r>
        <w:t>h</w:t>
      </w:r>
      <w:r w:rsidR="00925672" w:rsidRPr="00537C21">
        <w:t>eterosexual patients with repeat infections whose partner/s have not been treated</w:t>
      </w:r>
      <w:r w:rsidR="003D1318">
        <w:t>.</w:t>
      </w:r>
    </w:p>
    <w:p w14:paraId="1BEAA218" w14:textId="063F48FB" w:rsidR="00925672" w:rsidRPr="00217A35" w:rsidRDefault="00925672" w:rsidP="005A2E4E">
      <w:pPr>
        <w:pStyle w:val="Bodyafterbullets"/>
      </w:pPr>
      <w:r w:rsidRPr="00217A35">
        <w:t xml:space="preserve">PDPT is not recommended for: </w:t>
      </w:r>
    </w:p>
    <w:p w14:paraId="1359460B" w14:textId="7CBBF64D" w:rsidR="00925672" w:rsidRPr="000F4914" w:rsidRDefault="00A12A50" w:rsidP="00217A35">
      <w:pPr>
        <w:pStyle w:val="Bullet1"/>
      </w:pPr>
      <w:r>
        <w:t>p</w:t>
      </w:r>
      <w:r w:rsidR="00925672" w:rsidRPr="3A9FBDFE">
        <w:t>atients diagnosed with chlamydia and other STIs</w:t>
      </w:r>
      <w:r w:rsidR="0060647A">
        <w:t xml:space="preserve"> (i.e., multiple STIs)</w:t>
      </w:r>
    </w:p>
    <w:p w14:paraId="1D8BFA0D" w14:textId="7686A057" w:rsidR="0060647A" w:rsidRPr="00181C76" w:rsidRDefault="0060647A" w:rsidP="0060647A">
      <w:pPr>
        <w:pStyle w:val="Bullet1"/>
      </w:pPr>
      <w:r>
        <w:t>patients whose p</w:t>
      </w:r>
      <w:r w:rsidRPr="3A9FBDFE">
        <w:t xml:space="preserve">artners who are pregnant. </w:t>
      </w:r>
      <w:r w:rsidRPr="004F649C">
        <w:t xml:space="preserve">Azithromycin is safe in pregnancy, but pregnant </w:t>
      </w:r>
      <w:r>
        <w:t>people</w:t>
      </w:r>
      <w:r w:rsidRPr="004F649C">
        <w:t xml:space="preserve"> and their partners should see their doctor first to have other STIs excluded.</w:t>
      </w:r>
    </w:p>
    <w:p w14:paraId="62E0C6DF" w14:textId="25C21CC6" w:rsidR="00925672" w:rsidRPr="000F4914" w:rsidRDefault="00A12A50" w:rsidP="00217A35">
      <w:pPr>
        <w:pStyle w:val="Bullet1"/>
      </w:pPr>
      <w:r>
        <w:t>p</w:t>
      </w:r>
      <w:r w:rsidR="00925672" w:rsidRPr="000F4914">
        <w:t>atients who have experienced recent sexual assault or may be at risk</w:t>
      </w:r>
      <w:r w:rsidR="0060647A">
        <w:t xml:space="preserve"> of partner violence</w:t>
      </w:r>
    </w:p>
    <w:p w14:paraId="643A3FA9" w14:textId="1E04A7B2" w:rsidR="00925672" w:rsidRDefault="00A12A50" w:rsidP="00217A35">
      <w:pPr>
        <w:pStyle w:val="Bullet1"/>
      </w:pPr>
      <w:r>
        <w:t>p</w:t>
      </w:r>
      <w:r w:rsidR="00925672">
        <w:t>atients or p</w:t>
      </w:r>
      <w:r w:rsidR="00925672" w:rsidRPr="000F4914">
        <w:t>artner</w:t>
      </w:r>
      <w:r w:rsidR="0060647A">
        <w:t>/</w:t>
      </w:r>
      <w:r w:rsidR="00925672" w:rsidRPr="000F4914">
        <w:t xml:space="preserve">s </w:t>
      </w:r>
      <w:r w:rsidR="0060647A">
        <w:t>who may be at increased</w:t>
      </w:r>
      <w:r w:rsidR="00925672" w:rsidRPr="000F4914">
        <w:t xml:space="preserve"> risk of HIV </w:t>
      </w:r>
      <w:r w:rsidR="0060647A">
        <w:t>or other STIs</w:t>
      </w:r>
      <w:r w:rsidR="00925672" w:rsidRPr="000F4914">
        <w:t xml:space="preserve"> such as men who have sex with men</w:t>
      </w:r>
    </w:p>
    <w:p w14:paraId="29A930C1" w14:textId="4010331B" w:rsidR="00925672" w:rsidRPr="000F4914" w:rsidRDefault="00A12A50" w:rsidP="00217A35">
      <w:pPr>
        <w:pStyle w:val="Bullet1"/>
      </w:pPr>
      <w:r>
        <w:t>p</w:t>
      </w:r>
      <w:r w:rsidR="00925672" w:rsidRPr="000F4914">
        <w:t xml:space="preserve">atients who have partners with </w:t>
      </w:r>
      <w:r w:rsidR="00925672">
        <w:t xml:space="preserve">any genital </w:t>
      </w:r>
      <w:r w:rsidR="00925672" w:rsidRPr="000F4914">
        <w:t xml:space="preserve">symptoms </w:t>
      </w:r>
      <w:r w:rsidR="00925672">
        <w:t xml:space="preserve">including symptoms </w:t>
      </w:r>
      <w:r w:rsidR="00925672" w:rsidRPr="000F4914">
        <w:t>of pelvic inflammatory disease or epididymitis</w:t>
      </w:r>
      <w:r w:rsidR="003D1318">
        <w:t>.</w:t>
      </w:r>
      <w:r w:rsidR="00925672" w:rsidRPr="000F4914">
        <w:t xml:space="preserve"> </w:t>
      </w:r>
    </w:p>
    <w:p w14:paraId="18B21C89" w14:textId="77777777" w:rsidR="00925672" w:rsidRPr="00EB397F" w:rsidRDefault="00925672" w:rsidP="0037746D">
      <w:pPr>
        <w:pStyle w:val="Heading2"/>
      </w:pPr>
      <w:bookmarkStart w:id="23" w:name="_Toc105682543"/>
      <w:bookmarkStart w:id="24" w:name="_Toc107311389"/>
      <w:r>
        <w:lastRenderedPageBreak/>
        <w:t>Other considerations</w:t>
      </w:r>
      <w:bookmarkEnd w:id="23"/>
      <w:bookmarkEnd w:id="24"/>
    </w:p>
    <w:p w14:paraId="03FD64C7" w14:textId="72A9A6E3" w:rsidR="00925672" w:rsidRPr="003D1318" w:rsidRDefault="00925672" w:rsidP="005A2E4E">
      <w:pPr>
        <w:pStyle w:val="Body"/>
      </w:pPr>
      <w:r w:rsidRPr="003D1318">
        <w:t>It is possible that partners who use PDPT may be less likely to subsequently attend a health service for STI testing and clinical assessment. This means that their other partners cannot be advised of the need to seek treatment. It also means that co-infections and other related conditions</w:t>
      </w:r>
      <w:r w:rsidR="00852200">
        <w:t>,</w:t>
      </w:r>
      <w:r w:rsidRPr="003D1318">
        <w:t xml:space="preserve"> such as pelvic inflammatory disease</w:t>
      </w:r>
      <w:r w:rsidR="00852200">
        <w:t>,</w:t>
      </w:r>
      <w:r w:rsidRPr="003D1318">
        <w:t xml:space="preserve"> may be missed or have a delayed diagnosis. Due to this, PDPT is not recommended in populations with a high rate of HIV, such as men who have sex with men, and should be used with caution in populations with a high rate of gonorrhoea co-infection.  </w:t>
      </w:r>
    </w:p>
    <w:p w14:paraId="02E02125" w14:textId="77777777" w:rsidR="00925672" w:rsidRPr="0037746D" w:rsidRDefault="00925672" w:rsidP="005A2E4E">
      <w:pPr>
        <w:pStyle w:val="Heading2"/>
      </w:pPr>
      <w:bookmarkStart w:id="25" w:name="_Toc105682545"/>
      <w:r w:rsidRPr="0037746D">
        <w:t xml:space="preserve">Prescribing </w:t>
      </w:r>
      <w:r w:rsidRPr="00852200">
        <w:t>or</w:t>
      </w:r>
      <w:r w:rsidRPr="0037746D">
        <w:t xml:space="preserve"> supplying PDPT</w:t>
      </w:r>
      <w:bookmarkEnd w:id="25"/>
      <w:r w:rsidRPr="0037746D">
        <w:t xml:space="preserve"> </w:t>
      </w:r>
    </w:p>
    <w:p w14:paraId="6B642EF4" w14:textId="77777777" w:rsidR="00925672" w:rsidRPr="003D1318" w:rsidRDefault="00925672" w:rsidP="005A2E4E">
      <w:pPr>
        <w:pStyle w:val="Body"/>
      </w:pPr>
      <w:r w:rsidRPr="003D1318">
        <w:t xml:space="preserve">PDPT can be prescribed or supplied for any partner with whom the patient had unprotected sexual intercourse in the past six months. There is no limit to the number of partners for whom PDPT can be used. </w:t>
      </w:r>
    </w:p>
    <w:p w14:paraId="4A122EFB" w14:textId="439D7264" w:rsidR="00217A35" w:rsidRPr="003D1318" w:rsidRDefault="00925672" w:rsidP="005A2E4E">
      <w:pPr>
        <w:pStyle w:val="Body"/>
      </w:pPr>
      <w:r w:rsidRPr="003D1318">
        <w:t>There are many ways that a PDPT prescription can be provided. Some examples are provided in the table below. The method of generating the prescription will depend on whether the partner is a patient of the clinic or not</w:t>
      </w:r>
      <w:r w:rsidR="00852200">
        <w:t>,</w:t>
      </w:r>
      <w:r w:rsidRPr="003D1318">
        <w:t xml:space="preserve"> and on the processes established within a specific clinic. </w:t>
      </w:r>
    </w:p>
    <w:p w14:paraId="1C7A6C40" w14:textId="31843FA4" w:rsidR="00217A35" w:rsidRDefault="00A12A50" w:rsidP="00217A35">
      <w:pPr>
        <w:pStyle w:val="Tablecaption"/>
      </w:pPr>
      <w:r>
        <w:t>Suggested methods of generating a PDPT prescription</w:t>
      </w:r>
    </w:p>
    <w:tbl>
      <w:tblPr>
        <w:tblStyle w:val="TableGrid"/>
        <w:tblW w:w="9067" w:type="dxa"/>
        <w:tblLook w:val="06A0" w:firstRow="1" w:lastRow="0" w:firstColumn="1" w:lastColumn="0" w:noHBand="1" w:noVBand="1"/>
      </w:tblPr>
      <w:tblGrid>
        <w:gridCol w:w="2322"/>
        <w:gridCol w:w="6745"/>
      </w:tblGrid>
      <w:tr w:rsidR="00A12A50" w14:paraId="569CFB79" w14:textId="77777777" w:rsidTr="00A12A50">
        <w:trPr>
          <w:tblHeader/>
        </w:trPr>
        <w:tc>
          <w:tcPr>
            <w:tcW w:w="2322" w:type="dxa"/>
          </w:tcPr>
          <w:p w14:paraId="1F97A320" w14:textId="56724DD0" w:rsidR="00A12A50" w:rsidRPr="00CB3285" w:rsidRDefault="00A12A50" w:rsidP="004D2D7F">
            <w:pPr>
              <w:pStyle w:val="Tablecolhead"/>
            </w:pPr>
            <w:r>
              <w:t>Is the partner a patient of the clinic?</w:t>
            </w:r>
          </w:p>
        </w:tc>
        <w:tc>
          <w:tcPr>
            <w:tcW w:w="6745" w:type="dxa"/>
          </w:tcPr>
          <w:p w14:paraId="1759CE3B" w14:textId="758B0565" w:rsidR="00A12A50" w:rsidRDefault="00A12A50" w:rsidP="004D2D7F">
            <w:pPr>
              <w:pStyle w:val="Tablecolhead"/>
            </w:pPr>
            <w:r>
              <w:t>Method of generating prescription</w:t>
            </w:r>
          </w:p>
        </w:tc>
      </w:tr>
      <w:tr w:rsidR="00A12A50" w14:paraId="777C4C08" w14:textId="77777777" w:rsidTr="00A12A50">
        <w:tc>
          <w:tcPr>
            <w:tcW w:w="2322" w:type="dxa"/>
          </w:tcPr>
          <w:p w14:paraId="3BBA14B6" w14:textId="33DB7D79" w:rsidR="00A12A50" w:rsidRDefault="00A12A50" w:rsidP="004D2D7F">
            <w:pPr>
              <w:pStyle w:val="Tabletext"/>
            </w:pPr>
            <w:r>
              <w:t>Partner is an existing patient of the clinic</w:t>
            </w:r>
          </w:p>
        </w:tc>
        <w:tc>
          <w:tcPr>
            <w:tcW w:w="6745" w:type="dxa"/>
          </w:tcPr>
          <w:p w14:paraId="1E22CC5A" w14:textId="780F2CE0" w:rsidR="00A12A50" w:rsidRDefault="00A12A50" w:rsidP="004D2D7F">
            <w:pPr>
              <w:pStyle w:val="Tabletext"/>
            </w:pPr>
            <w:r>
              <w:t>The prescription can be generated from and documented in the partner’s electronic medical record</w:t>
            </w:r>
          </w:p>
        </w:tc>
      </w:tr>
      <w:tr w:rsidR="00A12A50" w14:paraId="745E7BA0" w14:textId="77777777" w:rsidTr="00A12A50">
        <w:trPr>
          <w:trHeight w:val="756"/>
        </w:trPr>
        <w:tc>
          <w:tcPr>
            <w:tcW w:w="2322" w:type="dxa"/>
          </w:tcPr>
          <w:p w14:paraId="767DC909" w14:textId="13D16CFB" w:rsidR="00A12A50" w:rsidRPr="002365B4" w:rsidRDefault="00A12A50" w:rsidP="005A2E4E">
            <w:pPr>
              <w:pStyle w:val="Tabletext"/>
            </w:pPr>
            <w:r>
              <w:t>Partner is not an existing patient of the clinic</w:t>
            </w:r>
          </w:p>
        </w:tc>
        <w:tc>
          <w:tcPr>
            <w:tcW w:w="6745" w:type="dxa"/>
          </w:tcPr>
          <w:p w14:paraId="16698874" w14:textId="77777777" w:rsidR="00A12A50" w:rsidRDefault="00A12A50" w:rsidP="005A2E4E">
            <w:pPr>
              <w:pStyle w:val="Tabletext"/>
            </w:pPr>
            <w:r>
              <w:t>Some suggested methods for writing the prescription include:</w:t>
            </w:r>
          </w:p>
          <w:p w14:paraId="42D31537" w14:textId="44DF6C12" w:rsidR="00A12A50" w:rsidRDefault="00A12A50" w:rsidP="00A12A50">
            <w:pPr>
              <w:pStyle w:val="Tablebullet1"/>
            </w:pPr>
            <w:r>
              <w:t xml:space="preserve">handwritten on a paper prescription pad </w:t>
            </w:r>
          </w:p>
          <w:p w14:paraId="7AFDDBA9" w14:textId="4A41D2CB" w:rsidR="00A12A50" w:rsidRDefault="00A12A50" w:rsidP="00A12A50">
            <w:pPr>
              <w:pStyle w:val="Tablebullet1"/>
            </w:pPr>
            <w:r>
              <w:t xml:space="preserve">handwritten on prescription paper </w:t>
            </w:r>
          </w:p>
          <w:p w14:paraId="4DAF9B18" w14:textId="0DE0E6AD" w:rsidR="00A12A50" w:rsidRDefault="00A12A50" w:rsidP="00A12A50">
            <w:pPr>
              <w:pStyle w:val="Tablebullet1"/>
            </w:pPr>
            <w:r>
              <w:t xml:space="preserve">populated from a PDPT prescription template in the patient’s medical record. A PDPT prescription template (see Appendix 2 for an example) can be imported into the letters section of the electronic medical software. Note: Prescriptions issued in this manner are private prescriptions and are not funded by the Pharmaceutical Benefits Scheme. This may have implications for </w:t>
            </w:r>
            <w:r w:rsidR="007845E4">
              <w:t>H</w:t>
            </w:r>
            <w:r>
              <w:t>ealth</w:t>
            </w:r>
            <w:r w:rsidR="007845E4">
              <w:t xml:space="preserve"> C</w:t>
            </w:r>
            <w:r>
              <w:t xml:space="preserve">are </w:t>
            </w:r>
            <w:r w:rsidR="007845E4">
              <w:t>C</w:t>
            </w:r>
            <w:r>
              <w:t>ard</w:t>
            </w:r>
            <w:r w:rsidR="007845E4">
              <w:t xml:space="preserve"> </w:t>
            </w:r>
            <w:r>
              <w:t xml:space="preserve">holders. </w:t>
            </w:r>
          </w:p>
          <w:p w14:paraId="6E261487" w14:textId="07FE2915" w:rsidR="00A12A50" w:rsidRPr="002365B4" w:rsidRDefault="00A12A50" w:rsidP="005A2E4E">
            <w:pPr>
              <w:pStyle w:val="Tabletext"/>
            </w:pPr>
            <w:r>
              <w:t>It should be documented in the patient</w:t>
            </w:r>
            <w:r w:rsidR="007759D1">
              <w:t>’</w:t>
            </w:r>
            <w:r>
              <w:t xml:space="preserve">s medical record that a PDPT prescription was provided. </w:t>
            </w:r>
          </w:p>
        </w:tc>
      </w:tr>
    </w:tbl>
    <w:p w14:paraId="1EBAAE77" w14:textId="77777777" w:rsidR="00A12A50" w:rsidRDefault="00A12A50" w:rsidP="00925672">
      <w:pPr>
        <w:pStyle w:val="DHHSbody"/>
      </w:pPr>
    </w:p>
    <w:p w14:paraId="7890A738" w14:textId="3C7AC0E1" w:rsidR="00925672" w:rsidRPr="003D1318" w:rsidRDefault="00925672" w:rsidP="005A2E4E">
      <w:pPr>
        <w:pStyle w:val="Body"/>
      </w:pPr>
      <w:r w:rsidRPr="003D1318">
        <w:t>The prescription should be provided to the patient with instructions that the prescription must be taken</w:t>
      </w:r>
      <w:r w:rsidR="007759D1" w:rsidRPr="007759D1">
        <w:rPr>
          <w:rFonts w:eastAsia="Times New Roman"/>
        </w:rPr>
        <w:t xml:space="preserve"> </w:t>
      </w:r>
      <w:r w:rsidR="007759D1" w:rsidRPr="007759D1">
        <w:t>to a community pharmacy</w:t>
      </w:r>
      <w:r w:rsidRPr="003D1318">
        <w:t xml:space="preserve"> by the patient or partner. </w:t>
      </w:r>
    </w:p>
    <w:p w14:paraId="606C06DA" w14:textId="31258065" w:rsidR="00925672" w:rsidRPr="003D1318" w:rsidRDefault="007759D1" w:rsidP="005A2E4E">
      <w:pPr>
        <w:pStyle w:val="Body"/>
      </w:pPr>
      <w:r w:rsidRPr="003D1318">
        <w:t>Alternatively</w:t>
      </w:r>
      <w:r w:rsidR="00AC4CBF">
        <w:t>,</w:t>
      </w:r>
      <w:r>
        <w:t xml:space="preserve"> h</w:t>
      </w:r>
      <w:r w:rsidR="00925672" w:rsidRPr="003D1318">
        <w:t xml:space="preserve">ealth practitioners may supply a patient with the medication for them and their partner/s. Any medication supplied to a patient (including partner/s) must be labelled for that patient in accordance with the labelling requirements for a Schedule 4 poison. It should be accompanied </w:t>
      </w:r>
      <w:r>
        <w:t>by</w:t>
      </w:r>
      <w:r w:rsidRPr="003D1318">
        <w:t xml:space="preserve"> </w:t>
      </w:r>
      <w:r w:rsidR="00925672" w:rsidRPr="003D1318">
        <w:t>information resources for the patient and partner/s.</w:t>
      </w:r>
    </w:p>
    <w:p w14:paraId="2B4FCE9C" w14:textId="06BB738B" w:rsidR="00925672" w:rsidRPr="003D1318" w:rsidRDefault="00925672" w:rsidP="005A2E4E">
      <w:pPr>
        <w:pStyle w:val="Body"/>
      </w:pPr>
      <w:bookmarkStart w:id="26" w:name="_Hlk31200131"/>
      <w:r w:rsidRPr="003D1318">
        <w:t>The required components of a label</w:t>
      </w:r>
      <w:r w:rsidR="00AC4CBF">
        <w:t>,</w:t>
      </w:r>
      <w:r w:rsidRPr="003D1318">
        <w:t xml:space="preserve"> </w:t>
      </w:r>
      <w:r w:rsidR="00AC4CBF" w:rsidRPr="003D1318">
        <w:t>which must not be less than 1.5 mm in size,</w:t>
      </w:r>
      <w:r w:rsidR="00AC4CBF">
        <w:t xml:space="preserve"> </w:t>
      </w:r>
      <w:r w:rsidRPr="003D1318">
        <w:t>on medicines dispensed by health practitioners, include:</w:t>
      </w:r>
    </w:p>
    <w:bookmarkEnd w:id="26"/>
    <w:p w14:paraId="2FB6025A" w14:textId="604C4E98" w:rsidR="00925672" w:rsidRPr="00D610D1" w:rsidRDefault="00925672" w:rsidP="00A12A50">
      <w:pPr>
        <w:pStyle w:val="Bullet1"/>
      </w:pPr>
      <w:r w:rsidRPr="00D610D1">
        <w:t>the approved name of the poison or controlled substance or a proprietary name that unambiguously identifies the poison or controlled substance plus the strength, form (</w:t>
      </w:r>
      <w:r w:rsidR="007759D1">
        <w:t>for example,</w:t>
      </w:r>
      <w:r w:rsidRPr="00D610D1">
        <w:t xml:space="preserve"> tablets) and quantity supplied</w:t>
      </w:r>
    </w:p>
    <w:p w14:paraId="7484FBB4" w14:textId="697351EC" w:rsidR="00925672" w:rsidRPr="00D610D1" w:rsidRDefault="00925672" w:rsidP="00A12A50">
      <w:pPr>
        <w:pStyle w:val="Bullet1"/>
      </w:pPr>
      <w:r w:rsidRPr="00D610D1">
        <w:lastRenderedPageBreak/>
        <w:t xml:space="preserve">the words </w:t>
      </w:r>
      <w:r w:rsidR="00AC4CBF">
        <w:t>‘</w:t>
      </w:r>
      <w:r w:rsidRPr="00D610D1">
        <w:t>KEEP OUT OF REACH OF CHILDREN</w:t>
      </w:r>
      <w:r w:rsidR="00AC4CBF">
        <w:t>’</w:t>
      </w:r>
      <w:r w:rsidRPr="00D610D1">
        <w:t xml:space="preserve"> in red on a white background</w:t>
      </w:r>
    </w:p>
    <w:p w14:paraId="2CB90D65" w14:textId="77777777" w:rsidR="00925672" w:rsidRPr="00A12A50" w:rsidRDefault="00925672" w:rsidP="00A12A50">
      <w:pPr>
        <w:pStyle w:val="Bullet1"/>
      </w:pPr>
      <w:r w:rsidRPr="00D610D1">
        <w:t xml:space="preserve">adequate directions </w:t>
      </w:r>
      <w:r w:rsidRPr="00C545C9">
        <w:t>for use</w:t>
      </w:r>
      <w:r w:rsidRPr="00A12A50">
        <w:t xml:space="preserve"> </w:t>
      </w:r>
    </w:p>
    <w:p w14:paraId="09BD7DE9" w14:textId="32C31E38" w:rsidR="00925672" w:rsidRPr="00D610D1" w:rsidRDefault="00925672" w:rsidP="00AC4CBF">
      <w:pPr>
        <w:pStyle w:val="Bullet1"/>
      </w:pPr>
      <w:r w:rsidRPr="00D610D1">
        <w:t>the date on which supply is made or the dispensing is recorded</w:t>
      </w:r>
      <w:r w:rsidR="00AC4CBF">
        <w:t>. The</w:t>
      </w:r>
      <w:r w:rsidRPr="00D610D1">
        <w:t xml:space="preserve"> date on which supply is made may differ from the date on which a medicine is dispensed</w:t>
      </w:r>
      <w:r w:rsidR="00542E9E">
        <w:t>,</w:t>
      </w:r>
      <w:r w:rsidRPr="00D610D1">
        <w:t xml:space="preserve"> in anticipation of later supplying the medicine.</w:t>
      </w:r>
    </w:p>
    <w:p w14:paraId="45940CF7" w14:textId="77777777" w:rsidR="00925672" w:rsidRPr="00D610D1" w:rsidRDefault="00925672" w:rsidP="00A12A50">
      <w:pPr>
        <w:pStyle w:val="Bullet1"/>
      </w:pPr>
      <w:r w:rsidRPr="00D610D1">
        <w:t>the name, address and telephone number of the practitioner supplying the medicine</w:t>
      </w:r>
    </w:p>
    <w:p w14:paraId="25EE7912" w14:textId="5F60EC45" w:rsidR="00A12A50" w:rsidRDefault="00925672" w:rsidP="00A12A50">
      <w:pPr>
        <w:pStyle w:val="Bullet1"/>
      </w:pPr>
      <w:r w:rsidRPr="00D610D1">
        <w:t xml:space="preserve">the name of the </w:t>
      </w:r>
      <w:r w:rsidRPr="00A12A50">
        <w:rPr>
          <w:b/>
          <w:bCs/>
        </w:rPr>
        <w:t>person</w:t>
      </w:r>
      <w:r w:rsidRPr="00D610D1">
        <w:t xml:space="preserve"> for </w:t>
      </w:r>
      <w:r>
        <w:t>whom the medicine was dispensed</w:t>
      </w:r>
      <w:r w:rsidR="00A12A50">
        <w:t>.</w:t>
      </w:r>
    </w:p>
    <w:p w14:paraId="44E54AAF" w14:textId="0D7701BD" w:rsidR="00925672" w:rsidRPr="00A12A50" w:rsidRDefault="00A12A50" w:rsidP="00A12A50">
      <w:pPr>
        <w:pStyle w:val="Bullet1"/>
        <w:numPr>
          <w:ilvl w:val="0"/>
          <w:numId w:val="0"/>
        </w:numPr>
      </w:pPr>
      <w:r>
        <w:br/>
      </w:r>
      <w:r w:rsidR="00925672" w:rsidRPr="00A12A50">
        <w:rPr>
          <w:b/>
          <w:bCs/>
        </w:rPr>
        <w:t>Containers</w:t>
      </w:r>
      <w:r w:rsidR="00925672" w:rsidRPr="007E0C35">
        <w:t xml:space="preserve"> must be impervious to the contents, sufficiently sturdy to prevent leakage</w:t>
      </w:r>
      <w:r w:rsidR="00542E9E">
        <w:t>,</w:t>
      </w:r>
      <w:r w:rsidR="00925672" w:rsidRPr="007E0C35">
        <w:t xml:space="preserve"> and capable of being securely re-closed. </w:t>
      </w:r>
    </w:p>
    <w:p w14:paraId="2B6F0706" w14:textId="77777777" w:rsidR="00925672" w:rsidRPr="0037746D" w:rsidRDefault="00925672" w:rsidP="00925672">
      <w:pPr>
        <w:pStyle w:val="Heading3"/>
        <w:rPr>
          <w:rFonts w:eastAsia="Times New Roman"/>
          <w:b/>
          <w:bCs w:val="0"/>
          <w:sz w:val="32"/>
          <w:szCs w:val="28"/>
        </w:rPr>
      </w:pPr>
      <w:bookmarkStart w:id="27" w:name="_Toc105682546"/>
      <w:r w:rsidRPr="0037746D">
        <w:rPr>
          <w:rFonts w:eastAsia="Times New Roman"/>
          <w:b/>
          <w:bCs w:val="0"/>
          <w:sz w:val="32"/>
          <w:szCs w:val="28"/>
        </w:rPr>
        <w:t>Information resources for patient and partner/s</w:t>
      </w:r>
      <w:bookmarkEnd w:id="27"/>
    </w:p>
    <w:p w14:paraId="28075D20" w14:textId="34E89E96" w:rsidR="00542E9E" w:rsidRDefault="00925672" w:rsidP="00925672">
      <w:pPr>
        <w:pStyle w:val="DHHSbody"/>
        <w:rPr>
          <w:rStyle w:val="BodyChar"/>
        </w:rPr>
      </w:pPr>
      <w:r w:rsidRPr="005A2E4E">
        <w:rPr>
          <w:rStyle w:val="BodyChar"/>
        </w:rPr>
        <w:t>It is recommended that health practitioners provide written information about PDPT</w:t>
      </w:r>
      <w:r w:rsidR="00542E9E">
        <w:rPr>
          <w:rStyle w:val="BodyChar"/>
        </w:rPr>
        <w:t xml:space="preserve"> for their patient </w:t>
      </w:r>
      <w:r w:rsidRPr="005A2E4E">
        <w:rPr>
          <w:rStyle w:val="BodyChar"/>
        </w:rPr>
        <w:t xml:space="preserve">and for each partner for whom PDPT is provided. </w:t>
      </w:r>
    </w:p>
    <w:p w14:paraId="5D6D36C9" w14:textId="596C9520" w:rsidR="00925672" w:rsidRPr="005A2E4E" w:rsidRDefault="00544BE6" w:rsidP="00925672">
      <w:pPr>
        <w:pStyle w:val="DHHSbody"/>
        <w:rPr>
          <w:rStyle w:val="BodyChar"/>
        </w:rPr>
      </w:pPr>
      <w:r w:rsidRPr="005A2E4E">
        <w:rPr>
          <w:rStyle w:val="BodyChar"/>
        </w:rPr>
        <w:t>FAQs for patients and partners</w:t>
      </w:r>
      <w:r w:rsidR="005C4A16" w:rsidRPr="005A2E4E">
        <w:rPr>
          <w:rStyle w:val="BodyChar"/>
        </w:rPr>
        <w:t xml:space="preserve"> </w:t>
      </w:r>
      <w:r w:rsidR="00542E9E">
        <w:rPr>
          <w:rStyle w:val="BodyChar"/>
        </w:rPr>
        <w:t xml:space="preserve">are </w:t>
      </w:r>
      <w:r w:rsidR="005C4A16" w:rsidRPr="005A2E4E">
        <w:rPr>
          <w:rStyle w:val="BodyChar"/>
        </w:rPr>
        <w:t xml:space="preserve">available on the </w:t>
      </w:r>
      <w:hyperlink r:id="rId15" w:history="1">
        <w:r w:rsidR="002A3CA0">
          <w:rPr>
            <w:rStyle w:val="Hyperlink"/>
            <w:sz w:val="21"/>
          </w:rPr>
          <w:t>PDPT webpage</w:t>
        </w:r>
      </w:hyperlink>
      <w:r w:rsidR="00524481" w:rsidRPr="005A2E4E">
        <w:rPr>
          <w:rStyle w:val="BodyChar"/>
        </w:rPr>
        <w:t xml:space="preserve"> &lt;https://www.health.vic.gov.au/publications/patient-delivered-partner-therapy-clinical-guidelines&gt;</w:t>
      </w:r>
      <w:r w:rsidR="00925672" w:rsidRPr="005A2E4E">
        <w:rPr>
          <w:rStyle w:val="BodyChar"/>
        </w:rPr>
        <w:t xml:space="preserve"> </w:t>
      </w:r>
      <w:r w:rsidR="00542E9E">
        <w:rPr>
          <w:rStyle w:val="BodyChar"/>
        </w:rPr>
        <w:t xml:space="preserve">and </w:t>
      </w:r>
      <w:r w:rsidR="00925672" w:rsidRPr="005A2E4E">
        <w:rPr>
          <w:rStyle w:val="BodyChar"/>
        </w:rPr>
        <w:t xml:space="preserve">include: </w:t>
      </w:r>
    </w:p>
    <w:p w14:paraId="41DBB368" w14:textId="591C9953" w:rsidR="00925672" w:rsidRDefault="00A12A50" w:rsidP="00A12A50">
      <w:pPr>
        <w:pStyle w:val="Bullet1"/>
      </w:pPr>
      <w:r>
        <w:t>i</w:t>
      </w:r>
      <w:r w:rsidR="00925672" w:rsidRPr="3A9FBDFE">
        <w:t>nstructions to deliver the prescription/dose to the partner</w:t>
      </w:r>
      <w:r w:rsidR="00925672">
        <w:t>/s</w:t>
      </w:r>
      <w:r w:rsidR="00925672" w:rsidRPr="3A9FBDFE">
        <w:t xml:space="preserve"> </w:t>
      </w:r>
    </w:p>
    <w:p w14:paraId="247E7653" w14:textId="72A1056A" w:rsidR="00925672" w:rsidRDefault="00A12A50" w:rsidP="00A12A50">
      <w:pPr>
        <w:pStyle w:val="Bullet1"/>
      </w:pPr>
      <w:r>
        <w:t>m</w:t>
      </w:r>
      <w:r w:rsidR="00925672" w:rsidRPr="0032347C">
        <w:t xml:space="preserve">edication information about azithromycin </w:t>
      </w:r>
    </w:p>
    <w:p w14:paraId="228E03F4" w14:textId="5653ACB3" w:rsidR="00925672" w:rsidRDefault="00A12A50" w:rsidP="00A12A50">
      <w:pPr>
        <w:pStyle w:val="Bullet1"/>
      </w:pPr>
      <w:r>
        <w:t>i</w:t>
      </w:r>
      <w:r w:rsidR="00925672" w:rsidRPr="0032347C">
        <w:t xml:space="preserve">nformation about </w:t>
      </w:r>
      <w:r w:rsidR="00925672">
        <w:t>c</w:t>
      </w:r>
      <w:r w:rsidR="00925672" w:rsidRPr="0032347C">
        <w:t xml:space="preserve">hlamydia </w:t>
      </w:r>
    </w:p>
    <w:p w14:paraId="3D3A6B27" w14:textId="6F8A13AF" w:rsidR="00925672" w:rsidRDefault="00A12A50" w:rsidP="00A12A50">
      <w:pPr>
        <w:pStyle w:val="Bullet1"/>
      </w:pPr>
      <w:r>
        <w:t>t</w:t>
      </w:r>
      <w:r w:rsidR="00925672">
        <w:t xml:space="preserve">he </w:t>
      </w:r>
      <w:r w:rsidR="00925672" w:rsidRPr="0032347C">
        <w:t xml:space="preserve">means to seek health care </w:t>
      </w:r>
    </w:p>
    <w:p w14:paraId="052D83E6" w14:textId="344634B6" w:rsidR="00925672" w:rsidRDefault="00A12A50" w:rsidP="00A12A50">
      <w:pPr>
        <w:pStyle w:val="Bullet1"/>
      </w:pPr>
      <w:r>
        <w:t>t</w:t>
      </w:r>
      <w:r w:rsidR="00925672" w:rsidRPr="0032347C">
        <w:t xml:space="preserve">he contact details of the </w:t>
      </w:r>
      <w:r w:rsidR="00925672">
        <w:t xml:space="preserve">health practitioner and </w:t>
      </w:r>
      <w:r w:rsidR="00925672" w:rsidRPr="0032347C">
        <w:t>clinic providing the prescription</w:t>
      </w:r>
      <w:r w:rsidR="00925672">
        <w:t>/dose</w:t>
      </w:r>
      <w:r w:rsidR="00925672" w:rsidRPr="0032347C">
        <w:t xml:space="preserve">. </w:t>
      </w:r>
    </w:p>
    <w:p w14:paraId="19B80A68" w14:textId="77777777" w:rsidR="00A12A50" w:rsidRDefault="00A12A50" w:rsidP="00925672">
      <w:pPr>
        <w:pStyle w:val="DHHSbullet1"/>
        <w:numPr>
          <w:ilvl w:val="0"/>
          <w:numId w:val="0"/>
        </w:numPr>
      </w:pPr>
    </w:p>
    <w:p w14:paraId="3E29C208" w14:textId="359113F9" w:rsidR="00925672" w:rsidRPr="00A12A50" w:rsidRDefault="00925672" w:rsidP="00925672">
      <w:pPr>
        <w:pStyle w:val="DHHSbullet1"/>
        <w:numPr>
          <w:ilvl w:val="0"/>
          <w:numId w:val="0"/>
        </w:numPr>
        <w:rPr>
          <w:sz w:val="21"/>
        </w:rPr>
      </w:pPr>
      <w:r w:rsidRPr="00A12A50">
        <w:rPr>
          <w:sz w:val="21"/>
        </w:rPr>
        <w:t xml:space="preserve">It is important to advise all patients that there should be no sexual contact for seven days after treatment, and no sex with partners from the past six months until partners have been treated. </w:t>
      </w:r>
    </w:p>
    <w:p w14:paraId="63057E94" w14:textId="77777777" w:rsidR="00925672" w:rsidRPr="0037746D" w:rsidRDefault="00925672" w:rsidP="00925672">
      <w:pPr>
        <w:pStyle w:val="Heading3"/>
        <w:rPr>
          <w:rFonts w:eastAsia="Times New Roman"/>
          <w:b/>
          <w:bCs w:val="0"/>
          <w:sz w:val="32"/>
          <w:szCs w:val="28"/>
        </w:rPr>
      </w:pPr>
      <w:bookmarkStart w:id="28" w:name="_Toc105682547"/>
      <w:r w:rsidRPr="0037746D">
        <w:rPr>
          <w:rFonts w:eastAsia="Times New Roman"/>
          <w:b/>
          <w:bCs w:val="0"/>
          <w:sz w:val="32"/>
          <w:szCs w:val="28"/>
        </w:rPr>
        <w:t>Documenting PDPT</w:t>
      </w:r>
      <w:bookmarkEnd w:id="28"/>
    </w:p>
    <w:p w14:paraId="64D5CD27" w14:textId="77777777" w:rsidR="00925672" w:rsidRPr="003D1318" w:rsidRDefault="00925672" w:rsidP="005A2E4E">
      <w:pPr>
        <w:pStyle w:val="Body"/>
      </w:pPr>
      <w:r w:rsidRPr="003D1318">
        <w:t>In the patient’s medical notes, record:</w:t>
      </w:r>
    </w:p>
    <w:p w14:paraId="792C45C1" w14:textId="12C3713A" w:rsidR="00925672" w:rsidRDefault="008E7D7F" w:rsidP="00BD5F6E">
      <w:pPr>
        <w:pStyle w:val="Bullet1"/>
      </w:pPr>
      <w:r>
        <w:t xml:space="preserve">that </w:t>
      </w:r>
      <w:r w:rsidR="00925672">
        <w:t>PDPT was offered</w:t>
      </w:r>
    </w:p>
    <w:p w14:paraId="327CEF3B" w14:textId="08AECAD9" w:rsidR="00925672" w:rsidRPr="00C104C2" w:rsidRDefault="00542E9E" w:rsidP="00BD5F6E">
      <w:pPr>
        <w:pStyle w:val="Bullet1"/>
      </w:pPr>
      <w:r>
        <w:t xml:space="preserve">if the </w:t>
      </w:r>
      <w:r w:rsidR="00BD5F6E">
        <w:t>p</w:t>
      </w:r>
      <w:r w:rsidR="00925672" w:rsidRPr="3A9FBDFE">
        <w:t>atient accepted PDPT</w:t>
      </w:r>
    </w:p>
    <w:p w14:paraId="7DF2767B" w14:textId="35A1C75D" w:rsidR="00925672" w:rsidRPr="00C104C2" w:rsidRDefault="00542E9E" w:rsidP="00BD5F6E">
      <w:pPr>
        <w:pStyle w:val="Bullet1"/>
      </w:pPr>
      <w:r>
        <w:t xml:space="preserve">the </w:t>
      </w:r>
      <w:r w:rsidR="00BD5F6E">
        <w:t>n</w:t>
      </w:r>
      <w:r w:rsidR="00925672" w:rsidRPr="3A9FBDFE">
        <w:t>umber of partners PDPT was accepted for</w:t>
      </w:r>
      <w:r>
        <w:t>, and</w:t>
      </w:r>
      <w:r w:rsidR="00925672" w:rsidRPr="3A9FBDFE">
        <w:t xml:space="preserve"> each partner’s name and address</w:t>
      </w:r>
    </w:p>
    <w:p w14:paraId="59B85AE5" w14:textId="14117080" w:rsidR="00925672" w:rsidRDefault="00542E9E" w:rsidP="00BD5F6E">
      <w:pPr>
        <w:pStyle w:val="Bullet1"/>
      </w:pPr>
      <w:r>
        <w:t xml:space="preserve">the </w:t>
      </w:r>
      <w:r w:rsidR="00925672" w:rsidRPr="00C104C2">
        <w:t xml:space="preserve">PDPT method (prescription or supply) </w:t>
      </w:r>
    </w:p>
    <w:p w14:paraId="1083FA1B" w14:textId="727531FE" w:rsidR="00925672" w:rsidRPr="00121BC7" w:rsidRDefault="00542E9E" w:rsidP="00BD5F6E">
      <w:pPr>
        <w:pStyle w:val="Bullet1"/>
      </w:pPr>
      <w:r>
        <w:t xml:space="preserve">if the </w:t>
      </w:r>
      <w:r w:rsidR="00925672" w:rsidRPr="3A9FBDFE">
        <w:t xml:space="preserve">PDPT information sheet </w:t>
      </w:r>
      <w:r>
        <w:t xml:space="preserve">was </w:t>
      </w:r>
      <w:r w:rsidR="00925672" w:rsidRPr="3A9FBDFE">
        <w:t xml:space="preserve">provided for </w:t>
      </w:r>
      <w:r>
        <w:t xml:space="preserve">the </w:t>
      </w:r>
      <w:r w:rsidR="00925672" w:rsidRPr="3A9FBDFE">
        <w:t>patient and partner</w:t>
      </w:r>
      <w:r w:rsidR="00925672">
        <w:t>/</w:t>
      </w:r>
      <w:r w:rsidR="00925672" w:rsidRPr="3A9FBDFE">
        <w:t xml:space="preserve">s </w:t>
      </w:r>
    </w:p>
    <w:p w14:paraId="321E9B67" w14:textId="3F522EE6" w:rsidR="00925672" w:rsidRPr="00534A63" w:rsidRDefault="00BD5F6E" w:rsidP="00BD5F6E">
      <w:pPr>
        <w:pStyle w:val="Bullet1"/>
      </w:pPr>
      <w:r>
        <w:t>a</w:t>
      </w:r>
      <w:r w:rsidR="00925672" w:rsidRPr="3A9FBDFE">
        <w:t>ny relevant medical information known about the partner/s at the time of the consultation (this could be supported by a phone call to the partner</w:t>
      </w:r>
      <w:r w:rsidR="00925672">
        <w:t>/s</w:t>
      </w:r>
      <w:r w:rsidR="00925672" w:rsidRPr="3A9FBDFE">
        <w:t>)</w:t>
      </w:r>
    </w:p>
    <w:p w14:paraId="5B3C7DBB" w14:textId="022B4F48" w:rsidR="00925672" w:rsidRPr="00534A63" w:rsidRDefault="00BD5F6E" w:rsidP="00BD5F6E">
      <w:pPr>
        <w:pStyle w:val="Bullet1"/>
      </w:pPr>
      <w:r>
        <w:t>t</w:t>
      </w:r>
      <w:r w:rsidR="00925672" w:rsidRPr="00534A63">
        <w:t>he method of writing the prescription (</w:t>
      </w:r>
      <w:r w:rsidR="0008500B">
        <w:t xml:space="preserve">that is, if it was </w:t>
      </w:r>
      <w:r w:rsidR="00925672" w:rsidRPr="00534A63">
        <w:t xml:space="preserve">generated from </w:t>
      </w:r>
      <w:r w:rsidR="00925672">
        <w:t>electronic medical record</w:t>
      </w:r>
      <w:r w:rsidR="00925672" w:rsidRPr="00534A63">
        <w:t xml:space="preserve"> </w:t>
      </w:r>
      <w:r>
        <w:t>[</w:t>
      </w:r>
      <w:r w:rsidR="00925672" w:rsidRPr="00534A63">
        <w:t>if a patient of the clinic</w:t>
      </w:r>
      <w:r>
        <w:t>]</w:t>
      </w:r>
      <w:r w:rsidR="00925672" w:rsidRPr="00534A63">
        <w:t>, handwritten, or letter template)</w:t>
      </w:r>
      <w:r>
        <w:t>.</w:t>
      </w:r>
    </w:p>
    <w:p w14:paraId="3AB05B6E" w14:textId="77777777" w:rsidR="00925672" w:rsidRPr="0037746D" w:rsidRDefault="00925672" w:rsidP="00925672">
      <w:pPr>
        <w:pStyle w:val="Heading3"/>
        <w:rPr>
          <w:rFonts w:eastAsia="Times New Roman"/>
          <w:b/>
          <w:bCs w:val="0"/>
          <w:sz w:val="32"/>
          <w:szCs w:val="28"/>
        </w:rPr>
      </w:pPr>
      <w:bookmarkStart w:id="29" w:name="_Toc105682548"/>
      <w:r w:rsidRPr="0037746D">
        <w:rPr>
          <w:rFonts w:eastAsia="Times New Roman"/>
          <w:b/>
          <w:bCs w:val="0"/>
          <w:sz w:val="32"/>
          <w:szCs w:val="28"/>
        </w:rPr>
        <w:t>Patient review/recommendations</w:t>
      </w:r>
      <w:bookmarkEnd w:id="29"/>
    </w:p>
    <w:p w14:paraId="1AB06567" w14:textId="0EAC1BBA" w:rsidR="00925672" w:rsidRPr="003D1318" w:rsidRDefault="00925672" w:rsidP="005A2E4E">
      <w:pPr>
        <w:pStyle w:val="Body"/>
      </w:pPr>
      <w:r w:rsidRPr="003D1318">
        <w:t xml:space="preserve">Patients may be reviewed in one week to confirm patient adherence </w:t>
      </w:r>
      <w:r w:rsidR="00282488">
        <w:t>to</w:t>
      </w:r>
      <w:r w:rsidR="00282488" w:rsidRPr="003D1318">
        <w:t xml:space="preserve"> </w:t>
      </w:r>
      <w:r w:rsidRPr="003D1318">
        <w:t>treatment and partner notification</w:t>
      </w:r>
      <w:r w:rsidR="00282488">
        <w:t>. And</w:t>
      </w:r>
      <w:r w:rsidRPr="003D1318">
        <w:t xml:space="preserve"> support for partner management</w:t>
      </w:r>
      <w:r w:rsidR="00282488">
        <w:t xml:space="preserve"> offered,</w:t>
      </w:r>
      <w:r w:rsidRPr="003D1318">
        <w:t xml:space="preserve"> if necessary.</w:t>
      </w:r>
    </w:p>
    <w:p w14:paraId="7C2EDD1B" w14:textId="38693B23" w:rsidR="00925672" w:rsidRPr="003D1318" w:rsidRDefault="00925672" w:rsidP="005A2E4E">
      <w:pPr>
        <w:pStyle w:val="Body"/>
      </w:pPr>
      <w:r w:rsidRPr="003D1318">
        <w:t xml:space="preserve">A test of cure is not routinely recommended unless the patient is </w:t>
      </w:r>
      <w:proofErr w:type="gramStart"/>
      <w:r w:rsidRPr="003D1318">
        <w:t>pregnant</w:t>
      </w:r>
      <w:proofErr w:type="gramEnd"/>
      <w:r w:rsidRPr="003D1318">
        <w:t xml:space="preserve"> or the case has rectal chlamydia. Refer to relevant clinical guidelines in these instances.</w:t>
      </w:r>
    </w:p>
    <w:p w14:paraId="2CE559F5" w14:textId="380E7712" w:rsidR="00925672" w:rsidRPr="003D1318" w:rsidRDefault="00925672" w:rsidP="005A2E4E">
      <w:pPr>
        <w:pStyle w:val="Body"/>
      </w:pPr>
      <w:r w:rsidRPr="003D1318">
        <w:lastRenderedPageBreak/>
        <w:t xml:space="preserve">As reinfection is common, patients should be recalled and retested in three months to </w:t>
      </w:r>
      <w:r w:rsidR="00282488">
        <w:t xml:space="preserve">test for </w:t>
      </w:r>
      <w:r w:rsidRPr="003D1318">
        <w:t>reinfection. Testing for other STIs and HIV should also be considered if not undertaken at first presentation.</w:t>
      </w:r>
    </w:p>
    <w:p w14:paraId="75B8DD4C" w14:textId="54D1E4C4" w:rsidR="00925672" w:rsidRPr="003D1318" w:rsidRDefault="007E1586" w:rsidP="005A2E4E">
      <w:pPr>
        <w:pStyle w:val="Body"/>
      </w:pPr>
      <w:r w:rsidRPr="003D1318">
        <w:t xml:space="preserve">The </w:t>
      </w:r>
      <w:r w:rsidR="009671EA" w:rsidRPr="003D1318">
        <w:t xml:space="preserve">recently </w:t>
      </w:r>
      <w:r w:rsidR="005B0111" w:rsidRPr="003D1318">
        <w:t xml:space="preserve">updated </w:t>
      </w:r>
      <w:r w:rsidRPr="005A2E4E">
        <w:rPr>
          <w:i/>
          <w:iCs/>
        </w:rPr>
        <w:t>Australian STI Management Guidelines</w:t>
      </w:r>
      <w:r w:rsidR="00B84CE9" w:rsidRPr="005A2E4E">
        <w:rPr>
          <w:i/>
          <w:iCs/>
        </w:rPr>
        <w:t>:</w:t>
      </w:r>
      <w:r w:rsidRPr="005A2E4E">
        <w:rPr>
          <w:i/>
          <w:iCs/>
        </w:rPr>
        <w:t xml:space="preserve"> for </w:t>
      </w:r>
      <w:r w:rsidR="00B84CE9" w:rsidRPr="005A2E4E">
        <w:rPr>
          <w:i/>
          <w:iCs/>
        </w:rPr>
        <w:t>u</w:t>
      </w:r>
      <w:r w:rsidRPr="005A2E4E">
        <w:rPr>
          <w:i/>
          <w:iCs/>
        </w:rPr>
        <w:t xml:space="preserve">se in </w:t>
      </w:r>
      <w:r w:rsidR="00B84CE9" w:rsidRPr="005A2E4E">
        <w:rPr>
          <w:i/>
          <w:iCs/>
        </w:rPr>
        <w:t>p</w:t>
      </w:r>
      <w:r w:rsidRPr="005A2E4E">
        <w:rPr>
          <w:i/>
          <w:iCs/>
        </w:rPr>
        <w:t xml:space="preserve">rimary </w:t>
      </w:r>
      <w:r w:rsidR="00B84CE9" w:rsidRPr="005A2E4E">
        <w:rPr>
          <w:i/>
          <w:iCs/>
        </w:rPr>
        <w:t>c</w:t>
      </w:r>
      <w:r w:rsidRPr="005A2E4E">
        <w:rPr>
          <w:i/>
          <w:iCs/>
        </w:rPr>
        <w:t>are</w:t>
      </w:r>
      <w:r w:rsidR="00B84CE9">
        <w:rPr>
          <w:i/>
          <w:iCs/>
        </w:rPr>
        <w:t>,</w:t>
      </w:r>
      <w:r w:rsidR="005B0111" w:rsidRPr="003D1318">
        <w:t xml:space="preserve"> </w:t>
      </w:r>
      <w:r w:rsidRPr="003D1318">
        <w:t xml:space="preserve">recommends that all STI testing should include </w:t>
      </w:r>
      <w:r w:rsidR="005B0111" w:rsidRPr="003D1318">
        <w:t xml:space="preserve">chlamydia, gonorrhoea, </w:t>
      </w:r>
      <w:proofErr w:type="gramStart"/>
      <w:r w:rsidRPr="003D1318">
        <w:t>HIV</w:t>
      </w:r>
      <w:proofErr w:type="gramEnd"/>
      <w:r w:rsidR="005B0111" w:rsidRPr="003D1318">
        <w:t xml:space="preserve"> and </w:t>
      </w:r>
      <w:r w:rsidRPr="003D1318">
        <w:t>syph</w:t>
      </w:r>
      <w:r w:rsidR="005B0111" w:rsidRPr="003D1318">
        <w:t>ilis testing</w:t>
      </w:r>
      <w:r w:rsidR="002010D3" w:rsidRPr="003D1318">
        <w:t>.</w:t>
      </w:r>
      <w:r w:rsidR="005B0111" w:rsidRPr="003D1318">
        <w:t xml:space="preserve"> The</w:t>
      </w:r>
      <w:r w:rsidR="00544BE6" w:rsidRPr="003D1318">
        <w:t xml:space="preserve"> revised</w:t>
      </w:r>
      <w:r w:rsidR="005B0111" w:rsidRPr="003D1318">
        <w:t xml:space="preserve"> </w:t>
      </w:r>
      <w:hyperlink r:id="rId16" w:history="1">
        <w:r w:rsidR="00544BE6">
          <w:rPr>
            <w:rStyle w:val="Hyperlink"/>
          </w:rPr>
          <w:t>Standard Asymptomatic Check-Up</w:t>
        </w:r>
      </w:hyperlink>
      <w:r w:rsidR="00544BE6" w:rsidRPr="003D1318">
        <w:t xml:space="preserve"> &lt;https://sti.guidelines.org.au/standard-asymptomatic-checkup/&gt; </w:t>
      </w:r>
      <w:r w:rsidR="005B0111" w:rsidRPr="003D1318">
        <w:t>recommends asymptomatic STI checks for people who:</w:t>
      </w:r>
    </w:p>
    <w:p w14:paraId="527CA8E4" w14:textId="13420674" w:rsidR="005B0111" w:rsidRPr="00282488" w:rsidRDefault="00282488" w:rsidP="005A2E4E">
      <w:pPr>
        <w:pStyle w:val="Bullet1"/>
      </w:pPr>
      <w:r>
        <w:t>r</w:t>
      </w:r>
      <w:r w:rsidR="005B0111" w:rsidRPr="00282488">
        <w:t>equest STI testing</w:t>
      </w:r>
    </w:p>
    <w:p w14:paraId="7A09ACE1" w14:textId="727D82F8" w:rsidR="005B0111" w:rsidRPr="00282488" w:rsidRDefault="00282488" w:rsidP="005A2E4E">
      <w:pPr>
        <w:pStyle w:val="Bullet1"/>
      </w:pPr>
      <w:r>
        <w:t>a</w:t>
      </w:r>
      <w:r w:rsidR="005B0111" w:rsidRPr="00282488">
        <w:t>re at increased risk of STI</w:t>
      </w:r>
      <w:r w:rsidR="0084371C">
        <w:t xml:space="preserve"> (F</w:t>
      </w:r>
      <w:r>
        <w:t xml:space="preserve">or example, </w:t>
      </w:r>
      <w:r w:rsidR="0084371C">
        <w:t xml:space="preserve">have </w:t>
      </w:r>
      <w:r>
        <w:t xml:space="preserve">a </w:t>
      </w:r>
      <w:r w:rsidR="005B0111" w:rsidRPr="00282488">
        <w:t>new sexual partner</w:t>
      </w:r>
      <w:r w:rsidR="0084371C">
        <w:t xml:space="preserve"> or are </w:t>
      </w:r>
      <w:r w:rsidR="005B0111" w:rsidRPr="00282488">
        <w:t>living or travelling to areas of higher prevalence in Australia and other countries</w:t>
      </w:r>
    </w:p>
    <w:p w14:paraId="720C653E" w14:textId="54165935" w:rsidR="005B0111" w:rsidRPr="00282488" w:rsidRDefault="0084371C" w:rsidP="005A2E4E">
      <w:pPr>
        <w:pStyle w:val="Bullet1"/>
      </w:pPr>
      <w:r>
        <w:t>h</w:t>
      </w:r>
      <w:r w:rsidR="005B0111" w:rsidRPr="00282488">
        <w:t xml:space="preserve">ave a known exposure to any STI or history </w:t>
      </w:r>
      <w:r w:rsidR="009671EA" w:rsidRPr="00282488">
        <w:t>of an</w:t>
      </w:r>
      <w:r w:rsidR="005B0111" w:rsidRPr="00282488">
        <w:t xml:space="preserve"> ST</w:t>
      </w:r>
      <w:r w:rsidR="009671EA" w:rsidRPr="00282488">
        <w:t>I</w:t>
      </w:r>
      <w:r w:rsidR="005B0111" w:rsidRPr="00282488">
        <w:t xml:space="preserve"> within the past 12 months</w:t>
      </w:r>
    </w:p>
    <w:p w14:paraId="112998D1" w14:textId="39C49D1E" w:rsidR="005B0111" w:rsidRPr="003D1318" w:rsidRDefault="0084371C" w:rsidP="005A2E4E">
      <w:pPr>
        <w:pStyle w:val="Bullet1"/>
      </w:pPr>
      <w:r>
        <w:t>a</w:t>
      </w:r>
      <w:r w:rsidR="005B0111" w:rsidRPr="00282488">
        <w:t>re a partner of special subpopulation (</w:t>
      </w:r>
      <w:r>
        <w:t xml:space="preserve">For example, </w:t>
      </w:r>
      <w:r w:rsidR="005B0111" w:rsidRPr="00282488">
        <w:t>men who have sex with men, sex workers, pregnant people, Aboriginal and Torres Strait Islander people, trans and gender diverse people) or any of above.</w:t>
      </w:r>
      <w:r w:rsidR="009671EA" w:rsidRPr="00282488">
        <w:t xml:space="preserve"> (AS</w:t>
      </w:r>
      <w:r w:rsidR="009671EA" w:rsidRPr="003D1318">
        <w:t>HM, 2022).</w:t>
      </w:r>
    </w:p>
    <w:p w14:paraId="500EAFE2" w14:textId="77777777" w:rsidR="00925672" w:rsidRPr="0037746D" w:rsidRDefault="00925672" w:rsidP="00925672">
      <w:pPr>
        <w:pStyle w:val="Heading3"/>
        <w:rPr>
          <w:rFonts w:eastAsia="Times New Roman"/>
          <w:b/>
          <w:bCs w:val="0"/>
          <w:sz w:val="32"/>
          <w:szCs w:val="28"/>
        </w:rPr>
      </w:pPr>
      <w:bookmarkStart w:id="30" w:name="_Toc105682549"/>
      <w:r w:rsidRPr="0037746D">
        <w:rPr>
          <w:rFonts w:eastAsia="Times New Roman"/>
          <w:b/>
          <w:bCs w:val="0"/>
          <w:sz w:val="32"/>
          <w:szCs w:val="28"/>
        </w:rPr>
        <w:t>Compliance aspects of PDPT in Victoria</w:t>
      </w:r>
      <w:bookmarkEnd w:id="30"/>
      <w:r w:rsidRPr="0037746D">
        <w:rPr>
          <w:rFonts w:eastAsia="Times New Roman"/>
          <w:b/>
          <w:bCs w:val="0"/>
          <w:sz w:val="32"/>
          <w:szCs w:val="28"/>
        </w:rPr>
        <w:t xml:space="preserve"> </w:t>
      </w:r>
    </w:p>
    <w:p w14:paraId="2364BC46" w14:textId="27787C3C" w:rsidR="0004557C" w:rsidRPr="003D1318" w:rsidRDefault="00925672" w:rsidP="005A2E4E">
      <w:pPr>
        <w:pStyle w:val="Body"/>
      </w:pPr>
      <w:r w:rsidRPr="003D1318">
        <w:t>Under the Regulations</w:t>
      </w:r>
      <w:r w:rsidR="00775A94">
        <w:t>,</w:t>
      </w:r>
      <w:r w:rsidRPr="003D1318">
        <w:t xml:space="preserve"> medical practitioners and nurse practitioners must not administer, authorise administration, prescribe, </w:t>
      </w:r>
      <w:proofErr w:type="gramStart"/>
      <w:r w:rsidRPr="003D1318">
        <w:t>sell</w:t>
      </w:r>
      <w:proofErr w:type="gramEnd"/>
      <w:r w:rsidRPr="003D1318">
        <w:t xml:space="preserve"> or supply a Schedule 4 poison unless that poison is for the medical treatment of a person under his or her care; and that he or she has taken all reasonable steps to ensure a therapeutic need exists for that poison. The Department of Health provides guidelines</w:t>
      </w:r>
      <w:r w:rsidR="003B3C73">
        <w:t xml:space="preserve"> –</w:t>
      </w:r>
      <w:r w:rsidR="0004557C" w:rsidRPr="003D1318">
        <w:t xml:space="preserve"> </w:t>
      </w:r>
      <w:r w:rsidR="0004557C" w:rsidRPr="003E109A">
        <w:rPr>
          <w:i/>
          <w:iCs/>
        </w:rPr>
        <w:t>All reasonable steps and other key terms</w:t>
      </w:r>
      <w:r w:rsidR="00B84CE9">
        <w:rPr>
          <w:i/>
          <w:iCs/>
        </w:rPr>
        <w:t>:</w:t>
      </w:r>
      <w:r w:rsidR="0004557C" w:rsidRPr="003E109A">
        <w:rPr>
          <w:i/>
          <w:iCs/>
        </w:rPr>
        <w:t xml:space="preserve"> requirements for health practitioners</w:t>
      </w:r>
      <w:r w:rsidR="003E109A" w:rsidRPr="003D1318">
        <w:t xml:space="preserve"> (see Key Documents below)</w:t>
      </w:r>
      <w:r w:rsidR="0004557C" w:rsidRPr="003D1318">
        <w:t>,</w:t>
      </w:r>
      <w:r w:rsidRPr="003D1318">
        <w:t xml:space="preserve"> to assist practitioners in complying with the Regulations. </w:t>
      </w:r>
    </w:p>
    <w:p w14:paraId="2F66C1B4" w14:textId="07870394" w:rsidR="00925672" w:rsidRPr="003D1318" w:rsidRDefault="003B3C73" w:rsidP="005A2E4E">
      <w:pPr>
        <w:pStyle w:val="Body"/>
      </w:pPr>
      <w:r>
        <w:t xml:space="preserve">The guidelines </w:t>
      </w:r>
      <w:r w:rsidR="00BD5F6E" w:rsidRPr="003D1318">
        <w:t>state:</w:t>
      </w:r>
    </w:p>
    <w:p w14:paraId="1421F3FB" w14:textId="2784E747" w:rsidR="00925672" w:rsidRPr="003E109A" w:rsidRDefault="00925672" w:rsidP="005A2E4E">
      <w:pPr>
        <w:pStyle w:val="Body"/>
        <w:ind w:left="720"/>
      </w:pPr>
      <w:r w:rsidRPr="003E109A">
        <w:t>Medical practitioners and nurse practitioners who prescribe or supply azithromycin, a Schedule 4 poison, to provide patient delivered partner therapy for a microbiologically confirmed chlamydia infection, generally will be considered to have satisfied the requirement (of regulations 17</w:t>
      </w:r>
      <w:r w:rsidR="00493345">
        <w:t>(c)</w:t>
      </w:r>
      <w:r w:rsidRPr="003E109A">
        <w:t xml:space="preserve">, 20(c), 36(b) or 39(b)) to take ‘all reasonable steps’ to ensure a therapeutic need exists, if they provide therapy in accordance with the </w:t>
      </w:r>
      <w:hyperlink r:id="rId17" w:history="1">
        <w:r w:rsidRPr="003E109A">
          <w:t>Patient Delivered Partner Therapy Clinical Guidelines</w:t>
        </w:r>
      </w:hyperlink>
      <w:r w:rsidR="00BD5F6E" w:rsidRPr="003E109A">
        <w:t>.</w:t>
      </w:r>
    </w:p>
    <w:p w14:paraId="759992A3" w14:textId="305D631B" w:rsidR="00925672" w:rsidRPr="005641C6" w:rsidRDefault="00925672" w:rsidP="00925672">
      <w:pPr>
        <w:pStyle w:val="DHHSbody"/>
        <w:rPr>
          <w:color w:val="000000" w:themeColor="text1"/>
        </w:rPr>
      </w:pPr>
      <w:r w:rsidRPr="005A2E4E">
        <w:rPr>
          <w:rStyle w:val="BodyChar"/>
        </w:rPr>
        <w:t>Under this PDPT guidance, the practitioner should assess the partner’s symptom status, particularly symptoms indicative of a complicated infection</w:t>
      </w:r>
      <w:r w:rsidR="00B84CE9">
        <w:rPr>
          <w:rStyle w:val="BodyChar"/>
        </w:rPr>
        <w:t>,</w:t>
      </w:r>
      <w:r w:rsidRPr="005A2E4E">
        <w:rPr>
          <w:rStyle w:val="BodyChar"/>
        </w:rPr>
        <w:t xml:space="preserve"> pregnancy status </w:t>
      </w:r>
      <w:r w:rsidR="003B3C73">
        <w:rPr>
          <w:rStyle w:val="BodyChar"/>
        </w:rPr>
        <w:t>or</w:t>
      </w:r>
      <w:r w:rsidRPr="005A2E4E">
        <w:rPr>
          <w:rStyle w:val="BodyChar"/>
        </w:rPr>
        <w:t xml:space="preserve"> risk </w:t>
      </w:r>
      <w:r w:rsidR="00B84CE9">
        <w:rPr>
          <w:rStyle w:val="BodyChar"/>
        </w:rPr>
        <w:t>of</w:t>
      </w:r>
      <w:r w:rsidR="00B84CE9" w:rsidRPr="005A2E4E">
        <w:rPr>
          <w:rStyle w:val="BodyChar"/>
        </w:rPr>
        <w:t xml:space="preserve"> </w:t>
      </w:r>
      <w:r w:rsidRPr="005A2E4E">
        <w:rPr>
          <w:rStyle w:val="BodyChar"/>
        </w:rPr>
        <w:t>severe medication allergies. Practitioners should provide the patient with written information</w:t>
      </w:r>
      <w:r w:rsidR="0004557C" w:rsidRPr="005A2E4E">
        <w:rPr>
          <w:rStyle w:val="BodyChar"/>
        </w:rPr>
        <w:t xml:space="preserve"> for</w:t>
      </w:r>
      <w:r w:rsidRPr="005A2E4E">
        <w:rPr>
          <w:rStyle w:val="BodyChar"/>
        </w:rPr>
        <w:t xml:space="preserve"> the partner</w:t>
      </w:r>
      <w:r w:rsidR="003B3C73">
        <w:rPr>
          <w:rStyle w:val="BodyChar"/>
        </w:rPr>
        <w:t>/s</w:t>
      </w:r>
      <w:r w:rsidRPr="005A2E4E">
        <w:rPr>
          <w:rStyle w:val="BodyChar"/>
        </w:rPr>
        <w:t xml:space="preserve"> that includes consumer information about azithromycin, information about chlamydia, the means to seek health care and the contact details of the clinic providing the prescription</w:t>
      </w:r>
      <w:r w:rsidR="004E49ED" w:rsidRPr="005A2E4E">
        <w:rPr>
          <w:rStyle w:val="BodyChar"/>
        </w:rPr>
        <w:t xml:space="preserve">. This information </w:t>
      </w:r>
      <w:r w:rsidR="00135ADA" w:rsidRPr="005A2E4E">
        <w:rPr>
          <w:rStyle w:val="BodyChar"/>
        </w:rPr>
        <w:t>can be taken from</w:t>
      </w:r>
      <w:r w:rsidR="006F72A1" w:rsidRPr="005A2E4E">
        <w:rPr>
          <w:rStyle w:val="BodyChar"/>
        </w:rPr>
        <w:t xml:space="preserve"> </w:t>
      </w:r>
      <w:r w:rsidR="00135ADA" w:rsidRPr="005A2E4E">
        <w:rPr>
          <w:rStyle w:val="BodyChar"/>
        </w:rPr>
        <w:t xml:space="preserve">the </w:t>
      </w:r>
      <w:r w:rsidR="00544BE6" w:rsidRPr="005A2E4E">
        <w:rPr>
          <w:rStyle w:val="BodyChar"/>
        </w:rPr>
        <w:t>FAQs</w:t>
      </w:r>
      <w:r w:rsidR="00135ADA" w:rsidRPr="005A2E4E">
        <w:rPr>
          <w:rStyle w:val="BodyChar"/>
        </w:rPr>
        <w:t xml:space="preserve"> for patients and partners documents, available on the </w:t>
      </w:r>
      <w:hyperlink r:id="rId18" w:history="1">
        <w:r w:rsidR="002A3CA0">
          <w:rPr>
            <w:rStyle w:val="Hyperlink"/>
            <w:sz w:val="21"/>
          </w:rPr>
          <w:t>PDPT webpage</w:t>
        </w:r>
      </w:hyperlink>
      <w:r w:rsidR="00135ADA" w:rsidRPr="005A2E4E">
        <w:rPr>
          <w:rStyle w:val="BodyChar"/>
        </w:rPr>
        <w:t xml:space="preserve"> &lt;https://www.health.vic.gov.au/publications/patient-delivered-partner-therapy-clinical-guidelines&gt;.</w:t>
      </w:r>
    </w:p>
    <w:p w14:paraId="1F9B68BC" w14:textId="09AFD6F5" w:rsidR="00925672" w:rsidRPr="003D1318" w:rsidRDefault="00925672" w:rsidP="005A2E4E">
      <w:pPr>
        <w:pStyle w:val="Body"/>
      </w:pPr>
      <w:r w:rsidRPr="003D1318">
        <w:t xml:space="preserve">This PDPT guidance provides guidance in the use of PDPT but should not be considered as legal advice. </w:t>
      </w:r>
      <w:r w:rsidR="002A3CA0">
        <w:t>If in</w:t>
      </w:r>
      <w:r w:rsidRPr="003D1318">
        <w:t xml:space="preserve"> doubt</w:t>
      </w:r>
      <w:r w:rsidR="004219E9">
        <w:t>,</w:t>
      </w:r>
      <w:r w:rsidRPr="003D1318">
        <w:t xml:space="preserve"> the health practitioner should seek independent legal advice. </w:t>
      </w:r>
    </w:p>
    <w:p w14:paraId="280DAEF8" w14:textId="39D627CE" w:rsidR="00925672" w:rsidRDefault="00925672" w:rsidP="005A2E4E">
      <w:pPr>
        <w:pStyle w:val="Body"/>
        <w:rPr>
          <w:color w:val="000000" w:themeColor="text1"/>
        </w:rPr>
      </w:pPr>
      <w:r w:rsidRPr="003D1318">
        <w:t xml:space="preserve">It should also be noted that practitioners have a duty of care to the partner/s of patients with a STI regardless of whether PDPT is used. This duty includes </w:t>
      </w:r>
      <w:r w:rsidR="004219E9" w:rsidRPr="003D1318">
        <w:t>helping</w:t>
      </w:r>
      <w:r w:rsidRPr="003D1318">
        <w:t xml:space="preserve"> with </w:t>
      </w:r>
      <w:r w:rsidR="0004557C" w:rsidRPr="003D1318">
        <w:t xml:space="preserve">contact tracing </w:t>
      </w:r>
      <w:r w:rsidRPr="003D1318">
        <w:t>in situations where PDPT is not provided.</w:t>
      </w:r>
    </w:p>
    <w:p w14:paraId="2FFE1C30" w14:textId="15286B6F" w:rsidR="00925672" w:rsidRPr="0037746D" w:rsidRDefault="00925672" w:rsidP="005A2E4E">
      <w:pPr>
        <w:pStyle w:val="Heading2"/>
      </w:pPr>
      <w:bookmarkStart w:id="31" w:name="_Toc105682550"/>
      <w:r w:rsidRPr="0037746D">
        <w:lastRenderedPageBreak/>
        <w:t xml:space="preserve">Key </w:t>
      </w:r>
      <w:bookmarkEnd w:id="31"/>
      <w:r w:rsidR="00AD0D67">
        <w:rPr>
          <w:bCs/>
        </w:rPr>
        <w:t>d</w:t>
      </w:r>
      <w:r w:rsidR="00AD0D67" w:rsidRPr="0037746D">
        <w:t>ocuments</w:t>
      </w:r>
    </w:p>
    <w:p w14:paraId="5041B2EF" w14:textId="6C9113D6" w:rsidR="0004557C" w:rsidRPr="0004557C" w:rsidRDefault="00D557EB" w:rsidP="00217A35">
      <w:pPr>
        <w:pStyle w:val="Bullet1"/>
        <w:rPr>
          <w:rFonts w:cs="Arial"/>
          <w:szCs w:val="21"/>
        </w:rPr>
      </w:pPr>
      <w:hyperlink r:id="rId19" w:history="1">
        <w:r w:rsidR="0004557C">
          <w:rPr>
            <w:rStyle w:val="Hyperlink"/>
          </w:rPr>
          <w:t>All reasonable steps and other key terms - requirements for health practitioners</w:t>
        </w:r>
      </w:hyperlink>
      <w:r w:rsidR="0004557C">
        <w:t xml:space="preserve"> &lt;</w:t>
      </w:r>
      <w:r w:rsidR="0004557C" w:rsidRPr="0004557C">
        <w:t>https://www.health.vic.gov.au/publications/all-reasonable-steps-and-other-key-terms-requirements-for-health-practitioners</w:t>
      </w:r>
      <w:r w:rsidR="0004557C">
        <w:t>&gt;</w:t>
      </w:r>
    </w:p>
    <w:p w14:paraId="5C404524" w14:textId="4512D071" w:rsidR="0004557C" w:rsidRPr="0004557C" w:rsidRDefault="00D557EB" w:rsidP="00217A35">
      <w:pPr>
        <w:pStyle w:val="Bullet1"/>
        <w:rPr>
          <w:rFonts w:cs="Arial"/>
          <w:szCs w:val="21"/>
        </w:rPr>
      </w:pPr>
      <w:hyperlink r:id="rId20" w:history="1">
        <w:r w:rsidR="0004557C">
          <w:rPr>
            <w:rStyle w:val="Hyperlink"/>
            <w:rFonts w:cs="Arial"/>
            <w:szCs w:val="21"/>
          </w:rPr>
          <w:t>Drugs, Poisons and Controlled Substances Regulations 2017</w:t>
        </w:r>
      </w:hyperlink>
      <w:r w:rsidR="0004557C">
        <w:rPr>
          <w:rFonts w:cs="Arial"/>
          <w:szCs w:val="21"/>
        </w:rPr>
        <w:t xml:space="preserve"> &lt;</w:t>
      </w:r>
      <w:r w:rsidR="0004557C" w:rsidRPr="0004557C">
        <w:rPr>
          <w:rFonts w:cs="Arial"/>
          <w:szCs w:val="21"/>
        </w:rPr>
        <w:t>https://www.legislation.vic.gov.au/in-force/statutory-rules/drugs-poisons-and-controlled-substances-regulations-2017/006</w:t>
      </w:r>
      <w:r w:rsidR="0004557C">
        <w:rPr>
          <w:rFonts w:cs="Arial"/>
          <w:szCs w:val="21"/>
        </w:rPr>
        <w:t>&gt;</w:t>
      </w:r>
    </w:p>
    <w:p w14:paraId="193BD278" w14:textId="3E8D5D51" w:rsidR="0004557C" w:rsidRPr="0004557C" w:rsidRDefault="00D557EB" w:rsidP="00217A35">
      <w:pPr>
        <w:pStyle w:val="Bullet1"/>
        <w:rPr>
          <w:rFonts w:cs="Arial"/>
          <w:szCs w:val="21"/>
        </w:rPr>
      </w:pPr>
      <w:hyperlink r:id="rId21" w:history="1">
        <w:r w:rsidR="0004557C">
          <w:rPr>
            <w:rStyle w:val="Hyperlink"/>
          </w:rPr>
          <w:t>Australian STI Management Guidelines for Use in Primary Care</w:t>
        </w:r>
      </w:hyperlink>
      <w:r w:rsidR="0004557C">
        <w:t xml:space="preserve"> &lt;</w:t>
      </w:r>
      <w:r w:rsidR="0004557C" w:rsidRPr="0004557C">
        <w:t>https://sti.guidelines.org.au/</w:t>
      </w:r>
      <w:r w:rsidR="0004557C">
        <w:t>&gt;</w:t>
      </w:r>
    </w:p>
    <w:p w14:paraId="5D8BB1B3" w14:textId="26A9A421" w:rsidR="00135ADA" w:rsidRDefault="00D557EB" w:rsidP="0037746D">
      <w:pPr>
        <w:pStyle w:val="Bullet1"/>
      </w:pPr>
      <w:hyperlink r:id="rId22" w:history="1">
        <w:r w:rsidR="00463AE2">
          <w:rPr>
            <w:rStyle w:val="Hyperlink"/>
            <w:rFonts w:cs="Arial"/>
            <w:szCs w:val="21"/>
          </w:rPr>
          <w:t>Australiasian Contact Tracing Manual</w:t>
        </w:r>
      </w:hyperlink>
      <w:r w:rsidR="00463AE2">
        <w:t xml:space="preserve"> </w:t>
      </w:r>
      <w:hyperlink r:id="rId23" w:history="1">
        <w:r w:rsidR="00135ADA" w:rsidRPr="00B2059C">
          <w:rPr>
            <w:rStyle w:val="Hyperlink"/>
          </w:rPr>
          <w:t>http://contacttracing.ashm.org.au/</w:t>
        </w:r>
      </w:hyperlink>
    </w:p>
    <w:p w14:paraId="78DA0E33" w14:textId="0D9170B1" w:rsidR="007B35EF" w:rsidRDefault="00925672" w:rsidP="00582BC2">
      <w:pPr>
        <w:pStyle w:val="Heading1"/>
      </w:pPr>
      <w:r w:rsidRPr="00463AE2">
        <w:rPr>
          <w:rStyle w:val="Hyperlink"/>
          <w:sz w:val="22"/>
          <w:szCs w:val="22"/>
        </w:rPr>
        <w:br w:type="page"/>
      </w:r>
      <w:bookmarkStart w:id="32" w:name="_Toc107311390"/>
      <w:bookmarkStart w:id="33" w:name="_Toc43719469"/>
      <w:r w:rsidR="00582BC2">
        <w:lastRenderedPageBreak/>
        <w:t>Appendix 1: PDPT clinical flowchart</w:t>
      </w:r>
      <w:bookmarkEnd w:id="32"/>
    </w:p>
    <w:p w14:paraId="51027EFE" w14:textId="4685AEB6" w:rsidR="006A488C" w:rsidRDefault="002C6E80" w:rsidP="006A488C">
      <w:pPr>
        <w:pStyle w:val="Body"/>
      </w:pPr>
      <w:r>
        <w:rPr>
          <w:noProof/>
        </w:rPr>
        <w:drawing>
          <wp:anchor distT="0" distB="0" distL="114300" distR="114300" simplePos="0" relativeHeight="251659264" behindDoc="1" locked="0" layoutInCell="1" allowOverlap="1" wp14:anchorId="61D9537F" wp14:editId="7908EB8E">
            <wp:simplePos x="0" y="0"/>
            <wp:positionH relativeFrom="margin">
              <wp:align>center</wp:align>
            </wp:positionH>
            <wp:positionV relativeFrom="paragraph">
              <wp:posOffset>567055</wp:posOffset>
            </wp:positionV>
            <wp:extent cx="5400675" cy="7870825"/>
            <wp:effectExtent l="0" t="0" r="9525" b="0"/>
            <wp:wrapTight wrapText="bothSides">
              <wp:wrapPolygon edited="0">
                <wp:start x="0" y="0"/>
                <wp:lineTo x="0" y="21539"/>
                <wp:lineTo x="21562" y="21539"/>
                <wp:lineTo x="215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4"/>
                    <a:srcRect l="3549" t="5696" r="4013" b="1042"/>
                    <a:stretch/>
                  </pic:blipFill>
                  <pic:spPr bwMode="auto">
                    <a:xfrm>
                      <a:off x="0" y="0"/>
                      <a:ext cx="5400675" cy="787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This flowchart can be downloaded as a PDF or in accessible Microsoft Word format from the </w:t>
      </w:r>
      <w:hyperlink r:id="rId25" w:history="1">
        <w:r>
          <w:rPr>
            <w:rStyle w:val="Hyperlink"/>
          </w:rPr>
          <w:t>PDPT webpage</w:t>
        </w:r>
      </w:hyperlink>
      <w:r>
        <w:t xml:space="preserve"> &lt;</w:t>
      </w:r>
      <w:r w:rsidRPr="005A2E4E">
        <w:t>https://www.health.vic.gov.au/publications/patient-delivered-partner-therapy-clinical-guidelines</w:t>
      </w:r>
      <w:r>
        <w:t>&gt;.</w:t>
      </w:r>
    </w:p>
    <w:p w14:paraId="10C53F0D" w14:textId="4C6B2C0C" w:rsidR="002C6E80" w:rsidRPr="006A488C" w:rsidRDefault="002C6E80" w:rsidP="006A488C">
      <w:pPr>
        <w:pStyle w:val="Body"/>
      </w:pPr>
    </w:p>
    <w:p w14:paraId="19A41730" w14:textId="74827CB2" w:rsidR="00925672" w:rsidRPr="00582BC2" w:rsidRDefault="00582BC2" w:rsidP="004F5779">
      <w:pPr>
        <w:pStyle w:val="Heading1"/>
      </w:pPr>
      <w:bookmarkStart w:id="34" w:name="_Toc107311391"/>
      <w:r w:rsidRPr="004F5779">
        <w:t>Appendix 2: suggested PDPT prescription template</w:t>
      </w:r>
      <w:bookmarkEnd w:id="34"/>
    </w:p>
    <w:p w14:paraId="18550DCE" w14:textId="4AAE4C2D" w:rsidR="00925672" w:rsidRDefault="00925672">
      <w:pPr>
        <w:pStyle w:val="Body"/>
      </w:pPr>
      <w:r w:rsidRPr="003D1318">
        <w:t>The below template can be imported into the letter section of the clinic’s electronic medical records software and then used to create a private script template for PDPT from the patient</w:t>
      </w:r>
      <w:r w:rsidR="00AD0D67">
        <w:t>’</w:t>
      </w:r>
      <w:r w:rsidRPr="003D1318">
        <w:t xml:space="preserve">s medical record. </w:t>
      </w:r>
      <w:hyperlink r:id="rId26" w:history="1">
        <w:r w:rsidR="00AB2164" w:rsidRPr="00AB2164">
          <w:rPr>
            <w:rStyle w:val="Hyperlink"/>
          </w:rPr>
          <w:t>Download the template</w:t>
        </w:r>
        <w:r w:rsidR="00AB2164" w:rsidRPr="005A2E4E">
          <w:rPr>
            <w:rStyle w:val="Hyperlink"/>
          </w:rPr>
          <w:t xml:space="preserve"> </w:t>
        </w:r>
        <w:r w:rsidR="00AB2164" w:rsidRPr="00AB2164">
          <w:rPr>
            <w:rStyle w:val="Hyperlink"/>
          </w:rPr>
          <w:t>(</w:t>
        </w:r>
        <w:r w:rsidR="00AB2164" w:rsidRPr="005A2E4E">
          <w:rPr>
            <w:rStyle w:val="Hyperlink"/>
          </w:rPr>
          <w:t>in Rich Text Format</w:t>
        </w:r>
        <w:r w:rsidR="00AB2164" w:rsidRPr="00AB2164">
          <w:rPr>
            <w:rStyle w:val="Hyperlink"/>
          </w:rPr>
          <w:t>)</w:t>
        </w:r>
        <w:r w:rsidR="00AB2164" w:rsidRPr="005A2E4E">
          <w:rPr>
            <w:rStyle w:val="Hyperlink"/>
          </w:rPr>
          <w:t xml:space="preserve"> from the</w:t>
        </w:r>
        <w:r w:rsidR="00AB2164" w:rsidRPr="005A2E4E">
          <w:rPr>
            <w:rStyle w:val="Hyperlink"/>
            <w:rFonts w:hint="eastAsia"/>
          </w:rPr>
          <w:t> </w:t>
        </w:r>
        <w:r w:rsidR="00AB2164" w:rsidRPr="005A2E4E">
          <w:rPr>
            <w:rStyle w:val="Hyperlink"/>
          </w:rPr>
          <w:t xml:space="preserve"> PDPT </w:t>
        </w:r>
        <w:r w:rsidR="00AB2164" w:rsidRPr="00AB2164">
          <w:rPr>
            <w:rStyle w:val="Hyperlink"/>
          </w:rPr>
          <w:t>web</w:t>
        </w:r>
        <w:r w:rsidR="00AB2164" w:rsidRPr="005A2E4E">
          <w:rPr>
            <w:rStyle w:val="Hyperlink"/>
          </w:rPr>
          <w:t>page</w:t>
        </w:r>
      </w:hyperlink>
      <w:r w:rsidR="00AB2164">
        <w:t xml:space="preserve"> &lt;</w:t>
      </w:r>
      <w:r w:rsidR="00AB2164" w:rsidRPr="005A2E4E">
        <w:t>https://www.health.vic.gov.au/publications/patient-delivered-partner-therapy-clinical-guidelines</w:t>
      </w:r>
      <w:r w:rsidR="00AB2164">
        <w:t>&gt;</w:t>
      </w:r>
    </w:p>
    <w:p w14:paraId="4F9FFBC4" w14:textId="77777777" w:rsidR="00AB2164" w:rsidRPr="003D1318" w:rsidRDefault="00AB2164" w:rsidP="005A2E4E">
      <w:pPr>
        <w:pStyle w:val="Body"/>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958"/>
        <w:gridCol w:w="6330"/>
      </w:tblGrid>
      <w:tr w:rsidR="00925672" w14:paraId="40F7370F" w14:textId="77777777" w:rsidTr="004D2D7F">
        <w:tc>
          <w:tcPr>
            <w:tcW w:w="2972" w:type="dxa"/>
          </w:tcPr>
          <w:p w14:paraId="11FF54FB" w14:textId="77777777" w:rsidR="00925672" w:rsidRPr="00DF6F1D" w:rsidRDefault="00925672" w:rsidP="00217A35">
            <w:pPr>
              <w:spacing w:line="270" w:lineRule="atLeast"/>
              <w:rPr>
                <w:rFonts w:cs="Arial"/>
              </w:rPr>
            </w:pPr>
          </w:p>
        </w:tc>
        <w:tc>
          <w:tcPr>
            <w:tcW w:w="6378" w:type="dxa"/>
          </w:tcPr>
          <w:p w14:paraId="0B6BDD0E" w14:textId="77777777" w:rsidR="00925672" w:rsidRPr="00DF6F1D" w:rsidRDefault="00925672" w:rsidP="00217A35">
            <w:pPr>
              <w:spacing w:line="270" w:lineRule="atLeast"/>
              <w:ind w:left="284"/>
              <w:jc w:val="right"/>
              <w:rPr>
                <w:rFonts w:cs="Arial"/>
              </w:rPr>
            </w:pPr>
            <w:r w:rsidRPr="00DF6F1D">
              <w:rPr>
                <w:rFonts w:cs="Arial"/>
              </w:rPr>
              <w:t>Doctor Name</w:t>
            </w:r>
          </w:p>
          <w:p w14:paraId="440C1A95" w14:textId="77777777" w:rsidR="00925672" w:rsidRPr="00DF6F1D" w:rsidRDefault="00925672" w:rsidP="00217A35">
            <w:pPr>
              <w:spacing w:line="270" w:lineRule="atLeast"/>
              <w:ind w:left="284"/>
              <w:jc w:val="right"/>
              <w:rPr>
                <w:rFonts w:cs="Arial"/>
              </w:rPr>
            </w:pPr>
            <w:r w:rsidRPr="00DF6F1D">
              <w:rPr>
                <w:rFonts w:cs="Arial"/>
              </w:rPr>
              <w:t>Doctor Provider Number</w:t>
            </w:r>
          </w:p>
          <w:p w14:paraId="1F649E52" w14:textId="77777777" w:rsidR="00925672" w:rsidRPr="00DF6F1D" w:rsidRDefault="00925672" w:rsidP="00217A35">
            <w:pPr>
              <w:spacing w:line="270" w:lineRule="atLeast"/>
              <w:ind w:left="284"/>
              <w:jc w:val="right"/>
              <w:rPr>
                <w:rFonts w:cs="Arial"/>
              </w:rPr>
            </w:pPr>
            <w:r w:rsidRPr="00DF6F1D">
              <w:rPr>
                <w:rFonts w:cs="Arial"/>
              </w:rPr>
              <w:t xml:space="preserve">Doctor Full Address </w:t>
            </w:r>
          </w:p>
          <w:p w14:paraId="721A819C" w14:textId="77777777" w:rsidR="00925672" w:rsidRPr="00DF6F1D" w:rsidRDefault="00925672" w:rsidP="00217A35">
            <w:pPr>
              <w:spacing w:line="270" w:lineRule="atLeast"/>
              <w:ind w:left="284"/>
              <w:jc w:val="right"/>
              <w:rPr>
                <w:rFonts w:cs="Arial"/>
              </w:rPr>
            </w:pPr>
            <w:r w:rsidRPr="00DF6F1D">
              <w:rPr>
                <w:rFonts w:cs="Arial"/>
              </w:rPr>
              <w:t>Doctor Phone No</w:t>
            </w:r>
          </w:p>
          <w:p w14:paraId="7DEB24FF" w14:textId="77777777" w:rsidR="00925672" w:rsidRPr="00DF6F1D" w:rsidRDefault="00925672" w:rsidP="00217A35">
            <w:pPr>
              <w:spacing w:line="270" w:lineRule="atLeast"/>
              <w:ind w:left="567"/>
              <w:rPr>
                <w:rFonts w:cs="Arial"/>
              </w:rPr>
            </w:pPr>
          </w:p>
        </w:tc>
      </w:tr>
      <w:tr w:rsidR="00925672" w14:paraId="18425E2A" w14:textId="77777777" w:rsidTr="004D2D7F">
        <w:trPr>
          <w:trHeight w:val="567"/>
        </w:trPr>
        <w:tc>
          <w:tcPr>
            <w:tcW w:w="2972" w:type="dxa"/>
            <w:shd w:val="clear" w:color="auto" w:fill="EEECE1" w:themeFill="background2"/>
            <w:vAlign w:val="center"/>
          </w:tcPr>
          <w:p w14:paraId="67080DFE" w14:textId="77777777" w:rsidR="00925672" w:rsidRPr="00DF6F1D" w:rsidRDefault="00925672" w:rsidP="00217A35">
            <w:pPr>
              <w:spacing w:line="270" w:lineRule="atLeast"/>
              <w:ind w:left="284"/>
              <w:rPr>
                <w:rFonts w:cs="Arial"/>
                <w:b/>
              </w:rPr>
            </w:pPr>
          </w:p>
        </w:tc>
        <w:tc>
          <w:tcPr>
            <w:tcW w:w="6378" w:type="dxa"/>
            <w:shd w:val="clear" w:color="auto" w:fill="EEECE1" w:themeFill="background2"/>
          </w:tcPr>
          <w:p w14:paraId="3B0DB76B" w14:textId="77777777" w:rsidR="00925672" w:rsidRPr="00DF6F1D" w:rsidRDefault="00925672" w:rsidP="00217A35">
            <w:pPr>
              <w:spacing w:line="270" w:lineRule="atLeast"/>
              <w:ind w:left="284"/>
              <w:rPr>
                <w:rFonts w:cs="Arial"/>
              </w:rPr>
            </w:pPr>
          </w:p>
        </w:tc>
      </w:tr>
      <w:tr w:rsidR="00925672" w14:paraId="017B2160" w14:textId="77777777" w:rsidTr="004D2D7F">
        <w:trPr>
          <w:trHeight w:val="567"/>
        </w:trPr>
        <w:tc>
          <w:tcPr>
            <w:tcW w:w="2972" w:type="dxa"/>
            <w:vAlign w:val="bottom"/>
          </w:tcPr>
          <w:p w14:paraId="45232003" w14:textId="77777777" w:rsidR="00925672" w:rsidRPr="00DF6F1D" w:rsidRDefault="00925672" w:rsidP="00217A35">
            <w:pPr>
              <w:spacing w:line="270" w:lineRule="atLeast"/>
              <w:ind w:left="284"/>
              <w:rPr>
                <w:rFonts w:cs="Arial"/>
                <w:b/>
              </w:rPr>
            </w:pPr>
            <w:r w:rsidRPr="00DF6F1D">
              <w:rPr>
                <w:rFonts w:cs="Arial"/>
                <w:b/>
              </w:rPr>
              <w:t>Name (first and last)</w:t>
            </w:r>
          </w:p>
        </w:tc>
        <w:tc>
          <w:tcPr>
            <w:tcW w:w="6378" w:type="dxa"/>
            <w:tcBorders>
              <w:top w:val="nil"/>
              <w:bottom w:val="single" w:sz="4" w:space="0" w:color="auto"/>
            </w:tcBorders>
            <w:vAlign w:val="bottom"/>
          </w:tcPr>
          <w:p w14:paraId="6F8FFA1D" w14:textId="77777777" w:rsidR="00925672" w:rsidRPr="00DF6F1D" w:rsidRDefault="00925672" w:rsidP="00217A35">
            <w:pPr>
              <w:spacing w:line="270" w:lineRule="atLeast"/>
              <w:ind w:left="284"/>
              <w:rPr>
                <w:rFonts w:cs="Arial"/>
              </w:rPr>
            </w:pPr>
            <w:r w:rsidRPr="00DF6F1D">
              <w:rPr>
                <w:rFonts w:cs="Arial"/>
              </w:rPr>
              <w:t>[Insert the first and last name of the partner]</w:t>
            </w:r>
          </w:p>
        </w:tc>
      </w:tr>
      <w:tr w:rsidR="00925672" w14:paraId="6D096F43" w14:textId="77777777" w:rsidTr="004D2D7F">
        <w:trPr>
          <w:trHeight w:val="567"/>
        </w:trPr>
        <w:tc>
          <w:tcPr>
            <w:tcW w:w="2972" w:type="dxa"/>
            <w:vAlign w:val="bottom"/>
          </w:tcPr>
          <w:p w14:paraId="6BBC16A5" w14:textId="77777777" w:rsidR="00925672" w:rsidRPr="00DF6F1D" w:rsidRDefault="00925672" w:rsidP="00217A35">
            <w:pPr>
              <w:spacing w:line="270" w:lineRule="atLeast"/>
              <w:ind w:left="284"/>
              <w:jc w:val="center"/>
              <w:rPr>
                <w:rFonts w:cs="Arial"/>
                <w:b/>
              </w:rPr>
            </w:pPr>
            <w:r w:rsidRPr="00DF6F1D">
              <w:rPr>
                <w:rFonts w:cs="Arial"/>
                <w:b/>
              </w:rPr>
              <w:t>AND</w:t>
            </w:r>
          </w:p>
        </w:tc>
        <w:tc>
          <w:tcPr>
            <w:tcW w:w="6378" w:type="dxa"/>
            <w:tcBorders>
              <w:top w:val="single" w:sz="4" w:space="0" w:color="auto"/>
              <w:bottom w:val="nil"/>
            </w:tcBorders>
            <w:vAlign w:val="bottom"/>
          </w:tcPr>
          <w:p w14:paraId="29BDAFAE" w14:textId="77777777" w:rsidR="00925672" w:rsidRPr="00DF6F1D" w:rsidRDefault="00925672" w:rsidP="00217A35">
            <w:pPr>
              <w:spacing w:line="270" w:lineRule="atLeast"/>
              <w:ind w:left="284"/>
              <w:rPr>
                <w:rFonts w:cs="Arial"/>
              </w:rPr>
            </w:pPr>
          </w:p>
        </w:tc>
      </w:tr>
      <w:tr w:rsidR="00925672" w14:paraId="275D762D" w14:textId="77777777" w:rsidTr="004D2D7F">
        <w:trPr>
          <w:trHeight w:val="567"/>
        </w:trPr>
        <w:tc>
          <w:tcPr>
            <w:tcW w:w="2972" w:type="dxa"/>
            <w:vAlign w:val="bottom"/>
          </w:tcPr>
          <w:p w14:paraId="1DFE615E" w14:textId="77777777" w:rsidR="00925672" w:rsidRPr="00DF6F1D" w:rsidRDefault="00925672" w:rsidP="00217A35">
            <w:pPr>
              <w:spacing w:line="270" w:lineRule="atLeast"/>
              <w:ind w:left="284"/>
              <w:rPr>
                <w:rFonts w:cs="Arial"/>
                <w:b/>
              </w:rPr>
            </w:pPr>
            <w:r w:rsidRPr="00DF6F1D">
              <w:rPr>
                <w:rFonts w:cs="Arial"/>
                <w:b/>
              </w:rPr>
              <w:t>Address</w:t>
            </w:r>
          </w:p>
        </w:tc>
        <w:tc>
          <w:tcPr>
            <w:tcW w:w="6378" w:type="dxa"/>
            <w:tcBorders>
              <w:top w:val="nil"/>
              <w:bottom w:val="single" w:sz="4" w:space="0" w:color="auto"/>
            </w:tcBorders>
            <w:vAlign w:val="bottom"/>
          </w:tcPr>
          <w:p w14:paraId="42EA08B9" w14:textId="77777777" w:rsidR="00925672" w:rsidRPr="00DF6F1D" w:rsidRDefault="00925672" w:rsidP="00217A35">
            <w:pPr>
              <w:spacing w:line="270" w:lineRule="atLeast"/>
              <w:ind w:left="284"/>
              <w:rPr>
                <w:rFonts w:cs="Arial"/>
              </w:rPr>
            </w:pPr>
            <w:r w:rsidRPr="00DF6F1D">
              <w:rPr>
                <w:rFonts w:cs="Arial"/>
              </w:rPr>
              <w:t>[Insert the address of the partner]</w:t>
            </w:r>
          </w:p>
        </w:tc>
      </w:tr>
      <w:tr w:rsidR="00925672" w14:paraId="47A5A5A8" w14:textId="77777777" w:rsidTr="004D2D7F">
        <w:trPr>
          <w:trHeight w:val="567"/>
        </w:trPr>
        <w:tc>
          <w:tcPr>
            <w:tcW w:w="2972" w:type="dxa"/>
          </w:tcPr>
          <w:p w14:paraId="478B7570" w14:textId="77777777" w:rsidR="00925672" w:rsidRPr="00DF6F1D" w:rsidRDefault="00925672" w:rsidP="00217A35">
            <w:pPr>
              <w:spacing w:line="270" w:lineRule="atLeast"/>
              <w:ind w:left="284"/>
              <w:rPr>
                <w:rFonts w:cs="Arial"/>
              </w:rPr>
            </w:pPr>
          </w:p>
        </w:tc>
        <w:tc>
          <w:tcPr>
            <w:tcW w:w="6378" w:type="dxa"/>
            <w:tcBorders>
              <w:top w:val="single" w:sz="4" w:space="0" w:color="auto"/>
              <w:bottom w:val="single" w:sz="4" w:space="0" w:color="auto"/>
            </w:tcBorders>
          </w:tcPr>
          <w:p w14:paraId="4C252267" w14:textId="77777777" w:rsidR="00925672" w:rsidRPr="00DF6F1D" w:rsidRDefault="00925672" w:rsidP="00217A35">
            <w:pPr>
              <w:spacing w:line="270" w:lineRule="atLeast"/>
              <w:ind w:left="284"/>
              <w:rPr>
                <w:rFonts w:cs="Arial"/>
              </w:rPr>
            </w:pPr>
          </w:p>
        </w:tc>
      </w:tr>
      <w:tr w:rsidR="00925672" w14:paraId="34E50261" w14:textId="77777777" w:rsidTr="004D2D7F">
        <w:trPr>
          <w:trHeight w:val="567"/>
        </w:trPr>
        <w:tc>
          <w:tcPr>
            <w:tcW w:w="2972" w:type="dxa"/>
            <w:shd w:val="clear" w:color="auto" w:fill="EEECE1" w:themeFill="background2"/>
            <w:vAlign w:val="center"/>
          </w:tcPr>
          <w:p w14:paraId="38D0E883" w14:textId="77777777" w:rsidR="00925672" w:rsidRPr="00DF6F1D" w:rsidRDefault="00925672" w:rsidP="00217A35">
            <w:pPr>
              <w:spacing w:line="270" w:lineRule="atLeast"/>
              <w:ind w:left="284"/>
              <w:rPr>
                <w:rFonts w:cs="Arial"/>
                <w:b/>
              </w:rPr>
            </w:pPr>
          </w:p>
        </w:tc>
        <w:tc>
          <w:tcPr>
            <w:tcW w:w="6378" w:type="dxa"/>
            <w:tcBorders>
              <w:bottom w:val="nil"/>
            </w:tcBorders>
            <w:shd w:val="clear" w:color="auto" w:fill="EEECE1" w:themeFill="background2"/>
          </w:tcPr>
          <w:p w14:paraId="4174B232" w14:textId="77777777" w:rsidR="00925672" w:rsidRPr="00DF6F1D" w:rsidRDefault="00925672" w:rsidP="00217A35">
            <w:pPr>
              <w:spacing w:line="270" w:lineRule="atLeast"/>
              <w:ind w:left="284"/>
              <w:rPr>
                <w:rFonts w:cs="Arial"/>
              </w:rPr>
            </w:pPr>
          </w:p>
        </w:tc>
      </w:tr>
      <w:tr w:rsidR="00925672" w14:paraId="0B879EA3" w14:textId="77777777" w:rsidTr="004D2D7F">
        <w:trPr>
          <w:trHeight w:val="567"/>
        </w:trPr>
        <w:tc>
          <w:tcPr>
            <w:tcW w:w="2972" w:type="dxa"/>
            <w:vAlign w:val="bottom"/>
          </w:tcPr>
          <w:p w14:paraId="50991163" w14:textId="77777777" w:rsidR="00925672" w:rsidRPr="00DF6F1D" w:rsidRDefault="00925672" w:rsidP="00217A35">
            <w:pPr>
              <w:spacing w:line="270" w:lineRule="atLeast"/>
              <w:ind w:left="284"/>
              <w:rPr>
                <w:rFonts w:cs="Arial"/>
                <w:b/>
              </w:rPr>
            </w:pPr>
            <w:r w:rsidRPr="00DF6F1D">
              <w:rPr>
                <w:rFonts w:cs="Arial"/>
                <w:b/>
              </w:rPr>
              <w:t>Medication name and dose</w:t>
            </w:r>
          </w:p>
        </w:tc>
        <w:tc>
          <w:tcPr>
            <w:tcW w:w="6378" w:type="dxa"/>
            <w:tcBorders>
              <w:top w:val="nil"/>
              <w:bottom w:val="single" w:sz="4" w:space="0" w:color="auto"/>
            </w:tcBorders>
            <w:vAlign w:val="bottom"/>
          </w:tcPr>
          <w:p w14:paraId="1B3CEE1D" w14:textId="77777777" w:rsidR="00925672" w:rsidRPr="00DF6F1D" w:rsidRDefault="00925672" w:rsidP="00217A35">
            <w:pPr>
              <w:spacing w:line="270" w:lineRule="atLeast"/>
              <w:ind w:left="284"/>
              <w:jc w:val="center"/>
              <w:rPr>
                <w:rFonts w:cs="Arial"/>
              </w:rPr>
            </w:pPr>
            <w:r w:rsidRPr="00DF6F1D">
              <w:rPr>
                <w:rFonts w:cs="Arial"/>
              </w:rPr>
              <w:t xml:space="preserve">Azithromycin </w:t>
            </w:r>
            <w:r>
              <w:rPr>
                <w:rFonts w:cs="Arial"/>
              </w:rPr>
              <w:t>500mg, 2 tablets</w:t>
            </w:r>
          </w:p>
        </w:tc>
      </w:tr>
      <w:tr w:rsidR="00925672" w14:paraId="25BDCB31" w14:textId="77777777" w:rsidTr="004D2D7F">
        <w:trPr>
          <w:trHeight w:val="567"/>
        </w:trPr>
        <w:tc>
          <w:tcPr>
            <w:tcW w:w="2972" w:type="dxa"/>
          </w:tcPr>
          <w:p w14:paraId="6CDD8D5B" w14:textId="77777777" w:rsidR="00925672" w:rsidRPr="00DF6F1D" w:rsidRDefault="00925672" w:rsidP="00217A35">
            <w:pPr>
              <w:spacing w:line="270" w:lineRule="atLeast"/>
              <w:ind w:left="284"/>
              <w:rPr>
                <w:rFonts w:cs="Arial"/>
                <w:b/>
              </w:rPr>
            </w:pPr>
          </w:p>
        </w:tc>
        <w:tc>
          <w:tcPr>
            <w:tcW w:w="6378" w:type="dxa"/>
            <w:tcBorders>
              <w:top w:val="single" w:sz="4" w:space="0" w:color="auto"/>
              <w:bottom w:val="nil"/>
            </w:tcBorders>
          </w:tcPr>
          <w:p w14:paraId="0A84DA77" w14:textId="77777777" w:rsidR="00925672" w:rsidRPr="00DF6F1D" w:rsidRDefault="00925672" w:rsidP="00217A35">
            <w:pPr>
              <w:spacing w:line="270" w:lineRule="atLeast"/>
              <w:ind w:left="284"/>
              <w:rPr>
                <w:rFonts w:cs="Arial"/>
              </w:rPr>
            </w:pPr>
            <w:r>
              <w:rPr>
                <w:rFonts w:cs="Arial"/>
              </w:rPr>
              <w:t>Take 2 tablets orally as a stat dose.</w:t>
            </w:r>
          </w:p>
        </w:tc>
      </w:tr>
      <w:tr w:rsidR="00925672" w14:paraId="018335D3" w14:textId="77777777" w:rsidTr="004D2D7F">
        <w:trPr>
          <w:trHeight w:val="567"/>
        </w:trPr>
        <w:tc>
          <w:tcPr>
            <w:tcW w:w="2972" w:type="dxa"/>
            <w:vAlign w:val="bottom"/>
          </w:tcPr>
          <w:p w14:paraId="7D28E6F8" w14:textId="77777777" w:rsidR="00925672" w:rsidRPr="00DF6F1D" w:rsidRDefault="00925672" w:rsidP="00217A35">
            <w:pPr>
              <w:spacing w:line="270" w:lineRule="atLeast"/>
              <w:ind w:left="284"/>
              <w:rPr>
                <w:rFonts w:cs="Arial"/>
                <w:b/>
              </w:rPr>
            </w:pPr>
            <w:r w:rsidRPr="00DF6F1D">
              <w:rPr>
                <w:rFonts w:cs="Arial"/>
                <w:b/>
              </w:rPr>
              <w:t>Signature</w:t>
            </w:r>
          </w:p>
        </w:tc>
        <w:tc>
          <w:tcPr>
            <w:tcW w:w="6378" w:type="dxa"/>
            <w:tcBorders>
              <w:top w:val="nil"/>
              <w:bottom w:val="single" w:sz="4" w:space="0" w:color="auto"/>
            </w:tcBorders>
            <w:vAlign w:val="bottom"/>
          </w:tcPr>
          <w:p w14:paraId="2531C5EF" w14:textId="77777777" w:rsidR="00925672" w:rsidRPr="00DF6F1D" w:rsidRDefault="00925672" w:rsidP="00217A35">
            <w:pPr>
              <w:spacing w:line="270" w:lineRule="atLeast"/>
              <w:ind w:left="284"/>
              <w:rPr>
                <w:rFonts w:cs="Arial"/>
              </w:rPr>
            </w:pPr>
          </w:p>
        </w:tc>
      </w:tr>
      <w:tr w:rsidR="00925672" w14:paraId="0837D19C" w14:textId="77777777" w:rsidTr="004D2D7F">
        <w:trPr>
          <w:trHeight w:val="567"/>
        </w:trPr>
        <w:tc>
          <w:tcPr>
            <w:tcW w:w="2972" w:type="dxa"/>
            <w:vAlign w:val="bottom"/>
          </w:tcPr>
          <w:p w14:paraId="21B48485" w14:textId="77777777" w:rsidR="00925672" w:rsidRPr="00DF6F1D" w:rsidRDefault="00925672" w:rsidP="00217A35">
            <w:pPr>
              <w:spacing w:line="270" w:lineRule="atLeast"/>
              <w:ind w:left="284"/>
              <w:rPr>
                <w:rFonts w:cs="Arial"/>
                <w:b/>
              </w:rPr>
            </w:pPr>
            <w:r w:rsidRPr="00DF6F1D">
              <w:rPr>
                <w:rFonts w:cs="Arial"/>
                <w:b/>
              </w:rPr>
              <w:t>Date</w:t>
            </w:r>
          </w:p>
        </w:tc>
        <w:tc>
          <w:tcPr>
            <w:tcW w:w="6378" w:type="dxa"/>
            <w:tcBorders>
              <w:top w:val="single" w:sz="4" w:space="0" w:color="auto"/>
              <w:bottom w:val="single" w:sz="4" w:space="0" w:color="auto"/>
            </w:tcBorders>
            <w:vAlign w:val="bottom"/>
          </w:tcPr>
          <w:p w14:paraId="254CA3E2" w14:textId="77777777" w:rsidR="00925672" w:rsidRPr="00DF6F1D" w:rsidRDefault="00925672" w:rsidP="00217A35">
            <w:pPr>
              <w:spacing w:line="270" w:lineRule="atLeast"/>
              <w:ind w:left="284"/>
              <w:rPr>
                <w:rFonts w:cs="Arial"/>
              </w:rPr>
            </w:pPr>
            <w:r w:rsidRPr="00DF6F1D">
              <w:rPr>
                <w:rFonts w:cs="Arial"/>
              </w:rPr>
              <w:t>[insert date]</w:t>
            </w:r>
          </w:p>
        </w:tc>
      </w:tr>
      <w:tr w:rsidR="00925672" w14:paraId="235F86E4" w14:textId="77777777" w:rsidTr="004D2D7F">
        <w:tc>
          <w:tcPr>
            <w:tcW w:w="2972" w:type="dxa"/>
          </w:tcPr>
          <w:p w14:paraId="607107DA" w14:textId="77777777" w:rsidR="00925672" w:rsidRPr="00DF6F1D" w:rsidRDefault="00925672" w:rsidP="00217A35">
            <w:pPr>
              <w:spacing w:line="270" w:lineRule="atLeast"/>
              <w:ind w:left="284"/>
              <w:rPr>
                <w:rFonts w:cs="Arial"/>
              </w:rPr>
            </w:pPr>
          </w:p>
        </w:tc>
        <w:tc>
          <w:tcPr>
            <w:tcW w:w="6378" w:type="dxa"/>
            <w:tcBorders>
              <w:top w:val="single" w:sz="4" w:space="0" w:color="auto"/>
            </w:tcBorders>
          </w:tcPr>
          <w:p w14:paraId="6B4724E6" w14:textId="77777777" w:rsidR="00925672" w:rsidRPr="00DF6F1D" w:rsidRDefault="00925672" w:rsidP="00217A35">
            <w:pPr>
              <w:spacing w:line="270" w:lineRule="atLeast"/>
              <w:ind w:left="284"/>
              <w:rPr>
                <w:rFonts w:cs="Arial"/>
              </w:rPr>
            </w:pPr>
          </w:p>
        </w:tc>
      </w:tr>
    </w:tbl>
    <w:p w14:paraId="22C68BB5" w14:textId="77777777" w:rsidR="00925672" w:rsidRDefault="00925672" w:rsidP="00925672"/>
    <w:p w14:paraId="35EA5F0B" w14:textId="77777777" w:rsidR="00925672" w:rsidRPr="005A2E4E" w:rsidRDefault="00925672" w:rsidP="00925672">
      <w:pPr>
        <w:pStyle w:val="DHHSbody"/>
        <w:rPr>
          <w:rStyle w:val="BodyChar"/>
        </w:rPr>
      </w:pPr>
      <w:r w:rsidRPr="001337C3">
        <w:rPr>
          <w:i/>
          <w:sz w:val="21"/>
          <w:szCs w:val="21"/>
        </w:rPr>
        <w:t xml:space="preserve">Prescriptions issued in this manner are private prescriptions and not funded by the Pharmaceutical Benefits Scheme (PBS). </w:t>
      </w:r>
    </w:p>
    <w:bookmarkEnd w:id="33"/>
    <w:p w14:paraId="7B4CFCFD" w14:textId="431E5217" w:rsidR="00925672" w:rsidRDefault="00925672" w:rsidP="001337C3">
      <w:pPr>
        <w:pStyle w:val="Heading1"/>
        <w:spacing w:before="0"/>
      </w:pPr>
      <w:r w:rsidRPr="00D30F70">
        <w:rPr>
          <w:sz w:val="18"/>
          <w:szCs w:val="18"/>
        </w:rPr>
        <w:br w:type="page"/>
      </w:r>
      <w:bookmarkStart w:id="35" w:name="_Toc43719477"/>
      <w:bookmarkStart w:id="36" w:name="_Toc105682553"/>
      <w:bookmarkStart w:id="37" w:name="_Toc107311392"/>
      <w:r w:rsidRPr="00D30F70">
        <w:lastRenderedPageBreak/>
        <w:t>References</w:t>
      </w:r>
      <w:bookmarkEnd w:id="35"/>
      <w:bookmarkEnd w:id="36"/>
      <w:bookmarkEnd w:id="37"/>
    </w:p>
    <w:bookmarkEnd w:id="2"/>
    <w:p w14:paraId="0F824204" w14:textId="3EF00EA1" w:rsidR="004624C9" w:rsidRDefault="004624C9" w:rsidP="004624C9">
      <w:pPr>
        <w:pStyle w:val="NormalWeb"/>
        <w:spacing w:before="0" w:beforeAutospacing="0" w:after="120" w:afterAutospacing="0" w:line="260" w:lineRule="atLeast"/>
        <w:rPr>
          <w:rFonts w:ascii="Arial" w:eastAsia="Times" w:hAnsi="Arial"/>
          <w:sz w:val="21"/>
          <w:szCs w:val="21"/>
          <w:lang w:eastAsia="en-US"/>
        </w:rPr>
      </w:pPr>
      <w:r w:rsidRPr="0069682D">
        <w:rPr>
          <w:rFonts w:ascii="Arial" w:eastAsia="Times" w:hAnsi="Arial"/>
          <w:sz w:val="21"/>
          <w:szCs w:val="21"/>
          <w:lang w:eastAsia="en-US"/>
        </w:rPr>
        <w:t xml:space="preserve">Althaus, C, Turner, K, Mercer, C, Auguste, P, Roberts, T, Bell, G, Herzog, S, Cassell, J, Edmunds, J, White, P, Ward, H &amp; Low, N 2014, ‘Effectiveness and cost-effectiveness of traditional and new partner notification technologies for curable sexually transmitted infections: observational study, systematic reviews and mathematical modelling’, </w:t>
      </w:r>
      <w:r w:rsidRPr="0069682D">
        <w:rPr>
          <w:rFonts w:ascii="Arial" w:eastAsia="Times" w:hAnsi="Arial"/>
          <w:i/>
          <w:iCs/>
          <w:sz w:val="21"/>
          <w:szCs w:val="21"/>
          <w:lang w:eastAsia="en-US"/>
        </w:rPr>
        <w:t>Health Technology Assessment</w:t>
      </w:r>
      <w:r w:rsidRPr="0069682D">
        <w:rPr>
          <w:rFonts w:ascii="Arial" w:eastAsia="Times" w:hAnsi="Arial"/>
          <w:sz w:val="21"/>
          <w:szCs w:val="21"/>
          <w:lang w:eastAsia="en-US"/>
        </w:rPr>
        <w:t>, vol. 18, no. 2, pp. 1–100.</w:t>
      </w:r>
    </w:p>
    <w:p w14:paraId="1A6E1F2A" w14:textId="13DD4787" w:rsidR="007A263F" w:rsidRPr="007A263F" w:rsidRDefault="007A263F" w:rsidP="004624C9">
      <w:pPr>
        <w:pStyle w:val="NormalWeb"/>
        <w:spacing w:before="0" w:beforeAutospacing="0" w:after="120" w:afterAutospacing="0" w:line="260" w:lineRule="atLeast"/>
        <w:rPr>
          <w:rFonts w:ascii="Arial" w:hAnsi="Arial" w:cs="Arial"/>
          <w:sz w:val="21"/>
          <w:szCs w:val="21"/>
        </w:rPr>
      </w:pPr>
      <w:r>
        <w:rPr>
          <w:rFonts w:ascii="Arial" w:hAnsi="Arial" w:cs="Arial"/>
          <w:sz w:val="21"/>
          <w:szCs w:val="21"/>
        </w:rPr>
        <w:t xml:space="preserve">Australasian Chapter of Sexual Health Medicine 2009, </w:t>
      </w:r>
      <w:r w:rsidRPr="007A263F">
        <w:rPr>
          <w:rFonts w:ascii="Arial" w:hAnsi="Arial" w:cs="Arial"/>
          <w:i/>
          <w:iCs/>
          <w:sz w:val="21"/>
          <w:szCs w:val="21"/>
        </w:rPr>
        <w:t>Brief to Royal Australasian College of Physicians College Policy &amp; Advocacy Committee – guidelines for patient delivered partner therapy (PDPT) for uncomplicated genital infection caused by Chlamydia trachomatis: position paper</w:t>
      </w:r>
      <w:r>
        <w:rPr>
          <w:rFonts w:ascii="Arial" w:hAnsi="Arial" w:cs="Arial"/>
          <w:sz w:val="21"/>
          <w:szCs w:val="21"/>
        </w:rPr>
        <w:t>, Royal Australasian College of Physicians, Sydney.</w:t>
      </w:r>
    </w:p>
    <w:p w14:paraId="4B3673A1" w14:textId="1E07956D" w:rsidR="004624C9" w:rsidRDefault="004624C9" w:rsidP="004624C9">
      <w:pPr>
        <w:pStyle w:val="NormalWeb"/>
        <w:spacing w:before="0" w:beforeAutospacing="0" w:after="120" w:afterAutospacing="0" w:line="260" w:lineRule="atLeast"/>
        <w:rPr>
          <w:rFonts w:ascii="Arial" w:hAnsi="Arial" w:cs="Arial"/>
          <w:sz w:val="21"/>
          <w:szCs w:val="21"/>
        </w:rPr>
      </w:pPr>
      <w:r>
        <w:rPr>
          <w:rFonts w:ascii="Arial" w:hAnsi="Arial" w:cs="Arial"/>
          <w:sz w:val="21"/>
          <w:szCs w:val="21"/>
        </w:rPr>
        <w:t xml:space="preserve">Australasian Society for HIV Viral Hepatitis and Sexual Health Medicine (ASHM) 2016, </w:t>
      </w:r>
      <w:r w:rsidRPr="004624C9">
        <w:rPr>
          <w:rFonts w:ascii="Arial" w:hAnsi="Arial" w:cs="Arial"/>
          <w:i/>
          <w:iCs/>
          <w:sz w:val="21"/>
          <w:szCs w:val="21"/>
        </w:rPr>
        <w:t>Australasian Contact Tracing Manual</w:t>
      </w:r>
      <w:r>
        <w:rPr>
          <w:rFonts w:ascii="Arial" w:hAnsi="Arial" w:cs="Arial"/>
          <w:sz w:val="21"/>
          <w:szCs w:val="21"/>
        </w:rPr>
        <w:t>, ASHM, Sydney, viewed 14 June 2022, &lt;</w:t>
      </w:r>
      <w:r w:rsidRPr="004624C9">
        <w:rPr>
          <w:rFonts w:ascii="Arial" w:hAnsi="Arial" w:cs="Arial"/>
          <w:sz w:val="21"/>
          <w:szCs w:val="21"/>
        </w:rPr>
        <w:t>http://contacttracing.ashm.org.au/</w:t>
      </w:r>
      <w:r>
        <w:rPr>
          <w:rFonts w:ascii="Arial" w:hAnsi="Arial" w:cs="Arial"/>
          <w:sz w:val="21"/>
          <w:szCs w:val="21"/>
        </w:rPr>
        <w:t>&gt;.</w:t>
      </w:r>
    </w:p>
    <w:p w14:paraId="23FC3ED5" w14:textId="7B93F35C" w:rsidR="007A263F" w:rsidRDefault="007A263F" w:rsidP="004624C9">
      <w:pPr>
        <w:pStyle w:val="NormalWeb"/>
        <w:spacing w:before="0" w:beforeAutospacing="0" w:after="120" w:afterAutospacing="0" w:line="260" w:lineRule="atLeast"/>
        <w:rPr>
          <w:rFonts w:ascii="Arial" w:hAnsi="Arial" w:cs="Arial"/>
          <w:sz w:val="21"/>
          <w:szCs w:val="21"/>
        </w:rPr>
      </w:pPr>
      <w:r>
        <w:rPr>
          <w:rFonts w:ascii="Arial" w:hAnsi="Arial" w:cs="Arial"/>
          <w:sz w:val="21"/>
          <w:szCs w:val="21"/>
        </w:rPr>
        <w:t xml:space="preserve">ASHM 2022, </w:t>
      </w:r>
      <w:r w:rsidRPr="007A263F">
        <w:rPr>
          <w:rFonts w:ascii="Arial" w:hAnsi="Arial" w:cs="Arial"/>
          <w:i/>
          <w:iCs/>
          <w:sz w:val="21"/>
          <w:szCs w:val="21"/>
        </w:rPr>
        <w:t>Australian STI Management Guidelines for Use in Primary Care</w:t>
      </w:r>
      <w:r>
        <w:rPr>
          <w:rFonts w:ascii="Arial" w:hAnsi="Arial" w:cs="Arial"/>
          <w:sz w:val="21"/>
          <w:szCs w:val="21"/>
        </w:rPr>
        <w:t>, ASHM, Sydney, viewed 15 June 2022, &lt;</w:t>
      </w:r>
      <w:r w:rsidRPr="00EC7AC5">
        <w:rPr>
          <w:rFonts w:ascii="Arial" w:hAnsi="Arial" w:cs="Arial"/>
          <w:sz w:val="21"/>
          <w:szCs w:val="21"/>
        </w:rPr>
        <w:t>https://sti.guidelines.org.au</w:t>
      </w:r>
      <w:r>
        <w:rPr>
          <w:rFonts w:ascii="Arial" w:hAnsi="Arial" w:cs="Arial"/>
          <w:sz w:val="21"/>
          <w:szCs w:val="21"/>
        </w:rPr>
        <w:t xml:space="preserve">&gt;. </w:t>
      </w:r>
    </w:p>
    <w:p w14:paraId="61593145" w14:textId="6DDEC52B" w:rsidR="0000790D" w:rsidRDefault="0000790D" w:rsidP="004624C9">
      <w:pPr>
        <w:pStyle w:val="NormalWeb"/>
        <w:spacing w:before="0" w:beforeAutospacing="0" w:after="120" w:afterAutospacing="0" w:line="260" w:lineRule="atLeast"/>
        <w:rPr>
          <w:rFonts w:ascii="Arial" w:hAnsi="Arial" w:cs="Arial"/>
          <w:sz w:val="21"/>
          <w:szCs w:val="21"/>
        </w:rPr>
      </w:pPr>
      <w:r>
        <w:rPr>
          <w:rFonts w:ascii="Arial" w:hAnsi="Arial" w:cs="Arial"/>
          <w:sz w:val="21"/>
          <w:szCs w:val="21"/>
        </w:rPr>
        <w:t xml:space="preserve">Australian Government Department of Health 2018, </w:t>
      </w:r>
      <w:r w:rsidRPr="0000790D">
        <w:rPr>
          <w:rFonts w:ascii="Arial" w:hAnsi="Arial" w:cs="Arial"/>
          <w:i/>
          <w:iCs/>
          <w:sz w:val="21"/>
          <w:szCs w:val="21"/>
        </w:rPr>
        <w:t>Fourth National Sexually Transmissible Infections Strategy 2018–2022</w:t>
      </w:r>
      <w:r>
        <w:rPr>
          <w:rFonts w:ascii="Arial" w:hAnsi="Arial" w:cs="Arial"/>
          <w:sz w:val="21"/>
          <w:szCs w:val="21"/>
        </w:rPr>
        <w:t>, Australian Government, Canberra.</w:t>
      </w:r>
    </w:p>
    <w:p w14:paraId="163EEF0C" w14:textId="4C05A7AA" w:rsidR="00EC7AC5" w:rsidRPr="00EC7AC5" w:rsidRDefault="00EC7AC5" w:rsidP="004624C9">
      <w:pPr>
        <w:pStyle w:val="NormalWeb"/>
        <w:spacing w:before="0" w:beforeAutospacing="0" w:after="120" w:afterAutospacing="0" w:line="260" w:lineRule="atLeast"/>
        <w:rPr>
          <w:rFonts w:ascii="Arial" w:hAnsi="Arial" w:cs="Arial"/>
          <w:sz w:val="22"/>
          <w:szCs w:val="22"/>
        </w:rPr>
      </w:pPr>
      <w:r>
        <w:rPr>
          <w:rFonts w:ascii="Arial" w:hAnsi="Arial" w:cs="Arial"/>
          <w:sz w:val="21"/>
          <w:szCs w:val="21"/>
        </w:rPr>
        <w:t xml:space="preserve">Australian Government Department of Health 2021, National Notifiable Disease Surveillance System, Australian Government, Canberra, </w:t>
      </w:r>
      <w:r w:rsidR="007A263F">
        <w:rPr>
          <w:rFonts w:ascii="Arial" w:hAnsi="Arial" w:cs="Arial"/>
          <w:sz w:val="21"/>
          <w:szCs w:val="21"/>
        </w:rPr>
        <w:t>viewed</w:t>
      </w:r>
      <w:r>
        <w:rPr>
          <w:rFonts w:ascii="Arial" w:hAnsi="Arial" w:cs="Arial"/>
          <w:sz w:val="21"/>
          <w:szCs w:val="21"/>
        </w:rPr>
        <w:t xml:space="preserve"> 14 June 2022, &lt;</w:t>
      </w:r>
      <w:r w:rsidRPr="0000790D">
        <w:rPr>
          <w:rFonts w:ascii="Arial" w:hAnsi="Arial" w:cs="Arial"/>
          <w:sz w:val="21"/>
          <w:szCs w:val="21"/>
        </w:rPr>
        <w:t>https://www1.health.gov.au/internet/main/publishing.nsf/Content/cdnareport-fn26-21.htm</w:t>
      </w:r>
      <w:r>
        <w:rPr>
          <w:rFonts w:ascii="Arial" w:hAnsi="Arial" w:cs="Arial"/>
          <w:sz w:val="21"/>
          <w:szCs w:val="21"/>
        </w:rPr>
        <w:t>&gt;.</w:t>
      </w:r>
    </w:p>
    <w:p w14:paraId="48D18F59" w14:textId="37FFA4DE" w:rsidR="004624C9" w:rsidRDefault="004624C9" w:rsidP="004624C9">
      <w:pPr>
        <w:pStyle w:val="NormalWeb"/>
        <w:spacing w:before="0" w:beforeAutospacing="0" w:after="120" w:afterAutospacing="0" w:line="260" w:lineRule="atLeast"/>
        <w:rPr>
          <w:rFonts w:ascii="Arial" w:hAnsi="Arial" w:cs="Arial"/>
          <w:sz w:val="21"/>
          <w:szCs w:val="21"/>
        </w:rPr>
      </w:pPr>
      <w:r>
        <w:rPr>
          <w:rFonts w:ascii="Arial" w:hAnsi="Arial" w:cs="Arial"/>
          <w:sz w:val="21"/>
          <w:szCs w:val="21"/>
        </w:rPr>
        <w:t xml:space="preserve">Department of Health 2022, </w:t>
      </w:r>
      <w:r w:rsidRPr="004624C9">
        <w:rPr>
          <w:rFonts w:ascii="Arial" w:hAnsi="Arial" w:cs="Arial"/>
          <w:i/>
          <w:iCs/>
          <w:sz w:val="21"/>
          <w:szCs w:val="21"/>
        </w:rPr>
        <w:t>Victorian sexually transmissible infections plan 2022</w:t>
      </w:r>
      <w:r>
        <w:rPr>
          <w:rFonts w:ascii="Arial" w:hAnsi="Arial" w:cs="Arial"/>
          <w:i/>
          <w:iCs/>
          <w:sz w:val="21"/>
          <w:szCs w:val="21"/>
        </w:rPr>
        <w:t>–</w:t>
      </w:r>
      <w:r w:rsidRPr="004624C9">
        <w:rPr>
          <w:rFonts w:ascii="Arial" w:hAnsi="Arial" w:cs="Arial"/>
          <w:i/>
          <w:iCs/>
          <w:sz w:val="21"/>
          <w:szCs w:val="21"/>
        </w:rPr>
        <w:t>30</w:t>
      </w:r>
      <w:r>
        <w:rPr>
          <w:rFonts w:ascii="Arial" w:hAnsi="Arial" w:cs="Arial"/>
          <w:sz w:val="21"/>
          <w:szCs w:val="21"/>
        </w:rPr>
        <w:t xml:space="preserve">, State Government of Victoria, Melbourne. </w:t>
      </w:r>
    </w:p>
    <w:p w14:paraId="656499FC" w14:textId="002BAB76" w:rsidR="0000790D" w:rsidRDefault="0000790D" w:rsidP="004624C9">
      <w:pPr>
        <w:pStyle w:val="NormalWeb"/>
        <w:spacing w:before="0" w:beforeAutospacing="0" w:after="120" w:afterAutospacing="0" w:line="260" w:lineRule="atLeast"/>
        <w:rPr>
          <w:rFonts w:ascii="Arial" w:hAnsi="Arial" w:cs="Arial"/>
          <w:sz w:val="21"/>
          <w:szCs w:val="21"/>
        </w:rPr>
      </w:pPr>
      <w:r>
        <w:rPr>
          <w:rFonts w:ascii="Arial" w:hAnsi="Arial" w:cs="Arial"/>
          <w:sz w:val="21"/>
          <w:szCs w:val="21"/>
        </w:rPr>
        <w:t xml:space="preserve">Golden, M, </w:t>
      </w:r>
      <w:proofErr w:type="spellStart"/>
      <w:r>
        <w:rPr>
          <w:rFonts w:ascii="Arial" w:hAnsi="Arial" w:cs="Arial"/>
          <w:sz w:val="21"/>
          <w:szCs w:val="21"/>
        </w:rPr>
        <w:t>Kerani</w:t>
      </w:r>
      <w:proofErr w:type="spellEnd"/>
      <w:r>
        <w:rPr>
          <w:rFonts w:ascii="Arial" w:hAnsi="Arial" w:cs="Arial"/>
          <w:sz w:val="21"/>
          <w:szCs w:val="21"/>
        </w:rPr>
        <w:t>, R, Stenger, M, Hughes, J, Aubin, M, Malinski, C &amp; Holmes K 2015, ‘</w:t>
      </w:r>
      <w:r w:rsidRPr="0000790D">
        <w:rPr>
          <w:rFonts w:ascii="Arial" w:hAnsi="Arial" w:cs="Arial"/>
          <w:sz w:val="21"/>
          <w:szCs w:val="21"/>
        </w:rPr>
        <w:t>Uptake and Population-Level Impact of Expedited Partner Therapy (EPT) on Chlamydia trachomatis and Neisseria gonorrhoeae: The Washington State Community-Level Randomized Trial of EPT</w:t>
      </w:r>
      <w:r>
        <w:rPr>
          <w:rFonts w:ascii="Arial" w:hAnsi="Arial" w:cs="Arial"/>
          <w:sz w:val="21"/>
          <w:szCs w:val="21"/>
        </w:rPr>
        <w:t xml:space="preserve">’, </w:t>
      </w:r>
      <w:proofErr w:type="spellStart"/>
      <w:r w:rsidRPr="0000790D">
        <w:rPr>
          <w:rFonts w:ascii="Arial" w:hAnsi="Arial" w:cs="Arial"/>
          <w:i/>
          <w:iCs/>
          <w:sz w:val="21"/>
          <w:szCs w:val="21"/>
        </w:rPr>
        <w:t>Plos</w:t>
      </w:r>
      <w:proofErr w:type="spellEnd"/>
      <w:r w:rsidRPr="0000790D">
        <w:rPr>
          <w:rFonts w:ascii="Arial" w:hAnsi="Arial" w:cs="Arial"/>
          <w:i/>
          <w:iCs/>
          <w:sz w:val="21"/>
          <w:szCs w:val="21"/>
        </w:rPr>
        <w:t xml:space="preserve"> Medicine</w:t>
      </w:r>
      <w:r>
        <w:rPr>
          <w:rFonts w:ascii="Arial" w:hAnsi="Arial" w:cs="Arial"/>
          <w:sz w:val="21"/>
          <w:szCs w:val="21"/>
        </w:rPr>
        <w:t>, vol. 12, no.1.</w:t>
      </w:r>
    </w:p>
    <w:p w14:paraId="0942A8A3" w14:textId="654CA494" w:rsidR="00F22572" w:rsidRDefault="00F22572" w:rsidP="00F22572">
      <w:pPr>
        <w:pStyle w:val="CommentText"/>
      </w:pPr>
      <w:proofErr w:type="spellStart"/>
      <w:r>
        <w:t>Goller</w:t>
      </w:r>
      <w:proofErr w:type="spellEnd"/>
      <w:r>
        <w:t xml:space="preserve">, JL, Coombe, J, </w:t>
      </w:r>
      <w:proofErr w:type="spellStart"/>
      <w:r>
        <w:t>Bittleston</w:t>
      </w:r>
      <w:proofErr w:type="spellEnd"/>
      <w:r>
        <w:t xml:space="preserve">, H, </w:t>
      </w:r>
      <w:proofErr w:type="spellStart"/>
      <w:r>
        <w:t>Bourne</w:t>
      </w:r>
      <w:proofErr w:type="spellEnd"/>
      <w:r>
        <w:t xml:space="preserve">, C, Bateson, D, Vaisey, A, et al. 2021, ‘Patient delivered partner therapy for chlamydia infection is used by some general practitioners, but more support is needed to increase uptake: findings from a mixed-methods study’. </w:t>
      </w:r>
      <w:r w:rsidRPr="00F22572">
        <w:rPr>
          <w:i/>
          <w:iCs/>
        </w:rPr>
        <w:t>Sexually Transmitted Infections</w:t>
      </w:r>
      <w:r>
        <w:t>. sextrans-2020-054933.</w:t>
      </w:r>
    </w:p>
    <w:p w14:paraId="09D05AEB" w14:textId="3702D70A" w:rsidR="004624C9" w:rsidRDefault="004624C9" w:rsidP="004624C9">
      <w:pPr>
        <w:pStyle w:val="NormalWeb"/>
        <w:spacing w:before="0" w:beforeAutospacing="0" w:after="120" w:afterAutospacing="0" w:line="260" w:lineRule="atLeast"/>
        <w:rPr>
          <w:rFonts w:ascii="Arial" w:hAnsi="Arial" w:cs="Arial"/>
          <w:sz w:val="21"/>
          <w:szCs w:val="21"/>
        </w:rPr>
      </w:pPr>
      <w:r>
        <w:rPr>
          <w:rFonts w:ascii="Arial" w:hAnsi="Arial" w:cs="Arial"/>
          <w:sz w:val="21"/>
          <w:szCs w:val="21"/>
        </w:rPr>
        <w:t xml:space="preserve">Hopkins, S 1991, ‘Clinical toleration and safety of azithromycin’, </w:t>
      </w:r>
      <w:r>
        <w:rPr>
          <w:rFonts w:ascii="Arial" w:hAnsi="Arial" w:cs="Arial"/>
          <w:i/>
          <w:iCs/>
          <w:sz w:val="21"/>
          <w:szCs w:val="21"/>
        </w:rPr>
        <w:t>The American Journal of Medicine</w:t>
      </w:r>
      <w:r>
        <w:rPr>
          <w:rFonts w:ascii="Arial" w:hAnsi="Arial" w:cs="Arial"/>
          <w:sz w:val="21"/>
          <w:szCs w:val="21"/>
        </w:rPr>
        <w:t>, vol. 91, no. 3A.</w:t>
      </w:r>
    </w:p>
    <w:p w14:paraId="427A948F" w14:textId="5ED0611B" w:rsidR="0000790D" w:rsidRDefault="0000790D" w:rsidP="004624C9">
      <w:pPr>
        <w:pStyle w:val="NormalWeb"/>
        <w:spacing w:before="0" w:beforeAutospacing="0" w:after="120" w:afterAutospacing="0" w:line="260" w:lineRule="atLeast"/>
        <w:rPr>
          <w:rFonts w:ascii="Arial" w:hAnsi="Arial" w:cs="Arial"/>
          <w:sz w:val="21"/>
          <w:szCs w:val="21"/>
        </w:rPr>
      </w:pPr>
      <w:r>
        <w:rPr>
          <w:rFonts w:ascii="Arial" w:hAnsi="Arial" w:cs="Arial"/>
          <w:sz w:val="21"/>
          <w:szCs w:val="21"/>
        </w:rPr>
        <w:t xml:space="preserve">Lorch, R, </w:t>
      </w:r>
      <w:proofErr w:type="spellStart"/>
      <w:r>
        <w:rPr>
          <w:rFonts w:ascii="Arial" w:hAnsi="Arial" w:cs="Arial"/>
          <w:sz w:val="21"/>
          <w:szCs w:val="21"/>
        </w:rPr>
        <w:t>Bourne</w:t>
      </w:r>
      <w:proofErr w:type="spellEnd"/>
      <w:r>
        <w:rPr>
          <w:rFonts w:ascii="Arial" w:hAnsi="Arial" w:cs="Arial"/>
          <w:sz w:val="21"/>
          <w:szCs w:val="21"/>
        </w:rPr>
        <w:t xml:space="preserve">, C, Burton, L, Lewis, L, Brown, K, Bateson, D, Knight, V, </w:t>
      </w:r>
      <w:proofErr w:type="spellStart"/>
      <w:r>
        <w:rPr>
          <w:rFonts w:ascii="Arial" w:hAnsi="Arial" w:cs="Arial"/>
          <w:sz w:val="21"/>
          <w:szCs w:val="21"/>
        </w:rPr>
        <w:t>Ooi</w:t>
      </w:r>
      <w:proofErr w:type="spellEnd"/>
      <w:r>
        <w:rPr>
          <w:rFonts w:ascii="Arial" w:hAnsi="Arial" w:cs="Arial"/>
          <w:sz w:val="21"/>
          <w:szCs w:val="21"/>
        </w:rPr>
        <w:t xml:space="preserve">, C, Hoffman, N, </w:t>
      </w:r>
      <w:proofErr w:type="spellStart"/>
      <w:r>
        <w:rPr>
          <w:rFonts w:ascii="Arial" w:hAnsi="Arial" w:cs="Arial"/>
          <w:sz w:val="21"/>
          <w:szCs w:val="21"/>
        </w:rPr>
        <w:t>Mackson</w:t>
      </w:r>
      <w:proofErr w:type="spellEnd"/>
      <w:r>
        <w:rPr>
          <w:rFonts w:ascii="Arial" w:hAnsi="Arial" w:cs="Arial"/>
          <w:sz w:val="21"/>
          <w:szCs w:val="21"/>
        </w:rPr>
        <w:t>, J, Bower, H, Stewart, M, Moll, N, Micallef, J, Mooney-Somers, J, Donovan, B, Kaldor, J &amp; Guy, R 2019, ‘</w:t>
      </w:r>
      <w:proofErr w:type="spellStart"/>
      <w:r>
        <w:rPr>
          <w:rFonts w:ascii="Arial" w:hAnsi="Arial" w:cs="Arial"/>
          <w:sz w:val="21"/>
          <w:szCs w:val="21"/>
        </w:rPr>
        <w:t>ADOPTing</w:t>
      </w:r>
      <w:proofErr w:type="spellEnd"/>
      <w:r>
        <w:rPr>
          <w:rFonts w:ascii="Arial" w:hAnsi="Arial" w:cs="Arial"/>
          <w:sz w:val="21"/>
          <w:szCs w:val="21"/>
        </w:rPr>
        <w:t xml:space="preserve"> a new method of partner management for genital chlamydia in New South Wales: findings from a pilot implementation program of patient-delivered partner therapy’, </w:t>
      </w:r>
      <w:r w:rsidRPr="0000790D">
        <w:rPr>
          <w:rFonts w:ascii="Arial" w:hAnsi="Arial" w:cs="Arial"/>
          <w:i/>
          <w:iCs/>
          <w:sz w:val="21"/>
          <w:szCs w:val="21"/>
        </w:rPr>
        <w:t>Sexual Health</w:t>
      </w:r>
      <w:r>
        <w:rPr>
          <w:rFonts w:ascii="Arial" w:hAnsi="Arial" w:cs="Arial"/>
          <w:sz w:val="21"/>
          <w:szCs w:val="21"/>
        </w:rPr>
        <w:t xml:space="preserve">, vol. 16, no. 4, pp. 332–339. </w:t>
      </w:r>
    </w:p>
    <w:p w14:paraId="612012A4" w14:textId="69B77178" w:rsidR="0000790D" w:rsidRDefault="0000790D" w:rsidP="004624C9">
      <w:pPr>
        <w:pStyle w:val="NormalWeb"/>
        <w:spacing w:before="0" w:beforeAutospacing="0" w:after="120" w:afterAutospacing="0" w:line="260" w:lineRule="atLeast"/>
        <w:rPr>
          <w:rFonts w:ascii="Arial" w:hAnsi="Arial" w:cs="Arial"/>
          <w:sz w:val="21"/>
          <w:szCs w:val="21"/>
        </w:rPr>
      </w:pPr>
      <w:r>
        <w:rPr>
          <w:rFonts w:ascii="Arial" w:hAnsi="Arial" w:cs="Arial"/>
          <w:sz w:val="21"/>
          <w:szCs w:val="21"/>
        </w:rPr>
        <w:t xml:space="preserve">NT Department of Health 2014, </w:t>
      </w:r>
      <w:r w:rsidRPr="0000790D">
        <w:rPr>
          <w:rFonts w:ascii="Arial" w:hAnsi="Arial" w:cs="Arial"/>
          <w:i/>
          <w:iCs/>
          <w:sz w:val="21"/>
          <w:szCs w:val="21"/>
        </w:rPr>
        <w:t>Medicines &amp; Poisons Control Information Sheet No. 320.</w:t>
      </w:r>
      <w:r>
        <w:rPr>
          <w:rFonts w:ascii="Arial" w:hAnsi="Arial" w:cs="Arial"/>
          <w:i/>
          <w:iCs/>
          <w:sz w:val="21"/>
          <w:szCs w:val="21"/>
        </w:rPr>
        <w:t>8</w:t>
      </w:r>
      <w:r>
        <w:rPr>
          <w:rFonts w:ascii="Arial" w:hAnsi="Arial" w:cs="Arial"/>
          <w:sz w:val="21"/>
          <w:szCs w:val="21"/>
        </w:rPr>
        <w:t>, Northern Territory Government, Darwin.</w:t>
      </w:r>
    </w:p>
    <w:p w14:paraId="1D8FC41E" w14:textId="71CB124F" w:rsidR="004624C9" w:rsidRDefault="004624C9" w:rsidP="004624C9">
      <w:pPr>
        <w:pStyle w:val="NormalWeb"/>
        <w:spacing w:before="0" w:beforeAutospacing="0" w:after="120" w:afterAutospacing="0" w:line="260" w:lineRule="atLeast"/>
        <w:rPr>
          <w:rFonts w:ascii="Arial" w:hAnsi="Arial" w:cs="Arial"/>
          <w:sz w:val="21"/>
          <w:szCs w:val="21"/>
        </w:rPr>
      </w:pPr>
      <w:r>
        <w:rPr>
          <w:rFonts w:ascii="Arial" w:hAnsi="Arial" w:cs="Arial"/>
          <w:sz w:val="21"/>
          <w:szCs w:val="21"/>
        </w:rPr>
        <w:t xml:space="preserve">NSW Government 2008, </w:t>
      </w:r>
      <w:r w:rsidRPr="004624C9">
        <w:rPr>
          <w:rFonts w:ascii="Arial" w:hAnsi="Arial" w:cs="Arial"/>
          <w:i/>
          <w:iCs/>
          <w:sz w:val="21"/>
          <w:szCs w:val="21"/>
        </w:rPr>
        <w:t>Poisons &amp; Therapeutic Goods Regulation</w:t>
      </w:r>
      <w:r>
        <w:rPr>
          <w:rFonts w:ascii="Arial" w:hAnsi="Arial" w:cs="Arial"/>
          <w:sz w:val="21"/>
          <w:szCs w:val="21"/>
        </w:rPr>
        <w:t xml:space="preserve"> </w:t>
      </w:r>
      <w:r w:rsidRPr="004624C9">
        <w:rPr>
          <w:rFonts w:ascii="Arial" w:hAnsi="Arial" w:cs="Arial"/>
          <w:i/>
          <w:iCs/>
          <w:sz w:val="21"/>
          <w:szCs w:val="21"/>
        </w:rPr>
        <w:t>2008</w:t>
      </w:r>
      <w:r>
        <w:rPr>
          <w:rFonts w:ascii="Arial" w:hAnsi="Arial" w:cs="Arial"/>
          <w:sz w:val="21"/>
          <w:szCs w:val="21"/>
        </w:rPr>
        <w:t>, Sydney.</w:t>
      </w:r>
    </w:p>
    <w:p w14:paraId="168A65A0" w14:textId="152B726E" w:rsidR="00EC7AC5" w:rsidRPr="004624C9" w:rsidRDefault="00EC7AC5" w:rsidP="004624C9">
      <w:pPr>
        <w:pStyle w:val="NormalWeb"/>
        <w:spacing w:before="0" w:beforeAutospacing="0" w:after="120" w:afterAutospacing="0" w:line="260" w:lineRule="atLeast"/>
        <w:rPr>
          <w:rFonts w:ascii="Arial" w:hAnsi="Arial" w:cs="Arial"/>
          <w:sz w:val="21"/>
          <w:szCs w:val="21"/>
        </w:rPr>
      </w:pPr>
      <w:r>
        <w:rPr>
          <w:rFonts w:ascii="Arial" w:hAnsi="Arial" w:cs="Arial"/>
          <w:sz w:val="21"/>
          <w:szCs w:val="21"/>
        </w:rPr>
        <w:t xml:space="preserve">NSW Government 2017, </w:t>
      </w:r>
      <w:r w:rsidRPr="00EC7AC5">
        <w:rPr>
          <w:rFonts w:ascii="Arial" w:hAnsi="Arial" w:cs="Arial"/>
          <w:i/>
          <w:iCs/>
          <w:sz w:val="21"/>
          <w:szCs w:val="21"/>
        </w:rPr>
        <w:t>Health Practitioner Regulation (New South Wales) Amendment (Records of Partners) Regulation 2017</w:t>
      </w:r>
      <w:r>
        <w:rPr>
          <w:rFonts w:ascii="Arial" w:hAnsi="Arial" w:cs="Arial"/>
          <w:sz w:val="21"/>
          <w:szCs w:val="21"/>
        </w:rPr>
        <w:t xml:space="preserve">, NSW Government, Sydney. </w:t>
      </w:r>
    </w:p>
    <w:p w14:paraId="6C72CF8C" w14:textId="4928C752" w:rsidR="004624C9" w:rsidRDefault="004624C9" w:rsidP="004624C9">
      <w:pPr>
        <w:pStyle w:val="NormalWeb"/>
        <w:spacing w:before="0" w:beforeAutospacing="0" w:after="120" w:afterAutospacing="0" w:line="260" w:lineRule="atLeast"/>
        <w:rPr>
          <w:rFonts w:ascii="Arial" w:eastAsia="Times" w:hAnsi="Arial"/>
          <w:sz w:val="21"/>
          <w:szCs w:val="21"/>
          <w:lang w:eastAsia="en-US"/>
        </w:rPr>
      </w:pPr>
      <w:proofErr w:type="spellStart"/>
      <w:r w:rsidRPr="0069682D">
        <w:rPr>
          <w:rFonts w:ascii="Arial" w:eastAsia="Times" w:hAnsi="Arial"/>
          <w:sz w:val="21"/>
          <w:szCs w:val="21"/>
          <w:lang w:eastAsia="en-US"/>
        </w:rPr>
        <w:t>Reddel</w:t>
      </w:r>
      <w:proofErr w:type="spellEnd"/>
      <w:r w:rsidRPr="0069682D">
        <w:rPr>
          <w:rFonts w:ascii="Arial" w:eastAsia="Times" w:hAnsi="Arial"/>
          <w:sz w:val="21"/>
          <w:szCs w:val="21"/>
          <w:lang w:eastAsia="en-US"/>
        </w:rPr>
        <w:t xml:space="preserve">, S &amp; Edmiston N 2012, ‘Contact tracing for STIs: New resources and supportive evidence’, </w:t>
      </w:r>
      <w:r w:rsidRPr="0069682D">
        <w:rPr>
          <w:rFonts w:ascii="Arial" w:eastAsia="Times" w:hAnsi="Arial"/>
          <w:i/>
          <w:iCs/>
          <w:sz w:val="21"/>
          <w:szCs w:val="21"/>
          <w:lang w:eastAsia="en-US"/>
        </w:rPr>
        <w:t>Australian Family Physician</w:t>
      </w:r>
      <w:r w:rsidRPr="0069682D">
        <w:rPr>
          <w:rFonts w:ascii="Arial" w:eastAsia="Times" w:hAnsi="Arial"/>
          <w:sz w:val="21"/>
          <w:szCs w:val="21"/>
          <w:lang w:eastAsia="en-US"/>
        </w:rPr>
        <w:t>, vol. 41, no. 3, pp 128–132.</w:t>
      </w:r>
    </w:p>
    <w:p w14:paraId="3C737C1E" w14:textId="121B552E" w:rsidR="004624C9" w:rsidRPr="0069682D" w:rsidRDefault="004624C9" w:rsidP="004624C9">
      <w:pPr>
        <w:pStyle w:val="NormalWeb"/>
        <w:spacing w:before="0" w:beforeAutospacing="0" w:after="120" w:afterAutospacing="0" w:line="260" w:lineRule="atLeast"/>
        <w:rPr>
          <w:rFonts w:ascii="Arial" w:eastAsia="Times" w:hAnsi="Arial"/>
          <w:sz w:val="21"/>
          <w:szCs w:val="21"/>
          <w:lang w:eastAsia="en-US"/>
        </w:rPr>
      </w:pPr>
      <w:r w:rsidRPr="004624C9">
        <w:rPr>
          <w:rFonts w:ascii="Arial" w:eastAsia="Times" w:hAnsi="Arial"/>
          <w:sz w:val="21"/>
          <w:szCs w:val="21"/>
          <w:lang w:eastAsia="en-US"/>
        </w:rPr>
        <w:lastRenderedPageBreak/>
        <w:t xml:space="preserve">Schillinger, J, Kissinger, P, </w:t>
      </w:r>
      <w:proofErr w:type="spellStart"/>
      <w:r w:rsidRPr="004624C9">
        <w:rPr>
          <w:rFonts w:ascii="Arial" w:eastAsia="Times" w:hAnsi="Arial"/>
          <w:sz w:val="21"/>
          <w:szCs w:val="21"/>
          <w:lang w:eastAsia="en-US"/>
        </w:rPr>
        <w:t>Calvet</w:t>
      </w:r>
      <w:proofErr w:type="spellEnd"/>
      <w:r w:rsidRPr="004624C9">
        <w:rPr>
          <w:rFonts w:ascii="Arial" w:eastAsia="Times" w:hAnsi="Arial"/>
          <w:sz w:val="21"/>
          <w:szCs w:val="21"/>
          <w:lang w:eastAsia="en-US"/>
        </w:rPr>
        <w:t xml:space="preserve">, H, Whittington, W, Ransom, R, Sternberg, M, Berman, S, Kent, C, Martin, D, Oh, M, </w:t>
      </w:r>
      <w:proofErr w:type="spellStart"/>
      <w:r w:rsidRPr="004624C9">
        <w:rPr>
          <w:rFonts w:ascii="Arial" w:eastAsia="Times" w:hAnsi="Arial"/>
          <w:sz w:val="21"/>
          <w:szCs w:val="21"/>
          <w:lang w:eastAsia="en-US"/>
        </w:rPr>
        <w:t>Handsfield</w:t>
      </w:r>
      <w:proofErr w:type="spellEnd"/>
      <w:r w:rsidRPr="004624C9">
        <w:rPr>
          <w:rFonts w:ascii="Arial" w:eastAsia="Times" w:hAnsi="Arial"/>
          <w:sz w:val="21"/>
          <w:szCs w:val="21"/>
          <w:lang w:eastAsia="en-US"/>
        </w:rPr>
        <w:t xml:space="preserve">, H, Bolan, G, Markowitz, L &amp; Fortenberry, J 2003, ‘Patient-delivered partner treatment with azithromycin to prevent repeated Chlamydia trachomatis infection among women: a randomized, controlled trial’, </w:t>
      </w:r>
      <w:r w:rsidRPr="004624C9">
        <w:rPr>
          <w:rFonts w:ascii="Arial" w:eastAsia="Times" w:hAnsi="Arial"/>
          <w:i/>
          <w:iCs/>
          <w:sz w:val="21"/>
          <w:szCs w:val="21"/>
          <w:lang w:eastAsia="en-US"/>
        </w:rPr>
        <w:t>Sexually Transmitted Diseases</w:t>
      </w:r>
      <w:r w:rsidRPr="004624C9">
        <w:rPr>
          <w:rFonts w:ascii="Arial" w:eastAsia="Times" w:hAnsi="Arial"/>
          <w:sz w:val="21"/>
          <w:szCs w:val="21"/>
          <w:lang w:eastAsia="en-US"/>
        </w:rPr>
        <w:t>, vol. 30, no. 1, pp. 49–56.</w:t>
      </w:r>
    </w:p>
    <w:p w14:paraId="5B7E9B4C" w14:textId="7D398E8D" w:rsidR="00EB4BC7" w:rsidRDefault="004624C9" w:rsidP="007A263F">
      <w:pPr>
        <w:pStyle w:val="NormalWeb"/>
        <w:spacing w:before="0" w:beforeAutospacing="0" w:after="120" w:afterAutospacing="0" w:line="260" w:lineRule="atLeast"/>
        <w:rPr>
          <w:rFonts w:ascii="Arial" w:eastAsia="Times" w:hAnsi="Arial"/>
          <w:sz w:val="21"/>
          <w:szCs w:val="21"/>
          <w:lang w:eastAsia="en-US"/>
        </w:rPr>
      </w:pPr>
      <w:proofErr w:type="spellStart"/>
      <w:r w:rsidRPr="0069682D">
        <w:rPr>
          <w:rFonts w:ascii="Arial" w:eastAsia="Times" w:hAnsi="Arial"/>
          <w:sz w:val="21"/>
          <w:szCs w:val="21"/>
          <w:lang w:eastAsia="en-US"/>
        </w:rPr>
        <w:t>Trelle</w:t>
      </w:r>
      <w:proofErr w:type="spellEnd"/>
      <w:r w:rsidRPr="0069682D">
        <w:rPr>
          <w:rFonts w:ascii="Arial" w:eastAsia="Times" w:hAnsi="Arial"/>
          <w:sz w:val="21"/>
          <w:szCs w:val="21"/>
          <w:lang w:eastAsia="en-US"/>
        </w:rPr>
        <w:t xml:space="preserve">, S, Shang, A, Nartey, L, Cassell, J &amp; Low N 2007, ‘Improved effectiveness of partner notification for patients with sexually transmitted infections: systematic review’, </w:t>
      </w:r>
      <w:r w:rsidRPr="0069682D">
        <w:rPr>
          <w:rFonts w:ascii="Arial" w:eastAsia="Times" w:hAnsi="Arial"/>
          <w:i/>
          <w:iCs/>
          <w:sz w:val="21"/>
          <w:szCs w:val="21"/>
          <w:lang w:eastAsia="en-US"/>
        </w:rPr>
        <w:t>The BMJ</w:t>
      </w:r>
      <w:r w:rsidRPr="0069682D">
        <w:rPr>
          <w:rFonts w:ascii="Arial" w:eastAsia="Times" w:hAnsi="Arial"/>
          <w:sz w:val="21"/>
          <w:szCs w:val="21"/>
          <w:lang w:eastAsia="en-US"/>
        </w:rPr>
        <w:t>, Vol. 334, no. 7589, p. 357.</w:t>
      </w:r>
    </w:p>
    <w:p w14:paraId="241EAB83" w14:textId="5BDBC9DF" w:rsidR="0082459B" w:rsidRPr="007A263F" w:rsidRDefault="0082459B" w:rsidP="007A263F">
      <w:pPr>
        <w:pStyle w:val="NormalWeb"/>
        <w:spacing w:before="0" w:beforeAutospacing="0" w:after="120" w:afterAutospacing="0" w:line="260" w:lineRule="atLeast"/>
        <w:rPr>
          <w:rFonts w:ascii="Arial" w:eastAsia="Times" w:hAnsi="Arial"/>
          <w:sz w:val="21"/>
          <w:szCs w:val="21"/>
          <w:lang w:eastAsia="en-US"/>
        </w:rPr>
      </w:pPr>
      <w:r w:rsidRPr="0082459B">
        <w:rPr>
          <w:rFonts w:ascii="Arial" w:eastAsia="Times" w:hAnsi="Arial"/>
          <w:sz w:val="21"/>
          <w:szCs w:val="21"/>
          <w:lang w:eastAsia="en-US"/>
        </w:rPr>
        <w:t xml:space="preserve">Woodward S, Tyson H, Martin S 2020, ‘An observational study of the acceptability of patient-delivered partner therapy for management of chlamydia’. </w:t>
      </w:r>
      <w:r w:rsidRPr="0082459B">
        <w:rPr>
          <w:rFonts w:ascii="Arial" w:eastAsia="Times" w:hAnsi="Arial"/>
          <w:i/>
          <w:iCs/>
          <w:sz w:val="21"/>
          <w:szCs w:val="21"/>
          <w:lang w:eastAsia="en-US"/>
        </w:rPr>
        <w:t>Sexual Health</w:t>
      </w:r>
      <w:r w:rsidRPr="0082459B">
        <w:rPr>
          <w:rFonts w:ascii="Arial" w:eastAsia="Times" w:hAnsi="Arial"/>
          <w:sz w:val="21"/>
          <w:szCs w:val="21"/>
          <w:lang w:eastAsia="en-US"/>
        </w:rPr>
        <w:t>, 17(4):381-3.</w:t>
      </w:r>
    </w:p>
    <w:sectPr w:rsidR="0082459B" w:rsidRPr="007A263F" w:rsidSect="00454A7D">
      <w:headerReference w:type="even" r:id="rId27"/>
      <w:headerReference w:type="default" r:id="rId28"/>
      <w:footerReference w:type="even" r:id="rId29"/>
      <w:footerReference w:type="default" r:id="rId30"/>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3A819" w14:textId="77777777" w:rsidR="001E44BA" w:rsidRDefault="001E44BA">
      <w:r>
        <w:separator/>
      </w:r>
    </w:p>
    <w:p w14:paraId="3CD4716B" w14:textId="77777777" w:rsidR="001E44BA" w:rsidRDefault="001E44BA"/>
  </w:endnote>
  <w:endnote w:type="continuationSeparator" w:id="0">
    <w:p w14:paraId="2546E37E" w14:textId="77777777" w:rsidR="001E44BA" w:rsidRDefault="001E44BA">
      <w:r>
        <w:continuationSeparator/>
      </w:r>
    </w:p>
    <w:p w14:paraId="2B921FA8" w14:textId="77777777" w:rsidR="001E44BA" w:rsidRDefault="001E44BA"/>
  </w:endnote>
  <w:endnote w:type="continuationNotice" w:id="1">
    <w:p w14:paraId="53888CCE" w14:textId="77777777" w:rsidR="001E44BA" w:rsidRDefault="001E44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4D3F9" w14:textId="77777777" w:rsidR="00EB4BC7" w:rsidRDefault="00EB4BC7">
    <w:pPr>
      <w:pStyle w:val="Footer"/>
    </w:pPr>
    <w:r>
      <w:rPr>
        <w:noProof/>
      </w:rPr>
      <mc:AlternateContent>
        <mc:Choice Requires="wps">
          <w:drawing>
            <wp:anchor distT="0" distB="0" distL="114300" distR="114300" simplePos="0" relativeHeight="251666432" behindDoc="0" locked="0" layoutInCell="0" allowOverlap="1" wp14:anchorId="5DF9C296" wp14:editId="51AAEE66">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31AF6C"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F9C296"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r2H9KsAIAAEgFAAAO&#10;AAAAAAAAAAAAAAAAAC4CAABkcnMvZTJvRG9jLnhtbFBLAQItABQABgAIAAAAIQAvkEiX4AAAAAsB&#10;AAAPAAAAAAAAAAAAAAAAAAoFAABkcnMvZG93bnJldi54bWxQSwUGAAAAAAQABADzAAAAFwYAAAAA&#10;" o:allowincell="f" filled="f" stroked="f" strokeweight=".5pt">
              <v:textbox inset=",0,,0">
                <w:txbxContent>
                  <w:p w14:paraId="2331AF6C"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0E2F3" w14:textId="77777777" w:rsidR="00431A70" w:rsidRDefault="00EB4BC7">
    <w:pPr>
      <w:pStyle w:val="Footer"/>
    </w:pPr>
    <w:r>
      <w:rPr>
        <w:noProof/>
        <w:lang w:eastAsia="en-AU"/>
      </w:rPr>
      <mc:AlternateContent>
        <mc:Choice Requires="wps">
          <w:drawing>
            <wp:anchor distT="0" distB="0" distL="114300" distR="114300" simplePos="0" relativeHeight="251654144" behindDoc="0" locked="0" layoutInCell="0" allowOverlap="1" wp14:anchorId="2588AD34" wp14:editId="076957D2">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7B60DE"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588AD34"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54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" o:allowincell="f" filled="f" stroked="f" strokeweight=".5pt">
              <v:textbox inset=",0,,0">
                <w:txbxContent>
                  <w:p w14:paraId="217B60DE"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347C3" w14:textId="77777777" w:rsidR="00EB4BC7" w:rsidRDefault="00EB4BC7">
    <w:pPr>
      <w:pStyle w:val="Footer"/>
    </w:pPr>
    <w:r>
      <w:rPr>
        <w:noProof/>
      </w:rPr>
      <mc:AlternateContent>
        <mc:Choice Requires="wps">
          <w:drawing>
            <wp:anchor distT="0" distB="0" distL="114300" distR="114300" simplePos="0" relativeHeight="251660288" behindDoc="0" locked="0" layoutInCell="0" allowOverlap="1" wp14:anchorId="6F5AC20B" wp14:editId="07D30707">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FCADAB"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F5AC20B"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CwtsttsAIAAE4FAAAO&#10;AAAAAAAAAAAAAAAAAC4CAABkcnMvZTJvRG9jLnhtbFBLAQItABQABgAIAAAAIQAvkEiX4AAAAAsB&#10;AAAPAAAAAAAAAAAAAAAAAAoFAABkcnMvZG93bnJldi54bWxQSwUGAAAAAAQABADzAAAAFwYAAAAA&#10;" o:allowincell="f" filled="f" stroked="f" strokeweight=".5pt">
              <v:textbox inset=",0,,0">
                <w:txbxContent>
                  <w:p w14:paraId="4DFCADAB"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559DD" w14:textId="77777777" w:rsidR="00D63636" w:rsidRDefault="002C5B7C">
    <w:pPr>
      <w:pStyle w:val="Footer"/>
    </w:pPr>
    <w:r>
      <w:rPr>
        <w:noProof/>
        <w:lang w:eastAsia="en-AU"/>
      </w:rPr>
      <mc:AlternateContent>
        <mc:Choice Requires="wps">
          <w:drawing>
            <wp:anchor distT="0" distB="0" distL="114300" distR="114300" simplePos="0" relativeHeight="251658244" behindDoc="0" locked="0" layoutInCell="0" allowOverlap="1" wp14:anchorId="45C141BA" wp14:editId="22036087">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3BF031"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5C141BA"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" o:allowincell="f" filled="f" stroked="f" strokeweight=".5pt">
              <v:textbox inset=",0,,0">
                <w:txbxContent>
                  <w:p w14:paraId="063BF031"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C2893" w14:textId="77777777" w:rsidR="00431A70" w:rsidRDefault="008977D1">
    <w:pPr>
      <w:pStyle w:val="Footer"/>
    </w:pPr>
    <w:r>
      <w:rPr>
        <w:noProof/>
        <w:lang w:eastAsia="en-AU"/>
      </w:rPr>
      <mc:AlternateContent>
        <mc:Choice Requires="wps">
          <w:drawing>
            <wp:anchor distT="0" distB="0" distL="114300" distR="114300" simplePos="0" relativeHeight="251658245" behindDoc="0" locked="0" layoutInCell="0" allowOverlap="1" wp14:anchorId="769ADA5B" wp14:editId="2DB7C18E">
              <wp:simplePos x="0" y="0"/>
              <wp:positionH relativeFrom="page">
                <wp:posOffset>0</wp:posOffset>
              </wp:positionH>
              <wp:positionV relativeFrom="page">
                <wp:posOffset>10189210</wp:posOffset>
              </wp:positionV>
              <wp:extent cx="7560310" cy="311785"/>
              <wp:effectExtent l="0" t="0" r="0" b="12065"/>
              <wp:wrapNone/>
              <wp:docPr id="2" name="MSIPCM74884611b90139cc3ff5acf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82D5FC"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69ADA5B" id="_x0000_t202" coordsize="21600,21600" o:spt="202" path="m,l,21600r21600,l21600,xe">
              <v:stroke joinstyle="miter"/>
              <v:path gradientshapeok="t" o:connecttype="rect"/>
            </v:shapetype>
            <v:shape id="MSIPCM74884611b90139cc3ff5acf2" o:spid="_x0000_s1030"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" o:allowincell="f" filled="f" stroked="f" strokeweight=".5pt">
              <v:textbox inset=",0,,0">
                <w:txbxContent>
                  <w:p w14:paraId="2182D5FC"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3" behindDoc="0" locked="0" layoutInCell="0" allowOverlap="1" wp14:anchorId="7D893F05" wp14:editId="1543AC3D">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C7F2B2"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D893F05" id="MSIPCM82764d688816a9dc96a1b608" o:spid="_x0000_s1031"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8CknzsAIAAE0FAAAO&#10;AAAAAAAAAAAAAAAAAC4CAABkcnMvZTJvRG9jLnhtbFBLAQItABQABgAIAAAAIQAvkEiX4AAAAAsB&#10;AAAPAAAAAAAAAAAAAAAAAAoFAABkcnMvZG93bnJldi54bWxQSwUGAAAAAAQABADzAAAAFwYAAAAA&#10;" o:allowincell="f" filled="f" stroked="f" strokeweight=".5pt">
              <v:textbox inset=",0,,0">
                <w:txbxContent>
                  <w:p w14:paraId="4BC7F2B2"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B7C36" w14:textId="77777777" w:rsidR="001E44BA" w:rsidRDefault="001E44BA" w:rsidP="00207717">
      <w:pPr>
        <w:spacing w:before="120"/>
      </w:pPr>
      <w:r>
        <w:separator/>
      </w:r>
    </w:p>
  </w:footnote>
  <w:footnote w:type="continuationSeparator" w:id="0">
    <w:p w14:paraId="6940A8D9" w14:textId="77777777" w:rsidR="001E44BA" w:rsidRDefault="001E44BA">
      <w:r>
        <w:continuationSeparator/>
      </w:r>
    </w:p>
    <w:p w14:paraId="709A7B6C" w14:textId="77777777" w:rsidR="001E44BA" w:rsidRDefault="001E44BA"/>
  </w:footnote>
  <w:footnote w:type="continuationNotice" w:id="1">
    <w:p w14:paraId="0560B9B7" w14:textId="77777777" w:rsidR="001E44BA" w:rsidRDefault="001E44BA">
      <w:pPr>
        <w:spacing w:after="0" w:line="240" w:lineRule="auto"/>
      </w:pPr>
    </w:p>
  </w:footnote>
  <w:footnote w:id="2">
    <w:p w14:paraId="09F02AFE" w14:textId="77777777" w:rsidR="00925672" w:rsidRPr="00E01592" w:rsidRDefault="00925672" w:rsidP="00925672">
      <w:pPr>
        <w:pStyle w:val="FootnoteText"/>
        <w:rPr>
          <w:rStyle w:val="FootnoteReference"/>
          <w:sz w:val="20"/>
          <w:szCs w:val="18"/>
        </w:rPr>
      </w:pPr>
      <w:r w:rsidRPr="00E01592">
        <w:rPr>
          <w:rStyle w:val="FootnoteReference"/>
          <w:sz w:val="20"/>
          <w:szCs w:val="18"/>
        </w:rPr>
        <w:footnoteRef/>
      </w:r>
      <w:r w:rsidRPr="00E01592">
        <w:rPr>
          <w:rStyle w:val="FootnoteReference"/>
          <w:sz w:val="20"/>
          <w:szCs w:val="18"/>
        </w:rPr>
        <w:t xml:space="preserve"> Victorian infectious diseases surveillance data is available online at </w:t>
      </w:r>
      <w:hyperlink r:id="rId1" w:history="1">
        <w:r w:rsidRPr="00E01592">
          <w:rPr>
            <w:rStyle w:val="FootnoteReference"/>
            <w:sz w:val="20"/>
            <w:szCs w:val="18"/>
          </w:rPr>
          <w:t>https://www.health.vic.gov.au/infectious-diseases/infectious-diseases-surveillance-in-victoria</w:t>
        </w:r>
      </w:hyperlink>
    </w:p>
  </w:footnote>
  <w:footnote w:id="3">
    <w:p w14:paraId="5DADF5CA" w14:textId="1BAD45CC" w:rsidR="00925672" w:rsidRDefault="00925672" w:rsidP="00925672">
      <w:pPr>
        <w:pStyle w:val="FootnoteText"/>
      </w:pPr>
      <w:r w:rsidRPr="00E01592">
        <w:rPr>
          <w:rStyle w:val="FootnoteReference"/>
          <w:sz w:val="20"/>
          <w:szCs w:val="18"/>
        </w:rPr>
        <w:footnoteRef/>
      </w:r>
      <w:r w:rsidRPr="00E01592">
        <w:rPr>
          <w:rStyle w:val="FootnoteReference"/>
          <w:sz w:val="20"/>
          <w:szCs w:val="18"/>
        </w:rPr>
        <w:t xml:space="preserve"> The decline in disease notifications observed in 2020 and 2021 should be interpreted with caution and are likely to under-represent true disease incidence.  Disease reductions are likely to be strongly influenced by the ongoing COVID-19 pandemic, resulting in changes in sexual behaviours, healthcare access, health seeking and testing practices and interstate and international travel restrictions.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963CC" w14:textId="77777777" w:rsidR="00431A70" w:rsidRPr="00454A7D" w:rsidRDefault="00431A70" w:rsidP="00454A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FEFD0" w14:textId="04961EB0" w:rsidR="00562811" w:rsidRPr="0051568D" w:rsidRDefault="00BD5F6E" w:rsidP="0017674D">
    <w:pPr>
      <w:pStyle w:val="Header"/>
    </w:pPr>
    <w:r>
      <w:t>Victorian guidance on Patient Delivered Partner Therapy (PDPT) for chlamydia</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0056"/>
    <w:multiLevelType w:val="multilevel"/>
    <w:tmpl w:val="0AAE1EBA"/>
    <w:numStyleLink w:val="ZZNumbersloweralpha"/>
  </w:abstractNum>
  <w:abstractNum w:abstractNumId="1" w15:restartNumberingAfterBreak="0">
    <w:nsid w:val="063C68A2"/>
    <w:multiLevelType w:val="hybridMultilevel"/>
    <w:tmpl w:val="D0EED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E25AB5"/>
    <w:multiLevelType w:val="hybridMultilevel"/>
    <w:tmpl w:val="34A623C4"/>
    <w:lvl w:ilvl="0" w:tplc="62188B9A">
      <w:start w:val="1"/>
      <w:numFmt w:val="bullet"/>
      <w:lvlText w:val="•"/>
      <w:lvlJc w:val="left"/>
      <w:pPr>
        <w:tabs>
          <w:tab w:val="num" w:pos="720"/>
        </w:tabs>
        <w:ind w:left="720" w:hanging="360"/>
      </w:pPr>
      <w:rPr>
        <w:rFonts w:ascii="Arial" w:hAnsi="Arial" w:hint="default"/>
      </w:rPr>
    </w:lvl>
    <w:lvl w:ilvl="1" w:tplc="34CA8A4A" w:tentative="1">
      <w:start w:val="1"/>
      <w:numFmt w:val="bullet"/>
      <w:lvlText w:val="•"/>
      <w:lvlJc w:val="left"/>
      <w:pPr>
        <w:tabs>
          <w:tab w:val="num" w:pos="1440"/>
        </w:tabs>
        <w:ind w:left="1440" w:hanging="360"/>
      </w:pPr>
      <w:rPr>
        <w:rFonts w:ascii="Arial" w:hAnsi="Arial" w:hint="default"/>
      </w:rPr>
    </w:lvl>
    <w:lvl w:ilvl="2" w:tplc="9AFAF6BE" w:tentative="1">
      <w:start w:val="1"/>
      <w:numFmt w:val="bullet"/>
      <w:lvlText w:val="•"/>
      <w:lvlJc w:val="left"/>
      <w:pPr>
        <w:tabs>
          <w:tab w:val="num" w:pos="2160"/>
        </w:tabs>
        <w:ind w:left="2160" w:hanging="360"/>
      </w:pPr>
      <w:rPr>
        <w:rFonts w:ascii="Arial" w:hAnsi="Arial" w:hint="default"/>
      </w:rPr>
    </w:lvl>
    <w:lvl w:ilvl="3" w:tplc="7B06296E" w:tentative="1">
      <w:start w:val="1"/>
      <w:numFmt w:val="bullet"/>
      <w:lvlText w:val="•"/>
      <w:lvlJc w:val="left"/>
      <w:pPr>
        <w:tabs>
          <w:tab w:val="num" w:pos="2880"/>
        </w:tabs>
        <w:ind w:left="2880" w:hanging="360"/>
      </w:pPr>
      <w:rPr>
        <w:rFonts w:ascii="Arial" w:hAnsi="Arial" w:hint="default"/>
      </w:rPr>
    </w:lvl>
    <w:lvl w:ilvl="4" w:tplc="C0D2CABE" w:tentative="1">
      <w:start w:val="1"/>
      <w:numFmt w:val="bullet"/>
      <w:lvlText w:val="•"/>
      <w:lvlJc w:val="left"/>
      <w:pPr>
        <w:tabs>
          <w:tab w:val="num" w:pos="3600"/>
        </w:tabs>
        <w:ind w:left="3600" w:hanging="360"/>
      </w:pPr>
      <w:rPr>
        <w:rFonts w:ascii="Arial" w:hAnsi="Arial" w:hint="default"/>
      </w:rPr>
    </w:lvl>
    <w:lvl w:ilvl="5" w:tplc="6E5C30F6" w:tentative="1">
      <w:start w:val="1"/>
      <w:numFmt w:val="bullet"/>
      <w:lvlText w:val="•"/>
      <w:lvlJc w:val="left"/>
      <w:pPr>
        <w:tabs>
          <w:tab w:val="num" w:pos="4320"/>
        </w:tabs>
        <w:ind w:left="4320" w:hanging="360"/>
      </w:pPr>
      <w:rPr>
        <w:rFonts w:ascii="Arial" w:hAnsi="Arial" w:hint="default"/>
      </w:rPr>
    </w:lvl>
    <w:lvl w:ilvl="6" w:tplc="D996E990" w:tentative="1">
      <w:start w:val="1"/>
      <w:numFmt w:val="bullet"/>
      <w:lvlText w:val="•"/>
      <w:lvlJc w:val="left"/>
      <w:pPr>
        <w:tabs>
          <w:tab w:val="num" w:pos="5040"/>
        </w:tabs>
        <w:ind w:left="5040" w:hanging="360"/>
      </w:pPr>
      <w:rPr>
        <w:rFonts w:ascii="Arial" w:hAnsi="Arial" w:hint="default"/>
      </w:rPr>
    </w:lvl>
    <w:lvl w:ilvl="7" w:tplc="D668E6B8" w:tentative="1">
      <w:start w:val="1"/>
      <w:numFmt w:val="bullet"/>
      <w:lvlText w:val="•"/>
      <w:lvlJc w:val="left"/>
      <w:pPr>
        <w:tabs>
          <w:tab w:val="num" w:pos="5760"/>
        </w:tabs>
        <w:ind w:left="5760" w:hanging="360"/>
      </w:pPr>
      <w:rPr>
        <w:rFonts w:ascii="Arial" w:hAnsi="Arial" w:hint="default"/>
      </w:rPr>
    </w:lvl>
    <w:lvl w:ilvl="8" w:tplc="A202906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16B54CEE"/>
    <w:multiLevelType w:val="hybridMultilevel"/>
    <w:tmpl w:val="167038E6"/>
    <w:lvl w:ilvl="0" w:tplc="1D56C0CE">
      <w:start w:val="1"/>
      <w:numFmt w:val="bullet"/>
      <w:lvlText w:val="•"/>
      <w:lvlJc w:val="left"/>
      <w:pPr>
        <w:tabs>
          <w:tab w:val="num" w:pos="720"/>
        </w:tabs>
        <w:ind w:left="720" w:hanging="360"/>
      </w:pPr>
      <w:rPr>
        <w:rFonts w:ascii="Arial" w:hAnsi="Arial" w:hint="default"/>
      </w:rPr>
    </w:lvl>
    <w:lvl w:ilvl="1" w:tplc="56429EE0" w:tentative="1">
      <w:start w:val="1"/>
      <w:numFmt w:val="bullet"/>
      <w:lvlText w:val="•"/>
      <w:lvlJc w:val="left"/>
      <w:pPr>
        <w:tabs>
          <w:tab w:val="num" w:pos="1440"/>
        </w:tabs>
        <w:ind w:left="1440" w:hanging="360"/>
      </w:pPr>
      <w:rPr>
        <w:rFonts w:ascii="Arial" w:hAnsi="Arial" w:hint="default"/>
      </w:rPr>
    </w:lvl>
    <w:lvl w:ilvl="2" w:tplc="A9BAEBAE" w:tentative="1">
      <w:start w:val="1"/>
      <w:numFmt w:val="bullet"/>
      <w:lvlText w:val="•"/>
      <w:lvlJc w:val="left"/>
      <w:pPr>
        <w:tabs>
          <w:tab w:val="num" w:pos="2160"/>
        </w:tabs>
        <w:ind w:left="2160" w:hanging="360"/>
      </w:pPr>
      <w:rPr>
        <w:rFonts w:ascii="Arial" w:hAnsi="Arial" w:hint="default"/>
      </w:rPr>
    </w:lvl>
    <w:lvl w:ilvl="3" w:tplc="22602A30" w:tentative="1">
      <w:start w:val="1"/>
      <w:numFmt w:val="bullet"/>
      <w:lvlText w:val="•"/>
      <w:lvlJc w:val="left"/>
      <w:pPr>
        <w:tabs>
          <w:tab w:val="num" w:pos="2880"/>
        </w:tabs>
        <w:ind w:left="2880" w:hanging="360"/>
      </w:pPr>
      <w:rPr>
        <w:rFonts w:ascii="Arial" w:hAnsi="Arial" w:hint="default"/>
      </w:rPr>
    </w:lvl>
    <w:lvl w:ilvl="4" w:tplc="F022EB10" w:tentative="1">
      <w:start w:val="1"/>
      <w:numFmt w:val="bullet"/>
      <w:lvlText w:val="•"/>
      <w:lvlJc w:val="left"/>
      <w:pPr>
        <w:tabs>
          <w:tab w:val="num" w:pos="3600"/>
        </w:tabs>
        <w:ind w:left="3600" w:hanging="360"/>
      </w:pPr>
      <w:rPr>
        <w:rFonts w:ascii="Arial" w:hAnsi="Arial" w:hint="default"/>
      </w:rPr>
    </w:lvl>
    <w:lvl w:ilvl="5" w:tplc="7D661954" w:tentative="1">
      <w:start w:val="1"/>
      <w:numFmt w:val="bullet"/>
      <w:lvlText w:val="•"/>
      <w:lvlJc w:val="left"/>
      <w:pPr>
        <w:tabs>
          <w:tab w:val="num" w:pos="4320"/>
        </w:tabs>
        <w:ind w:left="4320" w:hanging="360"/>
      </w:pPr>
      <w:rPr>
        <w:rFonts w:ascii="Arial" w:hAnsi="Arial" w:hint="default"/>
      </w:rPr>
    </w:lvl>
    <w:lvl w:ilvl="6" w:tplc="EFAA0014" w:tentative="1">
      <w:start w:val="1"/>
      <w:numFmt w:val="bullet"/>
      <w:lvlText w:val="•"/>
      <w:lvlJc w:val="left"/>
      <w:pPr>
        <w:tabs>
          <w:tab w:val="num" w:pos="5040"/>
        </w:tabs>
        <w:ind w:left="5040" w:hanging="360"/>
      </w:pPr>
      <w:rPr>
        <w:rFonts w:ascii="Arial" w:hAnsi="Arial" w:hint="default"/>
      </w:rPr>
    </w:lvl>
    <w:lvl w:ilvl="7" w:tplc="7524898A" w:tentative="1">
      <w:start w:val="1"/>
      <w:numFmt w:val="bullet"/>
      <w:lvlText w:val="•"/>
      <w:lvlJc w:val="left"/>
      <w:pPr>
        <w:tabs>
          <w:tab w:val="num" w:pos="5760"/>
        </w:tabs>
        <w:ind w:left="5760" w:hanging="360"/>
      </w:pPr>
      <w:rPr>
        <w:rFonts w:ascii="Arial" w:hAnsi="Arial" w:hint="default"/>
      </w:rPr>
    </w:lvl>
    <w:lvl w:ilvl="8" w:tplc="EAAA186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CB6400"/>
    <w:multiLevelType w:val="hybridMultilevel"/>
    <w:tmpl w:val="390CE29C"/>
    <w:lvl w:ilvl="0" w:tplc="3D36BC42">
      <w:start w:val="1"/>
      <w:numFmt w:val="bullet"/>
      <w:lvlText w:val="•"/>
      <w:lvlJc w:val="left"/>
      <w:pPr>
        <w:tabs>
          <w:tab w:val="num" w:pos="720"/>
        </w:tabs>
        <w:ind w:left="720" w:hanging="360"/>
      </w:pPr>
      <w:rPr>
        <w:rFonts w:ascii="Arial" w:hAnsi="Arial" w:hint="default"/>
      </w:rPr>
    </w:lvl>
    <w:lvl w:ilvl="1" w:tplc="A3FC749C" w:tentative="1">
      <w:start w:val="1"/>
      <w:numFmt w:val="bullet"/>
      <w:lvlText w:val="•"/>
      <w:lvlJc w:val="left"/>
      <w:pPr>
        <w:tabs>
          <w:tab w:val="num" w:pos="1440"/>
        </w:tabs>
        <w:ind w:left="1440" w:hanging="360"/>
      </w:pPr>
      <w:rPr>
        <w:rFonts w:ascii="Arial" w:hAnsi="Arial" w:hint="default"/>
      </w:rPr>
    </w:lvl>
    <w:lvl w:ilvl="2" w:tplc="EE54B734" w:tentative="1">
      <w:start w:val="1"/>
      <w:numFmt w:val="bullet"/>
      <w:lvlText w:val="•"/>
      <w:lvlJc w:val="left"/>
      <w:pPr>
        <w:tabs>
          <w:tab w:val="num" w:pos="2160"/>
        </w:tabs>
        <w:ind w:left="2160" w:hanging="360"/>
      </w:pPr>
      <w:rPr>
        <w:rFonts w:ascii="Arial" w:hAnsi="Arial" w:hint="default"/>
      </w:rPr>
    </w:lvl>
    <w:lvl w:ilvl="3" w:tplc="DD92DDF0" w:tentative="1">
      <w:start w:val="1"/>
      <w:numFmt w:val="bullet"/>
      <w:lvlText w:val="•"/>
      <w:lvlJc w:val="left"/>
      <w:pPr>
        <w:tabs>
          <w:tab w:val="num" w:pos="2880"/>
        </w:tabs>
        <w:ind w:left="2880" w:hanging="360"/>
      </w:pPr>
      <w:rPr>
        <w:rFonts w:ascii="Arial" w:hAnsi="Arial" w:hint="default"/>
      </w:rPr>
    </w:lvl>
    <w:lvl w:ilvl="4" w:tplc="04523280" w:tentative="1">
      <w:start w:val="1"/>
      <w:numFmt w:val="bullet"/>
      <w:lvlText w:val="•"/>
      <w:lvlJc w:val="left"/>
      <w:pPr>
        <w:tabs>
          <w:tab w:val="num" w:pos="3600"/>
        </w:tabs>
        <w:ind w:left="3600" w:hanging="360"/>
      </w:pPr>
      <w:rPr>
        <w:rFonts w:ascii="Arial" w:hAnsi="Arial" w:hint="default"/>
      </w:rPr>
    </w:lvl>
    <w:lvl w:ilvl="5" w:tplc="E3BC51F0" w:tentative="1">
      <w:start w:val="1"/>
      <w:numFmt w:val="bullet"/>
      <w:lvlText w:val="•"/>
      <w:lvlJc w:val="left"/>
      <w:pPr>
        <w:tabs>
          <w:tab w:val="num" w:pos="4320"/>
        </w:tabs>
        <w:ind w:left="4320" w:hanging="360"/>
      </w:pPr>
      <w:rPr>
        <w:rFonts w:ascii="Arial" w:hAnsi="Arial" w:hint="default"/>
      </w:rPr>
    </w:lvl>
    <w:lvl w:ilvl="6" w:tplc="BC708B10" w:tentative="1">
      <w:start w:val="1"/>
      <w:numFmt w:val="bullet"/>
      <w:lvlText w:val="•"/>
      <w:lvlJc w:val="left"/>
      <w:pPr>
        <w:tabs>
          <w:tab w:val="num" w:pos="5040"/>
        </w:tabs>
        <w:ind w:left="5040" w:hanging="360"/>
      </w:pPr>
      <w:rPr>
        <w:rFonts w:ascii="Arial" w:hAnsi="Arial" w:hint="default"/>
      </w:rPr>
    </w:lvl>
    <w:lvl w:ilvl="7" w:tplc="81D2BDFA" w:tentative="1">
      <w:start w:val="1"/>
      <w:numFmt w:val="bullet"/>
      <w:lvlText w:val="•"/>
      <w:lvlJc w:val="left"/>
      <w:pPr>
        <w:tabs>
          <w:tab w:val="num" w:pos="5760"/>
        </w:tabs>
        <w:ind w:left="5760" w:hanging="360"/>
      </w:pPr>
      <w:rPr>
        <w:rFonts w:ascii="Arial" w:hAnsi="Arial" w:hint="default"/>
      </w:rPr>
    </w:lvl>
    <w:lvl w:ilvl="8" w:tplc="9C1434F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824527"/>
    <w:multiLevelType w:val="hybridMultilevel"/>
    <w:tmpl w:val="3B9669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03539DF"/>
    <w:multiLevelType w:val="hybridMultilevel"/>
    <w:tmpl w:val="D3144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2500A3"/>
    <w:multiLevelType w:val="hybridMultilevel"/>
    <w:tmpl w:val="187A7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3F3D95"/>
    <w:multiLevelType w:val="hybridMultilevel"/>
    <w:tmpl w:val="62249A3C"/>
    <w:lvl w:ilvl="0" w:tplc="6CA8ED80">
      <w:start w:val="1"/>
      <w:numFmt w:val="bullet"/>
      <w:lvlText w:val="•"/>
      <w:lvlJc w:val="left"/>
      <w:pPr>
        <w:tabs>
          <w:tab w:val="num" w:pos="720"/>
        </w:tabs>
        <w:ind w:left="720" w:hanging="360"/>
      </w:pPr>
      <w:rPr>
        <w:rFonts w:ascii="Arial" w:hAnsi="Arial" w:hint="default"/>
      </w:rPr>
    </w:lvl>
    <w:lvl w:ilvl="1" w:tplc="0E3C689A" w:tentative="1">
      <w:start w:val="1"/>
      <w:numFmt w:val="bullet"/>
      <w:lvlText w:val="•"/>
      <w:lvlJc w:val="left"/>
      <w:pPr>
        <w:tabs>
          <w:tab w:val="num" w:pos="1440"/>
        </w:tabs>
        <w:ind w:left="1440" w:hanging="360"/>
      </w:pPr>
      <w:rPr>
        <w:rFonts w:ascii="Arial" w:hAnsi="Arial" w:hint="default"/>
      </w:rPr>
    </w:lvl>
    <w:lvl w:ilvl="2" w:tplc="47785C8C" w:tentative="1">
      <w:start w:val="1"/>
      <w:numFmt w:val="bullet"/>
      <w:lvlText w:val="•"/>
      <w:lvlJc w:val="left"/>
      <w:pPr>
        <w:tabs>
          <w:tab w:val="num" w:pos="2160"/>
        </w:tabs>
        <w:ind w:left="2160" w:hanging="360"/>
      </w:pPr>
      <w:rPr>
        <w:rFonts w:ascii="Arial" w:hAnsi="Arial" w:hint="default"/>
      </w:rPr>
    </w:lvl>
    <w:lvl w:ilvl="3" w:tplc="D4A07748" w:tentative="1">
      <w:start w:val="1"/>
      <w:numFmt w:val="bullet"/>
      <w:lvlText w:val="•"/>
      <w:lvlJc w:val="left"/>
      <w:pPr>
        <w:tabs>
          <w:tab w:val="num" w:pos="2880"/>
        </w:tabs>
        <w:ind w:left="2880" w:hanging="360"/>
      </w:pPr>
      <w:rPr>
        <w:rFonts w:ascii="Arial" w:hAnsi="Arial" w:hint="default"/>
      </w:rPr>
    </w:lvl>
    <w:lvl w:ilvl="4" w:tplc="75C68F6C" w:tentative="1">
      <w:start w:val="1"/>
      <w:numFmt w:val="bullet"/>
      <w:lvlText w:val="•"/>
      <w:lvlJc w:val="left"/>
      <w:pPr>
        <w:tabs>
          <w:tab w:val="num" w:pos="3600"/>
        </w:tabs>
        <w:ind w:left="3600" w:hanging="360"/>
      </w:pPr>
      <w:rPr>
        <w:rFonts w:ascii="Arial" w:hAnsi="Arial" w:hint="default"/>
      </w:rPr>
    </w:lvl>
    <w:lvl w:ilvl="5" w:tplc="A7AE3EEC" w:tentative="1">
      <w:start w:val="1"/>
      <w:numFmt w:val="bullet"/>
      <w:lvlText w:val="•"/>
      <w:lvlJc w:val="left"/>
      <w:pPr>
        <w:tabs>
          <w:tab w:val="num" w:pos="4320"/>
        </w:tabs>
        <w:ind w:left="4320" w:hanging="360"/>
      </w:pPr>
      <w:rPr>
        <w:rFonts w:ascii="Arial" w:hAnsi="Arial" w:hint="default"/>
      </w:rPr>
    </w:lvl>
    <w:lvl w:ilvl="6" w:tplc="47F25D96" w:tentative="1">
      <w:start w:val="1"/>
      <w:numFmt w:val="bullet"/>
      <w:lvlText w:val="•"/>
      <w:lvlJc w:val="left"/>
      <w:pPr>
        <w:tabs>
          <w:tab w:val="num" w:pos="5040"/>
        </w:tabs>
        <w:ind w:left="5040" w:hanging="360"/>
      </w:pPr>
      <w:rPr>
        <w:rFonts w:ascii="Arial" w:hAnsi="Arial" w:hint="default"/>
      </w:rPr>
    </w:lvl>
    <w:lvl w:ilvl="7" w:tplc="BB9E4EF4" w:tentative="1">
      <w:start w:val="1"/>
      <w:numFmt w:val="bullet"/>
      <w:lvlText w:val="•"/>
      <w:lvlJc w:val="left"/>
      <w:pPr>
        <w:tabs>
          <w:tab w:val="num" w:pos="5760"/>
        </w:tabs>
        <w:ind w:left="5760" w:hanging="360"/>
      </w:pPr>
      <w:rPr>
        <w:rFonts w:ascii="Arial" w:hAnsi="Arial" w:hint="default"/>
      </w:rPr>
    </w:lvl>
    <w:lvl w:ilvl="8" w:tplc="5A40AF3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1E602B4"/>
    <w:multiLevelType w:val="hybridMultilevel"/>
    <w:tmpl w:val="D5D02D3C"/>
    <w:lvl w:ilvl="0" w:tplc="E42ABA10">
      <w:start w:val="1"/>
      <w:numFmt w:val="bullet"/>
      <w:lvlText w:val="•"/>
      <w:lvlJc w:val="left"/>
      <w:pPr>
        <w:tabs>
          <w:tab w:val="num" w:pos="720"/>
        </w:tabs>
        <w:ind w:left="720" w:hanging="360"/>
      </w:pPr>
      <w:rPr>
        <w:rFonts w:ascii="Arial" w:hAnsi="Arial" w:hint="default"/>
      </w:rPr>
    </w:lvl>
    <w:lvl w:ilvl="1" w:tplc="9F6EC9D8" w:tentative="1">
      <w:start w:val="1"/>
      <w:numFmt w:val="bullet"/>
      <w:lvlText w:val="•"/>
      <w:lvlJc w:val="left"/>
      <w:pPr>
        <w:tabs>
          <w:tab w:val="num" w:pos="1440"/>
        </w:tabs>
        <w:ind w:left="1440" w:hanging="360"/>
      </w:pPr>
      <w:rPr>
        <w:rFonts w:ascii="Arial" w:hAnsi="Arial" w:hint="default"/>
      </w:rPr>
    </w:lvl>
    <w:lvl w:ilvl="2" w:tplc="E5CC479A" w:tentative="1">
      <w:start w:val="1"/>
      <w:numFmt w:val="bullet"/>
      <w:lvlText w:val="•"/>
      <w:lvlJc w:val="left"/>
      <w:pPr>
        <w:tabs>
          <w:tab w:val="num" w:pos="2160"/>
        </w:tabs>
        <w:ind w:left="2160" w:hanging="360"/>
      </w:pPr>
      <w:rPr>
        <w:rFonts w:ascii="Arial" w:hAnsi="Arial" w:hint="default"/>
      </w:rPr>
    </w:lvl>
    <w:lvl w:ilvl="3" w:tplc="669A7FA6" w:tentative="1">
      <w:start w:val="1"/>
      <w:numFmt w:val="bullet"/>
      <w:lvlText w:val="•"/>
      <w:lvlJc w:val="left"/>
      <w:pPr>
        <w:tabs>
          <w:tab w:val="num" w:pos="2880"/>
        </w:tabs>
        <w:ind w:left="2880" w:hanging="360"/>
      </w:pPr>
      <w:rPr>
        <w:rFonts w:ascii="Arial" w:hAnsi="Arial" w:hint="default"/>
      </w:rPr>
    </w:lvl>
    <w:lvl w:ilvl="4" w:tplc="64208BEE" w:tentative="1">
      <w:start w:val="1"/>
      <w:numFmt w:val="bullet"/>
      <w:lvlText w:val="•"/>
      <w:lvlJc w:val="left"/>
      <w:pPr>
        <w:tabs>
          <w:tab w:val="num" w:pos="3600"/>
        </w:tabs>
        <w:ind w:left="3600" w:hanging="360"/>
      </w:pPr>
      <w:rPr>
        <w:rFonts w:ascii="Arial" w:hAnsi="Arial" w:hint="default"/>
      </w:rPr>
    </w:lvl>
    <w:lvl w:ilvl="5" w:tplc="A4B07502" w:tentative="1">
      <w:start w:val="1"/>
      <w:numFmt w:val="bullet"/>
      <w:lvlText w:val="•"/>
      <w:lvlJc w:val="left"/>
      <w:pPr>
        <w:tabs>
          <w:tab w:val="num" w:pos="4320"/>
        </w:tabs>
        <w:ind w:left="4320" w:hanging="360"/>
      </w:pPr>
      <w:rPr>
        <w:rFonts w:ascii="Arial" w:hAnsi="Arial" w:hint="default"/>
      </w:rPr>
    </w:lvl>
    <w:lvl w:ilvl="6" w:tplc="69127214" w:tentative="1">
      <w:start w:val="1"/>
      <w:numFmt w:val="bullet"/>
      <w:lvlText w:val="•"/>
      <w:lvlJc w:val="left"/>
      <w:pPr>
        <w:tabs>
          <w:tab w:val="num" w:pos="5040"/>
        </w:tabs>
        <w:ind w:left="5040" w:hanging="360"/>
      </w:pPr>
      <w:rPr>
        <w:rFonts w:ascii="Arial" w:hAnsi="Arial" w:hint="default"/>
      </w:rPr>
    </w:lvl>
    <w:lvl w:ilvl="7" w:tplc="E6B8A2A8" w:tentative="1">
      <w:start w:val="1"/>
      <w:numFmt w:val="bullet"/>
      <w:lvlText w:val="•"/>
      <w:lvlJc w:val="left"/>
      <w:pPr>
        <w:tabs>
          <w:tab w:val="num" w:pos="5760"/>
        </w:tabs>
        <w:ind w:left="5760" w:hanging="360"/>
      </w:pPr>
      <w:rPr>
        <w:rFonts w:ascii="Arial" w:hAnsi="Arial" w:hint="default"/>
      </w:rPr>
    </w:lvl>
    <w:lvl w:ilvl="8" w:tplc="81C004E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93D139B"/>
    <w:multiLevelType w:val="hybridMultilevel"/>
    <w:tmpl w:val="95902612"/>
    <w:lvl w:ilvl="0" w:tplc="E9EED6F8">
      <w:start w:val="1"/>
      <w:numFmt w:val="bullet"/>
      <w:lvlText w:val="•"/>
      <w:lvlJc w:val="left"/>
      <w:pPr>
        <w:tabs>
          <w:tab w:val="num" w:pos="720"/>
        </w:tabs>
        <w:ind w:left="720" w:hanging="360"/>
      </w:pPr>
      <w:rPr>
        <w:rFonts w:ascii="Arial" w:hAnsi="Arial" w:hint="default"/>
      </w:rPr>
    </w:lvl>
    <w:lvl w:ilvl="1" w:tplc="744AB85C" w:tentative="1">
      <w:start w:val="1"/>
      <w:numFmt w:val="bullet"/>
      <w:lvlText w:val="•"/>
      <w:lvlJc w:val="left"/>
      <w:pPr>
        <w:tabs>
          <w:tab w:val="num" w:pos="1440"/>
        </w:tabs>
        <w:ind w:left="1440" w:hanging="360"/>
      </w:pPr>
      <w:rPr>
        <w:rFonts w:ascii="Arial" w:hAnsi="Arial" w:hint="default"/>
      </w:rPr>
    </w:lvl>
    <w:lvl w:ilvl="2" w:tplc="4D9830E6" w:tentative="1">
      <w:start w:val="1"/>
      <w:numFmt w:val="bullet"/>
      <w:lvlText w:val="•"/>
      <w:lvlJc w:val="left"/>
      <w:pPr>
        <w:tabs>
          <w:tab w:val="num" w:pos="2160"/>
        </w:tabs>
        <w:ind w:left="2160" w:hanging="360"/>
      </w:pPr>
      <w:rPr>
        <w:rFonts w:ascii="Arial" w:hAnsi="Arial" w:hint="default"/>
      </w:rPr>
    </w:lvl>
    <w:lvl w:ilvl="3" w:tplc="4066EAC2" w:tentative="1">
      <w:start w:val="1"/>
      <w:numFmt w:val="bullet"/>
      <w:lvlText w:val="•"/>
      <w:lvlJc w:val="left"/>
      <w:pPr>
        <w:tabs>
          <w:tab w:val="num" w:pos="2880"/>
        </w:tabs>
        <w:ind w:left="2880" w:hanging="360"/>
      </w:pPr>
      <w:rPr>
        <w:rFonts w:ascii="Arial" w:hAnsi="Arial" w:hint="default"/>
      </w:rPr>
    </w:lvl>
    <w:lvl w:ilvl="4" w:tplc="97BC9192" w:tentative="1">
      <w:start w:val="1"/>
      <w:numFmt w:val="bullet"/>
      <w:lvlText w:val="•"/>
      <w:lvlJc w:val="left"/>
      <w:pPr>
        <w:tabs>
          <w:tab w:val="num" w:pos="3600"/>
        </w:tabs>
        <w:ind w:left="3600" w:hanging="360"/>
      </w:pPr>
      <w:rPr>
        <w:rFonts w:ascii="Arial" w:hAnsi="Arial" w:hint="default"/>
      </w:rPr>
    </w:lvl>
    <w:lvl w:ilvl="5" w:tplc="30B4DCA4" w:tentative="1">
      <w:start w:val="1"/>
      <w:numFmt w:val="bullet"/>
      <w:lvlText w:val="•"/>
      <w:lvlJc w:val="left"/>
      <w:pPr>
        <w:tabs>
          <w:tab w:val="num" w:pos="4320"/>
        </w:tabs>
        <w:ind w:left="4320" w:hanging="360"/>
      </w:pPr>
      <w:rPr>
        <w:rFonts w:ascii="Arial" w:hAnsi="Arial" w:hint="default"/>
      </w:rPr>
    </w:lvl>
    <w:lvl w:ilvl="6" w:tplc="FD1E2F06" w:tentative="1">
      <w:start w:val="1"/>
      <w:numFmt w:val="bullet"/>
      <w:lvlText w:val="•"/>
      <w:lvlJc w:val="left"/>
      <w:pPr>
        <w:tabs>
          <w:tab w:val="num" w:pos="5040"/>
        </w:tabs>
        <w:ind w:left="5040" w:hanging="360"/>
      </w:pPr>
      <w:rPr>
        <w:rFonts w:ascii="Arial" w:hAnsi="Arial" w:hint="default"/>
      </w:rPr>
    </w:lvl>
    <w:lvl w:ilvl="7" w:tplc="66D8D932" w:tentative="1">
      <w:start w:val="1"/>
      <w:numFmt w:val="bullet"/>
      <w:lvlText w:val="•"/>
      <w:lvlJc w:val="left"/>
      <w:pPr>
        <w:tabs>
          <w:tab w:val="num" w:pos="5760"/>
        </w:tabs>
        <w:ind w:left="5760" w:hanging="360"/>
      </w:pPr>
      <w:rPr>
        <w:rFonts w:ascii="Arial" w:hAnsi="Arial" w:hint="default"/>
      </w:rPr>
    </w:lvl>
    <w:lvl w:ilvl="8" w:tplc="046ACA9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A8948D3"/>
    <w:multiLevelType w:val="hybridMultilevel"/>
    <w:tmpl w:val="FF8A08BC"/>
    <w:lvl w:ilvl="0" w:tplc="77902BAE">
      <w:start w:val="1"/>
      <w:numFmt w:val="bullet"/>
      <w:lvlText w:val="•"/>
      <w:lvlJc w:val="left"/>
      <w:pPr>
        <w:tabs>
          <w:tab w:val="num" w:pos="720"/>
        </w:tabs>
        <w:ind w:left="720" w:hanging="360"/>
      </w:pPr>
      <w:rPr>
        <w:rFonts w:ascii="Arial" w:hAnsi="Arial" w:hint="default"/>
      </w:rPr>
    </w:lvl>
    <w:lvl w:ilvl="1" w:tplc="FD4269FE" w:tentative="1">
      <w:start w:val="1"/>
      <w:numFmt w:val="bullet"/>
      <w:lvlText w:val="•"/>
      <w:lvlJc w:val="left"/>
      <w:pPr>
        <w:tabs>
          <w:tab w:val="num" w:pos="1440"/>
        </w:tabs>
        <w:ind w:left="1440" w:hanging="360"/>
      </w:pPr>
      <w:rPr>
        <w:rFonts w:ascii="Arial" w:hAnsi="Arial" w:hint="default"/>
      </w:rPr>
    </w:lvl>
    <w:lvl w:ilvl="2" w:tplc="C3ECB472" w:tentative="1">
      <w:start w:val="1"/>
      <w:numFmt w:val="bullet"/>
      <w:lvlText w:val="•"/>
      <w:lvlJc w:val="left"/>
      <w:pPr>
        <w:tabs>
          <w:tab w:val="num" w:pos="2160"/>
        </w:tabs>
        <w:ind w:left="2160" w:hanging="360"/>
      </w:pPr>
      <w:rPr>
        <w:rFonts w:ascii="Arial" w:hAnsi="Arial" w:hint="default"/>
      </w:rPr>
    </w:lvl>
    <w:lvl w:ilvl="3" w:tplc="2496D9CA" w:tentative="1">
      <w:start w:val="1"/>
      <w:numFmt w:val="bullet"/>
      <w:lvlText w:val="•"/>
      <w:lvlJc w:val="left"/>
      <w:pPr>
        <w:tabs>
          <w:tab w:val="num" w:pos="2880"/>
        </w:tabs>
        <w:ind w:left="2880" w:hanging="360"/>
      </w:pPr>
      <w:rPr>
        <w:rFonts w:ascii="Arial" w:hAnsi="Arial" w:hint="default"/>
      </w:rPr>
    </w:lvl>
    <w:lvl w:ilvl="4" w:tplc="DE1C6888" w:tentative="1">
      <w:start w:val="1"/>
      <w:numFmt w:val="bullet"/>
      <w:lvlText w:val="•"/>
      <w:lvlJc w:val="left"/>
      <w:pPr>
        <w:tabs>
          <w:tab w:val="num" w:pos="3600"/>
        </w:tabs>
        <w:ind w:left="3600" w:hanging="360"/>
      </w:pPr>
      <w:rPr>
        <w:rFonts w:ascii="Arial" w:hAnsi="Arial" w:hint="default"/>
      </w:rPr>
    </w:lvl>
    <w:lvl w:ilvl="5" w:tplc="BE9AA098" w:tentative="1">
      <w:start w:val="1"/>
      <w:numFmt w:val="bullet"/>
      <w:lvlText w:val="•"/>
      <w:lvlJc w:val="left"/>
      <w:pPr>
        <w:tabs>
          <w:tab w:val="num" w:pos="4320"/>
        </w:tabs>
        <w:ind w:left="4320" w:hanging="360"/>
      </w:pPr>
      <w:rPr>
        <w:rFonts w:ascii="Arial" w:hAnsi="Arial" w:hint="default"/>
      </w:rPr>
    </w:lvl>
    <w:lvl w:ilvl="6" w:tplc="8F4E3294" w:tentative="1">
      <w:start w:val="1"/>
      <w:numFmt w:val="bullet"/>
      <w:lvlText w:val="•"/>
      <w:lvlJc w:val="left"/>
      <w:pPr>
        <w:tabs>
          <w:tab w:val="num" w:pos="5040"/>
        </w:tabs>
        <w:ind w:left="5040" w:hanging="360"/>
      </w:pPr>
      <w:rPr>
        <w:rFonts w:ascii="Arial" w:hAnsi="Arial" w:hint="default"/>
      </w:rPr>
    </w:lvl>
    <w:lvl w:ilvl="7" w:tplc="BAD0366C" w:tentative="1">
      <w:start w:val="1"/>
      <w:numFmt w:val="bullet"/>
      <w:lvlText w:val="•"/>
      <w:lvlJc w:val="left"/>
      <w:pPr>
        <w:tabs>
          <w:tab w:val="num" w:pos="5760"/>
        </w:tabs>
        <w:ind w:left="5760" w:hanging="360"/>
      </w:pPr>
      <w:rPr>
        <w:rFonts w:ascii="Arial" w:hAnsi="Arial" w:hint="default"/>
      </w:rPr>
    </w:lvl>
    <w:lvl w:ilvl="8" w:tplc="26A03CA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4"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3FD51C86"/>
    <w:multiLevelType w:val="multilevel"/>
    <w:tmpl w:val="54F6B13A"/>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Arial" w:hAnsi="Arial" w:cs="Arial" w:hint="default"/>
        <w:sz w:val="22"/>
        <w:szCs w:val="22"/>
        <w:vertAlign w:val="baseline"/>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448C62D1"/>
    <w:multiLevelType w:val="hybridMultilevel"/>
    <w:tmpl w:val="84BED2A4"/>
    <w:lvl w:ilvl="0" w:tplc="89725094">
      <w:start w:val="1"/>
      <w:numFmt w:val="bullet"/>
      <w:lvlText w:val="•"/>
      <w:lvlJc w:val="left"/>
      <w:pPr>
        <w:tabs>
          <w:tab w:val="num" w:pos="720"/>
        </w:tabs>
        <w:ind w:left="720" w:hanging="360"/>
      </w:pPr>
      <w:rPr>
        <w:rFonts w:ascii="Arial" w:hAnsi="Arial" w:hint="default"/>
      </w:rPr>
    </w:lvl>
    <w:lvl w:ilvl="1" w:tplc="C1FC5578" w:tentative="1">
      <w:start w:val="1"/>
      <w:numFmt w:val="bullet"/>
      <w:lvlText w:val="•"/>
      <w:lvlJc w:val="left"/>
      <w:pPr>
        <w:tabs>
          <w:tab w:val="num" w:pos="1440"/>
        </w:tabs>
        <w:ind w:left="1440" w:hanging="360"/>
      </w:pPr>
      <w:rPr>
        <w:rFonts w:ascii="Arial" w:hAnsi="Arial" w:hint="default"/>
      </w:rPr>
    </w:lvl>
    <w:lvl w:ilvl="2" w:tplc="707A6046" w:tentative="1">
      <w:start w:val="1"/>
      <w:numFmt w:val="bullet"/>
      <w:lvlText w:val="•"/>
      <w:lvlJc w:val="left"/>
      <w:pPr>
        <w:tabs>
          <w:tab w:val="num" w:pos="2160"/>
        </w:tabs>
        <w:ind w:left="2160" w:hanging="360"/>
      </w:pPr>
      <w:rPr>
        <w:rFonts w:ascii="Arial" w:hAnsi="Arial" w:hint="default"/>
      </w:rPr>
    </w:lvl>
    <w:lvl w:ilvl="3" w:tplc="C4E658A6" w:tentative="1">
      <w:start w:val="1"/>
      <w:numFmt w:val="bullet"/>
      <w:lvlText w:val="•"/>
      <w:lvlJc w:val="left"/>
      <w:pPr>
        <w:tabs>
          <w:tab w:val="num" w:pos="2880"/>
        </w:tabs>
        <w:ind w:left="2880" w:hanging="360"/>
      </w:pPr>
      <w:rPr>
        <w:rFonts w:ascii="Arial" w:hAnsi="Arial" w:hint="default"/>
      </w:rPr>
    </w:lvl>
    <w:lvl w:ilvl="4" w:tplc="64740C46" w:tentative="1">
      <w:start w:val="1"/>
      <w:numFmt w:val="bullet"/>
      <w:lvlText w:val="•"/>
      <w:lvlJc w:val="left"/>
      <w:pPr>
        <w:tabs>
          <w:tab w:val="num" w:pos="3600"/>
        </w:tabs>
        <w:ind w:left="3600" w:hanging="360"/>
      </w:pPr>
      <w:rPr>
        <w:rFonts w:ascii="Arial" w:hAnsi="Arial" w:hint="default"/>
      </w:rPr>
    </w:lvl>
    <w:lvl w:ilvl="5" w:tplc="2500DACE" w:tentative="1">
      <w:start w:val="1"/>
      <w:numFmt w:val="bullet"/>
      <w:lvlText w:val="•"/>
      <w:lvlJc w:val="left"/>
      <w:pPr>
        <w:tabs>
          <w:tab w:val="num" w:pos="4320"/>
        </w:tabs>
        <w:ind w:left="4320" w:hanging="360"/>
      </w:pPr>
      <w:rPr>
        <w:rFonts w:ascii="Arial" w:hAnsi="Arial" w:hint="default"/>
      </w:rPr>
    </w:lvl>
    <w:lvl w:ilvl="6" w:tplc="C6A2B5FE" w:tentative="1">
      <w:start w:val="1"/>
      <w:numFmt w:val="bullet"/>
      <w:lvlText w:val="•"/>
      <w:lvlJc w:val="left"/>
      <w:pPr>
        <w:tabs>
          <w:tab w:val="num" w:pos="5040"/>
        </w:tabs>
        <w:ind w:left="5040" w:hanging="360"/>
      </w:pPr>
      <w:rPr>
        <w:rFonts w:ascii="Arial" w:hAnsi="Arial" w:hint="default"/>
      </w:rPr>
    </w:lvl>
    <w:lvl w:ilvl="7" w:tplc="7CDEE94E" w:tentative="1">
      <w:start w:val="1"/>
      <w:numFmt w:val="bullet"/>
      <w:lvlText w:val="•"/>
      <w:lvlJc w:val="left"/>
      <w:pPr>
        <w:tabs>
          <w:tab w:val="num" w:pos="5760"/>
        </w:tabs>
        <w:ind w:left="5760" w:hanging="360"/>
      </w:pPr>
      <w:rPr>
        <w:rFonts w:ascii="Arial" w:hAnsi="Arial" w:hint="default"/>
      </w:rPr>
    </w:lvl>
    <w:lvl w:ilvl="8" w:tplc="ED6A8FC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A02749E"/>
    <w:multiLevelType w:val="hybridMultilevel"/>
    <w:tmpl w:val="2B36316C"/>
    <w:lvl w:ilvl="0" w:tplc="440E2E42">
      <w:start w:val="1"/>
      <w:numFmt w:val="bullet"/>
      <w:lvlText w:val="•"/>
      <w:lvlJc w:val="left"/>
      <w:pPr>
        <w:tabs>
          <w:tab w:val="num" w:pos="720"/>
        </w:tabs>
        <w:ind w:left="720" w:hanging="360"/>
      </w:pPr>
      <w:rPr>
        <w:rFonts w:ascii="Arial" w:hAnsi="Arial" w:hint="default"/>
      </w:rPr>
    </w:lvl>
    <w:lvl w:ilvl="1" w:tplc="F37A5782" w:tentative="1">
      <w:start w:val="1"/>
      <w:numFmt w:val="bullet"/>
      <w:lvlText w:val="•"/>
      <w:lvlJc w:val="left"/>
      <w:pPr>
        <w:tabs>
          <w:tab w:val="num" w:pos="1440"/>
        </w:tabs>
        <w:ind w:left="1440" w:hanging="360"/>
      </w:pPr>
      <w:rPr>
        <w:rFonts w:ascii="Arial" w:hAnsi="Arial" w:hint="default"/>
      </w:rPr>
    </w:lvl>
    <w:lvl w:ilvl="2" w:tplc="967ED3E2" w:tentative="1">
      <w:start w:val="1"/>
      <w:numFmt w:val="bullet"/>
      <w:lvlText w:val="•"/>
      <w:lvlJc w:val="left"/>
      <w:pPr>
        <w:tabs>
          <w:tab w:val="num" w:pos="2160"/>
        </w:tabs>
        <w:ind w:left="2160" w:hanging="360"/>
      </w:pPr>
      <w:rPr>
        <w:rFonts w:ascii="Arial" w:hAnsi="Arial" w:hint="default"/>
      </w:rPr>
    </w:lvl>
    <w:lvl w:ilvl="3" w:tplc="0F28EAB6" w:tentative="1">
      <w:start w:val="1"/>
      <w:numFmt w:val="bullet"/>
      <w:lvlText w:val="•"/>
      <w:lvlJc w:val="left"/>
      <w:pPr>
        <w:tabs>
          <w:tab w:val="num" w:pos="2880"/>
        </w:tabs>
        <w:ind w:left="2880" w:hanging="360"/>
      </w:pPr>
      <w:rPr>
        <w:rFonts w:ascii="Arial" w:hAnsi="Arial" w:hint="default"/>
      </w:rPr>
    </w:lvl>
    <w:lvl w:ilvl="4" w:tplc="CF64D9BA" w:tentative="1">
      <w:start w:val="1"/>
      <w:numFmt w:val="bullet"/>
      <w:lvlText w:val="•"/>
      <w:lvlJc w:val="left"/>
      <w:pPr>
        <w:tabs>
          <w:tab w:val="num" w:pos="3600"/>
        </w:tabs>
        <w:ind w:left="3600" w:hanging="360"/>
      </w:pPr>
      <w:rPr>
        <w:rFonts w:ascii="Arial" w:hAnsi="Arial" w:hint="default"/>
      </w:rPr>
    </w:lvl>
    <w:lvl w:ilvl="5" w:tplc="43523320" w:tentative="1">
      <w:start w:val="1"/>
      <w:numFmt w:val="bullet"/>
      <w:lvlText w:val="•"/>
      <w:lvlJc w:val="left"/>
      <w:pPr>
        <w:tabs>
          <w:tab w:val="num" w:pos="4320"/>
        </w:tabs>
        <w:ind w:left="4320" w:hanging="360"/>
      </w:pPr>
      <w:rPr>
        <w:rFonts w:ascii="Arial" w:hAnsi="Arial" w:hint="default"/>
      </w:rPr>
    </w:lvl>
    <w:lvl w:ilvl="6" w:tplc="D8D2833E" w:tentative="1">
      <w:start w:val="1"/>
      <w:numFmt w:val="bullet"/>
      <w:lvlText w:val="•"/>
      <w:lvlJc w:val="left"/>
      <w:pPr>
        <w:tabs>
          <w:tab w:val="num" w:pos="5040"/>
        </w:tabs>
        <w:ind w:left="5040" w:hanging="360"/>
      </w:pPr>
      <w:rPr>
        <w:rFonts w:ascii="Arial" w:hAnsi="Arial" w:hint="default"/>
      </w:rPr>
    </w:lvl>
    <w:lvl w:ilvl="7" w:tplc="50C894E8" w:tentative="1">
      <w:start w:val="1"/>
      <w:numFmt w:val="bullet"/>
      <w:lvlText w:val="•"/>
      <w:lvlJc w:val="left"/>
      <w:pPr>
        <w:tabs>
          <w:tab w:val="num" w:pos="5760"/>
        </w:tabs>
        <w:ind w:left="5760" w:hanging="360"/>
      </w:pPr>
      <w:rPr>
        <w:rFonts w:ascii="Arial" w:hAnsi="Arial" w:hint="default"/>
      </w:rPr>
    </w:lvl>
    <w:lvl w:ilvl="8" w:tplc="0E6812C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557C384D"/>
    <w:multiLevelType w:val="hybridMultilevel"/>
    <w:tmpl w:val="53F8DD92"/>
    <w:lvl w:ilvl="0" w:tplc="BD3E8C86">
      <w:start w:val="1"/>
      <w:numFmt w:val="bullet"/>
      <w:lvlText w:val="•"/>
      <w:lvlJc w:val="left"/>
      <w:pPr>
        <w:tabs>
          <w:tab w:val="num" w:pos="720"/>
        </w:tabs>
        <w:ind w:left="720" w:hanging="360"/>
      </w:pPr>
      <w:rPr>
        <w:rFonts w:ascii="Arial" w:hAnsi="Arial" w:hint="default"/>
      </w:rPr>
    </w:lvl>
    <w:lvl w:ilvl="1" w:tplc="8300265E" w:tentative="1">
      <w:start w:val="1"/>
      <w:numFmt w:val="bullet"/>
      <w:lvlText w:val="•"/>
      <w:lvlJc w:val="left"/>
      <w:pPr>
        <w:tabs>
          <w:tab w:val="num" w:pos="1440"/>
        </w:tabs>
        <w:ind w:left="1440" w:hanging="360"/>
      </w:pPr>
      <w:rPr>
        <w:rFonts w:ascii="Arial" w:hAnsi="Arial" w:hint="default"/>
      </w:rPr>
    </w:lvl>
    <w:lvl w:ilvl="2" w:tplc="46D273AA" w:tentative="1">
      <w:start w:val="1"/>
      <w:numFmt w:val="bullet"/>
      <w:lvlText w:val="•"/>
      <w:lvlJc w:val="left"/>
      <w:pPr>
        <w:tabs>
          <w:tab w:val="num" w:pos="2160"/>
        </w:tabs>
        <w:ind w:left="2160" w:hanging="360"/>
      </w:pPr>
      <w:rPr>
        <w:rFonts w:ascii="Arial" w:hAnsi="Arial" w:hint="default"/>
      </w:rPr>
    </w:lvl>
    <w:lvl w:ilvl="3" w:tplc="D48C7AE4" w:tentative="1">
      <w:start w:val="1"/>
      <w:numFmt w:val="bullet"/>
      <w:lvlText w:val="•"/>
      <w:lvlJc w:val="left"/>
      <w:pPr>
        <w:tabs>
          <w:tab w:val="num" w:pos="2880"/>
        </w:tabs>
        <w:ind w:left="2880" w:hanging="360"/>
      </w:pPr>
      <w:rPr>
        <w:rFonts w:ascii="Arial" w:hAnsi="Arial" w:hint="default"/>
      </w:rPr>
    </w:lvl>
    <w:lvl w:ilvl="4" w:tplc="01DCC0F6" w:tentative="1">
      <w:start w:val="1"/>
      <w:numFmt w:val="bullet"/>
      <w:lvlText w:val="•"/>
      <w:lvlJc w:val="left"/>
      <w:pPr>
        <w:tabs>
          <w:tab w:val="num" w:pos="3600"/>
        </w:tabs>
        <w:ind w:left="3600" w:hanging="360"/>
      </w:pPr>
      <w:rPr>
        <w:rFonts w:ascii="Arial" w:hAnsi="Arial" w:hint="default"/>
      </w:rPr>
    </w:lvl>
    <w:lvl w:ilvl="5" w:tplc="49E66698" w:tentative="1">
      <w:start w:val="1"/>
      <w:numFmt w:val="bullet"/>
      <w:lvlText w:val="•"/>
      <w:lvlJc w:val="left"/>
      <w:pPr>
        <w:tabs>
          <w:tab w:val="num" w:pos="4320"/>
        </w:tabs>
        <w:ind w:left="4320" w:hanging="360"/>
      </w:pPr>
      <w:rPr>
        <w:rFonts w:ascii="Arial" w:hAnsi="Arial" w:hint="default"/>
      </w:rPr>
    </w:lvl>
    <w:lvl w:ilvl="6" w:tplc="44F4A2FA" w:tentative="1">
      <w:start w:val="1"/>
      <w:numFmt w:val="bullet"/>
      <w:lvlText w:val="•"/>
      <w:lvlJc w:val="left"/>
      <w:pPr>
        <w:tabs>
          <w:tab w:val="num" w:pos="5040"/>
        </w:tabs>
        <w:ind w:left="5040" w:hanging="360"/>
      </w:pPr>
      <w:rPr>
        <w:rFonts w:ascii="Arial" w:hAnsi="Arial" w:hint="default"/>
      </w:rPr>
    </w:lvl>
    <w:lvl w:ilvl="7" w:tplc="C38A415A" w:tentative="1">
      <w:start w:val="1"/>
      <w:numFmt w:val="bullet"/>
      <w:lvlText w:val="•"/>
      <w:lvlJc w:val="left"/>
      <w:pPr>
        <w:tabs>
          <w:tab w:val="num" w:pos="5760"/>
        </w:tabs>
        <w:ind w:left="5760" w:hanging="360"/>
      </w:pPr>
      <w:rPr>
        <w:rFonts w:ascii="Arial" w:hAnsi="Arial" w:hint="default"/>
      </w:rPr>
    </w:lvl>
    <w:lvl w:ilvl="8" w:tplc="A40A7DF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D2D5B61"/>
    <w:multiLevelType w:val="hybridMultilevel"/>
    <w:tmpl w:val="D4E87450"/>
    <w:lvl w:ilvl="0" w:tplc="83969190">
      <w:start w:val="1"/>
      <w:numFmt w:val="bullet"/>
      <w:lvlText w:val="•"/>
      <w:lvlJc w:val="left"/>
      <w:pPr>
        <w:tabs>
          <w:tab w:val="num" w:pos="720"/>
        </w:tabs>
        <w:ind w:left="720" w:hanging="360"/>
      </w:pPr>
      <w:rPr>
        <w:rFonts w:ascii="Arial" w:hAnsi="Arial" w:hint="default"/>
      </w:rPr>
    </w:lvl>
    <w:lvl w:ilvl="1" w:tplc="B5E493C0" w:tentative="1">
      <w:start w:val="1"/>
      <w:numFmt w:val="bullet"/>
      <w:lvlText w:val="•"/>
      <w:lvlJc w:val="left"/>
      <w:pPr>
        <w:tabs>
          <w:tab w:val="num" w:pos="1440"/>
        </w:tabs>
        <w:ind w:left="1440" w:hanging="360"/>
      </w:pPr>
      <w:rPr>
        <w:rFonts w:ascii="Arial" w:hAnsi="Arial" w:hint="default"/>
      </w:rPr>
    </w:lvl>
    <w:lvl w:ilvl="2" w:tplc="A7584E28" w:tentative="1">
      <w:start w:val="1"/>
      <w:numFmt w:val="bullet"/>
      <w:lvlText w:val="•"/>
      <w:lvlJc w:val="left"/>
      <w:pPr>
        <w:tabs>
          <w:tab w:val="num" w:pos="2160"/>
        </w:tabs>
        <w:ind w:left="2160" w:hanging="360"/>
      </w:pPr>
      <w:rPr>
        <w:rFonts w:ascii="Arial" w:hAnsi="Arial" w:hint="default"/>
      </w:rPr>
    </w:lvl>
    <w:lvl w:ilvl="3" w:tplc="C8FAAD5E" w:tentative="1">
      <w:start w:val="1"/>
      <w:numFmt w:val="bullet"/>
      <w:lvlText w:val="•"/>
      <w:lvlJc w:val="left"/>
      <w:pPr>
        <w:tabs>
          <w:tab w:val="num" w:pos="2880"/>
        </w:tabs>
        <w:ind w:left="2880" w:hanging="360"/>
      </w:pPr>
      <w:rPr>
        <w:rFonts w:ascii="Arial" w:hAnsi="Arial" w:hint="default"/>
      </w:rPr>
    </w:lvl>
    <w:lvl w:ilvl="4" w:tplc="8968C032" w:tentative="1">
      <w:start w:val="1"/>
      <w:numFmt w:val="bullet"/>
      <w:lvlText w:val="•"/>
      <w:lvlJc w:val="left"/>
      <w:pPr>
        <w:tabs>
          <w:tab w:val="num" w:pos="3600"/>
        </w:tabs>
        <w:ind w:left="3600" w:hanging="360"/>
      </w:pPr>
      <w:rPr>
        <w:rFonts w:ascii="Arial" w:hAnsi="Arial" w:hint="default"/>
      </w:rPr>
    </w:lvl>
    <w:lvl w:ilvl="5" w:tplc="CD860EC0" w:tentative="1">
      <w:start w:val="1"/>
      <w:numFmt w:val="bullet"/>
      <w:lvlText w:val="•"/>
      <w:lvlJc w:val="left"/>
      <w:pPr>
        <w:tabs>
          <w:tab w:val="num" w:pos="4320"/>
        </w:tabs>
        <w:ind w:left="4320" w:hanging="360"/>
      </w:pPr>
      <w:rPr>
        <w:rFonts w:ascii="Arial" w:hAnsi="Arial" w:hint="default"/>
      </w:rPr>
    </w:lvl>
    <w:lvl w:ilvl="6" w:tplc="62C6C068" w:tentative="1">
      <w:start w:val="1"/>
      <w:numFmt w:val="bullet"/>
      <w:lvlText w:val="•"/>
      <w:lvlJc w:val="left"/>
      <w:pPr>
        <w:tabs>
          <w:tab w:val="num" w:pos="5040"/>
        </w:tabs>
        <w:ind w:left="5040" w:hanging="360"/>
      </w:pPr>
      <w:rPr>
        <w:rFonts w:ascii="Arial" w:hAnsi="Arial" w:hint="default"/>
      </w:rPr>
    </w:lvl>
    <w:lvl w:ilvl="7" w:tplc="05E0BB92" w:tentative="1">
      <w:start w:val="1"/>
      <w:numFmt w:val="bullet"/>
      <w:lvlText w:val="•"/>
      <w:lvlJc w:val="left"/>
      <w:pPr>
        <w:tabs>
          <w:tab w:val="num" w:pos="5760"/>
        </w:tabs>
        <w:ind w:left="5760" w:hanging="360"/>
      </w:pPr>
      <w:rPr>
        <w:rFonts w:ascii="Arial" w:hAnsi="Arial" w:hint="default"/>
      </w:rPr>
    </w:lvl>
    <w:lvl w:ilvl="8" w:tplc="7BA02FB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EEE1665"/>
    <w:multiLevelType w:val="hybridMultilevel"/>
    <w:tmpl w:val="BE94A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C36494"/>
    <w:multiLevelType w:val="hybridMultilevel"/>
    <w:tmpl w:val="A5649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3FE5AB1"/>
    <w:multiLevelType w:val="hybridMultilevel"/>
    <w:tmpl w:val="FEE06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5C7B76"/>
    <w:multiLevelType w:val="hybridMultilevel"/>
    <w:tmpl w:val="619AE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2972AD"/>
    <w:multiLevelType w:val="multilevel"/>
    <w:tmpl w:val="46105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B480296"/>
    <w:multiLevelType w:val="hybridMultilevel"/>
    <w:tmpl w:val="C8142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036B74"/>
    <w:multiLevelType w:val="hybridMultilevel"/>
    <w:tmpl w:val="F9028C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36C3974"/>
    <w:multiLevelType w:val="hybridMultilevel"/>
    <w:tmpl w:val="8B92D52C"/>
    <w:lvl w:ilvl="0" w:tplc="AA029C76">
      <w:start w:val="1"/>
      <w:numFmt w:val="bullet"/>
      <w:lvlText w:val="•"/>
      <w:lvlJc w:val="left"/>
      <w:pPr>
        <w:tabs>
          <w:tab w:val="num" w:pos="720"/>
        </w:tabs>
        <w:ind w:left="720" w:hanging="360"/>
      </w:pPr>
      <w:rPr>
        <w:rFonts w:ascii="Arial" w:hAnsi="Arial" w:hint="default"/>
      </w:rPr>
    </w:lvl>
    <w:lvl w:ilvl="1" w:tplc="0A4443DA" w:tentative="1">
      <w:start w:val="1"/>
      <w:numFmt w:val="bullet"/>
      <w:lvlText w:val="•"/>
      <w:lvlJc w:val="left"/>
      <w:pPr>
        <w:tabs>
          <w:tab w:val="num" w:pos="1440"/>
        </w:tabs>
        <w:ind w:left="1440" w:hanging="360"/>
      </w:pPr>
      <w:rPr>
        <w:rFonts w:ascii="Arial" w:hAnsi="Arial" w:hint="default"/>
      </w:rPr>
    </w:lvl>
    <w:lvl w:ilvl="2" w:tplc="8392F8B2" w:tentative="1">
      <w:start w:val="1"/>
      <w:numFmt w:val="bullet"/>
      <w:lvlText w:val="•"/>
      <w:lvlJc w:val="left"/>
      <w:pPr>
        <w:tabs>
          <w:tab w:val="num" w:pos="2160"/>
        </w:tabs>
        <w:ind w:left="2160" w:hanging="360"/>
      </w:pPr>
      <w:rPr>
        <w:rFonts w:ascii="Arial" w:hAnsi="Arial" w:hint="default"/>
      </w:rPr>
    </w:lvl>
    <w:lvl w:ilvl="3" w:tplc="586A6D44" w:tentative="1">
      <w:start w:val="1"/>
      <w:numFmt w:val="bullet"/>
      <w:lvlText w:val="•"/>
      <w:lvlJc w:val="left"/>
      <w:pPr>
        <w:tabs>
          <w:tab w:val="num" w:pos="2880"/>
        </w:tabs>
        <w:ind w:left="2880" w:hanging="360"/>
      </w:pPr>
      <w:rPr>
        <w:rFonts w:ascii="Arial" w:hAnsi="Arial" w:hint="default"/>
      </w:rPr>
    </w:lvl>
    <w:lvl w:ilvl="4" w:tplc="4E46598E" w:tentative="1">
      <w:start w:val="1"/>
      <w:numFmt w:val="bullet"/>
      <w:lvlText w:val="•"/>
      <w:lvlJc w:val="left"/>
      <w:pPr>
        <w:tabs>
          <w:tab w:val="num" w:pos="3600"/>
        </w:tabs>
        <w:ind w:left="3600" w:hanging="360"/>
      </w:pPr>
      <w:rPr>
        <w:rFonts w:ascii="Arial" w:hAnsi="Arial" w:hint="default"/>
      </w:rPr>
    </w:lvl>
    <w:lvl w:ilvl="5" w:tplc="2286DA3C" w:tentative="1">
      <w:start w:val="1"/>
      <w:numFmt w:val="bullet"/>
      <w:lvlText w:val="•"/>
      <w:lvlJc w:val="left"/>
      <w:pPr>
        <w:tabs>
          <w:tab w:val="num" w:pos="4320"/>
        </w:tabs>
        <w:ind w:left="4320" w:hanging="360"/>
      </w:pPr>
      <w:rPr>
        <w:rFonts w:ascii="Arial" w:hAnsi="Arial" w:hint="default"/>
      </w:rPr>
    </w:lvl>
    <w:lvl w:ilvl="6" w:tplc="CCA2E8DE" w:tentative="1">
      <w:start w:val="1"/>
      <w:numFmt w:val="bullet"/>
      <w:lvlText w:val="•"/>
      <w:lvlJc w:val="left"/>
      <w:pPr>
        <w:tabs>
          <w:tab w:val="num" w:pos="5040"/>
        </w:tabs>
        <w:ind w:left="5040" w:hanging="360"/>
      </w:pPr>
      <w:rPr>
        <w:rFonts w:ascii="Arial" w:hAnsi="Arial" w:hint="default"/>
      </w:rPr>
    </w:lvl>
    <w:lvl w:ilvl="7" w:tplc="3DAA3072" w:tentative="1">
      <w:start w:val="1"/>
      <w:numFmt w:val="bullet"/>
      <w:lvlText w:val="•"/>
      <w:lvlJc w:val="left"/>
      <w:pPr>
        <w:tabs>
          <w:tab w:val="num" w:pos="5760"/>
        </w:tabs>
        <w:ind w:left="5760" w:hanging="360"/>
      </w:pPr>
      <w:rPr>
        <w:rFonts w:ascii="Arial" w:hAnsi="Arial" w:hint="default"/>
      </w:rPr>
    </w:lvl>
    <w:lvl w:ilvl="8" w:tplc="EFF896E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C8B3306"/>
    <w:multiLevelType w:val="hybridMultilevel"/>
    <w:tmpl w:val="7A7C6B30"/>
    <w:lvl w:ilvl="0" w:tplc="89A63C24">
      <w:start w:val="1"/>
      <w:numFmt w:val="bullet"/>
      <w:lvlText w:val="•"/>
      <w:lvlJc w:val="left"/>
      <w:pPr>
        <w:tabs>
          <w:tab w:val="num" w:pos="720"/>
        </w:tabs>
        <w:ind w:left="720" w:hanging="360"/>
      </w:pPr>
      <w:rPr>
        <w:rFonts w:ascii="Arial" w:hAnsi="Arial" w:hint="default"/>
      </w:rPr>
    </w:lvl>
    <w:lvl w:ilvl="1" w:tplc="84DE98A2" w:tentative="1">
      <w:start w:val="1"/>
      <w:numFmt w:val="bullet"/>
      <w:lvlText w:val="•"/>
      <w:lvlJc w:val="left"/>
      <w:pPr>
        <w:tabs>
          <w:tab w:val="num" w:pos="1440"/>
        </w:tabs>
        <w:ind w:left="1440" w:hanging="360"/>
      </w:pPr>
      <w:rPr>
        <w:rFonts w:ascii="Arial" w:hAnsi="Arial" w:hint="default"/>
      </w:rPr>
    </w:lvl>
    <w:lvl w:ilvl="2" w:tplc="F91A0EA8" w:tentative="1">
      <w:start w:val="1"/>
      <w:numFmt w:val="bullet"/>
      <w:lvlText w:val="•"/>
      <w:lvlJc w:val="left"/>
      <w:pPr>
        <w:tabs>
          <w:tab w:val="num" w:pos="2160"/>
        </w:tabs>
        <w:ind w:left="2160" w:hanging="360"/>
      </w:pPr>
      <w:rPr>
        <w:rFonts w:ascii="Arial" w:hAnsi="Arial" w:hint="default"/>
      </w:rPr>
    </w:lvl>
    <w:lvl w:ilvl="3" w:tplc="AC70B97C" w:tentative="1">
      <w:start w:val="1"/>
      <w:numFmt w:val="bullet"/>
      <w:lvlText w:val="•"/>
      <w:lvlJc w:val="left"/>
      <w:pPr>
        <w:tabs>
          <w:tab w:val="num" w:pos="2880"/>
        </w:tabs>
        <w:ind w:left="2880" w:hanging="360"/>
      </w:pPr>
      <w:rPr>
        <w:rFonts w:ascii="Arial" w:hAnsi="Arial" w:hint="default"/>
      </w:rPr>
    </w:lvl>
    <w:lvl w:ilvl="4" w:tplc="53DC8DF6" w:tentative="1">
      <w:start w:val="1"/>
      <w:numFmt w:val="bullet"/>
      <w:lvlText w:val="•"/>
      <w:lvlJc w:val="left"/>
      <w:pPr>
        <w:tabs>
          <w:tab w:val="num" w:pos="3600"/>
        </w:tabs>
        <w:ind w:left="3600" w:hanging="360"/>
      </w:pPr>
      <w:rPr>
        <w:rFonts w:ascii="Arial" w:hAnsi="Arial" w:hint="default"/>
      </w:rPr>
    </w:lvl>
    <w:lvl w:ilvl="5" w:tplc="C2C6974C" w:tentative="1">
      <w:start w:val="1"/>
      <w:numFmt w:val="bullet"/>
      <w:lvlText w:val="•"/>
      <w:lvlJc w:val="left"/>
      <w:pPr>
        <w:tabs>
          <w:tab w:val="num" w:pos="4320"/>
        </w:tabs>
        <w:ind w:left="4320" w:hanging="360"/>
      </w:pPr>
      <w:rPr>
        <w:rFonts w:ascii="Arial" w:hAnsi="Arial" w:hint="default"/>
      </w:rPr>
    </w:lvl>
    <w:lvl w:ilvl="6" w:tplc="EA461108" w:tentative="1">
      <w:start w:val="1"/>
      <w:numFmt w:val="bullet"/>
      <w:lvlText w:val="•"/>
      <w:lvlJc w:val="left"/>
      <w:pPr>
        <w:tabs>
          <w:tab w:val="num" w:pos="5040"/>
        </w:tabs>
        <w:ind w:left="5040" w:hanging="360"/>
      </w:pPr>
      <w:rPr>
        <w:rFonts w:ascii="Arial" w:hAnsi="Arial" w:hint="default"/>
      </w:rPr>
    </w:lvl>
    <w:lvl w:ilvl="7" w:tplc="BE6E15C2" w:tentative="1">
      <w:start w:val="1"/>
      <w:numFmt w:val="bullet"/>
      <w:lvlText w:val="•"/>
      <w:lvlJc w:val="left"/>
      <w:pPr>
        <w:tabs>
          <w:tab w:val="num" w:pos="5760"/>
        </w:tabs>
        <w:ind w:left="5760" w:hanging="360"/>
      </w:pPr>
      <w:rPr>
        <w:rFonts w:ascii="Arial" w:hAnsi="Arial" w:hint="default"/>
      </w:rPr>
    </w:lvl>
    <w:lvl w:ilvl="8" w:tplc="1FB00B9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E234CFD"/>
    <w:multiLevelType w:val="hybridMultilevel"/>
    <w:tmpl w:val="A51232A6"/>
    <w:lvl w:ilvl="0" w:tplc="671281EE">
      <w:start w:val="1"/>
      <w:numFmt w:val="bullet"/>
      <w:lvlText w:val="•"/>
      <w:lvlJc w:val="left"/>
      <w:pPr>
        <w:tabs>
          <w:tab w:val="num" w:pos="720"/>
        </w:tabs>
        <w:ind w:left="720" w:hanging="360"/>
      </w:pPr>
      <w:rPr>
        <w:rFonts w:ascii="Arial" w:hAnsi="Arial" w:hint="default"/>
      </w:rPr>
    </w:lvl>
    <w:lvl w:ilvl="1" w:tplc="005C230A" w:tentative="1">
      <w:start w:val="1"/>
      <w:numFmt w:val="bullet"/>
      <w:lvlText w:val="•"/>
      <w:lvlJc w:val="left"/>
      <w:pPr>
        <w:tabs>
          <w:tab w:val="num" w:pos="1440"/>
        </w:tabs>
        <w:ind w:left="1440" w:hanging="360"/>
      </w:pPr>
      <w:rPr>
        <w:rFonts w:ascii="Arial" w:hAnsi="Arial" w:hint="default"/>
      </w:rPr>
    </w:lvl>
    <w:lvl w:ilvl="2" w:tplc="973A07C6" w:tentative="1">
      <w:start w:val="1"/>
      <w:numFmt w:val="bullet"/>
      <w:lvlText w:val="•"/>
      <w:lvlJc w:val="left"/>
      <w:pPr>
        <w:tabs>
          <w:tab w:val="num" w:pos="2160"/>
        </w:tabs>
        <w:ind w:left="2160" w:hanging="360"/>
      </w:pPr>
      <w:rPr>
        <w:rFonts w:ascii="Arial" w:hAnsi="Arial" w:hint="default"/>
      </w:rPr>
    </w:lvl>
    <w:lvl w:ilvl="3" w:tplc="79AAF8AE" w:tentative="1">
      <w:start w:val="1"/>
      <w:numFmt w:val="bullet"/>
      <w:lvlText w:val="•"/>
      <w:lvlJc w:val="left"/>
      <w:pPr>
        <w:tabs>
          <w:tab w:val="num" w:pos="2880"/>
        </w:tabs>
        <w:ind w:left="2880" w:hanging="360"/>
      </w:pPr>
      <w:rPr>
        <w:rFonts w:ascii="Arial" w:hAnsi="Arial" w:hint="default"/>
      </w:rPr>
    </w:lvl>
    <w:lvl w:ilvl="4" w:tplc="BAE68438" w:tentative="1">
      <w:start w:val="1"/>
      <w:numFmt w:val="bullet"/>
      <w:lvlText w:val="•"/>
      <w:lvlJc w:val="left"/>
      <w:pPr>
        <w:tabs>
          <w:tab w:val="num" w:pos="3600"/>
        </w:tabs>
        <w:ind w:left="3600" w:hanging="360"/>
      </w:pPr>
      <w:rPr>
        <w:rFonts w:ascii="Arial" w:hAnsi="Arial" w:hint="default"/>
      </w:rPr>
    </w:lvl>
    <w:lvl w:ilvl="5" w:tplc="EB188966" w:tentative="1">
      <w:start w:val="1"/>
      <w:numFmt w:val="bullet"/>
      <w:lvlText w:val="•"/>
      <w:lvlJc w:val="left"/>
      <w:pPr>
        <w:tabs>
          <w:tab w:val="num" w:pos="4320"/>
        </w:tabs>
        <w:ind w:left="4320" w:hanging="360"/>
      </w:pPr>
      <w:rPr>
        <w:rFonts w:ascii="Arial" w:hAnsi="Arial" w:hint="default"/>
      </w:rPr>
    </w:lvl>
    <w:lvl w:ilvl="6" w:tplc="7220C8B2" w:tentative="1">
      <w:start w:val="1"/>
      <w:numFmt w:val="bullet"/>
      <w:lvlText w:val="•"/>
      <w:lvlJc w:val="left"/>
      <w:pPr>
        <w:tabs>
          <w:tab w:val="num" w:pos="5040"/>
        </w:tabs>
        <w:ind w:left="5040" w:hanging="360"/>
      </w:pPr>
      <w:rPr>
        <w:rFonts w:ascii="Arial" w:hAnsi="Arial" w:hint="default"/>
      </w:rPr>
    </w:lvl>
    <w:lvl w:ilvl="7" w:tplc="D8A01304" w:tentative="1">
      <w:start w:val="1"/>
      <w:numFmt w:val="bullet"/>
      <w:lvlText w:val="•"/>
      <w:lvlJc w:val="left"/>
      <w:pPr>
        <w:tabs>
          <w:tab w:val="num" w:pos="5760"/>
        </w:tabs>
        <w:ind w:left="5760" w:hanging="360"/>
      </w:pPr>
      <w:rPr>
        <w:rFonts w:ascii="Arial" w:hAnsi="Arial" w:hint="default"/>
      </w:rPr>
    </w:lvl>
    <w:lvl w:ilvl="8" w:tplc="FEC0DA12"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19"/>
  </w:num>
  <w:num w:numId="3">
    <w:abstractNumId w:val="18"/>
  </w:num>
  <w:num w:numId="4">
    <w:abstractNumId w:val="24"/>
  </w:num>
  <w:num w:numId="5">
    <w:abstractNumId w:val="14"/>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6"/>
  </w:num>
  <w:num w:numId="14">
    <w:abstractNumId w:val="25"/>
  </w:num>
  <w:num w:numId="15">
    <w:abstractNumId w:val="26"/>
  </w:num>
  <w:num w:numId="16">
    <w:abstractNumId w:val="27"/>
  </w:num>
  <w:num w:numId="17">
    <w:abstractNumId w:val="7"/>
  </w:num>
  <w:num w:numId="18">
    <w:abstractNumId w:val="23"/>
  </w:num>
  <w:num w:numId="19">
    <w:abstractNumId w:val="28"/>
  </w:num>
  <w:num w:numId="20">
    <w:abstractNumId w:val="1"/>
  </w:num>
  <w:num w:numId="21">
    <w:abstractNumId w:val="8"/>
  </w:num>
  <w:num w:numId="22">
    <w:abstractNumId w:val="19"/>
  </w:num>
  <w:num w:numId="23">
    <w:abstractNumId w:val="19"/>
  </w:num>
  <w:num w:numId="24">
    <w:abstractNumId w:val="19"/>
  </w:num>
  <w:num w:numId="25">
    <w:abstractNumId w:val="22"/>
  </w:num>
  <w:num w:numId="26">
    <w:abstractNumId w:val="18"/>
  </w:num>
  <w:num w:numId="27">
    <w:abstractNumId w:val="19"/>
  </w:num>
  <w:num w:numId="28">
    <w:abstractNumId w:val="19"/>
  </w:num>
  <w:num w:numId="29">
    <w:abstractNumId w:val="19"/>
  </w:num>
  <w:num w:numId="30">
    <w:abstractNumId w:val="18"/>
  </w:num>
  <w:num w:numId="31">
    <w:abstractNumId w:val="18"/>
  </w:num>
  <w:num w:numId="32">
    <w:abstractNumId w:val="18"/>
  </w:num>
  <w:num w:numId="33">
    <w:abstractNumId w:val="18"/>
  </w:num>
  <w:num w:numId="34">
    <w:abstractNumId w:val="18"/>
  </w:num>
  <w:num w:numId="35">
    <w:abstractNumId w:val="29"/>
  </w:num>
  <w:num w:numId="36">
    <w:abstractNumId w:val="20"/>
  </w:num>
  <w:num w:numId="37">
    <w:abstractNumId w:val="30"/>
  </w:num>
  <w:num w:numId="38">
    <w:abstractNumId w:val="4"/>
  </w:num>
  <w:num w:numId="39">
    <w:abstractNumId w:val="12"/>
  </w:num>
  <w:num w:numId="40">
    <w:abstractNumId w:val="5"/>
  </w:num>
  <w:num w:numId="41">
    <w:abstractNumId w:val="32"/>
  </w:num>
  <w:num w:numId="42">
    <w:abstractNumId w:val="2"/>
  </w:num>
  <w:num w:numId="43">
    <w:abstractNumId w:val="31"/>
  </w:num>
  <w:num w:numId="44">
    <w:abstractNumId w:val="11"/>
  </w:num>
  <w:num w:numId="45">
    <w:abstractNumId w:val="21"/>
  </w:num>
  <w:num w:numId="46">
    <w:abstractNumId w:val="10"/>
  </w:num>
  <w:num w:numId="47">
    <w:abstractNumId w:val="16"/>
  </w:num>
  <w:num w:numId="48">
    <w:abstractNumId w:val="9"/>
  </w:num>
  <w:num w:numId="49">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60C"/>
    <w:rsid w:val="00000719"/>
    <w:rsid w:val="00002D68"/>
    <w:rsid w:val="000033F7"/>
    <w:rsid w:val="00003403"/>
    <w:rsid w:val="00005347"/>
    <w:rsid w:val="000072B6"/>
    <w:rsid w:val="0000790D"/>
    <w:rsid w:val="0001021B"/>
    <w:rsid w:val="00011D89"/>
    <w:rsid w:val="00014E86"/>
    <w:rsid w:val="000154FD"/>
    <w:rsid w:val="00022271"/>
    <w:rsid w:val="000235E8"/>
    <w:rsid w:val="00024D89"/>
    <w:rsid w:val="000250B6"/>
    <w:rsid w:val="00030CDD"/>
    <w:rsid w:val="00033D81"/>
    <w:rsid w:val="00033DC9"/>
    <w:rsid w:val="00037366"/>
    <w:rsid w:val="00041BF0"/>
    <w:rsid w:val="00042C8A"/>
    <w:rsid w:val="0004536B"/>
    <w:rsid w:val="0004557C"/>
    <w:rsid w:val="00046B68"/>
    <w:rsid w:val="000527DD"/>
    <w:rsid w:val="00056EC4"/>
    <w:rsid w:val="000578B2"/>
    <w:rsid w:val="00060959"/>
    <w:rsid w:val="00060C8F"/>
    <w:rsid w:val="0006298A"/>
    <w:rsid w:val="00063683"/>
    <w:rsid w:val="000663CD"/>
    <w:rsid w:val="0007300B"/>
    <w:rsid w:val="000733FE"/>
    <w:rsid w:val="00074219"/>
    <w:rsid w:val="00074ED5"/>
    <w:rsid w:val="0008204A"/>
    <w:rsid w:val="0008500B"/>
    <w:rsid w:val="0008508E"/>
    <w:rsid w:val="00087951"/>
    <w:rsid w:val="0009113B"/>
    <w:rsid w:val="00093402"/>
    <w:rsid w:val="00094DA3"/>
    <w:rsid w:val="00096CD1"/>
    <w:rsid w:val="000A012C"/>
    <w:rsid w:val="000A0EB9"/>
    <w:rsid w:val="000A186C"/>
    <w:rsid w:val="000A1EA4"/>
    <w:rsid w:val="000A2476"/>
    <w:rsid w:val="000A4B5E"/>
    <w:rsid w:val="000A641A"/>
    <w:rsid w:val="000B1D3F"/>
    <w:rsid w:val="000B3EDB"/>
    <w:rsid w:val="000B543D"/>
    <w:rsid w:val="000B55F9"/>
    <w:rsid w:val="000B5BF7"/>
    <w:rsid w:val="000B6BC8"/>
    <w:rsid w:val="000C0303"/>
    <w:rsid w:val="000C42EA"/>
    <w:rsid w:val="000C4546"/>
    <w:rsid w:val="000D1242"/>
    <w:rsid w:val="000D2ABA"/>
    <w:rsid w:val="000E0970"/>
    <w:rsid w:val="000E3CC7"/>
    <w:rsid w:val="000E5DBC"/>
    <w:rsid w:val="000E6BD4"/>
    <w:rsid w:val="000E6D6D"/>
    <w:rsid w:val="000F0284"/>
    <w:rsid w:val="000F1F1E"/>
    <w:rsid w:val="000F2259"/>
    <w:rsid w:val="000F2DDA"/>
    <w:rsid w:val="000F2EA0"/>
    <w:rsid w:val="000F5213"/>
    <w:rsid w:val="00101001"/>
    <w:rsid w:val="00103276"/>
    <w:rsid w:val="0010392D"/>
    <w:rsid w:val="0010447F"/>
    <w:rsid w:val="00104FE3"/>
    <w:rsid w:val="0010714F"/>
    <w:rsid w:val="00111F65"/>
    <w:rsid w:val="001120C5"/>
    <w:rsid w:val="00120BD3"/>
    <w:rsid w:val="00122FEA"/>
    <w:rsid w:val="001232BD"/>
    <w:rsid w:val="001236DC"/>
    <w:rsid w:val="00124DF1"/>
    <w:rsid w:val="00124ED5"/>
    <w:rsid w:val="001276FA"/>
    <w:rsid w:val="001337C3"/>
    <w:rsid w:val="00135ADA"/>
    <w:rsid w:val="001447B3"/>
    <w:rsid w:val="00152073"/>
    <w:rsid w:val="00152329"/>
    <w:rsid w:val="00156598"/>
    <w:rsid w:val="00161939"/>
    <w:rsid w:val="00161AA0"/>
    <w:rsid w:val="00161D2E"/>
    <w:rsid w:val="00161F3E"/>
    <w:rsid w:val="00162093"/>
    <w:rsid w:val="001629EC"/>
    <w:rsid w:val="00162CA9"/>
    <w:rsid w:val="00165459"/>
    <w:rsid w:val="00165A57"/>
    <w:rsid w:val="001712C2"/>
    <w:rsid w:val="00172BAF"/>
    <w:rsid w:val="0017674D"/>
    <w:rsid w:val="001771DD"/>
    <w:rsid w:val="00177995"/>
    <w:rsid w:val="00177A8C"/>
    <w:rsid w:val="00181A21"/>
    <w:rsid w:val="0018244E"/>
    <w:rsid w:val="00186B33"/>
    <w:rsid w:val="00192F9D"/>
    <w:rsid w:val="00196EB8"/>
    <w:rsid w:val="00196EFB"/>
    <w:rsid w:val="001979FF"/>
    <w:rsid w:val="00197B17"/>
    <w:rsid w:val="001A1950"/>
    <w:rsid w:val="001A1C54"/>
    <w:rsid w:val="001A2DB3"/>
    <w:rsid w:val="001A3ACE"/>
    <w:rsid w:val="001A6272"/>
    <w:rsid w:val="001A782B"/>
    <w:rsid w:val="001B058F"/>
    <w:rsid w:val="001B6B96"/>
    <w:rsid w:val="001B738B"/>
    <w:rsid w:val="001C09DB"/>
    <w:rsid w:val="001C277E"/>
    <w:rsid w:val="001C2A72"/>
    <w:rsid w:val="001C31B7"/>
    <w:rsid w:val="001D0B75"/>
    <w:rsid w:val="001D232D"/>
    <w:rsid w:val="001D39A5"/>
    <w:rsid w:val="001D3C09"/>
    <w:rsid w:val="001D44E8"/>
    <w:rsid w:val="001D60EC"/>
    <w:rsid w:val="001D6F59"/>
    <w:rsid w:val="001E1D7E"/>
    <w:rsid w:val="001E44BA"/>
    <w:rsid w:val="001E44DF"/>
    <w:rsid w:val="001E68A5"/>
    <w:rsid w:val="001E6BB0"/>
    <w:rsid w:val="001E7282"/>
    <w:rsid w:val="001F3826"/>
    <w:rsid w:val="001F6E46"/>
    <w:rsid w:val="001F7C91"/>
    <w:rsid w:val="002010D3"/>
    <w:rsid w:val="00201E46"/>
    <w:rsid w:val="002033B7"/>
    <w:rsid w:val="00206463"/>
    <w:rsid w:val="00206F2F"/>
    <w:rsid w:val="00207717"/>
    <w:rsid w:val="0021053D"/>
    <w:rsid w:val="00210A92"/>
    <w:rsid w:val="00212B95"/>
    <w:rsid w:val="00215CC8"/>
    <w:rsid w:val="00216C03"/>
    <w:rsid w:val="00217A35"/>
    <w:rsid w:val="00220A1A"/>
    <w:rsid w:val="00220C04"/>
    <w:rsid w:val="0022278D"/>
    <w:rsid w:val="0022701F"/>
    <w:rsid w:val="00227C68"/>
    <w:rsid w:val="002333F5"/>
    <w:rsid w:val="00233724"/>
    <w:rsid w:val="00233F35"/>
    <w:rsid w:val="002365B4"/>
    <w:rsid w:val="00241094"/>
    <w:rsid w:val="002432E1"/>
    <w:rsid w:val="00243B62"/>
    <w:rsid w:val="00246207"/>
    <w:rsid w:val="00246C5E"/>
    <w:rsid w:val="00250960"/>
    <w:rsid w:val="00251343"/>
    <w:rsid w:val="002536A4"/>
    <w:rsid w:val="00254F58"/>
    <w:rsid w:val="00255F10"/>
    <w:rsid w:val="00261A81"/>
    <w:rsid w:val="002620BC"/>
    <w:rsid w:val="002624A0"/>
    <w:rsid w:val="00262802"/>
    <w:rsid w:val="00263A90"/>
    <w:rsid w:val="0026408B"/>
    <w:rsid w:val="00267C3E"/>
    <w:rsid w:val="002709BB"/>
    <w:rsid w:val="0027131C"/>
    <w:rsid w:val="00273BAC"/>
    <w:rsid w:val="002763B3"/>
    <w:rsid w:val="002802E3"/>
    <w:rsid w:val="0028213D"/>
    <w:rsid w:val="00282488"/>
    <w:rsid w:val="002862F1"/>
    <w:rsid w:val="00291373"/>
    <w:rsid w:val="0029597D"/>
    <w:rsid w:val="002962C3"/>
    <w:rsid w:val="0029752B"/>
    <w:rsid w:val="002A0A9C"/>
    <w:rsid w:val="002A2F09"/>
    <w:rsid w:val="002A3CA0"/>
    <w:rsid w:val="002A483C"/>
    <w:rsid w:val="002B0C7C"/>
    <w:rsid w:val="002B1729"/>
    <w:rsid w:val="002B36C7"/>
    <w:rsid w:val="002B4DD4"/>
    <w:rsid w:val="002B5277"/>
    <w:rsid w:val="002B5375"/>
    <w:rsid w:val="002B77C1"/>
    <w:rsid w:val="002C0ED7"/>
    <w:rsid w:val="002C2728"/>
    <w:rsid w:val="002C5B7C"/>
    <w:rsid w:val="002C6E80"/>
    <w:rsid w:val="002D1E0D"/>
    <w:rsid w:val="002D5006"/>
    <w:rsid w:val="002D7C61"/>
    <w:rsid w:val="002E01D0"/>
    <w:rsid w:val="002E161D"/>
    <w:rsid w:val="002E28A2"/>
    <w:rsid w:val="002E3100"/>
    <w:rsid w:val="002E6C95"/>
    <w:rsid w:val="002E7C36"/>
    <w:rsid w:val="002F3D32"/>
    <w:rsid w:val="002F5F31"/>
    <w:rsid w:val="002F5F46"/>
    <w:rsid w:val="00302216"/>
    <w:rsid w:val="00303E53"/>
    <w:rsid w:val="00305BDE"/>
    <w:rsid w:val="00305CC1"/>
    <w:rsid w:val="00306E5F"/>
    <w:rsid w:val="00307E14"/>
    <w:rsid w:val="00314054"/>
    <w:rsid w:val="00316F27"/>
    <w:rsid w:val="003214F1"/>
    <w:rsid w:val="00322E4B"/>
    <w:rsid w:val="00327870"/>
    <w:rsid w:val="0033259D"/>
    <w:rsid w:val="003333D2"/>
    <w:rsid w:val="00334686"/>
    <w:rsid w:val="00337339"/>
    <w:rsid w:val="00340345"/>
    <w:rsid w:val="003406C6"/>
    <w:rsid w:val="003418CC"/>
    <w:rsid w:val="003434EE"/>
    <w:rsid w:val="003459BD"/>
    <w:rsid w:val="00350D38"/>
    <w:rsid w:val="00351B36"/>
    <w:rsid w:val="003579D0"/>
    <w:rsid w:val="00357B4E"/>
    <w:rsid w:val="003716FD"/>
    <w:rsid w:val="0037204B"/>
    <w:rsid w:val="003744CF"/>
    <w:rsid w:val="00374717"/>
    <w:rsid w:val="0037676C"/>
    <w:rsid w:val="0037746D"/>
    <w:rsid w:val="00381043"/>
    <w:rsid w:val="003829E5"/>
    <w:rsid w:val="00386109"/>
    <w:rsid w:val="00386944"/>
    <w:rsid w:val="003956CC"/>
    <w:rsid w:val="00395C9A"/>
    <w:rsid w:val="003A0853"/>
    <w:rsid w:val="003A6B67"/>
    <w:rsid w:val="003B13B6"/>
    <w:rsid w:val="003B14C3"/>
    <w:rsid w:val="003B15E6"/>
    <w:rsid w:val="003B22EF"/>
    <w:rsid w:val="003B2C2B"/>
    <w:rsid w:val="003B3C73"/>
    <w:rsid w:val="003B408A"/>
    <w:rsid w:val="003B7D1C"/>
    <w:rsid w:val="003C08A2"/>
    <w:rsid w:val="003C2045"/>
    <w:rsid w:val="003C43A1"/>
    <w:rsid w:val="003C4FC0"/>
    <w:rsid w:val="003C55F4"/>
    <w:rsid w:val="003C7897"/>
    <w:rsid w:val="003C7A3F"/>
    <w:rsid w:val="003D1318"/>
    <w:rsid w:val="003D2766"/>
    <w:rsid w:val="003D2A74"/>
    <w:rsid w:val="003D3D88"/>
    <w:rsid w:val="003D3E8F"/>
    <w:rsid w:val="003D6475"/>
    <w:rsid w:val="003D6EE6"/>
    <w:rsid w:val="003E109A"/>
    <w:rsid w:val="003E375C"/>
    <w:rsid w:val="003E4086"/>
    <w:rsid w:val="003E639E"/>
    <w:rsid w:val="003E71E5"/>
    <w:rsid w:val="003E7F91"/>
    <w:rsid w:val="003F0445"/>
    <w:rsid w:val="003F0CF0"/>
    <w:rsid w:val="003F14B1"/>
    <w:rsid w:val="003F2994"/>
    <w:rsid w:val="003F2B20"/>
    <w:rsid w:val="003F3289"/>
    <w:rsid w:val="003F3C62"/>
    <w:rsid w:val="003F5CB9"/>
    <w:rsid w:val="004013C7"/>
    <w:rsid w:val="004014C7"/>
    <w:rsid w:val="00401FCF"/>
    <w:rsid w:val="00406285"/>
    <w:rsid w:val="00410293"/>
    <w:rsid w:val="004115A2"/>
    <w:rsid w:val="004148F9"/>
    <w:rsid w:val="0042084E"/>
    <w:rsid w:val="004219E9"/>
    <w:rsid w:val="00421EEF"/>
    <w:rsid w:val="00424D65"/>
    <w:rsid w:val="00430393"/>
    <w:rsid w:val="00431806"/>
    <w:rsid w:val="00431A70"/>
    <w:rsid w:val="00431F42"/>
    <w:rsid w:val="00432489"/>
    <w:rsid w:val="00442C6C"/>
    <w:rsid w:val="00443CBE"/>
    <w:rsid w:val="00443E8A"/>
    <w:rsid w:val="004441BC"/>
    <w:rsid w:val="00445DB1"/>
    <w:rsid w:val="004468B4"/>
    <w:rsid w:val="00446D86"/>
    <w:rsid w:val="00451CEB"/>
    <w:rsid w:val="0045230A"/>
    <w:rsid w:val="00454A7D"/>
    <w:rsid w:val="00454AD0"/>
    <w:rsid w:val="00457337"/>
    <w:rsid w:val="004624C9"/>
    <w:rsid w:val="00462E3D"/>
    <w:rsid w:val="00463AE2"/>
    <w:rsid w:val="00466E79"/>
    <w:rsid w:val="00470D7D"/>
    <w:rsid w:val="0047372D"/>
    <w:rsid w:val="00473BA3"/>
    <w:rsid w:val="004743DD"/>
    <w:rsid w:val="00474CEA"/>
    <w:rsid w:val="00480C30"/>
    <w:rsid w:val="00483968"/>
    <w:rsid w:val="004841BE"/>
    <w:rsid w:val="00484F86"/>
    <w:rsid w:val="00490746"/>
    <w:rsid w:val="00490852"/>
    <w:rsid w:val="00491C9C"/>
    <w:rsid w:val="00492F30"/>
    <w:rsid w:val="00493345"/>
    <w:rsid w:val="004946F4"/>
    <w:rsid w:val="0049487E"/>
    <w:rsid w:val="00494D53"/>
    <w:rsid w:val="004A160D"/>
    <w:rsid w:val="004A3E81"/>
    <w:rsid w:val="004A4195"/>
    <w:rsid w:val="004A5C62"/>
    <w:rsid w:val="004A5CE5"/>
    <w:rsid w:val="004A707D"/>
    <w:rsid w:val="004B0974"/>
    <w:rsid w:val="004B4185"/>
    <w:rsid w:val="004C5541"/>
    <w:rsid w:val="004C6EEE"/>
    <w:rsid w:val="004C702B"/>
    <w:rsid w:val="004D0033"/>
    <w:rsid w:val="004D016B"/>
    <w:rsid w:val="004D1B22"/>
    <w:rsid w:val="004D23CC"/>
    <w:rsid w:val="004D2D7F"/>
    <w:rsid w:val="004D36F2"/>
    <w:rsid w:val="004E1106"/>
    <w:rsid w:val="004E138F"/>
    <w:rsid w:val="004E4649"/>
    <w:rsid w:val="004E48B8"/>
    <w:rsid w:val="004E49ED"/>
    <w:rsid w:val="004E5C2B"/>
    <w:rsid w:val="004F00DD"/>
    <w:rsid w:val="004F2133"/>
    <w:rsid w:val="004F5398"/>
    <w:rsid w:val="004F55F1"/>
    <w:rsid w:val="004F5779"/>
    <w:rsid w:val="004F6936"/>
    <w:rsid w:val="00503DC6"/>
    <w:rsid w:val="00506F5D"/>
    <w:rsid w:val="00510C37"/>
    <w:rsid w:val="005126D0"/>
    <w:rsid w:val="00514667"/>
    <w:rsid w:val="00514EE9"/>
    <w:rsid w:val="0051568D"/>
    <w:rsid w:val="00524481"/>
    <w:rsid w:val="00526AC7"/>
    <w:rsid w:val="00526C15"/>
    <w:rsid w:val="005339C1"/>
    <w:rsid w:val="00534FF9"/>
    <w:rsid w:val="00536499"/>
    <w:rsid w:val="00542A03"/>
    <w:rsid w:val="00542E9E"/>
    <w:rsid w:val="00543903"/>
    <w:rsid w:val="00543BCC"/>
    <w:rsid w:val="00543F11"/>
    <w:rsid w:val="00544135"/>
    <w:rsid w:val="00544BE6"/>
    <w:rsid w:val="00546305"/>
    <w:rsid w:val="00547A95"/>
    <w:rsid w:val="0055119B"/>
    <w:rsid w:val="005542B2"/>
    <w:rsid w:val="00561202"/>
    <w:rsid w:val="00562507"/>
    <w:rsid w:val="00562811"/>
    <w:rsid w:val="00572031"/>
    <w:rsid w:val="00572282"/>
    <w:rsid w:val="00573CE3"/>
    <w:rsid w:val="00576E84"/>
    <w:rsid w:val="00580394"/>
    <w:rsid w:val="005809CD"/>
    <w:rsid w:val="00582B8C"/>
    <w:rsid w:val="00582BC2"/>
    <w:rsid w:val="0058757E"/>
    <w:rsid w:val="00587E48"/>
    <w:rsid w:val="00596A4B"/>
    <w:rsid w:val="00597507"/>
    <w:rsid w:val="005A2E4E"/>
    <w:rsid w:val="005A479D"/>
    <w:rsid w:val="005B0111"/>
    <w:rsid w:val="005B1C6D"/>
    <w:rsid w:val="005B21B6"/>
    <w:rsid w:val="005B3A08"/>
    <w:rsid w:val="005B5A7A"/>
    <w:rsid w:val="005B7A63"/>
    <w:rsid w:val="005C0955"/>
    <w:rsid w:val="005C49DA"/>
    <w:rsid w:val="005C4A16"/>
    <w:rsid w:val="005C50F3"/>
    <w:rsid w:val="005C54B5"/>
    <w:rsid w:val="005C5D80"/>
    <w:rsid w:val="005C5D91"/>
    <w:rsid w:val="005D07B8"/>
    <w:rsid w:val="005D6597"/>
    <w:rsid w:val="005E0787"/>
    <w:rsid w:val="005E14E7"/>
    <w:rsid w:val="005E26A3"/>
    <w:rsid w:val="005E2ECB"/>
    <w:rsid w:val="005E447E"/>
    <w:rsid w:val="005E4FD1"/>
    <w:rsid w:val="005E7362"/>
    <w:rsid w:val="005F0775"/>
    <w:rsid w:val="005F0CF5"/>
    <w:rsid w:val="005F21EB"/>
    <w:rsid w:val="005F424B"/>
    <w:rsid w:val="005F64CF"/>
    <w:rsid w:val="006041AD"/>
    <w:rsid w:val="00605908"/>
    <w:rsid w:val="0060647A"/>
    <w:rsid w:val="00607850"/>
    <w:rsid w:val="00607EF7"/>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253"/>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12ED"/>
    <w:rsid w:val="00683878"/>
    <w:rsid w:val="00684380"/>
    <w:rsid w:val="0068454C"/>
    <w:rsid w:val="00691B62"/>
    <w:rsid w:val="00692549"/>
    <w:rsid w:val="006933B5"/>
    <w:rsid w:val="00693D14"/>
    <w:rsid w:val="0069682D"/>
    <w:rsid w:val="00696F27"/>
    <w:rsid w:val="006A0761"/>
    <w:rsid w:val="006A18C2"/>
    <w:rsid w:val="006A2224"/>
    <w:rsid w:val="006A3383"/>
    <w:rsid w:val="006A488C"/>
    <w:rsid w:val="006B077C"/>
    <w:rsid w:val="006B6803"/>
    <w:rsid w:val="006D0F16"/>
    <w:rsid w:val="006D2A3F"/>
    <w:rsid w:val="006D2FBC"/>
    <w:rsid w:val="006D6E34"/>
    <w:rsid w:val="006E138B"/>
    <w:rsid w:val="006E1867"/>
    <w:rsid w:val="006F0330"/>
    <w:rsid w:val="006F1FDC"/>
    <w:rsid w:val="006F6B8C"/>
    <w:rsid w:val="006F72A1"/>
    <w:rsid w:val="006F7C95"/>
    <w:rsid w:val="007013EF"/>
    <w:rsid w:val="007055BD"/>
    <w:rsid w:val="007173CA"/>
    <w:rsid w:val="007216AA"/>
    <w:rsid w:val="007218CD"/>
    <w:rsid w:val="00721AB5"/>
    <w:rsid w:val="00721CFB"/>
    <w:rsid w:val="00721DEF"/>
    <w:rsid w:val="0072380D"/>
    <w:rsid w:val="00724A43"/>
    <w:rsid w:val="007273AC"/>
    <w:rsid w:val="007276F6"/>
    <w:rsid w:val="00731AD4"/>
    <w:rsid w:val="00732D35"/>
    <w:rsid w:val="00733366"/>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63139"/>
    <w:rsid w:val="00767E4D"/>
    <w:rsid w:val="00770F37"/>
    <w:rsid w:val="007711A0"/>
    <w:rsid w:val="00772CDA"/>
    <w:rsid w:val="00772D5E"/>
    <w:rsid w:val="0077463E"/>
    <w:rsid w:val="007759D1"/>
    <w:rsid w:val="00775A94"/>
    <w:rsid w:val="00776928"/>
    <w:rsid w:val="00776D56"/>
    <w:rsid w:val="00776E0F"/>
    <w:rsid w:val="007774B1"/>
    <w:rsid w:val="00777BE1"/>
    <w:rsid w:val="00782222"/>
    <w:rsid w:val="007833D8"/>
    <w:rsid w:val="007845E4"/>
    <w:rsid w:val="00785677"/>
    <w:rsid w:val="00786073"/>
    <w:rsid w:val="00786F16"/>
    <w:rsid w:val="00791BD7"/>
    <w:rsid w:val="007933F7"/>
    <w:rsid w:val="0079475B"/>
    <w:rsid w:val="00796E20"/>
    <w:rsid w:val="00797C32"/>
    <w:rsid w:val="007A11E8"/>
    <w:rsid w:val="007A263F"/>
    <w:rsid w:val="007B0914"/>
    <w:rsid w:val="007B1374"/>
    <w:rsid w:val="007B32E5"/>
    <w:rsid w:val="007B35EF"/>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1435"/>
    <w:rsid w:val="007E1586"/>
    <w:rsid w:val="007E3667"/>
    <w:rsid w:val="007E3B98"/>
    <w:rsid w:val="007E417A"/>
    <w:rsid w:val="007E5414"/>
    <w:rsid w:val="007E548D"/>
    <w:rsid w:val="007F31B6"/>
    <w:rsid w:val="007F546C"/>
    <w:rsid w:val="007F625F"/>
    <w:rsid w:val="007F665E"/>
    <w:rsid w:val="00800412"/>
    <w:rsid w:val="0080587B"/>
    <w:rsid w:val="008061DB"/>
    <w:rsid w:val="00806468"/>
    <w:rsid w:val="008119CA"/>
    <w:rsid w:val="008130C4"/>
    <w:rsid w:val="00813BC6"/>
    <w:rsid w:val="008155F0"/>
    <w:rsid w:val="00816735"/>
    <w:rsid w:val="00820141"/>
    <w:rsid w:val="00820E0C"/>
    <w:rsid w:val="00823275"/>
    <w:rsid w:val="0082366F"/>
    <w:rsid w:val="0082459B"/>
    <w:rsid w:val="00827CCF"/>
    <w:rsid w:val="008338A2"/>
    <w:rsid w:val="00841AA9"/>
    <w:rsid w:val="0084371C"/>
    <w:rsid w:val="008474FE"/>
    <w:rsid w:val="00852200"/>
    <w:rsid w:val="00853EE4"/>
    <w:rsid w:val="00855535"/>
    <w:rsid w:val="00855B32"/>
    <w:rsid w:val="00857C5A"/>
    <w:rsid w:val="0086255E"/>
    <w:rsid w:val="008633F0"/>
    <w:rsid w:val="00867D9D"/>
    <w:rsid w:val="00872E0A"/>
    <w:rsid w:val="00873594"/>
    <w:rsid w:val="00875285"/>
    <w:rsid w:val="00884B62"/>
    <w:rsid w:val="0088529C"/>
    <w:rsid w:val="00887903"/>
    <w:rsid w:val="0089270A"/>
    <w:rsid w:val="00893AF6"/>
    <w:rsid w:val="00894BC4"/>
    <w:rsid w:val="00896890"/>
    <w:rsid w:val="008977D1"/>
    <w:rsid w:val="008A28A8"/>
    <w:rsid w:val="008A38BA"/>
    <w:rsid w:val="008A54AC"/>
    <w:rsid w:val="008A5B32"/>
    <w:rsid w:val="008B1B8C"/>
    <w:rsid w:val="008B2029"/>
    <w:rsid w:val="008B2EE4"/>
    <w:rsid w:val="008B3821"/>
    <w:rsid w:val="008B4D3D"/>
    <w:rsid w:val="008B57C7"/>
    <w:rsid w:val="008C0F63"/>
    <w:rsid w:val="008C2F92"/>
    <w:rsid w:val="008C3546"/>
    <w:rsid w:val="008C589D"/>
    <w:rsid w:val="008C688C"/>
    <w:rsid w:val="008C6D51"/>
    <w:rsid w:val="008D2846"/>
    <w:rsid w:val="008D4236"/>
    <w:rsid w:val="008D462F"/>
    <w:rsid w:val="008D6DCF"/>
    <w:rsid w:val="008E4376"/>
    <w:rsid w:val="008E7A0A"/>
    <w:rsid w:val="008E7B49"/>
    <w:rsid w:val="008E7D7F"/>
    <w:rsid w:val="008F59F6"/>
    <w:rsid w:val="00900719"/>
    <w:rsid w:val="009017AC"/>
    <w:rsid w:val="00902A9A"/>
    <w:rsid w:val="00904A1C"/>
    <w:rsid w:val="00905030"/>
    <w:rsid w:val="00906490"/>
    <w:rsid w:val="009111B2"/>
    <w:rsid w:val="009151F5"/>
    <w:rsid w:val="00924AE1"/>
    <w:rsid w:val="00925672"/>
    <w:rsid w:val="009269B1"/>
    <w:rsid w:val="0092724D"/>
    <w:rsid w:val="009272B3"/>
    <w:rsid w:val="00927A75"/>
    <w:rsid w:val="009315BE"/>
    <w:rsid w:val="009326DD"/>
    <w:rsid w:val="0093338F"/>
    <w:rsid w:val="00937BD9"/>
    <w:rsid w:val="00950E2C"/>
    <w:rsid w:val="00951D50"/>
    <w:rsid w:val="009525EB"/>
    <w:rsid w:val="0095470B"/>
    <w:rsid w:val="00954874"/>
    <w:rsid w:val="0095615A"/>
    <w:rsid w:val="00961400"/>
    <w:rsid w:val="00963646"/>
    <w:rsid w:val="0096632D"/>
    <w:rsid w:val="00967124"/>
    <w:rsid w:val="009671EA"/>
    <w:rsid w:val="0097166C"/>
    <w:rsid w:val="009718C7"/>
    <w:rsid w:val="0097559F"/>
    <w:rsid w:val="009761EA"/>
    <w:rsid w:val="0097761E"/>
    <w:rsid w:val="00982454"/>
    <w:rsid w:val="00982CF0"/>
    <w:rsid w:val="009853E1"/>
    <w:rsid w:val="00986E6B"/>
    <w:rsid w:val="0098717A"/>
    <w:rsid w:val="00990032"/>
    <w:rsid w:val="00990B19"/>
    <w:rsid w:val="0099153B"/>
    <w:rsid w:val="00991769"/>
    <w:rsid w:val="0099232C"/>
    <w:rsid w:val="0099303F"/>
    <w:rsid w:val="00994386"/>
    <w:rsid w:val="00995A66"/>
    <w:rsid w:val="009A13D8"/>
    <w:rsid w:val="009A279E"/>
    <w:rsid w:val="009A3015"/>
    <w:rsid w:val="009A3490"/>
    <w:rsid w:val="009B0A6F"/>
    <w:rsid w:val="009B0A94"/>
    <w:rsid w:val="009B0C62"/>
    <w:rsid w:val="009B2AE8"/>
    <w:rsid w:val="009B5622"/>
    <w:rsid w:val="009B59E9"/>
    <w:rsid w:val="009B70AA"/>
    <w:rsid w:val="009C245E"/>
    <w:rsid w:val="009C4B19"/>
    <w:rsid w:val="009C5E77"/>
    <w:rsid w:val="009C7A7E"/>
    <w:rsid w:val="009D02E8"/>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6BCB"/>
    <w:rsid w:val="009F7B78"/>
    <w:rsid w:val="00A0057A"/>
    <w:rsid w:val="00A02FA1"/>
    <w:rsid w:val="00A04B98"/>
    <w:rsid w:val="00A04CCE"/>
    <w:rsid w:val="00A07421"/>
    <w:rsid w:val="00A0776B"/>
    <w:rsid w:val="00A10FB9"/>
    <w:rsid w:val="00A11421"/>
    <w:rsid w:val="00A12A50"/>
    <w:rsid w:val="00A1389F"/>
    <w:rsid w:val="00A13B7A"/>
    <w:rsid w:val="00A157B1"/>
    <w:rsid w:val="00A22229"/>
    <w:rsid w:val="00A24442"/>
    <w:rsid w:val="00A24ADA"/>
    <w:rsid w:val="00A32577"/>
    <w:rsid w:val="00A330BB"/>
    <w:rsid w:val="00A446F5"/>
    <w:rsid w:val="00A44882"/>
    <w:rsid w:val="00A45125"/>
    <w:rsid w:val="00A46A64"/>
    <w:rsid w:val="00A54715"/>
    <w:rsid w:val="00A55019"/>
    <w:rsid w:val="00A6061C"/>
    <w:rsid w:val="00A62D44"/>
    <w:rsid w:val="00A67263"/>
    <w:rsid w:val="00A7161C"/>
    <w:rsid w:val="00A71CE4"/>
    <w:rsid w:val="00A77451"/>
    <w:rsid w:val="00A77AA3"/>
    <w:rsid w:val="00A8236D"/>
    <w:rsid w:val="00A854EB"/>
    <w:rsid w:val="00A872E5"/>
    <w:rsid w:val="00A91406"/>
    <w:rsid w:val="00A96E65"/>
    <w:rsid w:val="00A96ECE"/>
    <w:rsid w:val="00A97C72"/>
    <w:rsid w:val="00AA1B8D"/>
    <w:rsid w:val="00AA310B"/>
    <w:rsid w:val="00AA63D4"/>
    <w:rsid w:val="00AB06E8"/>
    <w:rsid w:val="00AB1CD3"/>
    <w:rsid w:val="00AB2164"/>
    <w:rsid w:val="00AB352F"/>
    <w:rsid w:val="00AB7D14"/>
    <w:rsid w:val="00AC274B"/>
    <w:rsid w:val="00AC4764"/>
    <w:rsid w:val="00AC4CBF"/>
    <w:rsid w:val="00AC6D36"/>
    <w:rsid w:val="00AD0CBA"/>
    <w:rsid w:val="00AD0D67"/>
    <w:rsid w:val="00AD26E2"/>
    <w:rsid w:val="00AD5474"/>
    <w:rsid w:val="00AD784C"/>
    <w:rsid w:val="00AE126A"/>
    <w:rsid w:val="00AE1BAE"/>
    <w:rsid w:val="00AE3005"/>
    <w:rsid w:val="00AE351E"/>
    <w:rsid w:val="00AE3BD5"/>
    <w:rsid w:val="00AE3CB6"/>
    <w:rsid w:val="00AE59A0"/>
    <w:rsid w:val="00AF0C57"/>
    <w:rsid w:val="00AF26F3"/>
    <w:rsid w:val="00AF3483"/>
    <w:rsid w:val="00AF5F04"/>
    <w:rsid w:val="00B00672"/>
    <w:rsid w:val="00B01B4D"/>
    <w:rsid w:val="00B04489"/>
    <w:rsid w:val="00B06571"/>
    <w:rsid w:val="00B068BA"/>
    <w:rsid w:val="00B07217"/>
    <w:rsid w:val="00B13851"/>
    <w:rsid w:val="00B13B1C"/>
    <w:rsid w:val="00B14B5F"/>
    <w:rsid w:val="00B21032"/>
    <w:rsid w:val="00B21F90"/>
    <w:rsid w:val="00B22291"/>
    <w:rsid w:val="00B23F9A"/>
    <w:rsid w:val="00B2417B"/>
    <w:rsid w:val="00B24E6F"/>
    <w:rsid w:val="00B26CB5"/>
    <w:rsid w:val="00B2752E"/>
    <w:rsid w:val="00B307CC"/>
    <w:rsid w:val="00B326B7"/>
    <w:rsid w:val="00B3588E"/>
    <w:rsid w:val="00B4198F"/>
    <w:rsid w:val="00B41F3D"/>
    <w:rsid w:val="00B42DA7"/>
    <w:rsid w:val="00B431E8"/>
    <w:rsid w:val="00B45141"/>
    <w:rsid w:val="00B519CD"/>
    <w:rsid w:val="00B5273A"/>
    <w:rsid w:val="00B531BD"/>
    <w:rsid w:val="00B57329"/>
    <w:rsid w:val="00B60E61"/>
    <w:rsid w:val="00B62B50"/>
    <w:rsid w:val="00B635B7"/>
    <w:rsid w:val="00B63AE8"/>
    <w:rsid w:val="00B65950"/>
    <w:rsid w:val="00B66D83"/>
    <w:rsid w:val="00B672C0"/>
    <w:rsid w:val="00B676FD"/>
    <w:rsid w:val="00B678B6"/>
    <w:rsid w:val="00B71EF4"/>
    <w:rsid w:val="00B75646"/>
    <w:rsid w:val="00B7629E"/>
    <w:rsid w:val="00B84CE9"/>
    <w:rsid w:val="00B90729"/>
    <w:rsid w:val="00B907DA"/>
    <w:rsid w:val="00B90B09"/>
    <w:rsid w:val="00B94C5E"/>
    <w:rsid w:val="00B950BC"/>
    <w:rsid w:val="00B9714C"/>
    <w:rsid w:val="00BA26F6"/>
    <w:rsid w:val="00BA29AD"/>
    <w:rsid w:val="00BA33CF"/>
    <w:rsid w:val="00BA3F8D"/>
    <w:rsid w:val="00BB3F90"/>
    <w:rsid w:val="00BB74AC"/>
    <w:rsid w:val="00BB7A10"/>
    <w:rsid w:val="00BC60BE"/>
    <w:rsid w:val="00BC7468"/>
    <w:rsid w:val="00BC7D4F"/>
    <w:rsid w:val="00BC7ED7"/>
    <w:rsid w:val="00BD2850"/>
    <w:rsid w:val="00BD5F6E"/>
    <w:rsid w:val="00BE28D2"/>
    <w:rsid w:val="00BE4A64"/>
    <w:rsid w:val="00BE5E43"/>
    <w:rsid w:val="00BE778C"/>
    <w:rsid w:val="00BE7909"/>
    <w:rsid w:val="00BF0F76"/>
    <w:rsid w:val="00BF557D"/>
    <w:rsid w:val="00BF658D"/>
    <w:rsid w:val="00BF7F58"/>
    <w:rsid w:val="00C01381"/>
    <w:rsid w:val="00C01AB1"/>
    <w:rsid w:val="00C026A0"/>
    <w:rsid w:val="00C06137"/>
    <w:rsid w:val="00C06929"/>
    <w:rsid w:val="00C079B8"/>
    <w:rsid w:val="00C10037"/>
    <w:rsid w:val="00C115E1"/>
    <w:rsid w:val="00C123EA"/>
    <w:rsid w:val="00C12A49"/>
    <w:rsid w:val="00C133EE"/>
    <w:rsid w:val="00C149D0"/>
    <w:rsid w:val="00C2601E"/>
    <w:rsid w:val="00C26588"/>
    <w:rsid w:val="00C27DE9"/>
    <w:rsid w:val="00C32989"/>
    <w:rsid w:val="00C33388"/>
    <w:rsid w:val="00C35484"/>
    <w:rsid w:val="00C4173A"/>
    <w:rsid w:val="00C43CF9"/>
    <w:rsid w:val="00C47EDC"/>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85ED3"/>
    <w:rsid w:val="00C863C4"/>
    <w:rsid w:val="00C90DAB"/>
    <w:rsid w:val="00C920EA"/>
    <w:rsid w:val="00C93C3E"/>
    <w:rsid w:val="00C93CAE"/>
    <w:rsid w:val="00CA12E3"/>
    <w:rsid w:val="00CA1476"/>
    <w:rsid w:val="00CA4EFA"/>
    <w:rsid w:val="00CA6611"/>
    <w:rsid w:val="00CA6AE6"/>
    <w:rsid w:val="00CA782F"/>
    <w:rsid w:val="00CB187B"/>
    <w:rsid w:val="00CB2835"/>
    <w:rsid w:val="00CB3285"/>
    <w:rsid w:val="00CB4500"/>
    <w:rsid w:val="00CB451C"/>
    <w:rsid w:val="00CB4CE4"/>
    <w:rsid w:val="00CC0C72"/>
    <w:rsid w:val="00CC2BFD"/>
    <w:rsid w:val="00CC6F40"/>
    <w:rsid w:val="00CD3476"/>
    <w:rsid w:val="00CD402F"/>
    <w:rsid w:val="00CD64DF"/>
    <w:rsid w:val="00CE0736"/>
    <w:rsid w:val="00CE225F"/>
    <w:rsid w:val="00CE5A7A"/>
    <w:rsid w:val="00CE76B9"/>
    <w:rsid w:val="00CF27C4"/>
    <w:rsid w:val="00CF2F50"/>
    <w:rsid w:val="00CF4640"/>
    <w:rsid w:val="00CF6198"/>
    <w:rsid w:val="00D0260C"/>
    <w:rsid w:val="00D02919"/>
    <w:rsid w:val="00D04C61"/>
    <w:rsid w:val="00D05B8D"/>
    <w:rsid w:val="00D05B9B"/>
    <w:rsid w:val="00D065A2"/>
    <w:rsid w:val="00D079AA"/>
    <w:rsid w:val="00D07F00"/>
    <w:rsid w:val="00D1130F"/>
    <w:rsid w:val="00D17B72"/>
    <w:rsid w:val="00D22D98"/>
    <w:rsid w:val="00D24B11"/>
    <w:rsid w:val="00D3185C"/>
    <w:rsid w:val="00D3205F"/>
    <w:rsid w:val="00D3318E"/>
    <w:rsid w:val="00D33E72"/>
    <w:rsid w:val="00D35BD6"/>
    <w:rsid w:val="00D361B5"/>
    <w:rsid w:val="00D411A2"/>
    <w:rsid w:val="00D4606D"/>
    <w:rsid w:val="00D50B9C"/>
    <w:rsid w:val="00D513AF"/>
    <w:rsid w:val="00D52D73"/>
    <w:rsid w:val="00D52E58"/>
    <w:rsid w:val="00D557EB"/>
    <w:rsid w:val="00D56B20"/>
    <w:rsid w:val="00D578B3"/>
    <w:rsid w:val="00D618F4"/>
    <w:rsid w:val="00D63636"/>
    <w:rsid w:val="00D714CC"/>
    <w:rsid w:val="00D75EA7"/>
    <w:rsid w:val="00D76ECC"/>
    <w:rsid w:val="00D81ADF"/>
    <w:rsid w:val="00D81F21"/>
    <w:rsid w:val="00D864F2"/>
    <w:rsid w:val="00D943F8"/>
    <w:rsid w:val="00D95470"/>
    <w:rsid w:val="00D96B55"/>
    <w:rsid w:val="00DA2619"/>
    <w:rsid w:val="00DA4239"/>
    <w:rsid w:val="00DA588C"/>
    <w:rsid w:val="00DA65DE"/>
    <w:rsid w:val="00DB0B61"/>
    <w:rsid w:val="00DB1474"/>
    <w:rsid w:val="00DB2962"/>
    <w:rsid w:val="00DB4350"/>
    <w:rsid w:val="00DB52FB"/>
    <w:rsid w:val="00DC013B"/>
    <w:rsid w:val="00DC090B"/>
    <w:rsid w:val="00DC1679"/>
    <w:rsid w:val="00DC219B"/>
    <w:rsid w:val="00DC2CF1"/>
    <w:rsid w:val="00DC2DC7"/>
    <w:rsid w:val="00DC2EA0"/>
    <w:rsid w:val="00DC3A7C"/>
    <w:rsid w:val="00DC4FCF"/>
    <w:rsid w:val="00DC50E0"/>
    <w:rsid w:val="00DC6386"/>
    <w:rsid w:val="00DD1130"/>
    <w:rsid w:val="00DD1951"/>
    <w:rsid w:val="00DD487D"/>
    <w:rsid w:val="00DD4E83"/>
    <w:rsid w:val="00DD6628"/>
    <w:rsid w:val="00DD6945"/>
    <w:rsid w:val="00DD7688"/>
    <w:rsid w:val="00DE2D04"/>
    <w:rsid w:val="00DE3250"/>
    <w:rsid w:val="00DE523A"/>
    <w:rsid w:val="00DE6028"/>
    <w:rsid w:val="00DE6C85"/>
    <w:rsid w:val="00DE78A3"/>
    <w:rsid w:val="00DF0A6E"/>
    <w:rsid w:val="00DF1A71"/>
    <w:rsid w:val="00DF2837"/>
    <w:rsid w:val="00DF50FC"/>
    <w:rsid w:val="00DF68C7"/>
    <w:rsid w:val="00DF731A"/>
    <w:rsid w:val="00E01592"/>
    <w:rsid w:val="00E06B75"/>
    <w:rsid w:val="00E074D2"/>
    <w:rsid w:val="00E11332"/>
    <w:rsid w:val="00E11352"/>
    <w:rsid w:val="00E170DC"/>
    <w:rsid w:val="00E17546"/>
    <w:rsid w:val="00E210B5"/>
    <w:rsid w:val="00E225EE"/>
    <w:rsid w:val="00E24AD2"/>
    <w:rsid w:val="00E251EE"/>
    <w:rsid w:val="00E261B3"/>
    <w:rsid w:val="00E26818"/>
    <w:rsid w:val="00E27FFC"/>
    <w:rsid w:val="00E30B15"/>
    <w:rsid w:val="00E33237"/>
    <w:rsid w:val="00E40181"/>
    <w:rsid w:val="00E54950"/>
    <w:rsid w:val="00E55FB3"/>
    <w:rsid w:val="00E56A01"/>
    <w:rsid w:val="00E629A1"/>
    <w:rsid w:val="00E6794C"/>
    <w:rsid w:val="00E71591"/>
    <w:rsid w:val="00E71CEB"/>
    <w:rsid w:val="00E7474F"/>
    <w:rsid w:val="00E80DE3"/>
    <w:rsid w:val="00E82C55"/>
    <w:rsid w:val="00E8787E"/>
    <w:rsid w:val="00E9042A"/>
    <w:rsid w:val="00E92AC3"/>
    <w:rsid w:val="00EA2F6A"/>
    <w:rsid w:val="00EB00E0"/>
    <w:rsid w:val="00EB05D5"/>
    <w:rsid w:val="00EB0D98"/>
    <w:rsid w:val="00EB4BC7"/>
    <w:rsid w:val="00EB56B9"/>
    <w:rsid w:val="00EC059F"/>
    <w:rsid w:val="00EC1D99"/>
    <w:rsid w:val="00EC1F24"/>
    <w:rsid w:val="00EC22F6"/>
    <w:rsid w:val="00EC3DB9"/>
    <w:rsid w:val="00EC7AC5"/>
    <w:rsid w:val="00ED40C6"/>
    <w:rsid w:val="00ED5B9B"/>
    <w:rsid w:val="00ED69F0"/>
    <w:rsid w:val="00ED6BAD"/>
    <w:rsid w:val="00ED7447"/>
    <w:rsid w:val="00ED7762"/>
    <w:rsid w:val="00EE00D6"/>
    <w:rsid w:val="00EE11E7"/>
    <w:rsid w:val="00EE1488"/>
    <w:rsid w:val="00EE29AD"/>
    <w:rsid w:val="00EE3E24"/>
    <w:rsid w:val="00EE4D5D"/>
    <w:rsid w:val="00EE5131"/>
    <w:rsid w:val="00EF109B"/>
    <w:rsid w:val="00EF17E6"/>
    <w:rsid w:val="00EF201C"/>
    <w:rsid w:val="00EF238B"/>
    <w:rsid w:val="00EF2C72"/>
    <w:rsid w:val="00EF36AF"/>
    <w:rsid w:val="00EF59A3"/>
    <w:rsid w:val="00EF6675"/>
    <w:rsid w:val="00F005B7"/>
    <w:rsid w:val="00F0063D"/>
    <w:rsid w:val="00F00F9C"/>
    <w:rsid w:val="00F01E5F"/>
    <w:rsid w:val="00F024F3"/>
    <w:rsid w:val="00F02ABA"/>
    <w:rsid w:val="00F02B5D"/>
    <w:rsid w:val="00F0437A"/>
    <w:rsid w:val="00F101B8"/>
    <w:rsid w:val="00F11037"/>
    <w:rsid w:val="00F157B4"/>
    <w:rsid w:val="00F16F1B"/>
    <w:rsid w:val="00F22572"/>
    <w:rsid w:val="00F250A9"/>
    <w:rsid w:val="00F267AF"/>
    <w:rsid w:val="00F30FF4"/>
    <w:rsid w:val="00F3122E"/>
    <w:rsid w:val="00F32368"/>
    <w:rsid w:val="00F32AAA"/>
    <w:rsid w:val="00F331AD"/>
    <w:rsid w:val="00F35287"/>
    <w:rsid w:val="00F40A70"/>
    <w:rsid w:val="00F42FE1"/>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38BA"/>
    <w:rsid w:val="00F97919"/>
    <w:rsid w:val="00FA2C46"/>
    <w:rsid w:val="00FA3525"/>
    <w:rsid w:val="00FA5A53"/>
    <w:rsid w:val="00FB1F6E"/>
    <w:rsid w:val="00FB4769"/>
    <w:rsid w:val="00FB4CDA"/>
    <w:rsid w:val="00FB5512"/>
    <w:rsid w:val="00FB6481"/>
    <w:rsid w:val="00FB6D36"/>
    <w:rsid w:val="00FC0965"/>
    <w:rsid w:val="00FC0F81"/>
    <w:rsid w:val="00FC252F"/>
    <w:rsid w:val="00FC395C"/>
    <w:rsid w:val="00FC5E8E"/>
    <w:rsid w:val="00FC784F"/>
    <w:rsid w:val="00FD28CE"/>
    <w:rsid w:val="00FD3766"/>
    <w:rsid w:val="00FD3D05"/>
    <w:rsid w:val="00FD47C4"/>
    <w:rsid w:val="00FE2DCF"/>
    <w:rsid w:val="00FE3FA7"/>
    <w:rsid w:val="00FE4081"/>
    <w:rsid w:val="00FF2A4E"/>
    <w:rsid w:val="00FF2FCE"/>
    <w:rsid w:val="00FF3DDC"/>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99D9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217A35"/>
    <w:pPr>
      <w:spacing w:after="120" w:line="280" w:lineRule="atLeast"/>
    </w:pPr>
    <w:rPr>
      <w:rFonts w:ascii="Arial" w:hAnsi="Arial"/>
      <w:sz w:val="21"/>
      <w:lang w:eastAsia="en-US"/>
    </w:rPr>
  </w:style>
  <w:style w:type="paragraph" w:styleId="Heading1">
    <w:name w:val="heading 1"/>
    <w:next w:val="Body"/>
    <w:link w:val="Heading1Char"/>
    <w:uiPriority w:val="1"/>
    <w:qFormat/>
    <w:rsid w:val="00E9042A"/>
    <w:pPr>
      <w:keepNext/>
      <w:keepLines/>
      <w:spacing w:before="520" w:after="240" w:line="480" w:lineRule="atLeast"/>
      <w:outlineLvl w:val="0"/>
    </w:pPr>
    <w:rPr>
      <w:rFonts w:ascii="Arial" w:eastAsia="MS Gothic" w:hAnsi="Arial" w:cs="Arial"/>
      <w:bCs/>
      <w:color w:val="C5511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E9042A"/>
    <w:rPr>
      <w:rFonts w:ascii="Arial" w:eastAsia="MS Gothic" w:hAnsi="Arial" w:cs="Arial"/>
      <w:bCs/>
      <w:color w:val="C5511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305BDE"/>
    <w:pPr>
      <w:spacing w:after="240" w:line="560" w:lineRule="atLeast"/>
    </w:pPr>
    <w:rPr>
      <w:rFonts w:ascii="Arial" w:hAnsi="Arial"/>
      <w:b/>
      <w:color w:val="C5511A"/>
      <w:sz w:val="48"/>
      <w:szCs w:val="50"/>
      <w:lang w:eastAsia="en-US"/>
    </w:rPr>
  </w:style>
  <w:style w:type="character" w:styleId="FootnoteReference">
    <w:name w:val="footnote reference"/>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99"/>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10"/>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10"/>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9"/>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646253"/>
    <w:pPr>
      <w:spacing w:line="320" w:lineRule="atLeast"/>
    </w:pPr>
    <w:rPr>
      <w:color w:val="C5511A"/>
      <w:sz w:val="24"/>
    </w:rPr>
  </w:style>
  <w:style w:type="paragraph" w:customStyle="1" w:styleId="DHHSbody">
    <w:name w:val="DHHS body"/>
    <w:link w:val="DHHSbodyChar"/>
    <w:qFormat/>
    <w:rsid w:val="00925672"/>
    <w:pPr>
      <w:spacing w:after="120" w:line="270" w:lineRule="atLeast"/>
    </w:pPr>
    <w:rPr>
      <w:rFonts w:ascii="Arial" w:eastAsia="Times" w:hAnsi="Arial"/>
      <w:lang w:eastAsia="en-US"/>
    </w:rPr>
  </w:style>
  <w:style w:type="character" w:customStyle="1" w:styleId="DHHSbodyChar">
    <w:name w:val="DHHS body Char"/>
    <w:basedOn w:val="DefaultParagraphFont"/>
    <w:link w:val="DHHSbody"/>
    <w:rsid w:val="00925672"/>
    <w:rPr>
      <w:rFonts w:ascii="Arial" w:eastAsia="Times" w:hAnsi="Arial"/>
      <w:lang w:eastAsia="en-US"/>
    </w:rPr>
  </w:style>
  <w:style w:type="paragraph" w:customStyle="1" w:styleId="DHHSbullet1">
    <w:name w:val="DHHS bullet 1"/>
    <w:basedOn w:val="DHHSbody"/>
    <w:qFormat/>
    <w:rsid w:val="00925672"/>
    <w:pPr>
      <w:numPr>
        <w:numId w:val="12"/>
      </w:numPr>
      <w:tabs>
        <w:tab w:val="num" w:pos="360"/>
      </w:tabs>
      <w:spacing w:after="40"/>
      <w:ind w:left="0" w:firstLine="0"/>
    </w:pPr>
  </w:style>
  <w:style w:type="paragraph" w:customStyle="1" w:styleId="DHHSbullet2">
    <w:name w:val="DHHS bullet 2"/>
    <w:basedOn w:val="DHHSbody"/>
    <w:uiPriority w:val="2"/>
    <w:qFormat/>
    <w:rsid w:val="00925672"/>
    <w:pPr>
      <w:numPr>
        <w:ilvl w:val="2"/>
        <w:numId w:val="12"/>
      </w:numPr>
      <w:tabs>
        <w:tab w:val="num" w:pos="360"/>
      </w:tabs>
      <w:spacing w:after="40"/>
      <w:ind w:left="0" w:firstLine="0"/>
    </w:pPr>
  </w:style>
  <w:style w:type="paragraph" w:customStyle="1" w:styleId="DHHSbullet1lastline">
    <w:name w:val="DHHS bullet 1 last line"/>
    <w:basedOn w:val="DHHSbullet1"/>
    <w:qFormat/>
    <w:rsid w:val="00925672"/>
    <w:pPr>
      <w:numPr>
        <w:ilvl w:val="1"/>
      </w:numPr>
      <w:tabs>
        <w:tab w:val="num" w:pos="360"/>
      </w:tabs>
      <w:spacing w:after="120"/>
    </w:pPr>
  </w:style>
  <w:style w:type="paragraph" w:customStyle="1" w:styleId="DHHSbullet2lastline">
    <w:name w:val="DHHS bullet 2 last line"/>
    <w:basedOn w:val="DHHSbullet2"/>
    <w:uiPriority w:val="2"/>
    <w:qFormat/>
    <w:rsid w:val="00925672"/>
    <w:pPr>
      <w:numPr>
        <w:ilvl w:val="3"/>
      </w:numPr>
      <w:tabs>
        <w:tab w:val="num" w:pos="360"/>
      </w:tabs>
      <w:spacing w:after="120"/>
    </w:pPr>
  </w:style>
  <w:style w:type="paragraph" w:customStyle="1" w:styleId="DHHStablebullet">
    <w:name w:val="DHHS table bullet"/>
    <w:basedOn w:val="Normal"/>
    <w:uiPriority w:val="3"/>
    <w:qFormat/>
    <w:rsid w:val="00925672"/>
    <w:pPr>
      <w:numPr>
        <w:ilvl w:val="6"/>
        <w:numId w:val="12"/>
      </w:numPr>
      <w:spacing w:before="80" w:after="60" w:line="240" w:lineRule="auto"/>
    </w:pPr>
    <w:rPr>
      <w:sz w:val="20"/>
    </w:rPr>
  </w:style>
  <w:style w:type="paragraph" w:customStyle="1" w:styleId="DHHSbulletindent">
    <w:name w:val="DHHS bullet indent"/>
    <w:basedOn w:val="DHHSbody"/>
    <w:uiPriority w:val="4"/>
    <w:rsid w:val="00925672"/>
    <w:pPr>
      <w:numPr>
        <w:ilvl w:val="4"/>
        <w:numId w:val="12"/>
      </w:numPr>
      <w:tabs>
        <w:tab w:val="num" w:pos="360"/>
      </w:tabs>
      <w:spacing w:after="40"/>
      <w:ind w:left="0" w:firstLine="0"/>
    </w:pPr>
  </w:style>
  <w:style w:type="paragraph" w:customStyle="1" w:styleId="DHHSbulletindentlastline">
    <w:name w:val="DHHS bullet indent last line"/>
    <w:basedOn w:val="DHHSbody"/>
    <w:uiPriority w:val="4"/>
    <w:rsid w:val="00925672"/>
    <w:pPr>
      <w:numPr>
        <w:ilvl w:val="5"/>
        <w:numId w:val="12"/>
      </w:numPr>
      <w:tabs>
        <w:tab w:val="num" w:pos="360"/>
      </w:tabs>
      <w:ind w:left="0" w:firstLine="0"/>
    </w:pPr>
  </w:style>
  <w:style w:type="paragraph" w:styleId="ListParagraph">
    <w:name w:val="List Paragraph"/>
    <w:basedOn w:val="Normal"/>
    <w:uiPriority w:val="34"/>
    <w:qFormat/>
    <w:rsid w:val="00925672"/>
    <w:pPr>
      <w:spacing w:after="0" w:line="240" w:lineRule="auto"/>
      <w:ind w:left="720"/>
      <w:contextualSpacing/>
    </w:pPr>
    <w:rPr>
      <w:rFonts w:ascii="Cambria" w:hAnsi="Cambria"/>
      <w:sz w:val="20"/>
    </w:rPr>
  </w:style>
  <w:style w:type="paragraph" w:customStyle="1" w:styleId="Healthbody">
    <w:name w:val="Health body"/>
    <w:rsid w:val="00925672"/>
    <w:pPr>
      <w:spacing w:after="120" w:line="270" w:lineRule="atLeast"/>
    </w:pPr>
    <w:rPr>
      <w:rFonts w:ascii="Arial" w:eastAsia="MS Mincho" w:hAnsi="Arial"/>
      <w:szCs w:val="24"/>
      <w:lang w:eastAsia="en-US"/>
    </w:rPr>
  </w:style>
  <w:style w:type="paragraph" w:styleId="NormalWeb">
    <w:name w:val="Normal (Web)"/>
    <w:basedOn w:val="Normal"/>
    <w:uiPriority w:val="99"/>
    <w:unhideWhenUsed/>
    <w:rsid w:val="006F72A1"/>
    <w:pPr>
      <w:spacing w:before="100" w:beforeAutospacing="1" w:after="100" w:afterAutospacing="1" w:line="240" w:lineRule="auto"/>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621427713">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0411768">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legislation.vic.gov.au/in-force/statutory-rules/drugs-poisons-and-controlled-substances-regulations-2017/006" TargetMode="External"/><Relationship Id="rId18" Type="http://schemas.openxmlformats.org/officeDocument/2006/relationships/hyperlink" Target="https://www.health.vic.gov.au/publications/patient-delivered-partner-therapy-clinical-guidelines" TargetMode="External"/><Relationship Id="rId26" Type="http://schemas.openxmlformats.org/officeDocument/2006/relationships/hyperlink" Target="https://www.health.vic.gov.au/publications/patient-delivered-partner-therapy-clinical-guidelines" TargetMode="External"/><Relationship Id="rId3" Type="http://schemas.openxmlformats.org/officeDocument/2006/relationships/settings" Target="settings.xml"/><Relationship Id="rId21" Type="http://schemas.openxmlformats.org/officeDocument/2006/relationships/hyperlink" Target="https://sti.guidelines.org.au/" TargetMode="External"/><Relationship Id="rId7" Type="http://schemas.openxmlformats.org/officeDocument/2006/relationships/image" Target="media/image1.jpg"/><Relationship Id="rId12" Type="http://schemas.openxmlformats.org/officeDocument/2006/relationships/hyperlink" Target="https://www.health.vic.gov.au/publications/patient-delivered-partner-therapy-clinical-guidelines" TargetMode="External"/><Relationship Id="rId17" Type="http://schemas.openxmlformats.org/officeDocument/2006/relationships/hyperlink" Target="https://www2.health.vic.gov.au/about/publications/policiesandguidelines/pdpt-clinical-guidelines" TargetMode="External"/><Relationship Id="rId25" Type="http://schemas.openxmlformats.org/officeDocument/2006/relationships/hyperlink" Target="https://www.health.vic.gov.au/publications/patient-delivered-partner-therapy-clinical-guidelines" TargetMode="External"/><Relationship Id="rId2" Type="http://schemas.openxmlformats.org/officeDocument/2006/relationships/styles" Target="styles.xml"/><Relationship Id="rId16" Type="http://schemas.openxmlformats.org/officeDocument/2006/relationships/hyperlink" Target="https://sti.guidelines.org.au/standard-asymptomatic-checkup/" TargetMode="External"/><Relationship Id="rId20" Type="http://schemas.openxmlformats.org/officeDocument/2006/relationships/hyperlink" Target="https://www.legislation.vic.gov.au/in-force/statutory-rules/drugs-poisons-and-controlled-substances-regulations-2017/006" TargetMode="Externa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bvsti.information@health.vic.gov.au" TargetMode="External"/><Relationship Id="rId24" Type="http://schemas.openxmlformats.org/officeDocument/2006/relationships/image" Target="media/image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health.vic.gov.au/publications/patient-delivered-partner-therapy-clinical-guidelines" TargetMode="External"/><Relationship Id="rId23" Type="http://schemas.openxmlformats.org/officeDocument/2006/relationships/hyperlink" Target="http://contacttracing.ashm.org.au/" TargetMode="External"/><Relationship Id="rId28" Type="http://schemas.openxmlformats.org/officeDocument/2006/relationships/header" Target="header2.xml"/><Relationship Id="rId10" Type="http://schemas.openxmlformats.org/officeDocument/2006/relationships/footer" Target="footer3.xml"/><Relationship Id="rId19" Type="http://schemas.openxmlformats.org/officeDocument/2006/relationships/hyperlink" Target="https://www.health.vic.gov.au/publications/all-reasonable-steps-and-other-key-terms-requirements-for-health-practitioners"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www.health.vic.gov.au/publications/patient-delivered-partner-therapy-clinical-guidelines" TargetMode="External"/><Relationship Id="rId22" Type="http://schemas.openxmlformats.org/officeDocument/2006/relationships/hyperlink" Target="http://contacttracing.ashm.org.au/" TargetMode="External"/><Relationship Id="rId27" Type="http://schemas.openxmlformats.org/officeDocument/2006/relationships/header" Target="header1.xml"/><Relationship Id="rId30"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s://www.health.vic.gov.au/infectious-diseases/infectious-diseases-surveillance-in-victor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3923</Words>
  <Characters>22367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Victorian guidance on patient delivered partner therapy (PDPT) for chlamydia</vt:lpstr>
    </vt:vector>
  </TitlesOfParts>
  <Manager/>
  <Company/>
  <LinksUpToDate>false</LinksUpToDate>
  <CharactersWithSpaces>26238</CharactersWithSpaces>
  <SharedDoc>false</SharedDoc>
  <HyperlinkBase/>
  <HLinks>
    <vt:vector size="162" baseType="variant">
      <vt:variant>
        <vt:i4>3801188</vt:i4>
      </vt:variant>
      <vt:variant>
        <vt:i4>120</vt:i4>
      </vt:variant>
      <vt:variant>
        <vt:i4>0</vt:i4>
      </vt:variant>
      <vt:variant>
        <vt:i4>5</vt:i4>
      </vt:variant>
      <vt:variant>
        <vt:lpwstr>http://contacttracing.ashm.org.au/</vt:lpwstr>
      </vt:variant>
      <vt:variant>
        <vt:lpwstr/>
      </vt:variant>
      <vt:variant>
        <vt:i4>7143482</vt:i4>
      </vt:variant>
      <vt:variant>
        <vt:i4>117</vt:i4>
      </vt:variant>
      <vt:variant>
        <vt:i4>0</vt:i4>
      </vt:variant>
      <vt:variant>
        <vt:i4>5</vt:i4>
      </vt:variant>
      <vt:variant>
        <vt:lpwstr>https://sti.guidelines.org.au/</vt:lpwstr>
      </vt:variant>
      <vt:variant>
        <vt:lpwstr/>
      </vt:variant>
      <vt:variant>
        <vt:i4>3801188</vt:i4>
      </vt:variant>
      <vt:variant>
        <vt:i4>114</vt:i4>
      </vt:variant>
      <vt:variant>
        <vt:i4>0</vt:i4>
      </vt:variant>
      <vt:variant>
        <vt:i4>5</vt:i4>
      </vt:variant>
      <vt:variant>
        <vt:lpwstr>http://contacttracing.ashm.org.au/</vt:lpwstr>
      </vt:variant>
      <vt:variant>
        <vt:lpwstr/>
      </vt:variant>
      <vt:variant>
        <vt:i4>7143482</vt:i4>
      </vt:variant>
      <vt:variant>
        <vt:i4>111</vt:i4>
      </vt:variant>
      <vt:variant>
        <vt:i4>0</vt:i4>
      </vt:variant>
      <vt:variant>
        <vt:i4>5</vt:i4>
      </vt:variant>
      <vt:variant>
        <vt:lpwstr>https://sti.guidelines.org.au/</vt:lpwstr>
      </vt:variant>
      <vt:variant>
        <vt:lpwstr/>
      </vt:variant>
      <vt:variant>
        <vt:i4>6029396</vt:i4>
      </vt:variant>
      <vt:variant>
        <vt:i4>108</vt:i4>
      </vt:variant>
      <vt:variant>
        <vt:i4>0</vt:i4>
      </vt:variant>
      <vt:variant>
        <vt:i4>5</vt:i4>
      </vt:variant>
      <vt:variant>
        <vt:lpwstr>https://www.legislation.vic.gov.au/in-force/statutory-rules/drugs-poisons-and-controlled-substances-regulations-2017/006</vt:lpwstr>
      </vt:variant>
      <vt:variant>
        <vt:lpwstr/>
      </vt:variant>
      <vt:variant>
        <vt:i4>4194325</vt:i4>
      </vt:variant>
      <vt:variant>
        <vt:i4>105</vt:i4>
      </vt:variant>
      <vt:variant>
        <vt:i4>0</vt:i4>
      </vt:variant>
      <vt:variant>
        <vt:i4>5</vt:i4>
      </vt:variant>
      <vt:variant>
        <vt:lpwstr>https://www.health.vic.gov.au/publications/all-reasonable-steps-and-other-key-terms-requirements-for-health-practitioners</vt:lpwstr>
      </vt:variant>
      <vt:variant>
        <vt:lpwstr/>
      </vt:variant>
      <vt:variant>
        <vt:i4>5832791</vt:i4>
      </vt:variant>
      <vt:variant>
        <vt:i4>102</vt:i4>
      </vt:variant>
      <vt:variant>
        <vt:i4>0</vt:i4>
      </vt:variant>
      <vt:variant>
        <vt:i4>5</vt:i4>
      </vt:variant>
      <vt:variant>
        <vt:lpwstr>https://www2.health.vic.gov.au/about/publications/policiesandguidelines/pdpt-clinical-guidelines</vt:lpwstr>
      </vt:variant>
      <vt:variant>
        <vt:lpwstr/>
      </vt:variant>
      <vt:variant>
        <vt:i4>65566</vt:i4>
      </vt:variant>
      <vt:variant>
        <vt:i4>99</vt:i4>
      </vt:variant>
      <vt:variant>
        <vt:i4>0</vt:i4>
      </vt:variant>
      <vt:variant>
        <vt:i4>5</vt:i4>
      </vt:variant>
      <vt:variant>
        <vt:lpwstr>https://sti.guidelines.org.au/standard-asymptomatic-checkup/</vt:lpwstr>
      </vt:variant>
      <vt:variant>
        <vt:lpwstr/>
      </vt:variant>
      <vt:variant>
        <vt:i4>6029396</vt:i4>
      </vt:variant>
      <vt:variant>
        <vt:i4>96</vt:i4>
      </vt:variant>
      <vt:variant>
        <vt:i4>0</vt:i4>
      </vt:variant>
      <vt:variant>
        <vt:i4>5</vt:i4>
      </vt:variant>
      <vt:variant>
        <vt:lpwstr>https://www.legislation.vic.gov.au/in-force/statutory-rules/drugs-poisons-and-controlled-substances-regulations-2017/006</vt:lpwstr>
      </vt:variant>
      <vt:variant>
        <vt:lpwstr/>
      </vt:variant>
      <vt:variant>
        <vt:i4>1376304</vt:i4>
      </vt:variant>
      <vt:variant>
        <vt:i4>89</vt:i4>
      </vt:variant>
      <vt:variant>
        <vt:i4>0</vt:i4>
      </vt:variant>
      <vt:variant>
        <vt:i4>5</vt:i4>
      </vt:variant>
      <vt:variant>
        <vt:lpwstr/>
      </vt:variant>
      <vt:variant>
        <vt:lpwstr>_Toc106144373</vt:lpwstr>
      </vt:variant>
      <vt:variant>
        <vt:i4>1376304</vt:i4>
      </vt:variant>
      <vt:variant>
        <vt:i4>83</vt:i4>
      </vt:variant>
      <vt:variant>
        <vt:i4>0</vt:i4>
      </vt:variant>
      <vt:variant>
        <vt:i4>5</vt:i4>
      </vt:variant>
      <vt:variant>
        <vt:lpwstr/>
      </vt:variant>
      <vt:variant>
        <vt:lpwstr>_Toc106144372</vt:lpwstr>
      </vt:variant>
      <vt:variant>
        <vt:i4>1376304</vt:i4>
      </vt:variant>
      <vt:variant>
        <vt:i4>77</vt:i4>
      </vt:variant>
      <vt:variant>
        <vt:i4>0</vt:i4>
      </vt:variant>
      <vt:variant>
        <vt:i4>5</vt:i4>
      </vt:variant>
      <vt:variant>
        <vt:lpwstr/>
      </vt:variant>
      <vt:variant>
        <vt:lpwstr>_Toc106144371</vt:lpwstr>
      </vt:variant>
      <vt:variant>
        <vt:i4>1376304</vt:i4>
      </vt:variant>
      <vt:variant>
        <vt:i4>71</vt:i4>
      </vt:variant>
      <vt:variant>
        <vt:i4>0</vt:i4>
      </vt:variant>
      <vt:variant>
        <vt:i4>5</vt:i4>
      </vt:variant>
      <vt:variant>
        <vt:lpwstr/>
      </vt:variant>
      <vt:variant>
        <vt:lpwstr>_Toc106144370</vt:lpwstr>
      </vt:variant>
      <vt:variant>
        <vt:i4>1310768</vt:i4>
      </vt:variant>
      <vt:variant>
        <vt:i4>65</vt:i4>
      </vt:variant>
      <vt:variant>
        <vt:i4>0</vt:i4>
      </vt:variant>
      <vt:variant>
        <vt:i4>5</vt:i4>
      </vt:variant>
      <vt:variant>
        <vt:lpwstr/>
      </vt:variant>
      <vt:variant>
        <vt:lpwstr>_Toc106144369</vt:lpwstr>
      </vt:variant>
      <vt:variant>
        <vt:i4>1310768</vt:i4>
      </vt:variant>
      <vt:variant>
        <vt:i4>59</vt:i4>
      </vt:variant>
      <vt:variant>
        <vt:i4>0</vt:i4>
      </vt:variant>
      <vt:variant>
        <vt:i4>5</vt:i4>
      </vt:variant>
      <vt:variant>
        <vt:lpwstr/>
      </vt:variant>
      <vt:variant>
        <vt:lpwstr>_Toc106144368</vt:lpwstr>
      </vt:variant>
      <vt:variant>
        <vt:i4>1310768</vt:i4>
      </vt:variant>
      <vt:variant>
        <vt:i4>53</vt:i4>
      </vt:variant>
      <vt:variant>
        <vt:i4>0</vt:i4>
      </vt:variant>
      <vt:variant>
        <vt:i4>5</vt:i4>
      </vt:variant>
      <vt:variant>
        <vt:lpwstr/>
      </vt:variant>
      <vt:variant>
        <vt:lpwstr>_Toc106144367</vt:lpwstr>
      </vt:variant>
      <vt:variant>
        <vt:i4>1310768</vt:i4>
      </vt:variant>
      <vt:variant>
        <vt:i4>47</vt:i4>
      </vt:variant>
      <vt:variant>
        <vt:i4>0</vt:i4>
      </vt:variant>
      <vt:variant>
        <vt:i4>5</vt:i4>
      </vt:variant>
      <vt:variant>
        <vt:lpwstr/>
      </vt:variant>
      <vt:variant>
        <vt:lpwstr>_Toc106144366</vt:lpwstr>
      </vt:variant>
      <vt:variant>
        <vt:i4>1310768</vt:i4>
      </vt:variant>
      <vt:variant>
        <vt:i4>41</vt:i4>
      </vt:variant>
      <vt:variant>
        <vt:i4>0</vt:i4>
      </vt:variant>
      <vt:variant>
        <vt:i4>5</vt:i4>
      </vt:variant>
      <vt:variant>
        <vt:lpwstr/>
      </vt:variant>
      <vt:variant>
        <vt:lpwstr>_Toc106144365</vt:lpwstr>
      </vt:variant>
      <vt:variant>
        <vt:i4>1310768</vt:i4>
      </vt:variant>
      <vt:variant>
        <vt:i4>35</vt:i4>
      </vt:variant>
      <vt:variant>
        <vt:i4>0</vt:i4>
      </vt:variant>
      <vt:variant>
        <vt:i4>5</vt:i4>
      </vt:variant>
      <vt:variant>
        <vt:lpwstr/>
      </vt:variant>
      <vt:variant>
        <vt:lpwstr>_Toc106144364</vt:lpwstr>
      </vt:variant>
      <vt:variant>
        <vt:i4>1310768</vt:i4>
      </vt:variant>
      <vt:variant>
        <vt:i4>29</vt:i4>
      </vt:variant>
      <vt:variant>
        <vt:i4>0</vt:i4>
      </vt:variant>
      <vt:variant>
        <vt:i4>5</vt:i4>
      </vt:variant>
      <vt:variant>
        <vt:lpwstr/>
      </vt:variant>
      <vt:variant>
        <vt:lpwstr>_Toc106144363</vt:lpwstr>
      </vt:variant>
      <vt:variant>
        <vt:i4>1310768</vt:i4>
      </vt:variant>
      <vt:variant>
        <vt:i4>23</vt:i4>
      </vt:variant>
      <vt:variant>
        <vt:i4>0</vt:i4>
      </vt:variant>
      <vt:variant>
        <vt:i4>5</vt:i4>
      </vt:variant>
      <vt:variant>
        <vt:lpwstr/>
      </vt:variant>
      <vt:variant>
        <vt:lpwstr>_Toc106144362</vt:lpwstr>
      </vt:variant>
      <vt:variant>
        <vt:i4>1310768</vt:i4>
      </vt:variant>
      <vt:variant>
        <vt:i4>17</vt:i4>
      </vt:variant>
      <vt:variant>
        <vt:i4>0</vt:i4>
      </vt:variant>
      <vt:variant>
        <vt:i4>5</vt:i4>
      </vt:variant>
      <vt:variant>
        <vt:lpwstr/>
      </vt:variant>
      <vt:variant>
        <vt:lpwstr>_Toc106144361</vt:lpwstr>
      </vt:variant>
      <vt:variant>
        <vt:i4>1310768</vt:i4>
      </vt:variant>
      <vt:variant>
        <vt:i4>11</vt:i4>
      </vt:variant>
      <vt:variant>
        <vt:i4>0</vt:i4>
      </vt:variant>
      <vt:variant>
        <vt:i4>5</vt:i4>
      </vt:variant>
      <vt:variant>
        <vt:lpwstr/>
      </vt:variant>
      <vt:variant>
        <vt:lpwstr>_Toc106144360</vt:lpwstr>
      </vt:variant>
      <vt:variant>
        <vt:i4>5505096</vt:i4>
      </vt:variant>
      <vt:variant>
        <vt:i4>6</vt:i4>
      </vt:variant>
      <vt:variant>
        <vt:i4>0</vt:i4>
      </vt:variant>
      <vt:variant>
        <vt:i4>5</vt:i4>
      </vt:variant>
      <vt:variant>
        <vt:lpwstr>https://www.health.vic.gov.au/publications/patient-delivered-partner-therapy-clinical-guidelines</vt:lpwstr>
      </vt:variant>
      <vt:variant>
        <vt:lpwstr/>
      </vt:variant>
      <vt:variant>
        <vt:i4>2031740</vt:i4>
      </vt:variant>
      <vt:variant>
        <vt:i4>3</vt:i4>
      </vt:variant>
      <vt:variant>
        <vt:i4>0</vt:i4>
      </vt:variant>
      <vt:variant>
        <vt:i4>5</vt:i4>
      </vt:variant>
      <vt:variant>
        <vt:lpwstr>mailto:bbvsti.information@health.vic.gov.au</vt:lpwstr>
      </vt:variant>
      <vt:variant>
        <vt:lpwstr/>
      </vt:variant>
      <vt:variant>
        <vt:i4>2490426</vt:i4>
      </vt:variant>
      <vt:variant>
        <vt:i4>0</vt:i4>
      </vt:variant>
      <vt:variant>
        <vt:i4>0</vt:i4>
      </vt:variant>
      <vt:variant>
        <vt:i4>5</vt:i4>
      </vt:variant>
      <vt:variant>
        <vt:lpwstr>https://www.health.vic.gov.au/infectious-diseases/infectious-diseases-surveillance-in-victoria</vt:lpwstr>
      </vt:variant>
      <vt:variant>
        <vt:lpwstr/>
      </vt:variant>
      <vt:variant>
        <vt:i4>65566</vt:i4>
      </vt:variant>
      <vt:variant>
        <vt:i4>0</vt:i4>
      </vt:variant>
      <vt:variant>
        <vt:i4>0</vt:i4>
      </vt:variant>
      <vt:variant>
        <vt:i4>5</vt:i4>
      </vt:variant>
      <vt:variant>
        <vt:lpwstr>https://sti.guidelines.org.au/standard-asymptomatic-checkup/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guidance on patient delivered partner therapy (PDPT) for chlamydia</dc:title>
  <dc:subject/>
  <dc:creator/>
  <cp:keywords/>
  <dc:description/>
  <cp:lastModifiedBy/>
  <cp:revision>1</cp:revision>
  <dcterms:created xsi:type="dcterms:W3CDTF">2022-07-22T01:17:00Z</dcterms:created>
  <dcterms:modified xsi:type="dcterms:W3CDTF">2022-07-22T02:00:00Z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e64453-338c-4f93-8a4d-0039a0a41f2a_Enabled">
    <vt:lpwstr>true</vt:lpwstr>
  </property>
  <property fmtid="{D5CDD505-2E9C-101B-9397-08002B2CF9AE}" pid="3" name="MSIP_Label_43e64453-338c-4f93-8a4d-0039a0a41f2a_SetDate">
    <vt:lpwstr>2022-07-22T01:21:39Z</vt:lpwstr>
  </property>
  <property fmtid="{D5CDD505-2E9C-101B-9397-08002B2CF9AE}" pid="4" name="MSIP_Label_43e64453-338c-4f93-8a4d-0039a0a41f2a_Method">
    <vt:lpwstr>Privileged</vt:lpwstr>
  </property>
  <property fmtid="{D5CDD505-2E9C-101B-9397-08002B2CF9AE}" pid="5" name="MSIP_Label_43e64453-338c-4f93-8a4d-0039a0a41f2a_Name">
    <vt:lpwstr>43e64453-338c-4f93-8a4d-0039a0a41f2a</vt:lpwstr>
  </property>
  <property fmtid="{D5CDD505-2E9C-101B-9397-08002B2CF9AE}" pid="6" name="MSIP_Label_43e64453-338c-4f93-8a4d-0039a0a41f2a_SiteId">
    <vt:lpwstr>c0e0601f-0fac-449c-9c88-a104c4eb9f28</vt:lpwstr>
  </property>
  <property fmtid="{D5CDD505-2E9C-101B-9397-08002B2CF9AE}" pid="7" name="MSIP_Label_43e64453-338c-4f93-8a4d-0039a0a41f2a_ActionId">
    <vt:lpwstr>cb39d82c-8a6a-4bec-a67a-d862df76267a</vt:lpwstr>
  </property>
  <property fmtid="{D5CDD505-2E9C-101B-9397-08002B2CF9AE}" pid="8" name="MSIP_Label_43e64453-338c-4f93-8a4d-0039a0a41f2a_ContentBits">
    <vt:lpwstr>2</vt:lpwstr>
  </property>
</Properties>
</file>