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8F7D1" w14:textId="7EE15320" w:rsidR="00742D07" w:rsidRPr="003072C6" w:rsidRDefault="005C4675" w:rsidP="00CC373D">
      <w:pPr>
        <w:pStyle w:val="DHHSreportmaintitlecover"/>
        <w:ind w:left="720"/>
        <w:rPr>
          <w:rFonts w:eastAsia="Arial" w:cs="Arial"/>
          <w:color w:val="FFFFFF" w:themeColor="background1"/>
        </w:rPr>
      </w:pPr>
      <w:bookmarkStart w:id="0" w:name="_Hlk54276198"/>
      <w:bookmarkEnd w:id="0"/>
      <w:r>
        <w:rPr>
          <w:noProof/>
        </w:rPr>
        <w:drawing>
          <wp:anchor distT="0" distB="0" distL="114300" distR="114300" simplePos="0" relativeHeight="251658240" behindDoc="1" locked="0" layoutInCell="0" allowOverlap="1" wp14:anchorId="236696E2" wp14:editId="31B712A7">
            <wp:simplePos x="0" y="0"/>
            <wp:positionH relativeFrom="page">
              <wp:posOffset>0</wp:posOffset>
            </wp:positionH>
            <wp:positionV relativeFrom="page">
              <wp:posOffset>-15875</wp:posOffset>
            </wp:positionV>
            <wp:extent cx="7563600" cy="10698120"/>
            <wp:effectExtent l="0" t="0" r="0" b="8255"/>
            <wp:wrapNone/>
            <wp:docPr id="2" name="Picture 99"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ictoria State Government Department of Health and Human Services"/>
                    <pic:cNvPicPr>
                      <a:picLocks noChangeAspect="1" noChangeArrowheads="1"/>
                    </pic:cNvPicPr>
                  </pic:nvPicPr>
                  <pic:blipFill>
                    <a:blip r:embed="rId11"/>
                    <a:stretch>
                      <a:fillRect/>
                    </a:stretch>
                  </pic:blipFill>
                  <pic:spPr bwMode="auto">
                    <a:xfrm>
                      <a:off x="0" y="0"/>
                      <a:ext cx="7563600" cy="10698120"/>
                    </a:xfrm>
                    <a:prstGeom prst="rect">
                      <a:avLst/>
                    </a:prstGeom>
                    <a:noFill/>
                    <a:ln>
                      <a:noFill/>
                    </a:ln>
                  </pic:spPr>
                </pic:pic>
              </a:graphicData>
            </a:graphic>
            <wp14:sizeRelH relativeFrom="page">
              <wp14:pctWidth>0</wp14:pctWidth>
            </wp14:sizeRelH>
            <wp14:sizeRelV relativeFrom="page">
              <wp14:pctHeight>0</wp14:pctHeight>
            </wp14:sizeRelV>
          </wp:anchor>
        </w:drawing>
      </w:r>
      <w:r w:rsidR="00434FA6">
        <w:rPr>
          <w:noProof/>
        </w:rPr>
        <w:t xml:space="preserve">Victoria’s </w:t>
      </w:r>
      <w:r w:rsidR="000E1877">
        <w:rPr>
          <w:noProof/>
        </w:rPr>
        <w:t>m</w:t>
      </w:r>
      <w:r w:rsidR="67E17016">
        <w:rPr>
          <w:noProof/>
        </w:rPr>
        <w:t xml:space="preserve">ental </w:t>
      </w:r>
      <w:r w:rsidR="000E1877">
        <w:rPr>
          <w:noProof/>
        </w:rPr>
        <w:t>h</w:t>
      </w:r>
      <w:r w:rsidR="67E17016">
        <w:rPr>
          <w:noProof/>
        </w:rPr>
        <w:t xml:space="preserve">ealth </w:t>
      </w:r>
      <w:r w:rsidR="000E1877">
        <w:rPr>
          <w:noProof/>
        </w:rPr>
        <w:t xml:space="preserve">services </w:t>
      </w:r>
      <w:r w:rsidR="00894D3B">
        <w:rPr>
          <w:noProof/>
        </w:rPr>
        <w:br/>
      </w:r>
      <w:r w:rsidR="000E1877">
        <w:rPr>
          <w:noProof/>
        </w:rPr>
        <w:t>a</w:t>
      </w:r>
      <w:r w:rsidR="67E17016">
        <w:rPr>
          <w:noProof/>
        </w:rPr>
        <w:t xml:space="preserve">nnual </w:t>
      </w:r>
      <w:r w:rsidR="000E1877">
        <w:rPr>
          <w:noProof/>
        </w:rPr>
        <w:t>r</w:t>
      </w:r>
      <w:r w:rsidR="67E17016">
        <w:rPr>
          <w:noProof/>
        </w:rPr>
        <w:t>eport</w:t>
      </w:r>
      <w:r w:rsidR="00894D3B">
        <w:rPr>
          <w:noProof/>
        </w:rPr>
        <w:t xml:space="preserve"> </w:t>
      </w:r>
      <w:r w:rsidR="00E06100">
        <w:t>2019</w:t>
      </w:r>
      <w:r w:rsidR="00894D3B">
        <w:t>–</w:t>
      </w:r>
      <w:r w:rsidR="00E06100">
        <w:t xml:space="preserve">20 </w:t>
      </w:r>
    </w:p>
    <w:p w14:paraId="3847CC17" w14:textId="77777777" w:rsidR="0069374A" w:rsidRPr="00256E7C" w:rsidRDefault="0069374A" w:rsidP="00256E7C">
      <w:pPr>
        <w:pStyle w:val="DHHSbody"/>
      </w:pPr>
    </w:p>
    <w:p w14:paraId="1979F4E8" w14:textId="77777777" w:rsidR="00C51B1C" w:rsidRPr="00256E7C" w:rsidRDefault="00C51B1C" w:rsidP="00256E7C">
      <w:pPr>
        <w:pStyle w:val="DHHSbody"/>
        <w:sectPr w:rsidR="00C51B1C" w:rsidRPr="00256E7C" w:rsidSect="00A94D93">
          <w:headerReference w:type="even" r:id="rId12"/>
          <w:headerReference w:type="default" r:id="rId13"/>
          <w:footerReference w:type="even" r:id="rId14"/>
          <w:footerReference w:type="default" r:id="rId15"/>
          <w:headerReference w:type="first" r:id="rId16"/>
          <w:footerReference w:type="first" r:id="rId17"/>
          <w:type w:val="oddPage"/>
          <w:pgSz w:w="11906" w:h="16838"/>
          <w:pgMar w:top="3969" w:right="1304" w:bottom="1134" w:left="1304" w:header="454" w:footer="567" w:gutter="0"/>
          <w:cols w:space="720"/>
          <w:docGrid w:linePitch="360"/>
        </w:sectPr>
      </w:pPr>
    </w:p>
    <w:p w14:paraId="0DFBE0EA" w14:textId="77777777" w:rsidR="006A18B6" w:rsidRPr="00C03CBF" w:rsidRDefault="006A18B6" w:rsidP="006A18B6">
      <w:pPr>
        <w:pStyle w:val="DHHSbody"/>
        <w:rPr>
          <w:rFonts w:eastAsia="Times New Roman"/>
          <w:color w:val="D50032"/>
          <w:sz w:val="24"/>
          <w:szCs w:val="24"/>
        </w:rPr>
      </w:pPr>
    </w:p>
    <w:p w14:paraId="12F039EB" w14:textId="77777777" w:rsidR="006A18B6" w:rsidRDefault="006A18B6" w:rsidP="006A18B6">
      <w:pPr>
        <w:pStyle w:val="DHHSbody"/>
        <w:sectPr w:rsidR="006A18B6" w:rsidSect="00742D07">
          <w:pgSz w:w="11906" w:h="16838" w:code="9"/>
          <w:pgMar w:top="1701" w:right="1304" w:bottom="1418" w:left="1304" w:header="851" w:footer="851" w:gutter="0"/>
          <w:cols w:space="720"/>
          <w:docGrid w:linePitch="360"/>
        </w:sectPr>
      </w:pPr>
    </w:p>
    <w:p w14:paraId="567F0AF6" w14:textId="253EFAC6" w:rsidR="00742D07" w:rsidRPr="003072C6" w:rsidRDefault="000E1877" w:rsidP="000E1877">
      <w:pPr>
        <w:pStyle w:val="DHHSreportmaintitle"/>
      </w:pPr>
      <w:r>
        <w:lastRenderedPageBreak/>
        <w:t>Victoria’s m</w:t>
      </w:r>
      <w:r w:rsidR="00E06100">
        <w:t xml:space="preserve">ental </w:t>
      </w:r>
      <w:r>
        <w:t>h</w:t>
      </w:r>
      <w:r w:rsidR="00E06100">
        <w:t xml:space="preserve">ealth </w:t>
      </w:r>
      <w:r>
        <w:t>services a</w:t>
      </w:r>
      <w:r w:rsidR="00E06100">
        <w:t xml:space="preserve">nnual </w:t>
      </w:r>
      <w:r>
        <w:t>r</w:t>
      </w:r>
      <w:r w:rsidR="00E06100">
        <w:t>eport</w:t>
      </w:r>
      <w:r>
        <w:t xml:space="preserve"> </w:t>
      </w:r>
      <w:r w:rsidR="00E06100">
        <w:t>2019</w:t>
      </w:r>
      <w:r w:rsidR="00894D3B">
        <w:t>–</w:t>
      </w:r>
      <w:r w:rsidR="00017FC6">
        <w:t>20</w:t>
      </w:r>
    </w:p>
    <w:p w14:paraId="62D46C03" w14:textId="77777777" w:rsidR="00AC0C3B" w:rsidRPr="003072C6" w:rsidRDefault="00C81BA6" w:rsidP="00CA6D4E">
      <w:pPr>
        <w:pStyle w:val="DHHSbodynospace"/>
      </w:pPr>
      <w:r w:rsidRPr="003072C6">
        <w:br w:type="page"/>
      </w:r>
    </w:p>
    <w:p w14:paraId="46D77523" w14:textId="77777777" w:rsidR="00E51F81" w:rsidRPr="00CE4B25" w:rsidRDefault="00E51F81" w:rsidP="00E51F81">
      <w:pPr>
        <w:pStyle w:val="DHHSbody"/>
        <w:rPr>
          <w:b/>
          <w:bCs/>
        </w:rPr>
      </w:pPr>
      <w:r w:rsidRPr="00CE4B25">
        <w:rPr>
          <w:b/>
          <w:bCs/>
        </w:rPr>
        <w:lastRenderedPageBreak/>
        <w:t>To: Minister for Mental Health</w:t>
      </w:r>
    </w:p>
    <w:p w14:paraId="52B59E59" w14:textId="77777777" w:rsidR="00E51F81" w:rsidRPr="00023F8D" w:rsidRDefault="00E51F81" w:rsidP="00E51F81">
      <w:pPr>
        <w:pStyle w:val="DHHSbody"/>
      </w:pPr>
    </w:p>
    <w:p w14:paraId="1C88A5FC" w14:textId="77777777" w:rsidR="00E51F81" w:rsidRPr="00023F8D" w:rsidRDefault="00E51F81" w:rsidP="00E51F81">
      <w:pPr>
        <w:pStyle w:val="DHHSbody"/>
      </w:pPr>
      <w:r w:rsidRPr="00023F8D">
        <w:t>Dear Minister</w:t>
      </w:r>
    </w:p>
    <w:p w14:paraId="41546C5E" w14:textId="1EB93921" w:rsidR="00E51F81" w:rsidRPr="00023F8D" w:rsidRDefault="00E51F81" w:rsidP="00E51F81">
      <w:pPr>
        <w:pStyle w:val="DHHSbody"/>
      </w:pPr>
      <w:r w:rsidRPr="00023F8D">
        <w:t xml:space="preserve">In accordance with </w:t>
      </w:r>
      <w:r w:rsidR="00C21D99">
        <w:t>s.</w:t>
      </w:r>
      <w:r w:rsidR="00C21D99" w:rsidRPr="00023F8D">
        <w:t xml:space="preserve"> </w:t>
      </w:r>
      <w:r w:rsidRPr="00023F8D">
        <w:t xml:space="preserve">118(2) of the </w:t>
      </w:r>
      <w:r w:rsidRPr="00023F8D">
        <w:rPr>
          <w:i/>
        </w:rPr>
        <w:t>Mental Health Act 2014</w:t>
      </w:r>
      <w:r w:rsidRPr="00023F8D">
        <w:t xml:space="preserve">, I am pleased to submit to you </w:t>
      </w:r>
      <w:r w:rsidRPr="00023F8D">
        <w:rPr>
          <w:i/>
        </w:rPr>
        <w:t>Victoria’s</w:t>
      </w:r>
      <w:r w:rsidRPr="00023F8D">
        <w:t xml:space="preserve"> </w:t>
      </w:r>
      <w:r>
        <w:rPr>
          <w:i/>
        </w:rPr>
        <w:t>m</w:t>
      </w:r>
      <w:r w:rsidRPr="00023F8D">
        <w:rPr>
          <w:i/>
        </w:rPr>
        <w:t xml:space="preserve">ental </w:t>
      </w:r>
      <w:r>
        <w:rPr>
          <w:i/>
        </w:rPr>
        <w:t>h</w:t>
      </w:r>
      <w:r w:rsidRPr="00023F8D">
        <w:rPr>
          <w:i/>
        </w:rPr>
        <w:t xml:space="preserve">ealth </w:t>
      </w:r>
      <w:r>
        <w:rPr>
          <w:i/>
        </w:rPr>
        <w:t>s</w:t>
      </w:r>
      <w:r w:rsidRPr="00023F8D">
        <w:rPr>
          <w:i/>
        </w:rPr>
        <w:t xml:space="preserve">ervices </w:t>
      </w:r>
      <w:r>
        <w:rPr>
          <w:i/>
        </w:rPr>
        <w:t>a</w:t>
      </w:r>
      <w:r w:rsidRPr="00023F8D">
        <w:rPr>
          <w:i/>
        </w:rPr>
        <w:t xml:space="preserve">nnual </w:t>
      </w:r>
      <w:r>
        <w:rPr>
          <w:i/>
        </w:rPr>
        <w:t>r</w:t>
      </w:r>
      <w:r w:rsidRPr="00023F8D">
        <w:rPr>
          <w:i/>
        </w:rPr>
        <w:t>eport</w:t>
      </w:r>
      <w:r>
        <w:t xml:space="preserve"> for the period 1 July 2019 to 30 June 2020</w:t>
      </w:r>
      <w:r w:rsidRPr="00023F8D">
        <w:t>.</w:t>
      </w:r>
    </w:p>
    <w:p w14:paraId="5ECE3859" w14:textId="77777777" w:rsidR="00E51F81" w:rsidRPr="00023F8D" w:rsidRDefault="00E51F81" w:rsidP="00E51F81">
      <w:pPr>
        <w:pStyle w:val="DHHSbody"/>
      </w:pPr>
    </w:p>
    <w:p w14:paraId="2854A53F" w14:textId="77777777" w:rsidR="00E51F81" w:rsidRPr="00023F8D" w:rsidRDefault="00E51F81" w:rsidP="00E51F81">
      <w:pPr>
        <w:pStyle w:val="DHHSbodynospace"/>
      </w:pPr>
      <w:r w:rsidRPr="00023F8D">
        <w:t>Kym Peake</w:t>
      </w:r>
    </w:p>
    <w:p w14:paraId="52541F7A" w14:textId="77777777" w:rsidR="00E51F81" w:rsidRPr="00023F8D" w:rsidRDefault="00E51F81" w:rsidP="00E51F81">
      <w:pPr>
        <w:pStyle w:val="DHHSbodynospace"/>
      </w:pPr>
      <w:r w:rsidRPr="00023F8D">
        <w:t>Secretary</w:t>
      </w:r>
    </w:p>
    <w:p w14:paraId="00487101" w14:textId="77777777" w:rsidR="00E51F81" w:rsidRDefault="00E51F81" w:rsidP="00E51F81">
      <w:pPr>
        <w:pStyle w:val="DHHSbodynospace"/>
      </w:pPr>
      <w:r w:rsidRPr="00023F8D">
        <w:t>Department of Health and Human Services</w:t>
      </w:r>
    </w:p>
    <w:p w14:paraId="491BBBFD" w14:textId="77777777" w:rsidR="008C29BE" w:rsidRDefault="008C29BE" w:rsidP="007B48FE">
      <w:pPr>
        <w:pStyle w:val="DHHSbody"/>
      </w:pPr>
      <w:r>
        <w:br w:type="page"/>
      </w:r>
    </w:p>
    <w:p w14:paraId="532B0461" w14:textId="0A7A29CD" w:rsidR="009F5EF2" w:rsidRPr="004E5A5C" w:rsidRDefault="009F5EF2" w:rsidP="009F5EF2">
      <w:pPr>
        <w:pStyle w:val="DHHSaccessibilitypara"/>
      </w:pPr>
      <w:bookmarkStart w:id="1" w:name="_Hlk37240926"/>
      <w:r w:rsidRPr="004E5A5C">
        <w:lastRenderedPageBreak/>
        <w:t xml:space="preserve">To receive this </w:t>
      </w:r>
      <w:r>
        <w:t xml:space="preserve">document in another </w:t>
      </w:r>
      <w:r w:rsidRPr="004E5A5C">
        <w:t xml:space="preserve">format </w:t>
      </w:r>
      <w:r w:rsidR="00511AD6">
        <w:t xml:space="preserve">email </w:t>
      </w:r>
      <w:hyperlink r:id="rId18" w:history="1">
        <w:r w:rsidR="00511AD6" w:rsidRPr="00ED5E7D">
          <w:rPr>
            <w:rStyle w:val="Hyperlink"/>
          </w:rPr>
          <w:t>MHS Annual Report</w:t>
        </w:r>
      </w:hyperlink>
      <w:r w:rsidR="00511AD6">
        <w:t xml:space="preserve"> </w:t>
      </w:r>
      <w:r w:rsidR="00511AD6" w:rsidRPr="004E5A5C">
        <w:t>&lt;</w:t>
      </w:r>
      <w:r w:rsidR="00511AD6">
        <w:rPr>
          <w:rFonts w:eastAsia="Times New Roman"/>
          <w:lang w:val="en-US" w:eastAsia="en-AU"/>
        </w:rPr>
        <w:t>mhs.annualreport@dhhs.vic.gov.au</w:t>
      </w:r>
      <w:r w:rsidR="00511AD6" w:rsidRPr="004E5A5C">
        <w:t>&gt;.</w:t>
      </w:r>
      <w:r w:rsidRPr="004E5A5C">
        <w:t>.</w:t>
      </w:r>
    </w:p>
    <w:bookmarkEnd w:id="1"/>
    <w:p w14:paraId="3453ED68" w14:textId="77777777" w:rsidR="009F5EF2" w:rsidRPr="004E5A5C" w:rsidRDefault="009F5EF2" w:rsidP="009F5EF2">
      <w:pPr>
        <w:pStyle w:val="DHHSbody"/>
      </w:pPr>
      <w:r w:rsidRPr="004E5A5C">
        <w:t>Authorised and published by the Victorian Government, 1 Treasury Place, Melbourne.</w:t>
      </w:r>
    </w:p>
    <w:p w14:paraId="12C78567" w14:textId="7F048E61" w:rsidR="009F5EF2" w:rsidRPr="00894D3B" w:rsidRDefault="009F5EF2" w:rsidP="009F5EF2">
      <w:pPr>
        <w:pStyle w:val="DHHSbody"/>
      </w:pPr>
      <w:r w:rsidRPr="004E5A5C">
        <w:t xml:space="preserve">© State of Victoria, Australia, Department of Health and Human </w:t>
      </w:r>
      <w:r w:rsidRPr="00894D3B">
        <w:t xml:space="preserve">Services, </w:t>
      </w:r>
      <w:r w:rsidR="00894D3B" w:rsidRPr="00894D3B">
        <w:t>October 2020.</w:t>
      </w:r>
    </w:p>
    <w:p w14:paraId="68296B6A" w14:textId="0F8140CA" w:rsidR="009F5EF2" w:rsidRPr="00894D3B" w:rsidRDefault="009F5EF2" w:rsidP="009F5EF2">
      <w:pPr>
        <w:pStyle w:val="DHHSbody"/>
      </w:pPr>
      <w:r w:rsidRPr="00894D3B">
        <w:t>In this document, ‘Aboriginal’ refers to both Aboriginal and Torres Strait Islander people. ‘Indigenous’ is retained when part of the title of a report, program or quotation.</w:t>
      </w:r>
    </w:p>
    <w:p w14:paraId="0FD8931D" w14:textId="1463E0BA" w:rsidR="6F0E7DA9" w:rsidRDefault="6F0E7DA9" w:rsidP="11465FF0">
      <w:pPr>
        <w:pStyle w:val="DHHSbody"/>
      </w:pPr>
      <w:r w:rsidRPr="11465FF0">
        <w:t>ISSN 2206-5989</w:t>
      </w:r>
    </w:p>
    <w:p w14:paraId="2B1836B5" w14:textId="1B0F3974" w:rsidR="00894D3B" w:rsidRPr="00C00690" w:rsidRDefault="009F5EF2" w:rsidP="007B48FE">
      <w:pPr>
        <w:pStyle w:val="DHHSbody"/>
        <w:rPr>
          <w:color w:val="000000"/>
          <w:szCs w:val="19"/>
        </w:rPr>
      </w:pPr>
      <w:r w:rsidRPr="004E5A5C">
        <w:rPr>
          <w:szCs w:val="19"/>
        </w:rPr>
        <w:t>Available at</w:t>
      </w:r>
      <w:r w:rsidRPr="00C03CBF">
        <w:rPr>
          <w:color w:val="D50032"/>
        </w:rPr>
        <w:t xml:space="preserve"> </w:t>
      </w:r>
      <w:hyperlink r:id="rId19" w:history="1">
        <w:r w:rsidR="00511AD6" w:rsidRPr="004C1493">
          <w:rPr>
            <w:rStyle w:val="Hyperlink"/>
            <w:szCs w:val="19"/>
          </w:rPr>
          <w:t>the Mental Health Annual Report webpage</w:t>
        </w:r>
      </w:hyperlink>
      <w:r w:rsidR="00511AD6">
        <w:rPr>
          <w:szCs w:val="19"/>
        </w:rPr>
        <w:t xml:space="preserve"> &lt;</w:t>
      </w:r>
      <w:r w:rsidR="00511AD6" w:rsidRPr="00F84FB5">
        <w:t>www</w:t>
      </w:r>
      <w:r w:rsidR="00511AD6">
        <w:t>2</w:t>
      </w:r>
      <w:r w:rsidR="00511AD6" w:rsidRPr="00F84FB5">
        <w:t>.health.vic.gov.au/mental-health/priorities-and-transformation/mental-health-annual-report</w:t>
      </w:r>
      <w:r w:rsidR="00511AD6">
        <w:rPr>
          <w:szCs w:val="19"/>
        </w:rPr>
        <w:t>&gt;</w:t>
      </w:r>
      <w:r w:rsidR="00894D3B">
        <w:br w:type="page"/>
      </w:r>
    </w:p>
    <w:p w14:paraId="226F4935" w14:textId="0F5E2E05" w:rsidR="00AC0C3B" w:rsidRPr="00711B0C" w:rsidRDefault="00AC0C3B" w:rsidP="00711B0C">
      <w:pPr>
        <w:pStyle w:val="DHHSTOCheadingreport"/>
      </w:pPr>
      <w:r w:rsidRPr="00711B0C">
        <w:lastRenderedPageBreak/>
        <w:t>Contents</w:t>
      </w:r>
    </w:p>
    <w:p w14:paraId="1EE3DDDF" w14:textId="166CB035" w:rsidR="009E2C40"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5379383" w:history="1">
        <w:r w:rsidR="009E2C40" w:rsidRPr="00715D6C">
          <w:rPr>
            <w:rStyle w:val="Hyperlink"/>
          </w:rPr>
          <w:t>Secretary’s foreword  </w:t>
        </w:r>
        <w:r w:rsidR="009E2C40">
          <w:rPr>
            <w:webHidden/>
          </w:rPr>
          <w:tab/>
        </w:r>
        <w:r w:rsidR="009E2C40">
          <w:rPr>
            <w:webHidden/>
          </w:rPr>
          <w:fldChar w:fldCharType="begin"/>
        </w:r>
        <w:r w:rsidR="009E2C40">
          <w:rPr>
            <w:webHidden/>
          </w:rPr>
          <w:instrText xml:space="preserve"> PAGEREF _Toc55379383 \h </w:instrText>
        </w:r>
        <w:r w:rsidR="009E2C40">
          <w:rPr>
            <w:webHidden/>
          </w:rPr>
        </w:r>
        <w:r w:rsidR="009E2C40">
          <w:rPr>
            <w:webHidden/>
          </w:rPr>
          <w:fldChar w:fldCharType="separate"/>
        </w:r>
        <w:r w:rsidR="00CD1537">
          <w:rPr>
            <w:webHidden/>
          </w:rPr>
          <w:t>7</w:t>
        </w:r>
        <w:r w:rsidR="009E2C40">
          <w:rPr>
            <w:webHidden/>
          </w:rPr>
          <w:fldChar w:fldCharType="end"/>
        </w:r>
      </w:hyperlink>
    </w:p>
    <w:p w14:paraId="26C383F6" w14:textId="1DABA2B7" w:rsidR="009E2C40" w:rsidRDefault="000569F8">
      <w:pPr>
        <w:pStyle w:val="TOC1"/>
        <w:rPr>
          <w:rFonts w:asciiTheme="minorHAnsi" w:eastAsiaTheme="minorEastAsia" w:hAnsiTheme="minorHAnsi" w:cstheme="minorBidi"/>
          <w:b w:val="0"/>
          <w:sz w:val="22"/>
          <w:szCs w:val="22"/>
          <w:lang w:eastAsia="en-AU"/>
        </w:rPr>
      </w:pPr>
      <w:hyperlink w:anchor="_Toc55379384" w:history="1">
        <w:r w:rsidR="009E2C40" w:rsidRPr="00715D6C">
          <w:rPr>
            <w:rStyle w:val="Hyperlink"/>
          </w:rPr>
          <w:t>The year at a glance</w:t>
        </w:r>
        <w:r w:rsidR="009E2C40">
          <w:rPr>
            <w:webHidden/>
          </w:rPr>
          <w:tab/>
        </w:r>
        <w:r w:rsidR="009E2C40">
          <w:rPr>
            <w:webHidden/>
          </w:rPr>
          <w:fldChar w:fldCharType="begin"/>
        </w:r>
        <w:r w:rsidR="009E2C40">
          <w:rPr>
            <w:webHidden/>
          </w:rPr>
          <w:instrText xml:space="preserve"> PAGEREF _Toc55379384 \h </w:instrText>
        </w:r>
        <w:r w:rsidR="009E2C40">
          <w:rPr>
            <w:webHidden/>
          </w:rPr>
        </w:r>
        <w:r w:rsidR="009E2C40">
          <w:rPr>
            <w:webHidden/>
          </w:rPr>
          <w:fldChar w:fldCharType="separate"/>
        </w:r>
        <w:r w:rsidR="00CD1537">
          <w:rPr>
            <w:webHidden/>
          </w:rPr>
          <w:t>8</w:t>
        </w:r>
        <w:r w:rsidR="009E2C40">
          <w:rPr>
            <w:webHidden/>
          </w:rPr>
          <w:fldChar w:fldCharType="end"/>
        </w:r>
      </w:hyperlink>
    </w:p>
    <w:p w14:paraId="35AA46F0" w14:textId="6C309A45" w:rsidR="009E2C40" w:rsidRDefault="000569F8">
      <w:pPr>
        <w:pStyle w:val="TOC1"/>
        <w:tabs>
          <w:tab w:val="left" w:pos="567"/>
        </w:tabs>
        <w:rPr>
          <w:rFonts w:asciiTheme="minorHAnsi" w:eastAsiaTheme="minorEastAsia" w:hAnsiTheme="minorHAnsi" w:cstheme="minorBidi"/>
          <w:b w:val="0"/>
          <w:sz w:val="22"/>
          <w:szCs w:val="22"/>
          <w:lang w:eastAsia="en-AU"/>
        </w:rPr>
      </w:pPr>
      <w:hyperlink w:anchor="_Toc55379385" w:history="1">
        <w:r w:rsidR="009E2C40" w:rsidRPr="00715D6C">
          <w:rPr>
            <w:rStyle w:val="Hyperlink"/>
          </w:rPr>
          <w:t>1.</w:t>
        </w:r>
        <w:r w:rsidR="009E2C40">
          <w:rPr>
            <w:rFonts w:asciiTheme="minorHAnsi" w:eastAsiaTheme="minorEastAsia" w:hAnsiTheme="minorHAnsi" w:cstheme="minorBidi"/>
            <w:b w:val="0"/>
            <w:sz w:val="22"/>
            <w:szCs w:val="22"/>
            <w:lang w:eastAsia="en-AU"/>
          </w:rPr>
          <w:tab/>
        </w:r>
        <w:r w:rsidR="009E2C40" w:rsidRPr="00715D6C">
          <w:rPr>
            <w:rStyle w:val="Hyperlink"/>
          </w:rPr>
          <w:t>Supporting Victorians through crisis</w:t>
        </w:r>
        <w:r w:rsidR="009E2C40">
          <w:rPr>
            <w:webHidden/>
          </w:rPr>
          <w:tab/>
        </w:r>
        <w:r w:rsidR="009E2C40">
          <w:rPr>
            <w:webHidden/>
          </w:rPr>
          <w:fldChar w:fldCharType="begin"/>
        </w:r>
        <w:r w:rsidR="009E2C40">
          <w:rPr>
            <w:webHidden/>
          </w:rPr>
          <w:instrText xml:space="preserve"> PAGEREF _Toc55379385 \h </w:instrText>
        </w:r>
        <w:r w:rsidR="009E2C40">
          <w:rPr>
            <w:webHidden/>
          </w:rPr>
        </w:r>
        <w:r w:rsidR="009E2C40">
          <w:rPr>
            <w:webHidden/>
          </w:rPr>
          <w:fldChar w:fldCharType="separate"/>
        </w:r>
        <w:r w:rsidR="00CD1537">
          <w:rPr>
            <w:webHidden/>
          </w:rPr>
          <w:t>9</w:t>
        </w:r>
        <w:r w:rsidR="009E2C40">
          <w:rPr>
            <w:webHidden/>
          </w:rPr>
          <w:fldChar w:fldCharType="end"/>
        </w:r>
      </w:hyperlink>
    </w:p>
    <w:p w14:paraId="60704578" w14:textId="1AA976E5" w:rsidR="009E2C40" w:rsidRDefault="000569F8">
      <w:pPr>
        <w:pStyle w:val="TOC2"/>
        <w:rPr>
          <w:rFonts w:asciiTheme="minorHAnsi" w:eastAsiaTheme="minorEastAsia" w:hAnsiTheme="minorHAnsi" w:cstheme="minorBidi"/>
          <w:sz w:val="22"/>
          <w:szCs w:val="22"/>
          <w:lang w:eastAsia="en-AU"/>
        </w:rPr>
      </w:pPr>
      <w:hyperlink w:anchor="_Toc55379386" w:history="1">
        <w:r w:rsidR="009E2C40" w:rsidRPr="00715D6C">
          <w:rPr>
            <w:rStyle w:val="Hyperlink"/>
          </w:rPr>
          <w:t>Support to drought- and bushfire-affected communities</w:t>
        </w:r>
        <w:r w:rsidR="009E2C40">
          <w:rPr>
            <w:webHidden/>
          </w:rPr>
          <w:tab/>
        </w:r>
        <w:r w:rsidR="009E2C40">
          <w:rPr>
            <w:webHidden/>
          </w:rPr>
          <w:fldChar w:fldCharType="begin"/>
        </w:r>
        <w:r w:rsidR="009E2C40">
          <w:rPr>
            <w:webHidden/>
          </w:rPr>
          <w:instrText xml:space="preserve"> PAGEREF _Toc55379386 \h </w:instrText>
        </w:r>
        <w:r w:rsidR="009E2C40">
          <w:rPr>
            <w:webHidden/>
          </w:rPr>
        </w:r>
        <w:r w:rsidR="009E2C40">
          <w:rPr>
            <w:webHidden/>
          </w:rPr>
          <w:fldChar w:fldCharType="separate"/>
        </w:r>
        <w:r w:rsidR="00CD1537">
          <w:rPr>
            <w:webHidden/>
          </w:rPr>
          <w:t>10</w:t>
        </w:r>
        <w:r w:rsidR="009E2C40">
          <w:rPr>
            <w:webHidden/>
          </w:rPr>
          <w:fldChar w:fldCharType="end"/>
        </w:r>
      </w:hyperlink>
    </w:p>
    <w:p w14:paraId="4E25F618" w14:textId="5A6BF9AA" w:rsidR="009E2C40" w:rsidRDefault="000569F8">
      <w:pPr>
        <w:pStyle w:val="TOC2"/>
        <w:rPr>
          <w:rFonts w:asciiTheme="minorHAnsi" w:eastAsiaTheme="minorEastAsia" w:hAnsiTheme="minorHAnsi" w:cstheme="minorBidi"/>
          <w:sz w:val="22"/>
          <w:szCs w:val="22"/>
          <w:lang w:eastAsia="en-AU"/>
        </w:rPr>
      </w:pPr>
      <w:hyperlink w:anchor="_Toc55379387" w:history="1">
        <w:r w:rsidR="009E2C40" w:rsidRPr="00715D6C">
          <w:rPr>
            <w:rStyle w:val="Hyperlink"/>
            <w:rFonts w:eastAsia="Arial"/>
          </w:rPr>
          <w:t>Coronavirus (COVID-19) and the mental health system</w:t>
        </w:r>
        <w:r w:rsidR="009E2C40">
          <w:rPr>
            <w:webHidden/>
          </w:rPr>
          <w:tab/>
        </w:r>
        <w:r w:rsidR="009E2C40">
          <w:rPr>
            <w:webHidden/>
          </w:rPr>
          <w:fldChar w:fldCharType="begin"/>
        </w:r>
        <w:r w:rsidR="009E2C40">
          <w:rPr>
            <w:webHidden/>
          </w:rPr>
          <w:instrText xml:space="preserve"> PAGEREF _Toc55379387 \h </w:instrText>
        </w:r>
        <w:r w:rsidR="009E2C40">
          <w:rPr>
            <w:webHidden/>
          </w:rPr>
        </w:r>
        <w:r w:rsidR="009E2C40">
          <w:rPr>
            <w:webHidden/>
          </w:rPr>
          <w:fldChar w:fldCharType="separate"/>
        </w:r>
        <w:r w:rsidR="00CD1537">
          <w:rPr>
            <w:webHidden/>
          </w:rPr>
          <w:t>11</w:t>
        </w:r>
        <w:r w:rsidR="009E2C40">
          <w:rPr>
            <w:webHidden/>
          </w:rPr>
          <w:fldChar w:fldCharType="end"/>
        </w:r>
      </w:hyperlink>
    </w:p>
    <w:p w14:paraId="215EC6F8" w14:textId="495FB8B3" w:rsidR="009E2C40" w:rsidRDefault="000569F8">
      <w:pPr>
        <w:pStyle w:val="TOC1"/>
        <w:tabs>
          <w:tab w:val="left" w:pos="567"/>
        </w:tabs>
        <w:rPr>
          <w:rFonts w:asciiTheme="minorHAnsi" w:eastAsiaTheme="minorEastAsia" w:hAnsiTheme="minorHAnsi" w:cstheme="minorBidi"/>
          <w:b w:val="0"/>
          <w:sz w:val="22"/>
          <w:szCs w:val="22"/>
          <w:lang w:eastAsia="en-AU"/>
        </w:rPr>
      </w:pPr>
      <w:hyperlink w:anchor="_Toc55379388" w:history="1">
        <w:r w:rsidR="009E2C40" w:rsidRPr="00715D6C">
          <w:rPr>
            <w:rStyle w:val="Hyperlink"/>
          </w:rPr>
          <w:t>2.</w:t>
        </w:r>
        <w:r w:rsidR="009E2C40">
          <w:rPr>
            <w:rFonts w:asciiTheme="minorHAnsi" w:eastAsiaTheme="minorEastAsia" w:hAnsiTheme="minorHAnsi" w:cstheme="minorBidi"/>
            <w:b w:val="0"/>
            <w:sz w:val="22"/>
            <w:szCs w:val="22"/>
            <w:lang w:eastAsia="en-AU"/>
          </w:rPr>
          <w:tab/>
        </w:r>
        <w:r w:rsidR="009E2C40" w:rsidRPr="00715D6C">
          <w:rPr>
            <w:rStyle w:val="Hyperlink"/>
          </w:rPr>
          <w:t>Mental health system review and reform</w:t>
        </w:r>
        <w:r w:rsidR="009E2C40">
          <w:rPr>
            <w:webHidden/>
          </w:rPr>
          <w:tab/>
        </w:r>
        <w:r w:rsidR="009E2C40">
          <w:rPr>
            <w:webHidden/>
          </w:rPr>
          <w:fldChar w:fldCharType="begin"/>
        </w:r>
        <w:r w:rsidR="009E2C40">
          <w:rPr>
            <w:webHidden/>
          </w:rPr>
          <w:instrText xml:space="preserve"> PAGEREF _Toc55379388 \h </w:instrText>
        </w:r>
        <w:r w:rsidR="009E2C40">
          <w:rPr>
            <w:webHidden/>
          </w:rPr>
        </w:r>
        <w:r w:rsidR="009E2C40">
          <w:rPr>
            <w:webHidden/>
          </w:rPr>
          <w:fldChar w:fldCharType="separate"/>
        </w:r>
        <w:r w:rsidR="00CD1537">
          <w:rPr>
            <w:webHidden/>
          </w:rPr>
          <w:t>18</w:t>
        </w:r>
        <w:r w:rsidR="009E2C40">
          <w:rPr>
            <w:webHidden/>
          </w:rPr>
          <w:fldChar w:fldCharType="end"/>
        </w:r>
      </w:hyperlink>
    </w:p>
    <w:p w14:paraId="4C03E02D" w14:textId="6A065913" w:rsidR="009E2C40" w:rsidRDefault="000569F8">
      <w:pPr>
        <w:pStyle w:val="TOC2"/>
        <w:rPr>
          <w:rFonts w:asciiTheme="minorHAnsi" w:eastAsiaTheme="minorEastAsia" w:hAnsiTheme="minorHAnsi" w:cstheme="minorBidi"/>
          <w:sz w:val="22"/>
          <w:szCs w:val="22"/>
          <w:lang w:eastAsia="en-AU"/>
        </w:rPr>
      </w:pPr>
      <w:hyperlink w:anchor="_Toc55379389" w:history="1">
        <w:r w:rsidR="009E2C40" w:rsidRPr="00715D6C">
          <w:rPr>
            <w:rStyle w:val="Hyperlink"/>
          </w:rPr>
          <w:t>Royal Commission into Victoria’s Mental Health System </w:t>
        </w:r>
        <w:r w:rsidR="009E2C40">
          <w:rPr>
            <w:webHidden/>
          </w:rPr>
          <w:tab/>
        </w:r>
        <w:r w:rsidR="009E2C40">
          <w:rPr>
            <w:webHidden/>
          </w:rPr>
          <w:fldChar w:fldCharType="begin"/>
        </w:r>
        <w:r w:rsidR="009E2C40">
          <w:rPr>
            <w:webHidden/>
          </w:rPr>
          <w:instrText xml:space="preserve"> PAGEREF _Toc55379389 \h </w:instrText>
        </w:r>
        <w:r w:rsidR="009E2C40">
          <w:rPr>
            <w:webHidden/>
          </w:rPr>
        </w:r>
        <w:r w:rsidR="009E2C40">
          <w:rPr>
            <w:webHidden/>
          </w:rPr>
          <w:fldChar w:fldCharType="separate"/>
        </w:r>
        <w:r w:rsidR="00CD1537">
          <w:rPr>
            <w:webHidden/>
          </w:rPr>
          <w:t>18</w:t>
        </w:r>
        <w:r w:rsidR="009E2C40">
          <w:rPr>
            <w:webHidden/>
          </w:rPr>
          <w:fldChar w:fldCharType="end"/>
        </w:r>
      </w:hyperlink>
    </w:p>
    <w:p w14:paraId="4BBBEE25" w14:textId="72F6B4FA" w:rsidR="009E2C40" w:rsidRDefault="000569F8">
      <w:pPr>
        <w:pStyle w:val="TOC2"/>
        <w:rPr>
          <w:rFonts w:asciiTheme="minorHAnsi" w:eastAsiaTheme="minorEastAsia" w:hAnsiTheme="minorHAnsi" w:cstheme="minorBidi"/>
          <w:sz w:val="22"/>
          <w:szCs w:val="22"/>
          <w:lang w:eastAsia="en-AU"/>
        </w:rPr>
      </w:pPr>
      <w:hyperlink w:anchor="_Toc55379390" w:history="1">
        <w:r w:rsidR="009E2C40" w:rsidRPr="00715D6C">
          <w:rPr>
            <w:rStyle w:val="Hyperlink"/>
          </w:rPr>
          <w:t>Mental Health Reform Victoria – establishment and progress  </w:t>
        </w:r>
        <w:r w:rsidR="009E2C40">
          <w:rPr>
            <w:webHidden/>
          </w:rPr>
          <w:tab/>
        </w:r>
        <w:r w:rsidR="009E2C40">
          <w:rPr>
            <w:webHidden/>
          </w:rPr>
          <w:fldChar w:fldCharType="begin"/>
        </w:r>
        <w:r w:rsidR="009E2C40">
          <w:rPr>
            <w:webHidden/>
          </w:rPr>
          <w:instrText xml:space="preserve"> PAGEREF _Toc55379390 \h </w:instrText>
        </w:r>
        <w:r w:rsidR="009E2C40">
          <w:rPr>
            <w:webHidden/>
          </w:rPr>
        </w:r>
        <w:r w:rsidR="009E2C40">
          <w:rPr>
            <w:webHidden/>
          </w:rPr>
          <w:fldChar w:fldCharType="separate"/>
        </w:r>
        <w:r w:rsidR="00CD1537">
          <w:rPr>
            <w:webHidden/>
          </w:rPr>
          <w:t>18</w:t>
        </w:r>
        <w:r w:rsidR="009E2C40">
          <w:rPr>
            <w:webHidden/>
          </w:rPr>
          <w:fldChar w:fldCharType="end"/>
        </w:r>
      </w:hyperlink>
    </w:p>
    <w:p w14:paraId="03ABEC71" w14:textId="7FF5F318" w:rsidR="009E2C40" w:rsidRDefault="000569F8">
      <w:pPr>
        <w:pStyle w:val="TOC2"/>
        <w:rPr>
          <w:rFonts w:asciiTheme="minorHAnsi" w:eastAsiaTheme="minorEastAsia" w:hAnsiTheme="minorHAnsi" w:cstheme="minorBidi"/>
          <w:sz w:val="22"/>
          <w:szCs w:val="22"/>
          <w:lang w:eastAsia="en-AU"/>
        </w:rPr>
      </w:pPr>
      <w:hyperlink w:anchor="_Toc55379391" w:history="1">
        <w:r w:rsidR="009E2C40" w:rsidRPr="00715D6C">
          <w:rPr>
            <w:rStyle w:val="Hyperlink"/>
          </w:rPr>
          <w:t>Mental Health Ministerial Advisory Committee</w:t>
        </w:r>
        <w:r w:rsidR="009E2C40">
          <w:rPr>
            <w:webHidden/>
          </w:rPr>
          <w:tab/>
        </w:r>
        <w:r w:rsidR="009E2C40">
          <w:rPr>
            <w:webHidden/>
          </w:rPr>
          <w:fldChar w:fldCharType="begin"/>
        </w:r>
        <w:r w:rsidR="009E2C40">
          <w:rPr>
            <w:webHidden/>
          </w:rPr>
          <w:instrText xml:space="preserve"> PAGEREF _Toc55379391 \h </w:instrText>
        </w:r>
        <w:r w:rsidR="009E2C40">
          <w:rPr>
            <w:webHidden/>
          </w:rPr>
        </w:r>
        <w:r w:rsidR="009E2C40">
          <w:rPr>
            <w:webHidden/>
          </w:rPr>
          <w:fldChar w:fldCharType="separate"/>
        </w:r>
        <w:r w:rsidR="00CD1537">
          <w:rPr>
            <w:webHidden/>
          </w:rPr>
          <w:t>20</w:t>
        </w:r>
        <w:r w:rsidR="009E2C40">
          <w:rPr>
            <w:webHidden/>
          </w:rPr>
          <w:fldChar w:fldCharType="end"/>
        </w:r>
      </w:hyperlink>
    </w:p>
    <w:p w14:paraId="759A6D36" w14:textId="7C04CE82" w:rsidR="009E2C40" w:rsidRDefault="000569F8">
      <w:pPr>
        <w:pStyle w:val="TOC2"/>
        <w:rPr>
          <w:rFonts w:asciiTheme="minorHAnsi" w:eastAsiaTheme="minorEastAsia" w:hAnsiTheme="minorHAnsi" w:cstheme="minorBidi"/>
          <w:sz w:val="22"/>
          <w:szCs w:val="22"/>
          <w:lang w:eastAsia="en-AU"/>
        </w:rPr>
      </w:pPr>
      <w:hyperlink w:anchor="_Toc55379392" w:history="1">
        <w:r w:rsidR="009E2C40" w:rsidRPr="00715D6C">
          <w:rPr>
            <w:rStyle w:val="Hyperlink"/>
          </w:rPr>
          <w:t>Transition to the National Disability Insurance Scheme</w:t>
        </w:r>
        <w:r w:rsidR="009E2C40">
          <w:rPr>
            <w:webHidden/>
          </w:rPr>
          <w:tab/>
        </w:r>
        <w:r w:rsidR="009E2C40">
          <w:rPr>
            <w:webHidden/>
          </w:rPr>
          <w:fldChar w:fldCharType="begin"/>
        </w:r>
        <w:r w:rsidR="009E2C40">
          <w:rPr>
            <w:webHidden/>
          </w:rPr>
          <w:instrText xml:space="preserve"> PAGEREF _Toc55379392 \h </w:instrText>
        </w:r>
        <w:r w:rsidR="009E2C40">
          <w:rPr>
            <w:webHidden/>
          </w:rPr>
        </w:r>
        <w:r w:rsidR="009E2C40">
          <w:rPr>
            <w:webHidden/>
          </w:rPr>
          <w:fldChar w:fldCharType="separate"/>
        </w:r>
        <w:r w:rsidR="00CD1537">
          <w:rPr>
            <w:webHidden/>
          </w:rPr>
          <w:t>20</w:t>
        </w:r>
        <w:r w:rsidR="009E2C40">
          <w:rPr>
            <w:webHidden/>
          </w:rPr>
          <w:fldChar w:fldCharType="end"/>
        </w:r>
      </w:hyperlink>
    </w:p>
    <w:p w14:paraId="405C995E" w14:textId="5DB69923" w:rsidR="009E2C40" w:rsidRDefault="000569F8">
      <w:pPr>
        <w:pStyle w:val="TOC1"/>
        <w:tabs>
          <w:tab w:val="left" w:pos="567"/>
        </w:tabs>
        <w:rPr>
          <w:rFonts w:asciiTheme="minorHAnsi" w:eastAsiaTheme="minorEastAsia" w:hAnsiTheme="minorHAnsi" w:cstheme="minorBidi"/>
          <w:b w:val="0"/>
          <w:sz w:val="22"/>
          <w:szCs w:val="22"/>
          <w:lang w:eastAsia="en-AU"/>
        </w:rPr>
      </w:pPr>
      <w:hyperlink w:anchor="_Toc55379393" w:history="1">
        <w:r w:rsidR="009E2C40" w:rsidRPr="00715D6C">
          <w:rPr>
            <w:rStyle w:val="Hyperlink"/>
          </w:rPr>
          <w:t>3.</w:t>
        </w:r>
        <w:r w:rsidR="009E2C40">
          <w:rPr>
            <w:rFonts w:asciiTheme="minorHAnsi" w:eastAsiaTheme="minorEastAsia" w:hAnsiTheme="minorHAnsi" w:cstheme="minorBidi"/>
            <w:b w:val="0"/>
            <w:sz w:val="22"/>
            <w:szCs w:val="22"/>
            <w:lang w:eastAsia="en-AU"/>
          </w:rPr>
          <w:tab/>
        </w:r>
        <w:r w:rsidR="009E2C40" w:rsidRPr="00715D6C">
          <w:rPr>
            <w:rStyle w:val="Hyperlink"/>
          </w:rPr>
          <w:t>Progressing Victoria’s 10-year mental health plan</w:t>
        </w:r>
        <w:r w:rsidR="009E2C40">
          <w:rPr>
            <w:webHidden/>
          </w:rPr>
          <w:tab/>
        </w:r>
        <w:r w:rsidR="009E2C40">
          <w:rPr>
            <w:webHidden/>
          </w:rPr>
          <w:fldChar w:fldCharType="begin"/>
        </w:r>
        <w:r w:rsidR="009E2C40">
          <w:rPr>
            <w:webHidden/>
          </w:rPr>
          <w:instrText xml:space="preserve"> PAGEREF _Toc55379393 \h </w:instrText>
        </w:r>
        <w:r w:rsidR="009E2C40">
          <w:rPr>
            <w:webHidden/>
          </w:rPr>
        </w:r>
        <w:r w:rsidR="009E2C40">
          <w:rPr>
            <w:webHidden/>
          </w:rPr>
          <w:fldChar w:fldCharType="separate"/>
        </w:r>
        <w:r w:rsidR="00CD1537">
          <w:rPr>
            <w:webHidden/>
          </w:rPr>
          <w:t>21</w:t>
        </w:r>
        <w:r w:rsidR="009E2C40">
          <w:rPr>
            <w:webHidden/>
          </w:rPr>
          <w:fldChar w:fldCharType="end"/>
        </w:r>
      </w:hyperlink>
    </w:p>
    <w:p w14:paraId="3B748297" w14:textId="02CE7D7E" w:rsidR="009E2C40" w:rsidRDefault="000569F8">
      <w:pPr>
        <w:pStyle w:val="TOC2"/>
        <w:rPr>
          <w:rFonts w:asciiTheme="minorHAnsi" w:eastAsiaTheme="minorEastAsia" w:hAnsiTheme="minorHAnsi" w:cstheme="minorBidi"/>
          <w:sz w:val="22"/>
          <w:szCs w:val="22"/>
          <w:lang w:eastAsia="en-AU"/>
        </w:rPr>
      </w:pPr>
      <w:hyperlink w:anchor="_Toc55379394" w:history="1">
        <w:r w:rsidR="009E2C40" w:rsidRPr="00715D6C">
          <w:rPr>
            <w:rStyle w:val="Hyperlink"/>
          </w:rPr>
          <w:t>Outcomes framework</w:t>
        </w:r>
        <w:r w:rsidR="009E2C40">
          <w:rPr>
            <w:webHidden/>
          </w:rPr>
          <w:tab/>
        </w:r>
        <w:r w:rsidR="009E2C40">
          <w:rPr>
            <w:webHidden/>
          </w:rPr>
          <w:fldChar w:fldCharType="begin"/>
        </w:r>
        <w:r w:rsidR="009E2C40">
          <w:rPr>
            <w:webHidden/>
          </w:rPr>
          <w:instrText xml:space="preserve"> PAGEREF _Toc55379394 \h </w:instrText>
        </w:r>
        <w:r w:rsidR="009E2C40">
          <w:rPr>
            <w:webHidden/>
          </w:rPr>
        </w:r>
        <w:r w:rsidR="009E2C40">
          <w:rPr>
            <w:webHidden/>
          </w:rPr>
          <w:fldChar w:fldCharType="separate"/>
        </w:r>
        <w:r w:rsidR="00CD1537">
          <w:rPr>
            <w:webHidden/>
          </w:rPr>
          <w:t>21</w:t>
        </w:r>
        <w:r w:rsidR="009E2C40">
          <w:rPr>
            <w:webHidden/>
          </w:rPr>
          <w:fldChar w:fldCharType="end"/>
        </w:r>
      </w:hyperlink>
    </w:p>
    <w:p w14:paraId="7FC2B3B8" w14:textId="1F6F5DB6" w:rsidR="009E2C40" w:rsidRDefault="000569F8">
      <w:pPr>
        <w:pStyle w:val="TOC1"/>
        <w:tabs>
          <w:tab w:val="left" w:pos="567"/>
        </w:tabs>
        <w:rPr>
          <w:rFonts w:asciiTheme="minorHAnsi" w:eastAsiaTheme="minorEastAsia" w:hAnsiTheme="minorHAnsi" w:cstheme="minorBidi"/>
          <w:b w:val="0"/>
          <w:sz w:val="22"/>
          <w:szCs w:val="22"/>
          <w:lang w:eastAsia="en-AU"/>
        </w:rPr>
      </w:pPr>
      <w:hyperlink w:anchor="_Toc55379395" w:history="1">
        <w:r w:rsidR="009E2C40" w:rsidRPr="00715D6C">
          <w:rPr>
            <w:rStyle w:val="Hyperlink"/>
          </w:rPr>
          <w:t>4.</w:t>
        </w:r>
        <w:r w:rsidR="009E2C40">
          <w:rPr>
            <w:rFonts w:asciiTheme="minorHAnsi" w:eastAsiaTheme="minorEastAsia" w:hAnsiTheme="minorHAnsi" w:cstheme="minorBidi"/>
            <w:b w:val="0"/>
            <w:sz w:val="22"/>
            <w:szCs w:val="22"/>
            <w:lang w:eastAsia="en-AU"/>
          </w:rPr>
          <w:tab/>
        </w:r>
        <w:r w:rsidR="009E2C40" w:rsidRPr="00715D6C">
          <w:rPr>
            <w:rStyle w:val="Hyperlink"/>
          </w:rPr>
          <w:t>Public mental health services in 2019–20</w:t>
        </w:r>
        <w:r w:rsidR="009E2C40">
          <w:rPr>
            <w:webHidden/>
          </w:rPr>
          <w:tab/>
        </w:r>
        <w:r w:rsidR="009E2C40">
          <w:rPr>
            <w:webHidden/>
          </w:rPr>
          <w:fldChar w:fldCharType="begin"/>
        </w:r>
        <w:r w:rsidR="009E2C40">
          <w:rPr>
            <w:webHidden/>
          </w:rPr>
          <w:instrText xml:space="preserve"> PAGEREF _Toc55379395 \h </w:instrText>
        </w:r>
        <w:r w:rsidR="009E2C40">
          <w:rPr>
            <w:webHidden/>
          </w:rPr>
        </w:r>
        <w:r w:rsidR="009E2C40">
          <w:rPr>
            <w:webHidden/>
          </w:rPr>
          <w:fldChar w:fldCharType="separate"/>
        </w:r>
        <w:r w:rsidR="00CD1537">
          <w:rPr>
            <w:webHidden/>
          </w:rPr>
          <w:t>39</w:t>
        </w:r>
        <w:r w:rsidR="009E2C40">
          <w:rPr>
            <w:webHidden/>
          </w:rPr>
          <w:fldChar w:fldCharType="end"/>
        </w:r>
      </w:hyperlink>
    </w:p>
    <w:p w14:paraId="6B758404" w14:textId="14B4A44E" w:rsidR="009E2C40" w:rsidRDefault="000569F8">
      <w:pPr>
        <w:pStyle w:val="TOC2"/>
        <w:rPr>
          <w:rFonts w:asciiTheme="minorHAnsi" w:eastAsiaTheme="minorEastAsia" w:hAnsiTheme="minorHAnsi" w:cstheme="minorBidi"/>
          <w:sz w:val="22"/>
          <w:szCs w:val="22"/>
          <w:lang w:eastAsia="en-AU"/>
        </w:rPr>
      </w:pPr>
      <w:hyperlink w:anchor="_Toc55379396" w:history="1">
        <w:r w:rsidR="009E2C40" w:rsidRPr="00715D6C">
          <w:rPr>
            <w:rStyle w:val="Hyperlink"/>
          </w:rPr>
          <w:t>Overview</w:t>
        </w:r>
        <w:r w:rsidR="009E2C40">
          <w:rPr>
            <w:webHidden/>
          </w:rPr>
          <w:tab/>
        </w:r>
        <w:r w:rsidR="009E2C40">
          <w:rPr>
            <w:webHidden/>
          </w:rPr>
          <w:fldChar w:fldCharType="begin"/>
        </w:r>
        <w:r w:rsidR="009E2C40">
          <w:rPr>
            <w:webHidden/>
          </w:rPr>
          <w:instrText xml:space="preserve"> PAGEREF _Toc55379396 \h </w:instrText>
        </w:r>
        <w:r w:rsidR="009E2C40">
          <w:rPr>
            <w:webHidden/>
          </w:rPr>
        </w:r>
        <w:r w:rsidR="009E2C40">
          <w:rPr>
            <w:webHidden/>
          </w:rPr>
          <w:fldChar w:fldCharType="separate"/>
        </w:r>
        <w:r w:rsidR="00CD1537">
          <w:rPr>
            <w:webHidden/>
          </w:rPr>
          <w:t>39</w:t>
        </w:r>
        <w:r w:rsidR="009E2C40">
          <w:rPr>
            <w:webHidden/>
          </w:rPr>
          <w:fldChar w:fldCharType="end"/>
        </w:r>
      </w:hyperlink>
    </w:p>
    <w:p w14:paraId="16567621" w14:textId="4BF43886" w:rsidR="009E2C40" w:rsidRDefault="000569F8">
      <w:pPr>
        <w:pStyle w:val="TOC2"/>
        <w:rPr>
          <w:rFonts w:asciiTheme="minorHAnsi" w:eastAsiaTheme="minorEastAsia" w:hAnsiTheme="minorHAnsi" w:cstheme="minorBidi"/>
          <w:sz w:val="22"/>
          <w:szCs w:val="22"/>
          <w:lang w:eastAsia="en-AU"/>
        </w:rPr>
      </w:pPr>
      <w:hyperlink w:anchor="_Toc55379397" w:history="1">
        <w:r w:rsidR="009E2C40" w:rsidRPr="00715D6C">
          <w:rPr>
            <w:rStyle w:val="Hyperlink"/>
          </w:rPr>
          <w:t>Who accessed our public mental health services in 2019–20?</w:t>
        </w:r>
        <w:r w:rsidR="009E2C40">
          <w:rPr>
            <w:webHidden/>
          </w:rPr>
          <w:tab/>
        </w:r>
        <w:r w:rsidR="009E2C40">
          <w:rPr>
            <w:webHidden/>
          </w:rPr>
          <w:fldChar w:fldCharType="begin"/>
        </w:r>
        <w:r w:rsidR="009E2C40">
          <w:rPr>
            <w:webHidden/>
          </w:rPr>
          <w:instrText xml:space="preserve"> PAGEREF _Toc55379397 \h </w:instrText>
        </w:r>
        <w:r w:rsidR="009E2C40">
          <w:rPr>
            <w:webHidden/>
          </w:rPr>
        </w:r>
        <w:r w:rsidR="009E2C40">
          <w:rPr>
            <w:webHidden/>
          </w:rPr>
          <w:fldChar w:fldCharType="separate"/>
        </w:r>
        <w:r w:rsidR="00CD1537">
          <w:rPr>
            <w:webHidden/>
          </w:rPr>
          <w:t>41</w:t>
        </w:r>
        <w:r w:rsidR="009E2C40">
          <w:rPr>
            <w:webHidden/>
          </w:rPr>
          <w:fldChar w:fldCharType="end"/>
        </w:r>
      </w:hyperlink>
    </w:p>
    <w:p w14:paraId="0DFEA064" w14:textId="01C53E0F" w:rsidR="009E2C40" w:rsidRDefault="000569F8">
      <w:pPr>
        <w:pStyle w:val="TOC2"/>
        <w:rPr>
          <w:rFonts w:asciiTheme="minorHAnsi" w:eastAsiaTheme="minorEastAsia" w:hAnsiTheme="minorHAnsi" w:cstheme="minorBidi"/>
          <w:sz w:val="22"/>
          <w:szCs w:val="22"/>
          <w:lang w:eastAsia="en-AU"/>
        </w:rPr>
      </w:pPr>
      <w:hyperlink w:anchor="_Toc55379398" w:history="1">
        <w:r w:rsidR="009E2C40" w:rsidRPr="00715D6C">
          <w:rPr>
            <w:rStyle w:val="Hyperlink"/>
          </w:rPr>
          <w:t>How were people referred to our clinical services in 2019–20?</w:t>
        </w:r>
        <w:r w:rsidR="009E2C40">
          <w:rPr>
            <w:webHidden/>
          </w:rPr>
          <w:tab/>
        </w:r>
        <w:r w:rsidR="009E2C40">
          <w:rPr>
            <w:webHidden/>
          </w:rPr>
          <w:fldChar w:fldCharType="begin"/>
        </w:r>
        <w:r w:rsidR="009E2C40">
          <w:rPr>
            <w:webHidden/>
          </w:rPr>
          <w:instrText xml:space="preserve"> PAGEREF _Toc55379398 \h </w:instrText>
        </w:r>
        <w:r w:rsidR="009E2C40">
          <w:rPr>
            <w:webHidden/>
          </w:rPr>
        </w:r>
        <w:r w:rsidR="009E2C40">
          <w:rPr>
            <w:webHidden/>
          </w:rPr>
          <w:fldChar w:fldCharType="separate"/>
        </w:r>
        <w:r w:rsidR="00CD1537">
          <w:rPr>
            <w:webHidden/>
          </w:rPr>
          <w:t>41</w:t>
        </w:r>
        <w:r w:rsidR="009E2C40">
          <w:rPr>
            <w:webHidden/>
          </w:rPr>
          <w:fldChar w:fldCharType="end"/>
        </w:r>
      </w:hyperlink>
    </w:p>
    <w:p w14:paraId="7C5BCBFB" w14:textId="40840219" w:rsidR="009E2C40" w:rsidRDefault="000569F8">
      <w:pPr>
        <w:pStyle w:val="TOC2"/>
        <w:rPr>
          <w:rFonts w:asciiTheme="minorHAnsi" w:eastAsiaTheme="minorEastAsia" w:hAnsiTheme="minorHAnsi" w:cstheme="minorBidi"/>
          <w:sz w:val="22"/>
          <w:szCs w:val="22"/>
          <w:lang w:eastAsia="en-AU"/>
        </w:rPr>
      </w:pPr>
      <w:hyperlink w:anchor="_Toc55379399" w:history="1">
        <w:r w:rsidR="009E2C40" w:rsidRPr="00715D6C">
          <w:rPr>
            <w:rStyle w:val="Hyperlink"/>
          </w:rPr>
          <w:t>How did people experience our services?</w:t>
        </w:r>
        <w:r w:rsidR="009E2C40">
          <w:rPr>
            <w:webHidden/>
          </w:rPr>
          <w:tab/>
        </w:r>
        <w:r w:rsidR="009E2C40">
          <w:rPr>
            <w:webHidden/>
          </w:rPr>
          <w:fldChar w:fldCharType="begin"/>
        </w:r>
        <w:r w:rsidR="009E2C40">
          <w:rPr>
            <w:webHidden/>
          </w:rPr>
          <w:instrText xml:space="preserve"> PAGEREF _Toc55379399 \h </w:instrText>
        </w:r>
        <w:r w:rsidR="009E2C40">
          <w:rPr>
            <w:webHidden/>
          </w:rPr>
        </w:r>
        <w:r w:rsidR="009E2C40">
          <w:rPr>
            <w:webHidden/>
          </w:rPr>
          <w:fldChar w:fldCharType="separate"/>
        </w:r>
        <w:r w:rsidR="00CD1537">
          <w:rPr>
            <w:webHidden/>
          </w:rPr>
          <w:t>43</w:t>
        </w:r>
        <w:r w:rsidR="009E2C40">
          <w:rPr>
            <w:webHidden/>
          </w:rPr>
          <w:fldChar w:fldCharType="end"/>
        </w:r>
      </w:hyperlink>
    </w:p>
    <w:p w14:paraId="68AD4A1A" w14:textId="57D53A44" w:rsidR="009E2C40" w:rsidRDefault="000569F8">
      <w:pPr>
        <w:pStyle w:val="TOC2"/>
        <w:rPr>
          <w:rFonts w:asciiTheme="minorHAnsi" w:eastAsiaTheme="minorEastAsia" w:hAnsiTheme="minorHAnsi" w:cstheme="minorBidi"/>
          <w:sz w:val="22"/>
          <w:szCs w:val="22"/>
          <w:lang w:eastAsia="en-AU"/>
        </w:rPr>
      </w:pPr>
      <w:hyperlink w:anchor="_Toc55379400" w:history="1">
        <w:r w:rsidR="009E2C40" w:rsidRPr="00715D6C">
          <w:rPr>
            <w:rStyle w:val="Hyperlink"/>
          </w:rPr>
          <w:t>Child and adolescent mental health services</w:t>
        </w:r>
        <w:r w:rsidR="009E2C40">
          <w:rPr>
            <w:webHidden/>
          </w:rPr>
          <w:tab/>
        </w:r>
        <w:r w:rsidR="009E2C40">
          <w:rPr>
            <w:webHidden/>
          </w:rPr>
          <w:fldChar w:fldCharType="begin"/>
        </w:r>
        <w:r w:rsidR="009E2C40">
          <w:rPr>
            <w:webHidden/>
          </w:rPr>
          <w:instrText xml:space="preserve"> PAGEREF _Toc55379400 \h </w:instrText>
        </w:r>
        <w:r w:rsidR="009E2C40">
          <w:rPr>
            <w:webHidden/>
          </w:rPr>
        </w:r>
        <w:r w:rsidR="009E2C40">
          <w:rPr>
            <w:webHidden/>
          </w:rPr>
          <w:fldChar w:fldCharType="separate"/>
        </w:r>
        <w:r w:rsidR="00CD1537">
          <w:rPr>
            <w:webHidden/>
          </w:rPr>
          <w:t>43</w:t>
        </w:r>
        <w:r w:rsidR="009E2C40">
          <w:rPr>
            <w:webHidden/>
          </w:rPr>
          <w:fldChar w:fldCharType="end"/>
        </w:r>
      </w:hyperlink>
    </w:p>
    <w:p w14:paraId="5B00B344" w14:textId="59F79EBC" w:rsidR="009E2C40" w:rsidRDefault="000569F8">
      <w:pPr>
        <w:pStyle w:val="TOC2"/>
        <w:rPr>
          <w:rFonts w:asciiTheme="minorHAnsi" w:eastAsiaTheme="minorEastAsia" w:hAnsiTheme="minorHAnsi" w:cstheme="minorBidi"/>
          <w:sz w:val="22"/>
          <w:szCs w:val="22"/>
          <w:lang w:eastAsia="en-AU"/>
        </w:rPr>
      </w:pPr>
      <w:hyperlink w:anchor="_Toc55379401" w:history="1">
        <w:r w:rsidR="009E2C40" w:rsidRPr="00715D6C">
          <w:rPr>
            <w:rStyle w:val="Hyperlink"/>
          </w:rPr>
          <w:t>Adult mental health services</w:t>
        </w:r>
        <w:r w:rsidR="009E2C40">
          <w:rPr>
            <w:webHidden/>
          </w:rPr>
          <w:tab/>
        </w:r>
        <w:r w:rsidR="009E2C40">
          <w:rPr>
            <w:webHidden/>
          </w:rPr>
          <w:fldChar w:fldCharType="begin"/>
        </w:r>
        <w:r w:rsidR="009E2C40">
          <w:rPr>
            <w:webHidden/>
          </w:rPr>
          <w:instrText xml:space="preserve"> PAGEREF _Toc55379401 \h </w:instrText>
        </w:r>
        <w:r w:rsidR="009E2C40">
          <w:rPr>
            <w:webHidden/>
          </w:rPr>
        </w:r>
        <w:r w:rsidR="009E2C40">
          <w:rPr>
            <w:webHidden/>
          </w:rPr>
          <w:fldChar w:fldCharType="separate"/>
        </w:r>
        <w:r w:rsidR="00CD1537">
          <w:rPr>
            <w:webHidden/>
          </w:rPr>
          <w:t>44</w:t>
        </w:r>
        <w:r w:rsidR="009E2C40">
          <w:rPr>
            <w:webHidden/>
          </w:rPr>
          <w:fldChar w:fldCharType="end"/>
        </w:r>
      </w:hyperlink>
    </w:p>
    <w:p w14:paraId="44EA2027" w14:textId="40ADCA36" w:rsidR="009E2C40" w:rsidRDefault="000569F8">
      <w:pPr>
        <w:pStyle w:val="TOC2"/>
        <w:rPr>
          <w:rFonts w:asciiTheme="minorHAnsi" w:eastAsiaTheme="minorEastAsia" w:hAnsiTheme="minorHAnsi" w:cstheme="minorBidi"/>
          <w:sz w:val="22"/>
          <w:szCs w:val="22"/>
          <w:lang w:eastAsia="en-AU"/>
        </w:rPr>
      </w:pPr>
      <w:hyperlink w:anchor="_Toc55379402" w:history="1">
        <w:r w:rsidR="009E2C40" w:rsidRPr="00715D6C">
          <w:rPr>
            <w:rStyle w:val="Hyperlink"/>
          </w:rPr>
          <w:t>Aged persons mental health services</w:t>
        </w:r>
        <w:r w:rsidR="009E2C40">
          <w:rPr>
            <w:webHidden/>
          </w:rPr>
          <w:tab/>
        </w:r>
        <w:r w:rsidR="009E2C40">
          <w:rPr>
            <w:webHidden/>
          </w:rPr>
          <w:fldChar w:fldCharType="begin"/>
        </w:r>
        <w:r w:rsidR="009E2C40">
          <w:rPr>
            <w:webHidden/>
          </w:rPr>
          <w:instrText xml:space="preserve"> PAGEREF _Toc55379402 \h </w:instrText>
        </w:r>
        <w:r w:rsidR="009E2C40">
          <w:rPr>
            <w:webHidden/>
          </w:rPr>
        </w:r>
        <w:r w:rsidR="009E2C40">
          <w:rPr>
            <w:webHidden/>
          </w:rPr>
          <w:fldChar w:fldCharType="separate"/>
        </w:r>
        <w:r w:rsidR="00CD1537">
          <w:rPr>
            <w:webHidden/>
          </w:rPr>
          <w:t>45</w:t>
        </w:r>
        <w:r w:rsidR="009E2C40">
          <w:rPr>
            <w:webHidden/>
          </w:rPr>
          <w:fldChar w:fldCharType="end"/>
        </w:r>
      </w:hyperlink>
    </w:p>
    <w:p w14:paraId="64E059F3" w14:textId="58D599FC" w:rsidR="009E2C40" w:rsidRDefault="000569F8">
      <w:pPr>
        <w:pStyle w:val="TOC2"/>
        <w:rPr>
          <w:rFonts w:asciiTheme="minorHAnsi" w:eastAsiaTheme="minorEastAsia" w:hAnsiTheme="minorHAnsi" w:cstheme="minorBidi"/>
          <w:sz w:val="22"/>
          <w:szCs w:val="22"/>
          <w:lang w:eastAsia="en-AU"/>
        </w:rPr>
      </w:pPr>
      <w:hyperlink w:anchor="_Toc55379403" w:history="1">
        <w:r w:rsidR="009E2C40" w:rsidRPr="00715D6C">
          <w:rPr>
            <w:rStyle w:val="Hyperlink"/>
          </w:rPr>
          <w:t>Forensic mental health services</w:t>
        </w:r>
        <w:r w:rsidR="009E2C40">
          <w:rPr>
            <w:webHidden/>
          </w:rPr>
          <w:tab/>
        </w:r>
        <w:r w:rsidR="009E2C40">
          <w:rPr>
            <w:webHidden/>
          </w:rPr>
          <w:fldChar w:fldCharType="begin"/>
        </w:r>
        <w:r w:rsidR="009E2C40">
          <w:rPr>
            <w:webHidden/>
          </w:rPr>
          <w:instrText xml:space="preserve"> PAGEREF _Toc55379403 \h </w:instrText>
        </w:r>
        <w:r w:rsidR="009E2C40">
          <w:rPr>
            <w:webHidden/>
          </w:rPr>
        </w:r>
        <w:r w:rsidR="009E2C40">
          <w:rPr>
            <w:webHidden/>
          </w:rPr>
          <w:fldChar w:fldCharType="separate"/>
        </w:r>
        <w:r w:rsidR="00CD1537">
          <w:rPr>
            <w:webHidden/>
          </w:rPr>
          <w:t>46</w:t>
        </w:r>
        <w:r w:rsidR="009E2C40">
          <w:rPr>
            <w:webHidden/>
          </w:rPr>
          <w:fldChar w:fldCharType="end"/>
        </w:r>
      </w:hyperlink>
    </w:p>
    <w:p w14:paraId="0DE79AB1" w14:textId="078398D1" w:rsidR="009E2C40" w:rsidRDefault="000569F8">
      <w:pPr>
        <w:pStyle w:val="TOC2"/>
        <w:rPr>
          <w:rFonts w:asciiTheme="minorHAnsi" w:eastAsiaTheme="minorEastAsia" w:hAnsiTheme="minorHAnsi" w:cstheme="minorBidi"/>
          <w:sz w:val="22"/>
          <w:szCs w:val="22"/>
          <w:lang w:eastAsia="en-AU"/>
        </w:rPr>
      </w:pPr>
      <w:hyperlink w:anchor="_Toc55379404" w:history="1">
        <w:r w:rsidR="009E2C40" w:rsidRPr="00715D6C">
          <w:rPr>
            <w:rStyle w:val="Hyperlink"/>
          </w:rPr>
          <w:t>Specialist mental health services</w:t>
        </w:r>
        <w:r w:rsidR="009E2C40">
          <w:rPr>
            <w:webHidden/>
          </w:rPr>
          <w:tab/>
        </w:r>
        <w:r w:rsidR="009E2C40">
          <w:rPr>
            <w:webHidden/>
          </w:rPr>
          <w:fldChar w:fldCharType="begin"/>
        </w:r>
        <w:r w:rsidR="009E2C40">
          <w:rPr>
            <w:webHidden/>
          </w:rPr>
          <w:instrText xml:space="preserve"> PAGEREF _Toc55379404 \h </w:instrText>
        </w:r>
        <w:r w:rsidR="009E2C40">
          <w:rPr>
            <w:webHidden/>
          </w:rPr>
        </w:r>
        <w:r w:rsidR="009E2C40">
          <w:rPr>
            <w:webHidden/>
          </w:rPr>
          <w:fldChar w:fldCharType="separate"/>
        </w:r>
        <w:r w:rsidR="00CD1537">
          <w:rPr>
            <w:webHidden/>
          </w:rPr>
          <w:t>47</w:t>
        </w:r>
        <w:r w:rsidR="009E2C40">
          <w:rPr>
            <w:webHidden/>
          </w:rPr>
          <w:fldChar w:fldCharType="end"/>
        </w:r>
      </w:hyperlink>
    </w:p>
    <w:p w14:paraId="092642DC" w14:textId="1FFEE2B6" w:rsidR="009E2C40" w:rsidRDefault="000569F8">
      <w:pPr>
        <w:pStyle w:val="TOC2"/>
        <w:rPr>
          <w:rFonts w:asciiTheme="minorHAnsi" w:eastAsiaTheme="minorEastAsia" w:hAnsiTheme="minorHAnsi" w:cstheme="minorBidi"/>
          <w:sz w:val="22"/>
          <w:szCs w:val="22"/>
          <w:lang w:eastAsia="en-AU"/>
        </w:rPr>
      </w:pPr>
      <w:hyperlink w:anchor="_Toc55379405" w:history="1">
        <w:r w:rsidR="009E2C40" w:rsidRPr="00715D6C">
          <w:rPr>
            <w:rStyle w:val="Hyperlink"/>
          </w:rPr>
          <w:t>Compulsory treatment</w:t>
        </w:r>
        <w:r w:rsidR="009E2C40">
          <w:rPr>
            <w:webHidden/>
          </w:rPr>
          <w:tab/>
        </w:r>
        <w:r w:rsidR="009E2C40">
          <w:rPr>
            <w:webHidden/>
          </w:rPr>
          <w:fldChar w:fldCharType="begin"/>
        </w:r>
        <w:r w:rsidR="009E2C40">
          <w:rPr>
            <w:webHidden/>
          </w:rPr>
          <w:instrText xml:space="preserve"> PAGEREF _Toc55379405 \h </w:instrText>
        </w:r>
        <w:r w:rsidR="009E2C40">
          <w:rPr>
            <w:webHidden/>
          </w:rPr>
        </w:r>
        <w:r w:rsidR="009E2C40">
          <w:rPr>
            <w:webHidden/>
          </w:rPr>
          <w:fldChar w:fldCharType="separate"/>
        </w:r>
        <w:r w:rsidR="00CD1537">
          <w:rPr>
            <w:webHidden/>
          </w:rPr>
          <w:t>48</w:t>
        </w:r>
        <w:r w:rsidR="009E2C40">
          <w:rPr>
            <w:webHidden/>
          </w:rPr>
          <w:fldChar w:fldCharType="end"/>
        </w:r>
      </w:hyperlink>
    </w:p>
    <w:p w14:paraId="1BDF9B23" w14:textId="08F56CED" w:rsidR="009E2C40" w:rsidRDefault="000569F8">
      <w:pPr>
        <w:pStyle w:val="TOC2"/>
        <w:rPr>
          <w:rFonts w:asciiTheme="minorHAnsi" w:eastAsiaTheme="minorEastAsia" w:hAnsiTheme="minorHAnsi" w:cstheme="minorBidi"/>
          <w:sz w:val="22"/>
          <w:szCs w:val="22"/>
          <w:lang w:eastAsia="en-AU"/>
        </w:rPr>
      </w:pPr>
      <w:hyperlink w:anchor="_Toc55379406" w:history="1">
        <w:r w:rsidR="009E2C40" w:rsidRPr="00715D6C">
          <w:rPr>
            <w:rStyle w:val="Hyperlink"/>
          </w:rPr>
          <w:t>Seclusion and restraint</w:t>
        </w:r>
        <w:r w:rsidR="009E2C40">
          <w:rPr>
            <w:webHidden/>
          </w:rPr>
          <w:tab/>
        </w:r>
        <w:r w:rsidR="009E2C40">
          <w:rPr>
            <w:webHidden/>
          </w:rPr>
          <w:fldChar w:fldCharType="begin"/>
        </w:r>
        <w:r w:rsidR="009E2C40">
          <w:rPr>
            <w:webHidden/>
          </w:rPr>
          <w:instrText xml:space="preserve"> PAGEREF _Toc55379406 \h </w:instrText>
        </w:r>
        <w:r w:rsidR="009E2C40">
          <w:rPr>
            <w:webHidden/>
          </w:rPr>
        </w:r>
        <w:r w:rsidR="009E2C40">
          <w:rPr>
            <w:webHidden/>
          </w:rPr>
          <w:fldChar w:fldCharType="separate"/>
        </w:r>
        <w:r w:rsidR="00CD1537">
          <w:rPr>
            <w:webHidden/>
          </w:rPr>
          <w:t>49</w:t>
        </w:r>
        <w:r w:rsidR="009E2C40">
          <w:rPr>
            <w:webHidden/>
          </w:rPr>
          <w:fldChar w:fldCharType="end"/>
        </w:r>
      </w:hyperlink>
    </w:p>
    <w:p w14:paraId="6C4F3D71" w14:textId="533DF1AF" w:rsidR="009E2C40" w:rsidRDefault="000569F8">
      <w:pPr>
        <w:pStyle w:val="TOC1"/>
        <w:rPr>
          <w:rFonts w:asciiTheme="minorHAnsi" w:eastAsiaTheme="minorEastAsia" w:hAnsiTheme="minorHAnsi" w:cstheme="minorBidi"/>
          <w:b w:val="0"/>
          <w:sz w:val="22"/>
          <w:szCs w:val="22"/>
          <w:lang w:eastAsia="en-AU"/>
        </w:rPr>
      </w:pPr>
      <w:hyperlink w:anchor="_Toc55379407" w:history="1">
        <w:r w:rsidR="009E2C40" w:rsidRPr="00715D6C">
          <w:rPr>
            <w:rStyle w:val="Hyperlink"/>
          </w:rPr>
          <w:t>Appendix 1: Mental health reporting based on the outcomes framework</w:t>
        </w:r>
        <w:r w:rsidR="009E2C40">
          <w:rPr>
            <w:webHidden/>
          </w:rPr>
          <w:tab/>
        </w:r>
        <w:r w:rsidR="009E2C40">
          <w:rPr>
            <w:webHidden/>
          </w:rPr>
          <w:fldChar w:fldCharType="begin"/>
        </w:r>
        <w:r w:rsidR="009E2C40">
          <w:rPr>
            <w:webHidden/>
          </w:rPr>
          <w:instrText xml:space="preserve"> PAGEREF _Toc55379407 \h </w:instrText>
        </w:r>
        <w:r w:rsidR="009E2C40">
          <w:rPr>
            <w:webHidden/>
          </w:rPr>
        </w:r>
        <w:r w:rsidR="009E2C40">
          <w:rPr>
            <w:webHidden/>
          </w:rPr>
          <w:fldChar w:fldCharType="separate"/>
        </w:r>
        <w:r w:rsidR="00CD1537">
          <w:rPr>
            <w:webHidden/>
          </w:rPr>
          <w:t>51</w:t>
        </w:r>
        <w:r w:rsidR="009E2C40">
          <w:rPr>
            <w:webHidden/>
          </w:rPr>
          <w:fldChar w:fldCharType="end"/>
        </w:r>
      </w:hyperlink>
    </w:p>
    <w:p w14:paraId="36F50CF1" w14:textId="39BD15CD" w:rsidR="009E2C40" w:rsidRDefault="000569F8">
      <w:pPr>
        <w:pStyle w:val="TOC2"/>
        <w:rPr>
          <w:rFonts w:asciiTheme="minorHAnsi" w:eastAsiaTheme="minorEastAsia" w:hAnsiTheme="minorHAnsi" w:cstheme="minorBidi"/>
          <w:sz w:val="22"/>
          <w:szCs w:val="22"/>
          <w:lang w:eastAsia="en-AU"/>
        </w:rPr>
      </w:pPr>
      <w:hyperlink w:anchor="_Toc55379408" w:history="1">
        <w:r w:rsidR="009E2C40" w:rsidRPr="00715D6C">
          <w:rPr>
            <w:rStyle w:val="Hyperlink"/>
          </w:rPr>
          <w:t>Domain 1: Victorians have good mental health and wellbeing</w:t>
        </w:r>
        <w:r w:rsidR="009E2C40">
          <w:rPr>
            <w:webHidden/>
          </w:rPr>
          <w:tab/>
        </w:r>
        <w:r w:rsidR="009E2C40">
          <w:rPr>
            <w:webHidden/>
          </w:rPr>
          <w:fldChar w:fldCharType="begin"/>
        </w:r>
        <w:r w:rsidR="009E2C40">
          <w:rPr>
            <w:webHidden/>
          </w:rPr>
          <w:instrText xml:space="preserve"> PAGEREF _Toc55379408 \h </w:instrText>
        </w:r>
        <w:r w:rsidR="009E2C40">
          <w:rPr>
            <w:webHidden/>
          </w:rPr>
        </w:r>
        <w:r w:rsidR="009E2C40">
          <w:rPr>
            <w:webHidden/>
          </w:rPr>
          <w:fldChar w:fldCharType="separate"/>
        </w:r>
        <w:r w:rsidR="00CD1537">
          <w:rPr>
            <w:webHidden/>
          </w:rPr>
          <w:t>51</w:t>
        </w:r>
        <w:r w:rsidR="009E2C40">
          <w:rPr>
            <w:webHidden/>
          </w:rPr>
          <w:fldChar w:fldCharType="end"/>
        </w:r>
      </w:hyperlink>
    </w:p>
    <w:p w14:paraId="71FE3AD0" w14:textId="5D521413" w:rsidR="009E2C40" w:rsidRDefault="000569F8">
      <w:pPr>
        <w:pStyle w:val="TOC2"/>
        <w:rPr>
          <w:rFonts w:asciiTheme="minorHAnsi" w:eastAsiaTheme="minorEastAsia" w:hAnsiTheme="minorHAnsi" w:cstheme="minorBidi"/>
          <w:sz w:val="22"/>
          <w:szCs w:val="22"/>
          <w:lang w:eastAsia="en-AU"/>
        </w:rPr>
      </w:pPr>
      <w:hyperlink w:anchor="_Toc55379409" w:history="1">
        <w:r w:rsidR="009E2C40" w:rsidRPr="00715D6C">
          <w:rPr>
            <w:rStyle w:val="Hyperlink"/>
          </w:rPr>
          <w:t>Domain 2: Victorians promote mental health for all ages and stages of life</w:t>
        </w:r>
        <w:r w:rsidR="009E2C40">
          <w:rPr>
            <w:webHidden/>
          </w:rPr>
          <w:tab/>
        </w:r>
        <w:r w:rsidR="009E2C40">
          <w:rPr>
            <w:webHidden/>
          </w:rPr>
          <w:fldChar w:fldCharType="begin"/>
        </w:r>
        <w:r w:rsidR="009E2C40">
          <w:rPr>
            <w:webHidden/>
          </w:rPr>
          <w:instrText xml:space="preserve"> PAGEREF _Toc55379409 \h </w:instrText>
        </w:r>
        <w:r w:rsidR="009E2C40">
          <w:rPr>
            <w:webHidden/>
          </w:rPr>
        </w:r>
        <w:r w:rsidR="009E2C40">
          <w:rPr>
            <w:webHidden/>
          </w:rPr>
          <w:fldChar w:fldCharType="separate"/>
        </w:r>
        <w:r w:rsidR="00CD1537">
          <w:rPr>
            <w:webHidden/>
          </w:rPr>
          <w:t>54</w:t>
        </w:r>
        <w:r w:rsidR="009E2C40">
          <w:rPr>
            <w:webHidden/>
          </w:rPr>
          <w:fldChar w:fldCharType="end"/>
        </w:r>
      </w:hyperlink>
    </w:p>
    <w:p w14:paraId="41231F6B" w14:textId="2FAA1BF8" w:rsidR="009E2C40" w:rsidRDefault="000569F8">
      <w:pPr>
        <w:pStyle w:val="TOC2"/>
        <w:rPr>
          <w:rFonts w:asciiTheme="minorHAnsi" w:eastAsiaTheme="minorEastAsia" w:hAnsiTheme="minorHAnsi" w:cstheme="minorBidi"/>
          <w:sz w:val="22"/>
          <w:szCs w:val="22"/>
          <w:lang w:eastAsia="en-AU"/>
        </w:rPr>
      </w:pPr>
      <w:hyperlink w:anchor="_Toc55379410" w:history="1">
        <w:r w:rsidR="009E2C40" w:rsidRPr="00715D6C">
          <w:rPr>
            <w:rStyle w:val="Hyperlink"/>
          </w:rPr>
          <w:t>Domain 3: Victorians with mental illness live fulfilling lives of their choosing, with or without symptoms of mental illness</w:t>
        </w:r>
        <w:r w:rsidR="009E2C40">
          <w:rPr>
            <w:webHidden/>
          </w:rPr>
          <w:tab/>
        </w:r>
        <w:r w:rsidR="009E2C40">
          <w:rPr>
            <w:webHidden/>
          </w:rPr>
          <w:fldChar w:fldCharType="begin"/>
        </w:r>
        <w:r w:rsidR="009E2C40">
          <w:rPr>
            <w:webHidden/>
          </w:rPr>
          <w:instrText xml:space="preserve"> PAGEREF _Toc55379410 \h </w:instrText>
        </w:r>
        <w:r w:rsidR="009E2C40">
          <w:rPr>
            <w:webHidden/>
          </w:rPr>
        </w:r>
        <w:r w:rsidR="009E2C40">
          <w:rPr>
            <w:webHidden/>
          </w:rPr>
          <w:fldChar w:fldCharType="separate"/>
        </w:r>
        <w:r w:rsidR="00CD1537">
          <w:rPr>
            <w:webHidden/>
          </w:rPr>
          <w:t>55</w:t>
        </w:r>
        <w:r w:rsidR="009E2C40">
          <w:rPr>
            <w:webHidden/>
          </w:rPr>
          <w:fldChar w:fldCharType="end"/>
        </w:r>
      </w:hyperlink>
    </w:p>
    <w:p w14:paraId="7B792E66" w14:textId="7F40B600" w:rsidR="009E2C40" w:rsidRDefault="000569F8">
      <w:pPr>
        <w:pStyle w:val="TOC2"/>
        <w:rPr>
          <w:rFonts w:asciiTheme="minorHAnsi" w:eastAsiaTheme="minorEastAsia" w:hAnsiTheme="minorHAnsi" w:cstheme="minorBidi"/>
          <w:sz w:val="22"/>
          <w:szCs w:val="22"/>
          <w:lang w:eastAsia="en-AU"/>
        </w:rPr>
      </w:pPr>
      <w:hyperlink w:anchor="_Toc55379411" w:history="1">
        <w:r w:rsidR="009E2C40" w:rsidRPr="00715D6C">
          <w:rPr>
            <w:rStyle w:val="Hyperlink"/>
          </w:rPr>
          <w:t>Domain 4: The service system is accessible, flexible and responsive to people of all ages, their families and carers, and the workforce is supported to deliver this</w:t>
        </w:r>
        <w:r w:rsidR="009E2C40">
          <w:rPr>
            <w:webHidden/>
          </w:rPr>
          <w:tab/>
        </w:r>
        <w:r w:rsidR="009E2C40">
          <w:rPr>
            <w:webHidden/>
          </w:rPr>
          <w:fldChar w:fldCharType="begin"/>
        </w:r>
        <w:r w:rsidR="009E2C40">
          <w:rPr>
            <w:webHidden/>
          </w:rPr>
          <w:instrText xml:space="preserve"> PAGEREF _Toc55379411 \h </w:instrText>
        </w:r>
        <w:r w:rsidR="009E2C40">
          <w:rPr>
            <w:webHidden/>
          </w:rPr>
        </w:r>
        <w:r w:rsidR="009E2C40">
          <w:rPr>
            <w:webHidden/>
          </w:rPr>
          <w:fldChar w:fldCharType="separate"/>
        </w:r>
        <w:r w:rsidR="00CD1537">
          <w:rPr>
            <w:webHidden/>
          </w:rPr>
          <w:t>57</w:t>
        </w:r>
        <w:r w:rsidR="009E2C40">
          <w:rPr>
            <w:webHidden/>
          </w:rPr>
          <w:fldChar w:fldCharType="end"/>
        </w:r>
      </w:hyperlink>
    </w:p>
    <w:p w14:paraId="72F5F9C9" w14:textId="3A0C7506" w:rsidR="009E2C40" w:rsidRDefault="000569F8">
      <w:pPr>
        <w:pStyle w:val="TOC1"/>
        <w:rPr>
          <w:rFonts w:asciiTheme="minorHAnsi" w:eastAsiaTheme="minorEastAsia" w:hAnsiTheme="minorHAnsi" w:cstheme="minorBidi"/>
          <w:b w:val="0"/>
          <w:sz w:val="22"/>
          <w:szCs w:val="22"/>
          <w:lang w:eastAsia="en-AU"/>
        </w:rPr>
      </w:pPr>
      <w:hyperlink w:anchor="_Toc55379412" w:history="1">
        <w:r w:rsidR="009E2C40" w:rsidRPr="00715D6C">
          <w:rPr>
            <w:rStyle w:val="Hyperlink"/>
          </w:rPr>
          <w:t>Appendix 2: Public mental health service data</w:t>
        </w:r>
        <w:r w:rsidR="009E2C40">
          <w:rPr>
            <w:webHidden/>
          </w:rPr>
          <w:tab/>
        </w:r>
        <w:r w:rsidR="009E2C40">
          <w:rPr>
            <w:webHidden/>
          </w:rPr>
          <w:fldChar w:fldCharType="begin"/>
        </w:r>
        <w:r w:rsidR="009E2C40">
          <w:rPr>
            <w:webHidden/>
          </w:rPr>
          <w:instrText xml:space="preserve"> PAGEREF _Toc55379412 \h </w:instrText>
        </w:r>
        <w:r w:rsidR="009E2C40">
          <w:rPr>
            <w:webHidden/>
          </w:rPr>
        </w:r>
        <w:r w:rsidR="009E2C40">
          <w:rPr>
            <w:webHidden/>
          </w:rPr>
          <w:fldChar w:fldCharType="separate"/>
        </w:r>
        <w:r w:rsidR="00CD1537">
          <w:rPr>
            <w:webHidden/>
          </w:rPr>
          <w:t>61</w:t>
        </w:r>
        <w:r w:rsidR="009E2C40">
          <w:rPr>
            <w:webHidden/>
          </w:rPr>
          <w:fldChar w:fldCharType="end"/>
        </w:r>
      </w:hyperlink>
    </w:p>
    <w:p w14:paraId="617C823D" w14:textId="2E988879" w:rsidR="009E2C40" w:rsidRDefault="000569F8">
      <w:pPr>
        <w:pStyle w:val="TOC1"/>
        <w:rPr>
          <w:rFonts w:asciiTheme="minorHAnsi" w:eastAsiaTheme="minorEastAsia" w:hAnsiTheme="minorHAnsi" w:cstheme="minorBidi"/>
          <w:b w:val="0"/>
          <w:sz w:val="22"/>
          <w:szCs w:val="22"/>
          <w:lang w:eastAsia="en-AU"/>
        </w:rPr>
      </w:pPr>
      <w:hyperlink w:anchor="_Toc55379413" w:history="1">
        <w:r w:rsidR="009E2C40" w:rsidRPr="00715D6C">
          <w:rPr>
            <w:rStyle w:val="Hyperlink"/>
          </w:rPr>
          <w:t>Appendix 3: Victoria’s public mental health system</w:t>
        </w:r>
        <w:r w:rsidR="009E2C40">
          <w:rPr>
            <w:webHidden/>
          </w:rPr>
          <w:tab/>
        </w:r>
        <w:r w:rsidR="009E2C40">
          <w:rPr>
            <w:webHidden/>
          </w:rPr>
          <w:fldChar w:fldCharType="begin"/>
        </w:r>
        <w:r w:rsidR="009E2C40">
          <w:rPr>
            <w:webHidden/>
          </w:rPr>
          <w:instrText xml:space="preserve"> PAGEREF _Toc55379413 \h </w:instrText>
        </w:r>
        <w:r w:rsidR="009E2C40">
          <w:rPr>
            <w:webHidden/>
          </w:rPr>
        </w:r>
        <w:r w:rsidR="009E2C40">
          <w:rPr>
            <w:webHidden/>
          </w:rPr>
          <w:fldChar w:fldCharType="separate"/>
        </w:r>
        <w:r w:rsidR="00CD1537">
          <w:rPr>
            <w:webHidden/>
          </w:rPr>
          <w:t>70</w:t>
        </w:r>
        <w:r w:rsidR="009E2C40">
          <w:rPr>
            <w:webHidden/>
          </w:rPr>
          <w:fldChar w:fldCharType="end"/>
        </w:r>
      </w:hyperlink>
    </w:p>
    <w:p w14:paraId="009D3F7F" w14:textId="36FA9B5B" w:rsidR="009E2C40" w:rsidRDefault="000569F8">
      <w:pPr>
        <w:pStyle w:val="TOC2"/>
        <w:rPr>
          <w:rFonts w:asciiTheme="minorHAnsi" w:eastAsiaTheme="minorEastAsia" w:hAnsiTheme="minorHAnsi" w:cstheme="minorBidi"/>
          <w:sz w:val="22"/>
          <w:szCs w:val="22"/>
          <w:lang w:eastAsia="en-AU"/>
        </w:rPr>
      </w:pPr>
      <w:hyperlink w:anchor="_Toc55379414" w:history="1">
        <w:r w:rsidR="009E2C40" w:rsidRPr="00715D6C">
          <w:rPr>
            <w:rStyle w:val="Hyperlink"/>
          </w:rPr>
          <w:t>Area-based clinical services</w:t>
        </w:r>
        <w:r w:rsidR="009E2C40">
          <w:rPr>
            <w:webHidden/>
          </w:rPr>
          <w:tab/>
        </w:r>
        <w:r w:rsidR="009E2C40">
          <w:rPr>
            <w:webHidden/>
          </w:rPr>
          <w:fldChar w:fldCharType="begin"/>
        </w:r>
        <w:r w:rsidR="009E2C40">
          <w:rPr>
            <w:webHidden/>
          </w:rPr>
          <w:instrText xml:space="preserve"> PAGEREF _Toc55379414 \h </w:instrText>
        </w:r>
        <w:r w:rsidR="009E2C40">
          <w:rPr>
            <w:webHidden/>
          </w:rPr>
        </w:r>
        <w:r w:rsidR="009E2C40">
          <w:rPr>
            <w:webHidden/>
          </w:rPr>
          <w:fldChar w:fldCharType="separate"/>
        </w:r>
        <w:r w:rsidR="00CD1537">
          <w:rPr>
            <w:webHidden/>
          </w:rPr>
          <w:t>70</w:t>
        </w:r>
        <w:r w:rsidR="009E2C40">
          <w:rPr>
            <w:webHidden/>
          </w:rPr>
          <w:fldChar w:fldCharType="end"/>
        </w:r>
      </w:hyperlink>
    </w:p>
    <w:p w14:paraId="2B999CBE" w14:textId="361591F7" w:rsidR="009E2C40" w:rsidRDefault="000569F8">
      <w:pPr>
        <w:pStyle w:val="TOC2"/>
        <w:rPr>
          <w:rFonts w:asciiTheme="minorHAnsi" w:eastAsiaTheme="minorEastAsia" w:hAnsiTheme="minorHAnsi" w:cstheme="minorBidi"/>
          <w:sz w:val="22"/>
          <w:szCs w:val="22"/>
          <w:lang w:eastAsia="en-AU"/>
        </w:rPr>
      </w:pPr>
      <w:hyperlink w:anchor="_Toc55379415" w:history="1">
        <w:r w:rsidR="009E2C40" w:rsidRPr="00715D6C">
          <w:rPr>
            <w:rStyle w:val="Hyperlink"/>
          </w:rPr>
          <w:t>Statewide specialist services</w:t>
        </w:r>
        <w:r w:rsidR="009E2C40">
          <w:rPr>
            <w:webHidden/>
          </w:rPr>
          <w:tab/>
        </w:r>
        <w:r w:rsidR="009E2C40">
          <w:rPr>
            <w:webHidden/>
          </w:rPr>
          <w:fldChar w:fldCharType="begin"/>
        </w:r>
        <w:r w:rsidR="009E2C40">
          <w:rPr>
            <w:webHidden/>
          </w:rPr>
          <w:instrText xml:space="preserve"> PAGEREF _Toc55379415 \h </w:instrText>
        </w:r>
        <w:r w:rsidR="009E2C40">
          <w:rPr>
            <w:webHidden/>
          </w:rPr>
        </w:r>
        <w:r w:rsidR="009E2C40">
          <w:rPr>
            <w:webHidden/>
          </w:rPr>
          <w:fldChar w:fldCharType="separate"/>
        </w:r>
        <w:r w:rsidR="00CD1537">
          <w:rPr>
            <w:webHidden/>
          </w:rPr>
          <w:t>70</w:t>
        </w:r>
        <w:r w:rsidR="009E2C40">
          <w:rPr>
            <w:webHidden/>
          </w:rPr>
          <w:fldChar w:fldCharType="end"/>
        </w:r>
      </w:hyperlink>
    </w:p>
    <w:p w14:paraId="5B1181F2" w14:textId="3F1EE1F1" w:rsidR="003E2E12" w:rsidRPr="003072C6" w:rsidRDefault="00E15DA9" w:rsidP="00213772">
      <w:pPr>
        <w:pStyle w:val="TOC2"/>
        <w:rPr>
          <w:noProof w:val="0"/>
        </w:rPr>
      </w:pPr>
      <w:r w:rsidRPr="003072C6">
        <w:rPr>
          <w:noProof w:val="0"/>
        </w:rPr>
        <w:fldChar w:fldCharType="end"/>
      </w:r>
    </w:p>
    <w:p w14:paraId="76C85C0D" w14:textId="7406FEB8" w:rsidR="00256E7C" w:rsidRPr="003072C6" w:rsidRDefault="00A41310" w:rsidP="00410442">
      <w:pPr>
        <w:pStyle w:val="Heading1"/>
      </w:pPr>
      <w:bookmarkStart w:id="2" w:name="_Toc55379383"/>
      <w:r w:rsidRPr="008F4164">
        <w:rPr>
          <w:rStyle w:val="normaltextrun"/>
        </w:rPr>
        <w:lastRenderedPageBreak/>
        <w:t>Secretary</w:t>
      </w:r>
      <w:r>
        <w:rPr>
          <w:rStyle w:val="normaltextrun"/>
        </w:rPr>
        <w:t>’s</w:t>
      </w:r>
      <w:r w:rsidRPr="008F4164">
        <w:rPr>
          <w:rStyle w:val="normaltextrun"/>
        </w:rPr>
        <w:t xml:space="preserve"> </w:t>
      </w:r>
      <w:r w:rsidR="00894D3B">
        <w:rPr>
          <w:rStyle w:val="normaltextrun"/>
        </w:rPr>
        <w:t>f</w:t>
      </w:r>
      <w:r w:rsidRPr="008F4164">
        <w:rPr>
          <w:rStyle w:val="normaltextrun"/>
        </w:rPr>
        <w:t>oreword  </w:t>
      </w:r>
      <w:bookmarkEnd w:id="2"/>
      <w:r w:rsidRPr="008F4164">
        <w:rPr>
          <w:rStyle w:val="eop"/>
        </w:rPr>
        <w:t> </w:t>
      </w:r>
    </w:p>
    <w:p w14:paraId="5EC137E5" w14:textId="7FA33563" w:rsidR="00A60F5E" w:rsidRDefault="00A60F5E" w:rsidP="00A60F5E">
      <w:pPr>
        <w:pStyle w:val="DHHSbody"/>
      </w:pPr>
      <w:r w:rsidRPr="00C91DD2">
        <w:t xml:space="preserve">I </w:t>
      </w:r>
      <w:r w:rsidRPr="009D7237">
        <w:t xml:space="preserve">am pleased to present the fifth </w:t>
      </w:r>
      <w:r w:rsidRPr="003B342F">
        <w:rPr>
          <w:i/>
          <w:iCs/>
        </w:rPr>
        <w:t>Victoria’s mental health services annual report</w:t>
      </w:r>
      <w:r w:rsidRPr="009D7237">
        <w:t xml:space="preserve"> to the Victorian Parliament and community. This report focuses on Victoria’s state-funded mental health services and the people who accessed the</w:t>
      </w:r>
      <w:r>
        <w:t>se services</w:t>
      </w:r>
      <w:r w:rsidRPr="009D7237">
        <w:t xml:space="preserve"> for treatment, care and support in 2019–20. </w:t>
      </w:r>
    </w:p>
    <w:p w14:paraId="1C10EA4B" w14:textId="6B2506B4" w:rsidR="007439A3" w:rsidRPr="00FF6101" w:rsidRDefault="00BA6AC1" w:rsidP="007439A3">
      <w:pPr>
        <w:pStyle w:val="DHHSbody"/>
        <w:rPr>
          <w:color w:val="000000" w:themeColor="text1"/>
        </w:rPr>
      </w:pPr>
      <w:r>
        <w:t>Th</w:t>
      </w:r>
      <w:r w:rsidR="000C1C83">
        <w:t>is r</w:t>
      </w:r>
      <w:r w:rsidR="00410442">
        <w:t xml:space="preserve">eporting </w:t>
      </w:r>
      <w:r>
        <w:t>year</w:t>
      </w:r>
      <w:r w:rsidR="007439A3">
        <w:t xml:space="preserve"> has presented </w:t>
      </w:r>
      <w:r w:rsidR="007439A3" w:rsidRPr="009D7237">
        <w:t xml:space="preserve">extraordinary challenges </w:t>
      </w:r>
      <w:r w:rsidR="007439A3">
        <w:t>to t</w:t>
      </w:r>
      <w:r w:rsidR="007439A3" w:rsidRPr="009D7237">
        <w:t>he Victorian community</w:t>
      </w:r>
      <w:r w:rsidR="007439A3">
        <w:t xml:space="preserve">, with the effects of </w:t>
      </w:r>
      <w:r w:rsidR="007439A3" w:rsidRPr="00471183">
        <w:rPr>
          <w:rStyle w:val="eop"/>
          <w:color w:val="000000" w:themeColor="text1"/>
        </w:rPr>
        <w:t>drought, bushfire</w:t>
      </w:r>
      <w:r w:rsidR="007439A3">
        <w:rPr>
          <w:rStyle w:val="eop"/>
          <w:color w:val="000000" w:themeColor="text1"/>
        </w:rPr>
        <w:t>s</w:t>
      </w:r>
      <w:r w:rsidR="007439A3" w:rsidRPr="00471183">
        <w:rPr>
          <w:rStyle w:val="eop"/>
          <w:color w:val="000000" w:themeColor="text1"/>
        </w:rPr>
        <w:t xml:space="preserve"> and </w:t>
      </w:r>
      <w:r w:rsidR="007439A3">
        <w:rPr>
          <w:rStyle w:val="eop"/>
          <w:color w:val="000000" w:themeColor="text1"/>
        </w:rPr>
        <w:t xml:space="preserve">the </w:t>
      </w:r>
      <w:r w:rsidR="00E51317">
        <w:rPr>
          <w:rStyle w:val="eop"/>
          <w:color w:val="000000" w:themeColor="text1"/>
        </w:rPr>
        <w:t>coronavirus (COVID-19)</w:t>
      </w:r>
      <w:r w:rsidR="007439A3">
        <w:rPr>
          <w:rStyle w:val="eop"/>
          <w:color w:val="000000" w:themeColor="text1"/>
        </w:rPr>
        <w:t xml:space="preserve"> pandemic. Victoria’s mental health system has responded to these challenges with additional support provided to drought</w:t>
      </w:r>
      <w:r w:rsidR="00410442">
        <w:rPr>
          <w:rStyle w:val="eop"/>
          <w:color w:val="000000" w:themeColor="text1"/>
        </w:rPr>
        <w:t>-</w:t>
      </w:r>
      <w:r w:rsidR="007439A3">
        <w:rPr>
          <w:rStyle w:val="eop"/>
          <w:color w:val="000000" w:themeColor="text1"/>
        </w:rPr>
        <w:t xml:space="preserve"> and bushfire</w:t>
      </w:r>
      <w:r w:rsidR="00410442">
        <w:rPr>
          <w:rStyle w:val="eop"/>
          <w:color w:val="000000" w:themeColor="text1"/>
        </w:rPr>
        <w:t>-</w:t>
      </w:r>
      <w:r w:rsidR="007439A3">
        <w:rPr>
          <w:rStyle w:val="eop"/>
          <w:color w:val="000000" w:themeColor="text1"/>
        </w:rPr>
        <w:t xml:space="preserve">affected communities and significant adjustments to service delivery to ensure continued access to mental health services. </w:t>
      </w:r>
      <w:r w:rsidR="007439A3" w:rsidRPr="009D7237">
        <w:t>It has been</w:t>
      </w:r>
      <w:r w:rsidR="007439A3">
        <w:t xml:space="preserve"> </w:t>
      </w:r>
      <w:r w:rsidR="007439A3" w:rsidRPr="009D7237">
        <w:t>encouraging to see service</w:t>
      </w:r>
      <w:r w:rsidR="007439A3">
        <w:t xml:space="preserve"> providers</w:t>
      </w:r>
      <w:r w:rsidR="007439A3" w:rsidRPr="009D7237">
        <w:t xml:space="preserve"> embrace </w:t>
      </w:r>
      <w:r w:rsidR="007439A3">
        <w:t xml:space="preserve">new and innovative ways of delivering services to ensure the safety of staff, </w:t>
      </w:r>
      <w:r w:rsidR="007439A3" w:rsidRPr="009D7237">
        <w:t>consumers, carers and their families</w:t>
      </w:r>
      <w:r w:rsidR="007439A3">
        <w:t xml:space="preserve"> during the </w:t>
      </w:r>
      <w:r w:rsidR="00E51317">
        <w:t>coronavirus (COVID-19)</w:t>
      </w:r>
      <w:r w:rsidR="007439A3">
        <w:t xml:space="preserve"> pandemic</w:t>
      </w:r>
      <w:r w:rsidR="007439A3" w:rsidRPr="009D7237">
        <w:t>.</w:t>
      </w:r>
      <w:r w:rsidR="007439A3">
        <w:t xml:space="preserve"> This report tells the story up until the end of June 2020, but I would also like to acknowledge the months of very hard work and the dedication of the staff in the service system between then and now.</w:t>
      </w:r>
    </w:p>
    <w:p w14:paraId="358A3D09" w14:textId="3BFDA025" w:rsidR="00A60F5E" w:rsidRPr="00AD5480" w:rsidRDefault="00A60F5E" w:rsidP="00A60F5E">
      <w:pPr>
        <w:pStyle w:val="DHHSbody"/>
        <w:rPr>
          <w:color w:val="000000" w:themeColor="text1"/>
        </w:rPr>
      </w:pPr>
      <w:r>
        <w:t>This report</w:t>
      </w:r>
      <w:r w:rsidRPr="009D7237">
        <w:t xml:space="preserve"> highlight</w:t>
      </w:r>
      <w:r>
        <w:t>s</w:t>
      </w:r>
      <w:r w:rsidRPr="009D7237">
        <w:t xml:space="preserve"> progress over the past year in </w:t>
      </w:r>
      <w:r>
        <w:t>implementing</w:t>
      </w:r>
      <w:r w:rsidRPr="009D7237">
        <w:t xml:space="preserve"> key initiatives focused on improving mental health outcomes under </w:t>
      </w:r>
      <w:r w:rsidRPr="00922739">
        <w:rPr>
          <w:i/>
          <w:iCs/>
        </w:rPr>
        <w:t>Victoria’s 10-year mental health plan</w:t>
      </w:r>
      <w:r>
        <w:rPr>
          <w:i/>
          <w:iCs/>
        </w:rPr>
        <w:t>.</w:t>
      </w:r>
      <w:r>
        <w:t xml:space="preserve"> </w:t>
      </w:r>
      <w:r>
        <w:rPr>
          <w:color w:val="000000" w:themeColor="text1"/>
        </w:rPr>
        <w:t>This i</w:t>
      </w:r>
      <w:r w:rsidRPr="00471183">
        <w:rPr>
          <w:color w:val="000000" w:themeColor="text1"/>
        </w:rPr>
        <w:t>nclud</w:t>
      </w:r>
      <w:r>
        <w:rPr>
          <w:color w:val="000000" w:themeColor="text1"/>
        </w:rPr>
        <w:t>es</w:t>
      </w:r>
      <w:r w:rsidRPr="00471183">
        <w:rPr>
          <w:color w:val="000000" w:themeColor="text1"/>
        </w:rPr>
        <w:t xml:space="preserve"> work to reduce suicide in local communities, </w:t>
      </w:r>
      <w:r w:rsidR="00101F7A">
        <w:rPr>
          <w:color w:val="000000" w:themeColor="text1"/>
        </w:rPr>
        <w:t xml:space="preserve">to </w:t>
      </w:r>
      <w:r w:rsidRPr="00471183">
        <w:rPr>
          <w:color w:val="000000" w:themeColor="text1"/>
        </w:rPr>
        <w:t xml:space="preserve">support and strengthen our mental health workforce and </w:t>
      </w:r>
      <w:r w:rsidR="00101F7A">
        <w:rPr>
          <w:color w:val="000000" w:themeColor="text1"/>
        </w:rPr>
        <w:t xml:space="preserve">to </w:t>
      </w:r>
      <w:r w:rsidRPr="00471183">
        <w:rPr>
          <w:color w:val="000000" w:themeColor="text1"/>
        </w:rPr>
        <w:t xml:space="preserve">improve resilience, social and emotional wellbeing and mental health in the Victorian Aboriginal community. </w:t>
      </w:r>
      <w:r>
        <w:t>There has also been a continued focus on engaging with consumers, famil</w:t>
      </w:r>
      <w:r w:rsidR="00410442">
        <w:t>ies</w:t>
      </w:r>
      <w:r>
        <w:t xml:space="preserve"> and carers in mental health policy development and service design and delivery.</w:t>
      </w:r>
    </w:p>
    <w:p w14:paraId="0CD11769" w14:textId="2378EDFF" w:rsidR="006850C5" w:rsidRDefault="006850C5" w:rsidP="006850C5">
      <w:pPr>
        <w:pStyle w:val="DHHSbody"/>
      </w:pPr>
      <w:r>
        <w:t xml:space="preserve">Significant </w:t>
      </w:r>
      <w:r w:rsidRPr="009D7237">
        <w:t xml:space="preserve">collaboration and cooperation </w:t>
      </w:r>
      <w:r w:rsidR="007E37F9">
        <w:t>was</w:t>
      </w:r>
      <w:r w:rsidRPr="009D7237">
        <w:t xml:space="preserve"> required </w:t>
      </w:r>
      <w:r>
        <w:t xml:space="preserve">during this extraordinary year </w:t>
      </w:r>
      <w:r w:rsidRPr="009D7237">
        <w:t xml:space="preserve">to ensure people received the </w:t>
      </w:r>
      <w:r>
        <w:t xml:space="preserve">mental health </w:t>
      </w:r>
      <w:r w:rsidRPr="009D7237">
        <w:t>services they needed</w:t>
      </w:r>
      <w:r>
        <w:t xml:space="preserve"> delivered in the most appropriate way, and I would like to thank all services and individuals involved. Specifically, </w:t>
      </w:r>
      <w:r w:rsidRPr="009D7237">
        <w:t xml:space="preserve">I would like to acknowledge the </w:t>
      </w:r>
      <w:r>
        <w:t>work</w:t>
      </w:r>
      <w:r w:rsidRPr="009D7237">
        <w:t xml:space="preserve"> of</w:t>
      </w:r>
      <w:r w:rsidR="00410442">
        <w:t xml:space="preserve"> the</w:t>
      </w:r>
      <w:r w:rsidRPr="009D7237">
        <w:t xml:space="preserve"> Mental Health Ministerial Advisory Committee</w:t>
      </w:r>
      <w:r>
        <w:t xml:space="preserve"> </w:t>
      </w:r>
      <w:r w:rsidRPr="009D7237">
        <w:t xml:space="preserve">and </w:t>
      </w:r>
      <w:r w:rsidR="00410442">
        <w:t xml:space="preserve">its </w:t>
      </w:r>
      <w:r w:rsidRPr="009D7237">
        <w:t xml:space="preserve">subcommittees, </w:t>
      </w:r>
      <w:r>
        <w:t xml:space="preserve">the </w:t>
      </w:r>
      <w:r w:rsidRPr="009D7237">
        <w:t>partners in our mental health work</w:t>
      </w:r>
      <w:r>
        <w:t>,</w:t>
      </w:r>
      <w:r w:rsidRPr="009D7237">
        <w:t xml:space="preserve"> including </w:t>
      </w:r>
      <w:r>
        <w:t xml:space="preserve">the Victorian Mental Illness Awareness Council </w:t>
      </w:r>
      <w:r w:rsidRPr="009D7237">
        <w:t xml:space="preserve">and Tandem, </w:t>
      </w:r>
      <w:r>
        <w:t xml:space="preserve">the Mental Health Tribunal, </w:t>
      </w:r>
      <w:r w:rsidR="00410442">
        <w:t xml:space="preserve">the </w:t>
      </w:r>
      <w:r>
        <w:t xml:space="preserve">Mental Health Complaints Commissioner, service providers </w:t>
      </w:r>
      <w:r w:rsidRPr="009D7237">
        <w:t xml:space="preserve">and </w:t>
      </w:r>
      <w:r w:rsidR="00173336">
        <w:t>consumers</w:t>
      </w:r>
      <w:r>
        <w:t xml:space="preserve"> and their </w:t>
      </w:r>
      <w:r w:rsidRPr="009D7237">
        <w:t>families and carers.</w:t>
      </w:r>
      <w:r>
        <w:t xml:space="preserve"> </w:t>
      </w:r>
    </w:p>
    <w:p w14:paraId="13544AE1" w14:textId="19E1CC56" w:rsidR="00A60F5E" w:rsidRDefault="00A60F5E" w:rsidP="00A60F5E">
      <w:pPr>
        <w:pStyle w:val="DHHSbody"/>
        <w:rPr>
          <w:rStyle w:val="eop"/>
          <w:color w:val="000000" w:themeColor="text1"/>
        </w:rPr>
      </w:pPr>
      <w:r w:rsidRPr="009D7237">
        <w:t xml:space="preserve">Victoria’s mental health system continues to face challenges associated with increasing demand. </w:t>
      </w:r>
      <w:r>
        <w:t>T</w:t>
      </w:r>
      <w:r w:rsidRPr="00CA6281">
        <w:rPr>
          <w:rStyle w:val="eop"/>
          <w:color w:val="000000" w:themeColor="text1"/>
        </w:rPr>
        <w:t xml:space="preserve">he Royal Commission into Victoria’s </w:t>
      </w:r>
      <w:r>
        <w:rPr>
          <w:rStyle w:val="eop"/>
          <w:color w:val="000000" w:themeColor="text1"/>
        </w:rPr>
        <w:t>M</w:t>
      </w:r>
      <w:r w:rsidRPr="00CA6281">
        <w:rPr>
          <w:rStyle w:val="eop"/>
          <w:color w:val="000000" w:themeColor="text1"/>
        </w:rPr>
        <w:t xml:space="preserve">ental </w:t>
      </w:r>
      <w:r>
        <w:rPr>
          <w:rStyle w:val="eop"/>
          <w:color w:val="000000" w:themeColor="text1"/>
        </w:rPr>
        <w:t>H</w:t>
      </w:r>
      <w:r w:rsidRPr="00CA6281">
        <w:rPr>
          <w:rStyle w:val="eop"/>
          <w:color w:val="000000" w:themeColor="text1"/>
        </w:rPr>
        <w:t xml:space="preserve">ealth </w:t>
      </w:r>
      <w:r>
        <w:rPr>
          <w:rStyle w:val="eop"/>
          <w:color w:val="000000" w:themeColor="text1"/>
        </w:rPr>
        <w:t>S</w:t>
      </w:r>
      <w:r w:rsidRPr="00CA6281">
        <w:rPr>
          <w:rStyle w:val="eop"/>
          <w:color w:val="000000" w:themeColor="text1"/>
        </w:rPr>
        <w:t xml:space="preserve">ystem </w:t>
      </w:r>
      <w:r>
        <w:rPr>
          <w:rStyle w:val="eop"/>
          <w:color w:val="000000" w:themeColor="text1"/>
        </w:rPr>
        <w:t xml:space="preserve">is </w:t>
      </w:r>
      <w:r w:rsidRPr="00CA6281">
        <w:rPr>
          <w:rStyle w:val="eop"/>
          <w:color w:val="000000" w:themeColor="text1"/>
        </w:rPr>
        <w:t>continuing its work</w:t>
      </w:r>
      <w:r w:rsidR="00410442">
        <w:rPr>
          <w:rStyle w:val="eop"/>
          <w:color w:val="000000" w:themeColor="text1"/>
        </w:rPr>
        <w:t>, with its</w:t>
      </w:r>
      <w:r>
        <w:rPr>
          <w:rStyle w:val="eop"/>
          <w:color w:val="000000" w:themeColor="text1"/>
        </w:rPr>
        <w:t xml:space="preserve"> final report expected in February 2021</w:t>
      </w:r>
      <w:r w:rsidRPr="007B3D79">
        <w:rPr>
          <w:rStyle w:val="eop"/>
          <w:color w:val="000000" w:themeColor="text1"/>
        </w:rPr>
        <w:t xml:space="preserve">. The </w:t>
      </w:r>
      <w:r w:rsidR="00E0107E">
        <w:rPr>
          <w:rStyle w:val="eop"/>
          <w:color w:val="000000" w:themeColor="text1"/>
        </w:rPr>
        <w:t>r</w:t>
      </w:r>
      <w:r w:rsidR="00735DA6">
        <w:rPr>
          <w:rStyle w:val="eop"/>
          <w:color w:val="000000" w:themeColor="text1"/>
        </w:rPr>
        <w:t xml:space="preserve">oyal </w:t>
      </w:r>
      <w:r w:rsidR="00E0107E">
        <w:rPr>
          <w:rStyle w:val="eop"/>
          <w:color w:val="000000" w:themeColor="text1"/>
        </w:rPr>
        <w:t>c</w:t>
      </w:r>
      <w:r w:rsidRPr="007B3D79">
        <w:rPr>
          <w:rStyle w:val="eop"/>
          <w:color w:val="000000" w:themeColor="text1"/>
        </w:rPr>
        <w:t>ommission’s interim report</w:t>
      </w:r>
      <w:r>
        <w:rPr>
          <w:rStyle w:val="eop"/>
          <w:color w:val="000000" w:themeColor="text1"/>
        </w:rPr>
        <w:t>,</w:t>
      </w:r>
      <w:r w:rsidRPr="007B3D79">
        <w:rPr>
          <w:rStyle w:val="eop"/>
          <w:color w:val="000000" w:themeColor="text1"/>
        </w:rPr>
        <w:t xml:space="preserve"> </w:t>
      </w:r>
      <w:r>
        <w:rPr>
          <w:rStyle w:val="eop"/>
          <w:color w:val="000000" w:themeColor="text1"/>
        </w:rPr>
        <w:t>released in November 2019, signalled</w:t>
      </w:r>
      <w:r w:rsidRPr="007B3D79">
        <w:rPr>
          <w:rStyle w:val="eop"/>
          <w:color w:val="000000" w:themeColor="text1"/>
        </w:rPr>
        <w:t xml:space="preserve"> that the recommendations in the final report will lead to significant </w:t>
      </w:r>
      <w:r>
        <w:rPr>
          <w:rStyle w:val="eop"/>
          <w:color w:val="000000" w:themeColor="text1"/>
        </w:rPr>
        <w:t xml:space="preserve">future </w:t>
      </w:r>
      <w:r w:rsidRPr="007B3D79">
        <w:rPr>
          <w:rStyle w:val="eop"/>
          <w:color w:val="000000" w:themeColor="text1"/>
        </w:rPr>
        <w:t xml:space="preserve">mental health service system redesign. </w:t>
      </w:r>
      <w:r>
        <w:rPr>
          <w:rStyle w:val="eop"/>
          <w:color w:val="000000" w:themeColor="text1"/>
        </w:rPr>
        <w:t xml:space="preserve">Mental Health Reform Victoria has been established to progress this </w:t>
      </w:r>
      <w:r w:rsidR="006850C5">
        <w:rPr>
          <w:rStyle w:val="eop"/>
          <w:color w:val="000000" w:themeColor="text1"/>
        </w:rPr>
        <w:t xml:space="preserve">critical reform </w:t>
      </w:r>
      <w:r>
        <w:rPr>
          <w:rStyle w:val="eop"/>
          <w:color w:val="000000" w:themeColor="text1"/>
        </w:rPr>
        <w:t xml:space="preserve">work and has committed to a collaborative partnership with people with mental health lived experience. </w:t>
      </w:r>
    </w:p>
    <w:p w14:paraId="78541D6C" w14:textId="66293FC4" w:rsidR="00E854E9" w:rsidRDefault="00AE4175" w:rsidP="00E854E9">
      <w:pPr>
        <w:pStyle w:val="DHHSbody"/>
        <w:rPr>
          <w:rStyle w:val="eop"/>
        </w:rPr>
      </w:pPr>
      <w:r>
        <w:t xml:space="preserve">I would </w:t>
      </w:r>
      <w:r w:rsidR="00C16561">
        <w:t xml:space="preserve">also </w:t>
      </w:r>
      <w:r>
        <w:t xml:space="preserve">like to acknowledge the </w:t>
      </w:r>
      <w:r w:rsidR="003141C6">
        <w:t xml:space="preserve">evident </w:t>
      </w:r>
      <w:r>
        <w:t xml:space="preserve">commitment </w:t>
      </w:r>
      <w:r w:rsidR="00721007">
        <w:t>from</w:t>
      </w:r>
      <w:r w:rsidR="003141C6">
        <w:t xml:space="preserve"> the mental health sector</w:t>
      </w:r>
      <w:r w:rsidR="00914FC6">
        <w:t xml:space="preserve"> to work as</w:t>
      </w:r>
      <w:r w:rsidR="00C35AA1">
        <w:t xml:space="preserve"> a unified syste</w:t>
      </w:r>
      <w:r w:rsidR="0021757F">
        <w:t xml:space="preserve">m across </w:t>
      </w:r>
      <w:r w:rsidR="000A0271">
        <w:t xml:space="preserve">different </w:t>
      </w:r>
      <w:r w:rsidR="0021757F">
        <w:t>service levels</w:t>
      </w:r>
      <w:r w:rsidR="00804A7C">
        <w:t xml:space="preserve">, </w:t>
      </w:r>
      <w:r w:rsidR="00080360">
        <w:t>enabling</w:t>
      </w:r>
      <w:r w:rsidR="004D2A35">
        <w:t xml:space="preserve"> </w:t>
      </w:r>
      <w:r w:rsidR="00F14467">
        <w:t>improve</w:t>
      </w:r>
      <w:r w:rsidR="00080360">
        <w:t>d</w:t>
      </w:r>
      <w:r w:rsidR="00F14467">
        <w:t xml:space="preserve"> service linkage</w:t>
      </w:r>
      <w:r w:rsidR="004F56B3">
        <w:t>s</w:t>
      </w:r>
      <w:r w:rsidR="008F3289">
        <w:t xml:space="preserve"> </w:t>
      </w:r>
      <w:r w:rsidR="00F14467">
        <w:t>and coordination</w:t>
      </w:r>
      <w:r w:rsidR="002E7A0D">
        <w:t xml:space="preserve"> throughout the </w:t>
      </w:r>
      <w:r w:rsidR="00E51317">
        <w:t>coronavirus (COVID-19)</w:t>
      </w:r>
      <w:r w:rsidR="00FF4DC7">
        <w:t xml:space="preserve"> pandemic</w:t>
      </w:r>
      <w:r w:rsidR="00150450">
        <w:t xml:space="preserve">. </w:t>
      </w:r>
      <w:r w:rsidR="00663977">
        <w:t>T</w:t>
      </w:r>
      <w:r w:rsidR="00A9204E">
        <w:t xml:space="preserve">he </w:t>
      </w:r>
      <w:r w:rsidR="00C45B85">
        <w:t>strengthening of relationship</w:t>
      </w:r>
      <w:r w:rsidR="00AD30F5">
        <w:t>s</w:t>
      </w:r>
      <w:r w:rsidR="00C45B85">
        <w:t xml:space="preserve"> between </w:t>
      </w:r>
      <w:r w:rsidR="00C33A03">
        <w:t>the Victorian and Commonwealth Governments</w:t>
      </w:r>
      <w:r w:rsidR="00C45B85">
        <w:t xml:space="preserve"> </w:t>
      </w:r>
      <w:r w:rsidR="00C45B85">
        <w:rPr>
          <w:rStyle w:val="eop"/>
        </w:rPr>
        <w:t xml:space="preserve">and the </w:t>
      </w:r>
      <w:r w:rsidR="00150450" w:rsidRPr="00501D33">
        <w:rPr>
          <w:rStyle w:val="eop"/>
        </w:rPr>
        <w:t>develop</w:t>
      </w:r>
      <w:r w:rsidR="0000015D">
        <w:rPr>
          <w:rStyle w:val="eop"/>
        </w:rPr>
        <w:t>ment of</w:t>
      </w:r>
      <w:r w:rsidR="00150450" w:rsidRPr="00501D33">
        <w:rPr>
          <w:rStyle w:val="eop"/>
        </w:rPr>
        <w:t xml:space="preserve"> cross-government commitment</w:t>
      </w:r>
      <w:r w:rsidR="00567C8E">
        <w:rPr>
          <w:rStyle w:val="eop"/>
        </w:rPr>
        <w:t xml:space="preserve"> </w:t>
      </w:r>
      <w:r w:rsidR="00567C8E" w:rsidRPr="00501D33">
        <w:rPr>
          <w:rStyle w:val="eop"/>
        </w:rPr>
        <w:t>to longer</w:t>
      </w:r>
      <w:r w:rsidR="00101F7A">
        <w:rPr>
          <w:rStyle w:val="eop"/>
        </w:rPr>
        <w:t xml:space="preserve"> </w:t>
      </w:r>
      <w:r w:rsidR="00567C8E" w:rsidRPr="00501D33">
        <w:rPr>
          <w:rStyle w:val="eop"/>
        </w:rPr>
        <w:t>term mental health service reform</w:t>
      </w:r>
      <w:r w:rsidR="00C45B85">
        <w:rPr>
          <w:rStyle w:val="eop"/>
        </w:rPr>
        <w:t xml:space="preserve"> will</w:t>
      </w:r>
      <w:r w:rsidR="00BF7D10">
        <w:rPr>
          <w:rStyle w:val="eop"/>
        </w:rPr>
        <w:t xml:space="preserve"> serve to</w:t>
      </w:r>
      <w:r w:rsidR="00DA75FD">
        <w:rPr>
          <w:rStyle w:val="eop"/>
        </w:rPr>
        <w:t xml:space="preserve"> </w:t>
      </w:r>
      <w:r w:rsidR="0017772A">
        <w:rPr>
          <w:rStyle w:val="eop"/>
        </w:rPr>
        <w:t xml:space="preserve">improve </w:t>
      </w:r>
      <w:r w:rsidR="001A0C0D">
        <w:rPr>
          <w:rStyle w:val="eop"/>
        </w:rPr>
        <w:t>service</w:t>
      </w:r>
      <w:r w:rsidR="00C26868">
        <w:rPr>
          <w:rStyle w:val="eop"/>
        </w:rPr>
        <w:t xml:space="preserve"> pathways</w:t>
      </w:r>
      <w:r w:rsidR="00341F99">
        <w:rPr>
          <w:rStyle w:val="eop"/>
        </w:rPr>
        <w:t>,</w:t>
      </w:r>
      <w:r w:rsidR="00DA75FD">
        <w:rPr>
          <w:rStyle w:val="eop"/>
        </w:rPr>
        <w:t xml:space="preserve"> and</w:t>
      </w:r>
      <w:r w:rsidR="0017772A">
        <w:rPr>
          <w:rStyle w:val="eop"/>
        </w:rPr>
        <w:t xml:space="preserve"> </w:t>
      </w:r>
      <w:r w:rsidR="00341F99">
        <w:rPr>
          <w:rStyle w:val="eop"/>
        </w:rPr>
        <w:t xml:space="preserve">ultimately </w:t>
      </w:r>
      <w:r w:rsidR="0017772A">
        <w:rPr>
          <w:rStyle w:val="eop"/>
        </w:rPr>
        <w:t>outcomes</w:t>
      </w:r>
      <w:r w:rsidR="00341F99">
        <w:rPr>
          <w:rStyle w:val="eop"/>
        </w:rPr>
        <w:t>,</w:t>
      </w:r>
      <w:r w:rsidR="00B92BA1">
        <w:rPr>
          <w:rStyle w:val="eop"/>
        </w:rPr>
        <w:t xml:space="preserve"> for mental health </w:t>
      </w:r>
      <w:r w:rsidR="001A0C0D">
        <w:rPr>
          <w:rStyle w:val="eop"/>
        </w:rPr>
        <w:t xml:space="preserve">service </w:t>
      </w:r>
      <w:r w:rsidR="00B92BA1">
        <w:rPr>
          <w:rStyle w:val="eop"/>
        </w:rPr>
        <w:t>consumers</w:t>
      </w:r>
      <w:r w:rsidR="00341F99">
        <w:rPr>
          <w:rStyle w:val="eop"/>
        </w:rPr>
        <w:t xml:space="preserve"> in Victoria</w:t>
      </w:r>
      <w:r w:rsidR="00B92BA1">
        <w:rPr>
          <w:rStyle w:val="eop"/>
        </w:rPr>
        <w:t>.</w:t>
      </w:r>
    </w:p>
    <w:p w14:paraId="7CDA616F" w14:textId="60D8E525" w:rsidR="00E0107E" w:rsidRDefault="00E0107E" w:rsidP="00E854E9">
      <w:pPr>
        <w:pStyle w:val="DHHSbody"/>
        <w:rPr>
          <w:rStyle w:val="eop"/>
        </w:rPr>
      </w:pPr>
    </w:p>
    <w:p w14:paraId="7BDBA629" w14:textId="35201A35" w:rsidR="00E0107E" w:rsidRDefault="00E0107E" w:rsidP="00E854E9">
      <w:pPr>
        <w:pStyle w:val="DHHSbody"/>
      </w:pPr>
      <w:r w:rsidRPr="000C1C83">
        <w:rPr>
          <w:rStyle w:val="eop"/>
          <w:b/>
          <w:bCs/>
        </w:rPr>
        <w:t>Kym Peake</w:t>
      </w:r>
      <w:r>
        <w:rPr>
          <w:rStyle w:val="eop"/>
        </w:rPr>
        <w:br/>
        <w:t>Secretary</w:t>
      </w:r>
      <w:r>
        <w:rPr>
          <w:rStyle w:val="eop"/>
        </w:rPr>
        <w:br/>
        <w:t>Department of Health and Human Services</w:t>
      </w:r>
    </w:p>
    <w:p w14:paraId="5ED6A082" w14:textId="4DF9C2C7" w:rsidR="000C1B32" w:rsidRPr="009D7237" w:rsidRDefault="000C1B32" w:rsidP="00A60F5E">
      <w:pPr>
        <w:pStyle w:val="DHHSbody"/>
      </w:pPr>
    </w:p>
    <w:p w14:paraId="42EFC1E4" w14:textId="4344F6C5" w:rsidR="00B12C86" w:rsidRDefault="00B12C86" w:rsidP="00FC60C7">
      <w:pPr>
        <w:pStyle w:val="DHHSbody"/>
        <w:rPr>
          <w:rStyle w:val="normaltextrun"/>
        </w:rPr>
      </w:pPr>
      <w:r>
        <w:rPr>
          <w:rStyle w:val="normaltextrun"/>
        </w:rPr>
        <w:br w:type="page"/>
      </w:r>
    </w:p>
    <w:p w14:paraId="6A157737" w14:textId="77777777" w:rsidR="00B12C86" w:rsidRDefault="00B12C86" w:rsidP="00B12C86">
      <w:pPr>
        <w:pStyle w:val="Heading1"/>
        <w:rPr>
          <w:rStyle w:val="normaltextrun"/>
        </w:rPr>
      </w:pPr>
      <w:bookmarkStart w:id="3" w:name="_Toc55379384"/>
      <w:r>
        <w:rPr>
          <w:rStyle w:val="normaltextrun"/>
        </w:rPr>
        <w:lastRenderedPageBreak/>
        <w:t>The</w:t>
      </w:r>
      <w:r w:rsidR="00093AFC">
        <w:rPr>
          <w:rStyle w:val="normaltextrun"/>
        </w:rPr>
        <w:t xml:space="preserve"> year at a glance</w:t>
      </w:r>
      <w:bookmarkEnd w:id="3"/>
    </w:p>
    <w:p w14:paraId="5D8312C3" w14:textId="042FFB05" w:rsidR="006663CC" w:rsidRPr="007D0CF4" w:rsidRDefault="00CD7825" w:rsidP="006663CC">
      <w:pPr>
        <w:pStyle w:val="DHHSbody"/>
      </w:pPr>
      <w:r>
        <w:rPr>
          <w:rFonts w:cs="Arial"/>
          <w:color w:val="000000"/>
          <w:shd w:val="clear" w:color="auto" w:fill="FFFFFF"/>
        </w:rPr>
        <w:t>76,441</w:t>
      </w:r>
      <w:r w:rsidR="006663CC" w:rsidRPr="007D0CF4">
        <w:t xml:space="preserve"> registered </w:t>
      </w:r>
      <w:r w:rsidR="005A55FE">
        <w:t>consumers</w:t>
      </w:r>
    </w:p>
    <w:p w14:paraId="0873AC0B" w14:textId="2BEED361" w:rsidR="006663CC" w:rsidRPr="007D0CF4" w:rsidRDefault="006663CC" w:rsidP="006663CC">
      <w:pPr>
        <w:pStyle w:val="DHHSbody"/>
        <w:rPr>
          <w:shd w:val="clear" w:color="auto" w:fill="FFFFFF"/>
        </w:rPr>
      </w:pPr>
      <w:r w:rsidRPr="007D0CF4">
        <w:rPr>
          <w:shd w:val="clear" w:color="auto" w:fill="FFFFFF"/>
        </w:rPr>
        <w:t>2.</w:t>
      </w:r>
      <w:r w:rsidR="00CD7825">
        <w:rPr>
          <w:shd w:val="clear" w:color="auto" w:fill="FFFFFF"/>
        </w:rPr>
        <w:t>1</w:t>
      </w:r>
      <w:r>
        <w:rPr>
          <w:shd w:val="clear" w:color="auto" w:fill="FFFFFF"/>
        </w:rPr>
        <w:t xml:space="preserve"> per cent</w:t>
      </w:r>
      <w:r w:rsidRPr="007D0CF4">
        <w:rPr>
          <w:shd w:val="clear" w:color="auto" w:fill="FFFFFF"/>
        </w:rPr>
        <w:t xml:space="preserve"> increase</w:t>
      </w:r>
      <w:r w:rsidR="005E29F9">
        <w:rPr>
          <w:shd w:val="clear" w:color="auto" w:fill="FFFFFF"/>
        </w:rPr>
        <w:t xml:space="preserve"> in registered consumers</w:t>
      </w:r>
      <w:r w:rsidRPr="007D0CF4">
        <w:rPr>
          <w:shd w:val="clear" w:color="auto" w:fill="FFFFFF"/>
        </w:rPr>
        <w:t xml:space="preserve"> overall since 201</w:t>
      </w:r>
      <w:r w:rsidR="00CD7825">
        <w:rPr>
          <w:shd w:val="clear" w:color="auto" w:fill="FFFFFF"/>
        </w:rPr>
        <w:t>8</w:t>
      </w:r>
      <w:r w:rsidRPr="007D0CF4">
        <w:rPr>
          <w:shd w:val="clear" w:color="auto" w:fill="FFFFFF"/>
        </w:rPr>
        <w:t>–1</w:t>
      </w:r>
      <w:r w:rsidR="00CD7825">
        <w:rPr>
          <w:shd w:val="clear" w:color="auto" w:fill="FFFFFF"/>
        </w:rPr>
        <w:t>9</w:t>
      </w:r>
    </w:p>
    <w:p w14:paraId="589BD65F" w14:textId="4F87FE77" w:rsidR="006663CC" w:rsidRPr="00B0426A" w:rsidRDefault="00B0426A" w:rsidP="006663CC">
      <w:pPr>
        <w:pStyle w:val="DHHSbullet1"/>
      </w:pPr>
      <w:r w:rsidRPr="00B0426A">
        <w:t>12,076</w:t>
      </w:r>
      <w:r w:rsidR="006663CC" w:rsidRPr="00B0426A">
        <w:t xml:space="preserve"> child and adolescent </w:t>
      </w:r>
      <w:r w:rsidR="00723125">
        <w:t>consumer</w:t>
      </w:r>
      <w:r w:rsidR="006663CC" w:rsidRPr="00B0426A">
        <w:t>s</w:t>
      </w:r>
    </w:p>
    <w:p w14:paraId="6D7BD313" w14:textId="603325EA" w:rsidR="006663CC" w:rsidRPr="00DB7C2F" w:rsidRDefault="00DB7C2F" w:rsidP="006663CC">
      <w:pPr>
        <w:pStyle w:val="DHHSbullet1"/>
      </w:pPr>
      <w:r w:rsidRPr="00DB7C2F">
        <w:t>61,101</w:t>
      </w:r>
      <w:r w:rsidR="006663CC" w:rsidRPr="00DB7C2F">
        <w:t xml:space="preserve"> adult </w:t>
      </w:r>
      <w:r w:rsidR="00723125">
        <w:t>consumer</w:t>
      </w:r>
      <w:r w:rsidR="006663CC" w:rsidRPr="00DB7C2F">
        <w:t>s</w:t>
      </w:r>
    </w:p>
    <w:p w14:paraId="425D7491" w14:textId="7DBEE605" w:rsidR="006663CC" w:rsidRPr="00BA19FD" w:rsidRDefault="006663CC" w:rsidP="006663CC">
      <w:pPr>
        <w:pStyle w:val="DHHSbullet1"/>
      </w:pPr>
      <w:r w:rsidRPr="00BA19FD">
        <w:t>8,</w:t>
      </w:r>
      <w:r w:rsidR="00BA19FD" w:rsidRPr="00BA19FD">
        <w:t>304</w:t>
      </w:r>
      <w:r w:rsidRPr="00BA19FD">
        <w:t xml:space="preserve"> aged </w:t>
      </w:r>
      <w:r w:rsidR="00723125">
        <w:t>consumer</w:t>
      </w:r>
      <w:r w:rsidRPr="00BA19FD">
        <w:t>s</w:t>
      </w:r>
    </w:p>
    <w:p w14:paraId="164DB179" w14:textId="3AE44E1A" w:rsidR="006663CC" w:rsidRPr="00BD266E" w:rsidRDefault="00BD266E" w:rsidP="006663CC">
      <w:pPr>
        <w:pStyle w:val="DHHSbullet1"/>
      </w:pPr>
      <w:r w:rsidRPr="00BD266E">
        <w:t>1</w:t>
      </w:r>
      <w:r w:rsidR="00B35FEE">
        <w:t>,</w:t>
      </w:r>
      <w:r w:rsidRPr="00BD266E">
        <w:t>231</w:t>
      </w:r>
      <w:r w:rsidR="006663CC" w:rsidRPr="00BD266E">
        <w:t xml:space="preserve"> forensic </w:t>
      </w:r>
      <w:r w:rsidR="00723125">
        <w:t>consumer</w:t>
      </w:r>
      <w:r w:rsidR="006663CC" w:rsidRPr="00BD266E">
        <w:t>s</w:t>
      </w:r>
    </w:p>
    <w:p w14:paraId="3D9E3DC8" w14:textId="6A69B729" w:rsidR="006663CC" w:rsidRPr="00B35FEE" w:rsidRDefault="00B35FEE" w:rsidP="0016003B">
      <w:pPr>
        <w:pStyle w:val="DHHSbullet1"/>
      </w:pPr>
      <w:r w:rsidRPr="00B35FEE">
        <w:t>1,836</w:t>
      </w:r>
      <w:r w:rsidR="006663CC" w:rsidRPr="00B35FEE">
        <w:t xml:space="preserve"> specialist </w:t>
      </w:r>
      <w:r w:rsidR="00723125">
        <w:t>consumer</w:t>
      </w:r>
      <w:r w:rsidR="006663CC" w:rsidRPr="00B35FEE">
        <w:t>s</w:t>
      </w:r>
    </w:p>
    <w:p w14:paraId="7AB4FECA" w14:textId="2A58CA8E" w:rsidR="006663CC" w:rsidRPr="0034003D" w:rsidRDefault="006663CC" w:rsidP="00C00690">
      <w:pPr>
        <w:pStyle w:val="DHHSbodyafterbullets"/>
      </w:pPr>
      <w:r w:rsidRPr="0034003D">
        <w:t>50.</w:t>
      </w:r>
      <w:r w:rsidR="0034003D" w:rsidRPr="0034003D">
        <w:t>5</w:t>
      </w:r>
      <w:r w:rsidRPr="0034003D">
        <w:t xml:space="preserve"> per cent women or girls</w:t>
      </w:r>
    </w:p>
    <w:p w14:paraId="0C9F831F" w14:textId="0881DEF8" w:rsidR="006663CC" w:rsidRDefault="006663CC" w:rsidP="006663CC">
      <w:pPr>
        <w:pStyle w:val="DHHSbody"/>
      </w:pPr>
      <w:r w:rsidRPr="0034003D">
        <w:t>3</w:t>
      </w:r>
      <w:r w:rsidR="0034003D" w:rsidRPr="0034003D">
        <w:t>3</w:t>
      </w:r>
      <w:r w:rsidRPr="0034003D">
        <w:t xml:space="preserve"> per cent live in rural areas</w:t>
      </w:r>
    </w:p>
    <w:p w14:paraId="6F01E5BE" w14:textId="598938AB" w:rsidR="006663CC" w:rsidRPr="00E96F8A" w:rsidRDefault="006663CC" w:rsidP="006663CC">
      <w:pPr>
        <w:pStyle w:val="DHHSbody"/>
      </w:pPr>
      <w:r w:rsidRPr="00E96F8A">
        <w:t>$1</w:t>
      </w:r>
      <w:r w:rsidR="00764BFF" w:rsidRPr="00E96F8A">
        <w:t>.</w:t>
      </w:r>
      <w:r w:rsidR="00FC69F7" w:rsidRPr="00E96F8A">
        <w:t>6</w:t>
      </w:r>
      <w:r w:rsidR="00764BFF" w:rsidRPr="00E96F8A">
        <w:t>5</w:t>
      </w:r>
      <w:r w:rsidRPr="00E96F8A">
        <w:t xml:space="preserve"> billion clinical services</w:t>
      </w:r>
      <w:r w:rsidR="00B142A4" w:rsidRPr="00E96F8A">
        <w:t xml:space="preserve"> </w:t>
      </w:r>
    </w:p>
    <w:p w14:paraId="36D79266" w14:textId="2EDAD816" w:rsidR="006663CC" w:rsidRPr="00E96F8A" w:rsidRDefault="006663CC" w:rsidP="006663CC">
      <w:pPr>
        <w:pStyle w:val="DHHSbody"/>
      </w:pPr>
      <w:r w:rsidRPr="00E96F8A">
        <w:t>$11</w:t>
      </w:r>
      <w:r w:rsidR="00E96F8A" w:rsidRPr="00E96F8A">
        <w:t>1</w:t>
      </w:r>
      <w:r w:rsidRPr="00E96F8A">
        <w:t xml:space="preserve"> million mental health community support services</w:t>
      </w:r>
      <w:r w:rsidR="00B142A4" w:rsidRPr="00E96F8A">
        <w:t xml:space="preserve"> </w:t>
      </w:r>
    </w:p>
    <w:p w14:paraId="629359FE" w14:textId="5EF77A8F" w:rsidR="005E433B" w:rsidRPr="0034003D" w:rsidRDefault="005E433B" w:rsidP="00B12C86">
      <w:pPr>
        <w:pStyle w:val="DHHSbody"/>
        <w:rPr>
          <w:rStyle w:val="normaltextrun"/>
          <w:bCs/>
          <w:color w:val="FF0000"/>
          <w:sz w:val="44"/>
          <w:szCs w:val="44"/>
        </w:rPr>
      </w:pPr>
      <w:r w:rsidRPr="0034003D">
        <w:rPr>
          <w:rStyle w:val="normaltextrun"/>
          <w:color w:val="FF0000"/>
        </w:rPr>
        <w:br w:type="page"/>
      </w:r>
    </w:p>
    <w:p w14:paraId="2C8D91A1" w14:textId="0E53F031" w:rsidR="00F907D1" w:rsidRDefault="00072C99" w:rsidP="00F907D1">
      <w:pPr>
        <w:pStyle w:val="Heading1"/>
        <w:numPr>
          <w:ilvl w:val="0"/>
          <w:numId w:val="10"/>
        </w:numPr>
        <w:rPr>
          <w:rStyle w:val="eop"/>
        </w:rPr>
      </w:pPr>
      <w:bookmarkStart w:id="4" w:name="_Toc55379385"/>
      <w:r>
        <w:rPr>
          <w:rStyle w:val="normaltextrun"/>
        </w:rPr>
        <w:lastRenderedPageBreak/>
        <w:t>Supporting Victorians through crisis</w:t>
      </w:r>
      <w:bookmarkEnd w:id="4"/>
    </w:p>
    <w:p w14:paraId="4E18A3BB" w14:textId="6C4C2E05" w:rsidR="00F907D1" w:rsidRDefault="00F907D1" w:rsidP="00F907D1">
      <w:pPr>
        <w:pStyle w:val="DHHSbody"/>
        <w:rPr>
          <w:rStyle w:val="normaltextrun"/>
        </w:rPr>
      </w:pPr>
      <w:r>
        <w:rPr>
          <w:rStyle w:val="normaltextrun"/>
        </w:rPr>
        <w:t xml:space="preserve">The </w:t>
      </w:r>
      <w:r w:rsidR="00894D3B">
        <w:rPr>
          <w:rStyle w:val="normaltextrun"/>
        </w:rPr>
        <w:t>2019–20</w:t>
      </w:r>
      <w:r>
        <w:rPr>
          <w:rStyle w:val="normaltextrun"/>
        </w:rPr>
        <w:t xml:space="preserve"> </w:t>
      </w:r>
      <w:r w:rsidR="00C33A03">
        <w:rPr>
          <w:rStyle w:val="normaltextrun"/>
        </w:rPr>
        <w:t xml:space="preserve">financial </w:t>
      </w:r>
      <w:r>
        <w:rPr>
          <w:rStyle w:val="normaltextrun"/>
        </w:rPr>
        <w:t xml:space="preserve">year has seen </w:t>
      </w:r>
      <w:r w:rsidR="00F35939">
        <w:rPr>
          <w:rStyle w:val="normaltextrun"/>
        </w:rPr>
        <w:t>unparalleled</w:t>
      </w:r>
      <w:r>
        <w:rPr>
          <w:rStyle w:val="normaltextrun"/>
        </w:rPr>
        <w:t xml:space="preserve"> disruption to the lives of Victorians. </w:t>
      </w:r>
      <w:r w:rsidR="00C33A03">
        <w:rPr>
          <w:rStyle w:val="normaltextrun"/>
        </w:rPr>
        <w:t>D</w:t>
      </w:r>
      <w:r>
        <w:rPr>
          <w:rStyle w:val="normaltextrun"/>
        </w:rPr>
        <w:t xml:space="preserve">ry conditions following severe drought in 2019 contributed to </w:t>
      </w:r>
      <w:r w:rsidR="00C33A03">
        <w:rPr>
          <w:rStyle w:val="normaltextrun"/>
        </w:rPr>
        <w:t xml:space="preserve">a severe bushfire season in summer </w:t>
      </w:r>
      <w:r w:rsidR="00894D3B">
        <w:rPr>
          <w:rStyle w:val="normaltextrun"/>
        </w:rPr>
        <w:t>2019–20</w:t>
      </w:r>
      <w:r>
        <w:rPr>
          <w:rStyle w:val="normaltextrun"/>
        </w:rPr>
        <w:t xml:space="preserve"> which devastated many Victorian communities. Just as Victorians emerged from the bushfire</w:t>
      </w:r>
      <w:r w:rsidR="00C33A03">
        <w:rPr>
          <w:rStyle w:val="normaltextrun"/>
        </w:rPr>
        <w:t>s</w:t>
      </w:r>
      <w:r>
        <w:rPr>
          <w:rStyle w:val="normaltextrun"/>
        </w:rPr>
        <w:t xml:space="preserve"> the </w:t>
      </w:r>
      <w:r w:rsidR="00E51317">
        <w:rPr>
          <w:rStyle w:val="normaltextrun"/>
        </w:rPr>
        <w:t>coronavirus (COVID-19)</w:t>
      </w:r>
      <w:r>
        <w:rPr>
          <w:rStyle w:val="normaltextrun"/>
        </w:rPr>
        <w:t xml:space="preserve"> pandemic has presented the state with the biggest health challenge of a generation. </w:t>
      </w:r>
    </w:p>
    <w:p w14:paraId="2BE55D5D" w14:textId="418E56EC" w:rsidR="00FC422F" w:rsidRDefault="00FC422F" w:rsidP="00FC422F">
      <w:pPr>
        <w:pStyle w:val="DHHSbody"/>
        <w:rPr>
          <w:rStyle w:val="eop"/>
        </w:rPr>
      </w:pPr>
      <w:r>
        <w:t>The mental health system has responded to the needs of Victorians through this time.</w:t>
      </w:r>
      <w:r w:rsidR="00894D3B">
        <w:t xml:space="preserve"> </w:t>
      </w:r>
      <w:r>
        <w:t>In drought</w:t>
      </w:r>
      <w:r w:rsidR="00FA7AF2">
        <w:t>-</w:t>
      </w:r>
      <w:r>
        <w:t>affected areas</w:t>
      </w:r>
      <w:r w:rsidR="00BD54D9">
        <w:t>,</w:t>
      </w:r>
      <w:r>
        <w:t xml:space="preserve"> mental health service providers coordinate</w:t>
      </w:r>
      <w:r w:rsidR="00C33A03">
        <w:t>d</w:t>
      </w:r>
      <w:r>
        <w:t xml:space="preserve"> and provide</w:t>
      </w:r>
      <w:r w:rsidR="00C33A03">
        <w:t>d</w:t>
      </w:r>
      <w:r>
        <w:t xml:space="preserve"> services, with a </w:t>
      </w:r>
      <w:r w:rsidRPr="009D77F2">
        <w:t>focus</w:t>
      </w:r>
      <w:r>
        <w:t xml:space="preserve"> </w:t>
      </w:r>
      <w:r w:rsidRPr="009D77F2">
        <w:t>on mental health capacity building and resil</w:t>
      </w:r>
      <w:r>
        <w:t>ience.</w:t>
      </w:r>
      <w:r w:rsidR="00894D3B">
        <w:t xml:space="preserve"> </w:t>
      </w:r>
      <w:r>
        <w:t>In bushfire</w:t>
      </w:r>
      <w:r w:rsidR="00BD54D9">
        <w:t>-</w:t>
      </w:r>
      <w:r>
        <w:t>affected areas</w:t>
      </w:r>
      <w:r w:rsidR="005B2C2F">
        <w:t>,</w:t>
      </w:r>
      <w:r>
        <w:t xml:space="preserve"> </w:t>
      </w:r>
      <w:r w:rsidRPr="003A02C8">
        <w:rPr>
          <w:rStyle w:val="eop"/>
        </w:rPr>
        <w:t xml:space="preserve">psychosocial and mental health support services </w:t>
      </w:r>
      <w:r>
        <w:rPr>
          <w:rStyle w:val="eop"/>
        </w:rPr>
        <w:t>were established</w:t>
      </w:r>
      <w:r w:rsidR="00BD54D9">
        <w:rPr>
          <w:rStyle w:val="eop"/>
        </w:rPr>
        <w:t>,</w:t>
      </w:r>
      <w:r>
        <w:rPr>
          <w:rStyle w:val="eop"/>
        </w:rPr>
        <w:t xml:space="preserve"> which included </w:t>
      </w:r>
      <w:r w:rsidRPr="003A02C8">
        <w:rPr>
          <w:rStyle w:val="eop"/>
        </w:rPr>
        <w:t xml:space="preserve">access </w:t>
      </w:r>
      <w:r>
        <w:rPr>
          <w:rStyle w:val="eop"/>
        </w:rPr>
        <w:t>for communities</w:t>
      </w:r>
      <w:r w:rsidRPr="003A02C8">
        <w:rPr>
          <w:rStyle w:val="eop"/>
        </w:rPr>
        <w:t xml:space="preserve"> to early intervention, specialist mental health treatment and advisory services.</w:t>
      </w:r>
    </w:p>
    <w:p w14:paraId="193B76AE" w14:textId="0CA98529" w:rsidR="00FC422F" w:rsidRDefault="00FC422F" w:rsidP="00FC422F">
      <w:pPr>
        <w:pStyle w:val="DHHSbody"/>
      </w:pPr>
      <w:r>
        <w:rPr>
          <w:rStyle w:val="eop"/>
        </w:rPr>
        <w:t xml:space="preserve">In </w:t>
      </w:r>
      <w:r w:rsidR="00BD54D9">
        <w:rPr>
          <w:rStyle w:val="eop"/>
        </w:rPr>
        <w:t xml:space="preserve">addressing </w:t>
      </w:r>
      <w:r>
        <w:rPr>
          <w:rStyle w:val="eop"/>
        </w:rPr>
        <w:t xml:space="preserve">the </w:t>
      </w:r>
      <w:r w:rsidR="00E51317">
        <w:rPr>
          <w:rStyle w:val="eop"/>
        </w:rPr>
        <w:t>coronavirus (COVID-19)</w:t>
      </w:r>
      <w:r>
        <w:rPr>
          <w:rStyle w:val="eop"/>
        </w:rPr>
        <w:t xml:space="preserve"> pandemic, the </w:t>
      </w:r>
      <w:r>
        <w:rPr>
          <w:rFonts w:eastAsia="MS Mincho"/>
          <w:szCs w:val="22"/>
        </w:rPr>
        <w:t xml:space="preserve">service system response included a wide range of initiatives to </w:t>
      </w:r>
      <w:r w:rsidR="003C3E89">
        <w:rPr>
          <w:rFonts w:eastAsia="MS Mincho"/>
          <w:szCs w:val="22"/>
        </w:rPr>
        <w:t xml:space="preserve">support the </w:t>
      </w:r>
      <w:r w:rsidR="007004AE">
        <w:rPr>
          <w:rFonts w:eastAsia="MS Mincho"/>
          <w:szCs w:val="22"/>
        </w:rPr>
        <w:t xml:space="preserve">workforce and </w:t>
      </w:r>
      <w:r w:rsidR="00BD54D9">
        <w:rPr>
          <w:rFonts w:eastAsia="MS Mincho"/>
          <w:szCs w:val="22"/>
        </w:rPr>
        <w:t xml:space="preserve">to </w:t>
      </w:r>
      <w:r>
        <w:rPr>
          <w:rFonts w:eastAsia="MS Mincho"/>
          <w:szCs w:val="22"/>
        </w:rPr>
        <w:t>ensure mental health services continued to be provided to consumers whil</w:t>
      </w:r>
      <w:r w:rsidR="00BD54D9">
        <w:rPr>
          <w:rFonts w:eastAsia="MS Mincho"/>
          <w:szCs w:val="22"/>
        </w:rPr>
        <w:t>e</w:t>
      </w:r>
      <w:r>
        <w:rPr>
          <w:rFonts w:eastAsia="MS Mincho"/>
          <w:szCs w:val="22"/>
        </w:rPr>
        <w:t xml:space="preserve"> ensuring </w:t>
      </w:r>
      <w:r>
        <w:rPr>
          <w:rStyle w:val="normaltextrun1"/>
          <w:lang w:val="en-US"/>
        </w:rPr>
        <w:t>infection control and prevention measures were in place.</w:t>
      </w:r>
      <w:r w:rsidR="00894D3B">
        <w:rPr>
          <w:rStyle w:val="normaltextrun1"/>
          <w:lang w:val="en-US"/>
        </w:rPr>
        <w:t xml:space="preserve"> </w:t>
      </w:r>
      <w:r>
        <w:t xml:space="preserve">A large increase in the use of telehealth services has enabled service providers to continue to provide community-based services to Victorians during the pandemic. </w:t>
      </w:r>
    </w:p>
    <w:p w14:paraId="31C1F24E" w14:textId="738189A5" w:rsidR="007004AE" w:rsidRDefault="00CD629B" w:rsidP="00FC422F">
      <w:pPr>
        <w:pStyle w:val="DHHSbody"/>
      </w:pPr>
      <w:r>
        <w:t>S</w:t>
      </w:r>
      <w:r w:rsidR="00E003BF">
        <w:t xml:space="preserve">upporting </w:t>
      </w:r>
      <w:r w:rsidR="00461B56">
        <w:t>people</w:t>
      </w:r>
      <w:r w:rsidR="00E003BF">
        <w:t xml:space="preserve"> experiencing </w:t>
      </w:r>
      <w:r w:rsidR="00C3451C">
        <w:t>housing stress and homeless</w:t>
      </w:r>
      <w:r w:rsidR="00461B56">
        <w:t>ness</w:t>
      </w:r>
      <w:r w:rsidR="00C3451C">
        <w:t xml:space="preserve"> has been a focus area. </w:t>
      </w:r>
      <w:r w:rsidR="001D4558">
        <w:t>Importantly, engagement across jurisdictions</w:t>
      </w:r>
      <w:r w:rsidR="00837C29">
        <w:t xml:space="preserve">, especially </w:t>
      </w:r>
      <w:r>
        <w:t xml:space="preserve">with </w:t>
      </w:r>
      <w:r w:rsidR="00837C29">
        <w:t>the Commonwealth</w:t>
      </w:r>
      <w:r>
        <w:t xml:space="preserve"> Government</w:t>
      </w:r>
      <w:r w:rsidR="00BD54D9">
        <w:t>,</w:t>
      </w:r>
      <w:r w:rsidR="00837C29">
        <w:t xml:space="preserve"> has been critical in responding to both </w:t>
      </w:r>
      <w:r w:rsidR="00BD54D9">
        <w:t>the b</w:t>
      </w:r>
      <w:r w:rsidR="00837C29">
        <w:t xml:space="preserve">ushfires and the </w:t>
      </w:r>
      <w:r w:rsidR="00E51317">
        <w:t>coronavirus (COVID-19)</w:t>
      </w:r>
      <w:r w:rsidR="00837C29">
        <w:t xml:space="preserve"> pandemic. Victoria has worked </w:t>
      </w:r>
      <w:r w:rsidR="00E708E3">
        <w:t xml:space="preserve">closely with the Commonwealth and </w:t>
      </w:r>
      <w:r>
        <w:t>other state governments to develop a</w:t>
      </w:r>
      <w:r w:rsidR="003E049F">
        <w:t xml:space="preserve"> </w:t>
      </w:r>
      <w:r w:rsidR="003E049F" w:rsidRPr="000C1C83">
        <w:rPr>
          <w:i/>
          <w:iCs/>
        </w:rPr>
        <w:t xml:space="preserve">National </w:t>
      </w:r>
      <w:r w:rsidR="00BD54D9">
        <w:rPr>
          <w:i/>
          <w:iCs/>
        </w:rPr>
        <w:t>m</w:t>
      </w:r>
      <w:r w:rsidR="003E049F" w:rsidRPr="000C1C83">
        <w:rPr>
          <w:i/>
          <w:iCs/>
        </w:rPr>
        <w:t xml:space="preserve">ental </w:t>
      </w:r>
      <w:r w:rsidR="00BD54D9">
        <w:rPr>
          <w:i/>
          <w:iCs/>
        </w:rPr>
        <w:t>h</w:t>
      </w:r>
      <w:r w:rsidR="003E049F" w:rsidRPr="000C1C83">
        <w:rPr>
          <w:i/>
          <w:iCs/>
        </w:rPr>
        <w:t xml:space="preserve">ealth </w:t>
      </w:r>
      <w:r w:rsidR="00760A5F" w:rsidRPr="000C1C83">
        <w:rPr>
          <w:i/>
          <w:iCs/>
        </w:rPr>
        <w:t xml:space="preserve">and </w:t>
      </w:r>
      <w:r w:rsidR="00BD54D9">
        <w:rPr>
          <w:i/>
          <w:iCs/>
        </w:rPr>
        <w:t>w</w:t>
      </w:r>
      <w:r w:rsidR="00760A5F" w:rsidRPr="000C1C83">
        <w:rPr>
          <w:i/>
          <w:iCs/>
        </w:rPr>
        <w:t xml:space="preserve">ellbeing </w:t>
      </w:r>
      <w:r w:rsidR="00BD54D9">
        <w:rPr>
          <w:i/>
          <w:iCs/>
        </w:rPr>
        <w:t>p</w:t>
      </w:r>
      <w:r w:rsidR="00760A5F" w:rsidRPr="000C1C83">
        <w:rPr>
          <w:i/>
          <w:iCs/>
        </w:rPr>
        <w:t xml:space="preserve">andemic </w:t>
      </w:r>
      <w:r w:rsidR="00BD54D9">
        <w:rPr>
          <w:i/>
          <w:iCs/>
        </w:rPr>
        <w:t>r</w:t>
      </w:r>
      <w:r w:rsidR="00760A5F" w:rsidRPr="000C1C83">
        <w:rPr>
          <w:i/>
          <w:iCs/>
        </w:rPr>
        <w:t xml:space="preserve">esponse </w:t>
      </w:r>
      <w:r w:rsidR="00BD54D9">
        <w:rPr>
          <w:i/>
          <w:iCs/>
        </w:rPr>
        <w:t>p</w:t>
      </w:r>
      <w:r w:rsidR="00760A5F" w:rsidRPr="000C1C83">
        <w:rPr>
          <w:i/>
          <w:iCs/>
        </w:rPr>
        <w:t>lan</w:t>
      </w:r>
      <w:r w:rsidR="00760A5F">
        <w:t>.</w:t>
      </w:r>
    </w:p>
    <w:tbl>
      <w:tblPr>
        <w:tblStyle w:val="TableGrid"/>
        <w:tblpPr w:leftFromText="180" w:rightFromText="180" w:vertAnchor="text" w:horzAnchor="margin" w:tblpY="220"/>
        <w:tblW w:w="9378" w:type="dxa"/>
        <w:shd w:val="clear" w:color="auto" w:fill="E2EFD9" w:themeFill="accent6" w:themeFillTint="33"/>
        <w:tblLook w:val="04A0" w:firstRow="1" w:lastRow="0" w:firstColumn="1" w:lastColumn="0" w:noHBand="0" w:noVBand="1"/>
      </w:tblPr>
      <w:tblGrid>
        <w:gridCol w:w="9378"/>
      </w:tblGrid>
      <w:tr w:rsidR="00D54135" w14:paraId="253B5A11" w14:textId="77777777" w:rsidTr="006F3DF8">
        <w:trPr>
          <w:trHeight w:val="5210"/>
        </w:trPr>
        <w:tc>
          <w:tcPr>
            <w:tcW w:w="9378" w:type="dxa"/>
            <w:shd w:val="clear" w:color="auto" w:fill="auto"/>
          </w:tcPr>
          <w:p w14:paraId="73B0654C" w14:textId="66FB1CC5" w:rsidR="00D54135" w:rsidRPr="00501D33" w:rsidRDefault="00D54135" w:rsidP="006F3DF8">
            <w:pPr>
              <w:pStyle w:val="DHHStablecaption"/>
            </w:pPr>
            <w:r>
              <w:rPr>
                <w:rStyle w:val="normaltextrun"/>
              </w:rPr>
              <w:t xml:space="preserve">National </w:t>
            </w:r>
            <w:r w:rsidR="00D60E03">
              <w:rPr>
                <w:rStyle w:val="normaltextrun"/>
              </w:rPr>
              <w:t>i</w:t>
            </w:r>
            <w:r>
              <w:rPr>
                <w:rStyle w:val="normaltextrun"/>
              </w:rPr>
              <w:t>nitiative</w:t>
            </w:r>
            <w:r w:rsidR="006F3DF8">
              <w:rPr>
                <w:rStyle w:val="normaltextrun"/>
              </w:rPr>
              <w:t xml:space="preserve">: </w:t>
            </w:r>
            <w:r w:rsidRPr="00501D33">
              <w:rPr>
                <w:rStyle w:val="normaltextrun"/>
              </w:rPr>
              <w:t xml:space="preserve">National </w:t>
            </w:r>
            <w:r w:rsidR="00D60E03">
              <w:rPr>
                <w:rStyle w:val="normaltextrun"/>
              </w:rPr>
              <w:t>m</w:t>
            </w:r>
            <w:r w:rsidRPr="00501D33">
              <w:rPr>
                <w:rStyle w:val="normaltextrun"/>
              </w:rPr>
              <w:t xml:space="preserve">ental </w:t>
            </w:r>
            <w:r w:rsidR="00D60E03">
              <w:rPr>
                <w:rStyle w:val="normaltextrun"/>
              </w:rPr>
              <w:t>h</w:t>
            </w:r>
            <w:r w:rsidRPr="00501D33">
              <w:rPr>
                <w:rStyle w:val="normaltextrun"/>
              </w:rPr>
              <w:t xml:space="preserve">ealth </w:t>
            </w:r>
            <w:r>
              <w:rPr>
                <w:rStyle w:val="normaltextrun"/>
              </w:rPr>
              <w:t xml:space="preserve">and </w:t>
            </w:r>
            <w:r w:rsidR="00D60E03">
              <w:rPr>
                <w:rStyle w:val="normaltextrun"/>
              </w:rPr>
              <w:t>w</w:t>
            </w:r>
            <w:r>
              <w:rPr>
                <w:rStyle w:val="normaltextrun"/>
              </w:rPr>
              <w:t xml:space="preserve">ellbeing </w:t>
            </w:r>
            <w:r w:rsidR="00D60E03">
              <w:rPr>
                <w:rStyle w:val="normaltextrun"/>
              </w:rPr>
              <w:t>p</w:t>
            </w:r>
            <w:r w:rsidRPr="00501D33">
              <w:rPr>
                <w:rStyle w:val="normaltextrun"/>
              </w:rPr>
              <w:t xml:space="preserve">andemic </w:t>
            </w:r>
            <w:r w:rsidR="00D60E03">
              <w:rPr>
                <w:rStyle w:val="normaltextrun"/>
              </w:rPr>
              <w:t>r</w:t>
            </w:r>
            <w:r w:rsidRPr="00501D33">
              <w:rPr>
                <w:rStyle w:val="normaltextrun"/>
              </w:rPr>
              <w:t xml:space="preserve">esponse plan </w:t>
            </w:r>
          </w:p>
          <w:p w14:paraId="512B17CF" w14:textId="18961EB6" w:rsidR="00D54135" w:rsidRPr="00501D33" w:rsidRDefault="00D54135" w:rsidP="006F3DF8">
            <w:pPr>
              <w:pStyle w:val="DHHStabletext"/>
            </w:pPr>
            <w:r w:rsidRPr="00501D33">
              <w:rPr>
                <w:rStyle w:val="normaltextrun"/>
              </w:rPr>
              <w:t>In response to the</w:t>
            </w:r>
            <w:r w:rsidR="00A520EE">
              <w:rPr>
                <w:rStyle w:val="normaltextrun"/>
              </w:rPr>
              <w:t xml:space="preserve"> </w:t>
            </w:r>
            <w:r w:rsidR="00D60E03">
              <w:t>coronavirus (</w:t>
            </w:r>
            <w:r w:rsidRPr="00501D33">
              <w:rPr>
                <w:rStyle w:val="normaltextrun"/>
              </w:rPr>
              <w:t>COVID</w:t>
            </w:r>
            <w:r w:rsidR="00D60E03">
              <w:rPr>
                <w:rStyle w:val="normaltextrun"/>
              </w:rPr>
              <w:t>-</w:t>
            </w:r>
            <w:r w:rsidRPr="00501D33">
              <w:rPr>
                <w:rStyle w:val="normaltextrun"/>
              </w:rPr>
              <w:t>19</w:t>
            </w:r>
            <w:r w:rsidR="00D60E03">
              <w:rPr>
                <w:rStyle w:val="normaltextrun"/>
              </w:rPr>
              <w:t>)</w:t>
            </w:r>
            <w:r w:rsidRPr="00501D33">
              <w:rPr>
                <w:rStyle w:val="normaltextrun"/>
              </w:rPr>
              <w:t xml:space="preserve"> pandemic and related impacts on mental wellbeing, the National Mental Health Commission</w:t>
            </w:r>
            <w:r w:rsidR="004D385F">
              <w:rPr>
                <w:rStyle w:val="normaltextrun"/>
              </w:rPr>
              <w:t>,</w:t>
            </w:r>
            <w:r w:rsidRPr="00501D33">
              <w:rPr>
                <w:rStyle w:val="normaltextrun"/>
              </w:rPr>
              <w:t xml:space="preserve"> in collaboration with </w:t>
            </w:r>
            <w:r w:rsidR="00CD629B">
              <w:rPr>
                <w:rStyle w:val="normaltextrun"/>
              </w:rPr>
              <w:t>state governments</w:t>
            </w:r>
            <w:r w:rsidRPr="00501D33">
              <w:rPr>
                <w:rStyle w:val="normaltextrun"/>
              </w:rPr>
              <w:t xml:space="preserve"> developed the </w:t>
            </w:r>
            <w:r w:rsidRPr="000C1C83">
              <w:rPr>
                <w:rStyle w:val="normaltextrun"/>
                <w:i/>
                <w:iCs/>
              </w:rPr>
              <w:t xml:space="preserve">National </w:t>
            </w:r>
            <w:r w:rsidR="00D60E03">
              <w:rPr>
                <w:rStyle w:val="normaltextrun"/>
                <w:i/>
                <w:iCs/>
              </w:rPr>
              <w:t>m</w:t>
            </w:r>
            <w:r w:rsidRPr="000C1C83">
              <w:rPr>
                <w:rStyle w:val="normaltextrun"/>
                <w:i/>
                <w:iCs/>
              </w:rPr>
              <w:t xml:space="preserve">ental </w:t>
            </w:r>
            <w:r w:rsidR="00D60E03">
              <w:rPr>
                <w:rStyle w:val="normaltextrun"/>
                <w:i/>
                <w:iCs/>
              </w:rPr>
              <w:t>h</w:t>
            </w:r>
            <w:r w:rsidRPr="000C1C83">
              <w:rPr>
                <w:rStyle w:val="normaltextrun"/>
                <w:i/>
                <w:iCs/>
              </w:rPr>
              <w:t xml:space="preserve">ealth and </w:t>
            </w:r>
            <w:r w:rsidR="00D60E03">
              <w:rPr>
                <w:rStyle w:val="normaltextrun"/>
                <w:i/>
                <w:iCs/>
              </w:rPr>
              <w:t>w</w:t>
            </w:r>
            <w:r w:rsidRPr="000C1C83">
              <w:rPr>
                <w:rStyle w:val="normaltextrun"/>
                <w:i/>
                <w:iCs/>
              </w:rPr>
              <w:t xml:space="preserve">ellbeing </w:t>
            </w:r>
            <w:r w:rsidR="00D60E03">
              <w:rPr>
                <w:rStyle w:val="normaltextrun"/>
                <w:i/>
                <w:iCs/>
              </w:rPr>
              <w:t>p</w:t>
            </w:r>
            <w:r w:rsidRPr="000C1C83">
              <w:rPr>
                <w:rStyle w:val="normaltextrun"/>
                <w:i/>
                <w:iCs/>
              </w:rPr>
              <w:t xml:space="preserve">andemic </w:t>
            </w:r>
            <w:r w:rsidR="00D60E03">
              <w:rPr>
                <w:rStyle w:val="normaltextrun"/>
                <w:i/>
                <w:iCs/>
              </w:rPr>
              <w:t>r</w:t>
            </w:r>
            <w:r w:rsidRPr="000C1C83">
              <w:rPr>
                <w:rStyle w:val="normaltextrun"/>
                <w:i/>
                <w:iCs/>
              </w:rPr>
              <w:t xml:space="preserve">esponse </w:t>
            </w:r>
            <w:r w:rsidR="00D60E03">
              <w:rPr>
                <w:rStyle w:val="normaltextrun"/>
                <w:i/>
                <w:iCs/>
              </w:rPr>
              <w:t>p</w:t>
            </w:r>
            <w:r w:rsidRPr="000C1C83">
              <w:rPr>
                <w:rStyle w:val="normaltextrun"/>
                <w:i/>
                <w:iCs/>
              </w:rPr>
              <w:t>lan</w:t>
            </w:r>
            <w:r w:rsidRPr="00501D33">
              <w:rPr>
                <w:rStyle w:val="normaltextrun"/>
              </w:rPr>
              <w:t xml:space="preserve">. </w:t>
            </w:r>
            <w:r w:rsidRPr="00501D33">
              <w:rPr>
                <w:rStyle w:val="eop"/>
              </w:rPr>
              <w:t xml:space="preserve">The </w:t>
            </w:r>
            <w:r w:rsidR="00D60E03">
              <w:rPr>
                <w:rStyle w:val="eop"/>
              </w:rPr>
              <w:t>p</w:t>
            </w:r>
            <w:r w:rsidRPr="00501D33">
              <w:rPr>
                <w:rStyle w:val="eop"/>
              </w:rPr>
              <w:t>lan addresses COVID-specific mental health impacts, as well as further developing cross-government commitment to longer</w:t>
            </w:r>
            <w:r w:rsidR="00FA7AF2">
              <w:rPr>
                <w:rStyle w:val="eop"/>
              </w:rPr>
              <w:t xml:space="preserve"> </w:t>
            </w:r>
            <w:r w:rsidRPr="00501D33">
              <w:rPr>
                <w:rStyle w:val="eop"/>
              </w:rPr>
              <w:t xml:space="preserve">term mental health service reform. </w:t>
            </w:r>
          </w:p>
          <w:p w14:paraId="7D3D3C22" w14:textId="536DCCD9" w:rsidR="00D54135" w:rsidRPr="00501D33" w:rsidRDefault="00D54135" w:rsidP="006F3DF8">
            <w:pPr>
              <w:pStyle w:val="DHHStabletext"/>
              <w:rPr>
                <w:rStyle w:val="normaltextrun"/>
              </w:rPr>
            </w:pPr>
            <w:r w:rsidRPr="00501D33">
              <w:rPr>
                <w:rStyle w:val="normaltextrun"/>
              </w:rPr>
              <w:t xml:space="preserve">The </w:t>
            </w:r>
            <w:r w:rsidR="00D60E03">
              <w:rPr>
                <w:rStyle w:val="normaltextrun"/>
              </w:rPr>
              <w:t>p</w:t>
            </w:r>
            <w:r w:rsidRPr="00501D33">
              <w:rPr>
                <w:rStyle w:val="normaltextrun"/>
              </w:rPr>
              <w:t>lan was endorsed by National Cabinet on 15 May 2020.</w:t>
            </w:r>
          </w:p>
          <w:p w14:paraId="3138DFAF" w14:textId="77777777" w:rsidR="00D54135" w:rsidRPr="00501D33" w:rsidRDefault="00D54135" w:rsidP="006F3DF8">
            <w:pPr>
              <w:pStyle w:val="DHHStabletext"/>
              <w:rPr>
                <w:rStyle w:val="eop"/>
              </w:rPr>
            </w:pPr>
            <w:r w:rsidRPr="00501D33">
              <w:rPr>
                <w:rStyle w:val="normaltextrun"/>
              </w:rPr>
              <w:t xml:space="preserve">Under the stewardship of the National Mental Health Commission, </w:t>
            </w:r>
            <w:r w:rsidRPr="00501D33">
              <w:t>a</w:t>
            </w:r>
            <w:r w:rsidRPr="00501D33">
              <w:rPr>
                <w:rStyle w:val="normaltextrun"/>
              </w:rPr>
              <w:t>ll jurisdictions including Victoria have made progress with implementation activities</w:t>
            </w:r>
            <w:r w:rsidRPr="00501D33">
              <w:rPr>
                <w:rStyle w:val="eop"/>
              </w:rPr>
              <w:t xml:space="preserve"> in three key priority areas:</w:t>
            </w:r>
          </w:p>
          <w:p w14:paraId="6DEA15D0" w14:textId="5E1D7C29" w:rsidR="00D54135" w:rsidRPr="00501D33" w:rsidRDefault="00D60E03" w:rsidP="006F3DF8">
            <w:pPr>
              <w:pStyle w:val="DHHStablebullet1"/>
            </w:pPr>
            <w:r>
              <w:t>d</w:t>
            </w:r>
            <w:r w:rsidR="00D54135" w:rsidRPr="00501D33">
              <w:t xml:space="preserve">ata sharing and collection </w:t>
            </w:r>
            <w:r w:rsidR="00B44F04">
              <w:t>to</w:t>
            </w:r>
            <w:r w:rsidR="00D54135" w:rsidRPr="00501D33">
              <w:t xml:space="preserve"> monitor and predict mental health impacts </w:t>
            </w:r>
          </w:p>
          <w:p w14:paraId="4853B337" w14:textId="7F6EDBBA" w:rsidR="00D54135" w:rsidRPr="00501D33" w:rsidRDefault="00D60E03" w:rsidP="006F3DF8">
            <w:pPr>
              <w:pStyle w:val="DHHStablebullet1"/>
            </w:pPr>
            <w:r>
              <w:t>e</w:t>
            </w:r>
            <w:r w:rsidR="00D54135" w:rsidRPr="00501D33">
              <w:t>nsuring services are available in homes, workplaces, aged care, schools and other community sites to reach people in community</w:t>
            </w:r>
          </w:p>
          <w:p w14:paraId="4E0F1920" w14:textId="5AF058AB" w:rsidR="00D54135" w:rsidRDefault="00D60E03" w:rsidP="006F3DF8">
            <w:pPr>
              <w:pStyle w:val="DHHStablebullet1"/>
            </w:pPr>
            <w:r>
              <w:t>d</w:t>
            </w:r>
            <w:r w:rsidR="00D54135" w:rsidRPr="00501D33">
              <w:t>eveloping more connectivity through improved service linkage and coordination to provide clear pathways of care.</w:t>
            </w:r>
          </w:p>
          <w:p w14:paraId="3443B9CA" w14:textId="67434C04" w:rsidR="00D54135" w:rsidRDefault="00D54135" w:rsidP="006F3DF8">
            <w:pPr>
              <w:pStyle w:val="DHHStabletext"/>
              <w:rPr>
                <w:rStyle w:val="normaltextrun"/>
              </w:rPr>
            </w:pPr>
            <w:r>
              <w:t xml:space="preserve">Funding from the </w:t>
            </w:r>
            <w:r w:rsidR="00D90D8A">
              <w:t xml:space="preserve">Mental Health and </w:t>
            </w:r>
            <w:r>
              <w:t>Social Connectedness Package (April 2020)</w:t>
            </w:r>
            <w:r w:rsidRPr="003E3088">
              <w:t xml:space="preserve"> complements and reinforces the </w:t>
            </w:r>
            <w:r w:rsidR="00FA7AF2">
              <w:t xml:space="preserve">Victorian </w:t>
            </w:r>
            <w:r w:rsidRPr="003E3088">
              <w:t xml:space="preserve">Government’s commitment to the objectives of the </w:t>
            </w:r>
            <w:r w:rsidRPr="000C1C83">
              <w:rPr>
                <w:i/>
                <w:iCs/>
              </w:rPr>
              <w:t xml:space="preserve">National </w:t>
            </w:r>
            <w:r w:rsidR="00FA7AF2">
              <w:rPr>
                <w:i/>
                <w:iCs/>
              </w:rPr>
              <w:t>m</w:t>
            </w:r>
            <w:r w:rsidRPr="000C1C83">
              <w:rPr>
                <w:i/>
                <w:iCs/>
              </w:rPr>
              <w:t xml:space="preserve">ental </w:t>
            </w:r>
            <w:r w:rsidR="00FA7AF2">
              <w:rPr>
                <w:i/>
                <w:iCs/>
              </w:rPr>
              <w:t>h</w:t>
            </w:r>
            <w:r w:rsidRPr="000C1C83">
              <w:rPr>
                <w:i/>
                <w:iCs/>
              </w:rPr>
              <w:t xml:space="preserve">ealth and </w:t>
            </w:r>
            <w:r w:rsidR="00FA7AF2">
              <w:rPr>
                <w:i/>
                <w:iCs/>
              </w:rPr>
              <w:t>w</w:t>
            </w:r>
            <w:r w:rsidRPr="000C1C83">
              <w:rPr>
                <w:i/>
                <w:iCs/>
              </w:rPr>
              <w:t xml:space="preserve">ellbeing </w:t>
            </w:r>
            <w:r w:rsidR="00FA7AF2">
              <w:rPr>
                <w:i/>
                <w:iCs/>
              </w:rPr>
              <w:t>p</w:t>
            </w:r>
            <w:r w:rsidRPr="000C1C83">
              <w:rPr>
                <w:i/>
                <w:iCs/>
              </w:rPr>
              <w:t xml:space="preserve">andemic </w:t>
            </w:r>
            <w:r w:rsidR="00FA7AF2">
              <w:rPr>
                <w:i/>
                <w:iCs/>
              </w:rPr>
              <w:t>r</w:t>
            </w:r>
            <w:r w:rsidRPr="000C1C83">
              <w:rPr>
                <w:i/>
                <w:iCs/>
              </w:rPr>
              <w:t xml:space="preserve">esponse </w:t>
            </w:r>
            <w:r w:rsidR="00FA7AF2">
              <w:rPr>
                <w:i/>
                <w:iCs/>
              </w:rPr>
              <w:t>p</w:t>
            </w:r>
            <w:r w:rsidRPr="000C1C83">
              <w:rPr>
                <w:i/>
                <w:iCs/>
              </w:rPr>
              <w:t>lan</w:t>
            </w:r>
            <w:r w:rsidRPr="003E3088">
              <w:t xml:space="preserve"> by addressing critical enablers of the pandemic response and continuing system reform.</w:t>
            </w:r>
          </w:p>
        </w:tc>
      </w:tr>
    </w:tbl>
    <w:p w14:paraId="74231076" w14:textId="77777777" w:rsidR="00D54135" w:rsidRDefault="00D54135" w:rsidP="00FC422F">
      <w:pPr>
        <w:pStyle w:val="DHHSbody"/>
      </w:pPr>
    </w:p>
    <w:p w14:paraId="5B4F1682" w14:textId="5BE0B386" w:rsidR="00F907D1" w:rsidRPr="0018595F" w:rsidRDefault="00F907D1" w:rsidP="00F907D1">
      <w:pPr>
        <w:pStyle w:val="Heading2"/>
      </w:pPr>
      <w:bookmarkStart w:id="5" w:name="_Toc55379386"/>
      <w:r w:rsidRPr="00D910C0">
        <w:lastRenderedPageBreak/>
        <w:t>Support to drought</w:t>
      </w:r>
      <w:r w:rsidR="004D385F">
        <w:t>-</w:t>
      </w:r>
      <w:r w:rsidRPr="00D910C0">
        <w:t xml:space="preserve"> and bushfire</w:t>
      </w:r>
      <w:r w:rsidR="00E0107E">
        <w:t>-</w:t>
      </w:r>
      <w:r w:rsidRPr="00D910C0">
        <w:t>affected communities</w:t>
      </w:r>
      <w:bookmarkEnd w:id="5"/>
    </w:p>
    <w:p w14:paraId="041F5491" w14:textId="5653F6A4" w:rsidR="00F907D1" w:rsidRDefault="00F907D1" w:rsidP="00F907D1">
      <w:pPr>
        <w:pStyle w:val="Heading3"/>
      </w:pPr>
      <w:r>
        <w:t>Support to drought</w:t>
      </w:r>
      <w:r w:rsidR="00E0107E">
        <w:t>-</w:t>
      </w:r>
      <w:r>
        <w:t>affected communities</w:t>
      </w:r>
    </w:p>
    <w:p w14:paraId="40FC0243" w14:textId="6E29DF0C" w:rsidR="00F907D1" w:rsidRPr="00CD42C7" w:rsidRDefault="004D385F" w:rsidP="00F907D1">
      <w:pPr>
        <w:pStyle w:val="DHHSbody"/>
        <w:rPr>
          <w:color w:val="FF0000"/>
        </w:rPr>
      </w:pPr>
      <w:r>
        <w:rPr>
          <w:color w:val="000000" w:themeColor="text1"/>
        </w:rPr>
        <w:t xml:space="preserve">The </w:t>
      </w:r>
      <w:r w:rsidR="00F907D1" w:rsidRPr="002E37C7">
        <w:rPr>
          <w:color w:val="000000" w:themeColor="text1"/>
        </w:rPr>
        <w:t xml:space="preserve">2019 </w:t>
      </w:r>
      <w:r>
        <w:rPr>
          <w:color w:val="000000" w:themeColor="text1"/>
        </w:rPr>
        <w:t xml:space="preserve">calendar year </w:t>
      </w:r>
      <w:r w:rsidR="00F907D1" w:rsidRPr="002E37C7">
        <w:rPr>
          <w:color w:val="000000" w:themeColor="text1"/>
        </w:rPr>
        <w:t>was Australia’s driest on record, intensifying one of the most severe droughts in recent times</w:t>
      </w:r>
      <w:r w:rsidR="00F907D1">
        <w:rPr>
          <w:color w:val="FF0000"/>
        </w:rPr>
        <w:t>.</w:t>
      </w:r>
    </w:p>
    <w:p w14:paraId="1EEF9809" w14:textId="5224F399" w:rsidR="00F907D1" w:rsidRPr="009D77F2" w:rsidRDefault="00F907D1" w:rsidP="00F907D1">
      <w:pPr>
        <w:pStyle w:val="DHHSbody"/>
      </w:pPr>
      <w:r>
        <w:t xml:space="preserve">In October 2019, $1.65 million was allocated to support mental health as part of the </w:t>
      </w:r>
      <w:r w:rsidR="00894D3B">
        <w:t>2019–20</w:t>
      </w:r>
      <w:r>
        <w:t xml:space="preserve"> Victorian Government Drought Response. </w:t>
      </w:r>
      <w:r w:rsidRPr="009D77F2">
        <w:t xml:space="preserve">The focus </w:t>
      </w:r>
      <w:r>
        <w:t xml:space="preserve">was </w:t>
      </w:r>
      <w:r w:rsidRPr="009D77F2">
        <w:t>on mental health capacity building and resilience, with a component of outreach</w:t>
      </w:r>
      <w:r w:rsidR="004D385F">
        <w:t xml:space="preserve"> that</w:t>
      </w:r>
      <w:r w:rsidRPr="009D77F2">
        <w:t xml:space="preserve"> includ</w:t>
      </w:r>
      <w:r w:rsidR="004D385F">
        <w:t>ed</w:t>
      </w:r>
      <w:r w:rsidRPr="009D77F2">
        <w:t>:</w:t>
      </w:r>
    </w:p>
    <w:p w14:paraId="68A866FC" w14:textId="77777777" w:rsidR="00F907D1" w:rsidRPr="009D77F2" w:rsidRDefault="00F907D1" w:rsidP="00F907D1">
      <w:pPr>
        <w:pStyle w:val="DHHSbullet1"/>
      </w:pPr>
      <w:r w:rsidRPr="009D77F2">
        <w:t>local coordination (</w:t>
      </w:r>
      <w:r>
        <w:t xml:space="preserve">with a </w:t>
      </w:r>
      <w:r w:rsidRPr="009D77F2">
        <w:t xml:space="preserve">lead agency identified per </w:t>
      </w:r>
      <w:r>
        <w:t>a</w:t>
      </w:r>
      <w:r w:rsidRPr="009D77F2">
        <w:t xml:space="preserve">rea, across both </w:t>
      </w:r>
      <w:r>
        <w:t>c</w:t>
      </w:r>
      <w:r w:rsidRPr="009D77F2">
        <w:t xml:space="preserve">ommunity </w:t>
      </w:r>
      <w:r>
        <w:t>h</w:t>
      </w:r>
      <w:r w:rsidRPr="009D77F2">
        <w:t xml:space="preserve">ealth </w:t>
      </w:r>
      <w:r>
        <w:t>s</w:t>
      </w:r>
      <w:r w:rsidRPr="009D77F2">
        <w:t>ervices and local councils depending on the focus of the initiatives in the area)</w:t>
      </w:r>
    </w:p>
    <w:p w14:paraId="1F83C9F5" w14:textId="77777777" w:rsidR="00F907D1" w:rsidRPr="009D77F2" w:rsidRDefault="00F907D1" w:rsidP="00F907D1">
      <w:pPr>
        <w:pStyle w:val="DHHSbullet1"/>
      </w:pPr>
      <w:r w:rsidRPr="009D77F2">
        <w:t>service-based and outreach counselling (provided by community health services working in collaboration with Primary Health Networks)</w:t>
      </w:r>
    </w:p>
    <w:p w14:paraId="1DE791E0" w14:textId="77777777" w:rsidR="00F907D1" w:rsidRPr="009D77F2" w:rsidRDefault="00F907D1" w:rsidP="00F907D1">
      <w:pPr>
        <w:pStyle w:val="DHHSbullet1"/>
      </w:pPr>
      <w:r w:rsidRPr="009D77F2">
        <w:t>awareness raising</w:t>
      </w:r>
      <w:r>
        <w:t xml:space="preserve"> and</w:t>
      </w:r>
      <w:r w:rsidRPr="009D77F2">
        <w:t xml:space="preserve"> community connectedness training and events (in partnership with local councils)</w:t>
      </w:r>
    </w:p>
    <w:p w14:paraId="57D3F7FE" w14:textId="77777777" w:rsidR="00F907D1" w:rsidRPr="009D77F2" w:rsidRDefault="00F907D1" w:rsidP="00F907D1">
      <w:pPr>
        <w:pStyle w:val="DHHSbullet1"/>
      </w:pPr>
      <w:r>
        <w:t>m</w:t>
      </w:r>
      <w:r w:rsidRPr="009D77F2">
        <w:t xml:space="preserve">ental health screening introduced as part of </w:t>
      </w:r>
      <w:r>
        <w:t>f</w:t>
      </w:r>
      <w:r w:rsidRPr="009D77F2">
        <w:t xml:space="preserve">armer </w:t>
      </w:r>
      <w:r>
        <w:t>h</w:t>
      </w:r>
      <w:r w:rsidRPr="009D77F2">
        <w:t xml:space="preserve">ealth </w:t>
      </w:r>
      <w:r>
        <w:t>c</w:t>
      </w:r>
      <w:r w:rsidRPr="009D77F2">
        <w:t>hecks.</w:t>
      </w:r>
    </w:p>
    <w:p w14:paraId="79DDBF42" w14:textId="1A73FFB6" w:rsidR="00F907D1" w:rsidRPr="009D77F2" w:rsidRDefault="002731E0" w:rsidP="00C97703">
      <w:pPr>
        <w:pStyle w:val="DHHSbodyafterbullets"/>
      </w:pPr>
      <w:r>
        <w:t>Funding for a further year</w:t>
      </w:r>
      <w:r w:rsidR="00F907D1">
        <w:t xml:space="preserve"> was allocated to continue the Edenhope and District Hospital Rural Outreach Program model, which has been established successfully in the community. Three outreach workers are employed to support farmers across the West Wimmera region.</w:t>
      </w:r>
    </w:p>
    <w:p w14:paraId="4AFF4E12" w14:textId="77777777" w:rsidR="00F907D1" w:rsidRPr="001515A0" w:rsidRDefault="00F907D1" w:rsidP="00F907D1">
      <w:pPr>
        <w:pStyle w:val="Heading3"/>
      </w:pPr>
      <w:r w:rsidRPr="001515A0">
        <w:rPr>
          <w:rStyle w:val="normaltextrun"/>
        </w:rPr>
        <w:t>Support to bushfire-affected communities </w:t>
      </w:r>
      <w:r w:rsidRPr="001515A0">
        <w:rPr>
          <w:rStyle w:val="eop"/>
        </w:rPr>
        <w:t> </w:t>
      </w:r>
    </w:p>
    <w:p w14:paraId="3F62F58F" w14:textId="6F25A150" w:rsidR="00F907D1" w:rsidRDefault="00BB7D7F" w:rsidP="00F907D1">
      <w:pPr>
        <w:pStyle w:val="DHHSbody"/>
        <w:rPr>
          <w:rStyle w:val="eop"/>
        </w:rPr>
      </w:pPr>
      <w:r>
        <w:rPr>
          <w:rStyle w:val="eop"/>
        </w:rPr>
        <w:t>T</w:t>
      </w:r>
      <w:r w:rsidR="00F907D1">
        <w:rPr>
          <w:rStyle w:val="eop"/>
        </w:rPr>
        <w:t>he</w:t>
      </w:r>
      <w:r w:rsidR="00F907D1" w:rsidRPr="003A02C8">
        <w:rPr>
          <w:rStyle w:val="eop"/>
        </w:rPr>
        <w:t xml:space="preserve"> </w:t>
      </w:r>
      <w:r w:rsidR="00894D3B">
        <w:rPr>
          <w:rStyle w:val="eop"/>
        </w:rPr>
        <w:t>2019–</w:t>
      </w:r>
      <w:r w:rsidR="00F907D1" w:rsidRPr="003A02C8">
        <w:rPr>
          <w:rStyle w:val="eop"/>
        </w:rPr>
        <w:t xml:space="preserve">20 bushfire season was </w:t>
      </w:r>
      <w:r w:rsidR="00F907D1">
        <w:rPr>
          <w:rStyle w:val="eop"/>
        </w:rPr>
        <w:t>devastating,</w:t>
      </w:r>
      <w:r w:rsidR="00F907D1" w:rsidRPr="003A02C8">
        <w:rPr>
          <w:rStyle w:val="eop"/>
        </w:rPr>
        <w:t xml:space="preserve"> affecting East Gippsland and North East Victoria.</w:t>
      </w:r>
    </w:p>
    <w:p w14:paraId="6E161F00" w14:textId="77777777" w:rsidR="000A4D40" w:rsidRPr="003A02C8" w:rsidRDefault="000A4D40" w:rsidP="000A4D40">
      <w:pPr>
        <w:pStyle w:val="DHHSbodyafterbullets"/>
        <w:rPr>
          <w:rStyle w:val="eop"/>
          <w:rFonts w:ascii="Cambria" w:hAnsi="Cambria"/>
        </w:rPr>
      </w:pPr>
      <w:r>
        <w:rPr>
          <w:rStyle w:val="eop"/>
        </w:rPr>
        <w:t xml:space="preserve">In </w:t>
      </w:r>
      <w:r w:rsidRPr="003A02C8">
        <w:rPr>
          <w:rStyle w:val="eop"/>
        </w:rPr>
        <w:t xml:space="preserve">March 2020, the Victorian Government announced the Community Resilience, Psychosocial and Mental Health Response including $23.4 million for psychosocial and mental health support services for people affected by bushfire. </w:t>
      </w:r>
      <w:r>
        <w:rPr>
          <w:rStyle w:val="eop"/>
        </w:rPr>
        <w:t xml:space="preserve">This included </w:t>
      </w:r>
      <w:r w:rsidRPr="003A02C8">
        <w:rPr>
          <w:rStyle w:val="eop"/>
        </w:rPr>
        <w:t xml:space="preserve">access </w:t>
      </w:r>
      <w:r>
        <w:rPr>
          <w:rStyle w:val="eop"/>
        </w:rPr>
        <w:t>for communities</w:t>
      </w:r>
      <w:r w:rsidRPr="003A02C8">
        <w:rPr>
          <w:rStyle w:val="eop"/>
        </w:rPr>
        <w:t xml:space="preserve"> to early intervention, specialist mental health treatment and advisory services. This was in addition to $14.4 million to establish the Victorian Bushfire Case Support Program in January 2020.</w:t>
      </w:r>
    </w:p>
    <w:p w14:paraId="5A159AAD" w14:textId="3DF45508" w:rsidR="00F907D1" w:rsidRPr="00EB56FD" w:rsidRDefault="00F907D1" w:rsidP="00F907D1">
      <w:pPr>
        <w:pStyle w:val="DHHSbody"/>
        <w:rPr>
          <w:rStyle w:val="eop"/>
        </w:rPr>
      </w:pPr>
      <w:r w:rsidRPr="003A02C8">
        <w:rPr>
          <w:rStyle w:val="eop"/>
        </w:rPr>
        <w:t xml:space="preserve">The </w:t>
      </w:r>
      <w:r w:rsidR="004157CF">
        <w:rPr>
          <w:rStyle w:val="eop"/>
        </w:rPr>
        <w:t>d</w:t>
      </w:r>
      <w:r w:rsidRPr="003A02C8">
        <w:rPr>
          <w:rStyle w:val="eop"/>
        </w:rPr>
        <w:t>epartment</w:t>
      </w:r>
      <w:r w:rsidR="004157CF">
        <w:rPr>
          <w:rStyle w:val="eop"/>
        </w:rPr>
        <w:t>’s</w:t>
      </w:r>
      <w:r w:rsidRPr="003A02C8">
        <w:rPr>
          <w:rStyle w:val="eop"/>
        </w:rPr>
        <w:t xml:space="preserve"> Mental Health and Drugs Branch </w:t>
      </w:r>
      <w:r>
        <w:rPr>
          <w:rStyle w:val="eop"/>
        </w:rPr>
        <w:t>worked</w:t>
      </w:r>
      <w:r w:rsidRPr="003A02C8">
        <w:rPr>
          <w:rStyle w:val="eop"/>
        </w:rPr>
        <w:t xml:space="preserve"> in partnership with Bushfire Recovery Victoria to </w:t>
      </w:r>
      <w:r>
        <w:rPr>
          <w:rStyle w:val="eop"/>
        </w:rPr>
        <w:t xml:space="preserve">support those </w:t>
      </w:r>
      <w:r w:rsidRPr="003A02C8">
        <w:rPr>
          <w:rStyle w:val="eop"/>
        </w:rPr>
        <w:t>in the affected regions of East Gippsland and North East Victoria.</w:t>
      </w:r>
      <w:r>
        <w:rPr>
          <w:rStyle w:val="eop"/>
        </w:rPr>
        <w:t xml:space="preserve"> </w:t>
      </w:r>
      <w:r w:rsidRPr="00EB56FD">
        <w:rPr>
          <w:rStyle w:val="eop"/>
        </w:rPr>
        <w:t xml:space="preserve">The </w:t>
      </w:r>
      <w:r w:rsidR="000A4D40">
        <w:rPr>
          <w:rStyle w:val="eop"/>
        </w:rPr>
        <w:t>package</w:t>
      </w:r>
      <w:r w:rsidR="000A4D40" w:rsidRPr="00EB56FD">
        <w:rPr>
          <w:rStyle w:val="eop"/>
        </w:rPr>
        <w:t xml:space="preserve"> </w:t>
      </w:r>
      <w:r w:rsidRPr="00EB56FD">
        <w:rPr>
          <w:rStyle w:val="eop"/>
        </w:rPr>
        <w:t>was targeted to:</w:t>
      </w:r>
    </w:p>
    <w:p w14:paraId="09DBC7AD" w14:textId="163C29C0" w:rsidR="00F907D1" w:rsidRPr="003A02C8" w:rsidRDefault="00F907D1" w:rsidP="00F907D1">
      <w:pPr>
        <w:pStyle w:val="DHHSbullet1"/>
        <w:rPr>
          <w:rStyle w:val="eop"/>
        </w:rPr>
      </w:pPr>
      <w:r>
        <w:rPr>
          <w:rStyle w:val="eop"/>
        </w:rPr>
        <w:t>p</w:t>
      </w:r>
      <w:r w:rsidRPr="003A02C8">
        <w:rPr>
          <w:rStyle w:val="eop"/>
        </w:rPr>
        <w:t>eople a</w:t>
      </w:r>
      <w:r w:rsidR="004157CF">
        <w:rPr>
          <w:rStyle w:val="eop"/>
        </w:rPr>
        <w:t>ffe</w:t>
      </w:r>
      <w:r w:rsidRPr="003A02C8">
        <w:rPr>
          <w:rStyle w:val="eop"/>
        </w:rPr>
        <w:t xml:space="preserve">cted by the </w:t>
      </w:r>
      <w:r w:rsidR="00894D3B">
        <w:rPr>
          <w:rStyle w:val="eop"/>
        </w:rPr>
        <w:t>2019–20</w:t>
      </w:r>
      <w:r w:rsidRPr="003A02C8">
        <w:rPr>
          <w:rStyle w:val="eop"/>
        </w:rPr>
        <w:t xml:space="preserve"> </w:t>
      </w:r>
      <w:r w:rsidR="00E0107E" w:rsidRPr="003A02C8">
        <w:rPr>
          <w:rStyle w:val="eop"/>
        </w:rPr>
        <w:t xml:space="preserve">Victorian </w:t>
      </w:r>
      <w:r w:rsidRPr="003A02C8">
        <w:rPr>
          <w:rStyle w:val="eop"/>
        </w:rPr>
        <w:t xml:space="preserve">bushfires </w:t>
      </w:r>
    </w:p>
    <w:p w14:paraId="4F87EFBE" w14:textId="18505434" w:rsidR="00F907D1" w:rsidRPr="003A02C8" w:rsidRDefault="00F907D1" w:rsidP="00F907D1">
      <w:pPr>
        <w:pStyle w:val="DHHSbullet1"/>
        <w:rPr>
          <w:rStyle w:val="eop"/>
        </w:rPr>
      </w:pPr>
      <w:r>
        <w:rPr>
          <w:rStyle w:val="eop"/>
        </w:rPr>
        <w:t>p</w:t>
      </w:r>
      <w:r w:rsidRPr="003A02C8">
        <w:rPr>
          <w:rStyle w:val="eop"/>
        </w:rPr>
        <w:t>eople with a mental illness and their carers who require</w:t>
      </w:r>
      <w:r w:rsidR="004157CF">
        <w:rPr>
          <w:rStyle w:val="eop"/>
        </w:rPr>
        <w:t>d</w:t>
      </w:r>
      <w:r w:rsidRPr="003A02C8">
        <w:rPr>
          <w:rStyle w:val="eop"/>
        </w:rPr>
        <w:t xml:space="preserve"> wellbeing checks and support</w:t>
      </w:r>
      <w:r w:rsidR="00894D3B">
        <w:rPr>
          <w:rStyle w:val="eop"/>
        </w:rPr>
        <w:t xml:space="preserve"> </w:t>
      </w:r>
    </w:p>
    <w:p w14:paraId="2D053932" w14:textId="1D1A748F" w:rsidR="00F907D1" w:rsidRPr="003A02C8" w:rsidRDefault="00F907D1" w:rsidP="00F907D1">
      <w:pPr>
        <w:pStyle w:val="DHHSbullet1"/>
        <w:rPr>
          <w:rStyle w:val="eop"/>
        </w:rPr>
      </w:pPr>
      <w:r w:rsidRPr="003A02C8">
        <w:rPr>
          <w:rStyle w:val="eop"/>
        </w:rPr>
        <w:t>Aboriginal people experiencing social and emotional wellbeing issues</w:t>
      </w:r>
    </w:p>
    <w:p w14:paraId="2FAD2830" w14:textId="1F7B010D" w:rsidR="00F907D1" w:rsidRPr="003A02C8" w:rsidRDefault="00F907D1" w:rsidP="00F907D1">
      <w:pPr>
        <w:pStyle w:val="DHHSbullet1"/>
        <w:rPr>
          <w:rStyle w:val="eop"/>
        </w:rPr>
      </w:pPr>
      <w:r>
        <w:rPr>
          <w:rStyle w:val="eop"/>
        </w:rPr>
        <w:t>y</w:t>
      </w:r>
      <w:r w:rsidRPr="003A02C8">
        <w:rPr>
          <w:rStyle w:val="eop"/>
        </w:rPr>
        <w:t>oung people disengaging from school or experienc</w:t>
      </w:r>
      <w:r w:rsidR="00D822B7">
        <w:rPr>
          <w:rStyle w:val="eop"/>
        </w:rPr>
        <w:t>ing</w:t>
      </w:r>
      <w:r w:rsidRPr="003A02C8">
        <w:rPr>
          <w:rStyle w:val="eop"/>
        </w:rPr>
        <w:t xml:space="preserve"> mental health concerns</w:t>
      </w:r>
    </w:p>
    <w:p w14:paraId="20EB753C" w14:textId="77777777" w:rsidR="00F907D1" w:rsidRPr="003A02C8" w:rsidRDefault="00F907D1" w:rsidP="00F907D1">
      <w:pPr>
        <w:pStyle w:val="DHHSbullet1"/>
        <w:rPr>
          <w:rStyle w:val="eop"/>
        </w:rPr>
      </w:pPr>
      <w:r>
        <w:rPr>
          <w:rStyle w:val="eop"/>
        </w:rPr>
        <w:t>o</w:t>
      </w:r>
      <w:r w:rsidRPr="003A02C8">
        <w:rPr>
          <w:rStyle w:val="eop"/>
        </w:rPr>
        <w:t>lder isolated individuals with minimal informal supports</w:t>
      </w:r>
    </w:p>
    <w:p w14:paraId="03FD3054" w14:textId="4D97B47C" w:rsidR="00F907D1" w:rsidRPr="003A02C8" w:rsidRDefault="000A4D40" w:rsidP="00F907D1">
      <w:pPr>
        <w:pStyle w:val="DHHSbullet1"/>
        <w:rPr>
          <w:rStyle w:val="eop"/>
        </w:rPr>
      </w:pPr>
      <w:r>
        <w:rPr>
          <w:rStyle w:val="eop"/>
        </w:rPr>
        <w:t xml:space="preserve">support for </w:t>
      </w:r>
      <w:r w:rsidR="00F907D1">
        <w:rPr>
          <w:rStyle w:val="eop"/>
        </w:rPr>
        <w:t>h</w:t>
      </w:r>
      <w:r w:rsidR="00F907D1" w:rsidRPr="003A02C8">
        <w:rPr>
          <w:rStyle w:val="eop"/>
        </w:rPr>
        <w:t>ealth and social services workforce supporting individuals in communities a</w:t>
      </w:r>
      <w:r w:rsidR="004157CF">
        <w:rPr>
          <w:rStyle w:val="eop"/>
        </w:rPr>
        <w:t>ffe</w:t>
      </w:r>
      <w:r w:rsidR="00F907D1" w:rsidRPr="003A02C8">
        <w:rPr>
          <w:rStyle w:val="eop"/>
        </w:rPr>
        <w:t>cted by the bushfires</w:t>
      </w:r>
    </w:p>
    <w:p w14:paraId="2333BC77" w14:textId="77777777" w:rsidR="00F907D1" w:rsidRPr="003A02C8" w:rsidRDefault="00F907D1" w:rsidP="00F907D1">
      <w:pPr>
        <w:pStyle w:val="DHHSbullet1"/>
        <w:rPr>
          <w:rStyle w:val="eop"/>
        </w:rPr>
      </w:pPr>
      <w:r>
        <w:rPr>
          <w:rStyle w:val="eop"/>
        </w:rPr>
        <w:t>f</w:t>
      </w:r>
      <w:r w:rsidRPr="003A02C8">
        <w:rPr>
          <w:rStyle w:val="eop"/>
        </w:rPr>
        <w:t>armers, foresters, timber industry and small business</w:t>
      </w:r>
      <w:r>
        <w:rPr>
          <w:rStyle w:val="eop"/>
        </w:rPr>
        <w:t>.</w:t>
      </w:r>
    </w:p>
    <w:p w14:paraId="10AEA441" w14:textId="0A3F462A" w:rsidR="00F907D1" w:rsidRDefault="00F907D1" w:rsidP="00F907D1">
      <w:pPr>
        <w:pStyle w:val="DHHSbody"/>
      </w:pPr>
      <w:r w:rsidRPr="003A02C8">
        <w:t>The package include</w:t>
      </w:r>
      <w:r>
        <w:t>d</w:t>
      </w:r>
      <w:r w:rsidRPr="003A02C8">
        <w:t xml:space="preserve"> $8.75 million to bolster mental health services provided by Albury Wodonga Health and Latrobe Regional H</w:t>
      </w:r>
      <w:r>
        <w:t>ospital</w:t>
      </w:r>
      <w:r w:rsidR="004157CF">
        <w:t>, both of which</w:t>
      </w:r>
      <w:r w:rsidRPr="003A02C8">
        <w:t xml:space="preserve"> offer specialist early intervention advice to </w:t>
      </w:r>
      <w:r>
        <w:t>general practitioners</w:t>
      </w:r>
      <w:r w:rsidRPr="003A02C8">
        <w:t xml:space="preserve"> and community clinicians.</w:t>
      </w:r>
    </w:p>
    <w:p w14:paraId="16E01C3F" w14:textId="2459619D" w:rsidR="00F907D1" w:rsidRPr="003A02C8" w:rsidRDefault="00F907D1" w:rsidP="00F907D1">
      <w:pPr>
        <w:pStyle w:val="DHHSbody"/>
      </w:pPr>
      <w:r w:rsidRPr="00CB39A8">
        <w:t>Funding w</w:t>
      </w:r>
      <w:r>
        <w:t>as also directed</w:t>
      </w:r>
      <w:r w:rsidRPr="00CB39A8">
        <w:t xml:space="preserve"> to Austin Health’s Victorian Trauma Treatment Service for post-disaster treatment and advisory services, and to Phoenix Australia</w:t>
      </w:r>
      <w:r w:rsidR="004157CF">
        <w:t>,</w:t>
      </w:r>
      <w:r w:rsidRPr="00CB39A8">
        <w:t xml:space="preserve"> </w:t>
      </w:r>
      <w:r w:rsidR="000A4D40">
        <w:t>to</w:t>
      </w:r>
      <w:r w:rsidR="000A4D40" w:rsidRPr="00CB39A8">
        <w:t xml:space="preserve"> </w:t>
      </w:r>
      <w:r w:rsidRPr="00CB39A8">
        <w:t>provide training and mentorship to community leaders and mental health providers.</w:t>
      </w:r>
      <w:r>
        <w:t xml:space="preserve"> </w:t>
      </w:r>
      <w:r w:rsidRPr="003A02C8">
        <w:t>The investment include</w:t>
      </w:r>
      <w:r>
        <w:t>d</w:t>
      </w:r>
      <w:r w:rsidRPr="003A02C8">
        <w:t xml:space="preserve"> $6.6 million </w:t>
      </w:r>
      <w:r>
        <w:t>for l</w:t>
      </w:r>
      <w:r w:rsidRPr="003A02C8">
        <w:t>ocal community organisations</w:t>
      </w:r>
      <w:r>
        <w:t xml:space="preserve"> delivering </w:t>
      </w:r>
      <w:r w:rsidRPr="003A02C8">
        <w:t>practical mental health support programs</w:t>
      </w:r>
      <w:r>
        <w:t>.</w:t>
      </w:r>
    </w:p>
    <w:p w14:paraId="2EA84D11" w14:textId="54441AC4" w:rsidR="00F907D1" w:rsidRPr="003A02C8" w:rsidRDefault="00F907D1" w:rsidP="00F907D1">
      <w:pPr>
        <w:pStyle w:val="DHHSbody"/>
      </w:pPr>
      <w:r>
        <w:lastRenderedPageBreak/>
        <w:t xml:space="preserve">Beyond Blue was funded to deliver a free and confidential mental health support program designed to teach and provide strategies </w:t>
      </w:r>
      <w:r w:rsidR="004157CF">
        <w:t xml:space="preserve">to people </w:t>
      </w:r>
      <w:r>
        <w:t>to improve their own mental health and wellbeing</w:t>
      </w:r>
      <w:r w:rsidR="004157CF">
        <w:t>.</w:t>
      </w:r>
      <w:r>
        <w:t xml:space="preserve"> </w:t>
      </w:r>
      <w:r w:rsidR="004157CF">
        <w:t>R</w:t>
      </w:r>
      <w:r>
        <w:t>esidents in bushfire</w:t>
      </w:r>
      <w:r w:rsidR="004157CF">
        <w:t>-</w:t>
      </w:r>
      <w:r>
        <w:t xml:space="preserve">affected areas </w:t>
      </w:r>
      <w:r w:rsidR="004157CF">
        <w:t xml:space="preserve">were given </w:t>
      </w:r>
      <w:r>
        <w:t xml:space="preserve">access to free psychology sessions with no </w:t>
      </w:r>
      <w:r w:rsidR="00F96A0A">
        <w:t xml:space="preserve">general practitioner </w:t>
      </w:r>
      <w:r>
        <w:t>referral required through Rural Health Connect.</w:t>
      </w:r>
    </w:p>
    <w:p w14:paraId="09A15727" w14:textId="49244E8D" w:rsidR="00F907D1" w:rsidRPr="003A02C8" w:rsidRDefault="00F907D1" w:rsidP="00F907D1">
      <w:pPr>
        <w:pStyle w:val="DHHSbody"/>
      </w:pPr>
      <w:r w:rsidRPr="003A02C8">
        <w:t xml:space="preserve">The package </w:t>
      </w:r>
      <w:r>
        <w:t>provided</w:t>
      </w:r>
      <w:r w:rsidRPr="003A02C8">
        <w:t xml:space="preserve"> </w:t>
      </w:r>
      <w:r w:rsidR="000A4D40">
        <w:t xml:space="preserve">funding for </w:t>
      </w:r>
      <w:r w:rsidRPr="003A02C8">
        <w:t>a broad range of mental health promotion and resilience</w:t>
      </w:r>
      <w:r w:rsidR="00F96A0A">
        <w:t>-</w:t>
      </w:r>
      <w:r w:rsidRPr="003A02C8">
        <w:t>building programs such as:</w:t>
      </w:r>
    </w:p>
    <w:p w14:paraId="0D991BB5" w14:textId="77777777" w:rsidR="00F907D1" w:rsidRPr="009D77F2" w:rsidRDefault="00F907D1" w:rsidP="00F907D1">
      <w:pPr>
        <w:pStyle w:val="DHHSbullet1"/>
      </w:pPr>
      <w:r w:rsidRPr="009D77F2">
        <w:t>mental health promotion activities within local sporting clubs and recreation centres</w:t>
      </w:r>
    </w:p>
    <w:p w14:paraId="45C8AC7F" w14:textId="133265EE" w:rsidR="00F907D1" w:rsidRPr="009D77F2" w:rsidRDefault="00F907D1" w:rsidP="00F907D1">
      <w:pPr>
        <w:pStyle w:val="DHHSbullet1"/>
      </w:pPr>
      <w:r w:rsidRPr="009D77F2">
        <w:t>advice and training to parents to support their children through the long-term process of recovery</w:t>
      </w:r>
    </w:p>
    <w:p w14:paraId="3E8E5163" w14:textId="77777777" w:rsidR="00F907D1" w:rsidRPr="009D77F2" w:rsidRDefault="00F907D1" w:rsidP="00F907D1">
      <w:pPr>
        <w:pStyle w:val="DHHSbullet1"/>
      </w:pPr>
      <w:r w:rsidRPr="009D77F2">
        <w:t>mental health coaching programs for farmers, foresters and small business owners</w:t>
      </w:r>
    </w:p>
    <w:p w14:paraId="74D52737" w14:textId="77777777" w:rsidR="00F907D1" w:rsidRPr="009D77F2" w:rsidRDefault="00F907D1" w:rsidP="00F907D1">
      <w:pPr>
        <w:pStyle w:val="DHHSbullet1"/>
      </w:pPr>
      <w:r w:rsidRPr="009D77F2">
        <w:t>health and wellbeing meet-ups such as local exercise groups and social events</w:t>
      </w:r>
    </w:p>
    <w:p w14:paraId="304E6A88" w14:textId="0F7D286A" w:rsidR="00F907D1" w:rsidRPr="009D77F2" w:rsidRDefault="00F907D1" w:rsidP="00F907D1">
      <w:pPr>
        <w:pStyle w:val="DHHSbullet1"/>
      </w:pPr>
      <w:r w:rsidRPr="009D77F2">
        <w:t xml:space="preserve">school-based early intervention programs in partnership with mental health services to enable wraparound support and referral to specialist support </w:t>
      </w:r>
    </w:p>
    <w:p w14:paraId="4B59BF7E" w14:textId="4F8432E3" w:rsidR="00F907D1" w:rsidRDefault="00E0107E" w:rsidP="00F907D1">
      <w:pPr>
        <w:pStyle w:val="DHHSbullet1"/>
      </w:pPr>
      <w:r>
        <w:t>p</w:t>
      </w:r>
      <w:r w:rsidR="00F907D1" w:rsidRPr="009D77F2">
        <w:t>sychology sessions via phone and telehealth</w:t>
      </w:r>
      <w:r>
        <w:t>.</w:t>
      </w:r>
    </w:p>
    <w:p w14:paraId="00985BB3" w14:textId="4FA020F3" w:rsidR="003F5CE4" w:rsidRDefault="003F5CE4" w:rsidP="00C97703">
      <w:pPr>
        <w:pStyle w:val="DHHSbodyafterbullets"/>
      </w:pPr>
      <w:bookmarkStart w:id="6" w:name="_Hlk53393313"/>
      <w:r w:rsidRPr="009D77F2">
        <w:t xml:space="preserve">The Victorian Aboriginal Community Controlled Health Organisation </w:t>
      </w:r>
      <w:r>
        <w:t>received</w:t>
      </w:r>
      <w:r w:rsidRPr="009D77F2">
        <w:t xml:space="preserve"> $3 million to </w:t>
      </w:r>
      <w:r>
        <w:t xml:space="preserve">work with </w:t>
      </w:r>
      <w:r w:rsidRPr="009D77F2">
        <w:t>Aboriginal</w:t>
      </w:r>
      <w:r w:rsidR="00F96A0A">
        <w:t>-c</w:t>
      </w:r>
      <w:r w:rsidRPr="009D77F2">
        <w:t xml:space="preserve">ommunity </w:t>
      </w:r>
      <w:r w:rsidR="00F96A0A">
        <w:t>c</w:t>
      </w:r>
      <w:r w:rsidRPr="009D77F2">
        <w:t xml:space="preserve">ontrolled </w:t>
      </w:r>
      <w:r w:rsidR="00F96A0A">
        <w:t>o</w:t>
      </w:r>
      <w:r w:rsidRPr="009D77F2">
        <w:t xml:space="preserve">rganisations in bushfire-affected regions </w:t>
      </w:r>
      <w:r>
        <w:t xml:space="preserve">to develop </w:t>
      </w:r>
      <w:r w:rsidR="00F96A0A">
        <w:t>s</w:t>
      </w:r>
      <w:r w:rsidRPr="009D77F2">
        <w:t xml:space="preserve">ocial and </w:t>
      </w:r>
      <w:r w:rsidR="00F96A0A">
        <w:t>e</w:t>
      </w:r>
      <w:r w:rsidRPr="009D77F2">
        <w:t xml:space="preserve">motional </w:t>
      </w:r>
      <w:r w:rsidR="00F96A0A">
        <w:t>w</w:t>
      </w:r>
      <w:r w:rsidRPr="009D77F2">
        <w:t xml:space="preserve">ellbeing programs </w:t>
      </w:r>
      <w:r>
        <w:t xml:space="preserve">and </w:t>
      </w:r>
      <w:r w:rsidR="00F96A0A">
        <w:t xml:space="preserve">to </w:t>
      </w:r>
      <w:r>
        <w:t>provide brokerage funding to Aboriginal communities</w:t>
      </w:r>
      <w:r w:rsidRPr="009D77F2">
        <w:t>.</w:t>
      </w:r>
    </w:p>
    <w:tbl>
      <w:tblPr>
        <w:tblStyle w:val="TableGrid"/>
        <w:tblW w:w="0" w:type="auto"/>
        <w:shd w:val="clear" w:color="auto" w:fill="FBE4D5" w:themeFill="accent2" w:themeFillTint="33"/>
        <w:tblLook w:val="04A0" w:firstRow="1" w:lastRow="0" w:firstColumn="1" w:lastColumn="0" w:noHBand="0" w:noVBand="1"/>
      </w:tblPr>
      <w:tblGrid>
        <w:gridCol w:w="9288"/>
      </w:tblGrid>
      <w:tr w:rsidR="000F3318" w14:paraId="7ECE460B" w14:textId="77777777" w:rsidTr="000D01E9">
        <w:tc>
          <w:tcPr>
            <w:tcW w:w="9288" w:type="dxa"/>
            <w:shd w:val="clear" w:color="auto" w:fill="auto"/>
          </w:tcPr>
          <w:bookmarkEnd w:id="6"/>
          <w:p w14:paraId="66D35841" w14:textId="77777777" w:rsidR="000F3318" w:rsidRPr="00CB39A8" w:rsidRDefault="000F3318" w:rsidP="00CE40D6">
            <w:pPr>
              <w:pStyle w:val="DHHStablecaption"/>
            </w:pPr>
            <w:r w:rsidRPr="00CB39A8">
              <w:t>Bushfires in East Gippsland</w:t>
            </w:r>
          </w:p>
          <w:p w14:paraId="54EDAF98" w14:textId="0523F879" w:rsidR="000F3318" w:rsidRDefault="0066298E" w:rsidP="006F3DF8">
            <w:pPr>
              <w:pStyle w:val="DHHStabletext"/>
            </w:pPr>
            <w:r>
              <w:t>‘</w:t>
            </w:r>
            <w:r w:rsidR="000F3318" w:rsidRPr="00CB39A8">
              <w:t>The mental health teams of Bairnsdale and Orbost were severely a</w:t>
            </w:r>
            <w:r w:rsidR="00503F5F">
              <w:t>ffe</w:t>
            </w:r>
            <w:r w:rsidR="000F3318" w:rsidRPr="00CB39A8">
              <w:t>cted by the fires in East Gippsland. Outreach services across the region were ceased due to fire activity and road closures.</w:t>
            </w:r>
            <w:r w:rsidR="000F3318">
              <w:t xml:space="preserve"> The</w:t>
            </w:r>
            <w:r w:rsidR="000F3318" w:rsidRPr="00CB39A8">
              <w:t xml:space="preserve"> Prevention and Recovery Care (PARC) </w:t>
            </w:r>
            <w:r w:rsidR="0079294A">
              <w:t>s</w:t>
            </w:r>
            <w:r w:rsidR="0079294A" w:rsidRPr="00CB39A8">
              <w:t xml:space="preserve">ervice </w:t>
            </w:r>
            <w:r w:rsidR="000F3318" w:rsidRPr="00CB39A8">
              <w:t xml:space="preserve">in Bairnsdale was also closed due to fire activity and smoke impacts. Several </w:t>
            </w:r>
            <w:r w:rsidR="000F3318">
              <w:t xml:space="preserve">mental health </w:t>
            </w:r>
            <w:r w:rsidR="000F3318" w:rsidRPr="00CB39A8">
              <w:t xml:space="preserve">staff were evacuated from their homes and additional mental health service staff were redeployed from other teams to assist the East Gippsland region. </w:t>
            </w:r>
            <w:r w:rsidR="000F3318">
              <w:t>S</w:t>
            </w:r>
            <w:r w:rsidR="000F3318" w:rsidRPr="008369B9">
              <w:t>taff</w:t>
            </w:r>
            <w:r w:rsidR="000F3318" w:rsidRPr="00CB39A8">
              <w:t xml:space="preserve"> made changes and innovations to their work systems to ensure the continuity of services and support to </w:t>
            </w:r>
            <w:r w:rsidR="000F3318">
              <w:t>consumer</w:t>
            </w:r>
            <w:r w:rsidR="000F3318" w:rsidRPr="00CB39A8">
              <w:t xml:space="preserve">s and </w:t>
            </w:r>
            <w:r w:rsidR="000F3318">
              <w:t>the</w:t>
            </w:r>
            <w:r w:rsidR="000F3318" w:rsidRPr="00CB39A8">
              <w:t xml:space="preserve"> community. </w:t>
            </w:r>
          </w:p>
          <w:p w14:paraId="7ABCCFE5" w14:textId="14028779" w:rsidR="004F2265" w:rsidRDefault="000F3318" w:rsidP="006F3DF8">
            <w:pPr>
              <w:pStyle w:val="DHHStabletext"/>
            </w:pPr>
            <w:r>
              <w:t>La</w:t>
            </w:r>
            <w:r w:rsidR="008923C5">
              <w:t>t</w:t>
            </w:r>
            <w:r>
              <w:t>robe Regional Hospital also provided staff health and wellbeing support to Bairnsdale Hospital staff and Victoria Police members a</w:t>
            </w:r>
            <w:r w:rsidR="00503F5F">
              <w:t>ffe</w:t>
            </w:r>
            <w:r>
              <w:t xml:space="preserve">cted by the fires. In addition, we worked with the Department of Health and Human Services and the Gippsland Primary Health Network to coordinate psychological first aid responses in communities and relief centres, </w:t>
            </w:r>
            <w:r w:rsidR="00503F5F">
              <w:t xml:space="preserve">to </w:t>
            </w:r>
            <w:r>
              <w:t xml:space="preserve">map service needs and </w:t>
            </w:r>
            <w:r w:rsidR="00503F5F">
              <w:t xml:space="preserve">to </w:t>
            </w:r>
            <w:r>
              <w:t xml:space="preserve">provide direct mental health specialist support into Mallacoota and other smaller communities. In 2020, </w:t>
            </w:r>
            <w:r w:rsidR="004F2265">
              <w:t xml:space="preserve">Latrobe Regional Hospital </w:t>
            </w:r>
            <w:r>
              <w:t>received funding to support bushfire recovery through expanded clinical services in East Gippsland. This expansion includes trauma treatment, mental health promotions, consultation liaison mental health services and increasing child and youth mental health into schools.</w:t>
            </w:r>
            <w:r w:rsidR="0066298E">
              <w:t>’</w:t>
            </w:r>
          </w:p>
          <w:p w14:paraId="3D764F55" w14:textId="27797CFD" w:rsidR="000F3318" w:rsidRPr="00B03D58" w:rsidRDefault="000F3318" w:rsidP="006F3DF8">
            <w:pPr>
              <w:pStyle w:val="DHHStabletext"/>
              <w:rPr>
                <w:b/>
                <w:bCs/>
              </w:rPr>
            </w:pPr>
            <w:r>
              <w:t xml:space="preserve">– </w:t>
            </w:r>
            <w:r w:rsidRPr="5A4996AB">
              <w:rPr>
                <w:b/>
                <w:bCs/>
              </w:rPr>
              <w:t xml:space="preserve">Executive Director Mental Health and </w:t>
            </w:r>
            <w:r w:rsidRPr="00360FCE">
              <w:rPr>
                <w:b/>
                <w:bCs/>
              </w:rPr>
              <w:t>Chief Mental Health Nurse,</w:t>
            </w:r>
            <w:r w:rsidRPr="5A4996AB">
              <w:rPr>
                <w:b/>
                <w:bCs/>
              </w:rPr>
              <w:t xml:space="preserve"> La</w:t>
            </w:r>
            <w:r w:rsidR="008923C5">
              <w:rPr>
                <w:b/>
                <w:bCs/>
              </w:rPr>
              <w:t>t</w:t>
            </w:r>
            <w:r w:rsidRPr="5A4996AB">
              <w:rPr>
                <w:b/>
                <w:bCs/>
              </w:rPr>
              <w:t>robe Regional Hospital</w:t>
            </w:r>
            <w:r>
              <w:t xml:space="preserve"> </w:t>
            </w:r>
          </w:p>
        </w:tc>
      </w:tr>
    </w:tbl>
    <w:p w14:paraId="35F56534" w14:textId="74AEF10D" w:rsidR="00F907D1" w:rsidRDefault="00E0107E" w:rsidP="00F907D1">
      <w:pPr>
        <w:pStyle w:val="Heading2"/>
        <w:rPr>
          <w:rStyle w:val="eop"/>
          <w:rFonts w:eastAsia="Arial"/>
        </w:rPr>
      </w:pPr>
      <w:bookmarkStart w:id="7" w:name="_Toc55379387"/>
      <w:r>
        <w:rPr>
          <w:rStyle w:val="normaltextrun"/>
          <w:rFonts w:eastAsia="Arial"/>
        </w:rPr>
        <w:t>C</w:t>
      </w:r>
      <w:r w:rsidR="00E51317">
        <w:rPr>
          <w:rStyle w:val="normaltextrun"/>
          <w:rFonts w:eastAsia="Arial"/>
        </w:rPr>
        <w:t>oronavirus (COVID-19)</w:t>
      </w:r>
      <w:r w:rsidR="00F907D1" w:rsidRPr="007D7487">
        <w:rPr>
          <w:rStyle w:val="normaltextrun"/>
          <w:rFonts w:eastAsia="Arial"/>
        </w:rPr>
        <w:t xml:space="preserve"> and </w:t>
      </w:r>
      <w:r w:rsidR="00F907D1">
        <w:rPr>
          <w:rStyle w:val="normaltextrun"/>
          <w:rFonts w:eastAsia="Arial"/>
        </w:rPr>
        <w:t xml:space="preserve">the </w:t>
      </w:r>
      <w:r w:rsidR="00F907D1" w:rsidRPr="007D7487">
        <w:rPr>
          <w:rStyle w:val="normaltextrun"/>
          <w:rFonts w:eastAsia="Arial"/>
        </w:rPr>
        <w:t xml:space="preserve">mental health </w:t>
      </w:r>
      <w:r w:rsidR="007311E3">
        <w:rPr>
          <w:rStyle w:val="normaltextrun"/>
          <w:rFonts w:eastAsia="Arial"/>
        </w:rPr>
        <w:t>system</w:t>
      </w:r>
      <w:bookmarkEnd w:id="7"/>
      <w:r w:rsidR="00F907D1" w:rsidRPr="007D7487">
        <w:rPr>
          <w:rStyle w:val="normaltextrun"/>
          <w:rFonts w:eastAsia="Arial"/>
        </w:rPr>
        <w:t xml:space="preserve"> </w:t>
      </w:r>
    </w:p>
    <w:p w14:paraId="22384386" w14:textId="047E0504" w:rsidR="00F907D1" w:rsidRDefault="00F907D1" w:rsidP="00F907D1">
      <w:pPr>
        <w:pStyle w:val="DHHSbody"/>
        <w:rPr>
          <w:color w:val="000000" w:themeColor="text1"/>
        </w:rPr>
      </w:pPr>
      <w:r>
        <w:rPr>
          <w:color w:val="000000" w:themeColor="text1"/>
        </w:rPr>
        <w:t>From March 2020</w:t>
      </w:r>
      <w:r w:rsidR="00C34565">
        <w:rPr>
          <w:color w:val="000000" w:themeColor="text1"/>
        </w:rPr>
        <w:t>,</w:t>
      </w:r>
      <w:r>
        <w:rPr>
          <w:color w:val="000000" w:themeColor="text1"/>
        </w:rPr>
        <w:t xml:space="preserve"> the </w:t>
      </w:r>
      <w:r w:rsidR="00E51317">
        <w:rPr>
          <w:color w:val="000000" w:themeColor="text1"/>
        </w:rPr>
        <w:t>coronavirus (COVID-19)</w:t>
      </w:r>
      <w:r>
        <w:rPr>
          <w:color w:val="000000" w:themeColor="text1"/>
        </w:rPr>
        <w:t xml:space="preserve"> pandemic changed the way Victorians live, </w:t>
      </w:r>
      <w:r w:rsidR="00C04DCC">
        <w:rPr>
          <w:color w:val="000000" w:themeColor="text1"/>
        </w:rPr>
        <w:t>introducing</w:t>
      </w:r>
      <w:r>
        <w:rPr>
          <w:color w:val="000000" w:themeColor="text1"/>
        </w:rPr>
        <w:t xml:space="preserve"> restrictions </w:t>
      </w:r>
      <w:r w:rsidR="00F660C4">
        <w:rPr>
          <w:color w:val="000000" w:themeColor="text1"/>
        </w:rPr>
        <w:t>on how we work</w:t>
      </w:r>
      <w:r w:rsidR="00EA0832">
        <w:rPr>
          <w:color w:val="000000" w:themeColor="text1"/>
        </w:rPr>
        <w:t>ed</w:t>
      </w:r>
      <w:r w:rsidR="00F660C4">
        <w:rPr>
          <w:color w:val="000000" w:themeColor="text1"/>
        </w:rPr>
        <w:t xml:space="preserve">, where we </w:t>
      </w:r>
      <w:r w:rsidR="00EA0832">
        <w:rPr>
          <w:color w:val="000000" w:themeColor="text1"/>
        </w:rPr>
        <w:t xml:space="preserve">could  </w:t>
      </w:r>
      <w:r w:rsidR="00F660C4">
        <w:rPr>
          <w:color w:val="000000" w:themeColor="text1"/>
        </w:rPr>
        <w:t xml:space="preserve">go and who we </w:t>
      </w:r>
      <w:r w:rsidR="00EA0832">
        <w:rPr>
          <w:color w:val="000000" w:themeColor="text1"/>
        </w:rPr>
        <w:t xml:space="preserve">could </w:t>
      </w:r>
      <w:r w:rsidR="00F660C4">
        <w:rPr>
          <w:color w:val="000000" w:themeColor="text1"/>
        </w:rPr>
        <w:t>see</w:t>
      </w:r>
      <w:r>
        <w:rPr>
          <w:color w:val="000000" w:themeColor="text1"/>
        </w:rPr>
        <w:t>. For many people, the pandemic has been a</w:t>
      </w:r>
      <w:r w:rsidR="00503F5F">
        <w:rPr>
          <w:color w:val="000000" w:themeColor="text1"/>
        </w:rPr>
        <w:t>n</w:t>
      </w:r>
      <w:r>
        <w:rPr>
          <w:color w:val="000000" w:themeColor="text1"/>
        </w:rPr>
        <w:t xml:space="preserve"> uncertain and stressful time. </w:t>
      </w:r>
      <w:r w:rsidR="00195B45">
        <w:rPr>
          <w:color w:val="000000" w:themeColor="text1"/>
        </w:rPr>
        <w:t>M</w:t>
      </w:r>
      <w:r>
        <w:rPr>
          <w:color w:val="000000" w:themeColor="text1"/>
        </w:rPr>
        <w:t xml:space="preserve">any </w:t>
      </w:r>
      <w:r w:rsidR="00195B45">
        <w:rPr>
          <w:color w:val="000000" w:themeColor="text1"/>
        </w:rPr>
        <w:t xml:space="preserve">Victorians experienced psychological distress </w:t>
      </w:r>
      <w:r>
        <w:rPr>
          <w:color w:val="000000" w:themeColor="text1"/>
        </w:rPr>
        <w:t>for the first time</w:t>
      </w:r>
      <w:r w:rsidR="00195B45">
        <w:rPr>
          <w:color w:val="000000" w:themeColor="text1"/>
        </w:rPr>
        <w:t xml:space="preserve"> and</w:t>
      </w:r>
      <w:r w:rsidR="00503F5F">
        <w:rPr>
          <w:color w:val="000000" w:themeColor="text1"/>
        </w:rPr>
        <w:t>,</w:t>
      </w:r>
      <w:r w:rsidR="00195B45">
        <w:rPr>
          <w:color w:val="000000" w:themeColor="text1"/>
        </w:rPr>
        <w:t xml:space="preserve"> for others</w:t>
      </w:r>
      <w:r w:rsidR="00F2304C">
        <w:rPr>
          <w:color w:val="000000" w:themeColor="text1"/>
        </w:rPr>
        <w:t xml:space="preserve"> who already access the mental health system,</w:t>
      </w:r>
      <w:r>
        <w:rPr>
          <w:color w:val="000000" w:themeColor="text1"/>
        </w:rPr>
        <w:t xml:space="preserve"> it exacerbated mental illness</w:t>
      </w:r>
      <w:r w:rsidR="00195B45">
        <w:rPr>
          <w:color w:val="000000" w:themeColor="text1"/>
        </w:rPr>
        <w:t>.</w:t>
      </w:r>
      <w:r>
        <w:rPr>
          <w:color w:val="000000" w:themeColor="text1"/>
        </w:rPr>
        <w:t xml:space="preserve"> </w:t>
      </w:r>
      <w:r w:rsidR="000A0EEF">
        <w:rPr>
          <w:color w:val="000000" w:themeColor="text1"/>
        </w:rPr>
        <w:t xml:space="preserve">Carers carried a </w:t>
      </w:r>
      <w:r w:rsidR="00E65EA7">
        <w:rPr>
          <w:color w:val="000000" w:themeColor="text1"/>
        </w:rPr>
        <w:t>heavy load during these difficult times.</w:t>
      </w:r>
    </w:p>
    <w:p w14:paraId="47BA0C3E" w14:textId="727405DD" w:rsidR="00F907D1" w:rsidRDefault="00832DF7" w:rsidP="00F907D1">
      <w:pPr>
        <w:pStyle w:val="Heading3"/>
      </w:pPr>
      <w:r>
        <w:t>U</w:t>
      </w:r>
      <w:r w:rsidR="00503F5F">
        <w:t>se</w:t>
      </w:r>
      <w:r>
        <w:t xml:space="preserve"> of</w:t>
      </w:r>
      <w:r w:rsidR="00F907D1">
        <w:t xml:space="preserve"> mental health services </w:t>
      </w:r>
    </w:p>
    <w:p w14:paraId="34F2511C" w14:textId="719328B7" w:rsidR="00264337" w:rsidRDefault="00E65EA7" w:rsidP="00264337">
      <w:pPr>
        <w:pStyle w:val="DHHSbody"/>
        <w:rPr>
          <w:rFonts w:cs="Arial"/>
        </w:rPr>
      </w:pPr>
      <w:r>
        <w:rPr>
          <w:rFonts w:cs="Arial"/>
        </w:rPr>
        <w:t>The</w:t>
      </w:r>
      <w:r w:rsidR="007253C9" w:rsidRPr="003650A0">
        <w:rPr>
          <w:rFonts w:cs="Arial"/>
        </w:rPr>
        <w:t xml:space="preserve"> effects of the pandemic </w:t>
      </w:r>
      <w:r w:rsidR="00EA0832">
        <w:rPr>
          <w:rFonts w:cs="Arial"/>
        </w:rPr>
        <w:t>were</w:t>
      </w:r>
      <w:r w:rsidR="00EA0832" w:rsidRPr="003650A0">
        <w:rPr>
          <w:rFonts w:cs="Arial"/>
        </w:rPr>
        <w:t xml:space="preserve"> </w:t>
      </w:r>
      <w:r w:rsidR="007253C9" w:rsidRPr="003650A0">
        <w:rPr>
          <w:rFonts w:cs="Arial"/>
        </w:rPr>
        <w:t>evident</w:t>
      </w:r>
      <w:r>
        <w:rPr>
          <w:rFonts w:cs="Arial"/>
        </w:rPr>
        <w:t xml:space="preserve"> in the </w:t>
      </w:r>
      <w:r w:rsidR="006632E5">
        <w:rPr>
          <w:rFonts w:cs="Arial"/>
        </w:rPr>
        <w:t>way Victorians changed the ways they sought and used mental health services</w:t>
      </w:r>
      <w:r w:rsidR="007253C9" w:rsidRPr="003650A0">
        <w:rPr>
          <w:rFonts w:cs="Arial"/>
        </w:rPr>
        <w:t xml:space="preserve">. </w:t>
      </w:r>
      <w:r w:rsidR="00264337" w:rsidRPr="003650A0">
        <w:rPr>
          <w:rFonts w:cs="Arial"/>
        </w:rPr>
        <w:t>The</w:t>
      </w:r>
      <w:r w:rsidR="00264337">
        <w:rPr>
          <w:rFonts w:cs="Arial"/>
        </w:rPr>
        <w:t xml:space="preserve">se changes began to take hold in </w:t>
      </w:r>
      <w:r w:rsidR="00264337" w:rsidRPr="003650A0">
        <w:rPr>
          <w:rFonts w:cs="Arial"/>
        </w:rPr>
        <w:t xml:space="preserve">March 2020, late in the third quarter of </w:t>
      </w:r>
      <w:r w:rsidR="00894D3B">
        <w:rPr>
          <w:rFonts w:cs="Arial"/>
        </w:rPr>
        <w:t>2019–20</w:t>
      </w:r>
      <w:r w:rsidR="00264337" w:rsidRPr="003650A0">
        <w:rPr>
          <w:rFonts w:cs="Arial"/>
        </w:rPr>
        <w:t>.</w:t>
      </w:r>
    </w:p>
    <w:p w14:paraId="2E217B91" w14:textId="09FD946A" w:rsidR="00F47109" w:rsidRDefault="00264337" w:rsidP="00264337">
      <w:pPr>
        <w:pStyle w:val="DHHSbody"/>
      </w:pPr>
      <w:r>
        <w:rPr>
          <w:rFonts w:cs="Arial"/>
        </w:rPr>
        <w:t>At the beginning</w:t>
      </w:r>
      <w:r w:rsidR="003B1D33">
        <w:rPr>
          <w:rFonts w:cs="Arial"/>
        </w:rPr>
        <w:t xml:space="preserve"> of the restrictions</w:t>
      </w:r>
      <w:r>
        <w:rPr>
          <w:rFonts w:cs="Arial"/>
        </w:rPr>
        <w:t xml:space="preserve">, Victorians deferred seeking treatment and care for a broad range of medical conditions, including mental illness. Overall, the total number of </w:t>
      </w:r>
      <w:r w:rsidR="00E97007">
        <w:rPr>
          <w:rFonts w:cs="Arial"/>
        </w:rPr>
        <w:t>e</w:t>
      </w:r>
      <w:r w:rsidRPr="003650A0">
        <w:rPr>
          <w:rFonts w:cs="Arial"/>
        </w:rPr>
        <w:t xml:space="preserve">mergency department (ED) </w:t>
      </w:r>
      <w:r w:rsidRPr="003650A0">
        <w:rPr>
          <w:rFonts w:cs="Arial"/>
        </w:rPr>
        <w:lastRenderedPageBreak/>
        <w:t xml:space="preserve">presentations for </w:t>
      </w:r>
      <w:r w:rsidR="00D90D8A">
        <w:rPr>
          <w:rFonts w:cs="Arial"/>
        </w:rPr>
        <w:t>any</w:t>
      </w:r>
      <w:r w:rsidRPr="003650A0">
        <w:rPr>
          <w:rFonts w:cs="Arial"/>
        </w:rPr>
        <w:t xml:space="preserve"> reason (including heart attack and stroke) reduced in March 2020 compared </w:t>
      </w:r>
      <w:r w:rsidR="00E97007">
        <w:rPr>
          <w:rFonts w:cs="Arial"/>
        </w:rPr>
        <w:t>with</w:t>
      </w:r>
      <w:r w:rsidR="00E97007" w:rsidRPr="003650A0">
        <w:rPr>
          <w:rFonts w:cs="Arial"/>
        </w:rPr>
        <w:t xml:space="preserve"> </w:t>
      </w:r>
      <w:r w:rsidRPr="003650A0">
        <w:rPr>
          <w:rFonts w:cs="Arial"/>
        </w:rPr>
        <w:t xml:space="preserve">the same time the previous year. </w:t>
      </w:r>
      <w:r w:rsidR="001E40E8" w:rsidRPr="00073F5E">
        <w:t>Mental health</w:t>
      </w:r>
      <w:r w:rsidR="00E97007">
        <w:t>–</w:t>
      </w:r>
      <w:r w:rsidR="001E40E8" w:rsidRPr="00073F5E">
        <w:t xml:space="preserve">related </w:t>
      </w:r>
      <w:r w:rsidR="008707D2">
        <w:t>ED</w:t>
      </w:r>
      <w:r w:rsidR="001E40E8" w:rsidRPr="00073F5E">
        <w:t xml:space="preserve"> presentations</w:t>
      </w:r>
      <w:r w:rsidR="001E40E8">
        <w:t xml:space="preserve"> </w:t>
      </w:r>
      <w:r w:rsidR="001E40E8" w:rsidRPr="00073F5E">
        <w:t>reduce</w:t>
      </w:r>
      <w:r w:rsidR="00F47109">
        <w:t xml:space="preserve">d further </w:t>
      </w:r>
      <w:r w:rsidR="001E40E8" w:rsidRPr="00073F5E">
        <w:t xml:space="preserve">during </w:t>
      </w:r>
      <w:r w:rsidR="001E40E8">
        <w:t>April</w:t>
      </w:r>
      <w:r w:rsidR="00D90D8A">
        <w:t>–</w:t>
      </w:r>
      <w:r w:rsidR="001E40E8" w:rsidRPr="00073F5E">
        <w:t>June 2020</w:t>
      </w:r>
      <w:r w:rsidR="00E208CD">
        <w:t>,</w:t>
      </w:r>
      <w:r w:rsidR="00F47109">
        <w:t xml:space="preserve"> but not as much as </w:t>
      </w:r>
      <w:r w:rsidR="00D40DD9">
        <w:t>ED presentations overall.</w:t>
      </w:r>
      <w:r w:rsidR="001E40E8">
        <w:t xml:space="preserve"> </w:t>
      </w:r>
    </w:p>
    <w:p w14:paraId="605EA735" w14:textId="219D5326" w:rsidR="00303438" w:rsidRDefault="00D90C54" w:rsidP="00F907D1">
      <w:pPr>
        <w:pStyle w:val="DHHSbody"/>
      </w:pPr>
      <w:r>
        <w:t xml:space="preserve">From April to June 2020, there was </w:t>
      </w:r>
      <w:r w:rsidRPr="00EB764F">
        <w:t xml:space="preserve">a </w:t>
      </w:r>
      <w:r>
        <w:t>shift</w:t>
      </w:r>
      <w:r w:rsidRPr="00EB764F">
        <w:t xml:space="preserve"> in the way </w:t>
      </w:r>
      <w:r>
        <w:t>mental health community services</w:t>
      </w:r>
      <w:r w:rsidRPr="00EB764F">
        <w:t xml:space="preserve"> </w:t>
      </w:r>
      <w:r>
        <w:t>were</w:t>
      </w:r>
      <w:r w:rsidRPr="00EB764F">
        <w:t xml:space="preserve"> provided</w:t>
      </w:r>
      <w:r>
        <w:t xml:space="preserve">. To increase safety </w:t>
      </w:r>
      <w:r w:rsidR="00EA0832">
        <w:t xml:space="preserve">for </w:t>
      </w:r>
      <w:r>
        <w:t>consumers,</w:t>
      </w:r>
      <w:r w:rsidR="00EA0832">
        <w:t xml:space="preserve"> carers and staff</w:t>
      </w:r>
      <w:r>
        <w:t xml:space="preserve"> face-to-face contact was reduced</w:t>
      </w:r>
      <w:r w:rsidR="00D90D8A">
        <w:t>,</w:t>
      </w:r>
      <w:r>
        <w:t xml:space="preserve"> and there was an increased use </w:t>
      </w:r>
      <w:r w:rsidRPr="00EB764F">
        <w:t xml:space="preserve">of </w:t>
      </w:r>
      <w:r>
        <w:t>t</w:t>
      </w:r>
      <w:r w:rsidRPr="00EB764F">
        <w:t>elehealth and telephone</w:t>
      </w:r>
      <w:r>
        <w:t xml:space="preserve"> options to ensure that service delivery continued.</w:t>
      </w:r>
    </w:p>
    <w:p w14:paraId="54C58BCF" w14:textId="50D9AE21" w:rsidR="00D51AA4" w:rsidRDefault="00EA0832" w:rsidP="00F907D1">
      <w:pPr>
        <w:pStyle w:val="DHHSbody"/>
      </w:pPr>
      <w:r>
        <w:t>Although t</w:t>
      </w:r>
      <w:r w:rsidR="009E4B6A">
        <w:t xml:space="preserve">his corresponded with a </w:t>
      </w:r>
      <w:r w:rsidR="00F907D1" w:rsidRPr="00073F5E">
        <w:t xml:space="preserve">reduction in inpatient admissions </w:t>
      </w:r>
      <w:r w:rsidR="00B41E4A">
        <w:t>and lower occupancy rates</w:t>
      </w:r>
      <w:r w:rsidR="00D90D8A">
        <w:t>,</w:t>
      </w:r>
      <w:r w:rsidR="00AF0801">
        <w:t xml:space="preserve"> particularly in adult acute inpatient units</w:t>
      </w:r>
      <w:r>
        <w:t>, occupancy remained high overall due to the existing high demand on inpatient beds</w:t>
      </w:r>
      <w:r w:rsidR="00A31F64">
        <w:t>, settling at 81.6</w:t>
      </w:r>
      <w:r w:rsidR="00936F59">
        <w:t xml:space="preserve"> per cent</w:t>
      </w:r>
      <w:r w:rsidR="003144C7">
        <w:t xml:space="preserve"> for the final quarter of the year</w:t>
      </w:r>
      <w:r w:rsidR="00A31F64">
        <w:t>.</w:t>
      </w:r>
    </w:p>
    <w:p w14:paraId="3D2AB61F" w14:textId="49F9FB29" w:rsidR="00C720C1" w:rsidRDefault="00E02097" w:rsidP="00C720C1">
      <w:pPr>
        <w:pStyle w:val="DHHSbody"/>
        <w:rPr>
          <w:rFonts w:cs="Arial"/>
        </w:rPr>
      </w:pPr>
      <w:r>
        <w:rPr>
          <w:rFonts w:cs="Arial"/>
        </w:rPr>
        <w:t>At the same time, mental health s</w:t>
      </w:r>
      <w:r w:rsidR="00C720C1" w:rsidRPr="003650A0">
        <w:rPr>
          <w:rFonts w:cs="Arial"/>
        </w:rPr>
        <w:t>ervices took a range of actions to protect the health and wellbeing of consumers, carers and staff</w:t>
      </w:r>
      <w:r w:rsidR="00C720C1">
        <w:rPr>
          <w:rFonts w:cs="Arial"/>
        </w:rPr>
        <w:t xml:space="preserve">, including implementing contingency plans and reducing admissions to </w:t>
      </w:r>
      <w:r w:rsidR="00EA0832">
        <w:rPr>
          <w:rFonts w:cs="Arial"/>
        </w:rPr>
        <w:t xml:space="preserve">Prevention and Recovery Care services (PARCs) </w:t>
      </w:r>
      <w:r w:rsidR="00C720C1">
        <w:rPr>
          <w:rFonts w:cs="Arial"/>
        </w:rPr>
        <w:t xml:space="preserve">to create alternative treatment settings in the case of a </w:t>
      </w:r>
      <w:r w:rsidR="00E51317">
        <w:rPr>
          <w:rFonts w:cs="Arial"/>
        </w:rPr>
        <w:t>coronavirus (COVID-19)</w:t>
      </w:r>
      <w:r w:rsidR="00C720C1">
        <w:rPr>
          <w:rFonts w:cs="Arial"/>
        </w:rPr>
        <w:t xml:space="preserve"> outbreak.</w:t>
      </w:r>
    </w:p>
    <w:tbl>
      <w:tblPr>
        <w:tblStyle w:val="TableGrid"/>
        <w:tblW w:w="0" w:type="auto"/>
        <w:shd w:val="clear" w:color="auto" w:fill="FBE4D5" w:themeFill="accent2" w:themeFillTint="33"/>
        <w:tblLook w:val="04A0" w:firstRow="1" w:lastRow="0" w:firstColumn="1" w:lastColumn="0" w:noHBand="0" w:noVBand="1"/>
      </w:tblPr>
      <w:tblGrid>
        <w:gridCol w:w="9288"/>
      </w:tblGrid>
      <w:tr w:rsidR="00117D55" w14:paraId="19B6AD42" w14:textId="77777777" w:rsidTr="000D01E9">
        <w:tc>
          <w:tcPr>
            <w:tcW w:w="9288" w:type="dxa"/>
            <w:shd w:val="clear" w:color="auto" w:fill="auto"/>
          </w:tcPr>
          <w:p w14:paraId="3D7B8A21" w14:textId="0EC4CB0A" w:rsidR="00117D55" w:rsidRPr="005F4396" w:rsidRDefault="00117D55" w:rsidP="00CE40D6">
            <w:pPr>
              <w:pStyle w:val="DHHStablecaption"/>
            </w:pPr>
            <w:r w:rsidRPr="005F4396">
              <w:t xml:space="preserve">Mental </w:t>
            </w:r>
            <w:r>
              <w:t>h</w:t>
            </w:r>
            <w:r w:rsidRPr="005F4396">
              <w:t xml:space="preserve">ealth and </w:t>
            </w:r>
            <w:r w:rsidR="00E51317">
              <w:t>coronavirus (COVID-19)</w:t>
            </w:r>
            <w:r w:rsidRPr="005F4396">
              <w:t xml:space="preserve"> </w:t>
            </w:r>
            <w:r>
              <w:t>s</w:t>
            </w:r>
            <w:r w:rsidRPr="005F4396">
              <w:t xml:space="preserve">urvey </w:t>
            </w:r>
            <w:r>
              <w:t>f</w:t>
            </w:r>
            <w:r w:rsidRPr="005F4396">
              <w:t>indings</w:t>
            </w:r>
          </w:p>
          <w:p w14:paraId="476EE0B7" w14:textId="5D984AAA" w:rsidR="00117D55" w:rsidRDefault="00410442" w:rsidP="006F3DF8">
            <w:pPr>
              <w:pStyle w:val="DHHStabletext"/>
            </w:pPr>
            <w:r>
              <w:t>The Victorian Mental Illness Awareness Council (</w:t>
            </w:r>
            <w:r w:rsidR="00117D55">
              <w:t>VMIAC</w:t>
            </w:r>
            <w:r>
              <w:t>)</w:t>
            </w:r>
            <w:r w:rsidR="00117D55">
              <w:t xml:space="preserve"> designed a survey with its members to find out more about the experiences of people with lived experience of mental </w:t>
            </w:r>
            <w:r w:rsidR="000569F8">
              <w:t>illness</w:t>
            </w:r>
            <w:bookmarkStart w:id="8" w:name="_GoBack"/>
            <w:bookmarkEnd w:id="8"/>
            <w:r w:rsidR="00117D55">
              <w:t xml:space="preserve"> during the first wave of </w:t>
            </w:r>
            <w:r w:rsidR="00E51317">
              <w:t>coronavirus (COVID-19)</w:t>
            </w:r>
            <w:r w:rsidR="00117D55">
              <w:t xml:space="preserve">. The survey ran for three weeks from 17 April </w:t>
            </w:r>
            <w:r w:rsidR="00E97007">
              <w:t>to</w:t>
            </w:r>
            <w:r w:rsidR="00117D55">
              <w:t xml:space="preserve"> 8 May 2020.</w:t>
            </w:r>
          </w:p>
          <w:p w14:paraId="03AFA653" w14:textId="0AECACA5" w:rsidR="00117D55" w:rsidRDefault="00117D55" w:rsidP="006F3DF8">
            <w:pPr>
              <w:pStyle w:val="DHHStabletext"/>
            </w:pPr>
            <w:r>
              <w:t xml:space="preserve">The survey found that most respondents (75 per cent) reported that their mental health was worse during </w:t>
            </w:r>
            <w:r w:rsidR="00E51317">
              <w:t>coronavirus (COVID-19)</w:t>
            </w:r>
            <w:r>
              <w:t xml:space="preserve"> than previously. The highest risk age group were</w:t>
            </w:r>
            <w:r w:rsidR="00D90D8A">
              <w:t xml:space="preserve"> those aged</w:t>
            </w:r>
            <w:r>
              <w:t xml:space="preserve"> under 35 years, with their mental health much worse than any other group. </w:t>
            </w:r>
          </w:p>
          <w:p w14:paraId="048C6977" w14:textId="2DB5D743" w:rsidR="00117D55" w:rsidRPr="005F4396" w:rsidRDefault="00D90D8A" w:rsidP="006F3DF8">
            <w:pPr>
              <w:pStyle w:val="DHHStabletext"/>
            </w:pPr>
            <w:r>
              <w:t>Almost all (</w:t>
            </w:r>
            <w:r w:rsidR="00117D55">
              <w:t>99 per cent</w:t>
            </w:r>
            <w:r>
              <w:t>)</w:t>
            </w:r>
            <w:r w:rsidR="00117D55">
              <w:t xml:space="preserve"> respondents found that </w:t>
            </w:r>
            <w:r>
              <w:t xml:space="preserve">the </w:t>
            </w:r>
            <w:r w:rsidR="00117D55">
              <w:t xml:space="preserve">effects of self-isolation, quarantine and social distancing </w:t>
            </w:r>
            <w:r>
              <w:t xml:space="preserve">had the most significant </w:t>
            </w:r>
            <w:r w:rsidR="00117D55">
              <w:t>impact</w:t>
            </w:r>
            <w:r>
              <w:t xml:space="preserve"> on</w:t>
            </w:r>
            <w:r w:rsidR="00117D55">
              <w:t xml:space="preserve"> their mental health. More than a third of respondents wanted additional mental health service support at this time. </w:t>
            </w:r>
          </w:p>
        </w:tc>
      </w:tr>
    </w:tbl>
    <w:p w14:paraId="2FADDA23" w14:textId="5BA2A540" w:rsidR="00F907D1" w:rsidRDefault="001773F3" w:rsidP="001773F3">
      <w:pPr>
        <w:pStyle w:val="Heading3"/>
      </w:pPr>
      <w:r>
        <w:t xml:space="preserve">Investment in </w:t>
      </w:r>
      <w:r w:rsidR="006B4D6B">
        <w:t>mental health</w:t>
      </w:r>
      <w:r w:rsidR="00853B18">
        <w:t xml:space="preserve"> service</w:t>
      </w:r>
      <w:r w:rsidR="00667BC3">
        <w:t xml:space="preserve"> delivery</w:t>
      </w:r>
      <w:r w:rsidR="00853B18">
        <w:t xml:space="preserve"> and reform</w:t>
      </w:r>
    </w:p>
    <w:p w14:paraId="5998AB6A" w14:textId="10B1312D" w:rsidR="004E4D47" w:rsidRPr="00390616" w:rsidRDefault="004E4D47" w:rsidP="001773F3">
      <w:pPr>
        <w:pStyle w:val="Heading4"/>
      </w:pPr>
      <w:r w:rsidRPr="00390616">
        <w:t xml:space="preserve">Mental Health and Social Connectedness </w:t>
      </w:r>
      <w:r w:rsidR="00E8156F">
        <w:t>p</w:t>
      </w:r>
      <w:r w:rsidRPr="00390616">
        <w:t>ackage</w:t>
      </w:r>
    </w:p>
    <w:p w14:paraId="50F4E709" w14:textId="027FD95E" w:rsidR="004E4D47" w:rsidRPr="00941395" w:rsidRDefault="004E4D47" w:rsidP="004E4D47">
      <w:pPr>
        <w:pStyle w:val="DHHSbody"/>
      </w:pPr>
      <w:r>
        <w:t>I</w:t>
      </w:r>
      <w:r w:rsidRPr="00962427">
        <w:t xml:space="preserve">n April 2020, the government announced the </w:t>
      </w:r>
      <w:r w:rsidR="00D90D8A" w:rsidRPr="00962427">
        <w:t xml:space="preserve">$59.4 million </w:t>
      </w:r>
      <w:r w:rsidRPr="00962427">
        <w:t xml:space="preserve">Mental Health and Social Connectedness package. </w:t>
      </w:r>
      <w:r>
        <w:t xml:space="preserve">This funding was provided to help </w:t>
      </w:r>
      <w:r w:rsidRPr="00390616">
        <w:t xml:space="preserve">reduce preventable or worsening mental illness, </w:t>
      </w:r>
      <w:r w:rsidR="00B80958">
        <w:t xml:space="preserve">to </w:t>
      </w:r>
      <w:r w:rsidRPr="00390616">
        <w:t xml:space="preserve">promote community connectedness and </w:t>
      </w:r>
      <w:r w:rsidR="00B80958">
        <w:t xml:space="preserve">to </w:t>
      </w:r>
      <w:r w:rsidRPr="00390616">
        <w:t>protect the health system</w:t>
      </w:r>
      <w:r>
        <w:t xml:space="preserve"> during the </w:t>
      </w:r>
      <w:r w:rsidR="00E51317">
        <w:t>coronavirus (COVID-19)</w:t>
      </w:r>
      <w:r>
        <w:t xml:space="preserve"> crisis</w:t>
      </w:r>
      <w:r w:rsidRPr="00390616">
        <w:t>.</w:t>
      </w:r>
    </w:p>
    <w:p w14:paraId="5E5022D4" w14:textId="7DC29268" w:rsidR="004E4D47" w:rsidRPr="00390616" w:rsidRDefault="004E4D47" w:rsidP="004E4D47">
      <w:pPr>
        <w:pStyle w:val="DHHSbody"/>
      </w:pPr>
      <w:r w:rsidRPr="00390616">
        <w:t xml:space="preserve">The package </w:t>
      </w:r>
      <w:r>
        <w:t>included</w:t>
      </w:r>
      <w:r w:rsidRPr="00390616">
        <w:t xml:space="preserve"> $17.8 million towards key recommendations</w:t>
      </w:r>
      <w:r>
        <w:t xml:space="preserve"> </w:t>
      </w:r>
      <w:r w:rsidR="00B80958">
        <w:t xml:space="preserve">from the </w:t>
      </w:r>
      <w:r w:rsidR="00B80958" w:rsidRPr="00390616">
        <w:t>Royal Commission</w:t>
      </w:r>
      <w:r w:rsidR="00B80958">
        <w:t xml:space="preserve"> into Victoria’s Mental Health System’s</w:t>
      </w:r>
      <w:r w:rsidR="00B80958" w:rsidRPr="00390616">
        <w:t xml:space="preserve"> </w:t>
      </w:r>
      <w:r w:rsidR="00B80958">
        <w:t>i</w:t>
      </w:r>
      <w:r w:rsidR="00B80958" w:rsidRPr="00390616">
        <w:t xml:space="preserve">nterim </w:t>
      </w:r>
      <w:r w:rsidR="00B80958">
        <w:t>r</w:t>
      </w:r>
      <w:r w:rsidR="00B80958" w:rsidRPr="00390616">
        <w:t xml:space="preserve">eport </w:t>
      </w:r>
      <w:r w:rsidRPr="00390616">
        <w:t>and $6.37 million for psychosocial supports for people with severe mental illness</w:t>
      </w:r>
      <w:r>
        <w:t>.</w:t>
      </w:r>
    </w:p>
    <w:p w14:paraId="435501B2" w14:textId="0549E354" w:rsidR="004E4D47" w:rsidRDefault="004E4D47" w:rsidP="004E4D47">
      <w:pPr>
        <w:pStyle w:val="DHHSbody"/>
      </w:pPr>
      <w:r w:rsidRPr="00AD3B8B">
        <w:t xml:space="preserve">The package included population health responses to help Victorians </w:t>
      </w:r>
      <w:r w:rsidR="00B80958">
        <w:t xml:space="preserve">to </w:t>
      </w:r>
      <w:r w:rsidRPr="00AD3B8B">
        <w:t>maintain social connection and practi</w:t>
      </w:r>
      <w:r w:rsidR="00B80958">
        <w:t>s</w:t>
      </w:r>
      <w:r w:rsidRPr="00AD3B8B">
        <w:t xml:space="preserve">e good mental health during the time of the pandemic. </w:t>
      </w:r>
    </w:p>
    <w:p w14:paraId="2F2EEBF9" w14:textId="5849AD6F" w:rsidR="004E4D47" w:rsidRPr="003E3088" w:rsidRDefault="004E4D47" w:rsidP="004E4D47">
      <w:pPr>
        <w:pStyle w:val="DHHSbody"/>
      </w:pPr>
      <w:r w:rsidRPr="003E3088">
        <w:t>The social connectedness initiatives that received funding include</w:t>
      </w:r>
      <w:r w:rsidR="00E2260A">
        <w:t>d</w:t>
      </w:r>
      <w:r w:rsidRPr="003E3088">
        <w:t>:</w:t>
      </w:r>
    </w:p>
    <w:p w14:paraId="361F6EEC" w14:textId="79C28A09" w:rsidR="004E4D47" w:rsidRPr="007F522C" w:rsidRDefault="004E4D47" w:rsidP="004E4D47">
      <w:pPr>
        <w:pStyle w:val="DHHSbullet1"/>
      </w:pPr>
      <w:r w:rsidRPr="007F522C">
        <w:t>$5.45 million to expand the statewide coronavirus</w:t>
      </w:r>
      <w:r w:rsidR="006352E2">
        <w:t xml:space="preserve"> (COVID-19)</w:t>
      </w:r>
      <w:r w:rsidRPr="007F522C">
        <w:t xml:space="preserve"> phone line to proactively reach out to people known to be isolated or vulnerable – including senior Victorians</w:t>
      </w:r>
    </w:p>
    <w:p w14:paraId="6EEF27CD" w14:textId="13030DC2" w:rsidR="004E4D47" w:rsidRPr="009E5918" w:rsidRDefault="004E4D47" w:rsidP="004E4D47">
      <w:pPr>
        <w:pStyle w:val="DHHSbullet1"/>
      </w:pPr>
      <w:r w:rsidRPr="007F522C">
        <w:t>$3.12 million in funding for a range of specific initiatives to help veterans, seniors, new mums, Aboriginal Victorians, multicultural and faith groups, and the LGBTIQ community, as well as vulnerable cohorts including people with eating disorders and victims of family violence</w:t>
      </w:r>
    </w:p>
    <w:p w14:paraId="67D6DC08" w14:textId="5AF00CA0" w:rsidR="004E4D47" w:rsidRPr="007F522C" w:rsidRDefault="004E4D47" w:rsidP="004E4D47">
      <w:pPr>
        <w:pStyle w:val="DHHSbullet1"/>
      </w:pPr>
      <w:r w:rsidRPr="007F522C">
        <w:t>$2.2 million for youth engagement and wellbeing programs, digital resources for parents with children experiencing anxiety, as well as podcasts for students, teachers and families to provide materials on supporting child and adolescent mental health</w:t>
      </w:r>
      <w:r w:rsidR="00E2260A">
        <w:t>.</w:t>
      </w:r>
    </w:p>
    <w:p w14:paraId="38C402C9" w14:textId="77777777" w:rsidR="004E4D47" w:rsidRPr="00390616" w:rsidRDefault="004E4D47" w:rsidP="00C97703">
      <w:pPr>
        <w:pStyle w:val="DHHSbodyafterbullets"/>
      </w:pPr>
      <w:r>
        <w:t>T</w:t>
      </w:r>
      <w:r w:rsidRPr="00390616">
        <w:t>he mental health and wellbeing initiatives that received funding include</w:t>
      </w:r>
      <w:r>
        <w:t>d</w:t>
      </w:r>
      <w:r w:rsidRPr="00390616">
        <w:t>:</w:t>
      </w:r>
    </w:p>
    <w:p w14:paraId="52ABB7BA" w14:textId="059561BD" w:rsidR="004E4D47" w:rsidRPr="00390616" w:rsidRDefault="004E4D47" w:rsidP="004E4D47">
      <w:pPr>
        <w:pStyle w:val="DHHSbullet1"/>
      </w:pPr>
      <w:r w:rsidRPr="00390616">
        <w:lastRenderedPageBreak/>
        <w:t xml:space="preserve">$7 million </w:t>
      </w:r>
      <w:r w:rsidR="00E2260A">
        <w:t>to</w:t>
      </w:r>
      <w:r w:rsidR="00E2260A" w:rsidRPr="00390616">
        <w:t xml:space="preserve"> </w:t>
      </w:r>
      <w:r w:rsidRPr="00390616">
        <w:t xml:space="preserve">help mental health and alcohol and drugs services deliver supports for people with severe mental illness via phone and video (telehealth) to reduce relapse and </w:t>
      </w:r>
      <w:r w:rsidR="008707D2">
        <w:t>ED</w:t>
      </w:r>
      <w:r w:rsidRPr="00390616">
        <w:t xml:space="preserve"> presentations</w:t>
      </w:r>
    </w:p>
    <w:p w14:paraId="20B44B31" w14:textId="4ED33E1D" w:rsidR="004E4D47" w:rsidRPr="00390616" w:rsidRDefault="004E4D47" w:rsidP="004E4D47">
      <w:pPr>
        <w:pStyle w:val="DHHSbullet1"/>
      </w:pPr>
      <w:r w:rsidRPr="00390616">
        <w:t xml:space="preserve">$6.7 million </w:t>
      </w:r>
      <w:r w:rsidR="00E2260A">
        <w:t>to</w:t>
      </w:r>
      <w:r w:rsidR="00E2260A" w:rsidRPr="00390616">
        <w:t xml:space="preserve"> </w:t>
      </w:r>
      <w:r w:rsidRPr="00390616">
        <w:t>expand online and phone counselling services through Beyond</w:t>
      </w:r>
      <w:r w:rsidR="00E0107E">
        <w:t xml:space="preserve"> </w:t>
      </w:r>
      <w:r w:rsidRPr="00390616">
        <w:t xml:space="preserve">Blue, Lifeline, Kids Helpline and Suicide Line Victoria and </w:t>
      </w:r>
      <w:r w:rsidR="00E2260A">
        <w:t xml:space="preserve">to </w:t>
      </w:r>
      <w:r w:rsidRPr="00390616">
        <w:t xml:space="preserve">boost </w:t>
      </w:r>
      <w:r w:rsidR="00E2260A">
        <w:t xml:space="preserve">the </w:t>
      </w:r>
      <w:r w:rsidRPr="00390616">
        <w:t>capacity of the VMIAC and Tandem helplines</w:t>
      </w:r>
    </w:p>
    <w:p w14:paraId="3FB54A80" w14:textId="644A7E4D" w:rsidR="004E4D47" w:rsidRPr="00F32519" w:rsidRDefault="004E4D47" w:rsidP="004E4D47">
      <w:pPr>
        <w:pStyle w:val="DHHSbullet1"/>
      </w:pPr>
      <w:r w:rsidRPr="00390616">
        <w:t>$6 million to fast</w:t>
      </w:r>
      <w:r w:rsidR="00E2260A">
        <w:t>-</w:t>
      </w:r>
      <w:r w:rsidRPr="00390616">
        <w:t xml:space="preserve">track Orygen Youth Health’s new </w:t>
      </w:r>
      <w:r w:rsidR="00E2260A">
        <w:t>d</w:t>
      </w:r>
      <w:r w:rsidR="0083635A">
        <w:t>igital</w:t>
      </w:r>
      <w:r w:rsidRPr="00390616">
        <w:t xml:space="preserve"> platform</w:t>
      </w:r>
      <w:r>
        <w:t>.</w:t>
      </w:r>
    </w:p>
    <w:p w14:paraId="0DC7EB25" w14:textId="77777777" w:rsidR="007932D6" w:rsidRPr="00073F5E" w:rsidRDefault="007932D6" w:rsidP="007932D6">
      <w:pPr>
        <w:pStyle w:val="Heading4"/>
      </w:pPr>
      <w:r>
        <w:t>Crisis and support helpline services</w:t>
      </w:r>
    </w:p>
    <w:p w14:paraId="4994B46F" w14:textId="03990A40" w:rsidR="007932D6" w:rsidRDefault="007932D6" w:rsidP="007932D6">
      <w:pPr>
        <w:pStyle w:val="DHHSbody"/>
      </w:pPr>
      <w:r>
        <w:t xml:space="preserve">Beyond Blue set up a </w:t>
      </w:r>
      <w:r w:rsidR="00E51317">
        <w:t>coronavirus (COVID-19)</w:t>
      </w:r>
      <w:r w:rsidR="00E2260A">
        <w:t>-</w:t>
      </w:r>
      <w:r>
        <w:t xml:space="preserve">specific telephone counselling service as a result of the pandemic to deal with the expected increase in demand for services. There was a marked increase in the number of calls answered by Beyond Blue’s telephone counselling services (general and </w:t>
      </w:r>
      <w:r w:rsidR="00E51317">
        <w:t>coronavirus (COVID-19)</w:t>
      </w:r>
      <w:r w:rsidR="00E2260A">
        <w:t>-</w:t>
      </w:r>
      <w:r>
        <w:t>specific) from Victorians from March to June 2020 compared with the previous year. The number of calls offered by Lifeline to Victorians also increased from March to June 2020 compared with the previous year.</w:t>
      </w:r>
    </w:p>
    <w:p w14:paraId="0F639F03" w14:textId="1253843D" w:rsidR="00F907D1" w:rsidRDefault="00F907D1" w:rsidP="000D6E03">
      <w:pPr>
        <w:pStyle w:val="Heading3"/>
      </w:pPr>
      <w:r>
        <w:t xml:space="preserve">Mental health </w:t>
      </w:r>
      <w:r w:rsidR="00256C2F">
        <w:t xml:space="preserve">service system response </w:t>
      </w:r>
      <w:r w:rsidR="00A777BD">
        <w:t xml:space="preserve">to </w:t>
      </w:r>
      <w:r w:rsidR="00E51317">
        <w:t>coronavirus (COVID-19)</w:t>
      </w:r>
    </w:p>
    <w:p w14:paraId="05219A63" w14:textId="7C3D5CD5" w:rsidR="00A1226D" w:rsidRDefault="00A1226D" w:rsidP="00A1226D">
      <w:pPr>
        <w:pStyle w:val="Heading4"/>
      </w:pPr>
      <w:r>
        <w:t>Telehealth</w:t>
      </w:r>
    </w:p>
    <w:p w14:paraId="1714FD04" w14:textId="744D87B4" w:rsidR="00EE4E45" w:rsidRDefault="00BC2C66" w:rsidP="00BC2C66">
      <w:pPr>
        <w:pStyle w:val="DHHSbody"/>
      </w:pPr>
      <w:r>
        <w:t>The</w:t>
      </w:r>
      <w:r w:rsidR="00AF07E5">
        <w:t xml:space="preserve"> enormous increase in the</w:t>
      </w:r>
      <w:r>
        <w:t xml:space="preserve"> use of telehealth for mental health services is </w:t>
      </w:r>
      <w:r w:rsidR="00AF07E5">
        <w:t>the most substantial service delivery change seen in a long time.</w:t>
      </w:r>
      <w:r w:rsidR="00443A08">
        <w:t xml:space="preserve"> </w:t>
      </w:r>
      <w:r w:rsidR="001C1859">
        <w:t xml:space="preserve">Telehealth services have enabled service providers to continue to provide community-based services to Victorians during the pandemic. </w:t>
      </w:r>
    </w:p>
    <w:p w14:paraId="3710C203" w14:textId="4B3CE8B6" w:rsidR="00B33A62" w:rsidRDefault="001D4714" w:rsidP="0023370B">
      <w:pPr>
        <w:pStyle w:val="DHHSbody"/>
      </w:pPr>
      <w:bookmarkStart w:id="9" w:name="_Hlk53567012"/>
      <w:r>
        <w:t xml:space="preserve">As shown in </w:t>
      </w:r>
      <w:r w:rsidR="00F77374">
        <w:t>Table</w:t>
      </w:r>
      <w:r>
        <w:t xml:space="preserve"> 1, t</w:t>
      </w:r>
      <w:r w:rsidR="00A1226D" w:rsidRPr="00505977">
        <w:t xml:space="preserve">here was a </w:t>
      </w:r>
      <w:r w:rsidR="00CC2F81">
        <w:t xml:space="preserve">large </w:t>
      </w:r>
      <w:r w:rsidR="00A1226D" w:rsidRPr="00505977">
        <w:t>reduction in face-to-face contacts f</w:t>
      </w:r>
      <w:r w:rsidR="009426A7">
        <w:t>rom</w:t>
      </w:r>
      <w:r w:rsidR="00A1226D" w:rsidRPr="00505977">
        <w:t xml:space="preserve"> </w:t>
      </w:r>
      <w:r w:rsidR="005934C9">
        <w:t>March</w:t>
      </w:r>
      <w:r w:rsidR="00A1226D" w:rsidRPr="00505977">
        <w:t xml:space="preserve"> to June 2020</w:t>
      </w:r>
      <w:r w:rsidR="00A1226D">
        <w:t xml:space="preserve"> </w:t>
      </w:r>
      <w:r w:rsidR="00A1226D" w:rsidRPr="00505977">
        <w:t xml:space="preserve">compared </w:t>
      </w:r>
      <w:r w:rsidR="00E97007">
        <w:t>with</w:t>
      </w:r>
      <w:r w:rsidR="00E97007" w:rsidRPr="00505977">
        <w:t xml:space="preserve"> </w:t>
      </w:r>
      <w:r w:rsidR="00A1226D" w:rsidRPr="00505977">
        <w:t>the same period</w:t>
      </w:r>
      <w:r w:rsidR="005934C9">
        <w:t xml:space="preserve"> in</w:t>
      </w:r>
      <w:r w:rsidR="00A1226D" w:rsidRPr="00505977">
        <w:t xml:space="preserve"> </w:t>
      </w:r>
      <w:r w:rsidR="00A1226D">
        <w:t>the previous year</w:t>
      </w:r>
      <w:r w:rsidR="005934C9">
        <w:t>.</w:t>
      </w:r>
      <w:r w:rsidR="00A1226D">
        <w:t xml:space="preserve"> However, there was </w:t>
      </w:r>
      <w:r w:rsidR="00A1226D" w:rsidRPr="00505977">
        <w:t xml:space="preserve">a corresponding increase in telephone contacts </w:t>
      </w:r>
      <w:r w:rsidR="005934C9">
        <w:t xml:space="preserve">from March to </w:t>
      </w:r>
      <w:r w:rsidR="00A1226D" w:rsidRPr="00505977">
        <w:t xml:space="preserve">June 2020 compared </w:t>
      </w:r>
      <w:r w:rsidR="00E97007">
        <w:t>with</w:t>
      </w:r>
      <w:r w:rsidR="00E97007" w:rsidRPr="00505977">
        <w:t xml:space="preserve"> </w:t>
      </w:r>
      <w:r w:rsidR="00A1226D" w:rsidRPr="00505977">
        <w:t>the same time the previous year</w:t>
      </w:r>
      <w:r w:rsidR="00BF6591">
        <w:t>,</w:t>
      </w:r>
      <w:r>
        <w:t xml:space="preserve"> as </w:t>
      </w:r>
      <w:r w:rsidR="008A086F">
        <w:t>demonstrated</w:t>
      </w:r>
      <w:r>
        <w:t xml:space="preserve"> in </w:t>
      </w:r>
      <w:r w:rsidR="00F77374">
        <w:t>Table</w:t>
      </w:r>
      <w:r>
        <w:t xml:space="preserve"> 2</w:t>
      </w:r>
      <w:r w:rsidR="00A1226D">
        <w:t xml:space="preserve">. </w:t>
      </w:r>
    </w:p>
    <w:bookmarkEnd w:id="9"/>
    <w:p w14:paraId="687D1DA3" w14:textId="47F647A1" w:rsidR="0023370B" w:rsidRDefault="00F77374" w:rsidP="00C00690">
      <w:pPr>
        <w:pStyle w:val="DHHStablecaption"/>
      </w:pPr>
      <w:r>
        <w:t>Table</w:t>
      </w:r>
      <w:r w:rsidR="0023370B">
        <w:t xml:space="preserve"> </w:t>
      </w:r>
      <w:r w:rsidR="0023370B">
        <w:fldChar w:fldCharType="begin"/>
      </w:r>
      <w:r w:rsidR="0023370B">
        <w:instrText>SEQ Figure \* ARABIC</w:instrText>
      </w:r>
      <w:r w:rsidR="0023370B">
        <w:fldChar w:fldCharType="separate"/>
      </w:r>
      <w:r w:rsidR="00E92D78">
        <w:rPr>
          <w:noProof/>
        </w:rPr>
        <w:t>1</w:t>
      </w:r>
      <w:r w:rsidR="0023370B">
        <w:fldChar w:fldCharType="end"/>
      </w:r>
      <w:r w:rsidR="0023370B">
        <w:t xml:space="preserve">: Community-based </w:t>
      </w:r>
      <w:r w:rsidR="002637CA">
        <w:t>face-to-face contacts</w:t>
      </w:r>
      <w:r w:rsidR="00BB570F">
        <w:t>, 2018–19 and 2019–20</w:t>
      </w:r>
    </w:p>
    <w:tbl>
      <w:tblPr>
        <w:tblStyle w:val="MentalhealthARtablestyle"/>
        <w:tblW w:w="10221" w:type="dxa"/>
        <w:tblLook w:val="04A0" w:firstRow="1" w:lastRow="0" w:firstColumn="1" w:lastColumn="0" w:noHBand="0" w:noVBand="1"/>
      </w:tblPr>
      <w:tblGrid>
        <w:gridCol w:w="917"/>
        <w:gridCol w:w="767"/>
        <w:gridCol w:w="767"/>
        <w:gridCol w:w="767"/>
        <w:gridCol w:w="767"/>
        <w:gridCol w:w="767"/>
        <w:gridCol w:w="767"/>
        <w:gridCol w:w="767"/>
        <w:gridCol w:w="767"/>
        <w:gridCol w:w="767"/>
        <w:gridCol w:w="767"/>
        <w:gridCol w:w="867"/>
        <w:gridCol w:w="767"/>
      </w:tblGrid>
      <w:tr w:rsidR="005230DF" w:rsidRPr="00BD7C03" w14:paraId="74446C5C" w14:textId="77777777" w:rsidTr="00F77374">
        <w:trPr>
          <w:cnfStyle w:val="100000000000" w:firstRow="1" w:lastRow="0" w:firstColumn="0" w:lastColumn="0" w:oddVBand="0" w:evenVBand="0" w:oddHBand="0" w:evenHBand="0" w:firstRowFirstColumn="0" w:firstRowLastColumn="0" w:lastRowFirstColumn="0" w:lastRowLastColumn="0"/>
          <w:trHeight w:val="315"/>
        </w:trPr>
        <w:tc>
          <w:tcPr>
            <w:tcW w:w="0" w:type="auto"/>
            <w:noWrap/>
            <w:hideMark/>
          </w:tcPr>
          <w:p w14:paraId="08FAFE99" w14:textId="0E9E6F7D" w:rsidR="00BD7C03" w:rsidRPr="009E2C40" w:rsidRDefault="00BD7C03" w:rsidP="005230DF">
            <w:pPr>
              <w:pStyle w:val="DHHStablecolhead"/>
              <w:rPr>
                <w:b/>
                <w:sz w:val="18"/>
                <w:szCs w:val="18"/>
                <w:lang w:eastAsia="en-AU"/>
              </w:rPr>
            </w:pPr>
            <w:r w:rsidRPr="00F606D8">
              <w:rPr>
                <w:sz w:val="18"/>
                <w:szCs w:val="18"/>
                <w:lang w:eastAsia="en-AU"/>
              </w:rPr>
              <w:t> </w:t>
            </w:r>
            <w:r w:rsidR="00B0136D" w:rsidRPr="009E2C40">
              <w:rPr>
                <w:b/>
                <w:sz w:val="18"/>
                <w:szCs w:val="18"/>
                <w:lang w:eastAsia="en-AU"/>
              </w:rPr>
              <w:t>Year</w:t>
            </w:r>
          </w:p>
        </w:tc>
        <w:tc>
          <w:tcPr>
            <w:tcW w:w="0" w:type="auto"/>
            <w:noWrap/>
            <w:hideMark/>
          </w:tcPr>
          <w:p w14:paraId="2005DA06" w14:textId="097BE9E1" w:rsidR="00BD7C03" w:rsidRPr="00F606D8" w:rsidRDefault="00BD7C03" w:rsidP="005230DF">
            <w:pPr>
              <w:pStyle w:val="DHHStablecolhead"/>
              <w:rPr>
                <w:b/>
                <w:bCs/>
                <w:sz w:val="18"/>
                <w:szCs w:val="18"/>
                <w:lang w:eastAsia="en-AU"/>
              </w:rPr>
            </w:pPr>
            <w:r w:rsidRPr="00F606D8">
              <w:rPr>
                <w:b/>
                <w:bCs/>
                <w:sz w:val="18"/>
                <w:szCs w:val="18"/>
                <w:lang w:eastAsia="en-AU"/>
              </w:rPr>
              <w:t>Jul</w:t>
            </w:r>
          </w:p>
        </w:tc>
        <w:tc>
          <w:tcPr>
            <w:tcW w:w="0" w:type="auto"/>
            <w:noWrap/>
            <w:hideMark/>
          </w:tcPr>
          <w:p w14:paraId="1B89D2A0" w14:textId="34F39E70" w:rsidR="00BD7C03" w:rsidRPr="00F606D8" w:rsidRDefault="00BD7C03" w:rsidP="005230DF">
            <w:pPr>
              <w:pStyle w:val="DHHStabletext"/>
              <w:rPr>
                <w:sz w:val="18"/>
                <w:szCs w:val="18"/>
                <w:lang w:eastAsia="en-AU"/>
              </w:rPr>
            </w:pPr>
            <w:r w:rsidRPr="00F606D8">
              <w:rPr>
                <w:sz w:val="18"/>
                <w:szCs w:val="18"/>
                <w:lang w:eastAsia="en-AU"/>
              </w:rPr>
              <w:t>Aug</w:t>
            </w:r>
          </w:p>
        </w:tc>
        <w:tc>
          <w:tcPr>
            <w:tcW w:w="0" w:type="auto"/>
            <w:noWrap/>
            <w:hideMark/>
          </w:tcPr>
          <w:p w14:paraId="116211AE" w14:textId="77096C9E" w:rsidR="00BD7C03" w:rsidRPr="00F606D8" w:rsidRDefault="00BD7C03" w:rsidP="005230DF">
            <w:pPr>
              <w:pStyle w:val="DHHStablecolhead"/>
              <w:rPr>
                <w:b/>
                <w:bCs/>
                <w:sz w:val="18"/>
                <w:szCs w:val="18"/>
                <w:lang w:eastAsia="en-AU"/>
              </w:rPr>
            </w:pPr>
            <w:r w:rsidRPr="00F606D8">
              <w:rPr>
                <w:b/>
                <w:bCs/>
                <w:sz w:val="18"/>
                <w:szCs w:val="18"/>
                <w:lang w:eastAsia="en-AU"/>
              </w:rPr>
              <w:t>Sep</w:t>
            </w:r>
          </w:p>
        </w:tc>
        <w:tc>
          <w:tcPr>
            <w:tcW w:w="0" w:type="auto"/>
            <w:noWrap/>
            <w:hideMark/>
          </w:tcPr>
          <w:p w14:paraId="7A4CF39C" w14:textId="07852ABD" w:rsidR="00BD7C03" w:rsidRPr="00F606D8" w:rsidRDefault="00BD7C03" w:rsidP="005230DF">
            <w:pPr>
              <w:pStyle w:val="DHHStablecolhead"/>
              <w:rPr>
                <w:b/>
                <w:bCs/>
                <w:sz w:val="18"/>
                <w:szCs w:val="18"/>
                <w:lang w:eastAsia="en-AU"/>
              </w:rPr>
            </w:pPr>
            <w:r w:rsidRPr="00F606D8">
              <w:rPr>
                <w:b/>
                <w:bCs/>
                <w:sz w:val="18"/>
                <w:szCs w:val="18"/>
                <w:lang w:eastAsia="en-AU"/>
              </w:rPr>
              <w:t>Oct</w:t>
            </w:r>
          </w:p>
        </w:tc>
        <w:tc>
          <w:tcPr>
            <w:tcW w:w="0" w:type="auto"/>
            <w:noWrap/>
            <w:hideMark/>
          </w:tcPr>
          <w:p w14:paraId="752A98BC" w14:textId="0A02CDE4" w:rsidR="00BD7C03" w:rsidRPr="00F606D8" w:rsidRDefault="00BD7C03" w:rsidP="005230DF">
            <w:pPr>
              <w:pStyle w:val="DHHStablecolhead"/>
              <w:rPr>
                <w:b/>
                <w:bCs/>
                <w:sz w:val="18"/>
                <w:szCs w:val="18"/>
                <w:lang w:eastAsia="en-AU"/>
              </w:rPr>
            </w:pPr>
            <w:r w:rsidRPr="00F606D8">
              <w:rPr>
                <w:b/>
                <w:bCs/>
                <w:sz w:val="18"/>
                <w:szCs w:val="18"/>
                <w:lang w:eastAsia="en-AU"/>
              </w:rPr>
              <w:t>Nov</w:t>
            </w:r>
          </w:p>
        </w:tc>
        <w:tc>
          <w:tcPr>
            <w:tcW w:w="0" w:type="auto"/>
            <w:noWrap/>
            <w:hideMark/>
          </w:tcPr>
          <w:p w14:paraId="7E32683E" w14:textId="29B7D763" w:rsidR="00BD7C03" w:rsidRPr="00F606D8" w:rsidRDefault="00BD7C03" w:rsidP="005230DF">
            <w:pPr>
              <w:pStyle w:val="DHHStablecolhead"/>
              <w:rPr>
                <w:b/>
                <w:bCs/>
                <w:sz w:val="18"/>
                <w:szCs w:val="18"/>
                <w:lang w:eastAsia="en-AU"/>
              </w:rPr>
            </w:pPr>
            <w:r w:rsidRPr="00F606D8">
              <w:rPr>
                <w:b/>
                <w:bCs/>
                <w:sz w:val="18"/>
                <w:szCs w:val="18"/>
                <w:lang w:eastAsia="en-AU"/>
              </w:rPr>
              <w:t>De</w:t>
            </w:r>
            <w:r w:rsidR="00E0107E" w:rsidRPr="00F606D8">
              <w:rPr>
                <w:b/>
                <w:bCs/>
                <w:sz w:val="18"/>
                <w:szCs w:val="18"/>
                <w:lang w:eastAsia="en-AU"/>
              </w:rPr>
              <w:t>c</w:t>
            </w:r>
          </w:p>
        </w:tc>
        <w:tc>
          <w:tcPr>
            <w:tcW w:w="0" w:type="auto"/>
            <w:noWrap/>
            <w:hideMark/>
          </w:tcPr>
          <w:p w14:paraId="6ED60DC7" w14:textId="7E824B0B" w:rsidR="00BD7C03" w:rsidRPr="00F606D8" w:rsidRDefault="00BD7C03" w:rsidP="005230DF">
            <w:pPr>
              <w:pStyle w:val="DHHStablecolhead"/>
              <w:rPr>
                <w:b/>
                <w:bCs/>
                <w:sz w:val="18"/>
                <w:szCs w:val="18"/>
                <w:lang w:eastAsia="en-AU"/>
              </w:rPr>
            </w:pPr>
            <w:r w:rsidRPr="00F606D8">
              <w:rPr>
                <w:b/>
                <w:bCs/>
                <w:sz w:val="18"/>
                <w:szCs w:val="18"/>
                <w:lang w:eastAsia="en-AU"/>
              </w:rPr>
              <w:t>Jan</w:t>
            </w:r>
          </w:p>
        </w:tc>
        <w:tc>
          <w:tcPr>
            <w:tcW w:w="0" w:type="auto"/>
            <w:noWrap/>
            <w:hideMark/>
          </w:tcPr>
          <w:p w14:paraId="24DB83DB" w14:textId="54E9D2D0" w:rsidR="00BD7C03" w:rsidRPr="00F606D8" w:rsidRDefault="00BD7C03" w:rsidP="005230DF">
            <w:pPr>
              <w:pStyle w:val="DHHStablecolhead"/>
              <w:rPr>
                <w:b/>
                <w:bCs/>
                <w:sz w:val="18"/>
                <w:szCs w:val="18"/>
                <w:lang w:eastAsia="en-AU"/>
              </w:rPr>
            </w:pPr>
            <w:r w:rsidRPr="00F606D8">
              <w:rPr>
                <w:b/>
                <w:bCs/>
                <w:sz w:val="18"/>
                <w:szCs w:val="18"/>
                <w:lang w:eastAsia="en-AU"/>
              </w:rPr>
              <w:t>Feb</w:t>
            </w:r>
          </w:p>
        </w:tc>
        <w:tc>
          <w:tcPr>
            <w:tcW w:w="0" w:type="auto"/>
            <w:noWrap/>
            <w:hideMark/>
          </w:tcPr>
          <w:p w14:paraId="145E2614" w14:textId="7BE27AD0" w:rsidR="00BD7C03" w:rsidRPr="00F606D8" w:rsidRDefault="00BD7C03" w:rsidP="005230DF">
            <w:pPr>
              <w:pStyle w:val="DHHStablecolhead"/>
              <w:rPr>
                <w:b/>
                <w:bCs/>
                <w:sz w:val="18"/>
                <w:szCs w:val="18"/>
                <w:lang w:eastAsia="en-AU"/>
              </w:rPr>
            </w:pPr>
            <w:r w:rsidRPr="00F606D8">
              <w:rPr>
                <w:b/>
                <w:bCs/>
                <w:sz w:val="18"/>
                <w:szCs w:val="18"/>
                <w:lang w:eastAsia="en-AU"/>
              </w:rPr>
              <w:t>Mar</w:t>
            </w:r>
          </w:p>
        </w:tc>
        <w:tc>
          <w:tcPr>
            <w:tcW w:w="0" w:type="auto"/>
            <w:noWrap/>
            <w:hideMark/>
          </w:tcPr>
          <w:p w14:paraId="7AE7859C" w14:textId="0508F626" w:rsidR="00BD7C03" w:rsidRPr="00F606D8" w:rsidRDefault="00BD7C03" w:rsidP="005230DF">
            <w:pPr>
              <w:pStyle w:val="DHHStablecolhead"/>
              <w:rPr>
                <w:b/>
                <w:bCs/>
                <w:sz w:val="18"/>
                <w:szCs w:val="18"/>
                <w:lang w:eastAsia="en-AU"/>
              </w:rPr>
            </w:pPr>
            <w:r w:rsidRPr="00F606D8">
              <w:rPr>
                <w:b/>
                <w:bCs/>
                <w:sz w:val="18"/>
                <w:szCs w:val="18"/>
                <w:lang w:eastAsia="en-AU"/>
              </w:rPr>
              <w:t>Apr</w:t>
            </w:r>
          </w:p>
        </w:tc>
        <w:tc>
          <w:tcPr>
            <w:tcW w:w="0" w:type="auto"/>
            <w:noWrap/>
            <w:hideMark/>
          </w:tcPr>
          <w:p w14:paraId="1EFDA24B" w14:textId="56663139" w:rsidR="00BD7C03" w:rsidRPr="00F606D8" w:rsidRDefault="00BD7C03" w:rsidP="005230DF">
            <w:pPr>
              <w:pStyle w:val="DHHStablecolhead"/>
              <w:rPr>
                <w:b/>
                <w:bCs/>
                <w:sz w:val="18"/>
                <w:szCs w:val="18"/>
                <w:lang w:eastAsia="en-AU"/>
              </w:rPr>
            </w:pPr>
            <w:r w:rsidRPr="00F606D8">
              <w:rPr>
                <w:b/>
                <w:bCs/>
                <w:sz w:val="18"/>
                <w:szCs w:val="18"/>
                <w:lang w:eastAsia="en-AU"/>
              </w:rPr>
              <w:t>M</w:t>
            </w:r>
            <w:r w:rsidR="00E0107E" w:rsidRPr="00F606D8">
              <w:rPr>
                <w:b/>
                <w:bCs/>
                <w:sz w:val="18"/>
                <w:szCs w:val="18"/>
                <w:lang w:eastAsia="en-AU"/>
              </w:rPr>
              <w:t>ay</w:t>
            </w:r>
          </w:p>
        </w:tc>
        <w:tc>
          <w:tcPr>
            <w:tcW w:w="0" w:type="auto"/>
            <w:noWrap/>
            <w:hideMark/>
          </w:tcPr>
          <w:p w14:paraId="0347CB07" w14:textId="297B319F" w:rsidR="00BD7C03" w:rsidRPr="00F606D8" w:rsidRDefault="00BD7C03" w:rsidP="005230DF">
            <w:pPr>
              <w:pStyle w:val="DHHStablecolhead"/>
              <w:rPr>
                <w:b/>
                <w:bCs/>
                <w:sz w:val="18"/>
                <w:szCs w:val="18"/>
                <w:lang w:eastAsia="en-AU"/>
              </w:rPr>
            </w:pPr>
            <w:r w:rsidRPr="00F606D8">
              <w:rPr>
                <w:b/>
                <w:bCs/>
                <w:sz w:val="18"/>
                <w:szCs w:val="18"/>
                <w:lang w:eastAsia="en-AU"/>
              </w:rPr>
              <w:t>Jun</w:t>
            </w:r>
          </w:p>
        </w:tc>
      </w:tr>
      <w:tr w:rsidR="005230DF" w:rsidRPr="00BD7C03" w14:paraId="0C4E457C" w14:textId="77777777" w:rsidTr="00F77374">
        <w:trPr>
          <w:trHeight w:val="315"/>
        </w:trPr>
        <w:tc>
          <w:tcPr>
            <w:tcW w:w="0" w:type="auto"/>
            <w:noWrap/>
            <w:hideMark/>
          </w:tcPr>
          <w:p w14:paraId="7FFDF4B0" w14:textId="72C39A29" w:rsidR="00BD7C03" w:rsidRPr="00F606D8" w:rsidRDefault="00BD7C03" w:rsidP="005230DF">
            <w:pPr>
              <w:pStyle w:val="DHHStabletext"/>
              <w:rPr>
                <w:sz w:val="18"/>
                <w:szCs w:val="18"/>
                <w:lang w:eastAsia="en-AU"/>
              </w:rPr>
            </w:pPr>
            <w:r w:rsidRPr="00F606D8">
              <w:rPr>
                <w:sz w:val="18"/>
                <w:szCs w:val="18"/>
                <w:lang w:eastAsia="en-AU"/>
              </w:rPr>
              <w:t>2018</w:t>
            </w:r>
            <w:r w:rsidR="000D6E03" w:rsidRPr="00F606D8">
              <w:rPr>
                <w:sz w:val="18"/>
                <w:szCs w:val="18"/>
                <w:lang w:eastAsia="en-AU"/>
              </w:rPr>
              <w:t>–</w:t>
            </w:r>
            <w:r w:rsidRPr="00F606D8">
              <w:rPr>
                <w:sz w:val="18"/>
                <w:szCs w:val="18"/>
                <w:lang w:eastAsia="en-AU"/>
              </w:rPr>
              <w:t>19</w:t>
            </w:r>
          </w:p>
        </w:tc>
        <w:tc>
          <w:tcPr>
            <w:tcW w:w="0" w:type="auto"/>
            <w:noWrap/>
            <w:hideMark/>
          </w:tcPr>
          <w:p w14:paraId="4CA11107" w14:textId="77777777" w:rsidR="00BD7C03" w:rsidRPr="00F606D8" w:rsidRDefault="00BD7C03" w:rsidP="005230DF">
            <w:pPr>
              <w:pStyle w:val="DHHStabletext"/>
              <w:rPr>
                <w:sz w:val="18"/>
                <w:szCs w:val="18"/>
                <w:lang w:eastAsia="en-AU"/>
              </w:rPr>
            </w:pPr>
            <w:r w:rsidRPr="00F606D8">
              <w:rPr>
                <w:sz w:val="18"/>
                <w:szCs w:val="18"/>
                <w:lang w:eastAsia="en-AU"/>
              </w:rPr>
              <w:t>92,173</w:t>
            </w:r>
          </w:p>
        </w:tc>
        <w:tc>
          <w:tcPr>
            <w:tcW w:w="0" w:type="auto"/>
            <w:noWrap/>
            <w:hideMark/>
          </w:tcPr>
          <w:p w14:paraId="5A171494" w14:textId="77777777" w:rsidR="00BD7C03" w:rsidRPr="00F606D8" w:rsidRDefault="00BD7C03" w:rsidP="005230DF">
            <w:pPr>
              <w:pStyle w:val="DHHStabletext"/>
              <w:rPr>
                <w:sz w:val="18"/>
                <w:szCs w:val="18"/>
                <w:lang w:eastAsia="en-AU"/>
              </w:rPr>
            </w:pPr>
            <w:r w:rsidRPr="00F606D8">
              <w:rPr>
                <w:sz w:val="18"/>
                <w:szCs w:val="18"/>
                <w:lang w:eastAsia="en-AU"/>
              </w:rPr>
              <w:t>99,800</w:t>
            </w:r>
          </w:p>
        </w:tc>
        <w:tc>
          <w:tcPr>
            <w:tcW w:w="0" w:type="auto"/>
            <w:noWrap/>
            <w:hideMark/>
          </w:tcPr>
          <w:p w14:paraId="427D6634" w14:textId="77777777" w:rsidR="00BD7C03" w:rsidRPr="00F606D8" w:rsidRDefault="00BD7C03" w:rsidP="005230DF">
            <w:pPr>
              <w:pStyle w:val="DHHStabletext"/>
              <w:rPr>
                <w:sz w:val="18"/>
                <w:szCs w:val="18"/>
                <w:lang w:eastAsia="en-AU"/>
              </w:rPr>
            </w:pPr>
            <w:r w:rsidRPr="00F606D8">
              <w:rPr>
                <w:sz w:val="18"/>
                <w:szCs w:val="18"/>
                <w:lang w:eastAsia="en-AU"/>
              </w:rPr>
              <w:t>84,143</w:t>
            </w:r>
          </w:p>
        </w:tc>
        <w:tc>
          <w:tcPr>
            <w:tcW w:w="0" w:type="auto"/>
            <w:noWrap/>
            <w:hideMark/>
          </w:tcPr>
          <w:p w14:paraId="5FC6BD11" w14:textId="77777777" w:rsidR="00BD7C03" w:rsidRPr="00F606D8" w:rsidRDefault="00BD7C03" w:rsidP="005230DF">
            <w:pPr>
              <w:pStyle w:val="DHHStabletext"/>
              <w:rPr>
                <w:sz w:val="18"/>
                <w:szCs w:val="18"/>
                <w:lang w:eastAsia="en-AU"/>
              </w:rPr>
            </w:pPr>
            <w:r w:rsidRPr="00F606D8">
              <w:rPr>
                <w:sz w:val="18"/>
                <w:szCs w:val="18"/>
                <w:lang w:eastAsia="en-AU"/>
              </w:rPr>
              <w:t>98,221</w:t>
            </w:r>
          </w:p>
        </w:tc>
        <w:tc>
          <w:tcPr>
            <w:tcW w:w="0" w:type="auto"/>
            <w:noWrap/>
            <w:hideMark/>
          </w:tcPr>
          <w:p w14:paraId="66502FC2" w14:textId="77777777" w:rsidR="00BD7C03" w:rsidRPr="00F606D8" w:rsidRDefault="00BD7C03" w:rsidP="005230DF">
            <w:pPr>
              <w:pStyle w:val="DHHStabletext"/>
              <w:rPr>
                <w:sz w:val="18"/>
                <w:szCs w:val="18"/>
                <w:lang w:eastAsia="en-AU"/>
              </w:rPr>
            </w:pPr>
            <w:r w:rsidRPr="00F606D8">
              <w:rPr>
                <w:sz w:val="18"/>
                <w:szCs w:val="18"/>
                <w:lang w:eastAsia="en-AU"/>
              </w:rPr>
              <w:t>92,684</w:t>
            </w:r>
          </w:p>
        </w:tc>
        <w:tc>
          <w:tcPr>
            <w:tcW w:w="0" w:type="auto"/>
            <w:noWrap/>
            <w:hideMark/>
          </w:tcPr>
          <w:p w14:paraId="2D45059C" w14:textId="77777777" w:rsidR="00BD7C03" w:rsidRPr="00F606D8" w:rsidRDefault="00BD7C03" w:rsidP="005230DF">
            <w:pPr>
              <w:pStyle w:val="DHHStabletext"/>
              <w:rPr>
                <w:sz w:val="18"/>
                <w:szCs w:val="18"/>
                <w:lang w:eastAsia="en-AU"/>
              </w:rPr>
            </w:pPr>
            <w:r w:rsidRPr="00F606D8">
              <w:rPr>
                <w:sz w:val="18"/>
                <w:szCs w:val="18"/>
                <w:lang w:eastAsia="en-AU"/>
              </w:rPr>
              <w:t>79,411</w:t>
            </w:r>
          </w:p>
        </w:tc>
        <w:tc>
          <w:tcPr>
            <w:tcW w:w="0" w:type="auto"/>
            <w:noWrap/>
            <w:hideMark/>
          </w:tcPr>
          <w:p w14:paraId="4BF50D3C" w14:textId="77777777" w:rsidR="00BD7C03" w:rsidRPr="00F606D8" w:rsidRDefault="00BD7C03" w:rsidP="005230DF">
            <w:pPr>
              <w:pStyle w:val="DHHStabletext"/>
              <w:rPr>
                <w:sz w:val="18"/>
                <w:szCs w:val="18"/>
                <w:lang w:eastAsia="en-AU"/>
              </w:rPr>
            </w:pPr>
            <w:r w:rsidRPr="00F606D8">
              <w:rPr>
                <w:sz w:val="18"/>
                <w:szCs w:val="18"/>
                <w:lang w:eastAsia="en-AU"/>
              </w:rPr>
              <w:t>86,336</w:t>
            </w:r>
          </w:p>
        </w:tc>
        <w:tc>
          <w:tcPr>
            <w:tcW w:w="0" w:type="auto"/>
            <w:noWrap/>
            <w:hideMark/>
          </w:tcPr>
          <w:p w14:paraId="13098F4A" w14:textId="77777777" w:rsidR="00BD7C03" w:rsidRPr="00F606D8" w:rsidRDefault="00BD7C03" w:rsidP="005230DF">
            <w:pPr>
              <w:pStyle w:val="DHHStabletext"/>
              <w:rPr>
                <w:sz w:val="18"/>
                <w:szCs w:val="18"/>
                <w:lang w:eastAsia="en-AU"/>
              </w:rPr>
            </w:pPr>
            <w:r w:rsidRPr="00F606D8">
              <w:rPr>
                <w:sz w:val="18"/>
                <w:szCs w:val="18"/>
                <w:lang w:eastAsia="en-AU"/>
              </w:rPr>
              <w:t>88,715</w:t>
            </w:r>
          </w:p>
        </w:tc>
        <w:tc>
          <w:tcPr>
            <w:tcW w:w="0" w:type="auto"/>
            <w:noWrap/>
            <w:hideMark/>
          </w:tcPr>
          <w:p w14:paraId="70CAD136" w14:textId="77777777" w:rsidR="00BD7C03" w:rsidRPr="00F606D8" w:rsidRDefault="00BD7C03" w:rsidP="005230DF">
            <w:pPr>
              <w:pStyle w:val="DHHStabletext"/>
              <w:rPr>
                <w:sz w:val="18"/>
                <w:szCs w:val="18"/>
                <w:lang w:eastAsia="en-AU"/>
              </w:rPr>
            </w:pPr>
            <w:r w:rsidRPr="00F606D8">
              <w:rPr>
                <w:sz w:val="18"/>
                <w:szCs w:val="18"/>
                <w:lang w:eastAsia="en-AU"/>
              </w:rPr>
              <w:t>93,983</w:t>
            </w:r>
          </w:p>
        </w:tc>
        <w:tc>
          <w:tcPr>
            <w:tcW w:w="0" w:type="auto"/>
            <w:noWrap/>
            <w:hideMark/>
          </w:tcPr>
          <w:p w14:paraId="2FC901D3" w14:textId="77777777" w:rsidR="00BD7C03" w:rsidRPr="00F606D8" w:rsidRDefault="00BD7C03" w:rsidP="005230DF">
            <w:pPr>
              <w:pStyle w:val="DHHStabletext"/>
              <w:rPr>
                <w:sz w:val="18"/>
                <w:szCs w:val="18"/>
                <w:lang w:eastAsia="en-AU"/>
              </w:rPr>
            </w:pPr>
            <w:r w:rsidRPr="00F606D8">
              <w:rPr>
                <w:sz w:val="18"/>
                <w:szCs w:val="18"/>
                <w:lang w:eastAsia="en-AU"/>
              </w:rPr>
              <w:t>84,023</w:t>
            </w:r>
          </w:p>
        </w:tc>
        <w:tc>
          <w:tcPr>
            <w:tcW w:w="0" w:type="auto"/>
            <w:noWrap/>
            <w:hideMark/>
          </w:tcPr>
          <w:p w14:paraId="4D57C335" w14:textId="77777777" w:rsidR="00BD7C03" w:rsidRPr="00F606D8" w:rsidRDefault="00BD7C03" w:rsidP="005230DF">
            <w:pPr>
              <w:pStyle w:val="DHHStabletext"/>
              <w:rPr>
                <w:sz w:val="18"/>
                <w:szCs w:val="18"/>
                <w:lang w:eastAsia="en-AU"/>
              </w:rPr>
            </w:pPr>
            <w:r w:rsidRPr="00F606D8">
              <w:rPr>
                <w:sz w:val="18"/>
                <w:szCs w:val="18"/>
                <w:lang w:eastAsia="en-AU"/>
              </w:rPr>
              <w:t>100,967</w:t>
            </w:r>
          </w:p>
        </w:tc>
        <w:tc>
          <w:tcPr>
            <w:tcW w:w="0" w:type="auto"/>
            <w:noWrap/>
            <w:hideMark/>
          </w:tcPr>
          <w:p w14:paraId="3AE8B400" w14:textId="77777777" w:rsidR="00BD7C03" w:rsidRPr="00F606D8" w:rsidRDefault="00BD7C03" w:rsidP="005230DF">
            <w:pPr>
              <w:pStyle w:val="DHHStabletext"/>
              <w:rPr>
                <w:sz w:val="18"/>
                <w:szCs w:val="18"/>
                <w:lang w:eastAsia="en-AU"/>
              </w:rPr>
            </w:pPr>
            <w:r w:rsidRPr="00F606D8">
              <w:rPr>
                <w:sz w:val="18"/>
                <w:szCs w:val="18"/>
                <w:lang w:eastAsia="en-AU"/>
              </w:rPr>
              <w:t>87,329</w:t>
            </w:r>
          </w:p>
        </w:tc>
      </w:tr>
      <w:tr w:rsidR="005230DF" w:rsidRPr="00BD7C03" w14:paraId="2261D6B2" w14:textId="77777777" w:rsidTr="00F77374">
        <w:trPr>
          <w:trHeight w:val="315"/>
        </w:trPr>
        <w:tc>
          <w:tcPr>
            <w:tcW w:w="0" w:type="auto"/>
            <w:noWrap/>
            <w:hideMark/>
          </w:tcPr>
          <w:p w14:paraId="31CC6596" w14:textId="052993A6" w:rsidR="00BD7C03" w:rsidRPr="00F606D8" w:rsidRDefault="00894D3B" w:rsidP="005230DF">
            <w:pPr>
              <w:pStyle w:val="DHHStabletext"/>
              <w:rPr>
                <w:sz w:val="18"/>
                <w:szCs w:val="18"/>
                <w:lang w:eastAsia="en-AU"/>
              </w:rPr>
            </w:pPr>
            <w:r w:rsidRPr="00F606D8">
              <w:rPr>
                <w:sz w:val="18"/>
                <w:szCs w:val="18"/>
                <w:lang w:eastAsia="en-AU"/>
              </w:rPr>
              <w:t>2019–20</w:t>
            </w:r>
          </w:p>
        </w:tc>
        <w:tc>
          <w:tcPr>
            <w:tcW w:w="0" w:type="auto"/>
            <w:noWrap/>
            <w:hideMark/>
          </w:tcPr>
          <w:p w14:paraId="09620689" w14:textId="77777777" w:rsidR="00BD7C03" w:rsidRPr="00F606D8" w:rsidRDefault="00BD7C03" w:rsidP="005230DF">
            <w:pPr>
              <w:pStyle w:val="DHHStabletext"/>
              <w:rPr>
                <w:sz w:val="18"/>
                <w:szCs w:val="18"/>
                <w:lang w:eastAsia="en-AU"/>
              </w:rPr>
            </w:pPr>
            <w:r w:rsidRPr="00F606D8">
              <w:rPr>
                <w:sz w:val="18"/>
                <w:szCs w:val="18"/>
                <w:lang w:eastAsia="en-AU"/>
              </w:rPr>
              <w:t>96,644</w:t>
            </w:r>
          </w:p>
        </w:tc>
        <w:tc>
          <w:tcPr>
            <w:tcW w:w="0" w:type="auto"/>
            <w:noWrap/>
            <w:hideMark/>
          </w:tcPr>
          <w:p w14:paraId="10A15D7C" w14:textId="77777777" w:rsidR="00BD7C03" w:rsidRPr="00F606D8" w:rsidRDefault="00BD7C03" w:rsidP="005230DF">
            <w:pPr>
              <w:pStyle w:val="DHHStabletext"/>
              <w:rPr>
                <w:sz w:val="18"/>
                <w:szCs w:val="18"/>
                <w:lang w:eastAsia="en-AU"/>
              </w:rPr>
            </w:pPr>
            <w:r w:rsidRPr="00F606D8">
              <w:rPr>
                <w:sz w:val="18"/>
                <w:szCs w:val="18"/>
                <w:lang w:eastAsia="en-AU"/>
              </w:rPr>
              <w:t>96,389</w:t>
            </w:r>
          </w:p>
        </w:tc>
        <w:tc>
          <w:tcPr>
            <w:tcW w:w="0" w:type="auto"/>
            <w:noWrap/>
            <w:hideMark/>
          </w:tcPr>
          <w:p w14:paraId="198C1BDE" w14:textId="77777777" w:rsidR="00BD7C03" w:rsidRPr="00F606D8" w:rsidRDefault="00BD7C03" w:rsidP="005230DF">
            <w:pPr>
              <w:pStyle w:val="DHHStabletext"/>
              <w:rPr>
                <w:sz w:val="18"/>
                <w:szCs w:val="18"/>
                <w:lang w:eastAsia="en-AU"/>
              </w:rPr>
            </w:pPr>
            <w:r w:rsidRPr="00F606D8">
              <w:rPr>
                <w:sz w:val="18"/>
                <w:szCs w:val="18"/>
                <w:lang w:eastAsia="en-AU"/>
              </w:rPr>
              <w:t>89,203</w:t>
            </w:r>
          </w:p>
        </w:tc>
        <w:tc>
          <w:tcPr>
            <w:tcW w:w="0" w:type="auto"/>
            <w:noWrap/>
            <w:hideMark/>
          </w:tcPr>
          <w:p w14:paraId="2F15C182" w14:textId="77777777" w:rsidR="00BD7C03" w:rsidRPr="00F606D8" w:rsidRDefault="00BD7C03" w:rsidP="005230DF">
            <w:pPr>
              <w:pStyle w:val="DHHStabletext"/>
              <w:rPr>
                <w:sz w:val="18"/>
                <w:szCs w:val="18"/>
                <w:lang w:eastAsia="en-AU"/>
              </w:rPr>
            </w:pPr>
            <w:r w:rsidRPr="00F606D8">
              <w:rPr>
                <w:sz w:val="18"/>
                <w:szCs w:val="18"/>
                <w:lang w:eastAsia="en-AU"/>
              </w:rPr>
              <w:t>99,840</w:t>
            </w:r>
          </w:p>
        </w:tc>
        <w:tc>
          <w:tcPr>
            <w:tcW w:w="0" w:type="auto"/>
            <w:noWrap/>
            <w:hideMark/>
          </w:tcPr>
          <w:p w14:paraId="70AD51FE" w14:textId="77777777" w:rsidR="00BD7C03" w:rsidRPr="00F606D8" w:rsidRDefault="00BD7C03" w:rsidP="005230DF">
            <w:pPr>
              <w:pStyle w:val="DHHStabletext"/>
              <w:rPr>
                <w:sz w:val="18"/>
                <w:szCs w:val="18"/>
                <w:lang w:eastAsia="en-AU"/>
              </w:rPr>
            </w:pPr>
            <w:r w:rsidRPr="00F606D8">
              <w:rPr>
                <w:sz w:val="18"/>
                <w:szCs w:val="18"/>
                <w:lang w:eastAsia="en-AU"/>
              </w:rPr>
              <w:t>89,488</w:t>
            </w:r>
          </w:p>
        </w:tc>
        <w:tc>
          <w:tcPr>
            <w:tcW w:w="0" w:type="auto"/>
            <w:noWrap/>
            <w:hideMark/>
          </w:tcPr>
          <w:p w14:paraId="442F7F33" w14:textId="77777777" w:rsidR="00BD7C03" w:rsidRPr="00F606D8" w:rsidRDefault="00BD7C03" w:rsidP="005230DF">
            <w:pPr>
              <w:pStyle w:val="DHHStabletext"/>
              <w:rPr>
                <w:sz w:val="18"/>
                <w:szCs w:val="18"/>
                <w:lang w:eastAsia="en-AU"/>
              </w:rPr>
            </w:pPr>
            <w:r w:rsidRPr="00F606D8">
              <w:rPr>
                <w:sz w:val="18"/>
                <w:szCs w:val="18"/>
                <w:lang w:eastAsia="en-AU"/>
              </w:rPr>
              <w:t>84,175</w:t>
            </w:r>
          </w:p>
        </w:tc>
        <w:tc>
          <w:tcPr>
            <w:tcW w:w="0" w:type="auto"/>
            <w:noWrap/>
            <w:hideMark/>
          </w:tcPr>
          <w:p w14:paraId="6D2FA02A" w14:textId="77777777" w:rsidR="00BD7C03" w:rsidRPr="00F606D8" w:rsidRDefault="00BD7C03" w:rsidP="005230DF">
            <w:pPr>
              <w:pStyle w:val="DHHStabletext"/>
              <w:rPr>
                <w:sz w:val="18"/>
                <w:szCs w:val="18"/>
                <w:lang w:eastAsia="en-AU"/>
              </w:rPr>
            </w:pPr>
            <w:r w:rsidRPr="00F606D8">
              <w:rPr>
                <w:sz w:val="18"/>
                <w:szCs w:val="18"/>
                <w:lang w:eastAsia="en-AU"/>
              </w:rPr>
              <w:t>86,798</w:t>
            </w:r>
          </w:p>
        </w:tc>
        <w:tc>
          <w:tcPr>
            <w:tcW w:w="0" w:type="auto"/>
            <w:noWrap/>
            <w:hideMark/>
          </w:tcPr>
          <w:p w14:paraId="572066E3" w14:textId="77777777" w:rsidR="00BD7C03" w:rsidRPr="00F606D8" w:rsidRDefault="00BD7C03" w:rsidP="005230DF">
            <w:pPr>
              <w:pStyle w:val="DHHStabletext"/>
              <w:rPr>
                <w:sz w:val="18"/>
                <w:szCs w:val="18"/>
                <w:lang w:eastAsia="en-AU"/>
              </w:rPr>
            </w:pPr>
            <w:r w:rsidRPr="00F606D8">
              <w:rPr>
                <w:sz w:val="18"/>
                <w:szCs w:val="18"/>
                <w:lang w:eastAsia="en-AU"/>
              </w:rPr>
              <w:t>90,586</w:t>
            </w:r>
          </w:p>
        </w:tc>
        <w:tc>
          <w:tcPr>
            <w:tcW w:w="0" w:type="auto"/>
            <w:noWrap/>
            <w:hideMark/>
          </w:tcPr>
          <w:p w14:paraId="11180795" w14:textId="77777777" w:rsidR="00BD7C03" w:rsidRPr="00F606D8" w:rsidRDefault="00BD7C03" w:rsidP="005230DF">
            <w:pPr>
              <w:pStyle w:val="DHHStabletext"/>
              <w:rPr>
                <w:sz w:val="18"/>
                <w:szCs w:val="18"/>
                <w:lang w:eastAsia="en-AU"/>
              </w:rPr>
            </w:pPr>
            <w:r w:rsidRPr="00F606D8">
              <w:rPr>
                <w:sz w:val="18"/>
                <w:szCs w:val="18"/>
                <w:lang w:eastAsia="en-AU"/>
              </w:rPr>
              <w:t>74,693</w:t>
            </w:r>
          </w:p>
        </w:tc>
        <w:tc>
          <w:tcPr>
            <w:tcW w:w="0" w:type="auto"/>
            <w:noWrap/>
            <w:hideMark/>
          </w:tcPr>
          <w:p w14:paraId="61E78EEE" w14:textId="77777777" w:rsidR="00BD7C03" w:rsidRPr="00F606D8" w:rsidRDefault="00BD7C03" w:rsidP="005230DF">
            <w:pPr>
              <w:pStyle w:val="DHHStabletext"/>
              <w:rPr>
                <w:sz w:val="18"/>
                <w:szCs w:val="18"/>
                <w:lang w:eastAsia="en-AU"/>
              </w:rPr>
            </w:pPr>
            <w:r w:rsidRPr="00F606D8">
              <w:rPr>
                <w:sz w:val="18"/>
                <w:szCs w:val="18"/>
                <w:lang w:eastAsia="en-AU"/>
              </w:rPr>
              <w:t>47,377</w:t>
            </w:r>
          </w:p>
        </w:tc>
        <w:tc>
          <w:tcPr>
            <w:tcW w:w="0" w:type="auto"/>
            <w:noWrap/>
            <w:hideMark/>
          </w:tcPr>
          <w:p w14:paraId="0B633C52" w14:textId="77777777" w:rsidR="00BD7C03" w:rsidRPr="00F606D8" w:rsidRDefault="00BD7C03" w:rsidP="005230DF">
            <w:pPr>
              <w:pStyle w:val="DHHStabletext"/>
              <w:rPr>
                <w:sz w:val="18"/>
                <w:szCs w:val="18"/>
                <w:lang w:eastAsia="en-AU"/>
              </w:rPr>
            </w:pPr>
            <w:r w:rsidRPr="00F606D8">
              <w:rPr>
                <w:sz w:val="18"/>
                <w:szCs w:val="18"/>
                <w:lang w:eastAsia="en-AU"/>
              </w:rPr>
              <w:t>61,538</w:t>
            </w:r>
          </w:p>
        </w:tc>
        <w:tc>
          <w:tcPr>
            <w:tcW w:w="0" w:type="auto"/>
            <w:noWrap/>
            <w:hideMark/>
          </w:tcPr>
          <w:p w14:paraId="790DD2ED" w14:textId="77777777" w:rsidR="00BD7C03" w:rsidRPr="00F606D8" w:rsidRDefault="00BD7C03" w:rsidP="005230DF">
            <w:pPr>
              <w:pStyle w:val="DHHStabletext"/>
              <w:rPr>
                <w:sz w:val="18"/>
                <w:szCs w:val="18"/>
                <w:lang w:eastAsia="en-AU"/>
              </w:rPr>
            </w:pPr>
            <w:r w:rsidRPr="00F606D8">
              <w:rPr>
                <w:sz w:val="18"/>
                <w:szCs w:val="18"/>
                <w:lang w:eastAsia="en-AU"/>
              </w:rPr>
              <w:t>71,119</w:t>
            </w:r>
          </w:p>
        </w:tc>
      </w:tr>
    </w:tbl>
    <w:p w14:paraId="1AF2EF20" w14:textId="69BCB13E" w:rsidR="00E92D78" w:rsidRPr="00E92D78" w:rsidRDefault="00F77374" w:rsidP="00C00690">
      <w:pPr>
        <w:pStyle w:val="DHHStablecaption"/>
      </w:pPr>
      <w:r>
        <w:t>Table</w:t>
      </w:r>
      <w:r w:rsidR="00E92D78" w:rsidRPr="00E92D78">
        <w:t xml:space="preserve"> </w:t>
      </w:r>
      <w:r w:rsidR="00E92D78">
        <w:fldChar w:fldCharType="begin"/>
      </w:r>
      <w:r w:rsidR="00E92D78">
        <w:instrText>SEQ Figure \* ARABIC</w:instrText>
      </w:r>
      <w:r w:rsidR="00E92D78">
        <w:fldChar w:fldCharType="separate"/>
      </w:r>
      <w:r w:rsidR="00E92D78">
        <w:rPr>
          <w:noProof/>
        </w:rPr>
        <w:t>2</w:t>
      </w:r>
      <w:r w:rsidR="00E92D78">
        <w:fldChar w:fldCharType="end"/>
      </w:r>
      <w:r w:rsidR="00E92D78" w:rsidRPr="00E92D78">
        <w:t>: Community-based telephone contacts</w:t>
      </w:r>
      <w:r w:rsidR="00BB570F">
        <w:t>, 2018–19 and 2019–20</w:t>
      </w:r>
    </w:p>
    <w:tbl>
      <w:tblPr>
        <w:tblStyle w:val="MentalhealthARtablestyle"/>
        <w:tblW w:w="9934" w:type="dxa"/>
        <w:tblLook w:val="04A0" w:firstRow="1" w:lastRow="0" w:firstColumn="1" w:lastColumn="0" w:noHBand="0" w:noVBand="1"/>
      </w:tblPr>
      <w:tblGrid>
        <w:gridCol w:w="839"/>
        <w:gridCol w:w="795"/>
        <w:gridCol w:w="795"/>
        <w:gridCol w:w="706"/>
        <w:gridCol w:w="795"/>
        <w:gridCol w:w="706"/>
        <w:gridCol w:w="706"/>
        <w:gridCol w:w="706"/>
        <w:gridCol w:w="706"/>
        <w:gridCol w:w="795"/>
        <w:gridCol w:w="795"/>
        <w:gridCol w:w="795"/>
        <w:gridCol w:w="795"/>
      </w:tblGrid>
      <w:tr w:rsidR="005230DF" w:rsidRPr="00BD7C03" w14:paraId="297FF05E" w14:textId="77777777" w:rsidTr="00F77374">
        <w:trPr>
          <w:cnfStyle w:val="100000000000" w:firstRow="1" w:lastRow="0" w:firstColumn="0" w:lastColumn="0" w:oddVBand="0" w:evenVBand="0" w:oddHBand="0" w:evenHBand="0" w:firstRowFirstColumn="0" w:firstRowLastColumn="0" w:lastRowFirstColumn="0" w:lastRowLastColumn="0"/>
          <w:trHeight w:val="315"/>
        </w:trPr>
        <w:tc>
          <w:tcPr>
            <w:tcW w:w="0" w:type="auto"/>
            <w:noWrap/>
            <w:hideMark/>
          </w:tcPr>
          <w:p w14:paraId="05AA3CB6" w14:textId="77F46546" w:rsidR="005230DF" w:rsidRPr="00C97703" w:rsidRDefault="005230DF" w:rsidP="00F02CFB">
            <w:pPr>
              <w:pStyle w:val="DHHStablecolhead"/>
              <w:rPr>
                <w:b/>
                <w:bCs/>
                <w:sz w:val="16"/>
                <w:szCs w:val="16"/>
                <w:lang w:eastAsia="en-AU"/>
              </w:rPr>
            </w:pPr>
            <w:r w:rsidRPr="00BB570F">
              <w:rPr>
                <w:sz w:val="16"/>
                <w:szCs w:val="16"/>
                <w:lang w:eastAsia="en-AU"/>
              </w:rPr>
              <w:t> </w:t>
            </w:r>
            <w:r w:rsidR="00B0136D" w:rsidRPr="006C6AC3">
              <w:rPr>
                <w:bCs/>
                <w:sz w:val="16"/>
                <w:szCs w:val="16"/>
                <w:lang w:eastAsia="en-AU"/>
              </w:rPr>
              <w:t>Year</w:t>
            </w:r>
          </w:p>
        </w:tc>
        <w:tc>
          <w:tcPr>
            <w:tcW w:w="0" w:type="auto"/>
            <w:noWrap/>
            <w:hideMark/>
          </w:tcPr>
          <w:p w14:paraId="6EE7C631" w14:textId="77777777" w:rsidR="005230DF" w:rsidRPr="00BB570F" w:rsidRDefault="005230DF" w:rsidP="00F02CFB">
            <w:pPr>
              <w:pStyle w:val="DHHStablecolhead"/>
              <w:rPr>
                <w:b/>
                <w:bCs/>
                <w:sz w:val="16"/>
                <w:szCs w:val="16"/>
                <w:lang w:eastAsia="en-AU"/>
              </w:rPr>
            </w:pPr>
            <w:r w:rsidRPr="00BB570F">
              <w:rPr>
                <w:b/>
                <w:bCs/>
                <w:sz w:val="16"/>
                <w:szCs w:val="16"/>
                <w:lang w:eastAsia="en-AU"/>
              </w:rPr>
              <w:t>Jul</w:t>
            </w:r>
          </w:p>
        </w:tc>
        <w:tc>
          <w:tcPr>
            <w:tcW w:w="0" w:type="auto"/>
            <w:noWrap/>
            <w:hideMark/>
          </w:tcPr>
          <w:p w14:paraId="4CAB28DB" w14:textId="77777777" w:rsidR="005230DF" w:rsidRPr="00BB570F" w:rsidRDefault="005230DF" w:rsidP="00F02CFB">
            <w:pPr>
              <w:pStyle w:val="DHHStabletext"/>
              <w:rPr>
                <w:sz w:val="16"/>
                <w:szCs w:val="16"/>
                <w:lang w:eastAsia="en-AU"/>
              </w:rPr>
            </w:pPr>
            <w:r w:rsidRPr="00BB570F">
              <w:rPr>
                <w:sz w:val="16"/>
                <w:szCs w:val="16"/>
                <w:lang w:eastAsia="en-AU"/>
              </w:rPr>
              <w:t>Aug</w:t>
            </w:r>
          </w:p>
        </w:tc>
        <w:tc>
          <w:tcPr>
            <w:tcW w:w="0" w:type="auto"/>
            <w:noWrap/>
            <w:hideMark/>
          </w:tcPr>
          <w:p w14:paraId="5D4B387E" w14:textId="77777777" w:rsidR="005230DF" w:rsidRPr="00BB570F" w:rsidRDefault="005230DF" w:rsidP="00F02CFB">
            <w:pPr>
              <w:pStyle w:val="DHHStablecolhead"/>
              <w:rPr>
                <w:b/>
                <w:bCs/>
                <w:sz w:val="16"/>
                <w:szCs w:val="16"/>
                <w:lang w:eastAsia="en-AU"/>
              </w:rPr>
            </w:pPr>
            <w:r w:rsidRPr="00BB570F">
              <w:rPr>
                <w:b/>
                <w:bCs/>
                <w:sz w:val="16"/>
                <w:szCs w:val="16"/>
                <w:lang w:eastAsia="en-AU"/>
              </w:rPr>
              <w:t>Sep</w:t>
            </w:r>
          </w:p>
        </w:tc>
        <w:tc>
          <w:tcPr>
            <w:tcW w:w="0" w:type="auto"/>
            <w:noWrap/>
            <w:hideMark/>
          </w:tcPr>
          <w:p w14:paraId="29C318EF" w14:textId="77777777" w:rsidR="005230DF" w:rsidRPr="00BB570F" w:rsidRDefault="005230DF" w:rsidP="00F02CFB">
            <w:pPr>
              <w:pStyle w:val="DHHStablecolhead"/>
              <w:rPr>
                <w:b/>
                <w:bCs/>
                <w:sz w:val="16"/>
                <w:szCs w:val="16"/>
                <w:lang w:eastAsia="en-AU"/>
              </w:rPr>
            </w:pPr>
            <w:r w:rsidRPr="00BB570F">
              <w:rPr>
                <w:b/>
                <w:bCs/>
                <w:sz w:val="16"/>
                <w:szCs w:val="16"/>
                <w:lang w:eastAsia="en-AU"/>
              </w:rPr>
              <w:t>Oct</w:t>
            </w:r>
          </w:p>
        </w:tc>
        <w:tc>
          <w:tcPr>
            <w:tcW w:w="0" w:type="auto"/>
            <w:noWrap/>
            <w:hideMark/>
          </w:tcPr>
          <w:p w14:paraId="3CA05686" w14:textId="77777777" w:rsidR="005230DF" w:rsidRPr="00BB570F" w:rsidRDefault="005230DF" w:rsidP="00F02CFB">
            <w:pPr>
              <w:pStyle w:val="DHHStablecolhead"/>
              <w:rPr>
                <w:b/>
                <w:bCs/>
                <w:sz w:val="16"/>
                <w:szCs w:val="16"/>
                <w:lang w:eastAsia="en-AU"/>
              </w:rPr>
            </w:pPr>
            <w:r w:rsidRPr="00BB570F">
              <w:rPr>
                <w:b/>
                <w:bCs/>
                <w:sz w:val="16"/>
                <w:szCs w:val="16"/>
                <w:lang w:eastAsia="en-AU"/>
              </w:rPr>
              <w:t>Nov</w:t>
            </w:r>
          </w:p>
        </w:tc>
        <w:tc>
          <w:tcPr>
            <w:tcW w:w="0" w:type="auto"/>
            <w:noWrap/>
            <w:hideMark/>
          </w:tcPr>
          <w:p w14:paraId="6E243A61" w14:textId="77777777" w:rsidR="005230DF" w:rsidRPr="00BB570F" w:rsidRDefault="005230DF" w:rsidP="00F02CFB">
            <w:pPr>
              <w:pStyle w:val="DHHStablecolhead"/>
              <w:rPr>
                <w:b/>
                <w:bCs/>
                <w:sz w:val="16"/>
                <w:szCs w:val="16"/>
                <w:lang w:eastAsia="en-AU"/>
              </w:rPr>
            </w:pPr>
            <w:r w:rsidRPr="00BB570F">
              <w:rPr>
                <w:b/>
                <w:bCs/>
                <w:sz w:val="16"/>
                <w:szCs w:val="16"/>
                <w:lang w:eastAsia="en-AU"/>
              </w:rPr>
              <w:t>Dec</w:t>
            </w:r>
          </w:p>
        </w:tc>
        <w:tc>
          <w:tcPr>
            <w:tcW w:w="0" w:type="auto"/>
            <w:noWrap/>
            <w:hideMark/>
          </w:tcPr>
          <w:p w14:paraId="7EE0840F" w14:textId="77777777" w:rsidR="005230DF" w:rsidRPr="00BB570F" w:rsidRDefault="005230DF" w:rsidP="00F02CFB">
            <w:pPr>
              <w:pStyle w:val="DHHStablecolhead"/>
              <w:rPr>
                <w:b/>
                <w:bCs/>
                <w:sz w:val="16"/>
                <w:szCs w:val="16"/>
                <w:lang w:eastAsia="en-AU"/>
              </w:rPr>
            </w:pPr>
            <w:r w:rsidRPr="00BB570F">
              <w:rPr>
                <w:b/>
                <w:bCs/>
                <w:sz w:val="16"/>
                <w:szCs w:val="16"/>
                <w:lang w:eastAsia="en-AU"/>
              </w:rPr>
              <w:t>Jan</w:t>
            </w:r>
          </w:p>
        </w:tc>
        <w:tc>
          <w:tcPr>
            <w:tcW w:w="0" w:type="auto"/>
            <w:noWrap/>
            <w:hideMark/>
          </w:tcPr>
          <w:p w14:paraId="06373827" w14:textId="77777777" w:rsidR="005230DF" w:rsidRPr="00BB570F" w:rsidRDefault="005230DF" w:rsidP="00F02CFB">
            <w:pPr>
              <w:pStyle w:val="DHHStablecolhead"/>
              <w:rPr>
                <w:b/>
                <w:bCs/>
                <w:sz w:val="16"/>
                <w:szCs w:val="16"/>
                <w:lang w:eastAsia="en-AU"/>
              </w:rPr>
            </w:pPr>
            <w:r w:rsidRPr="00BB570F">
              <w:rPr>
                <w:b/>
                <w:bCs/>
                <w:sz w:val="16"/>
                <w:szCs w:val="16"/>
                <w:lang w:eastAsia="en-AU"/>
              </w:rPr>
              <w:t>Feb</w:t>
            </w:r>
          </w:p>
        </w:tc>
        <w:tc>
          <w:tcPr>
            <w:tcW w:w="0" w:type="auto"/>
            <w:noWrap/>
            <w:hideMark/>
          </w:tcPr>
          <w:p w14:paraId="0F71D7A9" w14:textId="77777777" w:rsidR="005230DF" w:rsidRPr="00BB570F" w:rsidRDefault="005230DF" w:rsidP="00F02CFB">
            <w:pPr>
              <w:pStyle w:val="DHHStablecolhead"/>
              <w:rPr>
                <w:b/>
                <w:bCs/>
                <w:sz w:val="16"/>
                <w:szCs w:val="16"/>
                <w:lang w:eastAsia="en-AU"/>
              </w:rPr>
            </w:pPr>
            <w:r w:rsidRPr="00BB570F">
              <w:rPr>
                <w:b/>
                <w:bCs/>
                <w:sz w:val="16"/>
                <w:szCs w:val="16"/>
                <w:lang w:eastAsia="en-AU"/>
              </w:rPr>
              <w:t>Mar</w:t>
            </w:r>
          </w:p>
        </w:tc>
        <w:tc>
          <w:tcPr>
            <w:tcW w:w="0" w:type="auto"/>
            <w:noWrap/>
            <w:hideMark/>
          </w:tcPr>
          <w:p w14:paraId="1D6B174F" w14:textId="77777777" w:rsidR="005230DF" w:rsidRPr="00BB570F" w:rsidRDefault="005230DF" w:rsidP="00F02CFB">
            <w:pPr>
              <w:pStyle w:val="DHHStablecolhead"/>
              <w:rPr>
                <w:b/>
                <w:bCs/>
                <w:sz w:val="16"/>
                <w:szCs w:val="16"/>
                <w:lang w:eastAsia="en-AU"/>
              </w:rPr>
            </w:pPr>
            <w:r w:rsidRPr="00BB570F">
              <w:rPr>
                <w:b/>
                <w:bCs/>
                <w:sz w:val="16"/>
                <w:szCs w:val="16"/>
                <w:lang w:eastAsia="en-AU"/>
              </w:rPr>
              <w:t>Apr</w:t>
            </w:r>
          </w:p>
        </w:tc>
        <w:tc>
          <w:tcPr>
            <w:tcW w:w="0" w:type="auto"/>
            <w:noWrap/>
            <w:hideMark/>
          </w:tcPr>
          <w:p w14:paraId="3069EBEB" w14:textId="77777777" w:rsidR="005230DF" w:rsidRPr="00BB570F" w:rsidRDefault="005230DF" w:rsidP="00F02CFB">
            <w:pPr>
              <w:pStyle w:val="DHHStablecolhead"/>
              <w:rPr>
                <w:b/>
                <w:bCs/>
                <w:sz w:val="16"/>
                <w:szCs w:val="16"/>
                <w:lang w:eastAsia="en-AU"/>
              </w:rPr>
            </w:pPr>
            <w:r w:rsidRPr="00BB570F">
              <w:rPr>
                <w:b/>
                <w:bCs/>
                <w:sz w:val="16"/>
                <w:szCs w:val="16"/>
                <w:lang w:eastAsia="en-AU"/>
              </w:rPr>
              <w:t>May</w:t>
            </w:r>
          </w:p>
        </w:tc>
        <w:tc>
          <w:tcPr>
            <w:tcW w:w="0" w:type="auto"/>
            <w:noWrap/>
            <w:hideMark/>
          </w:tcPr>
          <w:p w14:paraId="6A8C7561" w14:textId="77777777" w:rsidR="005230DF" w:rsidRPr="00BB570F" w:rsidRDefault="005230DF" w:rsidP="00F02CFB">
            <w:pPr>
              <w:pStyle w:val="DHHStablecolhead"/>
              <w:rPr>
                <w:b/>
                <w:bCs/>
                <w:sz w:val="16"/>
                <w:szCs w:val="16"/>
                <w:lang w:eastAsia="en-AU"/>
              </w:rPr>
            </w:pPr>
            <w:r w:rsidRPr="00BB570F">
              <w:rPr>
                <w:b/>
                <w:bCs/>
                <w:sz w:val="16"/>
                <w:szCs w:val="16"/>
                <w:lang w:eastAsia="en-AU"/>
              </w:rPr>
              <w:t>Jun</w:t>
            </w:r>
          </w:p>
        </w:tc>
      </w:tr>
      <w:tr w:rsidR="005230DF" w:rsidRPr="00BD7C03" w14:paraId="4D86FACC" w14:textId="77777777" w:rsidTr="00F77374">
        <w:trPr>
          <w:trHeight w:val="315"/>
        </w:trPr>
        <w:tc>
          <w:tcPr>
            <w:tcW w:w="0" w:type="auto"/>
            <w:noWrap/>
            <w:hideMark/>
          </w:tcPr>
          <w:p w14:paraId="2C350FBB" w14:textId="77777777" w:rsidR="005230DF" w:rsidRPr="00BB570F" w:rsidRDefault="005230DF" w:rsidP="005230DF">
            <w:pPr>
              <w:pStyle w:val="DHHStabletext"/>
              <w:rPr>
                <w:sz w:val="16"/>
                <w:szCs w:val="16"/>
                <w:lang w:eastAsia="en-AU"/>
              </w:rPr>
            </w:pPr>
            <w:r w:rsidRPr="00BB570F">
              <w:rPr>
                <w:sz w:val="16"/>
                <w:szCs w:val="16"/>
                <w:lang w:eastAsia="en-AU"/>
              </w:rPr>
              <w:t>2018–19</w:t>
            </w:r>
          </w:p>
        </w:tc>
        <w:tc>
          <w:tcPr>
            <w:tcW w:w="0" w:type="auto"/>
            <w:noWrap/>
            <w:vAlign w:val="bottom"/>
            <w:hideMark/>
          </w:tcPr>
          <w:p w14:paraId="0AA93AA6" w14:textId="2AB6F4E1" w:rsidR="005230DF" w:rsidRPr="00BB570F" w:rsidRDefault="005230DF" w:rsidP="00F606D8">
            <w:pPr>
              <w:pStyle w:val="DHHStabletext"/>
              <w:rPr>
                <w:sz w:val="16"/>
                <w:szCs w:val="16"/>
              </w:rPr>
            </w:pPr>
            <w:r w:rsidRPr="00BB570F">
              <w:rPr>
                <w:sz w:val="16"/>
                <w:szCs w:val="16"/>
              </w:rPr>
              <w:t>104,974</w:t>
            </w:r>
          </w:p>
        </w:tc>
        <w:tc>
          <w:tcPr>
            <w:tcW w:w="0" w:type="auto"/>
            <w:noWrap/>
            <w:vAlign w:val="bottom"/>
            <w:hideMark/>
          </w:tcPr>
          <w:p w14:paraId="193BB13F" w14:textId="0A43B8A0" w:rsidR="005230DF" w:rsidRPr="00BB570F" w:rsidRDefault="005230DF" w:rsidP="00F606D8">
            <w:pPr>
              <w:pStyle w:val="DHHStabletext"/>
              <w:rPr>
                <w:sz w:val="16"/>
                <w:szCs w:val="16"/>
              </w:rPr>
            </w:pPr>
            <w:r w:rsidRPr="00BB570F">
              <w:rPr>
                <w:sz w:val="16"/>
                <w:szCs w:val="16"/>
              </w:rPr>
              <w:t>106,657</w:t>
            </w:r>
          </w:p>
        </w:tc>
        <w:tc>
          <w:tcPr>
            <w:tcW w:w="0" w:type="auto"/>
            <w:noWrap/>
            <w:vAlign w:val="bottom"/>
            <w:hideMark/>
          </w:tcPr>
          <w:p w14:paraId="220B878B" w14:textId="3F985193" w:rsidR="005230DF" w:rsidRPr="00BB570F" w:rsidRDefault="005230DF" w:rsidP="00F606D8">
            <w:pPr>
              <w:pStyle w:val="DHHStabletext"/>
              <w:rPr>
                <w:sz w:val="16"/>
                <w:szCs w:val="16"/>
              </w:rPr>
            </w:pPr>
            <w:r w:rsidRPr="00BB570F">
              <w:rPr>
                <w:sz w:val="16"/>
                <w:szCs w:val="16"/>
              </w:rPr>
              <w:t>89,120</w:t>
            </w:r>
          </w:p>
        </w:tc>
        <w:tc>
          <w:tcPr>
            <w:tcW w:w="0" w:type="auto"/>
            <w:noWrap/>
            <w:vAlign w:val="bottom"/>
            <w:hideMark/>
          </w:tcPr>
          <w:p w14:paraId="2F5BA82E" w14:textId="74645F83" w:rsidR="005230DF" w:rsidRPr="00BB570F" w:rsidRDefault="005230DF" w:rsidP="00F606D8">
            <w:pPr>
              <w:pStyle w:val="DHHStabletext"/>
              <w:rPr>
                <w:sz w:val="16"/>
                <w:szCs w:val="16"/>
              </w:rPr>
            </w:pPr>
            <w:r w:rsidRPr="00BB570F">
              <w:rPr>
                <w:sz w:val="16"/>
                <w:szCs w:val="16"/>
              </w:rPr>
              <w:t>105,403</w:t>
            </w:r>
          </w:p>
        </w:tc>
        <w:tc>
          <w:tcPr>
            <w:tcW w:w="0" w:type="auto"/>
            <w:noWrap/>
            <w:vAlign w:val="bottom"/>
            <w:hideMark/>
          </w:tcPr>
          <w:p w14:paraId="6A4FA787" w14:textId="2C2AEE14" w:rsidR="005230DF" w:rsidRPr="00BB570F" w:rsidRDefault="005230DF" w:rsidP="00F606D8">
            <w:pPr>
              <w:pStyle w:val="DHHStabletext"/>
              <w:rPr>
                <w:sz w:val="16"/>
                <w:szCs w:val="16"/>
              </w:rPr>
            </w:pPr>
            <w:r w:rsidRPr="00BB570F">
              <w:rPr>
                <w:sz w:val="16"/>
                <w:szCs w:val="16"/>
              </w:rPr>
              <w:t>99,055</w:t>
            </w:r>
          </w:p>
        </w:tc>
        <w:tc>
          <w:tcPr>
            <w:tcW w:w="0" w:type="auto"/>
            <w:noWrap/>
            <w:vAlign w:val="bottom"/>
            <w:hideMark/>
          </w:tcPr>
          <w:p w14:paraId="0CDAD670" w14:textId="384BD4D2" w:rsidR="005230DF" w:rsidRPr="00BB570F" w:rsidRDefault="005230DF" w:rsidP="00F606D8">
            <w:pPr>
              <w:pStyle w:val="DHHStabletext"/>
              <w:rPr>
                <w:sz w:val="16"/>
                <w:szCs w:val="16"/>
              </w:rPr>
            </w:pPr>
            <w:r w:rsidRPr="00BB570F">
              <w:rPr>
                <w:sz w:val="16"/>
                <w:szCs w:val="16"/>
              </w:rPr>
              <w:t>87,575</w:t>
            </w:r>
          </w:p>
        </w:tc>
        <w:tc>
          <w:tcPr>
            <w:tcW w:w="0" w:type="auto"/>
            <w:noWrap/>
            <w:vAlign w:val="bottom"/>
            <w:hideMark/>
          </w:tcPr>
          <w:p w14:paraId="42614BD9" w14:textId="6A64D626" w:rsidR="005230DF" w:rsidRPr="00BB570F" w:rsidRDefault="005230DF" w:rsidP="00F606D8">
            <w:pPr>
              <w:pStyle w:val="DHHStabletext"/>
              <w:rPr>
                <w:sz w:val="16"/>
                <w:szCs w:val="16"/>
              </w:rPr>
            </w:pPr>
            <w:r w:rsidRPr="00BB570F">
              <w:rPr>
                <w:sz w:val="16"/>
                <w:szCs w:val="16"/>
              </w:rPr>
              <w:t>97,300</w:t>
            </w:r>
          </w:p>
        </w:tc>
        <w:tc>
          <w:tcPr>
            <w:tcW w:w="0" w:type="auto"/>
            <w:noWrap/>
            <w:vAlign w:val="bottom"/>
            <w:hideMark/>
          </w:tcPr>
          <w:p w14:paraId="29A79069" w14:textId="5923944A" w:rsidR="005230DF" w:rsidRPr="00BB570F" w:rsidRDefault="005230DF" w:rsidP="00F606D8">
            <w:pPr>
              <w:pStyle w:val="DHHStabletext"/>
              <w:rPr>
                <w:sz w:val="16"/>
                <w:szCs w:val="16"/>
              </w:rPr>
            </w:pPr>
            <w:r w:rsidRPr="00BB570F">
              <w:rPr>
                <w:sz w:val="16"/>
                <w:szCs w:val="16"/>
              </w:rPr>
              <w:t>95,088</w:t>
            </w:r>
          </w:p>
        </w:tc>
        <w:tc>
          <w:tcPr>
            <w:tcW w:w="0" w:type="auto"/>
            <w:noWrap/>
            <w:vAlign w:val="bottom"/>
            <w:hideMark/>
          </w:tcPr>
          <w:p w14:paraId="1C5BD80D" w14:textId="3057303B" w:rsidR="005230DF" w:rsidRPr="00BB570F" w:rsidRDefault="005230DF" w:rsidP="00F606D8">
            <w:pPr>
              <w:pStyle w:val="DHHStabletext"/>
              <w:rPr>
                <w:sz w:val="16"/>
                <w:szCs w:val="16"/>
              </w:rPr>
            </w:pPr>
            <w:r w:rsidRPr="00BB570F">
              <w:rPr>
                <w:sz w:val="16"/>
                <w:szCs w:val="16"/>
              </w:rPr>
              <w:t>100,976</w:t>
            </w:r>
          </w:p>
        </w:tc>
        <w:tc>
          <w:tcPr>
            <w:tcW w:w="0" w:type="auto"/>
            <w:noWrap/>
            <w:vAlign w:val="bottom"/>
            <w:hideMark/>
          </w:tcPr>
          <w:p w14:paraId="0A7C1E47" w14:textId="4A6E8B45" w:rsidR="005230DF" w:rsidRPr="00BB570F" w:rsidRDefault="005230DF" w:rsidP="00F606D8">
            <w:pPr>
              <w:pStyle w:val="DHHStabletext"/>
              <w:rPr>
                <w:sz w:val="16"/>
                <w:szCs w:val="16"/>
              </w:rPr>
            </w:pPr>
            <w:r w:rsidRPr="00BB570F">
              <w:rPr>
                <w:sz w:val="16"/>
                <w:szCs w:val="16"/>
              </w:rPr>
              <w:t>90,788</w:t>
            </w:r>
          </w:p>
        </w:tc>
        <w:tc>
          <w:tcPr>
            <w:tcW w:w="0" w:type="auto"/>
            <w:noWrap/>
            <w:vAlign w:val="bottom"/>
            <w:hideMark/>
          </w:tcPr>
          <w:p w14:paraId="56A23C12" w14:textId="2571111A" w:rsidR="005230DF" w:rsidRPr="00BB570F" w:rsidRDefault="005230DF" w:rsidP="00F606D8">
            <w:pPr>
              <w:pStyle w:val="DHHStabletext"/>
              <w:rPr>
                <w:sz w:val="16"/>
                <w:szCs w:val="16"/>
              </w:rPr>
            </w:pPr>
            <w:r w:rsidRPr="00BB570F">
              <w:rPr>
                <w:sz w:val="16"/>
                <w:szCs w:val="16"/>
              </w:rPr>
              <w:t>106,641</w:t>
            </w:r>
          </w:p>
        </w:tc>
        <w:tc>
          <w:tcPr>
            <w:tcW w:w="0" w:type="auto"/>
            <w:noWrap/>
            <w:vAlign w:val="bottom"/>
            <w:hideMark/>
          </w:tcPr>
          <w:p w14:paraId="28E753CF" w14:textId="79732E5B" w:rsidR="005230DF" w:rsidRPr="00BB570F" w:rsidRDefault="005230DF" w:rsidP="00F606D8">
            <w:pPr>
              <w:pStyle w:val="DHHStabletext"/>
              <w:rPr>
                <w:sz w:val="16"/>
                <w:szCs w:val="16"/>
              </w:rPr>
            </w:pPr>
            <w:r w:rsidRPr="00BB570F">
              <w:rPr>
                <w:sz w:val="16"/>
                <w:szCs w:val="16"/>
              </w:rPr>
              <w:t>95,484</w:t>
            </w:r>
          </w:p>
        </w:tc>
      </w:tr>
      <w:tr w:rsidR="005230DF" w:rsidRPr="00BD7C03" w14:paraId="0B357252" w14:textId="77777777" w:rsidTr="00F77374">
        <w:trPr>
          <w:trHeight w:val="315"/>
        </w:trPr>
        <w:tc>
          <w:tcPr>
            <w:tcW w:w="0" w:type="auto"/>
            <w:noWrap/>
            <w:hideMark/>
          </w:tcPr>
          <w:p w14:paraId="4E5052B4" w14:textId="77777777" w:rsidR="005230DF" w:rsidRPr="00BB570F" w:rsidRDefault="005230DF" w:rsidP="005230DF">
            <w:pPr>
              <w:pStyle w:val="DHHStabletext"/>
              <w:rPr>
                <w:sz w:val="16"/>
                <w:szCs w:val="16"/>
                <w:lang w:eastAsia="en-AU"/>
              </w:rPr>
            </w:pPr>
            <w:r w:rsidRPr="00BB570F">
              <w:rPr>
                <w:sz w:val="16"/>
                <w:szCs w:val="16"/>
                <w:lang w:eastAsia="en-AU"/>
              </w:rPr>
              <w:t>2019–20</w:t>
            </w:r>
          </w:p>
        </w:tc>
        <w:tc>
          <w:tcPr>
            <w:tcW w:w="0" w:type="auto"/>
            <w:noWrap/>
            <w:vAlign w:val="bottom"/>
            <w:hideMark/>
          </w:tcPr>
          <w:p w14:paraId="7A81A11F" w14:textId="4D7FB5EF" w:rsidR="005230DF" w:rsidRPr="00BB570F" w:rsidRDefault="005230DF" w:rsidP="00F606D8">
            <w:pPr>
              <w:pStyle w:val="DHHStabletext"/>
              <w:rPr>
                <w:sz w:val="16"/>
                <w:szCs w:val="16"/>
              </w:rPr>
            </w:pPr>
            <w:r w:rsidRPr="00BB570F">
              <w:rPr>
                <w:sz w:val="16"/>
                <w:szCs w:val="16"/>
              </w:rPr>
              <w:t>105,118</w:t>
            </w:r>
          </w:p>
        </w:tc>
        <w:tc>
          <w:tcPr>
            <w:tcW w:w="0" w:type="auto"/>
            <w:noWrap/>
            <w:vAlign w:val="bottom"/>
            <w:hideMark/>
          </w:tcPr>
          <w:p w14:paraId="5A0F2B61" w14:textId="601EBFA3" w:rsidR="005230DF" w:rsidRPr="00BB570F" w:rsidRDefault="005230DF" w:rsidP="00F606D8">
            <w:pPr>
              <w:pStyle w:val="DHHStabletext"/>
              <w:rPr>
                <w:sz w:val="16"/>
                <w:szCs w:val="16"/>
              </w:rPr>
            </w:pPr>
            <w:r w:rsidRPr="00BB570F">
              <w:rPr>
                <w:sz w:val="16"/>
                <w:szCs w:val="16"/>
              </w:rPr>
              <w:t>103,849</w:t>
            </w:r>
          </w:p>
        </w:tc>
        <w:tc>
          <w:tcPr>
            <w:tcW w:w="0" w:type="auto"/>
            <w:noWrap/>
            <w:vAlign w:val="bottom"/>
            <w:hideMark/>
          </w:tcPr>
          <w:p w14:paraId="130011AA" w14:textId="2FC5C4AB" w:rsidR="005230DF" w:rsidRPr="00BB570F" w:rsidRDefault="005230DF" w:rsidP="00F606D8">
            <w:pPr>
              <w:pStyle w:val="DHHStabletext"/>
              <w:rPr>
                <w:sz w:val="16"/>
                <w:szCs w:val="16"/>
              </w:rPr>
            </w:pPr>
            <w:r w:rsidRPr="00BB570F">
              <w:rPr>
                <w:sz w:val="16"/>
                <w:szCs w:val="16"/>
              </w:rPr>
              <w:t>96,714</w:t>
            </w:r>
          </w:p>
        </w:tc>
        <w:tc>
          <w:tcPr>
            <w:tcW w:w="0" w:type="auto"/>
            <w:noWrap/>
            <w:vAlign w:val="bottom"/>
            <w:hideMark/>
          </w:tcPr>
          <w:p w14:paraId="04B2700B" w14:textId="6C509CBB" w:rsidR="005230DF" w:rsidRPr="00BB570F" w:rsidRDefault="005230DF" w:rsidP="00F606D8">
            <w:pPr>
              <w:pStyle w:val="DHHStabletext"/>
              <w:rPr>
                <w:sz w:val="16"/>
                <w:szCs w:val="16"/>
              </w:rPr>
            </w:pPr>
            <w:r w:rsidRPr="00BB570F">
              <w:rPr>
                <w:sz w:val="16"/>
                <w:szCs w:val="16"/>
              </w:rPr>
              <w:t>106,297</w:t>
            </w:r>
          </w:p>
        </w:tc>
        <w:tc>
          <w:tcPr>
            <w:tcW w:w="0" w:type="auto"/>
            <w:noWrap/>
            <w:vAlign w:val="bottom"/>
            <w:hideMark/>
          </w:tcPr>
          <w:p w14:paraId="4C80FBD6" w14:textId="7D96B109" w:rsidR="005230DF" w:rsidRPr="00BB570F" w:rsidRDefault="005230DF" w:rsidP="00F606D8">
            <w:pPr>
              <w:pStyle w:val="DHHStabletext"/>
              <w:rPr>
                <w:sz w:val="16"/>
                <w:szCs w:val="16"/>
              </w:rPr>
            </w:pPr>
            <w:r w:rsidRPr="00BB570F">
              <w:rPr>
                <w:sz w:val="16"/>
                <w:szCs w:val="16"/>
              </w:rPr>
              <w:t>95,968</w:t>
            </w:r>
          </w:p>
        </w:tc>
        <w:tc>
          <w:tcPr>
            <w:tcW w:w="0" w:type="auto"/>
            <w:noWrap/>
            <w:vAlign w:val="bottom"/>
            <w:hideMark/>
          </w:tcPr>
          <w:p w14:paraId="0B4A102B" w14:textId="78AF228D" w:rsidR="005230DF" w:rsidRPr="00BB570F" w:rsidRDefault="005230DF" w:rsidP="00F606D8">
            <w:pPr>
              <w:pStyle w:val="DHHStabletext"/>
              <w:rPr>
                <w:sz w:val="16"/>
                <w:szCs w:val="16"/>
              </w:rPr>
            </w:pPr>
            <w:r w:rsidRPr="00BB570F">
              <w:rPr>
                <w:sz w:val="16"/>
                <w:szCs w:val="16"/>
              </w:rPr>
              <w:t>91,070</w:t>
            </w:r>
          </w:p>
        </w:tc>
        <w:tc>
          <w:tcPr>
            <w:tcW w:w="0" w:type="auto"/>
            <w:noWrap/>
            <w:vAlign w:val="bottom"/>
            <w:hideMark/>
          </w:tcPr>
          <w:p w14:paraId="335B09C7" w14:textId="6FE2DA59" w:rsidR="005230DF" w:rsidRPr="00BB570F" w:rsidRDefault="005230DF" w:rsidP="00F606D8">
            <w:pPr>
              <w:pStyle w:val="DHHStabletext"/>
              <w:rPr>
                <w:sz w:val="16"/>
                <w:szCs w:val="16"/>
              </w:rPr>
            </w:pPr>
            <w:r w:rsidRPr="00BB570F">
              <w:rPr>
                <w:sz w:val="16"/>
                <w:szCs w:val="16"/>
              </w:rPr>
              <w:t>97,077</w:t>
            </w:r>
          </w:p>
        </w:tc>
        <w:tc>
          <w:tcPr>
            <w:tcW w:w="0" w:type="auto"/>
            <w:noWrap/>
            <w:vAlign w:val="bottom"/>
            <w:hideMark/>
          </w:tcPr>
          <w:p w14:paraId="4692EE0F" w14:textId="564C441A" w:rsidR="005230DF" w:rsidRPr="00BB570F" w:rsidRDefault="005230DF" w:rsidP="00F606D8">
            <w:pPr>
              <w:pStyle w:val="DHHStabletext"/>
              <w:rPr>
                <w:sz w:val="16"/>
                <w:szCs w:val="16"/>
              </w:rPr>
            </w:pPr>
            <w:r w:rsidRPr="00BB570F">
              <w:rPr>
                <w:sz w:val="16"/>
                <w:szCs w:val="16"/>
              </w:rPr>
              <w:t>97,269</w:t>
            </w:r>
          </w:p>
        </w:tc>
        <w:tc>
          <w:tcPr>
            <w:tcW w:w="0" w:type="auto"/>
            <w:noWrap/>
            <w:vAlign w:val="bottom"/>
            <w:hideMark/>
          </w:tcPr>
          <w:p w14:paraId="0DC39C54" w14:textId="3A73F3FC" w:rsidR="005230DF" w:rsidRPr="00BB570F" w:rsidRDefault="005230DF" w:rsidP="00F606D8">
            <w:pPr>
              <w:pStyle w:val="DHHStabletext"/>
              <w:rPr>
                <w:sz w:val="16"/>
                <w:szCs w:val="16"/>
              </w:rPr>
            </w:pPr>
            <w:r w:rsidRPr="00BB570F">
              <w:rPr>
                <w:sz w:val="16"/>
                <w:szCs w:val="16"/>
              </w:rPr>
              <w:t>112,327</w:t>
            </w:r>
          </w:p>
        </w:tc>
        <w:tc>
          <w:tcPr>
            <w:tcW w:w="0" w:type="auto"/>
            <w:noWrap/>
            <w:vAlign w:val="bottom"/>
            <w:hideMark/>
          </w:tcPr>
          <w:p w14:paraId="2451050E" w14:textId="489FE548" w:rsidR="005230DF" w:rsidRPr="00BB570F" w:rsidRDefault="005230DF" w:rsidP="00F606D8">
            <w:pPr>
              <w:pStyle w:val="DHHStabletext"/>
              <w:rPr>
                <w:sz w:val="16"/>
                <w:szCs w:val="16"/>
              </w:rPr>
            </w:pPr>
            <w:r w:rsidRPr="00BB570F">
              <w:rPr>
                <w:sz w:val="16"/>
                <w:szCs w:val="16"/>
              </w:rPr>
              <w:t>129,446</w:t>
            </w:r>
          </w:p>
        </w:tc>
        <w:tc>
          <w:tcPr>
            <w:tcW w:w="0" w:type="auto"/>
            <w:noWrap/>
            <w:vAlign w:val="bottom"/>
            <w:hideMark/>
          </w:tcPr>
          <w:p w14:paraId="533BA8F3" w14:textId="5F2A283E" w:rsidR="005230DF" w:rsidRPr="00BB570F" w:rsidRDefault="005230DF" w:rsidP="00F606D8">
            <w:pPr>
              <w:pStyle w:val="DHHStabletext"/>
              <w:rPr>
                <w:sz w:val="16"/>
                <w:szCs w:val="16"/>
              </w:rPr>
            </w:pPr>
            <w:r w:rsidRPr="00BB570F">
              <w:rPr>
                <w:sz w:val="16"/>
                <w:szCs w:val="16"/>
              </w:rPr>
              <w:t>134,291</w:t>
            </w:r>
          </w:p>
        </w:tc>
        <w:tc>
          <w:tcPr>
            <w:tcW w:w="0" w:type="auto"/>
            <w:noWrap/>
            <w:vAlign w:val="bottom"/>
            <w:hideMark/>
          </w:tcPr>
          <w:p w14:paraId="32CD5B54" w14:textId="6C38F0C8" w:rsidR="005230DF" w:rsidRPr="00BB570F" w:rsidRDefault="005230DF" w:rsidP="00F606D8">
            <w:pPr>
              <w:pStyle w:val="DHHStabletext"/>
              <w:rPr>
                <w:sz w:val="16"/>
                <w:szCs w:val="16"/>
              </w:rPr>
            </w:pPr>
            <w:r w:rsidRPr="00BB570F">
              <w:rPr>
                <w:sz w:val="16"/>
                <w:szCs w:val="16"/>
              </w:rPr>
              <w:t>131,384</w:t>
            </w:r>
          </w:p>
        </w:tc>
      </w:tr>
    </w:tbl>
    <w:p w14:paraId="4A920492" w14:textId="773383F8" w:rsidR="001D4714" w:rsidRDefault="001D4714" w:rsidP="000D6E03">
      <w:pPr>
        <w:pStyle w:val="DHHSbodyaftertablefigure"/>
      </w:pPr>
      <w:r>
        <w:t xml:space="preserve">The shift in delivery of contacts was also demonstrated in </w:t>
      </w:r>
      <w:r w:rsidRPr="00505977">
        <w:t xml:space="preserve">the </w:t>
      </w:r>
      <w:r>
        <w:t>increased u</w:t>
      </w:r>
      <w:r w:rsidRPr="00505977">
        <w:t>se of videoconferencing technology</w:t>
      </w:r>
      <w:r w:rsidR="006352E2">
        <w:t>, one way of delivering telehealth services</w:t>
      </w:r>
      <w:r w:rsidRPr="00505977">
        <w:t xml:space="preserve">. In the </w:t>
      </w:r>
      <w:r w:rsidR="006352E2">
        <w:t>final</w:t>
      </w:r>
      <w:r w:rsidR="006352E2" w:rsidRPr="00505977">
        <w:t xml:space="preserve"> </w:t>
      </w:r>
      <w:r w:rsidRPr="00505977">
        <w:t xml:space="preserve">quarter </w:t>
      </w:r>
      <w:r>
        <w:t xml:space="preserve">of </w:t>
      </w:r>
      <w:r w:rsidR="00BA6AC1">
        <w:t>2018–19</w:t>
      </w:r>
      <w:r w:rsidRPr="00505977">
        <w:t xml:space="preserve">, there was limited use of </w:t>
      </w:r>
      <w:r w:rsidR="006352E2">
        <w:t>tele/</w:t>
      </w:r>
      <w:r w:rsidRPr="00505977">
        <w:t>videoconferencing in</w:t>
      </w:r>
      <w:r>
        <w:t xml:space="preserve"> delivering </w:t>
      </w:r>
      <w:r w:rsidRPr="00505977">
        <w:t>clinical mental health services, with just over 1</w:t>
      </w:r>
      <w:r>
        <w:t>,</w:t>
      </w:r>
      <w:r w:rsidRPr="00505977">
        <w:t>000 contacts</w:t>
      </w:r>
      <w:r>
        <w:t xml:space="preserve"> delivered via </w:t>
      </w:r>
      <w:r w:rsidR="00BB570F">
        <w:t>this means</w:t>
      </w:r>
      <w:r>
        <w:t xml:space="preserve">. However, in the final quarter of </w:t>
      </w:r>
      <w:r w:rsidR="00894D3B">
        <w:t>2019–20</w:t>
      </w:r>
      <w:r w:rsidR="00BB570F">
        <w:t>, more than</w:t>
      </w:r>
      <w:r>
        <w:t xml:space="preserve"> 35,000 mental health contacts were delivered via </w:t>
      </w:r>
      <w:r w:rsidR="006352E2">
        <w:t>tele/</w:t>
      </w:r>
      <w:r>
        <w:t>videoconference</w:t>
      </w:r>
      <w:r w:rsidR="00BB570F">
        <w:t xml:space="preserve"> (</w:t>
      </w:r>
      <w:r w:rsidR="00F77374">
        <w:t>Table</w:t>
      </w:r>
      <w:r w:rsidR="00BB570F">
        <w:t xml:space="preserve"> 3)</w:t>
      </w:r>
      <w:r>
        <w:t xml:space="preserve">. </w:t>
      </w:r>
    </w:p>
    <w:p w14:paraId="2A14D5D6" w14:textId="3C44AFB5" w:rsidR="00E92D78" w:rsidRPr="00E92D78" w:rsidRDefault="00F77374" w:rsidP="00C00690">
      <w:pPr>
        <w:pStyle w:val="DHHStablecaption"/>
      </w:pPr>
      <w:r>
        <w:t>Table</w:t>
      </w:r>
      <w:r w:rsidR="00E92D78" w:rsidRPr="00E92D78">
        <w:t xml:space="preserve"> </w:t>
      </w:r>
      <w:r w:rsidR="00E92D78">
        <w:fldChar w:fldCharType="begin"/>
      </w:r>
      <w:r w:rsidR="00E92D78">
        <w:instrText>SEQ Figure \* ARABIC</w:instrText>
      </w:r>
      <w:r w:rsidR="00E92D78">
        <w:fldChar w:fldCharType="separate"/>
      </w:r>
      <w:r w:rsidR="00E92D78" w:rsidRPr="00E92D78">
        <w:rPr>
          <w:noProof/>
        </w:rPr>
        <w:t>3</w:t>
      </w:r>
      <w:r w:rsidR="00E92D78">
        <w:fldChar w:fldCharType="end"/>
      </w:r>
      <w:r w:rsidR="00E92D78" w:rsidRPr="00E92D78">
        <w:t xml:space="preserve">: Community-based </w:t>
      </w:r>
      <w:r w:rsidR="006352E2">
        <w:t>tele/</w:t>
      </w:r>
      <w:r w:rsidR="00E92D78" w:rsidRPr="00E92D78">
        <w:t>videoconferencing contacts</w:t>
      </w:r>
      <w:r w:rsidR="00BB570F">
        <w:t>, 2018–19 and 2019–20</w:t>
      </w:r>
    </w:p>
    <w:tbl>
      <w:tblPr>
        <w:tblStyle w:val="MentalhealthARtablestyle"/>
        <w:tblW w:w="0" w:type="auto"/>
        <w:tblLook w:val="04A0" w:firstRow="1" w:lastRow="0" w:firstColumn="1" w:lastColumn="0" w:noHBand="0" w:noVBand="1"/>
      </w:tblPr>
      <w:tblGrid>
        <w:gridCol w:w="917"/>
        <w:gridCol w:w="517"/>
        <w:gridCol w:w="566"/>
        <w:gridCol w:w="547"/>
        <w:gridCol w:w="517"/>
        <w:gridCol w:w="557"/>
        <w:gridCol w:w="547"/>
        <w:gridCol w:w="527"/>
        <w:gridCol w:w="537"/>
        <w:gridCol w:w="667"/>
        <w:gridCol w:w="767"/>
        <w:gridCol w:w="767"/>
        <w:gridCol w:w="767"/>
      </w:tblGrid>
      <w:tr w:rsidR="00F606D8" w:rsidRPr="00BD7C03" w14:paraId="15EAAE7A" w14:textId="77777777" w:rsidTr="00BB570F">
        <w:trPr>
          <w:cnfStyle w:val="100000000000" w:firstRow="1" w:lastRow="0" w:firstColumn="0" w:lastColumn="0" w:oddVBand="0" w:evenVBand="0" w:oddHBand="0" w:evenHBand="0" w:firstRowFirstColumn="0" w:firstRowLastColumn="0" w:lastRowFirstColumn="0" w:lastRowLastColumn="0"/>
          <w:trHeight w:val="315"/>
        </w:trPr>
        <w:tc>
          <w:tcPr>
            <w:tcW w:w="0" w:type="auto"/>
            <w:noWrap/>
            <w:hideMark/>
          </w:tcPr>
          <w:p w14:paraId="6014341C" w14:textId="4CCE1529" w:rsidR="00F606D8" w:rsidRPr="009E2C40" w:rsidRDefault="00F606D8" w:rsidP="00F02CFB">
            <w:pPr>
              <w:pStyle w:val="DHHStablecolhead"/>
              <w:rPr>
                <w:b/>
                <w:sz w:val="18"/>
                <w:szCs w:val="18"/>
                <w:lang w:eastAsia="en-AU"/>
              </w:rPr>
            </w:pPr>
            <w:r w:rsidRPr="006C6AC3">
              <w:rPr>
                <w:bCs/>
                <w:sz w:val="18"/>
                <w:szCs w:val="18"/>
                <w:lang w:eastAsia="en-AU"/>
              </w:rPr>
              <w:t> </w:t>
            </w:r>
            <w:r w:rsidR="00B0136D" w:rsidRPr="009E2C40">
              <w:rPr>
                <w:b/>
                <w:sz w:val="18"/>
                <w:szCs w:val="18"/>
                <w:lang w:eastAsia="en-AU"/>
              </w:rPr>
              <w:t>Year</w:t>
            </w:r>
          </w:p>
        </w:tc>
        <w:tc>
          <w:tcPr>
            <w:tcW w:w="0" w:type="auto"/>
            <w:noWrap/>
            <w:hideMark/>
          </w:tcPr>
          <w:p w14:paraId="02200585" w14:textId="77777777" w:rsidR="00F606D8" w:rsidRPr="00F606D8" w:rsidRDefault="00F606D8" w:rsidP="00F02CFB">
            <w:pPr>
              <w:pStyle w:val="DHHStablecolhead"/>
              <w:rPr>
                <w:b/>
                <w:bCs/>
                <w:sz w:val="18"/>
                <w:szCs w:val="18"/>
                <w:lang w:eastAsia="en-AU"/>
              </w:rPr>
            </w:pPr>
            <w:r w:rsidRPr="00F606D8">
              <w:rPr>
                <w:b/>
                <w:bCs/>
                <w:sz w:val="18"/>
                <w:szCs w:val="18"/>
                <w:lang w:eastAsia="en-AU"/>
              </w:rPr>
              <w:t>Jul</w:t>
            </w:r>
          </w:p>
        </w:tc>
        <w:tc>
          <w:tcPr>
            <w:tcW w:w="0" w:type="auto"/>
            <w:noWrap/>
            <w:hideMark/>
          </w:tcPr>
          <w:p w14:paraId="21806FA6" w14:textId="77777777" w:rsidR="00F606D8" w:rsidRPr="00F606D8" w:rsidRDefault="00F606D8" w:rsidP="00F02CFB">
            <w:pPr>
              <w:pStyle w:val="DHHStabletext"/>
              <w:rPr>
                <w:sz w:val="18"/>
                <w:szCs w:val="18"/>
                <w:lang w:eastAsia="en-AU"/>
              </w:rPr>
            </w:pPr>
            <w:r w:rsidRPr="00F606D8">
              <w:rPr>
                <w:sz w:val="18"/>
                <w:szCs w:val="18"/>
                <w:lang w:eastAsia="en-AU"/>
              </w:rPr>
              <w:t>Aug</w:t>
            </w:r>
          </w:p>
        </w:tc>
        <w:tc>
          <w:tcPr>
            <w:tcW w:w="0" w:type="auto"/>
            <w:noWrap/>
            <w:hideMark/>
          </w:tcPr>
          <w:p w14:paraId="5747ECDA" w14:textId="77777777" w:rsidR="00F606D8" w:rsidRPr="00F606D8" w:rsidRDefault="00F606D8" w:rsidP="00F02CFB">
            <w:pPr>
              <w:pStyle w:val="DHHStablecolhead"/>
              <w:rPr>
                <w:b/>
                <w:bCs/>
                <w:sz w:val="18"/>
                <w:szCs w:val="18"/>
                <w:lang w:eastAsia="en-AU"/>
              </w:rPr>
            </w:pPr>
            <w:r w:rsidRPr="00F606D8">
              <w:rPr>
                <w:b/>
                <w:bCs/>
                <w:sz w:val="18"/>
                <w:szCs w:val="18"/>
                <w:lang w:eastAsia="en-AU"/>
              </w:rPr>
              <w:t>Sep</w:t>
            </w:r>
          </w:p>
        </w:tc>
        <w:tc>
          <w:tcPr>
            <w:tcW w:w="0" w:type="auto"/>
            <w:noWrap/>
            <w:hideMark/>
          </w:tcPr>
          <w:p w14:paraId="7D5644DA" w14:textId="77777777" w:rsidR="00F606D8" w:rsidRPr="00F606D8" w:rsidRDefault="00F606D8" w:rsidP="00F02CFB">
            <w:pPr>
              <w:pStyle w:val="DHHStablecolhead"/>
              <w:rPr>
                <w:b/>
                <w:bCs/>
                <w:sz w:val="18"/>
                <w:szCs w:val="18"/>
                <w:lang w:eastAsia="en-AU"/>
              </w:rPr>
            </w:pPr>
            <w:r w:rsidRPr="00F606D8">
              <w:rPr>
                <w:b/>
                <w:bCs/>
                <w:sz w:val="18"/>
                <w:szCs w:val="18"/>
                <w:lang w:eastAsia="en-AU"/>
              </w:rPr>
              <w:t>Oct</w:t>
            </w:r>
          </w:p>
        </w:tc>
        <w:tc>
          <w:tcPr>
            <w:tcW w:w="0" w:type="auto"/>
            <w:noWrap/>
            <w:hideMark/>
          </w:tcPr>
          <w:p w14:paraId="719C6158" w14:textId="77777777" w:rsidR="00F606D8" w:rsidRPr="00F606D8" w:rsidRDefault="00F606D8" w:rsidP="00F02CFB">
            <w:pPr>
              <w:pStyle w:val="DHHStablecolhead"/>
              <w:rPr>
                <w:b/>
                <w:bCs/>
                <w:sz w:val="18"/>
                <w:szCs w:val="18"/>
                <w:lang w:eastAsia="en-AU"/>
              </w:rPr>
            </w:pPr>
            <w:r w:rsidRPr="00F606D8">
              <w:rPr>
                <w:b/>
                <w:bCs/>
                <w:sz w:val="18"/>
                <w:szCs w:val="18"/>
                <w:lang w:eastAsia="en-AU"/>
              </w:rPr>
              <w:t>Nov</w:t>
            </w:r>
          </w:p>
        </w:tc>
        <w:tc>
          <w:tcPr>
            <w:tcW w:w="0" w:type="auto"/>
            <w:noWrap/>
            <w:hideMark/>
          </w:tcPr>
          <w:p w14:paraId="174F5A71" w14:textId="77777777" w:rsidR="00F606D8" w:rsidRPr="00F606D8" w:rsidRDefault="00F606D8" w:rsidP="00F02CFB">
            <w:pPr>
              <w:pStyle w:val="DHHStablecolhead"/>
              <w:rPr>
                <w:b/>
                <w:bCs/>
                <w:sz w:val="18"/>
                <w:szCs w:val="18"/>
                <w:lang w:eastAsia="en-AU"/>
              </w:rPr>
            </w:pPr>
            <w:r w:rsidRPr="00F606D8">
              <w:rPr>
                <w:b/>
                <w:bCs/>
                <w:sz w:val="18"/>
                <w:szCs w:val="18"/>
                <w:lang w:eastAsia="en-AU"/>
              </w:rPr>
              <w:t>Dec</w:t>
            </w:r>
          </w:p>
        </w:tc>
        <w:tc>
          <w:tcPr>
            <w:tcW w:w="0" w:type="auto"/>
            <w:noWrap/>
            <w:hideMark/>
          </w:tcPr>
          <w:p w14:paraId="5A4D6310" w14:textId="77777777" w:rsidR="00F606D8" w:rsidRPr="00F606D8" w:rsidRDefault="00F606D8" w:rsidP="00F02CFB">
            <w:pPr>
              <w:pStyle w:val="DHHStablecolhead"/>
              <w:rPr>
                <w:b/>
                <w:bCs/>
                <w:sz w:val="18"/>
                <w:szCs w:val="18"/>
                <w:lang w:eastAsia="en-AU"/>
              </w:rPr>
            </w:pPr>
            <w:r w:rsidRPr="00F606D8">
              <w:rPr>
                <w:b/>
                <w:bCs/>
                <w:sz w:val="18"/>
                <w:szCs w:val="18"/>
                <w:lang w:eastAsia="en-AU"/>
              </w:rPr>
              <w:t>Jan</w:t>
            </w:r>
          </w:p>
        </w:tc>
        <w:tc>
          <w:tcPr>
            <w:tcW w:w="0" w:type="auto"/>
            <w:noWrap/>
            <w:hideMark/>
          </w:tcPr>
          <w:p w14:paraId="65DE37A0" w14:textId="77777777" w:rsidR="00F606D8" w:rsidRPr="00F606D8" w:rsidRDefault="00F606D8" w:rsidP="00F02CFB">
            <w:pPr>
              <w:pStyle w:val="DHHStablecolhead"/>
              <w:rPr>
                <w:b/>
                <w:bCs/>
                <w:sz w:val="18"/>
                <w:szCs w:val="18"/>
                <w:lang w:eastAsia="en-AU"/>
              </w:rPr>
            </w:pPr>
            <w:r w:rsidRPr="00F606D8">
              <w:rPr>
                <w:b/>
                <w:bCs/>
                <w:sz w:val="18"/>
                <w:szCs w:val="18"/>
                <w:lang w:eastAsia="en-AU"/>
              </w:rPr>
              <w:t>Feb</w:t>
            </w:r>
          </w:p>
        </w:tc>
        <w:tc>
          <w:tcPr>
            <w:tcW w:w="0" w:type="auto"/>
            <w:noWrap/>
            <w:hideMark/>
          </w:tcPr>
          <w:p w14:paraId="1908D4A9" w14:textId="77777777" w:rsidR="00F606D8" w:rsidRPr="00F606D8" w:rsidRDefault="00F606D8" w:rsidP="00F02CFB">
            <w:pPr>
              <w:pStyle w:val="DHHStablecolhead"/>
              <w:rPr>
                <w:b/>
                <w:bCs/>
                <w:sz w:val="18"/>
                <w:szCs w:val="18"/>
                <w:lang w:eastAsia="en-AU"/>
              </w:rPr>
            </w:pPr>
            <w:r w:rsidRPr="00F606D8">
              <w:rPr>
                <w:b/>
                <w:bCs/>
                <w:sz w:val="18"/>
                <w:szCs w:val="18"/>
                <w:lang w:eastAsia="en-AU"/>
              </w:rPr>
              <w:t>Mar</w:t>
            </w:r>
          </w:p>
        </w:tc>
        <w:tc>
          <w:tcPr>
            <w:tcW w:w="0" w:type="auto"/>
            <w:noWrap/>
            <w:hideMark/>
          </w:tcPr>
          <w:p w14:paraId="02D32194" w14:textId="77777777" w:rsidR="00F606D8" w:rsidRPr="00F606D8" w:rsidRDefault="00F606D8" w:rsidP="00F02CFB">
            <w:pPr>
              <w:pStyle w:val="DHHStablecolhead"/>
              <w:rPr>
                <w:b/>
                <w:bCs/>
                <w:sz w:val="18"/>
                <w:szCs w:val="18"/>
                <w:lang w:eastAsia="en-AU"/>
              </w:rPr>
            </w:pPr>
            <w:r w:rsidRPr="00F606D8">
              <w:rPr>
                <w:b/>
                <w:bCs/>
                <w:sz w:val="18"/>
                <w:szCs w:val="18"/>
                <w:lang w:eastAsia="en-AU"/>
              </w:rPr>
              <w:t>Apr</w:t>
            </w:r>
          </w:p>
        </w:tc>
        <w:tc>
          <w:tcPr>
            <w:tcW w:w="0" w:type="auto"/>
            <w:noWrap/>
            <w:hideMark/>
          </w:tcPr>
          <w:p w14:paraId="78BBD77F" w14:textId="77777777" w:rsidR="00F606D8" w:rsidRPr="00F606D8" w:rsidRDefault="00F606D8" w:rsidP="00F02CFB">
            <w:pPr>
              <w:pStyle w:val="DHHStablecolhead"/>
              <w:rPr>
                <w:b/>
                <w:bCs/>
                <w:sz w:val="18"/>
                <w:szCs w:val="18"/>
                <w:lang w:eastAsia="en-AU"/>
              </w:rPr>
            </w:pPr>
            <w:r w:rsidRPr="00F606D8">
              <w:rPr>
                <w:b/>
                <w:bCs/>
                <w:sz w:val="18"/>
                <w:szCs w:val="18"/>
                <w:lang w:eastAsia="en-AU"/>
              </w:rPr>
              <w:t>May</w:t>
            </w:r>
          </w:p>
        </w:tc>
        <w:tc>
          <w:tcPr>
            <w:tcW w:w="0" w:type="auto"/>
            <w:noWrap/>
            <w:hideMark/>
          </w:tcPr>
          <w:p w14:paraId="59470DD6" w14:textId="77777777" w:rsidR="00F606D8" w:rsidRPr="00F606D8" w:rsidRDefault="00F606D8" w:rsidP="00F02CFB">
            <w:pPr>
              <w:pStyle w:val="DHHStablecolhead"/>
              <w:rPr>
                <w:b/>
                <w:bCs/>
                <w:sz w:val="18"/>
                <w:szCs w:val="18"/>
                <w:lang w:eastAsia="en-AU"/>
              </w:rPr>
            </w:pPr>
            <w:r w:rsidRPr="00F606D8">
              <w:rPr>
                <w:b/>
                <w:bCs/>
                <w:sz w:val="18"/>
                <w:szCs w:val="18"/>
                <w:lang w:eastAsia="en-AU"/>
              </w:rPr>
              <w:t>Jun</w:t>
            </w:r>
          </w:p>
        </w:tc>
      </w:tr>
      <w:tr w:rsidR="00F606D8" w:rsidRPr="00BD7C03" w14:paraId="3909B4AF" w14:textId="77777777" w:rsidTr="00BB570F">
        <w:trPr>
          <w:trHeight w:val="315"/>
        </w:trPr>
        <w:tc>
          <w:tcPr>
            <w:tcW w:w="0" w:type="auto"/>
            <w:noWrap/>
            <w:hideMark/>
          </w:tcPr>
          <w:p w14:paraId="673428BA" w14:textId="77777777" w:rsidR="00F606D8" w:rsidRPr="00F606D8" w:rsidRDefault="00F606D8" w:rsidP="00F606D8">
            <w:pPr>
              <w:pStyle w:val="DHHStabletext"/>
              <w:rPr>
                <w:sz w:val="18"/>
                <w:szCs w:val="18"/>
                <w:lang w:eastAsia="en-AU"/>
              </w:rPr>
            </w:pPr>
            <w:r w:rsidRPr="00F606D8">
              <w:rPr>
                <w:sz w:val="18"/>
                <w:szCs w:val="18"/>
                <w:lang w:eastAsia="en-AU"/>
              </w:rPr>
              <w:t>2018–19</w:t>
            </w:r>
          </w:p>
        </w:tc>
        <w:tc>
          <w:tcPr>
            <w:tcW w:w="0" w:type="auto"/>
            <w:noWrap/>
            <w:vAlign w:val="bottom"/>
            <w:hideMark/>
          </w:tcPr>
          <w:p w14:paraId="570B606E" w14:textId="19B2AD10" w:rsidR="00F606D8" w:rsidRPr="00F606D8" w:rsidRDefault="00F606D8" w:rsidP="00F606D8">
            <w:pPr>
              <w:pStyle w:val="DHHStabletext"/>
              <w:rPr>
                <w:sz w:val="18"/>
                <w:szCs w:val="18"/>
              </w:rPr>
            </w:pPr>
            <w:r w:rsidRPr="005841BB">
              <w:rPr>
                <w:rFonts w:cs="Arial"/>
                <w:color w:val="000000"/>
                <w:sz w:val="18"/>
                <w:szCs w:val="18"/>
                <w:lang w:eastAsia="en-AU"/>
              </w:rPr>
              <w:t>242</w:t>
            </w:r>
          </w:p>
        </w:tc>
        <w:tc>
          <w:tcPr>
            <w:tcW w:w="0" w:type="auto"/>
            <w:noWrap/>
            <w:vAlign w:val="bottom"/>
            <w:hideMark/>
          </w:tcPr>
          <w:p w14:paraId="6A7F3546" w14:textId="5A15B27B" w:rsidR="00F606D8" w:rsidRPr="00F606D8" w:rsidRDefault="00F606D8" w:rsidP="00F606D8">
            <w:pPr>
              <w:pStyle w:val="DHHStabletext"/>
              <w:rPr>
                <w:sz w:val="18"/>
                <w:szCs w:val="18"/>
              </w:rPr>
            </w:pPr>
            <w:r w:rsidRPr="005841BB">
              <w:rPr>
                <w:rFonts w:cs="Arial"/>
                <w:color w:val="000000"/>
                <w:sz w:val="18"/>
                <w:szCs w:val="18"/>
                <w:lang w:eastAsia="en-AU"/>
              </w:rPr>
              <w:t>320</w:t>
            </w:r>
          </w:p>
        </w:tc>
        <w:tc>
          <w:tcPr>
            <w:tcW w:w="0" w:type="auto"/>
            <w:noWrap/>
            <w:vAlign w:val="bottom"/>
            <w:hideMark/>
          </w:tcPr>
          <w:p w14:paraId="2D2BAC0D" w14:textId="29A63913" w:rsidR="00F606D8" w:rsidRPr="00F606D8" w:rsidRDefault="00F606D8" w:rsidP="00F606D8">
            <w:pPr>
              <w:pStyle w:val="DHHStabletext"/>
              <w:rPr>
                <w:sz w:val="18"/>
                <w:szCs w:val="18"/>
              </w:rPr>
            </w:pPr>
            <w:r w:rsidRPr="005841BB">
              <w:rPr>
                <w:rFonts w:cs="Arial"/>
                <w:color w:val="000000"/>
                <w:sz w:val="18"/>
                <w:szCs w:val="18"/>
                <w:lang w:eastAsia="en-AU"/>
              </w:rPr>
              <w:t>278</w:t>
            </w:r>
          </w:p>
        </w:tc>
        <w:tc>
          <w:tcPr>
            <w:tcW w:w="0" w:type="auto"/>
            <w:noWrap/>
            <w:vAlign w:val="bottom"/>
            <w:hideMark/>
          </w:tcPr>
          <w:p w14:paraId="7F743E98" w14:textId="34E10CB7" w:rsidR="00F606D8" w:rsidRPr="00F606D8" w:rsidRDefault="00F606D8" w:rsidP="00F606D8">
            <w:pPr>
              <w:pStyle w:val="DHHStabletext"/>
              <w:rPr>
                <w:sz w:val="18"/>
                <w:szCs w:val="18"/>
              </w:rPr>
            </w:pPr>
            <w:r w:rsidRPr="005841BB">
              <w:rPr>
                <w:rFonts w:cs="Arial"/>
                <w:color w:val="000000"/>
                <w:sz w:val="18"/>
                <w:szCs w:val="18"/>
                <w:lang w:eastAsia="en-AU"/>
              </w:rPr>
              <w:t>312</w:t>
            </w:r>
          </w:p>
        </w:tc>
        <w:tc>
          <w:tcPr>
            <w:tcW w:w="0" w:type="auto"/>
            <w:noWrap/>
            <w:vAlign w:val="bottom"/>
            <w:hideMark/>
          </w:tcPr>
          <w:p w14:paraId="29923F30" w14:textId="124DEE39" w:rsidR="00F606D8" w:rsidRPr="00F606D8" w:rsidRDefault="00F606D8" w:rsidP="00F606D8">
            <w:pPr>
              <w:pStyle w:val="DHHStabletext"/>
              <w:rPr>
                <w:sz w:val="18"/>
                <w:szCs w:val="18"/>
              </w:rPr>
            </w:pPr>
            <w:r w:rsidRPr="005841BB">
              <w:rPr>
                <w:rFonts w:cs="Arial"/>
                <w:color w:val="000000"/>
                <w:sz w:val="18"/>
                <w:szCs w:val="18"/>
                <w:lang w:eastAsia="en-AU"/>
              </w:rPr>
              <w:t>356</w:t>
            </w:r>
          </w:p>
        </w:tc>
        <w:tc>
          <w:tcPr>
            <w:tcW w:w="0" w:type="auto"/>
            <w:noWrap/>
            <w:vAlign w:val="bottom"/>
            <w:hideMark/>
          </w:tcPr>
          <w:p w14:paraId="6A8ED28D" w14:textId="12BD028F" w:rsidR="00F606D8" w:rsidRPr="00F606D8" w:rsidRDefault="00F606D8" w:rsidP="00F606D8">
            <w:pPr>
              <w:pStyle w:val="DHHStabletext"/>
              <w:rPr>
                <w:sz w:val="18"/>
                <w:szCs w:val="18"/>
              </w:rPr>
            </w:pPr>
            <w:r w:rsidRPr="005841BB">
              <w:rPr>
                <w:rFonts w:cs="Arial"/>
                <w:color w:val="000000"/>
                <w:sz w:val="18"/>
                <w:szCs w:val="18"/>
                <w:lang w:eastAsia="en-AU"/>
              </w:rPr>
              <w:t>285</w:t>
            </w:r>
          </w:p>
        </w:tc>
        <w:tc>
          <w:tcPr>
            <w:tcW w:w="0" w:type="auto"/>
            <w:noWrap/>
            <w:vAlign w:val="bottom"/>
            <w:hideMark/>
          </w:tcPr>
          <w:p w14:paraId="04305B52" w14:textId="491E15AE" w:rsidR="00F606D8" w:rsidRPr="00F606D8" w:rsidRDefault="00F606D8" w:rsidP="00F606D8">
            <w:pPr>
              <w:pStyle w:val="DHHStabletext"/>
              <w:rPr>
                <w:sz w:val="18"/>
                <w:szCs w:val="18"/>
              </w:rPr>
            </w:pPr>
            <w:r w:rsidRPr="005841BB">
              <w:rPr>
                <w:rFonts w:cs="Arial"/>
                <w:color w:val="000000"/>
                <w:sz w:val="18"/>
                <w:szCs w:val="18"/>
                <w:lang w:eastAsia="en-AU"/>
              </w:rPr>
              <w:t>342</w:t>
            </w:r>
          </w:p>
        </w:tc>
        <w:tc>
          <w:tcPr>
            <w:tcW w:w="0" w:type="auto"/>
            <w:noWrap/>
            <w:vAlign w:val="bottom"/>
            <w:hideMark/>
          </w:tcPr>
          <w:p w14:paraId="4E2C0213" w14:textId="080D5F92" w:rsidR="00F606D8" w:rsidRPr="00F606D8" w:rsidRDefault="00F606D8" w:rsidP="00F606D8">
            <w:pPr>
              <w:pStyle w:val="DHHStabletext"/>
              <w:rPr>
                <w:sz w:val="18"/>
                <w:szCs w:val="18"/>
              </w:rPr>
            </w:pPr>
            <w:r w:rsidRPr="005841BB">
              <w:rPr>
                <w:rFonts w:cs="Arial"/>
                <w:color w:val="000000"/>
                <w:sz w:val="18"/>
                <w:szCs w:val="18"/>
                <w:lang w:eastAsia="en-AU"/>
              </w:rPr>
              <w:t>322</w:t>
            </w:r>
          </w:p>
        </w:tc>
        <w:tc>
          <w:tcPr>
            <w:tcW w:w="0" w:type="auto"/>
            <w:noWrap/>
            <w:vAlign w:val="bottom"/>
            <w:hideMark/>
          </w:tcPr>
          <w:p w14:paraId="09586FF8" w14:textId="2CEEA1BF" w:rsidR="00F606D8" w:rsidRPr="00F606D8" w:rsidRDefault="00F606D8" w:rsidP="00F606D8">
            <w:pPr>
              <w:pStyle w:val="DHHStabletext"/>
              <w:rPr>
                <w:sz w:val="18"/>
                <w:szCs w:val="18"/>
              </w:rPr>
            </w:pPr>
            <w:r w:rsidRPr="005841BB">
              <w:rPr>
                <w:rFonts w:cs="Arial"/>
                <w:color w:val="000000"/>
                <w:sz w:val="18"/>
                <w:szCs w:val="18"/>
                <w:lang w:eastAsia="en-AU"/>
              </w:rPr>
              <w:t>367</w:t>
            </w:r>
          </w:p>
        </w:tc>
        <w:tc>
          <w:tcPr>
            <w:tcW w:w="0" w:type="auto"/>
            <w:noWrap/>
            <w:vAlign w:val="bottom"/>
            <w:hideMark/>
          </w:tcPr>
          <w:p w14:paraId="20CC2123" w14:textId="30568EC9" w:rsidR="00F606D8" w:rsidRPr="00F606D8" w:rsidRDefault="00F606D8" w:rsidP="00F606D8">
            <w:pPr>
              <w:pStyle w:val="DHHStabletext"/>
              <w:rPr>
                <w:sz w:val="18"/>
                <w:szCs w:val="18"/>
              </w:rPr>
            </w:pPr>
            <w:r w:rsidRPr="005841BB">
              <w:rPr>
                <w:rFonts w:cs="Arial"/>
                <w:color w:val="000000"/>
                <w:sz w:val="18"/>
                <w:szCs w:val="18"/>
                <w:lang w:eastAsia="en-AU"/>
              </w:rPr>
              <w:t>345</w:t>
            </w:r>
          </w:p>
        </w:tc>
        <w:tc>
          <w:tcPr>
            <w:tcW w:w="0" w:type="auto"/>
            <w:noWrap/>
            <w:vAlign w:val="bottom"/>
            <w:hideMark/>
          </w:tcPr>
          <w:p w14:paraId="521FFD5A" w14:textId="22F8D28D" w:rsidR="00F606D8" w:rsidRPr="00F606D8" w:rsidRDefault="00F606D8" w:rsidP="00F606D8">
            <w:pPr>
              <w:pStyle w:val="DHHStabletext"/>
              <w:rPr>
                <w:sz w:val="18"/>
                <w:szCs w:val="18"/>
              </w:rPr>
            </w:pPr>
            <w:r w:rsidRPr="005841BB">
              <w:rPr>
                <w:rFonts w:cs="Arial"/>
                <w:color w:val="000000"/>
                <w:sz w:val="18"/>
                <w:szCs w:val="18"/>
                <w:lang w:eastAsia="en-AU"/>
              </w:rPr>
              <w:t>398</w:t>
            </w:r>
          </w:p>
        </w:tc>
        <w:tc>
          <w:tcPr>
            <w:tcW w:w="0" w:type="auto"/>
            <w:noWrap/>
            <w:vAlign w:val="bottom"/>
            <w:hideMark/>
          </w:tcPr>
          <w:p w14:paraId="30474408" w14:textId="541C7602" w:rsidR="00F606D8" w:rsidRPr="00F606D8" w:rsidRDefault="00F606D8" w:rsidP="00F606D8">
            <w:pPr>
              <w:pStyle w:val="DHHStabletext"/>
              <w:rPr>
                <w:sz w:val="18"/>
                <w:szCs w:val="18"/>
              </w:rPr>
            </w:pPr>
            <w:r w:rsidRPr="005841BB">
              <w:rPr>
                <w:rFonts w:cs="Arial"/>
                <w:color w:val="000000"/>
                <w:sz w:val="18"/>
                <w:szCs w:val="18"/>
                <w:lang w:eastAsia="en-AU"/>
              </w:rPr>
              <w:t>355</w:t>
            </w:r>
          </w:p>
        </w:tc>
      </w:tr>
      <w:tr w:rsidR="00F606D8" w:rsidRPr="00BD7C03" w14:paraId="112B0E5A" w14:textId="77777777" w:rsidTr="00BB570F">
        <w:trPr>
          <w:trHeight w:val="315"/>
        </w:trPr>
        <w:tc>
          <w:tcPr>
            <w:tcW w:w="0" w:type="auto"/>
            <w:noWrap/>
            <w:hideMark/>
          </w:tcPr>
          <w:p w14:paraId="446565E1" w14:textId="77777777" w:rsidR="00F606D8" w:rsidRPr="00F606D8" w:rsidRDefault="00F606D8" w:rsidP="00F606D8">
            <w:pPr>
              <w:pStyle w:val="DHHStabletext"/>
              <w:rPr>
                <w:sz w:val="18"/>
                <w:szCs w:val="18"/>
                <w:lang w:eastAsia="en-AU"/>
              </w:rPr>
            </w:pPr>
            <w:r w:rsidRPr="00F606D8">
              <w:rPr>
                <w:sz w:val="18"/>
                <w:szCs w:val="18"/>
                <w:lang w:eastAsia="en-AU"/>
              </w:rPr>
              <w:t>2019–20</w:t>
            </w:r>
          </w:p>
        </w:tc>
        <w:tc>
          <w:tcPr>
            <w:tcW w:w="0" w:type="auto"/>
            <w:noWrap/>
            <w:vAlign w:val="bottom"/>
            <w:hideMark/>
          </w:tcPr>
          <w:p w14:paraId="01024D72" w14:textId="78DECD89" w:rsidR="00F606D8" w:rsidRPr="00F606D8" w:rsidRDefault="00F606D8" w:rsidP="00F606D8">
            <w:pPr>
              <w:pStyle w:val="DHHStabletext"/>
              <w:rPr>
                <w:sz w:val="18"/>
                <w:szCs w:val="18"/>
              </w:rPr>
            </w:pPr>
            <w:r w:rsidRPr="005841BB">
              <w:rPr>
                <w:rFonts w:cs="Arial"/>
                <w:color w:val="000000"/>
                <w:sz w:val="18"/>
                <w:szCs w:val="18"/>
                <w:lang w:eastAsia="en-AU"/>
              </w:rPr>
              <w:t>406</w:t>
            </w:r>
          </w:p>
        </w:tc>
        <w:tc>
          <w:tcPr>
            <w:tcW w:w="0" w:type="auto"/>
            <w:noWrap/>
            <w:vAlign w:val="bottom"/>
            <w:hideMark/>
          </w:tcPr>
          <w:p w14:paraId="5061C6AF" w14:textId="4761A5D3" w:rsidR="00F606D8" w:rsidRPr="00F606D8" w:rsidRDefault="00F606D8" w:rsidP="00F606D8">
            <w:pPr>
              <w:pStyle w:val="DHHStabletext"/>
              <w:rPr>
                <w:sz w:val="18"/>
                <w:szCs w:val="18"/>
              </w:rPr>
            </w:pPr>
            <w:r w:rsidRPr="005841BB">
              <w:rPr>
                <w:rFonts w:cs="Arial"/>
                <w:color w:val="000000"/>
                <w:sz w:val="18"/>
                <w:szCs w:val="18"/>
                <w:lang w:eastAsia="en-AU"/>
              </w:rPr>
              <w:t>456</w:t>
            </w:r>
          </w:p>
        </w:tc>
        <w:tc>
          <w:tcPr>
            <w:tcW w:w="0" w:type="auto"/>
            <w:noWrap/>
            <w:vAlign w:val="bottom"/>
            <w:hideMark/>
          </w:tcPr>
          <w:p w14:paraId="52101139" w14:textId="52986CAD" w:rsidR="00F606D8" w:rsidRPr="00F606D8" w:rsidRDefault="00F606D8" w:rsidP="00F606D8">
            <w:pPr>
              <w:pStyle w:val="DHHStabletext"/>
              <w:rPr>
                <w:sz w:val="18"/>
                <w:szCs w:val="18"/>
              </w:rPr>
            </w:pPr>
            <w:r w:rsidRPr="005841BB">
              <w:rPr>
                <w:rFonts w:cs="Arial"/>
                <w:color w:val="000000"/>
                <w:sz w:val="18"/>
                <w:szCs w:val="18"/>
                <w:lang w:eastAsia="en-AU"/>
              </w:rPr>
              <w:t>403</w:t>
            </w:r>
          </w:p>
        </w:tc>
        <w:tc>
          <w:tcPr>
            <w:tcW w:w="0" w:type="auto"/>
            <w:noWrap/>
            <w:vAlign w:val="bottom"/>
            <w:hideMark/>
          </w:tcPr>
          <w:p w14:paraId="4D71A15B" w14:textId="30433D84" w:rsidR="00F606D8" w:rsidRPr="00F606D8" w:rsidRDefault="00F606D8" w:rsidP="00F606D8">
            <w:pPr>
              <w:pStyle w:val="DHHStabletext"/>
              <w:rPr>
                <w:sz w:val="18"/>
                <w:szCs w:val="18"/>
              </w:rPr>
            </w:pPr>
            <w:r w:rsidRPr="005841BB">
              <w:rPr>
                <w:rFonts w:cs="Arial"/>
                <w:color w:val="000000"/>
                <w:sz w:val="18"/>
                <w:szCs w:val="18"/>
                <w:lang w:eastAsia="en-AU"/>
              </w:rPr>
              <w:t>438</w:t>
            </w:r>
          </w:p>
        </w:tc>
        <w:tc>
          <w:tcPr>
            <w:tcW w:w="0" w:type="auto"/>
            <w:noWrap/>
            <w:vAlign w:val="bottom"/>
            <w:hideMark/>
          </w:tcPr>
          <w:p w14:paraId="1B47FE3F" w14:textId="559AEF23" w:rsidR="00F606D8" w:rsidRPr="00F606D8" w:rsidRDefault="00F606D8" w:rsidP="00F606D8">
            <w:pPr>
              <w:pStyle w:val="DHHStabletext"/>
              <w:rPr>
                <w:sz w:val="18"/>
                <w:szCs w:val="18"/>
              </w:rPr>
            </w:pPr>
            <w:r w:rsidRPr="005841BB">
              <w:rPr>
                <w:rFonts w:cs="Arial"/>
                <w:color w:val="000000"/>
                <w:sz w:val="18"/>
                <w:szCs w:val="18"/>
                <w:lang w:eastAsia="en-AU"/>
              </w:rPr>
              <w:t>428</w:t>
            </w:r>
          </w:p>
        </w:tc>
        <w:tc>
          <w:tcPr>
            <w:tcW w:w="0" w:type="auto"/>
            <w:noWrap/>
            <w:vAlign w:val="bottom"/>
            <w:hideMark/>
          </w:tcPr>
          <w:p w14:paraId="33F176BA" w14:textId="0DF82EBF" w:rsidR="00F606D8" w:rsidRPr="00F606D8" w:rsidRDefault="00F606D8" w:rsidP="00F606D8">
            <w:pPr>
              <w:pStyle w:val="DHHStabletext"/>
              <w:rPr>
                <w:sz w:val="18"/>
                <w:szCs w:val="18"/>
              </w:rPr>
            </w:pPr>
            <w:r w:rsidRPr="005841BB">
              <w:rPr>
                <w:rFonts w:cs="Arial"/>
                <w:color w:val="000000"/>
                <w:sz w:val="18"/>
                <w:szCs w:val="18"/>
                <w:lang w:eastAsia="en-AU"/>
              </w:rPr>
              <w:t>280</w:t>
            </w:r>
          </w:p>
        </w:tc>
        <w:tc>
          <w:tcPr>
            <w:tcW w:w="0" w:type="auto"/>
            <w:noWrap/>
            <w:vAlign w:val="bottom"/>
            <w:hideMark/>
          </w:tcPr>
          <w:p w14:paraId="51648E1E" w14:textId="22175677" w:rsidR="00F606D8" w:rsidRPr="00F606D8" w:rsidRDefault="00F606D8" w:rsidP="00F606D8">
            <w:pPr>
              <w:pStyle w:val="DHHStabletext"/>
              <w:rPr>
                <w:sz w:val="18"/>
                <w:szCs w:val="18"/>
              </w:rPr>
            </w:pPr>
            <w:r w:rsidRPr="005841BB">
              <w:rPr>
                <w:rFonts w:cs="Arial"/>
                <w:color w:val="000000"/>
                <w:sz w:val="18"/>
                <w:szCs w:val="18"/>
                <w:lang w:eastAsia="en-AU"/>
              </w:rPr>
              <w:t>284</w:t>
            </w:r>
          </w:p>
        </w:tc>
        <w:tc>
          <w:tcPr>
            <w:tcW w:w="0" w:type="auto"/>
            <w:noWrap/>
            <w:vAlign w:val="bottom"/>
            <w:hideMark/>
          </w:tcPr>
          <w:p w14:paraId="19ACF8DB" w14:textId="2734346F" w:rsidR="00F606D8" w:rsidRPr="00F606D8" w:rsidRDefault="00F606D8" w:rsidP="00F606D8">
            <w:pPr>
              <w:pStyle w:val="DHHStabletext"/>
              <w:rPr>
                <w:sz w:val="18"/>
                <w:szCs w:val="18"/>
              </w:rPr>
            </w:pPr>
            <w:r w:rsidRPr="005841BB">
              <w:rPr>
                <w:rFonts w:cs="Arial"/>
                <w:color w:val="000000"/>
                <w:sz w:val="18"/>
                <w:szCs w:val="18"/>
                <w:lang w:eastAsia="en-AU"/>
              </w:rPr>
              <w:t>360</w:t>
            </w:r>
          </w:p>
        </w:tc>
        <w:tc>
          <w:tcPr>
            <w:tcW w:w="0" w:type="auto"/>
            <w:noWrap/>
            <w:vAlign w:val="bottom"/>
            <w:hideMark/>
          </w:tcPr>
          <w:p w14:paraId="1BD3A8E0" w14:textId="72C3063D" w:rsidR="00F606D8" w:rsidRPr="00F606D8" w:rsidRDefault="00F606D8" w:rsidP="00F606D8">
            <w:pPr>
              <w:pStyle w:val="DHHStabletext"/>
              <w:rPr>
                <w:sz w:val="18"/>
                <w:szCs w:val="18"/>
              </w:rPr>
            </w:pPr>
            <w:r w:rsidRPr="005841BB">
              <w:rPr>
                <w:rFonts w:cs="Arial"/>
                <w:color w:val="000000"/>
                <w:sz w:val="18"/>
                <w:szCs w:val="18"/>
                <w:lang w:eastAsia="en-AU"/>
              </w:rPr>
              <w:t>1,796</w:t>
            </w:r>
          </w:p>
        </w:tc>
        <w:tc>
          <w:tcPr>
            <w:tcW w:w="0" w:type="auto"/>
            <w:noWrap/>
            <w:vAlign w:val="bottom"/>
            <w:hideMark/>
          </w:tcPr>
          <w:p w14:paraId="22025F83" w14:textId="4A735DE5" w:rsidR="00F606D8" w:rsidRPr="00F606D8" w:rsidRDefault="00F606D8" w:rsidP="00F606D8">
            <w:pPr>
              <w:pStyle w:val="DHHStabletext"/>
              <w:rPr>
                <w:sz w:val="18"/>
                <w:szCs w:val="18"/>
              </w:rPr>
            </w:pPr>
            <w:r w:rsidRPr="005841BB">
              <w:rPr>
                <w:rFonts w:cs="Arial"/>
                <w:color w:val="000000"/>
                <w:sz w:val="18"/>
                <w:szCs w:val="18"/>
                <w:lang w:eastAsia="en-AU"/>
              </w:rPr>
              <w:t>11,205</w:t>
            </w:r>
          </w:p>
        </w:tc>
        <w:tc>
          <w:tcPr>
            <w:tcW w:w="0" w:type="auto"/>
            <w:noWrap/>
            <w:vAlign w:val="bottom"/>
            <w:hideMark/>
          </w:tcPr>
          <w:p w14:paraId="5016D8AA" w14:textId="013F6C85" w:rsidR="00F606D8" w:rsidRPr="00F606D8" w:rsidRDefault="00F606D8" w:rsidP="00F606D8">
            <w:pPr>
              <w:pStyle w:val="DHHStabletext"/>
              <w:rPr>
                <w:sz w:val="18"/>
                <w:szCs w:val="18"/>
              </w:rPr>
            </w:pPr>
            <w:r w:rsidRPr="005841BB">
              <w:rPr>
                <w:rFonts w:cs="Arial"/>
                <w:color w:val="000000"/>
                <w:sz w:val="18"/>
                <w:szCs w:val="18"/>
                <w:lang w:eastAsia="en-AU"/>
              </w:rPr>
              <w:t>13,066</w:t>
            </w:r>
          </w:p>
        </w:tc>
        <w:tc>
          <w:tcPr>
            <w:tcW w:w="0" w:type="auto"/>
            <w:noWrap/>
            <w:vAlign w:val="bottom"/>
            <w:hideMark/>
          </w:tcPr>
          <w:p w14:paraId="1782D4D1" w14:textId="2D993BC2" w:rsidR="00F606D8" w:rsidRPr="00F606D8" w:rsidRDefault="00F606D8" w:rsidP="00F606D8">
            <w:pPr>
              <w:pStyle w:val="DHHStabletext"/>
              <w:rPr>
                <w:sz w:val="18"/>
                <w:szCs w:val="18"/>
              </w:rPr>
            </w:pPr>
            <w:r w:rsidRPr="005841BB">
              <w:rPr>
                <w:rFonts w:cs="Arial"/>
                <w:color w:val="000000"/>
                <w:sz w:val="18"/>
                <w:szCs w:val="18"/>
                <w:lang w:eastAsia="en-AU"/>
              </w:rPr>
              <w:t>11,222</w:t>
            </w:r>
          </w:p>
        </w:tc>
      </w:tr>
    </w:tbl>
    <w:p w14:paraId="2AA579CB" w14:textId="7A8B2501" w:rsidR="008922EB" w:rsidRDefault="006352E2" w:rsidP="000D6E03">
      <w:pPr>
        <w:pStyle w:val="DHHSbodyaftertablefigure"/>
      </w:pPr>
      <w:r>
        <w:lastRenderedPageBreak/>
        <w:t xml:space="preserve">The use of telehealth is being evaluated but we already know it has many benefits and some challenges in the delivery of </w:t>
      </w:r>
      <w:r w:rsidR="00EE4E45">
        <w:t xml:space="preserve">mental health services. </w:t>
      </w:r>
      <w:r w:rsidR="00E77F7A">
        <w:t xml:space="preserve">Offering </w:t>
      </w:r>
      <w:r w:rsidR="00232513">
        <w:t xml:space="preserve">access </w:t>
      </w:r>
      <w:r w:rsidR="004E71D1">
        <w:t xml:space="preserve">via telephone, digital and video platforms </w:t>
      </w:r>
      <w:r>
        <w:t>can support people who are reluctant to seek help for the first time</w:t>
      </w:r>
      <w:r w:rsidR="00D05D82">
        <w:t>, in addition to being more appropriate</w:t>
      </w:r>
      <w:r w:rsidR="00597972">
        <w:t xml:space="preserve"> for </w:t>
      </w:r>
      <w:r w:rsidR="00657CC9">
        <w:t>people</w:t>
      </w:r>
      <w:r w:rsidR="00597972">
        <w:t xml:space="preserve"> who may have concerns with face</w:t>
      </w:r>
      <w:r w:rsidR="00E77F7A">
        <w:t>-</w:t>
      </w:r>
      <w:r w:rsidR="00597972">
        <w:t>to</w:t>
      </w:r>
      <w:r w:rsidR="00E77F7A">
        <w:t>-</w:t>
      </w:r>
      <w:r w:rsidR="00597972">
        <w:t>face contact, for who</w:t>
      </w:r>
      <w:r w:rsidR="0094491B">
        <w:t>m</w:t>
      </w:r>
      <w:r w:rsidR="00597972">
        <w:t xml:space="preserve"> attending </w:t>
      </w:r>
      <w:r w:rsidR="008922EB">
        <w:t xml:space="preserve">consultations may </w:t>
      </w:r>
      <w:r w:rsidR="00FF5E07">
        <w:t>be challenging</w:t>
      </w:r>
      <w:r w:rsidR="008E3B8E">
        <w:t xml:space="preserve"> </w:t>
      </w:r>
      <w:r w:rsidR="00657CC9">
        <w:t xml:space="preserve">due to geographic or </w:t>
      </w:r>
      <w:r w:rsidR="00146A67">
        <w:t>historical reasons</w:t>
      </w:r>
      <w:r w:rsidR="008C6F40">
        <w:t>.</w:t>
      </w:r>
      <w:r w:rsidR="00894D3B">
        <w:t xml:space="preserve"> </w:t>
      </w:r>
    </w:p>
    <w:p w14:paraId="7D18F7C2" w14:textId="471791B9" w:rsidR="00EE4E45" w:rsidRDefault="006352E2" w:rsidP="00EE4E45">
      <w:pPr>
        <w:pStyle w:val="DHHSbody"/>
      </w:pPr>
      <w:r>
        <w:t>However, m</w:t>
      </w:r>
      <w:r w:rsidR="00EE4E45">
        <w:t>any consumers of mental health services do not have the means to maintain access to telecommunications or private spaces</w:t>
      </w:r>
      <w:r w:rsidR="00091AE4">
        <w:t>,</w:t>
      </w:r>
      <w:r w:rsidR="00EE4E45">
        <w:t xml:space="preserve"> and it can also be a difficult medium for effective assessment and diagnostic purposes.</w:t>
      </w:r>
      <w:r w:rsidR="00CE5DA1">
        <w:t xml:space="preserve"> Telehealth may be unsuitable for consumers with</w:t>
      </w:r>
      <w:r w:rsidR="00705AE6">
        <w:t xml:space="preserve"> </w:t>
      </w:r>
      <w:r w:rsidR="00CE58AB">
        <w:t xml:space="preserve">illnesses with some symptoms such as paranoia, hallucinations or body dysmorphia. </w:t>
      </w:r>
      <w:r w:rsidR="00A24B95">
        <w:t xml:space="preserve">Providing telehealth services from home </w:t>
      </w:r>
      <w:r w:rsidR="00091AE4">
        <w:t xml:space="preserve">may </w:t>
      </w:r>
      <w:r w:rsidR="006C308C">
        <w:t xml:space="preserve">be challenging for </w:t>
      </w:r>
      <w:r w:rsidR="00B06677">
        <w:t>work</w:t>
      </w:r>
      <w:r w:rsidR="00091AE4">
        <w:t>ers</w:t>
      </w:r>
      <w:r w:rsidR="006C308C">
        <w:t xml:space="preserve"> who</w:t>
      </w:r>
      <w:r w:rsidR="00FE1BAC">
        <w:t xml:space="preserve"> may not </w:t>
      </w:r>
      <w:r w:rsidR="00AB7EA9">
        <w:t>always</w:t>
      </w:r>
      <w:r w:rsidR="00FE1BAC">
        <w:t xml:space="preserve"> have access to appropriate</w:t>
      </w:r>
      <w:r>
        <w:t xml:space="preserve"> equipment,</w:t>
      </w:r>
      <w:r w:rsidR="00FE1BAC">
        <w:t xml:space="preserve"> supports</w:t>
      </w:r>
      <w:r w:rsidR="004A40E8">
        <w:t xml:space="preserve"> and supervision.</w:t>
      </w:r>
    </w:p>
    <w:p w14:paraId="2D4A0196" w14:textId="77777777" w:rsidR="00E539B3" w:rsidRPr="00070E50" w:rsidRDefault="00E539B3" w:rsidP="00E539B3">
      <w:pPr>
        <w:pStyle w:val="Heading4"/>
      </w:pPr>
      <w:r>
        <w:t>Improving IT capacity</w:t>
      </w:r>
    </w:p>
    <w:p w14:paraId="0B2B8FEB" w14:textId="4D957382" w:rsidR="00E539B3" w:rsidRPr="00526729" w:rsidRDefault="00E539B3" w:rsidP="00E539B3">
      <w:pPr>
        <w:pStyle w:val="DHHSbody"/>
      </w:pPr>
      <w:r>
        <w:t xml:space="preserve">Funding initiatives to improve the capacity of services to deliver remote service provision and telehealth </w:t>
      </w:r>
      <w:r w:rsidR="006352E2">
        <w:t>were</w:t>
      </w:r>
      <w:r>
        <w:t xml:space="preserve"> well received by the sector. This enables services to adapt to delivering services remotely.</w:t>
      </w:r>
    </w:p>
    <w:tbl>
      <w:tblPr>
        <w:tblStyle w:val="TableGrid"/>
        <w:tblW w:w="0" w:type="auto"/>
        <w:shd w:val="clear" w:color="auto" w:fill="DEEAF6" w:themeFill="accent5" w:themeFillTint="33"/>
        <w:tblLook w:val="04A0" w:firstRow="1" w:lastRow="0" w:firstColumn="1" w:lastColumn="0" w:noHBand="0" w:noVBand="1"/>
      </w:tblPr>
      <w:tblGrid>
        <w:gridCol w:w="9288"/>
      </w:tblGrid>
      <w:tr w:rsidR="00E539B3" w14:paraId="35CD0E61" w14:textId="77777777" w:rsidTr="000D01E9">
        <w:tc>
          <w:tcPr>
            <w:tcW w:w="9288" w:type="dxa"/>
            <w:shd w:val="clear" w:color="auto" w:fill="auto"/>
          </w:tcPr>
          <w:p w14:paraId="25510311" w14:textId="5AAF5C57" w:rsidR="00F606D8" w:rsidRDefault="00F606D8" w:rsidP="006F3DF8">
            <w:pPr>
              <w:pStyle w:val="DHHStabletext"/>
            </w:pPr>
            <w:r>
              <w:t>‘</w:t>
            </w:r>
            <w:r w:rsidR="00E539B3">
              <w:t>The generous and timely IT grant we received has assisted us to quickly ramp up our remote service provision and telehealth options. This has enabled us to provide support to people who have been feeling increasingly isolated and stressed during the C</w:t>
            </w:r>
            <w:r w:rsidR="001407A7">
              <w:t>OVID</w:t>
            </w:r>
            <w:r w:rsidR="00E539B3">
              <w:t>-19 lockdown. Lessons learnt during this period using the additional infrastructure will also enable us to continue to provide this type of service as a support option into the future.</w:t>
            </w:r>
            <w:r>
              <w:t>’</w:t>
            </w:r>
          </w:p>
          <w:p w14:paraId="213CD53B" w14:textId="0C99CDCF" w:rsidR="00E539B3" w:rsidRDefault="00F606D8" w:rsidP="006F3DF8">
            <w:pPr>
              <w:pStyle w:val="DHHStabletext"/>
            </w:pPr>
            <w:r>
              <w:t xml:space="preserve">– </w:t>
            </w:r>
            <w:r w:rsidR="00E539B3" w:rsidRPr="001B5BA7">
              <w:t>Tom</w:t>
            </w:r>
            <w:r w:rsidR="00E539B3">
              <w:t xml:space="preserve"> Dalton</w:t>
            </w:r>
            <w:r w:rsidR="00E539B3" w:rsidRPr="001B5BA7">
              <w:t xml:space="preserve">, </w:t>
            </w:r>
            <w:r w:rsidR="00E539B3">
              <w:t xml:space="preserve">Chief Executive Officer, </w:t>
            </w:r>
            <w:r w:rsidR="00E539B3" w:rsidRPr="001B5BA7">
              <w:t>Neami National</w:t>
            </w:r>
          </w:p>
        </w:tc>
      </w:tr>
    </w:tbl>
    <w:p w14:paraId="7BD7ED89" w14:textId="2EBD0EB1" w:rsidR="00F907D1" w:rsidRPr="00C54453" w:rsidRDefault="00F907D1" w:rsidP="00F907D1">
      <w:pPr>
        <w:pStyle w:val="Heading4"/>
      </w:pPr>
      <w:r>
        <w:t xml:space="preserve">Collaboration and information sharing </w:t>
      </w:r>
    </w:p>
    <w:p w14:paraId="3A35482E" w14:textId="3215D54B" w:rsidR="00BA3EEC" w:rsidRDefault="00BA3EEC" w:rsidP="00F907D1">
      <w:pPr>
        <w:pStyle w:val="DHHSbody"/>
      </w:pPr>
      <w:r w:rsidRPr="00BA3EEC">
        <w:t>Mental health service providers have worked hard to ensure they were able to continue to deliver services safely and could respond to the needs of consumers, carers and the workforce.</w:t>
      </w:r>
    </w:p>
    <w:p w14:paraId="0AA46AE7" w14:textId="53A04764" w:rsidR="00BA3EEC" w:rsidRDefault="00BA3EEC" w:rsidP="00F907D1">
      <w:pPr>
        <w:pStyle w:val="DHHSbody"/>
      </w:pPr>
      <w:r w:rsidRPr="00BA3EEC">
        <w:t>To do this, significant information sharing has been required across the sector, and service providers have worked collaboratively to design new protocols for the safe provision of services.  This has enabled development of new infection prevention and control protocols that respond directly to the circumstances presented by the coronavirus (COVID-19).</w:t>
      </w:r>
    </w:p>
    <w:p w14:paraId="6D308E0C" w14:textId="0E9965C0" w:rsidR="00F907D1" w:rsidRDefault="00BA3EEC" w:rsidP="00F907D1">
      <w:pPr>
        <w:pStyle w:val="Heading4"/>
      </w:pPr>
      <w:r>
        <w:t>Support in other settings</w:t>
      </w:r>
    </w:p>
    <w:p w14:paraId="7AC65585" w14:textId="3193D25E" w:rsidR="00F907D1" w:rsidRDefault="00F907D1" w:rsidP="00F907D1">
      <w:pPr>
        <w:pStyle w:val="DHHSbody"/>
      </w:pPr>
      <w:r>
        <w:t>During the pandemic, specialist m</w:t>
      </w:r>
      <w:r w:rsidRPr="00EB764F">
        <w:t>ental health services</w:t>
      </w:r>
      <w:r>
        <w:t xml:space="preserve"> have been</w:t>
      </w:r>
      <w:r w:rsidRPr="00EB764F">
        <w:t xml:space="preserve"> provided </w:t>
      </w:r>
      <w:r>
        <w:t xml:space="preserve">for a range of </w:t>
      </w:r>
      <w:r w:rsidR="00175868">
        <w:t>bed-based</w:t>
      </w:r>
      <w:r>
        <w:t xml:space="preserve"> </w:t>
      </w:r>
      <w:r w:rsidRPr="00EB764F">
        <w:t>services</w:t>
      </w:r>
      <w:r>
        <w:t xml:space="preserve"> to</w:t>
      </w:r>
      <w:r w:rsidRPr="00EB764F">
        <w:t xml:space="preserve"> </w:t>
      </w:r>
      <w:r>
        <w:t>support</w:t>
      </w:r>
      <w:r w:rsidRPr="00EB764F">
        <w:t xml:space="preserve"> vulnerable and at</w:t>
      </w:r>
      <w:r>
        <w:t>-</w:t>
      </w:r>
      <w:r w:rsidRPr="00EB764F">
        <w:t xml:space="preserve">risk groups. </w:t>
      </w:r>
      <w:r>
        <w:t xml:space="preserve">This has included </w:t>
      </w:r>
      <w:r w:rsidRPr="00EB764F">
        <w:t xml:space="preserve">in-reach models to </w:t>
      </w:r>
      <w:r>
        <w:t>h</w:t>
      </w:r>
      <w:r w:rsidRPr="00EB764F">
        <w:t xml:space="preserve">otels for homeless people, </w:t>
      </w:r>
      <w:r>
        <w:t xml:space="preserve">quarantine hotels, people </w:t>
      </w:r>
      <w:r w:rsidRPr="00EB764F">
        <w:t xml:space="preserve">in </w:t>
      </w:r>
      <w:r w:rsidR="00A83D14">
        <w:t>s</w:t>
      </w:r>
      <w:r w:rsidRPr="00EB764F">
        <w:t xml:space="preserve">upported </w:t>
      </w:r>
      <w:r w:rsidR="00A83D14">
        <w:t>b</w:t>
      </w:r>
      <w:r w:rsidR="00175868">
        <w:t>ed-based</w:t>
      </w:r>
      <w:r w:rsidRPr="00EB764F">
        <w:t xml:space="preserve"> </w:t>
      </w:r>
      <w:r w:rsidR="00A83D14">
        <w:t>s</w:t>
      </w:r>
      <w:r w:rsidRPr="00EB764F">
        <w:t xml:space="preserve">ervices, public housing tenants, and </w:t>
      </w:r>
      <w:r>
        <w:t>people</w:t>
      </w:r>
      <w:r w:rsidRPr="00EB764F">
        <w:t xml:space="preserve"> in aged care services</w:t>
      </w:r>
      <w:r>
        <w:t>.</w:t>
      </w:r>
    </w:p>
    <w:tbl>
      <w:tblPr>
        <w:tblStyle w:val="TableGrid"/>
        <w:tblW w:w="0" w:type="auto"/>
        <w:shd w:val="clear" w:color="auto" w:fill="FBE4D5" w:themeFill="accent2" w:themeFillTint="33"/>
        <w:tblLook w:val="04A0" w:firstRow="1" w:lastRow="0" w:firstColumn="1" w:lastColumn="0" w:noHBand="0" w:noVBand="1"/>
      </w:tblPr>
      <w:tblGrid>
        <w:gridCol w:w="9288"/>
      </w:tblGrid>
      <w:tr w:rsidR="00F907D1" w14:paraId="66286EE4" w14:textId="77777777" w:rsidTr="000D01E9">
        <w:tc>
          <w:tcPr>
            <w:tcW w:w="9288" w:type="dxa"/>
            <w:shd w:val="clear" w:color="auto" w:fill="auto"/>
          </w:tcPr>
          <w:p w14:paraId="25CBD690" w14:textId="369D8EF1" w:rsidR="00F907D1" w:rsidRDefault="00F907D1" w:rsidP="00CE40D6">
            <w:pPr>
              <w:pStyle w:val="DHHStablecaption"/>
            </w:pPr>
            <w:r>
              <w:t xml:space="preserve">Hotels for </w:t>
            </w:r>
            <w:r w:rsidR="00A83D14">
              <w:t xml:space="preserve">people experiencing </w:t>
            </w:r>
            <w:r>
              <w:t>homeless</w:t>
            </w:r>
            <w:r w:rsidR="00A83D14">
              <w:t>ness</w:t>
            </w:r>
          </w:p>
          <w:p w14:paraId="17F326E9" w14:textId="791B6BAE" w:rsidR="00F907D1" w:rsidRDefault="00BA3EEC" w:rsidP="006F3DF8">
            <w:pPr>
              <w:pStyle w:val="DHHStabletext"/>
            </w:pPr>
            <w:r w:rsidRPr="00BA3EEC">
              <w:t xml:space="preserve">In response to the coronavirus (COVID-19) pandemic, the government has supported a number of agencies to provide homeless people, including rough sleepers, accommodation in hotels, motels and serviced apartments across Melbourne. Existing homeless mental health service providers have received support to provide additional mental health services to people accessing accommodation as part of the hotels for homeless response. This initiative has provided mental health services with an opportunity to better with engage people with complex mental health needs. </w:t>
            </w:r>
          </w:p>
        </w:tc>
      </w:tr>
    </w:tbl>
    <w:p w14:paraId="750427B4" w14:textId="7723756D" w:rsidR="00F907D1" w:rsidRDefault="00F907D1" w:rsidP="00F907D1">
      <w:pPr>
        <w:pStyle w:val="Heading4"/>
      </w:pPr>
      <w:r>
        <w:t xml:space="preserve">Inpatient and </w:t>
      </w:r>
      <w:r w:rsidR="00F30E96">
        <w:t>bed-based</w:t>
      </w:r>
      <w:r>
        <w:t xml:space="preserve"> model of care supports </w:t>
      </w:r>
    </w:p>
    <w:p w14:paraId="3B742DA9" w14:textId="4CBAA62E" w:rsidR="00F907D1" w:rsidRDefault="00F907D1" w:rsidP="00F907D1">
      <w:pPr>
        <w:pStyle w:val="DHHSbody"/>
        <w:rPr>
          <w:rStyle w:val="normaltextrun1"/>
          <w:lang w:val="en-US"/>
        </w:rPr>
      </w:pPr>
      <w:r>
        <w:rPr>
          <w:rStyle w:val="normaltextrun1"/>
          <w:lang w:val="en-US"/>
        </w:rPr>
        <w:t xml:space="preserve">Changes at inpatient treatment and </w:t>
      </w:r>
      <w:r w:rsidR="00415F68">
        <w:rPr>
          <w:rStyle w:val="normaltextrun1"/>
          <w:lang w:val="en-US"/>
        </w:rPr>
        <w:t>non</w:t>
      </w:r>
      <w:r w:rsidR="00D23004">
        <w:rPr>
          <w:rStyle w:val="normaltextrun1"/>
          <w:lang w:val="en-US"/>
        </w:rPr>
        <w:t>-</w:t>
      </w:r>
      <w:r w:rsidR="00415F68">
        <w:rPr>
          <w:rStyle w:val="normaltextrun1"/>
          <w:lang w:val="en-US"/>
        </w:rPr>
        <w:t>acute</w:t>
      </w:r>
      <w:r w:rsidR="003E36A2">
        <w:rPr>
          <w:rStyle w:val="normaltextrun1"/>
          <w:lang w:val="en-US"/>
        </w:rPr>
        <w:t xml:space="preserve"> </w:t>
      </w:r>
      <w:r w:rsidR="00175868">
        <w:rPr>
          <w:rStyle w:val="normaltextrun1"/>
          <w:lang w:val="en-US"/>
        </w:rPr>
        <w:t>bed-based</w:t>
      </w:r>
      <w:r>
        <w:rPr>
          <w:rStyle w:val="normaltextrun1"/>
          <w:lang w:val="en-US"/>
        </w:rPr>
        <w:t xml:space="preserve"> care facilities enable</w:t>
      </w:r>
      <w:r w:rsidR="0050713C">
        <w:rPr>
          <w:rStyle w:val="normaltextrun1"/>
          <w:lang w:val="en-US"/>
        </w:rPr>
        <w:t>d</w:t>
      </w:r>
      <w:r>
        <w:rPr>
          <w:rStyle w:val="normaltextrun1"/>
          <w:lang w:val="en-US"/>
        </w:rPr>
        <w:t xml:space="preserve"> infection control and prevention measures to be put in place whil</w:t>
      </w:r>
      <w:r w:rsidR="00B6401F">
        <w:rPr>
          <w:rStyle w:val="normaltextrun1"/>
          <w:lang w:val="en-US"/>
        </w:rPr>
        <w:t>e</w:t>
      </w:r>
      <w:r>
        <w:rPr>
          <w:rStyle w:val="normaltextrun1"/>
          <w:lang w:val="en-US"/>
        </w:rPr>
        <w:t xml:space="preserve"> ensuring that mental health service</w:t>
      </w:r>
      <w:r w:rsidR="0050713C">
        <w:rPr>
          <w:rStyle w:val="normaltextrun1"/>
          <w:lang w:val="en-US"/>
        </w:rPr>
        <w:t xml:space="preserve"> delivery</w:t>
      </w:r>
      <w:r>
        <w:rPr>
          <w:rStyle w:val="normaltextrun1"/>
          <w:lang w:val="en-US"/>
        </w:rPr>
        <w:t xml:space="preserve"> continued.</w:t>
      </w:r>
    </w:p>
    <w:p w14:paraId="4C76FD70" w14:textId="2F86182A" w:rsidR="008E6250" w:rsidRDefault="008E6250" w:rsidP="008E6250">
      <w:pPr>
        <w:pStyle w:val="DHHSbody"/>
        <w:rPr>
          <w:rStyle w:val="normaltextrun1"/>
          <w:lang w:val="en-US"/>
        </w:rPr>
      </w:pPr>
      <w:r>
        <w:rPr>
          <w:rStyle w:val="normaltextrun1"/>
          <w:lang w:val="en-US"/>
        </w:rPr>
        <w:lastRenderedPageBreak/>
        <w:t xml:space="preserve">In some facilities, there have been staff who tested positive for </w:t>
      </w:r>
      <w:r w:rsidR="00E51317">
        <w:rPr>
          <w:rStyle w:val="normaltextrun1"/>
          <w:lang w:val="en-US"/>
        </w:rPr>
        <w:t>coronavirus (COVID-19)</w:t>
      </w:r>
      <w:r>
        <w:rPr>
          <w:rStyle w:val="normaltextrun1"/>
          <w:lang w:val="en-US"/>
        </w:rPr>
        <w:t>, and as a result other staff were furloughed. However</w:t>
      </w:r>
      <w:r w:rsidR="00E97007">
        <w:rPr>
          <w:rStyle w:val="normaltextrun1"/>
          <w:lang w:val="en-US"/>
        </w:rPr>
        <w:t>,</w:t>
      </w:r>
      <w:r>
        <w:rPr>
          <w:rStyle w:val="normaltextrun1"/>
          <w:lang w:val="en-US"/>
        </w:rPr>
        <w:t xml:space="preserve"> due to successful</w:t>
      </w:r>
      <w:r w:rsidR="0050713C">
        <w:rPr>
          <w:rStyle w:val="normaltextrun1"/>
          <w:lang w:val="en-US"/>
        </w:rPr>
        <w:t>ly</w:t>
      </w:r>
      <w:r>
        <w:rPr>
          <w:rStyle w:val="normaltextrun1"/>
          <w:lang w:val="en-US"/>
        </w:rPr>
        <w:t xml:space="preserve"> implement</w:t>
      </w:r>
      <w:r w:rsidR="0050713C">
        <w:rPr>
          <w:rStyle w:val="normaltextrun1"/>
          <w:lang w:val="en-US"/>
        </w:rPr>
        <w:t>ing</w:t>
      </w:r>
      <w:r>
        <w:rPr>
          <w:rStyle w:val="normaltextrun1"/>
          <w:lang w:val="en-US"/>
        </w:rPr>
        <w:t xml:space="preserve"> infection control measures at these facilities</w:t>
      </w:r>
      <w:r w:rsidR="0050713C">
        <w:rPr>
          <w:rStyle w:val="normaltextrun1"/>
          <w:lang w:val="en-US"/>
        </w:rPr>
        <w:t>,</w:t>
      </w:r>
      <w:r>
        <w:rPr>
          <w:rStyle w:val="normaltextrun1"/>
          <w:lang w:val="en-US"/>
        </w:rPr>
        <w:t xml:space="preserve"> there was no further transmission. These facilities remained safe for consumers.</w:t>
      </w:r>
    </w:p>
    <w:tbl>
      <w:tblPr>
        <w:tblStyle w:val="TableGrid"/>
        <w:tblW w:w="0" w:type="auto"/>
        <w:shd w:val="clear" w:color="auto" w:fill="FBE4D5" w:themeFill="accent2" w:themeFillTint="33"/>
        <w:tblLook w:val="04A0" w:firstRow="1" w:lastRow="0" w:firstColumn="1" w:lastColumn="0" w:noHBand="0" w:noVBand="1"/>
      </w:tblPr>
      <w:tblGrid>
        <w:gridCol w:w="9288"/>
      </w:tblGrid>
      <w:tr w:rsidR="008E6250" w14:paraId="526114B4" w14:textId="77777777" w:rsidTr="000D01E9">
        <w:tc>
          <w:tcPr>
            <w:tcW w:w="9288" w:type="dxa"/>
            <w:shd w:val="clear" w:color="auto" w:fill="auto"/>
          </w:tcPr>
          <w:p w14:paraId="06551E7D" w14:textId="710531C8" w:rsidR="008E6250" w:rsidRDefault="008E6250" w:rsidP="00CE40D6">
            <w:pPr>
              <w:pStyle w:val="DHHStablecaption"/>
            </w:pPr>
            <w:r w:rsidRPr="003647B7">
              <w:t xml:space="preserve">The Orygen </w:t>
            </w:r>
            <w:r w:rsidR="00E51317">
              <w:t>COVID-19</w:t>
            </w:r>
            <w:r w:rsidRPr="003647B7">
              <w:t xml:space="preserve"> </w:t>
            </w:r>
            <w:r w:rsidR="0050713C">
              <w:t>q</w:t>
            </w:r>
            <w:r w:rsidRPr="003647B7">
              <w:t xml:space="preserve">uarantine </w:t>
            </w:r>
            <w:r w:rsidR="0050713C">
              <w:t>o</w:t>
            </w:r>
            <w:r w:rsidRPr="003647B7">
              <w:t xml:space="preserve">perational </w:t>
            </w:r>
            <w:r w:rsidR="0050713C">
              <w:t>p</w:t>
            </w:r>
            <w:r w:rsidRPr="003647B7">
              <w:t>rocedure</w:t>
            </w:r>
          </w:p>
          <w:p w14:paraId="0A7F5809" w14:textId="2BFEE766" w:rsidR="008E6250" w:rsidRPr="008F5A0F" w:rsidRDefault="000048E7" w:rsidP="006F3DF8">
            <w:pPr>
              <w:pStyle w:val="DHHStabletext"/>
              <w:rPr>
                <w:rStyle w:val="normaltextrun1"/>
                <w:b/>
                <w:bCs/>
              </w:rPr>
            </w:pPr>
            <w:r>
              <w:rPr>
                <w:rStyle w:val="normaltextrun1"/>
                <w:lang w:val="en-US"/>
              </w:rPr>
              <w:t>The Orygen</w:t>
            </w:r>
            <w:r w:rsidR="00EB4657">
              <w:rPr>
                <w:rStyle w:val="normaltextrun1"/>
                <w:lang w:val="en-US"/>
              </w:rPr>
              <w:t xml:space="preserve"> </w:t>
            </w:r>
            <w:r w:rsidR="003374F3">
              <w:rPr>
                <w:rStyle w:val="normaltextrun1"/>
                <w:lang w:val="en-US"/>
              </w:rPr>
              <w:t xml:space="preserve">Inpatient </w:t>
            </w:r>
            <w:r w:rsidR="00EB4657">
              <w:rPr>
                <w:rStyle w:val="normaltextrun1"/>
                <w:lang w:val="en-US"/>
              </w:rPr>
              <w:t xml:space="preserve">Unit was </w:t>
            </w:r>
            <w:r w:rsidR="00BA3EEC">
              <w:rPr>
                <w:rStyle w:val="normaltextrun1"/>
                <w:lang w:val="en-US"/>
              </w:rPr>
              <w:t>one public mental health service</w:t>
            </w:r>
            <w:r w:rsidR="00EB4657">
              <w:rPr>
                <w:rStyle w:val="normaltextrun1"/>
                <w:lang w:val="en-US"/>
              </w:rPr>
              <w:t xml:space="preserve"> to be </w:t>
            </w:r>
            <w:r w:rsidR="0021544C">
              <w:rPr>
                <w:rStyle w:val="normaltextrun1"/>
                <w:lang w:val="en-US"/>
              </w:rPr>
              <w:t xml:space="preserve">directly </w:t>
            </w:r>
            <w:r w:rsidR="0050713C">
              <w:rPr>
                <w:rStyle w:val="normaltextrun1"/>
                <w:lang w:val="en-US"/>
              </w:rPr>
              <w:t xml:space="preserve">affected </w:t>
            </w:r>
            <w:r w:rsidR="0021544C">
              <w:rPr>
                <w:rStyle w:val="normaltextrun1"/>
                <w:lang w:val="en-US"/>
              </w:rPr>
              <w:t xml:space="preserve">by </w:t>
            </w:r>
            <w:r w:rsidR="00E51317">
              <w:rPr>
                <w:rStyle w:val="normaltextrun1"/>
                <w:lang w:val="en-US"/>
              </w:rPr>
              <w:t>coronavirus (COVID-19)</w:t>
            </w:r>
            <w:r w:rsidR="0050713C">
              <w:rPr>
                <w:rStyle w:val="normaltextrun1"/>
                <w:lang w:val="en-US"/>
              </w:rPr>
              <w:t>, necessitating</w:t>
            </w:r>
            <w:r w:rsidR="003374F3">
              <w:rPr>
                <w:rStyle w:val="normaltextrun1"/>
                <w:lang w:val="en-US"/>
              </w:rPr>
              <w:t xml:space="preserve"> </w:t>
            </w:r>
            <w:r w:rsidR="0050713C">
              <w:rPr>
                <w:rStyle w:val="normaltextrun1"/>
                <w:lang w:val="en-US"/>
              </w:rPr>
              <w:t>i</w:t>
            </w:r>
            <w:r w:rsidR="008E6250" w:rsidRPr="00D85EC0">
              <w:rPr>
                <w:rStyle w:val="normaltextrun1"/>
                <w:lang w:val="en-US"/>
              </w:rPr>
              <w:t xml:space="preserve">mportant changes </w:t>
            </w:r>
            <w:r w:rsidR="008E6250">
              <w:rPr>
                <w:rStyle w:val="normaltextrun1"/>
                <w:lang w:val="en-US"/>
              </w:rPr>
              <w:t xml:space="preserve">to usual practice. </w:t>
            </w:r>
            <w:r w:rsidR="008E6250" w:rsidRPr="00D85EC0">
              <w:rPr>
                <w:rStyle w:val="normaltextrun1"/>
                <w:lang w:val="en-US"/>
              </w:rPr>
              <w:t xml:space="preserve">The </w:t>
            </w:r>
            <w:r w:rsidR="008E6250">
              <w:rPr>
                <w:rStyle w:val="normaltextrun1"/>
                <w:lang w:val="en-US"/>
              </w:rPr>
              <w:t xml:space="preserve">structure of the </w:t>
            </w:r>
            <w:r w:rsidR="0050713C">
              <w:rPr>
                <w:rStyle w:val="normaltextrun1"/>
                <w:lang w:val="en-US"/>
              </w:rPr>
              <w:t xml:space="preserve">unit’s </w:t>
            </w:r>
            <w:r w:rsidR="008E6250">
              <w:rPr>
                <w:rStyle w:val="normaltextrun1"/>
                <w:lang w:val="en-US"/>
              </w:rPr>
              <w:t>day</w:t>
            </w:r>
            <w:r w:rsidR="0050713C">
              <w:rPr>
                <w:rStyle w:val="normaltextrun1"/>
                <w:lang w:val="en-US"/>
              </w:rPr>
              <w:t>-</w:t>
            </w:r>
            <w:r w:rsidR="008E6250">
              <w:rPr>
                <w:rStyle w:val="normaltextrun1"/>
                <w:lang w:val="en-US"/>
              </w:rPr>
              <w:t>to</w:t>
            </w:r>
            <w:r w:rsidR="0050713C">
              <w:rPr>
                <w:rStyle w:val="normaltextrun1"/>
                <w:lang w:val="en-US"/>
              </w:rPr>
              <w:t>-</w:t>
            </w:r>
            <w:r w:rsidR="008E6250">
              <w:rPr>
                <w:rStyle w:val="normaltextrun1"/>
                <w:lang w:val="en-US"/>
              </w:rPr>
              <w:t>day routine was revised and modified to ensure standards in infection control and prevention were implemented whil</w:t>
            </w:r>
            <w:r w:rsidR="0050713C">
              <w:rPr>
                <w:rStyle w:val="normaltextrun1"/>
                <w:lang w:val="en-US"/>
              </w:rPr>
              <w:t>e</w:t>
            </w:r>
            <w:r w:rsidR="008E6250">
              <w:rPr>
                <w:rStyle w:val="normaltextrun1"/>
                <w:lang w:val="en-US"/>
              </w:rPr>
              <w:t xml:space="preserve"> ensuring a recovery</w:t>
            </w:r>
            <w:r w:rsidR="0050713C">
              <w:rPr>
                <w:rStyle w:val="normaltextrun1"/>
                <w:lang w:val="en-US"/>
              </w:rPr>
              <w:t>-</w:t>
            </w:r>
            <w:r w:rsidR="008E6250">
              <w:rPr>
                <w:rStyle w:val="normaltextrun1"/>
                <w:lang w:val="en-US"/>
              </w:rPr>
              <w:t>focused service continue</w:t>
            </w:r>
            <w:r w:rsidR="0050713C">
              <w:rPr>
                <w:rStyle w:val="normaltextrun1"/>
                <w:lang w:val="en-US"/>
              </w:rPr>
              <w:t>d</w:t>
            </w:r>
            <w:r w:rsidR="008E6250">
              <w:rPr>
                <w:rStyle w:val="normaltextrun1"/>
                <w:lang w:val="en-US"/>
              </w:rPr>
              <w:t xml:space="preserve"> to be delivered. A</w:t>
            </w:r>
            <w:r w:rsidR="00F35211">
              <w:rPr>
                <w:rStyle w:val="normaltextrun1"/>
                <w:lang w:val="en-US"/>
              </w:rPr>
              <w:t xml:space="preserve"> comp</w:t>
            </w:r>
            <w:r w:rsidR="00A2664A">
              <w:rPr>
                <w:rStyle w:val="normaltextrun1"/>
                <w:lang w:val="en-US"/>
              </w:rPr>
              <w:t>rehensive</w:t>
            </w:r>
            <w:r w:rsidR="008E6250">
              <w:t xml:space="preserve"> operations manual</w:t>
            </w:r>
            <w:r w:rsidR="008E6250" w:rsidRPr="00DA78EB">
              <w:t xml:space="preserve">, the </w:t>
            </w:r>
            <w:r w:rsidR="008E6250" w:rsidRPr="00A644EA">
              <w:rPr>
                <w:i/>
                <w:iCs/>
              </w:rPr>
              <w:t xml:space="preserve">Orygen </w:t>
            </w:r>
            <w:r w:rsidR="00E51317" w:rsidRPr="00A644EA">
              <w:rPr>
                <w:i/>
                <w:iCs/>
              </w:rPr>
              <w:t>COVID-19</w:t>
            </w:r>
            <w:r w:rsidR="008E6250" w:rsidRPr="00A644EA">
              <w:rPr>
                <w:i/>
                <w:iCs/>
              </w:rPr>
              <w:t xml:space="preserve"> </w:t>
            </w:r>
            <w:r w:rsidR="0050713C">
              <w:rPr>
                <w:i/>
                <w:iCs/>
              </w:rPr>
              <w:t>q</w:t>
            </w:r>
            <w:r w:rsidR="008E6250" w:rsidRPr="00A644EA">
              <w:rPr>
                <w:i/>
                <w:iCs/>
              </w:rPr>
              <w:t xml:space="preserve">uarantine </w:t>
            </w:r>
            <w:r w:rsidR="0050713C">
              <w:rPr>
                <w:i/>
                <w:iCs/>
              </w:rPr>
              <w:t>o</w:t>
            </w:r>
            <w:r w:rsidR="008E6250" w:rsidRPr="00A644EA">
              <w:rPr>
                <w:i/>
                <w:iCs/>
              </w:rPr>
              <w:t xml:space="preserve">perational </w:t>
            </w:r>
            <w:r w:rsidR="0050713C">
              <w:rPr>
                <w:i/>
                <w:iCs/>
              </w:rPr>
              <w:t>p</w:t>
            </w:r>
            <w:r w:rsidR="008E6250" w:rsidRPr="00A644EA">
              <w:rPr>
                <w:i/>
                <w:iCs/>
              </w:rPr>
              <w:t>rocedure</w:t>
            </w:r>
            <w:r w:rsidR="008E6250" w:rsidRPr="00DA78EB">
              <w:t xml:space="preserve">, </w:t>
            </w:r>
            <w:r w:rsidR="008E6250">
              <w:t>was developed to provide staff with a set of processes and guidelines to work within whil</w:t>
            </w:r>
            <w:r w:rsidR="0050713C">
              <w:t>e</w:t>
            </w:r>
            <w:r w:rsidR="008E6250">
              <w:t xml:space="preserve"> continuing to deliver a recovery</w:t>
            </w:r>
            <w:r w:rsidR="0050713C">
              <w:t>-</w:t>
            </w:r>
            <w:r w:rsidR="008E6250">
              <w:t xml:space="preserve">focused model of care. This manual was then shared broadly across mental health services. </w:t>
            </w:r>
          </w:p>
        </w:tc>
      </w:tr>
    </w:tbl>
    <w:p w14:paraId="60FCA170" w14:textId="647AACF8" w:rsidR="007F5FA5" w:rsidRPr="004E2EFB" w:rsidRDefault="007F5FA5" w:rsidP="004558DE">
      <w:pPr>
        <w:pStyle w:val="Heading4"/>
      </w:pPr>
      <w:r w:rsidRPr="00847B09">
        <w:t xml:space="preserve">Youth </w:t>
      </w:r>
      <w:r w:rsidR="0050713C">
        <w:t>b</w:t>
      </w:r>
      <w:r w:rsidR="00175868">
        <w:t>ed-based</w:t>
      </w:r>
      <w:r w:rsidRPr="00847B09">
        <w:t xml:space="preserve"> </w:t>
      </w:r>
      <w:r w:rsidR="0050713C">
        <w:t>r</w:t>
      </w:r>
      <w:r w:rsidRPr="00847B09">
        <w:t xml:space="preserve">ehabilitation </w:t>
      </w:r>
      <w:r w:rsidR="0050713C">
        <w:t>s</w:t>
      </w:r>
      <w:r w:rsidRPr="00847B09">
        <w:t xml:space="preserve">ervices </w:t>
      </w:r>
    </w:p>
    <w:p w14:paraId="5A828872" w14:textId="42EAF1BC" w:rsidR="007F5FA5" w:rsidRPr="00E62E18" w:rsidRDefault="007F5FA5" w:rsidP="007F5FA5">
      <w:pPr>
        <w:pStyle w:val="DHHSbody"/>
      </w:pPr>
      <w:r w:rsidRPr="00E62E18">
        <w:t xml:space="preserve">From the onset of the coronavirus </w:t>
      </w:r>
      <w:r w:rsidR="0050713C">
        <w:t xml:space="preserve">(COVID-19) </w:t>
      </w:r>
      <w:r w:rsidRPr="00E62E18">
        <w:t xml:space="preserve">pandemic, restrictions were put in place in </w:t>
      </w:r>
      <w:r w:rsidR="00C319E0">
        <w:t>public</w:t>
      </w:r>
      <w:r w:rsidRPr="00E62E18">
        <w:t xml:space="preserve"> </w:t>
      </w:r>
      <w:r w:rsidR="0050713C">
        <w:t>y</w:t>
      </w:r>
      <w:r w:rsidRPr="00E62E18">
        <w:t xml:space="preserve">outh </w:t>
      </w:r>
      <w:r w:rsidR="0050713C">
        <w:t>b</w:t>
      </w:r>
      <w:r w:rsidR="00175868">
        <w:t>ed-based</w:t>
      </w:r>
      <w:r w:rsidRPr="00E62E18">
        <w:t xml:space="preserve"> </w:t>
      </w:r>
      <w:r w:rsidR="0050713C">
        <w:t>r</w:t>
      </w:r>
      <w:r w:rsidRPr="00E62E18">
        <w:t>ehabilitation mental health services to protect residents</w:t>
      </w:r>
      <w:r w:rsidR="00C319E0">
        <w:t xml:space="preserve"> and staff</w:t>
      </w:r>
      <w:r w:rsidRPr="00E62E18">
        <w:t xml:space="preserve"> from </w:t>
      </w:r>
      <w:r w:rsidR="0050713C">
        <w:t>the virus.</w:t>
      </w:r>
      <w:r w:rsidRPr="00E62E18">
        <w:t xml:space="preserve"> </w:t>
      </w:r>
    </w:p>
    <w:p w14:paraId="5CB96078" w14:textId="0CB14D54" w:rsidR="007F5FA5" w:rsidRPr="00E62E18" w:rsidRDefault="007F5FA5" w:rsidP="007F5FA5">
      <w:pPr>
        <w:pStyle w:val="DHHSbody"/>
      </w:pPr>
      <w:r w:rsidRPr="00E62E18">
        <w:t xml:space="preserve">Residents and staff at the 17 </w:t>
      </w:r>
      <w:r w:rsidR="0050713C">
        <w:t>y</w:t>
      </w:r>
      <w:r w:rsidRPr="00E62E18">
        <w:t xml:space="preserve">outh </w:t>
      </w:r>
      <w:r w:rsidR="0050713C">
        <w:t>b</w:t>
      </w:r>
      <w:r w:rsidR="00175868">
        <w:t>ed-based</w:t>
      </w:r>
      <w:r w:rsidRPr="00E62E18">
        <w:t xml:space="preserve"> </w:t>
      </w:r>
      <w:r w:rsidR="0050713C">
        <w:t>r</w:t>
      </w:r>
      <w:r w:rsidRPr="00E62E18">
        <w:t xml:space="preserve">ehabilitation </w:t>
      </w:r>
      <w:r w:rsidR="0050713C">
        <w:t>s</w:t>
      </w:r>
      <w:r w:rsidRPr="00E62E18">
        <w:t>ervices across Victoria brainstormed new and novel ways to keep working together while implementing the physical distancing requirements during the first wave of the pandemic, from March to June 2020.</w:t>
      </w:r>
    </w:p>
    <w:p w14:paraId="4EB6BA61" w14:textId="7FC05D1F" w:rsidR="007F5FA5" w:rsidRPr="00E62E18" w:rsidRDefault="007F5FA5" w:rsidP="007F5FA5">
      <w:pPr>
        <w:pStyle w:val="DHHSbody"/>
      </w:pPr>
      <w:r w:rsidRPr="00E62E18">
        <w:t>Service providers quickly adapted their individual and group</w:t>
      </w:r>
      <w:r w:rsidR="0050713C">
        <w:t>-</w:t>
      </w:r>
      <w:r w:rsidRPr="00E62E18">
        <w:t>based programs to enable them to be provided through telehealth, online or videoconferencing options. This ensured service providers remained connected to the residents and were then able to help residents remain connected with family and friends.</w:t>
      </w:r>
    </w:p>
    <w:p w14:paraId="5318EC76" w14:textId="43618C4B" w:rsidR="007F5FA5" w:rsidRPr="00E62E18" w:rsidRDefault="007F5FA5" w:rsidP="007F5FA5">
      <w:pPr>
        <w:pStyle w:val="DHHSbody"/>
      </w:pPr>
      <w:r w:rsidRPr="00E62E18">
        <w:t>With funding from the department, providers purchased technical equipment and internet capacity to ensure each resident had access to online school, support services and virtual activities. This helped to keep residents connected</w:t>
      </w:r>
      <w:r w:rsidR="0050713C">
        <w:t xml:space="preserve"> and</w:t>
      </w:r>
      <w:r w:rsidRPr="00E62E18">
        <w:t xml:space="preserve"> supported and </w:t>
      </w:r>
      <w:r w:rsidR="0050713C">
        <w:t xml:space="preserve">to </w:t>
      </w:r>
      <w:r w:rsidRPr="00E62E18">
        <w:t>ensure they maintained a daily structure.</w:t>
      </w:r>
    </w:p>
    <w:p w14:paraId="7E3440CE" w14:textId="58BF2877" w:rsidR="007F5FA5" w:rsidRPr="00E62E18" w:rsidRDefault="007F5FA5" w:rsidP="007F5FA5">
      <w:pPr>
        <w:pStyle w:val="DHHSbody"/>
      </w:pPr>
      <w:r w:rsidRPr="00E62E18">
        <w:t>A range of new or adapted programs were offered. These include</w:t>
      </w:r>
      <w:r w:rsidR="0050713C">
        <w:t>d</w:t>
      </w:r>
      <w:r w:rsidRPr="00E62E18">
        <w:t>:</w:t>
      </w:r>
    </w:p>
    <w:p w14:paraId="558BF95E" w14:textId="7BE5B3FC" w:rsidR="00F859DA" w:rsidRDefault="0031629F" w:rsidP="007F5FA5">
      <w:pPr>
        <w:pStyle w:val="DHHSbullet1"/>
      </w:pPr>
      <w:r>
        <w:t>a</w:t>
      </w:r>
      <w:r w:rsidR="007F5FA5" w:rsidRPr="00E62E18">
        <w:t xml:space="preserve"> variety of </w:t>
      </w:r>
      <w:r w:rsidR="0050713C">
        <w:t>h</w:t>
      </w:r>
      <w:r w:rsidR="007F5FA5" w:rsidRPr="00E62E18">
        <w:t xml:space="preserve">ealth </w:t>
      </w:r>
      <w:r w:rsidR="0050713C">
        <w:t>i</w:t>
      </w:r>
      <w:r w:rsidR="007F5FA5" w:rsidRPr="00E62E18">
        <w:t>nformation sessions</w:t>
      </w:r>
      <w:r>
        <w:t>;</w:t>
      </w:r>
      <w:r w:rsidR="007F5FA5" w:rsidRPr="00E62E18">
        <w:t xml:space="preserve"> </w:t>
      </w:r>
      <w:r>
        <w:t>f</w:t>
      </w:r>
      <w:r w:rsidR="007F5FA5" w:rsidRPr="00E62E18">
        <w:t>or example, Eastern Access Community Health (EACH) provided information sessions on building motivation and maintaining routine to tackle amotivation and low mood while restabilising healthy routines during lockdown</w:t>
      </w:r>
    </w:p>
    <w:p w14:paraId="35A72C27" w14:textId="6FBC5188" w:rsidR="007F5FA5" w:rsidRPr="00E62E18" w:rsidRDefault="007F5FA5" w:rsidP="007F5FA5">
      <w:pPr>
        <w:pStyle w:val="DHHSbullet1"/>
      </w:pPr>
      <w:r w:rsidRPr="00E62E18">
        <w:t xml:space="preserve">physical health activities to help young people stay active and </w:t>
      </w:r>
      <w:r w:rsidR="00F859DA">
        <w:t xml:space="preserve">bikes </w:t>
      </w:r>
      <w:r w:rsidRPr="00E62E18">
        <w:t>provided to encourage daily exercise</w:t>
      </w:r>
      <w:r w:rsidR="00F859DA">
        <w:t xml:space="preserve"> (at EACH)</w:t>
      </w:r>
    </w:p>
    <w:p w14:paraId="69559DD2" w14:textId="3AFC26B3" w:rsidR="007F5FA5" w:rsidRPr="00E62E18" w:rsidRDefault="007F5FA5" w:rsidP="007F5FA5">
      <w:pPr>
        <w:pStyle w:val="DHHSbullet1"/>
      </w:pPr>
      <w:r w:rsidRPr="00E62E18">
        <w:t>‘Zoom’</w:t>
      </w:r>
      <w:r w:rsidR="00F859DA">
        <w:t>-</w:t>
      </w:r>
      <w:r w:rsidRPr="00E62E18">
        <w:t xml:space="preserve">based programs to keep young people engaged and connected </w:t>
      </w:r>
      <w:r w:rsidR="00F859DA">
        <w:t xml:space="preserve">such as </w:t>
      </w:r>
      <w:r w:rsidRPr="00E62E18">
        <w:t>karaoke, virtual music groups, trivia nights, drawing competitions, movie nights, virtual cooking classes, newsletters and other creative activities</w:t>
      </w:r>
    </w:p>
    <w:p w14:paraId="14947056" w14:textId="44FDF234" w:rsidR="007F5FA5" w:rsidRPr="00E62E18" w:rsidRDefault="0031629F" w:rsidP="007F5FA5">
      <w:pPr>
        <w:pStyle w:val="DHHSbullet1"/>
      </w:pPr>
      <w:r>
        <w:t>s</w:t>
      </w:r>
      <w:r w:rsidR="007F5FA5" w:rsidRPr="00E62E18">
        <w:t>elf-care groups to build resilience</w:t>
      </w:r>
      <w:r w:rsidR="00F859DA">
        <w:t>,</w:t>
      </w:r>
      <w:r w:rsidR="007F5FA5" w:rsidRPr="00E62E18">
        <w:t xml:space="preserve"> with some providers providing self-care packs with resources and activities to facilitate art</w:t>
      </w:r>
      <w:r w:rsidR="00F859DA">
        <w:t>-</w:t>
      </w:r>
      <w:r w:rsidR="007F5FA5" w:rsidRPr="00E62E18">
        <w:t>based mindfulness, puzzles, books, journaling and mood diaries</w:t>
      </w:r>
    </w:p>
    <w:p w14:paraId="1DA64E10" w14:textId="2AEC42CF" w:rsidR="007F5FA5" w:rsidRPr="00E62E18" w:rsidRDefault="0031629F" w:rsidP="007F5FA5">
      <w:pPr>
        <w:pStyle w:val="DHHSbullet1"/>
      </w:pPr>
      <w:r>
        <w:t>v</w:t>
      </w:r>
      <w:r w:rsidR="007F5FA5" w:rsidRPr="00E62E18">
        <w:t xml:space="preserve">irtual tours to ‘show’ prospective new residents </w:t>
      </w:r>
      <w:r w:rsidR="00F859DA">
        <w:t>the facilities</w:t>
      </w:r>
      <w:r w:rsidR="007F5FA5" w:rsidRPr="00E62E18">
        <w:t xml:space="preserve"> and </w:t>
      </w:r>
      <w:r w:rsidR="00F859DA">
        <w:t xml:space="preserve">to </w:t>
      </w:r>
      <w:r w:rsidR="007F5FA5" w:rsidRPr="00E62E18">
        <w:t>complete phone appointments for pre-entry. This had the added advantage of engaging young people who may have been otherwise anxious to complete the tour in person.</w:t>
      </w:r>
    </w:p>
    <w:tbl>
      <w:tblPr>
        <w:tblStyle w:val="TableGrid"/>
        <w:tblW w:w="0" w:type="auto"/>
        <w:shd w:val="clear" w:color="auto" w:fill="DEEAF6" w:themeFill="accent5" w:themeFillTint="33"/>
        <w:tblLook w:val="04A0" w:firstRow="1" w:lastRow="0" w:firstColumn="1" w:lastColumn="0" w:noHBand="0" w:noVBand="1"/>
      </w:tblPr>
      <w:tblGrid>
        <w:gridCol w:w="9288"/>
      </w:tblGrid>
      <w:tr w:rsidR="004558DE" w14:paraId="1E9EEFB1" w14:textId="77777777" w:rsidTr="000D01E9">
        <w:tc>
          <w:tcPr>
            <w:tcW w:w="9288" w:type="dxa"/>
            <w:shd w:val="clear" w:color="auto" w:fill="auto"/>
          </w:tcPr>
          <w:p w14:paraId="0F0390B6" w14:textId="7C1C8024" w:rsidR="0031629F" w:rsidRPr="00410442" w:rsidRDefault="0031629F" w:rsidP="006F3DF8">
            <w:pPr>
              <w:pStyle w:val="DHHStabletext"/>
            </w:pPr>
            <w:r>
              <w:t>‘</w:t>
            </w:r>
            <w:r w:rsidR="004558DE" w:rsidRPr="00A644EA">
              <w:t xml:space="preserve">We have been able to successfully respond to the needs of a young person </w:t>
            </w:r>
            <w:r w:rsidR="00FD2C6D">
              <w:t xml:space="preserve">at high risk </w:t>
            </w:r>
            <w:r w:rsidR="004558DE" w:rsidRPr="00A644EA">
              <w:t xml:space="preserve">by developing a strong care team around them. </w:t>
            </w:r>
            <w:r w:rsidR="00C319E0" w:rsidRPr="00C319E0">
              <w:t>Although many of the services this young person needed were only being offered remotely</w:t>
            </w:r>
            <w:r w:rsidR="004558DE" w:rsidRPr="00A644EA">
              <w:t xml:space="preserve">, it was uplifting to see services jump into action, and put the client first, despite the </w:t>
            </w:r>
            <w:r w:rsidR="00E51317" w:rsidRPr="00A644EA">
              <w:t>COVID-19</w:t>
            </w:r>
            <w:r w:rsidR="004558DE" w:rsidRPr="00A644EA">
              <w:t xml:space="preserve"> restrictions they faced</w:t>
            </w:r>
            <w:r w:rsidR="00F859DA">
              <w:t>.</w:t>
            </w:r>
            <w:r>
              <w:t>’</w:t>
            </w:r>
            <w:r w:rsidR="00B96DA0" w:rsidRPr="00410442">
              <w:t xml:space="preserve"> </w:t>
            </w:r>
          </w:p>
          <w:p w14:paraId="2124DF80" w14:textId="447D1E63" w:rsidR="004558DE" w:rsidRPr="004558DE" w:rsidRDefault="00B96DA0" w:rsidP="006F3DF8">
            <w:pPr>
              <w:pStyle w:val="DHHStabletext"/>
              <w:rPr>
                <w:lang w:val="en-US"/>
              </w:rPr>
            </w:pPr>
            <w:r>
              <w:t xml:space="preserve">– </w:t>
            </w:r>
            <w:r w:rsidR="004558DE" w:rsidRPr="00E62E18">
              <w:rPr>
                <w:b/>
              </w:rPr>
              <w:t>cohealth support worker</w:t>
            </w:r>
          </w:p>
        </w:tc>
      </w:tr>
    </w:tbl>
    <w:p w14:paraId="5858DE11" w14:textId="77777777" w:rsidR="00F907D1" w:rsidRPr="004E2EFB" w:rsidRDefault="00F907D1" w:rsidP="00F907D1">
      <w:pPr>
        <w:pStyle w:val="Heading4"/>
      </w:pPr>
      <w:r w:rsidRPr="004E2EFB">
        <w:lastRenderedPageBreak/>
        <w:t>Mental Health Tribunal</w:t>
      </w:r>
      <w:r>
        <w:t xml:space="preserve"> response</w:t>
      </w:r>
    </w:p>
    <w:p w14:paraId="644C07AB" w14:textId="7F5E74A0" w:rsidR="00F907D1" w:rsidRPr="004E2EFB" w:rsidRDefault="008723B8" w:rsidP="00F907D1">
      <w:pPr>
        <w:pStyle w:val="DHHSbody"/>
      </w:pPr>
      <w:r>
        <w:t>As a result of the</w:t>
      </w:r>
      <w:r w:rsidR="00F907D1" w:rsidRPr="004E2EFB">
        <w:t xml:space="preserve"> </w:t>
      </w:r>
      <w:r w:rsidR="00E51317">
        <w:t>coronavirus (COVID-19)</w:t>
      </w:r>
      <w:r w:rsidR="00F907D1" w:rsidRPr="004E2EFB">
        <w:t xml:space="preserve">, the Mental Health Tribunal </w:t>
      </w:r>
      <w:r>
        <w:t>was not able to conduct</w:t>
      </w:r>
      <w:r w:rsidRPr="004E2EFB">
        <w:t xml:space="preserve"> </w:t>
      </w:r>
      <w:r w:rsidR="00F907D1" w:rsidRPr="004E2EFB">
        <w:t>in</w:t>
      </w:r>
      <w:r w:rsidR="00F907D1">
        <w:t>-</w:t>
      </w:r>
      <w:r w:rsidR="00F907D1" w:rsidRPr="004E2EFB">
        <w:t xml:space="preserve">person hearings </w:t>
      </w:r>
      <w:r>
        <w:t xml:space="preserve">safely </w:t>
      </w:r>
      <w:r w:rsidR="00F907D1" w:rsidRPr="004E2EFB">
        <w:t xml:space="preserve">at health services. From 23 March 2020, most </w:t>
      </w:r>
      <w:r w:rsidR="00F859DA">
        <w:t>t</w:t>
      </w:r>
      <w:r w:rsidR="00F907D1" w:rsidRPr="004E2EFB">
        <w:t xml:space="preserve">ribunal hearings were conducted by teleconference, with a small number conducted by videoconference for those patients for whom telephone hearings </w:t>
      </w:r>
      <w:r>
        <w:t>were</w:t>
      </w:r>
      <w:r w:rsidRPr="004E2EFB">
        <w:t xml:space="preserve"> </w:t>
      </w:r>
      <w:r w:rsidR="00F907D1" w:rsidRPr="004E2EFB">
        <w:t>unsuitable. This shift in work practice necessitated that all hearing materials be provided electronically.</w:t>
      </w:r>
    </w:p>
    <w:p w14:paraId="53CF0EA0" w14:textId="21C91410" w:rsidR="00F907D1" w:rsidRPr="004E2EFB" w:rsidRDefault="00F907D1" w:rsidP="00F907D1">
      <w:pPr>
        <w:pStyle w:val="DHHSbody"/>
      </w:pPr>
      <w:r w:rsidRPr="004E2EFB">
        <w:t xml:space="preserve">The </w:t>
      </w:r>
      <w:r w:rsidR="0031629F">
        <w:t>t</w:t>
      </w:r>
      <w:r w:rsidRPr="004E2EFB">
        <w:t>ribunal’s capacity to conduct hearings was initially reduced by more than 50 per cent. In response</w:t>
      </w:r>
      <w:r w:rsidR="00F859DA">
        <w:t>,</w:t>
      </w:r>
      <w:r w:rsidRPr="004E2EFB">
        <w:t xml:space="preserve"> the </w:t>
      </w:r>
      <w:r w:rsidR="0031629F">
        <w:t>t</w:t>
      </w:r>
      <w:r w:rsidRPr="004E2EFB">
        <w:t>ribunal developed a recovery strategy in three phases:</w:t>
      </w:r>
    </w:p>
    <w:p w14:paraId="4970F25B" w14:textId="3A13727E" w:rsidR="00F907D1" w:rsidRPr="004E2EFB" w:rsidRDefault="0031629F" w:rsidP="00F907D1">
      <w:pPr>
        <w:pStyle w:val="DHHSbullet1"/>
        <w:rPr>
          <w:lang w:eastAsia="en-AU"/>
        </w:rPr>
      </w:pPr>
      <w:r>
        <w:rPr>
          <w:lang w:eastAsia="en-AU"/>
        </w:rPr>
        <w:t>c</w:t>
      </w:r>
      <w:r w:rsidR="00F907D1" w:rsidRPr="004E2EFB">
        <w:rPr>
          <w:lang w:eastAsia="en-AU"/>
        </w:rPr>
        <w:t xml:space="preserve">onduct all required hearings by teleconference (phase 1) </w:t>
      </w:r>
    </w:p>
    <w:p w14:paraId="0D0E6BEC" w14:textId="171C2CF5" w:rsidR="00F907D1" w:rsidRPr="004E2EFB" w:rsidRDefault="0031629F" w:rsidP="00F907D1">
      <w:pPr>
        <w:pStyle w:val="DHHSbullet1"/>
        <w:rPr>
          <w:lang w:eastAsia="en-AU"/>
        </w:rPr>
      </w:pPr>
      <w:r>
        <w:rPr>
          <w:lang w:eastAsia="en-AU"/>
        </w:rPr>
        <w:t>i</w:t>
      </w:r>
      <w:r w:rsidR="00F907D1" w:rsidRPr="004E2EFB">
        <w:rPr>
          <w:lang w:eastAsia="en-AU"/>
        </w:rPr>
        <w:t>mplement electronic processes to enable participants to attend from remote settings (phase 2)</w:t>
      </w:r>
    </w:p>
    <w:p w14:paraId="7D4EEE8F" w14:textId="1ACA876E" w:rsidR="00F907D1" w:rsidRPr="004E2EFB" w:rsidRDefault="0031629F" w:rsidP="00F907D1">
      <w:pPr>
        <w:pStyle w:val="DHHSbullet1"/>
        <w:rPr>
          <w:lang w:eastAsia="en-AU"/>
        </w:rPr>
      </w:pPr>
      <w:r>
        <w:rPr>
          <w:lang w:eastAsia="en-AU"/>
        </w:rPr>
        <w:t>a</w:t>
      </w:r>
      <w:r w:rsidR="00F907D1" w:rsidRPr="004E2EFB">
        <w:rPr>
          <w:lang w:eastAsia="en-AU"/>
        </w:rPr>
        <w:t>dopt a new videoconference platform to enable fully remote video hearings (phase 3)</w:t>
      </w:r>
      <w:r>
        <w:rPr>
          <w:lang w:eastAsia="en-AU"/>
        </w:rPr>
        <w:t>.</w:t>
      </w:r>
    </w:p>
    <w:p w14:paraId="4C63EBAD" w14:textId="5B844C4A" w:rsidR="00F907D1" w:rsidRPr="004E2EFB" w:rsidRDefault="00F907D1" w:rsidP="000D6E03">
      <w:pPr>
        <w:pStyle w:val="DHHSbodyafterbullets"/>
      </w:pPr>
      <w:r w:rsidRPr="004E2EFB">
        <w:t xml:space="preserve">Within five weeks the </w:t>
      </w:r>
      <w:r w:rsidR="0031629F">
        <w:t>t</w:t>
      </w:r>
      <w:r w:rsidRPr="004E2EFB">
        <w:t xml:space="preserve">ribunal re-established its capacity to conduct all required hearings. During this period, </w:t>
      </w:r>
      <w:r w:rsidR="00BB7E81">
        <w:t xml:space="preserve">the tribunal </w:t>
      </w:r>
      <w:r w:rsidRPr="004E2EFB">
        <w:t>limit</w:t>
      </w:r>
      <w:r w:rsidR="00BB7E81">
        <w:t>ed</w:t>
      </w:r>
      <w:r w:rsidRPr="004E2EFB">
        <w:t xml:space="preserve"> the number of missed hearings, </w:t>
      </w:r>
      <w:r>
        <w:t>prioritising</w:t>
      </w:r>
      <w:r w:rsidRPr="004E2EFB">
        <w:t xml:space="preserve"> applications for electroconvulsive treatment and for treatment orders for patients who had not had a </w:t>
      </w:r>
      <w:r w:rsidR="0031629F">
        <w:t>t</w:t>
      </w:r>
      <w:r w:rsidRPr="004E2EFB">
        <w:t xml:space="preserve">ribunal hearing during their current episode of treatment. </w:t>
      </w:r>
    </w:p>
    <w:p w14:paraId="30553832" w14:textId="7F22A236" w:rsidR="00F907D1" w:rsidRPr="004E2EFB" w:rsidRDefault="00F907D1" w:rsidP="00F907D1">
      <w:pPr>
        <w:pStyle w:val="DHHSbody"/>
      </w:pPr>
      <w:r w:rsidRPr="004E2EFB">
        <w:t>The shift to electronic processes was progressed quickly</w:t>
      </w:r>
      <w:r>
        <w:t>,</w:t>
      </w:r>
      <w:r w:rsidRPr="004E2EFB">
        <w:t xml:space="preserve"> including implementing e-processes for distributi</w:t>
      </w:r>
      <w:r w:rsidR="00BB7E81">
        <w:t>ng</w:t>
      </w:r>
      <w:r w:rsidRPr="004E2EFB">
        <w:t xml:space="preserve"> materials prior to hearings, designing e-processes </w:t>
      </w:r>
      <w:r w:rsidR="00BB7E81">
        <w:t xml:space="preserve">to finalise </w:t>
      </w:r>
      <w:r w:rsidRPr="004E2EFB">
        <w:t xml:space="preserve">determinations and </w:t>
      </w:r>
      <w:r w:rsidR="00BB7E81">
        <w:t>o</w:t>
      </w:r>
      <w:r w:rsidRPr="004E2EFB">
        <w:t>rders, and completing e-training for all registry staff and members to access e-materials.</w:t>
      </w:r>
    </w:p>
    <w:p w14:paraId="5059A2AA" w14:textId="52D1B0A4" w:rsidR="00F907D1" w:rsidRPr="004E2EFB" w:rsidRDefault="00F907D1" w:rsidP="00F907D1">
      <w:pPr>
        <w:pStyle w:val="DHHSbody"/>
      </w:pPr>
      <w:r w:rsidRPr="004E2EFB">
        <w:t>As of June</w:t>
      </w:r>
      <w:r>
        <w:t xml:space="preserve"> 2020</w:t>
      </w:r>
      <w:r w:rsidRPr="004E2EFB">
        <w:t xml:space="preserve">, the </w:t>
      </w:r>
      <w:r w:rsidR="00BB7E81">
        <w:t>t</w:t>
      </w:r>
      <w:r w:rsidRPr="004E2EFB">
        <w:t xml:space="preserve">ribunal has </w:t>
      </w:r>
      <w:r w:rsidR="00BB7E81">
        <w:t xml:space="preserve">begun </w:t>
      </w:r>
      <w:r w:rsidRPr="004E2EFB">
        <w:t>work on phase 3 of the recovery strategy, with preliminary work to include:</w:t>
      </w:r>
    </w:p>
    <w:p w14:paraId="19C23F0F" w14:textId="5B96602D" w:rsidR="00F907D1" w:rsidRPr="004E2EFB" w:rsidRDefault="00F907D1" w:rsidP="00F907D1">
      <w:pPr>
        <w:pStyle w:val="DHHSbullet1"/>
        <w:rPr>
          <w:lang w:eastAsia="en-AU"/>
        </w:rPr>
      </w:pPr>
      <w:r w:rsidRPr="004E2EFB">
        <w:rPr>
          <w:lang w:eastAsia="en-AU"/>
        </w:rPr>
        <w:t xml:space="preserve">identifying suitable platforms for conducting </w:t>
      </w:r>
      <w:r w:rsidR="00BB7E81" w:rsidRPr="004E2EFB">
        <w:t xml:space="preserve">videoconference </w:t>
      </w:r>
      <w:r w:rsidRPr="004E2EFB">
        <w:rPr>
          <w:lang w:eastAsia="en-AU"/>
        </w:rPr>
        <w:t>hearings</w:t>
      </w:r>
    </w:p>
    <w:p w14:paraId="4BF9DA1F" w14:textId="54D815EB" w:rsidR="00F907D1" w:rsidRPr="004E2EFB" w:rsidRDefault="00F907D1" w:rsidP="00F907D1">
      <w:pPr>
        <w:pStyle w:val="DHHSbullet1"/>
        <w:rPr>
          <w:lang w:eastAsia="en-AU"/>
        </w:rPr>
      </w:pPr>
      <w:r w:rsidRPr="004E2EFB">
        <w:rPr>
          <w:lang w:eastAsia="en-AU"/>
        </w:rPr>
        <w:t xml:space="preserve">surveying health services </w:t>
      </w:r>
      <w:r w:rsidR="00BB7E81">
        <w:rPr>
          <w:lang w:eastAsia="en-AU"/>
        </w:rPr>
        <w:t>about</w:t>
      </w:r>
      <w:r w:rsidR="00BB7E81" w:rsidRPr="004E2EFB">
        <w:rPr>
          <w:lang w:eastAsia="en-AU"/>
        </w:rPr>
        <w:t xml:space="preserve"> </w:t>
      </w:r>
      <w:r w:rsidRPr="004E2EFB">
        <w:rPr>
          <w:lang w:eastAsia="en-AU"/>
        </w:rPr>
        <w:t xml:space="preserve">their IT capabilities to support and participate in </w:t>
      </w:r>
      <w:r w:rsidR="00BB7E81" w:rsidRPr="004E2EFB">
        <w:t xml:space="preserve">videoconference </w:t>
      </w:r>
      <w:r w:rsidRPr="004E2EFB">
        <w:rPr>
          <w:lang w:eastAsia="en-AU"/>
        </w:rPr>
        <w:t>hearings</w:t>
      </w:r>
    </w:p>
    <w:p w14:paraId="4B31AF87" w14:textId="65AD175B" w:rsidR="00F907D1" w:rsidRPr="004E2EFB" w:rsidRDefault="00F907D1" w:rsidP="00CE58AB">
      <w:pPr>
        <w:pStyle w:val="DHHSbullet1"/>
        <w:rPr>
          <w:b/>
          <w:bCs/>
        </w:rPr>
      </w:pPr>
      <w:r w:rsidRPr="004E2EFB">
        <w:rPr>
          <w:lang w:eastAsia="en-AU"/>
        </w:rPr>
        <w:t xml:space="preserve">exploring methods of supporting </w:t>
      </w:r>
      <w:r w:rsidR="008723B8">
        <w:rPr>
          <w:lang w:eastAsia="en-AU"/>
        </w:rPr>
        <w:t>consumers</w:t>
      </w:r>
      <w:r w:rsidR="008723B8" w:rsidRPr="004E2EFB">
        <w:rPr>
          <w:lang w:eastAsia="en-AU"/>
        </w:rPr>
        <w:t xml:space="preserve"> </w:t>
      </w:r>
      <w:r w:rsidRPr="004E2EFB">
        <w:rPr>
          <w:lang w:eastAsia="en-AU"/>
        </w:rPr>
        <w:t xml:space="preserve">and their support people to participate in </w:t>
      </w:r>
      <w:r w:rsidR="00BB7E81" w:rsidRPr="004E2EFB">
        <w:t xml:space="preserve">videoconference </w:t>
      </w:r>
      <w:r w:rsidRPr="004E2EFB">
        <w:rPr>
          <w:lang w:eastAsia="en-AU"/>
        </w:rPr>
        <w:t>hearings.</w:t>
      </w:r>
    </w:p>
    <w:p w14:paraId="4C27A6D5" w14:textId="444E69D9" w:rsidR="00F907D1" w:rsidRPr="00AA1A64" w:rsidRDefault="00F907D1" w:rsidP="00AA1A64">
      <w:pPr>
        <w:pStyle w:val="Heading3"/>
        <w:rPr>
          <w:rStyle w:val="normaltextrun"/>
        </w:rPr>
      </w:pPr>
      <w:r w:rsidRPr="00AA1A64">
        <w:rPr>
          <w:rStyle w:val="normaltextrun"/>
        </w:rPr>
        <w:t xml:space="preserve">Workforce support and wellbeing during the </w:t>
      </w:r>
      <w:r w:rsidR="00E51317">
        <w:rPr>
          <w:rStyle w:val="normaltextrun"/>
        </w:rPr>
        <w:t>coronavirus (COVID-19)</w:t>
      </w:r>
      <w:r w:rsidRPr="00AA1A64">
        <w:rPr>
          <w:rStyle w:val="normaltextrun"/>
        </w:rPr>
        <w:t xml:space="preserve"> pandemic</w:t>
      </w:r>
    </w:p>
    <w:p w14:paraId="28381C96" w14:textId="6A28177C" w:rsidR="00F907D1" w:rsidRPr="005F2945" w:rsidRDefault="00F907D1" w:rsidP="00F907D1">
      <w:pPr>
        <w:pStyle w:val="Heading4"/>
        <w:rPr>
          <w:color w:val="FF0000"/>
        </w:rPr>
      </w:pPr>
      <w:r w:rsidRPr="005F2945">
        <w:t>Workforce surge</w:t>
      </w:r>
    </w:p>
    <w:p w14:paraId="0BAD6CDA" w14:textId="745CA497" w:rsidR="00F907D1" w:rsidRPr="00F32519" w:rsidRDefault="00F907D1" w:rsidP="00F907D1">
      <w:pPr>
        <w:pStyle w:val="DHHSbody"/>
      </w:pPr>
      <w:r>
        <w:t xml:space="preserve">During the </w:t>
      </w:r>
      <w:r w:rsidR="00E51317">
        <w:t>coronavirus (COVID-19)</w:t>
      </w:r>
      <w:r>
        <w:t xml:space="preserve"> pandemic the department provided support and guidance to mental health services to ensure continuity and delivery of essential services</w:t>
      </w:r>
      <w:r w:rsidR="008638EB">
        <w:t xml:space="preserve"> and</w:t>
      </w:r>
      <w:r w:rsidR="008638EB" w:rsidRPr="008638EB">
        <w:t xml:space="preserve"> </w:t>
      </w:r>
      <w:r w:rsidR="005B3E75">
        <w:t xml:space="preserve">to </w:t>
      </w:r>
      <w:r w:rsidR="008638EB">
        <w:t>enable workforce supply</w:t>
      </w:r>
      <w:r>
        <w:t xml:space="preserve">. </w:t>
      </w:r>
    </w:p>
    <w:p w14:paraId="432E6A37" w14:textId="3C65FA5D" w:rsidR="008638EB" w:rsidRPr="00F32519" w:rsidRDefault="008638EB" w:rsidP="008638EB">
      <w:pPr>
        <w:pStyle w:val="DHHSbody"/>
      </w:pPr>
      <w:r w:rsidRPr="00F32519">
        <w:t xml:space="preserve">The </w:t>
      </w:r>
      <w:r>
        <w:t>g</w:t>
      </w:r>
      <w:r w:rsidRPr="00F32519">
        <w:t>uidance</w:t>
      </w:r>
      <w:r>
        <w:t>, including a new f</w:t>
      </w:r>
      <w:r w:rsidRPr="00F32519">
        <w:t xml:space="preserve">ramework for mental health care during </w:t>
      </w:r>
      <w:r w:rsidR="00E51317">
        <w:t>coronavirus (COVID-19)</w:t>
      </w:r>
      <w:r>
        <w:t>,</w:t>
      </w:r>
      <w:r w:rsidRPr="00F32519">
        <w:t xml:space="preserve"> outlined the changes and planning required by public clinical mental health services to minimise </w:t>
      </w:r>
      <w:r w:rsidR="00453176" w:rsidRPr="00F32519">
        <w:t xml:space="preserve">infection </w:t>
      </w:r>
      <w:r w:rsidRPr="00F32519">
        <w:t>risk for</w:t>
      </w:r>
      <w:r>
        <w:t xml:space="preserve"> staff, </w:t>
      </w:r>
      <w:r w:rsidRPr="00F32519">
        <w:t>consumers</w:t>
      </w:r>
      <w:r>
        <w:t xml:space="preserve"> and </w:t>
      </w:r>
      <w:r w:rsidRPr="00F32519">
        <w:t xml:space="preserve">families and </w:t>
      </w:r>
      <w:r w:rsidR="00453176">
        <w:t xml:space="preserve">to </w:t>
      </w:r>
      <w:r w:rsidRPr="00F32519">
        <w:t xml:space="preserve">continue safe mental health service delivery. Specific guidance was provided for </w:t>
      </w:r>
      <w:r w:rsidR="00FB7DC4">
        <w:t>inpatient</w:t>
      </w:r>
      <w:r w:rsidRPr="00F32519">
        <w:t xml:space="preserve"> settings. </w:t>
      </w:r>
    </w:p>
    <w:p w14:paraId="66ADA1FC" w14:textId="3C88405E" w:rsidR="008638EB" w:rsidRDefault="00FB7DC4" w:rsidP="008638EB">
      <w:pPr>
        <w:pStyle w:val="DHHSbody"/>
      </w:pPr>
      <w:r>
        <w:t>Guidance provided in t</w:t>
      </w:r>
      <w:r w:rsidR="008638EB" w:rsidRPr="00F32519">
        <w:t xml:space="preserve">he </w:t>
      </w:r>
      <w:r w:rsidRPr="00FB7DC4">
        <w:rPr>
          <w:i/>
          <w:iCs/>
        </w:rPr>
        <w:t>I</w:t>
      </w:r>
      <w:r w:rsidR="008638EB" w:rsidRPr="00FB7DC4">
        <w:rPr>
          <w:i/>
          <w:iCs/>
        </w:rPr>
        <w:t>npatient consumer pathway</w:t>
      </w:r>
      <w:r w:rsidRPr="00FB7DC4">
        <w:rPr>
          <w:i/>
          <w:iCs/>
        </w:rPr>
        <w:t xml:space="preserve"> –</w:t>
      </w:r>
      <w:r w:rsidR="00B96DA0">
        <w:t xml:space="preserve"> </w:t>
      </w:r>
      <w:r w:rsidR="008638EB" w:rsidRPr="00CE58AB">
        <w:rPr>
          <w:i/>
          <w:iCs/>
        </w:rPr>
        <w:t xml:space="preserve">Mental </w:t>
      </w:r>
      <w:r w:rsidR="00453176" w:rsidRPr="00CE58AB">
        <w:rPr>
          <w:i/>
          <w:iCs/>
        </w:rPr>
        <w:t xml:space="preserve">health care coronavirus </w:t>
      </w:r>
      <w:r w:rsidR="00E51317" w:rsidRPr="00CE58AB">
        <w:rPr>
          <w:i/>
          <w:iCs/>
        </w:rPr>
        <w:t>(COVID-19)</w:t>
      </w:r>
      <w:r w:rsidR="008638EB" w:rsidRPr="00CE58AB">
        <w:rPr>
          <w:i/>
          <w:iCs/>
        </w:rPr>
        <w:t xml:space="preserve"> response</w:t>
      </w:r>
      <w:r w:rsidR="00453176">
        <w:t xml:space="preserve">, </w:t>
      </w:r>
      <w:r w:rsidR="008638EB" w:rsidRPr="00F32519">
        <w:t>supported service managers, clinicians, consumers and carers with tools and resources to continue safe delivery of therapeutic care, engagement and activities that promote supportive, recovery-focused care. The companion document</w:t>
      </w:r>
      <w:r w:rsidR="008638EB">
        <w:t>,</w:t>
      </w:r>
      <w:r w:rsidR="008638EB" w:rsidRPr="00F32519">
        <w:t xml:space="preserve"> </w:t>
      </w:r>
      <w:r w:rsidR="008638EB" w:rsidRPr="00CE58AB">
        <w:rPr>
          <w:i/>
          <w:iCs/>
        </w:rPr>
        <w:t xml:space="preserve">Intensive </w:t>
      </w:r>
      <w:r w:rsidR="0027149E">
        <w:rPr>
          <w:i/>
          <w:iCs/>
        </w:rPr>
        <w:t>m</w:t>
      </w:r>
      <w:r w:rsidR="008638EB" w:rsidRPr="00CE58AB">
        <w:rPr>
          <w:i/>
          <w:iCs/>
        </w:rPr>
        <w:t xml:space="preserve">ental </w:t>
      </w:r>
      <w:r w:rsidR="0027149E">
        <w:rPr>
          <w:i/>
          <w:iCs/>
        </w:rPr>
        <w:t>h</w:t>
      </w:r>
      <w:r w:rsidR="008638EB" w:rsidRPr="00CE58AB">
        <w:rPr>
          <w:i/>
          <w:iCs/>
        </w:rPr>
        <w:t xml:space="preserve">ealth </w:t>
      </w:r>
      <w:r w:rsidR="0027149E">
        <w:rPr>
          <w:i/>
          <w:iCs/>
        </w:rPr>
        <w:t>c</w:t>
      </w:r>
      <w:r w:rsidR="008638EB" w:rsidRPr="00CE58AB">
        <w:rPr>
          <w:i/>
          <w:iCs/>
        </w:rPr>
        <w:t xml:space="preserve">ommunity </w:t>
      </w:r>
      <w:r w:rsidR="0027149E">
        <w:rPr>
          <w:i/>
          <w:iCs/>
        </w:rPr>
        <w:t>c</w:t>
      </w:r>
      <w:r w:rsidR="008638EB" w:rsidRPr="00CE58AB">
        <w:rPr>
          <w:i/>
          <w:iCs/>
        </w:rPr>
        <w:t>are</w:t>
      </w:r>
      <w:r w:rsidR="008638EB">
        <w:t>,</w:t>
      </w:r>
      <w:r w:rsidR="008638EB" w:rsidRPr="00F32519">
        <w:t xml:space="preserve"> provided guidance on models for delivering acute mental health care in the community.</w:t>
      </w:r>
    </w:p>
    <w:p w14:paraId="1735B02E" w14:textId="21454398" w:rsidR="00F907D1" w:rsidRDefault="00F907D1" w:rsidP="00F907D1">
      <w:pPr>
        <w:pStyle w:val="DHHSbody"/>
      </w:pPr>
      <w:r>
        <w:t xml:space="preserve">To support increased demand for </w:t>
      </w:r>
      <w:r w:rsidR="0027149E">
        <w:t>staff, the</w:t>
      </w:r>
      <w:r>
        <w:t xml:space="preserve"> </w:t>
      </w:r>
      <w:r>
        <w:rPr>
          <w:i/>
          <w:iCs/>
        </w:rPr>
        <w:t>Working for Victoria</w:t>
      </w:r>
      <w:r w:rsidR="00B96DA0">
        <w:rPr>
          <w:i/>
          <w:iCs/>
        </w:rPr>
        <w:t xml:space="preserve"> – </w:t>
      </w:r>
      <w:r>
        <w:rPr>
          <w:i/>
          <w:iCs/>
        </w:rPr>
        <w:t>Health portal</w:t>
      </w:r>
      <w:r>
        <w:t xml:space="preserve"> was established for health and mental health services. The portal, managed by Torrens Health, linked mental health services to central departmental processes for accessing additional short-term surge staff to ensure continuity of essential bed-based services by meeting any staff shortfalls. </w:t>
      </w:r>
      <w:r w:rsidR="0027149E">
        <w:t xml:space="preserve">More than </w:t>
      </w:r>
      <w:r>
        <w:t>65,000 people with qualifications</w:t>
      </w:r>
      <w:r w:rsidRPr="00F32519">
        <w:t xml:space="preserve"> </w:t>
      </w:r>
      <w:r w:rsidRPr="00F32519">
        <w:lastRenderedPageBreak/>
        <w:t xml:space="preserve">and </w:t>
      </w:r>
      <w:r>
        <w:t xml:space="preserve">experience in health and mental health services registered via the portal to offer assistance and to support surge workforce needs across both </w:t>
      </w:r>
      <w:r w:rsidR="0027149E">
        <w:t xml:space="preserve">general </w:t>
      </w:r>
      <w:r>
        <w:t>health and mental health services.</w:t>
      </w:r>
    </w:p>
    <w:p w14:paraId="69618B27" w14:textId="77777777" w:rsidR="00F907D1" w:rsidRPr="00D90646" w:rsidRDefault="00F907D1" w:rsidP="00F907D1">
      <w:pPr>
        <w:pStyle w:val="Heading4"/>
      </w:pPr>
      <w:r>
        <w:t>Workforce wellbeing grants program</w:t>
      </w:r>
    </w:p>
    <w:p w14:paraId="5E245303" w14:textId="3E28D749" w:rsidR="00F907D1" w:rsidRDefault="00F907D1" w:rsidP="00F907D1">
      <w:pPr>
        <w:pStyle w:val="DHHSbody"/>
      </w:pPr>
      <w:r w:rsidRPr="00BB586F">
        <w:t xml:space="preserve">The department funded a workforce wellbeing grants program for workers in state-funded mental health and </w:t>
      </w:r>
      <w:r w:rsidR="0031629F">
        <w:t>a</w:t>
      </w:r>
      <w:r>
        <w:t xml:space="preserve">lcohol and </w:t>
      </w:r>
      <w:r w:rsidR="0031629F">
        <w:t>o</w:t>
      </w:r>
      <w:r>
        <w:t xml:space="preserve">ther </w:t>
      </w:r>
      <w:r w:rsidR="0031629F">
        <w:t>d</w:t>
      </w:r>
      <w:r>
        <w:t>rug</w:t>
      </w:r>
      <w:r w:rsidRPr="00BB586F">
        <w:t xml:space="preserve"> services</w:t>
      </w:r>
      <w:r>
        <w:t>.</w:t>
      </w:r>
      <w:r w:rsidRPr="00BB586F">
        <w:t xml:space="preserve"> The Mental Health and AOD Workforce Wellbeing Grants recognise the impact of </w:t>
      </w:r>
      <w:r w:rsidR="00E51317">
        <w:t>coronavirus (COVID-19)</w:t>
      </w:r>
      <w:r w:rsidRPr="00BB586F">
        <w:t xml:space="preserve"> on frontline workers in Victoria’s mental health and drug and alcohol services and acknowledge the important work being delivered in difficult and changing circumstances. </w:t>
      </w:r>
      <w:r w:rsidR="0027149E">
        <w:t>More than</w:t>
      </w:r>
      <w:r w:rsidR="0027149E" w:rsidRPr="00BB586F">
        <w:t xml:space="preserve"> </w:t>
      </w:r>
      <w:r w:rsidRPr="00BB586F">
        <w:t>$330,000 was provided to support the grants</w:t>
      </w:r>
      <w:r w:rsidR="0027149E">
        <w:t>,</w:t>
      </w:r>
      <w:r w:rsidRPr="00BB586F">
        <w:t xml:space="preserve"> with 40 projects and activities receiving funding</w:t>
      </w:r>
      <w:r>
        <w:t xml:space="preserve">. </w:t>
      </w:r>
    </w:p>
    <w:p w14:paraId="329194AC" w14:textId="782BF8C0" w:rsidR="00F907D1" w:rsidRPr="00285FE1" w:rsidRDefault="00F907D1" w:rsidP="00F907D1">
      <w:pPr>
        <w:pStyle w:val="DHHSbody"/>
      </w:pPr>
      <w:r>
        <w:t xml:space="preserve">The 40 projects included: </w:t>
      </w:r>
      <w:r w:rsidRPr="00285FE1">
        <w:t>facilitated wellbeing forums</w:t>
      </w:r>
      <w:r w:rsidR="0027149E">
        <w:t>;</w:t>
      </w:r>
      <w:r w:rsidRPr="00285FE1">
        <w:t xml:space="preserve"> self-care, positive culture and resilience workshops</w:t>
      </w:r>
      <w:r w:rsidR="0027149E">
        <w:t>;</w:t>
      </w:r>
      <w:r w:rsidRPr="00285FE1">
        <w:t xml:space="preserve"> reflective practice and mindfulness sessions</w:t>
      </w:r>
      <w:r w:rsidR="0027149E">
        <w:t>;</w:t>
      </w:r>
      <w:r w:rsidRPr="00285FE1">
        <w:t xml:space="preserve"> supervision training and support</w:t>
      </w:r>
      <w:r w:rsidR="0027149E">
        <w:t>;</w:t>
      </w:r>
      <w:r w:rsidRPr="00285FE1">
        <w:t xml:space="preserve"> online peer support</w:t>
      </w:r>
      <w:r w:rsidR="0027149E">
        <w:t>;</w:t>
      </w:r>
      <w:r w:rsidRPr="00285FE1">
        <w:t xml:space="preserve"> and team building activities. Aboriginal health services </w:t>
      </w:r>
      <w:r>
        <w:t xml:space="preserve">were </w:t>
      </w:r>
      <w:r w:rsidRPr="00285FE1">
        <w:t>funded for cultural connection programs and materials, Elder services and Ngangkari Traditional Healing and We-Al-Li Training, a culturally informed trauma</w:t>
      </w:r>
      <w:r w:rsidR="006B3662">
        <w:t>-</w:t>
      </w:r>
      <w:r w:rsidRPr="00285FE1">
        <w:t>integrated healing approach.</w:t>
      </w:r>
    </w:p>
    <w:p w14:paraId="16016A9F" w14:textId="5DFF432F" w:rsidR="00F907D1" w:rsidRPr="00285FE1" w:rsidRDefault="00F907D1" w:rsidP="00F907D1">
      <w:pPr>
        <w:pStyle w:val="DHHSbody"/>
      </w:pPr>
      <w:r>
        <w:t>O</w:t>
      </w:r>
      <w:r w:rsidRPr="00285FE1">
        <w:t>ther workforce wellbeing initiatives includ</w:t>
      </w:r>
      <w:r>
        <w:t>e</w:t>
      </w:r>
      <w:r w:rsidR="006B3662">
        <w:t>d</w:t>
      </w:r>
      <w:r w:rsidRPr="00285FE1">
        <w:t xml:space="preserve"> self-care and wellbeing supports provided by the Australian and New Zealand College of Psychiatrists Victorian Branch Committee in partnership with the Victorian Psychiatry Training Committee for the medical workforce employed or training in public specialist mental health services.</w:t>
      </w:r>
    </w:p>
    <w:p w14:paraId="4F640AF6" w14:textId="321E5DBA" w:rsidR="00A35DFF" w:rsidRDefault="00F907D1" w:rsidP="00F907D1">
      <w:pPr>
        <w:pStyle w:val="DHHSbody"/>
      </w:pPr>
      <w:r w:rsidRPr="00285FE1">
        <w:t xml:space="preserve">These wellbeing supports have enabled the workforces to better care for themselves and consumers during the </w:t>
      </w:r>
      <w:r w:rsidR="00E51317">
        <w:t>coronavirus (COVID-19)</w:t>
      </w:r>
      <w:r w:rsidRPr="00285FE1">
        <w:t xml:space="preserve"> pandemic and recovery period and have complemented other projects led by Safer Care Victoria.</w:t>
      </w:r>
    </w:p>
    <w:p w14:paraId="684CEE2E" w14:textId="280FE724" w:rsidR="00CE40D6" w:rsidRDefault="00CE40D6" w:rsidP="00C00690">
      <w:pPr>
        <w:pStyle w:val="DHHSbody"/>
        <w:rPr>
          <w:rStyle w:val="eop"/>
          <w:highlight w:val="lightGray"/>
        </w:rPr>
      </w:pPr>
      <w:r>
        <w:rPr>
          <w:rStyle w:val="eop"/>
          <w:highlight w:val="lightGray"/>
        </w:rPr>
        <w:br w:type="page"/>
      </w:r>
    </w:p>
    <w:p w14:paraId="55806701" w14:textId="2172234C" w:rsidR="00072C99" w:rsidRDefault="00A10D36" w:rsidP="00C836E6">
      <w:pPr>
        <w:pStyle w:val="Heading1"/>
        <w:numPr>
          <w:ilvl w:val="0"/>
          <w:numId w:val="10"/>
        </w:numPr>
        <w:rPr>
          <w:rStyle w:val="eop"/>
        </w:rPr>
      </w:pPr>
      <w:bookmarkStart w:id="10" w:name="_Toc55379388"/>
      <w:r>
        <w:rPr>
          <w:rStyle w:val="eop"/>
        </w:rPr>
        <w:lastRenderedPageBreak/>
        <w:t>Mental health system review and reform</w:t>
      </w:r>
      <w:bookmarkEnd w:id="10"/>
    </w:p>
    <w:p w14:paraId="506380F5" w14:textId="0E20F4C2" w:rsidR="00780A0F" w:rsidRDefault="00A10D36" w:rsidP="00A10D36">
      <w:pPr>
        <w:pStyle w:val="DHHSbody"/>
        <w:rPr>
          <w:rStyle w:val="normaltextrun"/>
        </w:rPr>
      </w:pPr>
      <w:r>
        <w:rPr>
          <w:rStyle w:val="normaltextrun"/>
        </w:rPr>
        <w:t>Against the backdrop of significant disruption</w:t>
      </w:r>
      <w:r w:rsidR="00FD7D05">
        <w:rPr>
          <w:rStyle w:val="normaltextrun"/>
        </w:rPr>
        <w:t xml:space="preserve"> </w:t>
      </w:r>
      <w:r w:rsidR="00F7696D">
        <w:rPr>
          <w:rStyle w:val="normaltextrun"/>
        </w:rPr>
        <w:t>due to</w:t>
      </w:r>
      <w:r w:rsidR="00FD7D05">
        <w:rPr>
          <w:rStyle w:val="normaltextrun"/>
        </w:rPr>
        <w:t xml:space="preserve"> bushfires and the </w:t>
      </w:r>
      <w:r w:rsidR="00E51317">
        <w:rPr>
          <w:rStyle w:val="normaltextrun"/>
        </w:rPr>
        <w:t>coronavirus (COVID-19)</w:t>
      </w:r>
      <w:r w:rsidR="00FD7D05">
        <w:rPr>
          <w:rStyle w:val="normaltextrun"/>
        </w:rPr>
        <w:t xml:space="preserve"> pandemic in </w:t>
      </w:r>
      <w:r w:rsidR="00894D3B">
        <w:rPr>
          <w:rStyle w:val="normaltextrun"/>
        </w:rPr>
        <w:t>2019–20</w:t>
      </w:r>
      <w:r>
        <w:rPr>
          <w:rStyle w:val="normaltextrun"/>
        </w:rPr>
        <w:t xml:space="preserve">, the mental health system in Victoria is continuing to undergo review and has </w:t>
      </w:r>
      <w:r w:rsidR="00A35DFF">
        <w:rPr>
          <w:rStyle w:val="normaltextrun"/>
        </w:rPr>
        <w:t xml:space="preserve">begun </w:t>
      </w:r>
      <w:r>
        <w:rPr>
          <w:rStyle w:val="normaltextrun"/>
        </w:rPr>
        <w:t xml:space="preserve">system reform. The </w:t>
      </w:r>
      <w:r w:rsidR="00C028E8">
        <w:rPr>
          <w:rStyle w:val="normaltextrun"/>
        </w:rPr>
        <w:t>i</w:t>
      </w:r>
      <w:r>
        <w:rPr>
          <w:rStyle w:val="normaltextrun"/>
        </w:rPr>
        <w:t xml:space="preserve">nterim </w:t>
      </w:r>
      <w:r w:rsidR="00C028E8">
        <w:rPr>
          <w:rStyle w:val="normaltextrun"/>
        </w:rPr>
        <w:t>r</w:t>
      </w:r>
      <w:r>
        <w:rPr>
          <w:rStyle w:val="normaltextrun"/>
        </w:rPr>
        <w:t>eport of the Royal Commission into Victoria’s Mental Health System was released in November 2019</w:t>
      </w:r>
      <w:r w:rsidR="00767215">
        <w:rPr>
          <w:rStyle w:val="normaltextrun"/>
        </w:rPr>
        <w:t>,</w:t>
      </w:r>
      <w:r>
        <w:rPr>
          <w:rStyle w:val="normaltextrun"/>
        </w:rPr>
        <w:t xml:space="preserve"> signalling the intent for reform of the mental health system</w:t>
      </w:r>
      <w:r w:rsidR="00767215">
        <w:rPr>
          <w:rStyle w:val="normaltextrun"/>
        </w:rPr>
        <w:t>.</w:t>
      </w:r>
      <w:r>
        <w:rPr>
          <w:rStyle w:val="normaltextrun"/>
        </w:rPr>
        <w:t xml:space="preserve"> Mental Health Reform Victoria was established to progress this work. </w:t>
      </w:r>
    </w:p>
    <w:p w14:paraId="37FD318E" w14:textId="2468FAB7" w:rsidR="008E1C7D" w:rsidRDefault="005B66EA" w:rsidP="008E1C7D">
      <w:pPr>
        <w:pStyle w:val="DHHSbody"/>
      </w:pPr>
      <w:r>
        <w:rPr>
          <w:rStyle w:val="normaltextrun"/>
        </w:rPr>
        <w:t xml:space="preserve">Providing advice </w:t>
      </w:r>
      <w:r w:rsidR="00767215">
        <w:rPr>
          <w:rStyle w:val="normaltextrun"/>
        </w:rPr>
        <w:t>about</w:t>
      </w:r>
      <w:r>
        <w:rPr>
          <w:rStyle w:val="normaltextrun"/>
        </w:rPr>
        <w:t xml:space="preserve"> m</w:t>
      </w:r>
      <w:r w:rsidR="00833A55">
        <w:rPr>
          <w:rStyle w:val="normaltextrun"/>
        </w:rPr>
        <w:t xml:space="preserve">ental health reform in Victoria is a key focus area for the </w:t>
      </w:r>
      <w:r w:rsidR="00833A55" w:rsidRPr="000E4B05">
        <w:t>Mental Health Ministerial Advisory</w:t>
      </w:r>
      <w:r>
        <w:t xml:space="preserve"> Committee</w:t>
      </w:r>
      <w:r w:rsidR="00780A0F">
        <w:t xml:space="preserve"> as it considers recommendations from the </w:t>
      </w:r>
      <w:r w:rsidR="00C028E8">
        <w:t>r</w:t>
      </w:r>
      <w:r w:rsidR="00780A0F">
        <w:t xml:space="preserve">oyal </w:t>
      </w:r>
      <w:r w:rsidR="00C028E8">
        <w:t>c</w:t>
      </w:r>
      <w:r w:rsidR="00780A0F">
        <w:t xml:space="preserve">ommission and other federal and state </w:t>
      </w:r>
      <w:r w:rsidR="0011187F">
        <w:t>i</w:t>
      </w:r>
      <w:r w:rsidR="00780A0F">
        <w:t>nquiries</w:t>
      </w:r>
      <w:r w:rsidR="00833A55">
        <w:t>.</w:t>
      </w:r>
      <w:r w:rsidR="00780A0F">
        <w:t xml:space="preserve"> Additionally, while t</w:t>
      </w:r>
      <w:r w:rsidR="004210E7">
        <w:rPr>
          <w:rStyle w:val="normaltextrun"/>
        </w:rPr>
        <w:t xml:space="preserve">he transition to the National Disability Insurance Scheme </w:t>
      </w:r>
      <w:r w:rsidR="008E1C7D">
        <w:rPr>
          <w:rStyle w:val="normaltextrun"/>
        </w:rPr>
        <w:t xml:space="preserve">(NDIS) </w:t>
      </w:r>
      <w:r w:rsidR="004210E7">
        <w:rPr>
          <w:rStyle w:val="normaltextrun"/>
        </w:rPr>
        <w:t>for people with a severe</w:t>
      </w:r>
      <w:r w:rsidR="00385CA1">
        <w:rPr>
          <w:rStyle w:val="normaltextrun"/>
        </w:rPr>
        <w:t>,</w:t>
      </w:r>
      <w:r w:rsidR="004210E7">
        <w:rPr>
          <w:rStyle w:val="normaltextrun"/>
        </w:rPr>
        <w:t xml:space="preserve"> enduring psychosocial disability was completed during </w:t>
      </w:r>
      <w:r w:rsidR="00894D3B">
        <w:rPr>
          <w:rStyle w:val="normaltextrun"/>
        </w:rPr>
        <w:t>2019–20</w:t>
      </w:r>
      <w:r w:rsidR="00780A0F">
        <w:rPr>
          <w:rStyle w:val="normaltextrun"/>
        </w:rPr>
        <w:t xml:space="preserve">, there are still </w:t>
      </w:r>
      <w:r w:rsidR="0011187F">
        <w:rPr>
          <w:rStyle w:val="normaltextrun"/>
        </w:rPr>
        <w:t>several</w:t>
      </w:r>
      <w:r w:rsidR="00780A0F">
        <w:t xml:space="preserve"> reforms underway as the NDIS evolves</w:t>
      </w:r>
      <w:r w:rsidR="00304965">
        <w:t>.</w:t>
      </w:r>
      <w:r w:rsidR="00894D3B">
        <w:t xml:space="preserve"> </w:t>
      </w:r>
      <w:r w:rsidR="00304965">
        <w:t>These continue to</w:t>
      </w:r>
      <w:r w:rsidR="00780A0F">
        <w:t xml:space="preserve"> impact on Victorian participants and the providers who support them.</w:t>
      </w:r>
    </w:p>
    <w:p w14:paraId="58F07B2A" w14:textId="6A66F327" w:rsidR="00072C99" w:rsidRPr="00E06100" w:rsidRDefault="00072C99" w:rsidP="00AA1A64">
      <w:pPr>
        <w:pStyle w:val="Heading2"/>
      </w:pPr>
      <w:bookmarkStart w:id="11" w:name="_Toc55379389"/>
      <w:r w:rsidRPr="00E06100">
        <w:rPr>
          <w:rStyle w:val="normaltextrun"/>
        </w:rPr>
        <w:t>Royal Commission into Victoria’s Mental Health System </w:t>
      </w:r>
      <w:bookmarkEnd w:id="11"/>
      <w:r w:rsidRPr="00E06100">
        <w:rPr>
          <w:rStyle w:val="eop"/>
        </w:rPr>
        <w:t> </w:t>
      </w:r>
    </w:p>
    <w:p w14:paraId="1CB1DBF7" w14:textId="74EB60A0" w:rsidR="00072C99" w:rsidRDefault="00072C99" w:rsidP="00072C99">
      <w:pPr>
        <w:pStyle w:val="DHHSbody"/>
      </w:pPr>
      <w:r>
        <w:t xml:space="preserve">The first of its kind in Australia, the </w:t>
      </w:r>
      <w:r w:rsidR="001E20D2">
        <w:t>r</w:t>
      </w:r>
      <w:r>
        <w:t xml:space="preserve">oyal </w:t>
      </w:r>
      <w:r w:rsidR="001E20D2">
        <w:t>c</w:t>
      </w:r>
      <w:r>
        <w:t xml:space="preserve">ommission will provide recommendations on how Victoria's mental health system can most effectively prevent mental illness and deliver treatment, care and support so that all Victorians can experience their best mental health. </w:t>
      </w:r>
    </w:p>
    <w:p w14:paraId="6E50672C" w14:textId="0737547A" w:rsidR="00072C99" w:rsidRDefault="00072C99" w:rsidP="00072C99">
      <w:pPr>
        <w:pStyle w:val="DHHSbody"/>
        <w:rPr>
          <w:color w:val="000000" w:themeColor="text1"/>
        </w:rPr>
      </w:pPr>
      <w:r w:rsidRPr="6C11EE51">
        <w:rPr>
          <w:rFonts w:cs="Arial"/>
          <w:color w:val="000000" w:themeColor="text1"/>
        </w:rPr>
        <w:t xml:space="preserve">The terms of reference for the </w:t>
      </w:r>
      <w:r w:rsidR="0011187F">
        <w:rPr>
          <w:rFonts w:cs="Arial"/>
          <w:color w:val="000000" w:themeColor="text1"/>
        </w:rPr>
        <w:t>r</w:t>
      </w:r>
      <w:r w:rsidRPr="6C11EE51">
        <w:rPr>
          <w:rFonts w:cs="Arial"/>
          <w:color w:val="000000" w:themeColor="text1"/>
        </w:rPr>
        <w:t xml:space="preserve">oyal </w:t>
      </w:r>
      <w:r w:rsidR="0011187F">
        <w:rPr>
          <w:rFonts w:cs="Arial"/>
          <w:color w:val="000000" w:themeColor="text1"/>
        </w:rPr>
        <w:t>c</w:t>
      </w:r>
      <w:r w:rsidRPr="6C11EE51">
        <w:rPr>
          <w:rFonts w:cs="Arial"/>
          <w:color w:val="000000" w:themeColor="text1"/>
        </w:rPr>
        <w:t xml:space="preserve">ommission were announced in February 2019. The </w:t>
      </w:r>
      <w:r w:rsidR="001E20D2">
        <w:rPr>
          <w:rFonts w:cs="Arial"/>
          <w:color w:val="000000" w:themeColor="text1"/>
        </w:rPr>
        <w:t>c</w:t>
      </w:r>
      <w:r w:rsidRPr="6C11EE51">
        <w:rPr>
          <w:rFonts w:cs="Arial"/>
          <w:color w:val="000000" w:themeColor="text1"/>
        </w:rPr>
        <w:t xml:space="preserve">ommission’s work </w:t>
      </w:r>
      <w:r>
        <w:rPr>
          <w:rFonts w:cs="Arial"/>
          <w:color w:val="000000" w:themeColor="text1"/>
        </w:rPr>
        <w:t>has been</w:t>
      </w:r>
      <w:r w:rsidRPr="6C11EE51">
        <w:rPr>
          <w:rFonts w:cs="Arial"/>
          <w:color w:val="000000" w:themeColor="text1"/>
        </w:rPr>
        <w:t xml:space="preserve"> informed by c</w:t>
      </w:r>
      <w:r w:rsidRPr="6C11EE51">
        <w:rPr>
          <w:color w:val="000000" w:themeColor="text1"/>
        </w:rPr>
        <w:t xml:space="preserve">ommunity consultations, online and written submissions, roundtable discussions, consultations with </w:t>
      </w:r>
      <w:r w:rsidR="0011187F">
        <w:rPr>
          <w:color w:val="000000" w:themeColor="text1"/>
        </w:rPr>
        <w:t xml:space="preserve">its </w:t>
      </w:r>
      <w:r w:rsidRPr="6C11EE51">
        <w:rPr>
          <w:color w:val="000000" w:themeColor="text1"/>
        </w:rPr>
        <w:t xml:space="preserve">Expert Advisory Committee, public hearings, data and research. </w:t>
      </w:r>
    </w:p>
    <w:p w14:paraId="1D92F806" w14:textId="38798024" w:rsidR="00072C99" w:rsidRDefault="00072C99" w:rsidP="00072C99">
      <w:pPr>
        <w:pStyle w:val="DHHSbody"/>
      </w:pPr>
      <w:r>
        <w:t xml:space="preserve">A range of agencies were funded to activate and support communities to engage with the </w:t>
      </w:r>
      <w:r w:rsidR="001E20D2">
        <w:t>r</w:t>
      </w:r>
      <w:r>
        <w:t xml:space="preserve">oyal </w:t>
      </w:r>
      <w:r w:rsidR="001E20D2">
        <w:t>c</w:t>
      </w:r>
      <w:r>
        <w:t xml:space="preserve">ommission to ensure that a diversity of perspectives were provided. These agencies included VMIAC, Tandem, Victoria Legal Aid, Mental Health Legal Centre and the Victorian Aboriginal Community Controlled Health Organisation. </w:t>
      </w:r>
    </w:p>
    <w:p w14:paraId="2A41CD88" w14:textId="35BE34B0" w:rsidR="00072C99" w:rsidRDefault="00072C99" w:rsidP="00072C99">
      <w:pPr>
        <w:pStyle w:val="Heading3"/>
      </w:pPr>
      <w:r>
        <w:t xml:space="preserve">Royal </w:t>
      </w:r>
      <w:r w:rsidR="001E20D2">
        <w:t>c</w:t>
      </w:r>
      <w:r>
        <w:t>ommission</w:t>
      </w:r>
      <w:r w:rsidR="001E20D2">
        <w:t>’s</w:t>
      </w:r>
      <w:r>
        <w:t xml:space="preserve"> </w:t>
      </w:r>
      <w:r w:rsidR="001E20D2">
        <w:t>i</w:t>
      </w:r>
      <w:r>
        <w:t xml:space="preserve">nterim </w:t>
      </w:r>
      <w:r w:rsidR="001E20D2">
        <w:t>r</w:t>
      </w:r>
      <w:r>
        <w:t>eport</w:t>
      </w:r>
    </w:p>
    <w:p w14:paraId="163BF11C" w14:textId="73CF883B" w:rsidR="00072C99" w:rsidRPr="003E4D6C" w:rsidRDefault="00072C99" w:rsidP="007B48FE">
      <w:pPr>
        <w:pStyle w:val="DHHSbody"/>
      </w:pPr>
      <w:r w:rsidRPr="6C11EE51">
        <w:t xml:space="preserve">The </w:t>
      </w:r>
      <w:r w:rsidR="001E20D2">
        <w:t>r</w:t>
      </w:r>
      <w:r w:rsidRPr="6C11EE51">
        <w:t xml:space="preserve">oyal </w:t>
      </w:r>
      <w:r w:rsidR="001E20D2">
        <w:t>c</w:t>
      </w:r>
      <w:r w:rsidRPr="6C11EE51">
        <w:t xml:space="preserve">ommission delivered its interim report to the Victorian Government in November 2019. </w:t>
      </w:r>
      <w:r w:rsidR="0011187F">
        <w:t>In the report, t</w:t>
      </w:r>
      <w:r w:rsidRPr="6C11EE51">
        <w:t xml:space="preserve">he </w:t>
      </w:r>
      <w:r w:rsidR="001E20D2">
        <w:t>c</w:t>
      </w:r>
      <w:r w:rsidRPr="6C11EE51">
        <w:t xml:space="preserve">ommission identified important themes and individual and system needs, which form the basis of </w:t>
      </w:r>
      <w:r w:rsidR="0011187F">
        <w:t xml:space="preserve">its </w:t>
      </w:r>
      <w:r w:rsidRPr="6C11EE51">
        <w:t xml:space="preserve">nine recommendations. </w:t>
      </w:r>
      <w:r>
        <w:t>Some recommendations are</w:t>
      </w:r>
      <w:r w:rsidRPr="006063C1">
        <w:t xml:space="preserve"> aimed at responding to the most immediate challenges </w:t>
      </w:r>
      <w:r>
        <w:t xml:space="preserve">and </w:t>
      </w:r>
      <w:r w:rsidRPr="006063C1">
        <w:t>redressing urgent problems</w:t>
      </w:r>
      <w:r>
        <w:t xml:space="preserve">. Other recommendations </w:t>
      </w:r>
      <w:r w:rsidRPr="006063C1">
        <w:t>focus</w:t>
      </w:r>
      <w:r>
        <w:t xml:space="preserve"> </w:t>
      </w:r>
      <w:r w:rsidRPr="006063C1">
        <w:t xml:space="preserve">on preparing the ground for further reform to </w:t>
      </w:r>
      <w:r w:rsidR="0011187F">
        <w:t>Victoria’s</w:t>
      </w:r>
      <w:r w:rsidR="0011187F" w:rsidRPr="006063C1">
        <w:t xml:space="preserve"> </w:t>
      </w:r>
      <w:r w:rsidRPr="006063C1">
        <w:t>mental health services</w:t>
      </w:r>
      <w:r>
        <w:t>.</w:t>
      </w:r>
    </w:p>
    <w:p w14:paraId="7929E61E" w14:textId="067F9EEC" w:rsidR="00072C99" w:rsidRDefault="00072C99" w:rsidP="007B48FE">
      <w:pPr>
        <w:pStyle w:val="DHHSbody"/>
      </w:pPr>
      <w:r w:rsidRPr="6C11EE51">
        <w:t xml:space="preserve">Most of the </w:t>
      </w:r>
      <w:r w:rsidR="001E20D2">
        <w:t>c</w:t>
      </w:r>
      <w:r w:rsidRPr="6C11EE51">
        <w:t>ommission’s recommendations for change will appear in the final report due in February 2021. The final report will present a comprehensive set of recommendations that will lead to a major system redesign of Victoria’s mental health system.</w:t>
      </w:r>
    </w:p>
    <w:p w14:paraId="576E06BB" w14:textId="6900763C" w:rsidR="00072C99" w:rsidRPr="001515A0" w:rsidRDefault="00072C99" w:rsidP="00AA1A64">
      <w:pPr>
        <w:pStyle w:val="Heading2"/>
      </w:pPr>
      <w:bookmarkStart w:id="12" w:name="_Toc55379390"/>
      <w:r w:rsidRPr="00AA1A64">
        <w:rPr>
          <w:rStyle w:val="normaltextrun"/>
        </w:rPr>
        <w:t>Mental</w:t>
      </w:r>
      <w:r w:rsidRPr="001515A0">
        <w:rPr>
          <w:rStyle w:val="normaltextrun"/>
        </w:rPr>
        <w:t xml:space="preserve"> Health Reform Victoria</w:t>
      </w:r>
      <w:r w:rsidR="00B96DA0">
        <w:rPr>
          <w:rStyle w:val="normaltextrun"/>
        </w:rPr>
        <w:t xml:space="preserve"> – </w:t>
      </w:r>
      <w:r w:rsidRPr="001515A0">
        <w:rPr>
          <w:rStyle w:val="normaltextrun"/>
        </w:rPr>
        <w:t xml:space="preserve">establishment </w:t>
      </w:r>
      <w:r w:rsidRPr="001515A0" w:rsidDel="00E569DF">
        <w:rPr>
          <w:rStyle w:val="normaltextrun"/>
        </w:rPr>
        <w:t>and progress  </w:t>
      </w:r>
      <w:bookmarkEnd w:id="12"/>
      <w:r w:rsidRPr="001515A0" w:rsidDel="00E569DF">
        <w:rPr>
          <w:rStyle w:val="eop"/>
        </w:rPr>
        <w:t> </w:t>
      </w:r>
    </w:p>
    <w:p w14:paraId="33051B43" w14:textId="675A63C8" w:rsidR="00072C99" w:rsidRPr="00FA3B08" w:rsidRDefault="00072C99" w:rsidP="00072C99">
      <w:pPr>
        <w:pStyle w:val="DHHSbody"/>
      </w:pPr>
      <w:r w:rsidRPr="00FA3B08">
        <w:t xml:space="preserve">In its </w:t>
      </w:r>
      <w:r w:rsidR="001E20D2">
        <w:t>i</w:t>
      </w:r>
      <w:r w:rsidRPr="00FA3B08">
        <w:t xml:space="preserve">nterim </w:t>
      </w:r>
      <w:r w:rsidR="001E20D2">
        <w:t>r</w:t>
      </w:r>
      <w:r w:rsidRPr="00FA3B08">
        <w:t>eport, the Royal Commission into Victoria's Mental Health System </w:t>
      </w:r>
      <w:r w:rsidR="001861ED">
        <w:t xml:space="preserve">recommended </w:t>
      </w:r>
      <w:r w:rsidRPr="00FA3B08">
        <w:t>the Victorian Government establish</w:t>
      </w:r>
      <w:r w:rsidR="0011187F">
        <w:t>es</w:t>
      </w:r>
      <w:r w:rsidRPr="00FA3B08">
        <w:t xml:space="preserve"> a new administrative office to lead implementation of its recommendations. In response to this recommendation, Mental Health Reform Victoria was established in February 2020. </w:t>
      </w:r>
      <w:r w:rsidR="0011187F" w:rsidRPr="00FA3B08">
        <w:t xml:space="preserve">Mental Health Reform Victoria </w:t>
      </w:r>
      <w:r w:rsidRPr="00FA3B08">
        <w:t xml:space="preserve">will operate for two years to implement seven of the nine recommendations made by the </w:t>
      </w:r>
      <w:r w:rsidR="001E20D2">
        <w:t>r</w:t>
      </w:r>
      <w:r w:rsidRPr="00FA3B08">
        <w:t xml:space="preserve">oyal </w:t>
      </w:r>
      <w:r w:rsidR="001E20D2">
        <w:t>c</w:t>
      </w:r>
      <w:r w:rsidRPr="00FA3B08">
        <w:t xml:space="preserve">ommission in its interim report. </w:t>
      </w:r>
    </w:p>
    <w:tbl>
      <w:tblPr>
        <w:tblStyle w:val="TableGrid"/>
        <w:tblW w:w="0" w:type="auto"/>
        <w:shd w:val="clear" w:color="auto" w:fill="E2EFD9" w:themeFill="accent6" w:themeFillTint="33"/>
        <w:tblLook w:val="04A0" w:firstRow="1" w:lastRow="0" w:firstColumn="1" w:lastColumn="0" w:noHBand="0" w:noVBand="1"/>
      </w:tblPr>
      <w:tblGrid>
        <w:gridCol w:w="9288"/>
      </w:tblGrid>
      <w:tr w:rsidR="00072C99" w14:paraId="5C5AE0F8" w14:textId="77777777" w:rsidTr="000D01E9">
        <w:tc>
          <w:tcPr>
            <w:tcW w:w="9288" w:type="dxa"/>
            <w:shd w:val="clear" w:color="auto" w:fill="auto"/>
          </w:tcPr>
          <w:p w14:paraId="4E33FFA7" w14:textId="18908D76" w:rsidR="00072C99" w:rsidRDefault="00072C99" w:rsidP="00CE40D6">
            <w:pPr>
              <w:pStyle w:val="DHHStablecaption"/>
            </w:pPr>
            <w:r>
              <w:lastRenderedPageBreak/>
              <w:t xml:space="preserve">National </w:t>
            </w:r>
            <w:r w:rsidR="00920572">
              <w:t>r</w:t>
            </w:r>
            <w:r>
              <w:t>eport</w:t>
            </w:r>
            <w:r w:rsidR="006F3DF8">
              <w:t xml:space="preserve">: </w:t>
            </w:r>
            <w:r w:rsidRPr="00773A8A">
              <w:t>Productivity Commission’s Inquiry into the Social and Economic Benefits of Improving Mental Health</w:t>
            </w:r>
          </w:p>
          <w:p w14:paraId="3BE394F7" w14:textId="77777777" w:rsidR="00072C99" w:rsidRPr="003B7D2F" w:rsidRDefault="00072C99" w:rsidP="006F3DF8">
            <w:pPr>
              <w:pStyle w:val="DHHStabletext"/>
            </w:pPr>
            <w:r>
              <w:t>T</w:t>
            </w:r>
            <w:r w:rsidRPr="003B7D2F">
              <w:t xml:space="preserve">he Productivity Commission </w:t>
            </w:r>
            <w:r>
              <w:t>has conducted</w:t>
            </w:r>
            <w:r w:rsidRPr="003B7D2F">
              <w:t xml:space="preserve"> a national inquiry into the role of mental health in supporting economic participation, enhancing productivity and economic growth.</w:t>
            </w:r>
            <w:r>
              <w:t xml:space="preserve"> </w:t>
            </w:r>
          </w:p>
          <w:p w14:paraId="24D6A5C4" w14:textId="77777777" w:rsidR="00072C99" w:rsidRDefault="00072C99" w:rsidP="006F3DF8">
            <w:pPr>
              <w:pStyle w:val="DHHStabletext"/>
            </w:pPr>
            <w:r w:rsidRPr="003B7D2F">
              <w:t>The Productivity Commission will make recommendations about how governments, employers and others can improve population mental health in order to realise economic, social participation and productivity</w:t>
            </w:r>
            <w:r>
              <w:t xml:space="preserve"> </w:t>
            </w:r>
            <w:r w:rsidRPr="003B7D2F">
              <w:t xml:space="preserve">benefits over the long term. </w:t>
            </w:r>
          </w:p>
          <w:p w14:paraId="59A22878" w14:textId="3D2D479B" w:rsidR="00072C99" w:rsidRDefault="00072C99" w:rsidP="006F3DF8">
            <w:pPr>
              <w:pStyle w:val="DHHStabletext"/>
            </w:pPr>
            <w:r>
              <w:t>The inquiry released its draft report in October 2019. Key findings of the report included the need to have access to help earlier, have a better experience with mental health</w:t>
            </w:r>
            <w:r w:rsidR="0009286A">
              <w:t xml:space="preserve"> </w:t>
            </w:r>
            <w:r>
              <w:t>care and improve the services outside of traditional healthcare systems.</w:t>
            </w:r>
          </w:p>
          <w:p w14:paraId="3CF75C62" w14:textId="77777777" w:rsidR="00072C99" w:rsidRDefault="00072C99" w:rsidP="006F3DF8">
            <w:pPr>
              <w:pStyle w:val="DHHStabletext"/>
            </w:pPr>
            <w:r>
              <w:t>Five key areas for improvement were identified in the draft report:</w:t>
            </w:r>
          </w:p>
          <w:p w14:paraId="789FFECE" w14:textId="0D20E692" w:rsidR="00072C99" w:rsidRDefault="001E20D2" w:rsidP="006F3DF8">
            <w:pPr>
              <w:pStyle w:val="DHHStablebullet1"/>
            </w:pPr>
            <w:r>
              <w:t>p</w:t>
            </w:r>
            <w:r w:rsidR="00072C99">
              <w:t>revention and early intervention for mental illness and suicide attempts</w:t>
            </w:r>
          </w:p>
          <w:p w14:paraId="2CFF118F" w14:textId="423A19AC" w:rsidR="00072C99" w:rsidRDefault="001E20D2" w:rsidP="006F3DF8">
            <w:pPr>
              <w:pStyle w:val="DHHStablebullet1"/>
            </w:pPr>
            <w:r>
              <w:t>c</w:t>
            </w:r>
            <w:r w:rsidR="00072C99">
              <w:t xml:space="preserve">losing critical gaps in healthcare services </w:t>
            </w:r>
          </w:p>
          <w:p w14:paraId="50516401" w14:textId="49F7C2E3" w:rsidR="00072C99" w:rsidRDefault="001E20D2" w:rsidP="006F3DF8">
            <w:pPr>
              <w:pStyle w:val="DHHStablebullet1"/>
            </w:pPr>
            <w:r>
              <w:t>i</w:t>
            </w:r>
            <w:r w:rsidR="00072C99">
              <w:t xml:space="preserve">nvestment in services beyond health </w:t>
            </w:r>
          </w:p>
          <w:p w14:paraId="5D765806" w14:textId="40FC4B6B" w:rsidR="00072C99" w:rsidRDefault="001E20D2" w:rsidP="006F3DF8">
            <w:pPr>
              <w:pStyle w:val="DHHStablebullet1"/>
            </w:pPr>
            <w:r>
              <w:t>a</w:t>
            </w:r>
            <w:r w:rsidR="00072C99">
              <w:t xml:space="preserve">ssistance for people with mental illness to get into work and enable early treatment of work-related mental illness </w:t>
            </w:r>
          </w:p>
          <w:p w14:paraId="201BB9F8" w14:textId="29E61041" w:rsidR="00072C99" w:rsidRDefault="001E20D2" w:rsidP="006F3DF8">
            <w:pPr>
              <w:pStyle w:val="DHHStablebullet1"/>
            </w:pPr>
            <w:r>
              <w:t>f</w:t>
            </w:r>
            <w:r w:rsidR="00072C99">
              <w:t>undamental reform to care coordination, governance and funding arrangements</w:t>
            </w:r>
            <w:r>
              <w:t>.</w:t>
            </w:r>
          </w:p>
          <w:p w14:paraId="1A557AF6" w14:textId="7A0A52EB" w:rsidR="00072C99" w:rsidRPr="000E4B05" w:rsidRDefault="00072C99" w:rsidP="006F3DF8">
            <w:pPr>
              <w:pStyle w:val="DHHStabletext"/>
            </w:pPr>
            <w:r>
              <w:t xml:space="preserve">The </w:t>
            </w:r>
            <w:r w:rsidR="001E20D2">
              <w:t xml:space="preserve">Productivity </w:t>
            </w:r>
            <w:r>
              <w:t>Commission sought further information and feedback following the release of the draft report</w:t>
            </w:r>
            <w:r w:rsidR="0009286A">
              <w:t>, handing</w:t>
            </w:r>
            <w:r>
              <w:t xml:space="preserve"> its final report to the Australian Government on 30 June 2020. It is expected that this will be released by the Australian Government later in 2020. </w:t>
            </w:r>
          </w:p>
        </w:tc>
      </w:tr>
    </w:tbl>
    <w:p w14:paraId="3BA59826" w14:textId="77777777" w:rsidR="004C502B" w:rsidRPr="00D805F8" w:rsidRDefault="004C502B" w:rsidP="00AA1A64">
      <w:pPr>
        <w:pStyle w:val="Heading3"/>
      </w:pPr>
      <w:r w:rsidRPr="00D805F8">
        <w:t xml:space="preserve">Continuing </w:t>
      </w:r>
      <w:r>
        <w:t>R</w:t>
      </w:r>
      <w:r w:rsidRPr="00D805F8">
        <w:t xml:space="preserve">eform of Victoria’s </w:t>
      </w:r>
      <w:r>
        <w:t>M</w:t>
      </w:r>
      <w:r w:rsidRPr="00D805F8">
        <w:t xml:space="preserve">ental </w:t>
      </w:r>
      <w:r>
        <w:t>H</w:t>
      </w:r>
      <w:r w:rsidRPr="00D805F8">
        <w:t xml:space="preserve">ealth </w:t>
      </w:r>
      <w:r>
        <w:t>S</w:t>
      </w:r>
      <w:r w:rsidRPr="00D805F8">
        <w:t>ystem</w:t>
      </w:r>
      <w:r>
        <w:t xml:space="preserve"> package</w:t>
      </w:r>
    </w:p>
    <w:p w14:paraId="5ACAAB97" w14:textId="4E45F5E6" w:rsidR="004C502B" w:rsidRDefault="004C502B" w:rsidP="004C502B">
      <w:pPr>
        <w:pStyle w:val="DHHSbody"/>
        <w:rPr>
          <w:color w:val="000000" w:themeColor="text1"/>
        </w:rPr>
      </w:pPr>
      <w:r>
        <w:t>I</w:t>
      </w:r>
      <w:r w:rsidRPr="00B82645">
        <w:t xml:space="preserve">nitial funding </w:t>
      </w:r>
      <w:r>
        <w:t>toward</w:t>
      </w:r>
      <w:r w:rsidR="009A4B11">
        <w:t>s</w:t>
      </w:r>
      <w:r>
        <w:t xml:space="preserve"> implementing recommendations from the </w:t>
      </w:r>
      <w:r w:rsidRPr="00B82645">
        <w:t>Royal Commission into Victoria’s Mental Health System</w:t>
      </w:r>
      <w:r w:rsidR="0009286A">
        <w:t>’s</w:t>
      </w:r>
      <w:r w:rsidRPr="00B82645">
        <w:t xml:space="preserve"> </w:t>
      </w:r>
      <w:r w:rsidR="0009286A">
        <w:t>i</w:t>
      </w:r>
      <w:r w:rsidRPr="00B82645">
        <w:t xml:space="preserve">nterim </w:t>
      </w:r>
      <w:r w:rsidR="0009286A">
        <w:t>r</w:t>
      </w:r>
      <w:r w:rsidRPr="00B82645">
        <w:t xml:space="preserve">eport was </w:t>
      </w:r>
      <w:r>
        <w:t>included</w:t>
      </w:r>
      <w:r w:rsidRPr="00B82645">
        <w:t xml:space="preserve"> in the Mental Health and Social Connectedness package</w:t>
      </w:r>
      <w:r>
        <w:t xml:space="preserve"> in April 2020. </w:t>
      </w:r>
      <w:r w:rsidR="006F7A1F">
        <w:t xml:space="preserve">In </w:t>
      </w:r>
      <w:r>
        <w:t>May 2020</w:t>
      </w:r>
      <w:r w:rsidR="006F7A1F">
        <w:t>,</w:t>
      </w:r>
      <w:r w:rsidDel="004C502B">
        <w:t xml:space="preserve"> </w:t>
      </w:r>
      <w:r w:rsidRPr="00735E86">
        <w:rPr>
          <w:color w:val="000000" w:themeColor="text1"/>
        </w:rPr>
        <w:t xml:space="preserve">the Continuing </w:t>
      </w:r>
      <w:r>
        <w:rPr>
          <w:color w:val="000000" w:themeColor="text1"/>
        </w:rPr>
        <w:t>R</w:t>
      </w:r>
      <w:r w:rsidRPr="00735E86">
        <w:rPr>
          <w:color w:val="000000" w:themeColor="text1"/>
        </w:rPr>
        <w:t xml:space="preserve">eform of Victoria’s </w:t>
      </w:r>
      <w:r>
        <w:rPr>
          <w:color w:val="000000" w:themeColor="text1"/>
        </w:rPr>
        <w:t>M</w:t>
      </w:r>
      <w:r w:rsidRPr="00735E86">
        <w:rPr>
          <w:color w:val="000000" w:themeColor="text1"/>
        </w:rPr>
        <w:t xml:space="preserve">ental </w:t>
      </w:r>
      <w:r>
        <w:rPr>
          <w:color w:val="000000" w:themeColor="text1"/>
        </w:rPr>
        <w:t>H</w:t>
      </w:r>
      <w:r w:rsidRPr="00735E86">
        <w:rPr>
          <w:color w:val="000000" w:themeColor="text1"/>
        </w:rPr>
        <w:t xml:space="preserve">ealth </w:t>
      </w:r>
      <w:r>
        <w:rPr>
          <w:color w:val="000000" w:themeColor="text1"/>
        </w:rPr>
        <w:t>S</w:t>
      </w:r>
      <w:r w:rsidRPr="00735E86">
        <w:rPr>
          <w:color w:val="000000" w:themeColor="text1"/>
        </w:rPr>
        <w:t xml:space="preserve">ystem package </w:t>
      </w:r>
      <w:r w:rsidR="006F7A1F">
        <w:rPr>
          <w:color w:val="000000" w:themeColor="text1"/>
        </w:rPr>
        <w:t>committed another</w:t>
      </w:r>
      <w:r w:rsidR="006F7A1F" w:rsidRPr="00735E86">
        <w:rPr>
          <w:color w:val="000000" w:themeColor="text1"/>
        </w:rPr>
        <w:t xml:space="preserve"> </w:t>
      </w:r>
      <w:r w:rsidRPr="00735E86">
        <w:rPr>
          <w:color w:val="000000" w:themeColor="text1"/>
        </w:rPr>
        <w:t xml:space="preserve">$19.5 million </w:t>
      </w:r>
      <w:r w:rsidRPr="008B3A96">
        <w:rPr>
          <w:color w:val="000000" w:themeColor="text1"/>
        </w:rPr>
        <w:t>to deliver essential reform</w:t>
      </w:r>
      <w:r w:rsidR="006F7A1F" w:rsidRPr="008B3A96">
        <w:rPr>
          <w:color w:val="000000" w:themeColor="text1"/>
        </w:rPr>
        <w:t xml:space="preserve"> </w:t>
      </w:r>
      <w:r w:rsidRPr="008B3A96">
        <w:rPr>
          <w:color w:val="000000" w:themeColor="text1"/>
        </w:rPr>
        <w:t>recommendations.</w:t>
      </w:r>
      <w:r w:rsidRPr="00735E86">
        <w:rPr>
          <w:color w:val="000000" w:themeColor="text1"/>
        </w:rPr>
        <w:t xml:space="preserve"> </w:t>
      </w:r>
    </w:p>
    <w:p w14:paraId="2C25AC21" w14:textId="77CF22A9" w:rsidR="004C502B" w:rsidRPr="0039430B" w:rsidRDefault="004C502B" w:rsidP="004C502B">
      <w:pPr>
        <w:pStyle w:val="DHHSbody"/>
      </w:pPr>
      <w:r>
        <w:rPr>
          <w:color w:val="000000" w:themeColor="text1"/>
        </w:rPr>
        <w:t xml:space="preserve">This </w:t>
      </w:r>
      <w:r w:rsidRPr="00B82645">
        <w:t xml:space="preserve">further investment was </w:t>
      </w:r>
      <w:r>
        <w:t xml:space="preserve">provided </w:t>
      </w:r>
      <w:r w:rsidRPr="00B82645">
        <w:t xml:space="preserve">to </w:t>
      </w:r>
      <w:r>
        <w:t xml:space="preserve">address time-critical recommendations and to </w:t>
      </w:r>
      <w:r w:rsidRPr="00B82645">
        <w:t xml:space="preserve">ensure that reform to mental health services </w:t>
      </w:r>
      <w:r>
        <w:t>was</w:t>
      </w:r>
      <w:r w:rsidRPr="00B82645">
        <w:t xml:space="preserve"> not significantly delayed due to the impacts of </w:t>
      </w:r>
      <w:r w:rsidR="00E51317">
        <w:t>coronavirus (COVID-19)</w:t>
      </w:r>
      <w:r>
        <w:rPr>
          <w:color w:val="000000" w:themeColor="text1"/>
        </w:rPr>
        <w:t xml:space="preserve">. Investment also aimed to address existing </w:t>
      </w:r>
      <w:r>
        <w:rPr>
          <w:rFonts w:eastAsia="MS Mincho"/>
          <w:szCs w:val="22"/>
        </w:rPr>
        <w:t>and longer</w:t>
      </w:r>
      <w:r w:rsidR="006F7A1F">
        <w:rPr>
          <w:rFonts w:eastAsia="MS Mincho"/>
          <w:szCs w:val="22"/>
        </w:rPr>
        <w:t xml:space="preserve"> </w:t>
      </w:r>
      <w:r>
        <w:rPr>
          <w:rFonts w:eastAsia="MS Mincho"/>
          <w:szCs w:val="22"/>
        </w:rPr>
        <w:t>term system capacity issues</w:t>
      </w:r>
      <w:r>
        <w:rPr>
          <w:color w:val="000000" w:themeColor="text1"/>
        </w:rPr>
        <w:t xml:space="preserve"> </w:t>
      </w:r>
      <w:r>
        <w:rPr>
          <w:rFonts w:eastAsia="MS Mincho"/>
          <w:szCs w:val="22"/>
        </w:rPr>
        <w:t xml:space="preserve">that may constrain the system to manage a potential surge in demand for mental health services due to </w:t>
      </w:r>
      <w:r w:rsidR="00E51317">
        <w:rPr>
          <w:rFonts w:eastAsia="MS Mincho"/>
          <w:szCs w:val="22"/>
        </w:rPr>
        <w:t>coronavirus (COVID-19)</w:t>
      </w:r>
      <w:r>
        <w:rPr>
          <w:rFonts w:eastAsia="MS Mincho"/>
          <w:szCs w:val="22"/>
        </w:rPr>
        <w:t>.</w:t>
      </w:r>
    </w:p>
    <w:p w14:paraId="3C493386" w14:textId="37DA106B" w:rsidR="004C502B" w:rsidRPr="005A4FDD" w:rsidRDefault="004C502B" w:rsidP="004C502B">
      <w:pPr>
        <w:pStyle w:val="DHHSbody"/>
        <w:rPr>
          <w:lang w:eastAsia="en-AU"/>
        </w:rPr>
      </w:pPr>
      <w:r>
        <w:rPr>
          <w:color w:val="000000" w:themeColor="text1"/>
        </w:rPr>
        <w:t xml:space="preserve">This funding aimed to </w:t>
      </w:r>
      <w:r w:rsidRPr="005A4FDD">
        <w:rPr>
          <w:lang w:eastAsia="en-AU"/>
        </w:rPr>
        <w:t>address critical workforce shortages, support the continued rollout of suicide prevention programs</w:t>
      </w:r>
      <w:r>
        <w:rPr>
          <w:lang w:eastAsia="en-AU"/>
        </w:rPr>
        <w:t>, provide new Hospital</w:t>
      </w:r>
      <w:r w:rsidR="006F7A1F">
        <w:rPr>
          <w:lang w:eastAsia="en-AU"/>
        </w:rPr>
        <w:t xml:space="preserve"> </w:t>
      </w:r>
      <w:r>
        <w:rPr>
          <w:lang w:eastAsia="en-AU"/>
        </w:rPr>
        <w:t>in</w:t>
      </w:r>
      <w:r w:rsidR="006F7A1F">
        <w:rPr>
          <w:lang w:eastAsia="en-AU"/>
        </w:rPr>
        <w:t xml:space="preserve"> </w:t>
      </w:r>
      <w:r>
        <w:rPr>
          <w:lang w:eastAsia="en-AU"/>
        </w:rPr>
        <w:t>the</w:t>
      </w:r>
      <w:r w:rsidR="006F7A1F">
        <w:rPr>
          <w:lang w:eastAsia="en-AU"/>
        </w:rPr>
        <w:t xml:space="preserve"> </w:t>
      </w:r>
      <w:r>
        <w:rPr>
          <w:lang w:eastAsia="en-AU"/>
        </w:rPr>
        <w:t>Home beds and provide</w:t>
      </w:r>
      <w:r>
        <w:rPr>
          <w:rFonts w:cs="Arial"/>
          <w:color w:val="000000"/>
        </w:rPr>
        <w:t xml:space="preserve"> operational funding for Mental Health Reform Victoria as they work to engage with Victorians with lived experience </w:t>
      </w:r>
      <w:r w:rsidR="006F7A1F">
        <w:rPr>
          <w:rFonts w:cs="Arial"/>
          <w:color w:val="000000"/>
        </w:rPr>
        <w:t xml:space="preserve">to </w:t>
      </w:r>
      <w:r>
        <w:rPr>
          <w:rFonts w:cs="Arial"/>
          <w:color w:val="000000"/>
        </w:rPr>
        <w:t>deliver the recommendations.</w:t>
      </w:r>
    </w:p>
    <w:p w14:paraId="5F4A64BC" w14:textId="77777777" w:rsidR="004C502B" w:rsidRPr="00B82645" w:rsidRDefault="004C502B" w:rsidP="004C502B">
      <w:pPr>
        <w:pStyle w:val="DHHSbody"/>
      </w:pPr>
      <w:r w:rsidRPr="00B82645">
        <w:t>Th</w:t>
      </w:r>
      <w:r>
        <w:t>e</w:t>
      </w:r>
      <w:r w:rsidRPr="00B82645">
        <w:t xml:space="preserve"> funding include</w:t>
      </w:r>
      <w:r>
        <w:t>d</w:t>
      </w:r>
      <w:r w:rsidRPr="00B82645">
        <w:t>:</w:t>
      </w:r>
    </w:p>
    <w:p w14:paraId="44075DF5" w14:textId="3E2AAAC2" w:rsidR="004C502B" w:rsidRPr="00B82645" w:rsidRDefault="004C502B" w:rsidP="004C502B">
      <w:pPr>
        <w:pStyle w:val="DHHSbullet1"/>
        <w:rPr>
          <w:lang w:eastAsia="en-AU"/>
        </w:rPr>
      </w:pPr>
      <w:r w:rsidRPr="00B82645">
        <w:rPr>
          <w:rStyle w:val="normaltextrun"/>
          <w:rFonts w:cs="Arial"/>
          <w:sz w:val="22"/>
          <w:szCs w:val="22"/>
        </w:rPr>
        <w:t>$</w:t>
      </w:r>
      <w:r w:rsidRPr="00B82645">
        <w:t>7.14 million to continue and scale up Mental Health Reform Victoria</w:t>
      </w:r>
      <w:r w:rsidR="006F7A1F" w:rsidRPr="006F7A1F">
        <w:t xml:space="preserve"> </w:t>
      </w:r>
      <w:r w:rsidR="006F7A1F" w:rsidRPr="00B82645">
        <w:t>operations</w:t>
      </w:r>
    </w:p>
    <w:p w14:paraId="69AC5BCA" w14:textId="05E5B417" w:rsidR="004C502B" w:rsidRDefault="004C502B" w:rsidP="004C502B">
      <w:pPr>
        <w:pStyle w:val="DHHSbullet1"/>
        <w:rPr>
          <w:rStyle w:val="normaltextrun"/>
        </w:rPr>
      </w:pPr>
      <w:r w:rsidRPr="00B82645">
        <w:rPr>
          <w:rStyle w:val="normaltextrun"/>
        </w:rPr>
        <w:t>$</w:t>
      </w:r>
      <w:r>
        <w:rPr>
          <w:rStyle w:val="normaltextrun"/>
        </w:rPr>
        <w:t>6.5 million to address workforce challenges including</w:t>
      </w:r>
      <w:r w:rsidR="001E20D2">
        <w:rPr>
          <w:rStyle w:val="normaltextrun"/>
        </w:rPr>
        <w:t>:</w:t>
      </w:r>
      <w:r>
        <w:rPr>
          <w:rStyle w:val="normaltextrun"/>
        </w:rPr>
        <w:t xml:space="preserve"> </w:t>
      </w:r>
    </w:p>
    <w:p w14:paraId="144A41C8" w14:textId="583A8123" w:rsidR="004C502B" w:rsidRPr="00B82645" w:rsidRDefault="004C502B" w:rsidP="004C502B">
      <w:pPr>
        <w:pStyle w:val="DHHSbullet2"/>
      </w:pPr>
      <w:r w:rsidRPr="00B82645">
        <w:rPr>
          <w:rStyle w:val="normaltextrun"/>
        </w:rPr>
        <w:t xml:space="preserve">$2.27 million to </w:t>
      </w:r>
      <w:r w:rsidR="006F7A1F">
        <w:rPr>
          <w:rStyle w:val="normaltextrun"/>
        </w:rPr>
        <w:t>begin</w:t>
      </w:r>
      <w:r w:rsidR="006F7A1F" w:rsidRPr="00B82645">
        <w:rPr>
          <w:rStyle w:val="normaltextrun"/>
        </w:rPr>
        <w:t xml:space="preserve"> </w:t>
      </w:r>
      <w:r w:rsidRPr="00B82645">
        <w:rPr>
          <w:rStyle w:val="normaltextrun"/>
        </w:rPr>
        <w:t xml:space="preserve">mandatory junior medical officer rotations in psychiatry </w:t>
      </w:r>
    </w:p>
    <w:p w14:paraId="7FCA509F" w14:textId="3B5D0B5E" w:rsidR="004C502B" w:rsidRPr="00B82645" w:rsidRDefault="00804B03" w:rsidP="004C502B">
      <w:pPr>
        <w:pStyle w:val="DHHSbullet2"/>
      </w:pPr>
      <w:r>
        <w:rPr>
          <w:rStyle w:val="normaltextrun"/>
        </w:rPr>
        <w:t>$</w:t>
      </w:r>
      <w:r w:rsidR="004C502B" w:rsidRPr="00B82645">
        <w:rPr>
          <w:rStyle w:val="normaltextrun"/>
        </w:rPr>
        <w:t xml:space="preserve">4.28 million to establish 60 new nurse graduate placements </w:t>
      </w:r>
    </w:p>
    <w:p w14:paraId="0F83E218" w14:textId="5779110D" w:rsidR="004C502B" w:rsidRPr="00B82645" w:rsidRDefault="004C502B" w:rsidP="004C502B">
      <w:pPr>
        <w:pStyle w:val="DHHSbullet1"/>
      </w:pPr>
      <w:r w:rsidRPr="00B82645">
        <w:t>$0.95 million to extend funding for the three new Hospital Outreach Post-</w:t>
      </w:r>
      <w:r w:rsidR="00385CA1">
        <w:t>s</w:t>
      </w:r>
      <w:r w:rsidRPr="00B82645">
        <w:t xml:space="preserve">uicidal Engagement (HOPE) sites </w:t>
      </w:r>
    </w:p>
    <w:p w14:paraId="51856FC9" w14:textId="51D1F1CA" w:rsidR="004C502B" w:rsidRDefault="004C502B" w:rsidP="004C502B">
      <w:pPr>
        <w:pStyle w:val="DHHSbullet1"/>
      </w:pPr>
      <w:r w:rsidRPr="00B82645">
        <w:t>$</w:t>
      </w:r>
      <w:r>
        <w:t>4.86</w:t>
      </w:r>
      <w:r w:rsidRPr="00B82645">
        <w:t xml:space="preserve"> million to fund 24 new Hospital</w:t>
      </w:r>
      <w:r w:rsidR="006F7A1F">
        <w:t xml:space="preserve"> </w:t>
      </w:r>
      <w:r w:rsidRPr="00B82645">
        <w:t>in</w:t>
      </w:r>
      <w:r w:rsidR="006F7A1F">
        <w:t xml:space="preserve"> </w:t>
      </w:r>
      <w:r w:rsidRPr="00B82645">
        <w:t>the</w:t>
      </w:r>
      <w:r w:rsidR="006F7A1F">
        <w:t xml:space="preserve"> </w:t>
      </w:r>
      <w:r w:rsidRPr="00B82645">
        <w:t xml:space="preserve">Home beds. </w:t>
      </w:r>
    </w:p>
    <w:p w14:paraId="4C55DA2D" w14:textId="7E35AA0C" w:rsidR="00833A55" w:rsidRDefault="00833A55" w:rsidP="00AA1A64">
      <w:pPr>
        <w:pStyle w:val="Heading2"/>
        <w:rPr>
          <w:rStyle w:val="normaltextrun"/>
        </w:rPr>
      </w:pPr>
      <w:bookmarkStart w:id="13" w:name="_Toc55379391"/>
      <w:r w:rsidRPr="00211018">
        <w:rPr>
          <w:rStyle w:val="normaltextrun"/>
        </w:rPr>
        <w:lastRenderedPageBreak/>
        <w:t xml:space="preserve">Mental </w:t>
      </w:r>
      <w:r>
        <w:rPr>
          <w:rStyle w:val="normaltextrun"/>
        </w:rPr>
        <w:t>Health Ministerial Advisory Committee</w:t>
      </w:r>
      <w:bookmarkEnd w:id="13"/>
    </w:p>
    <w:p w14:paraId="149FCF96" w14:textId="3E0FC71C" w:rsidR="00833A55" w:rsidRPr="000E4B05" w:rsidRDefault="00833A55" w:rsidP="00833A55">
      <w:pPr>
        <w:pStyle w:val="DHHSbody"/>
      </w:pPr>
      <w:r w:rsidRPr="000E4B05">
        <w:t>In early 2016</w:t>
      </w:r>
      <w:r w:rsidR="009A363F">
        <w:t>,</w:t>
      </w:r>
      <w:r w:rsidRPr="000E4B05">
        <w:t xml:space="preserve"> the Mental Health Expert Taskforce </w:t>
      </w:r>
      <w:r>
        <w:t xml:space="preserve">was </w:t>
      </w:r>
      <w:r w:rsidRPr="000E4B05">
        <w:t xml:space="preserve">convened to provide expert advice and guidance to the Minister for Mental Health on implementing </w:t>
      </w:r>
      <w:r w:rsidRPr="005728D9">
        <w:rPr>
          <w:i/>
          <w:iCs/>
        </w:rPr>
        <w:t>Victoria’s 10-year mental health plan</w:t>
      </w:r>
      <w:r w:rsidRPr="000E4B05">
        <w:t xml:space="preserve">. It was supported by four reference groups focusing on lived experience, workforce, innovation and Aboriginal health and wellbeing. The taskforce concluded as planned in February 2018. </w:t>
      </w:r>
    </w:p>
    <w:p w14:paraId="51EB5BCC" w14:textId="2BABDBE0" w:rsidR="00833A55" w:rsidRPr="000E4B05" w:rsidRDefault="00833A55" w:rsidP="00833A55">
      <w:pPr>
        <w:pStyle w:val="DHHSbody"/>
        <w:rPr>
          <w:rStyle w:val="Purple"/>
          <w:color w:val="auto"/>
        </w:rPr>
      </w:pPr>
      <w:r w:rsidRPr="000E4B05">
        <w:t>In June 2019</w:t>
      </w:r>
      <w:r>
        <w:t>,</w:t>
      </w:r>
      <w:r w:rsidRPr="000E4B05">
        <w:t xml:space="preserve"> the new Mental Health Ministerial Advisory Committee was established to oversee progress against the plan and related initiatives. </w:t>
      </w:r>
      <w:r w:rsidRPr="000E4B05">
        <w:rPr>
          <w:rStyle w:val="Purple"/>
          <w:color w:val="auto"/>
        </w:rPr>
        <w:t xml:space="preserve">In providing advice, the committee considers the conduct and recommendations of relevant </w:t>
      </w:r>
      <w:r w:rsidR="00385CA1">
        <w:rPr>
          <w:rStyle w:val="Purple"/>
          <w:color w:val="auto"/>
        </w:rPr>
        <w:t>r</w:t>
      </w:r>
      <w:r w:rsidRPr="000E4B05">
        <w:rPr>
          <w:rStyle w:val="Purple"/>
          <w:color w:val="auto"/>
        </w:rPr>
        <w:t xml:space="preserve">oyal </w:t>
      </w:r>
      <w:r w:rsidR="00385CA1">
        <w:rPr>
          <w:rStyle w:val="Purple"/>
          <w:color w:val="auto"/>
        </w:rPr>
        <w:t>c</w:t>
      </w:r>
      <w:r w:rsidRPr="000E4B05">
        <w:rPr>
          <w:rStyle w:val="Purple"/>
          <w:color w:val="auto"/>
        </w:rPr>
        <w:t xml:space="preserve">ommissions and federal and state inquiries, including the Royal Commission into Victoria’s Mental Health System. </w:t>
      </w:r>
    </w:p>
    <w:p w14:paraId="4D2D84B0" w14:textId="6C21BC4B" w:rsidR="00833A55" w:rsidRPr="000E4B05" w:rsidRDefault="00833A55" w:rsidP="00833A55">
      <w:pPr>
        <w:pStyle w:val="DHHSbody"/>
        <w:rPr>
          <w:rStyle w:val="Purple"/>
          <w:color w:val="auto"/>
        </w:rPr>
      </w:pPr>
      <w:r w:rsidRPr="000E4B05">
        <w:t>The committee is co-chaired by the Parliamentary Secretary for Mental Health, Harriet Shing MP, and Maggie Toko, a mental health consumer leader. Over the past year, key focus areas for the</w:t>
      </w:r>
      <w:r w:rsidRPr="000E4B05">
        <w:rPr>
          <w:rStyle w:val="Purple"/>
          <w:color w:val="auto"/>
        </w:rPr>
        <w:t xml:space="preserve"> committee have included mental health reform in Victoria, as well as national initiatives such as the Productivity Commission Inquiry into Mental Health and its implications for Victoria. Between October and December 2019, the committee established a time-limited working group to provide insights and feedback on the Royal Commission into Victoria’s Mental Health System</w:t>
      </w:r>
      <w:r w:rsidR="00385CA1">
        <w:rPr>
          <w:rStyle w:val="Purple"/>
          <w:color w:val="auto"/>
        </w:rPr>
        <w:t>’s</w:t>
      </w:r>
      <w:r w:rsidRPr="000E4B05">
        <w:rPr>
          <w:rStyle w:val="Purple"/>
          <w:color w:val="auto"/>
        </w:rPr>
        <w:t xml:space="preserve"> interim report and the Productivity Commission </w:t>
      </w:r>
      <w:r w:rsidR="00385CA1">
        <w:rPr>
          <w:rStyle w:val="Purple"/>
          <w:color w:val="auto"/>
        </w:rPr>
        <w:t>I</w:t>
      </w:r>
      <w:r w:rsidRPr="000E4B05">
        <w:rPr>
          <w:rStyle w:val="Purple"/>
          <w:color w:val="auto"/>
        </w:rPr>
        <w:t>nquiry into Mental Health</w:t>
      </w:r>
      <w:r w:rsidR="00385CA1">
        <w:rPr>
          <w:rStyle w:val="Purple"/>
          <w:color w:val="auto"/>
        </w:rPr>
        <w:t>’s</w:t>
      </w:r>
      <w:r w:rsidRPr="000E4B05">
        <w:rPr>
          <w:rStyle w:val="Purple"/>
          <w:color w:val="auto"/>
        </w:rPr>
        <w:t xml:space="preserve"> draft report. </w:t>
      </w:r>
    </w:p>
    <w:p w14:paraId="66483D23" w14:textId="79A25FBF" w:rsidR="00833A55" w:rsidRPr="000E4B05" w:rsidRDefault="00833A55" w:rsidP="00833A55">
      <w:pPr>
        <w:pStyle w:val="DHHSbody"/>
        <w:rPr>
          <w:rStyle w:val="Purple"/>
          <w:color w:val="auto"/>
        </w:rPr>
      </w:pPr>
      <w:r w:rsidRPr="000E4B05">
        <w:rPr>
          <w:rStyle w:val="Purple"/>
          <w:color w:val="auto"/>
        </w:rPr>
        <w:t xml:space="preserve">In 2020, the committee has focused on the mental health </w:t>
      </w:r>
      <w:r w:rsidR="00E51317">
        <w:rPr>
          <w:rStyle w:val="Purple"/>
          <w:color w:val="auto"/>
        </w:rPr>
        <w:t>coronavirus (COVID-19)</w:t>
      </w:r>
      <w:r w:rsidRPr="000E4B05">
        <w:rPr>
          <w:rStyle w:val="Purple"/>
          <w:color w:val="auto"/>
        </w:rPr>
        <w:t xml:space="preserve"> response, sharing insights on opportunities and learnings from </w:t>
      </w:r>
      <w:r w:rsidR="00385CA1">
        <w:rPr>
          <w:rStyle w:val="Purple"/>
          <w:color w:val="auto"/>
        </w:rPr>
        <w:t>Victoria’s</w:t>
      </w:r>
      <w:r w:rsidRPr="000E4B05">
        <w:rPr>
          <w:rStyle w:val="Purple"/>
          <w:color w:val="auto"/>
        </w:rPr>
        <w:t xml:space="preserve"> response. </w:t>
      </w:r>
    </w:p>
    <w:p w14:paraId="7C5E4273" w14:textId="65402E0D" w:rsidR="00833A55" w:rsidRPr="000E4B05" w:rsidRDefault="00833A55" w:rsidP="00833A55">
      <w:pPr>
        <w:pStyle w:val="DHHSbody"/>
      </w:pPr>
      <w:r w:rsidRPr="000E4B05">
        <w:rPr>
          <w:rStyle w:val="Purple"/>
          <w:color w:val="auto"/>
        </w:rPr>
        <w:t xml:space="preserve">The committee is supported by two standing subcommittees, the Lived Experience Advisory Group and the Mental Health Workforce Reference Group. </w:t>
      </w:r>
    </w:p>
    <w:p w14:paraId="24F1C934" w14:textId="7A84CF92" w:rsidR="00072C99" w:rsidRDefault="00072C99" w:rsidP="00AA1A64">
      <w:pPr>
        <w:pStyle w:val="Heading2"/>
        <w:rPr>
          <w:rFonts w:ascii="Calibri" w:hAnsi="Calibri"/>
        </w:rPr>
      </w:pPr>
      <w:bookmarkStart w:id="14" w:name="_Toc55379392"/>
      <w:r w:rsidRPr="00AA1A64">
        <w:t>Transition</w:t>
      </w:r>
      <w:r>
        <w:t xml:space="preserve"> to the National Disability Insurance Scheme</w:t>
      </w:r>
      <w:bookmarkEnd w:id="14"/>
      <w:r>
        <w:t xml:space="preserve"> </w:t>
      </w:r>
    </w:p>
    <w:p w14:paraId="791760D0" w14:textId="070AF0A1" w:rsidR="00072C99" w:rsidRDefault="00072C99" w:rsidP="00072C99">
      <w:pPr>
        <w:pStyle w:val="DHHSbody"/>
      </w:pPr>
      <w:r>
        <w:t xml:space="preserve">The NDIS is the national approach for providing support to Australians with a disability, their carers and families. This includes people with a severe, enduring psychosocial disability. </w:t>
      </w:r>
    </w:p>
    <w:p w14:paraId="028D9EA6" w14:textId="38D97EA3" w:rsidR="00754E86" w:rsidRPr="00451B64" w:rsidRDefault="00072C99" w:rsidP="00451B64">
      <w:pPr>
        <w:pStyle w:val="DHHSbody"/>
        <w:rPr>
          <w:rFonts w:ascii="Calibri" w:hAnsi="Calibri"/>
        </w:rPr>
      </w:pPr>
      <w:r>
        <w:t xml:space="preserve">Victoria began a staged rollout of the NDIS in 2016. The transition of clients of select state-funded </w:t>
      </w:r>
      <w:r w:rsidR="004E5425">
        <w:t>m</w:t>
      </w:r>
      <w:r>
        <w:t xml:space="preserve">ental </w:t>
      </w:r>
      <w:r w:rsidR="004E5425">
        <w:t>h</w:t>
      </w:r>
      <w:r>
        <w:t xml:space="preserve">ealth </w:t>
      </w:r>
      <w:r w:rsidR="004E5425">
        <w:t>c</w:t>
      </w:r>
      <w:r>
        <w:t xml:space="preserve">ommunity </w:t>
      </w:r>
      <w:r w:rsidR="004E5425">
        <w:t>s</w:t>
      </w:r>
      <w:r>
        <w:t xml:space="preserve">upport </w:t>
      </w:r>
      <w:r w:rsidR="004E5425">
        <w:t>s</w:t>
      </w:r>
      <w:r>
        <w:t xml:space="preserve">ervice (MHCSS) programs to the NDIS was completed on 31 March 2020. All funding associated with in-scope MHCSS programs has been transferred to the National Disability Insurance Agency (NDIA), forming part of Victoria’s $2.5 billion investment in the NDIS. </w:t>
      </w:r>
      <w:r w:rsidR="00754E86">
        <w:t xml:space="preserve">As </w:t>
      </w:r>
      <w:r w:rsidR="004E5425">
        <w:t xml:space="preserve">of </w:t>
      </w:r>
      <w:r w:rsidR="00754E86" w:rsidRPr="00451B64">
        <w:t xml:space="preserve">June 2020, 14,238 Victorian participants with a primary psychosocial disability had accessed the NDIS or had an approved NDIS plan. Just over 67 per cent of these participants were previously state-funded clients. </w:t>
      </w:r>
    </w:p>
    <w:p w14:paraId="7E33EB8D" w14:textId="3846943D" w:rsidR="00072C99" w:rsidRDefault="00072C99" w:rsidP="00072C99">
      <w:pPr>
        <w:pStyle w:val="DHHSbody"/>
      </w:pPr>
      <w:r>
        <w:t xml:space="preserve">The NDIS is evolving and there a number of reforms underway </w:t>
      </w:r>
      <w:r w:rsidR="004E5425">
        <w:t xml:space="preserve">that </w:t>
      </w:r>
      <w:r>
        <w:t xml:space="preserve">will </w:t>
      </w:r>
      <w:r w:rsidR="004E5425">
        <w:t xml:space="preserve">affect </w:t>
      </w:r>
      <w:r>
        <w:t>Victorian participants with a psychosocial disability and the providers who support them. The Victorian Government continues to work collaboratively with the NDIA, Commonwealth Government and other jurisdictions to ensure the NDIS delivers its intended benefits for people with a psychosocial disability.</w:t>
      </w:r>
    </w:p>
    <w:p w14:paraId="3FC9FF1F" w14:textId="1627EE97" w:rsidR="006F3DF8" w:rsidRDefault="006F3DF8" w:rsidP="00C00690">
      <w:pPr>
        <w:pStyle w:val="DHHSbody"/>
        <w:rPr>
          <w:rStyle w:val="normaltextrun"/>
        </w:rPr>
      </w:pPr>
      <w:r>
        <w:rPr>
          <w:rStyle w:val="normaltextrun"/>
        </w:rPr>
        <w:br w:type="page"/>
      </w:r>
    </w:p>
    <w:p w14:paraId="29B416FD" w14:textId="47E1E2E3" w:rsidR="00362BB7" w:rsidRDefault="00E34D4E" w:rsidP="0034743A">
      <w:pPr>
        <w:pStyle w:val="Heading1"/>
        <w:numPr>
          <w:ilvl w:val="0"/>
          <w:numId w:val="10"/>
        </w:numPr>
        <w:rPr>
          <w:rStyle w:val="normaltextrun"/>
        </w:rPr>
      </w:pPr>
      <w:bookmarkStart w:id="15" w:name="_Toc55379393"/>
      <w:r>
        <w:rPr>
          <w:rStyle w:val="normaltextrun"/>
        </w:rPr>
        <w:lastRenderedPageBreak/>
        <w:t xml:space="preserve">Progressing </w:t>
      </w:r>
      <w:r w:rsidR="005E433B">
        <w:rPr>
          <w:rStyle w:val="normaltextrun"/>
        </w:rPr>
        <w:t xml:space="preserve">Victoria’s </w:t>
      </w:r>
      <w:r>
        <w:rPr>
          <w:rStyle w:val="normaltextrun"/>
        </w:rPr>
        <w:t>10</w:t>
      </w:r>
      <w:r w:rsidR="00387B76">
        <w:rPr>
          <w:rStyle w:val="normaltextrun"/>
        </w:rPr>
        <w:t>-</w:t>
      </w:r>
      <w:r>
        <w:rPr>
          <w:rStyle w:val="normaltextrun"/>
        </w:rPr>
        <w:t xml:space="preserve">year </w:t>
      </w:r>
      <w:r w:rsidR="005E433B">
        <w:rPr>
          <w:rStyle w:val="normaltextrun"/>
        </w:rPr>
        <w:t>m</w:t>
      </w:r>
      <w:r>
        <w:rPr>
          <w:rStyle w:val="normaltextrun"/>
        </w:rPr>
        <w:t>e</w:t>
      </w:r>
      <w:r w:rsidR="004D5824">
        <w:rPr>
          <w:rStyle w:val="normaltextrun"/>
        </w:rPr>
        <w:t xml:space="preserve">ntal </w:t>
      </w:r>
      <w:r w:rsidR="005E433B">
        <w:rPr>
          <w:rStyle w:val="normaltextrun"/>
        </w:rPr>
        <w:t>h</w:t>
      </w:r>
      <w:r w:rsidR="004D5824">
        <w:rPr>
          <w:rStyle w:val="normaltextrun"/>
        </w:rPr>
        <w:t xml:space="preserve">ealth </w:t>
      </w:r>
      <w:r w:rsidR="005E433B">
        <w:rPr>
          <w:rStyle w:val="normaltextrun"/>
        </w:rPr>
        <w:t>p</w:t>
      </w:r>
      <w:r w:rsidR="004D5824">
        <w:rPr>
          <w:rStyle w:val="normaltextrun"/>
        </w:rPr>
        <w:t>lan</w:t>
      </w:r>
      <w:bookmarkEnd w:id="15"/>
    </w:p>
    <w:p w14:paraId="6F44B191" w14:textId="6CFC0534" w:rsidR="00387B76" w:rsidRDefault="00093AFC" w:rsidP="00387B76">
      <w:pPr>
        <w:pStyle w:val="DHHSbody"/>
      </w:pPr>
      <w:r w:rsidRPr="003B7D2F">
        <w:rPr>
          <w:i/>
        </w:rPr>
        <w:t>Victoria’s 10-year mental health plan</w:t>
      </w:r>
      <w:r w:rsidRPr="003B7D2F">
        <w:t xml:space="preserve"> </w:t>
      </w:r>
      <w:r>
        <w:t xml:space="preserve">was </w:t>
      </w:r>
      <w:r w:rsidRPr="003B7D2F">
        <w:t xml:space="preserve">released in November 2015. The plan sets </w:t>
      </w:r>
      <w:r w:rsidR="00A521FC">
        <w:t xml:space="preserve">out </w:t>
      </w:r>
      <w:r w:rsidRPr="003B7D2F">
        <w:t>the government’s long-term vision to improve the mental health and wellbeing of all Victorians.</w:t>
      </w:r>
      <w:r w:rsidR="00AC4E06">
        <w:t xml:space="preserve"> In the five years since </w:t>
      </w:r>
      <w:r w:rsidR="00387B76" w:rsidRPr="003B7D2F">
        <w:t xml:space="preserve">releasing the </w:t>
      </w:r>
      <w:r w:rsidR="00387B76" w:rsidRPr="00050333">
        <w:rPr>
          <w:iCs/>
        </w:rPr>
        <w:t>plan</w:t>
      </w:r>
      <w:r w:rsidR="00387B76" w:rsidRPr="003B7D2F">
        <w:t>, investment has focused on meeting growing demand for clinical services, boosting access to community-based services, expanding and diversifying the mental health workforce, suicide prevention, forensic mental health, and Aboriginal social and emotional wellbeing initiatives.</w:t>
      </w:r>
    </w:p>
    <w:p w14:paraId="5F6A995A" w14:textId="79CEABCE" w:rsidR="00B12C86" w:rsidRPr="00C35044" w:rsidRDefault="00C35044">
      <w:pPr>
        <w:pStyle w:val="DHHSbody"/>
      </w:pPr>
      <w:r>
        <w:t xml:space="preserve">The </w:t>
      </w:r>
      <w:r w:rsidR="000E4B05" w:rsidRPr="00050333">
        <w:rPr>
          <w:iCs/>
        </w:rPr>
        <w:t>10-year plan</w:t>
      </w:r>
      <w:r w:rsidR="000E4B05">
        <w:t xml:space="preserve"> identifies</w:t>
      </w:r>
      <w:r>
        <w:t xml:space="preserve"> </w:t>
      </w:r>
      <w:r w:rsidR="00EB56FD">
        <w:t>areas of focus for</w:t>
      </w:r>
      <w:r>
        <w:t xml:space="preserve"> achieving the government’s long</w:t>
      </w:r>
      <w:r w:rsidR="00385E88">
        <w:t>-</w:t>
      </w:r>
      <w:r>
        <w:t>term vision</w:t>
      </w:r>
      <w:r w:rsidR="00ED3BBF">
        <w:t xml:space="preserve"> and</w:t>
      </w:r>
      <w:r w:rsidR="000E4B05">
        <w:rPr>
          <w:lang w:val="en-US"/>
        </w:rPr>
        <w:t xml:space="preserve"> </w:t>
      </w:r>
      <w:r w:rsidRPr="00C35044">
        <w:rPr>
          <w:lang w:val="en-US"/>
        </w:rPr>
        <w:t xml:space="preserve">has a clear </w:t>
      </w:r>
      <w:r w:rsidR="00FB0F10" w:rsidRPr="00C35044">
        <w:rPr>
          <w:lang w:val="en-US"/>
        </w:rPr>
        <w:t>focus on</w:t>
      </w:r>
      <w:r w:rsidR="00BA59F8" w:rsidRPr="00C35044">
        <w:rPr>
          <w:lang w:val="en-US"/>
        </w:rPr>
        <w:t xml:space="preserve"> </w:t>
      </w:r>
      <w:r w:rsidR="00E96DE2" w:rsidRPr="00C35044">
        <w:rPr>
          <w:lang w:val="en-US"/>
        </w:rPr>
        <w:t>monitoring progress and reporting on outcomes</w:t>
      </w:r>
      <w:r w:rsidR="00097D27" w:rsidRPr="00C35044">
        <w:t xml:space="preserve">. </w:t>
      </w:r>
      <w:r w:rsidR="00B12C86" w:rsidRPr="00C35044">
        <w:t>The mental health outcome</w:t>
      </w:r>
      <w:r w:rsidR="00BA59F8" w:rsidRPr="00C35044">
        <w:t>s</w:t>
      </w:r>
      <w:r w:rsidR="00B12C86" w:rsidRPr="00C35044">
        <w:t xml:space="preserve"> framework</w:t>
      </w:r>
      <w:r w:rsidR="00BA59F8" w:rsidRPr="00C35044">
        <w:t>,</w:t>
      </w:r>
      <w:r w:rsidR="00B12C86" w:rsidRPr="00C35044">
        <w:t xml:space="preserve"> initially </w:t>
      </w:r>
      <w:r w:rsidR="00BA59F8" w:rsidRPr="00C35044">
        <w:t>described</w:t>
      </w:r>
      <w:r w:rsidR="00B12C86" w:rsidRPr="00C35044">
        <w:t xml:space="preserve"> in the plan</w:t>
      </w:r>
      <w:r w:rsidR="00BA59F8" w:rsidRPr="00C35044">
        <w:t>,</w:t>
      </w:r>
      <w:r w:rsidR="00B12C86" w:rsidRPr="00C35044">
        <w:t xml:space="preserve"> continues to be </w:t>
      </w:r>
      <w:r w:rsidR="003373E6" w:rsidRPr="00C35044">
        <w:t xml:space="preserve">further </w:t>
      </w:r>
      <w:r w:rsidR="00B12C86" w:rsidRPr="00C35044">
        <w:t>developed</w:t>
      </w:r>
      <w:r w:rsidR="003373E6" w:rsidRPr="00C35044">
        <w:t xml:space="preserve"> and makes an important contribution in </w:t>
      </w:r>
      <w:r w:rsidR="00B12C86" w:rsidRPr="00C35044">
        <w:t>measur</w:t>
      </w:r>
      <w:r w:rsidR="00ED3BBF">
        <w:t>ing</w:t>
      </w:r>
      <w:r w:rsidR="00B12C86" w:rsidRPr="00C35044">
        <w:t xml:space="preserve"> outcomes for people with a mental illness.</w:t>
      </w:r>
    </w:p>
    <w:p w14:paraId="162750F3" w14:textId="651595E6" w:rsidR="00211018" w:rsidRPr="00C35044" w:rsidRDefault="00FB7DC4" w:rsidP="003373E6">
      <w:pPr>
        <w:pStyle w:val="DHHSbody"/>
      </w:pPr>
      <w:r>
        <w:t>S</w:t>
      </w:r>
      <w:r w:rsidR="00ED3BBF">
        <w:t xml:space="preserve">everal </w:t>
      </w:r>
      <w:r w:rsidR="00E96DE2" w:rsidRPr="00C35044">
        <w:t>m</w:t>
      </w:r>
      <w:r w:rsidR="00387B76" w:rsidRPr="00C35044">
        <w:t>ajor strategies</w:t>
      </w:r>
      <w:r>
        <w:t xml:space="preserve"> have been</w:t>
      </w:r>
      <w:r w:rsidR="00387B76" w:rsidRPr="00C35044">
        <w:t xml:space="preserve"> </w:t>
      </w:r>
      <w:r w:rsidR="00097D27" w:rsidRPr="00C35044">
        <w:t>developed under the plan</w:t>
      </w:r>
      <w:r w:rsidR="00FB0F10" w:rsidRPr="00C35044">
        <w:t xml:space="preserve">. These strategies </w:t>
      </w:r>
      <w:r w:rsidR="00C35044" w:rsidRPr="00C35044">
        <w:t xml:space="preserve">help </w:t>
      </w:r>
      <w:r w:rsidR="00FB0F10" w:rsidRPr="00C35044">
        <w:t>guide investment and delivery of initiatives to improve outcomes for people with mental illness. The strategies include</w:t>
      </w:r>
      <w:r w:rsidR="00097D27" w:rsidRPr="00C35044">
        <w:t xml:space="preserve">: </w:t>
      </w:r>
    </w:p>
    <w:p w14:paraId="2DCE397D" w14:textId="77777777" w:rsidR="00387B76" w:rsidRPr="00C35044" w:rsidRDefault="00387B76" w:rsidP="005649E0">
      <w:pPr>
        <w:pStyle w:val="DHHSbullet1"/>
        <w:rPr>
          <w:i/>
          <w:lang w:val="en-US"/>
        </w:rPr>
      </w:pPr>
      <w:r w:rsidRPr="00EF4BB8">
        <w:rPr>
          <w:iCs/>
          <w:lang w:val="en-US"/>
        </w:rPr>
        <w:t>the</w:t>
      </w:r>
      <w:r w:rsidRPr="00C35044">
        <w:rPr>
          <w:i/>
          <w:lang w:val="en-US"/>
        </w:rPr>
        <w:t xml:space="preserve"> Mental health workforce strategy</w:t>
      </w:r>
    </w:p>
    <w:p w14:paraId="5B1B471C" w14:textId="77777777" w:rsidR="005649E0" w:rsidRPr="00C35044" w:rsidRDefault="005649E0" w:rsidP="005649E0">
      <w:pPr>
        <w:pStyle w:val="DHHSbullet1"/>
        <w:rPr>
          <w:i/>
          <w:lang w:val="en-US"/>
        </w:rPr>
      </w:pPr>
      <w:r w:rsidRPr="00EF4BB8">
        <w:rPr>
          <w:iCs/>
          <w:lang w:val="en-US"/>
        </w:rPr>
        <w:t xml:space="preserve">the </w:t>
      </w:r>
      <w:r w:rsidRPr="00C35044">
        <w:rPr>
          <w:i/>
          <w:lang w:val="en-US"/>
        </w:rPr>
        <w:t>Victorian suicide prevention framework 2016–25</w:t>
      </w:r>
    </w:p>
    <w:p w14:paraId="6FE11B47" w14:textId="6FFD77DF" w:rsidR="00097D27" w:rsidRPr="00C35044" w:rsidRDefault="00387B76" w:rsidP="003373E6">
      <w:pPr>
        <w:pStyle w:val="DHHSbullet1"/>
        <w:rPr>
          <w:i/>
          <w:iCs/>
          <w:lang w:val="en-US"/>
        </w:rPr>
      </w:pPr>
      <w:r w:rsidRPr="00C35044">
        <w:rPr>
          <w:i/>
          <w:iCs/>
          <w:lang w:val="en-US"/>
        </w:rPr>
        <w:t>Balit Murrup: Aboriginal social and emotional wellbeing framework 2017–2027</w:t>
      </w:r>
      <w:r w:rsidR="0024566A">
        <w:rPr>
          <w:lang w:val="en-US"/>
        </w:rPr>
        <w:t>.</w:t>
      </w:r>
    </w:p>
    <w:p w14:paraId="4D5DB019" w14:textId="49CA5040" w:rsidR="003373E6" w:rsidRPr="00C35044" w:rsidRDefault="00097D27" w:rsidP="00AA1A64">
      <w:pPr>
        <w:pStyle w:val="DHHSbodyafterbullets"/>
        <w:rPr>
          <w:lang w:val="en-US"/>
        </w:rPr>
      </w:pPr>
      <w:r w:rsidRPr="00C35044">
        <w:t>The</w:t>
      </w:r>
      <w:r w:rsidR="000E4B05">
        <w:t xml:space="preserve"> </w:t>
      </w:r>
      <w:r w:rsidR="00924676" w:rsidRPr="00050333">
        <w:rPr>
          <w:iCs/>
        </w:rPr>
        <w:t>10-year plan</w:t>
      </w:r>
      <w:r w:rsidR="000E4B05">
        <w:t xml:space="preserve"> describes</w:t>
      </w:r>
      <w:r w:rsidRPr="00C35044">
        <w:t xml:space="preserve"> the </w:t>
      </w:r>
      <w:r w:rsidR="00947BAD">
        <w:t xml:space="preserve">importance </w:t>
      </w:r>
      <w:r w:rsidRPr="00C35044">
        <w:t>of engag</w:t>
      </w:r>
      <w:r w:rsidR="00947BAD">
        <w:t>ing and working productively</w:t>
      </w:r>
      <w:r w:rsidRPr="00C35044">
        <w:t xml:space="preserve"> with </w:t>
      </w:r>
      <w:r w:rsidRPr="00C35044">
        <w:rPr>
          <w:lang w:val="en-US"/>
        </w:rPr>
        <w:t>people with a mental illness and their families and carers</w:t>
      </w:r>
      <w:r w:rsidR="00EC329F">
        <w:rPr>
          <w:lang w:val="en-US"/>
        </w:rPr>
        <w:t>,</w:t>
      </w:r>
      <w:r w:rsidRPr="00C35044">
        <w:rPr>
          <w:lang w:val="en-US"/>
        </w:rPr>
        <w:t xml:space="preserve"> </w:t>
      </w:r>
      <w:r w:rsidRPr="006C224E">
        <w:rPr>
          <w:color w:val="000000" w:themeColor="text1"/>
          <w:lang w:val="en-US"/>
        </w:rPr>
        <w:t xml:space="preserve">and the </w:t>
      </w:r>
      <w:r w:rsidR="006C224E">
        <w:rPr>
          <w:color w:val="000000" w:themeColor="text1"/>
          <w:lang w:val="en-US"/>
        </w:rPr>
        <w:t>value</w:t>
      </w:r>
      <w:r w:rsidR="00EC329F" w:rsidRPr="006C224E">
        <w:rPr>
          <w:color w:val="000000" w:themeColor="text1"/>
          <w:lang w:val="en-US"/>
        </w:rPr>
        <w:t xml:space="preserve"> </w:t>
      </w:r>
      <w:r w:rsidR="00C35044" w:rsidRPr="006C224E">
        <w:rPr>
          <w:color w:val="000000" w:themeColor="text1"/>
          <w:lang w:val="en-US"/>
        </w:rPr>
        <w:t>of</w:t>
      </w:r>
      <w:r w:rsidRPr="006C224E">
        <w:rPr>
          <w:color w:val="000000" w:themeColor="text1"/>
          <w:lang w:val="en-US"/>
        </w:rPr>
        <w:t xml:space="preserve"> co-production of policy and services. </w:t>
      </w:r>
      <w:r w:rsidRPr="00C35044">
        <w:rPr>
          <w:lang w:val="en-US"/>
        </w:rPr>
        <w:t xml:space="preserve">The role of expert advice and guidance </w:t>
      </w:r>
      <w:r w:rsidR="00ED3BBF">
        <w:rPr>
          <w:lang w:val="en-US"/>
        </w:rPr>
        <w:t xml:space="preserve">is </w:t>
      </w:r>
      <w:r w:rsidRPr="00C35044">
        <w:rPr>
          <w:lang w:val="en-US"/>
        </w:rPr>
        <w:t>also a key feature of the plan.</w:t>
      </w:r>
    </w:p>
    <w:p w14:paraId="58A1E482" w14:textId="08248714" w:rsidR="00FB0F10" w:rsidRDefault="00FB0F10" w:rsidP="00FB0F10">
      <w:pPr>
        <w:pStyle w:val="DHHSbody"/>
      </w:pPr>
      <w:r w:rsidRPr="00FB0F10">
        <w:t xml:space="preserve">Progress on </w:t>
      </w:r>
      <w:r w:rsidR="00C35044">
        <w:t>these focus</w:t>
      </w:r>
      <w:r w:rsidRPr="00FB0F10">
        <w:t xml:space="preserve"> areas </w:t>
      </w:r>
      <w:r>
        <w:t xml:space="preserve">during </w:t>
      </w:r>
      <w:r w:rsidR="00894D3B">
        <w:t>2019–20</w:t>
      </w:r>
      <w:r>
        <w:t xml:space="preserve"> </w:t>
      </w:r>
      <w:r w:rsidR="00CA2BFF">
        <w:t>is</w:t>
      </w:r>
      <w:r w:rsidR="00CA2BFF" w:rsidRPr="00FB0F10">
        <w:t xml:space="preserve"> </w:t>
      </w:r>
      <w:r w:rsidRPr="00FB0F10">
        <w:t xml:space="preserve">outlined </w:t>
      </w:r>
      <w:r w:rsidR="00FB7DC4">
        <w:t>here</w:t>
      </w:r>
      <w:r w:rsidRPr="00FB0F10">
        <w:t>.</w:t>
      </w:r>
    </w:p>
    <w:p w14:paraId="0321B026" w14:textId="71757D7D" w:rsidR="00776F97" w:rsidRDefault="00474731" w:rsidP="00D42EF4">
      <w:pPr>
        <w:pStyle w:val="Heading2"/>
      </w:pPr>
      <w:bookmarkStart w:id="16" w:name="_Toc55379394"/>
      <w:r>
        <w:t xml:space="preserve">Outcomes </w:t>
      </w:r>
      <w:r w:rsidR="001E20D2">
        <w:t>f</w:t>
      </w:r>
      <w:r>
        <w:t>ramework</w:t>
      </w:r>
      <w:bookmarkEnd w:id="16"/>
    </w:p>
    <w:p w14:paraId="538B6743" w14:textId="435C273C" w:rsidR="001149C7" w:rsidRPr="003B7D2F" w:rsidRDefault="001149C7" w:rsidP="001149C7">
      <w:pPr>
        <w:pStyle w:val="DHHSbody"/>
      </w:pPr>
      <w:r w:rsidRPr="003B7D2F">
        <w:t xml:space="preserve">Monitoring progress and reporting on outcomes </w:t>
      </w:r>
      <w:r w:rsidR="0033330F" w:rsidRPr="0033330F">
        <w:t xml:space="preserve">under </w:t>
      </w:r>
      <w:r w:rsidR="00924676">
        <w:t>the</w:t>
      </w:r>
      <w:r w:rsidR="0033330F" w:rsidRPr="0033330F">
        <w:t xml:space="preserve"> </w:t>
      </w:r>
      <w:r w:rsidR="0033330F" w:rsidRPr="00050333">
        <w:t>10-year plan</w:t>
      </w:r>
      <w:r w:rsidR="0033330F" w:rsidRPr="0033330F">
        <w:t xml:space="preserve"> </w:t>
      </w:r>
      <w:r w:rsidRPr="003B7D2F">
        <w:t xml:space="preserve">helps </w:t>
      </w:r>
      <w:r w:rsidR="00924676">
        <w:t>to</w:t>
      </w:r>
      <w:r w:rsidRPr="003B7D2F">
        <w:t xml:space="preserve"> understand the impact of </w:t>
      </w:r>
      <w:r w:rsidR="0033330F" w:rsidRPr="0033330F">
        <w:t xml:space="preserve">our </w:t>
      </w:r>
      <w:r w:rsidRPr="003B7D2F">
        <w:t xml:space="preserve">programs and services on </w:t>
      </w:r>
      <w:r w:rsidR="0033330F" w:rsidRPr="0033330F">
        <w:t>people's</w:t>
      </w:r>
      <w:r w:rsidRPr="003B7D2F">
        <w:t xml:space="preserve"> lives over time. Building evidence around what works allows us to assess whether services and programs are effective and to identify what needs improving.</w:t>
      </w:r>
    </w:p>
    <w:p w14:paraId="1ACB06E4" w14:textId="35FE6F0F" w:rsidR="00097D27" w:rsidRDefault="00C35044" w:rsidP="001149C7">
      <w:pPr>
        <w:pStyle w:val="DHHSbody"/>
      </w:pPr>
      <w:r>
        <w:t xml:space="preserve">The </w:t>
      </w:r>
      <w:r w:rsidR="5BE682CB">
        <w:t>four</w:t>
      </w:r>
      <w:r>
        <w:t xml:space="preserve"> domains in the outcomes framework highlight high</w:t>
      </w:r>
      <w:r w:rsidR="0062665A">
        <w:t>-</w:t>
      </w:r>
      <w:r w:rsidR="00A61EC0">
        <w:t xml:space="preserve">level </w:t>
      </w:r>
      <w:r>
        <w:t>areas of focus</w:t>
      </w:r>
      <w:r w:rsidR="002C359E">
        <w:t>,</w:t>
      </w:r>
      <w:r w:rsidR="0033330F">
        <w:t xml:space="preserve"> with the </w:t>
      </w:r>
      <w:r w:rsidR="15A6D74E">
        <w:t xml:space="preserve">16 </w:t>
      </w:r>
      <w:r w:rsidR="00724264">
        <w:t xml:space="preserve">outcomes </w:t>
      </w:r>
      <w:r w:rsidR="00211018">
        <w:t>reflect</w:t>
      </w:r>
      <w:r w:rsidR="0033330F">
        <w:t>ing</w:t>
      </w:r>
      <w:r w:rsidR="00211018">
        <w:t xml:space="preserve"> </w:t>
      </w:r>
      <w:r w:rsidR="00724264">
        <w:t>the</w:t>
      </w:r>
      <w:r w:rsidR="00211018">
        <w:t xml:space="preserve"> long</w:t>
      </w:r>
      <w:r w:rsidR="0062665A">
        <w:t>-</w:t>
      </w:r>
      <w:r w:rsidR="00211018">
        <w:t>term goal of improving the mental health of all Victorians</w:t>
      </w:r>
      <w:r w:rsidR="0033330F">
        <w:t xml:space="preserve">. </w:t>
      </w:r>
      <w:r w:rsidR="0033330F" w:rsidRPr="0033330F">
        <w:t>The framework incorporates a range of indicators relating to system performance, clinical outcomes and consumer experience</w:t>
      </w:r>
      <w:r w:rsidR="008C4D93">
        <w:t>. I</w:t>
      </w:r>
      <w:r w:rsidR="00097D27">
        <w:t xml:space="preserve">ndicators </w:t>
      </w:r>
      <w:r w:rsidR="00724264">
        <w:t xml:space="preserve">are used to </w:t>
      </w:r>
      <w:r w:rsidR="00097D27" w:rsidRPr="003B7D2F">
        <w:t xml:space="preserve">track whether initiatives and programs are contributing to better outcomes </w:t>
      </w:r>
      <w:r w:rsidR="00097D27">
        <w:t>for people with a mental illness.</w:t>
      </w:r>
    </w:p>
    <w:p w14:paraId="72A6298B" w14:textId="77777777" w:rsidR="007C32BD" w:rsidRDefault="00097D27" w:rsidP="001149C7">
      <w:pPr>
        <w:pStyle w:val="DHHSbody"/>
      </w:pPr>
      <w:r>
        <w:t xml:space="preserve">The </w:t>
      </w:r>
      <w:r w:rsidR="000DABD0">
        <w:t xml:space="preserve">four </w:t>
      </w:r>
      <w:r>
        <w:t>d</w:t>
      </w:r>
      <w:r w:rsidR="00A521FC">
        <w:t>omains and</w:t>
      </w:r>
      <w:r w:rsidR="003C213C">
        <w:t xml:space="preserve"> </w:t>
      </w:r>
      <w:r w:rsidR="30161E87">
        <w:t>16</w:t>
      </w:r>
      <w:r w:rsidR="00A521FC">
        <w:t xml:space="preserve"> outcomes are shown </w:t>
      </w:r>
      <w:r w:rsidRPr="00F01D05">
        <w:t xml:space="preserve">in the table </w:t>
      </w:r>
      <w:r w:rsidR="00A521FC" w:rsidRPr="00F01D05">
        <w:t>below</w:t>
      </w:r>
      <w:r w:rsidR="007C32BD">
        <w:t xml:space="preserve">. </w:t>
      </w:r>
    </w:p>
    <w:p w14:paraId="4651006A" w14:textId="592C18FF" w:rsidR="004421E5" w:rsidRPr="004421E5" w:rsidRDefault="00FB7DC4" w:rsidP="004421E5">
      <w:pPr>
        <w:pStyle w:val="DHHSbody"/>
      </w:pPr>
      <w:r>
        <w:t>This chapter provides</w:t>
      </w:r>
      <w:r w:rsidR="008B4718">
        <w:t xml:space="preserve"> a brief summary of the domain, </w:t>
      </w:r>
      <w:r w:rsidR="006F4416">
        <w:t xml:space="preserve">data on </w:t>
      </w:r>
      <w:r w:rsidR="0029014C">
        <w:t xml:space="preserve">key </w:t>
      </w:r>
      <w:r w:rsidR="006F4416">
        <w:t>indicators</w:t>
      </w:r>
      <w:r w:rsidR="006E5922">
        <w:t>,</w:t>
      </w:r>
      <w:r w:rsidR="006F4416">
        <w:t xml:space="preserve"> </w:t>
      </w:r>
      <w:r w:rsidR="008F70D9">
        <w:t>and progress on implementing projects</w:t>
      </w:r>
      <w:r w:rsidR="002F1768">
        <w:t>, strategies and</w:t>
      </w:r>
      <w:r w:rsidR="006E5922">
        <w:t xml:space="preserve"> initiatives</w:t>
      </w:r>
      <w:r w:rsidR="008F70D9">
        <w:t xml:space="preserve"> relevant to the domain</w:t>
      </w:r>
      <w:r w:rsidR="0062665A">
        <w:t>.</w:t>
      </w:r>
    </w:p>
    <w:p w14:paraId="42565D58" w14:textId="2BC63D0D" w:rsidR="00072C99" w:rsidRDefault="00C43D1B" w:rsidP="00072C99">
      <w:pPr>
        <w:pStyle w:val="DHHSbody"/>
      </w:pPr>
      <w:r>
        <w:t xml:space="preserve">Results for all indicators are set out in full in Appendix 1, with </w:t>
      </w:r>
      <w:r w:rsidR="0035379A">
        <w:t xml:space="preserve">key indicators to note this year discussed in this section. </w:t>
      </w:r>
      <w:r w:rsidR="008C0B4E">
        <w:t xml:space="preserve">The most recently available data has </w:t>
      </w:r>
      <w:r w:rsidR="00B53AFD">
        <w:t>been included</w:t>
      </w:r>
      <w:r w:rsidR="00395D50">
        <w:t xml:space="preserve">. </w:t>
      </w:r>
      <w:r w:rsidR="003B187C">
        <w:t xml:space="preserve">It should be noted that updated data is unavailable </w:t>
      </w:r>
      <w:r w:rsidR="00302793">
        <w:t xml:space="preserve">for </w:t>
      </w:r>
      <w:r w:rsidR="00B1414E">
        <w:t xml:space="preserve">indicators relating to the </w:t>
      </w:r>
      <w:r w:rsidR="0062665A" w:rsidRPr="08387189">
        <w:t xml:space="preserve">Your Experience </w:t>
      </w:r>
      <w:r w:rsidR="0062665A">
        <w:t xml:space="preserve">of </w:t>
      </w:r>
      <w:r w:rsidR="0062665A" w:rsidRPr="08387189">
        <w:t xml:space="preserve">Service </w:t>
      </w:r>
      <w:r w:rsidR="0062665A">
        <w:t>(</w:t>
      </w:r>
      <w:r w:rsidR="00B1414E">
        <w:t>YES</w:t>
      </w:r>
      <w:r w:rsidR="0062665A">
        <w:t>)</w:t>
      </w:r>
      <w:r w:rsidR="00B1414E">
        <w:t xml:space="preserve"> survey </w:t>
      </w:r>
      <w:r w:rsidR="00857DF8">
        <w:t xml:space="preserve">(indicators 13.5, </w:t>
      </w:r>
      <w:r w:rsidR="00003615">
        <w:t>14.6, 15.1, 15.2, 16.6 and 16.7</w:t>
      </w:r>
      <w:r w:rsidR="00B80139">
        <w:t xml:space="preserve">). </w:t>
      </w:r>
      <w:r w:rsidR="00C72F02">
        <w:t xml:space="preserve">Updated data was also unavailable for indicators relating to the </w:t>
      </w:r>
      <w:r w:rsidR="00C72F02" w:rsidRPr="003224D8">
        <w:rPr>
          <w:rStyle w:val="normaltextrun"/>
        </w:rPr>
        <w:t>National Assessment Program</w:t>
      </w:r>
      <w:r w:rsidR="00B96DA0">
        <w:rPr>
          <w:rStyle w:val="normaltextrun"/>
        </w:rPr>
        <w:t xml:space="preserve"> – </w:t>
      </w:r>
      <w:r w:rsidR="00C72F02" w:rsidRPr="003224D8">
        <w:rPr>
          <w:rStyle w:val="normaltextrun"/>
        </w:rPr>
        <w:t>Literacy and Numeracy (NAPLAN)</w:t>
      </w:r>
      <w:r w:rsidR="00C72F02">
        <w:rPr>
          <w:rStyle w:val="normaltextrun"/>
        </w:rPr>
        <w:t xml:space="preserve"> (indicators 7.1, 7.2, 7.3 and 7.4).</w:t>
      </w:r>
      <w:r w:rsidR="00C72F02" w:rsidRPr="003224D8">
        <w:rPr>
          <w:rStyle w:val="normaltextrun"/>
        </w:rPr>
        <w:t xml:space="preserve"> </w:t>
      </w:r>
      <w:r w:rsidR="00B80139">
        <w:t xml:space="preserve">For these items, data published in the </w:t>
      </w:r>
      <w:r w:rsidR="00BA6AC1">
        <w:t>2018–19</w:t>
      </w:r>
      <w:r w:rsidR="00B80139">
        <w:t xml:space="preserve"> annual report has been reproduced</w:t>
      </w:r>
      <w:r w:rsidR="00A521FC" w:rsidRPr="00F01D05">
        <w:t xml:space="preserve">. </w:t>
      </w:r>
    </w:p>
    <w:p w14:paraId="5D937154" w14:textId="77777777" w:rsidR="00000C9E" w:rsidRPr="00072C99" w:rsidRDefault="00000C9E" w:rsidP="00072C99">
      <w:pPr>
        <w:pStyle w:val="DHHSbody"/>
      </w:pPr>
    </w:p>
    <w:tbl>
      <w:tblPr>
        <w:tblStyle w:val="TableGrid"/>
        <w:tblW w:w="0" w:type="auto"/>
        <w:tblLook w:val="04A0" w:firstRow="1" w:lastRow="0" w:firstColumn="1" w:lastColumn="0" w:noHBand="0" w:noVBand="1"/>
      </w:tblPr>
      <w:tblGrid>
        <w:gridCol w:w="9288"/>
      </w:tblGrid>
      <w:tr w:rsidR="0056019C" w14:paraId="6FD99DE2" w14:textId="77777777" w:rsidTr="0056019C">
        <w:tc>
          <w:tcPr>
            <w:tcW w:w="9288" w:type="dxa"/>
          </w:tcPr>
          <w:p w14:paraId="595F8D50" w14:textId="415310B5" w:rsidR="0056019C" w:rsidRPr="00783CB6" w:rsidRDefault="00B7098B" w:rsidP="00CE40D6">
            <w:pPr>
              <w:pStyle w:val="DHHStablecaption"/>
            </w:pPr>
            <w:r w:rsidRPr="00783CB6">
              <w:lastRenderedPageBreak/>
              <w:t>Continued development of the outcomes framework</w:t>
            </w:r>
          </w:p>
          <w:p w14:paraId="1F5BC320" w14:textId="5352E035" w:rsidR="00B7098B" w:rsidRDefault="00092663" w:rsidP="006F3DF8">
            <w:pPr>
              <w:pStyle w:val="DHHStabletext"/>
            </w:pPr>
            <w:r w:rsidRPr="00D73EB5">
              <w:rPr>
                <w:rStyle w:val="normaltextrun"/>
              </w:rPr>
              <w:t>The outcomes framework, and its indicators, measure and monitor how our programs and services are contributing to improved outcomes for people with mental illness. </w:t>
            </w:r>
            <w:r w:rsidR="00B7098B">
              <w:t>The</w:t>
            </w:r>
            <w:r w:rsidR="00B7098B" w:rsidDel="00C4249E">
              <w:t xml:space="preserve"> </w:t>
            </w:r>
            <w:r w:rsidR="00B7098B">
              <w:t xml:space="preserve">framework </w:t>
            </w:r>
            <w:r w:rsidR="00B22E37">
              <w:t>is intended to be dynamic, and the continuing development of valid and meaningful indicators</w:t>
            </w:r>
            <w:r w:rsidR="00B22E37" w:rsidDel="00B22E37">
              <w:t xml:space="preserve"> </w:t>
            </w:r>
            <w:r w:rsidR="00B7098B">
              <w:t xml:space="preserve">will require ongoing work across government </w:t>
            </w:r>
          </w:p>
          <w:p w14:paraId="58A7AF77" w14:textId="324A07EF" w:rsidR="005B66EA" w:rsidRPr="005B66EA" w:rsidRDefault="005729EB" w:rsidP="006F3DF8">
            <w:pPr>
              <w:pStyle w:val="DHHStabletext"/>
              <w:rPr>
                <w:rStyle w:val="normaltextrun"/>
              </w:rPr>
            </w:pPr>
            <w:r w:rsidRPr="00D73EB5">
              <w:rPr>
                <w:rStyle w:val="normaltextrun"/>
              </w:rPr>
              <w:t>The </w:t>
            </w:r>
            <w:r w:rsidR="0062665A">
              <w:rPr>
                <w:rStyle w:val="normaltextrun"/>
              </w:rPr>
              <w:t>coronavirus (</w:t>
            </w:r>
            <w:r w:rsidRPr="00D73EB5">
              <w:rPr>
                <w:rStyle w:val="normaltextrun"/>
              </w:rPr>
              <w:t>COVID-19</w:t>
            </w:r>
            <w:r w:rsidR="0062665A">
              <w:rPr>
                <w:rStyle w:val="normaltextrun"/>
              </w:rPr>
              <w:t>)</w:t>
            </w:r>
            <w:r w:rsidRPr="00D73EB5">
              <w:rPr>
                <w:rStyle w:val="normaltextrun"/>
              </w:rPr>
              <w:t> pandemic has affected delivery of some surveys, and the capacity of departments and services to undertake new developmental work on indicators has been reduced.</w:t>
            </w:r>
            <w:r w:rsidR="00C4249E">
              <w:rPr>
                <w:rStyle w:val="normaltextrun"/>
              </w:rPr>
              <w:t xml:space="preserve"> It has therefore not been possible </w:t>
            </w:r>
            <w:r w:rsidR="00C4249E" w:rsidRPr="00D73EB5">
              <w:rPr>
                <w:rStyle w:val="normaltextrun"/>
              </w:rPr>
              <w:t>to add new indicators</w:t>
            </w:r>
            <w:r w:rsidR="00C4249E">
              <w:rPr>
                <w:rStyle w:val="normaltextrun"/>
              </w:rPr>
              <w:t xml:space="preserve"> this year,</w:t>
            </w:r>
            <w:r w:rsidR="00C4249E" w:rsidRPr="00D73EB5">
              <w:rPr>
                <w:rStyle w:val="normaltextrun"/>
              </w:rPr>
              <w:t xml:space="preserve"> or</w:t>
            </w:r>
            <w:r w:rsidR="00C4249E">
              <w:rPr>
                <w:rStyle w:val="normaltextrun"/>
              </w:rPr>
              <w:t xml:space="preserve"> to provide</w:t>
            </w:r>
            <w:r w:rsidR="00C4249E" w:rsidRPr="00D73EB5">
              <w:rPr>
                <w:rStyle w:val="normaltextrun"/>
              </w:rPr>
              <w:t xml:space="preserve"> update</w:t>
            </w:r>
            <w:r w:rsidR="00C4249E">
              <w:rPr>
                <w:rStyle w:val="normaltextrun"/>
              </w:rPr>
              <w:t>d</w:t>
            </w:r>
            <w:r w:rsidR="00C4249E" w:rsidRPr="00D73EB5">
              <w:rPr>
                <w:rStyle w:val="normaltextrun"/>
              </w:rPr>
              <w:t xml:space="preserve"> data on all the existing indicators.</w:t>
            </w:r>
          </w:p>
          <w:p w14:paraId="2E50E982" w14:textId="48AE9858" w:rsidR="00B12A20" w:rsidRDefault="00250A9D" w:rsidP="006F3DF8">
            <w:pPr>
              <w:pStyle w:val="DHHStabletext"/>
              <w:rPr>
                <w:rStyle w:val="normaltextrun"/>
              </w:rPr>
            </w:pPr>
            <w:r>
              <w:rPr>
                <w:rStyle w:val="normaltextrun"/>
              </w:rPr>
              <w:t xml:space="preserve">In June 2020, </w:t>
            </w:r>
            <w:r w:rsidR="00A14FFF">
              <w:rPr>
                <w:rStyle w:val="normaltextrun"/>
              </w:rPr>
              <w:t xml:space="preserve">the department’s Priority Reform Subcommittee of the Executive Board endorsed </w:t>
            </w:r>
            <w:r w:rsidR="003569D5">
              <w:rPr>
                <w:rStyle w:val="normaltextrun"/>
              </w:rPr>
              <w:t xml:space="preserve">a new </w:t>
            </w:r>
            <w:r w:rsidR="003569D5">
              <w:rPr>
                <w:rStyle w:val="normaltextrun"/>
                <w:i/>
                <w:iCs/>
              </w:rPr>
              <w:t>Mental health performance and accountability framework</w:t>
            </w:r>
            <w:r w:rsidR="00A14FFF">
              <w:rPr>
                <w:rStyle w:val="normaltextrun"/>
              </w:rPr>
              <w:t>.</w:t>
            </w:r>
            <w:r w:rsidR="00AD4E92">
              <w:rPr>
                <w:rStyle w:val="normaltextrun"/>
              </w:rPr>
              <w:t xml:space="preserve"> </w:t>
            </w:r>
            <w:r w:rsidR="00A14FFF">
              <w:rPr>
                <w:rStyle w:val="normaltextrun"/>
              </w:rPr>
              <w:t>The new framework</w:t>
            </w:r>
            <w:r w:rsidR="008B4C70">
              <w:rPr>
                <w:rStyle w:val="normaltextrun"/>
              </w:rPr>
              <w:t xml:space="preserve"> was subsequently shared with the Royal Commission into Victoria’s Mental Health System. </w:t>
            </w:r>
            <w:r w:rsidR="009B5E94">
              <w:rPr>
                <w:rStyle w:val="normaltextrun"/>
              </w:rPr>
              <w:t>A</w:t>
            </w:r>
            <w:r w:rsidR="00156A17">
              <w:rPr>
                <w:rStyle w:val="normaltextrun"/>
              </w:rPr>
              <w:t xml:space="preserve">dvice on its development was provided by </w:t>
            </w:r>
            <w:r w:rsidR="00CE774A">
              <w:rPr>
                <w:rStyle w:val="normaltextrun"/>
              </w:rPr>
              <w:t>a working group</w:t>
            </w:r>
            <w:r w:rsidR="009B5E94">
              <w:rPr>
                <w:rStyle w:val="normaltextrun"/>
              </w:rPr>
              <w:t xml:space="preserve"> </w:t>
            </w:r>
            <w:r w:rsidR="00A14FFF">
              <w:rPr>
                <w:rStyle w:val="normaltextrun"/>
              </w:rPr>
              <w:t xml:space="preserve">that </w:t>
            </w:r>
            <w:r w:rsidR="00EF7547">
              <w:rPr>
                <w:rStyle w:val="normaltextrun"/>
              </w:rPr>
              <w:t>include</w:t>
            </w:r>
            <w:r w:rsidR="00156A17">
              <w:rPr>
                <w:rStyle w:val="normaltextrun"/>
              </w:rPr>
              <w:t>d</w:t>
            </w:r>
            <w:r w:rsidR="00EF7547">
              <w:rPr>
                <w:rStyle w:val="normaltextrun"/>
              </w:rPr>
              <w:t xml:space="preserve"> representatives from consumer and carer organisations, clinical mental health services, </w:t>
            </w:r>
            <w:r w:rsidR="00156A17">
              <w:rPr>
                <w:rStyle w:val="normaltextrun"/>
              </w:rPr>
              <w:t xml:space="preserve">the Mental Health Tribunal, </w:t>
            </w:r>
            <w:r w:rsidR="00A14FFF">
              <w:rPr>
                <w:rStyle w:val="normaltextrun"/>
              </w:rPr>
              <w:t xml:space="preserve">the </w:t>
            </w:r>
            <w:r w:rsidR="00156A17">
              <w:rPr>
                <w:rStyle w:val="normaltextrun"/>
              </w:rPr>
              <w:t>Mental Health Complaints Commissioner, universities, the Victorian Agency for Health Information, Safer Care Victoria and the Office of the Chief Psychiatrist.</w:t>
            </w:r>
          </w:p>
          <w:p w14:paraId="7079009C" w14:textId="3C4CC1FE" w:rsidR="00122011" w:rsidRDefault="008B0C22" w:rsidP="006F3DF8">
            <w:pPr>
              <w:pStyle w:val="DHHStabletext"/>
              <w:rPr>
                <w:rStyle w:val="normaltextrun"/>
              </w:rPr>
            </w:pPr>
            <w:r>
              <w:rPr>
                <w:rStyle w:val="normaltextrun"/>
              </w:rPr>
              <w:t xml:space="preserve">The </w:t>
            </w:r>
            <w:r>
              <w:rPr>
                <w:rStyle w:val="normaltextrun"/>
                <w:i/>
                <w:iCs/>
              </w:rPr>
              <w:t xml:space="preserve">Mental health performance and accountability framework </w:t>
            </w:r>
            <w:r>
              <w:rPr>
                <w:rStyle w:val="normaltextrun"/>
              </w:rPr>
              <w:t xml:space="preserve">is a companion document to the </w:t>
            </w:r>
            <w:r>
              <w:rPr>
                <w:rStyle w:val="normaltextrun"/>
                <w:i/>
                <w:iCs/>
              </w:rPr>
              <w:t xml:space="preserve">Victorian health services </w:t>
            </w:r>
            <w:r w:rsidR="00A14FFF">
              <w:rPr>
                <w:rStyle w:val="normaltextrun"/>
                <w:i/>
                <w:iCs/>
              </w:rPr>
              <w:t>p</w:t>
            </w:r>
            <w:r>
              <w:rPr>
                <w:rStyle w:val="normaltextrun"/>
                <w:i/>
                <w:iCs/>
              </w:rPr>
              <w:t xml:space="preserve">erformance </w:t>
            </w:r>
            <w:r w:rsidR="00A14FFF">
              <w:rPr>
                <w:rStyle w:val="normaltextrun"/>
                <w:i/>
                <w:iCs/>
              </w:rPr>
              <w:t>m</w:t>
            </w:r>
            <w:r>
              <w:rPr>
                <w:rStyle w:val="normaltextrun"/>
                <w:i/>
                <w:iCs/>
              </w:rPr>
              <w:t xml:space="preserve">onitoring </w:t>
            </w:r>
            <w:r w:rsidR="00A14FFF">
              <w:rPr>
                <w:rStyle w:val="normaltextrun"/>
                <w:i/>
                <w:iCs/>
              </w:rPr>
              <w:t>f</w:t>
            </w:r>
            <w:r>
              <w:rPr>
                <w:rStyle w:val="normaltextrun"/>
                <w:i/>
                <w:iCs/>
              </w:rPr>
              <w:t>ramework</w:t>
            </w:r>
            <w:r>
              <w:rPr>
                <w:rStyle w:val="normaltextrun"/>
              </w:rPr>
              <w:t xml:space="preserve"> </w:t>
            </w:r>
            <w:r w:rsidR="00B040E6">
              <w:rPr>
                <w:rStyle w:val="normaltextrun"/>
              </w:rPr>
              <w:t xml:space="preserve">and </w:t>
            </w:r>
            <w:r w:rsidR="00933B84">
              <w:rPr>
                <w:rStyle w:val="normaltextrun"/>
              </w:rPr>
              <w:t>w</w:t>
            </w:r>
            <w:r w:rsidR="00C42FA2">
              <w:rPr>
                <w:rStyle w:val="normaltextrun"/>
              </w:rPr>
              <w:t>ill be used to monitor and support better health outcomes for Victorians.</w:t>
            </w:r>
            <w:r w:rsidR="00936DF7">
              <w:rPr>
                <w:rStyle w:val="normaltextrun"/>
              </w:rPr>
              <w:t xml:space="preserve"> </w:t>
            </w:r>
            <w:r w:rsidR="00DF03D2">
              <w:rPr>
                <w:rStyle w:val="normaltextrun"/>
              </w:rPr>
              <w:t xml:space="preserve">The </w:t>
            </w:r>
            <w:r w:rsidR="00A14FFF">
              <w:rPr>
                <w:rStyle w:val="normaltextrun"/>
              </w:rPr>
              <w:t xml:space="preserve">new </w:t>
            </w:r>
            <w:r w:rsidR="00DF03D2">
              <w:rPr>
                <w:rStyle w:val="normaltextrun"/>
              </w:rPr>
              <w:t>framework focuses on the clinical mental health system</w:t>
            </w:r>
            <w:r w:rsidR="00CF3408">
              <w:rPr>
                <w:rStyle w:val="normaltextrun"/>
              </w:rPr>
              <w:t xml:space="preserve"> and aims to provide a clear structure for </w:t>
            </w:r>
            <w:r w:rsidR="009B644F">
              <w:rPr>
                <w:rStyle w:val="normaltextrun"/>
              </w:rPr>
              <w:t>reporting and monitoring, promot</w:t>
            </w:r>
            <w:r w:rsidR="00A14FFF">
              <w:rPr>
                <w:rStyle w:val="normaltextrun"/>
              </w:rPr>
              <w:t>ing</w:t>
            </w:r>
            <w:r w:rsidR="009B644F">
              <w:rPr>
                <w:rStyle w:val="normaltextrun"/>
              </w:rPr>
              <w:t xml:space="preserve"> accountability,</w:t>
            </w:r>
            <w:r w:rsidR="00B74E6A">
              <w:rPr>
                <w:rStyle w:val="normaltextrun"/>
              </w:rPr>
              <w:t xml:space="preserve"> and enabl</w:t>
            </w:r>
            <w:r w:rsidR="00A14FFF">
              <w:rPr>
                <w:rStyle w:val="normaltextrun"/>
              </w:rPr>
              <w:t>ing</w:t>
            </w:r>
            <w:r w:rsidR="00B74E6A">
              <w:rPr>
                <w:rStyle w:val="normaltextrun"/>
              </w:rPr>
              <w:t xml:space="preserve"> a more systematic and innovative </w:t>
            </w:r>
            <w:r w:rsidR="00327AC5">
              <w:rPr>
                <w:rStyle w:val="normaltextrun"/>
              </w:rPr>
              <w:t>approach to</w:t>
            </w:r>
            <w:r w:rsidR="003F4591">
              <w:rPr>
                <w:rStyle w:val="normaltextrun"/>
              </w:rPr>
              <w:t xml:space="preserve"> using information</w:t>
            </w:r>
            <w:r w:rsidR="007922E1">
              <w:rPr>
                <w:rStyle w:val="normaltextrun"/>
              </w:rPr>
              <w:t>.</w:t>
            </w:r>
            <w:r w:rsidR="0034593B">
              <w:rPr>
                <w:rStyle w:val="normaltextrun"/>
              </w:rPr>
              <w:t xml:space="preserve"> </w:t>
            </w:r>
          </w:p>
          <w:p w14:paraId="1CC5EB1E" w14:textId="67BB07DC" w:rsidR="0056019C" w:rsidRPr="00F6651C" w:rsidRDefault="00E35FCD" w:rsidP="006F3DF8">
            <w:pPr>
              <w:pStyle w:val="DHHStabletext"/>
              <w:rPr>
                <w:color w:val="FF0000"/>
              </w:rPr>
            </w:pPr>
            <w:r>
              <w:rPr>
                <w:rStyle w:val="normaltextrun"/>
              </w:rPr>
              <w:t xml:space="preserve">It is also intended that the framework will align </w:t>
            </w:r>
            <w:r w:rsidR="0065560E">
              <w:rPr>
                <w:rStyle w:val="normaltextrun"/>
              </w:rPr>
              <w:t xml:space="preserve">with other monitoring and reporting in mental health. </w:t>
            </w:r>
            <w:r w:rsidR="00A14FFF">
              <w:rPr>
                <w:rStyle w:val="normaltextrun"/>
              </w:rPr>
              <w:t>Future</w:t>
            </w:r>
            <w:r w:rsidR="006E0881">
              <w:rPr>
                <w:rStyle w:val="normaltextrun"/>
              </w:rPr>
              <w:t xml:space="preserve"> </w:t>
            </w:r>
            <w:r w:rsidR="00451AC5">
              <w:rPr>
                <w:rStyle w:val="normaltextrun"/>
              </w:rPr>
              <w:t xml:space="preserve">work will be carried out to </w:t>
            </w:r>
            <w:r w:rsidR="00F75DAD">
              <w:rPr>
                <w:rStyle w:val="normaltextrun"/>
              </w:rPr>
              <w:t>identify i</w:t>
            </w:r>
            <w:r w:rsidR="0034593B">
              <w:rPr>
                <w:rStyle w:val="normaltextrun"/>
              </w:rPr>
              <w:t xml:space="preserve">ndicators </w:t>
            </w:r>
            <w:r w:rsidR="0030379B">
              <w:rPr>
                <w:rStyle w:val="normaltextrun"/>
              </w:rPr>
              <w:t xml:space="preserve">in the </w:t>
            </w:r>
            <w:r w:rsidR="00071D3A">
              <w:rPr>
                <w:rStyle w:val="normaltextrun"/>
              </w:rPr>
              <w:t xml:space="preserve">new </w:t>
            </w:r>
            <w:r w:rsidR="0030379B">
              <w:rPr>
                <w:rStyle w:val="normaltextrun"/>
              </w:rPr>
              <w:t>framework</w:t>
            </w:r>
            <w:r w:rsidR="004F2DC3">
              <w:rPr>
                <w:rStyle w:val="normaltextrun"/>
              </w:rPr>
              <w:t xml:space="preserve"> that </w:t>
            </w:r>
            <w:r w:rsidR="006C5A32">
              <w:rPr>
                <w:rStyle w:val="normaltextrun"/>
              </w:rPr>
              <w:t>can be used</w:t>
            </w:r>
            <w:r w:rsidR="004F2DC3">
              <w:rPr>
                <w:rStyle w:val="normaltextrun"/>
              </w:rPr>
              <w:t xml:space="preserve"> to </w:t>
            </w:r>
            <w:r w:rsidR="00166848">
              <w:rPr>
                <w:rStyle w:val="normaltextrun"/>
              </w:rPr>
              <w:t xml:space="preserve">measure </w:t>
            </w:r>
            <w:r w:rsidR="0028038B">
              <w:rPr>
                <w:rStyle w:val="normaltextrun"/>
              </w:rPr>
              <w:t xml:space="preserve">progress under </w:t>
            </w:r>
            <w:r w:rsidR="0028038B">
              <w:rPr>
                <w:rStyle w:val="normaltextrun"/>
                <w:i/>
                <w:iCs/>
              </w:rPr>
              <w:t>Victoria’s 10-year mental health plan</w:t>
            </w:r>
            <w:r w:rsidR="008500FC">
              <w:rPr>
                <w:rStyle w:val="normaltextrun"/>
                <w:i/>
              </w:rPr>
              <w:t xml:space="preserve"> </w:t>
            </w:r>
            <w:r w:rsidR="008500FC">
              <w:rPr>
                <w:rStyle w:val="normaltextrun"/>
              </w:rPr>
              <w:t xml:space="preserve">and </w:t>
            </w:r>
            <w:r w:rsidR="00166848">
              <w:rPr>
                <w:rStyle w:val="normaltextrun"/>
              </w:rPr>
              <w:t xml:space="preserve">outcomes </w:t>
            </w:r>
            <w:r w:rsidR="002E5893">
              <w:rPr>
                <w:rStyle w:val="normaltextrun"/>
              </w:rPr>
              <w:t xml:space="preserve">for </w:t>
            </w:r>
            <w:r w:rsidR="0028038B">
              <w:rPr>
                <w:rStyle w:val="normaltextrun"/>
              </w:rPr>
              <w:t>people</w:t>
            </w:r>
            <w:r w:rsidR="004E6BB3">
              <w:rPr>
                <w:rStyle w:val="normaltextrun"/>
              </w:rPr>
              <w:t xml:space="preserve"> with </w:t>
            </w:r>
            <w:r w:rsidR="0028038B">
              <w:rPr>
                <w:rStyle w:val="normaltextrun"/>
              </w:rPr>
              <w:t>mental illness.</w:t>
            </w:r>
          </w:p>
        </w:tc>
      </w:tr>
    </w:tbl>
    <w:p w14:paraId="3C2BB02C" w14:textId="77777777" w:rsidR="0056019C" w:rsidRDefault="0056019C" w:rsidP="001149C7">
      <w:pPr>
        <w:pStyle w:val="DHHSbody"/>
      </w:pPr>
    </w:p>
    <w:tbl>
      <w:tblPr>
        <w:tblStyle w:val="MentalhealthARtablestyle"/>
        <w:tblW w:w="0" w:type="auto"/>
        <w:tblLook w:val="04A0" w:firstRow="1" w:lastRow="0" w:firstColumn="1" w:lastColumn="0" w:noHBand="0" w:noVBand="1"/>
      </w:tblPr>
      <w:tblGrid>
        <w:gridCol w:w="2322"/>
        <w:gridCol w:w="6966"/>
      </w:tblGrid>
      <w:tr w:rsidR="00E96DE2" w14:paraId="4BC91255" w14:textId="45832601" w:rsidTr="00F77374">
        <w:trPr>
          <w:cnfStyle w:val="100000000000" w:firstRow="1" w:lastRow="0" w:firstColumn="0" w:lastColumn="0" w:oddVBand="0" w:evenVBand="0" w:oddHBand="0" w:evenHBand="0" w:firstRowFirstColumn="0" w:firstRowLastColumn="0" w:lastRowFirstColumn="0" w:lastRowLastColumn="0"/>
        </w:trPr>
        <w:tc>
          <w:tcPr>
            <w:tcW w:w="2322" w:type="dxa"/>
          </w:tcPr>
          <w:p w14:paraId="4E42D06F" w14:textId="0D2973EB" w:rsidR="00E96DE2" w:rsidRPr="00F77374" w:rsidRDefault="00E96DE2" w:rsidP="006F3DF8">
            <w:pPr>
              <w:pStyle w:val="DHHStablecaption"/>
              <w:rPr>
                <w:b/>
                <w:bCs/>
              </w:rPr>
            </w:pPr>
            <w:r w:rsidRPr="00F77374">
              <w:rPr>
                <w:b/>
                <w:bCs/>
              </w:rPr>
              <w:t>Domain</w:t>
            </w:r>
          </w:p>
        </w:tc>
        <w:tc>
          <w:tcPr>
            <w:tcW w:w="6966" w:type="dxa"/>
          </w:tcPr>
          <w:p w14:paraId="1D86D60F" w14:textId="60023260" w:rsidR="00E96DE2" w:rsidRPr="00F77374" w:rsidRDefault="00E96DE2" w:rsidP="006F3DF8">
            <w:pPr>
              <w:pStyle w:val="DHHStablecaption"/>
              <w:rPr>
                <w:b/>
                <w:bCs/>
              </w:rPr>
            </w:pPr>
            <w:r w:rsidRPr="00F77374">
              <w:rPr>
                <w:b/>
                <w:bCs/>
              </w:rPr>
              <w:t>Outcomes</w:t>
            </w:r>
          </w:p>
        </w:tc>
      </w:tr>
      <w:tr w:rsidR="00C82AAD" w14:paraId="4F8774B2" w14:textId="3CE1DC30" w:rsidTr="00F77374">
        <w:tc>
          <w:tcPr>
            <w:tcW w:w="2322" w:type="dxa"/>
            <w:vMerge w:val="restart"/>
          </w:tcPr>
          <w:p w14:paraId="7BD13459" w14:textId="7FB9E6DE" w:rsidR="00C82AAD" w:rsidRPr="006F3DF8" w:rsidRDefault="00833A55" w:rsidP="006F3DF8">
            <w:pPr>
              <w:pStyle w:val="DHHStabletext"/>
              <w:rPr>
                <w:b/>
                <w:bCs/>
              </w:rPr>
            </w:pPr>
            <w:r w:rsidRPr="006F3DF8">
              <w:rPr>
                <w:b/>
                <w:bCs/>
              </w:rPr>
              <w:t xml:space="preserve">1. </w:t>
            </w:r>
            <w:r w:rsidR="00C82AAD" w:rsidRPr="006F3DF8">
              <w:rPr>
                <w:b/>
                <w:bCs/>
              </w:rPr>
              <w:t>Victorians have good mental health and wellbeing</w:t>
            </w:r>
          </w:p>
        </w:tc>
        <w:tc>
          <w:tcPr>
            <w:tcW w:w="6966" w:type="dxa"/>
          </w:tcPr>
          <w:p w14:paraId="1C922728" w14:textId="2C9ECAD9" w:rsidR="00C82AAD" w:rsidRDefault="00C82AAD" w:rsidP="006F3DF8">
            <w:pPr>
              <w:pStyle w:val="DHHStabletext"/>
            </w:pPr>
            <w:r w:rsidRPr="00E96DE2">
              <w:t>1.</w:t>
            </w:r>
            <w:r>
              <w:t xml:space="preserve"> Victorians have good mental health and wellbeing at all ages and stages of life</w:t>
            </w:r>
          </w:p>
        </w:tc>
      </w:tr>
      <w:tr w:rsidR="00C82AAD" w14:paraId="1FB6D8D7" w14:textId="2080533C" w:rsidTr="00F77374">
        <w:tc>
          <w:tcPr>
            <w:tcW w:w="2322" w:type="dxa"/>
            <w:vMerge/>
          </w:tcPr>
          <w:p w14:paraId="1A94B452" w14:textId="77777777" w:rsidR="00C82AAD" w:rsidRPr="006F3DF8" w:rsidRDefault="00C82AAD" w:rsidP="006F3DF8">
            <w:pPr>
              <w:pStyle w:val="DHHStabletext"/>
              <w:rPr>
                <w:b/>
                <w:bCs/>
              </w:rPr>
            </w:pPr>
          </w:p>
        </w:tc>
        <w:tc>
          <w:tcPr>
            <w:tcW w:w="6966" w:type="dxa"/>
          </w:tcPr>
          <w:p w14:paraId="5915E94D" w14:textId="1E4A8FCD" w:rsidR="00C82AAD" w:rsidRDefault="00C82AAD" w:rsidP="006F3DF8">
            <w:pPr>
              <w:pStyle w:val="DHHStabletext"/>
            </w:pPr>
            <w:r>
              <w:t>2. The gap in mental health and wellbeing for at-risk groups in reduced</w:t>
            </w:r>
          </w:p>
        </w:tc>
      </w:tr>
      <w:tr w:rsidR="00C82AAD" w14:paraId="5736C72C" w14:textId="0E762678" w:rsidTr="00F77374">
        <w:tc>
          <w:tcPr>
            <w:tcW w:w="2322" w:type="dxa"/>
            <w:vMerge/>
          </w:tcPr>
          <w:p w14:paraId="44A962AF" w14:textId="77777777" w:rsidR="00C82AAD" w:rsidRPr="006F3DF8" w:rsidRDefault="00C82AAD" w:rsidP="006F3DF8">
            <w:pPr>
              <w:pStyle w:val="DHHStabletext"/>
              <w:rPr>
                <w:b/>
                <w:bCs/>
              </w:rPr>
            </w:pPr>
          </w:p>
        </w:tc>
        <w:tc>
          <w:tcPr>
            <w:tcW w:w="6966" w:type="dxa"/>
          </w:tcPr>
          <w:p w14:paraId="70BC1BD2" w14:textId="65F5BA6D" w:rsidR="00C82AAD" w:rsidRDefault="00C82AAD" w:rsidP="006F3DF8">
            <w:pPr>
              <w:pStyle w:val="DHHStabletext"/>
            </w:pPr>
            <w:r>
              <w:t xml:space="preserve">3. </w:t>
            </w:r>
            <w:r w:rsidRPr="001A513C">
              <w:rPr>
                <w:lang w:eastAsia="en-AU"/>
              </w:rPr>
              <w:t>The gap in mental health and wellbeing for Aboriginal Victorians is reduce</w:t>
            </w:r>
            <w:r>
              <w:rPr>
                <w:lang w:eastAsia="en-AU"/>
              </w:rPr>
              <w:t>d</w:t>
            </w:r>
          </w:p>
        </w:tc>
      </w:tr>
      <w:tr w:rsidR="00C82AAD" w14:paraId="72C96F24" w14:textId="465B97C6" w:rsidTr="00F77374">
        <w:tc>
          <w:tcPr>
            <w:tcW w:w="2322" w:type="dxa"/>
            <w:vMerge/>
          </w:tcPr>
          <w:p w14:paraId="6B83D313" w14:textId="77777777" w:rsidR="00C82AAD" w:rsidRPr="006F3DF8" w:rsidRDefault="00C82AAD" w:rsidP="006F3DF8">
            <w:pPr>
              <w:pStyle w:val="DHHStabletext"/>
              <w:rPr>
                <w:b/>
                <w:bCs/>
              </w:rPr>
            </w:pPr>
          </w:p>
        </w:tc>
        <w:tc>
          <w:tcPr>
            <w:tcW w:w="6966" w:type="dxa"/>
          </w:tcPr>
          <w:p w14:paraId="4BF37771" w14:textId="0805DD41" w:rsidR="00C82AAD" w:rsidRDefault="00C82AAD" w:rsidP="006F3DF8">
            <w:pPr>
              <w:pStyle w:val="DHHStabletext"/>
            </w:pPr>
            <w:r>
              <w:rPr>
                <w:lang w:eastAsia="en-AU"/>
              </w:rPr>
              <w:t xml:space="preserve">4. </w:t>
            </w:r>
            <w:r w:rsidRPr="001A513C">
              <w:rPr>
                <w:lang w:eastAsia="en-AU"/>
              </w:rPr>
              <w:t>The rate of suicide is reduced</w:t>
            </w:r>
          </w:p>
        </w:tc>
      </w:tr>
      <w:tr w:rsidR="00C82AAD" w14:paraId="115C6781" w14:textId="123B17A7" w:rsidTr="00F77374">
        <w:tc>
          <w:tcPr>
            <w:tcW w:w="2322" w:type="dxa"/>
            <w:vMerge w:val="restart"/>
          </w:tcPr>
          <w:p w14:paraId="34B9AFD1" w14:textId="0C419CD7" w:rsidR="00C82AAD" w:rsidRPr="006F3DF8" w:rsidRDefault="00833A55" w:rsidP="006F3DF8">
            <w:pPr>
              <w:pStyle w:val="DHHStabletext"/>
              <w:rPr>
                <w:b/>
                <w:bCs/>
              </w:rPr>
            </w:pPr>
            <w:r w:rsidRPr="006F3DF8">
              <w:rPr>
                <w:b/>
                <w:bCs/>
              </w:rPr>
              <w:t xml:space="preserve">2. </w:t>
            </w:r>
            <w:r w:rsidR="00C82AAD" w:rsidRPr="006F3DF8">
              <w:rPr>
                <w:b/>
                <w:bCs/>
              </w:rPr>
              <w:t>Victorians promote mental health for all ages and stages of life</w:t>
            </w:r>
          </w:p>
        </w:tc>
        <w:tc>
          <w:tcPr>
            <w:tcW w:w="6966" w:type="dxa"/>
          </w:tcPr>
          <w:p w14:paraId="2CF0A507" w14:textId="44DA9EA4" w:rsidR="00C82AAD" w:rsidRPr="00C82AAD" w:rsidRDefault="00C82AAD" w:rsidP="006F3DF8">
            <w:pPr>
              <w:pStyle w:val="DHHStabletext"/>
              <w:rPr>
                <w:b/>
                <w:bCs/>
              </w:rPr>
            </w:pPr>
            <w:r>
              <w:rPr>
                <w:lang w:eastAsia="en-AU"/>
              </w:rPr>
              <w:t xml:space="preserve">5. </w:t>
            </w:r>
            <w:r w:rsidRPr="001A513C">
              <w:rPr>
                <w:lang w:eastAsia="en-AU"/>
              </w:rPr>
              <w:t>Victorians with mental illness have good physical health and wellbeing</w:t>
            </w:r>
          </w:p>
        </w:tc>
      </w:tr>
      <w:tr w:rsidR="00C82AAD" w14:paraId="31AE95F9" w14:textId="36ACD2F4" w:rsidTr="00F77374">
        <w:tc>
          <w:tcPr>
            <w:tcW w:w="2322" w:type="dxa"/>
            <w:vMerge/>
          </w:tcPr>
          <w:p w14:paraId="20FB81E1" w14:textId="77777777" w:rsidR="00C82AAD" w:rsidRPr="006F3DF8" w:rsidRDefault="00C82AAD" w:rsidP="006F3DF8">
            <w:pPr>
              <w:pStyle w:val="DHHStabletext"/>
              <w:rPr>
                <w:b/>
                <w:bCs/>
              </w:rPr>
            </w:pPr>
          </w:p>
        </w:tc>
        <w:tc>
          <w:tcPr>
            <w:tcW w:w="6966" w:type="dxa"/>
          </w:tcPr>
          <w:p w14:paraId="03E5CBBB" w14:textId="67C0ACAC" w:rsidR="00C82AAD" w:rsidRDefault="00C82AAD" w:rsidP="006F3DF8">
            <w:pPr>
              <w:pStyle w:val="DHHStabletext"/>
            </w:pPr>
            <w:r>
              <w:rPr>
                <w:lang w:eastAsia="en-AU"/>
              </w:rPr>
              <w:t xml:space="preserve">6. </w:t>
            </w:r>
            <w:r w:rsidRPr="001A513C">
              <w:rPr>
                <w:lang w:eastAsia="en-AU"/>
              </w:rPr>
              <w:t>Victorians with mental illness are supported to protect and promote health</w:t>
            </w:r>
          </w:p>
        </w:tc>
      </w:tr>
      <w:tr w:rsidR="00C82AAD" w14:paraId="56C0BE49" w14:textId="14CA3016" w:rsidTr="00F77374">
        <w:tc>
          <w:tcPr>
            <w:tcW w:w="2322" w:type="dxa"/>
            <w:vMerge w:val="restart"/>
          </w:tcPr>
          <w:p w14:paraId="11BC3BB7" w14:textId="120F554F" w:rsidR="00C82AAD" w:rsidRPr="006F3DF8" w:rsidRDefault="00833A55" w:rsidP="006F3DF8">
            <w:pPr>
              <w:pStyle w:val="DHHStabletext"/>
              <w:rPr>
                <w:b/>
                <w:bCs/>
              </w:rPr>
            </w:pPr>
            <w:r w:rsidRPr="006F3DF8">
              <w:rPr>
                <w:b/>
                <w:bCs/>
              </w:rPr>
              <w:t xml:space="preserve">3. </w:t>
            </w:r>
            <w:r w:rsidR="00C82AAD" w:rsidRPr="006F3DF8">
              <w:rPr>
                <w:b/>
                <w:bCs/>
              </w:rPr>
              <w:t>Victorians with mental illness live fulfilling lives of their choosing, with or without symptoms of mental illness</w:t>
            </w:r>
          </w:p>
        </w:tc>
        <w:tc>
          <w:tcPr>
            <w:tcW w:w="6966" w:type="dxa"/>
          </w:tcPr>
          <w:p w14:paraId="396DCF74" w14:textId="10FA8963" w:rsidR="00C82AAD" w:rsidRDefault="00C82AAD" w:rsidP="006F3DF8">
            <w:pPr>
              <w:pStyle w:val="DHHStabletext"/>
            </w:pPr>
            <w:r>
              <w:t xml:space="preserve">7. </w:t>
            </w:r>
            <w:bookmarkStart w:id="17" w:name="_Hlk11239120"/>
            <w:r w:rsidRPr="001A513C">
              <w:rPr>
                <w:lang w:eastAsia="en-AU"/>
              </w:rPr>
              <w:t xml:space="preserve">Victorians with mental illness participate in learning and </w:t>
            </w:r>
            <w:r w:rsidRPr="00020544">
              <w:rPr>
                <w:lang w:eastAsia="en-AU"/>
              </w:rPr>
              <w:t>education</w:t>
            </w:r>
            <w:bookmarkEnd w:id="17"/>
          </w:p>
        </w:tc>
      </w:tr>
      <w:tr w:rsidR="00C82AAD" w14:paraId="25638167" w14:textId="77777777" w:rsidTr="00F77374">
        <w:tc>
          <w:tcPr>
            <w:tcW w:w="2322" w:type="dxa"/>
            <w:vMerge/>
          </w:tcPr>
          <w:p w14:paraId="65188BA0" w14:textId="77777777" w:rsidR="00C82AAD" w:rsidRPr="006F3DF8" w:rsidRDefault="00C82AAD" w:rsidP="006F3DF8">
            <w:pPr>
              <w:pStyle w:val="DHHStabletext"/>
              <w:rPr>
                <w:b/>
                <w:bCs/>
              </w:rPr>
            </w:pPr>
          </w:p>
        </w:tc>
        <w:tc>
          <w:tcPr>
            <w:tcW w:w="6966" w:type="dxa"/>
          </w:tcPr>
          <w:p w14:paraId="79B16458" w14:textId="0EB5D1AC" w:rsidR="00C82AAD" w:rsidRDefault="00C82AAD" w:rsidP="006F3DF8">
            <w:pPr>
              <w:pStyle w:val="DHHStabletext"/>
            </w:pPr>
            <w:r>
              <w:t xml:space="preserve">8. </w:t>
            </w:r>
            <w:bookmarkStart w:id="18" w:name="_Hlk11330255"/>
            <w:r w:rsidRPr="001A513C">
              <w:rPr>
                <w:lang w:eastAsia="en-AU"/>
              </w:rPr>
              <w:t>Victorians with mental illness participate in and contribute to the economy</w:t>
            </w:r>
            <w:bookmarkEnd w:id="18"/>
          </w:p>
        </w:tc>
      </w:tr>
      <w:tr w:rsidR="00C82AAD" w14:paraId="332A6CE4" w14:textId="77777777" w:rsidTr="00F77374">
        <w:tc>
          <w:tcPr>
            <w:tcW w:w="2322" w:type="dxa"/>
            <w:vMerge/>
          </w:tcPr>
          <w:p w14:paraId="75680297" w14:textId="77777777" w:rsidR="00C82AAD" w:rsidRPr="006F3DF8" w:rsidRDefault="00C82AAD" w:rsidP="006F3DF8">
            <w:pPr>
              <w:pStyle w:val="DHHStabletext"/>
              <w:rPr>
                <w:b/>
                <w:bCs/>
              </w:rPr>
            </w:pPr>
          </w:p>
        </w:tc>
        <w:tc>
          <w:tcPr>
            <w:tcW w:w="6966" w:type="dxa"/>
          </w:tcPr>
          <w:p w14:paraId="32384135" w14:textId="6DA816B2" w:rsidR="00C82AAD" w:rsidRDefault="00C82AAD" w:rsidP="006F3DF8">
            <w:pPr>
              <w:pStyle w:val="DHHStabletext"/>
            </w:pPr>
            <w:bookmarkStart w:id="19" w:name="_Hlk11330215"/>
            <w:r>
              <w:rPr>
                <w:lang w:eastAsia="en-AU"/>
              </w:rPr>
              <w:t xml:space="preserve">9. </w:t>
            </w:r>
            <w:r w:rsidRPr="001A513C">
              <w:rPr>
                <w:lang w:eastAsia="en-AU"/>
              </w:rPr>
              <w:t>Victorians with mental illness have financial security</w:t>
            </w:r>
            <w:bookmarkEnd w:id="19"/>
          </w:p>
        </w:tc>
      </w:tr>
      <w:tr w:rsidR="00C82AAD" w14:paraId="3630111F" w14:textId="77777777" w:rsidTr="00F77374">
        <w:tc>
          <w:tcPr>
            <w:tcW w:w="2322" w:type="dxa"/>
            <w:vMerge/>
          </w:tcPr>
          <w:p w14:paraId="7DA02A1C" w14:textId="77777777" w:rsidR="00C82AAD" w:rsidRPr="006F3DF8" w:rsidRDefault="00C82AAD" w:rsidP="006F3DF8">
            <w:pPr>
              <w:pStyle w:val="DHHStabletext"/>
              <w:rPr>
                <w:b/>
                <w:bCs/>
              </w:rPr>
            </w:pPr>
          </w:p>
        </w:tc>
        <w:tc>
          <w:tcPr>
            <w:tcW w:w="6966" w:type="dxa"/>
          </w:tcPr>
          <w:p w14:paraId="047C78B9" w14:textId="3B0FD46C" w:rsidR="00C82AAD" w:rsidRDefault="00C82AAD" w:rsidP="006F3DF8">
            <w:pPr>
              <w:pStyle w:val="DHHStabletext"/>
            </w:pPr>
            <w:r>
              <w:rPr>
                <w:lang w:eastAsia="en-AU"/>
              </w:rPr>
              <w:t xml:space="preserve">10. </w:t>
            </w:r>
            <w:r w:rsidRPr="00C82AAD">
              <w:rPr>
                <w:lang w:eastAsia="en-AU"/>
              </w:rPr>
              <w:t>Victorians with mental illness are socially engaged and live in inclusive communities</w:t>
            </w:r>
          </w:p>
        </w:tc>
      </w:tr>
      <w:tr w:rsidR="00C82AAD" w14:paraId="1C7F0CC1" w14:textId="77777777" w:rsidTr="00F77374">
        <w:tc>
          <w:tcPr>
            <w:tcW w:w="2322" w:type="dxa"/>
            <w:vMerge/>
          </w:tcPr>
          <w:p w14:paraId="6D0DA9C7" w14:textId="77777777" w:rsidR="00C82AAD" w:rsidRPr="006F3DF8" w:rsidRDefault="00C82AAD" w:rsidP="006F3DF8">
            <w:pPr>
              <w:pStyle w:val="DHHStabletext"/>
              <w:rPr>
                <w:b/>
                <w:bCs/>
              </w:rPr>
            </w:pPr>
          </w:p>
        </w:tc>
        <w:tc>
          <w:tcPr>
            <w:tcW w:w="6966" w:type="dxa"/>
          </w:tcPr>
          <w:p w14:paraId="40371720" w14:textId="586D23A0" w:rsidR="00C82AAD" w:rsidRDefault="00C82AAD" w:rsidP="006F3DF8">
            <w:pPr>
              <w:pStyle w:val="DHHStabletext"/>
            </w:pPr>
            <w:r>
              <w:rPr>
                <w:lang w:eastAsia="en-AU"/>
              </w:rPr>
              <w:t xml:space="preserve">11. </w:t>
            </w:r>
            <w:r w:rsidRPr="001A513C">
              <w:rPr>
                <w:lang w:eastAsia="en-AU"/>
              </w:rPr>
              <w:t>Victorians with mental illness live free from abuse or violence, and have reduced contact with the criminal justice system</w:t>
            </w:r>
          </w:p>
        </w:tc>
      </w:tr>
      <w:tr w:rsidR="00C82AAD" w14:paraId="2FFD972E" w14:textId="77777777" w:rsidTr="00F77374">
        <w:tc>
          <w:tcPr>
            <w:tcW w:w="2322" w:type="dxa"/>
            <w:vMerge/>
          </w:tcPr>
          <w:p w14:paraId="511911B1" w14:textId="77777777" w:rsidR="00C82AAD" w:rsidRPr="006F3DF8" w:rsidRDefault="00C82AAD" w:rsidP="006F3DF8">
            <w:pPr>
              <w:pStyle w:val="DHHStabletext"/>
              <w:rPr>
                <w:b/>
                <w:bCs/>
              </w:rPr>
            </w:pPr>
          </w:p>
        </w:tc>
        <w:tc>
          <w:tcPr>
            <w:tcW w:w="6966" w:type="dxa"/>
          </w:tcPr>
          <w:p w14:paraId="49C89B60" w14:textId="29F07D6A" w:rsidR="00C82AAD" w:rsidRDefault="00C82AAD" w:rsidP="006F3DF8">
            <w:pPr>
              <w:pStyle w:val="DHHStabletext"/>
            </w:pPr>
            <w:r>
              <w:rPr>
                <w:lang w:eastAsia="en-AU"/>
              </w:rPr>
              <w:t xml:space="preserve">12. </w:t>
            </w:r>
            <w:r w:rsidRPr="001A513C">
              <w:rPr>
                <w:lang w:eastAsia="en-AU"/>
              </w:rPr>
              <w:t>Victorians with mental illness have suitable and stable housing</w:t>
            </w:r>
          </w:p>
        </w:tc>
      </w:tr>
      <w:tr w:rsidR="00C82AAD" w14:paraId="0FB8DD33" w14:textId="77777777" w:rsidTr="00F77374">
        <w:tc>
          <w:tcPr>
            <w:tcW w:w="2322" w:type="dxa"/>
            <w:vMerge w:val="restart"/>
          </w:tcPr>
          <w:p w14:paraId="2E9D895E" w14:textId="2F7AD86F" w:rsidR="00C82AAD" w:rsidRPr="006F3DF8" w:rsidRDefault="00833A55" w:rsidP="006F3DF8">
            <w:pPr>
              <w:pStyle w:val="DHHStabletext"/>
              <w:rPr>
                <w:b/>
                <w:bCs/>
              </w:rPr>
            </w:pPr>
            <w:r w:rsidRPr="006F3DF8">
              <w:rPr>
                <w:b/>
                <w:bCs/>
              </w:rPr>
              <w:t xml:space="preserve">4. </w:t>
            </w:r>
            <w:r w:rsidR="00C82AAD" w:rsidRPr="006F3DF8">
              <w:rPr>
                <w:b/>
                <w:bCs/>
              </w:rPr>
              <w:t xml:space="preserve">The service system is accessible, flexible </w:t>
            </w:r>
            <w:r w:rsidR="00C82AAD" w:rsidRPr="006F3DF8">
              <w:rPr>
                <w:b/>
                <w:bCs/>
              </w:rPr>
              <w:lastRenderedPageBreak/>
              <w:t>and responsive to people of all ages, their families and carers, and the workforce is supported to deliver this</w:t>
            </w:r>
          </w:p>
        </w:tc>
        <w:tc>
          <w:tcPr>
            <w:tcW w:w="6966" w:type="dxa"/>
          </w:tcPr>
          <w:p w14:paraId="6CABA3D4" w14:textId="098A59A1" w:rsidR="00C82AAD" w:rsidRDefault="00C82AAD" w:rsidP="006F3DF8">
            <w:pPr>
              <w:pStyle w:val="DHHStabletext"/>
            </w:pPr>
            <w:r>
              <w:lastRenderedPageBreak/>
              <w:t xml:space="preserve">13. </w:t>
            </w:r>
            <w:r w:rsidRPr="001A513C">
              <w:rPr>
                <w:lang w:eastAsia="en-AU"/>
              </w:rPr>
              <w:t>The treatment and support that Victorians with mental illness, their families and carers need is available in the right place at the right time</w:t>
            </w:r>
          </w:p>
        </w:tc>
      </w:tr>
      <w:tr w:rsidR="00C82AAD" w14:paraId="4859A542" w14:textId="77777777" w:rsidTr="00F77374">
        <w:tc>
          <w:tcPr>
            <w:tcW w:w="2322" w:type="dxa"/>
            <w:vMerge/>
          </w:tcPr>
          <w:p w14:paraId="0FD60A2F" w14:textId="77777777" w:rsidR="00C82AAD" w:rsidRDefault="00C82AAD" w:rsidP="00474731">
            <w:pPr>
              <w:pStyle w:val="DHHSbody"/>
            </w:pPr>
          </w:p>
        </w:tc>
        <w:tc>
          <w:tcPr>
            <w:tcW w:w="6966" w:type="dxa"/>
          </w:tcPr>
          <w:p w14:paraId="215155EA" w14:textId="5BC7C962" w:rsidR="00C82AAD" w:rsidRDefault="00C82AAD" w:rsidP="006F3DF8">
            <w:pPr>
              <w:pStyle w:val="DHHStabletext"/>
            </w:pPr>
            <w:r>
              <w:rPr>
                <w:lang w:eastAsia="en-AU"/>
              </w:rPr>
              <w:t xml:space="preserve">14. </w:t>
            </w:r>
            <w:r w:rsidRPr="001A513C">
              <w:rPr>
                <w:lang w:eastAsia="en-AU"/>
              </w:rPr>
              <w:t>Services are recovery-oriented, trauma-informed and family-inclusive</w:t>
            </w:r>
          </w:p>
        </w:tc>
      </w:tr>
      <w:tr w:rsidR="00C82AAD" w14:paraId="74856669" w14:textId="77777777" w:rsidTr="00F77374">
        <w:tc>
          <w:tcPr>
            <w:tcW w:w="2322" w:type="dxa"/>
            <w:vMerge/>
          </w:tcPr>
          <w:p w14:paraId="3225B81C" w14:textId="77777777" w:rsidR="00C82AAD" w:rsidRDefault="00C82AAD" w:rsidP="00474731">
            <w:pPr>
              <w:pStyle w:val="DHHSbody"/>
            </w:pPr>
          </w:p>
        </w:tc>
        <w:tc>
          <w:tcPr>
            <w:tcW w:w="6966" w:type="dxa"/>
          </w:tcPr>
          <w:p w14:paraId="6C14C98F" w14:textId="497B2176" w:rsidR="00C82AAD" w:rsidRDefault="00C82AAD" w:rsidP="006F3DF8">
            <w:pPr>
              <w:pStyle w:val="DHHStabletext"/>
            </w:pPr>
            <w:r>
              <w:rPr>
                <w:lang w:eastAsia="en-AU"/>
              </w:rPr>
              <w:t xml:space="preserve">15. </w:t>
            </w:r>
            <w:r w:rsidRPr="001A513C">
              <w:rPr>
                <w:lang w:eastAsia="en-AU"/>
              </w:rPr>
              <w:t>Victorians with mental illness, their families and carers are treated with respect by services</w:t>
            </w:r>
          </w:p>
        </w:tc>
      </w:tr>
      <w:tr w:rsidR="00C82AAD" w14:paraId="597FFAA7" w14:textId="77777777" w:rsidTr="00F77374">
        <w:tc>
          <w:tcPr>
            <w:tcW w:w="2322" w:type="dxa"/>
            <w:vMerge/>
          </w:tcPr>
          <w:p w14:paraId="3CB6C6E7" w14:textId="77777777" w:rsidR="00C82AAD" w:rsidRDefault="00C82AAD" w:rsidP="00474731">
            <w:pPr>
              <w:pStyle w:val="DHHSbody"/>
            </w:pPr>
          </w:p>
        </w:tc>
        <w:tc>
          <w:tcPr>
            <w:tcW w:w="6966" w:type="dxa"/>
          </w:tcPr>
          <w:p w14:paraId="4AF95007" w14:textId="7484EF1A" w:rsidR="00C82AAD" w:rsidRDefault="00C82AAD" w:rsidP="006F3DF8">
            <w:pPr>
              <w:pStyle w:val="DHHStabletext"/>
            </w:pPr>
            <w:r>
              <w:rPr>
                <w:lang w:eastAsia="en-AU"/>
              </w:rPr>
              <w:t xml:space="preserve">16. </w:t>
            </w:r>
            <w:r w:rsidRPr="001A513C">
              <w:rPr>
                <w:lang w:eastAsia="en-AU"/>
              </w:rPr>
              <w:t>Services are safe, of high quality, offer choice and provide a positive service experience</w:t>
            </w:r>
          </w:p>
        </w:tc>
      </w:tr>
    </w:tbl>
    <w:p w14:paraId="0B217223" w14:textId="737EFF0F" w:rsidR="00295F4D" w:rsidRPr="00A66DC1" w:rsidRDefault="00295F4D" w:rsidP="00AA1A64">
      <w:pPr>
        <w:pStyle w:val="Heading3"/>
        <w:rPr>
          <w:rStyle w:val="eop"/>
        </w:rPr>
      </w:pPr>
      <w:r w:rsidRPr="00AA1A64">
        <w:rPr>
          <w:rStyle w:val="eop"/>
        </w:rPr>
        <w:t>Domain</w:t>
      </w:r>
      <w:r w:rsidR="00833A55" w:rsidRPr="00A66DC1">
        <w:rPr>
          <w:rStyle w:val="eop"/>
        </w:rPr>
        <w:t xml:space="preserve"> 1</w:t>
      </w:r>
      <w:r w:rsidRPr="00A66DC1">
        <w:rPr>
          <w:rStyle w:val="eop"/>
        </w:rPr>
        <w:t>: Victorians have good mental health and wellbeing</w:t>
      </w:r>
    </w:p>
    <w:p w14:paraId="08971252" w14:textId="21372256" w:rsidR="004421E5" w:rsidRDefault="007E387B" w:rsidP="00367FCA">
      <w:pPr>
        <w:pStyle w:val="DHHSbody"/>
      </w:pPr>
      <w:r>
        <w:t xml:space="preserve">The focus of </w:t>
      </w:r>
      <w:r w:rsidR="00A14FFF">
        <w:t>d</w:t>
      </w:r>
      <w:r w:rsidR="00F74580">
        <w:t xml:space="preserve">omain 1 </w:t>
      </w:r>
      <w:r w:rsidR="00AF4B47">
        <w:t>i</w:t>
      </w:r>
      <w:r>
        <w:t>s</w:t>
      </w:r>
      <w:r w:rsidR="00F74580">
        <w:t xml:space="preserve"> </w:t>
      </w:r>
      <w:r w:rsidR="00C15A70">
        <w:t xml:space="preserve">on </w:t>
      </w:r>
      <w:r w:rsidR="00F74580">
        <w:t>reducing t</w:t>
      </w:r>
      <w:r w:rsidR="00D11385">
        <w:t>he</w:t>
      </w:r>
      <w:r w:rsidR="004421E5">
        <w:t xml:space="preserve"> prevalence of psychological </w:t>
      </w:r>
      <w:r w:rsidR="00FB7DC4">
        <w:t>di</w:t>
      </w:r>
      <w:r w:rsidR="004421E5">
        <w:t xml:space="preserve">stress and mental ill health and </w:t>
      </w:r>
      <w:r w:rsidR="00F74580">
        <w:t xml:space="preserve">increasing </w:t>
      </w:r>
      <w:r w:rsidR="00CB0403">
        <w:t xml:space="preserve">the </w:t>
      </w:r>
      <w:r w:rsidR="004421E5">
        <w:t>wellbeing</w:t>
      </w:r>
      <w:r w:rsidR="00CB0403">
        <w:t xml:space="preserve"> of Victorians</w:t>
      </w:r>
      <w:r w:rsidR="004421E5">
        <w:t xml:space="preserve">, </w:t>
      </w:r>
      <w:r w:rsidR="00F74580">
        <w:t xml:space="preserve">reducing </w:t>
      </w:r>
      <w:r w:rsidR="004421E5">
        <w:t>the gap for at-risk groups</w:t>
      </w:r>
      <w:r w:rsidR="009E4589">
        <w:t>,</w:t>
      </w:r>
      <w:r w:rsidR="004421E5">
        <w:t xml:space="preserve"> including Aboriginal Victorians</w:t>
      </w:r>
      <w:r w:rsidR="009E4589">
        <w:t>,</w:t>
      </w:r>
      <w:r w:rsidR="004421E5">
        <w:t xml:space="preserve"> and reduc</w:t>
      </w:r>
      <w:r w:rsidR="00F74580">
        <w:t>ing</w:t>
      </w:r>
      <w:r w:rsidR="004421E5">
        <w:t xml:space="preserve"> the suicide rate.</w:t>
      </w:r>
    </w:p>
    <w:p w14:paraId="133642FF" w14:textId="26F13454" w:rsidR="004421E5" w:rsidRPr="00A66DC1" w:rsidRDefault="00532836" w:rsidP="00AA1A64">
      <w:pPr>
        <w:pStyle w:val="Heading4"/>
      </w:pPr>
      <w:r w:rsidRPr="00A66DC1">
        <w:t xml:space="preserve">Data on </w:t>
      </w:r>
      <w:r w:rsidR="00B52485" w:rsidRPr="00A66DC1">
        <w:t>selected</w:t>
      </w:r>
      <w:r w:rsidR="00D576AB" w:rsidRPr="00A66DC1">
        <w:t xml:space="preserve"> </w:t>
      </w:r>
      <w:r w:rsidRPr="00A66DC1">
        <w:t>key indicators</w:t>
      </w:r>
    </w:p>
    <w:p w14:paraId="2BC4B030" w14:textId="5ED0EBF4" w:rsidR="00570C2F" w:rsidRDefault="00440B5C" w:rsidP="00AA1A64">
      <w:pPr>
        <w:pStyle w:val="Heading5"/>
      </w:pPr>
      <w:r>
        <w:t>Mental health and wellbeing of Aboriginal Victorians</w:t>
      </w:r>
    </w:p>
    <w:p w14:paraId="72D9469E" w14:textId="456F73EB" w:rsidR="00312596" w:rsidRDefault="00C5258C" w:rsidP="00C5258C">
      <w:pPr>
        <w:pStyle w:val="DHHSbody"/>
        <w:rPr>
          <w:rStyle w:val="normaltextrun"/>
        </w:rPr>
      </w:pPr>
      <w:r>
        <w:rPr>
          <w:rStyle w:val="normaltextrun"/>
        </w:rPr>
        <w:t>O</w:t>
      </w:r>
      <w:r w:rsidRPr="00402A6B">
        <w:rPr>
          <w:rStyle w:val="normaltextrun"/>
        </w:rPr>
        <w:t xml:space="preserve">utcome indicators </w:t>
      </w:r>
      <w:r w:rsidR="00F030A9">
        <w:rPr>
          <w:rStyle w:val="normaltextrun"/>
        </w:rPr>
        <w:t>show that</w:t>
      </w:r>
      <w:r w:rsidRPr="00402A6B">
        <w:rPr>
          <w:rStyle w:val="normaltextrun"/>
        </w:rPr>
        <w:t xml:space="preserve"> Aboriginal Victorians continue to be over-represented in clinical mental health services. Aboriginal people form about 0.7 per cent of Victoria’s population, </w:t>
      </w:r>
      <w:r w:rsidRPr="004A1A7B">
        <w:rPr>
          <w:rStyle w:val="normaltextrun"/>
        </w:rPr>
        <w:t xml:space="preserve">with </w:t>
      </w:r>
      <w:r w:rsidRPr="00402A6B">
        <w:rPr>
          <w:rStyle w:val="normaltextrun"/>
        </w:rPr>
        <w:t>3.1 per cent receiving clinical mental health care</w:t>
      </w:r>
      <w:r w:rsidR="007C37B8">
        <w:rPr>
          <w:rStyle w:val="normaltextrun"/>
        </w:rPr>
        <w:t>, compared with 1.16 per cent of the Victorian population</w:t>
      </w:r>
      <w:r w:rsidR="00F030A9">
        <w:rPr>
          <w:rStyle w:val="normaltextrun"/>
        </w:rPr>
        <w:t xml:space="preserve"> overall</w:t>
      </w:r>
      <w:r w:rsidRPr="00402A6B">
        <w:rPr>
          <w:rStyle w:val="normaltextrun"/>
        </w:rPr>
        <w:t>. This has been trending upward</w:t>
      </w:r>
      <w:r w:rsidR="00F030A9">
        <w:rPr>
          <w:rStyle w:val="normaltextrun"/>
        </w:rPr>
        <w:t>s</w:t>
      </w:r>
      <w:r w:rsidRPr="00402A6B">
        <w:rPr>
          <w:rStyle w:val="normaltextrun"/>
        </w:rPr>
        <w:t xml:space="preserve"> over the </w:t>
      </w:r>
      <w:r w:rsidR="00F030A9">
        <w:rPr>
          <w:rStyle w:val="normaltextrun"/>
        </w:rPr>
        <w:t>p</w:t>
      </w:r>
      <w:r w:rsidRPr="00402A6B">
        <w:rPr>
          <w:rStyle w:val="normaltextrun"/>
        </w:rPr>
        <w:t>ast five years.</w:t>
      </w:r>
    </w:p>
    <w:p w14:paraId="2619F9FA" w14:textId="174200D7" w:rsidR="007D51C7" w:rsidRDefault="007D51C7" w:rsidP="007D51C7">
      <w:pPr>
        <w:pStyle w:val="DHHSbody"/>
        <w:rPr>
          <w:rStyle w:val="normaltextrun"/>
        </w:rPr>
      </w:pPr>
      <w:r>
        <w:rPr>
          <w:rStyle w:val="normaltextrun"/>
        </w:rPr>
        <w:t xml:space="preserve">Data from the Victorian Population Health Survey on levels of psychological distress shows that </w:t>
      </w:r>
      <w:r w:rsidRPr="00402A6B">
        <w:rPr>
          <w:rStyle w:val="normaltextrun"/>
        </w:rPr>
        <w:t>the proportion of adults with high or very high levels of psychological distress was significantly higher in the Aboriginal population compared with the proportion in all adults, at 30.3 per cent</w:t>
      </w:r>
      <w:r>
        <w:rPr>
          <w:rStyle w:val="normaltextrun"/>
        </w:rPr>
        <w:t xml:space="preserve"> compared with 15.0 per cent</w:t>
      </w:r>
      <w:r w:rsidRPr="00402A6B">
        <w:rPr>
          <w:rStyle w:val="normaltextrun"/>
        </w:rPr>
        <w:t>. </w:t>
      </w:r>
      <w:r w:rsidR="006F389C">
        <w:rPr>
          <w:rStyle w:val="normaltextrun"/>
        </w:rPr>
        <w:t>P</w:t>
      </w:r>
      <w:r w:rsidR="006F389C" w:rsidRPr="00402A6B">
        <w:rPr>
          <w:rStyle w:val="normaltextrun"/>
        </w:rPr>
        <w:t>sychological distress is a proxy measure of the overall mental health and wellbeing of the population</w:t>
      </w:r>
      <w:r w:rsidR="006F389C">
        <w:rPr>
          <w:rStyle w:val="normaltextrun"/>
        </w:rPr>
        <w:t>, and ve</w:t>
      </w:r>
      <w:r w:rsidR="006F389C" w:rsidRPr="00402A6B">
        <w:rPr>
          <w:rStyle w:val="normaltextrun"/>
        </w:rPr>
        <w:t>ry high levels of psychological distress may signify a need for professional help and provide an estimate of the need for mental health services</w:t>
      </w:r>
      <w:r w:rsidR="006F389C">
        <w:rPr>
          <w:rStyle w:val="normaltextrun"/>
        </w:rPr>
        <w:t xml:space="preserve">. </w:t>
      </w:r>
      <w:r>
        <w:rPr>
          <w:rStyle w:val="normaltextrun"/>
        </w:rPr>
        <w:t xml:space="preserve">Levels for Aboriginal Victorians </w:t>
      </w:r>
      <w:r w:rsidRPr="00402A6B">
        <w:rPr>
          <w:rStyle w:val="normaltextrun"/>
        </w:rPr>
        <w:t>show</w:t>
      </w:r>
      <w:r>
        <w:rPr>
          <w:rStyle w:val="normaltextrun"/>
        </w:rPr>
        <w:t>ed</w:t>
      </w:r>
      <w:r w:rsidRPr="00402A6B">
        <w:rPr>
          <w:rStyle w:val="normaltextrun"/>
        </w:rPr>
        <w:t xml:space="preserve"> an increase of 5.3 per cent </w:t>
      </w:r>
      <w:r>
        <w:rPr>
          <w:rStyle w:val="normaltextrun"/>
        </w:rPr>
        <w:t>from the 2017 to the 2018 surveys.</w:t>
      </w:r>
    </w:p>
    <w:p w14:paraId="37ECFDA4" w14:textId="0FB5FEB9" w:rsidR="00C5258C" w:rsidRDefault="00FE07A2" w:rsidP="00040A61">
      <w:pPr>
        <w:pStyle w:val="DHHSbody"/>
        <w:rPr>
          <w:rFonts w:ascii="Segoe UI" w:hAnsi="Segoe UI" w:cs="Segoe UI"/>
          <w:sz w:val="18"/>
          <w:szCs w:val="18"/>
        </w:rPr>
      </w:pPr>
      <w:r>
        <w:rPr>
          <w:rStyle w:val="normaltextrun"/>
        </w:rPr>
        <w:t xml:space="preserve">For Victorian Aboriginal children, the proportion </w:t>
      </w:r>
      <w:r w:rsidRPr="00402A6B">
        <w:rPr>
          <w:rStyle w:val="normaltextrun"/>
        </w:rPr>
        <w:t>at high risk of clinically significant problems related to behaviour and emotional wellbeing</w:t>
      </w:r>
      <w:r>
        <w:rPr>
          <w:rStyle w:val="normaltextrun"/>
        </w:rPr>
        <w:t xml:space="preserve"> at school entry</w:t>
      </w:r>
      <w:r w:rsidRPr="00402A6B">
        <w:rPr>
          <w:rStyle w:val="normaltextrun"/>
        </w:rPr>
        <w:t xml:space="preserve"> reduced slightly </w:t>
      </w:r>
      <w:r>
        <w:rPr>
          <w:rStyle w:val="normaltextrun"/>
        </w:rPr>
        <w:t>from 2017 to 2018</w:t>
      </w:r>
      <w:r w:rsidRPr="00402A6B">
        <w:rPr>
          <w:rStyle w:val="normaltextrun"/>
        </w:rPr>
        <w:t xml:space="preserve"> to 18.5 per cent</w:t>
      </w:r>
      <w:r>
        <w:rPr>
          <w:rStyle w:val="normaltextrun"/>
        </w:rPr>
        <w:t xml:space="preserve">. However, </w:t>
      </w:r>
      <w:r w:rsidR="00471AC6">
        <w:rPr>
          <w:rStyle w:val="normaltextrun"/>
        </w:rPr>
        <w:t xml:space="preserve">it remains far higher </w:t>
      </w:r>
      <w:r w:rsidR="00E44FB0">
        <w:rPr>
          <w:rStyle w:val="normaltextrun"/>
        </w:rPr>
        <w:t xml:space="preserve">than the proportion for all Victorian children, which </w:t>
      </w:r>
      <w:r w:rsidR="00C5258C" w:rsidRPr="00402A6B">
        <w:rPr>
          <w:rStyle w:val="normaltextrun"/>
        </w:rPr>
        <w:t>is substantially lower at 6.7 per ce</w:t>
      </w:r>
      <w:r w:rsidR="00C5258C">
        <w:rPr>
          <w:rStyle w:val="normaltextrun"/>
          <w:rFonts w:ascii="Calibri" w:hAnsi="Calibri" w:cs="Calibri"/>
          <w:sz w:val="22"/>
          <w:szCs w:val="22"/>
        </w:rPr>
        <w:t>nt</w:t>
      </w:r>
      <w:r w:rsidR="00C5258C">
        <w:rPr>
          <w:rStyle w:val="normaltextrun"/>
          <w:rFonts w:cs="Arial"/>
          <w:sz w:val="22"/>
          <w:szCs w:val="22"/>
        </w:rPr>
        <w:t>.</w:t>
      </w:r>
      <w:r w:rsidR="00C5258C" w:rsidRPr="00050333">
        <w:rPr>
          <w:rStyle w:val="FootnoteReference"/>
          <w:rFonts w:cs="Arial"/>
        </w:rPr>
        <w:footnoteReference w:id="2"/>
      </w:r>
      <w:r w:rsidR="00894D3B" w:rsidRPr="00050333">
        <w:rPr>
          <w:rStyle w:val="normaltextrun"/>
          <w:rFonts w:cs="Arial"/>
        </w:rPr>
        <w:t xml:space="preserve"> </w:t>
      </w:r>
    </w:p>
    <w:p w14:paraId="3676DF05" w14:textId="6239EA38" w:rsidR="00F45F8D" w:rsidRDefault="00F45F8D" w:rsidP="00B55E24">
      <w:pPr>
        <w:pStyle w:val="DHHSbody"/>
        <w:rPr>
          <w:rStyle w:val="normaltextrun"/>
        </w:rPr>
      </w:pPr>
      <w:r w:rsidRPr="00402A6B">
        <w:rPr>
          <w:rStyle w:val="normaltextrun"/>
        </w:rPr>
        <w:t xml:space="preserve">There is strong evidence that people who are targets of racism are at greater risk of developing a range of mental health problems such as anxiety and depression. Racism is a key determinant of the health of </w:t>
      </w:r>
      <w:r w:rsidR="00F030A9" w:rsidRPr="00402A6B">
        <w:rPr>
          <w:rStyle w:val="normaltextrun"/>
        </w:rPr>
        <w:t xml:space="preserve">Aboriginal </w:t>
      </w:r>
      <w:r w:rsidRPr="00402A6B">
        <w:rPr>
          <w:rStyle w:val="normaltextrun"/>
        </w:rPr>
        <w:t xml:space="preserve">Australians that may explain the unremitting gap in health and socioeconomic outcomes between </w:t>
      </w:r>
      <w:r w:rsidR="00F030A9" w:rsidRPr="00402A6B">
        <w:rPr>
          <w:rStyle w:val="normaltextrun"/>
        </w:rPr>
        <w:t xml:space="preserve">Aboriginal </w:t>
      </w:r>
      <w:r w:rsidRPr="00402A6B">
        <w:rPr>
          <w:rStyle w:val="normaltextrun"/>
        </w:rPr>
        <w:t>and non-</w:t>
      </w:r>
      <w:r w:rsidR="00F030A9" w:rsidRPr="00402A6B">
        <w:rPr>
          <w:rStyle w:val="normaltextrun"/>
        </w:rPr>
        <w:t xml:space="preserve">Aboriginal </w:t>
      </w:r>
      <w:r w:rsidRPr="00402A6B">
        <w:rPr>
          <w:rStyle w:val="normaltextrun"/>
        </w:rPr>
        <w:t>Australians</w:t>
      </w:r>
      <w:r w:rsidR="00EF7136">
        <w:rPr>
          <w:rStyle w:val="normaltextrun"/>
        </w:rPr>
        <w:t>.</w:t>
      </w:r>
      <w:r>
        <w:rPr>
          <w:rStyle w:val="FootnoteReference"/>
        </w:rPr>
        <w:footnoteReference w:id="3"/>
      </w:r>
      <w:r w:rsidRPr="00402A6B">
        <w:rPr>
          <w:rStyle w:val="normaltextrun"/>
        </w:rPr>
        <w:t> Racism directed against Aboriginal Victorians is a significant problem.  </w:t>
      </w:r>
    </w:p>
    <w:p w14:paraId="5FDBBB9A" w14:textId="346CCA04" w:rsidR="00B55E24" w:rsidRDefault="00D56024" w:rsidP="00B55E24">
      <w:pPr>
        <w:pStyle w:val="DHHSbody"/>
        <w:rPr>
          <w:rStyle w:val="normaltextrun"/>
        </w:rPr>
      </w:pPr>
      <w:r>
        <w:rPr>
          <w:rStyle w:val="normaltextrun"/>
        </w:rPr>
        <w:t xml:space="preserve">Results for these indicators </w:t>
      </w:r>
      <w:r w:rsidR="00B55E24" w:rsidRPr="00AB2773">
        <w:rPr>
          <w:rStyle w:val="normaltextrun"/>
        </w:rPr>
        <w:t>again emphasise the need for ongoing, whole</w:t>
      </w:r>
      <w:r w:rsidR="00E97007">
        <w:rPr>
          <w:rStyle w:val="normaltextrun"/>
        </w:rPr>
        <w:t>-</w:t>
      </w:r>
      <w:r w:rsidR="00B55E24" w:rsidRPr="00AB2773">
        <w:rPr>
          <w:rStyle w:val="normaltextrun"/>
        </w:rPr>
        <w:t>of</w:t>
      </w:r>
      <w:r w:rsidR="00E97007">
        <w:rPr>
          <w:rStyle w:val="normaltextrun"/>
        </w:rPr>
        <w:t>-</w:t>
      </w:r>
      <w:r w:rsidR="00B55E24" w:rsidRPr="00AB2773">
        <w:rPr>
          <w:rStyle w:val="normaltextrun"/>
        </w:rPr>
        <w:t>government and community efforts towards social inclusion and equality, as well as sustained efforts to combat racism and tailored responses to support the mental health and wellbeing of Aboriginal Victorians. </w:t>
      </w:r>
    </w:p>
    <w:tbl>
      <w:tblPr>
        <w:tblStyle w:val="MentalhealthARtablestyle"/>
        <w:tblW w:w="9504" w:type="dxa"/>
        <w:tblLook w:val="04A0" w:firstRow="1" w:lastRow="0" w:firstColumn="1" w:lastColumn="0" w:noHBand="0" w:noVBand="1"/>
      </w:tblPr>
      <w:tblGrid>
        <w:gridCol w:w="1839"/>
        <w:gridCol w:w="1453"/>
        <w:gridCol w:w="1353"/>
        <w:gridCol w:w="1172"/>
        <w:gridCol w:w="1163"/>
        <w:gridCol w:w="1160"/>
        <w:gridCol w:w="1364"/>
      </w:tblGrid>
      <w:tr w:rsidR="00F331D4" w:rsidRPr="00FA6B92" w14:paraId="28A49D03" w14:textId="77777777" w:rsidTr="00EF7136">
        <w:trPr>
          <w:cnfStyle w:val="100000000000" w:firstRow="1" w:lastRow="0" w:firstColumn="0" w:lastColumn="0" w:oddVBand="0" w:evenVBand="0" w:oddHBand="0" w:evenHBand="0" w:firstRowFirstColumn="0" w:firstRowLastColumn="0" w:lastRowFirstColumn="0" w:lastRowLastColumn="0"/>
          <w:tblHeader/>
        </w:trPr>
        <w:tc>
          <w:tcPr>
            <w:tcW w:w="1532" w:type="dxa"/>
          </w:tcPr>
          <w:p w14:paraId="49BFD0EE" w14:textId="4C8EBBD1" w:rsidR="00F331D4" w:rsidRPr="00EF7136" w:rsidRDefault="00F331D4" w:rsidP="00EF7136">
            <w:pPr>
              <w:pStyle w:val="DHHStablecolhead"/>
              <w:rPr>
                <w:b/>
                <w:bCs/>
              </w:rPr>
            </w:pPr>
            <w:r w:rsidRPr="00EF7136">
              <w:rPr>
                <w:b/>
                <w:bCs/>
              </w:rPr>
              <w:lastRenderedPageBreak/>
              <w:t>Indicator</w:t>
            </w:r>
          </w:p>
        </w:tc>
        <w:tc>
          <w:tcPr>
            <w:tcW w:w="1210" w:type="dxa"/>
          </w:tcPr>
          <w:p w14:paraId="5EBF28E7" w14:textId="77777777" w:rsidR="00F331D4" w:rsidRPr="00EF7136" w:rsidRDefault="00F331D4" w:rsidP="00EF7136">
            <w:pPr>
              <w:pStyle w:val="DHHStablecolhead"/>
              <w:rPr>
                <w:b/>
                <w:bCs/>
              </w:rPr>
            </w:pPr>
            <w:r w:rsidRPr="00EF7136">
              <w:rPr>
                <w:b/>
                <w:bCs/>
              </w:rPr>
              <w:t>Reference</w:t>
            </w:r>
          </w:p>
          <w:p w14:paraId="66911C14" w14:textId="77777777" w:rsidR="00F331D4" w:rsidRPr="00EF7136" w:rsidRDefault="00F331D4" w:rsidP="00EF7136">
            <w:pPr>
              <w:pStyle w:val="DHHStablecolhead"/>
              <w:rPr>
                <w:b/>
                <w:bCs/>
              </w:rPr>
            </w:pPr>
            <w:r w:rsidRPr="00EF7136">
              <w:rPr>
                <w:b/>
                <w:bCs/>
              </w:rPr>
              <w:t>year</w:t>
            </w:r>
          </w:p>
        </w:tc>
        <w:tc>
          <w:tcPr>
            <w:tcW w:w="1127" w:type="dxa"/>
          </w:tcPr>
          <w:p w14:paraId="67EF1643" w14:textId="77777777" w:rsidR="00F331D4" w:rsidRPr="00EF7136" w:rsidRDefault="00F331D4" w:rsidP="00EF7136">
            <w:pPr>
              <w:pStyle w:val="DHHStablecolhead"/>
              <w:rPr>
                <w:b/>
                <w:bCs/>
              </w:rPr>
            </w:pPr>
            <w:r w:rsidRPr="00EF7136">
              <w:rPr>
                <w:b/>
                <w:bCs/>
              </w:rPr>
              <w:t>Four years prior</w:t>
            </w:r>
          </w:p>
        </w:tc>
        <w:tc>
          <w:tcPr>
            <w:tcW w:w="976" w:type="dxa"/>
          </w:tcPr>
          <w:p w14:paraId="5A35F0DD" w14:textId="77777777" w:rsidR="00F331D4" w:rsidRPr="00EF7136" w:rsidRDefault="00F331D4" w:rsidP="00EF7136">
            <w:pPr>
              <w:pStyle w:val="DHHStablecolhead"/>
              <w:rPr>
                <w:b/>
                <w:bCs/>
              </w:rPr>
            </w:pPr>
            <w:r w:rsidRPr="00EF7136">
              <w:rPr>
                <w:b/>
                <w:bCs/>
              </w:rPr>
              <w:t>Three years prior</w:t>
            </w:r>
          </w:p>
        </w:tc>
        <w:tc>
          <w:tcPr>
            <w:tcW w:w="969" w:type="dxa"/>
          </w:tcPr>
          <w:p w14:paraId="62663708" w14:textId="77777777" w:rsidR="00F331D4" w:rsidRPr="00EF7136" w:rsidRDefault="00F331D4" w:rsidP="00EF7136">
            <w:pPr>
              <w:pStyle w:val="DHHStablecolhead"/>
              <w:rPr>
                <w:b/>
                <w:bCs/>
              </w:rPr>
            </w:pPr>
            <w:r w:rsidRPr="00EF7136">
              <w:rPr>
                <w:b/>
                <w:bCs/>
              </w:rPr>
              <w:t>Two years prior</w:t>
            </w:r>
          </w:p>
        </w:tc>
        <w:tc>
          <w:tcPr>
            <w:tcW w:w="966" w:type="dxa"/>
          </w:tcPr>
          <w:p w14:paraId="065A2B91" w14:textId="77777777" w:rsidR="00F331D4" w:rsidRPr="00EF7136" w:rsidRDefault="00F331D4" w:rsidP="00EF7136">
            <w:pPr>
              <w:pStyle w:val="DHHStablecolhead"/>
              <w:rPr>
                <w:b/>
                <w:bCs/>
              </w:rPr>
            </w:pPr>
            <w:r w:rsidRPr="00EF7136">
              <w:rPr>
                <w:b/>
                <w:bCs/>
              </w:rPr>
              <w:t>One year prior</w:t>
            </w:r>
          </w:p>
        </w:tc>
        <w:tc>
          <w:tcPr>
            <w:tcW w:w="1136" w:type="dxa"/>
          </w:tcPr>
          <w:p w14:paraId="4C45FE3E" w14:textId="77777777" w:rsidR="00F331D4" w:rsidRPr="00EF7136" w:rsidRDefault="00F331D4" w:rsidP="00EF7136">
            <w:pPr>
              <w:pStyle w:val="DHHStablecolhead"/>
              <w:rPr>
                <w:b/>
                <w:bCs/>
              </w:rPr>
            </w:pPr>
            <w:r w:rsidRPr="00EF7136">
              <w:rPr>
                <w:b/>
                <w:bCs/>
              </w:rPr>
              <w:t>Most current data</w:t>
            </w:r>
          </w:p>
        </w:tc>
      </w:tr>
      <w:tr w:rsidR="00F331D4" w:rsidRPr="00D51D9C" w14:paraId="05F25D3B" w14:textId="77777777" w:rsidTr="00EF7136">
        <w:tc>
          <w:tcPr>
            <w:tcW w:w="1532" w:type="dxa"/>
          </w:tcPr>
          <w:p w14:paraId="4E28521B" w14:textId="77777777" w:rsidR="00F331D4" w:rsidRPr="00D51D9C" w:rsidRDefault="00F331D4" w:rsidP="00EF7136">
            <w:pPr>
              <w:pStyle w:val="DHHStabletext"/>
            </w:pPr>
            <w:r w:rsidRPr="00D51D9C">
              <w:rPr>
                <w:lang w:eastAsia="en-AU"/>
              </w:rPr>
              <w:t>1.1 Proportion of Victorian population with high or very high psychological distress (adults)</w:t>
            </w:r>
          </w:p>
        </w:tc>
        <w:tc>
          <w:tcPr>
            <w:tcW w:w="1210" w:type="dxa"/>
          </w:tcPr>
          <w:p w14:paraId="7BE2C3BA" w14:textId="77777777" w:rsidR="00F331D4" w:rsidRPr="00D51D9C" w:rsidRDefault="00F331D4" w:rsidP="00EF7136">
            <w:pPr>
              <w:pStyle w:val="DHHStabletext"/>
            </w:pPr>
            <w:r w:rsidRPr="00D51D9C">
              <w:t>2018</w:t>
            </w:r>
          </w:p>
        </w:tc>
        <w:tc>
          <w:tcPr>
            <w:tcW w:w="1127" w:type="dxa"/>
          </w:tcPr>
          <w:p w14:paraId="457BA251" w14:textId="1AC81BE4" w:rsidR="00F331D4" w:rsidRPr="00D51D9C" w:rsidRDefault="00F2363E" w:rsidP="00EF7136">
            <w:pPr>
              <w:pStyle w:val="DHHStabletext"/>
            </w:pPr>
            <w:r>
              <w:t>n</w:t>
            </w:r>
            <w:r w:rsidR="00053DB8">
              <w:t>/</w:t>
            </w:r>
            <w:r>
              <w:t>a</w:t>
            </w:r>
            <w:r w:rsidR="00F030A9">
              <w:rPr>
                <w:rStyle w:val="FootnoteReference"/>
              </w:rPr>
              <w:footnoteReference w:id="4"/>
            </w:r>
          </w:p>
        </w:tc>
        <w:tc>
          <w:tcPr>
            <w:tcW w:w="976" w:type="dxa"/>
          </w:tcPr>
          <w:p w14:paraId="330EDF0F" w14:textId="77777777" w:rsidR="00F331D4" w:rsidRPr="00D51D9C" w:rsidRDefault="00F331D4" w:rsidP="00EF7136">
            <w:pPr>
              <w:pStyle w:val="DHHStabletext"/>
            </w:pPr>
            <w:r w:rsidRPr="00D51D9C">
              <w:t>17.3%</w:t>
            </w:r>
          </w:p>
        </w:tc>
        <w:tc>
          <w:tcPr>
            <w:tcW w:w="969" w:type="dxa"/>
          </w:tcPr>
          <w:p w14:paraId="5C900FEC" w14:textId="77777777" w:rsidR="00F331D4" w:rsidRPr="00D51D9C" w:rsidRDefault="00F331D4" w:rsidP="00EF7136">
            <w:pPr>
              <w:pStyle w:val="DHHStabletext"/>
            </w:pPr>
            <w:r w:rsidRPr="00D51D9C">
              <w:t>14.8%</w:t>
            </w:r>
          </w:p>
        </w:tc>
        <w:tc>
          <w:tcPr>
            <w:tcW w:w="966" w:type="dxa"/>
          </w:tcPr>
          <w:p w14:paraId="1DBFC9E5" w14:textId="77777777" w:rsidR="00F331D4" w:rsidRPr="00D51D9C" w:rsidRDefault="00F331D4" w:rsidP="00EF7136">
            <w:pPr>
              <w:pStyle w:val="DHHStabletext"/>
            </w:pPr>
            <w:r w:rsidRPr="00D51D9C">
              <w:t>15.4%</w:t>
            </w:r>
          </w:p>
        </w:tc>
        <w:tc>
          <w:tcPr>
            <w:tcW w:w="1136" w:type="dxa"/>
          </w:tcPr>
          <w:p w14:paraId="61B12504" w14:textId="77777777" w:rsidR="00F331D4" w:rsidRPr="00D51D9C" w:rsidRDefault="00F331D4" w:rsidP="00EF7136">
            <w:pPr>
              <w:pStyle w:val="DHHStabletext"/>
            </w:pPr>
            <w:r w:rsidRPr="00D51D9C">
              <w:t>15.0%</w:t>
            </w:r>
          </w:p>
        </w:tc>
      </w:tr>
      <w:tr w:rsidR="00F331D4" w:rsidRPr="00D51D9C" w14:paraId="73FC6ADE" w14:textId="77777777" w:rsidTr="00EF7136">
        <w:tc>
          <w:tcPr>
            <w:tcW w:w="1532" w:type="dxa"/>
          </w:tcPr>
          <w:p w14:paraId="3DEF5DF3" w14:textId="7EF78A7B" w:rsidR="00F331D4" w:rsidRPr="00D51D9C" w:rsidRDefault="00F331D4" w:rsidP="00EF7136">
            <w:pPr>
              <w:pStyle w:val="DHHStabletext"/>
            </w:pPr>
            <w:r w:rsidRPr="00D51D9C">
              <w:t xml:space="preserve">1.2 </w:t>
            </w:r>
            <w:r w:rsidRPr="00D51D9C">
              <w:rPr>
                <w:lang w:eastAsia="en-AU"/>
              </w:rPr>
              <w:t>Proportion of Victorian population receiving clinical mental health</w:t>
            </w:r>
            <w:r w:rsidR="00053DB8">
              <w:rPr>
                <w:lang w:eastAsia="en-AU"/>
              </w:rPr>
              <w:t xml:space="preserve"> </w:t>
            </w:r>
            <w:r w:rsidRPr="00D51D9C">
              <w:rPr>
                <w:lang w:eastAsia="en-AU"/>
              </w:rPr>
              <w:t>care</w:t>
            </w:r>
          </w:p>
        </w:tc>
        <w:tc>
          <w:tcPr>
            <w:tcW w:w="1210" w:type="dxa"/>
          </w:tcPr>
          <w:p w14:paraId="22F411FD" w14:textId="75548651" w:rsidR="00F331D4" w:rsidRPr="00D51D9C" w:rsidRDefault="00894D3B" w:rsidP="00EF7136">
            <w:pPr>
              <w:pStyle w:val="DHHStabletext"/>
            </w:pPr>
            <w:r>
              <w:t>2019–20</w:t>
            </w:r>
          </w:p>
        </w:tc>
        <w:tc>
          <w:tcPr>
            <w:tcW w:w="1127" w:type="dxa"/>
          </w:tcPr>
          <w:p w14:paraId="0862E12B" w14:textId="48C6E99D" w:rsidR="00F331D4" w:rsidRPr="00D51D9C" w:rsidRDefault="00F331D4" w:rsidP="00EF7136">
            <w:pPr>
              <w:pStyle w:val="DHHStabletext"/>
            </w:pPr>
            <w:r w:rsidRPr="00D51D9C">
              <w:t>1.10</w:t>
            </w:r>
            <w:r w:rsidR="00014367">
              <w:t>%</w:t>
            </w:r>
          </w:p>
        </w:tc>
        <w:tc>
          <w:tcPr>
            <w:tcW w:w="976" w:type="dxa"/>
          </w:tcPr>
          <w:p w14:paraId="5464E252" w14:textId="30F169E7" w:rsidR="00F331D4" w:rsidRPr="00D51D9C" w:rsidRDefault="00F331D4" w:rsidP="00EF7136">
            <w:pPr>
              <w:pStyle w:val="DHHStabletext"/>
            </w:pPr>
            <w:r w:rsidRPr="00D51D9C">
              <w:t>1.07</w:t>
            </w:r>
            <w:r w:rsidR="00014367">
              <w:t>%</w:t>
            </w:r>
          </w:p>
        </w:tc>
        <w:tc>
          <w:tcPr>
            <w:tcW w:w="969" w:type="dxa"/>
          </w:tcPr>
          <w:p w14:paraId="3D4B4A5E" w14:textId="06F466B6" w:rsidR="00F331D4" w:rsidRPr="00D51D9C" w:rsidRDefault="00F331D4" w:rsidP="00EF7136">
            <w:pPr>
              <w:pStyle w:val="DHHStabletext"/>
            </w:pPr>
            <w:r w:rsidRPr="00D51D9C">
              <w:t>1.15</w:t>
            </w:r>
            <w:r w:rsidR="00014367">
              <w:t>%</w:t>
            </w:r>
          </w:p>
        </w:tc>
        <w:tc>
          <w:tcPr>
            <w:tcW w:w="966" w:type="dxa"/>
          </w:tcPr>
          <w:p w14:paraId="0C70C52E" w14:textId="67A8BA30" w:rsidR="00F331D4" w:rsidRPr="00D51D9C" w:rsidRDefault="00F331D4" w:rsidP="00EF7136">
            <w:pPr>
              <w:pStyle w:val="DHHStabletext"/>
            </w:pPr>
            <w:r w:rsidRPr="00D51D9C">
              <w:t>1.16</w:t>
            </w:r>
            <w:r w:rsidR="00014367">
              <w:t>%</w:t>
            </w:r>
          </w:p>
        </w:tc>
        <w:tc>
          <w:tcPr>
            <w:tcW w:w="1136" w:type="dxa"/>
          </w:tcPr>
          <w:p w14:paraId="5D491EB2" w14:textId="2B28A0C7" w:rsidR="00F331D4" w:rsidRPr="00D51D9C" w:rsidRDefault="00F331D4" w:rsidP="00EF7136">
            <w:pPr>
              <w:pStyle w:val="DHHStabletext"/>
            </w:pPr>
            <w:r w:rsidRPr="00D51D9C">
              <w:t>1.16</w:t>
            </w:r>
            <w:r w:rsidR="00014367">
              <w:t>%</w:t>
            </w:r>
          </w:p>
        </w:tc>
      </w:tr>
      <w:tr w:rsidR="007378B0" w:rsidRPr="00AA04DB" w14:paraId="79856154" w14:textId="77777777" w:rsidTr="00EF7136">
        <w:tc>
          <w:tcPr>
            <w:tcW w:w="1532" w:type="dxa"/>
          </w:tcPr>
          <w:p w14:paraId="41D15693" w14:textId="79888D23" w:rsidR="007378B0" w:rsidRPr="00AA04DB" w:rsidRDefault="007378B0" w:rsidP="00EF7136">
            <w:pPr>
              <w:pStyle w:val="DHHStabletext"/>
              <w:rPr>
                <w:lang w:val="en-US"/>
              </w:rPr>
            </w:pPr>
            <w:r w:rsidRPr="00AA04DB">
              <w:rPr>
                <w:lang w:val="en-US"/>
              </w:rPr>
              <w:t>3.1 Proportion of Victorian Aboriginal population who are receiving clinical mental health</w:t>
            </w:r>
            <w:r w:rsidR="00053DB8">
              <w:rPr>
                <w:lang w:val="en-US"/>
              </w:rPr>
              <w:t xml:space="preserve"> </w:t>
            </w:r>
            <w:r w:rsidRPr="00AA04DB">
              <w:rPr>
                <w:lang w:val="en-US"/>
              </w:rPr>
              <w:t>care</w:t>
            </w:r>
          </w:p>
        </w:tc>
        <w:tc>
          <w:tcPr>
            <w:tcW w:w="1210" w:type="dxa"/>
          </w:tcPr>
          <w:p w14:paraId="16F30CE3" w14:textId="2EC3DF3D" w:rsidR="007378B0" w:rsidRPr="00AA04DB" w:rsidRDefault="00894D3B" w:rsidP="00EF7136">
            <w:pPr>
              <w:pStyle w:val="DHHStabletext"/>
              <w:rPr>
                <w:lang w:val="en-US"/>
              </w:rPr>
            </w:pPr>
            <w:r>
              <w:rPr>
                <w:lang w:val="en-US"/>
              </w:rPr>
              <w:t>2019–20</w:t>
            </w:r>
          </w:p>
        </w:tc>
        <w:tc>
          <w:tcPr>
            <w:tcW w:w="1127" w:type="dxa"/>
          </w:tcPr>
          <w:p w14:paraId="05421EE2" w14:textId="0EAD36B6" w:rsidR="007378B0" w:rsidRPr="00AA04DB" w:rsidRDefault="007378B0" w:rsidP="00EF7136">
            <w:pPr>
              <w:pStyle w:val="DHHStabletext"/>
              <w:rPr>
                <w:lang w:val="en-US"/>
              </w:rPr>
            </w:pPr>
            <w:r w:rsidRPr="00AA04DB">
              <w:rPr>
                <w:lang w:val="en-US"/>
              </w:rPr>
              <w:t>2.6</w:t>
            </w:r>
            <w:r w:rsidR="00014367">
              <w:rPr>
                <w:lang w:val="en-US"/>
              </w:rPr>
              <w:t>%</w:t>
            </w:r>
          </w:p>
        </w:tc>
        <w:tc>
          <w:tcPr>
            <w:tcW w:w="976" w:type="dxa"/>
          </w:tcPr>
          <w:p w14:paraId="54A78357" w14:textId="17995E1C" w:rsidR="007378B0" w:rsidRPr="00AA04DB" w:rsidRDefault="007378B0" w:rsidP="00EF7136">
            <w:pPr>
              <w:pStyle w:val="DHHStabletext"/>
              <w:rPr>
                <w:lang w:val="en-US"/>
              </w:rPr>
            </w:pPr>
            <w:r w:rsidRPr="00AA04DB">
              <w:rPr>
                <w:lang w:val="en-US"/>
              </w:rPr>
              <w:t>2.7</w:t>
            </w:r>
            <w:r w:rsidR="00014367">
              <w:rPr>
                <w:lang w:val="en-US"/>
              </w:rPr>
              <w:t>%</w:t>
            </w:r>
          </w:p>
        </w:tc>
        <w:tc>
          <w:tcPr>
            <w:tcW w:w="969" w:type="dxa"/>
          </w:tcPr>
          <w:p w14:paraId="39668622" w14:textId="58D2318D" w:rsidR="007378B0" w:rsidRPr="00AA04DB" w:rsidRDefault="007378B0" w:rsidP="00EF7136">
            <w:pPr>
              <w:pStyle w:val="DHHStabletext"/>
              <w:rPr>
                <w:lang w:val="en-US"/>
              </w:rPr>
            </w:pPr>
            <w:r w:rsidRPr="00AA04DB">
              <w:rPr>
                <w:lang w:val="en-US"/>
              </w:rPr>
              <w:t>2.8</w:t>
            </w:r>
            <w:r w:rsidR="00014367">
              <w:rPr>
                <w:lang w:val="en-US"/>
              </w:rPr>
              <w:t>%</w:t>
            </w:r>
          </w:p>
        </w:tc>
        <w:tc>
          <w:tcPr>
            <w:tcW w:w="966" w:type="dxa"/>
          </w:tcPr>
          <w:p w14:paraId="2D34A4EA" w14:textId="7B3826FB" w:rsidR="007378B0" w:rsidRPr="00AA04DB" w:rsidRDefault="007378B0" w:rsidP="00EF7136">
            <w:pPr>
              <w:pStyle w:val="DHHStabletext"/>
              <w:rPr>
                <w:lang w:val="en-US"/>
              </w:rPr>
            </w:pPr>
            <w:r w:rsidRPr="00AA04DB">
              <w:rPr>
                <w:lang w:val="en-US"/>
              </w:rPr>
              <w:t>2.9</w:t>
            </w:r>
            <w:r w:rsidR="00014367">
              <w:rPr>
                <w:lang w:val="en-US"/>
              </w:rPr>
              <w:t>%</w:t>
            </w:r>
          </w:p>
        </w:tc>
        <w:tc>
          <w:tcPr>
            <w:tcW w:w="1136" w:type="dxa"/>
          </w:tcPr>
          <w:p w14:paraId="57A76153" w14:textId="0E32783B" w:rsidR="007378B0" w:rsidRPr="00AA04DB" w:rsidRDefault="007378B0" w:rsidP="00EF7136">
            <w:pPr>
              <w:pStyle w:val="DHHStabletext"/>
              <w:rPr>
                <w:lang w:val="en-US"/>
              </w:rPr>
            </w:pPr>
            <w:r w:rsidRPr="00AA04DB">
              <w:rPr>
                <w:lang w:val="en-US"/>
              </w:rPr>
              <w:t>3.1</w:t>
            </w:r>
            <w:r w:rsidR="00014367">
              <w:rPr>
                <w:lang w:val="en-US"/>
              </w:rPr>
              <w:t>%</w:t>
            </w:r>
          </w:p>
        </w:tc>
      </w:tr>
      <w:tr w:rsidR="007378B0" w:rsidRPr="00AA04DB" w14:paraId="6BCDED67" w14:textId="77777777" w:rsidTr="00EF7136">
        <w:tc>
          <w:tcPr>
            <w:tcW w:w="1532" w:type="dxa"/>
          </w:tcPr>
          <w:p w14:paraId="0CF3CDF4" w14:textId="77777777" w:rsidR="007378B0" w:rsidRPr="00AA04DB" w:rsidRDefault="007378B0" w:rsidP="00EF7136">
            <w:pPr>
              <w:pStyle w:val="DHHStabletext"/>
              <w:rPr>
                <w:lang w:val="en-US"/>
              </w:rPr>
            </w:pPr>
            <w:r w:rsidRPr="00AA04DB">
              <w:rPr>
                <w:lang w:val="en-US"/>
              </w:rPr>
              <w:t>3.2 Proportion of Victorian Aboriginal population with high or very high psychological distress</w:t>
            </w:r>
          </w:p>
        </w:tc>
        <w:tc>
          <w:tcPr>
            <w:tcW w:w="1210" w:type="dxa"/>
          </w:tcPr>
          <w:p w14:paraId="0030B5A1" w14:textId="77777777" w:rsidR="007378B0" w:rsidRPr="00AA04DB" w:rsidRDefault="007378B0" w:rsidP="00EF7136">
            <w:pPr>
              <w:pStyle w:val="DHHStabletext"/>
              <w:rPr>
                <w:lang w:val="en-US"/>
              </w:rPr>
            </w:pPr>
            <w:r w:rsidRPr="00AA04DB">
              <w:rPr>
                <w:lang w:val="en-US"/>
              </w:rPr>
              <w:t>2018</w:t>
            </w:r>
          </w:p>
        </w:tc>
        <w:tc>
          <w:tcPr>
            <w:tcW w:w="1127" w:type="dxa"/>
          </w:tcPr>
          <w:p w14:paraId="67B48680" w14:textId="6695AF25" w:rsidR="007378B0" w:rsidRPr="0040250E" w:rsidRDefault="00F2363E" w:rsidP="00EF7136">
            <w:pPr>
              <w:pStyle w:val="DHHStabletext"/>
              <w:rPr>
                <w:lang w:val="en-US"/>
              </w:rPr>
            </w:pPr>
            <w:r>
              <w:rPr>
                <w:lang w:val="en-US"/>
              </w:rPr>
              <w:t>n</w:t>
            </w:r>
            <w:r w:rsidR="00053DB8">
              <w:rPr>
                <w:lang w:val="en-US"/>
              </w:rPr>
              <w:t>/</w:t>
            </w:r>
            <w:r>
              <w:rPr>
                <w:lang w:val="en-US"/>
              </w:rPr>
              <w:t>a</w:t>
            </w:r>
            <w:r w:rsidR="00191DC5">
              <w:rPr>
                <w:vertAlign w:val="superscript"/>
                <w:lang w:val="en-US"/>
              </w:rPr>
              <w:t>4</w:t>
            </w:r>
          </w:p>
        </w:tc>
        <w:tc>
          <w:tcPr>
            <w:tcW w:w="976" w:type="dxa"/>
          </w:tcPr>
          <w:p w14:paraId="1398D25E" w14:textId="766C82B4" w:rsidR="007378B0" w:rsidRPr="00783CB6" w:rsidRDefault="007378B0" w:rsidP="00EF7136">
            <w:pPr>
              <w:pStyle w:val="DHHStabletext"/>
              <w:rPr>
                <w:lang w:val="en-US"/>
              </w:rPr>
            </w:pPr>
            <w:r w:rsidRPr="00783CB6">
              <w:rPr>
                <w:lang w:val="en-US"/>
              </w:rPr>
              <w:t>17.7%</w:t>
            </w:r>
            <w:r w:rsidR="00F030A9">
              <w:rPr>
                <w:rStyle w:val="FootnoteReference"/>
                <w:lang w:val="en-US"/>
              </w:rPr>
              <w:footnoteReference w:id="5"/>
            </w:r>
          </w:p>
        </w:tc>
        <w:tc>
          <w:tcPr>
            <w:tcW w:w="969" w:type="dxa"/>
          </w:tcPr>
          <w:p w14:paraId="68CB174B" w14:textId="77777777" w:rsidR="007378B0" w:rsidRPr="00783CB6" w:rsidRDefault="007378B0" w:rsidP="00EF7136">
            <w:pPr>
              <w:pStyle w:val="DHHStabletext"/>
              <w:rPr>
                <w:lang w:val="en-US"/>
              </w:rPr>
            </w:pPr>
            <w:r w:rsidRPr="00783CB6">
              <w:rPr>
                <w:lang w:val="en-US"/>
              </w:rPr>
              <w:t>27.9%</w:t>
            </w:r>
          </w:p>
        </w:tc>
        <w:tc>
          <w:tcPr>
            <w:tcW w:w="966" w:type="dxa"/>
          </w:tcPr>
          <w:p w14:paraId="52498C76" w14:textId="77777777" w:rsidR="007378B0" w:rsidRPr="00783CB6" w:rsidRDefault="007378B0" w:rsidP="00EF7136">
            <w:pPr>
              <w:pStyle w:val="DHHStabletext"/>
              <w:rPr>
                <w:lang w:val="en-US"/>
              </w:rPr>
            </w:pPr>
            <w:r w:rsidRPr="00783CB6">
              <w:rPr>
                <w:lang w:val="en-US"/>
              </w:rPr>
              <w:t>25.0%</w:t>
            </w:r>
          </w:p>
        </w:tc>
        <w:tc>
          <w:tcPr>
            <w:tcW w:w="1136" w:type="dxa"/>
          </w:tcPr>
          <w:p w14:paraId="6A9E5A24" w14:textId="77777777" w:rsidR="007378B0" w:rsidRPr="00783CB6" w:rsidRDefault="007378B0" w:rsidP="00EF7136">
            <w:pPr>
              <w:pStyle w:val="DHHStabletext"/>
              <w:rPr>
                <w:lang w:val="en-US"/>
              </w:rPr>
            </w:pPr>
            <w:r w:rsidRPr="00783CB6">
              <w:rPr>
                <w:lang w:val="en-US"/>
              </w:rPr>
              <w:t>30.3%</w:t>
            </w:r>
          </w:p>
        </w:tc>
      </w:tr>
    </w:tbl>
    <w:p w14:paraId="56330030" w14:textId="22039479" w:rsidR="00FB7249" w:rsidRDefault="00FC253F" w:rsidP="00AA1A64">
      <w:pPr>
        <w:pStyle w:val="Heading5"/>
      </w:pPr>
      <w:r>
        <w:t>S</w:t>
      </w:r>
      <w:r w:rsidR="00FB7249">
        <w:t>uicide</w:t>
      </w:r>
      <w:r>
        <w:t xml:space="preserve"> rate</w:t>
      </w:r>
    </w:p>
    <w:p w14:paraId="40FF6124" w14:textId="54C7BEB9" w:rsidR="00E612E3" w:rsidRDefault="009A7238" w:rsidP="009A7238">
      <w:pPr>
        <w:pStyle w:val="DHHSbody"/>
        <w:rPr>
          <w:rStyle w:val="normaltextrun"/>
        </w:rPr>
      </w:pPr>
      <w:r w:rsidRPr="00AB2773">
        <w:rPr>
          <w:rStyle w:val="normaltextrun"/>
        </w:rPr>
        <w:t>Arguably, the suicide rate is the starkest measure of the mental health of a population.</w:t>
      </w:r>
      <w:r>
        <w:rPr>
          <w:rStyle w:val="FootnoteReference"/>
        </w:rPr>
        <w:footnoteReference w:id="6"/>
      </w:r>
      <w:r w:rsidRPr="00AB2773">
        <w:rPr>
          <w:rStyle w:val="normaltextrun"/>
        </w:rPr>
        <w:t> </w:t>
      </w:r>
      <w:r w:rsidR="00311086">
        <w:rPr>
          <w:rStyle w:val="normaltextrun"/>
        </w:rPr>
        <w:t>There has been a slight increase in the suicide rate for Victoria in 2019, with a rate of 10.7 deaths (per 100,000) compared to 10.4 in 2018. Victoria’s age-standardised rate is the lowest of any state or territory and is lower than the national rate of 12.9. Victoria’s rate is fairly stable over the last several years, sitting in the range 10.1-11.1 per 100,000 population. There has been heightened concern about suicide with the coronavirus (COVID-19) pandemic. D</w:t>
      </w:r>
      <w:r w:rsidR="00311086" w:rsidRPr="00AB2773">
        <w:rPr>
          <w:rStyle w:val="normaltextrun"/>
        </w:rPr>
        <w:t>ata released by the State Coroner </w:t>
      </w:r>
      <w:r w:rsidR="00311086">
        <w:rPr>
          <w:rStyle w:val="normaltextrun"/>
        </w:rPr>
        <w:t xml:space="preserve">indicates </w:t>
      </w:r>
      <w:r w:rsidR="00311086" w:rsidRPr="00AB2773">
        <w:rPr>
          <w:rStyle w:val="normaltextrun"/>
        </w:rPr>
        <w:t xml:space="preserve">that the </w:t>
      </w:r>
      <w:r w:rsidR="00311086">
        <w:rPr>
          <w:rStyle w:val="normaltextrun"/>
        </w:rPr>
        <w:t xml:space="preserve">year-to-date </w:t>
      </w:r>
      <w:r w:rsidR="00311086" w:rsidRPr="00AB2773">
        <w:rPr>
          <w:rStyle w:val="normaltextrun"/>
        </w:rPr>
        <w:t>number of suicide deaths in Victoria at</w:t>
      </w:r>
      <w:r w:rsidR="00311086">
        <w:rPr>
          <w:rStyle w:val="normaltextrun"/>
        </w:rPr>
        <w:t xml:space="preserve"> the</w:t>
      </w:r>
      <w:r w:rsidR="00311086" w:rsidRPr="00AB2773">
        <w:rPr>
          <w:rStyle w:val="normaltextrun"/>
        </w:rPr>
        <w:t xml:space="preserve"> end</w:t>
      </w:r>
      <w:r w:rsidR="00311086">
        <w:rPr>
          <w:rStyle w:val="normaltextrun"/>
        </w:rPr>
        <w:t xml:space="preserve"> of </w:t>
      </w:r>
      <w:r w:rsidR="00311086" w:rsidRPr="00AB2773">
        <w:rPr>
          <w:rStyle w:val="normaltextrun"/>
        </w:rPr>
        <w:t>September 2020 is at a</w:t>
      </w:r>
      <w:r w:rsidR="00311086">
        <w:rPr>
          <w:rStyle w:val="normaltextrun"/>
        </w:rPr>
        <w:t xml:space="preserve"> very</w:t>
      </w:r>
      <w:r w:rsidR="00311086" w:rsidRPr="00AB2773">
        <w:rPr>
          <w:rStyle w:val="normaltextrun"/>
        </w:rPr>
        <w:t xml:space="preserve"> similar level to the same period in 2019.</w:t>
      </w:r>
      <w:r w:rsidR="004C07D6" w:rsidRPr="00AB2773">
        <w:rPr>
          <w:rStyle w:val="normaltextrun"/>
        </w:rPr>
        <w:t> </w:t>
      </w:r>
    </w:p>
    <w:p w14:paraId="6E02A900" w14:textId="47060658" w:rsidR="009A7238" w:rsidRDefault="009A7238" w:rsidP="00C00690">
      <w:pPr>
        <w:pStyle w:val="DHHStablecaption"/>
        <w:rPr>
          <w:rStyle w:val="normaltextrun"/>
        </w:rPr>
      </w:pPr>
    </w:p>
    <w:tbl>
      <w:tblPr>
        <w:tblStyle w:val="MentalhealthARtablestyle"/>
        <w:tblW w:w="9504" w:type="dxa"/>
        <w:tblLook w:val="04A0" w:firstRow="1" w:lastRow="0" w:firstColumn="1" w:lastColumn="0" w:noHBand="0" w:noVBand="1"/>
      </w:tblPr>
      <w:tblGrid>
        <w:gridCol w:w="1788"/>
        <w:gridCol w:w="1294"/>
        <w:gridCol w:w="1477"/>
        <w:gridCol w:w="1189"/>
        <w:gridCol w:w="1192"/>
        <w:gridCol w:w="1196"/>
        <w:gridCol w:w="1368"/>
      </w:tblGrid>
      <w:tr w:rsidR="009A7238" w:rsidRPr="008F7636" w14:paraId="6AE6A2B3" w14:textId="77777777" w:rsidTr="00311086">
        <w:trPr>
          <w:cnfStyle w:val="100000000000" w:firstRow="1" w:lastRow="0" w:firstColumn="0" w:lastColumn="0" w:oddVBand="0" w:evenVBand="0" w:oddHBand="0" w:evenHBand="0" w:firstRowFirstColumn="0" w:firstRowLastColumn="0" w:lastRowFirstColumn="0" w:lastRowLastColumn="0"/>
          <w:tblHeader/>
        </w:trPr>
        <w:tc>
          <w:tcPr>
            <w:tcW w:w="1788" w:type="dxa"/>
          </w:tcPr>
          <w:p w14:paraId="771A5B02" w14:textId="788ADD33" w:rsidR="009A7238" w:rsidRPr="00EF7136" w:rsidRDefault="009A7238" w:rsidP="00B24E19">
            <w:pPr>
              <w:pStyle w:val="DHHStablecolhead"/>
              <w:rPr>
                <w:b/>
                <w:bCs/>
              </w:rPr>
            </w:pPr>
            <w:r w:rsidRPr="00EF7136">
              <w:rPr>
                <w:b/>
                <w:bCs/>
              </w:rPr>
              <w:t>Indicator</w:t>
            </w:r>
          </w:p>
        </w:tc>
        <w:tc>
          <w:tcPr>
            <w:tcW w:w="1294" w:type="dxa"/>
          </w:tcPr>
          <w:p w14:paraId="49225F3A" w14:textId="77777777" w:rsidR="009A7238" w:rsidRPr="00EF7136" w:rsidRDefault="009A7238" w:rsidP="00B24E19">
            <w:pPr>
              <w:pStyle w:val="DHHStablecolhead"/>
              <w:rPr>
                <w:b/>
                <w:bCs/>
                <w:sz w:val="16"/>
                <w:szCs w:val="16"/>
              </w:rPr>
            </w:pPr>
            <w:r w:rsidRPr="00EF7136">
              <w:rPr>
                <w:b/>
                <w:bCs/>
              </w:rPr>
              <w:t>Reference</w:t>
            </w:r>
          </w:p>
          <w:p w14:paraId="46AC0584" w14:textId="0254DA8D" w:rsidR="009A7238" w:rsidRPr="00EF7136" w:rsidRDefault="00F374C2" w:rsidP="00B24E19">
            <w:pPr>
              <w:pStyle w:val="DHHStablecolhead"/>
              <w:rPr>
                <w:b/>
                <w:bCs/>
              </w:rPr>
            </w:pPr>
            <w:r>
              <w:rPr>
                <w:b/>
                <w:bCs/>
              </w:rPr>
              <w:t>y</w:t>
            </w:r>
            <w:r w:rsidR="009A7238" w:rsidRPr="00EF7136">
              <w:rPr>
                <w:b/>
                <w:bCs/>
              </w:rPr>
              <w:t>ear</w:t>
            </w:r>
          </w:p>
        </w:tc>
        <w:tc>
          <w:tcPr>
            <w:tcW w:w="1477" w:type="dxa"/>
          </w:tcPr>
          <w:p w14:paraId="505C83CD" w14:textId="77777777" w:rsidR="009A7238" w:rsidRPr="00EF7136" w:rsidRDefault="009A7238" w:rsidP="00B24E19">
            <w:pPr>
              <w:pStyle w:val="DHHStablecolhead"/>
              <w:rPr>
                <w:b/>
                <w:bCs/>
              </w:rPr>
            </w:pPr>
            <w:r w:rsidRPr="00EF7136">
              <w:rPr>
                <w:b/>
                <w:bCs/>
              </w:rPr>
              <w:t>Four years prior</w:t>
            </w:r>
          </w:p>
        </w:tc>
        <w:tc>
          <w:tcPr>
            <w:tcW w:w="1189" w:type="dxa"/>
          </w:tcPr>
          <w:p w14:paraId="08392A11" w14:textId="77777777" w:rsidR="009A7238" w:rsidRPr="00EF7136" w:rsidRDefault="009A7238" w:rsidP="00B24E19">
            <w:pPr>
              <w:pStyle w:val="DHHStablecolhead"/>
              <w:rPr>
                <w:b/>
                <w:bCs/>
              </w:rPr>
            </w:pPr>
            <w:r w:rsidRPr="00EF7136">
              <w:rPr>
                <w:b/>
                <w:bCs/>
              </w:rPr>
              <w:t>Three years prior</w:t>
            </w:r>
          </w:p>
        </w:tc>
        <w:tc>
          <w:tcPr>
            <w:tcW w:w="1192" w:type="dxa"/>
          </w:tcPr>
          <w:p w14:paraId="140F7272" w14:textId="77777777" w:rsidR="009A7238" w:rsidRPr="00EF7136" w:rsidRDefault="009A7238" w:rsidP="00B24E19">
            <w:pPr>
              <w:pStyle w:val="DHHStablecolhead"/>
              <w:rPr>
                <w:b/>
                <w:bCs/>
              </w:rPr>
            </w:pPr>
            <w:r w:rsidRPr="00EF7136">
              <w:rPr>
                <w:b/>
                <w:bCs/>
              </w:rPr>
              <w:t>Two years prior</w:t>
            </w:r>
          </w:p>
        </w:tc>
        <w:tc>
          <w:tcPr>
            <w:tcW w:w="1196" w:type="dxa"/>
          </w:tcPr>
          <w:p w14:paraId="2FA62F98" w14:textId="77777777" w:rsidR="009A7238" w:rsidRPr="00EF7136" w:rsidRDefault="009A7238" w:rsidP="00B24E19">
            <w:pPr>
              <w:pStyle w:val="DHHStablecolhead"/>
              <w:rPr>
                <w:b/>
                <w:bCs/>
              </w:rPr>
            </w:pPr>
            <w:r w:rsidRPr="00EF7136">
              <w:rPr>
                <w:b/>
                <w:bCs/>
              </w:rPr>
              <w:t>One year prior</w:t>
            </w:r>
          </w:p>
        </w:tc>
        <w:tc>
          <w:tcPr>
            <w:tcW w:w="1368" w:type="dxa"/>
          </w:tcPr>
          <w:p w14:paraId="157CAC31" w14:textId="0953BF0C" w:rsidR="009A7238" w:rsidRPr="00EF7136" w:rsidRDefault="009A7238" w:rsidP="00B24E19">
            <w:pPr>
              <w:pStyle w:val="DHHStablecolhead"/>
              <w:rPr>
                <w:b/>
                <w:bCs/>
              </w:rPr>
            </w:pPr>
            <w:r w:rsidRPr="00EF7136">
              <w:rPr>
                <w:b/>
                <w:bCs/>
              </w:rPr>
              <w:t>Most current data</w:t>
            </w:r>
          </w:p>
        </w:tc>
      </w:tr>
      <w:tr w:rsidR="00311086" w14:paraId="2A586629" w14:textId="77777777" w:rsidTr="00311086">
        <w:tc>
          <w:tcPr>
            <w:tcW w:w="1788" w:type="dxa"/>
          </w:tcPr>
          <w:p w14:paraId="7058929A" w14:textId="7161FB70" w:rsidR="00311086" w:rsidRPr="00CC0B5D" w:rsidRDefault="00311086" w:rsidP="00311086">
            <w:pPr>
              <w:pStyle w:val="DHHStabletext"/>
              <w:rPr>
                <w:lang w:val="en-US"/>
              </w:rPr>
            </w:pPr>
            <w:r w:rsidRPr="00CC0B5D">
              <w:rPr>
                <w:lang w:val="en-US"/>
              </w:rPr>
              <w:t>4.1 Victoria’s rate of deaths from suicide per 100,000</w:t>
            </w:r>
          </w:p>
        </w:tc>
        <w:tc>
          <w:tcPr>
            <w:tcW w:w="1294" w:type="dxa"/>
          </w:tcPr>
          <w:p w14:paraId="10FD0234" w14:textId="44C3A7D6" w:rsidR="00311086" w:rsidRPr="00311086" w:rsidRDefault="00311086" w:rsidP="00311086">
            <w:pPr>
              <w:pStyle w:val="DHHStabletext"/>
              <w:rPr>
                <w:lang w:val="en-US"/>
              </w:rPr>
            </w:pPr>
            <w:r w:rsidRPr="00311086">
              <w:rPr>
                <w:lang w:val="en-US"/>
              </w:rPr>
              <w:t>2019</w:t>
            </w:r>
          </w:p>
        </w:tc>
        <w:tc>
          <w:tcPr>
            <w:tcW w:w="1477" w:type="dxa"/>
          </w:tcPr>
          <w:p w14:paraId="554A39DD" w14:textId="2E062664" w:rsidR="00311086" w:rsidRPr="00311086" w:rsidRDefault="00311086" w:rsidP="00311086">
            <w:pPr>
              <w:pStyle w:val="DHHStabletext"/>
            </w:pPr>
            <w:r w:rsidRPr="00311086">
              <w:t>11.1</w:t>
            </w:r>
          </w:p>
        </w:tc>
        <w:tc>
          <w:tcPr>
            <w:tcW w:w="1189" w:type="dxa"/>
          </w:tcPr>
          <w:p w14:paraId="1B9ABD3C" w14:textId="17DF5075" w:rsidR="00311086" w:rsidRPr="00311086" w:rsidRDefault="00311086" w:rsidP="00311086">
            <w:pPr>
              <w:pStyle w:val="DHHStabletext"/>
            </w:pPr>
            <w:r w:rsidRPr="00311086">
              <w:t>10.1</w:t>
            </w:r>
          </w:p>
        </w:tc>
        <w:tc>
          <w:tcPr>
            <w:tcW w:w="1192" w:type="dxa"/>
          </w:tcPr>
          <w:p w14:paraId="1A5A7A7F" w14:textId="41078ED1" w:rsidR="00311086" w:rsidRPr="00311086" w:rsidRDefault="00311086" w:rsidP="00311086">
            <w:pPr>
              <w:pStyle w:val="DHHStabletext"/>
            </w:pPr>
            <w:r w:rsidRPr="00311086">
              <w:t>11.0</w:t>
            </w:r>
          </w:p>
        </w:tc>
        <w:tc>
          <w:tcPr>
            <w:tcW w:w="1196" w:type="dxa"/>
          </w:tcPr>
          <w:p w14:paraId="1C1A097E" w14:textId="1E92BFE9" w:rsidR="00311086" w:rsidRPr="00311086" w:rsidRDefault="00311086" w:rsidP="00311086">
            <w:pPr>
              <w:pStyle w:val="DHHStabletext"/>
            </w:pPr>
            <w:r w:rsidRPr="00311086">
              <w:t>10.4</w:t>
            </w:r>
          </w:p>
        </w:tc>
        <w:tc>
          <w:tcPr>
            <w:tcW w:w="1368" w:type="dxa"/>
          </w:tcPr>
          <w:p w14:paraId="2DEAF8D2" w14:textId="6845FA53" w:rsidR="00311086" w:rsidRPr="00311086" w:rsidRDefault="00311086" w:rsidP="00311086">
            <w:pPr>
              <w:pStyle w:val="DHHStabletext"/>
            </w:pPr>
            <w:r w:rsidRPr="00311086">
              <w:t>10.7</w:t>
            </w:r>
          </w:p>
        </w:tc>
      </w:tr>
    </w:tbl>
    <w:p w14:paraId="7C385329" w14:textId="3617AF6E" w:rsidR="000D6D00" w:rsidRPr="00C167B9" w:rsidRDefault="003D3E34" w:rsidP="00C167B9">
      <w:pPr>
        <w:pStyle w:val="Heading4"/>
      </w:pPr>
      <w:r w:rsidRPr="00C167B9">
        <w:t>Progressing</w:t>
      </w:r>
      <w:r w:rsidR="00CE31D9">
        <w:t xml:space="preserve"> the</w:t>
      </w:r>
      <w:r w:rsidR="00A74EA6" w:rsidRPr="00C167B9">
        <w:t xml:space="preserve"> </w:t>
      </w:r>
      <w:r w:rsidR="000D6D00" w:rsidRPr="00C167B9">
        <w:t xml:space="preserve">Balit Murrup social and emotional wellbeing framework </w:t>
      </w:r>
    </w:p>
    <w:p w14:paraId="17DB48BA" w14:textId="52F6BC5F" w:rsidR="000D6D00" w:rsidRPr="009D77F2" w:rsidRDefault="000D6D00" w:rsidP="000D6D00">
      <w:pPr>
        <w:pStyle w:val="DHHSbody"/>
      </w:pPr>
      <w:r>
        <w:t xml:space="preserve">The </w:t>
      </w:r>
      <w:r w:rsidRPr="004A350B">
        <w:rPr>
          <w:i/>
          <w:iCs/>
        </w:rPr>
        <w:t>Balit Murrup: Aboriginal social and emotional wellbeing framework 2017</w:t>
      </w:r>
      <w:r w:rsidR="00053DB8">
        <w:rPr>
          <w:i/>
          <w:iCs/>
        </w:rPr>
        <w:t>–</w:t>
      </w:r>
      <w:r w:rsidRPr="004A350B">
        <w:rPr>
          <w:i/>
          <w:iCs/>
        </w:rPr>
        <w:t>2027</w:t>
      </w:r>
      <w:r w:rsidRPr="009D77F2">
        <w:t xml:space="preserve"> embeds Aboriginal self-determination as the core principle to drive actions to improve the social and emotional wellbeing, resilience and mental health of Aboriginal people, families and communities.</w:t>
      </w:r>
    </w:p>
    <w:p w14:paraId="5281D2B9" w14:textId="4D2E3064" w:rsidR="000D6D00" w:rsidRPr="009D77F2" w:rsidRDefault="000D6D00" w:rsidP="000D6D00">
      <w:pPr>
        <w:pStyle w:val="DHHSbody"/>
      </w:pPr>
      <w:r w:rsidRPr="00080EDC">
        <w:rPr>
          <w:i/>
          <w:iCs/>
        </w:rPr>
        <w:t>Balit Murrup</w:t>
      </w:r>
      <w:r w:rsidRPr="009D77F2">
        <w:t xml:space="preserve"> was developed alongside </w:t>
      </w:r>
      <w:r w:rsidRPr="00845B2A">
        <w:rPr>
          <w:i/>
          <w:iCs/>
        </w:rPr>
        <w:t xml:space="preserve">Korin </w:t>
      </w:r>
      <w:r w:rsidR="00CE31D9">
        <w:rPr>
          <w:i/>
          <w:iCs/>
        </w:rPr>
        <w:t xml:space="preserve">Korin </w:t>
      </w:r>
      <w:r w:rsidRPr="00845B2A">
        <w:rPr>
          <w:i/>
          <w:iCs/>
        </w:rPr>
        <w:t>Balit-Djak: Aboriginal health, wellbeing and safety strategic plan 2017</w:t>
      </w:r>
      <w:r w:rsidR="004D7BCD">
        <w:rPr>
          <w:i/>
          <w:iCs/>
        </w:rPr>
        <w:t>–</w:t>
      </w:r>
      <w:r w:rsidRPr="00845B2A">
        <w:rPr>
          <w:i/>
          <w:iCs/>
        </w:rPr>
        <w:t>2027</w:t>
      </w:r>
      <w:r w:rsidR="00B96DA0">
        <w:t xml:space="preserve"> – </w:t>
      </w:r>
      <w:r w:rsidRPr="009D77F2">
        <w:t xml:space="preserve">the overarching framework for action to improve the health, wellbeing and safety of Aboriginal Victorians now and over the next </w:t>
      </w:r>
      <w:r w:rsidR="00D90905">
        <w:t>ten</w:t>
      </w:r>
      <w:r w:rsidRPr="009D77F2">
        <w:t xml:space="preserve"> years.</w:t>
      </w:r>
    </w:p>
    <w:p w14:paraId="597DE42A" w14:textId="10C985EC" w:rsidR="000D6D00" w:rsidRPr="008F54A1" w:rsidRDefault="000D6D00" w:rsidP="000D6D00">
      <w:pPr>
        <w:pStyle w:val="Heading5"/>
      </w:pPr>
      <w:r w:rsidRPr="008F54A1">
        <w:t xml:space="preserve">Improving mental health outcomes for Aboriginal and Torres Strait Islander </w:t>
      </w:r>
      <w:r w:rsidR="004D7BCD">
        <w:t>p</w:t>
      </w:r>
      <w:r w:rsidRPr="008F54A1">
        <w:t>eople with moderate to severe mental illness (</w:t>
      </w:r>
      <w:r w:rsidR="004D7BCD">
        <w:t>d</w:t>
      </w:r>
      <w:r w:rsidRPr="008F54A1">
        <w:t xml:space="preserve">emonstration </w:t>
      </w:r>
      <w:r w:rsidR="004D7BCD">
        <w:t>p</w:t>
      </w:r>
      <w:r w:rsidRPr="008F54A1">
        <w:t>rojects) initiative</w:t>
      </w:r>
    </w:p>
    <w:p w14:paraId="4DA6FABF" w14:textId="3B042939" w:rsidR="000D6D00" w:rsidRPr="009D77F2" w:rsidRDefault="000D6D00" w:rsidP="000D6D00">
      <w:pPr>
        <w:pStyle w:val="DHHSbody"/>
      </w:pPr>
      <w:r>
        <w:t xml:space="preserve">Under </w:t>
      </w:r>
      <w:r w:rsidRPr="00080EDC">
        <w:rPr>
          <w:i/>
          <w:iCs/>
        </w:rPr>
        <w:t>Balit Murrup</w:t>
      </w:r>
      <w:r>
        <w:t>, the Victorian Government allocated $20.2 million ($7.7 million in 2016</w:t>
      </w:r>
      <w:r w:rsidR="00BA6AC1">
        <w:t>–</w:t>
      </w:r>
      <w:r>
        <w:t>17, $4 million in 2018</w:t>
      </w:r>
      <w:r w:rsidR="00BA6AC1">
        <w:t>–</w:t>
      </w:r>
      <w:r>
        <w:t xml:space="preserve">19 and $8.5 million in </w:t>
      </w:r>
      <w:r w:rsidR="00894D3B">
        <w:t>2019–20</w:t>
      </w:r>
      <w:r>
        <w:t>) to four demonstration projects to deliver integrated, culturally safe mental health services designed to meet the mental health and social and emotional wellbeing needs of their local Aboriginal communities. The four demonstration projects are testing new service models for Aboriginal people in Victoria and are led by Aboriginal</w:t>
      </w:r>
      <w:r w:rsidR="00DB7C21">
        <w:t>-c</w:t>
      </w:r>
      <w:r>
        <w:t xml:space="preserve">ommunity </w:t>
      </w:r>
      <w:r w:rsidR="00DB7C21">
        <w:t>c</w:t>
      </w:r>
      <w:r>
        <w:t xml:space="preserve">ontrolled </w:t>
      </w:r>
      <w:r w:rsidR="00DB7C21">
        <w:t>o</w:t>
      </w:r>
      <w:r>
        <w:t>rganisations in partnership with local public health services. The four demonstration sites are:</w:t>
      </w:r>
    </w:p>
    <w:p w14:paraId="19EE42E9" w14:textId="47021298" w:rsidR="000D6D00" w:rsidRPr="009D77F2" w:rsidRDefault="000D6D00" w:rsidP="000D6D00">
      <w:pPr>
        <w:pStyle w:val="DHHSbullet1"/>
      </w:pPr>
      <w:r w:rsidRPr="009D77F2">
        <w:t>Ballarat and District Aboriginal Co-operative (in partnership with Ballarat Health</w:t>
      </w:r>
      <w:r w:rsidR="00DB7C21">
        <w:t xml:space="preserve"> Services</w:t>
      </w:r>
      <w:r w:rsidRPr="009D77F2">
        <w:t>)</w:t>
      </w:r>
    </w:p>
    <w:p w14:paraId="6489B018" w14:textId="77777777" w:rsidR="000D6D00" w:rsidRPr="009D77F2" w:rsidRDefault="000D6D00" w:rsidP="000D6D00">
      <w:pPr>
        <w:pStyle w:val="DHHSbullet1"/>
      </w:pPr>
      <w:r w:rsidRPr="009D77F2">
        <w:t>Mallee District Aboriginal Services (in partnership with Mildura Base Hospital and Mallee Family Care)</w:t>
      </w:r>
    </w:p>
    <w:p w14:paraId="1135858D" w14:textId="29AE4713" w:rsidR="000D6D00" w:rsidRPr="009D77F2" w:rsidRDefault="000D6D00" w:rsidP="000D6D00">
      <w:pPr>
        <w:pStyle w:val="DHHSbullet1"/>
      </w:pPr>
      <w:r w:rsidRPr="009D77F2">
        <w:t>Victorian Aboriginal Health Service (in partnership with St Vincent</w:t>
      </w:r>
      <w:r w:rsidR="00DB7C21">
        <w:t>’s</w:t>
      </w:r>
      <w:r w:rsidRPr="009D77F2">
        <w:t xml:space="preserve"> Health, Austin Health</w:t>
      </w:r>
      <w:r w:rsidR="00DB7C21">
        <w:t xml:space="preserve"> and</w:t>
      </w:r>
      <w:r w:rsidRPr="009D77F2">
        <w:t xml:space="preserve"> Northern Area Mental Health)</w:t>
      </w:r>
    </w:p>
    <w:p w14:paraId="4D513D3A" w14:textId="34F6A6D6" w:rsidR="000D6D00" w:rsidRPr="009D77F2" w:rsidRDefault="000D6D00" w:rsidP="000D6D00">
      <w:pPr>
        <w:pStyle w:val="DHHSbullet1"/>
      </w:pPr>
      <w:r w:rsidRPr="009D77F2">
        <w:t>Wathaurong Aboriginal Co-operative (in partnership with Barwon Health)</w:t>
      </w:r>
      <w:r w:rsidR="00DB7C21">
        <w:t>.</w:t>
      </w:r>
    </w:p>
    <w:p w14:paraId="554B2F16" w14:textId="48DD4FD8" w:rsidR="000D6D00" w:rsidRDefault="00D90905" w:rsidP="007B48FE">
      <w:pPr>
        <w:pStyle w:val="DHHSbodyafterbullets"/>
      </w:pPr>
      <w:r>
        <w:t>E</w:t>
      </w:r>
      <w:r w:rsidR="000D6D00" w:rsidRPr="00F32519">
        <w:t>ach demonstration project is providing community members with holistic clinical and therapeutic counselling and supports that prioritise connection to Country, culture, spirituality, ancestry, family and community.</w:t>
      </w:r>
    </w:p>
    <w:tbl>
      <w:tblPr>
        <w:tblStyle w:val="TableGrid"/>
        <w:tblW w:w="0" w:type="auto"/>
        <w:shd w:val="clear" w:color="auto" w:fill="FBE4D5" w:themeFill="accent2" w:themeFillTint="33"/>
        <w:tblLook w:val="04A0" w:firstRow="1" w:lastRow="0" w:firstColumn="1" w:lastColumn="0" w:noHBand="0" w:noVBand="1"/>
      </w:tblPr>
      <w:tblGrid>
        <w:gridCol w:w="9288"/>
      </w:tblGrid>
      <w:tr w:rsidR="000D6D00" w14:paraId="5EE744B3" w14:textId="77777777" w:rsidTr="000D01E9">
        <w:tc>
          <w:tcPr>
            <w:tcW w:w="9288" w:type="dxa"/>
            <w:shd w:val="clear" w:color="auto" w:fill="auto"/>
          </w:tcPr>
          <w:p w14:paraId="405A2FC4" w14:textId="405CA72A" w:rsidR="000D6D00" w:rsidRPr="001615ED" w:rsidRDefault="000D6D00" w:rsidP="006F3DF8">
            <w:pPr>
              <w:pStyle w:val="DHHStabletext"/>
              <w:rPr>
                <w:rFonts w:ascii="Calibri" w:hAnsi="Calibri"/>
              </w:rPr>
            </w:pPr>
            <w:r>
              <w:t xml:space="preserve">Since </w:t>
            </w:r>
            <w:r w:rsidR="00DB7C21">
              <w:t>starting</w:t>
            </w:r>
            <w:r>
              <w:t xml:space="preserve"> the demonstration projects, more than 400 Aboriginal people who have presented with a moderate to severe mental illness have received support through the demonstration project and </w:t>
            </w:r>
            <w:r w:rsidR="00E97007">
              <w:t xml:space="preserve">18 </w:t>
            </w:r>
            <w:r>
              <w:t>children have been reunited with their Aboriginal parents.</w:t>
            </w:r>
            <w:r w:rsidR="00D90905">
              <w:rPr>
                <w:rStyle w:val="FootnoteReference"/>
              </w:rPr>
              <w:footnoteReference w:id="7"/>
            </w:r>
            <w:r>
              <w:t> </w:t>
            </w:r>
          </w:p>
        </w:tc>
      </w:tr>
    </w:tbl>
    <w:p w14:paraId="58D3D739" w14:textId="14678625" w:rsidR="000D6D00" w:rsidRPr="008F54A1" w:rsidRDefault="000D6D00" w:rsidP="000D6D00">
      <w:pPr>
        <w:pStyle w:val="Heading5"/>
      </w:pPr>
      <w:r w:rsidRPr="008F54A1">
        <w:t xml:space="preserve">Aboriginal </w:t>
      </w:r>
      <w:r w:rsidR="00D95376">
        <w:t>M</w:t>
      </w:r>
      <w:r w:rsidRPr="008F54A1">
        <w:t xml:space="preserve">ental </w:t>
      </w:r>
      <w:r w:rsidR="00D95376">
        <w:t>H</w:t>
      </w:r>
      <w:r w:rsidRPr="008F54A1">
        <w:t xml:space="preserve">ealth </w:t>
      </w:r>
      <w:r w:rsidR="00D95376">
        <w:t>T</w:t>
      </w:r>
      <w:r w:rsidRPr="008F54A1">
        <w:t xml:space="preserve">raineeship </w:t>
      </w:r>
      <w:r w:rsidR="00D95376">
        <w:t>P</w:t>
      </w:r>
      <w:r w:rsidRPr="008F54A1">
        <w:t>rogram</w:t>
      </w:r>
    </w:p>
    <w:p w14:paraId="51F49BF1" w14:textId="03505D1F" w:rsidR="000D6D00" w:rsidRPr="009D77F2" w:rsidRDefault="000D6D00" w:rsidP="000D6D00">
      <w:pPr>
        <w:pStyle w:val="DHHSbody"/>
      </w:pPr>
      <w:r w:rsidRPr="009D77F2">
        <w:t xml:space="preserve">The Aboriginal Mental Health Traineeship </w:t>
      </w:r>
      <w:r w:rsidR="00D95376">
        <w:t>P</w:t>
      </w:r>
      <w:r w:rsidRPr="009D77F2">
        <w:t xml:space="preserve">rogram is a key workforce program under </w:t>
      </w:r>
      <w:r w:rsidRPr="00080EDC">
        <w:rPr>
          <w:i/>
          <w:iCs/>
        </w:rPr>
        <w:t>Balit Murrup</w:t>
      </w:r>
      <w:r w:rsidRPr="009D77F2">
        <w:t xml:space="preserve"> with funding of $3.5</w:t>
      </w:r>
      <w:r>
        <w:t xml:space="preserve"> </w:t>
      </w:r>
      <w:r w:rsidRPr="009D77F2">
        <w:t>million over three years since 2017</w:t>
      </w:r>
      <w:r w:rsidR="00BA6AC1">
        <w:t>–</w:t>
      </w:r>
      <w:r w:rsidRPr="009D77F2">
        <w:t xml:space="preserve">18. The </w:t>
      </w:r>
      <w:r w:rsidR="00D95376">
        <w:t>t</w:t>
      </w:r>
      <w:r w:rsidRPr="009D77F2">
        <w:t>raineeship program is building an Aboriginal mental health workforce that can provide culturally safe and inclusive mental health care for Aboriginal people in Victoria.</w:t>
      </w:r>
    </w:p>
    <w:p w14:paraId="300F5E85" w14:textId="2B299A79" w:rsidR="000D6D00" w:rsidRPr="009D77F2" w:rsidRDefault="000D6D00" w:rsidP="000D6D00">
      <w:pPr>
        <w:pStyle w:val="DHHSbody"/>
      </w:pPr>
      <w:r>
        <w:t xml:space="preserve">Ten Aboriginal </w:t>
      </w:r>
      <w:r w:rsidR="00D95376">
        <w:t>m</w:t>
      </w:r>
      <w:r>
        <w:t xml:space="preserve">ental </w:t>
      </w:r>
      <w:r w:rsidR="00D95376">
        <w:t>h</w:t>
      </w:r>
      <w:r>
        <w:t xml:space="preserve">ealth </w:t>
      </w:r>
      <w:r w:rsidR="00D95376">
        <w:t>t</w:t>
      </w:r>
      <w:r>
        <w:t xml:space="preserve">rainees employed by </w:t>
      </w:r>
      <w:r w:rsidR="00D95376">
        <w:t>a</w:t>
      </w:r>
      <w:r>
        <w:t xml:space="preserve">rea </w:t>
      </w:r>
      <w:r w:rsidR="00D95376">
        <w:t>m</w:t>
      </w:r>
      <w:r>
        <w:t xml:space="preserve">ental </w:t>
      </w:r>
      <w:r w:rsidR="00D95376">
        <w:t>h</w:t>
      </w:r>
      <w:r>
        <w:t xml:space="preserve">ealth </w:t>
      </w:r>
      <w:r w:rsidR="00D95376">
        <w:t>s</w:t>
      </w:r>
      <w:r>
        <w:t xml:space="preserve">ervices are provided with supervised workplace training and clinical placements over three years while concurrently completing a </w:t>
      </w:r>
      <w:r>
        <w:lastRenderedPageBreak/>
        <w:t>Bachelor of Science (Aboriginal Mental Health) degree though Charles Sturt University, New South Wales. Trainees are employees in the mental health service during the three-year program and</w:t>
      </w:r>
      <w:r w:rsidR="00D95376">
        <w:t>,</w:t>
      </w:r>
      <w:r>
        <w:t xml:space="preserve"> following successful completion of the three-year degree, are offered ongoing employment.</w:t>
      </w:r>
    </w:p>
    <w:p w14:paraId="58A9D25B" w14:textId="1C74F8E3" w:rsidR="000D6D00" w:rsidRPr="00B8337C" w:rsidRDefault="000D6D00" w:rsidP="000D6D00">
      <w:pPr>
        <w:pStyle w:val="DHHSbody"/>
        <w:rPr>
          <w:rFonts w:eastAsia="Arial" w:cs="Arial"/>
        </w:rPr>
      </w:pPr>
      <w:r w:rsidRPr="00B8337C">
        <w:rPr>
          <w:rFonts w:eastAsia="Arial" w:cs="Arial"/>
        </w:rPr>
        <w:t>Trainees are located at eight area mental health services across metropolitan and rural Victoria</w:t>
      </w:r>
      <w:r w:rsidR="00D95376">
        <w:rPr>
          <w:rFonts w:eastAsia="Arial" w:cs="Arial"/>
        </w:rPr>
        <w:t xml:space="preserve"> –</w:t>
      </w:r>
      <w:r w:rsidR="00A520EE">
        <w:rPr>
          <w:rFonts w:eastAsia="Arial" w:cs="Arial"/>
        </w:rPr>
        <w:t xml:space="preserve"> </w:t>
      </w:r>
      <w:r w:rsidRPr="00B8337C">
        <w:rPr>
          <w:rFonts w:eastAsia="Arial" w:cs="Arial"/>
        </w:rPr>
        <w:t xml:space="preserve">Eastern Health, Bendigo Health, Alfred Health, Peninsula Health, Latrobe </w:t>
      </w:r>
      <w:r w:rsidR="00D95376">
        <w:rPr>
          <w:rFonts w:eastAsia="Arial" w:cs="Arial"/>
        </w:rPr>
        <w:t>Regional Hospital</w:t>
      </w:r>
      <w:r w:rsidRPr="00B8337C">
        <w:rPr>
          <w:rFonts w:eastAsia="Arial" w:cs="Arial"/>
        </w:rPr>
        <w:t>, Mildura Base Hospital, Monash Health and Forensicare.</w:t>
      </w:r>
    </w:p>
    <w:p w14:paraId="05F7D630" w14:textId="394D66B9" w:rsidR="000D6D00" w:rsidRPr="008F54A1" w:rsidRDefault="000D6D00" w:rsidP="000D6D00">
      <w:pPr>
        <w:pStyle w:val="Heading5"/>
      </w:pPr>
      <w:r w:rsidRPr="008F54A1">
        <w:t>Clinical and therapeutic mental health positions in Aboriginal</w:t>
      </w:r>
      <w:r w:rsidR="00D95376">
        <w:t>-c</w:t>
      </w:r>
      <w:r w:rsidRPr="008F54A1">
        <w:t xml:space="preserve">ommunity </w:t>
      </w:r>
      <w:r w:rsidR="00D95376">
        <w:t>c</w:t>
      </w:r>
      <w:r w:rsidRPr="008F54A1">
        <w:t xml:space="preserve">ontrolled </w:t>
      </w:r>
      <w:r w:rsidR="00D95376">
        <w:t>o</w:t>
      </w:r>
      <w:r w:rsidRPr="008F54A1">
        <w:t xml:space="preserve">rganisations </w:t>
      </w:r>
    </w:p>
    <w:p w14:paraId="0FE09CD9" w14:textId="3D85D4AB" w:rsidR="000D6D00" w:rsidRPr="009D77F2" w:rsidRDefault="000D6D00" w:rsidP="000D6D00">
      <w:pPr>
        <w:pStyle w:val="DHHSbody"/>
      </w:pPr>
      <w:r>
        <w:t xml:space="preserve">Another key workforce initiative under </w:t>
      </w:r>
      <w:r w:rsidRPr="00080EDC">
        <w:rPr>
          <w:i/>
          <w:iCs/>
        </w:rPr>
        <w:t>Balit Murrup</w:t>
      </w:r>
      <w:r>
        <w:t xml:space="preserve"> is the </w:t>
      </w:r>
      <w:r w:rsidR="00D90905">
        <w:t xml:space="preserve">creation </w:t>
      </w:r>
      <w:r>
        <w:t xml:space="preserve">of </w:t>
      </w:r>
      <w:r w:rsidR="00E97007">
        <w:t xml:space="preserve">10 </w:t>
      </w:r>
      <w:r>
        <w:t xml:space="preserve">clinical and therapeutic mental health positions in Aboriginal </w:t>
      </w:r>
      <w:r w:rsidR="00D95376">
        <w:t>c</w:t>
      </w:r>
      <w:r>
        <w:t>ommunity-</w:t>
      </w:r>
      <w:r w:rsidR="00D95376">
        <w:t>c</w:t>
      </w:r>
      <w:r>
        <w:t xml:space="preserve">ontrolled </w:t>
      </w:r>
      <w:r w:rsidR="00D95376">
        <w:t>o</w:t>
      </w:r>
      <w:r>
        <w:t>rganisations across regional and metropolitan Victoria. Funding of $4.9 million over three years (2017</w:t>
      </w:r>
      <w:r w:rsidR="00D95376">
        <w:t>–18 to 2019–</w:t>
      </w:r>
      <w:r>
        <w:t xml:space="preserve">20) was provided for the </w:t>
      </w:r>
      <w:r w:rsidR="00E97007">
        <w:t xml:space="preserve">10 </w:t>
      </w:r>
      <w:r>
        <w:t>clinical and therapeutic positions</w:t>
      </w:r>
      <w:r w:rsidR="00D95376">
        <w:t>.</w:t>
      </w:r>
      <w:r>
        <w:t xml:space="preserve"> </w:t>
      </w:r>
    </w:p>
    <w:p w14:paraId="36EDE728" w14:textId="523C78DD" w:rsidR="000D6D00" w:rsidRPr="009D77F2" w:rsidRDefault="000D6D00" w:rsidP="000D6D00">
      <w:pPr>
        <w:pStyle w:val="DHHSbody"/>
      </w:pPr>
      <w:r>
        <w:t xml:space="preserve">The clinical and therapeutic positions are delivering culturally responsive and trauma-informed services to Aboriginal people, families and communities. The clinical and therapeutic mental health positions are highly skilled and come from a broad range of </w:t>
      </w:r>
      <w:r w:rsidR="00D90905">
        <w:t xml:space="preserve">disciplines </w:t>
      </w:r>
      <w:r>
        <w:t xml:space="preserve">such as mental health nurses, occupational therapists, psychiatrists, psychologists and social workers. </w:t>
      </w:r>
    </w:p>
    <w:p w14:paraId="5FC9B774" w14:textId="696BDAAE" w:rsidR="000D6D00" w:rsidRPr="009D77F2" w:rsidRDefault="000D6D00" w:rsidP="000D6D00">
      <w:pPr>
        <w:pStyle w:val="DHHSbody"/>
      </w:pPr>
      <w:r w:rsidRPr="009D77F2">
        <w:t xml:space="preserve">The clinical and therapeutic mental health positions are located at 10 Aboriginal </w:t>
      </w:r>
      <w:r w:rsidR="00D95376">
        <w:t>c</w:t>
      </w:r>
      <w:r w:rsidRPr="009D77F2">
        <w:t>ommunity</w:t>
      </w:r>
      <w:r w:rsidR="00D95376">
        <w:t>-c</w:t>
      </w:r>
      <w:r w:rsidRPr="009D77F2">
        <w:t xml:space="preserve">ontrolled </w:t>
      </w:r>
      <w:r w:rsidR="00D95376">
        <w:t>o</w:t>
      </w:r>
      <w:r w:rsidRPr="009D77F2">
        <w:t>rganisations:</w:t>
      </w:r>
    </w:p>
    <w:p w14:paraId="588FD9BF" w14:textId="77777777" w:rsidR="000D6D00" w:rsidRPr="009D77F2" w:rsidRDefault="000D6D00" w:rsidP="000D6D00">
      <w:pPr>
        <w:pStyle w:val="DHHSbullet1"/>
      </w:pPr>
      <w:r w:rsidRPr="009D77F2">
        <w:t xml:space="preserve">Ramahyuck and District Aboriginal Cooperation (Morwell) </w:t>
      </w:r>
    </w:p>
    <w:p w14:paraId="21A150DA" w14:textId="77777777" w:rsidR="000D6D00" w:rsidRPr="009D77F2" w:rsidRDefault="000D6D00" w:rsidP="000D6D00">
      <w:pPr>
        <w:pStyle w:val="DHHSbullet1"/>
      </w:pPr>
      <w:r w:rsidRPr="009D77F2">
        <w:t>Victorian Aboriginal Child Care Agency</w:t>
      </w:r>
    </w:p>
    <w:p w14:paraId="44A77437" w14:textId="77777777" w:rsidR="000D6D00" w:rsidRPr="009D77F2" w:rsidRDefault="000D6D00" w:rsidP="000D6D00">
      <w:pPr>
        <w:pStyle w:val="DHHSbullet1"/>
      </w:pPr>
      <w:r w:rsidRPr="009D77F2">
        <w:t>Mallee and District Aboriginal Health Service (Swan Hill)</w:t>
      </w:r>
    </w:p>
    <w:p w14:paraId="67224496" w14:textId="77777777" w:rsidR="000D6D00" w:rsidRPr="009D77F2" w:rsidRDefault="000D6D00" w:rsidP="000D6D00">
      <w:pPr>
        <w:pStyle w:val="DHHSbullet1"/>
      </w:pPr>
      <w:r w:rsidRPr="009D77F2">
        <w:t>Healesville Indigenous Community Services</w:t>
      </w:r>
    </w:p>
    <w:p w14:paraId="28AE09D5" w14:textId="77777777" w:rsidR="000D6D00" w:rsidRPr="009D77F2" w:rsidRDefault="000D6D00" w:rsidP="000D6D00">
      <w:pPr>
        <w:pStyle w:val="DHHSbullet1"/>
      </w:pPr>
      <w:r w:rsidRPr="009D77F2">
        <w:t>Gunditjmara Aboriginal Cooperative</w:t>
      </w:r>
    </w:p>
    <w:p w14:paraId="37BBF3F7" w14:textId="77777777" w:rsidR="000D6D00" w:rsidRPr="009D77F2" w:rsidRDefault="000D6D00" w:rsidP="000D6D00">
      <w:pPr>
        <w:pStyle w:val="DHHSbullet1"/>
      </w:pPr>
      <w:r w:rsidRPr="009D77F2">
        <w:t xml:space="preserve">Ballarat and District Aboriginal Cooperative </w:t>
      </w:r>
    </w:p>
    <w:p w14:paraId="408B1E6D" w14:textId="77777777" w:rsidR="000D6D00" w:rsidRPr="009D77F2" w:rsidRDefault="000D6D00" w:rsidP="000D6D00">
      <w:pPr>
        <w:pStyle w:val="DHHSbullet1"/>
      </w:pPr>
      <w:r w:rsidRPr="009D77F2">
        <w:t>Budja Aboriginal Cooperative</w:t>
      </w:r>
    </w:p>
    <w:p w14:paraId="341B1151" w14:textId="77777777" w:rsidR="000D6D00" w:rsidRPr="009D77F2" w:rsidRDefault="000D6D00" w:rsidP="000D6D00">
      <w:pPr>
        <w:pStyle w:val="DHHSbullet1"/>
      </w:pPr>
      <w:r w:rsidRPr="009D77F2">
        <w:t>Winda-Mara Aboriginal Corporation</w:t>
      </w:r>
    </w:p>
    <w:p w14:paraId="0D74227A" w14:textId="77777777" w:rsidR="000D6D00" w:rsidRPr="009D77F2" w:rsidRDefault="000D6D00" w:rsidP="000D6D00">
      <w:pPr>
        <w:pStyle w:val="DHHSbullet1"/>
      </w:pPr>
      <w:r w:rsidRPr="009D77F2">
        <w:t>Dhauwurd-Wurrung Elderly and Community Health Service</w:t>
      </w:r>
    </w:p>
    <w:p w14:paraId="3B5B51D3" w14:textId="77777777" w:rsidR="000D6D00" w:rsidRDefault="000D6D00" w:rsidP="000D6D00">
      <w:pPr>
        <w:pStyle w:val="DHHSbullet1"/>
      </w:pPr>
      <w:r w:rsidRPr="009D77F2">
        <w:t>Kirrae Health Services</w:t>
      </w:r>
      <w:r>
        <w:t>.</w:t>
      </w:r>
      <w:r w:rsidRPr="009D77F2">
        <w:t xml:space="preserve"> </w:t>
      </w:r>
    </w:p>
    <w:p w14:paraId="47E5FDA1" w14:textId="1ECA76D7" w:rsidR="00161BD9" w:rsidRPr="00F32519" w:rsidRDefault="00873886" w:rsidP="00161BD9">
      <w:pPr>
        <w:pStyle w:val="Heading4"/>
      </w:pPr>
      <w:r w:rsidRPr="00A66DC1">
        <w:t>Initiatives</w:t>
      </w:r>
      <w:r w:rsidR="00A57023" w:rsidRPr="00A66DC1">
        <w:t xml:space="preserve"> under t</w:t>
      </w:r>
      <w:r w:rsidR="00161BD9" w:rsidRPr="00A66DC1">
        <w:t xml:space="preserve">he </w:t>
      </w:r>
      <w:r w:rsidR="00161BD9" w:rsidRPr="008C0685">
        <w:t>Victorian</w:t>
      </w:r>
      <w:r w:rsidR="00161BD9" w:rsidRPr="00EB44A3">
        <w:t xml:space="preserve"> suicide prevention framework</w:t>
      </w:r>
    </w:p>
    <w:p w14:paraId="5D3FE400" w14:textId="4F5C5537" w:rsidR="00161BD9" w:rsidRDefault="00161BD9" w:rsidP="00161BD9">
      <w:pPr>
        <w:pStyle w:val="DHHSbody"/>
      </w:pPr>
      <w:r w:rsidRPr="009D77F2">
        <w:t>Th</w:t>
      </w:r>
      <w:r w:rsidR="004F3C8F">
        <w:t>e</w:t>
      </w:r>
      <w:r w:rsidRPr="009D77F2">
        <w:t xml:space="preserve"> </w:t>
      </w:r>
      <w:r w:rsidRPr="00773A8A">
        <w:rPr>
          <w:i/>
          <w:iCs/>
        </w:rPr>
        <w:t>Victorian suicide prevention framework 2016</w:t>
      </w:r>
      <w:r w:rsidR="004F3C8F">
        <w:rPr>
          <w:i/>
          <w:iCs/>
        </w:rPr>
        <w:t>–</w:t>
      </w:r>
      <w:r w:rsidRPr="00773A8A">
        <w:rPr>
          <w:i/>
          <w:iCs/>
        </w:rPr>
        <w:t>2025</w:t>
      </w:r>
      <w:r>
        <w:t xml:space="preserve"> provides a government commitment and coordinated strategy to reduce the rate of suicide, with the goal of </w:t>
      </w:r>
      <w:r w:rsidRPr="009D77F2">
        <w:t>halving Victoria’s suicide rate by 2025</w:t>
      </w:r>
      <w:r>
        <w:t>. The framework reflects a broad public health approach to suicide prevention and is based on the principle that, while the reasons for suicide are complex, suicide is preventable.</w:t>
      </w:r>
    </w:p>
    <w:p w14:paraId="771ABE05" w14:textId="74F5A0D5" w:rsidR="00161BD9" w:rsidRDefault="00161BD9" w:rsidP="00161BD9">
      <w:pPr>
        <w:pStyle w:val="DHHSbody"/>
      </w:pPr>
      <w:r w:rsidRPr="000E64B1">
        <w:t xml:space="preserve">The framework </w:t>
      </w:r>
      <w:r>
        <w:t xml:space="preserve">outlines two major initiatives: </w:t>
      </w:r>
      <w:r w:rsidRPr="000E64B1">
        <w:t xml:space="preserve">the </w:t>
      </w:r>
      <w:r w:rsidRPr="009D77F2">
        <w:t xml:space="preserve">rollout of </w:t>
      </w:r>
      <w:r>
        <w:t>the</w:t>
      </w:r>
      <w:r w:rsidRPr="009D77F2">
        <w:t xml:space="preserve"> HOPE </w:t>
      </w:r>
      <w:r>
        <w:t xml:space="preserve">program and </w:t>
      </w:r>
      <w:r w:rsidRPr="009D77F2">
        <w:t>place-based suicide prevention trials</w:t>
      </w:r>
      <w:r>
        <w:t>.</w:t>
      </w:r>
    </w:p>
    <w:p w14:paraId="57F8C6D8" w14:textId="34ABA994" w:rsidR="00161BD9" w:rsidRDefault="00161BD9" w:rsidP="006666E2">
      <w:pPr>
        <w:pStyle w:val="Heading5"/>
      </w:pPr>
      <w:r>
        <w:t>Hospital Outreach Post-</w:t>
      </w:r>
      <w:r w:rsidR="00C15A70">
        <w:t>s</w:t>
      </w:r>
      <w:r>
        <w:t xml:space="preserve">uicide Engagement </w:t>
      </w:r>
      <w:r w:rsidR="00C15A70">
        <w:t>p</w:t>
      </w:r>
      <w:r>
        <w:t>rogram</w:t>
      </w:r>
    </w:p>
    <w:p w14:paraId="7DF11E36" w14:textId="7E3AA73B" w:rsidR="00161BD9" w:rsidRPr="009D77F2" w:rsidRDefault="00161BD9" w:rsidP="00161BD9">
      <w:pPr>
        <w:pStyle w:val="DHHSbody"/>
      </w:pPr>
      <w:r w:rsidRPr="009D77F2">
        <w:t xml:space="preserve">The </w:t>
      </w:r>
      <w:r>
        <w:t xml:space="preserve">HOPE </w:t>
      </w:r>
      <w:r w:rsidR="00C15A70">
        <w:t>p</w:t>
      </w:r>
      <w:r>
        <w:t xml:space="preserve">rogram </w:t>
      </w:r>
      <w:r w:rsidRPr="009D77F2">
        <w:t xml:space="preserve">delivers assertive, tailored outreach support to individuals (aged 18 years </w:t>
      </w:r>
      <w:r w:rsidR="008C0685">
        <w:t>or older</w:t>
      </w:r>
      <w:r w:rsidRPr="009D77F2">
        <w:t xml:space="preserve">) who are at significant risk of suicide following hospital discharge for a non-fatal suicide attempt and </w:t>
      </w:r>
      <w:r w:rsidR="00D90905">
        <w:t xml:space="preserve">who </w:t>
      </w:r>
      <w:r w:rsidRPr="009D77F2">
        <w:t xml:space="preserve">do not meet the threshold for tertiary mental health services. </w:t>
      </w:r>
    </w:p>
    <w:p w14:paraId="26210457" w14:textId="1A93B71B" w:rsidR="00161BD9" w:rsidRPr="009D77F2" w:rsidRDefault="00161BD9" w:rsidP="00161BD9">
      <w:pPr>
        <w:pStyle w:val="DHHSbody"/>
      </w:pPr>
      <w:r w:rsidRPr="009D77F2">
        <w:t xml:space="preserve">The objectives of the HOPE </w:t>
      </w:r>
      <w:r w:rsidR="00C15A70">
        <w:t>p</w:t>
      </w:r>
      <w:r w:rsidRPr="009D77F2">
        <w:t>rogram include</w:t>
      </w:r>
      <w:r w:rsidR="008C0685">
        <w:t xml:space="preserve"> to</w:t>
      </w:r>
      <w:r w:rsidRPr="009D77F2">
        <w:t xml:space="preserve">: </w:t>
      </w:r>
      <w:r>
        <w:t>i</w:t>
      </w:r>
      <w:r w:rsidRPr="009D77F2">
        <w:t>mprove recovery outcomes for the target cohort through improved connection to care</w:t>
      </w:r>
      <w:r w:rsidR="008C0685">
        <w:t>r</w:t>
      </w:r>
      <w:r w:rsidRPr="009D77F2">
        <w:t>s, family and community and other support services; provide community-based support that enables individuals within the target cohort to build self-resilience and capacity to self</w:t>
      </w:r>
      <w:r w:rsidR="008C0685">
        <w:t>-</w:t>
      </w:r>
      <w:r w:rsidRPr="009D77F2">
        <w:lastRenderedPageBreak/>
        <w:t xml:space="preserve">manage distress and other risk factors for suicidality; improve links to community-based support; and improve workforce capacity and capability. </w:t>
      </w:r>
    </w:p>
    <w:p w14:paraId="5BB047DC" w14:textId="5D36559E" w:rsidR="00161BD9" w:rsidRPr="009D77F2" w:rsidRDefault="00161BD9" w:rsidP="00161BD9">
      <w:pPr>
        <w:pStyle w:val="DHHSbody"/>
      </w:pPr>
      <w:r w:rsidRPr="009D77F2">
        <w:t xml:space="preserve">The HOPE program is currently being trialled at 12 sites across Victoria. </w:t>
      </w:r>
    </w:p>
    <w:p w14:paraId="14C19CFD" w14:textId="1842DEED" w:rsidR="00161BD9" w:rsidRDefault="00161BD9" w:rsidP="00161BD9">
      <w:pPr>
        <w:pStyle w:val="DHHSbody"/>
      </w:pPr>
      <w:r w:rsidRPr="009D77F2">
        <w:t xml:space="preserve">In June 2019, Victoria entered into a </w:t>
      </w:r>
      <w:r w:rsidR="008C0685">
        <w:t>b</w:t>
      </w:r>
      <w:r w:rsidRPr="009D77F2">
        <w:t xml:space="preserve">ilateral </w:t>
      </w:r>
      <w:r w:rsidR="008C0685">
        <w:t>a</w:t>
      </w:r>
      <w:r w:rsidRPr="009D77F2">
        <w:t>greement with the Commonwealth</w:t>
      </w:r>
      <w:r w:rsidR="00D90905">
        <w:t xml:space="preserve"> Government</w:t>
      </w:r>
      <w:r w:rsidR="008C0685">
        <w:t xml:space="preserve"> under which</w:t>
      </w:r>
      <w:r w:rsidR="00A520EE">
        <w:t xml:space="preserve"> </w:t>
      </w:r>
      <w:r w:rsidRPr="009D77F2">
        <w:t xml:space="preserve">the Commonwealth will match Victorian investment in HOPE with four Way Back Support </w:t>
      </w:r>
      <w:r w:rsidR="008C0685">
        <w:t>S</w:t>
      </w:r>
      <w:r w:rsidRPr="009D77F2">
        <w:t>ervices. This agreement expands suicide aftercare to 16 sites across Victoria.</w:t>
      </w:r>
      <w:r>
        <w:t xml:space="preserve"> </w:t>
      </w:r>
    </w:p>
    <w:p w14:paraId="62B0561F" w14:textId="38974227" w:rsidR="00161BD9" w:rsidRPr="009D77F2" w:rsidRDefault="008C0685" w:rsidP="00161BD9">
      <w:pPr>
        <w:pStyle w:val="DHHSbody"/>
      </w:pPr>
      <w:r>
        <w:t>In November 2019, t</w:t>
      </w:r>
      <w:r w:rsidR="00161BD9">
        <w:t xml:space="preserve">he Royal Commission </w:t>
      </w:r>
      <w:r>
        <w:t xml:space="preserve">into Victoria’s Mental Health System </w:t>
      </w:r>
      <w:r w:rsidR="00161BD9">
        <w:t xml:space="preserve">made an interim recommendation that HOPE be expanded </w:t>
      </w:r>
      <w:r w:rsidR="00161BD9" w:rsidRPr="0059660B">
        <w:t>to all adult area mental health services</w:t>
      </w:r>
      <w:r w:rsidR="00C15A70">
        <w:t>,</w:t>
      </w:r>
      <w:r w:rsidR="00161BD9" w:rsidRPr="0059660B">
        <w:t xml:space="preserve"> including establishing a regional and subregional health service approach and broadening referrals to include consumers of community-based mental health teams. In addition</w:t>
      </w:r>
      <w:r w:rsidR="00161BD9">
        <w:t>,</w:t>
      </w:r>
      <w:r w:rsidR="00161BD9" w:rsidRPr="0059660B">
        <w:t xml:space="preserve"> the </w:t>
      </w:r>
      <w:r w:rsidR="00F374C2">
        <w:t>r</w:t>
      </w:r>
      <w:r w:rsidR="00161BD9" w:rsidRPr="0059660B">
        <w:t xml:space="preserve">oyal </w:t>
      </w:r>
      <w:r w:rsidR="00F374C2">
        <w:t>c</w:t>
      </w:r>
      <w:r w:rsidR="00161BD9" w:rsidRPr="0059660B">
        <w:t xml:space="preserve">ommission recommended developing a model specific for children and young people. </w:t>
      </w:r>
      <w:r w:rsidR="00161BD9">
        <w:t xml:space="preserve">The </w:t>
      </w:r>
      <w:r w:rsidR="00F374C2">
        <w:t>r</w:t>
      </w:r>
      <w:r w:rsidR="00161BD9">
        <w:t xml:space="preserve">oyal </w:t>
      </w:r>
      <w:r w:rsidR="00F374C2">
        <w:t>c</w:t>
      </w:r>
      <w:r w:rsidR="00161BD9">
        <w:t>ommission</w:t>
      </w:r>
      <w:r w:rsidR="00F374C2">
        <w:t>’s</w:t>
      </w:r>
      <w:r w:rsidR="00161BD9">
        <w:t xml:space="preserve"> interim report notes the benefits of </w:t>
      </w:r>
      <w:r w:rsidR="00161BD9" w:rsidRPr="0059660B">
        <w:t xml:space="preserve">collaboration between HOPE and local Aboriginal social and emotional wellbeing teams to help reduce barriers to engagement with mental health services. </w:t>
      </w:r>
    </w:p>
    <w:p w14:paraId="21E4D6A7" w14:textId="77777777" w:rsidR="00161BD9" w:rsidRDefault="00161BD9" w:rsidP="000D59C2">
      <w:pPr>
        <w:pStyle w:val="Heading5"/>
      </w:pPr>
      <w:r>
        <w:t>Place-based suicide prevention trials</w:t>
      </w:r>
    </w:p>
    <w:p w14:paraId="630B9404" w14:textId="77777777" w:rsidR="00161BD9" w:rsidRPr="00F024CC" w:rsidRDefault="00161BD9" w:rsidP="007B48FE">
      <w:pPr>
        <w:pStyle w:val="DHHSbody"/>
      </w:pPr>
      <w:r w:rsidRPr="00F024CC">
        <w:t>Place-based suicide prevention trials continue to be delivered through partnerships and co-investment with Primary Health Networks in 12 locations across Victoria</w:t>
      </w:r>
      <w:r>
        <w:t>.</w:t>
      </w:r>
    </w:p>
    <w:p w14:paraId="4E3A4501" w14:textId="77777777" w:rsidR="00161BD9" w:rsidRPr="009D77F2" w:rsidRDefault="00161BD9" w:rsidP="00161BD9">
      <w:pPr>
        <w:pStyle w:val="DHHSbody"/>
      </w:pPr>
      <w:r w:rsidRPr="009D77F2">
        <w:t xml:space="preserve">Using a community development model, the trials build community capacity and resilience to enable individuals and groups to recognise and appropriately respond to signs of suicidality. This includes ‘gatekeeper’ training, training for frontline responders to suicidal crises, and post-suicidal crisis aftercare. </w:t>
      </w:r>
    </w:p>
    <w:p w14:paraId="2C761241" w14:textId="0E594A91" w:rsidR="00161BD9" w:rsidRPr="009D77F2" w:rsidRDefault="00161BD9" w:rsidP="00161BD9">
      <w:pPr>
        <w:pStyle w:val="DHHSbody"/>
      </w:pPr>
      <w:r w:rsidRPr="009D77F2">
        <w:t>The trials were originally funded from 2016</w:t>
      </w:r>
      <w:r w:rsidR="00BA6AC1">
        <w:t>–</w:t>
      </w:r>
      <w:r w:rsidRPr="009D77F2">
        <w:t xml:space="preserve">17 to </w:t>
      </w:r>
      <w:r w:rsidR="00894D3B">
        <w:t>2019–20</w:t>
      </w:r>
      <w:r w:rsidRPr="009D77F2">
        <w:t>. In February 2020</w:t>
      </w:r>
      <w:r w:rsidR="00F374C2">
        <w:t>,</w:t>
      </w:r>
      <w:r w:rsidRPr="009D77F2">
        <w:t xml:space="preserve"> funding for all sites was extended until June 2022. Several P</w:t>
      </w:r>
      <w:r>
        <w:t xml:space="preserve">rimary </w:t>
      </w:r>
      <w:r w:rsidRPr="009D77F2">
        <w:t>H</w:t>
      </w:r>
      <w:r>
        <w:t xml:space="preserve">ealth </w:t>
      </w:r>
      <w:r w:rsidRPr="009D77F2">
        <w:t>N</w:t>
      </w:r>
      <w:r>
        <w:t>etwork</w:t>
      </w:r>
      <w:r w:rsidRPr="009D77F2">
        <w:t xml:space="preserve">s are planning geographic expansion of trial sites in their catchments based on preliminary outcomes. </w:t>
      </w:r>
    </w:p>
    <w:p w14:paraId="48A707C0" w14:textId="77777777" w:rsidR="00161BD9" w:rsidRPr="009D77F2" w:rsidRDefault="00161BD9" w:rsidP="00161BD9">
      <w:pPr>
        <w:pStyle w:val="DHHSbody"/>
      </w:pPr>
      <w:r w:rsidRPr="009D77F2">
        <w:t>The trials are undergoing an independent, external evaluation in three phases: establishment, formative, and summative. The summative evaluation is due to be delivered in mid-2021.</w:t>
      </w:r>
    </w:p>
    <w:p w14:paraId="4AE13D2C" w14:textId="7B09FE4A" w:rsidR="00161BD9" w:rsidRPr="009D77F2" w:rsidRDefault="00161BD9" w:rsidP="000D59C2">
      <w:pPr>
        <w:pStyle w:val="Heading5"/>
      </w:pPr>
      <w:r w:rsidRPr="009D77F2">
        <w:t xml:space="preserve">Healthy Equal Youth </w:t>
      </w:r>
      <w:r w:rsidR="008C0685">
        <w:t>p</w:t>
      </w:r>
      <w:r w:rsidRPr="009D77F2">
        <w:t>roject</w:t>
      </w:r>
      <w:r>
        <w:t xml:space="preserve"> and grants</w:t>
      </w:r>
    </w:p>
    <w:p w14:paraId="3DF49474" w14:textId="0436FFB4" w:rsidR="00161BD9" w:rsidRPr="009D77F2" w:rsidRDefault="00161BD9" w:rsidP="00161BD9">
      <w:pPr>
        <w:pStyle w:val="DHHSbody"/>
        <w:rPr>
          <w:rFonts w:eastAsiaTheme="minorHAnsi"/>
        </w:rPr>
      </w:pPr>
      <w:r w:rsidRPr="009D77F2">
        <w:t xml:space="preserve">The </w:t>
      </w:r>
      <w:r w:rsidR="00EF1224" w:rsidRPr="009D77F2">
        <w:t xml:space="preserve">Healthy Equal Youth </w:t>
      </w:r>
      <w:r w:rsidR="00EF1224">
        <w:t>(</w:t>
      </w:r>
      <w:r w:rsidRPr="009D77F2">
        <w:t>HEY</w:t>
      </w:r>
      <w:r w:rsidR="00EF1224">
        <w:t>)</w:t>
      </w:r>
      <w:r w:rsidRPr="009D77F2">
        <w:t xml:space="preserve"> </w:t>
      </w:r>
      <w:r w:rsidR="008C0685">
        <w:t>p</w:t>
      </w:r>
      <w:r w:rsidRPr="009D77F2">
        <w:t xml:space="preserve">roject and HEY grants are priority actions in the </w:t>
      </w:r>
      <w:r w:rsidRPr="005C74F1">
        <w:rPr>
          <w:i/>
          <w:iCs/>
        </w:rPr>
        <w:t>Victorian suicide prevention framework 2016</w:t>
      </w:r>
      <w:r w:rsidR="008C0685">
        <w:rPr>
          <w:i/>
          <w:iCs/>
        </w:rPr>
        <w:t>–</w:t>
      </w:r>
      <w:r w:rsidRPr="005C74F1">
        <w:rPr>
          <w:i/>
          <w:iCs/>
        </w:rPr>
        <w:t>25</w:t>
      </w:r>
      <w:r w:rsidRPr="009D77F2">
        <w:t xml:space="preserve"> and aim to raise awareness, promote diversity, eliminate stigma and discrimination, and improve the overall mental health of young LGBTIQ+ people.</w:t>
      </w:r>
    </w:p>
    <w:p w14:paraId="6AF00D51" w14:textId="4CFC60E0" w:rsidR="00161BD9" w:rsidRPr="009D77F2" w:rsidRDefault="00161BD9" w:rsidP="00161BD9">
      <w:pPr>
        <w:pStyle w:val="DHHSbody"/>
        <w:rPr>
          <w:rFonts w:eastAsiaTheme="minorEastAsia"/>
        </w:rPr>
      </w:pPr>
      <w:r>
        <w:t>The Victorian Government allocate</w:t>
      </w:r>
      <w:r w:rsidR="008C0685">
        <w:t>d</w:t>
      </w:r>
      <w:r>
        <w:t xml:space="preserve"> $1.9 million through the HEY project to 16 organisations to undertake mental health promotion and community engagement activities with a focus on LGBTIQ+ young people </w:t>
      </w:r>
      <w:r w:rsidR="001133B0">
        <w:t xml:space="preserve">aged </w:t>
      </w:r>
      <w:r>
        <w:t>up to 25 years and their families.</w:t>
      </w:r>
    </w:p>
    <w:p w14:paraId="163BBAD7" w14:textId="1E2558F7" w:rsidR="00161BD9" w:rsidRPr="009D77F2" w:rsidRDefault="00161BD9" w:rsidP="00161BD9">
      <w:pPr>
        <w:pStyle w:val="DHHSbody"/>
      </w:pPr>
      <w:r w:rsidRPr="009D77F2">
        <w:t xml:space="preserve">The program also delivers up to $100,000 worth of small grants per year through the </w:t>
      </w:r>
      <w:r w:rsidR="001133B0">
        <w:t>a</w:t>
      </w:r>
      <w:r w:rsidRPr="009D77F2">
        <w:t xml:space="preserve">nnual HEY </w:t>
      </w:r>
      <w:r w:rsidR="001133B0">
        <w:t>s</w:t>
      </w:r>
      <w:r w:rsidRPr="009D77F2">
        <w:t xml:space="preserve">mall </w:t>
      </w:r>
      <w:r w:rsidR="001133B0">
        <w:t>g</w:t>
      </w:r>
      <w:r w:rsidRPr="009D77F2">
        <w:t xml:space="preserve">rants program, coordinated by </w:t>
      </w:r>
      <w:r w:rsidR="001133B0">
        <w:t xml:space="preserve">the </w:t>
      </w:r>
      <w:r w:rsidRPr="009D77F2">
        <w:t xml:space="preserve">Youth Affairs Council of Victoria. </w:t>
      </w:r>
    </w:p>
    <w:p w14:paraId="0C7B787D" w14:textId="77777777" w:rsidR="00161BD9" w:rsidRPr="009D77F2" w:rsidRDefault="00161BD9" w:rsidP="00161BD9">
      <w:pPr>
        <w:pStyle w:val="DHHSbody"/>
      </w:pPr>
    </w:p>
    <w:tbl>
      <w:tblPr>
        <w:tblStyle w:val="TableGrid"/>
        <w:tblW w:w="0" w:type="auto"/>
        <w:shd w:val="clear" w:color="auto" w:fill="E2EFD9" w:themeFill="accent6" w:themeFillTint="33"/>
        <w:tblLook w:val="04A0" w:firstRow="1" w:lastRow="0" w:firstColumn="1" w:lastColumn="0" w:noHBand="0" w:noVBand="1"/>
      </w:tblPr>
      <w:tblGrid>
        <w:gridCol w:w="9288"/>
      </w:tblGrid>
      <w:tr w:rsidR="00161BD9" w14:paraId="39C95E61" w14:textId="77777777" w:rsidTr="000D01E9">
        <w:tc>
          <w:tcPr>
            <w:tcW w:w="9288" w:type="dxa"/>
            <w:shd w:val="clear" w:color="auto" w:fill="auto"/>
          </w:tcPr>
          <w:p w14:paraId="1EF8074D" w14:textId="0239BA5F" w:rsidR="00161BD9" w:rsidRPr="00080EDC" w:rsidRDefault="00161BD9" w:rsidP="00CE40D6">
            <w:pPr>
              <w:pStyle w:val="DHHStablecaption"/>
              <w:rPr>
                <w:rStyle w:val="normaltextrun"/>
                <w:i/>
                <w:iCs/>
              </w:rPr>
            </w:pPr>
            <w:r>
              <w:rPr>
                <w:rStyle w:val="normaltextrun"/>
              </w:rPr>
              <w:lastRenderedPageBreak/>
              <w:t xml:space="preserve">National </w:t>
            </w:r>
            <w:r w:rsidR="00F374C2">
              <w:rPr>
                <w:rStyle w:val="normaltextrun"/>
              </w:rPr>
              <w:t>s</w:t>
            </w:r>
            <w:r>
              <w:rPr>
                <w:rStyle w:val="normaltextrun"/>
              </w:rPr>
              <w:t>trategy</w:t>
            </w:r>
            <w:r w:rsidR="006F3DF8">
              <w:rPr>
                <w:rStyle w:val="normaltextrun"/>
              </w:rPr>
              <w:t xml:space="preserve">: </w:t>
            </w:r>
            <w:r w:rsidRPr="00080EDC">
              <w:rPr>
                <w:rStyle w:val="normaltextrun"/>
                <w:i/>
                <w:iCs/>
              </w:rPr>
              <w:t xml:space="preserve">National </w:t>
            </w:r>
            <w:r w:rsidR="00F374C2">
              <w:rPr>
                <w:rStyle w:val="normaltextrun"/>
                <w:i/>
                <w:iCs/>
              </w:rPr>
              <w:t>s</w:t>
            </w:r>
            <w:r w:rsidRPr="00080EDC">
              <w:rPr>
                <w:rStyle w:val="normaltextrun"/>
                <w:i/>
                <w:iCs/>
              </w:rPr>
              <w:t xml:space="preserve">uicide </w:t>
            </w:r>
            <w:r w:rsidR="00F374C2">
              <w:rPr>
                <w:rStyle w:val="normaltextrun"/>
                <w:i/>
                <w:iCs/>
              </w:rPr>
              <w:t>p</w:t>
            </w:r>
            <w:r w:rsidRPr="00080EDC">
              <w:rPr>
                <w:rStyle w:val="normaltextrun"/>
                <w:i/>
                <w:iCs/>
              </w:rPr>
              <w:t xml:space="preserve">revention </w:t>
            </w:r>
            <w:r w:rsidR="00F374C2">
              <w:rPr>
                <w:rStyle w:val="normaltextrun"/>
                <w:i/>
                <w:iCs/>
              </w:rPr>
              <w:t>s</w:t>
            </w:r>
            <w:r w:rsidRPr="00080EDC">
              <w:rPr>
                <w:rStyle w:val="normaltextrun"/>
                <w:i/>
                <w:iCs/>
              </w:rPr>
              <w:t>trategy 2020</w:t>
            </w:r>
            <w:r w:rsidR="00F374C2" w:rsidRPr="00080EDC">
              <w:rPr>
                <w:rStyle w:val="normaltextrun"/>
                <w:i/>
                <w:iCs/>
              </w:rPr>
              <w:t>–</w:t>
            </w:r>
            <w:r w:rsidRPr="00080EDC">
              <w:rPr>
                <w:rStyle w:val="normaltextrun"/>
                <w:i/>
                <w:iCs/>
              </w:rPr>
              <w:t>2023</w:t>
            </w:r>
          </w:p>
          <w:p w14:paraId="2C3CC9CC" w14:textId="23CABF40" w:rsidR="00161BD9" w:rsidRPr="002B54B7" w:rsidRDefault="00161BD9" w:rsidP="006F3DF8">
            <w:pPr>
              <w:pStyle w:val="DHHStabletext"/>
              <w:rPr>
                <w:rFonts w:eastAsia="Arial"/>
              </w:rPr>
            </w:pPr>
            <w:r w:rsidRPr="6C11EE51">
              <w:rPr>
                <w:rStyle w:val="normaltextrun"/>
              </w:rPr>
              <w:t xml:space="preserve">Victoria </w:t>
            </w:r>
            <w:r>
              <w:rPr>
                <w:rStyle w:val="normaltextrun"/>
              </w:rPr>
              <w:t>has</w:t>
            </w:r>
            <w:r w:rsidRPr="6C11EE51">
              <w:rPr>
                <w:rStyle w:val="normaltextrun"/>
              </w:rPr>
              <w:t xml:space="preserve"> led development of the </w:t>
            </w:r>
            <w:r w:rsidRPr="00080EDC">
              <w:rPr>
                <w:rStyle w:val="normaltextrun"/>
                <w:i/>
                <w:iCs/>
              </w:rPr>
              <w:t xml:space="preserve">National </w:t>
            </w:r>
            <w:r w:rsidR="00F374C2">
              <w:rPr>
                <w:rStyle w:val="normaltextrun"/>
                <w:i/>
                <w:iCs/>
              </w:rPr>
              <w:t>s</w:t>
            </w:r>
            <w:r w:rsidRPr="00080EDC">
              <w:rPr>
                <w:rStyle w:val="normaltextrun"/>
                <w:i/>
                <w:iCs/>
              </w:rPr>
              <w:t xml:space="preserve">uicide </w:t>
            </w:r>
            <w:r w:rsidR="00F374C2">
              <w:rPr>
                <w:rStyle w:val="normaltextrun"/>
                <w:i/>
                <w:iCs/>
              </w:rPr>
              <w:t>p</w:t>
            </w:r>
            <w:r w:rsidRPr="00080EDC">
              <w:rPr>
                <w:rStyle w:val="normaltextrun"/>
                <w:i/>
                <w:iCs/>
              </w:rPr>
              <w:t xml:space="preserve">revention </w:t>
            </w:r>
            <w:r w:rsidR="00F374C2">
              <w:rPr>
                <w:rStyle w:val="normaltextrun"/>
                <w:i/>
                <w:iCs/>
              </w:rPr>
              <w:t>s</w:t>
            </w:r>
            <w:r w:rsidRPr="00080EDC">
              <w:rPr>
                <w:rStyle w:val="normaltextrun"/>
                <w:i/>
                <w:iCs/>
              </w:rPr>
              <w:t>trategy 2020</w:t>
            </w:r>
            <w:r w:rsidR="00F374C2">
              <w:rPr>
                <w:rStyle w:val="normaltextrun"/>
                <w:i/>
                <w:iCs/>
              </w:rPr>
              <w:t>–</w:t>
            </w:r>
            <w:r w:rsidRPr="00080EDC">
              <w:rPr>
                <w:rStyle w:val="normaltextrun"/>
                <w:i/>
                <w:iCs/>
              </w:rPr>
              <w:t>2023</w:t>
            </w:r>
            <w:r w:rsidRPr="6C11EE51">
              <w:rPr>
                <w:rStyle w:val="normaltextrun"/>
              </w:rPr>
              <w:t xml:space="preserve"> with </w:t>
            </w:r>
            <w:r w:rsidRPr="6C11EE51">
              <w:rPr>
                <w:rStyle w:val="normaltextrun"/>
                <w:rFonts w:eastAsia="Arial" w:cs="Arial"/>
              </w:rPr>
              <w:t xml:space="preserve">advice from the </w:t>
            </w:r>
            <w:r w:rsidRPr="6C11EE51">
              <w:rPr>
                <w:rFonts w:eastAsia="Arial"/>
              </w:rPr>
              <w:t xml:space="preserve">National Suicide Prevention Project Reference Group, a working group of the Mental Health Principal Committee. Australia’s journey towards zero suicides is achieved through a suicide prevention system where evidence-informed strategies, programs and services are coordinated across all sectors to: </w:t>
            </w:r>
          </w:p>
          <w:p w14:paraId="3316731F" w14:textId="77777777" w:rsidR="00161BD9" w:rsidRPr="009D77F2" w:rsidRDefault="00161BD9" w:rsidP="006F3DF8">
            <w:pPr>
              <w:pStyle w:val="DHHStablebullet1"/>
              <w:rPr>
                <w:rFonts w:eastAsia="Arial"/>
              </w:rPr>
            </w:pPr>
            <w:r w:rsidRPr="6C11EE51">
              <w:rPr>
                <w:rFonts w:eastAsia="Arial"/>
              </w:rPr>
              <w:t xml:space="preserve">promote resilient, mentally strong individuals and communities </w:t>
            </w:r>
          </w:p>
          <w:p w14:paraId="7F4B4832" w14:textId="77777777" w:rsidR="00161BD9" w:rsidRPr="009D77F2" w:rsidRDefault="00161BD9" w:rsidP="006F3DF8">
            <w:pPr>
              <w:pStyle w:val="DHHStablebullet1"/>
              <w:rPr>
                <w:rFonts w:eastAsia="Arial"/>
              </w:rPr>
            </w:pPr>
            <w:r w:rsidRPr="6C11EE51">
              <w:rPr>
                <w:rFonts w:eastAsia="Arial"/>
              </w:rPr>
              <w:t xml:space="preserve">support people at risk </w:t>
            </w:r>
          </w:p>
          <w:p w14:paraId="061DA180" w14:textId="77777777" w:rsidR="00161BD9" w:rsidRPr="00400F1A" w:rsidRDefault="00161BD9" w:rsidP="006F3DF8">
            <w:pPr>
              <w:pStyle w:val="DHHStablebullet1"/>
              <w:rPr>
                <w:rStyle w:val="normaltextrun"/>
                <w:rFonts w:eastAsia="Arial" w:cs="Arial"/>
              </w:rPr>
            </w:pPr>
            <w:r w:rsidRPr="6C11EE51">
              <w:rPr>
                <w:rFonts w:eastAsia="Arial"/>
              </w:rPr>
              <w:t xml:space="preserve">effectively and compassionately care for people experiencing or affected by suicidal behaviour. </w:t>
            </w:r>
          </w:p>
        </w:tc>
      </w:tr>
    </w:tbl>
    <w:p w14:paraId="56E176D3" w14:textId="44E9C7C5" w:rsidR="00295F4D" w:rsidRDefault="00295F4D" w:rsidP="00AA1A64">
      <w:pPr>
        <w:pStyle w:val="Heading3"/>
      </w:pPr>
      <w:r>
        <w:t>Domain</w:t>
      </w:r>
      <w:r w:rsidR="00833A55">
        <w:t xml:space="preserve"> 2</w:t>
      </w:r>
      <w:r>
        <w:t xml:space="preserve">: </w:t>
      </w:r>
      <w:r w:rsidRPr="009D52BE">
        <w:t>Victorians promote mental health for all ages and stages of life</w:t>
      </w:r>
    </w:p>
    <w:p w14:paraId="231CB2C4" w14:textId="3417CF98" w:rsidR="009A706C" w:rsidRPr="009A706C" w:rsidRDefault="00B303BF">
      <w:pPr>
        <w:pStyle w:val="DHHSbody"/>
      </w:pPr>
      <w:r>
        <w:t xml:space="preserve">The focus of </w:t>
      </w:r>
      <w:r w:rsidR="00F374C2">
        <w:t>d</w:t>
      </w:r>
      <w:r w:rsidR="00C118CC">
        <w:t>omain 2 i</w:t>
      </w:r>
      <w:r>
        <w:t>s</w:t>
      </w:r>
      <w:r w:rsidR="00C15A70">
        <w:t xml:space="preserve"> on</w:t>
      </w:r>
      <w:r w:rsidR="00C118CC">
        <w:t xml:space="preserve"> </w:t>
      </w:r>
      <w:r w:rsidR="00F74580">
        <w:t xml:space="preserve">supporting </w:t>
      </w:r>
      <w:r w:rsidR="003C5904">
        <w:t xml:space="preserve">Victorians to have good physical health and to protect and promote their health. </w:t>
      </w:r>
    </w:p>
    <w:p w14:paraId="761D332B" w14:textId="77777777" w:rsidR="00EF39C2" w:rsidRPr="00A66DC1" w:rsidRDefault="00EF39C2" w:rsidP="00A66DC1">
      <w:pPr>
        <w:pStyle w:val="Heading4"/>
      </w:pPr>
      <w:r w:rsidRPr="00A66DC1">
        <w:t>Data on selected key indicators</w:t>
      </w:r>
    </w:p>
    <w:p w14:paraId="23AF9F3E" w14:textId="1083CFCA" w:rsidR="00402D48" w:rsidRPr="00AB2773" w:rsidRDefault="00402D48" w:rsidP="00402D48">
      <w:pPr>
        <w:pStyle w:val="DHHSbody"/>
        <w:rPr>
          <w:rStyle w:val="normaltextrun"/>
        </w:rPr>
      </w:pPr>
      <w:r w:rsidRPr="00AB2773">
        <w:rPr>
          <w:rStyle w:val="normaltextrun"/>
        </w:rPr>
        <w:t>People with severe mental illness have poorer physical health yet receive less and lower quality health care than the rest of the population</w:t>
      </w:r>
      <w:r w:rsidR="00F374C2">
        <w:rPr>
          <w:rStyle w:val="normaltextrun"/>
        </w:rPr>
        <w:t>.</w:t>
      </w:r>
      <w:r>
        <w:rPr>
          <w:rStyle w:val="FootnoteReference"/>
        </w:rPr>
        <w:footnoteReference w:id="8"/>
      </w:r>
      <w:r w:rsidRPr="00AB2773">
        <w:rPr>
          <w:rStyle w:val="normaltextrun"/>
        </w:rPr>
        <w:t> Our indicators for physical health are tobacco use (as a risk factor) and type 2 diabetes (as a preventable illness). Results this year have improved</w:t>
      </w:r>
      <w:r w:rsidR="00BC276D">
        <w:rPr>
          <w:rStyle w:val="normaltextrun"/>
        </w:rPr>
        <w:t xml:space="preserve"> </w:t>
      </w:r>
      <w:r w:rsidR="004027BD">
        <w:rPr>
          <w:rStyle w:val="normaltextrun"/>
        </w:rPr>
        <w:t xml:space="preserve">for both </w:t>
      </w:r>
      <w:r w:rsidR="00C61535">
        <w:rPr>
          <w:rStyle w:val="normaltextrun"/>
        </w:rPr>
        <w:t xml:space="preserve">a decrease in the proportion of admitted clients </w:t>
      </w:r>
      <w:r w:rsidR="000C2EC2">
        <w:rPr>
          <w:rStyle w:val="normaltextrun"/>
        </w:rPr>
        <w:t xml:space="preserve">who used tobacco and </w:t>
      </w:r>
      <w:r w:rsidRPr="00AB2773">
        <w:rPr>
          <w:rStyle w:val="normaltextrun"/>
        </w:rPr>
        <w:t xml:space="preserve">registered </w:t>
      </w:r>
      <w:r w:rsidR="00784688">
        <w:rPr>
          <w:rStyle w:val="normaltextrun"/>
        </w:rPr>
        <w:t>clients with type 2 diabetes</w:t>
      </w:r>
      <w:r w:rsidR="00F374C2">
        <w:rPr>
          <w:rStyle w:val="normaltextrun"/>
        </w:rPr>
        <w:t>.</w:t>
      </w:r>
      <w:r>
        <w:rPr>
          <w:rStyle w:val="normaltextrun"/>
        </w:rPr>
        <w:t xml:space="preserve"> </w:t>
      </w:r>
    </w:p>
    <w:tbl>
      <w:tblPr>
        <w:tblStyle w:val="MentalhealthARtablestyle"/>
        <w:tblW w:w="9504" w:type="dxa"/>
        <w:tblLook w:val="04A0" w:firstRow="1" w:lastRow="0" w:firstColumn="1" w:lastColumn="0" w:noHBand="0" w:noVBand="1"/>
      </w:tblPr>
      <w:tblGrid>
        <w:gridCol w:w="1788"/>
        <w:gridCol w:w="1294"/>
        <w:gridCol w:w="1477"/>
        <w:gridCol w:w="1189"/>
        <w:gridCol w:w="1192"/>
        <w:gridCol w:w="1196"/>
        <w:gridCol w:w="1368"/>
      </w:tblGrid>
      <w:tr w:rsidR="00402D48" w:rsidRPr="008F7636" w14:paraId="45CF3594" w14:textId="77777777" w:rsidTr="00EF7136">
        <w:trPr>
          <w:cnfStyle w:val="100000000000" w:firstRow="1" w:lastRow="0" w:firstColumn="0" w:lastColumn="0" w:oddVBand="0" w:evenVBand="0" w:oddHBand="0" w:evenHBand="0" w:firstRowFirstColumn="0" w:firstRowLastColumn="0" w:lastRowFirstColumn="0" w:lastRowLastColumn="0"/>
          <w:tblHeader/>
        </w:trPr>
        <w:tc>
          <w:tcPr>
            <w:tcW w:w="1695" w:type="dxa"/>
          </w:tcPr>
          <w:p w14:paraId="056F1E61" w14:textId="2BC73C7F" w:rsidR="00402D48" w:rsidRPr="00EF7136" w:rsidRDefault="00402D48" w:rsidP="00B24E19">
            <w:pPr>
              <w:pStyle w:val="DHHStablecolhead"/>
              <w:rPr>
                <w:b/>
                <w:bCs/>
              </w:rPr>
            </w:pPr>
            <w:r w:rsidRPr="00EF7136">
              <w:rPr>
                <w:b/>
                <w:bCs/>
              </w:rPr>
              <w:t>Indicator</w:t>
            </w:r>
          </w:p>
        </w:tc>
        <w:tc>
          <w:tcPr>
            <w:tcW w:w="1228" w:type="dxa"/>
          </w:tcPr>
          <w:p w14:paraId="12ED341A" w14:textId="77777777" w:rsidR="00402D48" w:rsidRPr="00EF7136" w:rsidRDefault="00402D48" w:rsidP="00B24E19">
            <w:pPr>
              <w:pStyle w:val="DHHStablecolhead"/>
              <w:rPr>
                <w:b/>
                <w:bCs/>
              </w:rPr>
            </w:pPr>
            <w:r w:rsidRPr="00EF7136">
              <w:rPr>
                <w:b/>
                <w:bCs/>
              </w:rPr>
              <w:t>Reference</w:t>
            </w:r>
          </w:p>
          <w:p w14:paraId="30F47A26" w14:textId="77777777" w:rsidR="00402D48" w:rsidRPr="00EF7136" w:rsidRDefault="00402D48" w:rsidP="00B24E19">
            <w:pPr>
              <w:pStyle w:val="DHHStablecolhead"/>
              <w:rPr>
                <w:b/>
                <w:bCs/>
              </w:rPr>
            </w:pPr>
            <w:r w:rsidRPr="00EF7136">
              <w:rPr>
                <w:b/>
                <w:bCs/>
              </w:rPr>
              <w:t>year</w:t>
            </w:r>
          </w:p>
        </w:tc>
        <w:tc>
          <w:tcPr>
            <w:tcW w:w="1401" w:type="dxa"/>
          </w:tcPr>
          <w:p w14:paraId="2DFEE031" w14:textId="77777777" w:rsidR="00402D48" w:rsidRPr="00EF7136" w:rsidRDefault="00402D48" w:rsidP="00B24E19">
            <w:pPr>
              <w:pStyle w:val="DHHStablecolhead"/>
              <w:rPr>
                <w:b/>
                <w:bCs/>
              </w:rPr>
            </w:pPr>
            <w:r w:rsidRPr="00EF7136">
              <w:rPr>
                <w:b/>
                <w:bCs/>
              </w:rPr>
              <w:t>Four years prior</w:t>
            </w:r>
          </w:p>
        </w:tc>
        <w:tc>
          <w:tcPr>
            <w:tcW w:w="1128" w:type="dxa"/>
          </w:tcPr>
          <w:p w14:paraId="25EB9038" w14:textId="77777777" w:rsidR="00402D48" w:rsidRPr="00EF7136" w:rsidRDefault="00402D48" w:rsidP="00B24E19">
            <w:pPr>
              <w:pStyle w:val="DHHStablecolhead"/>
              <w:rPr>
                <w:b/>
                <w:bCs/>
              </w:rPr>
            </w:pPr>
            <w:r w:rsidRPr="00EF7136">
              <w:rPr>
                <w:b/>
                <w:bCs/>
              </w:rPr>
              <w:t>Three years prior</w:t>
            </w:r>
          </w:p>
        </w:tc>
        <w:tc>
          <w:tcPr>
            <w:tcW w:w="1131" w:type="dxa"/>
          </w:tcPr>
          <w:p w14:paraId="590874B5" w14:textId="77777777" w:rsidR="00402D48" w:rsidRPr="00EF7136" w:rsidRDefault="00402D48" w:rsidP="00B24E19">
            <w:pPr>
              <w:pStyle w:val="DHHStablecolhead"/>
              <w:rPr>
                <w:b/>
                <w:bCs/>
              </w:rPr>
            </w:pPr>
            <w:r w:rsidRPr="00EF7136">
              <w:rPr>
                <w:b/>
                <w:bCs/>
              </w:rPr>
              <w:t>Two years prior</w:t>
            </w:r>
          </w:p>
        </w:tc>
        <w:tc>
          <w:tcPr>
            <w:tcW w:w="1135" w:type="dxa"/>
          </w:tcPr>
          <w:p w14:paraId="34721EB8" w14:textId="77777777" w:rsidR="00402D48" w:rsidRPr="00EF7136" w:rsidRDefault="00402D48" w:rsidP="00B24E19">
            <w:pPr>
              <w:pStyle w:val="DHHStablecolhead"/>
              <w:rPr>
                <w:b/>
                <w:bCs/>
              </w:rPr>
            </w:pPr>
            <w:r w:rsidRPr="00EF7136">
              <w:rPr>
                <w:b/>
                <w:bCs/>
              </w:rPr>
              <w:t>One year prior</w:t>
            </w:r>
          </w:p>
        </w:tc>
        <w:tc>
          <w:tcPr>
            <w:tcW w:w="1298" w:type="dxa"/>
          </w:tcPr>
          <w:p w14:paraId="19113FF4" w14:textId="77777777" w:rsidR="00402D48" w:rsidRPr="00EF7136" w:rsidRDefault="00402D48" w:rsidP="00B24E19">
            <w:pPr>
              <w:pStyle w:val="DHHStablecolhead"/>
              <w:rPr>
                <w:b/>
                <w:bCs/>
              </w:rPr>
            </w:pPr>
            <w:r w:rsidRPr="00EF7136">
              <w:rPr>
                <w:b/>
                <w:bCs/>
              </w:rPr>
              <w:t>Most current data</w:t>
            </w:r>
          </w:p>
        </w:tc>
      </w:tr>
      <w:tr w:rsidR="00402D48" w14:paraId="3E6BC4A4" w14:textId="77777777" w:rsidTr="00EF7136">
        <w:tc>
          <w:tcPr>
            <w:tcW w:w="1695" w:type="dxa"/>
          </w:tcPr>
          <w:p w14:paraId="3947429C" w14:textId="77777777" w:rsidR="00402D48" w:rsidRPr="00EF7136" w:rsidRDefault="00402D48" w:rsidP="00EF7136">
            <w:pPr>
              <w:pStyle w:val="DHHStabletext"/>
            </w:pPr>
            <w:r w:rsidRPr="00EF7136">
              <w:t>5.1 Proportion of unique admitted clients who were discharged and used tobacco</w:t>
            </w:r>
          </w:p>
        </w:tc>
        <w:tc>
          <w:tcPr>
            <w:tcW w:w="1228" w:type="dxa"/>
          </w:tcPr>
          <w:p w14:paraId="7DD33E53" w14:textId="1ACBE5C6" w:rsidR="00402D48" w:rsidRPr="00EF7136" w:rsidRDefault="00894D3B" w:rsidP="00EF7136">
            <w:pPr>
              <w:pStyle w:val="DHHStabletext"/>
            </w:pPr>
            <w:r w:rsidRPr="00EF7136">
              <w:t>2019–20</w:t>
            </w:r>
          </w:p>
        </w:tc>
        <w:tc>
          <w:tcPr>
            <w:tcW w:w="1401" w:type="dxa"/>
          </w:tcPr>
          <w:p w14:paraId="2C0AE652" w14:textId="77777777" w:rsidR="00402D48" w:rsidRPr="00EF7136" w:rsidRDefault="00402D48" w:rsidP="00EF7136">
            <w:pPr>
              <w:pStyle w:val="DHHStabletext"/>
            </w:pPr>
            <w:r w:rsidRPr="00EF7136">
              <w:t>37.7%</w:t>
            </w:r>
          </w:p>
        </w:tc>
        <w:tc>
          <w:tcPr>
            <w:tcW w:w="1128" w:type="dxa"/>
          </w:tcPr>
          <w:p w14:paraId="3932AE7B" w14:textId="77777777" w:rsidR="00402D48" w:rsidRPr="00EF7136" w:rsidRDefault="00402D48" w:rsidP="00EF7136">
            <w:pPr>
              <w:pStyle w:val="DHHStabletext"/>
            </w:pPr>
            <w:r w:rsidRPr="00EF7136">
              <w:t>38.2%</w:t>
            </w:r>
          </w:p>
        </w:tc>
        <w:tc>
          <w:tcPr>
            <w:tcW w:w="1131" w:type="dxa"/>
          </w:tcPr>
          <w:p w14:paraId="685C8497" w14:textId="77777777" w:rsidR="00402D48" w:rsidRPr="00EF7136" w:rsidRDefault="00402D48" w:rsidP="00EF7136">
            <w:pPr>
              <w:pStyle w:val="DHHStabletext"/>
            </w:pPr>
            <w:r w:rsidRPr="00EF7136">
              <w:t>37.1%</w:t>
            </w:r>
          </w:p>
        </w:tc>
        <w:tc>
          <w:tcPr>
            <w:tcW w:w="1135" w:type="dxa"/>
          </w:tcPr>
          <w:p w14:paraId="405781E0" w14:textId="77777777" w:rsidR="00402D48" w:rsidRPr="00EF7136" w:rsidRDefault="00402D48" w:rsidP="00EF7136">
            <w:pPr>
              <w:pStyle w:val="DHHStabletext"/>
            </w:pPr>
            <w:r w:rsidRPr="00EF7136">
              <w:t>36.5%</w:t>
            </w:r>
          </w:p>
        </w:tc>
        <w:tc>
          <w:tcPr>
            <w:tcW w:w="1298" w:type="dxa"/>
          </w:tcPr>
          <w:p w14:paraId="781E533A" w14:textId="69F99D6D" w:rsidR="00402D48" w:rsidRPr="00EF7136" w:rsidRDefault="00402D48" w:rsidP="00EF7136">
            <w:pPr>
              <w:pStyle w:val="DHHStabletext"/>
            </w:pPr>
            <w:r w:rsidRPr="00EF7136">
              <w:t>33.5%</w:t>
            </w:r>
          </w:p>
        </w:tc>
      </w:tr>
      <w:tr w:rsidR="00402D48" w14:paraId="22F1C03C" w14:textId="77777777" w:rsidTr="00EF7136">
        <w:tc>
          <w:tcPr>
            <w:tcW w:w="1695" w:type="dxa"/>
          </w:tcPr>
          <w:p w14:paraId="4763A90F" w14:textId="77777777" w:rsidR="00402D48" w:rsidRPr="00EF7136" w:rsidRDefault="00402D48" w:rsidP="00EF7136">
            <w:pPr>
              <w:pStyle w:val="DHHStabletext"/>
            </w:pPr>
            <w:r w:rsidRPr="00EF7136">
              <w:t>5.2 Proportion of registered mental health clients with a type 2 diabetes diagnosis</w:t>
            </w:r>
          </w:p>
        </w:tc>
        <w:tc>
          <w:tcPr>
            <w:tcW w:w="1228" w:type="dxa"/>
          </w:tcPr>
          <w:p w14:paraId="55598A5A" w14:textId="31E22A86" w:rsidR="00402D48" w:rsidRPr="00EF7136" w:rsidRDefault="00894D3B" w:rsidP="00EF7136">
            <w:pPr>
              <w:pStyle w:val="DHHStabletext"/>
            </w:pPr>
            <w:r w:rsidRPr="00EF7136">
              <w:t>2019–20</w:t>
            </w:r>
          </w:p>
        </w:tc>
        <w:tc>
          <w:tcPr>
            <w:tcW w:w="1401" w:type="dxa"/>
          </w:tcPr>
          <w:p w14:paraId="671D79BB" w14:textId="77777777" w:rsidR="00402D48" w:rsidRPr="00EF7136" w:rsidRDefault="00402D48" w:rsidP="00EF7136">
            <w:pPr>
              <w:pStyle w:val="DHHStabletext"/>
            </w:pPr>
            <w:r w:rsidRPr="00EF7136">
              <w:t>10.2%</w:t>
            </w:r>
          </w:p>
        </w:tc>
        <w:tc>
          <w:tcPr>
            <w:tcW w:w="1128" w:type="dxa"/>
          </w:tcPr>
          <w:p w14:paraId="70D3EF5F" w14:textId="77777777" w:rsidR="00402D48" w:rsidRPr="00EF7136" w:rsidRDefault="00402D48" w:rsidP="00EF7136">
            <w:pPr>
              <w:pStyle w:val="DHHStabletext"/>
            </w:pPr>
            <w:r w:rsidRPr="00EF7136">
              <w:t>9.8%</w:t>
            </w:r>
          </w:p>
        </w:tc>
        <w:tc>
          <w:tcPr>
            <w:tcW w:w="1131" w:type="dxa"/>
          </w:tcPr>
          <w:p w14:paraId="0D92F3B2" w14:textId="77777777" w:rsidR="00402D48" w:rsidRPr="00EF7136" w:rsidRDefault="00402D48" w:rsidP="00EF7136">
            <w:pPr>
              <w:pStyle w:val="DHHStabletext"/>
            </w:pPr>
            <w:r w:rsidRPr="00EF7136">
              <w:t>9.9%</w:t>
            </w:r>
          </w:p>
        </w:tc>
        <w:tc>
          <w:tcPr>
            <w:tcW w:w="1135" w:type="dxa"/>
          </w:tcPr>
          <w:p w14:paraId="599BA198" w14:textId="77777777" w:rsidR="00402D48" w:rsidRPr="00EF7136" w:rsidRDefault="00402D48" w:rsidP="00EF7136">
            <w:pPr>
              <w:pStyle w:val="DHHStabletext"/>
            </w:pPr>
            <w:r w:rsidRPr="00EF7136">
              <w:t>10.0%</w:t>
            </w:r>
          </w:p>
        </w:tc>
        <w:tc>
          <w:tcPr>
            <w:tcW w:w="1298" w:type="dxa"/>
          </w:tcPr>
          <w:p w14:paraId="42932B52" w14:textId="77777777" w:rsidR="00402D48" w:rsidRPr="00EF7136" w:rsidRDefault="00402D48" w:rsidP="00EF7136">
            <w:pPr>
              <w:pStyle w:val="DHHStabletext"/>
            </w:pPr>
            <w:r w:rsidRPr="00EF7136">
              <w:t>9.6%</w:t>
            </w:r>
          </w:p>
        </w:tc>
      </w:tr>
    </w:tbl>
    <w:p w14:paraId="0A887A7C" w14:textId="498F6539" w:rsidR="00720A34" w:rsidRPr="00B56619" w:rsidRDefault="00720A34" w:rsidP="005C0134">
      <w:pPr>
        <w:pStyle w:val="Heading4"/>
      </w:pPr>
      <w:r w:rsidRPr="00B56619">
        <w:t xml:space="preserve">Autism </w:t>
      </w:r>
      <w:r w:rsidR="00F374C2">
        <w:t>s</w:t>
      </w:r>
      <w:r w:rsidRPr="00B56619">
        <w:t xml:space="preserve">pectrum </w:t>
      </w:r>
      <w:r w:rsidR="00F374C2">
        <w:t>d</w:t>
      </w:r>
      <w:r w:rsidRPr="00B56619">
        <w:t>isorder</w:t>
      </w:r>
      <w:r w:rsidR="00B82606">
        <w:t xml:space="preserve"> </w:t>
      </w:r>
      <w:r w:rsidRPr="00B56619">
        <w:t>assessment</w:t>
      </w:r>
    </w:p>
    <w:p w14:paraId="48DC0D94" w14:textId="57E3C294" w:rsidR="00173AE9" w:rsidRDefault="00F8031B" w:rsidP="00120F70">
      <w:pPr>
        <w:pStyle w:val="DHHSbody"/>
      </w:pPr>
      <w:r>
        <w:t>Funding was provided</w:t>
      </w:r>
      <w:r w:rsidR="00720A34">
        <w:t xml:space="preserve"> to improve </w:t>
      </w:r>
      <w:r w:rsidR="00EF1224">
        <w:t>a</w:t>
      </w:r>
      <w:r w:rsidR="00720A34">
        <w:t xml:space="preserve">utism </w:t>
      </w:r>
      <w:r w:rsidR="00EF1224">
        <w:t>s</w:t>
      </w:r>
      <w:r w:rsidR="00EF1224" w:rsidRPr="00B56619">
        <w:t xml:space="preserve">pectrum </w:t>
      </w:r>
      <w:r w:rsidR="00EF1224">
        <w:t>d</w:t>
      </w:r>
      <w:r w:rsidR="00EF1224" w:rsidRPr="00B56619">
        <w:t xml:space="preserve">isorder </w:t>
      </w:r>
      <w:r w:rsidR="00EF1224">
        <w:t xml:space="preserve">(ASD) </w:t>
      </w:r>
      <w:r w:rsidR="00720A34">
        <w:t xml:space="preserve">assessment and diagnosis capacity as part of the release of the </w:t>
      </w:r>
      <w:r w:rsidR="00720A34" w:rsidRPr="00080EDC">
        <w:rPr>
          <w:i/>
          <w:iCs/>
        </w:rPr>
        <w:t>Victorian</w:t>
      </w:r>
      <w:r w:rsidRPr="00080EDC">
        <w:rPr>
          <w:i/>
          <w:iCs/>
        </w:rPr>
        <w:t xml:space="preserve"> </w:t>
      </w:r>
      <w:r w:rsidR="00F374C2">
        <w:rPr>
          <w:i/>
          <w:iCs/>
        </w:rPr>
        <w:t>a</w:t>
      </w:r>
      <w:r w:rsidRPr="00080EDC">
        <w:rPr>
          <w:i/>
          <w:iCs/>
        </w:rPr>
        <w:t xml:space="preserve">utism </w:t>
      </w:r>
      <w:r w:rsidR="00F374C2">
        <w:rPr>
          <w:i/>
          <w:iCs/>
        </w:rPr>
        <w:t>p</w:t>
      </w:r>
      <w:r w:rsidRPr="00080EDC">
        <w:rPr>
          <w:i/>
          <w:iCs/>
        </w:rPr>
        <w:t>lan</w:t>
      </w:r>
      <w:r>
        <w:t>.</w:t>
      </w:r>
      <w:r w:rsidR="00894D3B">
        <w:t xml:space="preserve"> </w:t>
      </w:r>
      <w:r w:rsidR="00D620C2">
        <w:t xml:space="preserve">The </w:t>
      </w:r>
      <w:r w:rsidR="00FF4A57">
        <w:t xml:space="preserve">investment of </w:t>
      </w:r>
      <w:r w:rsidR="00EF1224">
        <w:t xml:space="preserve">more than </w:t>
      </w:r>
      <w:r w:rsidR="00FF4A57">
        <w:t xml:space="preserve">$2 million to </w:t>
      </w:r>
      <w:r w:rsidR="00EF1224">
        <w:t xml:space="preserve">the </w:t>
      </w:r>
      <w:r w:rsidR="00FF4A57">
        <w:t>Mindful Centre for Research and Developmental Health</w:t>
      </w:r>
      <w:r w:rsidR="00173AE9">
        <w:t xml:space="preserve"> aims to improve access to autism assessment, diagnosis and early intervention</w:t>
      </w:r>
      <w:r w:rsidR="00636E50">
        <w:t xml:space="preserve"> as part of </w:t>
      </w:r>
      <w:r w:rsidR="00EF1224">
        <w:t>its</w:t>
      </w:r>
      <w:r w:rsidR="00636E50">
        <w:t xml:space="preserve"> </w:t>
      </w:r>
      <w:r w:rsidR="00EF1224">
        <w:t>a</w:t>
      </w:r>
      <w:r w:rsidR="00636E50">
        <w:t xml:space="preserve">utism assessment, diagnosis </w:t>
      </w:r>
      <w:r w:rsidR="00FF4A57">
        <w:t xml:space="preserve">capacity building project. </w:t>
      </w:r>
    </w:p>
    <w:p w14:paraId="5F4100EB" w14:textId="6294D21E" w:rsidR="00720A34" w:rsidRPr="00653A90" w:rsidRDefault="00CC7DB6" w:rsidP="00120F70">
      <w:pPr>
        <w:pStyle w:val="DHHSbody"/>
      </w:pPr>
      <w:r>
        <w:t>The program aims to r</w:t>
      </w:r>
      <w:r w:rsidR="00B62E47" w:rsidRPr="00653A90">
        <w:t xml:space="preserve">educe </w:t>
      </w:r>
      <w:r w:rsidR="00F80210">
        <w:t xml:space="preserve">the </w:t>
      </w:r>
      <w:r w:rsidR="00B62E47" w:rsidRPr="00653A90">
        <w:t xml:space="preserve">wait list for </w:t>
      </w:r>
      <w:r w:rsidR="00976055">
        <w:t xml:space="preserve">ASD </w:t>
      </w:r>
      <w:r w:rsidR="00B62E47" w:rsidRPr="00653A90">
        <w:t>assessment</w:t>
      </w:r>
      <w:r w:rsidR="00165BED" w:rsidRPr="00653A90">
        <w:t xml:space="preserve">s for children and young people across all Victorian </w:t>
      </w:r>
      <w:r w:rsidR="0020515A">
        <w:t>c</w:t>
      </w:r>
      <w:r w:rsidR="00165BED" w:rsidRPr="00653A90">
        <w:t xml:space="preserve">hild and </w:t>
      </w:r>
      <w:r w:rsidR="0020515A">
        <w:t>y</w:t>
      </w:r>
      <w:r w:rsidR="00165BED" w:rsidRPr="00653A90">
        <w:t xml:space="preserve">outh </w:t>
      </w:r>
      <w:r w:rsidR="0020515A">
        <w:t>m</w:t>
      </w:r>
      <w:r w:rsidR="00165BED" w:rsidRPr="00653A90">
        <w:t xml:space="preserve">ental </w:t>
      </w:r>
      <w:r w:rsidR="0020515A">
        <w:t>h</w:t>
      </w:r>
      <w:r w:rsidR="00165BED" w:rsidRPr="00653A90">
        <w:t xml:space="preserve">ealth </w:t>
      </w:r>
      <w:r w:rsidR="0020515A">
        <w:t>s</w:t>
      </w:r>
      <w:r w:rsidR="00165BED" w:rsidRPr="00653A90">
        <w:t>ervices (CAMHS)</w:t>
      </w:r>
      <w:r w:rsidR="0001079D" w:rsidRPr="00653A90">
        <w:t xml:space="preserve">. </w:t>
      </w:r>
      <w:r w:rsidR="00653A90">
        <w:t xml:space="preserve">This </w:t>
      </w:r>
      <w:r w:rsidR="000B731A">
        <w:t>will</w:t>
      </w:r>
      <w:r w:rsidR="00653A90">
        <w:t xml:space="preserve"> be achieved </w:t>
      </w:r>
      <w:r w:rsidR="00EF1224">
        <w:t xml:space="preserve">through </w:t>
      </w:r>
      <w:r>
        <w:t>develop</w:t>
      </w:r>
      <w:r w:rsidR="00EF1224">
        <w:t>ing</w:t>
      </w:r>
      <w:r w:rsidR="00720A34" w:rsidRPr="00653A90">
        <w:t xml:space="preserve"> local partnerships </w:t>
      </w:r>
      <w:r w:rsidR="00126488">
        <w:t xml:space="preserve">and </w:t>
      </w:r>
      <w:r w:rsidR="00720A34" w:rsidRPr="00653A90">
        <w:t>expan</w:t>
      </w:r>
      <w:r w:rsidR="00EF1224">
        <w:t>ding</w:t>
      </w:r>
      <w:r w:rsidR="00720A34" w:rsidRPr="00653A90">
        <w:t xml:space="preserve"> telehealth options to make specialised assessments more accessible, particularly for regional areas. </w:t>
      </w:r>
    </w:p>
    <w:p w14:paraId="6E5F4F5B" w14:textId="4B4FCC4E" w:rsidR="00720A34" w:rsidRPr="00653A90" w:rsidRDefault="007074E5" w:rsidP="00120F70">
      <w:pPr>
        <w:pStyle w:val="DHHSbody"/>
      </w:pPr>
      <w:r>
        <w:lastRenderedPageBreak/>
        <w:t xml:space="preserve">The program </w:t>
      </w:r>
      <w:r w:rsidR="00887702">
        <w:t xml:space="preserve">also </w:t>
      </w:r>
      <w:r>
        <w:t>aims to imp</w:t>
      </w:r>
      <w:r w:rsidR="00EC7A4C">
        <w:t xml:space="preserve">rove the capacity of the adult </w:t>
      </w:r>
      <w:r w:rsidR="004F7559">
        <w:t>mental health system</w:t>
      </w:r>
      <w:r w:rsidR="00887702">
        <w:t xml:space="preserve"> to undertake ASD assessments</w:t>
      </w:r>
      <w:r w:rsidR="004F7559">
        <w:t xml:space="preserve">. </w:t>
      </w:r>
      <w:r w:rsidR="00126488">
        <w:t>A</w:t>
      </w:r>
      <w:r w:rsidR="00720A34" w:rsidRPr="00653A90">
        <w:t xml:space="preserve">dult services </w:t>
      </w:r>
      <w:r w:rsidR="00B82606">
        <w:t>will</w:t>
      </w:r>
      <w:r w:rsidR="00720A34" w:rsidRPr="00653A90">
        <w:t xml:space="preserve"> appoint an ASD specialist role for a senior clinician in </w:t>
      </w:r>
      <w:r w:rsidR="0040305A" w:rsidRPr="00653A90">
        <w:t>six</w:t>
      </w:r>
      <w:r w:rsidR="00720A34" w:rsidRPr="00653A90">
        <w:t xml:space="preserve"> </w:t>
      </w:r>
      <w:r w:rsidR="00C76BA2">
        <w:t>a</w:t>
      </w:r>
      <w:r w:rsidR="00720A34" w:rsidRPr="00653A90">
        <w:t xml:space="preserve">dult </w:t>
      </w:r>
      <w:r w:rsidR="00C76BA2">
        <w:t>m</w:t>
      </w:r>
      <w:r w:rsidR="00720A34" w:rsidRPr="00653A90">
        <w:t xml:space="preserve">ental </w:t>
      </w:r>
      <w:r w:rsidR="00C76BA2">
        <w:t>h</w:t>
      </w:r>
      <w:r w:rsidR="00720A34" w:rsidRPr="00653A90">
        <w:t xml:space="preserve">ealth services as a 12-month trial. The ASD specialist will coordinate the ASD assessment and diagnostic process, ongoing clinical care within the mental health service, facilitate referral pathways to support services and build </w:t>
      </w:r>
      <w:r w:rsidR="00EF1224">
        <w:t xml:space="preserve">the </w:t>
      </w:r>
      <w:r w:rsidR="00720A34" w:rsidRPr="00653A90">
        <w:t>capacity of the mental health service.</w:t>
      </w:r>
      <w:r w:rsidR="00894D3B">
        <w:t xml:space="preserve"> </w:t>
      </w:r>
    </w:p>
    <w:p w14:paraId="6ABA8BA8" w14:textId="1601EB81" w:rsidR="00720A34" w:rsidRPr="00653A90" w:rsidRDefault="00E6773A" w:rsidP="00120F70">
      <w:pPr>
        <w:pStyle w:val="DHHSbody"/>
      </w:pPr>
      <w:r>
        <w:t>The project</w:t>
      </w:r>
      <w:r w:rsidR="00A345BA">
        <w:t xml:space="preserve"> will include </w:t>
      </w:r>
      <w:r w:rsidR="00EF1224">
        <w:t>the ASD specialists</w:t>
      </w:r>
      <w:r w:rsidR="00EF1224" w:rsidDel="00EF1224">
        <w:t xml:space="preserve"> </w:t>
      </w:r>
      <w:r w:rsidR="00A345BA">
        <w:t>d</w:t>
      </w:r>
      <w:r w:rsidR="00720A34" w:rsidRPr="00653A90">
        <w:t>evelop</w:t>
      </w:r>
      <w:r w:rsidR="00EF1224">
        <w:t>ing</w:t>
      </w:r>
      <w:r w:rsidR="00720A34" w:rsidRPr="00653A90">
        <w:t>, deliver</w:t>
      </w:r>
      <w:r w:rsidR="00EF1224">
        <w:t>ing</w:t>
      </w:r>
      <w:r w:rsidR="00720A34" w:rsidRPr="00653A90">
        <w:t xml:space="preserve"> and evaluati</w:t>
      </w:r>
      <w:r w:rsidR="00EF1224">
        <w:t>ng</w:t>
      </w:r>
      <w:r w:rsidR="00720A34" w:rsidRPr="00653A90">
        <w:t xml:space="preserve"> online and face</w:t>
      </w:r>
      <w:r>
        <w:t>-</w:t>
      </w:r>
      <w:r w:rsidR="00720A34" w:rsidRPr="00653A90">
        <w:t>to</w:t>
      </w:r>
      <w:r>
        <w:t>-</w:t>
      </w:r>
      <w:r w:rsidR="00720A34" w:rsidRPr="00653A90">
        <w:t xml:space="preserve">face training modules for </w:t>
      </w:r>
      <w:r w:rsidR="00E46128">
        <w:t>a</w:t>
      </w:r>
      <w:r w:rsidR="00720A34" w:rsidRPr="00653A90">
        <w:t xml:space="preserve">dult </w:t>
      </w:r>
      <w:r w:rsidR="00E46128">
        <w:t>m</w:t>
      </w:r>
      <w:r w:rsidR="00720A34" w:rsidRPr="00653A90">
        <w:t xml:space="preserve">ental </w:t>
      </w:r>
      <w:r w:rsidR="00E46128">
        <w:t>h</w:t>
      </w:r>
      <w:r w:rsidR="00720A34" w:rsidRPr="00653A90">
        <w:t xml:space="preserve">ealth </w:t>
      </w:r>
      <w:r>
        <w:t>c</w:t>
      </w:r>
      <w:r w:rsidR="00720A34" w:rsidRPr="00653A90">
        <w:t>linicians</w:t>
      </w:r>
      <w:r w:rsidR="00A8246E">
        <w:t>.</w:t>
      </w:r>
      <w:r w:rsidR="00894D3B">
        <w:t xml:space="preserve"> </w:t>
      </w:r>
      <w:r w:rsidR="00120F70">
        <w:t>Targeted</w:t>
      </w:r>
      <w:r w:rsidR="00720A34" w:rsidRPr="00653A90">
        <w:t xml:space="preserve"> </w:t>
      </w:r>
      <w:r>
        <w:t>a</w:t>
      </w:r>
      <w:r w:rsidR="00720A34" w:rsidRPr="00653A90">
        <w:t xml:space="preserve">dult ASD training packages </w:t>
      </w:r>
      <w:r w:rsidR="00120F70">
        <w:t>will be provided i</w:t>
      </w:r>
      <w:r w:rsidR="00720A34" w:rsidRPr="00653A90">
        <w:t xml:space="preserve">n regional Victoria to build capacity and increase </w:t>
      </w:r>
      <w:r w:rsidR="00137784">
        <w:t xml:space="preserve">the </w:t>
      </w:r>
      <w:r w:rsidR="00720A34" w:rsidRPr="00653A90">
        <w:t>accessibility of ASD training in rural areas.</w:t>
      </w:r>
    </w:p>
    <w:p w14:paraId="6782C2C1" w14:textId="77777777" w:rsidR="009C1216" w:rsidRPr="000A0B11" w:rsidRDefault="009C1216" w:rsidP="005C0134">
      <w:pPr>
        <w:pStyle w:val="Heading4"/>
      </w:pPr>
      <w:r w:rsidRPr="000A0B11">
        <w:t>Partners in Wellbeing</w:t>
      </w:r>
    </w:p>
    <w:p w14:paraId="093C3478" w14:textId="77777777" w:rsidR="00D90905" w:rsidRDefault="009C1216" w:rsidP="005C0134">
      <w:pPr>
        <w:pStyle w:val="DHHSbody"/>
        <w:rPr>
          <w:rStyle w:val="normaltextrun"/>
        </w:rPr>
      </w:pPr>
      <w:r w:rsidRPr="003D539D">
        <w:rPr>
          <w:rStyle w:val="normaltextrun"/>
        </w:rPr>
        <w:t>The</w:t>
      </w:r>
      <w:r w:rsidRPr="00B16150">
        <w:rPr>
          <w:rStyle w:val="normaltextrun"/>
        </w:rPr>
        <w:t xml:space="preserve"> </w:t>
      </w:r>
      <w:r w:rsidRPr="00080EDC">
        <w:rPr>
          <w:rStyle w:val="normaltextrun"/>
          <w:iCs/>
        </w:rPr>
        <w:t>Partners in Wellbeing</w:t>
      </w:r>
      <w:r w:rsidRPr="00B16150">
        <w:rPr>
          <w:rStyle w:val="normaltextrun"/>
        </w:rPr>
        <w:t xml:space="preserve"> initiative acknowledges that, for </w:t>
      </w:r>
      <w:r>
        <w:rPr>
          <w:rStyle w:val="normaltextrun"/>
        </w:rPr>
        <w:t>many</w:t>
      </w:r>
      <w:r w:rsidRPr="00B16150">
        <w:rPr>
          <w:rStyle w:val="normaltextrun"/>
        </w:rPr>
        <w:t xml:space="preserve"> people, </w:t>
      </w:r>
      <w:r>
        <w:rPr>
          <w:rStyle w:val="normaltextrun"/>
        </w:rPr>
        <w:t xml:space="preserve">the </w:t>
      </w:r>
      <w:r w:rsidR="00E51317">
        <w:rPr>
          <w:rStyle w:val="normaltextrun"/>
        </w:rPr>
        <w:t>coronavirus (COVID-19)</w:t>
      </w:r>
      <w:r w:rsidRPr="00B16150">
        <w:rPr>
          <w:rStyle w:val="normaltextrun"/>
        </w:rPr>
        <w:t xml:space="preserve"> pandemic has had a significant impact on mental health and wellbeing. Funded as part of the April 2020 Mental Health and Social Connectedness package, </w:t>
      </w:r>
      <w:r w:rsidRPr="00080EDC">
        <w:rPr>
          <w:rStyle w:val="normaltextrun"/>
          <w:iCs/>
        </w:rPr>
        <w:t>Partners in Wellbeing</w:t>
      </w:r>
      <w:r w:rsidR="00894D3B">
        <w:rPr>
          <w:rStyle w:val="normaltextrun"/>
        </w:rPr>
        <w:t xml:space="preserve"> </w:t>
      </w:r>
      <w:r w:rsidRPr="00B16150">
        <w:rPr>
          <w:rStyle w:val="normaltextrun"/>
        </w:rPr>
        <w:t xml:space="preserve">is a free statewide service for people </w:t>
      </w:r>
      <w:r w:rsidR="00137784">
        <w:rPr>
          <w:rStyle w:val="normaltextrun"/>
        </w:rPr>
        <w:t xml:space="preserve">aged </w:t>
      </w:r>
      <w:r w:rsidRPr="00B16150">
        <w:rPr>
          <w:rStyle w:val="normaltextrun"/>
        </w:rPr>
        <w:t xml:space="preserve">16 years </w:t>
      </w:r>
      <w:r w:rsidR="00137784">
        <w:rPr>
          <w:rStyle w:val="normaltextrun"/>
        </w:rPr>
        <w:t xml:space="preserve">or older </w:t>
      </w:r>
      <w:r w:rsidRPr="00B16150">
        <w:rPr>
          <w:rStyle w:val="normaltextrun"/>
        </w:rPr>
        <w:t xml:space="preserve">who </w:t>
      </w:r>
    </w:p>
    <w:p w14:paraId="26280570" w14:textId="087F7F3F" w:rsidR="00D90905" w:rsidRDefault="009C1216" w:rsidP="00D90905">
      <w:pPr>
        <w:pStyle w:val="DHHSbullet1"/>
        <w:rPr>
          <w:rStyle w:val="normaltextrun"/>
        </w:rPr>
      </w:pPr>
      <w:r w:rsidRPr="00B16150">
        <w:rPr>
          <w:rStyle w:val="normaltextrun"/>
        </w:rPr>
        <w:t xml:space="preserve">may be </w:t>
      </w:r>
      <w:r w:rsidRPr="005C0134">
        <w:t>experiencing</w:t>
      </w:r>
      <w:r w:rsidRPr="00B16150">
        <w:rPr>
          <w:rStyle w:val="normaltextrun"/>
        </w:rPr>
        <w:t xml:space="preserve"> stress, anxiety</w:t>
      </w:r>
      <w:r w:rsidR="00137784">
        <w:rPr>
          <w:rStyle w:val="normaltextrun"/>
        </w:rPr>
        <w:t xml:space="preserve"> or</w:t>
      </w:r>
      <w:r w:rsidRPr="00B16150">
        <w:rPr>
          <w:rStyle w:val="normaltextrun"/>
        </w:rPr>
        <w:t xml:space="preserve"> worry or </w:t>
      </w:r>
      <w:r>
        <w:rPr>
          <w:rStyle w:val="normaltextrun"/>
        </w:rPr>
        <w:t>who are feeling</w:t>
      </w:r>
      <w:r w:rsidRPr="00B16150">
        <w:rPr>
          <w:rStyle w:val="normaltextrun"/>
        </w:rPr>
        <w:t xml:space="preserve"> overwhelmed</w:t>
      </w:r>
      <w:r w:rsidR="00D90905">
        <w:rPr>
          <w:rStyle w:val="normaltextrun"/>
        </w:rPr>
        <w:t>;</w:t>
      </w:r>
    </w:p>
    <w:p w14:paraId="0FBFB399" w14:textId="1E413622" w:rsidR="00D90905" w:rsidRDefault="009C1216" w:rsidP="00D90905">
      <w:pPr>
        <w:pStyle w:val="DHHSbullet1"/>
        <w:rPr>
          <w:rStyle w:val="normaltextrun"/>
        </w:rPr>
      </w:pPr>
      <w:r w:rsidRPr="00B16150">
        <w:rPr>
          <w:rStyle w:val="normaltextrun"/>
        </w:rPr>
        <w:t>where these feelings have lasted more than a few weeks</w:t>
      </w:r>
      <w:r w:rsidR="00D90905">
        <w:rPr>
          <w:rStyle w:val="normaltextrun"/>
        </w:rPr>
        <w:t>;</w:t>
      </w:r>
      <w:r w:rsidRPr="00B16150">
        <w:rPr>
          <w:rStyle w:val="normaltextrun"/>
        </w:rPr>
        <w:t xml:space="preserve"> and </w:t>
      </w:r>
    </w:p>
    <w:p w14:paraId="36205020" w14:textId="77777777" w:rsidR="00D90905" w:rsidRDefault="009C1216" w:rsidP="00D90905">
      <w:pPr>
        <w:pStyle w:val="DHHSbullet1"/>
        <w:rPr>
          <w:rStyle w:val="normaltextrun"/>
        </w:rPr>
      </w:pPr>
      <w:r w:rsidRPr="00B16150">
        <w:rPr>
          <w:rStyle w:val="normaltextrun"/>
        </w:rPr>
        <w:t xml:space="preserve">the person’s usual coping strategies are not working. </w:t>
      </w:r>
    </w:p>
    <w:p w14:paraId="1E76522A" w14:textId="4859BFCF" w:rsidR="009C1216" w:rsidRPr="00B16150" w:rsidRDefault="009C1216" w:rsidP="00D90905">
      <w:pPr>
        <w:pStyle w:val="DHHSbody"/>
        <w:rPr>
          <w:rStyle w:val="normaltextrun"/>
        </w:rPr>
      </w:pPr>
      <w:r w:rsidRPr="00B16150">
        <w:rPr>
          <w:rStyle w:val="normaltextrun"/>
        </w:rPr>
        <w:t>The service provides one-on-one wellbeing coaching and support and is delivered by Neami National, E</w:t>
      </w:r>
      <w:r w:rsidR="00137784">
        <w:rPr>
          <w:rStyle w:val="normaltextrun"/>
        </w:rPr>
        <w:t>ACH</w:t>
      </w:r>
      <w:r w:rsidRPr="00B16150">
        <w:rPr>
          <w:rStyle w:val="normaltextrun"/>
        </w:rPr>
        <w:t xml:space="preserve"> and the Australian Community Support Organisation.</w:t>
      </w:r>
    </w:p>
    <w:p w14:paraId="44140F68" w14:textId="30A65880" w:rsidR="00295F4D" w:rsidRDefault="00295F4D" w:rsidP="00AA1A64">
      <w:pPr>
        <w:pStyle w:val="Heading3"/>
      </w:pPr>
      <w:r>
        <w:t>Domain</w:t>
      </w:r>
      <w:r w:rsidR="00833A55">
        <w:t xml:space="preserve"> 3</w:t>
      </w:r>
      <w:r>
        <w:t xml:space="preserve">: </w:t>
      </w:r>
      <w:r w:rsidRPr="00EA79A9">
        <w:t>Victorians with mental illness live fulfilling lives of their choosing, with or without symptoms of mental illness</w:t>
      </w:r>
    </w:p>
    <w:p w14:paraId="17849658" w14:textId="0DB0B5DB" w:rsidR="00F74580" w:rsidRDefault="00FA5FFF" w:rsidP="008932E6">
      <w:pPr>
        <w:pStyle w:val="DHHSbody"/>
      </w:pPr>
      <w:r>
        <w:t xml:space="preserve">The focus of </w:t>
      </w:r>
      <w:r w:rsidR="0020515A">
        <w:t>d</w:t>
      </w:r>
      <w:r>
        <w:t xml:space="preserve">omain 3 is </w:t>
      </w:r>
      <w:r w:rsidR="00C15A70">
        <w:t xml:space="preserve">on ensuring </w:t>
      </w:r>
      <w:r>
        <w:t>that</w:t>
      </w:r>
      <w:r w:rsidR="00CB0403">
        <w:t xml:space="preserve"> </w:t>
      </w:r>
      <w:r w:rsidR="00F74580">
        <w:t>Victorians with mental illness participat</w:t>
      </w:r>
      <w:r w:rsidR="00CB0403">
        <w:t>e</w:t>
      </w:r>
      <w:r w:rsidR="00F74580">
        <w:t xml:space="preserve"> in learning and education, contribut</w:t>
      </w:r>
      <w:r w:rsidR="00CB0403">
        <w:t>e</w:t>
      </w:r>
      <w:r w:rsidR="00F74580">
        <w:t xml:space="preserve"> to the economy and </w:t>
      </w:r>
      <w:r w:rsidR="00CB0403">
        <w:t>are</w:t>
      </w:r>
      <w:r w:rsidR="00F74580">
        <w:t xml:space="preserve"> financially secure.</w:t>
      </w:r>
      <w:r w:rsidR="00894D3B">
        <w:t xml:space="preserve"> </w:t>
      </w:r>
      <w:r w:rsidR="00F74580">
        <w:t>There is also a focus on Victorians with mental illness being socially engaged and free from violence or abuse, having reduced contact with the justice system and being in suitable housing.</w:t>
      </w:r>
    </w:p>
    <w:p w14:paraId="3ABEAA51" w14:textId="77777777" w:rsidR="002E3BD6" w:rsidRPr="00A66DC1" w:rsidRDefault="008C346F" w:rsidP="00A66DC1">
      <w:pPr>
        <w:pStyle w:val="Heading4"/>
      </w:pPr>
      <w:r w:rsidRPr="00A66DC1">
        <w:t>Data on selected key indicators</w:t>
      </w:r>
    </w:p>
    <w:p w14:paraId="252D4DE5" w14:textId="369EB563" w:rsidR="00564027" w:rsidRPr="00AA1A64" w:rsidRDefault="003863E8" w:rsidP="00AA1A64">
      <w:pPr>
        <w:pStyle w:val="Heading5"/>
        <w:rPr>
          <w:rStyle w:val="normaltextrun"/>
        </w:rPr>
      </w:pPr>
      <w:r w:rsidRPr="00AA1A64">
        <w:rPr>
          <w:rStyle w:val="normaltextrun"/>
        </w:rPr>
        <w:t>Psychological risk rating for prisoners</w:t>
      </w:r>
    </w:p>
    <w:p w14:paraId="7D98B6EC" w14:textId="5468C7CB" w:rsidR="00F32E60" w:rsidRPr="00AB2773" w:rsidRDefault="00137784" w:rsidP="00F32E60">
      <w:pPr>
        <w:pStyle w:val="DHHSbody"/>
        <w:rPr>
          <w:rStyle w:val="normaltextrun"/>
        </w:rPr>
      </w:pPr>
      <w:r>
        <w:rPr>
          <w:rStyle w:val="normaltextrun"/>
        </w:rPr>
        <w:t>In 2019–20, t</w:t>
      </w:r>
      <w:r w:rsidR="00F32E60" w:rsidRPr="00AB2773">
        <w:rPr>
          <w:rStyle w:val="normaltextrun"/>
        </w:rPr>
        <w:t xml:space="preserve">here </w:t>
      </w:r>
      <w:r>
        <w:rPr>
          <w:rStyle w:val="normaltextrun"/>
        </w:rPr>
        <w:t>w</w:t>
      </w:r>
      <w:r w:rsidR="00F32E60" w:rsidRPr="00AB2773">
        <w:rPr>
          <w:rStyle w:val="normaltextrun"/>
        </w:rPr>
        <w:t>as a substantial drop in the percentage of prisoners receiving a </w:t>
      </w:r>
      <w:r>
        <w:rPr>
          <w:rStyle w:val="normaltextrun"/>
        </w:rPr>
        <w:t>p</w:t>
      </w:r>
      <w:r w:rsidR="00F32E60" w:rsidRPr="00AB2773">
        <w:rPr>
          <w:rStyle w:val="normaltextrun"/>
        </w:rPr>
        <w:t xml:space="preserve">sychiatric </w:t>
      </w:r>
      <w:r>
        <w:rPr>
          <w:rStyle w:val="normaltextrun"/>
        </w:rPr>
        <w:t>r</w:t>
      </w:r>
      <w:r w:rsidR="00F32E60" w:rsidRPr="00AB2773">
        <w:rPr>
          <w:rStyle w:val="normaltextrun"/>
        </w:rPr>
        <w:t xml:space="preserve">isk </w:t>
      </w:r>
      <w:r>
        <w:rPr>
          <w:rStyle w:val="normaltextrun"/>
        </w:rPr>
        <w:t>r</w:t>
      </w:r>
      <w:r w:rsidR="00F32E60" w:rsidRPr="00AB2773">
        <w:rPr>
          <w:rStyle w:val="normaltextrun"/>
        </w:rPr>
        <w:t xml:space="preserve">ating (P-rating) on entry to prison. A P-rating is not a clinical diagnosis but a rating applied to a prisoner to aid decisions about </w:t>
      </w:r>
      <w:r>
        <w:rPr>
          <w:rStyle w:val="normaltextrun"/>
        </w:rPr>
        <w:t xml:space="preserve">their </w:t>
      </w:r>
      <w:r w:rsidR="00F32E60" w:rsidRPr="00AB2773">
        <w:rPr>
          <w:rStyle w:val="normaltextrun"/>
        </w:rPr>
        <w:t xml:space="preserve">placement and to flag </w:t>
      </w:r>
      <w:r>
        <w:rPr>
          <w:rStyle w:val="normaltextrun"/>
        </w:rPr>
        <w:t xml:space="preserve">any </w:t>
      </w:r>
      <w:r w:rsidR="00F32E60" w:rsidRPr="00AB2773">
        <w:rPr>
          <w:rStyle w:val="normaltextrun"/>
        </w:rPr>
        <w:t>treatment requirements. P-ratings vary and range from a prisoner indicating that they have a</w:t>
      </w:r>
      <w:r w:rsidR="00A520EE">
        <w:rPr>
          <w:rStyle w:val="normaltextrun"/>
        </w:rPr>
        <w:t xml:space="preserve"> </w:t>
      </w:r>
      <w:r w:rsidR="00F32E60" w:rsidRPr="00AB2773">
        <w:rPr>
          <w:rStyle w:val="normaltextrun"/>
        </w:rPr>
        <w:t xml:space="preserve">history of mental illness to acute problems where </w:t>
      </w:r>
      <w:r w:rsidR="00F32E60">
        <w:rPr>
          <w:rStyle w:val="normaltextrun"/>
        </w:rPr>
        <w:t>intensive</w:t>
      </w:r>
      <w:r w:rsidR="00F32E60" w:rsidRPr="00AB2773">
        <w:rPr>
          <w:rStyle w:val="normaltextrun"/>
        </w:rPr>
        <w:t xml:space="preserve"> mental health treatment is required immediately. At this stage</w:t>
      </w:r>
      <w:r w:rsidR="00F32E60">
        <w:rPr>
          <w:rStyle w:val="normaltextrun"/>
        </w:rPr>
        <w:t>,</w:t>
      </w:r>
      <w:r w:rsidR="00F32E60" w:rsidRPr="00AB2773">
        <w:rPr>
          <w:rStyle w:val="normaltextrun"/>
        </w:rPr>
        <w:t xml:space="preserve"> it is not known if the change in the data relates to the </w:t>
      </w:r>
      <w:r>
        <w:rPr>
          <w:rStyle w:val="normaltextrun"/>
        </w:rPr>
        <w:t>coronavirus (COVID-19)</w:t>
      </w:r>
      <w:r w:rsidRPr="00B16150">
        <w:rPr>
          <w:rStyle w:val="normaltextrun"/>
        </w:rPr>
        <w:t xml:space="preserve"> </w:t>
      </w:r>
      <w:r w:rsidR="00F32E60" w:rsidRPr="00AB2773">
        <w:rPr>
          <w:rStyle w:val="normaltextrun"/>
        </w:rPr>
        <w:t>pandemic. </w:t>
      </w:r>
    </w:p>
    <w:tbl>
      <w:tblPr>
        <w:tblStyle w:val="MentalhealthARtablestyle"/>
        <w:tblW w:w="9504" w:type="dxa"/>
        <w:tblLook w:val="04A0" w:firstRow="1" w:lastRow="0" w:firstColumn="1" w:lastColumn="0" w:noHBand="0" w:noVBand="1"/>
      </w:tblPr>
      <w:tblGrid>
        <w:gridCol w:w="1873"/>
        <w:gridCol w:w="1341"/>
        <w:gridCol w:w="1281"/>
        <w:gridCol w:w="1250"/>
        <w:gridCol w:w="1186"/>
        <w:gridCol w:w="1189"/>
        <w:gridCol w:w="1384"/>
      </w:tblGrid>
      <w:tr w:rsidR="00F32E60" w14:paraId="0DC4049F" w14:textId="77777777" w:rsidTr="00080EDC">
        <w:trPr>
          <w:cnfStyle w:val="100000000000" w:firstRow="1" w:lastRow="0" w:firstColumn="0" w:lastColumn="0" w:oddVBand="0" w:evenVBand="0" w:oddHBand="0" w:evenHBand="0" w:firstRowFirstColumn="0" w:firstRowLastColumn="0" w:lastRowFirstColumn="0" w:lastRowLastColumn="0"/>
          <w:tblHeader/>
        </w:trPr>
        <w:tc>
          <w:tcPr>
            <w:tcW w:w="1873" w:type="dxa"/>
          </w:tcPr>
          <w:p w14:paraId="4C1257BF" w14:textId="52C59228" w:rsidR="00F32E60" w:rsidRPr="00EF7136" w:rsidRDefault="00F32E60" w:rsidP="00B24E19">
            <w:pPr>
              <w:pStyle w:val="DHHStablecolhead"/>
              <w:rPr>
                <w:b/>
                <w:bCs/>
              </w:rPr>
            </w:pPr>
            <w:r w:rsidRPr="00EF7136">
              <w:rPr>
                <w:b/>
                <w:bCs/>
              </w:rPr>
              <w:t>Indicator</w:t>
            </w:r>
          </w:p>
        </w:tc>
        <w:tc>
          <w:tcPr>
            <w:tcW w:w="1341" w:type="dxa"/>
          </w:tcPr>
          <w:p w14:paraId="76BD2B13" w14:textId="77777777" w:rsidR="00F32E60" w:rsidRPr="00EF7136" w:rsidRDefault="00F32E60" w:rsidP="00B24E19">
            <w:pPr>
              <w:pStyle w:val="DHHStablecolhead"/>
              <w:rPr>
                <w:b/>
                <w:bCs/>
              </w:rPr>
            </w:pPr>
            <w:r w:rsidRPr="00EF7136">
              <w:rPr>
                <w:b/>
                <w:bCs/>
              </w:rPr>
              <w:t>Reference</w:t>
            </w:r>
          </w:p>
          <w:p w14:paraId="522A7F4C" w14:textId="77777777" w:rsidR="00F32E60" w:rsidRPr="00EF7136" w:rsidRDefault="00F32E60" w:rsidP="00B24E19">
            <w:pPr>
              <w:pStyle w:val="DHHStablecolhead"/>
              <w:rPr>
                <w:b/>
                <w:bCs/>
              </w:rPr>
            </w:pPr>
            <w:r w:rsidRPr="00EF7136">
              <w:rPr>
                <w:b/>
                <w:bCs/>
              </w:rPr>
              <w:t>year</w:t>
            </w:r>
          </w:p>
        </w:tc>
        <w:tc>
          <w:tcPr>
            <w:tcW w:w="1281" w:type="dxa"/>
          </w:tcPr>
          <w:p w14:paraId="43626924" w14:textId="77777777" w:rsidR="00F32E60" w:rsidRPr="00EF7136" w:rsidRDefault="00F32E60" w:rsidP="00B24E19">
            <w:pPr>
              <w:pStyle w:val="DHHStablecolhead"/>
              <w:rPr>
                <w:b/>
                <w:bCs/>
              </w:rPr>
            </w:pPr>
            <w:r w:rsidRPr="00EF7136">
              <w:rPr>
                <w:b/>
                <w:bCs/>
              </w:rPr>
              <w:t>Four years prior</w:t>
            </w:r>
          </w:p>
        </w:tc>
        <w:tc>
          <w:tcPr>
            <w:tcW w:w="1250" w:type="dxa"/>
          </w:tcPr>
          <w:p w14:paraId="31685E73" w14:textId="77777777" w:rsidR="00F32E60" w:rsidRPr="00EF7136" w:rsidRDefault="00F32E60" w:rsidP="00B24E19">
            <w:pPr>
              <w:pStyle w:val="DHHStablecolhead"/>
              <w:rPr>
                <w:b/>
                <w:bCs/>
              </w:rPr>
            </w:pPr>
            <w:r w:rsidRPr="00EF7136">
              <w:rPr>
                <w:b/>
                <w:bCs/>
              </w:rPr>
              <w:t>Three years prior</w:t>
            </w:r>
          </w:p>
        </w:tc>
        <w:tc>
          <w:tcPr>
            <w:tcW w:w="1186" w:type="dxa"/>
          </w:tcPr>
          <w:p w14:paraId="0BFC297D" w14:textId="77777777" w:rsidR="00F32E60" w:rsidRPr="00EF7136" w:rsidRDefault="00F32E60" w:rsidP="00B24E19">
            <w:pPr>
              <w:pStyle w:val="DHHStablecolhead"/>
              <w:rPr>
                <w:b/>
                <w:bCs/>
              </w:rPr>
            </w:pPr>
            <w:r w:rsidRPr="00EF7136">
              <w:rPr>
                <w:b/>
                <w:bCs/>
              </w:rPr>
              <w:t>Two years prior</w:t>
            </w:r>
          </w:p>
        </w:tc>
        <w:tc>
          <w:tcPr>
            <w:tcW w:w="1189" w:type="dxa"/>
          </w:tcPr>
          <w:p w14:paraId="63D04D5E" w14:textId="77777777" w:rsidR="00F32E60" w:rsidRPr="00EF7136" w:rsidRDefault="00F32E60" w:rsidP="00B24E19">
            <w:pPr>
              <w:pStyle w:val="DHHStablecolhead"/>
              <w:rPr>
                <w:b/>
                <w:bCs/>
              </w:rPr>
            </w:pPr>
            <w:r w:rsidRPr="00EF7136">
              <w:rPr>
                <w:b/>
                <w:bCs/>
              </w:rPr>
              <w:t>One year prior</w:t>
            </w:r>
          </w:p>
        </w:tc>
        <w:tc>
          <w:tcPr>
            <w:tcW w:w="1384" w:type="dxa"/>
          </w:tcPr>
          <w:p w14:paraId="4934E863" w14:textId="77777777" w:rsidR="00F32E60" w:rsidRPr="00EF7136" w:rsidRDefault="00F32E60" w:rsidP="00B24E19">
            <w:pPr>
              <w:pStyle w:val="DHHStablecolhead"/>
              <w:rPr>
                <w:b/>
                <w:bCs/>
              </w:rPr>
            </w:pPr>
            <w:r w:rsidRPr="00EF7136">
              <w:rPr>
                <w:b/>
                <w:bCs/>
              </w:rPr>
              <w:t>Most current data</w:t>
            </w:r>
          </w:p>
        </w:tc>
      </w:tr>
      <w:tr w:rsidR="00F32E60" w14:paraId="4E0AEC68" w14:textId="77777777" w:rsidTr="00080EDC">
        <w:tc>
          <w:tcPr>
            <w:tcW w:w="1873" w:type="dxa"/>
          </w:tcPr>
          <w:p w14:paraId="33F1F565" w14:textId="77777777" w:rsidR="00F32E60" w:rsidRPr="00EF7136" w:rsidRDefault="00F32E60" w:rsidP="00EF7136">
            <w:pPr>
              <w:pStyle w:val="DHHStabletext"/>
            </w:pPr>
            <w:r w:rsidRPr="00EF7136">
              <w:t>11.1 Proportion of Victorian prison entrants who, at prison reception assessment, are allocated a psychiatric risk rating</w:t>
            </w:r>
          </w:p>
        </w:tc>
        <w:tc>
          <w:tcPr>
            <w:tcW w:w="1341" w:type="dxa"/>
          </w:tcPr>
          <w:p w14:paraId="645FEEEB" w14:textId="4EAAA1E8" w:rsidR="00F32E60" w:rsidRPr="00EF7136" w:rsidRDefault="00894D3B" w:rsidP="00EF7136">
            <w:pPr>
              <w:pStyle w:val="DHHStabletext"/>
            </w:pPr>
            <w:r w:rsidRPr="00EF7136">
              <w:t>2019–20</w:t>
            </w:r>
          </w:p>
        </w:tc>
        <w:tc>
          <w:tcPr>
            <w:tcW w:w="1281" w:type="dxa"/>
          </w:tcPr>
          <w:p w14:paraId="4F5D954C" w14:textId="5F9A683B" w:rsidR="00F32E60" w:rsidRPr="00EF7136" w:rsidRDefault="00F32E60" w:rsidP="00EF7136">
            <w:pPr>
              <w:pStyle w:val="DHHStabletext"/>
            </w:pPr>
            <w:r w:rsidRPr="00EF7136">
              <w:t>38</w:t>
            </w:r>
            <w:r w:rsidR="00D90905">
              <w:t>.0</w:t>
            </w:r>
            <w:r w:rsidRPr="00EF7136">
              <w:t>%</w:t>
            </w:r>
          </w:p>
        </w:tc>
        <w:tc>
          <w:tcPr>
            <w:tcW w:w="1250" w:type="dxa"/>
          </w:tcPr>
          <w:p w14:paraId="54355BFA" w14:textId="77777777" w:rsidR="00F32E60" w:rsidRPr="00EF7136" w:rsidRDefault="00F32E60" w:rsidP="00EF7136">
            <w:pPr>
              <w:pStyle w:val="DHHStabletext"/>
            </w:pPr>
            <w:r w:rsidRPr="00EF7136">
              <w:t>36.9%</w:t>
            </w:r>
          </w:p>
        </w:tc>
        <w:tc>
          <w:tcPr>
            <w:tcW w:w="1186" w:type="dxa"/>
          </w:tcPr>
          <w:p w14:paraId="1E1657B8" w14:textId="77777777" w:rsidR="00F32E60" w:rsidRPr="00EF7136" w:rsidRDefault="00F32E60" w:rsidP="00EF7136">
            <w:pPr>
              <w:pStyle w:val="DHHStabletext"/>
            </w:pPr>
            <w:r w:rsidRPr="00EF7136">
              <w:t>37.2%</w:t>
            </w:r>
          </w:p>
        </w:tc>
        <w:tc>
          <w:tcPr>
            <w:tcW w:w="1189" w:type="dxa"/>
          </w:tcPr>
          <w:p w14:paraId="5A2FF5C6" w14:textId="77777777" w:rsidR="00F32E60" w:rsidRPr="00EF7136" w:rsidRDefault="00F32E60" w:rsidP="00EF7136">
            <w:pPr>
              <w:pStyle w:val="DHHStabletext"/>
            </w:pPr>
            <w:r w:rsidRPr="00EF7136">
              <w:t>36.2%</w:t>
            </w:r>
          </w:p>
        </w:tc>
        <w:tc>
          <w:tcPr>
            <w:tcW w:w="1384" w:type="dxa"/>
          </w:tcPr>
          <w:p w14:paraId="7CF49527" w14:textId="77777777" w:rsidR="00F32E60" w:rsidRPr="00EF7136" w:rsidRDefault="00F32E60" w:rsidP="00EF7136">
            <w:pPr>
              <w:pStyle w:val="DHHStabletext"/>
            </w:pPr>
            <w:r w:rsidRPr="00EF7136">
              <w:t>30.6%</w:t>
            </w:r>
          </w:p>
        </w:tc>
      </w:tr>
    </w:tbl>
    <w:p w14:paraId="576A931D" w14:textId="36F870A6" w:rsidR="00F32E60" w:rsidRPr="00954348" w:rsidRDefault="001E7191" w:rsidP="00AA1A64">
      <w:pPr>
        <w:pStyle w:val="Heading5"/>
      </w:pPr>
      <w:r>
        <w:lastRenderedPageBreak/>
        <w:t>Registered clients living in stable housing</w:t>
      </w:r>
    </w:p>
    <w:p w14:paraId="6C9DDB4C" w14:textId="29BD6969" w:rsidR="00F32E60" w:rsidRPr="0010750F" w:rsidRDefault="00F32E60" w:rsidP="00F32E60">
      <w:pPr>
        <w:pStyle w:val="DHHSbody"/>
      </w:pPr>
      <w:r w:rsidRPr="00A86899">
        <w:t>People with mental illness are at greater risk of being or becoming homeless than the general population.</w:t>
      </w:r>
      <w:r w:rsidR="00894D3B">
        <w:t xml:space="preserve"> </w:t>
      </w:r>
      <w:r w:rsidRPr="00A86899">
        <w:t>Having unstable housing is also a significant destabili</w:t>
      </w:r>
      <w:r w:rsidR="00137784">
        <w:t>s</w:t>
      </w:r>
      <w:r w:rsidRPr="00A86899">
        <w:t>ing factor and may contribute to the risk of developing or exacerbating mental illness.</w:t>
      </w:r>
      <w:r w:rsidR="00894D3B">
        <w:t xml:space="preserve"> </w:t>
      </w:r>
      <w:r>
        <w:t xml:space="preserve">The data suggests that although </w:t>
      </w:r>
      <w:r w:rsidR="00137784">
        <w:t>most</w:t>
      </w:r>
      <w:r>
        <w:t xml:space="preserve"> clients are in stable housing, the proportion with unstable housing is large in comparison </w:t>
      </w:r>
      <w:r w:rsidR="00137784">
        <w:t xml:space="preserve">with </w:t>
      </w:r>
      <w:r>
        <w:t>the general population</w:t>
      </w:r>
      <w:r w:rsidR="006A2E27">
        <w:t>,</w:t>
      </w:r>
      <w:r>
        <w:t xml:space="preserve"> and </w:t>
      </w:r>
      <w:r w:rsidR="006A2E27">
        <w:t>is</w:t>
      </w:r>
      <w:r>
        <w:t xml:space="preserve"> increasing.</w:t>
      </w:r>
      <w:r w:rsidR="00894D3B">
        <w:t xml:space="preserve"> </w:t>
      </w:r>
    </w:p>
    <w:p w14:paraId="61D8DEA2" w14:textId="6281B104" w:rsidR="00F32E60" w:rsidRPr="00265C7F" w:rsidRDefault="00F32E60" w:rsidP="00F32E60">
      <w:pPr>
        <w:pStyle w:val="DHHSbody"/>
      </w:pPr>
      <w:r>
        <w:t>A recent review of the evidence on housing and mental health</w:t>
      </w:r>
      <w:r>
        <w:rPr>
          <w:rStyle w:val="FootnoteReference"/>
        </w:rPr>
        <w:footnoteReference w:id="9"/>
      </w:r>
      <w:r>
        <w:t xml:space="preserve"> found a lack of affordable, safe and appropriate housing for people with mental ill health, and that secure tenure allows people to focus on mental health treatment and rehabilitation.</w:t>
      </w:r>
      <w:r w:rsidR="00894D3B">
        <w:t xml:space="preserve"> </w:t>
      </w:r>
      <w:r>
        <w:t>Housing, homelessness and mental health are interrelated, and the health and mental health of Victorians relies in part on access to housing.</w:t>
      </w:r>
      <w:r w:rsidR="00894D3B">
        <w:t xml:space="preserve"> </w:t>
      </w:r>
    </w:p>
    <w:tbl>
      <w:tblPr>
        <w:tblStyle w:val="MentalhealthARtablestyle"/>
        <w:tblW w:w="9504" w:type="dxa"/>
        <w:tblLook w:val="04A0" w:firstRow="1" w:lastRow="0" w:firstColumn="1" w:lastColumn="0" w:noHBand="0" w:noVBand="1"/>
      </w:tblPr>
      <w:tblGrid>
        <w:gridCol w:w="1788"/>
        <w:gridCol w:w="1294"/>
        <w:gridCol w:w="1477"/>
        <w:gridCol w:w="1189"/>
        <w:gridCol w:w="1192"/>
        <w:gridCol w:w="1196"/>
        <w:gridCol w:w="1368"/>
      </w:tblGrid>
      <w:tr w:rsidR="00F32E60" w:rsidRPr="008F7636" w14:paraId="4CD1AB0C" w14:textId="77777777" w:rsidTr="00EF7136">
        <w:trPr>
          <w:cnfStyle w:val="100000000000" w:firstRow="1" w:lastRow="0" w:firstColumn="0" w:lastColumn="0" w:oddVBand="0" w:evenVBand="0" w:oddHBand="0" w:evenHBand="0" w:firstRowFirstColumn="0" w:firstRowLastColumn="0" w:lastRowFirstColumn="0" w:lastRowLastColumn="0"/>
          <w:tblHeader/>
        </w:trPr>
        <w:tc>
          <w:tcPr>
            <w:tcW w:w="1695" w:type="dxa"/>
          </w:tcPr>
          <w:p w14:paraId="57E1C9E9" w14:textId="2470D86C" w:rsidR="00F32E60" w:rsidRPr="00EF7136" w:rsidRDefault="00F32E60" w:rsidP="00B24E19">
            <w:pPr>
              <w:pStyle w:val="DHHStablecolhead"/>
              <w:rPr>
                <w:b/>
                <w:bCs/>
              </w:rPr>
            </w:pPr>
            <w:r w:rsidRPr="00EF7136">
              <w:rPr>
                <w:b/>
                <w:bCs/>
              </w:rPr>
              <w:t>Indicator</w:t>
            </w:r>
          </w:p>
        </w:tc>
        <w:tc>
          <w:tcPr>
            <w:tcW w:w="1228" w:type="dxa"/>
          </w:tcPr>
          <w:p w14:paraId="0C0BE06A" w14:textId="77777777" w:rsidR="00F32E60" w:rsidRPr="00EF7136" w:rsidRDefault="00F32E60" w:rsidP="00B24E19">
            <w:pPr>
              <w:pStyle w:val="DHHStablecolhead"/>
              <w:rPr>
                <w:b/>
                <w:bCs/>
              </w:rPr>
            </w:pPr>
            <w:r w:rsidRPr="00EF7136">
              <w:rPr>
                <w:b/>
                <w:bCs/>
              </w:rPr>
              <w:t>Reference</w:t>
            </w:r>
          </w:p>
          <w:p w14:paraId="3EAD0425" w14:textId="77777777" w:rsidR="00F32E60" w:rsidRPr="00EF7136" w:rsidRDefault="00F32E60" w:rsidP="00B24E19">
            <w:pPr>
              <w:pStyle w:val="DHHStablecolhead"/>
              <w:rPr>
                <w:b/>
                <w:bCs/>
              </w:rPr>
            </w:pPr>
            <w:r w:rsidRPr="00EF7136">
              <w:rPr>
                <w:b/>
                <w:bCs/>
              </w:rPr>
              <w:t>year</w:t>
            </w:r>
          </w:p>
        </w:tc>
        <w:tc>
          <w:tcPr>
            <w:tcW w:w="1401" w:type="dxa"/>
          </w:tcPr>
          <w:p w14:paraId="0E84DDC8" w14:textId="77777777" w:rsidR="00F32E60" w:rsidRPr="00EF7136" w:rsidRDefault="00F32E60" w:rsidP="00B24E19">
            <w:pPr>
              <w:pStyle w:val="DHHStablecolhead"/>
              <w:rPr>
                <w:b/>
                <w:bCs/>
              </w:rPr>
            </w:pPr>
            <w:r w:rsidRPr="00EF7136">
              <w:rPr>
                <w:b/>
                <w:bCs/>
              </w:rPr>
              <w:t>Four years prior</w:t>
            </w:r>
          </w:p>
        </w:tc>
        <w:tc>
          <w:tcPr>
            <w:tcW w:w="1128" w:type="dxa"/>
          </w:tcPr>
          <w:p w14:paraId="1A3CE912" w14:textId="77777777" w:rsidR="00F32E60" w:rsidRPr="00EF7136" w:rsidRDefault="00F32E60" w:rsidP="00B24E19">
            <w:pPr>
              <w:pStyle w:val="DHHStablecolhead"/>
              <w:rPr>
                <w:b/>
                <w:bCs/>
              </w:rPr>
            </w:pPr>
            <w:r w:rsidRPr="00EF7136">
              <w:rPr>
                <w:b/>
                <w:bCs/>
              </w:rPr>
              <w:t>Three years prior</w:t>
            </w:r>
          </w:p>
        </w:tc>
        <w:tc>
          <w:tcPr>
            <w:tcW w:w="1131" w:type="dxa"/>
          </w:tcPr>
          <w:p w14:paraId="2DC61FD9" w14:textId="77777777" w:rsidR="00F32E60" w:rsidRPr="00EF7136" w:rsidRDefault="00F32E60" w:rsidP="00B24E19">
            <w:pPr>
              <w:pStyle w:val="DHHStablecolhead"/>
              <w:rPr>
                <w:b/>
                <w:bCs/>
              </w:rPr>
            </w:pPr>
            <w:r w:rsidRPr="00EF7136">
              <w:rPr>
                <w:b/>
                <w:bCs/>
              </w:rPr>
              <w:t>Two years prior</w:t>
            </w:r>
          </w:p>
        </w:tc>
        <w:tc>
          <w:tcPr>
            <w:tcW w:w="1135" w:type="dxa"/>
          </w:tcPr>
          <w:p w14:paraId="24C0862D" w14:textId="77777777" w:rsidR="00F32E60" w:rsidRPr="00EF7136" w:rsidRDefault="00F32E60" w:rsidP="00B24E19">
            <w:pPr>
              <w:pStyle w:val="DHHStablecolhead"/>
              <w:rPr>
                <w:b/>
                <w:bCs/>
              </w:rPr>
            </w:pPr>
            <w:r w:rsidRPr="00EF7136">
              <w:rPr>
                <w:b/>
                <w:bCs/>
              </w:rPr>
              <w:t>One year prior</w:t>
            </w:r>
          </w:p>
        </w:tc>
        <w:tc>
          <w:tcPr>
            <w:tcW w:w="1298" w:type="dxa"/>
          </w:tcPr>
          <w:p w14:paraId="08E8249F" w14:textId="77777777" w:rsidR="00F32E60" w:rsidRPr="00EF7136" w:rsidRDefault="00F32E60" w:rsidP="00B24E19">
            <w:pPr>
              <w:pStyle w:val="DHHStablecolhead"/>
              <w:rPr>
                <w:b/>
                <w:bCs/>
              </w:rPr>
            </w:pPr>
            <w:r w:rsidRPr="00EF7136">
              <w:rPr>
                <w:b/>
                <w:bCs/>
              </w:rPr>
              <w:t>Most current data</w:t>
            </w:r>
          </w:p>
        </w:tc>
      </w:tr>
      <w:tr w:rsidR="00F32E60" w14:paraId="089F4522" w14:textId="77777777" w:rsidTr="00EF7136">
        <w:tc>
          <w:tcPr>
            <w:tcW w:w="1695" w:type="dxa"/>
          </w:tcPr>
          <w:p w14:paraId="229BC98C" w14:textId="77777777" w:rsidR="00F32E60" w:rsidRPr="00EF7136" w:rsidRDefault="00F32E60" w:rsidP="00EF7136">
            <w:pPr>
              <w:pStyle w:val="DHHStabletext"/>
            </w:pPr>
            <w:r w:rsidRPr="00EF7136">
              <w:t>12.1 Proportion of registered clients living in stable housing</w:t>
            </w:r>
          </w:p>
        </w:tc>
        <w:tc>
          <w:tcPr>
            <w:tcW w:w="1228" w:type="dxa"/>
          </w:tcPr>
          <w:p w14:paraId="4D8FBFB3" w14:textId="6B4227ED" w:rsidR="00F32E60" w:rsidRPr="00EF7136" w:rsidRDefault="00894D3B" w:rsidP="00EF7136">
            <w:pPr>
              <w:pStyle w:val="DHHStabletext"/>
            </w:pPr>
            <w:r w:rsidRPr="00EF7136">
              <w:t>2019–20</w:t>
            </w:r>
          </w:p>
        </w:tc>
        <w:tc>
          <w:tcPr>
            <w:tcW w:w="1401" w:type="dxa"/>
          </w:tcPr>
          <w:p w14:paraId="1EBA0694" w14:textId="77777777" w:rsidR="00F32E60" w:rsidRPr="00EF7136" w:rsidRDefault="00F32E60" w:rsidP="00EF7136">
            <w:pPr>
              <w:pStyle w:val="DHHStabletext"/>
            </w:pPr>
            <w:r w:rsidRPr="00EF7136">
              <w:t>81%</w:t>
            </w:r>
          </w:p>
        </w:tc>
        <w:tc>
          <w:tcPr>
            <w:tcW w:w="1128" w:type="dxa"/>
          </w:tcPr>
          <w:p w14:paraId="619B195B" w14:textId="77777777" w:rsidR="00F32E60" w:rsidRPr="00EF7136" w:rsidRDefault="00F32E60" w:rsidP="00EF7136">
            <w:pPr>
              <w:pStyle w:val="DHHStabletext"/>
            </w:pPr>
            <w:r w:rsidRPr="00EF7136">
              <w:t>81%</w:t>
            </w:r>
          </w:p>
        </w:tc>
        <w:tc>
          <w:tcPr>
            <w:tcW w:w="1131" w:type="dxa"/>
          </w:tcPr>
          <w:p w14:paraId="16289DBD" w14:textId="77777777" w:rsidR="00F32E60" w:rsidRPr="00EF7136" w:rsidRDefault="00F32E60" w:rsidP="00EF7136">
            <w:pPr>
              <w:pStyle w:val="DHHStabletext"/>
            </w:pPr>
            <w:r w:rsidRPr="00EF7136">
              <w:t>80%</w:t>
            </w:r>
          </w:p>
        </w:tc>
        <w:tc>
          <w:tcPr>
            <w:tcW w:w="1135" w:type="dxa"/>
          </w:tcPr>
          <w:p w14:paraId="2F3821CB" w14:textId="77777777" w:rsidR="00F32E60" w:rsidRPr="00EF7136" w:rsidRDefault="00F32E60" w:rsidP="00EF7136">
            <w:pPr>
              <w:pStyle w:val="DHHStabletext"/>
            </w:pPr>
            <w:r w:rsidRPr="00EF7136">
              <w:t>80%</w:t>
            </w:r>
          </w:p>
        </w:tc>
        <w:tc>
          <w:tcPr>
            <w:tcW w:w="1298" w:type="dxa"/>
          </w:tcPr>
          <w:p w14:paraId="17754330" w14:textId="77777777" w:rsidR="00F32E60" w:rsidRPr="00EF7136" w:rsidRDefault="00F32E60" w:rsidP="00EF7136">
            <w:pPr>
              <w:pStyle w:val="DHHStabletext"/>
            </w:pPr>
            <w:r w:rsidRPr="00EF7136">
              <w:t>79%</w:t>
            </w:r>
          </w:p>
        </w:tc>
      </w:tr>
    </w:tbl>
    <w:p w14:paraId="289FC82A" w14:textId="5170BC66" w:rsidR="005B0D5C" w:rsidRDefault="00FD130B" w:rsidP="005C0134">
      <w:pPr>
        <w:pStyle w:val="Heading4"/>
      </w:pPr>
      <w:r>
        <w:t>The In2School program</w:t>
      </w:r>
    </w:p>
    <w:p w14:paraId="054F7D81" w14:textId="46C66A34" w:rsidR="00FD130B" w:rsidRDefault="00FD130B" w:rsidP="00840AB3">
      <w:pPr>
        <w:pStyle w:val="DHHSbody"/>
        <w:rPr>
          <w:rFonts w:cs="Arial"/>
        </w:rPr>
      </w:pPr>
      <w:r w:rsidRPr="00840AB3">
        <w:t xml:space="preserve">The In2School program was developed in response to </w:t>
      </w:r>
      <w:r>
        <w:rPr>
          <w:rFonts w:cs="Arial"/>
        </w:rPr>
        <w:t xml:space="preserve">increasing school refusal referrals to the Travancore School, which is a special education setting with a focus on mental health. Specifically, the number of young people referred to Travancore School due to school </w:t>
      </w:r>
      <w:r w:rsidR="00D90905">
        <w:rPr>
          <w:rFonts w:cs="Arial"/>
        </w:rPr>
        <w:t xml:space="preserve">refusal </w:t>
      </w:r>
      <w:r>
        <w:rPr>
          <w:rFonts w:cs="Arial"/>
        </w:rPr>
        <w:t xml:space="preserve">increased from 21 in 2009 to 47 in 2013. </w:t>
      </w:r>
    </w:p>
    <w:p w14:paraId="558E6114" w14:textId="44E51B0A" w:rsidR="00FD130B" w:rsidRDefault="00FD130B" w:rsidP="00840AB3">
      <w:pPr>
        <w:pStyle w:val="DHHSbody"/>
        <w:rPr>
          <w:rFonts w:cs="Arial"/>
        </w:rPr>
      </w:pPr>
      <w:r w:rsidRPr="00840AB3">
        <w:t>Short-term ef</w:t>
      </w:r>
      <w:r>
        <w:rPr>
          <w:rFonts w:cs="Arial"/>
        </w:rPr>
        <w:t>fects of school refusal include poor academic performance, school dropout in adolescence, family difficulties and worsening peer relationships. Long</w:t>
      </w:r>
      <w:r w:rsidR="00137784">
        <w:rPr>
          <w:rFonts w:cs="Arial"/>
        </w:rPr>
        <w:t>-</w:t>
      </w:r>
      <w:r>
        <w:rPr>
          <w:rFonts w:cs="Arial"/>
        </w:rPr>
        <w:t xml:space="preserve">term consequences can include academic underachievement, employment difficulties, increased risk of </w:t>
      </w:r>
      <w:r w:rsidR="00D90905">
        <w:rPr>
          <w:rFonts w:cs="Arial"/>
        </w:rPr>
        <w:t xml:space="preserve">mental </w:t>
      </w:r>
      <w:r>
        <w:rPr>
          <w:rFonts w:cs="Arial"/>
        </w:rPr>
        <w:t>illness and economic</w:t>
      </w:r>
      <w:r w:rsidR="007C0D88">
        <w:rPr>
          <w:rFonts w:cs="Arial"/>
        </w:rPr>
        <w:t xml:space="preserve"> and</w:t>
      </w:r>
      <w:r>
        <w:rPr>
          <w:rFonts w:cs="Arial"/>
        </w:rPr>
        <w:t xml:space="preserve"> social problems in adulthood. </w:t>
      </w:r>
    </w:p>
    <w:p w14:paraId="528E1B5F" w14:textId="4AEE5DBF" w:rsidR="00197A47" w:rsidRDefault="00BD7FE1" w:rsidP="00840AB3">
      <w:pPr>
        <w:pStyle w:val="DHHSbody"/>
        <w:rPr>
          <w:rFonts w:cs="Arial"/>
        </w:rPr>
      </w:pPr>
      <w:r w:rsidRPr="00840AB3">
        <w:t>The pr</w:t>
      </w:r>
      <w:r>
        <w:rPr>
          <w:rFonts w:cs="Arial"/>
        </w:rPr>
        <w:t>ogram is targeted to consumers aged between 11</w:t>
      </w:r>
      <w:r w:rsidR="00137784">
        <w:rPr>
          <w:rFonts w:cs="Arial"/>
        </w:rPr>
        <w:t xml:space="preserve"> and </w:t>
      </w:r>
      <w:r>
        <w:rPr>
          <w:rFonts w:cs="Arial"/>
        </w:rPr>
        <w:t>15 years who meet the access criteria</w:t>
      </w:r>
      <w:r w:rsidR="00197A47">
        <w:rPr>
          <w:rFonts w:cs="Arial"/>
        </w:rPr>
        <w:t xml:space="preserve">. The 10-week program involves </w:t>
      </w:r>
      <w:r w:rsidR="00426AA7">
        <w:rPr>
          <w:rFonts w:cs="Arial"/>
        </w:rPr>
        <w:t xml:space="preserve">a partnership between the young person, </w:t>
      </w:r>
      <w:r w:rsidR="00137784">
        <w:rPr>
          <w:rFonts w:cs="Arial"/>
        </w:rPr>
        <w:t xml:space="preserve">their </w:t>
      </w:r>
      <w:r w:rsidR="00426AA7">
        <w:rPr>
          <w:rFonts w:cs="Arial"/>
        </w:rPr>
        <w:t xml:space="preserve">family, </w:t>
      </w:r>
      <w:r w:rsidR="00137784">
        <w:rPr>
          <w:rFonts w:cs="Arial"/>
        </w:rPr>
        <w:t xml:space="preserve">a </w:t>
      </w:r>
      <w:r w:rsidR="00426AA7">
        <w:rPr>
          <w:rFonts w:cs="Arial"/>
        </w:rPr>
        <w:t xml:space="preserve">clinician and </w:t>
      </w:r>
      <w:r w:rsidR="00137784">
        <w:rPr>
          <w:rFonts w:cs="Arial"/>
        </w:rPr>
        <w:t xml:space="preserve">a </w:t>
      </w:r>
      <w:r w:rsidR="00426AA7">
        <w:rPr>
          <w:rFonts w:cs="Arial"/>
        </w:rPr>
        <w:t>teacher</w:t>
      </w:r>
      <w:r w:rsidR="002163FD">
        <w:rPr>
          <w:rFonts w:cs="Arial"/>
        </w:rPr>
        <w:t>. The teacher and mental health clinician work with the family and young person in their home, conduct</w:t>
      </w:r>
      <w:r w:rsidR="00137784">
        <w:rPr>
          <w:rFonts w:cs="Arial"/>
        </w:rPr>
        <w:t>ing</w:t>
      </w:r>
      <w:r w:rsidR="002163FD">
        <w:rPr>
          <w:rFonts w:cs="Arial"/>
        </w:rPr>
        <w:t xml:space="preserve"> core assessments and build</w:t>
      </w:r>
      <w:r w:rsidR="00137784">
        <w:rPr>
          <w:rFonts w:cs="Arial"/>
        </w:rPr>
        <w:t>ing</w:t>
      </w:r>
      <w:r w:rsidR="002163FD">
        <w:rPr>
          <w:rFonts w:cs="Arial"/>
        </w:rPr>
        <w:t xml:space="preserve"> rapport</w:t>
      </w:r>
      <w:r w:rsidR="00B76426">
        <w:rPr>
          <w:rFonts w:cs="Arial"/>
        </w:rPr>
        <w:t>. T</w:t>
      </w:r>
      <w:r w:rsidR="002163FD">
        <w:rPr>
          <w:rFonts w:cs="Arial"/>
        </w:rPr>
        <w:t xml:space="preserve">he student </w:t>
      </w:r>
      <w:r w:rsidR="00B76426">
        <w:rPr>
          <w:rFonts w:cs="Arial"/>
        </w:rPr>
        <w:t xml:space="preserve">then </w:t>
      </w:r>
      <w:r w:rsidR="002163FD">
        <w:rPr>
          <w:rFonts w:cs="Arial"/>
        </w:rPr>
        <w:t>attends a transitional classroom at Travancore School, where the therapeutic process is continued and academic and social and emotional skills are built</w:t>
      </w:r>
      <w:r w:rsidR="00B76426">
        <w:rPr>
          <w:rFonts w:cs="Arial"/>
        </w:rPr>
        <w:t>, before re-integrating into their mainstream school setting.</w:t>
      </w:r>
    </w:p>
    <w:p w14:paraId="30BD9317" w14:textId="6CFF36FE" w:rsidR="00E76B59" w:rsidRDefault="00840AB3" w:rsidP="00840AB3">
      <w:pPr>
        <w:pStyle w:val="DHHSbody"/>
      </w:pPr>
      <w:r w:rsidRPr="00840AB3">
        <w:t>T</w:t>
      </w:r>
      <w:r w:rsidR="00E76B59" w:rsidRPr="00840AB3">
        <w:t xml:space="preserve">he average attendance rate for young people referred to Travancore </w:t>
      </w:r>
      <w:r w:rsidRPr="00840AB3">
        <w:t>S</w:t>
      </w:r>
      <w:r w:rsidR="00E76B59" w:rsidRPr="00840AB3">
        <w:t xml:space="preserve">chool </w:t>
      </w:r>
      <w:r w:rsidR="00D90905">
        <w:t>is</w:t>
      </w:r>
      <w:r w:rsidR="00D90905" w:rsidRPr="00840AB3">
        <w:t xml:space="preserve"> </w:t>
      </w:r>
      <w:r w:rsidRPr="00840AB3">
        <w:t>25 per cent before treatment.</w:t>
      </w:r>
      <w:r w:rsidR="00E76B59" w:rsidRPr="00840AB3">
        <w:t xml:space="preserve"> </w:t>
      </w:r>
      <w:r w:rsidR="00643B4E" w:rsidRPr="00840AB3">
        <w:t>S</w:t>
      </w:r>
      <w:r w:rsidR="00FD130B" w:rsidRPr="00840AB3">
        <w:t>chool attendance results show</w:t>
      </w:r>
      <w:r w:rsidR="00643B4E" w:rsidRPr="00840AB3">
        <w:t xml:space="preserve"> that</w:t>
      </w:r>
      <w:r w:rsidR="00FD130B" w:rsidRPr="00840AB3">
        <w:t xml:space="preserve"> attendance in the In2School classroom </w:t>
      </w:r>
      <w:r w:rsidR="00D90905">
        <w:t>is</w:t>
      </w:r>
      <w:r w:rsidR="00D90905" w:rsidRPr="00840AB3">
        <w:t xml:space="preserve"> </w:t>
      </w:r>
      <w:r w:rsidR="00FD130B" w:rsidRPr="00840AB3">
        <w:t>86</w:t>
      </w:r>
      <w:r w:rsidR="00643B4E" w:rsidRPr="00840AB3">
        <w:t xml:space="preserve"> per cent, and t</w:t>
      </w:r>
      <w:r w:rsidR="00FD130B" w:rsidRPr="00840AB3">
        <w:t xml:space="preserve">he average attendance </w:t>
      </w:r>
      <w:r w:rsidR="00643B4E" w:rsidRPr="00840AB3">
        <w:t>six</w:t>
      </w:r>
      <w:r w:rsidR="00FD130B" w:rsidRPr="00840AB3">
        <w:t xml:space="preserve"> months after return to mainstream school </w:t>
      </w:r>
      <w:r w:rsidR="00FD2C6D">
        <w:t>is</w:t>
      </w:r>
      <w:r w:rsidR="00FD130B" w:rsidRPr="00840AB3">
        <w:t xml:space="preserve"> 71</w:t>
      </w:r>
      <w:r w:rsidR="00643B4E" w:rsidRPr="00840AB3">
        <w:t xml:space="preserve"> per cent</w:t>
      </w:r>
      <w:r w:rsidR="00FD130B" w:rsidRPr="00840AB3">
        <w:t xml:space="preserve">. </w:t>
      </w:r>
    </w:p>
    <w:tbl>
      <w:tblPr>
        <w:tblStyle w:val="TableGrid"/>
        <w:tblW w:w="0" w:type="auto"/>
        <w:shd w:val="clear" w:color="auto" w:fill="DEEAF6" w:themeFill="accent5" w:themeFillTint="33"/>
        <w:tblLook w:val="04A0" w:firstRow="1" w:lastRow="0" w:firstColumn="1" w:lastColumn="0" w:noHBand="0" w:noVBand="1"/>
      </w:tblPr>
      <w:tblGrid>
        <w:gridCol w:w="9288"/>
      </w:tblGrid>
      <w:tr w:rsidR="00015C63" w14:paraId="0458F449" w14:textId="77777777" w:rsidTr="000D01E9">
        <w:tc>
          <w:tcPr>
            <w:tcW w:w="9288" w:type="dxa"/>
            <w:shd w:val="clear" w:color="auto" w:fill="auto"/>
          </w:tcPr>
          <w:p w14:paraId="5C96CD95" w14:textId="36467E5A" w:rsidR="00015C63" w:rsidRPr="00DC6B39" w:rsidRDefault="00015C63" w:rsidP="00CE40D6">
            <w:pPr>
              <w:pStyle w:val="DHHStablecaption"/>
            </w:pPr>
            <w:r w:rsidRPr="00DC6B39">
              <w:lastRenderedPageBreak/>
              <w:t xml:space="preserve">In2School </w:t>
            </w:r>
            <w:r>
              <w:t xml:space="preserve">program </w:t>
            </w:r>
            <w:r w:rsidRPr="00DC6B39">
              <w:t>case study</w:t>
            </w:r>
          </w:p>
          <w:p w14:paraId="2059A59F" w14:textId="34BE99CC" w:rsidR="00015C63" w:rsidRDefault="00015C63" w:rsidP="006F3DF8">
            <w:pPr>
              <w:pStyle w:val="DHHStabletext"/>
            </w:pPr>
            <w:r w:rsidRPr="0045498D">
              <w:t xml:space="preserve">Lucy is </w:t>
            </w:r>
            <w:r w:rsidR="00E97007">
              <w:t>13</w:t>
            </w:r>
            <w:r w:rsidR="00E97007" w:rsidRPr="0045498D">
              <w:t xml:space="preserve"> </w:t>
            </w:r>
            <w:r w:rsidRPr="0045498D">
              <w:t>years old and enrolled in Year 7 at a local P</w:t>
            </w:r>
            <w:r w:rsidR="00E97007">
              <w:t>–</w:t>
            </w:r>
            <w:r w:rsidRPr="0045498D">
              <w:t xml:space="preserve">9 </w:t>
            </w:r>
            <w:r w:rsidR="00FB7263">
              <w:t>c</w:t>
            </w:r>
            <w:r w:rsidRPr="0045498D">
              <w:t xml:space="preserve">ollege. </w:t>
            </w:r>
          </w:p>
          <w:p w14:paraId="2A338C18" w14:textId="28727DA2" w:rsidR="00015C63" w:rsidRDefault="00015C63" w:rsidP="006F3DF8">
            <w:pPr>
              <w:pStyle w:val="DHHStabletext"/>
            </w:pPr>
            <w:r w:rsidRPr="0045498D">
              <w:t xml:space="preserve">Lucy was referred to the In2School program by her </w:t>
            </w:r>
            <w:r w:rsidR="00FB7263">
              <w:t>mental health</w:t>
            </w:r>
            <w:r w:rsidRPr="0045498D">
              <w:t xml:space="preserve"> case manager </w:t>
            </w:r>
            <w:r w:rsidR="00FB7263">
              <w:t>at the Royal Children’s Hospital</w:t>
            </w:r>
            <w:r w:rsidRPr="0045498D">
              <w:t xml:space="preserve">. At the time of referral, Lucy was re-enrolled in Year 7 </w:t>
            </w:r>
            <w:r w:rsidR="00FB7263">
              <w:t>because</w:t>
            </w:r>
            <w:r w:rsidR="00FB7263" w:rsidRPr="0045498D">
              <w:t xml:space="preserve"> </w:t>
            </w:r>
            <w:r w:rsidRPr="0045498D">
              <w:t xml:space="preserve">she had </w:t>
            </w:r>
            <w:r>
              <w:t>not attended any school the previous year</w:t>
            </w:r>
            <w:r w:rsidR="00D90905">
              <w:t>. S</w:t>
            </w:r>
            <w:r>
              <w:t xml:space="preserve">he </w:t>
            </w:r>
            <w:r w:rsidRPr="0045498D">
              <w:t>often reported physical symptoms including feeling sick when planning to attend school and sometimes she engaged in deliberate self-harm.</w:t>
            </w:r>
            <w:r>
              <w:t xml:space="preserve"> </w:t>
            </w:r>
          </w:p>
          <w:p w14:paraId="16924B90" w14:textId="0B39AF50" w:rsidR="00015C63" w:rsidRPr="00652150" w:rsidRDefault="00015C63" w:rsidP="006F3DF8">
            <w:pPr>
              <w:pStyle w:val="DHHStabletext"/>
              <w:rPr>
                <w:i/>
                <w:iCs/>
              </w:rPr>
            </w:pPr>
            <w:r>
              <w:t xml:space="preserve">At the start of the program, </w:t>
            </w:r>
            <w:r w:rsidRPr="0045498D">
              <w:t xml:space="preserve">Lucy described her attendance at school as </w:t>
            </w:r>
            <w:r w:rsidR="00F374C2">
              <w:t>‘</w:t>
            </w:r>
            <w:r w:rsidRPr="0045498D">
              <w:t>horrible</w:t>
            </w:r>
            <w:r w:rsidR="00F374C2">
              <w:t>’</w:t>
            </w:r>
            <w:r w:rsidRPr="0045498D">
              <w:t>.</w:t>
            </w:r>
            <w:r>
              <w:t xml:space="preserve"> </w:t>
            </w:r>
            <w:r w:rsidRPr="00652150">
              <w:rPr>
                <w:iCs/>
              </w:rPr>
              <w:t>She</w:t>
            </w:r>
            <w:r>
              <w:rPr>
                <w:i/>
                <w:iCs/>
              </w:rPr>
              <w:t xml:space="preserve"> </w:t>
            </w:r>
            <w:r w:rsidRPr="0045498D">
              <w:t>attended the In2School classroom four days a week. As Lucy became more confident in the classroom she began asking for help and articulating what support she needed and when.</w:t>
            </w:r>
            <w:r>
              <w:t xml:space="preserve"> </w:t>
            </w:r>
            <w:r w:rsidRPr="0045498D">
              <w:t>Lucy participated in most tasks and s</w:t>
            </w:r>
            <w:r>
              <w:t>eemed to enjoy working with a partner</w:t>
            </w:r>
            <w:r w:rsidRPr="0045498D">
              <w:t>.</w:t>
            </w:r>
            <w:r>
              <w:t xml:space="preserve"> </w:t>
            </w:r>
          </w:p>
          <w:p w14:paraId="05699ACC" w14:textId="4B4A8019" w:rsidR="00015C63" w:rsidRDefault="00015C63" w:rsidP="006F3DF8">
            <w:pPr>
              <w:pStyle w:val="DHHStabletext"/>
            </w:pPr>
            <w:r>
              <w:t xml:space="preserve">When </w:t>
            </w:r>
            <w:r w:rsidRPr="0045498D">
              <w:t>Lucy started her tr</w:t>
            </w:r>
            <w:r>
              <w:t xml:space="preserve">ansition to her enrolled school, her initial visits were only to meet with her key support person. </w:t>
            </w:r>
            <w:r w:rsidRPr="0045498D">
              <w:t>Staff at her school were supportive and flexibl</w:t>
            </w:r>
            <w:r>
              <w:t>e with her timetable and made quiet spaces in the school available to her.</w:t>
            </w:r>
            <w:r w:rsidRPr="0045498D">
              <w:t xml:space="preserve"> </w:t>
            </w:r>
            <w:r w:rsidR="00FB7263">
              <w:t>Her</w:t>
            </w:r>
            <w:r w:rsidRPr="0045498D">
              <w:t xml:space="preserve"> support team </w:t>
            </w:r>
            <w:r w:rsidR="00FB7263">
              <w:t xml:space="preserve">agreed </w:t>
            </w:r>
            <w:r w:rsidRPr="0045498D">
              <w:t xml:space="preserve">that the only expectation would be for Lucy to make an attempt towards attending school in some way every day. School work would be optional. </w:t>
            </w:r>
          </w:p>
          <w:p w14:paraId="3F644286" w14:textId="04212D88" w:rsidR="00015C63" w:rsidRDefault="00015C63" w:rsidP="006F3DF8">
            <w:pPr>
              <w:pStyle w:val="DHHStabletext"/>
            </w:pPr>
            <w:r w:rsidRPr="0045498D">
              <w:t xml:space="preserve">Throughout the transition </w:t>
            </w:r>
            <w:r>
              <w:t>her key support person at</w:t>
            </w:r>
            <w:r w:rsidRPr="0045498D">
              <w:t xml:space="preserve"> school checked</w:t>
            </w:r>
            <w:r w:rsidR="00FB7263">
              <w:t xml:space="preserve"> </w:t>
            </w:r>
            <w:r w:rsidRPr="0045498D">
              <w:t xml:space="preserve">in with Lucy </w:t>
            </w:r>
            <w:r>
              <w:t>daily</w:t>
            </w:r>
            <w:r w:rsidRPr="0045498D">
              <w:t xml:space="preserve"> to </w:t>
            </w:r>
            <w:r>
              <w:t>build a relationship</w:t>
            </w:r>
            <w:r w:rsidR="00ED32FF">
              <w:t>. They</w:t>
            </w:r>
            <w:r>
              <w:t xml:space="preserve"> </w:t>
            </w:r>
            <w:r w:rsidR="00FB7263">
              <w:t xml:space="preserve">used the </w:t>
            </w:r>
            <w:r w:rsidRPr="0045498D">
              <w:t xml:space="preserve">opportunity to talk about any worries she might have and </w:t>
            </w:r>
            <w:r w:rsidR="00FB7263">
              <w:t xml:space="preserve">to </w:t>
            </w:r>
            <w:r w:rsidRPr="0045498D">
              <w:t xml:space="preserve">make plans to manage those worries. After several weeks </w:t>
            </w:r>
            <w:r>
              <w:t xml:space="preserve">of daily support from In2School, her </w:t>
            </w:r>
            <w:r w:rsidRPr="0045498D">
              <w:t xml:space="preserve">confidence to attend most subjects independently had increased enough for her to go on her own. </w:t>
            </w:r>
            <w:r>
              <w:t>A</w:t>
            </w:r>
            <w:r w:rsidRPr="0045498D">
              <w:t>t the end of the program</w:t>
            </w:r>
            <w:r>
              <w:t>,</w:t>
            </w:r>
            <w:r w:rsidRPr="0045498D">
              <w:t xml:space="preserve"> Lucy described her own attendance as </w:t>
            </w:r>
            <w:r w:rsidR="00F374C2">
              <w:t>‘</w:t>
            </w:r>
            <w:r w:rsidRPr="0045498D">
              <w:t>excellent</w:t>
            </w:r>
            <w:r w:rsidR="00F374C2">
              <w:t>’</w:t>
            </w:r>
            <w:r w:rsidRPr="0045498D">
              <w:t xml:space="preserve"> and reported feeling </w:t>
            </w:r>
            <w:r w:rsidR="00F374C2">
              <w:t>‘</w:t>
            </w:r>
            <w:r>
              <w:t>more confident and resilient</w:t>
            </w:r>
            <w:r w:rsidR="00F374C2">
              <w:t>’</w:t>
            </w:r>
            <w:r>
              <w:t>.</w:t>
            </w:r>
            <w:r w:rsidRPr="0045498D">
              <w:t xml:space="preserve"> Lucy </w:t>
            </w:r>
            <w:r>
              <w:t xml:space="preserve">achieved </w:t>
            </w:r>
            <w:r w:rsidRPr="0045498D">
              <w:t>96</w:t>
            </w:r>
            <w:r w:rsidR="00FB7263">
              <w:t xml:space="preserve"> per cent</w:t>
            </w:r>
            <w:r w:rsidRPr="0045498D">
              <w:t xml:space="preserve"> attendance </w:t>
            </w:r>
            <w:r>
              <w:t>for the last five weeks of the program.</w:t>
            </w:r>
            <w:r w:rsidR="00894D3B">
              <w:t xml:space="preserve"> </w:t>
            </w:r>
          </w:p>
        </w:tc>
      </w:tr>
    </w:tbl>
    <w:p w14:paraId="6B06A67C" w14:textId="4E24D841" w:rsidR="007A28CA" w:rsidRPr="00A236A2" w:rsidRDefault="00F079FB" w:rsidP="00A236A2">
      <w:pPr>
        <w:pStyle w:val="Heading5"/>
      </w:pPr>
      <w:r w:rsidRPr="00A236A2">
        <w:t>Early Intervention Psychosocial Support Response</w:t>
      </w:r>
    </w:p>
    <w:p w14:paraId="3E4B5228" w14:textId="2CEF1A1B" w:rsidR="007A28CA" w:rsidRDefault="007A28CA" w:rsidP="00F079FB">
      <w:pPr>
        <w:pStyle w:val="DHHSbody"/>
        <w:rPr>
          <w:rFonts w:ascii="Calibri" w:hAnsi="Calibri"/>
        </w:rPr>
      </w:pPr>
      <w:r w:rsidRPr="00F079FB">
        <w:rPr>
          <w:rStyle w:val="normaltextrun"/>
        </w:rPr>
        <w:t>The</w:t>
      </w:r>
      <w:r>
        <w:t xml:space="preserve"> </w:t>
      </w:r>
      <w:r w:rsidRPr="00080EDC">
        <w:t>Early Intervention Psychosocial Support Response</w:t>
      </w:r>
      <w:r>
        <w:rPr>
          <w:i/>
          <w:iCs/>
        </w:rPr>
        <w:t xml:space="preserve"> </w:t>
      </w:r>
      <w:r w:rsidR="005438B6" w:rsidRPr="00080EDC">
        <w:t>(EIPSR) program</w:t>
      </w:r>
      <w:r w:rsidR="005438B6">
        <w:rPr>
          <w:i/>
          <w:iCs/>
        </w:rPr>
        <w:t xml:space="preserve"> </w:t>
      </w:r>
      <w:r>
        <w:t>provides much</w:t>
      </w:r>
      <w:r w:rsidR="0020515A">
        <w:t>-</w:t>
      </w:r>
      <w:r>
        <w:t xml:space="preserve">needed support to </w:t>
      </w:r>
      <w:r w:rsidR="00ED32FF">
        <w:t xml:space="preserve">people </w:t>
      </w:r>
      <w:r>
        <w:t xml:space="preserve">with psychosocial disability who are not eligible for the NDIS or </w:t>
      </w:r>
      <w:r w:rsidR="00143559">
        <w:t xml:space="preserve">who </w:t>
      </w:r>
      <w:r>
        <w:t xml:space="preserve">need help while they go through the NDIS access process. </w:t>
      </w:r>
    </w:p>
    <w:p w14:paraId="0AD80179" w14:textId="3A95F563" w:rsidR="007A28CA" w:rsidRDefault="007A28CA" w:rsidP="00F079FB">
      <w:pPr>
        <w:pStyle w:val="DHHSbody"/>
      </w:pPr>
      <w:r>
        <w:t xml:space="preserve">In </w:t>
      </w:r>
      <w:r w:rsidR="00894D3B">
        <w:t>2019–20</w:t>
      </w:r>
      <w:r>
        <w:t xml:space="preserve">, this statewide service provided psychosocial supports to </w:t>
      </w:r>
      <w:r w:rsidR="00ED32FF">
        <w:t xml:space="preserve">approximately </w:t>
      </w:r>
      <w:r>
        <w:t>2,</w:t>
      </w:r>
      <w:r w:rsidR="006B2C27">
        <w:t>26</w:t>
      </w:r>
      <w:r>
        <w:t xml:space="preserve">0 </w:t>
      </w:r>
      <w:r w:rsidR="00ED32FF">
        <w:t>people</w:t>
      </w:r>
      <w:r>
        <w:t xml:space="preserve">. During this period 224 </w:t>
      </w:r>
      <w:r w:rsidR="00ED32FF">
        <w:t xml:space="preserve">people </w:t>
      </w:r>
      <w:r>
        <w:t>living with a significant, enduring psychosocial disability were supported while they completed the NDIS access process and became a</w:t>
      </w:r>
      <w:r w:rsidR="00FB51DA">
        <w:t>n</w:t>
      </w:r>
      <w:r>
        <w:t xml:space="preserve"> NDIS participant. Many </w:t>
      </w:r>
      <w:r w:rsidR="00ED32FF">
        <w:t xml:space="preserve">people </w:t>
      </w:r>
      <w:r>
        <w:t>had intensive support needs</w:t>
      </w:r>
      <w:r w:rsidR="00627104">
        <w:t>,</w:t>
      </w:r>
      <w:r>
        <w:t xml:space="preserve"> which is defined as requiring support at least five or more times</w:t>
      </w:r>
      <w:r w:rsidR="00F34CD7">
        <w:t xml:space="preserve"> a</w:t>
      </w:r>
      <w:r>
        <w:t xml:space="preserve"> week or multiple times a day (ranging from 44 per cent to 54 per</w:t>
      </w:r>
      <w:r w:rsidR="00DC5A9D">
        <w:t xml:space="preserve"> </w:t>
      </w:r>
      <w:r>
        <w:t xml:space="preserve">cent of all </w:t>
      </w:r>
      <w:r w:rsidR="00ED32FF">
        <w:t xml:space="preserve">people </w:t>
      </w:r>
      <w:r>
        <w:t xml:space="preserve">over </w:t>
      </w:r>
      <w:r w:rsidR="00DC5A9D">
        <w:t xml:space="preserve">the </w:t>
      </w:r>
      <w:r w:rsidR="00894D3B">
        <w:t>2019–20</w:t>
      </w:r>
      <w:r>
        <w:t xml:space="preserve"> reporting quarters)</w:t>
      </w:r>
      <w:r w:rsidR="006F0060">
        <w:t>.</w:t>
      </w:r>
      <w:r w:rsidR="00894D3B">
        <w:t xml:space="preserve"> </w:t>
      </w:r>
      <w:r w:rsidR="006F0060">
        <w:t>A</w:t>
      </w:r>
      <w:r>
        <w:t xml:space="preserve"> significant proportion requir</w:t>
      </w:r>
      <w:r w:rsidR="006F0060">
        <w:t>e</w:t>
      </w:r>
      <w:r>
        <w:t xml:space="preserve"> moderate</w:t>
      </w:r>
      <w:r w:rsidR="00DC5A9D">
        <w:t>-</w:t>
      </w:r>
      <w:r>
        <w:t xml:space="preserve">level support, defined as one to less than five episodes of support each week (ranging from 32 per cent to 46 per cent of all clients over </w:t>
      </w:r>
      <w:r w:rsidR="00DC5A9D">
        <w:t xml:space="preserve">the </w:t>
      </w:r>
      <w:r w:rsidR="00894D3B">
        <w:t>2019–20</w:t>
      </w:r>
      <w:r>
        <w:t xml:space="preserve"> reporting quarters). </w:t>
      </w:r>
    </w:p>
    <w:p w14:paraId="6F294ECB" w14:textId="24E9A459" w:rsidR="007A28CA" w:rsidRDefault="007A28CA" w:rsidP="00F079FB">
      <w:pPr>
        <w:pStyle w:val="DHHSbody"/>
      </w:pPr>
      <w:r>
        <w:rPr>
          <w:color w:val="000000"/>
        </w:rPr>
        <w:t xml:space="preserve">The </w:t>
      </w:r>
      <w:r w:rsidRPr="00F079FB">
        <w:t>Victorian</w:t>
      </w:r>
      <w:r>
        <w:rPr>
          <w:color w:val="000000"/>
        </w:rPr>
        <w:t xml:space="preserve"> Government committed funding of $50 million over two years to 16 health services across Victoria to deliver this service in partnership with community-managed mental health providers. The initiative </w:t>
      </w:r>
      <w:r w:rsidR="005438B6">
        <w:rPr>
          <w:color w:val="000000"/>
        </w:rPr>
        <w:t>began in</w:t>
      </w:r>
      <w:r>
        <w:rPr>
          <w:color w:val="000000"/>
        </w:rPr>
        <w:t xml:space="preserve"> January 2019.</w:t>
      </w:r>
      <w:r w:rsidR="00894D3B">
        <w:rPr>
          <w:color w:val="000000"/>
        </w:rPr>
        <w:t xml:space="preserve"> </w:t>
      </w:r>
      <w:r>
        <w:t>Health services and the community-managed mental health provider</w:t>
      </w:r>
      <w:r w:rsidR="005E07E3">
        <w:t>s</w:t>
      </w:r>
      <w:r>
        <w:t xml:space="preserve"> are working together to provide </w:t>
      </w:r>
      <w:r w:rsidR="00ED32FF">
        <w:t xml:space="preserve">people </w:t>
      </w:r>
      <w:r>
        <w:t>with a psychosocial disability with integrated treatment and psychosocial recovery care in the community.</w:t>
      </w:r>
      <w:r w:rsidR="00894D3B">
        <w:t xml:space="preserve"> </w:t>
      </w:r>
      <w:r>
        <w:t xml:space="preserve">This will reduce the impact </w:t>
      </w:r>
      <w:r w:rsidR="005438B6">
        <w:t xml:space="preserve">that </w:t>
      </w:r>
      <w:r>
        <w:t>mental illness can have on people’s ability to self-manage their mental illness, form meaningful relationships and participate in community life.</w:t>
      </w:r>
    </w:p>
    <w:tbl>
      <w:tblPr>
        <w:tblStyle w:val="TableGrid"/>
        <w:tblW w:w="0" w:type="auto"/>
        <w:shd w:val="clear" w:color="auto" w:fill="DEEAF6" w:themeFill="accent5" w:themeFillTint="33"/>
        <w:tblLook w:val="04A0" w:firstRow="1" w:lastRow="0" w:firstColumn="1" w:lastColumn="0" w:noHBand="0" w:noVBand="1"/>
      </w:tblPr>
      <w:tblGrid>
        <w:gridCol w:w="9288"/>
      </w:tblGrid>
      <w:tr w:rsidR="00C42DC9" w14:paraId="32F133E8" w14:textId="77777777" w:rsidTr="000D01E9">
        <w:tc>
          <w:tcPr>
            <w:tcW w:w="9288" w:type="dxa"/>
            <w:shd w:val="clear" w:color="auto" w:fill="auto"/>
          </w:tcPr>
          <w:p w14:paraId="3ACFF496" w14:textId="1CD04AEF" w:rsidR="00C42DC9" w:rsidRPr="00080EDC" w:rsidRDefault="00F374C2" w:rsidP="006F3DF8">
            <w:pPr>
              <w:pStyle w:val="DHHStabletext"/>
            </w:pPr>
            <w:r w:rsidRPr="00080EDC">
              <w:t>‘</w:t>
            </w:r>
            <w:r w:rsidR="00C42DC9" w:rsidRPr="00080EDC">
              <w:t xml:space="preserve">EACH’s community mental health and peer workers in the EIPSR program have developed strong partnerships with clinical mental health teams in Monash and Eastern Health to deliver an integrated service which is responsive to the needs of consumers with mental illness. EIPSR teams provide coordinated pathways between clinical, community and social supports so that consumers get the right support at the right time. There is strong alignment in the values of staff from the </w:t>
            </w:r>
            <w:r w:rsidR="00DF2C05" w:rsidRPr="00080EDC">
              <w:t>c</w:t>
            </w:r>
            <w:r w:rsidR="00C42DC9" w:rsidRPr="00080EDC">
              <w:t xml:space="preserve">ommunity and the </w:t>
            </w:r>
            <w:r w:rsidR="006C5222" w:rsidRPr="00080EDC">
              <w:t>h</w:t>
            </w:r>
            <w:r w:rsidR="00C42DC9" w:rsidRPr="00080EDC">
              <w:t>ospital sectors, recognising each other</w:t>
            </w:r>
            <w:r w:rsidR="005438B6" w:rsidRPr="00080EDC">
              <w:t>’</w:t>
            </w:r>
            <w:r w:rsidR="00C42DC9" w:rsidRPr="00080EDC">
              <w:t>s strengths and contributions to consumer recovery as the centre of our work.</w:t>
            </w:r>
          </w:p>
          <w:p w14:paraId="22F3B4B2" w14:textId="4EBE0424" w:rsidR="005438B6" w:rsidRPr="00080EDC" w:rsidRDefault="00C42DC9" w:rsidP="006F3DF8">
            <w:pPr>
              <w:pStyle w:val="DHHStabletext"/>
            </w:pPr>
            <w:r w:rsidRPr="00080EDC">
              <w:t>This wraparound and integrated approach has been particularly appreciated by consumers through the COVID lockdown. Consumers have commented that they feel more connected through the regular wellbeing checks being provided by their EIPSR workers. They also feel more confident that re-</w:t>
            </w:r>
            <w:r w:rsidRPr="00080EDC">
              <w:lastRenderedPageBreak/>
              <w:t>engagement with clinical services is available if required.</w:t>
            </w:r>
            <w:r w:rsidR="00894D3B" w:rsidRPr="00080EDC">
              <w:t xml:space="preserve"> </w:t>
            </w:r>
            <w:r w:rsidRPr="00080EDC">
              <w:t>The care and support has been really valued.</w:t>
            </w:r>
            <w:r w:rsidR="00F374C2" w:rsidRPr="00080EDC">
              <w:t>’</w:t>
            </w:r>
            <w:r w:rsidR="00B96DA0" w:rsidRPr="00080EDC">
              <w:t xml:space="preserve"> </w:t>
            </w:r>
          </w:p>
          <w:p w14:paraId="6A9A0CFD" w14:textId="6AB1AC9F" w:rsidR="00C42DC9" w:rsidRPr="00390B88" w:rsidRDefault="00B96DA0" w:rsidP="006F3DF8">
            <w:pPr>
              <w:pStyle w:val="DHHStabletext"/>
            </w:pPr>
            <w:r>
              <w:t xml:space="preserve">– </w:t>
            </w:r>
            <w:r w:rsidR="00C42DC9" w:rsidRPr="00390B88">
              <w:rPr>
                <w:b/>
                <w:bCs/>
              </w:rPr>
              <w:t>Peter Ruzyla, C</w:t>
            </w:r>
            <w:r w:rsidR="005438B6">
              <w:rPr>
                <w:b/>
                <w:bCs/>
              </w:rPr>
              <w:t>hief Executive Officer,</w:t>
            </w:r>
            <w:r w:rsidR="00C42DC9" w:rsidRPr="00390B88">
              <w:rPr>
                <w:b/>
                <w:bCs/>
              </w:rPr>
              <w:t xml:space="preserve"> EACH</w:t>
            </w:r>
          </w:p>
        </w:tc>
      </w:tr>
    </w:tbl>
    <w:p w14:paraId="19F7775C" w14:textId="5CC2A657" w:rsidR="00295F4D" w:rsidRDefault="00295F4D" w:rsidP="00AA1A64">
      <w:pPr>
        <w:pStyle w:val="Heading3"/>
      </w:pPr>
      <w:r>
        <w:lastRenderedPageBreak/>
        <w:t>Domain</w:t>
      </w:r>
      <w:r w:rsidR="00833A55">
        <w:t xml:space="preserve"> 4</w:t>
      </w:r>
      <w:r>
        <w:t xml:space="preserve">: </w:t>
      </w:r>
      <w:r w:rsidRPr="00747189">
        <w:t>The service system is accessible, flexible and responsive to people of all ages, their families and carers, and the workforce is supported to deliver this</w:t>
      </w:r>
    </w:p>
    <w:p w14:paraId="0C221CE6" w14:textId="3D383DE8" w:rsidR="00CB0403" w:rsidRPr="007477A9" w:rsidRDefault="00CB0403" w:rsidP="00A7349C">
      <w:pPr>
        <w:pStyle w:val="DHHSbody"/>
      </w:pPr>
      <w:r>
        <w:t xml:space="preserve">The focus of </w:t>
      </w:r>
      <w:r w:rsidR="0020515A">
        <w:t>d</w:t>
      </w:r>
      <w:r>
        <w:t xml:space="preserve">omain 4 is </w:t>
      </w:r>
      <w:r w:rsidR="00C15A70">
        <w:t xml:space="preserve">on ensuring </w:t>
      </w:r>
      <w:r>
        <w:t>that Victorians with mental illness and their families and carers are able to get the treatment and support they need and are treated with respect.</w:t>
      </w:r>
      <w:r w:rsidR="00894D3B">
        <w:t xml:space="preserve"> </w:t>
      </w:r>
      <w:r>
        <w:t>Services are safe, appropriate and of high quality.</w:t>
      </w:r>
    </w:p>
    <w:p w14:paraId="7EA77F4B" w14:textId="77777777" w:rsidR="004F280A" w:rsidRPr="00A66DC1" w:rsidRDefault="004F280A" w:rsidP="00A66DC1">
      <w:pPr>
        <w:pStyle w:val="Heading4"/>
      </w:pPr>
      <w:r w:rsidRPr="00A66DC1">
        <w:t>Data on selected key indicators</w:t>
      </w:r>
    </w:p>
    <w:p w14:paraId="0893D6E6" w14:textId="31ABC792" w:rsidR="00B2136E" w:rsidRPr="00B2136E" w:rsidRDefault="00983524" w:rsidP="00AA1A64">
      <w:pPr>
        <w:pStyle w:val="Heading5"/>
      </w:pPr>
      <w:r>
        <w:t>Preadmission contact</w:t>
      </w:r>
      <w:r w:rsidR="00B2136E">
        <w:t xml:space="preserve"> and post-discharge follow-up</w:t>
      </w:r>
    </w:p>
    <w:p w14:paraId="664F7996" w14:textId="3252BD94" w:rsidR="00AA44E0" w:rsidRPr="00AB2773" w:rsidRDefault="00A2627E" w:rsidP="00AA44E0">
      <w:pPr>
        <w:pStyle w:val="DHHSbody"/>
        <w:rPr>
          <w:rStyle w:val="normaltextrun"/>
        </w:rPr>
      </w:pPr>
      <w:r>
        <w:t>Rates of preadmission contact</w:t>
      </w:r>
      <w:r w:rsidR="00B83AED">
        <w:t xml:space="preserve"> increased to 60.6 per cent in </w:t>
      </w:r>
      <w:r w:rsidR="00894D3B">
        <w:t>2019–20</w:t>
      </w:r>
      <w:r w:rsidR="00B83AED">
        <w:t xml:space="preserve"> from 58.7 per cent the previous year</w:t>
      </w:r>
      <w:r w:rsidR="0004264E">
        <w:t xml:space="preserve">, and </w:t>
      </w:r>
      <w:r w:rsidR="0004264E">
        <w:rPr>
          <w:rStyle w:val="normaltextrun"/>
        </w:rPr>
        <w:t>t</w:t>
      </w:r>
      <w:r w:rsidR="0004264E" w:rsidRPr="00AB2773">
        <w:rPr>
          <w:rStyle w:val="normaltextrun"/>
        </w:rPr>
        <w:t>he rate of post-discharge follow</w:t>
      </w:r>
      <w:r w:rsidR="0004264E">
        <w:rPr>
          <w:rStyle w:val="normaltextrun"/>
        </w:rPr>
        <w:t>-</w:t>
      </w:r>
      <w:r w:rsidR="0004264E" w:rsidRPr="00AB2773">
        <w:rPr>
          <w:rStyle w:val="normaltextrun"/>
        </w:rPr>
        <w:t xml:space="preserve">up within </w:t>
      </w:r>
      <w:r w:rsidR="0004264E">
        <w:rPr>
          <w:rStyle w:val="normaltextrun"/>
        </w:rPr>
        <w:t xml:space="preserve">seven </w:t>
      </w:r>
      <w:r w:rsidR="0004264E" w:rsidRPr="00AB2773">
        <w:rPr>
          <w:rStyle w:val="normaltextrun"/>
        </w:rPr>
        <w:t>days is trending upwards</w:t>
      </w:r>
      <w:r w:rsidR="0004264E">
        <w:rPr>
          <w:rStyle w:val="normaltextrun"/>
        </w:rPr>
        <w:t xml:space="preserve">. </w:t>
      </w:r>
      <w:r w:rsidR="00FF43F8">
        <w:rPr>
          <w:rStyle w:val="normaltextrun"/>
        </w:rPr>
        <w:t>Results for b</w:t>
      </w:r>
      <w:r w:rsidR="0004264E">
        <w:rPr>
          <w:rStyle w:val="normaltextrun"/>
        </w:rPr>
        <w:t>oth of these indicators</w:t>
      </w:r>
      <w:r w:rsidR="00FF43F8">
        <w:rPr>
          <w:rStyle w:val="normaltextrun"/>
        </w:rPr>
        <w:t xml:space="preserve"> correspond to</w:t>
      </w:r>
      <w:r w:rsidR="00B83AED">
        <w:rPr>
          <w:rStyle w:val="normaltextrun"/>
        </w:rPr>
        <w:t xml:space="preserve"> </w:t>
      </w:r>
      <w:r w:rsidR="00B83AED">
        <w:t xml:space="preserve">increased </w:t>
      </w:r>
      <w:r w:rsidR="005F631B">
        <w:t>funding for community service hours</w:t>
      </w:r>
      <w:r w:rsidR="00FF43F8">
        <w:t xml:space="preserve"> in </w:t>
      </w:r>
      <w:r w:rsidR="00894D3B">
        <w:t>2019–20</w:t>
      </w:r>
      <w:r w:rsidR="00FF43F8">
        <w:t>.</w:t>
      </w:r>
      <w:r w:rsidR="003872D9">
        <w:t xml:space="preserve"> </w:t>
      </w:r>
      <w:r w:rsidR="00283E82">
        <w:rPr>
          <w:rStyle w:val="normaltextrun"/>
        </w:rPr>
        <w:t xml:space="preserve">Contact resulting in a planned admission means that </w:t>
      </w:r>
      <w:r w:rsidR="00B55DA5">
        <w:rPr>
          <w:rStyle w:val="normaltextrun"/>
        </w:rPr>
        <w:t>an individual is less likely to present in crisis, and f</w:t>
      </w:r>
      <w:r w:rsidR="00AA44E0" w:rsidRPr="00AB2773">
        <w:rPr>
          <w:rStyle w:val="normaltextrun"/>
        </w:rPr>
        <w:t>ollow</w:t>
      </w:r>
      <w:r w:rsidR="00AA44E0">
        <w:rPr>
          <w:rStyle w:val="normaltextrun"/>
        </w:rPr>
        <w:t>-</w:t>
      </w:r>
      <w:r w:rsidR="00AA44E0" w:rsidRPr="00AB2773">
        <w:rPr>
          <w:rStyle w:val="normaltextrun"/>
        </w:rPr>
        <w:t xml:space="preserve">up soon after discharge enhances continuity of care at a time when consumers </w:t>
      </w:r>
      <w:r w:rsidR="00ED32FF">
        <w:rPr>
          <w:rStyle w:val="normaltextrun"/>
        </w:rPr>
        <w:t>often require additional supports</w:t>
      </w:r>
      <w:r w:rsidR="00AA44E0" w:rsidRPr="00AB2773">
        <w:rPr>
          <w:rStyle w:val="normaltextrun"/>
        </w:rPr>
        <w:t>.</w:t>
      </w:r>
    </w:p>
    <w:tbl>
      <w:tblPr>
        <w:tblStyle w:val="MentalhealthARtablestyle"/>
        <w:tblW w:w="9504" w:type="dxa"/>
        <w:tblLook w:val="04A0" w:firstRow="1" w:lastRow="0" w:firstColumn="1" w:lastColumn="0" w:noHBand="0" w:noVBand="1"/>
      </w:tblPr>
      <w:tblGrid>
        <w:gridCol w:w="1947"/>
        <w:gridCol w:w="1554"/>
        <w:gridCol w:w="1261"/>
        <w:gridCol w:w="1137"/>
        <w:gridCol w:w="1178"/>
        <w:gridCol w:w="1182"/>
        <w:gridCol w:w="1245"/>
      </w:tblGrid>
      <w:tr w:rsidR="00635CBC" w:rsidRPr="00757D4E" w14:paraId="096EB6D1" w14:textId="77777777" w:rsidTr="00EF7136">
        <w:trPr>
          <w:cnfStyle w:val="100000000000" w:firstRow="1" w:lastRow="0" w:firstColumn="0" w:lastColumn="0" w:oddVBand="0" w:evenVBand="0" w:oddHBand="0" w:evenHBand="0" w:firstRowFirstColumn="0" w:firstRowLastColumn="0" w:lastRowFirstColumn="0" w:lastRowLastColumn="0"/>
          <w:tblHeader/>
        </w:trPr>
        <w:tc>
          <w:tcPr>
            <w:tcW w:w="1903" w:type="dxa"/>
          </w:tcPr>
          <w:p w14:paraId="0DDD32C6" w14:textId="286F386D" w:rsidR="00635CBC" w:rsidRPr="00EF7136" w:rsidRDefault="00635CBC" w:rsidP="00B24E19">
            <w:pPr>
              <w:pStyle w:val="DHHStablecolhead"/>
              <w:rPr>
                <w:b/>
                <w:bCs/>
              </w:rPr>
            </w:pPr>
            <w:r w:rsidRPr="00EF7136">
              <w:rPr>
                <w:b/>
                <w:bCs/>
              </w:rPr>
              <w:t>Indicator</w:t>
            </w:r>
          </w:p>
        </w:tc>
        <w:tc>
          <w:tcPr>
            <w:tcW w:w="1519" w:type="dxa"/>
          </w:tcPr>
          <w:p w14:paraId="79F17F70" w14:textId="77777777" w:rsidR="00635CBC" w:rsidRPr="00EF7136" w:rsidRDefault="00635CBC" w:rsidP="00B24E19">
            <w:pPr>
              <w:pStyle w:val="DHHStablecolhead"/>
              <w:rPr>
                <w:b/>
                <w:bCs/>
              </w:rPr>
            </w:pPr>
            <w:r w:rsidRPr="00EF7136">
              <w:rPr>
                <w:b/>
                <w:bCs/>
              </w:rPr>
              <w:t>Reference</w:t>
            </w:r>
          </w:p>
          <w:p w14:paraId="40B2DDA7" w14:textId="77777777" w:rsidR="00635CBC" w:rsidRPr="00EF7136" w:rsidRDefault="00635CBC" w:rsidP="00B24E19">
            <w:pPr>
              <w:pStyle w:val="DHHStablecolhead"/>
              <w:rPr>
                <w:b/>
                <w:bCs/>
              </w:rPr>
            </w:pPr>
            <w:r w:rsidRPr="00EF7136">
              <w:rPr>
                <w:b/>
                <w:bCs/>
              </w:rPr>
              <w:t>year</w:t>
            </w:r>
          </w:p>
        </w:tc>
        <w:tc>
          <w:tcPr>
            <w:tcW w:w="1232" w:type="dxa"/>
          </w:tcPr>
          <w:p w14:paraId="28EE3426" w14:textId="77777777" w:rsidR="00635CBC" w:rsidRPr="00EF7136" w:rsidRDefault="00635CBC" w:rsidP="00B24E19">
            <w:pPr>
              <w:pStyle w:val="DHHStablecolhead"/>
              <w:rPr>
                <w:b/>
                <w:bCs/>
              </w:rPr>
            </w:pPr>
            <w:r w:rsidRPr="00EF7136">
              <w:rPr>
                <w:b/>
                <w:bCs/>
              </w:rPr>
              <w:t>Four years prior</w:t>
            </w:r>
          </w:p>
        </w:tc>
        <w:tc>
          <w:tcPr>
            <w:tcW w:w="1111" w:type="dxa"/>
          </w:tcPr>
          <w:p w14:paraId="55535F88" w14:textId="77777777" w:rsidR="00635CBC" w:rsidRPr="00EF7136" w:rsidRDefault="00635CBC" w:rsidP="00B24E19">
            <w:pPr>
              <w:pStyle w:val="DHHStablecolhead"/>
              <w:rPr>
                <w:b/>
                <w:bCs/>
              </w:rPr>
            </w:pPr>
            <w:r w:rsidRPr="00EF7136">
              <w:rPr>
                <w:b/>
                <w:bCs/>
              </w:rPr>
              <w:t>Three years prior</w:t>
            </w:r>
          </w:p>
        </w:tc>
        <w:tc>
          <w:tcPr>
            <w:tcW w:w="1151" w:type="dxa"/>
          </w:tcPr>
          <w:p w14:paraId="7A84DA6A" w14:textId="77777777" w:rsidR="00635CBC" w:rsidRPr="00EF7136" w:rsidRDefault="00635CBC" w:rsidP="00B24E19">
            <w:pPr>
              <w:pStyle w:val="DHHStablecolhead"/>
              <w:rPr>
                <w:b/>
                <w:bCs/>
              </w:rPr>
            </w:pPr>
            <w:r w:rsidRPr="00EF7136">
              <w:rPr>
                <w:b/>
                <w:bCs/>
              </w:rPr>
              <w:t>Two years prior</w:t>
            </w:r>
          </w:p>
        </w:tc>
        <w:tc>
          <w:tcPr>
            <w:tcW w:w="1155" w:type="dxa"/>
          </w:tcPr>
          <w:p w14:paraId="55BC17EE" w14:textId="77777777" w:rsidR="00635CBC" w:rsidRPr="00EF7136" w:rsidRDefault="00635CBC" w:rsidP="00B24E19">
            <w:pPr>
              <w:pStyle w:val="DHHStablecolhead"/>
              <w:rPr>
                <w:b/>
                <w:bCs/>
              </w:rPr>
            </w:pPr>
            <w:r w:rsidRPr="00EF7136">
              <w:rPr>
                <w:b/>
                <w:bCs/>
              </w:rPr>
              <w:t>One year prior</w:t>
            </w:r>
          </w:p>
        </w:tc>
        <w:tc>
          <w:tcPr>
            <w:tcW w:w="1217" w:type="dxa"/>
          </w:tcPr>
          <w:p w14:paraId="2BEEF661" w14:textId="77777777" w:rsidR="00635CBC" w:rsidRPr="00EF7136" w:rsidRDefault="00635CBC" w:rsidP="00B24E19">
            <w:pPr>
              <w:pStyle w:val="DHHStablecolhead"/>
              <w:rPr>
                <w:b/>
                <w:bCs/>
              </w:rPr>
            </w:pPr>
            <w:r w:rsidRPr="00EF7136">
              <w:rPr>
                <w:b/>
                <w:bCs/>
              </w:rPr>
              <w:t>Most current data</w:t>
            </w:r>
          </w:p>
        </w:tc>
      </w:tr>
      <w:tr w:rsidR="00635CBC" w:rsidRPr="0046455F" w14:paraId="587BCEF0" w14:textId="77777777" w:rsidTr="00EF7136">
        <w:tc>
          <w:tcPr>
            <w:tcW w:w="1903" w:type="dxa"/>
          </w:tcPr>
          <w:p w14:paraId="77681FA7" w14:textId="77777777" w:rsidR="00635CBC" w:rsidRPr="00EF7136" w:rsidRDefault="00635CBC" w:rsidP="00EF7136">
            <w:pPr>
              <w:pStyle w:val="DHHStabletext"/>
            </w:pPr>
            <w:r w:rsidRPr="00EF7136">
              <w:t>13.1 Rate of preadmission contact</w:t>
            </w:r>
          </w:p>
        </w:tc>
        <w:tc>
          <w:tcPr>
            <w:tcW w:w="1519" w:type="dxa"/>
          </w:tcPr>
          <w:p w14:paraId="70933E8E" w14:textId="1C23C6F4" w:rsidR="00635CBC" w:rsidRPr="00EF7136" w:rsidRDefault="00894D3B" w:rsidP="00EF7136">
            <w:pPr>
              <w:pStyle w:val="DHHStabletext"/>
            </w:pPr>
            <w:r w:rsidRPr="00EF7136">
              <w:t>2019–20</w:t>
            </w:r>
          </w:p>
        </w:tc>
        <w:tc>
          <w:tcPr>
            <w:tcW w:w="1232" w:type="dxa"/>
          </w:tcPr>
          <w:p w14:paraId="5BD3B536" w14:textId="15832D23" w:rsidR="00635CBC" w:rsidRPr="00EF7136" w:rsidRDefault="00635CBC" w:rsidP="00EF7136">
            <w:pPr>
              <w:pStyle w:val="DHHStabletext"/>
            </w:pPr>
            <w:r w:rsidRPr="00EF7136">
              <w:t>57.2</w:t>
            </w:r>
            <w:r w:rsidR="00014367" w:rsidRPr="00EF7136">
              <w:t>%</w:t>
            </w:r>
          </w:p>
        </w:tc>
        <w:tc>
          <w:tcPr>
            <w:tcW w:w="1111" w:type="dxa"/>
          </w:tcPr>
          <w:p w14:paraId="63DBBA8C" w14:textId="6BD0308C" w:rsidR="00635CBC" w:rsidRPr="00EF7136" w:rsidRDefault="00635CBC" w:rsidP="00EF7136">
            <w:pPr>
              <w:pStyle w:val="DHHStabletext"/>
            </w:pPr>
            <w:r w:rsidRPr="00EF7136">
              <w:t>51.8</w:t>
            </w:r>
            <w:r w:rsidR="00014367" w:rsidRPr="00EF7136">
              <w:t>%</w:t>
            </w:r>
          </w:p>
        </w:tc>
        <w:tc>
          <w:tcPr>
            <w:tcW w:w="1151" w:type="dxa"/>
          </w:tcPr>
          <w:p w14:paraId="7F907634" w14:textId="2678F138" w:rsidR="00635CBC" w:rsidRPr="00EF7136" w:rsidRDefault="00635CBC" w:rsidP="00EF7136">
            <w:pPr>
              <w:pStyle w:val="DHHStabletext"/>
            </w:pPr>
            <w:r w:rsidRPr="00EF7136">
              <w:t>59.4</w:t>
            </w:r>
            <w:r w:rsidR="00014367" w:rsidRPr="00EF7136">
              <w:t>%</w:t>
            </w:r>
          </w:p>
        </w:tc>
        <w:tc>
          <w:tcPr>
            <w:tcW w:w="1155" w:type="dxa"/>
          </w:tcPr>
          <w:p w14:paraId="6413B7ED" w14:textId="66F5BAD7" w:rsidR="00635CBC" w:rsidRPr="00EF7136" w:rsidRDefault="00635CBC" w:rsidP="00EF7136">
            <w:pPr>
              <w:pStyle w:val="DHHStabletext"/>
            </w:pPr>
            <w:r w:rsidRPr="00EF7136">
              <w:t>58.7</w:t>
            </w:r>
            <w:r w:rsidR="00014367" w:rsidRPr="00EF7136">
              <w:t>%</w:t>
            </w:r>
          </w:p>
        </w:tc>
        <w:tc>
          <w:tcPr>
            <w:tcW w:w="1217" w:type="dxa"/>
          </w:tcPr>
          <w:p w14:paraId="6383F5DB" w14:textId="33B31CF0" w:rsidR="00635CBC" w:rsidRPr="00EF7136" w:rsidRDefault="00635CBC" w:rsidP="00EF7136">
            <w:pPr>
              <w:pStyle w:val="DHHStabletext"/>
            </w:pPr>
            <w:r w:rsidRPr="00EF7136">
              <w:t>60.6</w:t>
            </w:r>
            <w:r w:rsidR="00014367" w:rsidRPr="00EF7136">
              <w:t>%</w:t>
            </w:r>
          </w:p>
        </w:tc>
      </w:tr>
      <w:tr w:rsidR="00635CBC" w:rsidRPr="0046455F" w14:paraId="16081160" w14:textId="77777777" w:rsidTr="00EF7136">
        <w:tc>
          <w:tcPr>
            <w:tcW w:w="1903" w:type="dxa"/>
          </w:tcPr>
          <w:p w14:paraId="20BEBB1C" w14:textId="77777777" w:rsidR="00635CBC" w:rsidRPr="00EF7136" w:rsidRDefault="00635CBC" w:rsidP="00EF7136">
            <w:pPr>
              <w:pStyle w:val="DHHStabletext"/>
            </w:pPr>
            <w:r w:rsidRPr="00EF7136">
              <w:t>13.2 Rate of readmission within 28 days</w:t>
            </w:r>
          </w:p>
        </w:tc>
        <w:tc>
          <w:tcPr>
            <w:tcW w:w="1519" w:type="dxa"/>
          </w:tcPr>
          <w:p w14:paraId="501CE68E" w14:textId="07731927" w:rsidR="00635CBC" w:rsidRPr="00EF7136" w:rsidRDefault="00894D3B" w:rsidP="00EF7136">
            <w:pPr>
              <w:pStyle w:val="DHHStabletext"/>
            </w:pPr>
            <w:r w:rsidRPr="00EF7136">
              <w:t>2019–20</w:t>
            </w:r>
          </w:p>
        </w:tc>
        <w:tc>
          <w:tcPr>
            <w:tcW w:w="1232" w:type="dxa"/>
          </w:tcPr>
          <w:p w14:paraId="7FC5B710" w14:textId="721147BB" w:rsidR="00635CBC" w:rsidRPr="00EF7136" w:rsidRDefault="00635CBC" w:rsidP="00EF7136">
            <w:pPr>
              <w:pStyle w:val="DHHStabletext"/>
            </w:pPr>
            <w:r w:rsidRPr="00EF7136">
              <w:t>13.9</w:t>
            </w:r>
            <w:r w:rsidR="00014367" w:rsidRPr="00EF7136">
              <w:t>%</w:t>
            </w:r>
          </w:p>
        </w:tc>
        <w:tc>
          <w:tcPr>
            <w:tcW w:w="1111" w:type="dxa"/>
          </w:tcPr>
          <w:p w14:paraId="5F0CED14" w14:textId="568623BE" w:rsidR="00635CBC" w:rsidRPr="00EF7136" w:rsidRDefault="00635CBC" w:rsidP="00EF7136">
            <w:pPr>
              <w:pStyle w:val="DHHStabletext"/>
            </w:pPr>
            <w:r w:rsidRPr="00EF7136">
              <w:t>13.4</w:t>
            </w:r>
            <w:r w:rsidR="00014367" w:rsidRPr="00EF7136">
              <w:t>%</w:t>
            </w:r>
          </w:p>
        </w:tc>
        <w:tc>
          <w:tcPr>
            <w:tcW w:w="1151" w:type="dxa"/>
          </w:tcPr>
          <w:p w14:paraId="0DEFF34F" w14:textId="2F545728" w:rsidR="00635CBC" w:rsidRPr="00EF7136" w:rsidRDefault="00635CBC" w:rsidP="00EF7136">
            <w:pPr>
              <w:pStyle w:val="DHHStabletext"/>
            </w:pPr>
            <w:r w:rsidRPr="00EF7136">
              <w:t>13.8</w:t>
            </w:r>
            <w:r w:rsidR="00014367" w:rsidRPr="00EF7136">
              <w:t>%</w:t>
            </w:r>
          </w:p>
        </w:tc>
        <w:tc>
          <w:tcPr>
            <w:tcW w:w="1155" w:type="dxa"/>
          </w:tcPr>
          <w:p w14:paraId="4955C569" w14:textId="1268A158" w:rsidR="00635CBC" w:rsidRPr="00EF7136" w:rsidRDefault="00635CBC" w:rsidP="00EF7136">
            <w:pPr>
              <w:pStyle w:val="DHHStabletext"/>
            </w:pPr>
            <w:r w:rsidRPr="00EF7136">
              <w:t>13.3</w:t>
            </w:r>
            <w:r w:rsidR="00014367" w:rsidRPr="00EF7136">
              <w:t>%</w:t>
            </w:r>
          </w:p>
        </w:tc>
        <w:tc>
          <w:tcPr>
            <w:tcW w:w="1217" w:type="dxa"/>
          </w:tcPr>
          <w:p w14:paraId="7A833152" w14:textId="1DB94166" w:rsidR="00635CBC" w:rsidRPr="00EF7136" w:rsidRDefault="00635CBC" w:rsidP="00EF7136">
            <w:pPr>
              <w:pStyle w:val="DHHStabletext"/>
            </w:pPr>
            <w:r w:rsidRPr="00EF7136">
              <w:t>14.3</w:t>
            </w:r>
            <w:r w:rsidR="00014367" w:rsidRPr="00EF7136">
              <w:t>%</w:t>
            </w:r>
          </w:p>
        </w:tc>
      </w:tr>
      <w:tr w:rsidR="00635CBC" w:rsidRPr="0046455F" w14:paraId="399E3754" w14:textId="77777777" w:rsidTr="00EF7136">
        <w:tc>
          <w:tcPr>
            <w:tcW w:w="1903" w:type="dxa"/>
          </w:tcPr>
          <w:p w14:paraId="4E8F49A5" w14:textId="77777777" w:rsidR="00635CBC" w:rsidRPr="00EF7136" w:rsidRDefault="00635CBC" w:rsidP="00EF7136">
            <w:pPr>
              <w:pStyle w:val="DHHStabletext"/>
            </w:pPr>
            <w:r w:rsidRPr="00EF7136">
              <w:t>13.3 Rate of post-discharge follow-up</w:t>
            </w:r>
          </w:p>
        </w:tc>
        <w:tc>
          <w:tcPr>
            <w:tcW w:w="1519" w:type="dxa"/>
          </w:tcPr>
          <w:p w14:paraId="6A091A80" w14:textId="2A3B186B" w:rsidR="00635CBC" w:rsidRPr="00EF7136" w:rsidRDefault="00894D3B" w:rsidP="00EF7136">
            <w:pPr>
              <w:pStyle w:val="DHHStabletext"/>
            </w:pPr>
            <w:r w:rsidRPr="00EF7136">
              <w:t>2019–20</w:t>
            </w:r>
          </w:p>
        </w:tc>
        <w:tc>
          <w:tcPr>
            <w:tcW w:w="1232" w:type="dxa"/>
          </w:tcPr>
          <w:p w14:paraId="7A4A9F5A" w14:textId="37A5F6C0" w:rsidR="00635CBC" w:rsidRPr="00EF7136" w:rsidRDefault="00635CBC" w:rsidP="00EF7136">
            <w:pPr>
              <w:pStyle w:val="DHHStabletext"/>
            </w:pPr>
            <w:r w:rsidRPr="00EF7136">
              <w:t>84.2</w:t>
            </w:r>
            <w:r w:rsidR="00014367" w:rsidRPr="00EF7136">
              <w:t>%</w:t>
            </w:r>
          </w:p>
        </w:tc>
        <w:tc>
          <w:tcPr>
            <w:tcW w:w="1111" w:type="dxa"/>
          </w:tcPr>
          <w:p w14:paraId="1BD02D65" w14:textId="6672766D" w:rsidR="00635CBC" w:rsidRPr="00EF7136" w:rsidRDefault="00635CBC" w:rsidP="00EF7136">
            <w:pPr>
              <w:pStyle w:val="DHHStabletext"/>
            </w:pPr>
            <w:r w:rsidRPr="00EF7136">
              <w:t>77.6</w:t>
            </w:r>
            <w:r w:rsidR="00014367" w:rsidRPr="00EF7136">
              <w:t>%</w:t>
            </w:r>
          </w:p>
        </w:tc>
        <w:tc>
          <w:tcPr>
            <w:tcW w:w="1151" w:type="dxa"/>
          </w:tcPr>
          <w:p w14:paraId="1C6A2C2C" w14:textId="469CBD1D" w:rsidR="00635CBC" w:rsidRPr="00EF7136" w:rsidRDefault="00635CBC" w:rsidP="00EF7136">
            <w:pPr>
              <w:pStyle w:val="DHHStabletext"/>
            </w:pPr>
            <w:r w:rsidRPr="00EF7136">
              <w:t>87.0</w:t>
            </w:r>
            <w:r w:rsidR="00014367" w:rsidRPr="00EF7136">
              <w:t>%</w:t>
            </w:r>
          </w:p>
        </w:tc>
        <w:tc>
          <w:tcPr>
            <w:tcW w:w="1155" w:type="dxa"/>
          </w:tcPr>
          <w:p w14:paraId="302D5B78" w14:textId="2C50E1AA" w:rsidR="00635CBC" w:rsidRPr="00EF7136" w:rsidRDefault="00635CBC" w:rsidP="00EF7136">
            <w:pPr>
              <w:pStyle w:val="DHHStabletext"/>
            </w:pPr>
            <w:r w:rsidRPr="00EF7136">
              <w:t>88.0</w:t>
            </w:r>
            <w:r w:rsidR="00014367" w:rsidRPr="00EF7136">
              <w:t>%</w:t>
            </w:r>
          </w:p>
        </w:tc>
        <w:tc>
          <w:tcPr>
            <w:tcW w:w="1217" w:type="dxa"/>
          </w:tcPr>
          <w:p w14:paraId="571AC902" w14:textId="0819999B" w:rsidR="00635CBC" w:rsidRPr="00EF7136" w:rsidRDefault="00635CBC" w:rsidP="00EF7136">
            <w:pPr>
              <w:pStyle w:val="DHHStabletext"/>
            </w:pPr>
            <w:r w:rsidRPr="00EF7136">
              <w:t>89.6</w:t>
            </w:r>
            <w:r w:rsidR="00014367" w:rsidRPr="00EF7136">
              <w:t>%</w:t>
            </w:r>
          </w:p>
        </w:tc>
      </w:tr>
    </w:tbl>
    <w:p w14:paraId="178866F3" w14:textId="5720D1E1" w:rsidR="00695508" w:rsidRPr="00AA1A64" w:rsidRDefault="0040310D" w:rsidP="00AA1A64">
      <w:pPr>
        <w:pStyle w:val="Heading5"/>
        <w:rPr>
          <w:rStyle w:val="normaltextrun"/>
        </w:rPr>
      </w:pPr>
      <w:r w:rsidRPr="00AA1A64">
        <w:rPr>
          <w:rStyle w:val="normaltextrun"/>
        </w:rPr>
        <w:t>Compulsory treatment</w:t>
      </w:r>
      <w:r w:rsidR="00324770" w:rsidRPr="00AA1A64">
        <w:rPr>
          <w:rStyle w:val="normaltextrun"/>
        </w:rPr>
        <w:t xml:space="preserve"> and restrictive interventions</w:t>
      </w:r>
    </w:p>
    <w:p w14:paraId="35D3D844" w14:textId="4DD46438" w:rsidR="00225723" w:rsidRDefault="00B55DA5">
      <w:pPr>
        <w:pStyle w:val="DHHSbody"/>
      </w:pPr>
      <w:r w:rsidRPr="00AB2773">
        <w:rPr>
          <w:rStyle w:val="normaltextrun"/>
        </w:rPr>
        <w:t xml:space="preserve">The proportion of </w:t>
      </w:r>
      <w:r w:rsidR="00516E52" w:rsidRPr="00AB2773">
        <w:rPr>
          <w:rStyle w:val="normaltextrun"/>
        </w:rPr>
        <w:t>compulsory </w:t>
      </w:r>
      <w:r w:rsidRPr="00AB2773">
        <w:rPr>
          <w:rStyle w:val="normaltextrun"/>
        </w:rPr>
        <w:t>inpatient admissions has increased</w:t>
      </w:r>
      <w:r w:rsidR="00E155BD">
        <w:rPr>
          <w:rStyle w:val="normaltextrun"/>
        </w:rPr>
        <w:t>, as has the</w:t>
      </w:r>
      <w:r w:rsidRPr="00AB2773">
        <w:rPr>
          <w:rStyle w:val="normaltextrun"/>
        </w:rPr>
        <w:t xml:space="preserve"> duration of compulsory treatment </w:t>
      </w:r>
      <w:r w:rsidR="00E155BD">
        <w:rPr>
          <w:rStyle w:val="normaltextrun"/>
        </w:rPr>
        <w:t>and the rate</w:t>
      </w:r>
      <w:r w:rsidRPr="00AB2773">
        <w:rPr>
          <w:rStyle w:val="normaltextrun"/>
        </w:rPr>
        <w:t xml:space="preserve"> of </w:t>
      </w:r>
      <w:r w:rsidR="00E155BD">
        <w:rPr>
          <w:rStyle w:val="normaltextrun"/>
        </w:rPr>
        <w:t>seclusion episodes</w:t>
      </w:r>
      <w:r w:rsidR="00F06A99">
        <w:rPr>
          <w:rStyle w:val="normaltextrun"/>
        </w:rPr>
        <w:t>. These results are explored in detail in section 4 of this report.</w:t>
      </w:r>
    </w:p>
    <w:tbl>
      <w:tblPr>
        <w:tblStyle w:val="MentalhealthARtablestyle"/>
        <w:tblW w:w="9504" w:type="dxa"/>
        <w:tblLook w:val="04A0" w:firstRow="1" w:lastRow="0" w:firstColumn="1" w:lastColumn="0" w:noHBand="0" w:noVBand="1"/>
      </w:tblPr>
      <w:tblGrid>
        <w:gridCol w:w="2129"/>
        <w:gridCol w:w="1376"/>
        <w:gridCol w:w="1035"/>
        <w:gridCol w:w="1108"/>
        <w:gridCol w:w="1285"/>
        <w:gridCol w:w="1285"/>
        <w:gridCol w:w="1286"/>
      </w:tblGrid>
      <w:tr w:rsidR="00225723" w:rsidRPr="00793C46" w14:paraId="0932F352" w14:textId="77777777" w:rsidTr="00080EDC">
        <w:trPr>
          <w:cnfStyle w:val="100000000000" w:firstRow="1" w:lastRow="0" w:firstColumn="0" w:lastColumn="0" w:oddVBand="0" w:evenVBand="0" w:oddHBand="0" w:evenHBand="0" w:firstRowFirstColumn="0" w:firstRowLastColumn="0" w:lastRowFirstColumn="0" w:lastRowLastColumn="0"/>
          <w:tblHeader/>
        </w:trPr>
        <w:tc>
          <w:tcPr>
            <w:tcW w:w="2129" w:type="dxa"/>
          </w:tcPr>
          <w:p w14:paraId="1C9F4F1C" w14:textId="6815A224" w:rsidR="00225723" w:rsidRPr="00EF7136" w:rsidRDefault="00225723" w:rsidP="00B24E19">
            <w:pPr>
              <w:pStyle w:val="DHHStablecolhead"/>
              <w:rPr>
                <w:b/>
                <w:bCs/>
              </w:rPr>
            </w:pPr>
            <w:r w:rsidRPr="00EF7136">
              <w:rPr>
                <w:b/>
                <w:bCs/>
              </w:rPr>
              <w:t>Indicator</w:t>
            </w:r>
          </w:p>
        </w:tc>
        <w:tc>
          <w:tcPr>
            <w:tcW w:w="1376" w:type="dxa"/>
          </w:tcPr>
          <w:p w14:paraId="26AAA58A" w14:textId="77777777" w:rsidR="00225723" w:rsidRPr="00EF7136" w:rsidRDefault="00225723" w:rsidP="00B24E19">
            <w:pPr>
              <w:pStyle w:val="DHHStablecolhead"/>
              <w:rPr>
                <w:b/>
                <w:bCs/>
              </w:rPr>
            </w:pPr>
            <w:r w:rsidRPr="00EF7136">
              <w:rPr>
                <w:b/>
                <w:bCs/>
              </w:rPr>
              <w:t>Reference</w:t>
            </w:r>
          </w:p>
          <w:p w14:paraId="7B9D53BB" w14:textId="77777777" w:rsidR="00225723" w:rsidRPr="00EF7136" w:rsidRDefault="00225723" w:rsidP="00B24E19">
            <w:pPr>
              <w:pStyle w:val="DHHStablecolhead"/>
              <w:rPr>
                <w:b/>
                <w:bCs/>
              </w:rPr>
            </w:pPr>
            <w:r w:rsidRPr="00EF7136">
              <w:rPr>
                <w:b/>
                <w:bCs/>
              </w:rPr>
              <w:t>year</w:t>
            </w:r>
          </w:p>
        </w:tc>
        <w:tc>
          <w:tcPr>
            <w:tcW w:w="1035" w:type="dxa"/>
          </w:tcPr>
          <w:p w14:paraId="5DA21A67" w14:textId="77777777" w:rsidR="00225723" w:rsidRPr="00EF7136" w:rsidRDefault="00225723" w:rsidP="00B24E19">
            <w:pPr>
              <w:pStyle w:val="DHHStablecolhead"/>
              <w:rPr>
                <w:b/>
                <w:bCs/>
              </w:rPr>
            </w:pPr>
            <w:r w:rsidRPr="00EF7136">
              <w:rPr>
                <w:b/>
                <w:bCs/>
              </w:rPr>
              <w:t>Four years prior</w:t>
            </w:r>
          </w:p>
        </w:tc>
        <w:tc>
          <w:tcPr>
            <w:tcW w:w="1108" w:type="dxa"/>
          </w:tcPr>
          <w:p w14:paraId="2EDBC9CB" w14:textId="77777777" w:rsidR="00225723" w:rsidRPr="00EF7136" w:rsidRDefault="00225723" w:rsidP="00B24E19">
            <w:pPr>
              <w:pStyle w:val="DHHStablecolhead"/>
              <w:rPr>
                <w:b/>
                <w:bCs/>
              </w:rPr>
            </w:pPr>
            <w:r w:rsidRPr="00EF7136">
              <w:rPr>
                <w:b/>
                <w:bCs/>
              </w:rPr>
              <w:t>Three years prior</w:t>
            </w:r>
          </w:p>
        </w:tc>
        <w:tc>
          <w:tcPr>
            <w:tcW w:w="1285" w:type="dxa"/>
          </w:tcPr>
          <w:p w14:paraId="40D94B8F" w14:textId="77777777" w:rsidR="00225723" w:rsidRPr="00EF7136" w:rsidRDefault="00225723" w:rsidP="00B24E19">
            <w:pPr>
              <w:pStyle w:val="DHHStablecolhead"/>
              <w:rPr>
                <w:b/>
                <w:bCs/>
              </w:rPr>
            </w:pPr>
            <w:r w:rsidRPr="00EF7136">
              <w:rPr>
                <w:b/>
                <w:bCs/>
              </w:rPr>
              <w:t>Two years prior</w:t>
            </w:r>
          </w:p>
        </w:tc>
        <w:tc>
          <w:tcPr>
            <w:tcW w:w="1285" w:type="dxa"/>
          </w:tcPr>
          <w:p w14:paraId="6B348C7B" w14:textId="77777777" w:rsidR="00225723" w:rsidRPr="00EF7136" w:rsidRDefault="00225723" w:rsidP="00B24E19">
            <w:pPr>
              <w:pStyle w:val="DHHStablecolhead"/>
              <w:rPr>
                <w:b/>
                <w:bCs/>
              </w:rPr>
            </w:pPr>
            <w:r w:rsidRPr="00EF7136">
              <w:rPr>
                <w:b/>
                <w:bCs/>
              </w:rPr>
              <w:t>One year prior</w:t>
            </w:r>
          </w:p>
        </w:tc>
        <w:tc>
          <w:tcPr>
            <w:tcW w:w="1286" w:type="dxa"/>
          </w:tcPr>
          <w:p w14:paraId="59FE3B3A" w14:textId="77777777" w:rsidR="00225723" w:rsidRPr="00EF7136" w:rsidRDefault="00225723" w:rsidP="00B24E19">
            <w:pPr>
              <w:pStyle w:val="DHHStablecolhead"/>
              <w:rPr>
                <w:b/>
                <w:bCs/>
              </w:rPr>
            </w:pPr>
            <w:r w:rsidRPr="00EF7136">
              <w:rPr>
                <w:b/>
                <w:bCs/>
              </w:rPr>
              <w:t>Most current data</w:t>
            </w:r>
          </w:p>
        </w:tc>
      </w:tr>
      <w:tr w:rsidR="00225723" w:rsidRPr="001641C7" w14:paraId="65EAD01B" w14:textId="77777777" w:rsidTr="00080EDC">
        <w:tc>
          <w:tcPr>
            <w:tcW w:w="2129" w:type="dxa"/>
          </w:tcPr>
          <w:p w14:paraId="02AD3CB3" w14:textId="77777777" w:rsidR="00225723" w:rsidRPr="001641C7" w:rsidRDefault="00225723" w:rsidP="00EF7136">
            <w:pPr>
              <w:pStyle w:val="DHHStabletext"/>
              <w:rPr>
                <w:lang w:val="en-US"/>
              </w:rPr>
            </w:pPr>
            <w:r w:rsidRPr="001641C7">
              <w:rPr>
                <w:lang w:val="en-US"/>
              </w:rPr>
              <w:t>16.1 Rate of seclusion episodes per 1,000 occupied bed days (inpatient)</w:t>
            </w:r>
          </w:p>
        </w:tc>
        <w:tc>
          <w:tcPr>
            <w:tcW w:w="1376" w:type="dxa"/>
          </w:tcPr>
          <w:p w14:paraId="4AFE6370" w14:textId="6D2542BF" w:rsidR="00225723" w:rsidRPr="001641C7" w:rsidRDefault="00894D3B" w:rsidP="00EF7136">
            <w:pPr>
              <w:pStyle w:val="DHHStabletext"/>
              <w:rPr>
                <w:lang w:val="en-US"/>
              </w:rPr>
            </w:pPr>
            <w:r>
              <w:rPr>
                <w:lang w:val="en-US"/>
              </w:rPr>
              <w:t>2019–20</w:t>
            </w:r>
          </w:p>
        </w:tc>
        <w:tc>
          <w:tcPr>
            <w:tcW w:w="1035" w:type="dxa"/>
          </w:tcPr>
          <w:p w14:paraId="1C399350" w14:textId="77777777" w:rsidR="00225723" w:rsidRPr="001641C7" w:rsidRDefault="00225723" w:rsidP="00EF7136">
            <w:pPr>
              <w:pStyle w:val="DHHStabletext"/>
              <w:rPr>
                <w:lang w:val="en-US"/>
              </w:rPr>
            </w:pPr>
            <w:r w:rsidRPr="001641C7">
              <w:rPr>
                <w:lang w:val="en-US"/>
              </w:rPr>
              <w:t>9.2</w:t>
            </w:r>
          </w:p>
        </w:tc>
        <w:tc>
          <w:tcPr>
            <w:tcW w:w="1108" w:type="dxa"/>
          </w:tcPr>
          <w:p w14:paraId="67D52373" w14:textId="77777777" w:rsidR="00225723" w:rsidRPr="001641C7" w:rsidRDefault="00225723" w:rsidP="00EF7136">
            <w:pPr>
              <w:pStyle w:val="DHHStabletext"/>
              <w:rPr>
                <w:lang w:val="en-US"/>
              </w:rPr>
            </w:pPr>
            <w:r w:rsidRPr="001641C7">
              <w:rPr>
                <w:lang w:val="en-US"/>
              </w:rPr>
              <w:t>9.9</w:t>
            </w:r>
          </w:p>
        </w:tc>
        <w:tc>
          <w:tcPr>
            <w:tcW w:w="1285" w:type="dxa"/>
          </w:tcPr>
          <w:p w14:paraId="76BDE63D" w14:textId="77777777" w:rsidR="00225723" w:rsidRPr="001641C7" w:rsidRDefault="00225723" w:rsidP="00EF7136">
            <w:pPr>
              <w:pStyle w:val="DHHStabletext"/>
              <w:rPr>
                <w:lang w:val="en-US"/>
              </w:rPr>
            </w:pPr>
            <w:r w:rsidRPr="001641C7">
              <w:rPr>
                <w:lang w:val="en-US"/>
              </w:rPr>
              <w:t>9.7</w:t>
            </w:r>
          </w:p>
        </w:tc>
        <w:tc>
          <w:tcPr>
            <w:tcW w:w="1285" w:type="dxa"/>
          </w:tcPr>
          <w:p w14:paraId="6E36AED7" w14:textId="77777777" w:rsidR="00225723" w:rsidRPr="001641C7" w:rsidRDefault="00225723" w:rsidP="00EF7136">
            <w:pPr>
              <w:pStyle w:val="DHHStabletext"/>
              <w:rPr>
                <w:lang w:val="en-US"/>
              </w:rPr>
            </w:pPr>
            <w:r w:rsidRPr="001641C7">
              <w:rPr>
                <w:lang w:val="en-US"/>
              </w:rPr>
              <w:t>8.5</w:t>
            </w:r>
          </w:p>
        </w:tc>
        <w:tc>
          <w:tcPr>
            <w:tcW w:w="1286" w:type="dxa"/>
          </w:tcPr>
          <w:p w14:paraId="42DE5189" w14:textId="77777777" w:rsidR="00225723" w:rsidRPr="001641C7" w:rsidRDefault="00225723" w:rsidP="00EF7136">
            <w:pPr>
              <w:pStyle w:val="DHHStabletext"/>
              <w:rPr>
                <w:lang w:val="en-US"/>
              </w:rPr>
            </w:pPr>
            <w:r w:rsidRPr="001641C7">
              <w:rPr>
                <w:lang w:val="en-US"/>
              </w:rPr>
              <w:t>9.6</w:t>
            </w:r>
          </w:p>
        </w:tc>
      </w:tr>
      <w:tr w:rsidR="00225723" w:rsidRPr="001641C7" w14:paraId="45362955" w14:textId="77777777" w:rsidTr="00080EDC">
        <w:tc>
          <w:tcPr>
            <w:tcW w:w="2129" w:type="dxa"/>
          </w:tcPr>
          <w:p w14:paraId="09296048" w14:textId="77777777" w:rsidR="00225723" w:rsidRPr="001641C7" w:rsidRDefault="00225723" w:rsidP="00EF7136">
            <w:pPr>
              <w:pStyle w:val="DHHStabletext"/>
              <w:rPr>
                <w:lang w:val="en-US"/>
              </w:rPr>
            </w:pPr>
            <w:r w:rsidRPr="001641C7">
              <w:rPr>
                <w:lang w:val="en-US"/>
              </w:rPr>
              <w:t>16.4 Proportion of inpatient admissions that are compulsory</w:t>
            </w:r>
          </w:p>
        </w:tc>
        <w:tc>
          <w:tcPr>
            <w:tcW w:w="1376" w:type="dxa"/>
          </w:tcPr>
          <w:p w14:paraId="135F6B59" w14:textId="173BFA06" w:rsidR="00225723" w:rsidRPr="001641C7" w:rsidRDefault="00894D3B" w:rsidP="00EF7136">
            <w:pPr>
              <w:pStyle w:val="DHHStabletext"/>
              <w:rPr>
                <w:lang w:val="en-US"/>
              </w:rPr>
            </w:pPr>
            <w:r>
              <w:rPr>
                <w:lang w:val="en-US"/>
              </w:rPr>
              <w:t>2019–20</w:t>
            </w:r>
          </w:p>
        </w:tc>
        <w:tc>
          <w:tcPr>
            <w:tcW w:w="1035" w:type="dxa"/>
          </w:tcPr>
          <w:p w14:paraId="4EA5E9DB" w14:textId="330D065E" w:rsidR="00225723" w:rsidRPr="001641C7" w:rsidRDefault="00225723" w:rsidP="00EF7136">
            <w:pPr>
              <w:pStyle w:val="DHHStabletext"/>
              <w:rPr>
                <w:lang w:val="en-US"/>
              </w:rPr>
            </w:pPr>
            <w:r w:rsidRPr="001641C7">
              <w:rPr>
                <w:lang w:val="en-US"/>
              </w:rPr>
              <w:t>52.2</w:t>
            </w:r>
            <w:r w:rsidR="00014367">
              <w:rPr>
                <w:lang w:val="en-US"/>
              </w:rPr>
              <w:t>%</w:t>
            </w:r>
          </w:p>
        </w:tc>
        <w:tc>
          <w:tcPr>
            <w:tcW w:w="1108" w:type="dxa"/>
          </w:tcPr>
          <w:p w14:paraId="4E095D0F" w14:textId="1FFAC623" w:rsidR="00225723" w:rsidRPr="001641C7" w:rsidRDefault="00225723" w:rsidP="00EF7136">
            <w:pPr>
              <w:pStyle w:val="DHHStabletext"/>
              <w:rPr>
                <w:lang w:val="en-US"/>
              </w:rPr>
            </w:pPr>
            <w:r w:rsidRPr="001641C7">
              <w:rPr>
                <w:lang w:val="en-US"/>
              </w:rPr>
              <w:t>51.4</w:t>
            </w:r>
            <w:r w:rsidR="00014367">
              <w:rPr>
                <w:lang w:val="en-US"/>
              </w:rPr>
              <w:t>%</w:t>
            </w:r>
          </w:p>
        </w:tc>
        <w:tc>
          <w:tcPr>
            <w:tcW w:w="1285" w:type="dxa"/>
          </w:tcPr>
          <w:p w14:paraId="5843F4DF" w14:textId="1630B71C" w:rsidR="00225723" w:rsidRPr="001641C7" w:rsidRDefault="00225723" w:rsidP="00EF7136">
            <w:pPr>
              <w:pStyle w:val="DHHStabletext"/>
              <w:rPr>
                <w:lang w:val="en-US"/>
              </w:rPr>
            </w:pPr>
            <w:r w:rsidRPr="001641C7">
              <w:rPr>
                <w:lang w:val="en-US"/>
              </w:rPr>
              <w:t>50.3</w:t>
            </w:r>
            <w:r w:rsidR="00014367">
              <w:rPr>
                <w:lang w:val="en-US"/>
              </w:rPr>
              <w:t>%</w:t>
            </w:r>
          </w:p>
        </w:tc>
        <w:tc>
          <w:tcPr>
            <w:tcW w:w="1285" w:type="dxa"/>
          </w:tcPr>
          <w:p w14:paraId="4215E27B" w14:textId="62DA6159" w:rsidR="00225723" w:rsidRPr="001641C7" w:rsidRDefault="00225723" w:rsidP="00EF7136">
            <w:pPr>
              <w:pStyle w:val="DHHStabletext"/>
              <w:rPr>
                <w:lang w:val="en-US"/>
              </w:rPr>
            </w:pPr>
            <w:r w:rsidRPr="001641C7">
              <w:rPr>
                <w:lang w:val="en-US"/>
              </w:rPr>
              <w:t>49.7</w:t>
            </w:r>
            <w:r w:rsidR="00014367">
              <w:rPr>
                <w:lang w:val="en-US"/>
              </w:rPr>
              <w:t>%</w:t>
            </w:r>
          </w:p>
        </w:tc>
        <w:tc>
          <w:tcPr>
            <w:tcW w:w="1286" w:type="dxa"/>
          </w:tcPr>
          <w:p w14:paraId="5C9E6FDC" w14:textId="10399B16" w:rsidR="00225723" w:rsidRPr="001641C7" w:rsidRDefault="00225723" w:rsidP="00EF7136">
            <w:pPr>
              <w:pStyle w:val="DHHStabletext"/>
              <w:rPr>
                <w:lang w:val="en-US"/>
              </w:rPr>
            </w:pPr>
            <w:r w:rsidRPr="001641C7">
              <w:rPr>
                <w:lang w:val="en-US"/>
              </w:rPr>
              <w:t>51.0</w:t>
            </w:r>
            <w:r w:rsidR="00014367">
              <w:rPr>
                <w:lang w:val="en-US"/>
              </w:rPr>
              <w:t>%</w:t>
            </w:r>
          </w:p>
        </w:tc>
      </w:tr>
      <w:tr w:rsidR="00225723" w:rsidRPr="001641C7" w14:paraId="570FEC78" w14:textId="77777777" w:rsidTr="00080EDC">
        <w:tc>
          <w:tcPr>
            <w:tcW w:w="2129" w:type="dxa"/>
          </w:tcPr>
          <w:p w14:paraId="49DC769F" w14:textId="77777777" w:rsidR="00225723" w:rsidRPr="001641C7" w:rsidRDefault="00225723" w:rsidP="00EF7136">
            <w:pPr>
              <w:pStyle w:val="DHHStabletext"/>
              <w:rPr>
                <w:lang w:val="en-US"/>
              </w:rPr>
            </w:pPr>
            <w:r w:rsidRPr="001641C7">
              <w:rPr>
                <w:lang w:val="en-US"/>
              </w:rPr>
              <w:t xml:space="preserve">16.5 Average duration of </w:t>
            </w:r>
            <w:r w:rsidRPr="001641C7">
              <w:rPr>
                <w:lang w:val="en-US"/>
              </w:rPr>
              <w:lastRenderedPageBreak/>
              <w:t>compulsory orders (days)</w:t>
            </w:r>
          </w:p>
        </w:tc>
        <w:tc>
          <w:tcPr>
            <w:tcW w:w="1376" w:type="dxa"/>
          </w:tcPr>
          <w:p w14:paraId="29BF9C50" w14:textId="0178668F" w:rsidR="00225723" w:rsidRPr="001641C7" w:rsidRDefault="00894D3B" w:rsidP="00EF7136">
            <w:pPr>
              <w:pStyle w:val="DHHStabletext"/>
              <w:rPr>
                <w:lang w:val="en-US"/>
              </w:rPr>
            </w:pPr>
            <w:r>
              <w:rPr>
                <w:lang w:val="en-US"/>
              </w:rPr>
              <w:lastRenderedPageBreak/>
              <w:t>2019–20</w:t>
            </w:r>
          </w:p>
        </w:tc>
        <w:tc>
          <w:tcPr>
            <w:tcW w:w="1035" w:type="dxa"/>
          </w:tcPr>
          <w:p w14:paraId="36DC67C7" w14:textId="77777777" w:rsidR="00225723" w:rsidRPr="001641C7" w:rsidRDefault="00225723" w:rsidP="00EF7136">
            <w:pPr>
              <w:pStyle w:val="DHHStabletext"/>
              <w:rPr>
                <w:lang w:val="en-US"/>
              </w:rPr>
            </w:pPr>
            <w:r w:rsidRPr="001641C7">
              <w:rPr>
                <w:lang w:val="en-US"/>
              </w:rPr>
              <w:t>59.3</w:t>
            </w:r>
          </w:p>
        </w:tc>
        <w:tc>
          <w:tcPr>
            <w:tcW w:w="1108" w:type="dxa"/>
          </w:tcPr>
          <w:p w14:paraId="40861868" w14:textId="77777777" w:rsidR="00225723" w:rsidRPr="001641C7" w:rsidRDefault="00225723" w:rsidP="00EF7136">
            <w:pPr>
              <w:pStyle w:val="DHHStabletext"/>
              <w:rPr>
                <w:lang w:val="en-US"/>
              </w:rPr>
            </w:pPr>
            <w:r w:rsidRPr="001641C7">
              <w:rPr>
                <w:lang w:val="en-US"/>
              </w:rPr>
              <w:t>64.1</w:t>
            </w:r>
          </w:p>
        </w:tc>
        <w:tc>
          <w:tcPr>
            <w:tcW w:w="1285" w:type="dxa"/>
          </w:tcPr>
          <w:p w14:paraId="736322D2" w14:textId="77777777" w:rsidR="00225723" w:rsidRPr="001641C7" w:rsidRDefault="00225723" w:rsidP="00EF7136">
            <w:pPr>
              <w:pStyle w:val="DHHStabletext"/>
              <w:rPr>
                <w:lang w:val="en-US"/>
              </w:rPr>
            </w:pPr>
            <w:r w:rsidRPr="001641C7">
              <w:rPr>
                <w:lang w:val="en-US"/>
              </w:rPr>
              <w:t>76.6</w:t>
            </w:r>
          </w:p>
        </w:tc>
        <w:tc>
          <w:tcPr>
            <w:tcW w:w="1285" w:type="dxa"/>
          </w:tcPr>
          <w:p w14:paraId="3D3BD8B6" w14:textId="77777777" w:rsidR="00225723" w:rsidRPr="001641C7" w:rsidRDefault="00225723" w:rsidP="00EF7136">
            <w:pPr>
              <w:pStyle w:val="DHHStabletext"/>
              <w:rPr>
                <w:lang w:val="en-US"/>
              </w:rPr>
            </w:pPr>
            <w:r w:rsidRPr="001641C7">
              <w:rPr>
                <w:lang w:val="en-US"/>
              </w:rPr>
              <w:t>75.6</w:t>
            </w:r>
          </w:p>
        </w:tc>
        <w:tc>
          <w:tcPr>
            <w:tcW w:w="1286" w:type="dxa"/>
          </w:tcPr>
          <w:p w14:paraId="3BF592DD" w14:textId="77777777" w:rsidR="00225723" w:rsidRPr="001641C7" w:rsidRDefault="00225723" w:rsidP="00EF7136">
            <w:pPr>
              <w:pStyle w:val="DHHStabletext"/>
              <w:rPr>
                <w:lang w:val="en-US"/>
              </w:rPr>
            </w:pPr>
            <w:r w:rsidRPr="001641C7">
              <w:rPr>
                <w:lang w:val="en-US"/>
              </w:rPr>
              <w:t>82.9</w:t>
            </w:r>
          </w:p>
        </w:tc>
      </w:tr>
    </w:tbl>
    <w:p w14:paraId="1FCAE62E" w14:textId="20FA2B34" w:rsidR="00452058" w:rsidRPr="00452058" w:rsidRDefault="00452058" w:rsidP="00452058">
      <w:pPr>
        <w:pStyle w:val="Heading4"/>
        <w:rPr>
          <w:rStyle w:val="eop"/>
          <w:i/>
          <w:iCs/>
        </w:rPr>
      </w:pPr>
      <w:r w:rsidRPr="00A66DC1">
        <w:t>Progressing the</w:t>
      </w:r>
      <w:r>
        <w:rPr>
          <w:rStyle w:val="normaltextrun"/>
        </w:rPr>
        <w:t xml:space="preserve"> </w:t>
      </w:r>
      <w:r w:rsidR="00CB6247">
        <w:rPr>
          <w:rStyle w:val="normaltextrun"/>
        </w:rPr>
        <w:t>m</w:t>
      </w:r>
      <w:r w:rsidRPr="00080EDC">
        <w:rPr>
          <w:rStyle w:val="normaltextrun"/>
        </w:rPr>
        <w:t>ental health workforce strategy</w:t>
      </w:r>
      <w:r w:rsidRPr="00452058">
        <w:rPr>
          <w:rStyle w:val="eop"/>
          <w:i/>
          <w:iCs/>
        </w:rPr>
        <w:t> </w:t>
      </w:r>
    </w:p>
    <w:p w14:paraId="45ED31A7" w14:textId="2B3FA90A" w:rsidR="00452058" w:rsidRPr="009B2D15" w:rsidRDefault="00452058" w:rsidP="00452058">
      <w:pPr>
        <w:pStyle w:val="DHHSbody"/>
      </w:pPr>
      <w:r>
        <w:t xml:space="preserve">The </w:t>
      </w:r>
      <w:r w:rsidRPr="00924676">
        <w:rPr>
          <w:i/>
          <w:iCs/>
        </w:rPr>
        <w:t>Mental health workforce strategy</w:t>
      </w:r>
      <w:r>
        <w:t xml:space="preserve"> was developed</w:t>
      </w:r>
      <w:r w:rsidRPr="00A521FC">
        <w:t> </w:t>
      </w:r>
      <w:r>
        <w:t xml:space="preserve">to strengthen </w:t>
      </w:r>
      <w:r w:rsidRPr="00A521FC">
        <w:t xml:space="preserve">the mental health workforce in a rapidly changing environment characterised by growing demand, increasingly diverse and complex </w:t>
      </w:r>
      <w:r>
        <w:t>consumer</w:t>
      </w:r>
      <w:r w:rsidR="00ED32FF">
        <w:t xml:space="preserve"> circumstances</w:t>
      </w:r>
      <w:r w:rsidRPr="00A521FC">
        <w:t xml:space="preserve"> and an ageing population. </w:t>
      </w:r>
      <w:r w:rsidRPr="009B2D15">
        <w:rPr>
          <w:rStyle w:val="normaltextrun"/>
        </w:rPr>
        <w:t xml:space="preserve">In </w:t>
      </w:r>
      <w:r w:rsidR="00894D3B">
        <w:rPr>
          <w:rStyle w:val="normaltextrun"/>
        </w:rPr>
        <w:t>2019–20</w:t>
      </w:r>
      <w:r w:rsidRPr="009B2D15">
        <w:rPr>
          <w:rStyle w:val="normaltextrun"/>
        </w:rPr>
        <w:t xml:space="preserve">, $9.0 million was </w:t>
      </w:r>
      <w:r w:rsidR="00CB6247">
        <w:rPr>
          <w:rStyle w:val="normaltextrun"/>
        </w:rPr>
        <w:t xml:space="preserve">invested </w:t>
      </w:r>
      <w:r w:rsidRPr="009B2D15">
        <w:rPr>
          <w:rStyle w:val="normaltextrun"/>
        </w:rPr>
        <w:t xml:space="preserve">to support the </w:t>
      </w:r>
      <w:r>
        <w:rPr>
          <w:rStyle w:val="normaltextrun"/>
        </w:rPr>
        <w:t>mental health workforce</w:t>
      </w:r>
      <w:r w:rsidR="00CB6247">
        <w:rPr>
          <w:rStyle w:val="normaltextrun"/>
        </w:rPr>
        <w:t>,</w:t>
      </w:r>
      <w:r>
        <w:rPr>
          <w:rStyle w:val="normaltextrun"/>
        </w:rPr>
        <w:t xml:space="preserve"> particularly around growing</w:t>
      </w:r>
      <w:r w:rsidRPr="009B2D15">
        <w:rPr>
          <w:rStyle w:val="normaltextrun"/>
        </w:rPr>
        <w:t xml:space="preserve"> the capacity and capability of the workforce.</w:t>
      </w:r>
      <w:r>
        <w:rPr>
          <w:rStyle w:val="normaltextrun"/>
        </w:rPr>
        <w:t xml:space="preserve"> These initiatives are outlined below.</w:t>
      </w:r>
    </w:p>
    <w:p w14:paraId="37969D53" w14:textId="77777777" w:rsidR="00452058" w:rsidRPr="00AA1A64" w:rsidRDefault="00452058" w:rsidP="00AA1A64">
      <w:pPr>
        <w:pStyle w:val="Heading5"/>
        <w:rPr>
          <w:rStyle w:val="normaltextrun"/>
        </w:rPr>
      </w:pPr>
      <w:r w:rsidRPr="00AA1A64">
        <w:rPr>
          <w:rStyle w:val="normaltextrun"/>
        </w:rPr>
        <w:t>Growing the capacity of the clinical mental health workforce</w:t>
      </w:r>
    </w:p>
    <w:p w14:paraId="281E41D6" w14:textId="047C3D24" w:rsidR="00452058" w:rsidRPr="007D7487" w:rsidRDefault="00452058" w:rsidP="00452058">
      <w:pPr>
        <w:pStyle w:val="DHHSbody"/>
      </w:pPr>
      <w:r>
        <w:t xml:space="preserve">A key element of the </w:t>
      </w:r>
      <w:r w:rsidRPr="006F3132">
        <w:rPr>
          <w:i/>
          <w:iCs/>
        </w:rPr>
        <w:t xml:space="preserve">Mental </w:t>
      </w:r>
      <w:r>
        <w:rPr>
          <w:i/>
          <w:iCs/>
        </w:rPr>
        <w:t>h</w:t>
      </w:r>
      <w:r w:rsidRPr="006F3132">
        <w:rPr>
          <w:i/>
          <w:iCs/>
        </w:rPr>
        <w:t xml:space="preserve">ealth </w:t>
      </w:r>
      <w:r>
        <w:rPr>
          <w:i/>
          <w:iCs/>
        </w:rPr>
        <w:t>w</w:t>
      </w:r>
      <w:r w:rsidRPr="006F3132">
        <w:rPr>
          <w:i/>
          <w:iCs/>
        </w:rPr>
        <w:t xml:space="preserve">orkforce </w:t>
      </w:r>
      <w:r>
        <w:rPr>
          <w:i/>
          <w:iCs/>
        </w:rPr>
        <w:t>s</w:t>
      </w:r>
      <w:r w:rsidRPr="006F3132">
        <w:rPr>
          <w:i/>
          <w:iCs/>
        </w:rPr>
        <w:t>trategy</w:t>
      </w:r>
      <w:r>
        <w:t xml:space="preserve"> for </w:t>
      </w:r>
      <w:r w:rsidR="00894D3B">
        <w:t>2019–20</w:t>
      </w:r>
      <w:r>
        <w:t xml:space="preserve"> has been to meet service demand for staff by increasing the mental health workforce capacity.</w:t>
      </w:r>
      <w:r w:rsidRPr="00200228">
        <w:t xml:space="preserve"> </w:t>
      </w:r>
    </w:p>
    <w:p w14:paraId="2BD06990" w14:textId="77777777" w:rsidR="00452058" w:rsidRPr="00AA1A64" w:rsidRDefault="00452058" w:rsidP="00AA1A64">
      <w:pPr>
        <w:pStyle w:val="Heading5"/>
        <w:rPr>
          <w:rStyle w:val="normaltextrun"/>
        </w:rPr>
      </w:pPr>
      <w:r w:rsidRPr="00AA1A64">
        <w:rPr>
          <w:rStyle w:val="normaltextrun"/>
        </w:rPr>
        <w:t>Workforce Strengthening Project</w:t>
      </w:r>
    </w:p>
    <w:p w14:paraId="756E8357" w14:textId="77777777" w:rsidR="00452058" w:rsidRPr="004A0D30" w:rsidRDefault="00452058" w:rsidP="00AA1A64">
      <w:pPr>
        <w:pStyle w:val="DHHSbody"/>
      </w:pPr>
      <w:r w:rsidRPr="004A0D30">
        <w:t xml:space="preserve">The Workforce Strengthening Project aims to boost workforce capacity </w:t>
      </w:r>
      <w:r>
        <w:t>by increasing the</w:t>
      </w:r>
      <w:r w:rsidRPr="004A0D30">
        <w:t xml:space="preserve"> number of </w:t>
      </w:r>
      <w:r w:rsidRPr="00AA1A64">
        <w:t>mental</w:t>
      </w:r>
      <w:r>
        <w:t xml:space="preserve"> health positions in the workforce,</w:t>
      </w:r>
      <w:r w:rsidRPr="004A0D30">
        <w:t xml:space="preserve"> including mental health nursing training positions, community mental health engagement worker positions and clinical nurse consultant positions.</w:t>
      </w:r>
    </w:p>
    <w:p w14:paraId="2BB18C21" w14:textId="18B67997" w:rsidR="00452058" w:rsidRPr="009B2D15" w:rsidRDefault="00452058" w:rsidP="00AA1A64">
      <w:pPr>
        <w:pStyle w:val="DHHSbody"/>
        <w:rPr>
          <w:rStyle w:val="normaltextrun"/>
        </w:rPr>
      </w:pPr>
      <w:r>
        <w:rPr>
          <w:rStyle w:val="normaltextrun"/>
        </w:rPr>
        <w:t xml:space="preserve">In </w:t>
      </w:r>
      <w:r w:rsidR="00894D3B">
        <w:rPr>
          <w:rStyle w:val="normaltextrun"/>
        </w:rPr>
        <w:t>2019–20</w:t>
      </w:r>
      <w:r>
        <w:rPr>
          <w:rStyle w:val="normaltextrun"/>
        </w:rPr>
        <w:t xml:space="preserve">, </w:t>
      </w:r>
      <w:r w:rsidRPr="40006ABB">
        <w:rPr>
          <w:rStyle w:val="normaltextrun"/>
        </w:rPr>
        <w:t xml:space="preserve">the Workforce Strengthening Project has delivered funding for </w:t>
      </w:r>
      <w:r>
        <w:rPr>
          <w:rStyle w:val="normaltextrun"/>
        </w:rPr>
        <w:t>119.5 new fulltime</w:t>
      </w:r>
      <w:r w:rsidR="00CB6247">
        <w:rPr>
          <w:rStyle w:val="normaltextrun"/>
        </w:rPr>
        <w:t>-</w:t>
      </w:r>
      <w:r>
        <w:rPr>
          <w:rStyle w:val="normaltextrun"/>
        </w:rPr>
        <w:t>equivalent</w:t>
      </w:r>
      <w:r w:rsidRPr="40006ABB">
        <w:rPr>
          <w:rStyle w:val="normaltextrun"/>
        </w:rPr>
        <w:t xml:space="preserve"> </w:t>
      </w:r>
      <w:r>
        <w:rPr>
          <w:rStyle w:val="normaltextrun"/>
        </w:rPr>
        <w:t xml:space="preserve">mental </w:t>
      </w:r>
      <w:r w:rsidRPr="00AA1A64">
        <w:rPr>
          <w:rStyle w:val="normaltextrun"/>
        </w:rPr>
        <w:t>health</w:t>
      </w:r>
      <w:r>
        <w:rPr>
          <w:rStyle w:val="normaltextrun"/>
        </w:rPr>
        <w:t xml:space="preserve"> positions. </w:t>
      </w:r>
      <w:r w:rsidRPr="40006ABB">
        <w:rPr>
          <w:rStyle w:val="normaltextrun"/>
        </w:rPr>
        <w:t xml:space="preserve">The new positions in </w:t>
      </w:r>
      <w:r w:rsidR="00894D3B">
        <w:rPr>
          <w:rStyle w:val="normaltextrun"/>
        </w:rPr>
        <w:t>2019–20</w:t>
      </w:r>
      <w:r w:rsidRPr="40006ABB">
        <w:rPr>
          <w:rStyle w:val="normaltextrun"/>
        </w:rPr>
        <w:t xml:space="preserve"> include:</w:t>
      </w:r>
    </w:p>
    <w:p w14:paraId="55599AA4" w14:textId="2B635FBD" w:rsidR="00452058" w:rsidRPr="009B2D15" w:rsidRDefault="00452058" w:rsidP="00452058">
      <w:pPr>
        <w:pStyle w:val="DHHSbullet1"/>
      </w:pPr>
      <w:r w:rsidRPr="009B2D15">
        <w:rPr>
          <w:rStyle w:val="normaltextrun"/>
        </w:rPr>
        <w:t xml:space="preserve">30 </w:t>
      </w:r>
      <w:r w:rsidR="0020515A">
        <w:rPr>
          <w:rStyle w:val="normaltextrun"/>
        </w:rPr>
        <w:t>t</w:t>
      </w:r>
      <w:r w:rsidRPr="009B2D15">
        <w:rPr>
          <w:rStyle w:val="normaltextrun"/>
        </w:rPr>
        <w:t>ransition to mental health nursing positions for enrolled nurses and general nurses</w:t>
      </w:r>
    </w:p>
    <w:p w14:paraId="698E5872" w14:textId="1E5C8CE2" w:rsidR="00452058" w:rsidRPr="009B2D15" w:rsidRDefault="00452058" w:rsidP="00452058">
      <w:pPr>
        <w:pStyle w:val="DHHSbullet1"/>
      </w:pPr>
      <w:r w:rsidRPr="009B2D15">
        <w:rPr>
          <w:rStyle w:val="normaltextrun"/>
        </w:rPr>
        <w:t xml:space="preserve">30 </w:t>
      </w:r>
      <w:r w:rsidR="0020515A">
        <w:rPr>
          <w:rStyle w:val="normaltextrun"/>
        </w:rPr>
        <w:t>m</w:t>
      </w:r>
      <w:r w:rsidRPr="009B2D15">
        <w:rPr>
          <w:rStyle w:val="normaltextrun"/>
        </w:rPr>
        <w:t>ental health nursing postgraduate positions</w:t>
      </w:r>
    </w:p>
    <w:p w14:paraId="14E40993" w14:textId="2A7FAFBB" w:rsidR="00452058" w:rsidRPr="009B2D15" w:rsidRDefault="00452058" w:rsidP="00452058">
      <w:pPr>
        <w:pStyle w:val="DHHSbullet1"/>
      </w:pPr>
      <w:r w:rsidRPr="009B2D15">
        <w:rPr>
          <w:rStyle w:val="normaltextrun"/>
        </w:rPr>
        <w:t xml:space="preserve">23 </w:t>
      </w:r>
      <w:r w:rsidR="0020515A">
        <w:rPr>
          <w:rStyle w:val="normaltextrun"/>
        </w:rPr>
        <w:t>c</w:t>
      </w:r>
      <w:r w:rsidRPr="009B2D15">
        <w:rPr>
          <w:rStyle w:val="normaltextrun"/>
        </w:rPr>
        <w:t xml:space="preserve">ommunity </w:t>
      </w:r>
      <w:r w:rsidR="0020515A">
        <w:rPr>
          <w:rStyle w:val="normaltextrun"/>
        </w:rPr>
        <w:t>m</w:t>
      </w:r>
      <w:r w:rsidRPr="009B2D15">
        <w:rPr>
          <w:rStyle w:val="normaltextrun"/>
        </w:rPr>
        <w:t xml:space="preserve">ental </w:t>
      </w:r>
      <w:r w:rsidR="0020515A">
        <w:rPr>
          <w:rStyle w:val="normaltextrun"/>
        </w:rPr>
        <w:t>h</w:t>
      </w:r>
      <w:r w:rsidRPr="009B2D15">
        <w:rPr>
          <w:rStyle w:val="normaltextrun"/>
        </w:rPr>
        <w:t xml:space="preserve">ealth </w:t>
      </w:r>
      <w:r w:rsidR="0020515A">
        <w:rPr>
          <w:rStyle w:val="normaltextrun"/>
        </w:rPr>
        <w:t>e</w:t>
      </w:r>
      <w:r w:rsidRPr="009B2D15">
        <w:rPr>
          <w:rStyle w:val="normaltextrun"/>
        </w:rPr>
        <w:t xml:space="preserve">ngagement </w:t>
      </w:r>
      <w:r w:rsidR="0020515A">
        <w:rPr>
          <w:rStyle w:val="normaltextrun"/>
        </w:rPr>
        <w:t>w</w:t>
      </w:r>
      <w:r w:rsidRPr="009B2D15">
        <w:rPr>
          <w:rStyle w:val="normaltextrun"/>
        </w:rPr>
        <w:t>orkers</w:t>
      </w:r>
    </w:p>
    <w:p w14:paraId="0B4FFF0F" w14:textId="46426D7A" w:rsidR="00452058" w:rsidRPr="009B2D15" w:rsidRDefault="00452058" w:rsidP="00452058">
      <w:pPr>
        <w:pStyle w:val="DHHSbullet1"/>
        <w:rPr>
          <w:rStyle w:val="normaltextrun"/>
        </w:rPr>
      </w:pPr>
      <w:r w:rsidRPr="009B2D15">
        <w:rPr>
          <w:rStyle w:val="normaltextrun"/>
        </w:rPr>
        <w:t xml:space="preserve">25 </w:t>
      </w:r>
      <w:r w:rsidR="0020515A">
        <w:rPr>
          <w:rStyle w:val="normaltextrun"/>
        </w:rPr>
        <w:t>c</w:t>
      </w:r>
      <w:r w:rsidRPr="009B2D15">
        <w:rPr>
          <w:rStyle w:val="normaltextrun"/>
        </w:rPr>
        <w:t xml:space="preserve">linical </w:t>
      </w:r>
      <w:r w:rsidR="0020515A">
        <w:rPr>
          <w:rStyle w:val="normaltextrun"/>
        </w:rPr>
        <w:t>n</w:t>
      </w:r>
      <w:r w:rsidRPr="009B2D15">
        <w:rPr>
          <w:rStyle w:val="normaltextrun"/>
        </w:rPr>
        <w:t xml:space="preserve">urse </w:t>
      </w:r>
      <w:r w:rsidR="0020515A">
        <w:rPr>
          <w:rStyle w:val="normaltextrun"/>
        </w:rPr>
        <w:t>c</w:t>
      </w:r>
      <w:r w:rsidRPr="009B2D15">
        <w:rPr>
          <w:rStyle w:val="normaltextrun"/>
        </w:rPr>
        <w:t>onsultants</w:t>
      </w:r>
      <w:r>
        <w:rPr>
          <w:rStyle w:val="normaltextrun"/>
        </w:rPr>
        <w:t>.</w:t>
      </w:r>
      <w:r w:rsidRPr="009B2D15">
        <w:rPr>
          <w:rStyle w:val="normaltextrun"/>
        </w:rPr>
        <w:t xml:space="preserve"> </w:t>
      </w:r>
    </w:p>
    <w:p w14:paraId="16F88DD6" w14:textId="5F003890" w:rsidR="00452058" w:rsidRPr="009B2D15" w:rsidRDefault="00452058" w:rsidP="00AA1A64">
      <w:pPr>
        <w:pStyle w:val="DHHSbodyafterbullets"/>
        <w:rPr>
          <w:rStyle w:val="normaltextrun"/>
        </w:rPr>
      </w:pPr>
      <w:r w:rsidRPr="6C11EE51">
        <w:rPr>
          <w:rStyle w:val="normaltextrun"/>
        </w:rPr>
        <w:t xml:space="preserve">All Victorian mental health services were allocated positions as </w:t>
      </w:r>
      <w:r>
        <w:rPr>
          <w:rStyle w:val="normaltextrun"/>
        </w:rPr>
        <w:t xml:space="preserve">part of this project in </w:t>
      </w:r>
      <w:r w:rsidR="00894D3B">
        <w:rPr>
          <w:rStyle w:val="normaltextrun"/>
        </w:rPr>
        <w:t>2019–20</w:t>
      </w:r>
      <w:r>
        <w:rPr>
          <w:rStyle w:val="normaltextrun"/>
        </w:rPr>
        <w:t>. By</w:t>
      </w:r>
      <w:r w:rsidRPr="6C11EE51">
        <w:rPr>
          <w:rStyle w:val="normaltextrun"/>
        </w:rPr>
        <w:t xml:space="preserve"> June 2020, 97</w:t>
      </w:r>
      <w:r>
        <w:rPr>
          <w:rStyle w:val="normaltextrun"/>
        </w:rPr>
        <w:t xml:space="preserve"> per cent</w:t>
      </w:r>
      <w:r w:rsidRPr="6C11EE51">
        <w:rPr>
          <w:rStyle w:val="normaltextrun"/>
        </w:rPr>
        <w:t xml:space="preserve"> of the positions ha</w:t>
      </w:r>
      <w:r>
        <w:rPr>
          <w:rStyle w:val="normaltextrun"/>
        </w:rPr>
        <w:t>d</w:t>
      </w:r>
      <w:r w:rsidRPr="6C11EE51">
        <w:rPr>
          <w:rStyle w:val="normaltextrun"/>
        </w:rPr>
        <w:t xml:space="preserve"> </w:t>
      </w:r>
      <w:r>
        <w:rPr>
          <w:rStyle w:val="normaltextrun"/>
        </w:rPr>
        <w:t>been</w:t>
      </w:r>
      <w:r w:rsidRPr="6C11EE51">
        <w:rPr>
          <w:rStyle w:val="normaltextrun"/>
        </w:rPr>
        <w:t xml:space="preserve"> </w:t>
      </w:r>
      <w:r>
        <w:rPr>
          <w:rStyle w:val="normaltextrun"/>
        </w:rPr>
        <w:t>filled</w:t>
      </w:r>
      <w:r w:rsidRPr="6C11EE51">
        <w:rPr>
          <w:rStyle w:val="normaltextrun"/>
        </w:rPr>
        <w:t xml:space="preserve">. </w:t>
      </w:r>
      <w:r>
        <w:rPr>
          <w:rStyle w:val="normaltextrun"/>
        </w:rPr>
        <w:t>An</w:t>
      </w:r>
      <w:r w:rsidRPr="6C11EE51">
        <w:rPr>
          <w:rStyle w:val="normaltextrun"/>
        </w:rPr>
        <w:t xml:space="preserve"> implementation evaluation </w:t>
      </w:r>
      <w:r>
        <w:rPr>
          <w:rStyle w:val="normaltextrun"/>
        </w:rPr>
        <w:t>for this project has been undertaken</w:t>
      </w:r>
      <w:r w:rsidRPr="6C11EE51">
        <w:rPr>
          <w:rStyle w:val="normaltextrun"/>
        </w:rPr>
        <w:t xml:space="preserve"> and </w:t>
      </w:r>
      <w:r>
        <w:rPr>
          <w:rStyle w:val="normaltextrun"/>
        </w:rPr>
        <w:t xml:space="preserve">results </w:t>
      </w:r>
      <w:r w:rsidRPr="6C11EE51">
        <w:rPr>
          <w:rStyle w:val="normaltextrun"/>
        </w:rPr>
        <w:t xml:space="preserve">highlight the </w:t>
      </w:r>
      <w:r>
        <w:rPr>
          <w:rStyle w:val="normaltextrun"/>
        </w:rPr>
        <w:t>important</w:t>
      </w:r>
      <w:r w:rsidRPr="6C11EE51">
        <w:rPr>
          <w:rStyle w:val="normaltextrun"/>
        </w:rPr>
        <w:t xml:space="preserve"> factors </w:t>
      </w:r>
      <w:r>
        <w:rPr>
          <w:rStyle w:val="normaltextrun"/>
        </w:rPr>
        <w:t xml:space="preserve">in integrating the </w:t>
      </w:r>
      <w:r w:rsidRPr="6C11EE51">
        <w:rPr>
          <w:rStyle w:val="normaltextrun"/>
        </w:rPr>
        <w:t xml:space="preserve">new positions within the existing work programs. </w:t>
      </w:r>
      <w:r>
        <w:rPr>
          <w:rStyle w:val="normaltextrun"/>
        </w:rPr>
        <w:t>Results demonstrate:</w:t>
      </w:r>
    </w:p>
    <w:p w14:paraId="586604BC" w14:textId="7D6EC246" w:rsidR="00452058" w:rsidRPr="00A3377F" w:rsidRDefault="00452058" w:rsidP="00452058">
      <w:pPr>
        <w:pStyle w:val="DHHSbullet1"/>
      </w:pPr>
      <w:r w:rsidRPr="00A3377F">
        <w:t xml:space="preserve">The </w:t>
      </w:r>
      <w:r>
        <w:t xml:space="preserve">new </w:t>
      </w:r>
      <w:r w:rsidRPr="00A3377F">
        <w:t xml:space="preserve">positions have been well received </w:t>
      </w:r>
      <w:r>
        <w:t>by</w:t>
      </w:r>
      <w:r w:rsidRPr="00A3377F">
        <w:t xml:space="preserve"> existing staff and </w:t>
      </w:r>
      <w:r>
        <w:t>act to</w:t>
      </w:r>
      <w:r w:rsidRPr="00A3377F">
        <w:t xml:space="preserve"> increas</w:t>
      </w:r>
      <w:r>
        <w:t>e</w:t>
      </w:r>
      <w:r w:rsidRPr="00A3377F">
        <w:t xml:space="preserve"> </w:t>
      </w:r>
      <w:r>
        <w:t xml:space="preserve">mental health workforce </w:t>
      </w:r>
      <w:r w:rsidRPr="00A3377F">
        <w:t xml:space="preserve">capacity, skills and expertise. </w:t>
      </w:r>
    </w:p>
    <w:p w14:paraId="5CD090C3" w14:textId="77777777" w:rsidR="00452058" w:rsidRPr="00A3377F" w:rsidRDefault="00452058" w:rsidP="00452058">
      <w:pPr>
        <w:pStyle w:val="DHHSbullet1"/>
      </w:pPr>
      <w:r w:rsidRPr="00A3377F">
        <w:t xml:space="preserve">Staff recruited into the </w:t>
      </w:r>
      <w:r>
        <w:t xml:space="preserve">new </w:t>
      </w:r>
      <w:r w:rsidRPr="00A3377F">
        <w:t xml:space="preserve">positions report their roles are significant in supporting teams and improving the outcomes for consumers of the mental health services. </w:t>
      </w:r>
    </w:p>
    <w:p w14:paraId="484E7B55" w14:textId="4444A90B" w:rsidR="00452058" w:rsidRDefault="00452058" w:rsidP="00452058">
      <w:pPr>
        <w:pStyle w:val="DHHSbullet1"/>
      </w:pPr>
      <w:r w:rsidRPr="00A3377F">
        <w:t xml:space="preserve">The </w:t>
      </w:r>
      <w:r>
        <w:t xml:space="preserve">roles have had a positive </w:t>
      </w:r>
      <w:r w:rsidRPr="00A3377F">
        <w:t>impact on clinical practice</w:t>
      </w:r>
      <w:r>
        <w:t xml:space="preserve"> due to the increased capacity provided. Examples </w:t>
      </w:r>
      <w:r w:rsidRPr="00A3377F">
        <w:t>include reduc</w:t>
      </w:r>
      <w:r>
        <w:t>ed use of</w:t>
      </w:r>
      <w:r w:rsidRPr="00A3377F">
        <w:t xml:space="preserve"> restrictive practices, fidelity and sustainability of the Safewards</w:t>
      </w:r>
      <w:r>
        <w:t xml:space="preserve"> </w:t>
      </w:r>
      <w:r w:rsidR="00ED32FF">
        <w:t>P</w:t>
      </w:r>
      <w:r>
        <w:t>rogram</w:t>
      </w:r>
      <w:r w:rsidRPr="00A3377F">
        <w:t xml:space="preserve"> and implementation of the </w:t>
      </w:r>
      <w:r w:rsidRPr="00080EDC">
        <w:rPr>
          <w:i/>
          <w:iCs/>
        </w:rPr>
        <w:t xml:space="preserve">Mental </w:t>
      </w:r>
      <w:r w:rsidR="0020515A">
        <w:rPr>
          <w:i/>
          <w:iCs/>
        </w:rPr>
        <w:t>h</w:t>
      </w:r>
      <w:r w:rsidRPr="00080EDC">
        <w:rPr>
          <w:i/>
          <w:iCs/>
        </w:rPr>
        <w:t xml:space="preserve">ealth </w:t>
      </w:r>
      <w:r w:rsidR="0020515A">
        <w:rPr>
          <w:i/>
          <w:iCs/>
        </w:rPr>
        <w:t>i</w:t>
      </w:r>
      <w:r w:rsidRPr="00080EDC">
        <w:rPr>
          <w:i/>
          <w:iCs/>
        </w:rPr>
        <w:t xml:space="preserve">ntensive </w:t>
      </w:r>
      <w:r w:rsidR="0020515A">
        <w:rPr>
          <w:i/>
          <w:iCs/>
        </w:rPr>
        <w:t>c</w:t>
      </w:r>
      <w:r w:rsidRPr="00080EDC">
        <w:rPr>
          <w:i/>
          <w:iCs/>
        </w:rPr>
        <w:t xml:space="preserve">are </w:t>
      </w:r>
      <w:r w:rsidR="0020515A">
        <w:rPr>
          <w:i/>
          <w:iCs/>
        </w:rPr>
        <w:t>f</w:t>
      </w:r>
      <w:r w:rsidRPr="00080EDC">
        <w:rPr>
          <w:i/>
          <w:iCs/>
        </w:rPr>
        <w:t>ramework</w:t>
      </w:r>
      <w:r w:rsidRPr="00A3377F">
        <w:t>.</w:t>
      </w:r>
    </w:p>
    <w:p w14:paraId="388A9385" w14:textId="77777777" w:rsidR="00452058" w:rsidRPr="006E3E09" w:rsidRDefault="00452058" w:rsidP="006E3E09">
      <w:pPr>
        <w:pStyle w:val="DHHSbodynospace"/>
        <w:rPr>
          <w:rStyle w:val="Emphasis"/>
          <w:i w:val="0"/>
          <w:iCs w:val="0"/>
        </w:rPr>
      </w:pPr>
    </w:p>
    <w:tbl>
      <w:tblPr>
        <w:tblStyle w:val="TableGrid"/>
        <w:tblpPr w:leftFromText="180" w:rightFromText="180" w:vertAnchor="text" w:horzAnchor="margin" w:tblpY="75"/>
        <w:tblW w:w="0" w:type="auto"/>
        <w:shd w:val="clear" w:color="auto" w:fill="DEEAF6" w:themeFill="accent5" w:themeFillTint="33"/>
        <w:tblLook w:val="04A0" w:firstRow="1" w:lastRow="0" w:firstColumn="1" w:lastColumn="0" w:noHBand="0" w:noVBand="1"/>
      </w:tblPr>
      <w:tblGrid>
        <w:gridCol w:w="9288"/>
      </w:tblGrid>
      <w:tr w:rsidR="00452058" w14:paraId="05B8FE0F" w14:textId="77777777" w:rsidTr="000D01E9">
        <w:tc>
          <w:tcPr>
            <w:tcW w:w="9288" w:type="dxa"/>
            <w:shd w:val="clear" w:color="auto" w:fill="auto"/>
          </w:tcPr>
          <w:p w14:paraId="374A2BB6" w14:textId="77777777" w:rsidR="00452058" w:rsidRPr="00080EDC" w:rsidRDefault="00452058" w:rsidP="006F3DF8">
            <w:pPr>
              <w:pStyle w:val="DHHStabletext"/>
              <w:rPr>
                <w:rStyle w:val="Emphasis"/>
                <w:rFonts w:eastAsia="Arial" w:cs="Arial"/>
                <w:i w:val="0"/>
                <w:iCs w:val="0"/>
              </w:rPr>
            </w:pPr>
            <w:r w:rsidRPr="00080EDC">
              <w:rPr>
                <w:rStyle w:val="Emphasis"/>
                <w:rFonts w:eastAsia="Arial" w:cs="Arial"/>
                <w:i w:val="0"/>
                <w:iCs w:val="0"/>
              </w:rPr>
              <w:t xml:space="preserve">Services have </w:t>
            </w:r>
            <w:r w:rsidRPr="00080EDC">
              <w:rPr>
                <w:rStyle w:val="Emphasis"/>
                <w:rFonts w:eastAsia="Arial" w:cs="Arial"/>
                <w:bCs/>
                <w:i w:val="0"/>
                <w:iCs w:val="0"/>
              </w:rPr>
              <w:t xml:space="preserve">described the </w:t>
            </w:r>
            <w:r w:rsidRPr="00080EDC">
              <w:rPr>
                <w:rStyle w:val="Emphasis"/>
                <w:rFonts w:eastAsia="Arial" w:cs="Arial"/>
                <w:i w:val="0"/>
                <w:iCs w:val="0"/>
              </w:rPr>
              <w:t>positive impact</w:t>
            </w:r>
            <w:r w:rsidRPr="00080EDC">
              <w:rPr>
                <w:rStyle w:val="Emphasis"/>
                <w:rFonts w:eastAsia="Arial" w:cs="Arial"/>
                <w:bCs/>
                <w:i w:val="0"/>
                <w:iCs w:val="0"/>
              </w:rPr>
              <w:t xml:space="preserve"> of </w:t>
            </w:r>
            <w:r w:rsidRPr="00080EDC">
              <w:rPr>
                <w:rStyle w:val="normaltextrun"/>
                <w:rFonts w:eastAsia="Arial" w:cs="Arial"/>
                <w:iCs/>
              </w:rPr>
              <w:t>the</w:t>
            </w:r>
            <w:r w:rsidRPr="00080EDC">
              <w:rPr>
                <w:rStyle w:val="Emphasis"/>
                <w:rFonts w:eastAsia="Arial" w:cs="Arial"/>
                <w:bCs/>
                <w:i w:val="0"/>
                <w:iCs w:val="0"/>
              </w:rPr>
              <w:t xml:space="preserve"> new positions:</w:t>
            </w:r>
          </w:p>
          <w:p w14:paraId="337BA927" w14:textId="50739DC8" w:rsidR="00452058" w:rsidRPr="00080EDC" w:rsidRDefault="00CB6247" w:rsidP="006F3DF8">
            <w:pPr>
              <w:pStyle w:val="DHHStablebullet1"/>
              <w:rPr>
                <w:rStyle w:val="Emphasis"/>
                <w:rFonts w:eastAsia="Arial" w:cs="Arial"/>
                <w:i w:val="0"/>
                <w:iCs w:val="0"/>
              </w:rPr>
            </w:pPr>
            <w:r>
              <w:rPr>
                <w:rStyle w:val="Emphasis"/>
                <w:rFonts w:eastAsia="Arial" w:cs="Arial"/>
                <w:i w:val="0"/>
                <w:iCs w:val="0"/>
              </w:rPr>
              <w:t>N</w:t>
            </w:r>
            <w:r w:rsidR="00452058" w:rsidRPr="00080EDC">
              <w:rPr>
                <w:rStyle w:val="Emphasis"/>
                <w:rFonts w:eastAsia="Arial" w:cs="Arial"/>
                <w:i w:val="0"/>
                <w:iCs w:val="0"/>
              </w:rPr>
              <w:t xml:space="preserve">ew </w:t>
            </w:r>
            <w:r w:rsidR="00452058" w:rsidRPr="00080EDC">
              <w:rPr>
                <w:rStyle w:val="Emphasis"/>
                <w:rFonts w:eastAsia="Arial" w:cs="Arial"/>
                <w:b/>
                <w:i w:val="0"/>
                <w:iCs w:val="0"/>
              </w:rPr>
              <w:t>postgraduate positions in community mental health teams</w:t>
            </w:r>
            <w:r w:rsidR="00452058" w:rsidRPr="00080EDC">
              <w:rPr>
                <w:rStyle w:val="Emphasis"/>
                <w:rFonts w:eastAsia="Arial" w:cs="Arial"/>
                <w:i w:val="0"/>
                <w:iCs w:val="0"/>
              </w:rPr>
              <w:t xml:space="preserve"> enable a protected learning space and for competencies to be</w:t>
            </w:r>
            <w:r w:rsidR="00A520EE">
              <w:rPr>
                <w:rStyle w:val="Emphasis"/>
                <w:rFonts w:eastAsia="Arial" w:cs="Arial"/>
                <w:i w:val="0"/>
                <w:iCs w:val="0"/>
              </w:rPr>
              <w:t xml:space="preserve"> </w:t>
            </w:r>
            <w:r w:rsidR="000552F6" w:rsidRPr="00B60E55">
              <w:rPr>
                <w:rStyle w:val="Emphasis"/>
                <w:rFonts w:eastAsia="Arial" w:cs="Arial"/>
                <w:i w:val="0"/>
                <w:iCs w:val="0"/>
              </w:rPr>
              <w:t>built</w:t>
            </w:r>
            <w:r w:rsidR="000552F6" w:rsidRPr="0020515A">
              <w:rPr>
                <w:rStyle w:val="Emphasis"/>
                <w:rFonts w:eastAsia="Arial" w:cs="Arial"/>
                <w:i w:val="0"/>
                <w:iCs w:val="0"/>
              </w:rPr>
              <w:t xml:space="preserve"> </w:t>
            </w:r>
            <w:r w:rsidR="00452058" w:rsidRPr="00080EDC">
              <w:rPr>
                <w:rStyle w:val="Emphasis"/>
                <w:rFonts w:eastAsia="Arial" w:cs="Arial"/>
                <w:i w:val="0"/>
                <w:iCs w:val="0"/>
              </w:rPr>
              <w:t xml:space="preserve">gradually. The nature of the position, and the support provided, has attracted staff who may otherwise have been reluctant to take on a new role with more </w:t>
            </w:r>
            <w:r w:rsidR="00452058" w:rsidRPr="00080EDC">
              <w:rPr>
                <w:rStyle w:val="normaltextrun"/>
                <w:rFonts w:eastAsia="Arial" w:cs="Arial"/>
                <w:iCs/>
              </w:rPr>
              <w:t>autonomy</w:t>
            </w:r>
            <w:r w:rsidR="00452058" w:rsidRPr="00080EDC">
              <w:rPr>
                <w:rStyle w:val="Emphasis"/>
                <w:rFonts w:eastAsia="Arial" w:cs="Arial"/>
                <w:i w:val="0"/>
                <w:iCs w:val="0"/>
              </w:rPr>
              <w:t xml:space="preserve"> and a greater scope of practice.</w:t>
            </w:r>
          </w:p>
          <w:p w14:paraId="2A151450" w14:textId="71E259C0" w:rsidR="00452058" w:rsidRPr="00B6223A" w:rsidRDefault="00CB6247" w:rsidP="006F3DF8">
            <w:pPr>
              <w:pStyle w:val="DHHStablebullet1"/>
              <w:rPr>
                <w:rStyle w:val="normaltextrun"/>
                <w:rFonts w:eastAsia="Arial" w:cs="Arial"/>
                <w:i/>
              </w:rPr>
            </w:pPr>
            <w:r>
              <w:rPr>
                <w:rStyle w:val="Emphasis"/>
                <w:rFonts w:eastAsia="Arial" w:cs="Arial"/>
                <w:i w:val="0"/>
                <w:iCs w:val="0"/>
              </w:rPr>
              <w:t>T</w:t>
            </w:r>
            <w:r w:rsidR="00452058" w:rsidRPr="00080EDC">
              <w:rPr>
                <w:rStyle w:val="Emphasis"/>
                <w:rFonts w:eastAsia="Arial" w:cs="Arial"/>
                <w:i w:val="0"/>
                <w:iCs w:val="0"/>
              </w:rPr>
              <w:t xml:space="preserve">he </w:t>
            </w:r>
            <w:r w:rsidR="00452058" w:rsidRPr="00080EDC">
              <w:rPr>
                <w:rStyle w:val="Emphasis"/>
                <w:rFonts w:eastAsia="Arial" w:cs="Arial"/>
                <w:b/>
                <w:i w:val="0"/>
                <w:iCs w:val="0"/>
              </w:rPr>
              <w:t>clinical nurse consultant position</w:t>
            </w:r>
            <w:r w:rsidR="00452058" w:rsidRPr="00080EDC">
              <w:rPr>
                <w:rStyle w:val="Emphasis"/>
                <w:rFonts w:eastAsia="Arial" w:cs="Arial"/>
                <w:i w:val="0"/>
                <w:iCs w:val="0"/>
              </w:rPr>
              <w:t xml:space="preserve"> provides a senior presence on the floor other than line management, giving junior nursing staff another mentor and resource. Staff can then gain increased </w:t>
            </w:r>
            <w:r w:rsidR="00452058" w:rsidRPr="00080EDC">
              <w:rPr>
                <w:rStyle w:val="Emphasis"/>
                <w:rFonts w:eastAsia="Arial" w:cs="Arial"/>
                <w:i w:val="0"/>
                <w:iCs w:val="0"/>
              </w:rPr>
              <w:lastRenderedPageBreak/>
              <w:t>confidence</w:t>
            </w:r>
            <w:r w:rsidR="000552F6">
              <w:rPr>
                <w:rStyle w:val="Emphasis"/>
                <w:rFonts w:eastAsia="Arial" w:cs="Arial"/>
                <w:i w:val="0"/>
                <w:iCs w:val="0"/>
              </w:rPr>
              <w:t xml:space="preserve"> </w:t>
            </w:r>
            <w:r w:rsidR="000552F6" w:rsidRPr="00080EDC">
              <w:rPr>
                <w:rStyle w:val="Emphasis"/>
                <w:rFonts w:eastAsia="Arial" w:cs="Arial"/>
                <w:i w:val="0"/>
                <w:iCs w:val="0"/>
              </w:rPr>
              <w:t>and</w:t>
            </w:r>
            <w:r w:rsidR="00452058" w:rsidRPr="00080EDC">
              <w:rPr>
                <w:rStyle w:val="Emphasis"/>
                <w:rFonts w:eastAsia="Arial" w:cs="Arial"/>
                <w:i w:val="0"/>
                <w:iCs w:val="0"/>
              </w:rPr>
              <w:t xml:space="preserve"> exposure to the different ways in which clinical care is provided, which will benefit care outcomes for consumers.</w:t>
            </w:r>
          </w:p>
        </w:tc>
      </w:tr>
    </w:tbl>
    <w:p w14:paraId="3A7AF757" w14:textId="1399FC62" w:rsidR="00452058" w:rsidRPr="00AA1A64" w:rsidRDefault="00452058" w:rsidP="00AA1A64">
      <w:pPr>
        <w:pStyle w:val="Heading5"/>
        <w:rPr>
          <w:rStyle w:val="normaltextrun"/>
        </w:rPr>
      </w:pPr>
      <w:r w:rsidRPr="00AA1A64">
        <w:rPr>
          <w:rStyle w:val="normaltextrun"/>
        </w:rPr>
        <w:lastRenderedPageBreak/>
        <w:t xml:space="preserve">Hello Open Minds </w:t>
      </w:r>
      <w:r w:rsidR="00BC59AA">
        <w:rPr>
          <w:rStyle w:val="normaltextrun"/>
        </w:rPr>
        <w:t>– p</w:t>
      </w:r>
      <w:r w:rsidRPr="00AA1A64">
        <w:rPr>
          <w:rStyle w:val="normaltextrun"/>
        </w:rPr>
        <w:t>hase 2</w:t>
      </w:r>
    </w:p>
    <w:p w14:paraId="1A6F9C0D" w14:textId="77777777" w:rsidR="00452058" w:rsidRPr="004A0D30" w:rsidRDefault="00452058" w:rsidP="00452058">
      <w:pPr>
        <w:pStyle w:val="DHHSbody"/>
      </w:pPr>
      <w:r w:rsidRPr="004A0D30">
        <w:t xml:space="preserve">The Hello Open Minds workforce attraction campaign aims to promote careers in mental health. It is designed to grow workforce numbers and support other initiatives in the </w:t>
      </w:r>
      <w:r w:rsidRPr="004A0D30">
        <w:rPr>
          <w:i/>
        </w:rPr>
        <w:t>Mental health workforce strategy</w:t>
      </w:r>
      <w:r w:rsidRPr="004A0D30">
        <w:t xml:space="preserve"> to further develop and support specific disciplines in mental health. </w:t>
      </w:r>
    </w:p>
    <w:p w14:paraId="46C25139" w14:textId="4322D149" w:rsidR="00452058" w:rsidRPr="00FF65CE" w:rsidRDefault="00452058" w:rsidP="00452058">
      <w:pPr>
        <w:pStyle w:val="DHHSbody"/>
        <w:rPr>
          <w:rStyle w:val="normaltextrun"/>
        </w:rPr>
      </w:pPr>
      <w:r>
        <w:rPr>
          <w:rStyle w:val="normaltextrun"/>
        </w:rPr>
        <w:t xml:space="preserve">In </w:t>
      </w:r>
      <w:r w:rsidR="00894D3B">
        <w:rPr>
          <w:rStyle w:val="normaltextrun"/>
        </w:rPr>
        <w:t>2019–20</w:t>
      </w:r>
      <w:r w:rsidR="00BC59AA">
        <w:rPr>
          <w:rStyle w:val="normaltextrun"/>
        </w:rPr>
        <w:t>,</w:t>
      </w:r>
      <w:r w:rsidRPr="6C11EE51">
        <w:rPr>
          <w:rStyle w:val="normaltextrun"/>
        </w:rPr>
        <w:t xml:space="preserve"> investment in </w:t>
      </w:r>
      <w:r>
        <w:rPr>
          <w:rStyle w:val="normaltextrun"/>
        </w:rPr>
        <w:t>additional</w:t>
      </w:r>
      <w:r w:rsidRPr="6C11EE51">
        <w:rPr>
          <w:rStyle w:val="normaltextrun"/>
        </w:rPr>
        <w:t xml:space="preserve"> strategies boost</w:t>
      </w:r>
      <w:r w:rsidR="00605125">
        <w:rPr>
          <w:rStyle w:val="normaltextrun"/>
        </w:rPr>
        <w:t>ed</w:t>
      </w:r>
      <w:r w:rsidRPr="6C11EE51">
        <w:rPr>
          <w:rStyle w:val="normaltextrun"/>
        </w:rPr>
        <w:t xml:space="preserve"> workforce supply through </w:t>
      </w:r>
      <w:r w:rsidR="00095B28">
        <w:rPr>
          <w:rStyle w:val="normaltextrun"/>
        </w:rPr>
        <w:t>phase</w:t>
      </w:r>
      <w:r w:rsidRPr="6C11EE51">
        <w:rPr>
          <w:rStyle w:val="normaltextrun"/>
        </w:rPr>
        <w:t xml:space="preserve"> 2 of the Hello Open Minds initiative</w:t>
      </w:r>
      <w:r w:rsidR="00ED32FF">
        <w:rPr>
          <w:rStyle w:val="normaltextrun"/>
        </w:rPr>
        <w:t>, including</w:t>
      </w:r>
      <w:r>
        <w:rPr>
          <w:rStyle w:val="normaltextrun"/>
        </w:rPr>
        <w:t>:</w:t>
      </w:r>
      <w:r w:rsidRPr="6C11EE51">
        <w:rPr>
          <w:rStyle w:val="normaltextrun"/>
        </w:rPr>
        <w:t xml:space="preserve"> </w:t>
      </w:r>
    </w:p>
    <w:p w14:paraId="14905D57" w14:textId="4553E6E2" w:rsidR="00452058" w:rsidRPr="00EF7136" w:rsidRDefault="005E01D6" w:rsidP="00EF7136">
      <w:pPr>
        <w:pStyle w:val="DHHSbullet1"/>
        <w:rPr>
          <w:rStyle w:val="normaltextrun"/>
        </w:rPr>
      </w:pPr>
      <w:r>
        <w:rPr>
          <w:rStyle w:val="normaltextrun"/>
        </w:rPr>
        <w:t>T</w:t>
      </w:r>
      <w:r w:rsidRPr="6C11EE51">
        <w:rPr>
          <w:rStyle w:val="normaltextrun"/>
        </w:rPr>
        <w:t xml:space="preserve">he Rural Workforce Agency Victoria managed and operated </w:t>
      </w:r>
      <w:r>
        <w:rPr>
          <w:rStyle w:val="normaltextrun"/>
        </w:rPr>
        <w:t>a</w:t>
      </w:r>
      <w:r w:rsidR="00452058" w:rsidRPr="6C11EE51">
        <w:rPr>
          <w:rStyle w:val="normaltextrun"/>
        </w:rPr>
        <w:t xml:space="preserve"> mental health relocation grants program. This program has been designed to support mental health workers to relocate and take up roles in </w:t>
      </w:r>
      <w:r w:rsidR="00452058" w:rsidRPr="00EF7136">
        <w:rPr>
          <w:rStyle w:val="normaltextrun"/>
        </w:rPr>
        <w:t>public specialist mental health services operating in rural or remote areas of Victoria. The program offers financial incentives and tailored support.</w:t>
      </w:r>
    </w:p>
    <w:p w14:paraId="01599BF7" w14:textId="3C95372C" w:rsidR="00452058" w:rsidRDefault="00452058" w:rsidP="00EF7136">
      <w:pPr>
        <w:pStyle w:val="DHHSbullet1"/>
        <w:rPr>
          <w:rStyle w:val="normaltextrun"/>
        </w:rPr>
      </w:pPr>
      <w:r w:rsidRPr="00EF7136">
        <w:rPr>
          <w:rStyle w:val="normaltextrun"/>
        </w:rPr>
        <w:t>Pre-qualification employment programs at select mental health services offer</w:t>
      </w:r>
      <w:r w:rsidR="00605125">
        <w:rPr>
          <w:rStyle w:val="normaltextrun"/>
        </w:rPr>
        <w:t>ed</w:t>
      </w:r>
      <w:r w:rsidRPr="00EF7136">
        <w:rPr>
          <w:rStyle w:val="normaltextrun"/>
        </w:rPr>
        <w:t xml:space="preserve"> employment opportunities to students registered in a Bachelor of Nursing </w:t>
      </w:r>
      <w:r w:rsidR="00605125">
        <w:rPr>
          <w:rStyle w:val="normaltextrun"/>
        </w:rPr>
        <w:t>p</w:t>
      </w:r>
      <w:r w:rsidRPr="00EF7136">
        <w:rPr>
          <w:rStyle w:val="normaltextrun"/>
        </w:rPr>
        <w:t xml:space="preserve">rogram. The </w:t>
      </w:r>
      <w:r w:rsidR="00605125">
        <w:rPr>
          <w:rStyle w:val="normaltextrun"/>
        </w:rPr>
        <w:t xml:space="preserve">employment </w:t>
      </w:r>
      <w:r w:rsidRPr="00EF7136">
        <w:rPr>
          <w:rStyle w:val="normaltextrun"/>
        </w:rPr>
        <w:t xml:space="preserve">programs aim </w:t>
      </w:r>
      <w:r w:rsidR="00605125">
        <w:rPr>
          <w:rStyle w:val="normaltextrun"/>
        </w:rPr>
        <w:t>to</w:t>
      </w:r>
      <w:r w:rsidRPr="6C11EE51">
        <w:rPr>
          <w:rStyle w:val="normaltextrun"/>
        </w:rPr>
        <w:t xml:space="preserve"> increas</w:t>
      </w:r>
      <w:r w:rsidR="00D36601">
        <w:rPr>
          <w:rStyle w:val="normaltextrun"/>
        </w:rPr>
        <w:t>e</w:t>
      </w:r>
      <w:r w:rsidRPr="6C11EE51">
        <w:rPr>
          <w:rStyle w:val="normaltextrun"/>
        </w:rPr>
        <w:t xml:space="preserve"> students’ interest, skills and confidence to provide recovery-oriented and person-centred care to consumers</w:t>
      </w:r>
      <w:r w:rsidR="00D36601">
        <w:rPr>
          <w:rStyle w:val="normaltextrun"/>
        </w:rPr>
        <w:t>,</w:t>
      </w:r>
      <w:r w:rsidRPr="6C11EE51">
        <w:rPr>
          <w:rStyle w:val="normaltextrun"/>
        </w:rPr>
        <w:t xml:space="preserve"> families and carers and to ultimately encourage them to take up future employment at a mental health service. Early evaluation results have been encouraging, with program participants reporting they are consolidating and gaining valuable skills.</w:t>
      </w:r>
      <w:r>
        <w:rPr>
          <w:rStyle w:val="normaltextrun"/>
        </w:rPr>
        <w:t xml:space="preserve"> </w:t>
      </w:r>
      <w:r w:rsidR="00D36601">
        <w:rPr>
          <w:rStyle w:val="normaltextrun"/>
        </w:rPr>
        <w:t xml:space="preserve">Most </w:t>
      </w:r>
      <w:r w:rsidRPr="00FF65CE">
        <w:rPr>
          <w:rStyle w:val="normaltextrun"/>
        </w:rPr>
        <w:t>program participants reported considering a career in mental health (90</w:t>
      </w:r>
      <w:r>
        <w:rPr>
          <w:rStyle w:val="normaltextrun"/>
        </w:rPr>
        <w:t xml:space="preserve"> per cent</w:t>
      </w:r>
      <w:r w:rsidRPr="00FF65CE">
        <w:rPr>
          <w:rStyle w:val="normaltextrun"/>
        </w:rPr>
        <w:t xml:space="preserve"> intending to apply for a graduate position at a mental health service) and that in the absence of the program they would have sought employment opportunities in health but not in mental health specifically. </w:t>
      </w:r>
    </w:p>
    <w:p w14:paraId="38181C70" w14:textId="1915DE9E" w:rsidR="00452058" w:rsidRDefault="00452058" w:rsidP="00452058">
      <w:pPr>
        <w:pStyle w:val="DHHSbullet1"/>
        <w:numPr>
          <w:ilvl w:val="0"/>
          <w:numId w:val="0"/>
        </w:numPr>
        <w:ind w:left="284"/>
      </w:pPr>
      <w:r>
        <w:t xml:space="preserve">Students commented that the program gives a </w:t>
      </w:r>
      <w:r w:rsidR="00F374C2">
        <w:t>‘</w:t>
      </w:r>
      <w:r>
        <w:t>head start</w:t>
      </w:r>
      <w:r w:rsidR="00F374C2">
        <w:t>’</w:t>
      </w:r>
      <w:r>
        <w:t xml:space="preserve"> to fresh graduates entering the job market and provides an understanding of working in a</w:t>
      </w:r>
      <w:r w:rsidR="00ED32FF">
        <w:t>n</w:t>
      </w:r>
      <w:r>
        <w:t xml:space="preserve"> </w:t>
      </w:r>
      <w:r w:rsidR="00ED32FF">
        <w:t xml:space="preserve">inpatient </w:t>
      </w:r>
      <w:r>
        <w:t>setting with actual responsibilities.</w:t>
      </w:r>
    </w:p>
    <w:p w14:paraId="15AAACCE" w14:textId="77777777" w:rsidR="00452058" w:rsidRPr="00452058" w:rsidRDefault="00452058" w:rsidP="00B267D2">
      <w:pPr>
        <w:pStyle w:val="Heading5"/>
        <w:rPr>
          <w:rStyle w:val="normaltextrun"/>
        </w:rPr>
      </w:pPr>
      <w:r w:rsidRPr="00EE42BB">
        <w:rPr>
          <w:rStyle w:val="normaltextrun"/>
        </w:rPr>
        <w:t xml:space="preserve">Initiatives to </w:t>
      </w:r>
      <w:r w:rsidRPr="00B267D2">
        <w:rPr>
          <w:rStyle w:val="normaltextrun"/>
        </w:rPr>
        <w:t>support</w:t>
      </w:r>
      <w:r w:rsidRPr="00EE42BB">
        <w:rPr>
          <w:rStyle w:val="normaltextrun"/>
        </w:rPr>
        <w:t xml:space="preserve"> workforce capability</w:t>
      </w:r>
    </w:p>
    <w:p w14:paraId="4FB41C66" w14:textId="7424BE70" w:rsidR="00452058" w:rsidRPr="00582966" w:rsidRDefault="00452058" w:rsidP="00452058">
      <w:pPr>
        <w:pStyle w:val="DHHSbody"/>
        <w:rPr>
          <w:rStyle w:val="normaltextrun"/>
        </w:rPr>
      </w:pPr>
      <w:r w:rsidRPr="6C11EE51">
        <w:rPr>
          <w:rStyle w:val="normaltextrun"/>
        </w:rPr>
        <w:t xml:space="preserve">In </w:t>
      </w:r>
      <w:r w:rsidR="00894D3B">
        <w:rPr>
          <w:rStyle w:val="normaltextrun"/>
        </w:rPr>
        <w:t>2019–20</w:t>
      </w:r>
      <w:r w:rsidR="0090126C">
        <w:rPr>
          <w:rStyle w:val="normaltextrun"/>
        </w:rPr>
        <w:t>,</w:t>
      </w:r>
      <w:r w:rsidRPr="6C11EE51">
        <w:rPr>
          <w:rStyle w:val="normaltextrun"/>
        </w:rPr>
        <w:t xml:space="preserve"> further investment support</w:t>
      </w:r>
      <w:r w:rsidR="00D36601">
        <w:rPr>
          <w:rStyle w:val="normaltextrun"/>
        </w:rPr>
        <w:t>ed</w:t>
      </w:r>
      <w:r w:rsidRPr="6C11EE51">
        <w:rPr>
          <w:rStyle w:val="normaltextrun"/>
        </w:rPr>
        <w:t xml:space="preserve"> the skills and capability of the mental health workforce</w:t>
      </w:r>
      <w:r w:rsidR="00D36601">
        <w:rPr>
          <w:rStyle w:val="normaltextrun"/>
        </w:rPr>
        <w:t>, as outlined below.</w:t>
      </w:r>
    </w:p>
    <w:p w14:paraId="4BB24C6C" w14:textId="40AABFD4" w:rsidR="00452058" w:rsidRPr="00C00690" w:rsidRDefault="00452058" w:rsidP="00C00690">
      <w:pPr>
        <w:pStyle w:val="Heading6MHAR"/>
        <w:rPr>
          <w:rStyle w:val="normaltextrun"/>
        </w:rPr>
      </w:pPr>
      <w:r w:rsidRPr="00C00690">
        <w:rPr>
          <w:rStyle w:val="normaltextrun"/>
        </w:rPr>
        <w:t>Centre for Mental Health Learning</w:t>
      </w:r>
    </w:p>
    <w:p w14:paraId="122A9D22" w14:textId="06B3413B" w:rsidR="00452058" w:rsidRPr="001F16D5" w:rsidRDefault="00452058" w:rsidP="00452058">
      <w:pPr>
        <w:pStyle w:val="DHHSbody"/>
        <w:rPr>
          <w:rStyle w:val="normaltextrun"/>
        </w:rPr>
      </w:pPr>
      <w:r>
        <w:rPr>
          <w:rStyle w:val="normaltextrun"/>
        </w:rPr>
        <w:t xml:space="preserve">The </w:t>
      </w:r>
      <w:r w:rsidRPr="001F16D5">
        <w:rPr>
          <w:rStyle w:val="normaltextrun"/>
        </w:rPr>
        <w:t>Centre for Mental Health Learning is the centrepiece for mental health learning in Victoria</w:t>
      </w:r>
      <w:r>
        <w:rPr>
          <w:rStyle w:val="normaltextrun"/>
        </w:rPr>
        <w:t>,</w:t>
      </w:r>
      <w:r w:rsidRPr="001F16D5">
        <w:rPr>
          <w:rStyle w:val="normaltextrun"/>
        </w:rPr>
        <w:t xml:space="preserve"> leading and driving innovation that strengthens and sustains a flexible, curious, knowledgeable and recovery-focused workforce. In </w:t>
      </w:r>
      <w:r w:rsidR="00894D3B">
        <w:rPr>
          <w:rStyle w:val="normaltextrun"/>
        </w:rPr>
        <w:t>2019–20</w:t>
      </w:r>
      <w:r w:rsidRPr="001F16D5">
        <w:rPr>
          <w:rStyle w:val="normaltextrun"/>
        </w:rPr>
        <w:t xml:space="preserve">, the </w:t>
      </w:r>
      <w:r w:rsidR="00D36601">
        <w:rPr>
          <w:rStyle w:val="normaltextrun"/>
        </w:rPr>
        <w:t>c</w:t>
      </w:r>
      <w:r>
        <w:rPr>
          <w:rStyle w:val="normaltextrun"/>
        </w:rPr>
        <w:t>entre</w:t>
      </w:r>
      <w:r w:rsidRPr="001F16D5">
        <w:rPr>
          <w:rStyle w:val="normaltextrun"/>
        </w:rPr>
        <w:t xml:space="preserve"> received </w:t>
      </w:r>
      <w:r w:rsidR="00D36601">
        <w:rPr>
          <w:rStyle w:val="normaltextrun"/>
        </w:rPr>
        <w:t>more funding</w:t>
      </w:r>
      <w:r w:rsidRPr="001F16D5">
        <w:rPr>
          <w:rStyle w:val="normaltextrun"/>
        </w:rPr>
        <w:t xml:space="preserve"> to deliver and support health service workforce development, </w:t>
      </w:r>
      <w:r w:rsidR="0059774E">
        <w:rPr>
          <w:rStyle w:val="normaltextrun"/>
        </w:rPr>
        <w:t xml:space="preserve">to </w:t>
      </w:r>
      <w:r w:rsidRPr="001F16D5">
        <w:rPr>
          <w:rStyle w:val="normaltextrun"/>
        </w:rPr>
        <w:t>p</w:t>
      </w:r>
      <w:r w:rsidRPr="001F16D5">
        <w:t xml:space="preserve">rogress statewide training provider collaboration and evaluation, and </w:t>
      </w:r>
      <w:r w:rsidR="0059774E">
        <w:t xml:space="preserve">to </w:t>
      </w:r>
      <w:r w:rsidRPr="001F16D5">
        <w:t>expand its website to include a supervision database, educator resources and new online learning content.</w:t>
      </w:r>
    </w:p>
    <w:p w14:paraId="07DAE949" w14:textId="77777777" w:rsidR="00452058" w:rsidRPr="00C00690" w:rsidRDefault="00452058" w:rsidP="00C00690">
      <w:pPr>
        <w:pStyle w:val="Heading6MHAR"/>
        <w:rPr>
          <w:rStyle w:val="normaltextrun"/>
        </w:rPr>
      </w:pPr>
      <w:r w:rsidRPr="00C00690">
        <w:rPr>
          <w:rStyle w:val="normaltextrun"/>
        </w:rPr>
        <w:t>Lived experience workforce initiatives</w:t>
      </w:r>
    </w:p>
    <w:p w14:paraId="74345761" w14:textId="4DE78B7B" w:rsidR="00452058" w:rsidRPr="00582966" w:rsidRDefault="0059774E" w:rsidP="00452058">
      <w:pPr>
        <w:pStyle w:val="DHHSbody"/>
      </w:pPr>
      <w:r>
        <w:t xml:space="preserve">Several </w:t>
      </w:r>
      <w:r w:rsidR="00452058">
        <w:t>initiatives focus</w:t>
      </w:r>
      <w:r>
        <w:t>ed</w:t>
      </w:r>
      <w:r w:rsidR="00452058">
        <w:t xml:space="preserve"> on practice support and development for lived experience workforces</w:t>
      </w:r>
      <w:r>
        <w:t xml:space="preserve"> in 2019–20</w:t>
      </w:r>
      <w:r w:rsidR="00452058">
        <w:t>. These include</w:t>
      </w:r>
      <w:r>
        <w:t>d</w:t>
      </w:r>
      <w:r w:rsidR="00452058">
        <w:t>:</w:t>
      </w:r>
    </w:p>
    <w:p w14:paraId="1709177B" w14:textId="6A1242F0" w:rsidR="00452058" w:rsidRPr="00EE42BB" w:rsidRDefault="0059774E" w:rsidP="00452058">
      <w:pPr>
        <w:pStyle w:val="DHHSbullet1"/>
      </w:pPr>
      <w:r>
        <w:t>a</w:t>
      </w:r>
      <w:r w:rsidR="00452058" w:rsidRPr="00EE42BB">
        <w:t>ccess to supervision for lived experience workers</w:t>
      </w:r>
    </w:p>
    <w:p w14:paraId="52D68B3F" w14:textId="40E188C9" w:rsidR="00452058" w:rsidRPr="00EE42BB" w:rsidRDefault="0059774E" w:rsidP="00452058">
      <w:pPr>
        <w:pStyle w:val="DHHSbullet1"/>
      </w:pPr>
      <w:r>
        <w:t>c</w:t>
      </w:r>
      <w:r w:rsidR="00452058" w:rsidRPr="00EE42BB">
        <w:t xml:space="preserve">onsumer </w:t>
      </w:r>
      <w:r>
        <w:t>p</w:t>
      </w:r>
      <w:r w:rsidR="00452058" w:rsidRPr="00EE42BB">
        <w:t xml:space="preserve">erspective </w:t>
      </w:r>
      <w:r>
        <w:t>s</w:t>
      </w:r>
      <w:r w:rsidR="00452058" w:rsidRPr="00EE42BB">
        <w:t xml:space="preserve">upervision training </w:t>
      </w:r>
    </w:p>
    <w:p w14:paraId="0BA8C742" w14:textId="53B009F6" w:rsidR="00452058" w:rsidRPr="00EE42BB" w:rsidRDefault="0059774E" w:rsidP="00452058">
      <w:pPr>
        <w:pStyle w:val="DHHSbullet1"/>
      </w:pPr>
      <w:r>
        <w:t>i</w:t>
      </w:r>
      <w:r w:rsidR="00452058" w:rsidRPr="00EE42BB">
        <w:t xml:space="preserve">ntentional </w:t>
      </w:r>
      <w:r>
        <w:t>p</w:t>
      </w:r>
      <w:r w:rsidR="00452058" w:rsidRPr="00EE42BB">
        <w:t xml:space="preserve">eer </w:t>
      </w:r>
      <w:r>
        <w:t>s</w:t>
      </w:r>
      <w:r w:rsidR="00452058" w:rsidRPr="00EE42BB">
        <w:t xml:space="preserve">upport </w:t>
      </w:r>
      <w:r>
        <w:t>five</w:t>
      </w:r>
      <w:r w:rsidR="00452058" w:rsidRPr="00EE42BB">
        <w:t xml:space="preserve">-day </w:t>
      </w:r>
      <w:r>
        <w:t>c</w:t>
      </w:r>
      <w:r w:rsidR="00452058" w:rsidRPr="00EE42BB">
        <w:t>ore training (online)</w:t>
      </w:r>
    </w:p>
    <w:p w14:paraId="64F0DA82" w14:textId="187C4218" w:rsidR="00452058" w:rsidRPr="00EE42BB" w:rsidRDefault="0059774E" w:rsidP="00452058">
      <w:pPr>
        <w:pStyle w:val="DHHSbullet1"/>
      </w:pPr>
      <w:r>
        <w:t>o</w:t>
      </w:r>
      <w:r w:rsidR="00452058" w:rsidRPr="00EE42BB">
        <w:t xml:space="preserve">nline co-reflection for lived experience workers trained in </w:t>
      </w:r>
      <w:r>
        <w:t>i</w:t>
      </w:r>
      <w:r w:rsidR="00452058" w:rsidRPr="00EE42BB">
        <w:t xml:space="preserve">ntentional </w:t>
      </w:r>
      <w:r>
        <w:t>p</w:t>
      </w:r>
      <w:r w:rsidR="00452058" w:rsidRPr="00EE42BB">
        <w:t xml:space="preserve">eer </w:t>
      </w:r>
      <w:r>
        <w:t>s</w:t>
      </w:r>
      <w:r w:rsidR="00452058" w:rsidRPr="00EE42BB">
        <w:t>upport</w:t>
      </w:r>
    </w:p>
    <w:p w14:paraId="06FB9B86" w14:textId="720058D9" w:rsidR="00452058" w:rsidRPr="00EE42BB" w:rsidRDefault="0059774E" w:rsidP="00452058">
      <w:pPr>
        <w:pStyle w:val="DHHSbullet1"/>
      </w:pPr>
      <w:r>
        <w:t>o</w:t>
      </w:r>
      <w:r w:rsidR="00452058" w:rsidRPr="00EE42BB">
        <w:t xml:space="preserve">nline co-reflection via </w:t>
      </w:r>
      <w:r w:rsidR="00452058">
        <w:t xml:space="preserve">the </w:t>
      </w:r>
      <w:r w:rsidR="00452058" w:rsidRPr="00EE42BB">
        <w:t>Centre for Mental Health Learning.</w:t>
      </w:r>
    </w:p>
    <w:p w14:paraId="7D8A258A" w14:textId="77777777" w:rsidR="00452058" w:rsidRPr="00C00690" w:rsidRDefault="00452058" w:rsidP="00C00690">
      <w:pPr>
        <w:pStyle w:val="Heading6MHAR"/>
        <w:rPr>
          <w:rStyle w:val="normaltextrun"/>
        </w:rPr>
      </w:pPr>
      <w:r w:rsidRPr="00C00690">
        <w:rPr>
          <w:rStyle w:val="normaltextrun"/>
        </w:rPr>
        <w:t>Supports for psychiatry</w:t>
      </w:r>
    </w:p>
    <w:p w14:paraId="37CF1260" w14:textId="2F44D258" w:rsidR="00452058" w:rsidRPr="00FA3BF9" w:rsidRDefault="0059774E" w:rsidP="00452058">
      <w:pPr>
        <w:pStyle w:val="DHHSbody"/>
      </w:pPr>
      <w:r>
        <w:t>A</w:t>
      </w:r>
      <w:r w:rsidR="00452058">
        <w:t xml:space="preserve"> number of initiatives </w:t>
      </w:r>
      <w:r>
        <w:t xml:space="preserve">were </w:t>
      </w:r>
      <w:r w:rsidR="00452058">
        <w:t xml:space="preserve">introduced </w:t>
      </w:r>
      <w:r>
        <w:t xml:space="preserve">in 2019–20 </w:t>
      </w:r>
      <w:r w:rsidR="00452058">
        <w:t>to better support psychiatrists. These have focused on training, mentoring and improving digital skills</w:t>
      </w:r>
      <w:r>
        <w:t xml:space="preserve"> including</w:t>
      </w:r>
      <w:r w:rsidR="00452058">
        <w:t xml:space="preserve"> </w:t>
      </w:r>
      <w:r>
        <w:t>t</w:t>
      </w:r>
      <w:r w:rsidR="00452058">
        <w:t>wo new key positions to support training: the Director of Training for Specialist International Medical Graduates, based at Goulburn Valley Health</w:t>
      </w:r>
      <w:r>
        <w:t>,</w:t>
      </w:r>
      <w:r w:rsidR="00452058">
        <w:t xml:space="preserve"> and the Director of Advanced Training</w:t>
      </w:r>
      <w:r w:rsidR="00B96DA0">
        <w:t xml:space="preserve"> – </w:t>
      </w:r>
      <w:r w:rsidR="00452058">
        <w:t>Addiction Psychiatry at Turning Point.</w:t>
      </w:r>
    </w:p>
    <w:p w14:paraId="1D84BF5B" w14:textId="6D8719AB" w:rsidR="0048015D" w:rsidRDefault="00452058" w:rsidP="00452058">
      <w:pPr>
        <w:pStyle w:val="DHHSbody"/>
      </w:pPr>
      <w:r>
        <w:t xml:space="preserve">Psychiatry Workforce Development Grants </w:t>
      </w:r>
      <w:r w:rsidR="00ED32FF">
        <w:t xml:space="preserve">to </w:t>
      </w:r>
      <w:r>
        <w:t xml:space="preserve">support and promote leadership in priority areas and increase the use of digital technology </w:t>
      </w:r>
      <w:r w:rsidR="0059774E">
        <w:t xml:space="preserve">among the </w:t>
      </w:r>
      <w:r>
        <w:t>workforce were awarded in May 2020.</w:t>
      </w:r>
    </w:p>
    <w:p w14:paraId="07AFE68A" w14:textId="77777777" w:rsidR="00AF2378" w:rsidRDefault="00AF2378" w:rsidP="00B267D2">
      <w:pPr>
        <w:pStyle w:val="Heading4"/>
        <w:rPr>
          <w:rStyle w:val="normaltextrun"/>
        </w:rPr>
      </w:pPr>
      <w:r w:rsidRPr="00B267D2">
        <w:rPr>
          <w:rStyle w:val="normaltextrun"/>
        </w:rPr>
        <w:t>Engagement</w:t>
      </w:r>
      <w:r>
        <w:rPr>
          <w:rStyle w:val="normaltextrun"/>
        </w:rPr>
        <w:t xml:space="preserve"> with consumers, families and carers</w:t>
      </w:r>
    </w:p>
    <w:p w14:paraId="022BE3ED" w14:textId="4D6191ED" w:rsidR="00AF2378" w:rsidRDefault="00AF2378" w:rsidP="00AF2378">
      <w:pPr>
        <w:pStyle w:val="DHHSbody"/>
      </w:pPr>
      <w:r>
        <w:t>Families and carers play a major and ongoing role in providing support and care to people with mental illness. An estimated 60,000 Victorians care for an adult with mental illness, and approximately 9,000 are young people under the age of 25. Engaging and working constructively with families and carers is integral to providing high-quality specialist mental health care.</w:t>
      </w:r>
    </w:p>
    <w:p w14:paraId="68D39984" w14:textId="143E675F" w:rsidR="00AF2378" w:rsidRDefault="00AF2378" w:rsidP="00AF2378">
      <w:pPr>
        <w:pStyle w:val="DHHSbody"/>
      </w:pPr>
      <w:r>
        <w:t>Partnerships between consumers, clinicians and carers should be based on mutual respect and recognition of the specific knowledge, expertise and experience that each brings. Identifying and responding to the needs of families</w:t>
      </w:r>
      <w:r w:rsidR="00ED32FF">
        <w:t xml:space="preserve"> and</w:t>
      </w:r>
      <w:r>
        <w:t xml:space="preserve"> carers improves social, emotional and physical wellbeing and enhances their ability to provide ongoing support and care.</w:t>
      </w:r>
    </w:p>
    <w:p w14:paraId="18B5536B" w14:textId="39106CD2" w:rsidR="00AF2378" w:rsidRDefault="00AF2378" w:rsidP="00AF2378">
      <w:pPr>
        <w:pStyle w:val="DHHSbody"/>
        <w:rPr>
          <w:rStyle w:val="normaltextrun"/>
        </w:rPr>
      </w:pPr>
      <w:r w:rsidRPr="00C35044">
        <w:t>The</w:t>
      </w:r>
      <w:r>
        <w:t xml:space="preserve"> </w:t>
      </w:r>
      <w:r w:rsidRPr="00947BAD">
        <w:rPr>
          <w:i/>
          <w:iCs/>
        </w:rPr>
        <w:t>10-year mental health plan</w:t>
      </w:r>
      <w:r>
        <w:t xml:space="preserve"> outlines </w:t>
      </w:r>
      <w:r w:rsidRPr="00C35044">
        <w:t xml:space="preserve">the </w:t>
      </w:r>
      <w:r>
        <w:t xml:space="preserve">importance </w:t>
      </w:r>
      <w:r w:rsidRPr="00C35044">
        <w:t>of engag</w:t>
      </w:r>
      <w:r>
        <w:t>ing and working productively</w:t>
      </w:r>
      <w:r w:rsidRPr="00C35044">
        <w:t xml:space="preserve"> with </w:t>
      </w:r>
      <w:r w:rsidRPr="00C35044">
        <w:rPr>
          <w:lang w:val="en-US"/>
        </w:rPr>
        <w:t>people with a mental illness and their families and carers and of co-produc</w:t>
      </w:r>
      <w:r w:rsidR="003B51E7">
        <w:rPr>
          <w:lang w:val="en-US"/>
        </w:rPr>
        <w:t>ing</w:t>
      </w:r>
      <w:r w:rsidRPr="00C35044">
        <w:rPr>
          <w:lang w:val="en-US"/>
        </w:rPr>
        <w:t xml:space="preserve"> polic</w:t>
      </w:r>
      <w:r w:rsidR="003B51E7">
        <w:rPr>
          <w:lang w:val="en-US"/>
        </w:rPr>
        <w:t>ies</w:t>
      </w:r>
      <w:r w:rsidRPr="00C35044">
        <w:rPr>
          <w:lang w:val="en-US"/>
        </w:rPr>
        <w:t xml:space="preserve"> and services. </w:t>
      </w:r>
      <w:r>
        <w:rPr>
          <w:lang w:val="en-US"/>
        </w:rPr>
        <w:t xml:space="preserve">Some examples of consumer engagement in Victoria are outlined </w:t>
      </w:r>
      <w:r w:rsidR="00ED32FF">
        <w:rPr>
          <w:lang w:val="en-US"/>
        </w:rPr>
        <w:t>here</w:t>
      </w:r>
      <w:r>
        <w:rPr>
          <w:lang w:val="en-US"/>
        </w:rPr>
        <w:t>.</w:t>
      </w:r>
      <w:r w:rsidRPr="003E3088">
        <w:rPr>
          <w:rStyle w:val="normaltextrun"/>
        </w:rPr>
        <w:t xml:space="preserve"> </w:t>
      </w:r>
    </w:p>
    <w:p w14:paraId="7F4E0104" w14:textId="5EE250F4" w:rsidR="00AF2378" w:rsidRDefault="00AF2378" w:rsidP="00B267D2">
      <w:pPr>
        <w:pStyle w:val="Heading5"/>
        <w:rPr>
          <w:rStyle w:val="normaltextrun"/>
        </w:rPr>
      </w:pPr>
      <w:r w:rsidRPr="003E3088">
        <w:rPr>
          <w:rStyle w:val="normaltextrun"/>
        </w:rPr>
        <w:t xml:space="preserve">Lived </w:t>
      </w:r>
      <w:r w:rsidRPr="00B267D2">
        <w:rPr>
          <w:rStyle w:val="normaltextrun"/>
        </w:rPr>
        <w:t>Experience Advisory</w:t>
      </w:r>
      <w:r w:rsidRPr="003E3088">
        <w:rPr>
          <w:rStyle w:val="normaltextrun"/>
        </w:rPr>
        <w:t xml:space="preserve"> Group</w:t>
      </w:r>
    </w:p>
    <w:p w14:paraId="6E89EBCA" w14:textId="260E3ACD" w:rsidR="00AF2378" w:rsidRDefault="00AF2378" w:rsidP="00AF2378">
      <w:pPr>
        <w:pStyle w:val="DHHSbody"/>
      </w:pPr>
      <w:r w:rsidRPr="003E3088">
        <w:t xml:space="preserve">The Lived Experience Advisory Group (LEAG) was established to provide consumers, </w:t>
      </w:r>
      <w:r w:rsidR="00ED32FF">
        <w:t>families and carers</w:t>
      </w:r>
      <w:r w:rsidRPr="003E3088">
        <w:t xml:space="preserve">, safeguarding agencies and the </w:t>
      </w:r>
      <w:r w:rsidR="00B736DC">
        <w:t xml:space="preserve">department’s </w:t>
      </w:r>
      <w:r w:rsidRPr="003E3088">
        <w:t xml:space="preserve">Mental Health and Drugs Branch </w:t>
      </w:r>
      <w:r w:rsidR="00B736DC">
        <w:t xml:space="preserve">with </w:t>
      </w:r>
      <w:r w:rsidRPr="003E3088">
        <w:t xml:space="preserve">the opportunity to work in partnership to embed lived experience perspectives at </w:t>
      </w:r>
      <w:r w:rsidR="00CC0E70">
        <w:t>the</w:t>
      </w:r>
      <w:r w:rsidRPr="003E3088">
        <w:t xml:space="preserve"> statewide level. </w:t>
      </w:r>
    </w:p>
    <w:p w14:paraId="3C278F9B" w14:textId="03C06D41" w:rsidR="00AF2378" w:rsidRPr="003E3088" w:rsidRDefault="00AF2378" w:rsidP="00AF2378">
      <w:pPr>
        <w:pStyle w:val="DHHSbody"/>
      </w:pPr>
      <w:r w:rsidRPr="003E3088">
        <w:t xml:space="preserve">The </w:t>
      </w:r>
      <w:r>
        <w:t>LEAG</w:t>
      </w:r>
      <w:r w:rsidRPr="003E3088">
        <w:t xml:space="preserve"> is co-chaired by the CEOs of VMIAC and Tandem and the </w:t>
      </w:r>
      <w:r w:rsidR="00B736DC">
        <w:t>e</w:t>
      </w:r>
      <w:r>
        <w:t xml:space="preserve">xecutive </w:t>
      </w:r>
      <w:r w:rsidR="00B736DC">
        <w:t>d</w:t>
      </w:r>
      <w:r w:rsidRPr="003E3088">
        <w:t>irector</w:t>
      </w:r>
      <w:r w:rsidR="00B736DC">
        <w:t xml:space="preserve"> of the</w:t>
      </w:r>
      <w:r w:rsidRPr="003E3088">
        <w:t xml:space="preserve"> Mental Health and Drugs Branch</w:t>
      </w:r>
      <w:r w:rsidR="00B736DC">
        <w:t>,</w:t>
      </w:r>
      <w:r w:rsidRPr="003E3088">
        <w:t xml:space="preserve"> and is informed by the principles outlined in the </w:t>
      </w:r>
      <w:r>
        <w:t>d</w:t>
      </w:r>
      <w:r w:rsidRPr="003E3088">
        <w:t xml:space="preserve">epartment’s </w:t>
      </w:r>
      <w:r w:rsidRPr="00B45319">
        <w:rPr>
          <w:i/>
          <w:iCs/>
        </w:rPr>
        <w:t xml:space="preserve">Lived </w:t>
      </w:r>
      <w:r w:rsidR="00B736DC">
        <w:rPr>
          <w:i/>
          <w:iCs/>
        </w:rPr>
        <w:t>e</w:t>
      </w:r>
      <w:r w:rsidRPr="00B45319">
        <w:rPr>
          <w:i/>
          <w:iCs/>
        </w:rPr>
        <w:t xml:space="preserve">xperience </w:t>
      </w:r>
      <w:r w:rsidR="00B736DC">
        <w:rPr>
          <w:i/>
          <w:iCs/>
        </w:rPr>
        <w:t>e</w:t>
      </w:r>
      <w:r w:rsidRPr="00B45319">
        <w:rPr>
          <w:i/>
          <w:iCs/>
        </w:rPr>
        <w:t xml:space="preserve">ngagement </w:t>
      </w:r>
      <w:r w:rsidR="00B736DC">
        <w:rPr>
          <w:i/>
          <w:iCs/>
        </w:rPr>
        <w:t>f</w:t>
      </w:r>
      <w:r w:rsidRPr="00B45319">
        <w:rPr>
          <w:i/>
          <w:iCs/>
        </w:rPr>
        <w:t>ramework</w:t>
      </w:r>
      <w:r w:rsidRPr="003E3088">
        <w:t>. The LEAG provides expert advice on lived experience perspectives in a range of areas such as increasing supported decision</w:t>
      </w:r>
      <w:r w:rsidR="00CC0E70">
        <w:t xml:space="preserve"> </w:t>
      </w:r>
      <w:r w:rsidRPr="003E3088">
        <w:t xml:space="preserve">making and supporting the lived experience workforce (including </w:t>
      </w:r>
      <w:r w:rsidR="00CC0E70">
        <w:t>c</w:t>
      </w:r>
      <w:r w:rsidRPr="003E3088">
        <w:t xml:space="preserve">onsumer and </w:t>
      </w:r>
      <w:r w:rsidR="00CC0E70">
        <w:t>c</w:t>
      </w:r>
      <w:r w:rsidRPr="003E3088">
        <w:t xml:space="preserve">arer </w:t>
      </w:r>
      <w:r w:rsidR="00CC0E70">
        <w:t>c</w:t>
      </w:r>
      <w:r w:rsidRPr="003E3088">
        <w:t>onsultants). The LEAG is also a key partner in the implement</w:t>
      </w:r>
      <w:r w:rsidR="00CC0E70">
        <w:t>ing</w:t>
      </w:r>
      <w:r w:rsidRPr="003E3088">
        <w:t xml:space="preserve"> the recommendations from the Royal Commission into Victoria’s Mental Health System, providing advice and guidance to Mental Health Reform Victoria </w:t>
      </w:r>
      <w:r w:rsidR="00CC0E70">
        <w:t xml:space="preserve">from </w:t>
      </w:r>
      <w:r w:rsidRPr="003E3088">
        <w:t xml:space="preserve">lived experience </w:t>
      </w:r>
      <w:r w:rsidRPr="00E855AE">
        <w:t>perspectives.</w:t>
      </w:r>
    </w:p>
    <w:p w14:paraId="54BD0473" w14:textId="77777777" w:rsidR="00AF2378" w:rsidRPr="00572D9F" w:rsidRDefault="00AF2378" w:rsidP="00A509AF">
      <w:pPr>
        <w:pStyle w:val="Heading5"/>
      </w:pPr>
      <w:r w:rsidRPr="00572D9F">
        <w:t>Participation registers</w:t>
      </w:r>
    </w:p>
    <w:p w14:paraId="72609321" w14:textId="57151FB6" w:rsidR="00AF2378" w:rsidRPr="003E3088" w:rsidRDefault="00AF2378" w:rsidP="00AF2378">
      <w:pPr>
        <w:pStyle w:val="DHHSbody"/>
      </w:pPr>
      <w:r w:rsidRPr="003E3088">
        <w:t xml:space="preserve">The lived experience participation registers </w:t>
      </w:r>
      <w:r>
        <w:t>have been</w:t>
      </w:r>
      <w:r w:rsidRPr="003E3088">
        <w:t xml:space="preserve"> established to ensure the voice of lived experience directly informs project, policy, planning and evaluation work undertaken by the Mental Health and Drugs Branch. Critically, the registers </w:t>
      </w:r>
      <w:r>
        <w:t>enable</w:t>
      </w:r>
      <w:r w:rsidRPr="003E3088">
        <w:t xml:space="preserve"> consumer</w:t>
      </w:r>
      <w:r>
        <w:t>s</w:t>
      </w:r>
      <w:r w:rsidRPr="003E3088">
        <w:t>, families and carers</w:t>
      </w:r>
      <w:r>
        <w:t xml:space="preserve"> to be engaged </w:t>
      </w:r>
      <w:r w:rsidR="00ED32FF">
        <w:t>at the outset of new work</w:t>
      </w:r>
      <w:r w:rsidRPr="003E3088">
        <w:t xml:space="preserve">. </w:t>
      </w:r>
    </w:p>
    <w:p w14:paraId="7DF953A4" w14:textId="096C196D" w:rsidR="00AF2378" w:rsidRPr="003E3088" w:rsidRDefault="00AF2378" w:rsidP="00AF2378">
      <w:pPr>
        <w:pStyle w:val="DHHSbody"/>
      </w:pPr>
      <w:r w:rsidRPr="003E3088">
        <w:t xml:space="preserve">The registers </w:t>
      </w:r>
      <w:r>
        <w:t>allow</w:t>
      </w:r>
      <w:r w:rsidRPr="003E3088">
        <w:t xml:space="preserve"> a consistent approach to engaging a diverse range of consumer</w:t>
      </w:r>
      <w:r>
        <w:t>s</w:t>
      </w:r>
      <w:r w:rsidR="00ED32FF">
        <w:t>, families</w:t>
      </w:r>
      <w:r w:rsidRPr="003E3088">
        <w:t xml:space="preserve"> and carers. The registers are </w:t>
      </w:r>
      <w:r w:rsidR="00ED32FF">
        <w:t>managed</w:t>
      </w:r>
      <w:r w:rsidR="00ED32FF" w:rsidRPr="003E3088">
        <w:t xml:space="preserve"> </w:t>
      </w:r>
      <w:r w:rsidRPr="003E3088">
        <w:t xml:space="preserve">by VMIAC and Tandem and have also been used by several areas within the department and other agencies. </w:t>
      </w:r>
      <w:r>
        <w:t>Register p</w:t>
      </w:r>
      <w:r w:rsidRPr="003E3088">
        <w:t xml:space="preserve">articipants are inducted by peers at VMIAC and Tandem and are supported and remunerated during participation activities. While there are challenges both for participants and departmental staff in learning how to work together, there is a growing understanding of how to do this work safely and effectively. Working with register participants </w:t>
      </w:r>
      <w:r w:rsidR="00CC0E70">
        <w:t>allows</w:t>
      </w:r>
      <w:r w:rsidRPr="003E3088">
        <w:t xml:space="preserve"> unique and valuable perspectives to be incorporated into the </w:t>
      </w:r>
      <w:r w:rsidR="00CC0E70">
        <w:t>b</w:t>
      </w:r>
      <w:r w:rsidRPr="003E3088">
        <w:t xml:space="preserve">ranch’s work and ensures that </w:t>
      </w:r>
      <w:r>
        <w:t>work</w:t>
      </w:r>
      <w:r w:rsidRPr="003E3088">
        <w:t xml:space="preserve"> is grounded in the lived experiences of those who use services, and their families and carers.</w:t>
      </w:r>
    </w:p>
    <w:p w14:paraId="610AC81E" w14:textId="77777777" w:rsidR="00AF2378" w:rsidRPr="00572D9F" w:rsidRDefault="00AF2378" w:rsidP="00A509AF">
      <w:pPr>
        <w:pStyle w:val="Heading5"/>
      </w:pPr>
      <w:r w:rsidRPr="00572D9F">
        <w:t xml:space="preserve">Consumer </w:t>
      </w:r>
      <w:r>
        <w:t>c</w:t>
      </w:r>
      <w:r w:rsidRPr="00572D9F">
        <w:t>onsultants – lived experience representation for systemic change in public mental health services</w:t>
      </w:r>
    </w:p>
    <w:p w14:paraId="75AC0561" w14:textId="1CBA3E8B" w:rsidR="00AF2378" w:rsidRPr="006B4101" w:rsidRDefault="00AF2378" w:rsidP="00AF2378">
      <w:pPr>
        <w:pStyle w:val="DHHSbody"/>
      </w:pPr>
      <w:r>
        <w:t>L</w:t>
      </w:r>
      <w:r w:rsidRPr="006B4101">
        <w:t xml:space="preserve">ived experience </w:t>
      </w:r>
      <w:r>
        <w:t xml:space="preserve">representation in the </w:t>
      </w:r>
      <w:r w:rsidRPr="006B4101">
        <w:t>workforce</w:t>
      </w:r>
      <w:r>
        <w:t xml:space="preserve"> is an enormously valuable component of the </w:t>
      </w:r>
      <w:r w:rsidRPr="006B4101">
        <w:t>public mental health service</w:t>
      </w:r>
      <w:r>
        <w:t xml:space="preserve"> system</w:t>
      </w:r>
      <w:r w:rsidRPr="006B4101">
        <w:t>. Th</w:t>
      </w:r>
      <w:r>
        <w:t xml:space="preserve">is representation </w:t>
      </w:r>
      <w:r w:rsidRPr="006B4101">
        <w:t xml:space="preserve">includes </w:t>
      </w:r>
      <w:r>
        <w:t>c</w:t>
      </w:r>
      <w:r w:rsidRPr="006B4101">
        <w:t xml:space="preserve">onsumer and </w:t>
      </w:r>
      <w:r>
        <w:t>c</w:t>
      </w:r>
      <w:r w:rsidRPr="006B4101">
        <w:t xml:space="preserve">arer </w:t>
      </w:r>
      <w:r>
        <w:t>c</w:t>
      </w:r>
      <w:r w:rsidRPr="006B4101">
        <w:t xml:space="preserve">onsultants and </w:t>
      </w:r>
      <w:r>
        <w:t>p</w:t>
      </w:r>
      <w:r w:rsidRPr="006B4101">
        <w:t xml:space="preserve">eer </w:t>
      </w:r>
      <w:r>
        <w:t>s</w:t>
      </w:r>
      <w:r w:rsidRPr="006B4101">
        <w:t xml:space="preserve">upport </w:t>
      </w:r>
      <w:r>
        <w:t>w</w:t>
      </w:r>
      <w:r w:rsidRPr="006B4101">
        <w:t xml:space="preserve">orkers. </w:t>
      </w:r>
      <w:r>
        <w:t xml:space="preserve">The </w:t>
      </w:r>
      <w:r w:rsidR="00CC0E70">
        <w:t>d</w:t>
      </w:r>
      <w:r w:rsidR="00CC0E70" w:rsidRPr="006B4101">
        <w:t xml:space="preserve">epartment </w:t>
      </w:r>
      <w:r w:rsidR="00CC0E70">
        <w:t xml:space="preserve">introduced the </w:t>
      </w:r>
      <w:r>
        <w:t>roles of c</w:t>
      </w:r>
      <w:r w:rsidRPr="006B4101">
        <w:t xml:space="preserve">onsumer and </w:t>
      </w:r>
      <w:r>
        <w:t>c</w:t>
      </w:r>
      <w:r w:rsidRPr="006B4101">
        <w:t xml:space="preserve">arer </w:t>
      </w:r>
      <w:r>
        <w:t>c</w:t>
      </w:r>
      <w:r w:rsidRPr="006B4101">
        <w:t>onsultants</w:t>
      </w:r>
      <w:r>
        <w:t xml:space="preserve"> within services </w:t>
      </w:r>
      <w:r w:rsidRPr="006B4101">
        <w:t xml:space="preserve">to ensure that consumer, family and carer perspectives inform all aspects of service planning and delivery. The roles play a separate but equally important function to the individual peer support workforce, in that their focus is improvement at </w:t>
      </w:r>
      <w:r w:rsidR="00CC0E70">
        <w:t>the</w:t>
      </w:r>
      <w:r w:rsidRPr="006B4101">
        <w:t xml:space="preserve"> health service and system level</w:t>
      </w:r>
      <w:r w:rsidR="00CC0E70">
        <w:t>s</w:t>
      </w:r>
      <w:r w:rsidRPr="006B4101">
        <w:t xml:space="preserve">. </w:t>
      </w:r>
    </w:p>
    <w:p w14:paraId="63575C50" w14:textId="2FFE2D12" w:rsidR="00AF2378" w:rsidRPr="006B4101" w:rsidRDefault="00AF2378" w:rsidP="00AF2378">
      <w:pPr>
        <w:pStyle w:val="DHHSbody"/>
      </w:pPr>
      <w:r w:rsidRPr="006B4101">
        <w:t xml:space="preserve">A </w:t>
      </w:r>
      <w:r>
        <w:t>c</w:t>
      </w:r>
      <w:r w:rsidRPr="006B4101">
        <w:t xml:space="preserve">onsumer </w:t>
      </w:r>
      <w:r>
        <w:t>c</w:t>
      </w:r>
      <w:r w:rsidRPr="006B4101">
        <w:t>onsultant has a lived experience of mental illness and an understanding of the public mental health service system</w:t>
      </w:r>
      <w:r w:rsidR="009A2101">
        <w:t>,</w:t>
      </w:r>
      <w:r w:rsidRPr="006B4101">
        <w:t xml:space="preserve"> with capacity to draw on personal experience as well as feedback from other consumers to contribute to system improvements. The</w:t>
      </w:r>
      <w:r>
        <w:t xml:space="preserve"> positions are undertaken by people</w:t>
      </w:r>
      <w:r w:rsidRPr="006B4101">
        <w:t xml:space="preserve"> who ha</w:t>
      </w:r>
      <w:r>
        <w:t>ve</w:t>
      </w:r>
      <w:r w:rsidRPr="006B4101">
        <w:t xml:space="preserve"> been a consumer of mental health services themselves </w:t>
      </w:r>
      <w:r>
        <w:t xml:space="preserve">who </w:t>
      </w:r>
      <w:r w:rsidRPr="006B4101">
        <w:t>now act as consumer representative</w:t>
      </w:r>
      <w:r>
        <w:t>s</w:t>
      </w:r>
      <w:r w:rsidRPr="006B4101">
        <w:t xml:space="preserve"> across the service. Consumer </w:t>
      </w:r>
      <w:r>
        <w:t>c</w:t>
      </w:r>
      <w:r w:rsidRPr="006B4101">
        <w:t xml:space="preserve">onsultants may </w:t>
      </w:r>
      <w:r>
        <w:t>receive</w:t>
      </w:r>
      <w:r w:rsidRPr="006B4101">
        <w:t xml:space="preserve"> direct feedback from consumers, represent consumers at meetings, have input into policy making and training, and promote consumer-focused, recovery</w:t>
      </w:r>
      <w:r w:rsidR="009A2101">
        <w:t>-</w:t>
      </w:r>
      <w:r w:rsidRPr="006B4101">
        <w:t>oriented</w:t>
      </w:r>
      <w:r w:rsidR="009A2101">
        <w:t>,</w:t>
      </w:r>
      <w:r w:rsidRPr="006B4101">
        <w:t xml:space="preserve"> humanistic service delivery. They promote consumer participation in all levels of decision making and are placed at the centre of policy and practice change, as partners in co-design and co-production. Consultants are employed in each area mental health service across Victoria, having local influence and work</w:t>
      </w:r>
      <w:r w:rsidR="003553AE">
        <w:t>ing</w:t>
      </w:r>
      <w:r w:rsidRPr="006B4101">
        <w:t xml:space="preserve"> together across services to ensure higher level mental health reform.</w:t>
      </w:r>
    </w:p>
    <w:p w14:paraId="297D4F7E" w14:textId="79C52C31" w:rsidR="00AF2378" w:rsidRPr="006B4101" w:rsidRDefault="00AF2378" w:rsidP="00AF2378">
      <w:pPr>
        <w:pStyle w:val="DHHSbody"/>
      </w:pPr>
      <w:r w:rsidRPr="006B4101">
        <w:t xml:space="preserve">The Statewide Consumer Consultant Council was established in 2019 to provide an opportunity for consumer consultants to connect and </w:t>
      </w:r>
      <w:r>
        <w:t>develop</w:t>
      </w:r>
      <w:r w:rsidRPr="006B4101">
        <w:t xml:space="preserve"> the role and related work priorities. The </w:t>
      </w:r>
      <w:r w:rsidR="00F57D4E">
        <w:t xml:space="preserve">department supports the </w:t>
      </w:r>
      <w:r w:rsidR="003553AE">
        <w:t xml:space="preserve">council </w:t>
      </w:r>
      <w:r w:rsidRPr="006B4101">
        <w:t xml:space="preserve">as part of its commitment to </w:t>
      </w:r>
      <w:r>
        <w:t xml:space="preserve">include the </w:t>
      </w:r>
      <w:r w:rsidRPr="006B4101">
        <w:t xml:space="preserve">lived experience perspective. </w:t>
      </w:r>
      <w:r w:rsidR="00F57D4E">
        <w:t>A</w:t>
      </w:r>
      <w:r>
        <w:t>t a statewide</w:t>
      </w:r>
      <w:r w:rsidRPr="006B4101">
        <w:t xml:space="preserve"> forum</w:t>
      </w:r>
      <w:r w:rsidR="00F57D4E">
        <w:t xml:space="preserve"> in late 2019</w:t>
      </w:r>
      <w:r w:rsidRPr="006B4101">
        <w:t>, consumer consultants identified key barriers and opportunities for this role. The council continues to meet regularly to progress this work, with an immediate focus on increasing the profile of the role and to better embed its functions into mental health services.</w:t>
      </w:r>
    </w:p>
    <w:p w14:paraId="475F53DD" w14:textId="57D00A6D" w:rsidR="00AF2378" w:rsidRPr="006B4101" w:rsidRDefault="002D424B" w:rsidP="00AF2378">
      <w:pPr>
        <w:pStyle w:val="DHHSbody"/>
      </w:pPr>
      <w:r>
        <w:t>Work is also being undertaken to support the carer and family workforce,</w:t>
      </w:r>
      <w:r w:rsidR="003E34BD">
        <w:t xml:space="preserve"> </w:t>
      </w:r>
      <w:r w:rsidR="00AF2378" w:rsidRPr="006B4101">
        <w:t xml:space="preserve">in partnership with the </w:t>
      </w:r>
      <w:r w:rsidR="003E34BD">
        <w:t>c</w:t>
      </w:r>
      <w:r w:rsidR="00AF2378" w:rsidRPr="006B4101">
        <w:t xml:space="preserve">arer </w:t>
      </w:r>
      <w:r w:rsidR="003E34BD">
        <w:t>l</w:t>
      </w:r>
      <w:r w:rsidR="00AF2378" w:rsidRPr="006B4101">
        <w:t xml:space="preserve">ived </w:t>
      </w:r>
      <w:r w:rsidR="003E34BD">
        <w:t>e</w:t>
      </w:r>
      <w:r w:rsidR="00AF2378" w:rsidRPr="006B4101">
        <w:t xml:space="preserve">xperience </w:t>
      </w:r>
      <w:r w:rsidR="003E34BD">
        <w:t>w</w:t>
      </w:r>
      <w:r w:rsidR="00AF2378" w:rsidRPr="006B4101">
        <w:t xml:space="preserve">orkforce, </w:t>
      </w:r>
      <w:r w:rsidR="003E34BD">
        <w:t xml:space="preserve">the </w:t>
      </w:r>
      <w:r w:rsidR="00AF2378" w:rsidRPr="006B4101">
        <w:t>Centre for Mental Health Learning and the Bouverie Centre.</w:t>
      </w:r>
    </w:p>
    <w:tbl>
      <w:tblPr>
        <w:tblStyle w:val="TableGrid"/>
        <w:tblW w:w="0" w:type="auto"/>
        <w:shd w:val="clear" w:color="auto" w:fill="FBE4D5" w:themeFill="accent2" w:themeFillTint="33"/>
        <w:tblLook w:val="04A0" w:firstRow="1" w:lastRow="0" w:firstColumn="1" w:lastColumn="0" w:noHBand="0" w:noVBand="1"/>
      </w:tblPr>
      <w:tblGrid>
        <w:gridCol w:w="9288"/>
      </w:tblGrid>
      <w:tr w:rsidR="00AF2378" w14:paraId="1DA56E70" w14:textId="77777777" w:rsidTr="000D01E9">
        <w:tc>
          <w:tcPr>
            <w:tcW w:w="9288" w:type="dxa"/>
            <w:shd w:val="clear" w:color="auto" w:fill="auto"/>
          </w:tcPr>
          <w:p w14:paraId="245DA42E" w14:textId="77777777" w:rsidR="00AF2378" w:rsidRPr="00700954" w:rsidRDefault="00AF2378" w:rsidP="00CE40D6">
            <w:pPr>
              <w:pStyle w:val="DHHStablecaption"/>
              <w:rPr>
                <w:rStyle w:val="Emphasis"/>
                <w:b w:val="0"/>
                <w:bCs/>
                <w:i w:val="0"/>
                <w:iCs w:val="0"/>
              </w:rPr>
            </w:pPr>
            <w:r w:rsidRPr="00700954">
              <w:rPr>
                <w:rStyle w:val="Emphasis"/>
                <w:bCs/>
                <w:i w:val="0"/>
                <w:iCs w:val="0"/>
              </w:rPr>
              <w:t>Consumer consultant at Bendigo Mental Health Services</w:t>
            </w:r>
          </w:p>
          <w:p w14:paraId="37703448" w14:textId="22B467A2" w:rsidR="00AF2378" w:rsidRPr="003E34BD" w:rsidRDefault="00AF2378" w:rsidP="000D01E9">
            <w:pPr>
              <w:pStyle w:val="DHHStabletext"/>
              <w:rPr>
                <w:rStyle w:val="Emphasis"/>
                <w:i w:val="0"/>
                <w:iCs w:val="0"/>
              </w:rPr>
            </w:pPr>
            <w:r w:rsidRPr="003E34BD">
              <w:rPr>
                <w:rStyle w:val="Emphasis"/>
                <w:i w:val="0"/>
                <w:iCs w:val="0"/>
              </w:rPr>
              <w:t xml:space="preserve">Stacey is a consumer consultant who also holds a separate role as a peer support worker (post discharge) with Bendigo Mental Health Services. This </w:t>
            </w:r>
            <w:r w:rsidR="003E34BD">
              <w:rPr>
                <w:rStyle w:val="Emphasis"/>
                <w:i w:val="0"/>
                <w:iCs w:val="0"/>
              </w:rPr>
              <w:t>a</w:t>
            </w:r>
            <w:r w:rsidRPr="003E34BD">
              <w:rPr>
                <w:rStyle w:val="Emphasis"/>
                <w:i w:val="0"/>
                <w:iCs w:val="0"/>
              </w:rPr>
              <w:t xml:space="preserve">rea </w:t>
            </w:r>
            <w:r w:rsidR="003E34BD">
              <w:rPr>
                <w:rStyle w:val="Emphasis"/>
                <w:i w:val="0"/>
                <w:iCs w:val="0"/>
              </w:rPr>
              <w:t>m</w:t>
            </w:r>
            <w:r w:rsidRPr="003E34BD">
              <w:rPr>
                <w:rStyle w:val="Emphasis"/>
                <w:i w:val="0"/>
                <w:iCs w:val="0"/>
              </w:rPr>
              <w:t xml:space="preserve">ental </w:t>
            </w:r>
            <w:r w:rsidR="003E34BD">
              <w:rPr>
                <w:rStyle w:val="Emphasis"/>
                <w:i w:val="0"/>
                <w:iCs w:val="0"/>
              </w:rPr>
              <w:t>h</w:t>
            </w:r>
            <w:r w:rsidRPr="003E34BD">
              <w:rPr>
                <w:rStyle w:val="Emphasis"/>
                <w:i w:val="0"/>
                <w:iCs w:val="0"/>
              </w:rPr>
              <w:t xml:space="preserve">ealth </w:t>
            </w:r>
            <w:r w:rsidR="003E34BD">
              <w:rPr>
                <w:rStyle w:val="Emphasis"/>
                <w:i w:val="0"/>
                <w:iCs w:val="0"/>
              </w:rPr>
              <w:t>s</w:t>
            </w:r>
            <w:r w:rsidRPr="003E34BD">
              <w:rPr>
                <w:rStyle w:val="Emphasis"/>
                <w:i w:val="0"/>
                <w:iCs w:val="0"/>
              </w:rPr>
              <w:t>ervice provides psychiatric care over an area a quarter of the size of Victoria. This is an expanding regional health service offering a range of clinical services to consumers across all ages through inpatient, bed-based, specialist units and community teams in the Loddon Mallee region.</w:t>
            </w:r>
          </w:p>
          <w:p w14:paraId="66927124" w14:textId="49DCDA0E" w:rsidR="00AF2378" w:rsidRPr="003E34BD" w:rsidRDefault="00AF2378" w:rsidP="000D01E9">
            <w:pPr>
              <w:pStyle w:val="DHHStabletext"/>
              <w:rPr>
                <w:rStyle w:val="Emphasis"/>
                <w:i w:val="0"/>
                <w:iCs w:val="0"/>
              </w:rPr>
            </w:pPr>
            <w:r w:rsidRPr="003E34BD">
              <w:rPr>
                <w:rStyle w:val="Emphasis"/>
                <w:i w:val="0"/>
                <w:iCs w:val="0"/>
              </w:rPr>
              <w:t>With a clinical background, Stacey never thought she would become a consumer of public mental health services and then go on to represent other consumers to make system change and support her peers. After years of her own acute mental illness and ongoing recovery, she now uses her insights to help others. Although at times representing and advocating for consumers at higher management levels can be daunting, it enables her to make real change in the lives of others.</w:t>
            </w:r>
          </w:p>
          <w:p w14:paraId="1B0B5AC1" w14:textId="2B19A2D0" w:rsidR="00AF2378" w:rsidRPr="00316019" w:rsidRDefault="00AF2378" w:rsidP="000D01E9">
            <w:pPr>
              <w:pStyle w:val="DHHStabletext"/>
              <w:rPr>
                <w:rStyle w:val="Emphasis"/>
              </w:rPr>
            </w:pPr>
            <w:r w:rsidRPr="003E34BD">
              <w:rPr>
                <w:rStyle w:val="Emphasis"/>
                <w:i w:val="0"/>
                <w:iCs w:val="0"/>
              </w:rPr>
              <w:t xml:space="preserve">As a peer support worker, she works in the community team and provides a mutual connection and support to adult consumers after an admission to help with recovery, staying well and reducing relapse. She also co-designed and runs </w:t>
            </w:r>
            <w:r w:rsidR="00852284" w:rsidRPr="006C6AC3">
              <w:rPr>
                <w:rStyle w:val="Emphasis"/>
                <w:i w:val="0"/>
                <w:iCs w:val="0"/>
              </w:rPr>
              <w:t>t</w:t>
            </w:r>
            <w:r w:rsidR="00852284" w:rsidRPr="00B45319">
              <w:rPr>
                <w:rStyle w:val="Emphasis"/>
                <w:i w:val="0"/>
                <w:iCs w:val="0"/>
              </w:rPr>
              <w:t>he</w:t>
            </w:r>
            <w:r w:rsidRPr="003E34BD">
              <w:rPr>
                <w:rStyle w:val="Emphasis"/>
                <w:i w:val="0"/>
                <w:iCs w:val="0"/>
              </w:rPr>
              <w:t xml:space="preserve"> Living Well Peer Led Group for the community team’s consumers. She finds </w:t>
            </w:r>
            <w:r w:rsidR="00852284" w:rsidRPr="006C6AC3">
              <w:rPr>
                <w:rStyle w:val="Emphasis"/>
                <w:i w:val="0"/>
                <w:iCs w:val="0"/>
              </w:rPr>
              <w:t>h</w:t>
            </w:r>
            <w:r w:rsidR="00852284" w:rsidRPr="00B45319">
              <w:rPr>
                <w:rStyle w:val="Emphasis"/>
                <w:i w:val="0"/>
                <w:iCs w:val="0"/>
              </w:rPr>
              <w:t>er</w:t>
            </w:r>
            <w:r w:rsidR="00852284" w:rsidRPr="003E34BD">
              <w:rPr>
                <w:rStyle w:val="Emphasis"/>
                <w:i w:val="0"/>
                <w:iCs w:val="0"/>
              </w:rPr>
              <w:t xml:space="preserve"> </w:t>
            </w:r>
            <w:r w:rsidRPr="003E34BD">
              <w:rPr>
                <w:rStyle w:val="Emphasis"/>
                <w:i w:val="0"/>
                <w:iCs w:val="0"/>
              </w:rPr>
              <w:t xml:space="preserve">consumer roles equally if not more rewarding </w:t>
            </w:r>
            <w:r w:rsidR="00852284" w:rsidRPr="006C6AC3">
              <w:rPr>
                <w:rStyle w:val="Emphasis"/>
                <w:i w:val="0"/>
                <w:iCs w:val="0"/>
              </w:rPr>
              <w:t>t</w:t>
            </w:r>
            <w:r w:rsidR="00852284" w:rsidRPr="00B45319">
              <w:rPr>
                <w:rStyle w:val="Emphasis"/>
                <w:i w:val="0"/>
                <w:iCs w:val="0"/>
              </w:rPr>
              <w:t>han</w:t>
            </w:r>
            <w:r w:rsidR="00852284">
              <w:rPr>
                <w:rStyle w:val="Emphasis"/>
              </w:rPr>
              <w:t xml:space="preserve"> </w:t>
            </w:r>
            <w:r w:rsidRPr="003E34BD">
              <w:rPr>
                <w:rStyle w:val="Emphasis"/>
                <w:i w:val="0"/>
                <w:iCs w:val="0"/>
              </w:rPr>
              <w:t xml:space="preserve">her </w:t>
            </w:r>
            <w:r w:rsidR="00852284" w:rsidRPr="006C6AC3">
              <w:rPr>
                <w:rStyle w:val="Emphasis"/>
                <w:i w:val="0"/>
                <w:iCs w:val="0"/>
              </w:rPr>
              <w:t>p</w:t>
            </w:r>
            <w:r w:rsidR="00852284" w:rsidRPr="00B45319">
              <w:rPr>
                <w:rStyle w:val="Emphasis"/>
                <w:i w:val="0"/>
                <w:iCs w:val="0"/>
              </w:rPr>
              <w:t>revious</w:t>
            </w:r>
            <w:r w:rsidR="00852284">
              <w:rPr>
                <w:rStyle w:val="Emphasis"/>
              </w:rPr>
              <w:t xml:space="preserve"> </w:t>
            </w:r>
            <w:r w:rsidRPr="003E34BD">
              <w:rPr>
                <w:rStyle w:val="Emphasis"/>
                <w:i w:val="0"/>
                <w:iCs w:val="0"/>
              </w:rPr>
              <w:t>clinical career. She works alongside clinical staff and feels her role is valued and consumer perspective respected. She is passionate about regional consumers’ care and is excited about proposed wider mental health service reform and further expansion of the lived experience workforce.</w:t>
            </w:r>
            <w:r w:rsidRPr="006B4101">
              <w:rPr>
                <w:rStyle w:val="Emphasis"/>
              </w:rPr>
              <w:t xml:space="preserve"> </w:t>
            </w:r>
          </w:p>
        </w:tc>
      </w:tr>
    </w:tbl>
    <w:p w14:paraId="6E8A8DBC" w14:textId="77777777" w:rsidR="00AF2378" w:rsidRPr="00FE48EC" w:rsidRDefault="00AF2378" w:rsidP="007B48FE">
      <w:pPr>
        <w:pStyle w:val="DHHSbodynospace"/>
      </w:pPr>
    </w:p>
    <w:tbl>
      <w:tblPr>
        <w:tblStyle w:val="TableGrid"/>
        <w:tblW w:w="0" w:type="auto"/>
        <w:shd w:val="clear" w:color="auto" w:fill="DEEAF6" w:themeFill="accent5" w:themeFillTint="33"/>
        <w:tblLook w:val="04A0" w:firstRow="1" w:lastRow="0" w:firstColumn="1" w:lastColumn="0" w:noHBand="0" w:noVBand="1"/>
      </w:tblPr>
      <w:tblGrid>
        <w:gridCol w:w="9288"/>
      </w:tblGrid>
      <w:tr w:rsidR="00AF2378" w14:paraId="59220441" w14:textId="77777777" w:rsidTr="000D01E9">
        <w:tc>
          <w:tcPr>
            <w:tcW w:w="9288" w:type="dxa"/>
            <w:shd w:val="clear" w:color="auto" w:fill="auto"/>
          </w:tcPr>
          <w:p w14:paraId="5B5F69C3" w14:textId="73A0DCEB" w:rsidR="00AF2378" w:rsidRPr="00724245" w:rsidRDefault="00AF2378" w:rsidP="00CE40D6">
            <w:pPr>
              <w:pStyle w:val="DHHStablecaption"/>
              <w:rPr>
                <w:rStyle w:val="Emphasis"/>
                <w:b w:val="0"/>
                <w:bCs/>
                <w:i w:val="0"/>
                <w:iCs w:val="0"/>
              </w:rPr>
            </w:pPr>
            <w:r>
              <w:rPr>
                <w:rStyle w:val="Emphasis"/>
                <w:bCs/>
                <w:i w:val="0"/>
                <w:iCs w:val="0"/>
              </w:rPr>
              <w:t>Craig’s experience</w:t>
            </w:r>
          </w:p>
          <w:p w14:paraId="766950C7" w14:textId="24E88036" w:rsidR="00AF2378" w:rsidRPr="000B3DCC" w:rsidRDefault="00F374C2" w:rsidP="000D01E9">
            <w:pPr>
              <w:pStyle w:val="DHHStabletext"/>
              <w:rPr>
                <w:rStyle w:val="Emphasis"/>
              </w:rPr>
            </w:pPr>
            <w:r>
              <w:rPr>
                <w:rStyle w:val="Emphasis"/>
              </w:rPr>
              <w:t>‘</w:t>
            </w:r>
            <w:r w:rsidR="00AF2378" w:rsidRPr="000B3DCC">
              <w:rPr>
                <w:rStyle w:val="Emphasis"/>
              </w:rPr>
              <w:t>Working in the lived experience workforce has changed my life. I took what I saw at the time as a substantial risk and declared my lived experience of mental ill health and recovery professionally in 2011. It’s the best thing I ever did in my career. My darkest hours, my desperate moments, the hospitalisations in a system that couldn’t provide me safety, let alone care, all became useful as I focused on supporting others in their recovery journeys. Later on, other aspects of the mental health system became my focus as I worked in an NDIS project role as an advocate for people being treated against their will</w:t>
            </w:r>
            <w:r w:rsidR="00AF2378">
              <w:rPr>
                <w:rStyle w:val="Emphasis"/>
              </w:rPr>
              <w:t>,</w:t>
            </w:r>
            <w:r w:rsidR="00AF2378" w:rsidRPr="000B3DCC">
              <w:rPr>
                <w:rStyle w:val="Emphasis"/>
              </w:rPr>
              <w:t xml:space="preserve"> as I had been in 1997, and in a Lived Experience Workforce Development role.</w:t>
            </w:r>
          </w:p>
          <w:p w14:paraId="414CD48F" w14:textId="068B6878" w:rsidR="00AF2378" w:rsidRPr="000B3DCC" w:rsidRDefault="00AF2378" w:rsidP="000D01E9">
            <w:pPr>
              <w:pStyle w:val="DHHStabletext"/>
              <w:rPr>
                <w:rStyle w:val="Emphasis"/>
              </w:rPr>
            </w:pPr>
            <w:r w:rsidRPr="000B3DCC">
              <w:rPr>
                <w:rStyle w:val="Emphasis"/>
              </w:rPr>
              <w:t>More recently I have been one of the Independent Consumer Members of the Lived Experience Advisory Group (LEAG), an advisory group to the Department of Health and Human Services’ Mental Health Branch. The first meeting (in person) was extremely daunting, sitting around the table at 50 Lonsdale St with a bunch of incredibly talented and passionate people, including high</w:t>
            </w:r>
            <w:r w:rsidR="00331F6D">
              <w:rPr>
                <w:rStyle w:val="Emphasis"/>
              </w:rPr>
              <w:t>-</w:t>
            </w:r>
            <w:r w:rsidRPr="000B3DCC">
              <w:rPr>
                <w:rStyle w:val="Emphasis"/>
              </w:rPr>
              <w:t>level bureaucrats, CEOs of peak organisations and other members. It took me a while to survey the landscape but I soon landed a few points, respectfully disagreed with some others and found my place at the table, or videoconference.</w:t>
            </w:r>
          </w:p>
          <w:p w14:paraId="3B834BF0" w14:textId="2D3376B2" w:rsidR="00AF2378" w:rsidRPr="000B3DCC" w:rsidRDefault="00AF2378" w:rsidP="000D01E9">
            <w:pPr>
              <w:pStyle w:val="DHHStabletext"/>
              <w:rPr>
                <w:rStyle w:val="Emphasis"/>
              </w:rPr>
            </w:pPr>
            <w:r w:rsidRPr="000B3DCC">
              <w:rPr>
                <w:rStyle w:val="Emphasis"/>
              </w:rPr>
              <w:t>I’m now working as Senior Adviser Lived Experience (Consumer) at Mental Health Reform Victoria (MHRV). Talk about another place with incredibly talented and passionate people! Fortunately</w:t>
            </w:r>
            <w:r>
              <w:rPr>
                <w:rStyle w:val="Emphasis"/>
              </w:rPr>
              <w:t>,</w:t>
            </w:r>
            <w:r w:rsidRPr="000B3DCC">
              <w:rPr>
                <w:rStyle w:val="Emphasis"/>
              </w:rPr>
              <w:t xml:space="preserve"> my role at MHRV means I will continue to work with the LEAG but now with the LEAG advising MHRV on some of the recommendations we at MHRV are implementing. There are so many different consumer views on every aspect of the reform of Victoria’s mental health system and the huge responsibility I am tasked with is to ensure these voices are heard, honoured, valued and responded to as we create a paradigm shift in mental health service delivery in Victoria.</w:t>
            </w:r>
          </w:p>
          <w:p w14:paraId="370515CC" w14:textId="71509A25" w:rsidR="00AF2378" w:rsidRPr="000B3DCC" w:rsidRDefault="00AF2378" w:rsidP="000D01E9">
            <w:pPr>
              <w:pStyle w:val="DHHStabletext"/>
            </w:pPr>
            <w:r w:rsidRPr="000B3DCC">
              <w:rPr>
                <w:rStyle w:val="Emphasis"/>
              </w:rPr>
              <w:t>Nothing I’ve done has been without the support of many beautiful people and I am so grateful for that.</w:t>
            </w:r>
            <w:r w:rsidR="00F374C2">
              <w:rPr>
                <w:rStyle w:val="Emphasis"/>
              </w:rPr>
              <w:t>’</w:t>
            </w:r>
            <w:r w:rsidRPr="006B4101">
              <w:rPr>
                <w:rStyle w:val="Emphasis"/>
              </w:rPr>
              <w:t xml:space="preserve"> </w:t>
            </w:r>
          </w:p>
        </w:tc>
      </w:tr>
    </w:tbl>
    <w:p w14:paraId="090A26F4" w14:textId="77777777" w:rsidR="00AF2378" w:rsidRPr="008A2AE7" w:rsidRDefault="00AF2378" w:rsidP="007B48FE">
      <w:pPr>
        <w:pStyle w:val="DHHSbodynospace"/>
      </w:pPr>
    </w:p>
    <w:tbl>
      <w:tblPr>
        <w:tblStyle w:val="TableGrid"/>
        <w:tblW w:w="0" w:type="auto"/>
        <w:shd w:val="clear" w:color="auto" w:fill="DEEAF6" w:themeFill="accent5" w:themeFillTint="33"/>
        <w:tblLook w:val="04A0" w:firstRow="1" w:lastRow="0" w:firstColumn="1" w:lastColumn="0" w:noHBand="0" w:noVBand="1"/>
      </w:tblPr>
      <w:tblGrid>
        <w:gridCol w:w="9288"/>
      </w:tblGrid>
      <w:tr w:rsidR="00AF2378" w14:paraId="0D259F01" w14:textId="77777777" w:rsidTr="000D01E9">
        <w:tc>
          <w:tcPr>
            <w:tcW w:w="9288" w:type="dxa"/>
            <w:shd w:val="clear" w:color="auto" w:fill="auto"/>
          </w:tcPr>
          <w:p w14:paraId="65852359" w14:textId="77777777" w:rsidR="00AF2378" w:rsidRPr="00724245" w:rsidRDefault="00AF2378" w:rsidP="00CE40D6">
            <w:pPr>
              <w:pStyle w:val="DHHStablecaption"/>
              <w:rPr>
                <w:rStyle w:val="Emphasis"/>
                <w:b w:val="0"/>
                <w:bCs/>
                <w:i w:val="0"/>
                <w:iCs w:val="0"/>
              </w:rPr>
            </w:pPr>
            <w:r w:rsidRPr="00724245">
              <w:rPr>
                <w:rStyle w:val="Emphasis"/>
                <w:bCs/>
                <w:i w:val="0"/>
                <w:iCs w:val="0"/>
              </w:rPr>
              <w:t>Michelle’s experience</w:t>
            </w:r>
          </w:p>
          <w:p w14:paraId="3FA9FCD3" w14:textId="1150F6C3" w:rsidR="00AF2378" w:rsidRPr="000B3DCC" w:rsidRDefault="00F374C2" w:rsidP="000D01E9">
            <w:pPr>
              <w:pStyle w:val="DHHStabletext"/>
              <w:rPr>
                <w:rStyle w:val="Emphasis"/>
              </w:rPr>
            </w:pPr>
            <w:r>
              <w:rPr>
                <w:rStyle w:val="Emphasis"/>
              </w:rPr>
              <w:t>‘</w:t>
            </w:r>
            <w:r w:rsidR="00AF2378" w:rsidRPr="000B3DCC">
              <w:rPr>
                <w:rStyle w:val="Emphasis"/>
              </w:rPr>
              <w:t xml:space="preserve">Mental health families and carers often feel unrecognised, excluded and undervalued by mental health services even though they provide invaluable support to people experiencing poor mental health. As such, families and carers have their own specific needs and perspective in relation to the reforms required for Victoria’s mental health system. </w:t>
            </w:r>
          </w:p>
          <w:p w14:paraId="77550F47" w14:textId="588D0DF0" w:rsidR="00AF2378" w:rsidRPr="000B3DCC" w:rsidRDefault="00AF2378" w:rsidP="000D01E9">
            <w:pPr>
              <w:pStyle w:val="DHHStabletext"/>
              <w:rPr>
                <w:rStyle w:val="Emphasis"/>
              </w:rPr>
            </w:pPr>
            <w:r w:rsidRPr="000B3DCC">
              <w:rPr>
                <w:rStyle w:val="Emphasis"/>
              </w:rPr>
              <w:t xml:space="preserve">After a considerable career as a </w:t>
            </w:r>
            <w:r>
              <w:rPr>
                <w:rStyle w:val="Emphasis"/>
              </w:rPr>
              <w:t>l</w:t>
            </w:r>
            <w:r w:rsidRPr="000B3DCC">
              <w:rPr>
                <w:rStyle w:val="Emphasis"/>
              </w:rPr>
              <w:t xml:space="preserve">egal </w:t>
            </w:r>
            <w:r>
              <w:rPr>
                <w:rStyle w:val="Emphasis"/>
              </w:rPr>
              <w:t>e</w:t>
            </w:r>
            <w:r w:rsidRPr="000B3DCC">
              <w:rPr>
                <w:rStyle w:val="Emphasis"/>
              </w:rPr>
              <w:t>xecutive for several law firms</w:t>
            </w:r>
            <w:r w:rsidR="00331F6D">
              <w:rPr>
                <w:rStyle w:val="Emphasis"/>
              </w:rPr>
              <w:t>,</w:t>
            </w:r>
            <w:r w:rsidRPr="000B3DCC">
              <w:rPr>
                <w:rStyle w:val="Emphasis"/>
              </w:rPr>
              <w:t xml:space="preserve"> I made the decision to change direction and move into mental health as a carer peer support worker. I wasn’t sure if I was the right person for the role</w:t>
            </w:r>
            <w:r w:rsidR="00331F6D">
              <w:rPr>
                <w:rStyle w:val="Emphasis"/>
              </w:rPr>
              <w:t>;</w:t>
            </w:r>
            <w:r w:rsidRPr="000B3DCC">
              <w:rPr>
                <w:rStyle w:val="Emphasis"/>
              </w:rPr>
              <w:t xml:space="preserve"> however, I was assured I was exactly the type of person they were looking for. That was back in 2002. I never imagined being a mental health carer for my mother from a very early age would allow me to undertake such meaningful and rewarding work. Since then I also became a qualified social worker and have worked in many carer</w:t>
            </w:r>
            <w:r w:rsidR="00331F6D">
              <w:rPr>
                <w:rStyle w:val="Emphasis"/>
              </w:rPr>
              <w:t>-</w:t>
            </w:r>
            <w:r w:rsidRPr="000B3DCC">
              <w:rPr>
                <w:rStyle w:val="Emphasis"/>
              </w:rPr>
              <w:t xml:space="preserve">specific roles including </w:t>
            </w:r>
            <w:r>
              <w:rPr>
                <w:rStyle w:val="Emphasis"/>
              </w:rPr>
              <w:t>c</w:t>
            </w:r>
            <w:r w:rsidRPr="000B3DCC">
              <w:rPr>
                <w:rStyle w:val="Emphasis"/>
              </w:rPr>
              <w:t xml:space="preserve">arer </w:t>
            </w:r>
            <w:r>
              <w:rPr>
                <w:rStyle w:val="Emphasis"/>
              </w:rPr>
              <w:t>c</w:t>
            </w:r>
            <w:r w:rsidRPr="000B3DCC">
              <w:rPr>
                <w:rStyle w:val="Emphasis"/>
              </w:rPr>
              <w:t xml:space="preserve">onsultant, </w:t>
            </w:r>
            <w:r>
              <w:rPr>
                <w:rStyle w:val="Emphasis"/>
              </w:rPr>
              <w:t>c</w:t>
            </w:r>
            <w:r w:rsidRPr="000B3DCC">
              <w:rPr>
                <w:rStyle w:val="Emphasis"/>
              </w:rPr>
              <w:t xml:space="preserve">arer </w:t>
            </w:r>
            <w:r>
              <w:rPr>
                <w:rStyle w:val="Emphasis"/>
              </w:rPr>
              <w:t>a</w:t>
            </w:r>
            <w:r w:rsidRPr="000B3DCC">
              <w:rPr>
                <w:rStyle w:val="Emphasis"/>
              </w:rPr>
              <w:t xml:space="preserve">dvisor and </w:t>
            </w:r>
            <w:r>
              <w:rPr>
                <w:rStyle w:val="Emphasis"/>
              </w:rPr>
              <w:t>c</w:t>
            </w:r>
            <w:r w:rsidRPr="000B3DCC">
              <w:rPr>
                <w:rStyle w:val="Emphasis"/>
              </w:rPr>
              <w:t xml:space="preserve">arer </w:t>
            </w:r>
            <w:r>
              <w:rPr>
                <w:rStyle w:val="Emphasis"/>
              </w:rPr>
              <w:t>a</w:t>
            </w:r>
            <w:r w:rsidRPr="000B3DCC">
              <w:rPr>
                <w:rStyle w:val="Emphasis"/>
              </w:rPr>
              <w:t>dvocate.</w:t>
            </w:r>
          </w:p>
          <w:p w14:paraId="153814D3" w14:textId="338A883B" w:rsidR="00AF2378" w:rsidRPr="000B3DCC" w:rsidRDefault="00AF2378" w:rsidP="000D01E9">
            <w:pPr>
              <w:pStyle w:val="DHHStabletext"/>
              <w:rPr>
                <w:rStyle w:val="Emphasis"/>
              </w:rPr>
            </w:pPr>
            <w:r w:rsidRPr="000B3DCC">
              <w:rPr>
                <w:rStyle w:val="Emphasis"/>
              </w:rPr>
              <w:t xml:space="preserve">Over the years I have been involved with the development of many policies, projects, programs and pieces of legislation. I joined the Tandem </w:t>
            </w:r>
            <w:r w:rsidR="00331F6D">
              <w:rPr>
                <w:rStyle w:val="Emphasis"/>
              </w:rPr>
              <w:t>b</w:t>
            </w:r>
            <w:r w:rsidRPr="000B3DCC">
              <w:rPr>
                <w:rStyle w:val="Emphasis"/>
              </w:rPr>
              <w:t xml:space="preserve">oard in 2016 and served as their </w:t>
            </w:r>
            <w:r>
              <w:rPr>
                <w:rStyle w:val="Emphasis"/>
              </w:rPr>
              <w:t>c</w:t>
            </w:r>
            <w:r w:rsidRPr="000B3DCC">
              <w:rPr>
                <w:rStyle w:val="Emphasis"/>
              </w:rPr>
              <w:t>hair from 2017 to 2019. I was also a member of Minister Foley’s Expert Mental Health Taskforce for three years (2016</w:t>
            </w:r>
            <w:r w:rsidR="00331F6D">
              <w:rPr>
                <w:rStyle w:val="Emphasis"/>
              </w:rPr>
              <w:t>–</w:t>
            </w:r>
            <w:r w:rsidRPr="000B3DCC">
              <w:rPr>
                <w:rStyle w:val="Emphasis"/>
              </w:rPr>
              <w:t>2018) and the DH</w:t>
            </w:r>
            <w:r>
              <w:rPr>
                <w:rStyle w:val="Emphasis"/>
              </w:rPr>
              <w:t>H</w:t>
            </w:r>
            <w:r w:rsidRPr="000B3DCC">
              <w:rPr>
                <w:rStyle w:val="Emphasis"/>
              </w:rPr>
              <w:t>S Mental Health Workforce Reference Group for four years (2016</w:t>
            </w:r>
            <w:r w:rsidR="00331F6D">
              <w:rPr>
                <w:rStyle w:val="Emphasis"/>
              </w:rPr>
              <w:t>–</w:t>
            </w:r>
            <w:r w:rsidRPr="000B3DCC">
              <w:rPr>
                <w:rStyle w:val="Emphasis"/>
              </w:rPr>
              <w:t>2019). For six years I was employed as the Carer Advisor for NorthWestern Mental Health and at the end of 2019 I began a secondment with the Office of the Chief Mental Health Nurse in DHHS as their Senior Carer Advisor.</w:t>
            </w:r>
          </w:p>
          <w:p w14:paraId="2383AA36" w14:textId="0D747A31" w:rsidR="00AF2378" w:rsidRDefault="00AF2378" w:rsidP="000D01E9">
            <w:pPr>
              <w:pStyle w:val="DHHStabletext"/>
              <w:rPr>
                <w:rStyle w:val="Emphasis"/>
              </w:rPr>
            </w:pPr>
            <w:r w:rsidRPr="000B3DCC">
              <w:rPr>
                <w:rStyle w:val="Emphasis"/>
              </w:rPr>
              <w:t>Now I am working as the Senior Adviser, Lived Experience (Carer) at Mental Health Reform Victoria. I feel privileged to be working towards major reform of our mental health system and bring with me the experiences and voices of the carers and families I have listened to and supported over many years. I have been afforded this once</w:t>
            </w:r>
            <w:r w:rsidR="00571140">
              <w:rPr>
                <w:rStyle w:val="Emphasis"/>
              </w:rPr>
              <w:t>-</w:t>
            </w:r>
            <w:r w:rsidRPr="000B3DCC">
              <w:rPr>
                <w:rStyle w:val="Emphasis"/>
              </w:rPr>
              <w:t>in</w:t>
            </w:r>
            <w:r w:rsidR="00571140">
              <w:rPr>
                <w:rStyle w:val="Emphasis"/>
              </w:rPr>
              <w:t>-</w:t>
            </w:r>
            <w:r w:rsidRPr="000B3DCC">
              <w:rPr>
                <w:rStyle w:val="Emphasis"/>
              </w:rPr>
              <w:t>a</w:t>
            </w:r>
            <w:r w:rsidR="00571140">
              <w:rPr>
                <w:rStyle w:val="Emphasis"/>
              </w:rPr>
              <w:t>-</w:t>
            </w:r>
            <w:r w:rsidRPr="000B3DCC">
              <w:rPr>
                <w:rStyle w:val="Emphasis"/>
              </w:rPr>
              <w:t>lifetime opportunity to ensure all Victorians receive safe mental health care and treatment that meets their needs, and for families, carers and friends to be listened to, respected and effectively responded to along the way.</w:t>
            </w:r>
            <w:r w:rsidR="00F374C2">
              <w:rPr>
                <w:rStyle w:val="Emphasis"/>
              </w:rPr>
              <w:t>’</w:t>
            </w:r>
          </w:p>
        </w:tc>
      </w:tr>
    </w:tbl>
    <w:p w14:paraId="121FE897" w14:textId="77777777" w:rsidR="00AF2378" w:rsidRPr="005A70E1" w:rsidRDefault="00AF2378" w:rsidP="00B267D2">
      <w:pPr>
        <w:pStyle w:val="Heading5"/>
        <w:rPr>
          <w:rStyle w:val="normaltextrun"/>
        </w:rPr>
      </w:pPr>
      <w:r w:rsidRPr="005A70E1">
        <w:rPr>
          <w:rStyle w:val="normaltextrun"/>
        </w:rPr>
        <w:t xml:space="preserve">Your Experience of Service survey and Carer Experience </w:t>
      </w:r>
      <w:r w:rsidRPr="00B267D2">
        <w:rPr>
          <w:rStyle w:val="normaltextrun"/>
        </w:rPr>
        <w:t>Survey</w:t>
      </w:r>
    </w:p>
    <w:p w14:paraId="6D2A9D87" w14:textId="496CA4DF" w:rsidR="00AF2378" w:rsidRPr="00FB6B48" w:rsidRDefault="00AF2378" w:rsidP="00AF2378">
      <w:pPr>
        <w:pStyle w:val="DHHSbody"/>
        <w:rPr>
          <w:color w:val="000000"/>
        </w:rPr>
      </w:pPr>
      <w:r w:rsidRPr="08387189">
        <w:t xml:space="preserve">The YES survey has run annually since 2016. </w:t>
      </w:r>
      <w:r w:rsidR="00571140">
        <w:rPr>
          <w:rFonts w:cs="Arial"/>
          <w:color w:val="000000" w:themeColor="text1"/>
        </w:rPr>
        <w:t xml:space="preserve">It </w:t>
      </w:r>
      <w:r w:rsidRPr="7F3D4755">
        <w:rPr>
          <w:rFonts w:cs="Arial"/>
          <w:color w:val="000000" w:themeColor="text1"/>
        </w:rPr>
        <w:t xml:space="preserve">is a national </w:t>
      </w:r>
      <w:r w:rsidRPr="08E3666F">
        <w:rPr>
          <w:rFonts w:cs="Arial"/>
          <w:color w:val="000000" w:themeColor="text1"/>
        </w:rPr>
        <w:t>survey</w:t>
      </w:r>
      <w:r w:rsidRPr="7F3D4755">
        <w:rPr>
          <w:rFonts w:cs="Arial"/>
          <w:color w:val="000000" w:themeColor="text1"/>
        </w:rPr>
        <w:t xml:space="preserve"> and</w:t>
      </w:r>
      <w:r w:rsidRPr="08387189">
        <w:rPr>
          <w:rFonts w:cs="Arial"/>
          <w:color w:val="000000" w:themeColor="text1"/>
        </w:rPr>
        <w:t xml:space="preserve"> provides a way </w:t>
      </w:r>
      <w:r w:rsidRPr="00FB6B48">
        <w:t>of</w:t>
      </w:r>
      <w:r w:rsidRPr="08387189">
        <w:rPr>
          <w:rFonts w:cs="Arial"/>
          <w:color w:val="000000" w:themeColor="text1"/>
        </w:rPr>
        <w:t xml:space="preserve"> ensuring that people who have contact with public mental health services have a say about their experiences</w:t>
      </w:r>
      <w:r w:rsidRPr="6895A4AC">
        <w:rPr>
          <w:rFonts w:cs="Arial"/>
          <w:color w:val="000000" w:themeColor="text1"/>
        </w:rPr>
        <w:t xml:space="preserve">. </w:t>
      </w:r>
      <w:r w:rsidRPr="428144FD">
        <w:rPr>
          <w:rFonts w:cs="Arial"/>
          <w:color w:val="000000" w:themeColor="text1"/>
        </w:rPr>
        <w:t>The</w:t>
      </w:r>
      <w:r w:rsidRPr="08387189">
        <w:rPr>
          <w:rFonts w:cs="Arial"/>
          <w:color w:val="000000" w:themeColor="text1"/>
        </w:rPr>
        <w:t xml:space="preserve"> </w:t>
      </w:r>
      <w:r w:rsidRPr="3B584FC0">
        <w:rPr>
          <w:rFonts w:cs="Arial"/>
          <w:color w:val="000000" w:themeColor="text1"/>
        </w:rPr>
        <w:t xml:space="preserve">national </w:t>
      </w:r>
      <w:r w:rsidRPr="08387189">
        <w:rPr>
          <w:rFonts w:cs="Arial"/>
          <w:color w:val="000000" w:themeColor="text1"/>
        </w:rPr>
        <w:t>reporting of YES occurs through the Australian Institute of Health and Welfare, and the result</w:t>
      </w:r>
      <w:r>
        <w:rPr>
          <w:rFonts w:cs="Arial"/>
          <w:color w:val="000000" w:themeColor="text1"/>
        </w:rPr>
        <w:t>s</w:t>
      </w:r>
      <w:r w:rsidRPr="08387189">
        <w:rPr>
          <w:rFonts w:cs="Arial"/>
          <w:color w:val="000000" w:themeColor="text1"/>
        </w:rPr>
        <w:t xml:space="preserve"> from the survey provide key information at</w:t>
      </w:r>
      <w:r w:rsidR="003D5387">
        <w:rPr>
          <w:rFonts w:cs="Arial"/>
          <w:color w:val="000000" w:themeColor="text1"/>
        </w:rPr>
        <w:t xml:space="preserve"> the</w:t>
      </w:r>
      <w:r w:rsidRPr="08387189">
        <w:rPr>
          <w:rFonts w:cs="Arial"/>
          <w:color w:val="000000" w:themeColor="text1"/>
        </w:rPr>
        <w:t xml:space="preserve"> state and local levels towards improv</w:t>
      </w:r>
      <w:r w:rsidR="003D5387">
        <w:rPr>
          <w:rFonts w:cs="Arial"/>
          <w:color w:val="000000" w:themeColor="text1"/>
        </w:rPr>
        <w:t>ing the</w:t>
      </w:r>
      <w:r w:rsidRPr="08387189">
        <w:rPr>
          <w:rFonts w:cs="Arial"/>
          <w:color w:val="000000" w:themeColor="text1"/>
        </w:rPr>
        <w:t xml:space="preserve"> safety and quality of </w:t>
      </w:r>
      <w:r w:rsidRPr="00FB6B48">
        <w:t xml:space="preserve">mental health </w:t>
      </w:r>
      <w:r w:rsidRPr="08387189">
        <w:rPr>
          <w:rFonts w:cs="Arial"/>
          <w:color w:val="000000" w:themeColor="text1"/>
        </w:rPr>
        <w:t xml:space="preserve">services in Victoria. </w:t>
      </w:r>
    </w:p>
    <w:p w14:paraId="16EA387C" w14:textId="14852504" w:rsidR="00AF2378" w:rsidRPr="00FB6B48" w:rsidRDefault="00AF2378" w:rsidP="00AF2378">
      <w:pPr>
        <w:pStyle w:val="DHHSbody"/>
        <w:rPr>
          <w:color w:val="000000"/>
        </w:rPr>
      </w:pPr>
      <w:r w:rsidRPr="5DA8DD2D">
        <w:t xml:space="preserve">The survey </w:t>
      </w:r>
      <w:r>
        <w:t xml:space="preserve">usually </w:t>
      </w:r>
      <w:r w:rsidRPr="5DA8DD2D">
        <w:t>run</w:t>
      </w:r>
      <w:r w:rsidRPr="00FB6B48">
        <w:t>s</w:t>
      </w:r>
      <w:r w:rsidRPr="5DA8DD2D">
        <w:rPr>
          <w:rFonts w:cs="Arial"/>
          <w:color w:val="000000" w:themeColor="text1"/>
        </w:rPr>
        <w:t xml:space="preserve"> in the first part of each year</w:t>
      </w:r>
      <w:r w:rsidRPr="00FB6B48">
        <w:t>,</w:t>
      </w:r>
      <w:r>
        <w:t xml:space="preserve"> but in 2020</w:t>
      </w:r>
      <w:r w:rsidRPr="00FB6B48">
        <w:t xml:space="preserve"> concerns were raised about</w:t>
      </w:r>
      <w:r w:rsidRPr="5EA4B2C9">
        <w:rPr>
          <w:rFonts w:cs="Arial"/>
          <w:color w:val="000000" w:themeColor="text1"/>
        </w:rPr>
        <w:t xml:space="preserve"> </w:t>
      </w:r>
      <w:r>
        <w:t xml:space="preserve">whether it could be safely administered during the </w:t>
      </w:r>
      <w:r w:rsidR="00E51317">
        <w:t>coronavirus (COVID-19)</w:t>
      </w:r>
      <w:r>
        <w:t xml:space="preserve"> pandemic. </w:t>
      </w:r>
      <w:r>
        <w:rPr>
          <w:rFonts w:cs="Arial"/>
          <w:color w:val="000000" w:themeColor="text1"/>
        </w:rPr>
        <w:t>I</w:t>
      </w:r>
      <w:r w:rsidRPr="5DA8DD2D">
        <w:rPr>
          <w:rFonts w:cs="Arial"/>
          <w:color w:val="000000" w:themeColor="text1"/>
        </w:rPr>
        <w:t xml:space="preserve">n consultation with YES champions in services, including </w:t>
      </w:r>
      <w:r w:rsidRPr="00FB6B48">
        <w:t xml:space="preserve">the </w:t>
      </w:r>
      <w:r w:rsidRPr="5DA8DD2D">
        <w:rPr>
          <w:rFonts w:cs="Arial"/>
          <w:color w:val="000000" w:themeColor="text1"/>
        </w:rPr>
        <w:t>lived experience workforce,</w:t>
      </w:r>
      <w:r>
        <w:rPr>
          <w:rFonts w:cs="Arial"/>
          <w:color w:val="000000" w:themeColor="text1"/>
        </w:rPr>
        <w:t xml:space="preserve"> a decision was taken not to conduct the survey in 2020</w:t>
      </w:r>
      <w:r w:rsidR="00AA44E0">
        <w:rPr>
          <w:rFonts w:cs="Arial"/>
          <w:color w:val="000000" w:themeColor="text1"/>
        </w:rPr>
        <w:t>, and results for relevant indicators in the outcomes framework are therefore unchanged from last year</w:t>
      </w:r>
      <w:r>
        <w:rPr>
          <w:rFonts w:cs="Arial"/>
          <w:color w:val="000000" w:themeColor="text1"/>
        </w:rPr>
        <w:t xml:space="preserve">. </w:t>
      </w:r>
    </w:p>
    <w:p w14:paraId="3285AB04" w14:textId="12AB3B65" w:rsidR="00AF2378" w:rsidRPr="00FB6B48" w:rsidRDefault="00AF2378" w:rsidP="00AF2378">
      <w:pPr>
        <w:pStyle w:val="DHHSbody"/>
        <w:rPr>
          <w:color w:val="000000"/>
        </w:rPr>
      </w:pPr>
      <w:r>
        <w:t xml:space="preserve">However, mental health services are committed to </w:t>
      </w:r>
      <w:r w:rsidRPr="06FC91C3">
        <w:rPr>
          <w:rFonts w:cs="Arial"/>
          <w:color w:val="000000" w:themeColor="text1"/>
        </w:rPr>
        <w:t>ensur</w:t>
      </w:r>
      <w:r>
        <w:rPr>
          <w:rFonts w:cs="Arial"/>
          <w:color w:val="000000" w:themeColor="text1"/>
        </w:rPr>
        <w:t>ing</w:t>
      </w:r>
      <w:r w:rsidRPr="06FC91C3">
        <w:rPr>
          <w:rFonts w:cs="Arial"/>
          <w:color w:val="000000" w:themeColor="text1"/>
        </w:rPr>
        <w:t xml:space="preserve"> that consumer perspective</w:t>
      </w:r>
      <w:r>
        <w:rPr>
          <w:rFonts w:cs="Arial"/>
          <w:color w:val="000000" w:themeColor="text1"/>
        </w:rPr>
        <w:t>s</w:t>
      </w:r>
      <w:r w:rsidRPr="06FC91C3">
        <w:rPr>
          <w:rFonts w:cs="Arial"/>
          <w:color w:val="000000" w:themeColor="text1"/>
        </w:rPr>
        <w:t xml:space="preserve"> continue to inform all</w:t>
      </w:r>
      <w:r>
        <w:rPr>
          <w:rFonts w:cs="Arial"/>
          <w:color w:val="000000" w:themeColor="text1"/>
        </w:rPr>
        <w:t xml:space="preserve"> service delivery</w:t>
      </w:r>
      <w:r w:rsidRPr="06FC91C3">
        <w:rPr>
          <w:rFonts w:cs="Arial"/>
          <w:color w:val="000000" w:themeColor="text1"/>
        </w:rPr>
        <w:t>. The department has worked with services and other agencies to help ensure that the consumer voice is heard at this difficult time, and to work towards implementing the YES survey in 2021.</w:t>
      </w:r>
      <w:r w:rsidRPr="2DB49849">
        <w:rPr>
          <w:rFonts w:cs="Arial"/>
          <w:color w:val="000000" w:themeColor="text1"/>
        </w:rPr>
        <w:t xml:space="preserve"> There are several other research projects </w:t>
      </w:r>
      <w:r w:rsidR="003D5387">
        <w:rPr>
          <w:rFonts w:cs="Arial"/>
          <w:color w:val="000000" w:themeColor="text1"/>
        </w:rPr>
        <w:t>that</w:t>
      </w:r>
      <w:r w:rsidR="003D5387" w:rsidRPr="2DB49849">
        <w:rPr>
          <w:rFonts w:cs="Arial"/>
          <w:color w:val="000000" w:themeColor="text1"/>
        </w:rPr>
        <w:t xml:space="preserve"> </w:t>
      </w:r>
      <w:r w:rsidRPr="2DB49849">
        <w:rPr>
          <w:rFonts w:cs="Arial"/>
          <w:color w:val="000000" w:themeColor="text1"/>
        </w:rPr>
        <w:t xml:space="preserve">will help give insight into the experience of consumers during </w:t>
      </w:r>
      <w:r w:rsidR="003D5387">
        <w:rPr>
          <w:rFonts w:cs="Arial"/>
          <w:color w:val="000000" w:themeColor="text1"/>
        </w:rPr>
        <w:t xml:space="preserve">the </w:t>
      </w:r>
      <w:r w:rsidR="00E51317">
        <w:rPr>
          <w:rFonts w:cs="Arial"/>
          <w:color w:val="000000" w:themeColor="text1"/>
        </w:rPr>
        <w:t>coronavirus (COVID-19)</w:t>
      </w:r>
      <w:r w:rsidR="003D5387">
        <w:rPr>
          <w:rFonts w:cs="Arial"/>
          <w:color w:val="000000" w:themeColor="text1"/>
        </w:rPr>
        <w:t xml:space="preserve"> pandemic</w:t>
      </w:r>
      <w:r w:rsidRPr="2DB49849">
        <w:rPr>
          <w:rFonts w:cs="Arial"/>
          <w:color w:val="000000" w:themeColor="text1"/>
        </w:rPr>
        <w:t>, and individual services have been implementing alternative ways to include consumer perspective</w:t>
      </w:r>
      <w:r w:rsidR="003D5387">
        <w:rPr>
          <w:rFonts w:cs="Arial"/>
          <w:color w:val="000000" w:themeColor="text1"/>
        </w:rPr>
        <w:t>s</w:t>
      </w:r>
      <w:r w:rsidRPr="2DB49849">
        <w:rPr>
          <w:rFonts w:cs="Arial"/>
          <w:color w:val="000000" w:themeColor="text1"/>
        </w:rPr>
        <w:t xml:space="preserve"> at </w:t>
      </w:r>
      <w:r w:rsidR="003D5387">
        <w:rPr>
          <w:rFonts w:cs="Arial"/>
          <w:color w:val="000000" w:themeColor="text1"/>
        </w:rPr>
        <w:t>the</w:t>
      </w:r>
      <w:r w:rsidRPr="2DB49849">
        <w:rPr>
          <w:rFonts w:cs="Arial"/>
          <w:color w:val="000000" w:themeColor="text1"/>
        </w:rPr>
        <w:t xml:space="preserve"> local level at this time. </w:t>
      </w:r>
    </w:p>
    <w:p w14:paraId="7E8E09CF" w14:textId="4B263371" w:rsidR="005728D9" w:rsidRPr="003B6CB1" w:rsidRDefault="00AF2378" w:rsidP="007B48FE">
      <w:pPr>
        <w:pStyle w:val="DHHSbody"/>
        <w:rPr>
          <w:rStyle w:val="Emphasis"/>
          <w:rFonts w:eastAsia="Arial"/>
          <w:i w:val="0"/>
          <w:iCs w:val="0"/>
        </w:rPr>
      </w:pPr>
      <w:r w:rsidRPr="00992830">
        <w:rPr>
          <w:rFonts w:eastAsia="Arial"/>
        </w:rPr>
        <w:t>Preparations for the Carer Experience Survey have continued in collaboration with services</w:t>
      </w:r>
      <w:r w:rsidR="006F59F5">
        <w:rPr>
          <w:rFonts w:eastAsia="Arial"/>
        </w:rPr>
        <w:t>. This new survey</w:t>
      </w:r>
      <w:r w:rsidRPr="00992830">
        <w:rPr>
          <w:rFonts w:eastAsia="Arial" w:cs="Arial"/>
          <w:color w:val="000000" w:themeColor="text1"/>
        </w:rPr>
        <w:t xml:space="preserve"> will</w:t>
      </w:r>
      <w:r w:rsidRPr="00992830">
        <w:rPr>
          <w:rFonts w:eastAsia="Arial"/>
        </w:rPr>
        <w:t xml:space="preserve"> be implemented for the first time in Victorian area mental health services from September to December 2020. This postal survey will provide carers and families with an additional way to be heard and to shape the services that support both them and their family member or friend. </w:t>
      </w:r>
    </w:p>
    <w:p w14:paraId="0B349C54" w14:textId="02E553A5" w:rsidR="000C3339" w:rsidRDefault="000C3339" w:rsidP="007B48FE">
      <w:pPr>
        <w:pStyle w:val="DHHSbody"/>
        <w:rPr>
          <w:rStyle w:val="normaltextrun"/>
          <w:rFonts w:eastAsia="Arial" w:cs="Arial"/>
          <w:b/>
          <w:color w:val="201547"/>
          <w:sz w:val="22"/>
          <w:szCs w:val="22"/>
        </w:rPr>
      </w:pPr>
      <w:r>
        <w:rPr>
          <w:rStyle w:val="normaltextrun"/>
          <w:rFonts w:eastAsia="Arial" w:cs="Arial"/>
          <w:b/>
          <w:bCs/>
          <w:sz w:val="22"/>
          <w:szCs w:val="22"/>
        </w:rPr>
        <w:br w:type="page"/>
      </w:r>
    </w:p>
    <w:p w14:paraId="4D3D50FA" w14:textId="3FFAFF2C" w:rsidR="008E0251" w:rsidRDefault="008E0251" w:rsidP="008E0251">
      <w:pPr>
        <w:pStyle w:val="Heading1"/>
        <w:numPr>
          <w:ilvl w:val="0"/>
          <w:numId w:val="10"/>
        </w:numPr>
        <w:rPr>
          <w:rStyle w:val="normaltextrun"/>
        </w:rPr>
      </w:pPr>
      <w:bookmarkStart w:id="20" w:name="_Toc55379395"/>
      <w:r w:rsidRPr="00E06100">
        <w:rPr>
          <w:rStyle w:val="normaltextrun"/>
        </w:rPr>
        <w:t xml:space="preserve">Public mental health services in </w:t>
      </w:r>
      <w:r w:rsidR="00894D3B">
        <w:rPr>
          <w:rStyle w:val="normaltextrun"/>
        </w:rPr>
        <w:t>2019–20</w:t>
      </w:r>
      <w:bookmarkEnd w:id="20"/>
      <w:r w:rsidRPr="4EE17FEB">
        <w:rPr>
          <w:rStyle w:val="normaltextrun"/>
        </w:rPr>
        <w:t> </w:t>
      </w:r>
    </w:p>
    <w:p w14:paraId="44585EDC" w14:textId="35956FA3" w:rsidR="008E0251" w:rsidRPr="00CE40D6" w:rsidRDefault="000D20F2" w:rsidP="00CE40D6">
      <w:pPr>
        <w:pStyle w:val="DHHSbodynospace"/>
        <w:rPr>
          <w:b/>
          <w:bCs/>
          <w:lang w:val="en" w:eastAsia="en-AU"/>
        </w:rPr>
      </w:pPr>
      <w:r w:rsidRPr="00CE40D6">
        <w:rPr>
          <w:b/>
          <w:bCs/>
          <w:lang w:val="en" w:eastAsia="en-AU"/>
        </w:rPr>
        <w:t>K</w:t>
      </w:r>
      <w:r w:rsidR="008E0251" w:rsidRPr="00CE40D6">
        <w:rPr>
          <w:b/>
          <w:bCs/>
          <w:lang w:val="en" w:eastAsia="en-AU"/>
        </w:rPr>
        <w:t>ey stat</w:t>
      </w:r>
      <w:r w:rsidRPr="00CE40D6">
        <w:rPr>
          <w:b/>
          <w:bCs/>
          <w:lang w:val="en" w:eastAsia="en-AU"/>
        </w:rPr>
        <w:t>istic</w:t>
      </w:r>
      <w:r w:rsidR="008E0251" w:rsidRPr="00CE40D6">
        <w:rPr>
          <w:b/>
          <w:bCs/>
          <w:lang w:val="en" w:eastAsia="en-AU"/>
        </w:rPr>
        <w:t>s</w:t>
      </w:r>
      <w:r w:rsidRPr="00CE40D6">
        <w:rPr>
          <w:b/>
          <w:bCs/>
          <w:lang w:val="en" w:eastAsia="en-AU"/>
        </w:rPr>
        <w:t xml:space="preserve"> </w:t>
      </w:r>
      <w:r w:rsidR="00CE40D6" w:rsidRPr="00CE40D6">
        <w:rPr>
          <w:b/>
          <w:bCs/>
          <w:lang w:val="en" w:eastAsia="en-AU"/>
        </w:rPr>
        <w:t>2019–20</w:t>
      </w:r>
      <w:r w:rsidRPr="00CE40D6">
        <w:rPr>
          <w:b/>
          <w:bCs/>
          <w:lang w:val="en" w:eastAsia="en-AU"/>
        </w:rPr>
        <w:t>:</w:t>
      </w:r>
    </w:p>
    <w:p w14:paraId="0D3C082C" w14:textId="77777777" w:rsidR="008E0251" w:rsidRPr="000D20F2" w:rsidRDefault="008E0251" w:rsidP="00CE40D6">
      <w:pPr>
        <w:pStyle w:val="DHHSbodynospace"/>
        <w:rPr>
          <w:lang w:val="en" w:eastAsia="en-AU"/>
        </w:rPr>
      </w:pPr>
      <w:r w:rsidRPr="000D20F2">
        <w:rPr>
          <w:lang w:val="en" w:eastAsia="en-AU"/>
        </w:rPr>
        <w:t>Total service hours 1,439,992</w:t>
      </w:r>
    </w:p>
    <w:p w14:paraId="53124930" w14:textId="77777777" w:rsidR="008E0251" w:rsidRPr="000D20F2" w:rsidRDefault="008E0251" w:rsidP="00CE40D6">
      <w:pPr>
        <w:pStyle w:val="DHHSbodynospace"/>
        <w:rPr>
          <w:rFonts w:cstheme="minorHAnsi"/>
          <w:lang w:val="en" w:eastAsia="en-AU"/>
        </w:rPr>
      </w:pPr>
      <w:r w:rsidRPr="000D20F2">
        <w:rPr>
          <w:rFonts w:cstheme="minorHAnsi"/>
          <w:lang w:val="en" w:eastAsia="en-AU"/>
        </w:rPr>
        <w:t>ED presentations 100,945</w:t>
      </w:r>
    </w:p>
    <w:p w14:paraId="7F8EA208" w14:textId="77777777" w:rsidR="008E0251" w:rsidRPr="003650A0" w:rsidRDefault="008E0251" w:rsidP="00B267D2">
      <w:pPr>
        <w:pStyle w:val="Heading2"/>
        <w:rPr>
          <w:rFonts w:asciiTheme="majorHAnsi" w:eastAsiaTheme="majorEastAsia" w:hAnsiTheme="majorHAnsi" w:cstheme="majorBidi"/>
          <w:bCs/>
          <w:iCs/>
          <w:sz w:val="22"/>
        </w:rPr>
      </w:pPr>
      <w:bookmarkStart w:id="21" w:name="_Toc55379396"/>
      <w:r w:rsidRPr="00B267D2">
        <w:rPr>
          <w:rStyle w:val="normaltextrun"/>
        </w:rPr>
        <w:t>Overview</w:t>
      </w:r>
      <w:bookmarkEnd w:id="21"/>
    </w:p>
    <w:p w14:paraId="1DEB06D1" w14:textId="02F0E9F7" w:rsidR="008E0251" w:rsidRDefault="008E0251" w:rsidP="008E0251">
      <w:pPr>
        <w:pStyle w:val="DHHSbody"/>
        <w:rPr>
          <w:rFonts w:cs="Arial"/>
        </w:rPr>
      </w:pPr>
      <w:r w:rsidRPr="003650A0">
        <w:rPr>
          <w:rFonts w:cs="Arial"/>
        </w:rPr>
        <w:t xml:space="preserve">The data in this </w:t>
      </w:r>
      <w:r w:rsidRPr="001A7B59">
        <w:rPr>
          <w:rStyle w:val="Purple"/>
          <w:color w:val="auto"/>
        </w:rPr>
        <w:t>section</w:t>
      </w:r>
      <w:r w:rsidRPr="003650A0">
        <w:rPr>
          <w:rFonts w:cs="Arial"/>
        </w:rPr>
        <w:t xml:space="preserve"> of the report</w:t>
      </w:r>
      <w:r>
        <w:rPr>
          <w:rFonts w:cs="Arial"/>
        </w:rPr>
        <w:t xml:space="preserve"> and in </w:t>
      </w:r>
      <w:r w:rsidRPr="00C15BD5">
        <w:rPr>
          <w:rFonts w:cs="Arial"/>
        </w:rPr>
        <w:t>Appendix 2</w:t>
      </w:r>
      <w:r w:rsidRPr="003650A0">
        <w:rPr>
          <w:rFonts w:cs="Arial"/>
        </w:rPr>
        <w:t xml:space="preserve"> helps us to understand who accesses </w:t>
      </w:r>
      <w:r>
        <w:rPr>
          <w:rFonts w:cs="Arial"/>
        </w:rPr>
        <w:t>public mental health</w:t>
      </w:r>
      <w:r w:rsidRPr="003650A0">
        <w:rPr>
          <w:rFonts w:cs="Arial"/>
        </w:rPr>
        <w:t xml:space="preserve"> services </w:t>
      </w:r>
      <w:r w:rsidR="004D5D28">
        <w:rPr>
          <w:rFonts w:cs="Arial"/>
        </w:rPr>
        <w:t>(</w:t>
      </w:r>
      <w:r w:rsidRPr="003650A0">
        <w:rPr>
          <w:rFonts w:cs="Arial"/>
        </w:rPr>
        <w:t>and how</w:t>
      </w:r>
      <w:r w:rsidR="004D5D28">
        <w:rPr>
          <w:rFonts w:cs="Arial"/>
        </w:rPr>
        <w:t>)</w:t>
      </w:r>
      <w:r w:rsidRPr="003650A0">
        <w:rPr>
          <w:rFonts w:cs="Arial"/>
        </w:rPr>
        <w:t xml:space="preserve">, the service settings and circumstances in which treatment is provided. It also tells us about demand for, and use of, services. Key aspects of this data are incorporated in </w:t>
      </w:r>
      <w:r>
        <w:rPr>
          <w:rFonts w:cs="Arial"/>
        </w:rPr>
        <w:t>the</w:t>
      </w:r>
      <w:r w:rsidRPr="003650A0">
        <w:rPr>
          <w:rFonts w:cs="Arial"/>
        </w:rPr>
        <w:t xml:space="preserve"> outcomes framework (</w:t>
      </w:r>
      <w:r>
        <w:rPr>
          <w:rFonts w:cs="Arial"/>
        </w:rPr>
        <w:t xml:space="preserve">see </w:t>
      </w:r>
      <w:r w:rsidRPr="003650A0">
        <w:rPr>
          <w:rFonts w:cs="Arial"/>
        </w:rPr>
        <w:t>Appendix 1), including data about the use of compulsory treatment and restrictive interventions.</w:t>
      </w:r>
    </w:p>
    <w:p w14:paraId="5C7147C8" w14:textId="6F4C5948" w:rsidR="008E0251" w:rsidRDefault="008E0251" w:rsidP="008E0251">
      <w:pPr>
        <w:pStyle w:val="DHHSbody"/>
        <w:rPr>
          <w:rFonts w:cs="Arial"/>
        </w:rPr>
      </w:pPr>
      <w:r w:rsidRPr="003650A0">
        <w:rPr>
          <w:rFonts w:cs="Arial"/>
        </w:rPr>
        <w:t xml:space="preserve">The </w:t>
      </w:r>
      <w:r w:rsidR="00E51317">
        <w:rPr>
          <w:rFonts w:cs="Arial"/>
        </w:rPr>
        <w:t>coronavirus (COVID-19)</w:t>
      </w:r>
      <w:r w:rsidRPr="003650A0">
        <w:rPr>
          <w:rFonts w:cs="Arial"/>
        </w:rPr>
        <w:t xml:space="preserve"> pandemic </w:t>
      </w:r>
      <w:r>
        <w:rPr>
          <w:rFonts w:cs="Arial"/>
        </w:rPr>
        <w:t xml:space="preserve">has changed the way </w:t>
      </w:r>
      <w:r w:rsidRPr="003650A0">
        <w:rPr>
          <w:rFonts w:cs="Arial"/>
        </w:rPr>
        <w:t xml:space="preserve">Victorians </w:t>
      </w:r>
      <w:r>
        <w:rPr>
          <w:rFonts w:cs="Arial"/>
        </w:rPr>
        <w:t xml:space="preserve">have lived their lives in 2020. This has </w:t>
      </w:r>
      <w:r w:rsidR="004D5D28">
        <w:rPr>
          <w:rFonts w:cs="Arial"/>
        </w:rPr>
        <w:t>affected</w:t>
      </w:r>
      <w:r>
        <w:rPr>
          <w:rFonts w:cs="Arial"/>
        </w:rPr>
        <w:t xml:space="preserve"> all aspects of our lives, including our </w:t>
      </w:r>
      <w:r w:rsidRPr="003650A0">
        <w:rPr>
          <w:rFonts w:cs="Arial"/>
        </w:rPr>
        <w:t>mental health</w:t>
      </w:r>
      <w:r>
        <w:rPr>
          <w:rFonts w:cs="Arial"/>
        </w:rPr>
        <w:t xml:space="preserve"> and how </w:t>
      </w:r>
      <w:r w:rsidRPr="003650A0">
        <w:rPr>
          <w:rFonts w:cs="Arial"/>
        </w:rPr>
        <w:t>public mental health services</w:t>
      </w:r>
      <w:r>
        <w:rPr>
          <w:rFonts w:cs="Arial"/>
        </w:rPr>
        <w:t xml:space="preserve"> have been delivered</w:t>
      </w:r>
      <w:r w:rsidRPr="003650A0">
        <w:rPr>
          <w:rFonts w:cs="Arial"/>
        </w:rPr>
        <w:t>. The</w:t>
      </w:r>
      <w:r>
        <w:rPr>
          <w:rFonts w:cs="Arial"/>
        </w:rPr>
        <w:t xml:space="preserve">se changes began to take hold </w:t>
      </w:r>
      <w:r w:rsidRPr="003650A0">
        <w:rPr>
          <w:rFonts w:cs="Arial"/>
        </w:rPr>
        <w:t xml:space="preserve">in March 2020, late in the third quarter of </w:t>
      </w:r>
      <w:r w:rsidR="00894D3B">
        <w:rPr>
          <w:rFonts w:cs="Arial"/>
        </w:rPr>
        <w:t>2019–20</w:t>
      </w:r>
      <w:r w:rsidRPr="003650A0">
        <w:rPr>
          <w:rFonts w:cs="Arial"/>
        </w:rPr>
        <w:t>.</w:t>
      </w:r>
    </w:p>
    <w:p w14:paraId="00DBA4EB" w14:textId="2935B107" w:rsidR="008E0251" w:rsidRDefault="008E0251" w:rsidP="008E0251">
      <w:pPr>
        <w:pStyle w:val="DHHSbody"/>
        <w:rPr>
          <w:rFonts w:cs="Arial"/>
        </w:rPr>
      </w:pPr>
      <w:r w:rsidRPr="003650A0">
        <w:rPr>
          <w:rFonts w:cs="Arial"/>
        </w:rPr>
        <w:t xml:space="preserve">In looking at the data for the year, the effects of the pandemic are evident. </w:t>
      </w:r>
      <w:r>
        <w:rPr>
          <w:rFonts w:cs="Arial"/>
        </w:rPr>
        <w:t xml:space="preserve">At the beginning, Victorians deferred seeking treatment and care for a broad range of medical conditions, including mental illness. Overall, the total number of </w:t>
      </w:r>
      <w:r w:rsidRPr="003650A0">
        <w:rPr>
          <w:rFonts w:cs="Arial"/>
        </w:rPr>
        <w:t xml:space="preserve">ED presentations for </w:t>
      </w:r>
      <w:r>
        <w:rPr>
          <w:rFonts w:cs="Arial"/>
        </w:rPr>
        <w:t>all</w:t>
      </w:r>
      <w:r w:rsidRPr="003650A0">
        <w:rPr>
          <w:rFonts w:cs="Arial"/>
        </w:rPr>
        <w:t xml:space="preserve"> reasons (including heart attack and stroke) reduced in March 2020 compared </w:t>
      </w:r>
      <w:r w:rsidR="00E51317">
        <w:rPr>
          <w:rFonts w:cs="Arial"/>
        </w:rPr>
        <w:t>with</w:t>
      </w:r>
      <w:r w:rsidR="00E51317" w:rsidRPr="003650A0">
        <w:rPr>
          <w:rFonts w:cs="Arial"/>
        </w:rPr>
        <w:t xml:space="preserve"> </w:t>
      </w:r>
      <w:r w:rsidRPr="003650A0">
        <w:rPr>
          <w:rFonts w:cs="Arial"/>
        </w:rPr>
        <w:t xml:space="preserve">the same time </w:t>
      </w:r>
      <w:r w:rsidR="00ED60B7">
        <w:rPr>
          <w:rFonts w:cs="Arial"/>
        </w:rPr>
        <w:t>in the previous</w:t>
      </w:r>
      <w:r w:rsidR="00ED60B7" w:rsidRPr="003650A0">
        <w:rPr>
          <w:rFonts w:cs="Arial"/>
        </w:rPr>
        <w:t xml:space="preserve"> </w:t>
      </w:r>
      <w:r w:rsidRPr="003650A0">
        <w:rPr>
          <w:rFonts w:cs="Arial"/>
        </w:rPr>
        <w:t xml:space="preserve">year. </w:t>
      </w:r>
    </w:p>
    <w:p w14:paraId="05527602" w14:textId="0BD51603" w:rsidR="008E0251" w:rsidRDefault="005740EC" w:rsidP="008E0251">
      <w:pPr>
        <w:pStyle w:val="DHHSbody"/>
        <w:rPr>
          <w:rFonts w:cs="Arial"/>
        </w:rPr>
      </w:pPr>
      <w:r>
        <w:rPr>
          <w:rFonts w:cs="Arial"/>
        </w:rPr>
        <w:t>Although t</w:t>
      </w:r>
      <w:r w:rsidR="008E0251">
        <w:rPr>
          <w:rFonts w:cs="Arial"/>
        </w:rPr>
        <w:t>he total</w:t>
      </w:r>
      <w:r w:rsidR="008E0251" w:rsidRPr="003650A0">
        <w:rPr>
          <w:rFonts w:cs="Arial"/>
        </w:rPr>
        <w:t xml:space="preserve"> number of mental health ED presentations dropped across all age groups in quarter 4, the proportion of </w:t>
      </w:r>
      <w:r>
        <w:rPr>
          <w:rFonts w:cs="Arial"/>
        </w:rPr>
        <w:t xml:space="preserve">total </w:t>
      </w:r>
      <w:r w:rsidR="008E0251" w:rsidRPr="003650A0">
        <w:rPr>
          <w:rFonts w:cs="Arial"/>
        </w:rPr>
        <w:t>ED presentations that were mental-health related rose slightly</w:t>
      </w:r>
      <w:r w:rsidR="008E0251">
        <w:rPr>
          <w:rFonts w:cs="Arial"/>
        </w:rPr>
        <w:t xml:space="preserve"> (see</w:t>
      </w:r>
      <w:r w:rsidR="006E3E09">
        <w:rPr>
          <w:rFonts w:cs="Arial"/>
        </w:rPr>
        <w:t xml:space="preserve"> Table 4</w:t>
      </w:r>
      <w:r w:rsidR="008E0251">
        <w:rPr>
          <w:rFonts w:cs="Arial"/>
        </w:rPr>
        <w:t>)</w:t>
      </w:r>
      <w:r w:rsidR="008E0251" w:rsidRPr="003650A0">
        <w:rPr>
          <w:rFonts w:cs="Arial"/>
        </w:rPr>
        <w:t>.</w:t>
      </w:r>
    </w:p>
    <w:p w14:paraId="4785EBC4" w14:textId="11D76DC6" w:rsidR="008E0251" w:rsidRPr="003650A0" w:rsidRDefault="008E0251" w:rsidP="008E0251">
      <w:pPr>
        <w:pStyle w:val="DHHStablecaption"/>
        <w:rPr>
          <w:rFonts w:cs="Arial"/>
          <w:b w:val="0"/>
        </w:rPr>
      </w:pPr>
      <w:r>
        <w:t>Table</w:t>
      </w:r>
      <w:r w:rsidR="006E3E09">
        <w:t xml:space="preserve"> 4</w:t>
      </w:r>
      <w:r>
        <w:t xml:space="preserve">: </w:t>
      </w:r>
      <w:r w:rsidRPr="003650A0">
        <w:t>Mental health</w:t>
      </w:r>
      <w:r w:rsidR="004D5D28">
        <w:t>–</w:t>
      </w:r>
      <w:r w:rsidRPr="003650A0">
        <w:t xml:space="preserve">related ED presentations as a proportion of all ED presentations during </w:t>
      </w:r>
      <w:r w:rsidR="004D5D28">
        <w:t xml:space="preserve">the </w:t>
      </w:r>
      <w:r w:rsidR="00E51317">
        <w:t>coronavirus (COVID-19)</w:t>
      </w:r>
      <w:r w:rsidR="004D5D28">
        <w:t xml:space="preserve"> pandemic</w:t>
      </w:r>
      <w:r w:rsidR="0004308C">
        <w:t>, 2019–20</w:t>
      </w:r>
    </w:p>
    <w:tbl>
      <w:tblPr>
        <w:tblStyle w:val="MentalhealthARtablestyle"/>
        <w:tblW w:w="9504" w:type="dxa"/>
        <w:tblLook w:val="04A0" w:firstRow="1" w:lastRow="0" w:firstColumn="1" w:lastColumn="0" w:noHBand="0" w:noVBand="1"/>
      </w:tblPr>
      <w:tblGrid>
        <w:gridCol w:w="3417"/>
        <w:gridCol w:w="1191"/>
        <w:gridCol w:w="1191"/>
        <w:gridCol w:w="1323"/>
        <w:gridCol w:w="1191"/>
        <w:gridCol w:w="1191"/>
      </w:tblGrid>
      <w:tr w:rsidR="008E0251" w:rsidRPr="003650A0" w14:paraId="5372975C" w14:textId="77777777" w:rsidTr="0004308C">
        <w:trPr>
          <w:cnfStyle w:val="100000000000" w:firstRow="1" w:lastRow="0" w:firstColumn="0" w:lastColumn="0" w:oddVBand="0" w:evenVBand="0" w:oddHBand="0" w:evenHBand="0" w:firstRowFirstColumn="0" w:firstRowLastColumn="0" w:lastRowFirstColumn="0" w:lastRowLastColumn="0"/>
          <w:trHeight w:val="255"/>
          <w:tblHeader/>
        </w:trPr>
        <w:tc>
          <w:tcPr>
            <w:tcW w:w="3008" w:type="dxa"/>
            <w:hideMark/>
          </w:tcPr>
          <w:p w14:paraId="77B296A6" w14:textId="6BC15A1E" w:rsidR="008E0251" w:rsidRPr="003650A0" w:rsidRDefault="00BC59AA" w:rsidP="00B24E19">
            <w:pPr>
              <w:pStyle w:val="DHHStablecolhead"/>
              <w:rPr>
                <w:b/>
                <w:lang w:eastAsia="en-AU"/>
              </w:rPr>
            </w:pPr>
            <w:r>
              <w:rPr>
                <w:b/>
                <w:lang w:eastAsia="en-AU"/>
              </w:rPr>
              <w:t>Measure</w:t>
            </w:r>
          </w:p>
        </w:tc>
        <w:tc>
          <w:tcPr>
            <w:tcW w:w="1049" w:type="dxa"/>
            <w:hideMark/>
          </w:tcPr>
          <w:p w14:paraId="194A5418" w14:textId="77777777" w:rsidR="008E0251" w:rsidRPr="003650A0" w:rsidRDefault="008E0251" w:rsidP="00B24E19">
            <w:pPr>
              <w:pStyle w:val="DHHStablecolhead"/>
              <w:rPr>
                <w:b/>
                <w:lang w:eastAsia="en-AU"/>
              </w:rPr>
            </w:pPr>
            <w:r w:rsidRPr="003650A0">
              <w:rPr>
                <w:b/>
                <w:lang w:eastAsia="en-AU"/>
              </w:rPr>
              <w:t>Q1</w:t>
            </w:r>
          </w:p>
        </w:tc>
        <w:tc>
          <w:tcPr>
            <w:tcW w:w="1049" w:type="dxa"/>
            <w:hideMark/>
          </w:tcPr>
          <w:p w14:paraId="5388E4E0" w14:textId="77777777" w:rsidR="008E0251" w:rsidRPr="003650A0" w:rsidRDefault="008E0251" w:rsidP="00B24E19">
            <w:pPr>
              <w:pStyle w:val="DHHStablecolhead"/>
              <w:rPr>
                <w:b/>
                <w:lang w:eastAsia="en-AU"/>
              </w:rPr>
            </w:pPr>
            <w:r w:rsidRPr="003650A0">
              <w:rPr>
                <w:b/>
                <w:lang w:eastAsia="en-AU"/>
              </w:rPr>
              <w:t>Q2</w:t>
            </w:r>
          </w:p>
        </w:tc>
        <w:tc>
          <w:tcPr>
            <w:tcW w:w="1165" w:type="dxa"/>
            <w:hideMark/>
          </w:tcPr>
          <w:p w14:paraId="45C13C24" w14:textId="77777777" w:rsidR="008E0251" w:rsidRPr="003650A0" w:rsidRDefault="008E0251" w:rsidP="00B24E19">
            <w:pPr>
              <w:pStyle w:val="DHHStablecolhead"/>
              <w:rPr>
                <w:b/>
                <w:lang w:eastAsia="en-AU"/>
              </w:rPr>
            </w:pPr>
            <w:r w:rsidRPr="003650A0">
              <w:rPr>
                <w:b/>
                <w:lang w:eastAsia="en-AU"/>
              </w:rPr>
              <w:t>Q3</w:t>
            </w:r>
          </w:p>
        </w:tc>
        <w:tc>
          <w:tcPr>
            <w:tcW w:w="1049" w:type="dxa"/>
            <w:hideMark/>
          </w:tcPr>
          <w:p w14:paraId="212D17F5" w14:textId="77777777" w:rsidR="008E0251" w:rsidRPr="003650A0" w:rsidRDefault="008E0251" w:rsidP="00B24E19">
            <w:pPr>
              <w:pStyle w:val="DHHStablecolhead"/>
              <w:rPr>
                <w:b/>
                <w:lang w:eastAsia="en-AU"/>
              </w:rPr>
            </w:pPr>
            <w:r w:rsidRPr="003650A0">
              <w:rPr>
                <w:b/>
                <w:lang w:eastAsia="en-AU"/>
              </w:rPr>
              <w:t>Q4</w:t>
            </w:r>
          </w:p>
        </w:tc>
        <w:tc>
          <w:tcPr>
            <w:tcW w:w="1049" w:type="dxa"/>
          </w:tcPr>
          <w:p w14:paraId="59FCD48A" w14:textId="77777777" w:rsidR="008E0251" w:rsidRPr="003650A0" w:rsidRDefault="008E0251" w:rsidP="00B24E19">
            <w:pPr>
              <w:pStyle w:val="DHHStablecolhead"/>
              <w:rPr>
                <w:b/>
                <w:lang w:eastAsia="en-AU"/>
              </w:rPr>
            </w:pPr>
            <w:r>
              <w:rPr>
                <w:b/>
                <w:lang w:eastAsia="en-AU"/>
              </w:rPr>
              <w:t>Total</w:t>
            </w:r>
          </w:p>
        </w:tc>
      </w:tr>
      <w:tr w:rsidR="008E0251" w:rsidRPr="003650A0" w14:paraId="00F70384" w14:textId="77777777" w:rsidTr="0004308C">
        <w:trPr>
          <w:trHeight w:val="255"/>
        </w:trPr>
        <w:tc>
          <w:tcPr>
            <w:tcW w:w="3008" w:type="dxa"/>
            <w:hideMark/>
          </w:tcPr>
          <w:p w14:paraId="6E258D78" w14:textId="73AB1CB8" w:rsidR="008E0251" w:rsidRPr="0004308C" w:rsidRDefault="008E0251" w:rsidP="0004308C">
            <w:pPr>
              <w:pStyle w:val="DHHStabletext"/>
            </w:pPr>
            <w:r w:rsidRPr="0004308C">
              <w:t>M</w:t>
            </w:r>
            <w:r w:rsidR="00BC59AA">
              <w:t>ental health</w:t>
            </w:r>
            <w:r w:rsidRPr="0004308C">
              <w:t xml:space="preserve"> ED presentations</w:t>
            </w:r>
          </w:p>
        </w:tc>
        <w:tc>
          <w:tcPr>
            <w:tcW w:w="1049" w:type="dxa"/>
            <w:hideMark/>
          </w:tcPr>
          <w:p w14:paraId="31B127C2" w14:textId="2ED7C1FF" w:rsidR="008E0251" w:rsidRPr="006C6AC3" w:rsidRDefault="00A520EE" w:rsidP="006C6AC3">
            <w:pPr>
              <w:pStyle w:val="DHHStabletext"/>
            </w:pPr>
            <w:r>
              <w:t xml:space="preserve"> </w:t>
            </w:r>
            <w:r w:rsidR="008E0251" w:rsidRPr="006C6AC3">
              <w:t xml:space="preserve">24,585 </w:t>
            </w:r>
          </w:p>
        </w:tc>
        <w:tc>
          <w:tcPr>
            <w:tcW w:w="1049" w:type="dxa"/>
            <w:hideMark/>
          </w:tcPr>
          <w:p w14:paraId="744F1E5B" w14:textId="1FDB7F69" w:rsidR="008E0251" w:rsidRPr="006C6AC3" w:rsidRDefault="00A520EE" w:rsidP="006C6AC3">
            <w:pPr>
              <w:pStyle w:val="DHHStabletext"/>
            </w:pPr>
            <w:r>
              <w:t xml:space="preserve"> </w:t>
            </w:r>
            <w:r w:rsidR="008E0251" w:rsidRPr="006C6AC3">
              <w:t xml:space="preserve">26,489 </w:t>
            </w:r>
          </w:p>
        </w:tc>
        <w:tc>
          <w:tcPr>
            <w:tcW w:w="1165" w:type="dxa"/>
            <w:hideMark/>
          </w:tcPr>
          <w:p w14:paraId="1A4C83F2" w14:textId="7FC75B84" w:rsidR="008E0251" w:rsidRPr="006C6AC3" w:rsidRDefault="00A520EE" w:rsidP="006C6AC3">
            <w:pPr>
              <w:pStyle w:val="DHHStabletext"/>
            </w:pPr>
            <w:r>
              <w:t xml:space="preserve"> </w:t>
            </w:r>
            <w:r w:rsidR="008E0251" w:rsidRPr="006C6AC3">
              <w:t xml:space="preserve">25,840 </w:t>
            </w:r>
          </w:p>
        </w:tc>
        <w:tc>
          <w:tcPr>
            <w:tcW w:w="1049" w:type="dxa"/>
            <w:hideMark/>
          </w:tcPr>
          <w:p w14:paraId="046E8A33" w14:textId="37309002" w:rsidR="008E0251" w:rsidRPr="006C6AC3" w:rsidRDefault="00A520EE" w:rsidP="006C6AC3">
            <w:pPr>
              <w:pStyle w:val="DHHStabletext"/>
            </w:pPr>
            <w:r>
              <w:t xml:space="preserve"> </w:t>
            </w:r>
            <w:r w:rsidR="008E0251" w:rsidRPr="006C6AC3">
              <w:t xml:space="preserve">24,031 </w:t>
            </w:r>
          </w:p>
        </w:tc>
        <w:tc>
          <w:tcPr>
            <w:tcW w:w="1049" w:type="dxa"/>
          </w:tcPr>
          <w:p w14:paraId="1FB86B3F" w14:textId="77777777" w:rsidR="008E0251" w:rsidRPr="006C6AC3" w:rsidRDefault="008E0251" w:rsidP="006C6AC3">
            <w:pPr>
              <w:pStyle w:val="DHHStabletext"/>
            </w:pPr>
            <w:r w:rsidRPr="006C6AC3">
              <w:t>100,945</w:t>
            </w:r>
          </w:p>
        </w:tc>
      </w:tr>
      <w:tr w:rsidR="008E0251" w:rsidRPr="003650A0" w14:paraId="70B742DB" w14:textId="77777777" w:rsidTr="0004308C">
        <w:trPr>
          <w:trHeight w:val="146"/>
        </w:trPr>
        <w:tc>
          <w:tcPr>
            <w:tcW w:w="3008" w:type="dxa"/>
            <w:hideMark/>
          </w:tcPr>
          <w:p w14:paraId="1F4E9833" w14:textId="0416A9FA" w:rsidR="008E0251" w:rsidRPr="0004308C" w:rsidRDefault="008E0251" w:rsidP="0004308C">
            <w:pPr>
              <w:pStyle w:val="DHHStabletext"/>
            </w:pPr>
            <w:r w:rsidRPr="0004308C">
              <w:t>M</w:t>
            </w:r>
            <w:r w:rsidR="00BC59AA">
              <w:t>ental health–</w:t>
            </w:r>
            <w:r w:rsidRPr="0004308C">
              <w:t>related ED presentations</w:t>
            </w:r>
            <w:r w:rsidR="00BC59AA">
              <w:t xml:space="preserve"> as a percentage of</w:t>
            </w:r>
            <w:r w:rsidRPr="0004308C">
              <w:t xml:space="preserve"> total presentations</w:t>
            </w:r>
          </w:p>
        </w:tc>
        <w:tc>
          <w:tcPr>
            <w:tcW w:w="1049" w:type="dxa"/>
            <w:hideMark/>
          </w:tcPr>
          <w:p w14:paraId="2531ADAE" w14:textId="77777777" w:rsidR="008E0251" w:rsidRPr="0004308C" w:rsidRDefault="008E0251" w:rsidP="0004308C">
            <w:pPr>
              <w:pStyle w:val="DHHStabletext"/>
            </w:pPr>
            <w:r w:rsidRPr="0004308C">
              <w:t>5.24%</w:t>
            </w:r>
          </w:p>
        </w:tc>
        <w:tc>
          <w:tcPr>
            <w:tcW w:w="1049" w:type="dxa"/>
            <w:hideMark/>
          </w:tcPr>
          <w:p w14:paraId="7DE0A052" w14:textId="77777777" w:rsidR="008E0251" w:rsidRPr="0004308C" w:rsidRDefault="008E0251" w:rsidP="0004308C">
            <w:pPr>
              <w:pStyle w:val="DHHStabletext"/>
            </w:pPr>
            <w:r w:rsidRPr="0004308C">
              <w:t>5.62%</w:t>
            </w:r>
          </w:p>
        </w:tc>
        <w:tc>
          <w:tcPr>
            <w:tcW w:w="1165" w:type="dxa"/>
            <w:hideMark/>
          </w:tcPr>
          <w:p w14:paraId="2D736383" w14:textId="77777777" w:rsidR="008E0251" w:rsidRPr="0004308C" w:rsidRDefault="008E0251" w:rsidP="0004308C">
            <w:pPr>
              <w:pStyle w:val="DHHStabletext"/>
            </w:pPr>
            <w:r w:rsidRPr="0004308C">
              <w:t>5.64%</w:t>
            </w:r>
          </w:p>
        </w:tc>
        <w:tc>
          <w:tcPr>
            <w:tcW w:w="1049" w:type="dxa"/>
            <w:hideMark/>
          </w:tcPr>
          <w:p w14:paraId="3EBD623F" w14:textId="77777777" w:rsidR="008E0251" w:rsidRPr="0004308C" w:rsidRDefault="008E0251" w:rsidP="0004308C">
            <w:pPr>
              <w:pStyle w:val="DHHStabletext"/>
            </w:pPr>
            <w:r w:rsidRPr="0004308C">
              <w:t>6.86%</w:t>
            </w:r>
          </w:p>
        </w:tc>
        <w:tc>
          <w:tcPr>
            <w:tcW w:w="1049" w:type="dxa"/>
          </w:tcPr>
          <w:p w14:paraId="026ED392" w14:textId="77777777" w:rsidR="008E0251" w:rsidRPr="0004308C" w:rsidRDefault="008E0251" w:rsidP="0004308C">
            <w:pPr>
              <w:pStyle w:val="DHHStabletext"/>
            </w:pPr>
            <w:r w:rsidRPr="0004308C">
              <w:t>5.77%</w:t>
            </w:r>
          </w:p>
        </w:tc>
      </w:tr>
    </w:tbl>
    <w:p w14:paraId="714EC4D4" w14:textId="08BA3AF9" w:rsidR="008E0251" w:rsidRDefault="008E0251" w:rsidP="007B48FE">
      <w:pPr>
        <w:pStyle w:val="DHHSbodyaftertablefigure"/>
      </w:pPr>
      <w:r w:rsidRPr="003650A0">
        <w:t xml:space="preserve">In relation to acute inpatient and </w:t>
      </w:r>
      <w:r>
        <w:t>bed-based</w:t>
      </w:r>
      <w:r w:rsidRPr="003650A0">
        <w:t xml:space="preserve"> care, and </w:t>
      </w:r>
      <w:r w:rsidR="005740EC">
        <w:t>services</w:t>
      </w:r>
      <w:r w:rsidR="005740EC" w:rsidRPr="003650A0">
        <w:t xml:space="preserve"> </w:t>
      </w:r>
      <w:r w:rsidRPr="003650A0">
        <w:t xml:space="preserve">in the community, the pandemic also had effects. </w:t>
      </w:r>
    </w:p>
    <w:p w14:paraId="75E1FC5D" w14:textId="47C2E225" w:rsidR="008E0251" w:rsidRDefault="008E0251" w:rsidP="008E0251">
      <w:pPr>
        <w:pStyle w:val="DHHSbody"/>
        <w:rPr>
          <w:rFonts w:cs="Arial"/>
        </w:rPr>
      </w:pPr>
      <w:r w:rsidRPr="003650A0">
        <w:rPr>
          <w:rFonts w:cs="Arial"/>
        </w:rPr>
        <w:t>Services took a range of actions to protect the health and wellbeing of consumers, carers and staff</w:t>
      </w:r>
      <w:r>
        <w:rPr>
          <w:rFonts w:cs="Arial"/>
        </w:rPr>
        <w:t xml:space="preserve">, including implementing contingency plans and reducing admissions to PARCs to create alternative treatment settings </w:t>
      </w:r>
      <w:r w:rsidR="005740EC">
        <w:rPr>
          <w:rFonts w:cs="Arial"/>
        </w:rPr>
        <w:t xml:space="preserve">for </w:t>
      </w:r>
      <w:r>
        <w:rPr>
          <w:rFonts w:cs="Arial"/>
        </w:rPr>
        <w:t xml:space="preserve">the case of a </w:t>
      </w:r>
      <w:r w:rsidR="00E51317">
        <w:rPr>
          <w:rFonts w:cs="Arial"/>
        </w:rPr>
        <w:t>coronavirus (COVID-19)</w:t>
      </w:r>
      <w:r>
        <w:rPr>
          <w:rFonts w:cs="Arial"/>
        </w:rPr>
        <w:t xml:space="preserve"> outbreak. Some services with rooms where there are shared facilities had to reduce available bed numbers</w:t>
      </w:r>
      <w:r w:rsidR="005740EC" w:rsidRPr="005740EC">
        <w:rPr>
          <w:rFonts w:cs="Arial"/>
        </w:rPr>
        <w:t>. Overall, there was a reduction the number of acute mental health separations in quarter 4 in comparison to previous quarters</w:t>
      </w:r>
      <w:r>
        <w:rPr>
          <w:rFonts w:cs="Arial"/>
        </w:rPr>
        <w:t xml:space="preserve"> </w:t>
      </w:r>
      <w:r w:rsidR="009526CB">
        <w:rPr>
          <w:rFonts w:cs="Arial"/>
        </w:rPr>
        <w:t>(</w:t>
      </w:r>
      <w:r>
        <w:rPr>
          <w:rFonts w:cs="Arial"/>
        </w:rPr>
        <w:t xml:space="preserve">Table </w:t>
      </w:r>
      <w:r w:rsidR="006E3E09">
        <w:rPr>
          <w:rFonts w:cs="Arial"/>
        </w:rPr>
        <w:t>5</w:t>
      </w:r>
      <w:r w:rsidR="009526CB">
        <w:rPr>
          <w:rFonts w:cs="Arial"/>
        </w:rPr>
        <w:t>)</w:t>
      </w:r>
      <w:r>
        <w:rPr>
          <w:rFonts w:cs="Arial"/>
        </w:rPr>
        <w:t xml:space="preserve">. </w:t>
      </w:r>
    </w:p>
    <w:p w14:paraId="799B65A8" w14:textId="1CEFD7EE" w:rsidR="008E0251" w:rsidRDefault="008E0251" w:rsidP="008E0251">
      <w:pPr>
        <w:pStyle w:val="DHHStablecaption"/>
      </w:pPr>
      <w:r>
        <w:t>Table</w:t>
      </w:r>
      <w:r w:rsidR="006E3E09">
        <w:t xml:space="preserve"> 5</w:t>
      </w:r>
      <w:r>
        <w:t xml:space="preserve">: Mental health acute </w:t>
      </w:r>
      <w:r w:rsidR="00DB2262">
        <w:t>separations (excluding same days)</w:t>
      </w:r>
      <w:r>
        <w:t xml:space="preserve"> for each quarter, </w:t>
      </w:r>
      <w:r w:rsidR="00894D3B">
        <w:t>2019–20</w:t>
      </w:r>
    </w:p>
    <w:tbl>
      <w:tblPr>
        <w:tblStyle w:val="MentalhealthARtablestyle"/>
        <w:tblW w:w="7603" w:type="dxa"/>
        <w:tblLook w:val="04A0" w:firstRow="1" w:lastRow="0" w:firstColumn="1" w:lastColumn="0" w:noHBand="0" w:noVBand="1"/>
      </w:tblPr>
      <w:tblGrid>
        <w:gridCol w:w="1900"/>
        <w:gridCol w:w="1901"/>
        <w:gridCol w:w="1901"/>
        <w:gridCol w:w="1901"/>
      </w:tblGrid>
      <w:tr w:rsidR="0004308C" w14:paraId="1A28B9D2" w14:textId="77777777" w:rsidTr="0004308C">
        <w:trPr>
          <w:cnfStyle w:val="100000000000" w:firstRow="1" w:lastRow="0" w:firstColumn="0" w:lastColumn="0" w:oddVBand="0" w:evenVBand="0" w:oddHBand="0" w:evenHBand="0" w:firstRowFirstColumn="0" w:firstRowLastColumn="0" w:lastRowFirstColumn="0" w:lastRowLastColumn="0"/>
          <w:tblHeader/>
        </w:trPr>
        <w:tc>
          <w:tcPr>
            <w:tcW w:w="1900" w:type="dxa"/>
          </w:tcPr>
          <w:p w14:paraId="12BFA0FF" w14:textId="77777777" w:rsidR="0004308C" w:rsidRPr="00102581" w:rsidRDefault="0004308C" w:rsidP="00BA6AC1">
            <w:pPr>
              <w:pStyle w:val="DHHStablecolhead"/>
              <w:rPr>
                <w:b/>
                <w:bCs/>
              </w:rPr>
            </w:pPr>
            <w:r w:rsidRPr="00102581">
              <w:rPr>
                <w:b/>
                <w:bCs/>
              </w:rPr>
              <w:t>Quarter 1</w:t>
            </w:r>
          </w:p>
        </w:tc>
        <w:tc>
          <w:tcPr>
            <w:tcW w:w="1901" w:type="dxa"/>
          </w:tcPr>
          <w:p w14:paraId="5C900B76" w14:textId="77777777" w:rsidR="0004308C" w:rsidRPr="00102581" w:rsidRDefault="0004308C" w:rsidP="00BA6AC1">
            <w:pPr>
              <w:pStyle w:val="DHHStablecolhead"/>
              <w:rPr>
                <w:b/>
                <w:bCs/>
              </w:rPr>
            </w:pPr>
            <w:r w:rsidRPr="00102581">
              <w:rPr>
                <w:b/>
                <w:bCs/>
              </w:rPr>
              <w:t>Quarter 2</w:t>
            </w:r>
          </w:p>
        </w:tc>
        <w:tc>
          <w:tcPr>
            <w:tcW w:w="1901" w:type="dxa"/>
          </w:tcPr>
          <w:p w14:paraId="1D1489E2" w14:textId="77777777" w:rsidR="0004308C" w:rsidRPr="00102581" w:rsidRDefault="0004308C" w:rsidP="00BA6AC1">
            <w:pPr>
              <w:pStyle w:val="DHHStablecolhead"/>
              <w:rPr>
                <w:b/>
                <w:bCs/>
              </w:rPr>
            </w:pPr>
            <w:r w:rsidRPr="00102581">
              <w:rPr>
                <w:b/>
                <w:bCs/>
              </w:rPr>
              <w:t>Quarter 3</w:t>
            </w:r>
          </w:p>
        </w:tc>
        <w:tc>
          <w:tcPr>
            <w:tcW w:w="1901" w:type="dxa"/>
          </w:tcPr>
          <w:p w14:paraId="37FA58AD" w14:textId="77777777" w:rsidR="0004308C" w:rsidRPr="00102581" w:rsidRDefault="0004308C" w:rsidP="00BA6AC1">
            <w:pPr>
              <w:pStyle w:val="DHHStablecolhead"/>
              <w:rPr>
                <w:b/>
                <w:bCs/>
              </w:rPr>
            </w:pPr>
            <w:r w:rsidRPr="00102581">
              <w:rPr>
                <w:b/>
                <w:bCs/>
              </w:rPr>
              <w:t>Quarter 4</w:t>
            </w:r>
          </w:p>
        </w:tc>
      </w:tr>
      <w:tr w:rsidR="0004308C" w14:paraId="65E7DD64" w14:textId="77777777" w:rsidTr="00BA6AC1">
        <w:tc>
          <w:tcPr>
            <w:tcW w:w="1900" w:type="dxa"/>
          </w:tcPr>
          <w:p w14:paraId="2A09522B" w14:textId="00241FB1" w:rsidR="0004308C" w:rsidRPr="0004308C" w:rsidRDefault="00A520EE" w:rsidP="0004308C">
            <w:pPr>
              <w:pStyle w:val="DHHStabletext"/>
            </w:pPr>
            <w:r>
              <w:t xml:space="preserve"> </w:t>
            </w:r>
            <w:r w:rsidR="0004308C" w:rsidRPr="0004308C">
              <w:t xml:space="preserve"> 7,905 </w:t>
            </w:r>
          </w:p>
        </w:tc>
        <w:tc>
          <w:tcPr>
            <w:tcW w:w="1901" w:type="dxa"/>
          </w:tcPr>
          <w:p w14:paraId="42A217DC" w14:textId="317922FA" w:rsidR="0004308C" w:rsidRPr="0004308C" w:rsidRDefault="00A520EE" w:rsidP="0004308C">
            <w:pPr>
              <w:pStyle w:val="DHHStabletext"/>
            </w:pPr>
            <w:r>
              <w:t xml:space="preserve"> </w:t>
            </w:r>
            <w:r w:rsidR="0004308C" w:rsidRPr="0004308C">
              <w:t xml:space="preserve"> 8,074 </w:t>
            </w:r>
          </w:p>
        </w:tc>
        <w:tc>
          <w:tcPr>
            <w:tcW w:w="1901" w:type="dxa"/>
          </w:tcPr>
          <w:p w14:paraId="5F7A1D66" w14:textId="196572DF" w:rsidR="0004308C" w:rsidRPr="0004308C" w:rsidRDefault="00A520EE" w:rsidP="0004308C">
            <w:pPr>
              <w:pStyle w:val="DHHStabletext"/>
            </w:pPr>
            <w:r>
              <w:t xml:space="preserve"> </w:t>
            </w:r>
            <w:r w:rsidR="0004308C" w:rsidRPr="0004308C">
              <w:t xml:space="preserve"> 7,888 </w:t>
            </w:r>
          </w:p>
        </w:tc>
        <w:tc>
          <w:tcPr>
            <w:tcW w:w="1901" w:type="dxa"/>
          </w:tcPr>
          <w:p w14:paraId="6AC6C105" w14:textId="3A14A344" w:rsidR="0004308C" w:rsidRPr="0004308C" w:rsidRDefault="00A520EE" w:rsidP="0004308C">
            <w:pPr>
              <w:pStyle w:val="DHHStabletext"/>
            </w:pPr>
            <w:r>
              <w:t xml:space="preserve"> </w:t>
            </w:r>
            <w:r w:rsidR="0004308C" w:rsidRPr="0004308C">
              <w:t xml:space="preserve"> 7,183 </w:t>
            </w:r>
          </w:p>
        </w:tc>
      </w:tr>
    </w:tbl>
    <w:p w14:paraId="6B78B032" w14:textId="501C2350" w:rsidR="008E0251" w:rsidRDefault="008E0251" w:rsidP="00B24E19">
      <w:pPr>
        <w:pStyle w:val="DHHSbodyaftertablefigure"/>
      </w:pPr>
      <w:r>
        <w:t>Bed occupancy</w:t>
      </w:r>
      <w:r w:rsidRPr="003650A0">
        <w:t xml:space="preserve"> dropped </w:t>
      </w:r>
      <w:r w:rsidR="009526CB">
        <w:t xml:space="preserve">somewhat </w:t>
      </w:r>
      <w:r w:rsidRPr="003650A0">
        <w:t>in quarter 3 and more substantially in quarter 4</w:t>
      </w:r>
      <w:r>
        <w:t>, as shown in</w:t>
      </w:r>
      <w:r w:rsidR="006E3E09">
        <w:t xml:space="preserve"> Table 6.</w:t>
      </w:r>
      <w:r>
        <w:t xml:space="preserve"> Although</w:t>
      </w:r>
      <w:r w:rsidRPr="003650A0">
        <w:t xml:space="preserve"> this was most marked in acute admitted care</w:t>
      </w:r>
      <w:r>
        <w:t>, occupancy levels were still slightly above desirable maximum occupancy for acute inpatient settings in non-pandemic conditions</w:t>
      </w:r>
      <w:r w:rsidRPr="003650A0">
        <w:t>.</w:t>
      </w:r>
    </w:p>
    <w:p w14:paraId="1D6838F4" w14:textId="75FCBC67" w:rsidR="00102581" w:rsidRPr="00102581" w:rsidRDefault="008E0251" w:rsidP="00102581">
      <w:pPr>
        <w:pStyle w:val="DHHStablecaption"/>
      </w:pPr>
      <w:r>
        <w:t>Table</w:t>
      </w:r>
      <w:r w:rsidR="006E3E09">
        <w:t xml:space="preserve"> 6</w:t>
      </w:r>
      <w:r>
        <w:t>: Quarterly bed occupancy levels</w:t>
      </w:r>
      <w:r w:rsidR="009526CB">
        <w:t>,</w:t>
      </w:r>
      <w:r>
        <w:t xml:space="preserve"> </w:t>
      </w:r>
      <w:r w:rsidR="00894D3B">
        <w:t>2019–20</w:t>
      </w:r>
    </w:p>
    <w:tbl>
      <w:tblPr>
        <w:tblStyle w:val="MentalhealthARtablestyle"/>
        <w:tblW w:w="9504" w:type="dxa"/>
        <w:tblLook w:val="04A0" w:firstRow="1" w:lastRow="0" w:firstColumn="1" w:lastColumn="0" w:noHBand="0" w:noVBand="1"/>
      </w:tblPr>
      <w:tblGrid>
        <w:gridCol w:w="2825"/>
        <w:gridCol w:w="1669"/>
        <w:gridCol w:w="1670"/>
        <w:gridCol w:w="1670"/>
        <w:gridCol w:w="1670"/>
      </w:tblGrid>
      <w:tr w:rsidR="00102581" w:rsidRPr="004203C3" w14:paraId="28E93190" w14:textId="77777777" w:rsidTr="0004308C">
        <w:trPr>
          <w:cnfStyle w:val="100000000000" w:firstRow="1" w:lastRow="0" w:firstColumn="0" w:lastColumn="0" w:oddVBand="0" w:evenVBand="0" w:oddHBand="0" w:evenHBand="0" w:firstRowFirstColumn="0" w:firstRowLastColumn="0" w:lastRowFirstColumn="0" w:lastRowLastColumn="0"/>
          <w:trHeight w:val="255"/>
          <w:tblHeader/>
        </w:trPr>
        <w:tc>
          <w:tcPr>
            <w:tcW w:w="2825" w:type="dxa"/>
          </w:tcPr>
          <w:p w14:paraId="12F4BEDE" w14:textId="08C15D6B" w:rsidR="00102581" w:rsidRDefault="00102581" w:rsidP="00102581">
            <w:pPr>
              <w:pStyle w:val="DHHStablecolhead"/>
              <w:rPr>
                <w:color w:val="000000"/>
                <w:lang w:eastAsia="en-AU"/>
              </w:rPr>
            </w:pPr>
            <w:r>
              <w:rPr>
                <w:b/>
                <w:lang w:eastAsia="en-AU"/>
              </w:rPr>
              <w:t>Setting</w:t>
            </w:r>
          </w:p>
        </w:tc>
        <w:tc>
          <w:tcPr>
            <w:tcW w:w="1669" w:type="dxa"/>
          </w:tcPr>
          <w:p w14:paraId="524B065E" w14:textId="028021E1" w:rsidR="00102581" w:rsidRDefault="00102581" w:rsidP="00102581">
            <w:pPr>
              <w:pStyle w:val="DHHStablecolhead"/>
              <w:rPr>
                <w:b/>
                <w:color w:val="000000"/>
              </w:rPr>
            </w:pPr>
            <w:r w:rsidRPr="00102581">
              <w:rPr>
                <w:b/>
                <w:bCs/>
              </w:rPr>
              <w:t>Quarter 1</w:t>
            </w:r>
          </w:p>
        </w:tc>
        <w:tc>
          <w:tcPr>
            <w:tcW w:w="1670" w:type="dxa"/>
          </w:tcPr>
          <w:p w14:paraId="23401513" w14:textId="0E23C824" w:rsidR="00102581" w:rsidRDefault="00102581" w:rsidP="00102581">
            <w:pPr>
              <w:pStyle w:val="DHHStablecolhead"/>
              <w:rPr>
                <w:b/>
                <w:color w:val="000000"/>
              </w:rPr>
            </w:pPr>
            <w:r w:rsidRPr="00102581">
              <w:rPr>
                <w:b/>
                <w:bCs/>
              </w:rPr>
              <w:t>Quarter 2</w:t>
            </w:r>
          </w:p>
        </w:tc>
        <w:tc>
          <w:tcPr>
            <w:tcW w:w="1670" w:type="dxa"/>
          </w:tcPr>
          <w:p w14:paraId="6C7533F8" w14:textId="5B46F154" w:rsidR="00102581" w:rsidRDefault="00102581" w:rsidP="00102581">
            <w:pPr>
              <w:pStyle w:val="DHHStablecolhead"/>
              <w:rPr>
                <w:b/>
                <w:color w:val="000000"/>
              </w:rPr>
            </w:pPr>
            <w:r w:rsidRPr="00102581">
              <w:rPr>
                <w:b/>
                <w:bCs/>
              </w:rPr>
              <w:t>Quarter 3</w:t>
            </w:r>
          </w:p>
        </w:tc>
        <w:tc>
          <w:tcPr>
            <w:tcW w:w="1670" w:type="dxa"/>
          </w:tcPr>
          <w:p w14:paraId="6757A887" w14:textId="1499A232" w:rsidR="00102581" w:rsidRDefault="00102581" w:rsidP="00102581">
            <w:pPr>
              <w:pStyle w:val="DHHStablecolhead"/>
              <w:rPr>
                <w:b/>
                <w:color w:val="000000"/>
              </w:rPr>
            </w:pPr>
            <w:r w:rsidRPr="00102581">
              <w:rPr>
                <w:b/>
                <w:bCs/>
              </w:rPr>
              <w:t>Quarter 4</w:t>
            </w:r>
          </w:p>
        </w:tc>
      </w:tr>
      <w:tr w:rsidR="008E0251" w:rsidRPr="00144AF6" w14:paraId="5DD7A4F2" w14:textId="77777777" w:rsidTr="00102581">
        <w:trPr>
          <w:trHeight w:val="255"/>
        </w:trPr>
        <w:tc>
          <w:tcPr>
            <w:tcW w:w="2825" w:type="dxa"/>
            <w:hideMark/>
          </w:tcPr>
          <w:p w14:paraId="151F3815" w14:textId="52C7E876" w:rsidR="008E0251" w:rsidRPr="00144AF6" w:rsidRDefault="008E0251" w:rsidP="00C04E9C">
            <w:pPr>
              <w:pStyle w:val="DHHStabletext"/>
              <w:rPr>
                <w:lang w:eastAsia="en-AU"/>
              </w:rPr>
            </w:pPr>
            <w:r w:rsidRPr="00144AF6">
              <w:rPr>
                <w:lang w:eastAsia="en-AU"/>
              </w:rPr>
              <w:t>Admitted</w:t>
            </w:r>
            <w:r w:rsidR="00B96DA0">
              <w:rPr>
                <w:lang w:eastAsia="en-AU"/>
              </w:rPr>
              <w:t xml:space="preserve"> – </w:t>
            </w:r>
            <w:r w:rsidR="00102581">
              <w:rPr>
                <w:lang w:eastAsia="en-AU"/>
              </w:rPr>
              <w:t>a</w:t>
            </w:r>
            <w:r w:rsidRPr="00144AF6">
              <w:rPr>
                <w:lang w:eastAsia="en-AU"/>
              </w:rPr>
              <w:t>cute</w:t>
            </w:r>
          </w:p>
        </w:tc>
        <w:tc>
          <w:tcPr>
            <w:tcW w:w="1669" w:type="dxa"/>
            <w:hideMark/>
          </w:tcPr>
          <w:p w14:paraId="69B73E24" w14:textId="77777777" w:rsidR="008E0251" w:rsidRPr="00144AF6" w:rsidRDefault="008E0251" w:rsidP="00C04E9C">
            <w:pPr>
              <w:pStyle w:val="DHHStabletext"/>
              <w:rPr>
                <w:lang w:eastAsia="en-AU"/>
              </w:rPr>
            </w:pPr>
            <w:r w:rsidRPr="00144AF6">
              <w:rPr>
                <w:lang w:eastAsia="en-AU"/>
              </w:rPr>
              <w:t>88.5%</w:t>
            </w:r>
          </w:p>
        </w:tc>
        <w:tc>
          <w:tcPr>
            <w:tcW w:w="1670" w:type="dxa"/>
            <w:hideMark/>
          </w:tcPr>
          <w:p w14:paraId="35D7D3FB" w14:textId="77777777" w:rsidR="008E0251" w:rsidRPr="00144AF6" w:rsidRDefault="008E0251" w:rsidP="00C04E9C">
            <w:pPr>
              <w:pStyle w:val="DHHStabletext"/>
              <w:rPr>
                <w:lang w:eastAsia="en-AU"/>
              </w:rPr>
            </w:pPr>
            <w:r w:rsidRPr="00144AF6">
              <w:rPr>
                <w:lang w:eastAsia="en-AU"/>
              </w:rPr>
              <w:t>88.4%</w:t>
            </w:r>
          </w:p>
        </w:tc>
        <w:tc>
          <w:tcPr>
            <w:tcW w:w="1670" w:type="dxa"/>
            <w:hideMark/>
          </w:tcPr>
          <w:p w14:paraId="33EC030D" w14:textId="77777777" w:rsidR="008E0251" w:rsidRPr="00144AF6" w:rsidRDefault="008E0251" w:rsidP="00C04E9C">
            <w:pPr>
              <w:pStyle w:val="DHHStabletext"/>
              <w:rPr>
                <w:lang w:eastAsia="en-AU"/>
              </w:rPr>
            </w:pPr>
            <w:r w:rsidRPr="00144AF6">
              <w:rPr>
                <w:lang w:eastAsia="en-AU"/>
              </w:rPr>
              <w:t>87.1%</w:t>
            </w:r>
          </w:p>
        </w:tc>
        <w:tc>
          <w:tcPr>
            <w:tcW w:w="1670" w:type="dxa"/>
            <w:hideMark/>
          </w:tcPr>
          <w:p w14:paraId="003DCC6A" w14:textId="77777777" w:rsidR="008E0251" w:rsidRPr="00144AF6" w:rsidRDefault="008E0251" w:rsidP="00C04E9C">
            <w:pPr>
              <w:pStyle w:val="DHHStabletext"/>
              <w:rPr>
                <w:lang w:eastAsia="en-AU"/>
              </w:rPr>
            </w:pPr>
            <w:r w:rsidRPr="00144AF6">
              <w:rPr>
                <w:lang w:eastAsia="en-AU"/>
              </w:rPr>
              <w:t>81.6%</w:t>
            </w:r>
          </w:p>
        </w:tc>
      </w:tr>
      <w:tr w:rsidR="008E0251" w:rsidRPr="00144AF6" w14:paraId="2F26FFDB" w14:textId="77777777" w:rsidTr="00102581">
        <w:trPr>
          <w:trHeight w:val="255"/>
        </w:trPr>
        <w:tc>
          <w:tcPr>
            <w:tcW w:w="2825" w:type="dxa"/>
            <w:hideMark/>
          </w:tcPr>
          <w:p w14:paraId="2CDF9A63" w14:textId="04A90D46" w:rsidR="008E0251" w:rsidRPr="00144AF6" w:rsidRDefault="008E0251" w:rsidP="00C04E9C">
            <w:pPr>
              <w:pStyle w:val="DHHStabletext"/>
              <w:rPr>
                <w:lang w:eastAsia="en-AU"/>
              </w:rPr>
            </w:pPr>
            <w:r w:rsidRPr="00144AF6">
              <w:rPr>
                <w:lang w:eastAsia="en-AU"/>
              </w:rPr>
              <w:t>Admitted</w:t>
            </w:r>
            <w:r w:rsidR="00B96DA0">
              <w:rPr>
                <w:lang w:eastAsia="en-AU"/>
              </w:rPr>
              <w:t xml:space="preserve"> – non-acute</w:t>
            </w:r>
          </w:p>
        </w:tc>
        <w:tc>
          <w:tcPr>
            <w:tcW w:w="1669" w:type="dxa"/>
            <w:hideMark/>
          </w:tcPr>
          <w:p w14:paraId="193290F3" w14:textId="77777777" w:rsidR="008E0251" w:rsidRPr="00144AF6" w:rsidRDefault="008E0251" w:rsidP="00C04E9C">
            <w:pPr>
              <w:pStyle w:val="DHHStabletext"/>
              <w:rPr>
                <w:lang w:eastAsia="en-AU"/>
              </w:rPr>
            </w:pPr>
            <w:r w:rsidRPr="00144AF6">
              <w:rPr>
                <w:lang w:eastAsia="en-AU"/>
              </w:rPr>
              <w:t>88.0%</w:t>
            </w:r>
          </w:p>
        </w:tc>
        <w:tc>
          <w:tcPr>
            <w:tcW w:w="1670" w:type="dxa"/>
            <w:hideMark/>
          </w:tcPr>
          <w:p w14:paraId="43EF6A9B" w14:textId="77777777" w:rsidR="008E0251" w:rsidRPr="00144AF6" w:rsidRDefault="008E0251" w:rsidP="00C04E9C">
            <w:pPr>
              <w:pStyle w:val="DHHStabletext"/>
              <w:rPr>
                <w:lang w:eastAsia="en-AU"/>
              </w:rPr>
            </w:pPr>
            <w:r w:rsidRPr="00144AF6">
              <w:rPr>
                <w:lang w:eastAsia="en-AU"/>
              </w:rPr>
              <w:t>89.0%</w:t>
            </w:r>
          </w:p>
        </w:tc>
        <w:tc>
          <w:tcPr>
            <w:tcW w:w="1670" w:type="dxa"/>
            <w:hideMark/>
          </w:tcPr>
          <w:p w14:paraId="52D99C37" w14:textId="77777777" w:rsidR="008E0251" w:rsidRPr="00144AF6" w:rsidRDefault="008E0251" w:rsidP="00C04E9C">
            <w:pPr>
              <w:pStyle w:val="DHHStabletext"/>
              <w:rPr>
                <w:lang w:eastAsia="en-AU"/>
              </w:rPr>
            </w:pPr>
            <w:r w:rsidRPr="00144AF6">
              <w:rPr>
                <w:lang w:eastAsia="en-AU"/>
              </w:rPr>
              <w:t>91.2%</w:t>
            </w:r>
          </w:p>
        </w:tc>
        <w:tc>
          <w:tcPr>
            <w:tcW w:w="1670" w:type="dxa"/>
            <w:hideMark/>
          </w:tcPr>
          <w:p w14:paraId="014AD701" w14:textId="77777777" w:rsidR="008E0251" w:rsidRPr="00144AF6" w:rsidRDefault="008E0251" w:rsidP="00C04E9C">
            <w:pPr>
              <w:pStyle w:val="DHHStabletext"/>
              <w:rPr>
                <w:lang w:eastAsia="en-AU"/>
              </w:rPr>
            </w:pPr>
            <w:r w:rsidRPr="00144AF6">
              <w:rPr>
                <w:lang w:eastAsia="en-AU"/>
              </w:rPr>
              <w:t>91.6%</w:t>
            </w:r>
          </w:p>
        </w:tc>
      </w:tr>
      <w:tr w:rsidR="008E0251" w:rsidRPr="00144AF6" w14:paraId="52C15008" w14:textId="77777777" w:rsidTr="00102581">
        <w:trPr>
          <w:trHeight w:val="255"/>
        </w:trPr>
        <w:tc>
          <w:tcPr>
            <w:tcW w:w="2825" w:type="dxa"/>
            <w:hideMark/>
          </w:tcPr>
          <w:p w14:paraId="06323AC5" w14:textId="4BF66B30" w:rsidR="008E0251" w:rsidRPr="00144AF6" w:rsidRDefault="00B96DA0" w:rsidP="00C04E9C">
            <w:pPr>
              <w:pStyle w:val="DHHStabletext"/>
              <w:rPr>
                <w:lang w:eastAsia="en-AU"/>
              </w:rPr>
            </w:pPr>
            <w:r>
              <w:rPr>
                <w:lang w:eastAsia="en-AU"/>
              </w:rPr>
              <w:t xml:space="preserve">Non-admitted – </w:t>
            </w:r>
            <w:r w:rsidR="00102581">
              <w:rPr>
                <w:lang w:eastAsia="en-AU"/>
              </w:rPr>
              <w:t>b</w:t>
            </w:r>
            <w:r w:rsidR="008E0251">
              <w:rPr>
                <w:lang w:eastAsia="en-AU"/>
              </w:rPr>
              <w:t>ed-based</w:t>
            </w:r>
          </w:p>
        </w:tc>
        <w:tc>
          <w:tcPr>
            <w:tcW w:w="1669" w:type="dxa"/>
            <w:hideMark/>
          </w:tcPr>
          <w:p w14:paraId="50055E1C" w14:textId="77777777" w:rsidR="008E0251" w:rsidRPr="00144AF6" w:rsidRDefault="008E0251" w:rsidP="00C04E9C">
            <w:pPr>
              <w:pStyle w:val="DHHStabletext"/>
              <w:rPr>
                <w:lang w:eastAsia="en-AU"/>
              </w:rPr>
            </w:pPr>
            <w:r w:rsidRPr="00144AF6">
              <w:rPr>
                <w:lang w:eastAsia="en-AU"/>
              </w:rPr>
              <w:t>86.1%</w:t>
            </w:r>
          </w:p>
        </w:tc>
        <w:tc>
          <w:tcPr>
            <w:tcW w:w="1670" w:type="dxa"/>
            <w:hideMark/>
          </w:tcPr>
          <w:p w14:paraId="78F845C0" w14:textId="77777777" w:rsidR="008E0251" w:rsidRPr="00144AF6" w:rsidRDefault="008E0251" w:rsidP="00C04E9C">
            <w:pPr>
              <w:pStyle w:val="DHHStabletext"/>
              <w:rPr>
                <w:lang w:eastAsia="en-AU"/>
              </w:rPr>
            </w:pPr>
            <w:r w:rsidRPr="00144AF6">
              <w:rPr>
                <w:lang w:eastAsia="en-AU"/>
              </w:rPr>
              <w:t>83.8%</w:t>
            </w:r>
          </w:p>
        </w:tc>
        <w:tc>
          <w:tcPr>
            <w:tcW w:w="1670" w:type="dxa"/>
            <w:hideMark/>
          </w:tcPr>
          <w:p w14:paraId="6798DCB8" w14:textId="77777777" w:rsidR="008E0251" w:rsidRPr="00144AF6" w:rsidRDefault="008E0251" w:rsidP="00C04E9C">
            <w:pPr>
              <w:pStyle w:val="DHHStabletext"/>
              <w:rPr>
                <w:lang w:eastAsia="en-AU"/>
              </w:rPr>
            </w:pPr>
            <w:r w:rsidRPr="00144AF6">
              <w:rPr>
                <w:lang w:eastAsia="en-AU"/>
              </w:rPr>
              <w:t>83.3%</w:t>
            </w:r>
          </w:p>
        </w:tc>
        <w:tc>
          <w:tcPr>
            <w:tcW w:w="1670" w:type="dxa"/>
            <w:hideMark/>
          </w:tcPr>
          <w:p w14:paraId="6E58765A" w14:textId="77777777" w:rsidR="008E0251" w:rsidRPr="00144AF6" w:rsidRDefault="008E0251" w:rsidP="00C04E9C">
            <w:pPr>
              <w:pStyle w:val="DHHStabletext"/>
              <w:rPr>
                <w:lang w:eastAsia="en-AU"/>
              </w:rPr>
            </w:pPr>
            <w:r w:rsidRPr="00144AF6">
              <w:rPr>
                <w:lang w:eastAsia="en-AU"/>
              </w:rPr>
              <w:t>83.2%</w:t>
            </w:r>
          </w:p>
        </w:tc>
      </w:tr>
      <w:tr w:rsidR="008E0251" w:rsidRPr="00144AF6" w14:paraId="36197820" w14:textId="77777777" w:rsidTr="00102581">
        <w:trPr>
          <w:trHeight w:val="255"/>
        </w:trPr>
        <w:tc>
          <w:tcPr>
            <w:tcW w:w="2825" w:type="dxa"/>
            <w:hideMark/>
          </w:tcPr>
          <w:p w14:paraId="5D282E21" w14:textId="0FFE3D71" w:rsidR="008E0251" w:rsidRPr="00144AF6" w:rsidRDefault="00B96DA0" w:rsidP="00C04E9C">
            <w:pPr>
              <w:pStyle w:val="DHHStabletext"/>
              <w:rPr>
                <w:lang w:eastAsia="en-AU"/>
              </w:rPr>
            </w:pPr>
            <w:r>
              <w:rPr>
                <w:lang w:eastAsia="en-AU"/>
              </w:rPr>
              <w:t>Non-admitted – subacute</w:t>
            </w:r>
            <w:r w:rsidR="008E0251" w:rsidRPr="00144AF6">
              <w:rPr>
                <w:lang w:eastAsia="en-AU"/>
              </w:rPr>
              <w:t xml:space="preserve"> (CCU)</w:t>
            </w:r>
          </w:p>
        </w:tc>
        <w:tc>
          <w:tcPr>
            <w:tcW w:w="1669" w:type="dxa"/>
            <w:hideMark/>
          </w:tcPr>
          <w:p w14:paraId="697E7F0E" w14:textId="77777777" w:rsidR="008E0251" w:rsidRPr="00144AF6" w:rsidRDefault="008E0251" w:rsidP="00C04E9C">
            <w:pPr>
              <w:pStyle w:val="DHHStabletext"/>
              <w:rPr>
                <w:lang w:eastAsia="en-AU"/>
              </w:rPr>
            </w:pPr>
            <w:r w:rsidRPr="00144AF6">
              <w:rPr>
                <w:lang w:eastAsia="en-AU"/>
              </w:rPr>
              <w:t>80.8%</w:t>
            </w:r>
          </w:p>
        </w:tc>
        <w:tc>
          <w:tcPr>
            <w:tcW w:w="1670" w:type="dxa"/>
            <w:hideMark/>
          </w:tcPr>
          <w:p w14:paraId="34DD1879" w14:textId="77777777" w:rsidR="008E0251" w:rsidRPr="00144AF6" w:rsidRDefault="008E0251" w:rsidP="00C04E9C">
            <w:pPr>
              <w:pStyle w:val="DHHStabletext"/>
              <w:rPr>
                <w:lang w:eastAsia="en-AU"/>
              </w:rPr>
            </w:pPr>
            <w:r w:rsidRPr="00144AF6">
              <w:rPr>
                <w:lang w:eastAsia="en-AU"/>
              </w:rPr>
              <w:t>80.5%</w:t>
            </w:r>
          </w:p>
        </w:tc>
        <w:tc>
          <w:tcPr>
            <w:tcW w:w="1670" w:type="dxa"/>
            <w:hideMark/>
          </w:tcPr>
          <w:p w14:paraId="2100B260" w14:textId="77777777" w:rsidR="008E0251" w:rsidRPr="00144AF6" w:rsidRDefault="008E0251" w:rsidP="00C04E9C">
            <w:pPr>
              <w:pStyle w:val="DHHStabletext"/>
              <w:rPr>
                <w:lang w:eastAsia="en-AU"/>
              </w:rPr>
            </w:pPr>
            <w:r w:rsidRPr="00144AF6">
              <w:rPr>
                <w:lang w:eastAsia="en-AU"/>
              </w:rPr>
              <w:t>81.6%</w:t>
            </w:r>
          </w:p>
        </w:tc>
        <w:tc>
          <w:tcPr>
            <w:tcW w:w="1670" w:type="dxa"/>
            <w:hideMark/>
          </w:tcPr>
          <w:p w14:paraId="32C7CD3D" w14:textId="77777777" w:rsidR="008E0251" w:rsidRPr="00144AF6" w:rsidRDefault="008E0251" w:rsidP="00C04E9C">
            <w:pPr>
              <w:pStyle w:val="DHHStabletext"/>
              <w:rPr>
                <w:lang w:eastAsia="en-AU"/>
              </w:rPr>
            </w:pPr>
            <w:r w:rsidRPr="00144AF6">
              <w:rPr>
                <w:lang w:eastAsia="en-AU"/>
              </w:rPr>
              <w:t>78.1%</w:t>
            </w:r>
          </w:p>
        </w:tc>
      </w:tr>
      <w:tr w:rsidR="008E0251" w:rsidRPr="00144AF6" w14:paraId="2E36E990" w14:textId="77777777" w:rsidTr="00102581">
        <w:trPr>
          <w:trHeight w:val="420"/>
        </w:trPr>
        <w:tc>
          <w:tcPr>
            <w:tcW w:w="2825" w:type="dxa"/>
            <w:hideMark/>
          </w:tcPr>
          <w:p w14:paraId="0A222ABC" w14:textId="232142FB" w:rsidR="008E0251" w:rsidRPr="00144AF6" w:rsidRDefault="00B96DA0" w:rsidP="00C04E9C">
            <w:pPr>
              <w:pStyle w:val="DHHStabletext"/>
              <w:rPr>
                <w:lang w:eastAsia="en-AU"/>
              </w:rPr>
            </w:pPr>
            <w:r>
              <w:rPr>
                <w:lang w:eastAsia="en-AU"/>
              </w:rPr>
              <w:t>Non-admitted – subacute</w:t>
            </w:r>
            <w:r w:rsidR="008E0251" w:rsidRPr="00144AF6">
              <w:rPr>
                <w:lang w:eastAsia="en-AU"/>
              </w:rPr>
              <w:t xml:space="preserve"> (PARC)</w:t>
            </w:r>
          </w:p>
        </w:tc>
        <w:tc>
          <w:tcPr>
            <w:tcW w:w="1669" w:type="dxa"/>
            <w:hideMark/>
          </w:tcPr>
          <w:p w14:paraId="5BCE303B" w14:textId="77777777" w:rsidR="008E0251" w:rsidRPr="00144AF6" w:rsidRDefault="008E0251" w:rsidP="00C04E9C">
            <w:pPr>
              <w:pStyle w:val="DHHStabletext"/>
              <w:rPr>
                <w:lang w:eastAsia="en-AU"/>
              </w:rPr>
            </w:pPr>
            <w:r w:rsidRPr="00144AF6">
              <w:rPr>
                <w:lang w:eastAsia="en-AU"/>
              </w:rPr>
              <w:t>80.3%</w:t>
            </w:r>
          </w:p>
        </w:tc>
        <w:tc>
          <w:tcPr>
            <w:tcW w:w="1670" w:type="dxa"/>
            <w:hideMark/>
          </w:tcPr>
          <w:p w14:paraId="101D41A5" w14:textId="77777777" w:rsidR="008E0251" w:rsidRPr="00144AF6" w:rsidRDefault="008E0251" w:rsidP="00C04E9C">
            <w:pPr>
              <w:pStyle w:val="DHHStabletext"/>
              <w:rPr>
                <w:lang w:eastAsia="en-AU"/>
              </w:rPr>
            </w:pPr>
            <w:r w:rsidRPr="00144AF6">
              <w:rPr>
                <w:lang w:eastAsia="en-AU"/>
              </w:rPr>
              <w:t>80.1%</w:t>
            </w:r>
          </w:p>
        </w:tc>
        <w:tc>
          <w:tcPr>
            <w:tcW w:w="1670" w:type="dxa"/>
            <w:hideMark/>
          </w:tcPr>
          <w:p w14:paraId="4D6C143B" w14:textId="77777777" w:rsidR="008E0251" w:rsidRPr="00144AF6" w:rsidRDefault="008E0251" w:rsidP="00C04E9C">
            <w:pPr>
              <w:pStyle w:val="DHHStabletext"/>
              <w:rPr>
                <w:lang w:eastAsia="en-AU"/>
              </w:rPr>
            </w:pPr>
            <w:r w:rsidRPr="00144AF6">
              <w:rPr>
                <w:lang w:eastAsia="en-AU"/>
              </w:rPr>
              <w:t>75.1%</w:t>
            </w:r>
          </w:p>
        </w:tc>
        <w:tc>
          <w:tcPr>
            <w:tcW w:w="1670" w:type="dxa"/>
            <w:hideMark/>
          </w:tcPr>
          <w:p w14:paraId="46510B9A" w14:textId="77777777" w:rsidR="008E0251" w:rsidRPr="00144AF6" w:rsidRDefault="008E0251" w:rsidP="00C04E9C">
            <w:pPr>
              <w:pStyle w:val="DHHStabletext"/>
              <w:rPr>
                <w:lang w:eastAsia="en-AU"/>
              </w:rPr>
            </w:pPr>
            <w:r w:rsidRPr="00144AF6">
              <w:rPr>
                <w:lang w:eastAsia="en-AU"/>
              </w:rPr>
              <w:t>54.9%</w:t>
            </w:r>
          </w:p>
        </w:tc>
      </w:tr>
      <w:tr w:rsidR="008E0251" w:rsidRPr="00144AF6" w14:paraId="5384313B" w14:textId="77777777" w:rsidTr="00102581">
        <w:trPr>
          <w:trHeight w:val="264"/>
        </w:trPr>
        <w:tc>
          <w:tcPr>
            <w:tcW w:w="2825" w:type="dxa"/>
            <w:hideMark/>
          </w:tcPr>
          <w:p w14:paraId="0BAB1242" w14:textId="247693FA" w:rsidR="008E0251" w:rsidRPr="00144AF6" w:rsidRDefault="008E0251" w:rsidP="00C04E9C">
            <w:pPr>
              <w:pStyle w:val="DHHStabletext"/>
              <w:rPr>
                <w:b/>
                <w:bCs/>
                <w:lang w:eastAsia="en-AU"/>
              </w:rPr>
            </w:pPr>
            <w:r w:rsidRPr="00144AF6">
              <w:rPr>
                <w:b/>
                <w:bCs/>
                <w:lang w:eastAsia="en-AU"/>
              </w:rPr>
              <w:t>T</w:t>
            </w:r>
            <w:r w:rsidR="00102581">
              <w:rPr>
                <w:b/>
                <w:bCs/>
                <w:lang w:eastAsia="en-AU"/>
              </w:rPr>
              <w:t>otal</w:t>
            </w:r>
          </w:p>
        </w:tc>
        <w:tc>
          <w:tcPr>
            <w:tcW w:w="1669" w:type="dxa"/>
            <w:hideMark/>
          </w:tcPr>
          <w:p w14:paraId="3CE81264" w14:textId="77777777" w:rsidR="008E0251" w:rsidRPr="00144AF6" w:rsidRDefault="008E0251" w:rsidP="00C04E9C">
            <w:pPr>
              <w:pStyle w:val="DHHStabletext"/>
              <w:rPr>
                <w:b/>
                <w:bCs/>
                <w:lang w:eastAsia="en-AU"/>
              </w:rPr>
            </w:pPr>
            <w:r w:rsidRPr="00BC6C21">
              <w:rPr>
                <w:b/>
                <w:bCs/>
                <w:lang w:eastAsia="en-AU"/>
              </w:rPr>
              <w:t>86.1%</w:t>
            </w:r>
          </w:p>
        </w:tc>
        <w:tc>
          <w:tcPr>
            <w:tcW w:w="1670" w:type="dxa"/>
            <w:hideMark/>
          </w:tcPr>
          <w:p w14:paraId="2E166ACF" w14:textId="77777777" w:rsidR="008E0251" w:rsidRPr="00144AF6" w:rsidRDefault="008E0251" w:rsidP="00C04E9C">
            <w:pPr>
              <w:pStyle w:val="DHHStabletext"/>
              <w:rPr>
                <w:b/>
                <w:bCs/>
                <w:lang w:eastAsia="en-AU"/>
              </w:rPr>
            </w:pPr>
            <w:r w:rsidRPr="00144AF6">
              <w:rPr>
                <w:b/>
                <w:bCs/>
                <w:lang w:eastAsia="en-AU"/>
              </w:rPr>
              <w:t>85.7%</w:t>
            </w:r>
          </w:p>
        </w:tc>
        <w:tc>
          <w:tcPr>
            <w:tcW w:w="1670" w:type="dxa"/>
            <w:hideMark/>
          </w:tcPr>
          <w:p w14:paraId="2D0C50EE" w14:textId="77777777" w:rsidR="008E0251" w:rsidRPr="00144AF6" w:rsidRDefault="008E0251" w:rsidP="00C04E9C">
            <w:pPr>
              <w:pStyle w:val="DHHStabletext"/>
              <w:rPr>
                <w:b/>
                <w:bCs/>
                <w:lang w:eastAsia="en-AU"/>
              </w:rPr>
            </w:pPr>
            <w:r w:rsidRPr="00144AF6">
              <w:rPr>
                <w:b/>
                <w:bCs/>
                <w:lang w:eastAsia="en-AU"/>
              </w:rPr>
              <w:t>84.9%</w:t>
            </w:r>
          </w:p>
        </w:tc>
        <w:tc>
          <w:tcPr>
            <w:tcW w:w="1670" w:type="dxa"/>
            <w:hideMark/>
          </w:tcPr>
          <w:p w14:paraId="4C898A1C" w14:textId="77777777" w:rsidR="008E0251" w:rsidRPr="00144AF6" w:rsidRDefault="008E0251" w:rsidP="00C04E9C">
            <w:pPr>
              <w:pStyle w:val="DHHStabletext"/>
              <w:rPr>
                <w:b/>
                <w:bCs/>
                <w:lang w:eastAsia="en-AU"/>
              </w:rPr>
            </w:pPr>
            <w:r w:rsidRPr="00144AF6">
              <w:rPr>
                <w:b/>
                <w:bCs/>
                <w:lang w:eastAsia="en-AU"/>
              </w:rPr>
              <w:t>79.9%</w:t>
            </w:r>
          </w:p>
        </w:tc>
      </w:tr>
    </w:tbl>
    <w:p w14:paraId="59EB0D0D" w14:textId="31DBBBAC" w:rsidR="00DD401D" w:rsidRDefault="008E0251" w:rsidP="00B267D2">
      <w:pPr>
        <w:pStyle w:val="DHHSbodyaftertablefigure"/>
      </w:pPr>
      <w:r w:rsidRPr="003650A0">
        <w:t xml:space="preserve">There </w:t>
      </w:r>
      <w:r w:rsidR="009526CB">
        <w:t>wa</w:t>
      </w:r>
      <w:r w:rsidRPr="003650A0">
        <w:t>s a contrasting upswing in community contacts</w:t>
      </w:r>
      <w:r w:rsidR="009526CB">
        <w:t>,</w:t>
      </w:r>
      <w:r w:rsidRPr="003650A0">
        <w:t xml:space="preserve"> which increased substantially in quarter </w:t>
      </w:r>
      <w:r w:rsidR="009526CB">
        <w:t>4</w:t>
      </w:r>
      <w:r w:rsidRPr="003650A0">
        <w:t xml:space="preserve"> across adult</w:t>
      </w:r>
      <w:r>
        <w:t>,</w:t>
      </w:r>
      <w:r w:rsidRPr="003650A0">
        <w:t xml:space="preserve"> aged, C</w:t>
      </w:r>
      <w:r w:rsidR="009526CB">
        <w:t>A</w:t>
      </w:r>
      <w:r w:rsidRPr="003650A0">
        <w:t xml:space="preserve">MHS and specialist services. </w:t>
      </w:r>
      <w:r w:rsidR="00DF2A67">
        <w:t xml:space="preserve">Table </w:t>
      </w:r>
      <w:r w:rsidR="006E3E09">
        <w:t>7</w:t>
      </w:r>
      <w:r w:rsidR="00DF2A67">
        <w:t xml:space="preserve"> shows the increase in adult community contacts during the final quarter of 2020 compared with 2019. </w:t>
      </w:r>
      <w:r w:rsidRPr="003650A0">
        <w:t xml:space="preserve">The mode of contacts changed substantially during the pandemic away from face-to-face service delivery and towards phone and videoconferencing. </w:t>
      </w:r>
    </w:p>
    <w:p w14:paraId="161CEC59" w14:textId="28C1B072" w:rsidR="008E0251" w:rsidRDefault="00AC7AC5" w:rsidP="00B267D2">
      <w:pPr>
        <w:pStyle w:val="DHHStablecaption"/>
      </w:pPr>
      <w:r w:rsidRPr="00AC7AC5">
        <w:t xml:space="preserve">Table </w:t>
      </w:r>
      <w:r w:rsidR="006E3E09">
        <w:t>7</w:t>
      </w:r>
      <w:r>
        <w:t xml:space="preserve">: Adult community </w:t>
      </w:r>
      <w:r w:rsidR="00102581">
        <w:t xml:space="preserve">service </w:t>
      </w:r>
      <w:r>
        <w:t>contacts</w:t>
      </w:r>
      <w:r w:rsidR="009526CB">
        <w:t>,</w:t>
      </w:r>
      <w:r>
        <w:t xml:space="preserve"> 2018</w:t>
      </w:r>
      <w:r w:rsidR="00102581">
        <w:t>–</w:t>
      </w:r>
      <w:r>
        <w:t xml:space="preserve">19 and </w:t>
      </w:r>
      <w:r w:rsidR="00894D3B">
        <w:t>2019–20</w:t>
      </w:r>
    </w:p>
    <w:tbl>
      <w:tblPr>
        <w:tblStyle w:val="MentalhealthARtablestyle"/>
        <w:tblW w:w="9504" w:type="dxa"/>
        <w:tblLook w:val="04A0" w:firstRow="1" w:lastRow="0" w:firstColumn="1" w:lastColumn="0" w:noHBand="0" w:noVBand="1"/>
      </w:tblPr>
      <w:tblGrid>
        <w:gridCol w:w="1901"/>
        <w:gridCol w:w="1900"/>
        <w:gridCol w:w="1901"/>
        <w:gridCol w:w="1901"/>
        <w:gridCol w:w="1901"/>
      </w:tblGrid>
      <w:tr w:rsidR="00B96DA0" w14:paraId="62248B28" w14:textId="77777777" w:rsidTr="0004308C">
        <w:trPr>
          <w:cnfStyle w:val="100000000000" w:firstRow="1" w:lastRow="0" w:firstColumn="0" w:lastColumn="0" w:oddVBand="0" w:evenVBand="0" w:oddHBand="0" w:evenHBand="0" w:firstRowFirstColumn="0" w:firstRowLastColumn="0" w:lastRowFirstColumn="0" w:lastRowLastColumn="0"/>
          <w:tblHeader/>
        </w:trPr>
        <w:tc>
          <w:tcPr>
            <w:tcW w:w="1857" w:type="dxa"/>
          </w:tcPr>
          <w:p w14:paraId="739B2C7F" w14:textId="305AFDC7" w:rsidR="00B96DA0" w:rsidRPr="00102581" w:rsidRDefault="00B96DA0" w:rsidP="00102581">
            <w:pPr>
              <w:pStyle w:val="DHHStablecolhead"/>
              <w:rPr>
                <w:b/>
                <w:bCs/>
              </w:rPr>
            </w:pPr>
            <w:r w:rsidRPr="00102581">
              <w:rPr>
                <w:b/>
                <w:bCs/>
              </w:rPr>
              <w:t>Year</w:t>
            </w:r>
          </w:p>
        </w:tc>
        <w:tc>
          <w:tcPr>
            <w:tcW w:w="1857" w:type="dxa"/>
          </w:tcPr>
          <w:p w14:paraId="2306EB9D" w14:textId="50A860E5" w:rsidR="00B96DA0" w:rsidRPr="00102581" w:rsidRDefault="00B96DA0" w:rsidP="00102581">
            <w:pPr>
              <w:pStyle w:val="DHHStablecolhead"/>
              <w:rPr>
                <w:b/>
                <w:bCs/>
              </w:rPr>
            </w:pPr>
            <w:r w:rsidRPr="00102581">
              <w:rPr>
                <w:b/>
                <w:bCs/>
              </w:rPr>
              <w:t>Quarter 1</w:t>
            </w:r>
          </w:p>
        </w:tc>
        <w:tc>
          <w:tcPr>
            <w:tcW w:w="1858" w:type="dxa"/>
          </w:tcPr>
          <w:p w14:paraId="5B89BA07" w14:textId="166D0418" w:rsidR="00B96DA0" w:rsidRPr="00102581" w:rsidRDefault="00B96DA0" w:rsidP="00102581">
            <w:pPr>
              <w:pStyle w:val="DHHStablecolhead"/>
              <w:rPr>
                <w:b/>
                <w:bCs/>
              </w:rPr>
            </w:pPr>
            <w:r w:rsidRPr="00102581">
              <w:rPr>
                <w:b/>
                <w:bCs/>
              </w:rPr>
              <w:t>Quarter 2</w:t>
            </w:r>
          </w:p>
        </w:tc>
        <w:tc>
          <w:tcPr>
            <w:tcW w:w="1858" w:type="dxa"/>
          </w:tcPr>
          <w:p w14:paraId="4DB29022" w14:textId="487E998F" w:rsidR="00B96DA0" w:rsidRPr="00102581" w:rsidRDefault="00B96DA0" w:rsidP="00102581">
            <w:pPr>
              <w:pStyle w:val="DHHStablecolhead"/>
              <w:rPr>
                <w:b/>
                <w:bCs/>
              </w:rPr>
            </w:pPr>
            <w:r w:rsidRPr="00102581">
              <w:rPr>
                <w:b/>
                <w:bCs/>
              </w:rPr>
              <w:t>Quarter 3</w:t>
            </w:r>
          </w:p>
        </w:tc>
        <w:tc>
          <w:tcPr>
            <w:tcW w:w="1858" w:type="dxa"/>
          </w:tcPr>
          <w:p w14:paraId="56505047" w14:textId="4A018D9B" w:rsidR="00B96DA0" w:rsidRPr="00102581" w:rsidRDefault="00B96DA0" w:rsidP="00102581">
            <w:pPr>
              <w:pStyle w:val="DHHStablecolhead"/>
              <w:rPr>
                <w:b/>
                <w:bCs/>
              </w:rPr>
            </w:pPr>
            <w:r w:rsidRPr="00102581">
              <w:rPr>
                <w:b/>
                <w:bCs/>
              </w:rPr>
              <w:t>Quarter 4</w:t>
            </w:r>
          </w:p>
        </w:tc>
      </w:tr>
      <w:tr w:rsidR="00102581" w14:paraId="323C21DC" w14:textId="77777777" w:rsidTr="00102581">
        <w:tc>
          <w:tcPr>
            <w:tcW w:w="1857" w:type="dxa"/>
          </w:tcPr>
          <w:p w14:paraId="2EFB75CB" w14:textId="14622E2E" w:rsidR="00102581" w:rsidRDefault="00102581" w:rsidP="00102581">
            <w:pPr>
              <w:pStyle w:val="DHHStabletext"/>
            </w:pPr>
            <w:r>
              <w:t>2018–19</w:t>
            </w:r>
          </w:p>
        </w:tc>
        <w:tc>
          <w:tcPr>
            <w:tcW w:w="1857" w:type="dxa"/>
            <w:vAlign w:val="bottom"/>
          </w:tcPr>
          <w:p w14:paraId="7FE2B4AC" w14:textId="2B8CED4F" w:rsidR="00102581" w:rsidRDefault="00102581" w:rsidP="00102581">
            <w:pPr>
              <w:pStyle w:val="DHHStabletext"/>
            </w:pPr>
            <w:r w:rsidRPr="00707CA9">
              <w:rPr>
                <w:lang w:eastAsia="en-AU"/>
              </w:rPr>
              <w:t>466</w:t>
            </w:r>
            <w:r w:rsidR="00222581">
              <w:rPr>
                <w:lang w:eastAsia="en-AU"/>
              </w:rPr>
              <w:t>,</w:t>
            </w:r>
            <w:r w:rsidRPr="00707CA9">
              <w:rPr>
                <w:lang w:eastAsia="en-AU"/>
              </w:rPr>
              <w:t>015</w:t>
            </w:r>
          </w:p>
        </w:tc>
        <w:tc>
          <w:tcPr>
            <w:tcW w:w="1858" w:type="dxa"/>
            <w:vAlign w:val="bottom"/>
          </w:tcPr>
          <w:p w14:paraId="373A3913" w14:textId="2C236CF4" w:rsidR="00102581" w:rsidRDefault="00102581" w:rsidP="00102581">
            <w:pPr>
              <w:pStyle w:val="DHHStabletext"/>
            </w:pPr>
            <w:r w:rsidRPr="00707CA9">
              <w:rPr>
                <w:lang w:eastAsia="en-AU"/>
              </w:rPr>
              <w:t>463</w:t>
            </w:r>
            <w:r w:rsidR="00222581">
              <w:rPr>
                <w:lang w:eastAsia="en-AU"/>
              </w:rPr>
              <w:t>,</w:t>
            </w:r>
            <w:r w:rsidRPr="00707CA9">
              <w:rPr>
                <w:lang w:eastAsia="en-AU"/>
              </w:rPr>
              <w:t>752</w:t>
            </w:r>
          </w:p>
        </w:tc>
        <w:tc>
          <w:tcPr>
            <w:tcW w:w="1858" w:type="dxa"/>
            <w:vAlign w:val="bottom"/>
          </w:tcPr>
          <w:p w14:paraId="4FAC5ADA" w14:textId="32F33E86" w:rsidR="00102581" w:rsidRDefault="00102581" w:rsidP="00102581">
            <w:pPr>
              <w:pStyle w:val="DHHStabletext"/>
            </w:pPr>
            <w:r w:rsidRPr="00707CA9">
              <w:rPr>
                <w:lang w:eastAsia="en-AU"/>
              </w:rPr>
              <w:t>467</w:t>
            </w:r>
            <w:r w:rsidR="00222581">
              <w:rPr>
                <w:lang w:eastAsia="en-AU"/>
              </w:rPr>
              <w:t>,</w:t>
            </w:r>
            <w:r w:rsidRPr="00707CA9">
              <w:rPr>
                <w:lang w:eastAsia="en-AU"/>
              </w:rPr>
              <w:t>620</w:t>
            </w:r>
          </w:p>
        </w:tc>
        <w:tc>
          <w:tcPr>
            <w:tcW w:w="1858" w:type="dxa"/>
            <w:vAlign w:val="bottom"/>
          </w:tcPr>
          <w:p w14:paraId="22264BF1" w14:textId="2DD16AA8" w:rsidR="00102581" w:rsidRDefault="00102581" w:rsidP="00102581">
            <w:pPr>
              <w:pStyle w:val="DHHStabletext"/>
            </w:pPr>
            <w:r w:rsidRPr="00707CA9">
              <w:rPr>
                <w:lang w:eastAsia="en-AU"/>
              </w:rPr>
              <w:t>466</w:t>
            </w:r>
            <w:r w:rsidR="00222581">
              <w:rPr>
                <w:lang w:eastAsia="en-AU"/>
              </w:rPr>
              <w:t>,</w:t>
            </w:r>
            <w:r w:rsidRPr="00707CA9">
              <w:rPr>
                <w:lang w:eastAsia="en-AU"/>
              </w:rPr>
              <w:t>335</w:t>
            </w:r>
          </w:p>
        </w:tc>
      </w:tr>
      <w:tr w:rsidR="00102581" w14:paraId="35A3EDB1" w14:textId="77777777" w:rsidTr="00102581">
        <w:tc>
          <w:tcPr>
            <w:tcW w:w="1857" w:type="dxa"/>
          </w:tcPr>
          <w:p w14:paraId="47EBCF6F" w14:textId="22731A85" w:rsidR="00102581" w:rsidRDefault="00102581" w:rsidP="00102581">
            <w:pPr>
              <w:pStyle w:val="DHHStabletext"/>
            </w:pPr>
            <w:r>
              <w:t>2019–20</w:t>
            </w:r>
          </w:p>
        </w:tc>
        <w:tc>
          <w:tcPr>
            <w:tcW w:w="1857" w:type="dxa"/>
            <w:vAlign w:val="bottom"/>
          </w:tcPr>
          <w:p w14:paraId="3C81BF59" w14:textId="482EBD92" w:rsidR="00102581" w:rsidRDefault="00102581" w:rsidP="00102581">
            <w:pPr>
              <w:pStyle w:val="DHHStabletext"/>
            </w:pPr>
            <w:r w:rsidRPr="00707CA9">
              <w:rPr>
                <w:lang w:eastAsia="en-AU"/>
              </w:rPr>
              <w:t>481</w:t>
            </w:r>
            <w:r w:rsidR="00222581">
              <w:rPr>
                <w:lang w:eastAsia="en-AU"/>
              </w:rPr>
              <w:t>,</w:t>
            </w:r>
            <w:r w:rsidRPr="00707CA9">
              <w:rPr>
                <w:lang w:eastAsia="en-AU"/>
              </w:rPr>
              <w:t>900</w:t>
            </w:r>
          </w:p>
        </w:tc>
        <w:tc>
          <w:tcPr>
            <w:tcW w:w="1858" w:type="dxa"/>
            <w:vAlign w:val="bottom"/>
          </w:tcPr>
          <w:p w14:paraId="589693FE" w14:textId="50195B1B" w:rsidR="00102581" w:rsidRDefault="00102581" w:rsidP="00102581">
            <w:pPr>
              <w:pStyle w:val="DHHStabletext"/>
            </w:pPr>
            <w:r w:rsidRPr="00707CA9">
              <w:rPr>
                <w:lang w:eastAsia="en-AU"/>
              </w:rPr>
              <w:t>472</w:t>
            </w:r>
            <w:r w:rsidR="00222581">
              <w:rPr>
                <w:lang w:eastAsia="en-AU"/>
              </w:rPr>
              <w:t>,</w:t>
            </w:r>
            <w:r w:rsidRPr="00707CA9">
              <w:rPr>
                <w:lang w:eastAsia="en-AU"/>
              </w:rPr>
              <w:t>910</w:t>
            </w:r>
          </w:p>
        </w:tc>
        <w:tc>
          <w:tcPr>
            <w:tcW w:w="1858" w:type="dxa"/>
            <w:vAlign w:val="bottom"/>
          </w:tcPr>
          <w:p w14:paraId="23B86F3C" w14:textId="76B9CF4E" w:rsidR="00102581" w:rsidRDefault="00102581" w:rsidP="00102581">
            <w:pPr>
              <w:pStyle w:val="DHHStabletext"/>
            </w:pPr>
            <w:r w:rsidRPr="00707CA9">
              <w:rPr>
                <w:lang w:eastAsia="en-AU"/>
              </w:rPr>
              <w:t>473</w:t>
            </w:r>
            <w:r w:rsidR="00222581">
              <w:rPr>
                <w:lang w:eastAsia="en-AU"/>
              </w:rPr>
              <w:t>,</w:t>
            </w:r>
            <w:r w:rsidRPr="00707CA9">
              <w:rPr>
                <w:lang w:eastAsia="en-AU"/>
              </w:rPr>
              <w:t>617</w:t>
            </w:r>
          </w:p>
        </w:tc>
        <w:tc>
          <w:tcPr>
            <w:tcW w:w="1858" w:type="dxa"/>
            <w:vAlign w:val="bottom"/>
          </w:tcPr>
          <w:p w14:paraId="75902337" w14:textId="73323F6A" w:rsidR="00102581" w:rsidRDefault="00102581" w:rsidP="00102581">
            <w:pPr>
              <w:pStyle w:val="DHHStabletext"/>
            </w:pPr>
            <w:r w:rsidRPr="00707CA9">
              <w:rPr>
                <w:lang w:eastAsia="en-AU"/>
              </w:rPr>
              <w:t>524</w:t>
            </w:r>
            <w:r w:rsidR="00222581">
              <w:rPr>
                <w:lang w:eastAsia="en-AU"/>
              </w:rPr>
              <w:t>,</w:t>
            </w:r>
            <w:r w:rsidRPr="00707CA9">
              <w:rPr>
                <w:lang w:eastAsia="en-AU"/>
              </w:rPr>
              <w:t>083</w:t>
            </w:r>
          </w:p>
        </w:tc>
      </w:tr>
    </w:tbl>
    <w:p w14:paraId="51517CF5" w14:textId="041D2DC3" w:rsidR="008E0251" w:rsidRPr="003650A0" w:rsidRDefault="008E0251" w:rsidP="00B267D2">
      <w:pPr>
        <w:pStyle w:val="DHHSbodyaftertablefigure"/>
      </w:pPr>
      <w:r w:rsidRPr="003650A0">
        <w:t xml:space="preserve">Despite the pandemic, the data shows a small increase in the overall number of </w:t>
      </w:r>
      <w:r>
        <w:t>consumer</w:t>
      </w:r>
      <w:r w:rsidRPr="003650A0">
        <w:t xml:space="preserve">s in </w:t>
      </w:r>
      <w:r w:rsidR="00894D3B">
        <w:t>2019–20</w:t>
      </w:r>
      <w:r w:rsidRPr="003650A0">
        <w:t xml:space="preserve">, spread unevenly across groups. The increase in our largest </w:t>
      </w:r>
      <w:r>
        <w:t>consumer</w:t>
      </w:r>
      <w:r w:rsidRPr="003650A0">
        <w:t xml:space="preserve"> group, adults, </w:t>
      </w:r>
      <w:r w:rsidR="009526CB">
        <w:t>wa</w:t>
      </w:r>
      <w:r w:rsidRPr="003650A0">
        <w:t xml:space="preserve">s 2.4 per cent, and in </w:t>
      </w:r>
      <w:r w:rsidR="009526CB">
        <w:t>CAMHS</w:t>
      </w:r>
      <w:r w:rsidRPr="003650A0">
        <w:t xml:space="preserve"> the increase </w:t>
      </w:r>
      <w:r w:rsidR="009526CB">
        <w:t>wa</w:t>
      </w:r>
      <w:r w:rsidRPr="003650A0">
        <w:t xml:space="preserve">s 1.1 per cent. Forensic services, the smallest part of our service system, increased </w:t>
      </w:r>
      <w:r>
        <w:t>consumer</w:t>
      </w:r>
      <w:r w:rsidRPr="003650A0">
        <w:t xml:space="preserve"> numbers by 24.6 per cent, relating in part to more beds becoming available at Melbourne Assessment Prison</w:t>
      </w:r>
      <w:r>
        <w:t xml:space="preserve"> for prisoners who </w:t>
      </w:r>
      <w:r w:rsidR="005740EC">
        <w:t xml:space="preserve">accessed </w:t>
      </w:r>
      <w:r>
        <w:t>mental health services</w:t>
      </w:r>
      <w:r w:rsidR="005740EC">
        <w:t xml:space="preserve"> voluntarily</w:t>
      </w:r>
      <w:r w:rsidRPr="003650A0">
        <w:t xml:space="preserve">. There </w:t>
      </w:r>
      <w:r w:rsidR="009526CB">
        <w:t>wa</w:t>
      </w:r>
      <w:r w:rsidRPr="003650A0">
        <w:t xml:space="preserve">s a small increase in </w:t>
      </w:r>
      <w:r>
        <w:t>consumer</w:t>
      </w:r>
      <w:r w:rsidRPr="003650A0">
        <w:t xml:space="preserve"> numbers for aged persons mental health (2.6 per cent) and a drop in the number of people receiving specialist mental health services (</w:t>
      </w:r>
      <w:r w:rsidR="0020515A">
        <w:t>–</w:t>
      </w:r>
      <w:r w:rsidRPr="003650A0">
        <w:t>13.5 per cent).</w:t>
      </w:r>
      <w:r>
        <w:t xml:space="preserve"> </w:t>
      </w:r>
    </w:p>
    <w:p w14:paraId="3E33981F" w14:textId="426B3D30" w:rsidR="008E0251" w:rsidRPr="003650A0" w:rsidRDefault="008E0251" w:rsidP="008E0251">
      <w:pPr>
        <w:pStyle w:val="DHHSbody"/>
        <w:rPr>
          <w:rFonts w:cs="Arial"/>
        </w:rPr>
      </w:pPr>
      <w:r w:rsidRPr="003650A0">
        <w:rPr>
          <w:rFonts w:cs="Arial"/>
        </w:rPr>
        <w:t>A</w:t>
      </w:r>
      <w:r>
        <w:rPr>
          <w:rFonts w:cs="Arial"/>
        </w:rPr>
        <w:t>n</w:t>
      </w:r>
      <w:r w:rsidRPr="003650A0">
        <w:rPr>
          <w:rFonts w:cs="Arial"/>
        </w:rPr>
        <w:t xml:space="preserve"> increase in service contacts overall (5.1 per cent) can be broken down to </w:t>
      </w:r>
      <w:r>
        <w:rPr>
          <w:rFonts w:cs="Arial"/>
        </w:rPr>
        <w:t>substantial</w:t>
      </w:r>
      <w:r w:rsidRPr="003650A0">
        <w:rPr>
          <w:rFonts w:cs="Arial"/>
        </w:rPr>
        <w:t xml:space="preserve"> increases in specialist, aged, CAMHS and adult services. There is almost no change for forensic </w:t>
      </w:r>
      <w:r>
        <w:rPr>
          <w:rFonts w:cs="Arial"/>
        </w:rPr>
        <w:t>consumer</w:t>
      </w:r>
      <w:r w:rsidRPr="003650A0">
        <w:rPr>
          <w:rFonts w:cs="Arial"/>
        </w:rPr>
        <w:t xml:space="preserve"> contacts.</w:t>
      </w:r>
    </w:p>
    <w:p w14:paraId="5C5FC449" w14:textId="42090029" w:rsidR="008E0251" w:rsidRPr="003650A0" w:rsidRDefault="008E0251" w:rsidP="008E0251">
      <w:pPr>
        <w:pStyle w:val="DHHSbody"/>
        <w:rPr>
          <w:rFonts w:cs="Arial"/>
        </w:rPr>
      </w:pPr>
      <w:r w:rsidRPr="003650A0">
        <w:rPr>
          <w:rFonts w:cs="Arial"/>
        </w:rPr>
        <w:t xml:space="preserve">Total service hours increased </w:t>
      </w:r>
      <w:r w:rsidR="00241A97">
        <w:rPr>
          <w:rFonts w:cs="Arial"/>
        </w:rPr>
        <w:t xml:space="preserve">by </w:t>
      </w:r>
      <w:r w:rsidRPr="003650A0">
        <w:rPr>
          <w:rFonts w:cs="Arial"/>
        </w:rPr>
        <w:t>5.0 per cent overall, but the impact varie</w:t>
      </w:r>
      <w:r w:rsidR="00241A97">
        <w:rPr>
          <w:rFonts w:cs="Arial"/>
        </w:rPr>
        <w:t>d</w:t>
      </w:r>
      <w:r w:rsidRPr="003650A0">
        <w:rPr>
          <w:rFonts w:cs="Arial"/>
        </w:rPr>
        <w:t xml:space="preserve"> across different groups. The increase in adult service hours </w:t>
      </w:r>
      <w:r w:rsidR="00241A97">
        <w:rPr>
          <w:rFonts w:cs="Arial"/>
        </w:rPr>
        <w:t>wa</w:t>
      </w:r>
      <w:r w:rsidRPr="003650A0">
        <w:rPr>
          <w:rFonts w:cs="Arial"/>
        </w:rPr>
        <w:t xml:space="preserve">s 6.1 per cent, with smaller increases in other groups: 3.5 per cent in aged, and 2.5 per cent in CAMHS. Specialist hours </w:t>
      </w:r>
      <w:r w:rsidR="00241A97">
        <w:rPr>
          <w:rFonts w:cs="Arial"/>
        </w:rPr>
        <w:t>we</w:t>
      </w:r>
      <w:r w:rsidRPr="003650A0">
        <w:rPr>
          <w:rFonts w:cs="Arial"/>
        </w:rPr>
        <w:t xml:space="preserve">re static and for forensic </w:t>
      </w:r>
      <w:r>
        <w:rPr>
          <w:rFonts w:cs="Arial"/>
        </w:rPr>
        <w:t>consumer</w:t>
      </w:r>
      <w:r w:rsidRPr="003650A0">
        <w:rPr>
          <w:rFonts w:cs="Arial"/>
        </w:rPr>
        <w:t xml:space="preserve">s, following an increase of 34.4 per cent </w:t>
      </w:r>
      <w:r w:rsidR="00241A97">
        <w:rPr>
          <w:rFonts w:cs="Arial"/>
        </w:rPr>
        <w:t>noted</w:t>
      </w:r>
      <w:r w:rsidR="00241A97" w:rsidRPr="003650A0">
        <w:rPr>
          <w:rFonts w:cs="Arial"/>
        </w:rPr>
        <w:t xml:space="preserve"> </w:t>
      </w:r>
      <w:r w:rsidRPr="003650A0">
        <w:rPr>
          <w:rFonts w:cs="Arial"/>
        </w:rPr>
        <w:t xml:space="preserve">in last year’s annual report, </w:t>
      </w:r>
      <w:r w:rsidR="005740EC">
        <w:rPr>
          <w:rFonts w:cs="Arial"/>
        </w:rPr>
        <w:t>there was</w:t>
      </w:r>
      <w:r w:rsidRPr="003650A0">
        <w:rPr>
          <w:rFonts w:cs="Arial"/>
        </w:rPr>
        <w:t xml:space="preserve"> a drop of 7.1 per cent.</w:t>
      </w:r>
    </w:p>
    <w:p w14:paraId="75F84F0B" w14:textId="0A5CBC55" w:rsidR="008E0251" w:rsidRDefault="008E0251" w:rsidP="008E0251">
      <w:pPr>
        <w:pStyle w:val="DHHSbody"/>
        <w:rPr>
          <w:rFonts w:cs="Arial"/>
        </w:rPr>
      </w:pPr>
      <w:r w:rsidRPr="003650A0">
        <w:rPr>
          <w:rFonts w:cs="Arial"/>
        </w:rPr>
        <w:t>Consistent with previous years, the data show</w:t>
      </w:r>
      <w:r>
        <w:rPr>
          <w:rFonts w:cs="Arial"/>
        </w:rPr>
        <w:t>s</w:t>
      </w:r>
      <w:r w:rsidRPr="003650A0">
        <w:rPr>
          <w:rFonts w:cs="Arial"/>
        </w:rPr>
        <w:t xml:space="preserve"> that adult inpatient services </w:t>
      </w:r>
      <w:r w:rsidR="00241A97">
        <w:rPr>
          <w:rFonts w:cs="Arial"/>
        </w:rPr>
        <w:t>we</w:t>
      </w:r>
      <w:r w:rsidRPr="003650A0">
        <w:rPr>
          <w:rFonts w:cs="Arial"/>
        </w:rPr>
        <w:t>re under pressure to meet demand</w:t>
      </w:r>
      <w:r w:rsidR="00241A97">
        <w:rPr>
          <w:rFonts w:cs="Arial"/>
        </w:rPr>
        <w:t xml:space="preserve"> in 2019–20</w:t>
      </w:r>
      <w:r w:rsidRPr="003650A0">
        <w:rPr>
          <w:rFonts w:cs="Arial"/>
        </w:rPr>
        <w:t xml:space="preserve">. </w:t>
      </w:r>
      <w:r w:rsidR="005740EC">
        <w:rPr>
          <w:rFonts w:cs="Arial"/>
        </w:rPr>
        <w:t>The number of a</w:t>
      </w:r>
      <w:r>
        <w:rPr>
          <w:rFonts w:cs="Arial"/>
        </w:rPr>
        <w:t>dult inpatient admissions</w:t>
      </w:r>
      <w:r w:rsidRPr="003650A0">
        <w:rPr>
          <w:rFonts w:cs="Arial"/>
        </w:rPr>
        <w:t xml:space="preserve"> for mental illness are generally increasing (albeit a slight reduction this year due to </w:t>
      </w:r>
      <w:r w:rsidR="00E51317">
        <w:rPr>
          <w:rFonts w:cs="Arial"/>
        </w:rPr>
        <w:t>coronavirus (COVID-19)</w:t>
      </w:r>
      <w:r w:rsidRPr="003650A0">
        <w:rPr>
          <w:rFonts w:cs="Arial"/>
        </w:rPr>
        <w:t xml:space="preserve">), adult services have very high occupancy levels, and the </w:t>
      </w:r>
      <w:r>
        <w:rPr>
          <w:rFonts w:cs="Arial"/>
        </w:rPr>
        <w:t xml:space="preserve">trimmed </w:t>
      </w:r>
      <w:r w:rsidRPr="003650A0">
        <w:rPr>
          <w:rFonts w:cs="Arial"/>
        </w:rPr>
        <w:t xml:space="preserve">average length of stay is under </w:t>
      </w:r>
      <w:r w:rsidR="00E51317">
        <w:rPr>
          <w:rFonts w:cs="Arial"/>
        </w:rPr>
        <w:t>10</w:t>
      </w:r>
      <w:r w:rsidR="00E51317" w:rsidRPr="003650A0">
        <w:rPr>
          <w:rFonts w:cs="Arial"/>
        </w:rPr>
        <w:t xml:space="preserve"> </w:t>
      </w:r>
      <w:r w:rsidRPr="003650A0">
        <w:rPr>
          <w:rFonts w:cs="Arial"/>
        </w:rPr>
        <w:t>days</w:t>
      </w:r>
      <w:r>
        <w:rPr>
          <w:rFonts w:cs="Arial"/>
        </w:rPr>
        <w:t xml:space="preserve"> and has been since before 2015</w:t>
      </w:r>
      <w:r w:rsidR="00E51317">
        <w:rPr>
          <w:rFonts w:cs="Arial"/>
        </w:rPr>
        <w:t>–</w:t>
      </w:r>
      <w:r>
        <w:rPr>
          <w:rFonts w:cs="Arial"/>
        </w:rPr>
        <w:t xml:space="preserve">16 (Table </w:t>
      </w:r>
      <w:r w:rsidR="006E3E09">
        <w:rPr>
          <w:rFonts w:cs="Arial"/>
        </w:rPr>
        <w:t>8</w:t>
      </w:r>
      <w:r>
        <w:rPr>
          <w:rFonts w:cs="Arial"/>
        </w:rPr>
        <w:t>)</w:t>
      </w:r>
      <w:r w:rsidRPr="003650A0">
        <w:rPr>
          <w:rFonts w:cs="Arial"/>
        </w:rPr>
        <w:t>. Forensic services</w:t>
      </w:r>
      <w:r>
        <w:rPr>
          <w:rFonts w:cs="Arial"/>
        </w:rPr>
        <w:t xml:space="preserve"> for compulsory treatment</w:t>
      </w:r>
      <w:r w:rsidRPr="003650A0">
        <w:rPr>
          <w:rFonts w:cs="Arial"/>
        </w:rPr>
        <w:t xml:space="preserve"> are also under pressure, with very high bed occupancy and </w:t>
      </w:r>
      <w:r>
        <w:rPr>
          <w:rFonts w:cs="Arial"/>
        </w:rPr>
        <w:t xml:space="preserve">only </w:t>
      </w:r>
      <w:r w:rsidRPr="003650A0">
        <w:rPr>
          <w:rFonts w:cs="Arial"/>
        </w:rPr>
        <w:t>a small number of separations.</w:t>
      </w:r>
    </w:p>
    <w:p w14:paraId="51FD42CB" w14:textId="5D0ABE1E" w:rsidR="008E0251" w:rsidRDefault="008E0251" w:rsidP="00B267D2">
      <w:pPr>
        <w:pStyle w:val="DHHStablecaption"/>
        <w:rPr>
          <w:lang w:eastAsia="en-AU"/>
        </w:rPr>
      </w:pPr>
      <w:r w:rsidRPr="00257861">
        <w:t xml:space="preserve">Table </w:t>
      </w:r>
      <w:r w:rsidR="006E3E09">
        <w:t>8</w:t>
      </w:r>
      <w:r w:rsidR="00B5124E">
        <w:t>: Trimmed average length of stay</w:t>
      </w:r>
      <w:r w:rsidR="005E7578">
        <w:t xml:space="preserve"> </w:t>
      </w:r>
      <w:r w:rsidR="005E7578" w:rsidRPr="007A1CB3">
        <w:rPr>
          <w:lang w:eastAsia="en-AU"/>
        </w:rPr>
        <w:t>(</w:t>
      </w:r>
      <w:r w:rsidR="005E7578">
        <w:rPr>
          <w:rFonts w:cs="Arial"/>
          <w:lang w:eastAsia="en-AU"/>
        </w:rPr>
        <w:t>≤</w:t>
      </w:r>
      <w:r w:rsidR="005E7578">
        <w:rPr>
          <w:lang w:eastAsia="en-AU"/>
        </w:rPr>
        <w:t xml:space="preserve"> </w:t>
      </w:r>
      <w:r w:rsidR="005E7578" w:rsidRPr="007A1CB3">
        <w:rPr>
          <w:lang w:eastAsia="en-AU"/>
        </w:rPr>
        <w:t>35 days)</w:t>
      </w:r>
      <w:r w:rsidR="00241A97">
        <w:rPr>
          <w:lang w:eastAsia="en-AU"/>
        </w:rPr>
        <w:t>, 2015–16 to 2019–20</w:t>
      </w:r>
    </w:p>
    <w:tbl>
      <w:tblPr>
        <w:tblStyle w:val="MentalhealthARtablestyle"/>
        <w:tblW w:w="0" w:type="auto"/>
        <w:tblLook w:val="04A0" w:firstRow="1" w:lastRow="0" w:firstColumn="1" w:lastColumn="0" w:noHBand="0" w:noVBand="1"/>
      </w:tblPr>
      <w:tblGrid>
        <w:gridCol w:w="1548"/>
        <w:gridCol w:w="1548"/>
        <w:gridCol w:w="1548"/>
        <w:gridCol w:w="1548"/>
        <w:gridCol w:w="1548"/>
        <w:gridCol w:w="1548"/>
      </w:tblGrid>
      <w:tr w:rsidR="005E7578" w14:paraId="42316C12" w14:textId="77777777" w:rsidTr="00BA6AC1">
        <w:trPr>
          <w:cnfStyle w:val="100000000000" w:firstRow="1" w:lastRow="0" w:firstColumn="0" w:lastColumn="0" w:oddVBand="0" w:evenVBand="0" w:oddHBand="0" w:evenHBand="0" w:firstRowFirstColumn="0" w:firstRowLastColumn="0" w:lastRowFirstColumn="0" w:lastRowLastColumn="0"/>
          <w:tblHeader/>
        </w:trPr>
        <w:tc>
          <w:tcPr>
            <w:tcW w:w="1548" w:type="dxa"/>
            <w:vAlign w:val="top"/>
          </w:tcPr>
          <w:p w14:paraId="5DB3C759" w14:textId="77777777" w:rsidR="005E7578" w:rsidRPr="005E7578" w:rsidRDefault="005E7578" w:rsidP="00BA6AC1">
            <w:pPr>
              <w:pStyle w:val="DHHStablecolhead"/>
            </w:pPr>
            <w:r w:rsidRPr="005E7578">
              <w:rPr>
                <w:b/>
                <w:lang w:eastAsia="en-AU"/>
              </w:rPr>
              <w:t>Population</w:t>
            </w:r>
          </w:p>
        </w:tc>
        <w:tc>
          <w:tcPr>
            <w:tcW w:w="1548" w:type="dxa"/>
            <w:vAlign w:val="top"/>
          </w:tcPr>
          <w:p w14:paraId="54F38E21" w14:textId="77777777" w:rsidR="005E7578" w:rsidRPr="005E7578" w:rsidRDefault="005E7578" w:rsidP="00BA6AC1">
            <w:pPr>
              <w:pStyle w:val="DHHStablecolhead"/>
            </w:pPr>
            <w:r w:rsidRPr="005E7578">
              <w:rPr>
                <w:rFonts w:cs="Arial"/>
                <w:b/>
              </w:rPr>
              <w:t>2015–16</w:t>
            </w:r>
          </w:p>
        </w:tc>
        <w:tc>
          <w:tcPr>
            <w:tcW w:w="1548" w:type="dxa"/>
            <w:vAlign w:val="top"/>
          </w:tcPr>
          <w:p w14:paraId="1EA057F0" w14:textId="77777777" w:rsidR="005E7578" w:rsidRPr="005E7578" w:rsidRDefault="005E7578" w:rsidP="00BA6AC1">
            <w:pPr>
              <w:pStyle w:val="DHHStablecolhead"/>
            </w:pPr>
            <w:r w:rsidRPr="005E7578">
              <w:rPr>
                <w:rFonts w:cs="Arial"/>
                <w:b/>
              </w:rPr>
              <w:t>2016–17</w:t>
            </w:r>
          </w:p>
        </w:tc>
        <w:tc>
          <w:tcPr>
            <w:tcW w:w="1548" w:type="dxa"/>
            <w:vAlign w:val="top"/>
          </w:tcPr>
          <w:p w14:paraId="085A64C3" w14:textId="77777777" w:rsidR="005E7578" w:rsidRPr="005E7578" w:rsidRDefault="005E7578" w:rsidP="00BA6AC1">
            <w:pPr>
              <w:pStyle w:val="DHHStablecolhead"/>
            </w:pPr>
            <w:r w:rsidRPr="005E7578">
              <w:rPr>
                <w:rFonts w:cs="Arial"/>
                <w:b/>
              </w:rPr>
              <w:t>2017–18</w:t>
            </w:r>
          </w:p>
        </w:tc>
        <w:tc>
          <w:tcPr>
            <w:tcW w:w="1548" w:type="dxa"/>
            <w:vAlign w:val="top"/>
          </w:tcPr>
          <w:p w14:paraId="0ED846C3" w14:textId="77777777" w:rsidR="005E7578" w:rsidRPr="005E7578" w:rsidRDefault="005E7578" w:rsidP="00BA6AC1">
            <w:pPr>
              <w:pStyle w:val="DHHStablecolhead"/>
            </w:pPr>
            <w:r w:rsidRPr="005E7578">
              <w:rPr>
                <w:rFonts w:cs="Arial"/>
                <w:b/>
              </w:rPr>
              <w:t>2018–19</w:t>
            </w:r>
          </w:p>
        </w:tc>
        <w:tc>
          <w:tcPr>
            <w:tcW w:w="1548" w:type="dxa"/>
            <w:vAlign w:val="top"/>
          </w:tcPr>
          <w:p w14:paraId="1A1F69FA" w14:textId="77777777" w:rsidR="005E7578" w:rsidRPr="005E7578" w:rsidRDefault="005E7578" w:rsidP="00BA6AC1">
            <w:pPr>
              <w:pStyle w:val="DHHStablecolhead"/>
            </w:pPr>
            <w:r w:rsidRPr="005E7578">
              <w:rPr>
                <w:rFonts w:cs="Arial"/>
                <w:b/>
              </w:rPr>
              <w:t>2019–20</w:t>
            </w:r>
          </w:p>
        </w:tc>
      </w:tr>
      <w:tr w:rsidR="005E7578" w14:paraId="6F985C7A" w14:textId="77777777" w:rsidTr="00BA6AC1">
        <w:tc>
          <w:tcPr>
            <w:tcW w:w="1548" w:type="dxa"/>
            <w:vAlign w:val="top"/>
          </w:tcPr>
          <w:p w14:paraId="7D0BB69E" w14:textId="77777777" w:rsidR="005E7578" w:rsidRDefault="005E7578" w:rsidP="005E7578">
            <w:pPr>
              <w:pStyle w:val="DHHStabletext"/>
            </w:pPr>
            <w:r w:rsidRPr="003650A0">
              <w:rPr>
                <w:lang w:eastAsia="en-AU"/>
              </w:rPr>
              <w:t>Adult</w:t>
            </w:r>
          </w:p>
        </w:tc>
        <w:tc>
          <w:tcPr>
            <w:tcW w:w="1548" w:type="dxa"/>
          </w:tcPr>
          <w:p w14:paraId="4569C18F" w14:textId="7F7DFE0B" w:rsidR="005E7578" w:rsidRPr="005E7578" w:rsidRDefault="005E7578" w:rsidP="005E7578">
            <w:pPr>
              <w:pStyle w:val="DHHStabletext"/>
            </w:pPr>
            <w:r w:rsidRPr="005E7578">
              <w:t>9.6</w:t>
            </w:r>
          </w:p>
        </w:tc>
        <w:tc>
          <w:tcPr>
            <w:tcW w:w="1548" w:type="dxa"/>
          </w:tcPr>
          <w:p w14:paraId="05337607" w14:textId="3A5ADCD7" w:rsidR="005E7578" w:rsidRPr="005E7578" w:rsidRDefault="005E7578" w:rsidP="005E7578">
            <w:pPr>
              <w:pStyle w:val="DHHStabletext"/>
            </w:pPr>
            <w:r w:rsidRPr="005E7578">
              <w:t>9.5</w:t>
            </w:r>
          </w:p>
        </w:tc>
        <w:tc>
          <w:tcPr>
            <w:tcW w:w="1548" w:type="dxa"/>
          </w:tcPr>
          <w:p w14:paraId="22438D50" w14:textId="35269B18" w:rsidR="005E7578" w:rsidRPr="005E7578" w:rsidRDefault="005E7578" w:rsidP="005E7578">
            <w:pPr>
              <w:pStyle w:val="DHHStabletext"/>
            </w:pPr>
            <w:r w:rsidRPr="005E7578">
              <w:t>9.1</w:t>
            </w:r>
          </w:p>
        </w:tc>
        <w:tc>
          <w:tcPr>
            <w:tcW w:w="1548" w:type="dxa"/>
          </w:tcPr>
          <w:p w14:paraId="1490F455" w14:textId="4247B6CD" w:rsidR="005E7578" w:rsidRPr="005E7578" w:rsidRDefault="005E7578" w:rsidP="005E7578">
            <w:pPr>
              <w:pStyle w:val="DHHStabletext"/>
            </w:pPr>
            <w:r w:rsidRPr="005E7578">
              <w:t>9.2</w:t>
            </w:r>
          </w:p>
        </w:tc>
        <w:tc>
          <w:tcPr>
            <w:tcW w:w="1548" w:type="dxa"/>
          </w:tcPr>
          <w:p w14:paraId="17FA122F" w14:textId="3827D485" w:rsidR="005E7578" w:rsidRPr="005E7578" w:rsidRDefault="005E7578" w:rsidP="005E7578">
            <w:pPr>
              <w:pStyle w:val="DHHStabletext"/>
            </w:pPr>
            <w:r w:rsidRPr="005E7578">
              <w:t>9.5</w:t>
            </w:r>
          </w:p>
        </w:tc>
      </w:tr>
      <w:tr w:rsidR="005E7578" w14:paraId="599B5184" w14:textId="77777777" w:rsidTr="00BA6AC1">
        <w:tc>
          <w:tcPr>
            <w:tcW w:w="1548" w:type="dxa"/>
            <w:vAlign w:val="top"/>
          </w:tcPr>
          <w:p w14:paraId="4320B87E" w14:textId="77777777" w:rsidR="005E7578" w:rsidRDefault="005E7578" w:rsidP="005E7578">
            <w:pPr>
              <w:pStyle w:val="DHHStabletext"/>
            </w:pPr>
            <w:r w:rsidRPr="003650A0">
              <w:rPr>
                <w:lang w:eastAsia="en-AU"/>
              </w:rPr>
              <w:t>Aged</w:t>
            </w:r>
          </w:p>
        </w:tc>
        <w:tc>
          <w:tcPr>
            <w:tcW w:w="1548" w:type="dxa"/>
          </w:tcPr>
          <w:p w14:paraId="5952A37F" w14:textId="7B97ED2E" w:rsidR="005E7578" w:rsidRPr="005E7578" w:rsidRDefault="005E7578" w:rsidP="005E7578">
            <w:pPr>
              <w:pStyle w:val="DHHStabletext"/>
            </w:pPr>
            <w:r w:rsidRPr="005E7578">
              <w:t>16.0</w:t>
            </w:r>
          </w:p>
        </w:tc>
        <w:tc>
          <w:tcPr>
            <w:tcW w:w="1548" w:type="dxa"/>
          </w:tcPr>
          <w:p w14:paraId="5257244A" w14:textId="68F7749F" w:rsidR="005E7578" w:rsidRPr="005E7578" w:rsidRDefault="005E7578" w:rsidP="005E7578">
            <w:pPr>
              <w:pStyle w:val="DHHStabletext"/>
            </w:pPr>
            <w:r w:rsidRPr="005E7578">
              <w:t>15.7</w:t>
            </w:r>
          </w:p>
        </w:tc>
        <w:tc>
          <w:tcPr>
            <w:tcW w:w="1548" w:type="dxa"/>
          </w:tcPr>
          <w:p w14:paraId="74180CF6" w14:textId="10BC6AFD" w:rsidR="005E7578" w:rsidRPr="005E7578" w:rsidRDefault="005E7578" w:rsidP="005E7578">
            <w:pPr>
              <w:pStyle w:val="DHHStabletext"/>
            </w:pPr>
            <w:r w:rsidRPr="005E7578">
              <w:t>15.5</w:t>
            </w:r>
          </w:p>
        </w:tc>
        <w:tc>
          <w:tcPr>
            <w:tcW w:w="1548" w:type="dxa"/>
          </w:tcPr>
          <w:p w14:paraId="59B630A7" w14:textId="57BDFF71" w:rsidR="005E7578" w:rsidRPr="005E7578" w:rsidRDefault="005E7578" w:rsidP="005E7578">
            <w:pPr>
              <w:pStyle w:val="DHHStabletext"/>
            </w:pPr>
            <w:r w:rsidRPr="005E7578">
              <w:t>15.1</w:t>
            </w:r>
          </w:p>
        </w:tc>
        <w:tc>
          <w:tcPr>
            <w:tcW w:w="1548" w:type="dxa"/>
          </w:tcPr>
          <w:p w14:paraId="3D75571A" w14:textId="4BC1D442" w:rsidR="005E7578" w:rsidRPr="005E7578" w:rsidRDefault="005E7578" w:rsidP="005E7578">
            <w:pPr>
              <w:pStyle w:val="DHHStabletext"/>
            </w:pPr>
            <w:r w:rsidRPr="005E7578">
              <w:t>15.4</w:t>
            </w:r>
          </w:p>
        </w:tc>
      </w:tr>
      <w:tr w:rsidR="005E7578" w14:paraId="2BE11465" w14:textId="77777777" w:rsidTr="00BA6AC1">
        <w:tc>
          <w:tcPr>
            <w:tcW w:w="1548" w:type="dxa"/>
            <w:vAlign w:val="top"/>
          </w:tcPr>
          <w:p w14:paraId="36932353" w14:textId="112B2E23" w:rsidR="005E7578" w:rsidRDefault="005E7578" w:rsidP="005E7578">
            <w:pPr>
              <w:pStyle w:val="DHHStabletext"/>
            </w:pPr>
            <w:r w:rsidRPr="003650A0">
              <w:rPr>
                <w:lang w:eastAsia="en-AU"/>
              </w:rPr>
              <w:t>CYMHS</w:t>
            </w:r>
          </w:p>
        </w:tc>
        <w:tc>
          <w:tcPr>
            <w:tcW w:w="1548" w:type="dxa"/>
          </w:tcPr>
          <w:p w14:paraId="45BEEFFC" w14:textId="13080269" w:rsidR="005E7578" w:rsidRPr="005E7578" w:rsidRDefault="005E7578" w:rsidP="005E7578">
            <w:pPr>
              <w:pStyle w:val="DHHStabletext"/>
            </w:pPr>
            <w:r w:rsidRPr="005E7578">
              <w:t>7.5</w:t>
            </w:r>
          </w:p>
        </w:tc>
        <w:tc>
          <w:tcPr>
            <w:tcW w:w="1548" w:type="dxa"/>
          </w:tcPr>
          <w:p w14:paraId="49095F4D" w14:textId="088AE9D9" w:rsidR="005E7578" w:rsidRPr="005E7578" w:rsidRDefault="005E7578" w:rsidP="005E7578">
            <w:pPr>
              <w:pStyle w:val="DHHStabletext"/>
            </w:pPr>
            <w:r w:rsidRPr="005E7578">
              <w:t>6.9</w:t>
            </w:r>
          </w:p>
        </w:tc>
        <w:tc>
          <w:tcPr>
            <w:tcW w:w="1548" w:type="dxa"/>
          </w:tcPr>
          <w:p w14:paraId="0799F520" w14:textId="4A7336CD" w:rsidR="005E7578" w:rsidRPr="005E7578" w:rsidRDefault="005E7578" w:rsidP="005E7578">
            <w:pPr>
              <w:pStyle w:val="DHHStabletext"/>
            </w:pPr>
            <w:r w:rsidRPr="005E7578">
              <w:t>6.6</w:t>
            </w:r>
          </w:p>
        </w:tc>
        <w:tc>
          <w:tcPr>
            <w:tcW w:w="1548" w:type="dxa"/>
          </w:tcPr>
          <w:p w14:paraId="385D9289" w14:textId="41CC1DA1" w:rsidR="005E7578" w:rsidRPr="005E7578" w:rsidRDefault="005E7578" w:rsidP="005E7578">
            <w:pPr>
              <w:pStyle w:val="DHHStabletext"/>
            </w:pPr>
            <w:r w:rsidRPr="005E7578">
              <w:t>6.5</w:t>
            </w:r>
          </w:p>
        </w:tc>
        <w:tc>
          <w:tcPr>
            <w:tcW w:w="1548" w:type="dxa"/>
          </w:tcPr>
          <w:p w14:paraId="78CB574D" w14:textId="6F5EE111" w:rsidR="005E7578" w:rsidRPr="005E7578" w:rsidRDefault="005E7578" w:rsidP="005E7578">
            <w:pPr>
              <w:pStyle w:val="DHHStabletext"/>
            </w:pPr>
            <w:r w:rsidRPr="005E7578">
              <w:t>6.3</w:t>
            </w:r>
          </w:p>
        </w:tc>
      </w:tr>
      <w:tr w:rsidR="005E7578" w14:paraId="14003D38" w14:textId="77777777" w:rsidTr="00BA6AC1">
        <w:tc>
          <w:tcPr>
            <w:tcW w:w="1548" w:type="dxa"/>
            <w:vAlign w:val="top"/>
          </w:tcPr>
          <w:p w14:paraId="74D81E0F" w14:textId="77777777" w:rsidR="005E7578" w:rsidRPr="003650A0" w:rsidRDefault="005E7578" w:rsidP="005E7578">
            <w:pPr>
              <w:pStyle w:val="DHHStabletext"/>
              <w:rPr>
                <w:lang w:eastAsia="en-AU"/>
              </w:rPr>
            </w:pPr>
            <w:r>
              <w:rPr>
                <w:lang w:eastAsia="en-AU"/>
              </w:rPr>
              <w:t>Forensic</w:t>
            </w:r>
          </w:p>
        </w:tc>
        <w:tc>
          <w:tcPr>
            <w:tcW w:w="1548" w:type="dxa"/>
          </w:tcPr>
          <w:p w14:paraId="22062E92" w14:textId="1BE85732" w:rsidR="005E7578" w:rsidRPr="005E7578" w:rsidRDefault="005E7578" w:rsidP="005E7578">
            <w:pPr>
              <w:pStyle w:val="DHHStabletext"/>
            </w:pPr>
            <w:r w:rsidRPr="005E7578">
              <w:t>18.8</w:t>
            </w:r>
          </w:p>
        </w:tc>
        <w:tc>
          <w:tcPr>
            <w:tcW w:w="1548" w:type="dxa"/>
          </w:tcPr>
          <w:p w14:paraId="62355A19" w14:textId="4AA22A2C" w:rsidR="005E7578" w:rsidRPr="005E7578" w:rsidRDefault="005E7578" w:rsidP="005E7578">
            <w:pPr>
              <w:pStyle w:val="DHHStabletext"/>
            </w:pPr>
            <w:r w:rsidRPr="005E7578">
              <w:t>20.5</w:t>
            </w:r>
          </w:p>
        </w:tc>
        <w:tc>
          <w:tcPr>
            <w:tcW w:w="1548" w:type="dxa"/>
          </w:tcPr>
          <w:p w14:paraId="33CE60BA" w14:textId="7EA4BCCF" w:rsidR="005E7578" w:rsidRPr="005E7578" w:rsidRDefault="005E7578" w:rsidP="005E7578">
            <w:pPr>
              <w:pStyle w:val="DHHStabletext"/>
            </w:pPr>
            <w:r w:rsidRPr="005E7578">
              <w:t>21.7</w:t>
            </w:r>
          </w:p>
        </w:tc>
        <w:tc>
          <w:tcPr>
            <w:tcW w:w="1548" w:type="dxa"/>
          </w:tcPr>
          <w:p w14:paraId="0F618BC7" w14:textId="54CAD070" w:rsidR="005E7578" w:rsidRPr="005E7578" w:rsidRDefault="005E7578" w:rsidP="005E7578">
            <w:pPr>
              <w:pStyle w:val="DHHStabletext"/>
            </w:pPr>
            <w:r w:rsidRPr="005E7578">
              <w:t>24.0</w:t>
            </w:r>
          </w:p>
        </w:tc>
        <w:tc>
          <w:tcPr>
            <w:tcW w:w="1548" w:type="dxa"/>
          </w:tcPr>
          <w:p w14:paraId="2C3BFA5B" w14:textId="5AC3CAF2" w:rsidR="005E7578" w:rsidRPr="005E7578" w:rsidRDefault="005E7578" w:rsidP="005E7578">
            <w:pPr>
              <w:pStyle w:val="DHHStabletext"/>
            </w:pPr>
            <w:r w:rsidRPr="005E7578">
              <w:t>21.8</w:t>
            </w:r>
          </w:p>
        </w:tc>
      </w:tr>
      <w:tr w:rsidR="005E7578" w14:paraId="2CDC366C" w14:textId="77777777" w:rsidTr="00BA6AC1">
        <w:tc>
          <w:tcPr>
            <w:tcW w:w="1548" w:type="dxa"/>
            <w:vAlign w:val="top"/>
          </w:tcPr>
          <w:p w14:paraId="68393DBF" w14:textId="77777777" w:rsidR="005E7578" w:rsidRPr="003650A0" w:rsidRDefault="005E7578" w:rsidP="005E7578">
            <w:pPr>
              <w:pStyle w:val="DHHStabletext"/>
              <w:rPr>
                <w:lang w:eastAsia="en-AU"/>
              </w:rPr>
            </w:pPr>
            <w:r>
              <w:rPr>
                <w:lang w:eastAsia="en-AU"/>
              </w:rPr>
              <w:t>Specialist</w:t>
            </w:r>
          </w:p>
        </w:tc>
        <w:tc>
          <w:tcPr>
            <w:tcW w:w="1548" w:type="dxa"/>
          </w:tcPr>
          <w:p w14:paraId="7702AF43" w14:textId="4D6432B0" w:rsidR="005E7578" w:rsidRPr="005E7578" w:rsidRDefault="005E7578" w:rsidP="005E7578">
            <w:pPr>
              <w:pStyle w:val="DHHStabletext"/>
            </w:pPr>
            <w:r w:rsidRPr="005E7578">
              <w:t>16.7</w:t>
            </w:r>
          </w:p>
        </w:tc>
        <w:tc>
          <w:tcPr>
            <w:tcW w:w="1548" w:type="dxa"/>
          </w:tcPr>
          <w:p w14:paraId="3D0A863D" w14:textId="5710A878" w:rsidR="005E7578" w:rsidRPr="005E7578" w:rsidRDefault="005E7578" w:rsidP="005E7578">
            <w:pPr>
              <w:pStyle w:val="DHHStabletext"/>
            </w:pPr>
            <w:r w:rsidRPr="005E7578">
              <w:t>15.8</w:t>
            </w:r>
          </w:p>
        </w:tc>
        <w:tc>
          <w:tcPr>
            <w:tcW w:w="1548" w:type="dxa"/>
          </w:tcPr>
          <w:p w14:paraId="57CCB763" w14:textId="0CA5737C" w:rsidR="005E7578" w:rsidRPr="005E7578" w:rsidRDefault="005E7578" w:rsidP="005E7578">
            <w:pPr>
              <w:pStyle w:val="DHHStabletext"/>
            </w:pPr>
            <w:r w:rsidRPr="005E7578">
              <w:t>15.3</w:t>
            </w:r>
          </w:p>
        </w:tc>
        <w:tc>
          <w:tcPr>
            <w:tcW w:w="1548" w:type="dxa"/>
          </w:tcPr>
          <w:p w14:paraId="63A43A03" w14:textId="7DE4D7DA" w:rsidR="005E7578" w:rsidRPr="005E7578" w:rsidRDefault="005E7578" w:rsidP="005E7578">
            <w:pPr>
              <w:pStyle w:val="DHHStabletext"/>
            </w:pPr>
            <w:r w:rsidRPr="005E7578">
              <w:t>16.0</w:t>
            </w:r>
          </w:p>
        </w:tc>
        <w:tc>
          <w:tcPr>
            <w:tcW w:w="1548" w:type="dxa"/>
          </w:tcPr>
          <w:p w14:paraId="2E527842" w14:textId="77715DBB" w:rsidR="005E7578" w:rsidRPr="005E7578" w:rsidRDefault="005E7578" w:rsidP="005E7578">
            <w:pPr>
              <w:pStyle w:val="DHHStabletext"/>
            </w:pPr>
            <w:r w:rsidRPr="005E7578">
              <w:t>15.6</w:t>
            </w:r>
          </w:p>
        </w:tc>
      </w:tr>
      <w:tr w:rsidR="005E7578" w14:paraId="0D56AFC6" w14:textId="77777777" w:rsidTr="00BA6AC1">
        <w:tc>
          <w:tcPr>
            <w:tcW w:w="1548" w:type="dxa"/>
            <w:vAlign w:val="top"/>
          </w:tcPr>
          <w:p w14:paraId="17209ACA" w14:textId="77777777" w:rsidR="005E7578" w:rsidRPr="005E7578" w:rsidRDefault="005E7578" w:rsidP="005E7578">
            <w:pPr>
              <w:pStyle w:val="DHHStabletext"/>
              <w:rPr>
                <w:b/>
                <w:bCs/>
              </w:rPr>
            </w:pPr>
            <w:r w:rsidRPr="005E7578">
              <w:rPr>
                <w:b/>
                <w:bCs/>
                <w:lang w:eastAsia="en-AU"/>
              </w:rPr>
              <w:t>Total</w:t>
            </w:r>
          </w:p>
        </w:tc>
        <w:tc>
          <w:tcPr>
            <w:tcW w:w="1548" w:type="dxa"/>
          </w:tcPr>
          <w:p w14:paraId="58DEEAC8" w14:textId="6BB66CFA" w:rsidR="005E7578" w:rsidRPr="005E7578" w:rsidRDefault="005E7578" w:rsidP="005E7578">
            <w:pPr>
              <w:pStyle w:val="DHHStabletext"/>
              <w:rPr>
                <w:b/>
                <w:bCs/>
              </w:rPr>
            </w:pPr>
            <w:r w:rsidRPr="005E7578">
              <w:rPr>
                <w:b/>
                <w:bCs/>
              </w:rPr>
              <w:t>10.1</w:t>
            </w:r>
          </w:p>
        </w:tc>
        <w:tc>
          <w:tcPr>
            <w:tcW w:w="1548" w:type="dxa"/>
          </w:tcPr>
          <w:p w14:paraId="7AE1EBB8" w14:textId="4960946A" w:rsidR="005E7578" w:rsidRPr="005E7578" w:rsidRDefault="005E7578" w:rsidP="005E7578">
            <w:pPr>
              <w:pStyle w:val="DHHStabletext"/>
              <w:rPr>
                <w:b/>
                <w:bCs/>
              </w:rPr>
            </w:pPr>
            <w:r w:rsidRPr="005E7578">
              <w:rPr>
                <w:b/>
                <w:bCs/>
              </w:rPr>
              <w:t>10.0</w:t>
            </w:r>
          </w:p>
        </w:tc>
        <w:tc>
          <w:tcPr>
            <w:tcW w:w="1548" w:type="dxa"/>
          </w:tcPr>
          <w:p w14:paraId="481CF5B8" w14:textId="0CE9DAC2" w:rsidR="005E7578" w:rsidRPr="005E7578" w:rsidRDefault="005E7578" w:rsidP="005E7578">
            <w:pPr>
              <w:pStyle w:val="DHHStabletext"/>
              <w:rPr>
                <w:b/>
                <w:bCs/>
              </w:rPr>
            </w:pPr>
            <w:r w:rsidRPr="005E7578">
              <w:rPr>
                <w:b/>
                <w:bCs/>
              </w:rPr>
              <w:t>9.6</w:t>
            </w:r>
          </w:p>
        </w:tc>
        <w:tc>
          <w:tcPr>
            <w:tcW w:w="1548" w:type="dxa"/>
          </w:tcPr>
          <w:p w14:paraId="1A0B61B2" w14:textId="1F68D7F1" w:rsidR="005E7578" w:rsidRPr="005E7578" w:rsidRDefault="005E7578" w:rsidP="005E7578">
            <w:pPr>
              <w:pStyle w:val="DHHStabletext"/>
              <w:rPr>
                <w:b/>
                <w:bCs/>
              </w:rPr>
            </w:pPr>
            <w:r w:rsidRPr="005E7578">
              <w:rPr>
                <w:b/>
                <w:bCs/>
              </w:rPr>
              <w:t>9.6</w:t>
            </w:r>
          </w:p>
        </w:tc>
        <w:tc>
          <w:tcPr>
            <w:tcW w:w="1548" w:type="dxa"/>
          </w:tcPr>
          <w:p w14:paraId="41AFB8F0" w14:textId="338854F8" w:rsidR="005E7578" w:rsidRPr="005E7578" w:rsidRDefault="005E7578" w:rsidP="005E7578">
            <w:pPr>
              <w:pStyle w:val="DHHStabletext"/>
              <w:rPr>
                <w:b/>
                <w:bCs/>
              </w:rPr>
            </w:pPr>
            <w:r w:rsidRPr="005E7578">
              <w:rPr>
                <w:b/>
                <w:bCs/>
              </w:rPr>
              <w:t>9.8</w:t>
            </w:r>
          </w:p>
        </w:tc>
      </w:tr>
    </w:tbl>
    <w:p w14:paraId="7764C835" w14:textId="073A4CBF" w:rsidR="008E0251" w:rsidRPr="00231A8A" w:rsidRDefault="008E0251" w:rsidP="00B267D2">
      <w:pPr>
        <w:pStyle w:val="Heading2"/>
        <w:rPr>
          <w:rStyle w:val="normaltextrun"/>
        </w:rPr>
      </w:pPr>
      <w:bookmarkStart w:id="22" w:name="_Toc55379397"/>
      <w:r w:rsidRPr="00231A8A">
        <w:rPr>
          <w:rStyle w:val="normaltextrun"/>
        </w:rPr>
        <w:t xml:space="preserve">Who accessed our public mental health services in </w:t>
      </w:r>
      <w:r w:rsidR="00894D3B">
        <w:rPr>
          <w:rStyle w:val="normaltextrun"/>
        </w:rPr>
        <w:t>2019–20</w:t>
      </w:r>
      <w:r w:rsidRPr="00231A8A">
        <w:rPr>
          <w:rStyle w:val="normaltextrun"/>
        </w:rPr>
        <w:t>?</w:t>
      </w:r>
      <w:bookmarkEnd w:id="22"/>
    </w:p>
    <w:p w14:paraId="681B5E61" w14:textId="329F4879" w:rsidR="000D20F2" w:rsidRPr="00CE40D6" w:rsidRDefault="000D20F2" w:rsidP="00CE40D6">
      <w:pPr>
        <w:pStyle w:val="DHHSbodynospace"/>
        <w:rPr>
          <w:b/>
          <w:bCs/>
          <w:lang w:val="en" w:eastAsia="en-AU"/>
        </w:rPr>
      </w:pPr>
      <w:r w:rsidRPr="00CE40D6">
        <w:rPr>
          <w:b/>
          <w:bCs/>
          <w:lang w:val="en" w:eastAsia="en-AU"/>
        </w:rPr>
        <w:t>K</w:t>
      </w:r>
      <w:r w:rsidR="008E0251" w:rsidRPr="00CE40D6">
        <w:rPr>
          <w:b/>
          <w:bCs/>
          <w:lang w:val="en" w:eastAsia="en-AU"/>
        </w:rPr>
        <w:t>ey stat</w:t>
      </w:r>
      <w:r w:rsidRPr="00CE40D6">
        <w:rPr>
          <w:b/>
          <w:bCs/>
          <w:lang w:val="en" w:eastAsia="en-AU"/>
        </w:rPr>
        <w:t>istic</w:t>
      </w:r>
      <w:r w:rsidR="008E0251" w:rsidRPr="00CE40D6">
        <w:rPr>
          <w:b/>
          <w:bCs/>
          <w:lang w:val="en" w:eastAsia="en-AU"/>
        </w:rPr>
        <w:t>s</w:t>
      </w:r>
      <w:r w:rsidRPr="00CE40D6">
        <w:rPr>
          <w:b/>
          <w:bCs/>
          <w:lang w:val="en" w:eastAsia="en-AU"/>
        </w:rPr>
        <w:t xml:space="preserve"> </w:t>
      </w:r>
      <w:r w:rsidR="00CE40D6" w:rsidRPr="00CE40D6">
        <w:rPr>
          <w:b/>
          <w:bCs/>
          <w:lang w:val="en" w:eastAsia="en-AU"/>
        </w:rPr>
        <w:t>2019–20</w:t>
      </w:r>
      <w:r w:rsidRPr="00CE40D6">
        <w:rPr>
          <w:b/>
          <w:bCs/>
          <w:lang w:val="en" w:eastAsia="en-AU"/>
        </w:rPr>
        <w:t>:</w:t>
      </w:r>
      <w:r w:rsidR="008E0251" w:rsidRPr="00CE40D6">
        <w:rPr>
          <w:b/>
          <w:bCs/>
          <w:lang w:val="en" w:eastAsia="en-AU"/>
        </w:rPr>
        <w:t xml:space="preserve"> </w:t>
      </w:r>
    </w:p>
    <w:p w14:paraId="7061835A" w14:textId="009496E7" w:rsidR="008E0251" w:rsidRPr="000D20F2" w:rsidRDefault="008E0251" w:rsidP="00CE40D6">
      <w:pPr>
        <w:pStyle w:val="DHHSbodynospace"/>
        <w:rPr>
          <w:lang w:val="en" w:eastAsia="en-AU"/>
        </w:rPr>
      </w:pPr>
      <w:r w:rsidRPr="000D20F2">
        <w:rPr>
          <w:lang w:val="en" w:eastAsia="en-AU"/>
        </w:rPr>
        <w:t>7</w:t>
      </w:r>
      <w:r w:rsidR="008714A7">
        <w:rPr>
          <w:lang w:val="en" w:eastAsia="en-AU"/>
        </w:rPr>
        <w:t>6,441</w:t>
      </w:r>
      <w:r w:rsidR="001C5A6B">
        <w:rPr>
          <w:lang w:val="en" w:eastAsia="en-AU"/>
        </w:rPr>
        <w:t xml:space="preserve"> </w:t>
      </w:r>
      <w:r w:rsidRPr="000D20F2">
        <w:rPr>
          <w:lang w:val="en" w:eastAsia="en-AU"/>
        </w:rPr>
        <w:t xml:space="preserve">registered consumers, an increase of </w:t>
      </w:r>
      <w:r w:rsidR="009612C4">
        <w:rPr>
          <w:lang w:val="en" w:eastAsia="en-AU"/>
        </w:rPr>
        <w:t>2.1</w:t>
      </w:r>
      <w:r w:rsidR="00CE40D6">
        <w:rPr>
          <w:lang w:val="en" w:eastAsia="en-AU"/>
        </w:rPr>
        <w:t xml:space="preserve"> per cent</w:t>
      </w:r>
    </w:p>
    <w:p w14:paraId="79B909DF" w14:textId="77777777" w:rsidR="000D20F2" w:rsidRPr="000D20F2" w:rsidRDefault="000D20F2" w:rsidP="00CE40D6">
      <w:pPr>
        <w:pStyle w:val="DHHSbody"/>
        <w:rPr>
          <w:lang w:val="en" w:eastAsia="en-AU"/>
        </w:rPr>
      </w:pPr>
    </w:p>
    <w:p w14:paraId="67F8F553" w14:textId="6FAFE0E1" w:rsidR="008E0251" w:rsidRPr="003650A0" w:rsidRDefault="008E0251" w:rsidP="008E0251">
      <w:pPr>
        <w:pStyle w:val="DHHSbody"/>
        <w:rPr>
          <w:rFonts w:cs="Arial"/>
          <w:color w:val="000000"/>
          <w:shd w:val="clear" w:color="auto" w:fill="FFFFFF"/>
        </w:rPr>
      </w:pPr>
      <w:r w:rsidRPr="000D20F2">
        <w:rPr>
          <w:rFonts w:cs="Arial"/>
        </w:rPr>
        <w:t>There was a small increase</w:t>
      </w:r>
      <w:r w:rsidRPr="003650A0">
        <w:rPr>
          <w:rFonts w:cs="Arial"/>
        </w:rPr>
        <w:t xml:space="preserve"> in the number of children</w:t>
      </w:r>
      <w:r>
        <w:rPr>
          <w:rFonts w:cs="Arial"/>
        </w:rPr>
        <w:t xml:space="preserve"> and</w:t>
      </w:r>
      <w:r w:rsidRPr="003650A0">
        <w:rPr>
          <w:rFonts w:cs="Arial"/>
        </w:rPr>
        <w:t xml:space="preserve"> young people, adults and forensic </w:t>
      </w:r>
      <w:r>
        <w:rPr>
          <w:rFonts w:cs="Arial"/>
        </w:rPr>
        <w:t>consumer</w:t>
      </w:r>
      <w:r w:rsidRPr="003650A0">
        <w:rPr>
          <w:rFonts w:cs="Arial"/>
        </w:rPr>
        <w:t xml:space="preserve">s accessing public mental health services during </w:t>
      </w:r>
      <w:r w:rsidR="00894D3B">
        <w:rPr>
          <w:rFonts w:cs="Arial"/>
        </w:rPr>
        <w:t>2019–20</w:t>
      </w:r>
      <w:r w:rsidRPr="003650A0">
        <w:rPr>
          <w:rFonts w:cs="Arial"/>
        </w:rPr>
        <w:t xml:space="preserve">. The total number of people accessing services was </w:t>
      </w:r>
      <w:r w:rsidRPr="003650A0">
        <w:rPr>
          <w:rFonts w:cs="Arial"/>
          <w:color w:val="000000"/>
          <w:shd w:val="clear" w:color="auto" w:fill="FFFFFF"/>
        </w:rPr>
        <w:t xml:space="preserve">76,441, up 2.1 per cent from the previous year. </w:t>
      </w:r>
      <w:r>
        <w:rPr>
          <w:rFonts w:cs="Arial"/>
          <w:color w:val="000000"/>
          <w:shd w:val="clear" w:color="auto" w:fill="FFFFFF"/>
        </w:rPr>
        <w:t>Consumer</w:t>
      </w:r>
      <w:r w:rsidRPr="003650A0">
        <w:rPr>
          <w:rFonts w:cs="Arial"/>
          <w:color w:val="000000"/>
          <w:shd w:val="clear" w:color="auto" w:fill="FFFFFF"/>
        </w:rPr>
        <w:t xml:space="preserve"> numbers held fairly steady across the four quarters for adults, older people, children and adolescents. A drop in the number of forensic and specialist </w:t>
      </w:r>
      <w:r>
        <w:rPr>
          <w:rFonts w:cs="Arial"/>
          <w:color w:val="000000"/>
          <w:shd w:val="clear" w:color="auto" w:fill="FFFFFF"/>
        </w:rPr>
        <w:t>consumer</w:t>
      </w:r>
      <w:r w:rsidRPr="003650A0">
        <w:rPr>
          <w:rFonts w:cs="Arial"/>
          <w:color w:val="000000"/>
          <w:shd w:val="clear" w:color="auto" w:fill="FFFFFF"/>
        </w:rPr>
        <w:t xml:space="preserve">s was evident in quarter </w:t>
      </w:r>
      <w:r w:rsidR="00241A97">
        <w:rPr>
          <w:rFonts w:cs="Arial"/>
          <w:color w:val="000000"/>
          <w:shd w:val="clear" w:color="auto" w:fill="FFFFFF"/>
        </w:rPr>
        <w:t>4</w:t>
      </w:r>
      <w:r w:rsidR="00D2463F">
        <w:rPr>
          <w:rFonts w:cs="Arial"/>
          <w:color w:val="000000"/>
          <w:shd w:val="clear" w:color="auto" w:fill="FFFFFF"/>
        </w:rPr>
        <w:t>, falling</w:t>
      </w:r>
      <w:r w:rsidR="00241A97" w:rsidRPr="003650A0">
        <w:rPr>
          <w:rFonts w:cs="Arial"/>
          <w:color w:val="000000"/>
          <w:shd w:val="clear" w:color="auto" w:fill="FFFFFF"/>
        </w:rPr>
        <w:t xml:space="preserve"> </w:t>
      </w:r>
      <w:r w:rsidRPr="003650A0">
        <w:rPr>
          <w:rFonts w:cs="Arial"/>
          <w:color w:val="000000"/>
          <w:shd w:val="clear" w:color="auto" w:fill="FFFFFF"/>
        </w:rPr>
        <w:t xml:space="preserve">9.6 per cent and 14.5 per cent respectively compared </w:t>
      </w:r>
      <w:r w:rsidR="00E51317">
        <w:rPr>
          <w:rFonts w:cs="Arial"/>
          <w:color w:val="000000"/>
          <w:shd w:val="clear" w:color="auto" w:fill="FFFFFF"/>
        </w:rPr>
        <w:t>with</w:t>
      </w:r>
      <w:r w:rsidR="00E51317" w:rsidRPr="003650A0">
        <w:rPr>
          <w:rFonts w:cs="Arial"/>
          <w:color w:val="000000"/>
          <w:shd w:val="clear" w:color="auto" w:fill="FFFFFF"/>
        </w:rPr>
        <w:t xml:space="preserve"> </w:t>
      </w:r>
      <w:r w:rsidRPr="003650A0">
        <w:rPr>
          <w:rFonts w:cs="Arial"/>
          <w:color w:val="000000"/>
          <w:shd w:val="clear" w:color="auto" w:fill="FFFFFF"/>
        </w:rPr>
        <w:t xml:space="preserve">quarter </w:t>
      </w:r>
      <w:r w:rsidR="00241A97">
        <w:rPr>
          <w:rFonts w:cs="Arial"/>
          <w:color w:val="000000"/>
          <w:shd w:val="clear" w:color="auto" w:fill="FFFFFF"/>
        </w:rPr>
        <w:t>3</w:t>
      </w:r>
      <w:r w:rsidRPr="003650A0">
        <w:rPr>
          <w:rFonts w:cs="Arial"/>
          <w:color w:val="000000"/>
          <w:shd w:val="clear" w:color="auto" w:fill="FFFFFF"/>
        </w:rPr>
        <w:t xml:space="preserve">. Forensic services are a relatively small part of the service system. Specialist </w:t>
      </w:r>
      <w:r>
        <w:rPr>
          <w:rFonts w:cs="Arial"/>
          <w:color w:val="000000"/>
          <w:shd w:val="clear" w:color="auto" w:fill="FFFFFF"/>
        </w:rPr>
        <w:t>consumer</w:t>
      </w:r>
      <w:r w:rsidRPr="003650A0">
        <w:rPr>
          <w:rFonts w:cs="Arial"/>
          <w:color w:val="000000"/>
          <w:shd w:val="clear" w:color="auto" w:fill="FFFFFF"/>
        </w:rPr>
        <w:t>s receiv</w:t>
      </w:r>
      <w:r w:rsidR="00D2463F">
        <w:rPr>
          <w:rFonts w:cs="Arial"/>
          <w:color w:val="000000"/>
          <w:shd w:val="clear" w:color="auto" w:fill="FFFFFF"/>
        </w:rPr>
        <w:t>ed a</w:t>
      </w:r>
      <w:r w:rsidRPr="003650A0">
        <w:rPr>
          <w:rFonts w:cs="Arial"/>
          <w:color w:val="000000"/>
          <w:shd w:val="clear" w:color="auto" w:fill="FFFFFF"/>
        </w:rPr>
        <w:t xml:space="preserve"> higher intensity of service, with more contacts and service hours per person in the last </w:t>
      </w:r>
      <w:r w:rsidR="00E51317">
        <w:rPr>
          <w:rFonts w:cs="Arial"/>
          <w:color w:val="000000"/>
          <w:shd w:val="clear" w:color="auto" w:fill="FFFFFF"/>
        </w:rPr>
        <w:t>12</w:t>
      </w:r>
      <w:r w:rsidR="00E51317" w:rsidRPr="003650A0">
        <w:rPr>
          <w:rFonts w:cs="Arial"/>
          <w:color w:val="000000"/>
          <w:shd w:val="clear" w:color="auto" w:fill="FFFFFF"/>
        </w:rPr>
        <w:t xml:space="preserve"> </w:t>
      </w:r>
      <w:r w:rsidRPr="003650A0">
        <w:rPr>
          <w:rFonts w:cs="Arial"/>
          <w:color w:val="000000"/>
          <w:shd w:val="clear" w:color="auto" w:fill="FFFFFF"/>
        </w:rPr>
        <w:t>months</w:t>
      </w:r>
      <w:r>
        <w:rPr>
          <w:rFonts w:cs="Arial"/>
          <w:color w:val="000000"/>
          <w:shd w:val="clear" w:color="auto" w:fill="FFFFFF"/>
        </w:rPr>
        <w:t xml:space="preserve"> compared </w:t>
      </w:r>
      <w:r w:rsidR="00E51317">
        <w:rPr>
          <w:rFonts w:cs="Arial"/>
          <w:color w:val="000000"/>
          <w:shd w:val="clear" w:color="auto" w:fill="FFFFFF"/>
        </w:rPr>
        <w:t xml:space="preserve">with </w:t>
      </w:r>
      <w:r>
        <w:rPr>
          <w:rFonts w:cs="Arial"/>
          <w:color w:val="000000"/>
          <w:shd w:val="clear" w:color="auto" w:fill="FFFFFF"/>
        </w:rPr>
        <w:t>the previous year.</w:t>
      </w:r>
      <w:r w:rsidRPr="003650A0">
        <w:rPr>
          <w:rFonts w:cs="Arial"/>
          <w:color w:val="000000"/>
          <w:shd w:val="clear" w:color="auto" w:fill="FFFFFF"/>
        </w:rPr>
        <w:t xml:space="preserve"> </w:t>
      </w:r>
    </w:p>
    <w:p w14:paraId="54E86511" w14:textId="17E15D3E" w:rsidR="008E0251" w:rsidRPr="003650A0" w:rsidRDefault="008E0251" w:rsidP="008E0251">
      <w:pPr>
        <w:pStyle w:val="DHHSbody"/>
        <w:rPr>
          <w:rFonts w:cs="Arial"/>
          <w:color w:val="000000"/>
          <w:shd w:val="clear" w:color="auto" w:fill="FFFFFF"/>
        </w:rPr>
      </w:pPr>
      <w:r w:rsidRPr="003650A0">
        <w:rPr>
          <w:rFonts w:cs="Arial"/>
          <w:color w:val="000000"/>
          <w:shd w:val="clear" w:color="auto" w:fill="FFFFFF"/>
        </w:rPr>
        <w:t xml:space="preserve">About two-thirds of adult, aged and specialist </w:t>
      </w:r>
      <w:r>
        <w:rPr>
          <w:rFonts w:cs="Arial"/>
          <w:color w:val="000000"/>
          <w:shd w:val="clear" w:color="auto" w:fill="FFFFFF"/>
        </w:rPr>
        <w:t>consumer</w:t>
      </w:r>
      <w:r w:rsidRPr="003650A0">
        <w:rPr>
          <w:rFonts w:cs="Arial"/>
          <w:color w:val="000000"/>
          <w:shd w:val="clear" w:color="auto" w:fill="FFFFFF"/>
        </w:rPr>
        <w:t xml:space="preserve">s, and more than half of children and young people, had previously had contact with mental health services during the </w:t>
      </w:r>
      <w:r w:rsidR="00E51317">
        <w:rPr>
          <w:rFonts w:cs="Arial"/>
          <w:color w:val="000000"/>
          <w:shd w:val="clear" w:color="auto" w:fill="FFFFFF"/>
        </w:rPr>
        <w:t>p</w:t>
      </w:r>
      <w:r w:rsidRPr="003650A0">
        <w:rPr>
          <w:rFonts w:cs="Arial"/>
          <w:color w:val="000000"/>
          <w:shd w:val="clear" w:color="auto" w:fill="FFFFFF"/>
        </w:rPr>
        <w:t>ast five years.</w:t>
      </w:r>
      <w:r>
        <w:rPr>
          <w:rFonts w:cs="Arial"/>
          <w:color w:val="000000"/>
          <w:shd w:val="clear" w:color="auto" w:fill="FFFFFF"/>
        </w:rPr>
        <w:t xml:space="preserve"> </w:t>
      </w:r>
      <w:r w:rsidRPr="003650A0">
        <w:rPr>
          <w:rFonts w:cs="Arial"/>
          <w:color w:val="000000"/>
          <w:shd w:val="clear" w:color="auto" w:fill="FFFFFF"/>
        </w:rPr>
        <w:t xml:space="preserve">Just over half </w:t>
      </w:r>
      <w:r>
        <w:rPr>
          <w:rFonts w:cs="Arial"/>
          <w:color w:val="000000"/>
          <w:shd w:val="clear" w:color="auto" w:fill="FFFFFF"/>
        </w:rPr>
        <w:t>of registered</w:t>
      </w:r>
      <w:r w:rsidRPr="003650A0">
        <w:rPr>
          <w:rFonts w:cs="Arial"/>
          <w:color w:val="000000"/>
          <w:shd w:val="clear" w:color="auto" w:fill="FFFFFF"/>
        </w:rPr>
        <w:t xml:space="preserve"> </w:t>
      </w:r>
      <w:r>
        <w:rPr>
          <w:rFonts w:cs="Arial"/>
          <w:color w:val="000000"/>
          <w:shd w:val="clear" w:color="auto" w:fill="FFFFFF"/>
        </w:rPr>
        <w:t>consumer</w:t>
      </w:r>
      <w:r w:rsidRPr="003650A0">
        <w:rPr>
          <w:rFonts w:cs="Arial"/>
          <w:color w:val="000000"/>
          <w:shd w:val="clear" w:color="auto" w:fill="FFFFFF"/>
        </w:rPr>
        <w:t xml:space="preserve">s (50.5 per cent) </w:t>
      </w:r>
      <w:r w:rsidR="00D2463F">
        <w:rPr>
          <w:rFonts w:cs="Arial"/>
          <w:color w:val="000000"/>
          <w:shd w:val="clear" w:color="auto" w:fill="FFFFFF"/>
        </w:rPr>
        <w:t>we</w:t>
      </w:r>
      <w:r w:rsidRPr="003650A0">
        <w:rPr>
          <w:rFonts w:cs="Arial"/>
          <w:color w:val="000000"/>
          <w:shd w:val="clear" w:color="auto" w:fill="FFFFFF"/>
        </w:rPr>
        <w:t>re women or girls, and a third (33.0 per cent) live</w:t>
      </w:r>
      <w:r w:rsidR="00D2463F">
        <w:rPr>
          <w:rFonts w:cs="Arial"/>
          <w:color w:val="000000"/>
          <w:shd w:val="clear" w:color="auto" w:fill="FFFFFF"/>
        </w:rPr>
        <w:t>d</w:t>
      </w:r>
      <w:r w:rsidRPr="003650A0">
        <w:rPr>
          <w:rFonts w:cs="Arial"/>
          <w:color w:val="000000"/>
          <w:shd w:val="clear" w:color="auto" w:fill="FFFFFF"/>
        </w:rPr>
        <w:t xml:space="preserve"> in rural areas. A small proportion of registered </w:t>
      </w:r>
      <w:r>
        <w:rPr>
          <w:rFonts w:cs="Arial"/>
          <w:color w:val="000000"/>
          <w:shd w:val="clear" w:color="auto" w:fill="FFFFFF"/>
        </w:rPr>
        <w:t>consumer</w:t>
      </w:r>
      <w:r w:rsidRPr="003650A0">
        <w:rPr>
          <w:rFonts w:cs="Arial"/>
          <w:color w:val="000000"/>
          <w:shd w:val="clear" w:color="auto" w:fill="FFFFFF"/>
        </w:rPr>
        <w:t xml:space="preserve">s (1,679 people) used both clinical and mental health community support services. This number is reducing as </w:t>
      </w:r>
      <w:r w:rsidR="005740EC">
        <w:rPr>
          <w:rFonts w:cs="Arial"/>
          <w:color w:val="000000"/>
          <w:shd w:val="clear" w:color="auto" w:fill="FFFFFF"/>
        </w:rPr>
        <w:t>mental health community support services</w:t>
      </w:r>
      <w:r w:rsidR="005740EC" w:rsidRPr="003650A0">
        <w:rPr>
          <w:rFonts w:cs="Arial"/>
          <w:color w:val="000000"/>
          <w:shd w:val="clear" w:color="auto" w:fill="FFFFFF"/>
        </w:rPr>
        <w:t xml:space="preserve"> </w:t>
      </w:r>
      <w:r w:rsidRPr="003650A0">
        <w:rPr>
          <w:rFonts w:cs="Arial"/>
          <w:color w:val="000000"/>
          <w:shd w:val="clear" w:color="auto" w:fill="FFFFFF"/>
        </w:rPr>
        <w:t>transition to the NDIS.</w:t>
      </w:r>
    </w:p>
    <w:p w14:paraId="727A16F0" w14:textId="576280F5" w:rsidR="008E0251" w:rsidRPr="009C5DA8" w:rsidRDefault="008E0251" w:rsidP="00B267D2">
      <w:pPr>
        <w:pStyle w:val="Heading2"/>
        <w:rPr>
          <w:rStyle w:val="normaltextrun"/>
        </w:rPr>
      </w:pPr>
      <w:bookmarkStart w:id="23" w:name="_Toc55379398"/>
      <w:r w:rsidRPr="009C5DA8">
        <w:rPr>
          <w:rStyle w:val="normaltextrun"/>
        </w:rPr>
        <w:t xml:space="preserve">How were </w:t>
      </w:r>
      <w:r w:rsidRPr="00B267D2">
        <w:rPr>
          <w:rStyle w:val="normaltextrun"/>
        </w:rPr>
        <w:t>people</w:t>
      </w:r>
      <w:r w:rsidRPr="009C5DA8">
        <w:rPr>
          <w:rStyle w:val="normaltextrun"/>
        </w:rPr>
        <w:t xml:space="preserve"> referred to our clinical services in </w:t>
      </w:r>
      <w:r w:rsidR="00894D3B">
        <w:rPr>
          <w:rStyle w:val="normaltextrun"/>
        </w:rPr>
        <w:t>2019–20</w:t>
      </w:r>
      <w:r w:rsidRPr="009C5DA8">
        <w:rPr>
          <w:rStyle w:val="normaltextrun"/>
        </w:rPr>
        <w:t>?</w:t>
      </w:r>
      <w:bookmarkEnd w:id="23"/>
    </w:p>
    <w:p w14:paraId="2C642933" w14:textId="3ADA76DA" w:rsidR="008E0251" w:rsidRPr="003650A0" w:rsidRDefault="008E0251" w:rsidP="008E0251">
      <w:pPr>
        <w:pStyle w:val="DHHSbody"/>
        <w:rPr>
          <w:rFonts w:cs="Arial"/>
        </w:rPr>
      </w:pPr>
      <w:r w:rsidRPr="003650A0">
        <w:rPr>
          <w:rFonts w:cs="Arial"/>
        </w:rPr>
        <w:t>Most people were referred to clinical mental health services by hospitals</w:t>
      </w:r>
      <w:r>
        <w:rPr>
          <w:rFonts w:cs="Arial"/>
        </w:rPr>
        <w:t xml:space="preserve">, as shown in </w:t>
      </w:r>
      <w:r w:rsidR="006E3E09">
        <w:rPr>
          <w:rFonts w:cs="Arial"/>
        </w:rPr>
        <w:t>Table 9</w:t>
      </w:r>
      <w:r w:rsidRPr="003650A0">
        <w:rPr>
          <w:rFonts w:cs="Arial"/>
        </w:rPr>
        <w:t xml:space="preserve">. More than a quarter of referrals </w:t>
      </w:r>
      <w:r w:rsidR="00D2463F">
        <w:rPr>
          <w:rFonts w:cs="Arial"/>
        </w:rPr>
        <w:t>we</w:t>
      </w:r>
      <w:r w:rsidRPr="003650A0">
        <w:rPr>
          <w:rFonts w:cs="Arial"/>
        </w:rPr>
        <w:t xml:space="preserve">re from </w:t>
      </w:r>
      <w:r w:rsidR="008707D2">
        <w:rPr>
          <w:rFonts w:cs="Arial"/>
        </w:rPr>
        <w:t>EDs</w:t>
      </w:r>
      <w:r w:rsidRPr="003650A0">
        <w:rPr>
          <w:rFonts w:cs="Arial"/>
        </w:rPr>
        <w:t xml:space="preserve"> (26.1 per cent), and</w:t>
      </w:r>
      <w:r>
        <w:rPr>
          <w:rFonts w:cs="Arial"/>
        </w:rPr>
        <w:t xml:space="preserve"> </w:t>
      </w:r>
      <w:r w:rsidR="006E3E09">
        <w:rPr>
          <w:rFonts w:cs="Arial"/>
        </w:rPr>
        <w:t>Table 10</w:t>
      </w:r>
      <w:r>
        <w:rPr>
          <w:rFonts w:cs="Arial"/>
        </w:rPr>
        <w:t xml:space="preserve"> demonstrates that</w:t>
      </w:r>
      <w:r w:rsidRPr="003650A0">
        <w:rPr>
          <w:rFonts w:cs="Arial"/>
        </w:rPr>
        <w:t xml:space="preserve"> the proportion of referrals from </w:t>
      </w:r>
      <w:r w:rsidR="008707D2">
        <w:rPr>
          <w:rFonts w:cs="Arial"/>
        </w:rPr>
        <w:t xml:space="preserve">EDs </w:t>
      </w:r>
      <w:r w:rsidRPr="003650A0">
        <w:rPr>
          <w:rFonts w:cs="Arial"/>
        </w:rPr>
        <w:t>has generally been increasing over time</w:t>
      </w:r>
      <w:r w:rsidR="00D2463F">
        <w:rPr>
          <w:rFonts w:cs="Arial"/>
        </w:rPr>
        <w:t xml:space="preserve"> –</w:t>
      </w:r>
      <w:r w:rsidRPr="003650A0">
        <w:rPr>
          <w:rFonts w:cs="Arial"/>
        </w:rPr>
        <w:t xml:space="preserve"> that is, from 21.2 per cent in 2015</w:t>
      </w:r>
      <w:r w:rsidR="0020515A">
        <w:rPr>
          <w:rFonts w:cs="Arial"/>
        </w:rPr>
        <w:t>–</w:t>
      </w:r>
      <w:r w:rsidRPr="003650A0">
        <w:rPr>
          <w:rFonts w:cs="Arial"/>
        </w:rPr>
        <w:t xml:space="preserve">16. A further 22.0 per cent </w:t>
      </w:r>
      <w:r w:rsidR="005740EC">
        <w:rPr>
          <w:rFonts w:cs="Arial"/>
        </w:rPr>
        <w:t xml:space="preserve">of </w:t>
      </w:r>
      <w:r>
        <w:rPr>
          <w:rFonts w:cs="Arial"/>
        </w:rPr>
        <w:t>referrals</w:t>
      </w:r>
      <w:r w:rsidRPr="003650A0">
        <w:rPr>
          <w:rFonts w:cs="Arial"/>
        </w:rPr>
        <w:t xml:space="preserve"> </w:t>
      </w:r>
      <w:r w:rsidR="00D2463F">
        <w:rPr>
          <w:rFonts w:cs="Arial"/>
        </w:rPr>
        <w:t xml:space="preserve">came </w:t>
      </w:r>
      <w:r w:rsidRPr="003650A0">
        <w:rPr>
          <w:rFonts w:cs="Arial"/>
        </w:rPr>
        <w:t xml:space="preserve">from acute health. The latter group may include people who </w:t>
      </w:r>
      <w:r w:rsidR="00D2463F">
        <w:rPr>
          <w:rFonts w:cs="Arial"/>
        </w:rPr>
        <w:t>we</w:t>
      </w:r>
      <w:r w:rsidRPr="003650A0">
        <w:rPr>
          <w:rFonts w:cs="Arial"/>
        </w:rPr>
        <w:t xml:space="preserve">re admitted with a physical illness or injury and </w:t>
      </w:r>
      <w:r w:rsidR="00D2463F">
        <w:rPr>
          <w:rFonts w:cs="Arial"/>
        </w:rPr>
        <w:t>we</w:t>
      </w:r>
      <w:r w:rsidRPr="003650A0">
        <w:rPr>
          <w:rFonts w:cs="Arial"/>
        </w:rPr>
        <w:t>re subsequently referred for mental health treatment. General practitioners continue</w:t>
      </w:r>
      <w:r w:rsidR="00D2463F">
        <w:rPr>
          <w:rFonts w:cs="Arial"/>
        </w:rPr>
        <w:t>d</w:t>
      </w:r>
      <w:r w:rsidRPr="003650A0">
        <w:rPr>
          <w:rFonts w:cs="Arial"/>
        </w:rPr>
        <w:t xml:space="preserve"> to be a key source of referrals (9.9 per cent) as d</w:t>
      </w:r>
      <w:r w:rsidR="00D2463F">
        <w:rPr>
          <w:rFonts w:cs="Arial"/>
        </w:rPr>
        <w:t>id</w:t>
      </w:r>
      <w:r w:rsidRPr="003650A0">
        <w:rPr>
          <w:rFonts w:cs="Arial"/>
        </w:rPr>
        <w:t xml:space="preserve"> families (6.7 per cent).</w:t>
      </w:r>
    </w:p>
    <w:p w14:paraId="198D5E59" w14:textId="2A9B63C4" w:rsidR="008E0251" w:rsidRPr="003650A0" w:rsidRDefault="008E0251" w:rsidP="008E0251">
      <w:pPr>
        <w:pStyle w:val="DHHSbody"/>
        <w:rPr>
          <w:rFonts w:cs="Arial"/>
        </w:rPr>
      </w:pPr>
      <w:r>
        <w:rPr>
          <w:rFonts w:cs="Arial"/>
        </w:rPr>
        <w:t xml:space="preserve">A small proportion of consumers (6.5 per cent) </w:t>
      </w:r>
      <w:r w:rsidR="00D2463F">
        <w:rPr>
          <w:rFonts w:cs="Arial"/>
        </w:rPr>
        <w:t>we</w:t>
      </w:r>
      <w:r>
        <w:rPr>
          <w:rFonts w:cs="Arial"/>
        </w:rPr>
        <w:t xml:space="preserve">re </w:t>
      </w:r>
      <w:r w:rsidR="008707D2">
        <w:rPr>
          <w:rFonts w:cs="Arial"/>
        </w:rPr>
        <w:t xml:space="preserve">taken </w:t>
      </w:r>
      <w:r>
        <w:rPr>
          <w:rFonts w:cs="Arial"/>
        </w:rPr>
        <w:t xml:space="preserve">to </w:t>
      </w:r>
      <w:r w:rsidR="008707D2">
        <w:rPr>
          <w:rFonts w:cs="Arial"/>
        </w:rPr>
        <w:t>an ED</w:t>
      </w:r>
      <w:r>
        <w:rPr>
          <w:rFonts w:cs="Arial"/>
        </w:rPr>
        <w:t xml:space="preserve"> by police or protective service</w:t>
      </w:r>
      <w:r w:rsidR="005740EC">
        <w:rPr>
          <w:rFonts w:cs="Arial"/>
        </w:rPr>
        <w:t>s</w:t>
      </w:r>
      <w:r>
        <w:rPr>
          <w:rFonts w:cs="Arial"/>
        </w:rPr>
        <w:t xml:space="preserve"> officers under </w:t>
      </w:r>
      <w:r w:rsidR="0020515A">
        <w:rPr>
          <w:rFonts w:cs="Arial"/>
        </w:rPr>
        <w:t xml:space="preserve">s. </w:t>
      </w:r>
      <w:r>
        <w:rPr>
          <w:rFonts w:cs="Arial"/>
        </w:rPr>
        <w:t xml:space="preserve">351 of the </w:t>
      </w:r>
      <w:r w:rsidRPr="00A218E0">
        <w:rPr>
          <w:rFonts w:cs="Arial"/>
          <w:i/>
        </w:rPr>
        <w:t>Mental Health Act</w:t>
      </w:r>
      <w:r w:rsidRPr="00A218E0">
        <w:rPr>
          <w:rFonts w:cs="Arial"/>
          <w:i/>
          <w:iCs/>
        </w:rPr>
        <w:t xml:space="preserve"> 2014</w:t>
      </w:r>
      <w:r>
        <w:rPr>
          <w:rFonts w:cs="Arial"/>
        </w:rPr>
        <w:t xml:space="preserve">. This occurs if a police officer or </w:t>
      </w:r>
      <w:r w:rsidR="00D2463F">
        <w:rPr>
          <w:rFonts w:cs="Arial"/>
        </w:rPr>
        <w:t>protective service</w:t>
      </w:r>
      <w:r w:rsidR="005740EC">
        <w:rPr>
          <w:rFonts w:cs="Arial"/>
        </w:rPr>
        <w:t>s</w:t>
      </w:r>
      <w:r w:rsidR="00D2463F">
        <w:rPr>
          <w:rFonts w:cs="Arial"/>
        </w:rPr>
        <w:t xml:space="preserve"> officer </w:t>
      </w:r>
      <w:r>
        <w:rPr>
          <w:rFonts w:cs="Arial"/>
        </w:rPr>
        <w:t>is satisfied that a person appears to have a mental health issue and</w:t>
      </w:r>
      <w:r w:rsidR="00D2463F">
        <w:rPr>
          <w:rFonts w:cs="Arial"/>
        </w:rPr>
        <w:t>,</w:t>
      </w:r>
      <w:r>
        <w:rPr>
          <w:rFonts w:cs="Arial"/>
        </w:rPr>
        <w:t xml:space="preserve"> because of the apparent issue, the person needs to be apprehended to prevent serious and imminent harm to themselves or another person. The purpose of the apprehension is to facilitate examination of the person by a doctor or assessment by a mental health practitioner. During </w:t>
      </w:r>
      <w:r w:rsidR="00894D3B">
        <w:rPr>
          <w:rFonts w:cs="Arial"/>
        </w:rPr>
        <w:t>2019–20</w:t>
      </w:r>
      <w:r>
        <w:rPr>
          <w:rFonts w:cs="Arial"/>
        </w:rPr>
        <w:t xml:space="preserve">, there were 6,543 presentations to EDs under </w:t>
      </w:r>
      <w:r w:rsidR="0020515A">
        <w:rPr>
          <w:rFonts w:cs="Arial"/>
        </w:rPr>
        <w:t xml:space="preserve">s. </w:t>
      </w:r>
      <w:r>
        <w:rPr>
          <w:rFonts w:cs="Arial"/>
        </w:rPr>
        <w:t>351, spread fairly evenly over the year. The vast majority (85.1 per cent or 5,566 people) related to adults aged 18</w:t>
      </w:r>
      <w:r w:rsidR="00D2463F">
        <w:rPr>
          <w:rFonts w:cs="Arial"/>
        </w:rPr>
        <w:t xml:space="preserve"> to </w:t>
      </w:r>
      <w:r>
        <w:rPr>
          <w:rFonts w:cs="Arial"/>
        </w:rPr>
        <w:t>65 years. This was followed by people aged under 18, who accounted for 763 or 11.7</w:t>
      </w:r>
      <w:r w:rsidR="00D2463F">
        <w:rPr>
          <w:rFonts w:cs="Arial"/>
        </w:rPr>
        <w:t xml:space="preserve"> </w:t>
      </w:r>
      <w:r>
        <w:rPr>
          <w:rFonts w:cs="Arial"/>
        </w:rPr>
        <w:t>per cent of these presentations.</w:t>
      </w:r>
    </w:p>
    <w:p w14:paraId="5F69477C" w14:textId="44D95FDA" w:rsidR="008E0251" w:rsidRDefault="008E0251" w:rsidP="008E0251">
      <w:pPr>
        <w:pStyle w:val="DHHSbody"/>
        <w:rPr>
          <w:rFonts w:cs="Arial"/>
        </w:rPr>
      </w:pPr>
      <w:r w:rsidRPr="003650A0">
        <w:rPr>
          <w:rFonts w:cs="Arial"/>
        </w:rPr>
        <w:t>There were 100,945 mental</w:t>
      </w:r>
      <w:r w:rsidR="00D2463F">
        <w:rPr>
          <w:rFonts w:cs="Arial"/>
        </w:rPr>
        <w:t xml:space="preserve"> </w:t>
      </w:r>
      <w:r w:rsidRPr="003650A0">
        <w:rPr>
          <w:rFonts w:cs="Arial"/>
        </w:rPr>
        <w:t>health</w:t>
      </w:r>
      <w:r w:rsidR="00D2463F">
        <w:rPr>
          <w:rFonts w:cs="Arial"/>
        </w:rPr>
        <w:t>–</w:t>
      </w:r>
      <w:r w:rsidRPr="003650A0">
        <w:rPr>
          <w:rFonts w:cs="Arial"/>
        </w:rPr>
        <w:t xml:space="preserve">related ED presentations in </w:t>
      </w:r>
      <w:r w:rsidR="00894D3B">
        <w:rPr>
          <w:rFonts w:cs="Arial"/>
        </w:rPr>
        <w:t>2019–20</w:t>
      </w:r>
      <w:r w:rsidRPr="003650A0">
        <w:rPr>
          <w:rFonts w:cs="Arial"/>
        </w:rPr>
        <w:t xml:space="preserve">, a </w:t>
      </w:r>
      <w:r w:rsidR="00D2463F" w:rsidRPr="003650A0">
        <w:rPr>
          <w:rFonts w:cs="Arial"/>
        </w:rPr>
        <w:t xml:space="preserve">3.3 per cent </w:t>
      </w:r>
      <w:r w:rsidRPr="003650A0">
        <w:rPr>
          <w:rFonts w:cs="Arial"/>
        </w:rPr>
        <w:t xml:space="preserve">increase from the </w:t>
      </w:r>
      <w:r w:rsidR="00D2463F">
        <w:rPr>
          <w:rFonts w:cs="Arial"/>
        </w:rPr>
        <w:t>previous</w:t>
      </w:r>
      <w:r w:rsidR="00D2463F" w:rsidRPr="003650A0">
        <w:rPr>
          <w:rFonts w:cs="Arial"/>
        </w:rPr>
        <w:t xml:space="preserve"> </w:t>
      </w:r>
      <w:r w:rsidRPr="003650A0">
        <w:rPr>
          <w:rFonts w:cs="Arial"/>
        </w:rPr>
        <w:t>year, spread across all age groups</w:t>
      </w:r>
      <w:r>
        <w:rPr>
          <w:rFonts w:cs="Arial"/>
        </w:rPr>
        <w:t xml:space="preserve"> (</w:t>
      </w:r>
      <w:r w:rsidRPr="006E3E09">
        <w:rPr>
          <w:rFonts w:cs="Arial"/>
        </w:rPr>
        <w:t xml:space="preserve">Table </w:t>
      </w:r>
      <w:r w:rsidR="006E3E09">
        <w:rPr>
          <w:rFonts w:cs="Arial"/>
        </w:rPr>
        <w:t>11</w:t>
      </w:r>
      <w:r>
        <w:rPr>
          <w:rFonts w:cs="Arial"/>
        </w:rPr>
        <w:t>)</w:t>
      </w:r>
      <w:r w:rsidRPr="003650A0">
        <w:rPr>
          <w:rFonts w:cs="Arial"/>
        </w:rPr>
        <w:t xml:space="preserve">. Across the age spectrum, there were 26,654 </w:t>
      </w:r>
      <w:r w:rsidR="0013068E">
        <w:rPr>
          <w:rFonts w:cs="Arial"/>
        </w:rPr>
        <w:t xml:space="preserve">separations </w:t>
      </w:r>
      <w:r w:rsidRPr="003650A0">
        <w:rPr>
          <w:rFonts w:cs="Arial"/>
        </w:rPr>
        <w:t xml:space="preserve">in mental health acute inpatient units in </w:t>
      </w:r>
      <w:r w:rsidR="00894D3B">
        <w:rPr>
          <w:rFonts w:cs="Arial"/>
        </w:rPr>
        <w:t>2019–20</w:t>
      </w:r>
      <w:r w:rsidRPr="003650A0">
        <w:rPr>
          <w:rFonts w:cs="Arial"/>
        </w:rPr>
        <w:t xml:space="preserve">, </w:t>
      </w:r>
      <w:r w:rsidR="00D2463F">
        <w:rPr>
          <w:rFonts w:cs="Arial"/>
        </w:rPr>
        <w:t xml:space="preserve">which was </w:t>
      </w:r>
      <w:r w:rsidRPr="003650A0">
        <w:rPr>
          <w:rFonts w:cs="Arial"/>
        </w:rPr>
        <w:t xml:space="preserve">very similar to </w:t>
      </w:r>
      <w:r w:rsidR="00D2463F">
        <w:rPr>
          <w:rFonts w:cs="Arial"/>
        </w:rPr>
        <w:t>2018–19</w:t>
      </w:r>
      <w:r w:rsidRPr="003650A0">
        <w:rPr>
          <w:rFonts w:cs="Arial"/>
        </w:rPr>
        <w:t>. There has been a slight upward trend in</w:t>
      </w:r>
      <w:r>
        <w:rPr>
          <w:rFonts w:cs="Arial"/>
        </w:rPr>
        <w:t xml:space="preserve"> the proportion of</w:t>
      </w:r>
      <w:r w:rsidRPr="003650A0">
        <w:rPr>
          <w:rFonts w:cs="Arial"/>
        </w:rPr>
        <w:t xml:space="preserve"> compulsory admissions this year, following a small but steady decrease each year since 2015</w:t>
      </w:r>
      <w:r w:rsidR="0020515A">
        <w:rPr>
          <w:rFonts w:cs="Arial"/>
        </w:rPr>
        <w:t>–</w:t>
      </w:r>
      <w:r w:rsidRPr="003650A0">
        <w:rPr>
          <w:rFonts w:cs="Arial"/>
        </w:rPr>
        <w:t xml:space="preserve">16. In </w:t>
      </w:r>
      <w:r w:rsidR="00894D3B">
        <w:rPr>
          <w:rFonts w:cs="Arial"/>
        </w:rPr>
        <w:t>2019–20</w:t>
      </w:r>
      <w:r w:rsidRPr="003650A0">
        <w:rPr>
          <w:rFonts w:cs="Arial"/>
        </w:rPr>
        <w:t>, 51.0 per cent of admissions were compulsory.</w:t>
      </w:r>
      <w:r w:rsidR="005740EC">
        <w:rPr>
          <w:rFonts w:cs="Arial"/>
        </w:rPr>
        <w:t xml:space="preserve"> </w:t>
      </w:r>
      <w:r w:rsidR="005740EC" w:rsidRPr="005740EC">
        <w:rPr>
          <w:rFonts w:cs="Arial"/>
        </w:rPr>
        <w:t>The increase may relate to the impact of the coronavirus (COVID-19) and the lower number of admissions overall.</w:t>
      </w:r>
    </w:p>
    <w:p w14:paraId="6293D277" w14:textId="48BFF0B0" w:rsidR="00453AE5" w:rsidRDefault="006E3E09" w:rsidP="003B6CB1">
      <w:pPr>
        <w:pStyle w:val="DHHStablecaption"/>
      </w:pPr>
      <w:r>
        <w:t>Table 9</w:t>
      </w:r>
      <w:r w:rsidR="00453AE5">
        <w:t>: Source of mental health referrals, 2019–20</w:t>
      </w:r>
    </w:p>
    <w:tbl>
      <w:tblPr>
        <w:tblStyle w:val="MentalhealthARtablestyle"/>
        <w:tblW w:w="0" w:type="auto"/>
        <w:tblLook w:val="04A0" w:firstRow="1" w:lastRow="0" w:firstColumn="1" w:lastColumn="0" w:noHBand="0" w:noVBand="1"/>
      </w:tblPr>
      <w:tblGrid>
        <w:gridCol w:w="3055"/>
        <w:gridCol w:w="1800"/>
      </w:tblGrid>
      <w:tr w:rsidR="003B6CB1" w14:paraId="1552C835" w14:textId="77777777" w:rsidTr="003B6CB1">
        <w:trPr>
          <w:cnfStyle w:val="100000000000" w:firstRow="1" w:lastRow="0" w:firstColumn="0" w:lastColumn="0" w:oddVBand="0" w:evenVBand="0" w:oddHBand="0" w:evenHBand="0" w:firstRowFirstColumn="0" w:firstRowLastColumn="0" w:lastRowFirstColumn="0" w:lastRowLastColumn="0"/>
        </w:trPr>
        <w:tc>
          <w:tcPr>
            <w:tcW w:w="3055" w:type="dxa"/>
          </w:tcPr>
          <w:p w14:paraId="6B000CD3" w14:textId="032D52F0" w:rsidR="003B6CB1" w:rsidRPr="003B6CB1" w:rsidRDefault="003B6CB1" w:rsidP="003B6CB1">
            <w:pPr>
              <w:pStyle w:val="DHHSbody"/>
            </w:pPr>
            <w:r w:rsidRPr="003B6CB1">
              <w:rPr>
                <w:rFonts w:eastAsia="Verdana"/>
              </w:rPr>
              <w:t>Referral source</w:t>
            </w:r>
          </w:p>
        </w:tc>
        <w:tc>
          <w:tcPr>
            <w:tcW w:w="1800" w:type="dxa"/>
          </w:tcPr>
          <w:p w14:paraId="7BF8DD68" w14:textId="7CD3703D" w:rsidR="003B6CB1" w:rsidRPr="003B6CB1" w:rsidRDefault="003B6CB1" w:rsidP="003B6CB1">
            <w:pPr>
              <w:pStyle w:val="DHHSbody"/>
            </w:pPr>
            <w:r w:rsidRPr="003B6CB1">
              <w:t>Percentage</w:t>
            </w:r>
          </w:p>
        </w:tc>
      </w:tr>
      <w:tr w:rsidR="003B6CB1" w14:paraId="1C5BA2C6" w14:textId="77777777" w:rsidTr="003B6CB1">
        <w:tc>
          <w:tcPr>
            <w:tcW w:w="3055" w:type="dxa"/>
          </w:tcPr>
          <w:p w14:paraId="23D7629C" w14:textId="5685D710" w:rsidR="003B6CB1" w:rsidRDefault="003B6CB1" w:rsidP="003B6CB1">
            <w:pPr>
              <w:pStyle w:val="DHHSbody"/>
            </w:pPr>
            <w:r>
              <w:rPr>
                <w:rFonts w:eastAsia="Verdana"/>
              </w:rPr>
              <w:t>Acute health</w:t>
            </w:r>
          </w:p>
        </w:tc>
        <w:tc>
          <w:tcPr>
            <w:tcW w:w="1800" w:type="dxa"/>
          </w:tcPr>
          <w:p w14:paraId="18EECDD8" w14:textId="679857CD" w:rsidR="003B6CB1" w:rsidRDefault="003B6CB1" w:rsidP="003B6CB1">
            <w:pPr>
              <w:pStyle w:val="DHHSbody"/>
            </w:pPr>
            <w:r>
              <w:t>22.0%</w:t>
            </w:r>
          </w:p>
        </w:tc>
      </w:tr>
      <w:tr w:rsidR="003B6CB1" w14:paraId="2F149565" w14:textId="77777777" w:rsidTr="003B6CB1">
        <w:tc>
          <w:tcPr>
            <w:tcW w:w="3055" w:type="dxa"/>
          </w:tcPr>
          <w:p w14:paraId="7CD9DA0E" w14:textId="5A6D4F41" w:rsidR="003B6CB1" w:rsidRDefault="003B6CB1" w:rsidP="003B6CB1">
            <w:pPr>
              <w:pStyle w:val="DHHSbody"/>
            </w:pPr>
            <w:r>
              <w:rPr>
                <w:rFonts w:eastAsia="Verdana"/>
              </w:rPr>
              <w:t>Emergency department</w:t>
            </w:r>
          </w:p>
        </w:tc>
        <w:tc>
          <w:tcPr>
            <w:tcW w:w="1800" w:type="dxa"/>
          </w:tcPr>
          <w:p w14:paraId="4C8F4345" w14:textId="2E864D27" w:rsidR="003B6CB1" w:rsidRDefault="003B6CB1" w:rsidP="003B6CB1">
            <w:pPr>
              <w:pStyle w:val="DHHSbody"/>
            </w:pPr>
            <w:r>
              <w:t>26.1%</w:t>
            </w:r>
          </w:p>
        </w:tc>
      </w:tr>
      <w:tr w:rsidR="003B6CB1" w14:paraId="5EC5A2CF" w14:textId="77777777" w:rsidTr="003B6CB1">
        <w:tc>
          <w:tcPr>
            <w:tcW w:w="3055" w:type="dxa"/>
          </w:tcPr>
          <w:p w14:paraId="02804E77" w14:textId="714A9127" w:rsidR="003B6CB1" w:rsidRDefault="003B6CB1" w:rsidP="003B6CB1">
            <w:pPr>
              <w:pStyle w:val="DHHSbody"/>
            </w:pPr>
            <w:r>
              <w:rPr>
                <w:rFonts w:eastAsia="Verdana"/>
              </w:rPr>
              <w:t>General practitioner</w:t>
            </w:r>
          </w:p>
        </w:tc>
        <w:tc>
          <w:tcPr>
            <w:tcW w:w="1800" w:type="dxa"/>
          </w:tcPr>
          <w:p w14:paraId="0F4ED81E" w14:textId="54AF8A04" w:rsidR="003B6CB1" w:rsidRDefault="003B6CB1" w:rsidP="003B6CB1">
            <w:pPr>
              <w:pStyle w:val="DHHSbody"/>
            </w:pPr>
            <w:r>
              <w:t>9.9%</w:t>
            </w:r>
          </w:p>
        </w:tc>
      </w:tr>
      <w:tr w:rsidR="003B6CB1" w14:paraId="7B99E76D" w14:textId="77777777" w:rsidTr="003B6CB1">
        <w:tc>
          <w:tcPr>
            <w:tcW w:w="3055" w:type="dxa"/>
          </w:tcPr>
          <w:p w14:paraId="5F03BA9C" w14:textId="6D4E973D" w:rsidR="003B6CB1" w:rsidRDefault="003B6CB1" w:rsidP="003B6CB1">
            <w:pPr>
              <w:pStyle w:val="DHHSbody"/>
            </w:pPr>
            <w:r>
              <w:rPr>
                <w:rFonts w:eastAsia="Verdana"/>
              </w:rPr>
              <w:t>Family</w:t>
            </w:r>
          </w:p>
        </w:tc>
        <w:tc>
          <w:tcPr>
            <w:tcW w:w="1800" w:type="dxa"/>
          </w:tcPr>
          <w:p w14:paraId="2D1AE397" w14:textId="7B0CEC8D" w:rsidR="003B6CB1" w:rsidRDefault="003B6CB1" w:rsidP="003B6CB1">
            <w:pPr>
              <w:pStyle w:val="DHHSbody"/>
            </w:pPr>
            <w:r>
              <w:t>6.7%</w:t>
            </w:r>
          </w:p>
        </w:tc>
      </w:tr>
      <w:tr w:rsidR="003B6CB1" w14:paraId="4EE3F82B" w14:textId="77777777" w:rsidTr="003B6CB1">
        <w:tc>
          <w:tcPr>
            <w:tcW w:w="3055" w:type="dxa"/>
          </w:tcPr>
          <w:p w14:paraId="5A503D0D" w14:textId="39DBE4EB" w:rsidR="003B6CB1" w:rsidRDefault="003B6CB1" w:rsidP="003B6CB1">
            <w:pPr>
              <w:pStyle w:val="DHHSbody"/>
            </w:pPr>
            <w:r>
              <w:rPr>
                <w:rFonts w:eastAsia="Verdana"/>
              </w:rPr>
              <w:t>Consumer/self</w:t>
            </w:r>
          </w:p>
        </w:tc>
        <w:tc>
          <w:tcPr>
            <w:tcW w:w="1800" w:type="dxa"/>
          </w:tcPr>
          <w:p w14:paraId="534310AF" w14:textId="43E9E369" w:rsidR="003B6CB1" w:rsidRDefault="003B6CB1" w:rsidP="003B6CB1">
            <w:pPr>
              <w:pStyle w:val="DHHSbody"/>
            </w:pPr>
            <w:r>
              <w:t>4.7%</w:t>
            </w:r>
          </w:p>
        </w:tc>
      </w:tr>
      <w:tr w:rsidR="003B6CB1" w14:paraId="643C44D6" w14:textId="77777777" w:rsidTr="003B6CB1">
        <w:tc>
          <w:tcPr>
            <w:tcW w:w="3055" w:type="dxa"/>
          </w:tcPr>
          <w:p w14:paraId="1AB4675C" w14:textId="7EC61D64" w:rsidR="003B6CB1" w:rsidRDefault="003B6CB1" w:rsidP="003B6CB1">
            <w:pPr>
              <w:pStyle w:val="DHHSbody"/>
            </w:pPr>
            <w:r>
              <w:rPr>
                <w:rFonts w:eastAsia="Verdana"/>
              </w:rPr>
              <w:t>Community health services</w:t>
            </w:r>
          </w:p>
        </w:tc>
        <w:tc>
          <w:tcPr>
            <w:tcW w:w="1800" w:type="dxa"/>
          </w:tcPr>
          <w:p w14:paraId="15EDF0D1" w14:textId="116274E6" w:rsidR="003B6CB1" w:rsidRDefault="003B6CB1" w:rsidP="003B6CB1">
            <w:pPr>
              <w:pStyle w:val="DHHSbody"/>
            </w:pPr>
            <w:r>
              <w:t>4.1%</w:t>
            </w:r>
          </w:p>
        </w:tc>
      </w:tr>
      <w:tr w:rsidR="003B6CB1" w14:paraId="54604875" w14:textId="77777777" w:rsidTr="003B6CB1">
        <w:tc>
          <w:tcPr>
            <w:tcW w:w="3055" w:type="dxa"/>
          </w:tcPr>
          <w:p w14:paraId="7729A772" w14:textId="092B60DE" w:rsidR="003B6CB1" w:rsidRDefault="003B6CB1" w:rsidP="003B6CB1">
            <w:pPr>
              <w:pStyle w:val="DHHSbody"/>
            </w:pPr>
            <w:r>
              <w:rPr>
                <w:rFonts w:eastAsia="Verdana"/>
              </w:rPr>
              <w:t>Police</w:t>
            </w:r>
          </w:p>
        </w:tc>
        <w:tc>
          <w:tcPr>
            <w:tcW w:w="1800" w:type="dxa"/>
          </w:tcPr>
          <w:p w14:paraId="1409BB39" w14:textId="602FD8CC" w:rsidR="003B6CB1" w:rsidRDefault="003B6CB1" w:rsidP="003B6CB1">
            <w:pPr>
              <w:pStyle w:val="DHHSbody"/>
            </w:pPr>
            <w:r>
              <w:t>3.7%</w:t>
            </w:r>
          </w:p>
        </w:tc>
      </w:tr>
      <w:tr w:rsidR="003B6CB1" w14:paraId="4199DF53" w14:textId="77777777" w:rsidTr="003B6CB1">
        <w:tc>
          <w:tcPr>
            <w:tcW w:w="3055" w:type="dxa"/>
          </w:tcPr>
          <w:p w14:paraId="0CC886AD" w14:textId="269CF423" w:rsidR="003B6CB1" w:rsidRDefault="003B6CB1" w:rsidP="003B6CB1">
            <w:pPr>
              <w:pStyle w:val="DHHSbody"/>
            </w:pPr>
            <w:r>
              <w:rPr>
                <w:rFonts w:eastAsia="Verdana"/>
              </w:rPr>
              <w:t>Others and unknown</w:t>
            </w:r>
          </w:p>
        </w:tc>
        <w:tc>
          <w:tcPr>
            <w:tcW w:w="1800" w:type="dxa"/>
          </w:tcPr>
          <w:p w14:paraId="03E349FB" w14:textId="6E4E9703" w:rsidR="003B6CB1" w:rsidRDefault="003B6CB1" w:rsidP="003B6CB1">
            <w:pPr>
              <w:pStyle w:val="DHHSbody"/>
            </w:pPr>
            <w:r>
              <w:t>22.8%</w:t>
            </w:r>
          </w:p>
        </w:tc>
      </w:tr>
    </w:tbl>
    <w:p w14:paraId="1D3BE577" w14:textId="021697A7" w:rsidR="008E0251" w:rsidRDefault="006E3E09" w:rsidP="003B6CB1">
      <w:pPr>
        <w:pStyle w:val="DHHStablecaption"/>
      </w:pPr>
      <w:r>
        <w:t>Table 10</w:t>
      </w:r>
      <w:r w:rsidR="008E0251">
        <w:t>: Source of referrals (newly referred consumers only), 2015</w:t>
      </w:r>
      <w:r w:rsidR="004476F8">
        <w:t>–</w:t>
      </w:r>
      <w:r w:rsidR="008E0251">
        <w:t xml:space="preserve">16 to </w:t>
      </w:r>
      <w:r w:rsidR="00894D3B">
        <w:t>2019–20</w:t>
      </w:r>
    </w:p>
    <w:tbl>
      <w:tblPr>
        <w:tblStyle w:val="MentalhealthARtablestyle"/>
        <w:tblW w:w="0" w:type="auto"/>
        <w:tblLook w:val="04A0" w:firstRow="1" w:lastRow="0" w:firstColumn="1" w:lastColumn="0" w:noHBand="0" w:noVBand="1"/>
      </w:tblPr>
      <w:tblGrid>
        <w:gridCol w:w="1548"/>
        <w:gridCol w:w="1548"/>
        <w:gridCol w:w="1548"/>
        <w:gridCol w:w="1548"/>
        <w:gridCol w:w="1548"/>
        <w:gridCol w:w="1548"/>
      </w:tblGrid>
      <w:tr w:rsidR="0003357F" w14:paraId="5C54EF84" w14:textId="77777777" w:rsidTr="00B96DA0">
        <w:trPr>
          <w:cnfStyle w:val="100000000000" w:firstRow="1" w:lastRow="0" w:firstColumn="0" w:lastColumn="0" w:oddVBand="0" w:evenVBand="0" w:oddHBand="0" w:evenHBand="0" w:firstRowFirstColumn="0" w:firstRowLastColumn="0" w:lastRowFirstColumn="0" w:lastRowLastColumn="0"/>
          <w:tblHeader/>
        </w:trPr>
        <w:tc>
          <w:tcPr>
            <w:tcW w:w="1548" w:type="dxa"/>
          </w:tcPr>
          <w:p w14:paraId="1B98B869" w14:textId="5D14DACA" w:rsidR="0003357F" w:rsidRPr="0003357F" w:rsidRDefault="005E7578" w:rsidP="0003357F">
            <w:pPr>
              <w:pStyle w:val="DHHStablecolhead"/>
              <w:rPr>
                <w:b/>
                <w:bCs/>
              </w:rPr>
            </w:pPr>
            <w:r>
              <w:rPr>
                <w:b/>
                <w:bCs/>
              </w:rPr>
              <w:t>Setting</w:t>
            </w:r>
          </w:p>
        </w:tc>
        <w:tc>
          <w:tcPr>
            <w:tcW w:w="1548" w:type="dxa"/>
            <w:vAlign w:val="top"/>
          </w:tcPr>
          <w:p w14:paraId="4CE74BF7" w14:textId="40D5DAB4" w:rsidR="0003357F" w:rsidRPr="0003357F" w:rsidRDefault="0003357F" w:rsidP="0003357F">
            <w:pPr>
              <w:pStyle w:val="DHHStablecolhead"/>
              <w:rPr>
                <w:b/>
                <w:bCs/>
              </w:rPr>
            </w:pPr>
            <w:r w:rsidRPr="0003357F">
              <w:rPr>
                <w:b/>
                <w:bCs/>
              </w:rPr>
              <w:t>2015–16</w:t>
            </w:r>
          </w:p>
        </w:tc>
        <w:tc>
          <w:tcPr>
            <w:tcW w:w="1548" w:type="dxa"/>
            <w:vAlign w:val="top"/>
          </w:tcPr>
          <w:p w14:paraId="605A28EE" w14:textId="6733FCE9" w:rsidR="0003357F" w:rsidRPr="0003357F" w:rsidRDefault="0003357F" w:rsidP="0003357F">
            <w:pPr>
              <w:pStyle w:val="DHHStablecolhead"/>
              <w:rPr>
                <w:b/>
                <w:bCs/>
              </w:rPr>
            </w:pPr>
            <w:r w:rsidRPr="0003357F">
              <w:rPr>
                <w:b/>
                <w:bCs/>
              </w:rPr>
              <w:t>2016–17</w:t>
            </w:r>
          </w:p>
        </w:tc>
        <w:tc>
          <w:tcPr>
            <w:tcW w:w="1548" w:type="dxa"/>
            <w:vAlign w:val="top"/>
          </w:tcPr>
          <w:p w14:paraId="7DE1295E" w14:textId="507A6876" w:rsidR="0003357F" w:rsidRPr="0003357F" w:rsidRDefault="0003357F" w:rsidP="0003357F">
            <w:pPr>
              <w:pStyle w:val="DHHStablecolhead"/>
              <w:rPr>
                <w:b/>
                <w:bCs/>
              </w:rPr>
            </w:pPr>
            <w:r w:rsidRPr="0003357F">
              <w:rPr>
                <w:b/>
                <w:bCs/>
              </w:rPr>
              <w:t>2017–18</w:t>
            </w:r>
          </w:p>
        </w:tc>
        <w:tc>
          <w:tcPr>
            <w:tcW w:w="1548" w:type="dxa"/>
            <w:vAlign w:val="top"/>
          </w:tcPr>
          <w:p w14:paraId="41FD0577" w14:textId="03064D57" w:rsidR="0003357F" w:rsidRPr="0003357F" w:rsidRDefault="0003357F" w:rsidP="0003357F">
            <w:pPr>
              <w:pStyle w:val="DHHStablecolhead"/>
              <w:rPr>
                <w:b/>
                <w:bCs/>
              </w:rPr>
            </w:pPr>
            <w:r w:rsidRPr="0003357F">
              <w:rPr>
                <w:b/>
                <w:bCs/>
              </w:rPr>
              <w:t>2018–19</w:t>
            </w:r>
          </w:p>
        </w:tc>
        <w:tc>
          <w:tcPr>
            <w:tcW w:w="1548" w:type="dxa"/>
            <w:vAlign w:val="top"/>
          </w:tcPr>
          <w:p w14:paraId="22C78C0F" w14:textId="23D1A73F" w:rsidR="0003357F" w:rsidRPr="0003357F" w:rsidRDefault="0003357F" w:rsidP="0003357F">
            <w:pPr>
              <w:pStyle w:val="DHHStablecolhead"/>
              <w:rPr>
                <w:b/>
                <w:bCs/>
              </w:rPr>
            </w:pPr>
            <w:r w:rsidRPr="0003357F">
              <w:rPr>
                <w:b/>
                <w:bCs/>
              </w:rPr>
              <w:t>2019–20</w:t>
            </w:r>
          </w:p>
        </w:tc>
      </w:tr>
      <w:tr w:rsidR="0003357F" w14:paraId="0FE5FF59" w14:textId="77777777" w:rsidTr="008B42E5">
        <w:tc>
          <w:tcPr>
            <w:tcW w:w="1548" w:type="dxa"/>
            <w:vAlign w:val="top"/>
          </w:tcPr>
          <w:p w14:paraId="41759383" w14:textId="66D7D2CE" w:rsidR="0003357F" w:rsidRDefault="0003357F" w:rsidP="0003357F">
            <w:pPr>
              <w:pStyle w:val="DHHStabletext"/>
              <w:rPr>
                <w:b/>
              </w:rPr>
            </w:pPr>
            <w:r>
              <w:t>Acute health</w:t>
            </w:r>
          </w:p>
        </w:tc>
        <w:tc>
          <w:tcPr>
            <w:tcW w:w="1548" w:type="dxa"/>
            <w:vAlign w:val="top"/>
          </w:tcPr>
          <w:p w14:paraId="56A8EC65" w14:textId="00BF26F2" w:rsidR="0003357F" w:rsidRDefault="0003357F" w:rsidP="0003357F">
            <w:pPr>
              <w:pStyle w:val="DHHStabletext"/>
              <w:rPr>
                <w:b/>
              </w:rPr>
            </w:pPr>
            <w:r>
              <w:t>20.7%</w:t>
            </w:r>
          </w:p>
        </w:tc>
        <w:tc>
          <w:tcPr>
            <w:tcW w:w="1548" w:type="dxa"/>
            <w:vAlign w:val="top"/>
          </w:tcPr>
          <w:p w14:paraId="2981B66F" w14:textId="4045B9ED" w:rsidR="0003357F" w:rsidRDefault="0003357F" w:rsidP="0003357F">
            <w:pPr>
              <w:pStyle w:val="DHHStabletext"/>
              <w:rPr>
                <w:b/>
              </w:rPr>
            </w:pPr>
            <w:r>
              <w:t>22.0%</w:t>
            </w:r>
          </w:p>
        </w:tc>
        <w:tc>
          <w:tcPr>
            <w:tcW w:w="1548" w:type="dxa"/>
            <w:vAlign w:val="top"/>
          </w:tcPr>
          <w:p w14:paraId="70408EB2" w14:textId="4DFA92CA" w:rsidR="0003357F" w:rsidRDefault="0003357F" w:rsidP="0003357F">
            <w:pPr>
              <w:pStyle w:val="DHHStabletext"/>
              <w:rPr>
                <w:b/>
              </w:rPr>
            </w:pPr>
            <w:r>
              <w:t>21.5%</w:t>
            </w:r>
          </w:p>
        </w:tc>
        <w:tc>
          <w:tcPr>
            <w:tcW w:w="1548" w:type="dxa"/>
            <w:vAlign w:val="top"/>
          </w:tcPr>
          <w:p w14:paraId="77AF42B7" w14:textId="20DE1E96" w:rsidR="0003357F" w:rsidRDefault="0003357F" w:rsidP="0003357F">
            <w:pPr>
              <w:pStyle w:val="DHHStabletext"/>
              <w:rPr>
                <w:b/>
              </w:rPr>
            </w:pPr>
            <w:r>
              <w:t>21.6%</w:t>
            </w:r>
          </w:p>
        </w:tc>
        <w:tc>
          <w:tcPr>
            <w:tcW w:w="1548" w:type="dxa"/>
            <w:vAlign w:val="top"/>
          </w:tcPr>
          <w:p w14:paraId="199F50A8" w14:textId="044813BF" w:rsidR="0003357F" w:rsidRDefault="0003357F" w:rsidP="0003357F">
            <w:pPr>
              <w:pStyle w:val="DHHStabletext"/>
              <w:rPr>
                <w:b/>
              </w:rPr>
            </w:pPr>
            <w:r>
              <w:t>22.0%</w:t>
            </w:r>
          </w:p>
        </w:tc>
      </w:tr>
      <w:tr w:rsidR="0003357F" w14:paraId="3E24C4EB" w14:textId="77777777" w:rsidTr="008B42E5">
        <w:tc>
          <w:tcPr>
            <w:tcW w:w="1548" w:type="dxa"/>
            <w:vAlign w:val="top"/>
          </w:tcPr>
          <w:p w14:paraId="0581A34C" w14:textId="5C2A4327" w:rsidR="0003357F" w:rsidRDefault="0003357F" w:rsidP="0003357F">
            <w:pPr>
              <w:pStyle w:val="DHHStabletext"/>
              <w:rPr>
                <w:b/>
              </w:rPr>
            </w:pPr>
            <w:r>
              <w:t>Emergency department</w:t>
            </w:r>
          </w:p>
        </w:tc>
        <w:tc>
          <w:tcPr>
            <w:tcW w:w="1548" w:type="dxa"/>
            <w:vAlign w:val="top"/>
          </w:tcPr>
          <w:p w14:paraId="5962434B" w14:textId="5C5F14EB" w:rsidR="0003357F" w:rsidRDefault="0003357F" w:rsidP="0003357F">
            <w:pPr>
              <w:pStyle w:val="DHHStabletext"/>
              <w:rPr>
                <w:b/>
              </w:rPr>
            </w:pPr>
            <w:r>
              <w:t>21.2%</w:t>
            </w:r>
          </w:p>
        </w:tc>
        <w:tc>
          <w:tcPr>
            <w:tcW w:w="1548" w:type="dxa"/>
            <w:vAlign w:val="top"/>
          </w:tcPr>
          <w:p w14:paraId="29BC864A" w14:textId="46B26ED6" w:rsidR="0003357F" w:rsidRDefault="0003357F" w:rsidP="0003357F">
            <w:pPr>
              <w:pStyle w:val="DHHStabletext"/>
              <w:rPr>
                <w:b/>
              </w:rPr>
            </w:pPr>
            <w:r>
              <w:t>21.9%</w:t>
            </w:r>
          </w:p>
        </w:tc>
        <w:tc>
          <w:tcPr>
            <w:tcW w:w="1548" w:type="dxa"/>
            <w:vAlign w:val="top"/>
          </w:tcPr>
          <w:p w14:paraId="407889E4" w14:textId="4652DE0F" w:rsidR="0003357F" w:rsidRDefault="0003357F" w:rsidP="0003357F">
            <w:pPr>
              <w:pStyle w:val="DHHStabletext"/>
              <w:rPr>
                <w:b/>
              </w:rPr>
            </w:pPr>
            <w:r>
              <w:t>24.2%</w:t>
            </w:r>
          </w:p>
        </w:tc>
        <w:tc>
          <w:tcPr>
            <w:tcW w:w="1548" w:type="dxa"/>
            <w:vAlign w:val="top"/>
          </w:tcPr>
          <w:p w14:paraId="6B4ED4D4" w14:textId="741DC8E0" w:rsidR="0003357F" w:rsidRDefault="0003357F" w:rsidP="0003357F">
            <w:pPr>
              <w:pStyle w:val="DHHStabletext"/>
              <w:rPr>
                <w:b/>
              </w:rPr>
            </w:pPr>
            <w:r>
              <w:t>27.4%</w:t>
            </w:r>
          </w:p>
        </w:tc>
        <w:tc>
          <w:tcPr>
            <w:tcW w:w="1548" w:type="dxa"/>
            <w:vAlign w:val="top"/>
          </w:tcPr>
          <w:p w14:paraId="4A47C386" w14:textId="35B03B00" w:rsidR="0003357F" w:rsidRDefault="0003357F" w:rsidP="0003357F">
            <w:pPr>
              <w:pStyle w:val="DHHStabletext"/>
              <w:rPr>
                <w:b/>
              </w:rPr>
            </w:pPr>
            <w:r>
              <w:t>26.1%</w:t>
            </w:r>
          </w:p>
        </w:tc>
      </w:tr>
      <w:tr w:rsidR="0003357F" w14:paraId="02EB04EF" w14:textId="77777777" w:rsidTr="008B42E5">
        <w:tc>
          <w:tcPr>
            <w:tcW w:w="1548" w:type="dxa"/>
            <w:vAlign w:val="top"/>
          </w:tcPr>
          <w:p w14:paraId="23A35206" w14:textId="5D7B05DC" w:rsidR="0003357F" w:rsidRDefault="0003357F" w:rsidP="0003357F">
            <w:pPr>
              <w:pStyle w:val="DHHStabletext"/>
              <w:rPr>
                <w:b/>
              </w:rPr>
            </w:pPr>
            <w:r>
              <w:t xml:space="preserve">General </w:t>
            </w:r>
            <w:r w:rsidR="00B96DA0">
              <w:t>p</w:t>
            </w:r>
            <w:r>
              <w:t>ractitioner</w:t>
            </w:r>
          </w:p>
        </w:tc>
        <w:tc>
          <w:tcPr>
            <w:tcW w:w="1548" w:type="dxa"/>
            <w:vAlign w:val="top"/>
          </w:tcPr>
          <w:p w14:paraId="4B8E842D" w14:textId="205FA1BE" w:rsidR="0003357F" w:rsidRDefault="0003357F" w:rsidP="0003357F">
            <w:pPr>
              <w:pStyle w:val="DHHStabletext"/>
              <w:rPr>
                <w:b/>
              </w:rPr>
            </w:pPr>
            <w:r>
              <w:t>12.5%</w:t>
            </w:r>
          </w:p>
        </w:tc>
        <w:tc>
          <w:tcPr>
            <w:tcW w:w="1548" w:type="dxa"/>
            <w:vAlign w:val="top"/>
          </w:tcPr>
          <w:p w14:paraId="35717D94" w14:textId="0FCCC321" w:rsidR="0003357F" w:rsidRDefault="0003357F" w:rsidP="0003357F">
            <w:pPr>
              <w:pStyle w:val="DHHStabletext"/>
              <w:rPr>
                <w:b/>
              </w:rPr>
            </w:pPr>
            <w:r>
              <w:t>11.6%</w:t>
            </w:r>
          </w:p>
        </w:tc>
        <w:tc>
          <w:tcPr>
            <w:tcW w:w="1548" w:type="dxa"/>
            <w:vAlign w:val="top"/>
          </w:tcPr>
          <w:p w14:paraId="5DEB5854" w14:textId="3D6678F1" w:rsidR="0003357F" w:rsidRDefault="0003357F" w:rsidP="0003357F">
            <w:pPr>
              <w:pStyle w:val="DHHStabletext"/>
              <w:rPr>
                <w:b/>
              </w:rPr>
            </w:pPr>
            <w:r>
              <w:t>11.5%</w:t>
            </w:r>
          </w:p>
        </w:tc>
        <w:tc>
          <w:tcPr>
            <w:tcW w:w="1548" w:type="dxa"/>
            <w:vAlign w:val="top"/>
          </w:tcPr>
          <w:p w14:paraId="28A865E2" w14:textId="1F3A98FC" w:rsidR="0003357F" w:rsidRDefault="0003357F" w:rsidP="0003357F">
            <w:pPr>
              <w:pStyle w:val="DHHStabletext"/>
              <w:rPr>
                <w:b/>
              </w:rPr>
            </w:pPr>
            <w:r>
              <w:t>10.3%</w:t>
            </w:r>
          </w:p>
        </w:tc>
        <w:tc>
          <w:tcPr>
            <w:tcW w:w="1548" w:type="dxa"/>
            <w:vAlign w:val="top"/>
          </w:tcPr>
          <w:p w14:paraId="5F5960FF" w14:textId="260BB073" w:rsidR="0003357F" w:rsidRDefault="0003357F" w:rsidP="0003357F">
            <w:pPr>
              <w:pStyle w:val="DHHStabletext"/>
              <w:rPr>
                <w:b/>
              </w:rPr>
            </w:pPr>
            <w:r>
              <w:t>9.9%</w:t>
            </w:r>
          </w:p>
        </w:tc>
      </w:tr>
      <w:tr w:rsidR="0003357F" w14:paraId="118D2330" w14:textId="77777777" w:rsidTr="008B42E5">
        <w:tc>
          <w:tcPr>
            <w:tcW w:w="1548" w:type="dxa"/>
            <w:vAlign w:val="top"/>
          </w:tcPr>
          <w:p w14:paraId="0D2906B1" w14:textId="297CE865" w:rsidR="0003357F" w:rsidRDefault="0003357F" w:rsidP="0003357F">
            <w:pPr>
              <w:pStyle w:val="DHHStabletext"/>
              <w:rPr>
                <w:b/>
              </w:rPr>
            </w:pPr>
            <w:r>
              <w:t>Family</w:t>
            </w:r>
          </w:p>
        </w:tc>
        <w:tc>
          <w:tcPr>
            <w:tcW w:w="1548" w:type="dxa"/>
            <w:vAlign w:val="top"/>
          </w:tcPr>
          <w:p w14:paraId="79F25AD0" w14:textId="37EC4282" w:rsidR="0003357F" w:rsidRDefault="0003357F" w:rsidP="0003357F">
            <w:pPr>
              <w:pStyle w:val="DHHStabletext"/>
              <w:rPr>
                <w:b/>
              </w:rPr>
            </w:pPr>
            <w:r>
              <w:t>7.9%</w:t>
            </w:r>
          </w:p>
        </w:tc>
        <w:tc>
          <w:tcPr>
            <w:tcW w:w="1548" w:type="dxa"/>
            <w:vAlign w:val="top"/>
          </w:tcPr>
          <w:p w14:paraId="6192DC55" w14:textId="7DC04A91" w:rsidR="0003357F" w:rsidRDefault="0003357F" w:rsidP="0003357F">
            <w:pPr>
              <w:pStyle w:val="DHHStabletext"/>
              <w:rPr>
                <w:b/>
              </w:rPr>
            </w:pPr>
            <w:r>
              <w:t>7.9%</w:t>
            </w:r>
          </w:p>
        </w:tc>
        <w:tc>
          <w:tcPr>
            <w:tcW w:w="1548" w:type="dxa"/>
            <w:vAlign w:val="top"/>
          </w:tcPr>
          <w:p w14:paraId="5A1B8078" w14:textId="54F9989B" w:rsidR="0003357F" w:rsidRDefault="0003357F" w:rsidP="0003357F">
            <w:pPr>
              <w:pStyle w:val="DHHStabletext"/>
              <w:rPr>
                <w:b/>
              </w:rPr>
            </w:pPr>
            <w:r>
              <w:t>7.2%</w:t>
            </w:r>
          </w:p>
        </w:tc>
        <w:tc>
          <w:tcPr>
            <w:tcW w:w="1548" w:type="dxa"/>
            <w:vAlign w:val="top"/>
          </w:tcPr>
          <w:p w14:paraId="6C1C6265" w14:textId="06605CEF" w:rsidR="0003357F" w:rsidRDefault="0003357F" w:rsidP="0003357F">
            <w:pPr>
              <w:pStyle w:val="DHHStabletext"/>
              <w:rPr>
                <w:b/>
              </w:rPr>
            </w:pPr>
            <w:r>
              <w:t>6.5%</w:t>
            </w:r>
          </w:p>
        </w:tc>
        <w:tc>
          <w:tcPr>
            <w:tcW w:w="1548" w:type="dxa"/>
            <w:vAlign w:val="top"/>
          </w:tcPr>
          <w:p w14:paraId="17F79EA0" w14:textId="39DA0282" w:rsidR="0003357F" w:rsidRDefault="0003357F" w:rsidP="0003357F">
            <w:pPr>
              <w:pStyle w:val="DHHStabletext"/>
              <w:rPr>
                <w:b/>
              </w:rPr>
            </w:pPr>
            <w:r>
              <w:t>6.7%</w:t>
            </w:r>
          </w:p>
        </w:tc>
      </w:tr>
      <w:tr w:rsidR="0003357F" w14:paraId="02BC116D" w14:textId="77777777" w:rsidTr="008B42E5">
        <w:tc>
          <w:tcPr>
            <w:tcW w:w="1548" w:type="dxa"/>
            <w:vAlign w:val="top"/>
          </w:tcPr>
          <w:p w14:paraId="6E8BB1B7" w14:textId="401EEAD5" w:rsidR="0003357F" w:rsidRDefault="0003357F" w:rsidP="0003357F">
            <w:pPr>
              <w:pStyle w:val="DHHStabletext"/>
              <w:rPr>
                <w:b/>
              </w:rPr>
            </w:pPr>
            <w:r>
              <w:t>Client/</w:t>
            </w:r>
            <w:r w:rsidR="00B96DA0">
              <w:t>s</w:t>
            </w:r>
            <w:r>
              <w:t>elf</w:t>
            </w:r>
          </w:p>
        </w:tc>
        <w:tc>
          <w:tcPr>
            <w:tcW w:w="1548" w:type="dxa"/>
            <w:vAlign w:val="top"/>
          </w:tcPr>
          <w:p w14:paraId="002DAC0D" w14:textId="1FA495C4" w:rsidR="0003357F" w:rsidRDefault="0003357F" w:rsidP="0003357F">
            <w:pPr>
              <w:pStyle w:val="DHHStabletext"/>
              <w:rPr>
                <w:b/>
              </w:rPr>
            </w:pPr>
            <w:r>
              <w:t>4.7%</w:t>
            </w:r>
          </w:p>
        </w:tc>
        <w:tc>
          <w:tcPr>
            <w:tcW w:w="1548" w:type="dxa"/>
            <w:vAlign w:val="top"/>
          </w:tcPr>
          <w:p w14:paraId="732E17DB" w14:textId="08123661" w:rsidR="0003357F" w:rsidRDefault="0003357F" w:rsidP="0003357F">
            <w:pPr>
              <w:pStyle w:val="DHHStabletext"/>
              <w:rPr>
                <w:b/>
              </w:rPr>
            </w:pPr>
            <w:r>
              <w:t>4.6%</w:t>
            </w:r>
          </w:p>
        </w:tc>
        <w:tc>
          <w:tcPr>
            <w:tcW w:w="1548" w:type="dxa"/>
            <w:vAlign w:val="top"/>
          </w:tcPr>
          <w:p w14:paraId="4A56220C" w14:textId="3DBCE73A" w:rsidR="0003357F" w:rsidRDefault="0003357F" w:rsidP="0003357F">
            <w:pPr>
              <w:pStyle w:val="DHHStabletext"/>
              <w:rPr>
                <w:b/>
              </w:rPr>
            </w:pPr>
            <w:r>
              <w:t>4.7%</w:t>
            </w:r>
          </w:p>
        </w:tc>
        <w:tc>
          <w:tcPr>
            <w:tcW w:w="1548" w:type="dxa"/>
            <w:vAlign w:val="top"/>
          </w:tcPr>
          <w:p w14:paraId="65650764" w14:textId="12FF7A8F" w:rsidR="0003357F" w:rsidRDefault="0003357F" w:rsidP="0003357F">
            <w:pPr>
              <w:pStyle w:val="DHHStabletext"/>
              <w:rPr>
                <w:b/>
              </w:rPr>
            </w:pPr>
            <w:r>
              <w:t>4.2%</w:t>
            </w:r>
          </w:p>
        </w:tc>
        <w:tc>
          <w:tcPr>
            <w:tcW w:w="1548" w:type="dxa"/>
            <w:vAlign w:val="top"/>
          </w:tcPr>
          <w:p w14:paraId="6FD969C8" w14:textId="6E0D754C" w:rsidR="0003357F" w:rsidRDefault="0003357F" w:rsidP="0003357F">
            <w:pPr>
              <w:pStyle w:val="DHHStabletext"/>
              <w:rPr>
                <w:b/>
              </w:rPr>
            </w:pPr>
            <w:r>
              <w:t>4.7%</w:t>
            </w:r>
          </w:p>
        </w:tc>
      </w:tr>
      <w:tr w:rsidR="0003357F" w14:paraId="40EA5123" w14:textId="77777777" w:rsidTr="008B42E5">
        <w:tc>
          <w:tcPr>
            <w:tcW w:w="1548" w:type="dxa"/>
            <w:vAlign w:val="top"/>
          </w:tcPr>
          <w:p w14:paraId="03F52824" w14:textId="129E278D" w:rsidR="0003357F" w:rsidRDefault="0003357F" w:rsidP="0003357F">
            <w:pPr>
              <w:pStyle w:val="DHHStabletext"/>
              <w:rPr>
                <w:b/>
              </w:rPr>
            </w:pPr>
            <w:r>
              <w:t xml:space="preserve">Community </w:t>
            </w:r>
            <w:r w:rsidR="00B96DA0">
              <w:t>h</w:t>
            </w:r>
            <w:r>
              <w:t xml:space="preserve">ealth </w:t>
            </w:r>
            <w:r w:rsidR="00B96DA0">
              <w:t>s</w:t>
            </w:r>
            <w:r>
              <w:t>ervices</w:t>
            </w:r>
          </w:p>
        </w:tc>
        <w:tc>
          <w:tcPr>
            <w:tcW w:w="1548" w:type="dxa"/>
            <w:vAlign w:val="top"/>
          </w:tcPr>
          <w:p w14:paraId="6F11A0A1" w14:textId="30CEFDCC" w:rsidR="0003357F" w:rsidRDefault="0003357F" w:rsidP="0003357F">
            <w:pPr>
              <w:pStyle w:val="DHHStabletext"/>
              <w:rPr>
                <w:b/>
              </w:rPr>
            </w:pPr>
            <w:r>
              <w:t>4.8%</w:t>
            </w:r>
          </w:p>
        </w:tc>
        <w:tc>
          <w:tcPr>
            <w:tcW w:w="1548" w:type="dxa"/>
            <w:vAlign w:val="top"/>
          </w:tcPr>
          <w:p w14:paraId="124C3020" w14:textId="0FEB59AC" w:rsidR="0003357F" w:rsidRDefault="0003357F" w:rsidP="0003357F">
            <w:pPr>
              <w:pStyle w:val="DHHStabletext"/>
              <w:rPr>
                <w:b/>
              </w:rPr>
            </w:pPr>
            <w:r>
              <w:t>4.7%</w:t>
            </w:r>
          </w:p>
        </w:tc>
        <w:tc>
          <w:tcPr>
            <w:tcW w:w="1548" w:type="dxa"/>
            <w:vAlign w:val="top"/>
          </w:tcPr>
          <w:p w14:paraId="0FDEF8B2" w14:textId="52DBD7CD" w:rsidR="0003357F" w:rsidRDefault="0003357F" w:rsidP="0003357F">
            <w:pPr>
              <w:pStyle w:val="DHHStabletext"/>
              <w:rPr>
                <w:b/>
              </w:rPr>
            </w:pPr>
            <w:r>
              <w:t>4.9%</w:t>
            </w:r>
          </w:p>
        </w:tc>
        <w:tc>
          <w:tcPr>
            <w:tcW w:w="1548" w:type="dxa"/>
            <w:vAlign w:val="top"/>
          </w:tcPr>
          <w:p w14:paraId="77F7798F" w14:textId="56F2B5C7" w:rsidR="0003357F" w:rsidRDefault="0003357F" w:rsidP="0003357F">
            <w:pPr>
              <w:pStyle w:val="DHHStabletext"/>
              <w:rPr>
                <w:b/>
              </w:rPr>
            </w:pPr>
            <w:r>
              <w:t>4.0%</w:t>
            </w:r>
          </w:p>
        </w:tc>
        <w:tc>
          <w:tcPr>
            <w:tcW w:w="1548" w:type="dxa"/>
            <w:vAlign w:val="top"/>
          </w:tcPr>
          <w:p w14:paraId="6BFF6C4A" w14:textId="3834791F" w:rsidR="0003357F" w:rsidRDefault="0003357F" w:rsidP="0003357F">
            <w:pPr>
              <w:pStyle w:val="DHHStabletext"/>
              <w:rPr>
                <w:b/>
              </w:rPr>
            </w:pPr>
            <w:r>
              <w:t>4.1%</w:t>
            </w:r>
          </w:p>
        </w:tc>
      </w:tr>
      <w:tr w:rsidR="0003357F" w14:paraId="6949F85D" w14:textId="77777777" w:rsidTr="008B42E5">
        <w:tc>
          <w:tcPr>
            <w:tcW w:w="1548" w:type="dxa"/>
            <w:vAlign w:val="top"/>
          </w:tcPr>
          <w:p w14:paraId="78378819" w14:textId="50176E55" w:rsidR="0003357F" w:rsidRDefault="0003357F" w:rsidP="0003357F">
            <w:pPr>
              <w:pStyle w:val="DHHStabletext"/>
              <w:rPr>
                <w:b/>
              </w:rPr>
            </w:pPr>
            <w:r>
              <w:t>Police</w:t>
            </w:r>
          </w:p>
        </w:tc>
        <w:tc>
          <w:tcPr>
            <w:tcW w:w="1548" w:type="dxa"/>
            <w:vAlign w:val="top"/>
          </w:tcPr>
          <w:p w14:paraId="056D25DD" w14:textId="2DF08514" w:rsidR="0003357F" w:rsidRDefault="0003357F" w:rsidP="0003357F">
            <w:pPr>
              <w:pStyle w:val="DHHStabletext"/>
              <w:rPr>
                <w:b/>
              </w:rPr>
            </w:pPr>
            <w:r>
              <w:t>4.0%</w:t>
            </w:r>
          </w:p>
        </w:tc>
        <w:tc>
          <w:tcPr>
            <w:tcW w:w="1548" w:type="dxa"/>
            <w:vAlign w:val="top"/>
          </w:tcPr>
          <w:p w14:paraId="47524FA6" w14:textId="7F2E0DB4" w:rsidR="0003357F" w:rsidRDefault="0003357F" w:rsidP="0003357F">
            <w:pPr>
              <w:pStyle w:val="DHHStabletext"/>
              <w:rPr>
                <w:b/>
              </w:rPr>
            </w:pPr>
            <w:r>
              <w:t>3.6%</w:t>
            </w:r>
          </w:p>
        </w:tc>
        <w:tc>
          <w:tcPr>
            <w:tcW w:w="1548" w:type="dxa"/>
            <w:vAlign w:val="top"/>
          </w:tcPr>
          <w:p w14:paraId="3BC66E45" w14:textId="24D0B07F" w:rsidR="0003357F" w:rsidRDefault="0003357F" w:rsidP="0003357F">
            <w:pPr>
              <w:pStyle w:val="DHHStabletext"/>
              <w:rPr>
                <w:b/>
              </w:rPr>
            </w:pPr>
            <w:r>
              <w:t>3.7%</w:t>
            </w:r>
          </w:p>
        </w:tc>
        <w:tc>
          <w:tcPr>
            <w:tcW w:w="1548" w:type="dxa"/>
            <w:vAlign w:val="top"/>
          </w:tcPr>
          <w:p w14:paraId="4681142C" w14:textId="750FC695" w:rsidR="0003357F" w:rsidRDefault="0003357F" w:rsidP="0003357F">
            <w:pPr>
              <w:pStyle w:val="DHHStabletext"/>
              <w:rPr>
                <w:b/>
              </w:rPr>
            </w:pPr>
            <w:r>
              <w:t>3.7%</w:t>
            </w:r>
          </w:p>
        </w:tc>
        <w:tc>
          <w:tcPr>
            <w:tcW w:w="1548" w:type="dxa"/>
            <w:vAlign w:val="top"/>
          </w:tcPr>
          <w:p w14:paraId="60EFC448" w14:textId="79424926" w:rsidR="0003357F" w:rsidRDefault="0003357F" w:rsidP="0003357F">
            <w:pPr>
              <w:pStyle w:val="DHHStabletext"/>
              <w:rPr>
                <w:b/>
              </w:rPr>
            </w:pPr>
            <w:r>
              <w:t>3.7%</w:t>
            </w:r>
          </w:p>
        </w:tc>
      </w:tr>
      <w:tr w:rsidR="0003357F" w14:paraId="1AE6CFC3" w14:textId="77777777" w:rsidTr="008B42E5">
        <w:tc>
          <w:tcPr>
            <w:tcW w:w="1548" w:type="dxa"/>
            <w:vAlign w:val="top"/>
          </w:tcPr>
          <w:p w14:paraId="13E24145" w14:textId="74715840" w:rsidR="0003357F" w:rsidRDefault="0003357F" w:rsidP="0003357F">
            <w:pPr>
              <w:pStyle w:val="DHHStabletext"/>
              <w:rPr>
                <w:b/>
              </w:rPr>
            </w:pPr>
            <w:r>
              <w:t xml:space="preserve">Others and </w:t>
            </w:r>
            <w:r w:rsidR="00B96DA0">
              <w:t>u</w:t>
            </w:r>
            <w:r>
              <w:t>nknown</w:t>
            </w:r>
          </w:p>
        </w:tc>
        <w:tc>
          <w:tcPr>
            <w:tcW w:w="1548" w:type="dxa"/>
            <w:vAlign w:val="top"/>
          </w:tcPr>
          <w:p w14:paraId="69EEB780" w14:textId="4F4BC67A" w:rsidR="0003357F" w:rsidRDefault="0003357F" w:rsidP="0003357F">
            <w:pPr>
              <w:pStyle w:val="DHHStabletext"/>
              <w:rPr>
                <w:b/>
              </w:rPr>
            </w:pPr>
            <w:r>
              <w:t>24.2%</w:t>
            </w:r>
          </w:p>
        </w:tc>
        <w:tc>
          <w:tcPr>
            <w:tcW w:w="1548" w:type="dxa"/>
            <w:vAlign w:val="top"/>
          </w:tcPr>
          <w:p w14:paraId="060295A0" w14:textId="290A2571" w:rsidR="0003357F" w:rsidRDefault="0003357F" w:rsidP="0003357F">
            <w:pPr>
              <w:pStyle w:val="DHHStabletext"/>
              <w:rPr>
                <w:b/>
              </w:rPr>
            </w:pPr>
            <w:r>
              <w:t>23.8%</w:t>
            </w:r>
          </w:p>
        </w:tc>
        <w:tc>
          <w:tcPr>
            <w:tcW w:w="1548" w:type="dxa"/>
            <w:vAlign w:val="top"/>
          </w:tcPr>
          <w:p w14:paraId="2C32D2B9" w14:textId="054B21D7" w:rsidR="0003357F" w:rsidRDefault="0003357F" w:rsidP="0003357F">
            <w:pPr>
              <w:pStyle w:val="DHHStabletext"/>
              <w:rPr>
                <w:b/>
              </w:rPr>
            </w:pPr>
            <w:r>
              <w:t>22.3%</w:t>
            </w:r>
          </w:p>
        </w:tc>
        <w:tc>
          <w:tcPr>
            <w:tcW w:w="1548" w:type="dxa"/>
            <w:vAlign w:val="top"/>
          </w:tcPr>
          <w:p w14:paraId="34CAD481" w14:textId="2E5DFB04" w:rsidR="0003357F" w:rsidRDefault="0003357F" w:rsidP="0003357F">
            <w:pPr>
              <w:pStyle w:val="DHHStabletext"/>
              <w:rPr>
                <w:b/>
              </w:rPr>
            </w:pPr>
            <w:r>
              <w:t>22.4%</w:t>
            </w:r>
          </w:p>
        </w:tc>
        <w:tc>
          <w:tcPr>
            <w:tcW w:w="1548" w:type="dxa"/>
            <w:vAlign w:val="top"/>
          </w:tcPr>
          <w:p w14:paraId="644735C6" w14:textId="66738DFC" w:rsidR="0003357F" w:rsidRDefault="0003357F" w:rsidP="0003357F">
            <w:pPr>
              <w:pStyle w:val="DHHStabletext"/>
              <w:rPr>
                <w:b/>
              </w:rPr>
            </w:pPr>
            <w:r>
              <w:t>22.8%</w:t>
            </w:r>
          </w:p>
        </w:tc>
      </w:tr>
    </w:tbl>
    <w:p w14:paraId="4795DE44" w14:textId="493B4DD3" w:rsidR="008E0251" w:rsidRDefault="008E0251" w:rsidP="008E0251">
      <w:pPr>
        <w:pStyle w:val="DHHStablecaption"/>
      </w:pPr>
      <w:r>
        <w:t xml:space="preserve">Table </w:t>
      </w:r>
      <w:r w:rsidR="006E3E09">
        <w:t>11</w:t>
      </w:r>
      <w:r>
        <w:t xml:space="preserve">: </w:t>
      </w:r>
      <w:r w:rsidRPr="003650A0">
        <w:t>Mental health</w:t>
      </w:r>
      <w:r w:rsidR="005E080A">
        <w:t>–</w:t>
      </w:r>
      <w:r w:rsidRPr="003650A0">
        <w:t xml:space="preserve">related </w:t>
      </w:r>
      <w:r>
        <w:t>emergency department</w:t>
      </w:r>
      <w:r w:rsidRPr="003650A0">
        <w:t xml:space="preserve"> presentations</w:t>
      </w:r>
      <w:r>
        <w:t>, 2015</w:t>
      </w:r>
      <w:r w:rsidR="0003357F">
        <w:t>–</w:t>
      </w:r>
      <w:r>
        <w:t xml:space="preserve">16 to </w:t>
      </w:r>
      <w:r w:rsidR="00894D3B">
        <w:t>2019–20</w:t>
      </w:r>
    </w:p>
    <w:tbl>
      <w:tblPr>
        <w:tblStyle w:val="MentalhealthARtablestyle"/>
        <w:tblW w:w="0" w:type="auto"/>
        <w:tblLook w:val="04A0" w:firstRow="1" w:lastRow="0" w:firstColumn="1" w:lastColumn="0" w:noHBand="0" w:noVBand="1"/>
      </w:tblPr>
      <w:tblGrid>
        <w:gridCol w:w="1548"/>
        <w:gridCol w:w="1548"/>
        <w:gridCol w:w="1548"/>
        <w:gridCol w:w="1548"/>
        <w:gridCol w:w="1548"/>
        <w:gridCol w:w="1548"/>
      </w:tblGrid>
      <w:tr w:rsidR="0003357F" w14:paraId="666AF84C" w14:textId="77777777" w:rsidTr="0003357F">
        <w:trPr>
          <w:cnfStyle w:val="100000000000" w:firstRow="1" w:lastRow="0" w:firstColumn="0" w:lastColumn="0" w:oddVBand="0" w:evenVBand="0" w:oddHBand="0" w:evenHBand="0" w:firstRowFirstColumn="0" w:firstRowLastColumn="0" w:lastRowFirstColumn="0" w:lastRowLastColumn="0"/>
          <w:tblHeader/>
        </w:trPr>
        <w:tc>
          <w:tcPr>
            <w:tcW w:w="1548" w:type="dxa"/>
            <w:vAlign w:val="top"/>
          </w:tcPr>
          <w:p w14:paraId="7E20375E" w14:textId="5FB73CFC" w:rsidR="0003357F" w:rsidRDefault="0003357F" w:rsidP="0003357F">
            <w:pPr>
              <w:pStyle w:val="DHHStablecolhead"/>
            </w:pPr>
            <w:r w:rsidRPr="003650A0">
              <w:rPr>
                <w:b/>
                <w:lang w:eastAsia="en-AU"/>
              </w:rPr>
              <w:t>Population</w:t>
            </w:r>
          </w:p>
        </w:tc>
        <w:tc>
          <w:tcPr>
            <w:tcW w:w="1548" w:type="dxa"/>
            <w:vAlign w:val="top"/>
          </w:tcPr>
          <w:p w14:paraId="34F8FAF3" w14:textId="13AB7B72" w:rsidR="0003357F" w:rsidRPr="005E7578" w:rsidRDefault="0003357F" w:rsidP="0003357F">
            <w:pPr>
              <w:pStyle w:val="DHHStablecolhead"/>
            </w:pPr>
            <w:r w:rsidRPr="005E7578">
              <w:rPr>
                <w:rFonts w:cs="Arial"/>
                <w:b/>
              </w:rPr>
              <w:t>2015–16</w:t>
            </w:r>
          </w:p>
        </w:tc>
        <w:tc>
          <w:tcPr>
            <w:tcW w:w="1548" w:type="dxa"/>
            <w:vAlign w:val="top"/>
          </w:tcPr>
          <w:p w14:paraId="4EC00209" w14:textId="34AB8D78" w:rsidR="0003357F" w:rsidRPr="005E7578" w:rsidRDefault="0003357F" w:rsidP="0003357F">
            <w:pPr>
              <w:pStyle w:val="DHHStablecolhead"/>
            </w:pPr>
            <w:r w:rsidRPr="005E7578">
              <w:rPr>
                <w:rFonts w:cs="Arial"/>
                <w:b/>
              </w:rPr>
              <w:t>2016–17</w:t>
            </w:r>
          </w:p>
        </w:tc>
        <w:tc>
          <w:tcPr>
            <w:tcW w:w="1548" w:type="dxa"/>
            <w:vAlign w:val="top"/>
          </w:tcPr>
          <w:p w14:paraId="371AF13B" w14:textId="345F1241" w:rsidR="0003357F" w:rsidRPr="005E7578" w:rsidRDefault="0003357F" w:rsidP="0003357F">
            <w:pPr>
              <w:pStyle w:val="DHHStablecolhead"/>
            </w:pPr>
            <w:r w:rsidRPr="005E7578">
              <w:rPr>
                <w:rFonts w:cs="Arial"/>
                <w:b/>
              </w:rPr>
              <w:t>2017–18</w:t>
            </w:r>
          </w:p>
        </w:tc>
        <w:tc>
          <w:tcPr>
            <w:tcW w:w="1548" w:type="dxa"/>
            <w:vAlign w:val="top"/>
          </w:tcPr>
          <w:p w14:paraId="1FA535BC" w14:textId="3E4C2367" w:rsidR="0003357F" w:rsidRPr="005E7578" w:rsidRDefault="0003357F" w:rsidP="0003357F">
            <w:pPr>
              <w:pStyle w:val="DHHStablecolhead"/>
            </w:pPr>
            <w:r w:rsidRPr="005E7578">
              <w:rPr>
                <w:rFonts w:cs="Arial"/>
                <w:b/>
              </w:rPr>
              <w:t>2018–19</w:t>
            </w:r>
          </w:p>
        </w:tc>
        <w:tc>
          <w:tcPr>
            <w:tcW w:w="1548" w:type="dxa"/>
            <w:vAlign w:val="top"/>
          </w:tcPr>
          <w:p w14:paraId="200B23D9" w14:textId="09F6ED74" w:rsidR="0003357F" w:rsidRPr="005E7578" w:rsidRDefault="0003357F" w:rsidP="0003357F">
            <w:pPr>
              <w:pStyle w:val="DHHStablecolhead"/>
            </w:pPr>
            <w:r w:rsidRPr="005E7578">
              <w:rPr>
                <w:rFonts w:cs="Arial"/>
                <w:b/>
              </w:rPr>
              <w:t>2019–20</w:t>
            </w:r>
          </w:p>
        </w:tc>
      </w:tr>
      <w:tr w:rsidR="0003357F" w14:paraId="3E683EA9" w14:textId="77777777" w:rsidTr="008B42E5">
        <w:tc>
          <w:tcPr>
            <w:tcW w:w="1548" w:type="dxa"/>
            <w:vAlign w:val="top"/>
          </w:tcPr>
          <w:p w14:paraId="30C46BDA" w14:textId="7C0D7437" w:rsidR="0003357F" w:rsidRDefault="0003357F" w:rsidP="0003357F">
            <w:pPr>
              <w:pStyle w:val="DHHStabletext"/>
            </w:pPr>
            <w:r w:rsidRPr="003650A0">
              <w:rPr>
                <w:lang w:eastAsia="en-AU"/>
              </w:rPr>
              <w:t>Adult</w:t>
            </w:r>
          </w:p>
        </w:tc>
        <w:tc>
          <w:tcPr>
            <w:tcW w:w="1548" w:type="dxa"/>
            <w:vAlign w:val="top"/>
          </w:tcPr>
          <w:p w14:paraId="7A6A67C7" w14:textId="492CB6D1" w:rsidR="0003357F" w:rsidRDefault="0003357F" w:rsidP="0003357F">
            <w:pPr>
              <w:pStyle w:val="DHHStabletext"/>
            </w:pPr>
            <w:r w:rsidRPr="003650A0">
              <w:rPr>
                <w:lang w:eastAsia="en-AU"/>
              </w:rPr>
              <w:t>67,869</w:t>
            </w:r>
          </w:p>
        </w:tc>
        <w:tc>
          <w:tcPr>
            <w:tcW w:w="1548" w:type="dxa"/>
            <w:vAlign w:val="top"/>
          </w:tcPr>
          <w:p w14:paraId="5F1C3879" w14:textId="536E5467" w:rsidR="0003357F" w:rsidRDefault="0003357F" w:rsidP="0003357F">
            <w:pPr>
              <w:pStyle w:val="DHHStabletext"/>
            </w:pPr>
            <w:r w:rsidRPr="003650A0">
              <w:rPr>
                <w:lang w:eastAsia="en-AU"/>
              </w:rPr>
              <w:t>69,870</w:t>
            </w:r>
          </w:p>
        </w:tc>
        <w:tc>
          <w:tcPr>
            <w:tcW w:w="1548" w:type="dxa"/>
            <w:vAlign w:val="top"/>
          </w:tcPr>
          <w:p w14:paraId="58AF6B79" w14:textId="4AA8E383" w:rsidR="0003357F" w:rsidRDefault="0003357F" w:rsidP="0003357F">
            <w:pPr>
              <w:pStyle w:val="DHHStabletext"/>
            </w:pPr>
            <w:r w:rsidRPr="003650A0">
              <w:rPr>
                <w:lang w:eastAsia="en-AU"/>
              </w:rPr>
              <w:t>73,623</w:t>
            </w:r>
          </w:p>
        </w:tc>
        <w:tc>
          <w:tcPr>
            <w:tcW w:w="1548" w:type="dxa"/>
            <w:vAlign w:val="top"/>
          </w:tcPr>
          <w:p w14:paraId="5CBAE1EA" w14:textId="4C2CE83D" w:rsidR="0003357F" w:rsidRDefault="0003357F" w:rsidP="0003357F">
            <w:pPr>
              <w:pStyle w:val="DHHStabletext"/>
            </w:pPr>
            <w:r w:rsidRPr="003650A0">
              <w:rPr>
                <w:lang w:eastAsia="en-AU"/>
              </w:rPr>
              <w:t>77,576</w:t>
            </w:r>
          </w:p>
        </w:tc>
        <w:tc>
          <w:tcPr>
            <w:tcW w:w="1548" w:type="dxa"/>
            <w:vAlign w:val="top"/>
          </w:tcPr>
          <w:p w14:paraId="0879A980" w14:textId="71D64938" w:rsidR="0003357F" w:rsidRDefault="0003357F" w:rsidP="0003357F">
            <w:pPr>
              <w:pStyle w:val="DHHStabletext"/>
            </w:pPr>
            <w:r w:rsidRPr="003650A0">
              <w:rPr>
                <w:lang w:eastAsia="en-AU"/>
              </w:rPr>
              <w:t>79,818</w:t>
            </w:r>
          </w:p>
        </w:tc>
      </w:tr>
      <w:tr w:rsidR="0003357F" w14:paraId="219C0B52" w14:textId="77777777" w:rsidTr="008B42E5">
        <w:tc>
          <w:tcPr>
            <w:tcW w:w="1548" w:type="dxa"/>
            <w:vAlign w:val="top"/>
          </w:tcPr>
          <w:p w14:paraId="4038A4D9" w14:textId="7B3BEAEB" w:rsidR="0003357F" w:rsidRDefault="0003357F" w:rsidP="0003357F">
            <w:pPr>
              <w:pStyle w:val="DHHStabletext"/>
            </w:pPr>
            <w:r w:rsidRPr="003650A0">
              <w:rPr>
                <w:lang w:eastAsia="en-AU"/>
              </w:rPr>
              <w:t>Aged</w:t>
            </w:r>
          </w:p>
        </w:tc>
        <w:tc>
          <w:tcPr>
            <w:tcW w:w="1548" w:type="dxa"/>
            <w:vAlign w:val="top"/>
          </w:tcPr>
          <w:p w14:paraId="5818EF4C" w14:textId="28934C40" w:rsidR="0003357F" w:rsidRDefault="0003357F" w:rsidP="0003357F">
            <w:pPr>
              <w:pStyle w:val="DHHStabletext"/>
            </w:pPr>
            <w:r w:rsidRPr="003650A0">
              <w:rPr>
                <w:lang w:eastAsia="en-AU"/>
              </w:rPr>
              <w:t>7,796</w:t>
            </w:r>
          </w:p>
        </w:tc>
        <w:tc>
          <w:tcPr>
            <w:tcW w:w="1548" w:type="dxa"/>
            <w:vAlign w:val="top"/>
          </w:tcPr>
          <w:p w14:paraId="4FA127FA" w14:textId="35E0F231" w:rsidR="0003357F" w:rsidRDefault="0003357F" w:rsidP="0003357F">
            <w:pPr>
              <w:pStyle w:val="DHHStabletext"/>
            </w:pPr>
            <w:r w:rsidRPr="003650A0">
              <w:rPr>
                <w:lang w:eastAsia="en-AU"/>
              </w:rPr>
              <w:t>7,735</w:t>
            </w:r>
          </w:p>
        </w:tc>
        <w:tc>
          <w:tcPr>
            <w:tcW w:w="1548" w:type="dxa"/>
            <w:vAlign w:val="top"/>
          </w:tcPr>
          <w:p w14:paraId="748774D7" w14:textId="11B80B75" w:rsidR="0003357F" w:rsidRDefault="0003357F" w:rsidP="0003357F">
            <w:pPr>
              <w:pStyle w:val="DHHStabletext"/>
            </w:pPr>
            <w:r w:rsidRPr="003650A0">
              <w:rPr>
                <w:lang w:eastAsia="en-AU"/>
              </w:rPr>
              <w:t>8,328</w:t>
            </w:r>
          </w:p>
        </w:tc>
        <w:tc>
          <w:tcPr>
            <w:tcW w:w="1548" w:type="dxa"/>
            <w:vAlign w:val="top"/>
          </w:tcPr>
          <w:p w14:paraId="0B9A3FD7" w14:textId="5C9C502F" w:rsidR="0003357F" w:rsidRDefault="0003357F" w:rsidP="0003357F">
            <w:pPr>
              <w:pStyle w:val="DHHStabletext"/>
            </w:pPr>
            <w:r w:rsidRPr="003650A0">
              <w:rPr>
                <w:lang w:eastAsia="en-AU"/>
              </w:rPr>
              <w:t>8,694</w:t>
            </w:r>
          </w:p>
        </w:tc>
        <w:tc>
          <w:tcPr>
            <w:tcW w:w="1548" w:type="dxa"/>
            <w:vAlign w:val="top"/>
          </w:tcPr>
          <w:p w14:paraId="378FC597" w14:textId="73BCFC41" w:rsidR="0003357F" w:rsidRDefault="0003357F" w:rsidP="0003357F">
            <w:pPr>
              <w:pStyle w:val="DHHStabletext"/>
            </w:pPr>
            <w:r w:rsidRPr="003650A0">
              <w:rPr>
                <w:lang w:eastAsia="en-AU"/>
              </w:rPr>
              <w:t>9,460</w:t>
            </w:r>
          </w:p>
        </w:tc>
      </w:tr>
      <w:tr w:rsidR="0003357F" w14:paraId="2A570099" w14:textId="77777777" w:rsidTr="008B42E5">
        <w:tc>
          <w:tcPr>
            <w:tcW w:w="1548" w:type="dxa"/>
            <w:vAlign w:val="top"/>
          </w:tcPr>
          <w:p w14:paraId="7A6B1DFB" w14:textId="34263A02" w:rsidR="0003357F" w:rsidRDefault="0003357F" w:rsidP="0003357F">
            <w:pPr>
              <w:pStyle w:val="DHHStabletext"/>
            </w:pPr>
            <w:r w:rsidRPr="003650A0">
              <w:rPr>
                <w:lang w:eastAsia="en-AU"/>
              </w:rPr>
              <w:t>CYMHS</w:t>
            </w:r>
          </w:p>
        </w:tc>
        <w:tc>
          <w:tcPr>
            <w:tcW w:w="1548" w:type="dxa"/>
            <w:vAlign w:val="top"/>
          </w:tcPr>
          <w:p w14:paraId="7A6A142D" w14:textId="398C23E3" w:rsidR="0003357F" w:rsidRDefault="0003357F" w:rsidP="0003357F">
            <w:pPr>
              <w:pStyle w:val="DHHStabletext"/>
            </w:pPr>
            <w:r w:rsidRPr="003650A0">
              <w:rPr>
                <w:lang w:eastAsia="en-AU"/>
              </w:rPr>
              <w:t>7,603</w:t>
            </w:r>
          </w:p>
        </w:tc>
        <w:tc>
          <w:tcPr>
            <w:tcW w:w="1548" w:type="dxa"/>
            <w:vAlign w:val="top"/>
          </w:tcPr>
          <w:p w14:paraId="5294F510" w14:textId="5049880A" w:rsidR="0003357F" w:rsidRDefault="0003357F" w:rsidP="0003357F">
            <w:pPr>
              <w:pStyle w:val="DHHStabletext"/>
            </w:pPr>
            <w:r w:rsidRPr="003650A0">
              <w:rPr>
                <w:lang w:eastAsia="en-AU"/>
              </w:rPr>
              <w:t>9,592</w:t>
            </w:r>
          </w:p>
        </w:tc>
        <w:tc>
          <w:tcPr>
            <w:tcW w:w="1548" w:type="dxa"/>
            <w:vAlign w:val="top"/>
          </w:tcPr>
          <w:p w14:paraId="378A4440" w14:textId="2FF4D9E6" w:rsidR="0003357F" w:rsidRDefault="0003357F" w:rsidP="0003357F">
            <w:pPr>
              <w:pStyle w:val="DHHStabletext"/>
            </w:pPr>
            <w:r w:rsidRPr="003650A0">
              <w:rPr>
                <w:lang w:eastAsia="en-AU"/>
              </w:rPr>
              <w:t>10,659</w:t>
            </w:r>
          </w:p>
        </w:tc>
        <w:tc>
          <w:tcPr>
            <w:tcW w:w="1548" w:type="dxa"/>
            <w:vAlign w:val="top"/>
          </w:tcPr>
          <w:p w14:paraId="4E691222" w14:textId="5F582678" w:rsidR="0003357F" w:rsidRDefault="0003357F" w:rsidP="0003357F">
            <w:pPr>
              <w:pStyle w:val="DHHStabletext"/>
            </w:pPr>
            <w:r w:rsidRPr="003650A0">
              <w:rPr>
                <w:lang w:eastAsia="en-AU"/>
              </w:rPr>
              <w:t>11,461</w:t>
            </w:r>
          </w:p>
        </w:tc>
        <w:tc>
          <w:tcPr>
            <w:tcW w:w="1548" w:type="dxa"/>
            <w:vAlign w:val="top"/>
          </w:tcPr>
          <w:p w14:paraId="2FE975C0" w14:textId="53C8A23C" w:rsidR="0003357F" w:rsidRDefault="0003357F" w:rsidP="0003357F">
            <w:pPr>
              <w:pStyle w:val="DHHStabletext"/>
            </w:pPr>
            <w:r w:rsidRPr="003650A0">
              <w:rPr>
                <w:lang w:eastAsia="en-AU"/>
              </w:rPr>
              <w:t>11,667</w:t>
            </w:r>
          </w:p>
        </w:tc>
      </w:tr>
      <w:tr w:rsidR="0003357F" w14:paraId="7D7F04A0" w14:textId="77777777" w:rsidTr="008B42E5">
        <w:tc>
          <w:tcPr>
            <w:tcW w:w="1548" w:type="dxa"/>
            <w:vAlign w:val="top"/>
          </w:tcPr>
          <w:p w14:paraId="66BEA9BF" w14:textId="39441B37" w:rsidR="0003357F" w:rsidRPr="005E7578" w:rsidRDefault="0003357F" w:rsidP="0003357F">
            <w:pPr>
              <w:pStyle w:val="DHHStabletext"/>
              <w:rPr>
                <w:b/>
                <w:bCs/>
              </w:rPr>
            </w:pPr>
            <w:r w:rsidRPr="005E7578">
              <w:rPr>
                <w:b/>
                <w:bCs/>
                <w:lang w:eastAsia="en-AU"/>
              </w:rPr>
              <w:t>Total</w:t>
            </w:r>
          </w:p>
        </w:tc>
        <w:tc>
          <w:tcPr>
            <w:tcW w:w="1548" w:type="dxa"/>
            <w:vAlign w:val="top"/>
          </w:tcPr>
          <w:p w14:paraId="3B82FF1F" w14:textId="757033C6" w:rsidR="0003357F" w:rsidRPr="005E7578" w:rsidRDefault="0003357F" w:rsidP="0003357F">
            <w:pPr>
              <w:pStyle w:val="DHHStabletext"/>
              <w:rPr>
                <w:b/>
                <w:bCs/>
              </w:rPr>
            </w:pPr>
            <w:r w:rsidRPr="005E7578">
              <w:rPr>
                <w:b/>
                <w:bCs/>
                <w:lang w:eastAsia="en-AU"/>
              </w:rPr>
              <w:t>83,268</w:t>
            </w:r>
          </w:p>
        </w:tc>
        <w:tc>
          <w:tcPr>
            <w:tcW w:w="1548" w:type="dxa"/>
            <w:vAlign w:val="top"/>
          </w:tcPr>
          <w:p w14:paraId="2B820FF8" w14:textId="6C7F2185" w:rsidR="0003357F" w:rsidRPr="005E7578" w:rsidRDefault="0003357F" w:rsidP="0003357F">
            <w:pPr>
              <w:pStyle w:val="DHHStabletext"/>
              <w:rPr>
                <w:b/>
                <w:bCs/>
              </w:rPr>
            </w:pPr>
            <w:r w:rsidRPr="005E7578">
              <w:rPr>
                <w:b/>
                <w:bCs/>
                <w:lang w:eastAsia="en-AU"/>
              </w:rPr>
              <w:t>87,197</w:t>
            </w:r>
          </w:p>
        </w:tc>
        <w:tc>
          <w:tcPr>
            <w:tcW w:w="1548" w:type="dxa"/>
            <w:vAlign w:val="top"/>
          </w:tcPr>
          <w:p w14:paraId="37AB706A" w14:textId="6435EF6A" w:rsidR="0003357F" w:rsidRPr="005E7578" w:rsidRDefault="0003357F" w:rsidP="0003357F">
            <w:pPr>
              <w:pStyle w:val="DHHStabletext"/>
              <w:rPr>
                <w:b/>
                <w:bCs/>
              </w:rPr>
            </w:pPr>
            <w:r w:rsidRPr="005E7578">
              <w:rPr>
                <w:b/>
                <w:bCs/>
                <w:lang w:eastAsia="en-AU"/>
              </w:rPr>
              <w:t>92,610</w:t>
            </w:r>
          </w:p>
        </w:tc>
        <w:tc>
          <w:tcPr>
            <w:tcW w:w="1548" w:type="dxa"/>
            <w:vAlign w:val="top"/>
          </w:tcPr>
          <w:p w14:paraId="47046BBF" w14:textId="042E9858" w:rsidR="0003357F" w:rsidRPr="005E7578" w:rsidRDefault="0003357F" w:rsidP="0003357F">
            <w:pPr>
              <w:pStyle w:val="DHHStabletext"/>
              <w:rPr>
                <w:b/>
                <w:bCs/>
              </w:rPr>
            </w:pPr>
            <w:r w:rsidRPr="005E7578">
              <w:rPr>
                <w:b/>
                <w:bCs/>
                <w:lang w:eastAsia="en-AU"/>
              </w:rPr>
              <w:t>97,731</w:t>
            </w:r>
          </w:p>
        </w:tc>
        <w:tc>
          <w:tcPr>
            <w:tcW w:w="1548" w:type="dxa"/>
            <w:vAlign w:val="top"/>
          </w:tcPr>
          <w:p w14:paraId="0FA6650B" w14:textId="0A970B7D" w:rsidR="0003357F" w:rsidRPr="005E7578" w:rsidRDefault="0003357F" w:rsidP="0003357F">
            <w:pPr>
              <w:pStyle w:val="DHHStabletext"/>
              <w:rPr>
                <w:b/>
                <w:bCs/>
              </w:rPr>
            </w:pPr>
            <w:r w:rsidRPr="005E7578">
              <w:rPr>
                <w:b/>
                <w:bCs/>
                <w:lang w:eastAsia="en-AU"/>
              </w:rPr>
              <w:t>100,945</w:t>
            </w:r>
          </w:p>
        </w:tc>
      </w:tr>
    </w:tbl>
    <w:p w14:paraId="6770FFC8" w14:textId="77777777" w:rsidR="008E0251" w:rsidRPr="009C5DA8" w:rsidRDefault="008E0251" w:rsidP="00B267D2">
      <w:pPr>
        <w:pStyle w:val="Heading2"/>
        <w:rPr>
          <w:rStyle w:val="normaltextrun"/>
        </w:rPr>
      </w:pPr>
      <w:bookmarkStart w:id="24" w:name="_Toc55379399"/>
      <w:r w:rsidRPr="009C5DA8">
        <w:rPr>
          <w:rStyle w:val="normaltextrun"/>
        </w:rPr>
        <w:t xml:space="preserve">How did people </w:t>
      </w:r>
      <w:r>
        <w:rPr>
          <w:rStyle w:val="normaltextrun"/>
        </w:rPr>
        <w:t>experience</w:t>
      </w:r>
      <w:r w:rsidRPr="009C5DA8">
        <w:rPr>
          <w:rStyle w:val="normaltextrun"/>
        </w:rPr>
        <w:t xml:space="preserve"> our services?</w:t>
      </w:r>
      <w:bookmarkEnd w:id="24"/>
      <w:r w:rsidRPr="009C5DA8">
        <w:rPr>
          <w:rStyle w:val="normaltextrun"/>
        </w:rPr>
        <w:t xml:space="preserve"> </w:t>
      </w:r>
    </w:p>
    <w:p w14:paraId="75118321" w14:textId="501450F9" w:rsidR="008E0251" w:rsidRPr="003650A0" w:rsidRDefault="008E0251" w:rsidP="008E0251">
      <w:pPr>
        <w:pStyle w:val="DHHSbody"/>
        <w:rPr>
          <w:rFonts w:cs="Arial"/>
        </w:rPr>
      </w:pPr>
      <w:r w:rsidRPr="003650A0">
        <w:rPr>
          <w:rFonts w:cs="Arial"/>
        </w:rPr>
        <w:t>Information about people’s experience of our services, and about their outcomes, is captured in different ways. The YES survey helps us understand how people experience mental health treatment and care, including whether they feel they were respected, and the impact of the service on their overall wellbeing. Data gathered on outcome measurement by clinicians includes the Health of the Nation Outcomes Scales, which looks at issues like behaviour, symptoms, impairment and social functioning.</w:t>
      </w:r>
    </w:p>
    <w:p w14:paraId="3BE08346" w14:textId="7CDE0F4C" w:rsidR="008E0251" w:rsidRPr="003650A0" w:rsidRDefault="008E0251" w:rsidP="008E0251">
      <w:pPr>
        <w:pStyle w:val="DHHSbody"/>
        <w:rPr>
          <w:rFonts w:cs="Arial"/>
        </w:rPr>
      </w:pPr>
      <w:r>
        <w:rPr>
          <w:rFonts w:cs="Arial"/>
        </w:rPr>
        <w:t xml:space="preserve">As noted in </w:t>
      </w:r>
      <w:r w:rsidRPr="1EBBF824">
        <w:rPr>
          <w:rFonts w:cs="Arial"/>
        </w:rPr>
        <w:t xml:space="preserve">section </w:t>
      </w:r>
      <w:r w:rsidR="005E080A">
        <w:rPr>
          <w:rFonts w:cs="Arial"/>
        </w:rPr>
        <w:t>3</w:t>
      </w:r>
      <w:r w:rsidR="005E080A" w:rsidRPr="1EBBF824">
        <w:rPr>
          <w:rFonts w:cs="Arial"/>
        </w:rPr>
        <w:t xml:space="preserve"> </w:t>
      </w:r>
      <w:r w:rsidRPr="1EBBF824">
        <w:rPr>
          <w:rFonts w:cs="Arial"/>
        </w:rPr>
        <w:t>of this report</w:t>
      </w:r>
      <w:r>
        <w:rPr>
          <w:rFonts w:cs="Arial"/>
        </w:rPr>
        <w:t xml:space="preserve">, </w:t>
      </w:r>
      <w:r w:rsidRPr="003650A0">
        <w:rPr>
          <w:rFonts w:cs="Arial"/>
        </w:rPr>
        <w:t xml:space="preserve">the YES survey was not </w:t>
      </w:r>
      <w:r>
        <w:rPr>
          <w:rFonts w:cs="Arial"/>
        </w:rPr>
        <w:t>conducted</w:t>
      </w:r>
      <w:r w:rsidRPr="003650A0">
        <w:rPr>
          <w:rFonts w:cs="Arial"/>
        </w:rPr>
        <w:t xml:space="preserve"> in </w:t>
      </w:r>
      <w:r>
        <w:rPr>
          <w:rFonts w:cs="Arial"/>
        </w:rPr>
        <w:t xml:space="preserve">early </w:t>
      </w:r>
      <w:r w:rsidRPr="003650A0">
        <w:rPr>
          <w:rFonts w:cs="Arial"/>
        </w:rPr>
        <w:t xml:space="preserve">2020, as a result of the impact of </w:t>
      </w:r>
      <w:r w:rsidR="00E51317">
        <w:rPr>
          <w:rFonts w:cs="Arial"/>
        </w:rPr>
        <w:t>coronavirus (COVID-19)</w:t>
      </w:r>
      <w:r>
        <w:rPr>
          <w:rFonts w:cs="Arial"/>
        </w:rPr>
        <w:t>.</w:t>
      </w:r>
      <w:r w:rsidRPr="003650A0">
        <w:rPr>
          <w:rFonts w:cs="Arial"/>
        </w:rPr>
        <w:t xml:space="preserve"> </w:t>
      </w:r>
      <w:r>
        <w:rPr>
          <w:rFonts w:cs="Arial"/>
        </w:rPr>
        <w:t>Where possible</w:t>
      </w:r>
      <w:r w:rsidRPr="003650A0">
        <w:rPr>
          <w:rFonts w:cs="Arial"/>
        </w:rPr>
        <w:t xml:space="preserve">, feedback on consumer experiences of services has been sought via other means. </w:t>
      </w:r>
    </w:p>
    <w:p w14:paraId="2F18D8B1" w14:textId="3501160A" w:rsidR="008E0251" w:rsidRPr="003650A0" w:rsidRDefault="008E0251" w:rsidP="008E0251">
      <w:pPr>
        <w:pStyle w:val="Heading2"/>
      </w:pPr>
      <w:bookmarkStart w:id="25" w:name="_Toc55379400"/>
      <w:r w:rsidRPr="003650A0">
        <w:t xml:space="preserve">Child and </w:t>
      </w:r>
      <w:r w:rsidR="004476F8">
        <w:t>a</w:t>
      </w:r>
      <w:r w:rsidRPr="003650A0">
        <w:t xml:space="preserve">dolescent </w:t>
      </w:r>
      <w:r w:rsidR="004476F8">
        <w:t>m</w:t>
      </w:r>
      <w:r w:rsidRPr="003650A0">
        <w:t xml:space="preserve">ental </w:t>
      </w:r>
      <w:r w:rsidR="004476F8">
        <w:t>h</w:t>
      </w:r>
      <w:r w:rsidRPr="003650A0">
        <w:t xml:space="preserve">ealth </w:t>
      </w:r>
      <w:r w:rsidR="004476F8">
        <w:t>s</w:t>
      </w:r>
      <w:r w:rsidRPr="003650A0">
        <w:t>ervices</w:t>
      </w:r>
      <w:bookmarkEnd w:id="25"/>
    </w:p>
    <w:p w14:paraId="11E807E2" w14:textId="19DB4957" w:rsidR="000D20F2" w:rsidRPr="00F77374" w:rsidRDefault="000D20F2" w:rsidP="00F77374">
      <w:pPr>
        <w:pStyle w:val="DHHSbodynospace"/>
        <w:rPr>
          <w:b/>
          <w:bCs/>
          <w:lang w:val="en" w:eastAsia="en-AU"/>
        </w:rPr>
      </w:pPr>
      <w:r w:rsidRPr="00F77374">
        <w:rPr>
          <w:b/>
          <w:bCs/>
          <w:lang w:val="en" w:eastAsia="en-AU"/>
        </w:rPr>
        <w:t xml:space="preserve">Key statistics </w:t>
      </w:r>
      <w:r w:rsidR="00CE40D6" w:rsidRPr="00F77374">
        <w:rPr>
          <w:b/>
          <w:bCs/>
          <w:lang w:val="en" w:eastAsia="en-AU"/>
        </w:rPr>
        <w:t>2019–20</w:t>
      </w:r>
      <w:r w:rsidRPr="00F77374">
        <w:rPr>
          <w:b/>
          <w:bCs/>
          <w:lang w:val="en" w:eastAsia="en-AU"/>
        </w:rPr>
        <w:t>:</w:t>
      </w:r>
    </w:p>
    <w:p w14:paraId="137292CC" w14:textId="77777777" w:rsidR="000D20F2" w:rsidRPr="00FA0ECD" w:rsidRDefault="008E0251" w:rsidP="00F77374">
      <w:pPr>
        <w:pStyle w:val="DHHSbodynospace"/>
        <w:rPr>
          <w:iCs/>
          <w:lang w:val="en" w:eastAsia="en-AU"/>
        </w:rPr>
      </w:pPr>
      <w:r w:rsidRPr="00FA0ECD">
        <w:rPr>
          <w:rFonts w:cs="Arial"/>
          <w:iCs/>
        </w:rPr>
        <w:t>12,076 CAMHS consumers, an increase of 1.1 per cent</w:t>
      </w:r>
      <w:r w:rsidRPr="00FA0ECD">
        <w:rPr>
          <w:iCs/>
          <w:vertAlign w:val="superscript"/>
        </w:rPr>
        <w:footnoteReference w:id="10"/>
      </w:r>
      <w:r w:rsidRPr="00FA0ECD">
        <w:rPr>
          <w:rFonts w:cs="Arial"/>
          <w:iCs/>
        </w:rPr>
        <w:t xml:space="preserve"> </w:t>
      </w:r>
    </w:p>
    <w:p w14:paraId="24D4908E" w14:textId="68B398E4" w:rsidR="008E0251" w:rsidRPr="00FA0ECD" w:rsidRDefault="008E0251" w:rsidP="00F77374">
      <w:pPr>
        <w:pStyle w:val="DHHSbodynospace"/>
        <w:rPr>
          <w:iCs/>
          <w:lang w:val="en" w:eastAsia="en-AU"/>
        </w:rPr>
      </w:pPr>
      <w:r w:rsidRPr="00FA0ECD">
        <w:rPr>
          <w:rFonts w:cs="Arial"/>
          <w:iCs/>
        </w:rPr>
        <w:t xml:space="preserve">2,279 </w:t>
      </w:r>
      <w:r w:rsidR="00793EC1">
        <w:rPr>
          <w:rFonts w:cs="Arial"/>
          <w:iCs/>
        </w:rPr>
        <w:t>separations</w:t>
      </w:r>
      <w:r w:rsidR="00367D09">
        <w:rPr>
          <w:rFonts w:cs="Arial"/>
          <w:iCs/>
        </w:rPr>
        <w:t xml:space="preserve"> </w:t>
      </w:r>
    </w:p>
    <w:p w14:paraId="38B78AC4" w14:textId="77777777" w:rsidR="000D20F2" w:rsidRPr="000D20F2" w:rsidRDefault="000D20F2" w:rsidP="00F77374">
      <w:pPr>
        <w:pStyle w:val="DHHSbody"/>
        <w:rPr>
          <w:lang w:val="en" w:eastAsia="en-AU"/>
        </w:rPr>
      </w:pPr>
    </w:p>
    <w:p w14:paraId="09BA4DC3" w14:textId="45DD37B9" w:rsidR="008E0251" w:rsidRPr="003650A0" w:rsidRDefault="008E0251" w:rsidP="008E0251">
      <w:pPr>
        <w:pStyle w:val="DHHSbody"/>
        <w:rPr>
          <w:rFonts w:cs="Arial"/>
        </w:rPr>
      </w:pPr>
      <w:r w:rsidRPr="003650A0">
        <w:rPr>
          <w:rFonts w:cs="Arial"/>
        </w:rPr>
        <w:t xml:space="preserve">There </w:t>
      </w:r>
      <w:r w:rsidR="005E080A">
        <w:rPr>
          <w:rFonts w:cs="Arial"/>
        </w:rPr>
        <w:t>w</w:t>
      </w:r>
      <w:r w:rsidRPr="003650A0">
        <w:rPr>
          <w:rFonts w:cs="Arial"/>
        </w:rPr>
        <w:t xml:space="preserve">as a small increase in both inpatient and community clinical mental health service activity in </w:t>
      </w:r>
      <w:r w:rsidR="00894D3B">
        <w:rPr>
          <w:rFonts w:cs="Arial"/>
        </w:rPr>
        <w:t>2019–20</w:t>
      </w:r>
      <w:r w:rsidRPr="003650A0">
        <w:rPr>
          <w:rFonts w:cs="Arial"/>
        </w:rPr>
        <w:t xml:space="preserve">. Most children and young people receive clinical treatment in the community. </w:t>
      </w:r>
      <w:r w:rsidR="006237A5">
        <w:rPr>
          <w:rFonts w:cs="Arial"/>
        </w:rPr>
        <w:t>In 2019–20, a</w:t>
      </w:r>
      <w:r w:rsidRPr="003650A0">
        <w:rPr>
          <w:rFonts w:cs="Arial"/>
        </w:rPr>
        <w:t xml:space="preserve"> higher proportion of service hours (</w:t>
      </w:r>
      <w:r w:rsidRPr="001115DE">
        <w:rPr>
          <w:rFonts w:cs="Arial"/>
        </w:rPr>
        <w:t>19.1 per cent</w:t>
      </w:r>
      <w:r w:rsidRPr="003650A0">
        <w:rPr>
          <w:rFonts w:cs="Arial"/>
        </w:rPr>
        <w:t xml:space="preserve">) </w:t>
      </w:r>
      <w:r w:rsidR="006237A5">
        <w:rPr>
          <w:rFonts w:cs="Arial"/>
        </w:rPr>
        <w:t>we</w:t>
      </w:r>
      <w:r w:rsidRPr="003650A0">
        <w:rPr>
          <w:rFonts w:cs="Arial"/>
        </w:rPr>
        <w:t xml:space="preserve">re delivered to unregistered </w:t>
      </w:r>
      <w:r>
        <w:rPr>
          <w:rFonts w:cs="Arial"/>
        </w:rPr>
        <w:t>consumer</w:t>
      </w:r>
      <w:r w:rsidRPr="003650A0">
        <w:rPr>
          <w:rFonts w:cs="Arial"/>
        </w:rPr>
        <w:t>s than for adult</w:t>
      </w:r>
      <w:r w:rsidR="006237A5">
        <w:rPr>
          <w:rFonts w:cs="Arial"/>
        </w:rPr>
        <w:t>s</w:t>
      </w:r>
      <w:r w:rsidRPr="003650A0">
        <w:rPr>
          <w:rFonts w:cs="Arial"/>
        </w:rPr>
        <w:t xml:space="preserve"> and older people. This may </w:t>
      </w:r>
      <w:r w:rsidR="006237A5">
        <w:rPr>
          <w:rFonts w:cs="Arial"/>
        </w:rPr>
        <w:t xml:space="preserve">have </w:t>
      </w:r>
      <w:r w:rsidRPr="003650A0">
        <w:rPr>
          <w:rFonts w:cs="Arial"/>
        </w:rPr>
        <w:t>include</w:t>
      </w:r>
      <w:r w:rsidR="006237A5">
        <w:rPr>
          <w:rFonts w:cs="Arial"/>
        </w:rPr>
        <w:t>d</w:t>
      </w:r>
      <w:r w:rsidRPr="003650A0">
        <w:rPr>
          <w:rFonts w:cs="Arial"/>
        </w:rPr>
        <w:t xml:space="preserve"> contacts where a child or young person </w:t>
      </w:r>
      <w:r w:rsidR="006237A5">
        <w:rPr>
          <w:rFonts w:cs="Arial"/>
        </w:rPr>
        <w:t>wa</w:t>
      </w:r>
      <w:r w:rsidRPr="003650A0">
        <w:rPr>
          <w:rFonts w:cs="Arial"/>
        </w:rPr>
        <w:t>s referred to community mental health</w:t>
      </w:r>
      <w:r>
        <w:rPr>
          <w:rFonts w:cs="Arial"/>
        </w:rPr>
        <w:t xml:space="preserve"> and</w:t>
      </w:r>
      <w:r w:rsidRPr="003650A0">
        <w:rPr>
          <w:rFonts w:cs="Arial"/>
        </w:rPr>
        <w:t xml:space="preserve"> assessed but it </w:t>
      </w:r>
      <w:r w:rsidR="006237A5">
        <w:rPr>
          <w:rFonts w:cs="Arial"/>
        </w:rPr>
        <w:t>wa</w:t>
      </w:r>
      <w:r w:rsidRPr="003650A0">
        <w:rPr>
          <w:rFonts w:cs="Arial"/>
        </w:rPr>
        <w:t xml:space="preserve">s found </w:t>
      </w:r>
      <w:r w:rsidR="006237A5">
        <w:rPr>
          <w:rFonts w:cs="Arial"/>
        </w:rPr>
        <w:t xml:space="preserve">that </w:t>
      </w:r>
      <w:r w:rsidRPr="003650A0">
        <w:rPr>
          <w:rFonts w:cs="Arial"/>
        </w:rPr>
        <w:t xml:space="preserve">their needs </w:t>
      </w:r>
      <w:r w:rsidR="006237A5">
        <w:rPr>
          <w:rFonts w:cs="Arial"/>
        </w:rPr>
        <w:t>would be</w:t>
      </w:r>
      <w:r w:rsidRPr="003650A0">
        <w:rPr>
          <w:rFonts w:cs="Arial"/>
        </w:rPr>
        <w:t xml:space="preserve"> best met </w:t>
      </w:r>
      <w:r w:rsidR="005740EC">
        <w:rPr>
          <w:rFonts w:cs="Arial"/>
        </w:rPr>
        <w:t>by a different type of service</w:t>
      </w:r>
      <w:r w:rsidRPr="003650A0">
        <w:rPr>
          <w:rFonts w:cs="Arial"/>
        </w:rPr>
        <w:t xml:space="preserve">. In this instance they may </w:t>
      </w:r>
      <w:r w:rsidR="006237A5">
        <w:rPr>
          <w:rFonts w:cs="Arial"/>
        </w:rPr>
        <w:t xml:space="preserve">have </w:t>
      </w:r>
      <w:r w:rsidRPr="003650A0">
        <w:rPr>
          <w:rFonts w:cs="Arial"/>
        </w:rPr>
        <w:t>be</w:t>
      </w:r>
      <w:r w:rsidR="006237A5">
        <w:rPr>
          <w:rFonts w:cs="Arial"/>
        </w:rPr>
        <w:t>en</w:t>
      </w:r>
      <w:r w:rsidRPr="003650A0">
        <w:rPr>
          <w:rFonts w:cs="Arial"/>
        </w:rPr>
        <w:t xml:space="preserve"> referred to a service, such as </w:t>
      </w:r>
      <w:r>
        <w:rPr>
          <w:rFonts w:cs="Arial"/>
        </w:rPr>
        <w:t xml:space="preserve">school-based mental health services, </w:t>
      </w:r>
      <w:r w:rsidRPr="003650A0">
        <w:rPr>
          <w:rFonts w:cs="Arial"/>
        </w:rPr>
        <w:t xml:space="preserve">private psychiatry or psychology services, and would not be registered as a public mental health services </w:t>
      </w:r>
      <w:r>
        <w:rPr>
          <w:rFonts w:cs="Arial"/>
        </w:rPr>
        <w:t>consumer</w:t>
      </w:r>
      <w:r w:rsidRPr="003650A0">
        <w:rPr>
          <w:rFonts w:cs="Arial"/>
        </w:rPr>
        <w:t xml:space="preserve">. </w:t>
      </w:r>
    </w:p>
    <w:p w14:paraId="4B45F1D4" w14:textId="298D93D7" w:rsidR="008E0251" w:rsidRPr="003650A0" w:rsidRDefault="008E0251" w:rsidP="008E0251">
      <w:pPr>
        <w:pStyle w:val="DHHSbody"/>
        <w:rPr>
          <w:rFonts w:cs="Arial"/>
        </w:rPr>
      </w:pPr>
      <w:r w:rsidRPr="003650A0">
        <w:rPr>
          <w:rFonts w:cs="Arial"/>
        </w:rPr>
        <w:t xml:space="preserve">In </w:t>
      </w:r>
      <w:r w:rsidR="00894D3B">
        <w:rPr>
          <w:rFonts w:cs="Arial"/>
        </w:rPr>
        <w:t>2019–20</w:t>
      </w:r>
      <w:r w:rsidRPr="003650A0">
        <w:rPr>
          <w:rFonts w:cs="Arial"/>
        </w:rPr>
        <w:t xml:space="preserve">, there were 12,076 registered CAMHS </w:t>
      </w:r>
      <w:r>
        <w:rPr>
          <w:rFonts w:cs="Arial"/>
        </w:rPr>
        <w:t>consumer</w:t>
      </w:r>
      <w:r w:rsidRPr="003650A0">
        <w:rPr>
          <w:rFonts w:cs="Arial"/>
        </w:rPr>
        <w:t>s, a slight increase of 1.1 per cent</w:t>
      </w:r>
      <w:r>
        <w:rPr>
          <w:rFonts w:cs="Arial"/>
        </w:rPr>
        <w:t>.</w:t>
      </w:r>
      <w:r w:rsidRPr="003650A0">
        <w:rPr>
          <w:rFonts w:cs="Arial"/>
        </w:rPr>
        <w:t xml:space="preserve"> </w:t>
      </w:r>
    </w:p>
    <w:p w14:paraId="555B3080" w14:textId="30264C57" w:rsidR="008E0251" w:rsidRPr="003650A0" w:rsidRDefault="008E0251" w:rsidP="008E0251">
      <w:pPr>
        <w:pStyle w:val="DHHSbody"/>
        <w:rPr>
          <w:rFonts w:cs="Arial"/>
        </w:rPr>
      </w:pPr>
      <w:r>
        <w:rPr>
          <w:rFonts w:cs="Arial"/>
        </w:rPr>
        <w:t>Some</w:t>
      </w:r>
      <w:r w:rsidRPr="003650A0">
        <w:rPr>
          <w:rFonts w:cs="Arial"/>
        </w:rPr>
        <w:t xml:space="preserve"> children and young people in Victoria require inpatient treatment for mental illness. During the year, there were 2,279 </w:t>
      </w:r>
      <w:r w:rsidR="00367D09">
        <w:rPr>
          <w:rFonts w:cs="Arial"/>
        </w:rPr>
        <w:t>separations</w:t>
      </w:r>
      <w:r w:rsidRPr="003650A0">
        <w:rPr>
          <w:rFonts w:cs="Arial"/>
        </w:rPr>
        <w:t xml:space="preserve"> of children and young people for mental illness, an increase of 7.1 per cent</w:t>
      </w:r>
      <w:r>
        <w:rPr>
          <w:rFonts w:cs="Arial"/>
        </w:rPr>
        <w:t xml:space="preserve"> over the previous year</w:t>
      </w:r>
      <w:r w:rsidR="00A510C9">
        <w:rPr>
          <w:rFonts w:cs="Arial"/>
        </w:rPr>
        <w:t>.</w:t>
      </w:r>
      <w:r w:rsidR="00894D3B">
        <w:rPr>
          <w:rFonts w:cs="Arial"/>
        </w:rPr>
        <w:t xml:space="preserve"> </w:t>
      </w:r>
      <w:r w:rsidRPr="003650A0">
        <w:rPr>
          <w:rFonts w:cs="Arial"/>
        </w:rPr>
        <w:t xml:space="preserve">Compulsory admissions dropped slightly from 21.9 to 20.5 per cent, and this remains substantially lower than the level of compulsory treatment for other age groups. </w:t>
      </w:r>
      <w:r w:rsidR="005740EC" w:rsidRPr="005740EC">
        <w:rPr>
          <w:rFonts w:cs="Arial"/>
        </w:rPr>
        <w:t xml:space="preserve">Although the average duration of a period of compulsory treatment dropped slightly to 24.7 days in 2019-20, it nevertheless remains in the range of 23-25 days, where it has consistently sat over the past five years. </w:t>
      </w:r>
      <w:r w:rsidRPr="003650A0">
        <w:rPr>
          <w:rFonts w:cs="Arial"/>
        </w:rPr>
        <w:t>The proportion of children and young people</w:t>
      </w:r>
      <w:r>
        <w:rPr>
          <w:rFonts w:cs="Arial"/>
        </w:rPr>
        <w:t xml:space="preserve"> receiving treatment in the community</w:t>
      </w:r>
      <w:r w:rsidRPr="003650A0">
        <w:rPr>
          <w:rFonts w:cs="Arial"/>
        </w:rPr>
        <w:t xml:space="preserve"> on a community treatment order remain</w:t>
      </w:r>
      <w:r w:rsidR="00A510C9">
        <w:rPr>
          <w:rFonts w:cs="Arial"/>
        </w:rPr>
        <w:t>ed</w:t>
      </w:r>
      <w:r w:rsidRPr="003650A0">
        <w:rPr>
          <w:rFonts w:cs="Arial"/>
        </w:rPr>
        <w:t xml:space="preserve"> low and stable at 1.0 per cent.</w:t>
      </w:r>
    </w:p>
    <w:p w14:paraId="26607A37" w14:textId="0F6F63E9" w:rsidR="008E0251" w:rsidRPr="003650A0" w:rsidRDefault="008E0251" w:rsidP="008E0251">
      <w:pPr>
        <w:pStyle w:val="DHHSbody"/>
        <w:rPr>
          <w:rFonts w:cs="Arial"/>
        </w:rPr>
      </w:pPr>
      <w:r w:rsidRPr="003650A0">
        <w:rPr>
          <w:rFonts w:cs="Arial"/>
        </w:rPr>
        <w:t>The trimmed average length of stay (&lt;</w:t>
      </w:r>
      <w:r w:rsidR="004476F8">
        <w:rPr>
          <w:rFonts w:cs="Arial"/>
        </w:rPr>
        <w:t xml:space="preserve"> </w:t>
      </w:r>
      <w:r w:rsidRPr="003650A0">
        <w:rPr>
          <w:rFonts w:cs="Arial"/>
        </w:rPr>
        <w:t xml:space="preserve">35 days) for CAMHS </w:t>
      </w:r>
      <w:r w:rsidR="006C6AC3">
        <w:rPr>
          <w:rFonts w:cs="Arial"/>
        </w:rPr>
        <w:t>is experiencing</w:t>
      </w:r>
      <w:r w:rsidR="006C6AC3" w:rsidRPr="003650A0">
        <w:rPr>
          <w:rFonts w:cs="Arial"/>
        </w:rPr>
        <w:t xml:space="preserve"> </w:t>
      </w:r>
      <w:r w:rsidRPr="003650A0">
        <w:rPr>
          <w:rFonts w:cs="Arial"/>
        </w:rPr>
        <w:t xml:space="preserve">a slight downward trend and was 6.3 days in </w:t>
      </w:r>
      <w:r w:rsidR="00894D3B">
        <w:rPr>
          <w:rFonts w:cs="Arial"/>
        </w:rPr>
        <w:t>2019–20</w:t>
      </w:r>
      <w:r>
        <w:rPr>
          <w:rFonts w:cs="Arial"/>
        </w:rPr>
        <w:t xml:space="preserve"> (Table </w:t>
      </w:r>
      <w:r w:rsidR="009E2C40">
        <w:rPr>
          <w:rFonts w:cs="Arial"/>
        </w:rPr>
        <w:t>12</w:t>
      </w:r>
      <w:r>
        <w:rPr>
          <w:rFonts w:cs="Arial"/>
        </w:rPr>
        <w:t>)</w:t>
      </w:r>
      <w:r w:rsidRPr="003650A0">
        <w:rPr>
          <w:rFonts w:cs="Arial"/>
        </w:rPr>
        <w:t>. The long-term trend for length of stay has been downwards since 2008</w:t>
      </w:r>
      <w:r w:rsidR="004476F8">
        <w:rPr>
          <w:rFonts w:cs="Arial"/>
        </w:rPr>
        <w:t>–</w:t>
      </w:r>
      <w:r>
        <w:rPr>
          <w:rFonts w:cs="Arial"/>
        </w:rPr>
        <w:t>09</w:t>
      </w:r>
      <w:r w:rsidRPr="003650A0">
        <w:rPr>
          <w:rFonts w:cs="Arial"/>
        </w:rPr>
        <w:t xml:space="preserve"> when it was 10.3 days. </w:t>
      </w:r>
      <w:r w:rsidR="005740EC">
        <w:rPr>
          <w:rFonts w:cs="Arial"/>
        </w:rPr>
        <w:t>Children and young people</w:t>
      </w:r>
      <w:r w:rsidR="005740EC" w:rsidRPr="003650A0">
        <w:rPr>
          <w:rFonts w:cs="Arial"/>
        </w:rPr>
        <w:t xml:space="preserve"> </w:t>
      </w:r>
      <w:r w:rsidRPr="003650A0">
        <w:rPr>
          <w:rFonts w:cs="Arial"/>
        </w:rPr>
        <w:t>who stayed longer than 35 days accounted for 9.6 per cent of all CAMHS bed days. The bed occupancy rate is steady at 61.0 per cent.</w:t>
      </w:r>
      <w:r>
        <w:rPr>
          <w:rFonts w:cs="Arial"/>
        </w:rPr>
        <w:t xml:space="preserve"> The readmission rate for CAMHS is high in comparison </w:t>
      </w:r>
      <w:r w:rsidR="006C6AC3">
        <w:rPr>
          <w:rFonts w:cs="Arial"/>
        </w:rPr>
        <w:t xml:space="preserve">with </w:t>
      </w:r>
      <w:r>
        <w:rPr>
          <w:rFonts w:cs="Arial"/>
        </w:rPr>
        <w:t xml:space="preserve">other age groups, at 21.8 per cent in </w:t>
      </w:r>
      <w:r w:rsidR="00894D3B">
        <w:rPr>
          <w:rFonts w:cs="Arial"/>
        </w:rPr>
        <w:t>2019–20</w:t>
      </w:r>
      <w:r>
        <w:rPr>
          <w:rFonts w:cs="Arial"/>
        </w:rPr>
        <w:t>. This can reflect models of care</w:t>
      </w:r>
      <w:r w:rsidR="006C6AC3">
        <w:rPr>
          <w:rFonts w:cs="Arial"/>
        </w:rPr>
        <w:t xml:space="preserve"> that</w:t>
      </w:r>
      <w:r>
        <w:rPr>
          <w:rFonts w:cs="Arial"/>
        </w:rPr>
        <w:t xml:space="preserve"> may involve a relatively short length of stay (reflecting concern about disconnecting children and young people from their family, friends and networks longer than necessary) but </w:t>
      </w:r>
      <w:r w:rsidR="005740EC">
        <w:rPr>
          <w:rFonts w:cs="Arial"/>
        </w:rPr>
        <w:t xml:space="preserve">capacity </w:t>
      </w:r>
      <w:r>
        <w:rPr>
          <w:rFonts w:cs="Arial"/>
        </w:rPr>
        <w:t>to readmit the child or young person as required.</w:t>
      </w:r>
    </w:p>
    <w:p w14:paraId="5E3D500B" w14:textId="6F768DE7" w:rsidR="008E0251" w:rsidRPr="003650A0" w:rsidRDefault="008E0251" w:rsidP="008E0251">
      <w:pPr>
        <w:pStyle w:val="DHHSbody"/>
        <w:rPr>
          <w:rFonts w:cs="Arial"/>
        </w:rPr>
      </w:pPr>
      <w:r w:rsidRPr="003650A0">
        <w:rPr>
          <w:rFonts w:cs="Arial"/>
        </w:rPr>
        <w:t xml:space="preserve">Community contacts are the largest part of CAMHS work. They may involve activities such as assessment and treatment, adolescent day programs, or intensive outreach for young people. CAMHS teams often involve parents and siblings, as well as schools, in supporting a young person. In </w:t>
      </w:r>
      <w:r w:rsidR="00894D3B">
        <w:rPr>
          <w:rFonts w:cs="Arial"/>
        </w:rPr>
        <w:t>2019–20</w:t>
      </w:r>
      <w:r w:rsidRPr="003650A0">
        <w:rPr>
          <w:rFonts w:cs="Arial"/>
        </w:rPr>
        <w:t xml:space="preserve">, there were 352,576 reported contacts, an increase of 5.0 per cent, which builds further on a smaller increase in service activity in </w:t>
      </w:r>
      <w:r w:rsidR="00BA6AC1">
        <w:rPr>
          <w:rFonts w:cs="Arial"/>
        </w:rPr>
        <w:t>2018–19</w:t>
      </w:r>
      <w:r w:rsidRPr="003650A0">
        <w:rPr>
          <w:rFonts w:cs="Arial"/>
        </w:rPr>
        <w:t>.</w:t>
      </w:r>
    </w:p>
    <w:p w14:paraId="71349B72" w14:textId="35CBD10D" w:rsidR="008E0251" w:rsidRPr="00D063F3" w:rsidRDefault="008E0251" w:rsidP="008E0251">
      <w:pPr>
        <w:pStyle w:val="DHHStablecaption"/>
      </w:pPr>
      <w:r>
        <w:t xml:space="preserve">Table </w:t>
      </w:r>
      <w:r w:rsidR="006E3E09">
        <w:t>12</w:t>
      </w:r>
      <w:r>
        <w:t xml:space="preserve">: </w:t>
      </w:r>
      <w:r w:rsidRPr="004E42F9">
        <w:t xml:space="preserve">CYMHS </w:t>
      </w:r>
      <w:r w:rsidR="00A510C9">
        <w:t>b</w:t>
      </w:r>
      <w:r w:rsidRPr="004E42F9">
        <w:t>ed occupancy rate (including leave, excluding same days), 2015</w:t>
      </w:r>
      <w:r w:rsidR="00A510C9">
        <w:t>–</w:t>
      </w:r>
      <w:r w:rsidRPr="004E42F9">
        <w:t xml:space="preserve">16 to </w:t>
      </w:r>
      <w:r w:rsidR="00894D3B">
        <w:t>2019–20</w:t>
      </w:r>
    </w:p>
    <w:tbl>
      <w:tblPr>
        <w:tblStyle w:val="MentalhealthARtablestyle"/>
        <w:tblW w:w="9355" w:type="dxa"/>
        <w:tblLook w:val="04A0" w:firstRow="1" w:lastRow="0" w:firstColumn="1" w:lastColumn="0" w:noHBand="0" w:noVBand="1"/>
      </w:tblPr>
      <w:tblGrid>
        <w:gridCol w:w="2695"/>
        <w:gridCol w:w="1332"/>
        <w:gridCol w:w="1332"/>
        <w:gridCol w:w="1332"/>
        <w:gridCol w:w="1332"/>
        <w:gridCol w:w="1332"/>
      </w:tblGrid>
      <w:tr w:rsidR="005E7578" w:rsidRPr="003650A0" w14:paraId="202FACD5" w14:textId="77777777" w:rsidTr="00802EF0">
        <w:trPr>
          <w:cnfStyle w:val="100000000000" w:firstRow="1" w:lastRow="0" w:firstColumn="0" w:lastColumn="0" w:oddVBand="0" w:evenVBand="0" w:oddHBand="0" w:evenHBand="0" w:firstRowFirstColumn="0" w:firstRowLastColumn="0" w:lastRowFirstColumn="0" w:lastRowLastColumn="0"/>
          <w:trHeight w:val="255"/>
          <w:tblHeader/>
        </w:trPr>
        <w:tc>
          <w:tcPr>
            <w:tcW w:w="2695" w:type="dxa"/>
            <w:hideMark/>
          </w:tcPr>
          <w:p w14:paraId="49969706" w14:textId="77777777" w:rsidR="005E7578" w:rsidRPr="005E7578" w:rsidRDefault="005E7578" w:rsidP="005E7578">
            <w:pPr>
              <w:pStyle w:val="DHHStablecolhead"/>
              <w:rPr>
                <w:b/>
                <w:bCs/>
              </w:rPr>
            </w:pPr>
            <w:r w:rsidRPr="005E7578">
              <w:rPr>
                <w:b/>
                <w:bCs/>
              </w:rPr>
              <w:t>Setting</w:t>
            </w:r>
          </w:p>
        </w:tc>
        <w:tc>
          <w:tcPr>
            <w:tcW w:w="1332" w:type="dxa"/>
          </w:tcPr>
          <w:p w14:paraId="312CAA15" w14:textId="51C98887" w:rsidR="005E7578" w:rsidRPr="005E7578" w:rsidRDefault="005E7578" w:rsidP="005E7578">
            <w:pPr>
              <w:pStyle w:val="DHHStablecolhead"/>
              <w:rPr>
                <w:b/>
                <w:bCs/>
              </w:rPr>
            </w:pPr>
            <w:r w:rsidRPr="005E7578">
              <w:rPr>
                <w:b/>
                <w:bCs/>
              </w:rPr>
              <w:t>2015–16</w:t>
            </w:r>
          </w:p>
        </w:tc>
        <w:tc>
          <w:tcPr>
            <w:tcW w:w="1332" w:type="dxa"/>
            <w:hideMark/>
          </w:tcPr>
          <w:p w14:paraId="1985A67F" w14:textId="596CA926" w:rsidR="005E7578" w:rsidRPr="005E7578" w:rsidRDefault="005E7578" w:rsidP="005E7578">
            <w:pPr>
              <w:pStyle w:val="DHHStablecolhead"/>
              <w:rPr>
                <w:b/>
                <w:bCs/>
                <w:rtl/>
              </w:rPr>
            </w:pPr>
            <w:r w:rsidRPr="005E7578">
              <w:rPr>
                <w:b/>
                <w:bCs/>
              </w:rPr>
              <w:t>2016–17</w:t>
            </w:r>
          </w:p>
        </w:tc>
        <w:tc>
          <w:tcPr>
            <w:tcW w:w="1332" w:type="dxa"/>
            <w:hideMark/>
          </w:tcPr>
          <w:p w14:paraId="375118D3" w14:textId="3A965937" w:rsidR="005E7578" w:rsidRPr="005E7578" w:rsidRDefault="005E7578" w:rsidP="005E7578">
            <w:pPr>
              <w:pStyle w:val="DHHStablecolhead"/>
              <w:rPr>
                <w:b/>
                <w:bCs/>
                <w:rtl/>
              </w:rPr>
            </w:pPr>
            <w:r w:rsidRPr="005E7578">
              <w:rPr>
                <w:b/>
                <w:bCs/>
              </w:rPr>
              <w:t>2017–18</w:t>
            </w:r>
          </w:p>
        </w:tc>
        <w:tc>
          <w:tcPr>
            <w:tcW w:w="1332" w:type="dxa"/>
            <w:hideMark/>
          </w:tcPr>
          <w:p w14:paraId="3D322374" w14:textId="76A22CC1" w:rsidR="005E7578" w:rsidRPr="005E7578" w:rsidRDefault="005E7578" w:rsidP="005E7578">
            <w:pPr>
              <w:pStyle w:val="DHHStablecolhead"/>
              <w:rPr>
                <w:b/>
                <w:bCs/>
                <w:rtl/>
              </w:rPr>
            </w:pPr>
            <w:r w:rsidRPr="005E7578">
              <w:rPr>
                <w:b/>
                <w:bCs/>
              </w:rPr>
              <w:t>2018–19</w:t>
            </w:r>
          </w:p>
        </w:tc>
        <w:tc>
          <w:tcPr>
            <w:tcW w:w="1332" w:type="dxa"/>
          </w:tcPr>
          <w:p w14:paraId="4786F9F3" w14:textId="67686EF2" w:rsidR="005E7578" w:rsidRPr="005E7578" w:rsidRDefault="005E7578" w:rsidP="005E7578">
            <w:pPr>
              <w:pStyle w:val="DHHStablecolhead"/>
              <w:rPr>
                <w:b/>
                <w:bCs/>
              </w:rPr>
            </w:pPr>
            <w:r w:rsidRPr="005E7578">
              <w:rPr>
                <w:b/>
                <w:bCs/>
              </w:rPr>
              <w:t>2019–20</w:t>
            </w:r>
          </w:p>
        </w:tc>
      </w:tr>
      <w:tr w:rsidR="005E7578" w:rsidRPr="003650A0" w14:paraId="522A4972" w14:textId="77777777" w:rsidTr="00802EF0">
        <w:trPr>
          <w:trHeight w:val="255"/>
        </w:trPr>
        <w:tc>
          <w:tcPr>
            <w:tcW w:w="2695" w:type="dxa"/>
            <w:hideMark/>
          </w:tcPr>
          <w:p w14:paraId="653E355C" w14:textId="33979E69" w:rsidR="005E7578" w:rsidRPr="003650A0" w:rsidRDefault="005E7578" w:rsidP="005E7578">
            <w:pPr>
              <w:pStyle w:val="DHHStabletext"/>
              <w:rPr>
                <w:lang w:eastAsia="en-AU"/>
              </w:rPr>
            </w:pPr>
            <w:r w:rsidRPr="003650A0">
              <w:rPr>
                <w:lang w:eastAsia="en-AU"/>
              </w:rPr>
              <w:t>Admitted</w:t>
            </w:r>
            <w:r w:rsidR="00B96DA0">
              <w:rPr>
                <w:lang w:eastAsia="en-AU"/>
              </w:rPr>
              <w:t xml:space="preserve"> – a</w:t>
            </w:r>
            <w:r w:rsidRPr="003650A0">
              <w:rPr>
                <w:lang w:eastAsia="en-AU"/>
              </w:rPr>
              <w:t>cute</w:t>
            </w:r>
          </w:p>
        </w:tc>
        <w:tc>
          <w:tcPr>
            <w:tcW w:w="1332" w:type="dxa"/>
          </w:tcPr>
          <w:p w14:paraId="1E91E7EF" w14:textId="3FBE3D6F" w:rsidR="005E7578" w:rsidRPr="003650A0" w:rsidRDefault="005E7578" w:rsidP="005E7578">
            <w:pPr>
              <w:pStyle w:val="DHHStabletext"/>
              <w:rPr>
                <w:lang w:eastAsia="en-AU"/>
              </w:rPr>
            </w:pPr>
            <w:r w:rsidRPr="003650A0">
              <w:t>63.9</w:t>
            </w:r>
            <w:r>
              <w:t>%</w:t>
            </w:r>
          </w:p>
        </w:tc>
        <w:tc>
          <w:tcPr>
            <w:tcW w:w="1332" w:type="dxa"/>
            <w:hideMark/>
          </w:tcPr>
          <w:p w14:paraId="5E7B89AC" w14:textId="54B26F4B" w:rsidR="005E7578" w:rsidRPr="003650A0" w:rsidRDefault="005E7578" w:rsidP="005E7578">
            <w:pPr>
              <w:pStyle w:val="DHHStabletext"/>
              <w:rPr>
                <w:lang w:eastAsia="en-AU"/>
              </w:rPr>
            </w:pPr>
            <w:r w:rsidRPr="003650A0">
              <w:t>60.9</w:t>
            </w:r>
            <w:r>
              <w:t>%</w:t>
            </w:r>
          </w:p>
        </w:tc>
        <w:tc>
          <w:tcPr>
            <w:tcW w:w="1332" w:type="dxa"/>
            <w:hideMark/>
          </w:tcPr>
          <w:p w14:paraId="445D811F" w14:textId="17517F7F" w:rsidR="005E7578" w:rsidRPr="003650A0" w:rsidRDefault="005E7578" w:rsidP="005E7578">
            <w:pPr>
              <w:pStyle w:val="DHHStabletext"/>
              <w:rPr>
                <w:lang w:eastAsia="en-AU"/>
              </w:rPr>
            </w:pPr>
            <w:r w:rsidRPr="003650A0">
              <w:t>62.6</w:t>
            </w:r>
            <w:r>
              <w:t>%</w:t>
            </w:r>
          </w:p>
        </w:tc>
        <w:tc>
          <w:tcPr>
            <w:tcW w:w="1332" w:type="dxa"/>
            <w:hideMark/>
          </w:tcPr>
          <w:p w14:paraId="522F62D8" w14:textId="6746B208" w:rsidR="005E7578" w:rsidRPr="003650A0" w:rsidRDefault="005E7578" w:rsidP="005E7578">
            <w:pPr>
              <w:pStyle w:val="DHHStabletext"/>
              <w:rPr>
                <w:lang w:eastAsia="en-AU"/>
              </w:rPr>
            </w:pPr>
            <w:r w:rsidRPr="003650A0">
              <w:t>60.4</w:t>
            </w:r>
            <w:r>
              <w:t>%</w:t>
            </w:r>
          </w:p>
        </w:tc>
        <w:tc>
          <w:tcPr>
            <w:tcW w:w="1332" w:type="dxa"/>
          </w:tcPr>
          <w:p w14:paraId="7EEFD779" w14:textId="1D9DF08A" w:rsidR="005E7578" w:rsidRPr="003650A0" w:rsidRDefault="005E7578" w:rsidP="005E7578">
            <w:pPr>
              <w:pStyle w:val="DHHStabletext"/>
              <w:rPr>
                <w:lang w:eastAsia="en-AU"/>
              </w:rPr>
            </w:pPr>
            <w:r w:rsidRPr="003650A0">
              <w:t>61.0</w:t>
            </w:r>
            <w:r>
              <w:t>%</w:t>
            </w:r>
          </w:p>
        </w:tc>
      </w:tr>
      <w:tr w:rsidR="005E7578" w:rsidRPr="003650A0" w14:paraId="5F09B6FA" w14:textId="77777777" w:rsidTr="00A0746B">
        <w:trPr>
          <w:trHeight w:val="255"/>
        </w:trPr>
        <w:tc>
          <w:tcPr>
            <w:tcW w:w="2695" w:type="dxa"/>
          </w:tcPr>
          <w:p w14:paraId="1BDB8D02" w14:textId="284A16CD" w:rsidR="005E7578" w:rsidRPr="00802EF0" w:rsidRDefault="005E7578" w:rsidP="005E7578">
            <w:pPr>
              <w:pStyle w:val="DHHStabletext"/>
              <w:rPr>
                <w:b/>
                <w:bCs/>
                <w:lang w:eastAsia="en-AU"/>
              </w:rPr>
            </w:pPr>
            <w:r w:rsidRPr="00802EF0">
              <w:rPr>
                <w:b/>
                <w:bCs/>
                <w:lang w:eastAsia="en-AU"/>
              </w:rPr>
              <w:t>Total</w:t>
            </w:r>
          </w:p>
        </w:tc>
        <w:tc>
          <w:tcPr>
            <w:tcW w:w="1332" w:type="dxa"/>
          </w:tcPr>
          <w:p w14:paraId="50BD408B" w14:textId="4A793DF1" w:rsidR="005E7578" w:rsidRPr="00802EF0" w:rsidRDefault="005E7578" w:rsidP="005E7578">
            <w:pPr>
              <w:pStyle w:val="DHHStabletext"/>
              <w:rPr>
                <w:b/>
                <w:bCs/>
                <w:lang w:eastAsia="en-AU"/>
              </w:rPr>
            </w:pPr>
            <w:r w:rsidRPr="00802EF0">
              <w:rPr>
                <w:b/>
                <w:bCs/>
              </w:rPr>
              <w:t>63.9%</w:t>
            </w:r>
          </w:p>
        </w:tc>
        <w:tc>
          <w:tcPr>
            <w:tcW w:w="1332" w:type="dxa"/>
          </w:tcPr>
          <w:p w14:paraId="076204E4" w14:textId="7B8F7B47" w:rsidR="005E7578" w:rsidRPr="00802EF0" w:rsidRDefault="005E7578" w:rsidP="005E7578">
            <w:pPr>
              <w:pStyle w:val="DHHStabletext"/>
              <w:rPr>
                <w:b/>
                <w:bCs/>
                <w:lang w:eastAsia="en-AU"/>
              </w:rPr>
            </w:pPr>
            <w:r w:rsidRPr="00802EF0">
              <w:rPr>
                <w:b/>
                <w:bCs/>
              </w:rPr>
              <w:t>60.9%</w:t>
            </w:r>
          </w:p>
        </w:tc>
        <w:tc>
          <w:tcPr>
            <w:tcW w:w="1332" w:type="dxa"/>
          </w:tcPr>
          <w:p w14:paraId="566263FC" w14:textId="09862D96" w:rsidR="005E7578" w:rsidRPr="00802EF0" w:rsidRDefault="005E7578" w:rsidP="005E7578">
            <w:pPr>
              <w:pStyle w:val="DHHStabletext"/>
              <w:rPr>
                <w:b/>
                <w:bCs/>
                <w:lang w:eastAsia="en-AU"/>
              </w:rPr>
            </w:pPr>
            <w:r w:rsidRPr="00802EF0">
              <w:rPr>
                <w:b/>
                <w:bCs/>
              </w:rPr>
              <w:t>62.6%</w:t>
            </w:r>
          </w:p>
        </w:tc>
        <w:tc>
          <w:tcPr>
            <w:tcW w:w="1332" w:type="dxa"/>
          </w:tcPr>
          <w:p w14:paraId="17A2AD7D" w14:textId="36B2EEF6" w:rsidR="005E7578" w:rsidRPr="00802EF0" w:rsidRDefault="005E7578" w:rsidP="005E7578">
            <w:pPr>
              <w:pStyle w:val="DHHStabletext"/>
              <w:rPr>
                <w:b/>
                <w:bCs/>
                <w:lang w:eastAsia="en-AU"/>
              </w:rPr>
            </w:pPr>
            <w:r w:rsidRPr="00802EF0">
              <w:rPr>
                <w:b/>
                <w:bCs/>
              </w:rPr>
              <w:t>60.4%</w:t>
            </w:r>
          </w:p>
        </w:tc>
        <w:tc>
          <w:tcPr>
            <w:tcW w:w="1332" w:type="dxa"/>
          </w:tcPr>
          <w:p w14:paraId="56E66050" w14:textId="1C1A4417" w:rsidR="005E7578" w:rsidRPr="00802EF0" w:rsidRDefault="005E7578" w:rsidP="005E7578">
            <w:pPr>
              <w:pStyle w:val="DHHStabletext"/>
              <w:rPr>
                <w:b/>
                <w:bCs/>
                <w:lang w:eastAsia="en-AU"/>
              </w:rPr>
            </w:pPr>
            <w:r w:rsidRPr="00802EF0">
              <w:rPr>
                <w:b/>
                <w:bCs/>
              </w:rPr>
              <w:t>61.0%</w:t>
            </w:r>
          </w:p>
        </w:tc>
      </w:tr>
    </w:tbl>
    <w:p w14:paraId="081D1D24" w14:textId="77777777" w:rsidR="008E0251" w:rsidRPr="00B267D2" w:rsidRDefault="008E0251" w:rsidP="00B267D2">
      <w:pPr>
        <w:pStyle w:val="Heading2"/>
      </w:pPr>
      <w:bookmarkStart w:id="26" w:name="_Toc55379401"/>
      <w:r w:rsidRPr="00B267D2">
        <w:t>Adult mental health services</w:t>
      </w:r>
      <w:bookmarkEnd w:id="26"/>
    </w:p>
    <w:p w14:paraId="3C575878" w14:textId="72548596" w:rsidR="000D20F2" w:rsidRPr="00F77374" w:rsidRDefault="000D20F2" w:rsidP="00F77374">
      <w:pPr>
        <w:pStyle w:val="DHHSbodynospace"/>
        <w:rPr>
          <w:b/>
          <w:bCs/>
          <w:lang w:val="en" w:eastAsia="en-AU"/>
        </w:rPr>
      </w:pPr>
      <w:r w:rsidRPr="00F77374">
        <w:rPr>
          <w:b/>
          <w:bCs/>
          <w:lang w:val="en" w:eastAsia="en-AU"/>
        </w:rPr>
        <w:t xml:space="preserve">Key statistics </w:t>
      </w:r>
      <w:r w:rsidR="00CE40D6" w:rsidRPr="00F77374">
        <w:rPr>
          <w:b/>
          <w:bCs/>
          <w:lang w:val="en" w:eastAsia="en-AU"/>
        </w:rPr>
        <w:t>2019–20</w:t>
      </w:r>
      <w:r w:rsidRPr="00F77374">
        <w:rPr>
          <w:b/>
          <w:bCs/>
          <w:lang w:val="en" w:eastAsia="en-AU"/>
        </w:rPr>
        <w:t>:</w:t>
      </w:r>
    </w:p>
    <w:p w14:paraId="54B5D377" w14:textId="30345CA7" w:rsidR="000D20F2" w:rsidRPr="000D20F2" w:rsidRDefault="008E0251" w:rsidP="00F77374">
      <w:pPr>
        <w:pStyle w:val="DHHSbodynospace"/>
        <w:rPr>
          <w:lang w:val="en" w:eastAsia="en-AU"/>
        </w:rPr>
      </w:pPr>
      <w:r w:rsidRPr="000D20F2">
        <w:rPr>
          <w:lang w:val="en" w:eastAsia="en-AU"/>
        </w:rPr>
        <w:t>61,101 adult consumers</w:t>
      </w:r>
      <w:r w:rsidRPr="000D20F2">
        <w:rPr>
          <w:rStyle w:val="FootnoteReference"/>
          <w:rFonts w:cstheme="minorBidi"/>
          <w:i/>
          <w:color w:val="000000" w:themeColor="text1"/>
          <w:lang w:val="en" w:eastAsia="en-AU"/>
        </w:rPr>
        <w:footnoteReference w:id="11"/>
      </w:r>
    </w:p>
    <w:p w14:paraId="6D7954F5" w14:textId="3DCFB75B" w:rsidR="008E0251" w:rsidRPr="000D20F2" w:rsidRDefault="008E0251" w:rsidP="00F77374">
      <w:pPr>
        <w:pStyle w:val="DHHSbodynospace"/>
        <w:rPr>
          <w:lang w:val="en" w:eastAsia="en-AU"/>
        </w:rPr>
      </w:pPr>
      <w:r w:rsidRPr="000D20F2">
        <w:rPr>
          <w:lang w:val="en" w:eastAsia="en-AU"/>
        </w:rPr>
        <w:t xml:space="preserve">20,862 </w:t>
      </w:r>
      <w:r w:rsidR="00367D09">
        <w:rPr>
          <w:lang w:val="en" w:eastAsia="en-AU"/>
        </w:rPr>
        <w:t xml:space="preserve">separations </w:t>
      </w:r>
    </w:p>
    <w:p w14:paraId="1C4A6827" w14:textId="77777777" w:rsidR="008E0251" w:rsidRPr="003650A0" w:rsidRDefault="008E0251" w:rsidP="00B267D2">
      <w:pPr>
        <w:pStyle w:val="Heading3"/>
      </w:pPr>
      <w:r w:rsidRPr="003650A0">
        <w:t>Inpatient services</w:t>
      </w:r>
    </w:p>
    <w:p w14:paraId="6D8A66AC" w14:textId="1D3328A0" w:rsidR="008E0251" w:rsidRPr="003650A0" w:rsidRDefault="008E0251" w:rsidP="008E0251">
      <w:pPr>
        <w:pStyle w:val="DHHSbody"/>
        <w:rPr>
          <w:rFonts w:cs="Arial"/>
        </w:rPr>
      </w:pPr>
      <w:r w:rsidRPr="003650A0">
        <w:rPr>
          <w:rFonts w:cs="Arial"/>
        </w:rPr>
        <w:t xml:space="preserve">In </w:t>
      </w:r>
      <w:r w:rsidR="00894D3B">
        <w:rPr>
          <w:rFonts w:cs="Arial"/>
        </w:rPr>
        <w:t>2019–20</w:t>
      </w:r>
      <w:r w:rsidR="004476F8">
        <w:rPr>
          <w:rFonts w:cs="Arial"/>
        </w:rPr>
        <w:t>,</w:t>
      </w:r>
      <w:r w:rsidRPr="003650A0">
        <w:rPr>
          <w:rFonts w:cs="Arial"/>
        </w:rPr>
        <w:t xml:space="preserve"> there were 20,862 </w:t>
      </w:r>
      <w:r w:rsidR="00367D09">
        <w:rPr>
          <w:rFonts w:cs="Arial"/>
        </w:rPr>
        <w:t xml:space="preserve">separations </w:t>
      </w:r>
      <w:r w:rsidRPr="003650A0">
        <w:rPr>
          <w:rFonts w:cs="Arial"/>
        </w:rPr>
        <w:t xml:space="preserve">of adults for mental illness, a decrease of 1.1 per cent from last year. </w:t>
      </w:r>
      <w:r w:rsidR="00464B99">
        <w:rPr>
          <w:rFonts w:cs="Arial"/>
        </w:rPr>
        <w:t>Admissions</w:t>
      </w:r>
      <w:r w:rsidRPr="003650A0">
        <w:rPr>
          <w:rFonts w:cs="Arial"/>
        </w:rPr>
        <w:t xml:space="preserve"> overall dipped in the last quarter as the effects of the pandemic built. The most common diagnoses were schizophrenia and mood disorders such as depression and bipolar disorder. Stress and adjustment disorders were the third most common diagnoses. </w:t>
      </w:r>
      <w:r>
        <w:rPr>
          <w:rFonts w:cs="Arial"/>
        </w:rPr>
        <w:t>The proportion of c</w:t>
      </w:r>
      <w:r w:rsidRPr="003650A0">
        <w:rPr>
          <w:rFonts w:cs="Arial"/>
        </w:rPr>
        <w:t xml:space="preserve">ompulsory admissions increased slightly to 56.0 per cent. </w:t>
      </w:r>
    </w:p>
    <w:p w14:paraId="7191D1C3" w14:textId="31E0E8FC" w:rsidR="008E0251" w:rsidRPr="003650A0" w:rsidRDefault="008E0251" w:rsidP="008E0251">
      <w:pPr>
        <w:pStyle w:val="DHHSbody"/>
        <w:rPr>
          <w:rFonts w:cs="Arial"/>
        </w:rPr>
      </w:pPr>
      <w:r w:rsidRPr="001E633A">
        <w:rPr>
          <w:rFonts w:cs="Arial"/>
        </w:rPr>
        <w:t>Bed occupancy for adult inpatient services remain</w:t>
      </w:r>
      <w:r w:rsidR="00865117">
        <w:rPr>
          <w:rFonts w:cs="Arial"/>
        </w:rPr>
        <w:t>ed</w:t>
      </w:r>
      <w:r w:rsidRPr="001E633A">
        <w:rPr>
          <w:rFonts w:cs="Arial"/>
        </w:rPr>
        <w:t xml:space="preserve"> high at 92.6 per cent</w:t>
      </w:r>
      <w:r>
        <w:rPr>
          <w:rFonts w:cs="Arial"/>
        </w:rPr>
        <w:t xml:space="preserve"> (Table </w:t>
      </w:r>
      <w:r w:rsidR="006E3E09">
        <w:rPr>
          <w:rFonts w:cs="Arial"/>
        </w:rPr>
        <w:t>13</w:t>
      </w:r>
      <w:r>
        <w:rPr>
          <w:rFonts w:cs="Arial"/>
        </w:rPr>
        <w:t>)</w:t>
      </w:r>
      <w:r w:rsidRPr="001E633A">
        <w:rPr>
          <w:rFonts w:cs="Arial"/>
        </w:rPr>
        <w:t xml:space="preserve">, </w:t>
      </w:r>
      <w:r w:rsidR="00865117">
        <w:rPr>
          <w:rFonts w:cs="Arial"/>
        </w:rPr>
        <w:t>which</w:t>
      </w:r>
      <w:r w:rsidRPr="001E633A">
        <w:rPr>
          <w:rFonts w:cs="Arial"/>
        </w:rPr>
        <w:t xml:space="preserve"> probably dipped slightly only because of the pandemic. Occupancy levels </w:t>
      </w:r>
      <w:r w:rsidR="00865117">
        <w:rPr>
          <w:rFonts w:cs="Arial"/>
        </w:rPr>
        <w:t>of</w:t>
      </w:r>
      <w:r w:rsidR="00865117" w:rsidRPr="001E633A">
        <w:rPr>
          <w:rFonts w:cs="Arial"/>
        </w:rPr>
        <w:t xml:space="preserve"> </w:t>
      </w:r>
      <w:r w:rsidRPr="001E633A">
        <w:rPr>
          <w:rFonts w:cs="Arial"/>
        </w:rPr>
        <w:t>around 95 per cent have been sustained for several years and present significant ongoing challenges for services.</w:t>
      </w:r>
    </w:p>
    <w:p w14:paraId="02291AA8" w14:textId="5ACEEA9E" w:rsidR="008E0251" w:rsidRDefault="008E0251" w:rsidP="008E0251">
      <w:pPr>
        <w:pStyle w:val="DHHSbody"/>
        <w:rPr>
          <w:rFonts w:cs="Arial"/>
        </w:rPr>
      </w:pPr>
      <w:r>
        <w:rPr>
          <w:rFonts w:cs="Arial"/>
        </w:rPr>
        <w:t>T</w:t>
      </w:r>
      <w:r w:rsidRPr="003650A0">
        <w:rPr>
          <w:rFonts w:cs="Arial"/>
        </w:rPr>
        <w:t>he</w:t>
      </w:r>
      <w:r>
        <w:rPr>
          <w:rFonts w:cs="Arial"/>
        </w:rPr>
        <w:t>re has been a welcome slight upward trend in the trimmed length of stay for adults over the past two years, following a decline from</w:t>
      </w:r>
      <w:r w:rsidRPr="003650A0">
        <w:rPr>
          <w:rFonts w:cs="Arial"/>
        </w:rPr>
        <w:t xml:space="preserve"> 2010</w:t>
      </w:r>
      <w:r w:rsidR="00E51317">
        <w:rPr>
          <w:rFonts w:cs="Arial"/>
        </w:rPr>
        <w:t>–</w:t>
      </w:r>
      <w:r w:rsidRPr="003650A0">
        <w:rPr>
          <w:rFonts w:cs="Arial"/>
        </w:rPr>
        <w:t>11</w:t>
      </w:r>
      <w:r>
        <w:rPr>
          <w:rFonts w:cs="Arial"/>
        </w:rPr>
        <w:t xml:space="preserve"> onwards, although this dipped again in the final quarter of </w:t>
      </w:r>
      <w:r w:rsidR="009E2C40">
        <w:rPr>
          <w:rFonts w:cs="Arial"/>
        </w:rPr>
        <w:br/>
      </w:r>
      <w:r w:rsidR="00865117">
        <w:rPr>
          <w:rFonts w:cs="Arial"/>
        </w:rPr>
        <w:t>2019–20</w:t>
      </w:r>
      <w:r>
        <w:rPr>
          <w:rFonts w:cs="Arial"/>
        </w:rPr>
        <w:t xml:space="preserve"> due to the pandemic</w:t>
      </w:r>
      <w:r w:rsidRPr="003650A0">
        <w:rPr>
          <w:rFonts w:cs="Arial"/>
        </w:rPr>
        <w:t xml:space="preserve">. </w:t>
      </w:r>
    </w:p>
    <w:p w14:paraId="08A28B02" w14:textId="4A1713CE" w:rsidR="008E0251" w:rsidRDefault="00865117" w:rsidP="008E0251">
      <w:pPr>
        <w:pStyle w:val="DHHSbody"/>
        <w:rPr>
          <w:rFonts w:cs="Arial"/>
        </w:rPr>
      </w:pPr>
      <w:r>
        <w:rPr>
          <w:rFonts w:cs="Arial"/>
        </w:rPr>
        <w:t>O</w:t>
      </w:r>
      <w:r w:rsidR="008E0251" w:rsidRPr="000148AE">
        <w:rPr>
          <w:rFonts w:cs="Arial"/>
        </w:rPr>
        <w:t xml:space="preserve">f </w:t>
      </w:r>
      <w:r>
        <w:rPr>
          <w:rFonts w:cs="Arial"/>
        </w:rPr>
        <w:t xml:space="preserve">the </w:t>
      </w:r>
      <w:r w:rsidR="008E0251" w:rsidRPr="000148AE">
        <w:rPr>
          <w:rFonts w:cs="Arial"/>
        </w:rPr>
        <w:t>adults</w:t>
      </w:r>
      <w:r w:rsidR="008E0251" w:rsidRPr="003650A0">
        <w:rPr>
          <w:rFonts w:cs="Arial"/>
        </w:rPr>
        <w:t xml:space="preserve"> who </w:t>
      </w:r>
      <w:r w:rsidR="008E0251">
        <w:rPr>
          <w:rFonts w:cs="Arial"/>
        </w:rPr>
        <w:t>were admitted as inpatients</w:t>
      </w:r>
      <w:r>
        <w:rPr>
          <w:rFonts w:cs="Arial"/>
        </w:rPr>
        <w:t>,</w:t>
      </w:r>
      <w:r w:rsidR="00A520EE">
        <w:rPr>
          <w:rFonts w:cs="Arial"/>
        </w:rPr>
        <w:t xml:space="preserve"> </w:t>
      </w:r>
      <w:r w:rsidRPr="000148AE">
        <w:rPr>
          <w:rFonts w:cs="Arial"/>
        </w:rPr>
        <w:t xml:space="preserve">61.8 per cent </w:t>
      </w:r>
      <w:r w:rsidR="008E0251" w:rsidRPr="003650A0">
        <w:rPr>
          <w:rFonts w:cs="Arial"/>
        </w:rPr>
        <w:t xml:space="preserve">had contact with a community service before </w:t>
      </w:r>
      <w:r w:rsidR="008E0251">
        <w:rPr>
          <w:rFonts w:cs="Arial"/>
        </w:rPr>
        <w:t>admission</w:t>
      </w:r>
      <w:r w:rsidR="008E0251" w:rsidRPr="003650A0">
        <w:rPr>
          <w:rFonts w:cs="Arial"/>
        </w:rPr>
        <w:t>. The post-discharge follow-up rate was 91.1 per cent, although 14.6 per cent of people were readmitted to hospital within 28 days of discharge</w:t>
      </w:r>
      <w:r w:rsidR="008E0251">
        <w:rPr>
          <w:rFonts w:cs="Arial"/>
        </w:rPr>
        <w:t xml:space="preserve">, compared </w:t>
      </w:r>
      <w:r w:rsidR="00E51317">
        <w:rPr>
          <w:rFonts w:cs="Arial"/>
        </w:rPr>
        <w:t xml:space="preserve">with </w:t>
      </w:r>
      <w:r w:rsidR="008E0251">
        <w:rPr>
          <w:rFonts w:cs="Arial"/>
        </w:rPr>
        <w:t xml:space="preserve">13.7 per cent in </w:t>
      </w:r>
      <w:r w:rsidR="00BA6AC1">
        <w:rPr>
          <w:rFonts w:cs="Arial"/>
        </w:rPr>
        <w:t>2018–19</w:t>
      </w:r>
      <w:r w:rsidR="008E0251" w:rsidRPr="003650A0">
        <w:rPr>
          <w:rFonts w:cs="Arial"/>
        </w:rPr>
        <w:t xml:space="preserve">. Pressure on beds for adults is evident and may result in shorter-than-optimal hospital stays, with a higher risk of relapse and readmission. </w:t>
      </w:r>
    </w:p>
    <w:p w14:paraId="1DC34EA9" w14:textId="77777777" w:rsidR="008E57C0" w:rsidRDefault="008E57C0">
      <w:pPr>
        <w:rPr>
          <w:rFonts w:ascii="Arial" w:hAnsi="Arial"/>
          <w:b/>
        </w:rPr>
      </w:pPr>
      <w:r>
        <w:br w:type="page"/>
      </w:r>
    </w:p>
    <w:p w14:paraId="1E4F05A9" w14:textId="652D8139" w:rsidR="000703F6" w:rsidRPr="002D0BE1" w:rsidRDefault="000703F6" w:rsidP="000703F6">
      <w:pPr>
        <w:pStyle w:val="DHHStablecaption"/>
      </w:pPr>
      <w:r>
        <w:t xml:space="preserve">Table </w:t>
      </w:r>
      <w:r w:rsidR="006E3E09">
        <w:t>13</w:t>
      </w:r>
      <w:r>
        <w:t xml:space="preserve">: </w:t>
      </w:r>
      <w:r w:rsidRPr="00360F2F">
        <w:t>Adult bed occupancy rates (including leave, excluding same day), 2016</w:t>
      </w:r>
      <w:r>
        <w:t>–</w:t>
      </w:r>
      <w:r w:rsidRPr="00360F2F">
        <w:t xml:space="preserve">19 to </w:t>
      </w:r>
      <w:r>
        <w:t>2019–20</w:t>
      </w:r>
    </w:p>
    <w:tbl>
      <w:tblPr>
        <w:tblStyle w:val="MentalhealthARtablestyle"/>
        <w:tblW w:w="9355" w:type="dxa"/>
        <w:tblLook w:val="04A0" w:firstRow="1" w:lastRow="0" w:firstColumn="1" w:lastColumn="0" w:noHBand="0" w:noVBand="1"/>
      </w:tblPr>
      <w:tblGrid>
        <w:gridCol w:w="2695"/>
        <w:gridCol w:w="1332"/>
        <w:gridCol w:w="1332"/>
        <w:gridCol w:w="1332"/>
        <w:gridCol w:w="1332"/>
        <w:gridCol w:w="1332"/>
      </w:tblGrid>
      <w:tr w:rsidR="000703F6" w:rsidRPr="003650A0" w14:paraId="6BF6E12F" w14:textId="77777777" w:rsidTr="0017254F">
        <w:trPr>
          <w:cnfStyle w:val="100000000000" w:firstRow="1" w:lastRow="0" w:firstColumn="0" w:lastColumn="0" w:oddVBand="0" w:evenVBand="0" w:oddHBand="0" w:evenHBand="0" w:firstRowFirstColumn="0" w:firstRowLastColumn="0" w:lastRowFirstColumn="0" w:lastRowLastColumn="0"/>
          <w:trHeight w:val="255"/>
          <w:tblHeader/>
        </w:trPr>
        <w:tc>
          <w:tcPr>
            <w:tcW w:w="2695" w:type="dxa"/>
            <w:hideMark/>
          </w:tcPr>
          <w:p w14:paraId="5898F8D6" w14:textId="77777777" w:rsidR="000703F6" w:rsidRPr="005E7578" w:rsidRDefault="000703F6" w:rsidP="0017254F">
            <w:pPr>
              <w:pStyle w:val="DHHStablecolhead"/>
              <w:rPr>
                <w:b/>
                <w:lang w:eastAsia="en-AU"/>
              </w:rPr>
            </w:pPr>
            <w:r w:rsidRPr="005E7578">
              <w:rPr>
                <w:b/>
                <w:lang w:eastAsia="en-AU"/>
              </w:rPr>
              <w:t>Setting</w:t>
            </w:r>
          </w:p>
        </w:tc>
        <w:tc>
          <w:tcPr>
            <w:tcW w:w="1332" w:type="dxa"/>
          </w:tcPr>
          <w:p w14:paraId="7F8F1EC7" w14:textId="77777777" w:rsidR="000703F6" w:rsidRPr="005E7578" w:rsidRDefault="000703F6" w:rsidP="0017254F">
            <w:pPr>
              <w:pStyle w:val="DHHStablecolhead"/>
              <w:rPr>
                <w:b/>
                <w:lang w:eastAsia="en-AU"/>
              </w:rPr>
            </w:pPr>
            <w:r w:rsidRPr="005E7578">
              <w:rPr>
                <w:b/>
              </w:rPr>
              <w:t>2015–16</w:t>
            </w:r>
          </w:p>
        </w:tc>
        <w:tc>
          <w:tcPr>
            <w:tcW w:w="1332" w:type="dxa"/>
          </w:tcPr>
          <w:p w14:paraId="309CADDB" w14:textId="77777777" w:rsidR="000703F6" w:rsidRPr="005E7578" w:rsidRDefault="000703F6" w:rsidP="0017254F">
            <w:pPr>
              <w:pStyle w:val="DHHStablecolhead"/>
              <w:rPr>
                <w:b/>
                <w:lang w:eastAsia="en-AU"/>
              </w:rPr>
            </w:pPr>
            <w:r w:rsidRPr="005E7578">
              <w:rPr>
                <w:b/>
              </w:rPr>
              <w:t>2016–17</w:t>
            </w:r>
          </w:p>
        </w:tc>
        <w:tc>
          <w:tcPr>
            <w:tcW w:w="1332" w:type="dxa"/>
          </w:tcPr>
          <w:p w14:paraId="05C68440" w14:textId="77777777" w:rsidR="000703F6" w:rsidRPr="005E7578" w:rsidRDefault="000703F6" w:rsidP="0017254F">
            <w:pPr>
              <w:pStyle w:val="DHHStablecolhead"/>
              <w:rPr>
                <w:b/>
                <w:rtl/>
                <w:lang w:eastAsia="en-AU"/>
              </w:rPr>
            </w:pPr>
            <w:r w:rsidRPr="005E7578">
              <w:rPr>
                <w:b/>
              </w:rPr>
              <w:t>2017–18</w:t>
            </w:r>
          </w:p>
        </w:tc>
        <w:tc>
          <w:tcPr>
            <w:tcW w:w="1332" w:type="dxa"/>
          </w:tcPr>
          <w:p w14:paraId="2BCC4EFD" w14:textId="77777777" w:rsidR="000703F6" w:rsidRPr="005E7578" w:rsidRDefault="000703F6" w:rsidP="0017254F">
            <w:pPr>
              <w:pStyle w:val="DHHStablecolhead"/>
              <w:rPr>
                <w:b/>
                <w:rtl/>
                <w:lang w:eastAsia="en-AU"/>
              </w:rPr>
            </w:pPr>
            <w:r w:rsidRPr="005E7578">
              <w:rPr>
                <w:b/>
              </w:rPr>
              <w:t>2018–19</w:t>
            </w:r>
          </w:p>
        </w:tc>
        <w:tc>
          <w:tcPr>
            <w:tcW w:w="1332" w:type="dxa"/>
          </w:tcPr>
          <w:p w14:paraId="57FEFB2D" w14:textId="77777777" w:rsidR="000703F6" w:rsidRPr="005E7578" w:rsidRDefault="000703F6" w:rsidP="0017254F">
            <w:pPr>
              <w:pStyle w:val="DHHStablecolhead"/>
              <w:rPr>
                <w:b/>
                <w:rtl/>
                <w:lang w:eastAsia="en-AU"/>
              </w:rPr>
            </w:pPr>
            <w:r w:rsidRPr="005E7578">
              <w:rPr>
                <w:b/>
              </w:rPr>
              <w:t>2019–20</w:t>
            </w:r>
          </w:p>
        </w:tc>
      </w:tr>
      <w:tr w:rsidR="000703F6" w:rsidRPr="003650A0" w14:paraId="31EFB2CF" w14:textId="77777777" w:rsidTr="0017254F">
        <w:trPr>
          <w:trHeight w:val="255"/>
        </w:trPr>
        <w:tc>
          <w:tcPr>
            <w:tcW w:w="2695" w:type="dxa"/>
            <w:hideMark/>
          </w:tcPr>
          <w:p w14:paraId="7929C13B" w14:textId="77777777" w:rsidR="000703F6" w:rsidRPr="003650A0" w:rsidRDefault="000703F6" w:rsidP="0017254F">
            <w:pPr>
              <w:pStyle w:val="DHHStabletext"/>
              <w:rPr>
                <w:lang w:eastAsia="en-AU"/>
              </w:rPr>
            </w:pPr>
            <w:r w:rsidRPr="003650A0">
              <w:rPr>
                <w:lang w:eastAsia="en-AU"/>
              </w:rPr>
              <w:t>Admitted</w:t>
            </w:r>
            <w:r>
              <w:rPr>
                <w:lang w:eastAsia="en-AU"/>
              </w:rPr>
              <w:t xml:space="preserve"> – a</w:t>
            </w:r>
            <w:r w:rsidRPr="003650A0">
              <w:rPr>
                <w:lang w:eastAsia="en-AU"/>
              </w:rPr>
              <w:t>cute</w:t>
            </w:r>
          </w:p>
        </w:tc>
        <w:tc>
          <w:tcPr>
            <w:tcW w:w="1332" w:type="dxa"/>
          </w:tcPr>
          <w:p w14:paraId="51E6E9B2" w14:textId="77777777" w:rsidR="000703F6" w:rsidRPr="003650A0" w:rsidRDefault="000703F6" w:rsidP="0017254F">
            <w:pPr>
              <w:pStyle w:val="DHHStabletext"/>
              <w:rPr>
                <w:lang w:eastAsia="en-AU"/>
              </w:rPr>
            </w:pPr>
            <w:r w:rsidRPr="003650A0">
              <w:t>94.2</w:t>
            </w:r>
            <w:r>
              <w:t>%</w:t>
            </w:r>
          </w:p>
        </w:tc>
        <w:tc>
          <w:tcPr>
            <w:tcW w:w="1332" w:type="dxa"/>
          </w:tcPr>
          <w:p w14:paraId="22A035D8" w14:textId="77777777" w:rsidR="000703F6" w:rsidRPr="003650A0" w:rsidRDefault="000703F6" w:rsidP="0017254F">
            <w:pPr>
              <w:pStyle w:val="DHHStabletext"/>
              <w:rPr>
                <w:lang w:eastAsia="en-AU"/>
              </w:rPr>
            </w:pPr>
            <w:r w:rsidRPr="003650A0">
              <w:t>95.0</w:t>
            </w:r>
            <w:r>
              <w:t>%</w:t>
            </w:r>
          </w:p>
        </w:tc>
        <w:tc>
          <w:tcPr>
            <w:tcW w:w="1332" w:type="dxa"/>
            <w:hideMark/>
          </w:tcPr>
          <w:p w14:paraId="773E73AF" w14:textId="77777777" w:rsidR="000703F6" w:rsidRPr="003650A0" w:rsidRDefault="000703F6" w:rsidP="0017254F">
            <w:pPr>
              <w:pStyle w:val="DHHStabletext"/>
              <w:rPr>
                <w:lang w:eastAsia="en-AU"/>
              </w:rPr>
            </w:pPr>
            <w:r w:rsidRPr="003650A0">
              <w:t>94.6</w:t>
            </w:r>
            <w:r>
              <w:t>%</w:t>
            </w:r>
          </w:p>
        </w:tc>
        <w:tc>
          <w:tcPr>
            <w:tcW w:w="1332" w:type="dxa"/>
            <w:hideMark/>
          </w:tcPr>
          <w:p w14:paraId="31E90712" w14:textId="77777777" w:rsidR="000703F6" w:rsidRPr="003650A0" w:rsidRDefault="000703F6" w:rsidP="0017254F">
            <w:pPr>
              <w:pStyle w:val="DHHStabletext"/>
              <w:rPr>
                <w:lang w:eastAsia="en-AU"/>
              </w:rPr>
            </w:pPr>
            <w:r w:rsidRPr="003650A0">
              <w:t>94.6</w:t>
            </w:r>
            <w:r>
              <w:t>%</w:t>
            </w:r>
          </w:p>
        </w:tc>
        <w:tc>
          <w:tcPr>
            <w:tcW w:w="1332" w:type="dxa"/>
            <w:hideMark/>
          </w:tcPr>
          <w:p w14:paraId="53C1192D" w14:textId="77777777" w:rsidR="000703F6" w:rsidRPr="003650A0" w:rsidRDefault="000703F6" w:rsidP="0017254F">
            <w:pPr>
              <w:pStyle w:val="DHHStabletext"/>
              <w:rPr>
                <w:lang w:eastAsia="en-AU"/>
              </w:rPr>
            </w:pPr>
            <w:r w:rsidRPr="003650A0">
              <w:t>92.6</w:t>
            </w:r>
            <w:r>
              <w:t>%</w:t>
            </w:r>
          </w:p>
        </w:tc>
      </w:tr>
      <w:tr w:rsidR="000703F6" w:rsidRPr="003650A0" w14:paraId="31EF42C8" w14:textId="77777777" w:rsidTr="0017254F">
        <w:trPr>
          <w:trHeight w:val="255"/>
        </w:trPr>
        <w:tc>
          <w:tcPr>
            <w:tcW w:w="2695" w:type="dxa"/>
            <w:hideMark/>
          </w:tcPr>
          <w:p w14:paraId="53AB7269" w14:textId="77777777" w:rsidR="000703F6" w:rsidRPr="003650A0" w:rsidRDefault="000703F6" w:rsidP="0017254F">
            <w:pPr>
              <w:pStyle w:val="DHHStabletext"/>
              <w:rPr>
                <w:lang w:eastAsia="en-AU"/>
              </w:rPr>
            </w:pPr>
            <w:r w:rsidRPr="003650A0">
              <w:rPr>
                <w:lang w:eastAsia="en-AU"/>
              </w:rPr>
              <w:t>Admitted</w:t>
            </w:r>
            <w:r>
              <w:rPr>
                <w:lang w:eastAsia="en-AU"/>
              </w:rPr>
              <w:t xml:space="preserve"> – non-acute</w:t>
            </w:r>
          </w:p>
        </w:tc>
        <w:tc>
          <w:tcPr>
            <w:tcW w:w="1332" w:type="dxa"/>
          </w:tcPr>
          <w:p w14:paraId="7350FD5C" w14:textId="77777777" w:rsidR="000703F6" w:rsidRPr="003650A0" w:rsidRDefault="000703F6" w:rsidP="0017254F">
            <w:pPr>
              <w:pStyle w:val="DHHStabletext"/>
              <w:rPr>
                <w:lang w:eastAsia="en-AU"/>
              </w:rPr>
            </w:pPr>
            <w:r w:rsidRPr="003650A0">
              <w:t>90.7</w:t>
            </w:r>
            <w:r>
              <w:t>%</w:t>
            </w:r>
          </w:p>
        </w:tc>
        <w:tc>
          <w:tcPr>
            <w:tcW w:w="1332" w:type="dxa"/>
          </w:tcPr>
          <w:p w14:paraId="05149CC0" w14:textId="77777777" w:rsidR="000703F6" w:rsidRPr="003650A0" w:rsidRDefault="000703F6" w:rsidP="0017254F">
            <w:pPr>
              <w:pStyle w:val="DHHStabletext"/>
              <w:rPr>
                <w:lang w:eastAsia="en-AU"/>
              </w:rPr>
            </w:pPr>
            <w:r w:rsidRPr="003650A0">
              <w:t>88.5</w:t>
            </w:r>
            <w:r>
              <w:t>%</w:t>
            </w:r>
          </w:p>
        </w:tc>
        <w:tc>
          <w:tcPr>
            <w:tcW w:w="1332" w:type="dxa"/>
            <w:hideMark/>
          </w:tcPr>
          <w:p w14:paraId="02CE1BA4" w14:textId="77777777" w:rsidR="000703F6" w:rsidRPr="003650A0" w:rsidRDefault="000703F6" w:rsidP="0017254F">
            <w:pPr>
              <w:pStyle w:val="DHHStabletext"/>
              <w:rPr>
                <w:lang w:eastAsia="en-AU"/>
              </w:rPr>
            </w:pPr>
            <w:r w:rsidRPr="003650A0">
              <w:t>82.7</w:t>
            </w:r>
            <w:r>
              <w:t>%</w:t>
            </w:r>
          </w:p>
        </w:tc>
        <w:tc>
          <w:tcPr>
            <w:tcW w:w="1332" w:type="dxa"/>
            <w:hideMark/>
          </w:tcPr>
          <w:p w14:paraId="3807044C" w14:textId="77777777" w:rsidR="000703F6" w:rsidRPr="003650A0" w:rsidRDefault="000703F6" w:rsidP="0017254F">
            <w:pPr>
              <w:pStyle w:val="DHHStabletext"/>
              <w:rPr>
                <w:lang w:eastAsia="en-AU"/>
              </w:rPr>
            </w:pPr>
            <w:r w:rsidRPr="003650A0">
              <w:t>83.4</w:t>
            </w:r>
            <w:r>
              <w:t>%</w:t>
            </w:r>
          </w:p>
        </w:tc>
        <w:tc>
          <w:tcPr>
            <w:tcW w:w="1332" w:type="dxa"/>
            <w:hideMark/>
          </w:tcPr>
          <w:p w14:paraId="003CA76A" w14:textId="77777777" w:rsidR="000703F6" w:rsidRPr="003650A0" w:rsidRDefault="000703F6" w:rsidP="0017254F">
            <w:pPr>
              <w:pStyle w:val="DHHStabletext"/>
              <w:rPr>
                <w:lang w:eastAsia="en-AU"/>
              </w:rPr>
            </w:pPr>
            <w:r w:rsidRPr="003650A0">
              <w:t>87.6</w:t>
            </w:r>
            <w:r>
              <w:t>%</w:t>
            </w:r>
          </w:p>
        </w:tc>
      </w:tr>
      <w:tr w:rsidR="000703F6" w:rsidRPr="003650A0" w14:paraId="660F1428" w14:textId="77777777" w:rsidTr="0017254F">
        <w:trPr>
          <w:trHeight w:val="255"/>
        </w:trPr>
        <w:tc>
          <w:tcPr>
            <w:tcW w:w="2695" w:type="dxa"/>
            <w:hideMark/>
          </w:tcPr>
          <w:p w14:paraId="42E1D21E" w14:textId="77777777" w:rsidR="000703F6" w:rsidRPr="003650A0" w:rsidRDefault="000703F6" w:rsidP="0017254F">
            <w:pPr>
              <w:pStyle w:val="DHHStabletext"/>
              <w:rPr>
                <w:lang w:eastAsia="en-AU"/>
              </w:rPr>
            </w:pPr>
            <w:r>
              <w:rPr>
                <w:lang w:eastAsia="en-AU"/>
              </w:rPr>
              <w:t>Non-admitted – subacute</w:t>
            </w:r>
            <w:r w:rsidRPr="003650A0">
              <w:rPr>
                <w:lang w:eastAsia="en-AU"/>
              </w:rPr>
              <w:t xml:space="preserve"> (CCU)</w:t>
            </w:r>
          </w:p>
        </w:tc>
        <w:tc>
          <w:tcPr>
            <w:tcW w:w="1332" w:type="dxa"/>
          </w:tcPr>
          <w:p w14:paraId="6C469A7E" w14:textId="77777777" w:rsidR="000703F6" w:rsidRPr="003650A0" w:rsidRDefault="000703F6" w:rsidP="0017254F">
            <w:pPr>
              <w:pStyle w:val="DHHStabletext"/>
              <w:rPr>
                <w:lang w:eastAsia="en-AU"/>
              </w:rPr>
            </w:pPr>
            <w:r w:rsidRPr="003650A0">
              <w:t>79.1</w:t>
            </w:r>
            <w:r>
              <w:t>%</w:t>
            </w:r>
          </w:p>
        </w:tc>
        <w:tc>
          <w:tcPr>
            <w:tcW w:w="1332" w:type="dxa"/>
          </w:tcPr>
          <w:p w14:paraId="6BA1CC8E" w14:textId="77777777" w:rsidR="000703F6" w:rsidRPr="003650A0" w:rsidRDefault="000703F6" w:rsidP="0017254F">
            <w:pPr>
              <w:pStyle w:val="DHHStabletext"/>
              <w:rPr>
                <w:lang w:eastAsia="en-AU"/>
              </w:rPr>
            </w:pPr>
            <w:r w:rsidRPr="003650A0">
              <w:t>78.6</w:t>
            </w:r>
            <w:r>
              <w:t>%</w:t>
            </w:r>
          </w:p>
        </w:tc>
        <w:tc>
          <w:tcPr>
            <w:tcW w:w="1332" w:type="dxa"/>
            <w:hideMark/>
          </w:tcPr>
          <w:p w14:paraId="39315C4C" w14:textId="77777777" w:rsidR="000703F6" w:rsidRPr="003650A0" w:rsidRDefault="000703F6" w:rsidP="0017254F">
            <w:pPr>
              <w:pStyle w:val="DHHStabletext"/>
              <w:rPr>
                <w:lang w:eastAsia="en-AU"/>
              </w:rPr>
            </w:pPr>
            <w:r w:rsidRPr="003650A0">
              <w:t>80.1</w:t>
            </w:r>
            <w:r>
              <w:t>%</w:t>
            </w:r>
          </w:p>
        </w:tc>
        <w:tc>
          <w:tcPr>
            <w:tcW w:w="1332" w:type="dxa"/>
            <w:hideMark/>
          </w:tcPr>
          <w:p w14:paraId="35AE9B10" w14:textId="77777777" w:rsidR="000703F6" w:rsidRPr="003650A0" w:rsidRDefault="000703F6" w:rsidP="0017254F">
            <w:pPr>
              <w:pStyle w:val="DHHStabletext"/>
              <w:rPr>
                <w:lang w:eastAsia="en-AU"/>
              </w:rPr>
            </w:pPr>
            <w:r w:rsidRPr="003650A0">
              <w:t>80.9</w:t>
            </w:r>
            <w:r>
              <w:t>%</w:t>
            </w:r>
          </w:p>
        </w:tc>
        <w:tc>
          <w:tcPr>
            <w:tcW w:w="1332" w:type="dxa"/>
            <w:hideMark/>
          </w:tcPr>
          <w:p w14:paraId="067F8B49" w14:textId="77777777" w:rsidR="000703F6" w:rsidRPr="003650A0" w:rsidRDefault="000703F6" w:rsidP="0017254F">
            <w:pPr>
              <w:pStyle w:val="DHHStabletext"/>
              <w:rPr>
                <w:lang w:eastAsia="en-AU"/>
              </w:rPr>
            </w:pPr>
            <w:r w:rsidRPr="003650A0">
              <w:t>80.3</w:t>
            </w:r>
            <w:r>
              <w:t>%</w:t>
            </w:r>
          </w:p>
        </w:tc>
      </w:tr>
      <w:tr w:rsidR="000703F6" w:rsidRPr="003650A0" w14:paraId="37482632" w14:textId="77777777" w:rsidTr="0017254F">
        <w:trPr>
          <w:trHeight w:val="255"/>
        </w:trPr>
        <w:tc>
          <w:tcPr>
            <w:tcW w:w="2695" w:type="dxa"/>
            <w:hideMark/>
          </w:tcPr>
          <w:p w14:paraId="6B853BEA" w14:textId="77777777" w:rsidR="000703F6" w:rsidRPr="003650A0" w:rsidRDefault="000703F6" w:rsidP="0017254F">
            <w:pPr>
              <w:pStyle w:val="DHHStabletext"/>
              <w:rPr>
                <w:lang w:eastAsia="en-AU"/>
              </w:rPr>
            </w:pPr>
            <w:r>
              <w:rPr>
                <w:lang w:eastAsia="en-AU"/>
              </w:rPr>
              <w:t>Non-admitted – subacute</w:t>
            </w:r>
            <w:r w:rsidRPr="003650A0">
              <w:rPr>
                <w:lang w:eastAsia="en-AU"/>
              </w:rPr>
              <w:t xml:space="preserve"> (PARC)</w:t>
            </w:r>
          </w:p>
        </w:tc>
        <w:tc>
          <w:tcPr>
            <w:tcW w:w="1332" w:type="dxa"/>
          </w:tcPr>
          <w:p w14:paraId="715863BC" w14:textId="77777777" w:rsidR="000703F6" w:rsidRPr="003650A0" w:rsidRDefault="000703F6" w:rsidP="0017254F">
            <w:pPr>
              <w:pStyle w:val="DHHStabletext"/>
              <w:rPr>
                <w:lang w:eastAsia="en-AU"/>
              </w:rPr>
            </w:pPr>
            <w:r w:rsidRPr="003650A0">
              <w:t>77.8</w:t>
            </w:r>
            <w:r>
              <w:t>%</w:t>
            </w:r>
          </w:p>
        </w:tc>
        <w:tc>
          <w:tcPr>
            <w:tcW w:w="1332" w:type="dxa"/>
          </w:tcPr>
          <w:p w14:paraId="66F71A81" w14:textId="77777777" w:rsidR="000703F6" w:rsidRPr="003650A0" w:rsidRDefault="000703F6" w:rsidP="0017254F">
            <w:pPr>
              <w:pStyle w:val="DHHStabletext"/>
              <w:rPr>
                <w:lang w:eastAsia="en-AU"/>
              </w:rPr>
            </w:pPr>
            <w:r w:rsidRPr="003650A0">
              <w:t>80.7</w:t>
            </w:r>
            <w:r>
              <w:t>%</w:t>
            </w:r>
          </w:p>
        </w:tc>
        <w:tc>
          <w:tcPr>
            <w:tcW w:w="1332" w:type="dxa"/>
            <w:hideMark/>
          </w:tcPr>
          <w:p w14:paraId="30C0C6C4" w14:textId="77777777" w:rsidR="000703F6" w:rsidRPr="003650A0" w:rsidRDefault="000703F6" w:rsidP="0017254F">
            <w:pPr>
              <w:pStyle w:val="DHHStabletext"/>
              <w:rPr>
                <w:lang w:eastAsia="en-AU"/>
              </w:rPr>
            </w:pPr>
            <w:r w:rsidRPr="003650A0">
              <w:t>76.1</w:t>
            </w:r>
            <w:r>
              <w:t>%</w:t>
            </w:r>
          </w:p>
        </w:tc>
        <w:tc>
          <w:tcPr>
            <w:tcW w:w="1332" w:type="dxa"/>
            <w:hideMark/>
          </w:tcPr>
          <w:p w14:paraId="6E96295D" w14:textId="77777777" w:rsidR="000703F6" w:rsidRPr="003650A0" w:rsidRDefault="000703F6" w:rsidP="0017254F">
            <w:pPr>
              <w:pStyle w:val="DHHStabletext"/>
              <w:rPr>
                <w:lang w:eastAsia="en-AU"/>
              </w:rPr>
            </w:pPr>
            <w:r w:rsidRPr="003650A0">
              <w:t>79.4</w:t>
            </w:r>
            <w:r>
              <w:t>%</w:t>
            </w:r>
          </w:p>
        </w:tc>
        <w:tc>
          <w:tcPr>
            <w:tcW w:w="1332" w:type="dxa"/>
            <w:hideMark/>
          </w:tcPr>
          <w:p w14:paraId="11BDBEA9" w14:textId="77777777" w:rsidR="000703F6" w:rsidRPr="003650A0" w:rsidRDefault="000703F6" w:rsidP="0017254F">
            <w:pPr>
              <w:pStyle w:val="DHHStabletext"/>
              <w:rPr>
                <w:lang w:eastAsia="en-AU"/>
              </w:rPr>
            </w:pPr>
            <w:r w:rsidRPr="003650A0">
              <w:t>72.6</w:t>
            </w:r>
            <w:r>
              <w:t>%</w:t>
            </w:r>
          </w:p>
        </w:tc>
      </w:tr>
      <w:tr w:rsidR="000703F6" w:rsidRPr="003650A0" w14:paraId="66A2BCDA" w14:textId="77777777" w:rsidTr="0017254F">
        <w:trPr>
          <w:trHeight w:val="255"/>
        </w:trPr>
        <w:tc>
          <w:tcPr>
            <w:tcW w:w="2695" w:type="dxa"/>
            <w:hideMark/>
          </w:tcPr>
          <w:p w14:paraId="65EE2CF8" w14:textId="77777777" w:rsidR="000703F6" w:rsidRPr="00802EF0" w:rsidRDefault="000703F6" w:rsidP="0017254F">
            <w:pPr>
              <w:pStyle w:val="DHHStabletext"/>
              <w:rPr>
                <w:b/>
                <w:bCs/>
                <w:lang w:eastAsia="en-AU"/>
              </w:rPr>
            </w:pPr>
            <w:r w:rsidRPr="00802EF0">
              <w:rPr>
                <w:b/>
                <w:bCs/>
                <w:lang w:eastAsia="en-AU"/>
              </w:rPr>
              <w:t>Total</w:t>
            </w:r>
          </w:p>
        </w:tc>
        <w:tc>
          <w:tcPr>
            <w:tcW w:w="1332" w:type="dxa"/>
          </w:tcPr>
          <w:p w14:paraId="7D401A01" w14:textId="77777777" w:rsidR="000703F6" w:rsidRPr="00802EF0" w:rsidRDefault="000703F6" w:rsidP="0017254F">
            <w:pPr>
              <w:pStyle w:val="DHHStabletext"/>
              <w:rPr>
                <w:b/>
                <w:bCs/>
                <w:lang w:eastAsia="en-AU"/>
              </w:rPr>
            </w:pPr>
            <w:r w:rsidRPr="00802EF0">
              <w:rPr>
                <w:b/>
                <w:bCs/>
              </w:rPr>
              <w:t>87.3%</w:t>
            </w:r>
          </w:p>
        </w:tc>
        <w:tc>
          <w:tcPr>
            <w:tcW w:w="1332" w:type="dxa"/>
          </w:tcPr>
          <w:p w14:paraId="1F32987E" w14:textId="77777777" w:rsidR="000703F6" w:rsidRPr="00802EF0" w:rsidRDefault="000703F6" w:rsidP="0017254F">
            <w:pPr>
              <w:pStyle w:val="DHHStabletext"/>
              <w:rPr>
                <w:b/>
                <w:bCs/>
                <w:lang w:eastAsia="en-AU"/>
              </w:rPr>
            </w:pPr>
            <w:r w:rsidRPr="00802EF0">
              <w:rPr>
                <w:b/>
                <w:bCs/>
              </w:rPr>
              <w:t>87.9%</w:t>
            </w:r>
          </w:p>
        </w:tc>
        <w:tc>
          <w:tcPr>
            <w:tcW w:w="1332" w:type="dxa"/>
            <w:hideMark/>
          </w:tcPr>
          <w:p w14:paraId="7310E4A0" w14:textId="77777777" w:rsidR="000703F6" w:rsidRPr="00802EF0" w:rsidRDefault="000703F6" w:rsidP="0017254F">
            <w:pPr>
              <w:pStyle w:val="DHHStabletext"/>
              <w:rPr>
                <w:b/>
                <w:bCs/>
                <w:lang w:eastAsia="en-AU"/>
              </w:rPr>
            </w:pPr>
            <w:r w:rsidRPr="00802EF0">
              <w:rPr>
                <w:b/>
                <w:bCs/>
              </w:rPr>
              <w:t>86.8%</w:t>
            </w:r>
          </w:p>
        </w:tc>
        <w:tc>
          <w:tcPr>
            <w:tcW w:w="1332" w:type="dxa"/>
            <w:hideMark/>
          </w:tcPr>
          <w:p w14:paraId="6A1FB992" w14:textId="77777777" w:rsidR="000703F6" w:rsidRPr="00802EF0" w:rsidRDefault="000703F6" w:rsidP="0017254F">
            <w:pPr>
              <w:pStyle w:val="DHHStabletext"/>
              <w:rPr>
                <w:b/>
                <w:bCs/>
                <w:lang w:eastAsia="en-AU"/>
              </w:rPr>
            </w:pPr>
            <w:r w:rsidRPr="00802EF0">
              <w:rPr>
                <w:b/>
                <w:bCs/>
              </w:rPr>
              <w:t>87.7%</w:t>
            </w:r>
          </w:p>
        </w:tc>
        <w:tc>
          <w:tcPr>
            <w:tcW w:w="1332" w:type="dxa"/>
            <w:hideMark/>
          </w:tcPr>
          <w:p w14:paraId="5E1F0229" w14:textId="77777777" w:rsidR="000703F6" w:rsidRPr="00802EF0" w:rsidRDefault="000703F6" w:rsidP="0017254F">
            <w:pPr>
              <w:pStyle w:val="DHHStabletext"/>
              <w:rPr>
                <w:b/>
                <w:bCs/>
                <w:lang w:eastAsia="en-AU"/>
              </w:rPr>
            </w:pPr>
            <w:r w:rsidRPr="00802EF0">
              <w:rPr>
                <w:b/>
                <w:bCs/>
              </w:rPr>
              <w:t>86.0%</w:t>
            </w:r>
          </w:p>
        </w:tc>
      </w:tr>
    </w:tbl>
    <w:p w14:paraId="5EBB73F6" w14:textId="77777777" w:rsidR="008E0251" w:rsidRPr="004E42F9" w:rsidRDefault="008E0251" w:rsidP="00B267D2">
      <w:pPr>
        <w:pStyle w:val="Heading3"/>
      </w:pPr>
      <w:r w:rsidRPr="004E42F9">
        <w:t>Clinical mental health services delivered in the community</w:t>
      </w:r>
    </w:p>
    <w:p w14:paraId="5AF018A5" w14:textId="1EDCD29F" w:rsidR="000D20F2" w:rsidRPr="00F77374" w:rsidRDefault="000D20F2" w:rsidP="00F77374">
      <w:pPr>
        <w:pStyle w:val="DHHSbodynospace"/>
        <w:rPr>
          <w:b/>
          <w:bCs/>
          <w:lang w:val="en" w:eastAsia="en-AU"/>
        </w:rPr>
      </w:pPr>
      <w:r w:rsidRPr="00F77374">
        <w:rPr>
          <w:b/>
          <w:bCs/>
          <w:lang w:val="en" w:eastAsia="en-AU"/>
        </w:rPr>
        <w:t xml:space="preserve">Key statistics </w:t>
      </w:r>
      <w:r w:rsidR="00CE40D6" w:rsidRPr="00F77374">
        <w:rPr>
          <w:b/>
          <w:bCs/>
          <w:lang w:val="en" w:eastAsia="en-AU"/>
        </w:rPr>
        <w:t>2019–20</w:t>
      </w:r>
      <w:r w:rsidRPr="00F77374">
        <w:rPr>
          <w:b/>
          <w:bCs/>
          <w:lang w:val="en" w:eastAsia="en-AU"/>
        </w:rPr>
        <w:t>:</w:t>
      </w:r>
    </w:p>
    <w:p w14:paraId="47EE56A5" w14:textId="41A199CF" w:rsidR="000D20F2" w:rsidRDefault="000D20F2" w:rsidP="00F77374">
      <w:pPr>
        <w:pStyle w:val="DHHSbodynospace"/>
        <w:rPr>
          <w:lang w:val="en" w:eastAsia="en-AU"/>
        </w:rPr>
      </w:pPr>
      <w:r>
        <w:rPr>
          <w:lang w:val="en" w:eastAsia="en-AU"/>
        </w:rPr>
        <w:t>1,952,053 contacts</w:t>
      </w:r>
    </w:p>
    <w:p w14:paraId="6F965FF4" w14:textId="16B6CD6D" w:rsidR="000D20F2" w:rsidRPr="000D20F2" w:rsidRDefault="000D20F2" w:rsidP="00F77374">
      <w:pPr>
        <w:pStyle w:val="DHHSbodynospace"/>
        <w:rPr>
          <w:lang w:val="en" w:eastAsia="en-AU"/>
        </w:rPr>
      </w:pPr>
      <w:r>
        <w:rPr>
          <w:lang w:val="en" w:eastAsia="en-AU"/>
        </w:rPr>
        <w:t>1,039,862 service hours</w:t>
      </w:r>
    </w:p>
    <w:p w14:paraId="049504C4" w14:textId="77777777" w:rsidR="000D20F2" w:rsidRDefault="000D20F2" w:rsidP="008E0251">
      <w:pPr>
        <w:pStyle w:val="DHHSbody"/>
        <w:rPr>
          <w:rFonts w:cs="Arial"/>
        </w:rPr>
      </w:pPr>
    </w:p>
    <w:p w14:paraId="65D6E2F3" w14:textId="7DF39481" w:rsidR="008E0251" w:rsidRPr="003650A0" w:rsidRDefault="008E0251" w:rsidP="008E0251">
      <w:pPr>
        <w:pStyle w:val="DHHSbody"/>
        <w:rPr>
          <w:rFonts w:cs="Arial"/>
        </w:rPr>
      </w:pPr>
      <w:r w:rsidRPr="003650A0">
        <w:rPr>
          <w:rFonts w:cs="Arial"/>
        </w:rPr>
        <w:t>The number of recorded community contacts for</w:t>
      </w:r>
      <w:r>
        <w:rPr>
          <w:rFonts w:cs="Arial"/>
        </w:rPr>
        <w:t xml:space="preserve"> adults in</w:t>
      </w:r>
      <w:r w:rsidRPr="003650A0">
        <w:rPr>
          <w:rFonts w:cs="Arial"/>
        </w:rPr>
        <w:t xml:space="preserve"> </w:t>
      </w:r>
      <w:r w:rsidR="00894D3B">
        <w:rPr>
          <w:rFonts w:cs="Arial"/>
        </w:rPr>
        <w:t>2019–20</w:t>
      </w:r>
      <w:r w:rsidRPr="003650A0">
        <w:rPr>
          <w:rFonts w:cs="Arial"/>
        </w:rPr>
        <w:t xml:space="preserve"> was 1,952,053, an increase of 4.7 per cent over the previous year. Service hours show an increase of 6.1 per cent. The mode of service delivery changed substantially with the impact of the pandemic. Face-to-face contacts reduced substantially from March 2020 and were increasingly replaced by phone and videoconference contacts. Consistent with the previous four years, 15.0 per cent of adult </w:t>
      </w:r>
      <w:r>
        <w:rPr>
          <w:rFonts w:cs="Arial"/>
        </w:rPr>
        <w:t>consumer</w:t>
      </w:r>
      <w:r w:rsidRPr="003650A0">
        <w:rPr>
          <w:rFonts w:cs="Arial"/>
        </w:rPr>
        <w:t xml:space="preserve">s receiving treatment in the community </w:t>
      </w:r>
      <w:r w:rsidR="00F70AB1">
        <w:rPr>
          <w:rFonts w:cs="Arial"/>
        </w:rPr>
        <w:t>we</w:t>
      </w:r>
      <w:r w:rsidRPr="003650A0">
        <w:rPr>
          <w:rFonts w:cs="Arial"/>
        </w:rPr>
        <w:t>re on community treatment orders.</w:t>
      </w:r>
    </w:p>
    <w:p w14:paraId="65887CC1" w14:textId="65420AEA" w:rsidR="008E0251" w:rsidRPr="003650A0" w:rsidRDefault="008E0251" w:rsidP="008E0251">
      <w:pPr>
        <w:pStyle w:val="DHHSbody"/>
        <w:rPr>
          <w:rFonts w:cs="Arial"/>
        </w:rPr>
      </w:pPr>
    </w:p>
    <w:p w14:paraId="4026E8FE" w14:textId="77777777" w:rsidR="008E0251" w:rsidRPr="004E42F9" w:rsidRDefault="008E0251" w:rsidP="00B267D2">
      <w:pPr>
        <w:pStyle w:val="Heading3"/>
      </w:pPr>
      <w:r w:rsidRPr="004E42F9">
        <w:t>Prevention and recovery care</w:t>
      </w:r>
    </w:p>
    <w:p w14:paraId="4011DF12" w14:textId="36BA3B82" w:rsidR="000D20F2" w:rsidRPr="00F77374" w:rsidRDefault="000D20F2" w:rsidP="00F77374">
      <w:pPr>
        <w:pStyle w:val="DHHSbodynospace"/>
        <w:rPr>
          <w:b/>
          <w:bCs/>
          <w:lang w:val="en" w:eastAsia="en-AU"/>
        </w:rPr>
      </w:pPr>
      <w:r w:rsidRPr="00F77374">
        <w:rPr>
          <w:b/>
          <w:bCs/>
          <w:lang w:val="en" w:eastAsia="en-AU"/>
        </w:rPr>
        <w:t xml:space="preserve">Key statistics </w:t>
      </w:r>
      <w:r w:rsidR="00CE40D6" w:rsidRPr="00F77374">
        <w:rPr>
          <w:b/>
          <w:bCs/>
          <w:lang w:val="en" w:eastAsia="en-AU"/>
        </w:rPr>
        <w:t>2019–20</w:t>
      </w:r>
      <w:r w:rsidRPr="00F77374">
        <w:rPr>
          <w:b/>
          <w:bCs/>
          <w:lang w:val="en" w:eastAsia="en-AU"/>
        </w:rPr>
        <w:t>:</w:t>
      </w:r>
    </w:p>
    <w:p w14:paraId="4FB2518A" w14:textId="3F5912A3" w:rsidR="000D20F2" w:rsidRPr="000D20F2" w:rsidRDefault="008E0251" w:rsidP="00F77374">
      <w:pPr>
        <w:pStyle w:val="DHHSbodynospace"/>
        <w:rPr>
          <w:lang w:val="en" w:eastAsia="en-AU"/>
        </w:rPr>
      </w:pPr>
      <w:r w:rsidRPr="000D20F2">
        <w:rPr>
          <w:rFonts w:cstheme="minorHAnsi"/>
          <w:lang w:val="en" w:eastAsia="en-AU"/>
        </w:rPr>
        <w:t>3</w:t>
      </w:r>
      <w:r w:rsidR="00F77374">
        <w:rPr>
          <w:rFonts w:cstheme="minorHAnsi"/>
          <w:lang w:val="en" w:eastAsia="en-AU"/>
        </w:rPr>
        <w:t>,</w:t>
      </w:r>
      <w:r w:rsidRPr="000D20F2">
        <w:rPr>
          <w:rFonts w:cstheme="minorHAnsi"/>
          <w:lang w:val="en" w:eastAsia="en-AU"/>
        </w:rPr>
        <w:t>362 separations</w:t>
      </w:r>
    </w:p>
    <w:p w14:paraId="21B0BE02" w14:textId="5151849B" w:rsidR="000D20F2" w:rsidRPr="000D20F2" w:rsidRDefault="008E0251" w:rsidP="00F77374">
      <w:pPr>
        <w:pStyle w:val="DHHSbodynospace"/>
        <w:rPr>
          <w:lang w:val="en" w:eastAsia="en-AU"/>
        </w:rPr>
      </w:pPr>
      <w:r w:rsidRPr="000D20F2">
        <w:rPr>
          <w:rFonts w:cstheme="minorHAnsi"/>
          <w:lang w:val="en" w:eastAsia="en-AU"/>
        </w:rPr>
        <w:t>72.6</w:t>
      </w:r>
      <w:r w:rsidR="00F77374">
        <w:rPr>
          <w:rFonts w:cstheme="minorHAnsi"/>
          <w:lang w:val="en" w:eastAsia="en-AU"/>
        </w:rPr>
        <w:t xml:space="preserve"> per cent</w:t>
      </w:r>
      <w:r w:rsidRPr="000D20F2">
        <w:rPr>
          <w:rFonts w:cstheme="minorHAnsi"/>
          <w:lang w:val="en" w:eastAsia="en-AU"/>
        </w:rPr>
        <w:t xml:space="preserve"> bed occupanc</w:t>
      </w:r>
      <w:r w:rsidR="000D20F2" w:rsidRPr="000D20F2">
        <w:rPr>
          <w:rFonts w:cstheme="minorHAnsi"/>
          <w:lang w:val="en" w:eastAsia="en-AU"/>
        </w:rPr>
        <w:t>y</w:t>
      </w:r>
    </w:p>
    <w:p w14:paraId="3BF22AC4" w14:textId="1476218E" w:rsidR="008E0251" w:rsidRPr="000D20F2" w:rsidRDefault="008E0251" w:rsidP="00F77374">
      <w:pPr>
        <w:pStyle w:val="DHHSbody"/>
        <w:rPr>
          <w:lang w:val="en" w:eastAsia="en-AU"/>
        </w:rPr>
      </w:pPr>
    </w:p>
    <w:p w14:paraId="545F80A9" w14:textId="5D7BAA71" w:rsidR="008E0251" w:rsidRPr="003650A0" w:rsidRDefault="008E0251" w:rsidP="008E0251">
      <w:pPr>
        <w:pStyle w:val="DHHSbody"/>
        <w:rPr>
          <w:rFonts w:cs="Arial"/>
        </w:rPr>
      </w:pPr>
      <w:r w:rsidRPr="003650A0">
        <w:rPr>
          <w:rFonts w:cs="Arial"/>
        </w:rPr>
        <w:t>PARC services provide short</w:t>
      </w:r>
      <w:r w:rsidR="003324CD">
        <w:rPr>
          <w:rFonts w:cs="Arial"/>
        </w:rPr>
        <w:t>-</w:t>
      </w:r>
      <w:r w:rsidRPr="003650A0">
        <w:rPr>
          <w:rFonts w:cs="Arial"/>
        </w:rPr>
        <w:t xml:space="preserve">term support in residential settings, generally providing care for up to 28 days when a person is either becoming unwell or is in the early stages of recovery from an acute admission. </w:t>
      </w:r>
      <w:r w:rsidR="00657A65">
        <w:rPr>
          <w:rFonts w:cs="Arial"/>
        </w:rPr>
        <w:t>Most</w:t>
      </w:r>
      <w:r w:rsidRPr="003650A0">
        <w:rPr>
          <w:rFonts w:cs="Arial"/>
        </w:rPr>
        <w:t xml:space="preserve"> are for adults, but there are three youth PARCs for young people aged 16</w:t>
      </w:r>
      <w:r w:rsidR="00BA6AC1">
        <w:rPr>
          <w:rFonts w:cs="Arial"/>
        </w:rPr>
        <w:t xml:space="preserve"> to </w:t>
      </w:r>
      <w:r w:rsidRPr="003650A0">
        <w:rPr>
          <w:rFonts w:cs="Arial"/>
        </w:rPr>
        <w:t>25 years in Bendigo, Frankston and Dandenong. A fourth youth PARC has been funded in Parkville. Young people may also attend an adult PARC</w:t>
      </w:r>
      <w:r w:rsidR="004476F8">
        <w:rPr>
          <w:rFonts w:cs="Arial"/>
        </w:rPr>
        <w:t>;</w:t>
      </w:r>
      <w:r w:rsidRPr="003650A0">
        <w:rPr>
          <w:rFonts w:cs="Arial"/>
        </w:rPr>
        <w:t xml:space="preserve"> however, it is rare for 16</w:t>
      </w:r>
      <w:r w:rsidR="00BA6AC1">
        <w:rPr>
          <w:rFonts w:cs="Arial"/>
        </w:rPr>
        <w:t xml:space="preserve"> to </w:t>
      </w:r>
      <w:r w:rsidRPr="003650A0">
        <w:rPr>
          <w:rFonts w:cs="Arial"/>
        </w:rPr>
        <w:t>18</w:t>
      </w:r>
      <w:r w:rsidR="004476F8">
        <w:rPr>
          <w:rFonts w:cs="Arial"/>
        </w:rPr>
        <w:t>-</w:t>
      </w:r>
      <w:r w:rsidRPr="003650A0">
        <w:rPr>
          <w:rFonts w:cs="Arial"/>
        </w:rPr>
        <w:t>year</w:t>
      </w:r>
      <w:r w:rsidR="004476F8">
        <w:rPr>
          <w:rFonts w:cs="Arial"/>
        </w:rPr>
        <w:t>-</w:t>
      </w:r>
      <w:r w:rsidRPr="003650A0">
        <w:rPr>
          <w:rFonts w:cs="Arial"/>
        </w:rPr>
        <w:t>olds to do so.</w:t>
      </w:r>
    </w:p>
    <w:p w14:paraId="6ED7BCF7" w14:textId="4C78DF6F" w:rsidR="008E0251" w:rsidRPr="003650A0" w:rsidRDefault="008E0251" w:rsidP="008E0251">
      <w:pPr>
        <w:pStyle w:val="DHHSbody"/>
        <w:rPr>
          <w:rFonts w:cs="Arial"/>
        </w:rPr>
      </w:pPr>
      <w:r w:rsidRPr="003650A0">
        <w:rPr>
          <w:rFonts w:cs="Arial"/>
        </w:rPr>
        <w:t xml:space="preserve">Service activity </w:t>
      </w:r>
      <w:r w:rsidR="00657A65">
        <w:rPr>
          <w:rFonts w:cs="Arial"/>
        </w:rPr>
        <w:t>in PARCs wa</w:t>
      </w:r>
      <w:r w:rsidRPr="003650A0">
        <w:rPr>
          <w:rFonts w:cs="Arial"/>
        </w:rPr>
        <w:t xml:space="preserve">s down </w:t>
      </w:r>
      <w:r w:rsidR="00657A65">
        <w:rPr>
          <w:rFonts w:cs="Arial"/>
        </w:rPr>
        <w:t xml:space="preserve">on </w:t>
      </w:r>
      <w:r w:rsidR="005740EC">
        <w:rPr>
          <w:rFonts w:cs="Arial"/>
        </w:rPr>
        <w:t>the previous</w:t>
      </w:r>
      <w:r w:rsidR="005740EC" w:rsidRPr="003650A0">
        <w:rPr>
          <w:rFonts w:cs="Arial"/>
        </w:rPr>
        <w:t xml:space="preserve"> </w:t>
      </w:r>
      <w:r w:rsidRPr="003650A0">
        <w:rPr>
          <w:rFonts w:cs="Arial"/>
        </w:rPr>
        <w:t xml:space="preserve">year due to </w:t>
      </w:r>
      <w:r w:rsidR="003324CD">
        <w:rPr>
          <w:rFonts w:cs="Arial"/>
        </w:rPr>
        <w:t xml:space="preserve">the </w:t>
      </w:r>
      <w:r w:rsidR="00E51317">
        <w:rPr>
          <w:rFonts w:cs="Arial"/>
        </w:rPr>
        <w:t>coronavirus (COVID-19)</w:t>
      </w:r>
      <w:r w:rsidR="003324CD">
        <w:rPr>
          <w:rFonts w:cs="Arial"/>
        </w:rPr>
        <w:t xml:space="preserve"> pandemic</w:t>
      </w:r>
      <w:r w:rsidRPr="003650A0">
        <w:rPr>
          <w:rFonts w:cs="Arial"/>
        </w:rPr>
        <w:t xml:space="preserve">. Separations reduced by </w:t>
      </w:r>
      <w:r>
        <w:rPr>
          <w:rFonts w:cs="Arial"/>
        </w:rPr>
        <w:t>5.2</w:t>
      </w:r>
      <w:r w:rsidRPr="003650A0">
        <w:rPr>
          <w:rFonts w:cs="Arial"/>
        </w:rPr>
        <w:t xml:space="preserve"> per cent to 3,362, with a drop evident in quarter </w:t>
      </w:r>
      <w:r w:rsidR="003324CD">
        <w:rPr>
          <w:rFonts w:cs="Arial"/>
        </w:rPr>
        <w:t>4</w:t>
      </w:r>
      <w:r w:rsidRPr="003650A0">
        <w:rPr>
          <w:rFonts w:cs="Arial"/>
        </w:rPr>
        <w:t xml:space="preserve">. Occupied bed days reduced this year by 8.3 per cent and bed occupancy </w:t>
      </w:r>
      <w:r w:rsidR="00657A65">
        <w:rPr>
          <w:rFonts w:cs="Arial"/>
        </w:rPr>
        <w:t>wa</w:t>
      </w:r>
      <w:r w:rsidRPr="003650A0">
        <w:rPr>
          <w:rFonts w:cs="Arial"/>
        </w:rPr>
        <w:t xml:space="preserve">s at 72.6 per cent, </w:t>
      </w:r>
      <w:r w:rsidR="00657A65">
        <w:rPr>
          <w:rFonts w:cs="Arial"/>
        </w:rPr>
        <w:t xml:space="preserve">down </w:t>
      </w:r>
      <w:r w:rsidRPr="003650A0">
        <w:rPr>
          <w:rFonts w:cs="Arial"/>
        </w:rPr>
        <w:t>from 79.4 per cent the year before. Occupancy varies between services and tends to be higher in urban areas. During the pandemic, admissions for some PARCs were limited to step</w:t>
      </w:r>
      <w:r w:rsidR="00657A65">
        <w:rPr>
          <w:rFonts w:cs="Arial"/>
        </w:rPr>
        <w:t>-</w:t>
      </w:r>
      <w:r w:rsidRPr="003650A0">
        <w:rPr>
          <w:rFonts w:cs="Arial"/>
        </w:rPr>
        <w:t>down care from inpatient units to ensure greater infection control</w:t>
      </w:r>
      <w:r>
        <w:rPr>
          <w:rFonts w:cs="Arial"/>
        </w:rPr>
        <w:t xml:space="preserve"> and </w:t>
      </w:r>
      <w:r w:rsidR="00657A65">
        <w:rPr>
          <w:rFonts w:cs="Arial"/>
        </w:rPr>
        <w:t xml:space="preserve">to </w:t>
      </w:r>
      <w:r>
        <w:rPr>
          <w:rFonts w:cs="Arial"/>
        </w:rPr>
        <w:t>meet workplace physical distancing requirements</w:t>
      </w:r>
      <w:r w:rsidRPr="003650A0">
        <w:rPr>
          <w:rFonts w:cs="Arial"/>
        </w:rPr>
        <w:t xml:space="preserve">. </w:t>
      </w:r>
      <w:r>
        <w:rPr>
          <w:rFonts w:cs="Arial"/>
        </w:rPr>
        <w:t xml:space="preserve">Some consumers chose their home environment rather than </w:t>
      </w:r>
      <w:r w:rsidR="0017254F">
        <w:rPr>
          <w:rFonts w:cs="Arial"/>
        </w:rPr>
        <w:t xml:space="preserve">a </w:t>
      </w:r>
      <w:r>
        <w:rPr>
          <w:rFonts w:cs="Arial"/>
        </w:rPr>
        <w:t>PARC because of concerns about infection. Additionally</w:t>
      </w:r>
      <w:r w:rsidR="0017254F">
        <w:rPr>
          <w:rFonts w:cs="Arial"/>
        </w:rPr>
        <w:t>,</w:t>
      </w:r>
      <w:r>
        <w:rPr>
          <w:rFonts w:cs="Arial"/>
        </w:rPr>
        <w:t xml:space="preserve"> some</w:t>
      </w:r>
      <w:r w:rsidRPr="003650A0">
        <w:rPr>
          <w:rFonts w:cs="Arial"/>
        </w:rPr>
        <w:t xml:space="preserve"> PARCs scaled down service delivery as part of a strategy to potentially use PARCs as extension services for </w:t>
      </w:r>
      <w:r w:rsidR="00A43DDF">
        <w:rPr>
          <w:rFonts w:cs="Arial"/>
        </w:rPr>
        <w:t>inpatient units</w:t>
      </w:r>
      <w:r w:rsidRPr="003650A0">
        <w:rPr>
          <w:rFonts w:cs="Arial"/>
        </w:rPr>
        <w:t xml:space="preserve"> if required.</w:t>
      </w:r>
    </w:p>
    <w:p w14:paraId="65794D4F" w14:textId="5F09F442" w:rsidR="008E0251" w:rsidRPr="00360F2F" w:rsidRDefault="008E0251" w:rsidP="008E0251">
      <w:pPr>
        <w:pStyle w:val="Heading2"/>
      </w:pPr>
      <w:bookmarkStart w:id="27" w:name="_Toc55379402"/>
      <w:r w:rsidRPr="00360F2F">
        <w:t xml:space="preserve">Aged </w:t>
      </w:r>
      <w:r w:rsidR="00BA6AC1">
        <w:t>p</w:t>
      </w:r>
      <w:r w:rsidRPr="00360F2F">
        <w:t xml:space="preserve">ersons </w:t>
      </w:r>
      <w:r w:rsidR="00BA6AC1">
        <w:t>m</w:t>
      </w:r>
      <w:r w:rsidRPr="00360F2F">
        <w:t xml:space="preserve">ental </w:t>
      </w:r>
      <w:r w:rsidR="00BA6AC1">
        <w:t>h</w:t>
      </w:r>
      <w:r w:rsidRPr="00360F2F">
        <w:t xml:space="preserve">ealth </w:t>
      </w:r>
      <w:r w:rsidR="00BA6AC1">
        <w:t>s</w:t>
      </w:r>
      <w:r w:rsidRPr="00360F2F">
        <w:t>ervices</w:t>
      </w:r>
      <w:bookmarkEnd w:id="27"/>
    </w:p>
    <w:p w14:paraId="35FDDBB4" w14:textId="3B1FE0C7" w:rsidR="000D20F2" w:rsidRPr="00F77374" w:rsidRDefault="000D20F2" w:rsidP="00F77374">
      <w:pPr>
        <w:pStyle w:val="DHHSbodynospace"/>
        <w:rPr>
          <w:b/>
          <w:bCs/>
          <w:lang w:val="en" w:eastAsia="en-AU"/>
        </w:rPr>
      </w:pPr>
      <w:r w:rsidRPr="00F77374">
        <w:rPr>
          <w:b/>
          <w:bCs/>
          <w:lang w:val="en" w:eastAsia="en-AU"/>
        </w:rPr>
        <w:t xml:space="preserve">Key statistics </w:t>
      </w:r>
      <w:r w:rsidR="00CE40D6" w:rsidRPr="00F77374">
        <w:rPr>
          <w:b/>
          <w:bCs/>
          <w:lang w:val="en" w:eastAsia="en-AU"/>
        </w:rPr>
        <w:t>2019–20</w:t>
      </w:r>
      <w:r w:rsidRPr="00F77374">
        <w:rPr>
          <w:b/>
          <w:bCs/>
          <w:lang w:val="en" w:eastAsia="en-AU"/>
        </w:rPr>
        <w:t>:</w:t>
      </w:r>
    </w:p>
    <w:p w14:paraId="509A7C6C" w14:textId="77777777" w:rsidR="000D20F2" w:rsidRPr="000D20F2" w:rsidRDefault="008E0251" w:rsidP="00F77374">
      <w:pPr>
        <w:pStyle w:val="DHHSbodynospace"/>
        <w:rPr>
          <w:lang w:val="en" w:eastAsia="en-AU"/>
        </w:rPr>
      </w:pPr>
      <w:r w:rsidRPr="000D20F2">
        <w:rPr>
          <w:rFonts w:cstheme="minorHAnsi"/>
          <w:lang w:val="en" w:eastAsia="en-AU"/>
        </w:rPr>
        <w:t>8,304 aged consumers</w:t>
      </w:r>
      <w:r w:rsidRPr="00F77374">
        <w:rPr>
          <w:rStyle w:val="FootnoteReference"/>
          <w:rFonts w:cstheme="minorHAnsi"/>
          <w:iCs/>
          <w:color w:val="000000" w:themeColor="text1"/>
          <w:lang w:val="en" w:eastAsia="en-AU"/>
        </w:rPr>
        <w:footnoteReference w:id="12"/>
      </w:r>
    </w:p>
    <w:p w14:paraId="3CF007A5" w14:textId="0DAB89A4" w:rsidR="008E0251" w:rsidRPr="000D20F2" w:rsidRDefault="008E0251" w:rsidP="00F77374">
      <w:pPr>
        <w:pStyle w:val="DHHSbodynospace"/>
        <w:rPr>
          <w:lang w:val="en" w:eastAsia="en-AU"/>
        </w:rPr>
      </w:pPr>
      <w:r w:rsidRPr="000D20F2">
        <w:rPr>
          <w:rFonts w:cstheme="minorHAnsi"/>
          <w:lang w:val="en" w:eastAsia="en-AU"/>
        </w:rPr>
        <w:t>249,954 community contacts</w:t>
      </w:r>
    </w:p>
    <w:p w14:paraId="08CC07F0" w14:textId="77777777" w:rsidR="000D20F2" w:rsidRPr="000D20F2" w:rsidRDefault="000D20F2" w:rsidP="00F77374">
      <w:pPr>
        <w:pStyle w:val="DHHSbody"/>
        <w:rPr>
          <w:lang w:val="en" w:eastAsia="en-AU"/>
        </w:rPr>
      </w:pPr>
    </w:p>
    <w:p w14:paraId="5F622752" w14:textId="739D26AB" w:rsidR="008E0251" w:rsidRPr="003650A0" w:rsidRDefault="008E0251" w:rsidP="008E0251">
      <w:pPr>
        <w:pStyle w:val="DHHSbody"/>
        <w:rPr>
          <w:rFonts w:cs="Arial"/>
        </w:rPr>
      </w:pPr>
      <w:r w:rsidRPr="003650A0">
        <w:rPr>
          <w:rFonts w:cs="Arial"/>
        </w:rPr>
        <w:t xml:space="preserve">The number of aged </w:t>
      </w:r>
      <w:r>
        <w:rPr>
          <w:rFonts w:cs="Arial"/>
        </w:rPr>
        <w:t>consumer</w:t>
      </w:r>
      <w:r w:rsidRPr="003650A0">
        <w:rPr>
          <w:rFonts w:cs="Arial"/>
        </w:rPr>
        <w:t xml:space="preserve">s using public mental health services increased slightly by 2.6 per cent in </w:t>
      </w:r>
      <w:r w:rsidR="00894D3B">
        <w:rPr>
          <w:rFonts w:cs="Arial"/>
        </w:rPr>
        <w:t>2019–20</w:t>
      </w:r>
      <w:r w:rsidRPr="003650A0">
        <w:rPr>
          <w:rFonts w:cs="Arial"/>
        </w:rPr>
        <w:t xml:space="preserve"> to 8,304. Most of this group had previous contact with mental health services, with 34.9 per cent being new </w:t>
      </w:r>
      <w:r>
        <w:rPr>
          <w:rFonts w:cs="Arial"/>
        </w:rPr>
        <w:t>consumer</w:t>
      </w:r>
      <w:r w:rsidRPr="003650A0">
        <w:rPr>
          <w:rFonts w:cs="Arial"/>
        </w:rPr>
        <w:t xml:space="preserve">s. During the year, there were 2,385 </w:t>
      </w:r>
      <w:r w:rsidR="00367D09">
        <w:rPr>
          <w:rFonts w:cs="Arial"/>
        </w:rPr>
        <w:t xml:space="preserve">separations </w:t>
      </w:r>
      <w:r w:rsidRPr="003650A0">
        <w:rPr>
          <w:rFonts w:cs="Arial"/>
        </w:rPr>
        <w:t xml:space="preserve">of Victorians aged 65 years or </w:t>
      </w:r>
      <w:r w:rsidR="0017254F">
        <w:rPr>
          <w:rFonts w:cs="Arial"/>
        </w:rPr>
        <w:t>older</w:t>
      </w:r>
      <w:r w:rsidRPr="003650A0">
        <w:rPr>
          <w:rFonts w:cs="Arial"/>
        </w:rPr>
        <w:t>. Bed occupancy decreased this year</w:t>
      </w:r>
      <w:r>
        <w:rPr>
          <w:rFonts w:cs="Arial"/>
        </w:rPr>
        <w:t xml:space="preserve"> (Table </w:t>
      </w:r>
      <w:r w:rsidR="006E3E09">
        <w:rPr>
          <w:rFonts w:cs="Arial"/>
        </w:rPr>
        <w:t>14</w:t>
      </w:r>
      <w:r>
        <w:rPr>
          <w:rFonts w:cs="Arial"/>
        </w:rPr>
        <w:t xml:space="preserve">), consistent with fewer ED presentations of older people during the </w:t>
      </w:r>
      <w:r w:rsidR="00E51317">
        <w:rPr>
          <w:rFonts w:cs="Arial"/>
        </w:rPr>
        <w:t>coronavirus (COVID-19)</w:t>
      </w:r>
      <w:r>
        <w:rPr>
          <w:rFonts w:cs="Arial"/>
        </w:rPr>
        <w:t xml:space="preserve"> pandemic.</w:t>
      </w:r>
    </w:p>
    <w:p w14:paraId="538B6196" w14:textId="5E4D292A" w:rsidR="008E0251" w:rsidRPr="003650A0" w:rsidRDefault="008E0251" w:rsidP="008E0251">
      <w:pPr>
        <w:pStyle w:val="DHHSbody"/>
        <w:rPr>
          <w:rFonts w:cs="Arial"/>
        </w:rPr>
      </w:pPr>
      <w:r w:rsidRPr="003650A0">
        <w:rPr>
          <w:rFonts w:cs="Arial"/>
        </w:rPr>
        <w:t xml:space="preserve">The trimmed average length of stay </w:t>
      </w:r>
      <w:r w:rsidR="0017254F">
        <w:rPr>
          <w:rFonts w:cs="Arial"/>
        </w:rPr>
        <w:t>remained</w:t>
      </w:r>
      <w:r w:rsidR="0017254F" w:rsidRPr="003650A0">
        <w:rPr>
          <w:rFonts w:cs="Arial"/>
        </w:rPr>
        <w:t xml:space="preserve"> </w:t>
      </w:r>
      <w:r w:rsidRPr="003650A0">
        <w:rPr>
          <w:rFonts w:cs="Arial"/>
        </w:rPr>
        <w:t>steady at 15.4 days</w:t>
      </w:r>
      <w:r>
        <w:rPr>
          <w:rFonts w:cs="Arial"/>
        </w:rPr>
        <w:t>. This</w:t>
      </w:r>
      <w:r w:rsidRPr="003650A0">
        <w:rPr>
          <w:rFonts w:cs="Arial"/>
        </w:rPr>
        <w:t xml:space="preserve"> </w:t>
      </w:r>
      <w:r w:rsidR="00330C0A">
        <w:rPr>
          <w:rFonts w:cs="Arial"/>
        </w:rPr>
        <w:t>is</w:t>
      </w:r>
      <w:r w:rsidR="00330C0A" w:rsidRPr="003650A0">
        <w:rPr>
          <w:rFonts w:cs="Arial"/>
        </w:rPr>
        <w:t xml:space="preserve"> </w:t>
      </w:r>
      <w:r w:rsidRPr="003650A0">
        <w:rPr>
          <w:rFonts w:cs="Arial"/>
        </w:rPr>
        <w:t xml:space="preserve">much longer than the adult length of stay. </w:t>
      </w:r>
      <w:r w:rsidR="00330C0A">
        <w:rPr>
          <w:rFonts w:cs="Arial"/>
        </w:rPr>
        <w:t>The longer length of stay partly reflects the time that is sometimes required</w:t>
      </w:r>
      <w:r w:rsidRPr="003650A0">
        <w:rPr>
          <w:rFonts w:cs="Arial"/>
        </w:rPr>
        <w:t xml:space="preserve"> to find safe, appropriate accommodation, or to put in place appropriate discharge supports for unwell elderly people. Sometimes a </w:t>
      </w:r>
      <w:r>
        <w:rPr>
          <w:rFonts w:cs="Arial"/>
        </w:rPr>
        <w:t>consumer</w:t>
      </w:r>
      <w:r w:rsidRPr="003650A0">
        <w:rPr>
          <w:rFonts w:cs="Arial"/>
        </w:rPr>
        <w:t xml:space="preserve"> cannot be discharged to return home, or a nursing home may decline to have them return to that service. It may be necessary to find alternative accommodation and undertake processes such as applications to VCAT for guardianship and administration orders.</w:t>
      </w:r>
    </w:p>
    <w:p w14:paraId="252B8771" w14:textId="345D4435" w:rsidR="008E0251" w:rsidRPr="003650A0" w:rsidRDefault="008E0251" w:rsidP="008E0251">
      <w:pPr>
        <w:pStyle w:val="DHHSbody"/>
        <w:rPr>
          <w:rFonts w:cs="Arial"/>
        </w:rPr>
      </w:pPr>
      <w:r w:rsidRPr="003650A0">
        <w:rPr>
          <w:rFonts w:cs="Arial"/>
        </w:rPr>
        <w:t xml:space="preserve">More women than men use these services, reflecting in part the population profile for older Victorians. The preadmission contact rate </w:t>
      </w:r>
      <w:r w:rsidR="0017254F">
        <w:rPr>
          <w:rFonts w:cs="Arial"/>
        </w:rPr>
        <w:t>wa</w:t>
      </w:r>
      <w:r w:rsidRPr="003650A0">
        <w:rPr>
          <w:rFonts w:cs="Arial"/>
        </w:rPr>
        <w:t xml:space="preserve">s the highest of all groups </w:t>
      </w:r>
      <w:r w:rsidR="0017254F">
        <w:rPr>
          <w:rFonts w:cs="Arial"/>
        </w:rPr>
        <w:t xml:space="preserve">in 2019–20 </w:t>
      </w:r>
      <w:r w:rsidRPr="003650A0">
        <w:rPr>
          <w:rFonts w:cs="Arial"/>
        </w:rPr>
        <w:t>at 63.5 per cent</w:t>
      </w:r>
      <w:r w:rsidR="0017254F">
        <w:rPr>
          <w:rFonts w:cs="Arial"/>
        </w:rPr>
        <w:t>;</w:t>
      </w:r>
      <w:r w:rsidRPr="003650A0">
        <w:rPr>
          <w:rFonts w:cs="Arial"/>
        </w:rPr>
        <w:t xml:space="preserve"> however, the gap is shrinking with performance in adult and CYMHS improv</w:t>
      </w:r>
      <w:r w:rsidR="0017254F">
        <w:rPr>
          <w:rFonts w:cs="Arial"/>
        </w:rPr>
        <w:t>ing</w:t>
      </w:r>
      <w:r w:rsidRPr="003650A0">
        <w:rPr>
          <w:rFonts w:cs="Arial"/>
        </w:rPr>
        <w:t xml:space="preserve"> this year. </w:t>
      </w:r>
      <w:r w:rsidR="0017254F">
        <w:rPr>
          <w:rFonts w:cs="Arial"/>
        </w:rPr>
        <w:t xml:space="preserve">Half </w:t>
      </w:r>
      <w:r w:rsidRPr="003650A0">
        <w:rPr>
          <w:rFonts w:cs="Arial"/>
        </w:rPr>
        <w:t xml:space="preserve">of </w:t>
      </w:r>
      <w:r w:rsidR="0017254F">
        <w:rPr>
          <w:rFonts w:cs="Arial"/>
        </w:rPr>
        <w:t xml:space="preserve">all </w:t>
      </w:r>
      <w:r w:rsidRPr="003650A0">
        <w:rPr>
          <w:rFonts w:cs="Arial"/>
        </w:rPr>
        <w:t xml:space="preserve">admissions were compulsory, and this has been fairly stable over the </w:t>
      </w:r>
      <w:r w:rsidR="0017254F">
        <w:rPr>
          <w:rFonts w:cs="Arial"/>
        </w:rPr>
        <w:t>p</w:t>
      </w:r>
      <w:r w:rsidRPr="003650A0">
        <w:rPr>
          <w:rFonts w:cs="Arial"/>
        </w:rPr>
        <w:t>ast four years. The post-discharge follow</w:t>
      </w:r>
      <w:r w:rsidR="0017254F">
        <w:rPr>
          <w:rFonts w:cs="Arial"/>
        </w:rPr>
        <w:t>-</w:t>
      </w:r>
      <w:r w:rsidRPr="003650A0">
        <w:rPr>
          <w:rFonts w:cs="Arial"/>
        </w:rPr>
        <w:t>up rate was 94</w:t>
      </w:r>
      <w:r>
        <w:rPr>
          <w:rFonts w:cs="Arial"/>
        </w:rPr>
        <w:t>.9</w:t>
      </w:r>
      <w:r w:rsidRPr="003650A0">
        <w:rPr>
          <w:rFonts w:cs="Arial"/>
        </w:rPr>
        <w:t xml:space="preserve"> per cent, again the highest of all groups. Readmissions within 28 days </w:t>
      </w:r>
      <w:r w:rsidR="0017254F">
        <w:rPr>
          <w:rFonts w:cs="Arial"/>
        </w:rPr>
        <w:t>we</w:t>
      </w:r>
      <w:r w:rsidRPr="003650A0">
        <w:rPr>
          <w:rFonts w:cs="Arial"/>
        </w:rPr>
        <w:t>re relatively low at 9.1</w:t>
      </w:r>
      <w:r>
        <w:rPr>
          <w:rFonts w:cs="Arial"/>
        </w:rPr>
        <w:t xml:space="preserve"> per cent</w:t>
      </w:r>
      <w:r w:rsidRPr="003650A0">
        <w:rPr>
          <w:rFonts w:cs="Arial"/>
        </w:rPr>
        <w:t>, but this has been trending up for older people.</w:t>
      </w:r>
    </w:p>
    <w:p w14:paraId="11F7CCA0" w14:textId="39D1378E" w:rsidR="008E0251" w:rsidRPr="003650A0" w:rsidRDefault="008E0251" w:rsidP="008E0251">
      <w:pPr>
        <w:pStyle w:val="DHHSbody"/>
        <w:rPr>
          <w:rFonts w:cs="Arial"/>
        </w:rPr>
      </w:pPr>
      <w:r w:rsidRPr="003650A0">
        <w:rPr>
          <w:rFonts w:cs="Arial"/>
        </w:rPr>
        <w:t xml:space="preserve">Mental health </w:t>
      </w:r>
      <w:r>
        <w:rPr>
          <w:rFonts w:cs="Arial"/>
        </w:rPr>
        <w:t>bed-based</w:t>
      </w:r>
      <w:r w:rsidRPr="003650A0">
        <w:rPr>
          <w:rFonts w:cs="Arial"/>
        </w:rPr>
        <w:t xml:space="preserve"> aged care services (hostels and nursing homes) are provided for people with high levels of persistent cognitive, emotional or behavioural disturbance who cannot </w:t>
      </w:r>
      <w:r>
        <w:rPr>
          <w:rFonts w:cs="Arial"/>
        </w:rPr>
        <w:t>live safely</w:t>
      </w:r>
      <w:r w:rsidRPr="003650A0">
        <w:rPr>
          <w:rFonts w:cs="Arial"/>
        </w:rPr>
        <w:t xml:space="preserve"> in general </w:t>
      </w:r>
      <w:r>
        <w:rPr>
          <w:rFonts w:cs="Arial"/>
        </w:rPr>
        <w:t>bed-based</w:t>
      </w:r>
      <w:r w:rsidRPr="003650A0">
        <w:rPr>
          <w:rFonts w:cs="Arial"/>
        </w:rPr>
        <w:t xml:space="preserve"> aged care services. They are designed to have a homelike atmosphere, and residents are encouraged to participate in a range of activities. Where possible, opportunities are sought to discharge </w:t>
      </w:r>
      <w:r>
        <w:rPr>
          <w:rFonts w:cs="Arial"/>
        </w:rPr>
        <w:t>consumer</w:t>
      </w:r>
      <w:r w:rsidRPr="003650A0">
        <w:rPr>
          <w:rFonts w:cs="Arial"/>
        </w:rPr>
        <w:t>s to less restrictive environments such as general</w:t>
      </w:r>
      <w:r w:rsidRPr="003650A0" w:rsidDel="006A3BFE">
        <w:rPr>
          <w:rFonts w:cs="Arial"/>
        </w:rPr>
        <w:t xml:space="preserve"> </w:t>
      </w:r>
      <w:r w:rsidRPr="003650A0">
        <w:rPr>
          <w:rFonts w:cs="Arial"/>
        </w:rPr>
        <w:t xml:space="preserve">aged care facilities. The number of these beds has reduced over the </w:t>
      </w:r>
      <w:r w:rsidR="00E97007">
        <w:rPr>
          <w:rFonts w:cs="Arial"/>
        </w:rPr>
        <w:t>p</w:t>
      </w:r>
      <w:r w:rsidRPr="003650A0">
        <w:rPr>
          <w:rFonts w:cs="Arial"/>
        </w:rPr>
        <w:t xml:space="preserve">ast </w:t>
      </w:r>
      <w:r w:rsidR="00E97007">
        <w:rPr>
          <w:rFonts w:cs="Arial"/>
        </w:rPr>
        <w:t>10</w:t>
      </w:r>
      <w:r w:rsidR="00E97007" w:rsidRPr="003650A0">
        <w:rPr>
          <w:rFonts w:cs="Arial"/>
        </w:rPr>
        <w:t xml:space="preserve"> </w:t>
      </w:r>
      <w:r w:rsidRPr="003650A0">
        <w:rPr>
          <w:rFonts w:cs="Arial"/>
        </w:rPr>
        <w:t>years.</w:t>
      </w:r>
    </w:p>
    <w:p w14:paraId="6A71D00B" w14:textId="48FDF097" w:rsidR="008E0251" w:rsidRPr="003650A0" w:rsidRDefault="008E0251" w:rsidP="008E0251">
      <w:pPr>
        <w:pStyle w:val="DHHSbody"/>
        <w:rPr>
          <w:rFonts w:cs="Arial"/>
        </w:rPr>
      </w:pPr>
      <w:r w:rsidRPr="003650A0">
        <w:rPr>
          <w:rFonts w:cs="Arial"/>
        </w:rPr>
        <w:t xml:space="preserve">For mental health </w:t>
      </w:r>
      <w:r>
        <w:rPr>
          <w:rFonts w:cs="Arial"/>
        </w:rPr>
        <w:t>bed-based</w:t>
      </w:r>
      <w:r w:rsidRPr="003650A0">
        <w:rPr>
          <w:rFonts w:cs="Arial"/>
        </w:rPr>
        <w:t xml:space="preserve"> aged care services</w:t>
      </w:r>
      <w:r w:rsidR="0017254F">
        <w:rPr>
          <w:rFonts w:cs="Arial"/>
        </w:rPr>
        <w:t>,</w:t>
      </w:r>
      <w:r w:rsidRPr="003650A0">
        <w:rPr>
          <w:rFonts w:cs="Arial"/>
        </w:rPr>
        <w:t xml:space="preserve"> there were 221 separations in </w:t>
      </w:r>
      <w:r w:rsidR="00894D3B">
        <w:rPr>
          <w:rFonts w:cs="Arial"/>
        </w:rPr>
        <w:t>2019–20</w:t>
      </w:r>
      <w:r w:rsidRPr="003650A0">
        <w:rPr>
          <w:rFonts w:cs="Arial"/>
        </w:rPr>
        <w:t xml:space="preserve">, a small increase from last year, although the bed occupancy rate was steady at 84.3 per cent. They provided 145,660 occupied bed days, fractionally down from last year. Aged care </w:t>
      </w:r>
      <w:r>
        <w:rPr>
          <w:rFonts w:cs="Arial"/>
        </w:rPr>
        <w:t>bed-based</w:t>
      </w:r>
      <w:r w:rsidRPr="003650A0">
        <w:rPr>
          <w:rFonts w:cs="Arial"/>
        </w:rPr>
        <w:t xml:space="preserve"> facilities have faced particular risks from </w:t>
      </w:r>
      <w:r w:rsidR="0017254F">
        <w:rPr>
          <w:rFonts w:cs="Arial"/>
        </w:rPr>
        <w:t xml:space="preserve">the </w:t>
      </w:r>
      <w:r w:rsidR="00E51317">
        <w:rPr>
          <w:rFonts w:cs="Arial"/>
        </w:rPr>
        <w:t>coronavirus (COVID-19)</w:t>
      </w:r>
      <w:r w:rsidR="0017254F">
        <w:rPr>
          <w:rFonts w:cs="Arial"/>
        </w:rPr>
        <w:t xml:space="preserve"> pandemic</w:t>
      </w:r>
      <w:r w:rsidRPr="003650A0">
        <w:rPr>
          <w:rFonts w:cs="Arial"/>
        </w:rPr>
        <w:t xml:space="preserve">, and it is not surprising to see some reductions in this part of the sector. </w:t>
      </w:r>
    </w:p>
    <w:p w14:paraId="2B471F7F" w14:textId="2A4D0B91" w:rsidR="008E0251" w:rsidRPr="003650A0" w:rsidRDefault="008E0251" w:rsidP="008E0251">
      <w:pPr>
        <w:pStyle w:val="DHHSbody"/>
        <w:rPr>
          <w:rFonts w:cs="Arial"/>
        </w:rPr>
      </w:pPr>
      <w:r w:rsidRPr="003650A0">
        <w:rPr>
          <w:rFonts w:cs="Arial"/>
        </w:rPr>
        <w:t xml:space="preserve">There were 249,954 community contacts in </w:t>
      </w:r>
      <w:r w:rsidR="00894D3B">
        <w:rPr>
          <w:rFonts w:cs="Arial"/>
        </w:rPr>
        <w:t>2019–20</w:t>
      </w:r>
      <w:r w:rsidRPr="003650A0">
        <w:rPr>
          <w:rFonts w:cs="Arial"/>
        </w:rPr>
        <w:t xml:space="preserve">, an increase of 7.6 per cent. Service hours </w:t>
      </w:r>
      <w:r w:rsidR="0017254F">
        <w:rPr>
          <w:rFonts w:cs="Arial"/>
        </w:rPr>
        <w:t>we</w:t>
      </w:r>
      <w:r w:rsidRPr="003650A0">
        <w:rPr>
          <w:rFonts w:cs="Arial"/>
        </w:rPr>
        <w:t>re up slightly at 129,127 hours (</w:t>
      </w:r>
      <w:r>
        <w:rPr>
          <w:rFonts w:cs="Arial"/>
        </w:rPr>
        <w:t xml:space="preserve">an increase of </w:t>
      </w:r>
      <w:r w:rsidRPr="003650A0">
        <w:rPr>
          <w:rFonts w:cs="Arial"/>
        </w:rPr>
        <w:t>3.5 per cent).</w:t>
      </w:r>
    </w:p>
    <w:p w14:paraId="62901B62" w14:textId="255F3DE0" w:rsidR="008E0251" w:rsidRPr="00107E38" w:rsidRDefault="008E0251" w:rsidP="008E0251">
      <w:pPr>
        <w:pStyle w:val="DHHStablecaption"/>
      </w:pPr>
      <w:r>
        <w:t xml:space="preserve">Table </w:t>
      </w:r>
      <w:r w:rsidR="006E3E09">
        <w:t>14</w:t>
      </w:r>
      <w:r w:rsidRPr="00BE780A">
        <w:t>: Aged persons bed</w:t>
      </w:r>
      <w:r w:rsidRPr="00107E38">
        <w:rPr>
          <w:bCs/>
        </w:rPr>
        <w:t xml:space="preserve"> occupancy rates (including leave, excluding same day), 2016</w:t>
      </w:r>
      <w:r w:rsidR="00BA6AC1">
        <w:rPr>
          <w:bCs/>
        </w:rPr>
        <w:t>–</w:t>
      </w:r>
      <w:r w:rsidRPr="00107E38">
        <w:rPr>
          <w:bCs/>
        </w:rPr>
        <w:t xml:space="preserve">17 to </w:t>
      </w:r>
      <w:r w:rsidR="00894D3B">
        <w:rPr>
          <w:bCs/>
        </w:rPr>
        <w:t>2019–20</w:t>
      </w:r>
    </w:p>
    <w:tbl>
      <w:tblPr>
        <w:tblStyle w:val="MentalhealthARtablestyle"/>
        <w:tblW w:w="9355" w:type="dxa"/>
        <w:tblLook w:val="04A0" w:firstRow="1" w:lastRow="0" w:firstColumn="1" w:lastColumn="0" w:noHBand="0" w:noVBand="1"/>
      </w:tblPr>
      <w:tblGrid>
        <w:gridCol w:w="2695"/>
        <w:gridCol w:w="1332"/>
        <w:gridCol w:w="1332"/>
        <w:gridCol w:w="1332"/>
        <w:gridCol w:w="1332"/>
        <w:gridCol w:w="1332"/>
      </w:tblGrid>
      <w:tr w:rsidR="00802EF0" w:rsidRPr="003650A0" w14:paraId="7FA85FBA" w14:textId="77777777" w:rsidTr="00802EF0">
        <w:trPr>
          <w:cnfStyle w:val="100000000000" w:firstRow="1" w:lastRow="0" w:firstColumn="0" w:lastColumn="0" w:oddVBand="0" w:evenVBand="0" w:oddHBand="0" w:evenHBand="0" w:firstRowFirstColumn="0" w:firstRowLastColumn="0" w:lastRowFirstColumn="0" w:lastRowLastColumn="0"/>
          <w:trHeight w:val="255"/>
          <w:tblHeader/>
        </w:trPr>
        <w:tc>
          <w:tcPr>
            <w:tcW w:w="2695" w:type="dxa"/>
            <w:hideMark/>
          </w:tcPr>
          <w:p w14:paraId="799F3528" w14:textId="77777777" w:rsidR="00802EF0" w:rsidRPr="00B24E19" w:rsidRDefault="00802EF0" w:rsidP="00B24E19">
            <w:pPr>
              <w:pStyle w:val="DHHStablecolhead"/>
              <w:rPr>
                <w:b/>
                <w:bCs/>
              </w:rPr>
            </w:pPr>
            <w:r w:rsidRPr="00B24E19">
              <w:rPr>
                <w:b/>
                <w:bCs/>
              </w:rPr>
              <w:t>Setting</w:t>
            </w:r>
          </w:p>
        </w:tc>
        <w:tc>
          <w:tcPr>
            <w:tcW w:w="1332" w:type="dxa"/>
            <w:vAlign w:val="top"/>
          </w:tcPr>
          <w:p w14:paraId="6BC72A87" w14:textId="4B00C70C" w:rsidR="00802EF0" w:rsidRPr="00B24E19" w:rsidRDefault="00802EF0" w:rsidP="00B24E19">
            <w:pPr>
              <w:pStyle w:val="DHHStablecolhead"/>
              <w:rPr>
                <w:b/>
              </w:rPr>
            </w:pPr>
            <w:r w:rsidRPr="00B24E19">
              <w:rPr>
                <w:b/>
              </w:rPr>
              <w:t>2015–16</w:t>
            </w:r>
          </w:p>
        </w:tc>
        <w:tc>
          <w:tcPr>
            <w:tcW w:w="1332" w:type="dxa"/>
            <w:vAlign w:val="top"/>
            <w:hideMark/>
          </w:tcPr>
          <w:p w14:paraId="52B76591" w14:textId="09A95930" w:rsidR="00802EF0" w:rsidRPr="00B24E19" w:rsidRDefault="00802EF0" w:rsidP="00B24E19">
            <w:pPr>
              <w:pStyle w:val="DHHStablecolhead"/>
              <w:rPr>
                <w:b/>
                <w:rtl/>
              </w:rPr>
            </w:pPr>
            <w:r w:rsidRPr="00B24E19">
              <w:rPr>
                <w:b/>
              </w:rPr>
              <w:t>2016–17</w:t>
            </w:r>
          </w:p>
        </w:tc>
        <w:tc>
          <w:tcPr>
            <w:tcW w:w="1332" w:type="dxa"/>
            <w:vAlign w:val="top"/>
            <w:hideMark/>
          </w:tcPr>
          <w:p w14:paraId="60C05480" w14:textId="6A5D8720" w:rsidR="00802EF0" w:rsidRPr="00B24E19" w:rsidRDefault="00802EF0" w:rsidP="00B24E19">
            <w:pPr>
              <w:pStyle w:val="DHHStablecolhead"/>
              <w:rPr>
                <w:b/>
                <w:rtl/>
              </w:rPr>
            </w:pPr>
            <w:r w:rsidRPr="00B24E19">
              <w:rPr>
                <w:b/>
              </w:rPr>
              <w:t>2017–18</w:t>
            </w:r>
          </w:p>
        </w:tc>
        <w:tc>
          <w:tcPr>
            <w:tcW w:w="1332" w:type="dxa"/>
            <w:vAlign w:val="top"/>
            <w:hideMark/>
          </w:tcPr>
          <w:p w14:paraId="4D7690C2" w14:textId="597E4720" w:rsidR="00802EF0" w:rsidRPr="00B24E19" w:rsidRDefault="00802EF0" w:rsidP="00B24E19">
            <w:pPr>
              <w:pStyle w:val="DHHStablecolhead"/>
              <w:rPr>
                <w:b/>
                <w:rtl/>
              </w:rPr>
            </w:pPr>
            <w:r w:rsidRPr="00B24E19">
              <w:rPr>
                <w:b/>
              </w:rPr>
              <w:t>2018–19</w:t>
            </w:r>
          </w:p>
        </w:tc>
        <w:tc>
          <w:tcPr>
            <w:tcW w:w="1332" w:type="dxa"/>
            <w:vAlign w:val="top"/>
          </w:tcPr>
          <w:p w14:paraId="589C4FA5" w14:textId="05E9DEAA" w:rsidR="00802EF0" w:rsidRPr="00B24E19" w:rsidRDefault="00802EF0" w:rsidP="00B24E19">
            <w:pPr>
              <w:pStyle w:val="DHHStablecolhead"/>
              <w:rPr>
                <w:b/>
              </w:rPr>
            </w:pPr>
            <w:r w:rsidRPr="00B24E19">
              <w:rPr>
                <w:b/>
              </w:rPr>
              <w:t>2019–20</w:t>
            </w:r>
          </w:p>
        </w:tc>
      </w:tr>
      <w:tr w:rsidR="00802EF0" w:rsidRPr="003650A0" w14:paraId="0112CD51" w14:textId="77777777" w:rsidTr="00802EF0">
        <w:trPr>
          <w:trHeight w:val="255"/>
        </w:trPr>
        <w:tc>
          <w:tcPr>
            <w:tcW w:w="2695" w:type="dxa"/>
            <w:hideMark/>
          </w:tcPr>
          <w:p w14:paraId="76058591" w14:textId="6220D883" w:rsidR="00802EF0" w:rsidRPr="003650A0" w:rsidRDefault="00802EF0" w:rsidP="00B24E19">
            <w:pPr>
              <w:pStyle w:val="DHHStabletext"/>
              <w:rPr>
                <w:lang w:eastAsia="en-AU"/>
              </w:rPr>
            </w:pPr>
            <w:r w:rsidRPr="003650A0">
              <w:rPr>
                <w:lang w:eastAsia="en-AU"/>
              </w:rPr>
              <w:t>Admitted</w:t>
            </w:r>
            <w:r w:rsidR="00B96DA0">
              <w:rPr>
                <w:lang w:eastAsia="en-AU"/>
              </w:rPr>
              <w:t xml:space="preserve"> – a</w:t>
            </w:r>
            <w:r w:rsidRPr="003650A0">
              <w:rPr>
                <w:lang w:eastAsia="en-AU"/>
              </w:rPr>
              <w:t>cute</w:t>
            </w:r>
          </w:p>
        </w:tc>
        <w:tc>
          <w:tcPr>
            <w:tcW w:w="1332" w:type="dxa"/>
          </w:tcPr>
          <w:p w14:paraId="4CE210F9" w14:textId="2F98C4AE" w:rsidR="00802EF0" w:rsidRPr="003650A0" w:rsidRDefault="00802EF0" w:rsidP="00B24E19">
            <w:pPr>
              <w:pStyle w:val="DHHStabletext"/>
              <w:rPr>
                <w:lang w:eastAsia="en-AU"/>
              </w:rPr>
            </w:pPr>
            <w:r w:rsidRPr="003650A0">
              <w:t>84.9</w:t>
            </w:r>
            <w:r>
              <w:t>%</w:t>
            </w:r>
          </w:p>
        </w:tc>
        <w:tc>
          <w:tcPr>
            <w:tcW w:w="1332" w:type="dxa"/>
            <w:hideMark/>
          </w:tcPr>
          <w:p w14:paraId="17B1FFB2" w14:textId="1F100F0D" w:rsidR="00802EF0" w:rsidRPr="003650A0" w:rsidRDefault="00802EF0" w:rsidP="00B24E19">
            <w:pPr>
              <w:pStyle w:val="DHHStabletext"/>
              <w:rPr>
                <w:lang w:eastAsia="en-AU"/>
              </w:rPr>
            </w:pPr>
            <w:r w:rsidRPr="003650A0">
              <w:t>85.2</w:t>
            </w:r>
            <w:r>
              <w:t>%</w:t>
            </w:r>
          </w:p>
        </w:tc>
        <w:tc>
          <w:tcPr>
            <w:tcW w:w="1332" w:type="dxa"/>
            <w:hideMark/>
          </w:tcPr>
          <w:p w14:paraId="22AAFDF9" w14:textId="0B327148" w:rsidR="00802EF0" w:rsidRPr="003650A0" w:rsidRDefault="00802EF0" w:rsidP="00B24E19">
            <w:pPr>
              <w:pStyle w:val="DHHStabletext"/>
              <w:rPr>
                <w:lang w:eastAsia="en-AU"/>
              </w:rPr>
            </w:pPr>
            <w:r w:rsidRPr="003650A0">
              <w:t>87.0</w:t>
            </w:r>
            <w:r>
              <w:t>%</w:t>
            </w:r>
          </w:p>
        </w:tc>
        <w:tc>
          <w:tcPr>
            <w:tcW w:w="1332" w:type="dxa"/>
            <w:hideMark/>
          </w:tcPr>
          <w:p w14:paraId="14DDF6AD" w14:textId="4679D811" w:rsidR="00802EF0" w:rsidRPr="003650A0" w:rsidRDefault="00802EF0" w:rsidP="00B24E19">
            <w:pPr>
              <w:pStyle w:val="DHHStabletext"/>
              <w:rPr>
                <w:lang w:eastAsia="en-AU"/>
              </w:rPr>
            </w:pPr>
            <w:r w:rsidRPr="003650A0">
              <w:t>87.7</w:t>
            </w:r>
            <w:r>
              <w:t>%</w:t>
            </w:r>
          </w:p>
        </w:tc>
        <w:tc>
          <w:tcPr>
            <w:tcW w:w="1332" w:type="dxa"/>
          </w:tcPr>
          <w:p w14:paraId="224D0DB0" w14:textId="2A9E749E" w:rsidR="00802EF0" w:rsidRPr="003650A0" w:rsidRDefault="00802EF0" w:rsidP="00B24E19">
            <w:pPr>
              <w:pStyle w:val="DHHStabletext"/>
              <w:rPr>
                <w:lang w:eastAsia="en-AU"/>
              </w:rPr>
            </w:pPr>
            <w:r w:rsidRPr="003650A0">
              <w:t>81.0</w:t>
            </w:r>
            <w:r>
              <w:t>%</w:t>
            </w:r>
          </w:p>
        </w:tc>
      </w:tr>
      <w:tr w:rsidR="00802EF0" w:rsidRPr="003650A0" w14:paraId="47A9856C" w14:textId="77777777" w:rsidTr="00802EF0">
        <w:trPr>
          <w:trHeight w:val="255"/>
        </w:trPr>
        <w:tc>
          <w:tcPr>
            <w:tcW w:w="2695" w:type="dxa"/>
            <w:hideMark/>
          </w:tcPr>
          <w:p w14:paraId="4EE444CA" w14:textId="3EAC4F42" w:rsidR="00802EF0" w:rsidRPr="003650A0" w:rsidRDefault="00B96DA0" w:rsidP="00B24E19">
            <w:pPr>
              <w:pStyle w:val="DHHStabletext"/>
              <w:rPr>
                <w:lang w:eastAsia="en-AU"/>
              </w:rPr>
            </w:pPr>
            <w:r>
              <w:rPr>
                <w:lang w:eastAsia="en-AU"/>
              </w:rPr>
              <w:t>Non-admitted – b</w:t>
            </w:r>
            <w:r w:rsidR="00802EF0">
              <w:rPr>
                <w:lang w:eastAsia="en-AU"/>
              </w:rPr>
              <w:t>ed-based</w:t>
            </w:r>
          </w:p>
        </w:tc>
        <w:tc>
          <w:tcPr>
            <w:tcW w:w="1332" w:type="dxa"/>
          </w:tcPr>
          <w:p w14:paraId="262FD792" w14:textId="60CE3C34" w:rsidR="00802EF0" w:rsidRPr="003650A0" w:rsidRDefault="00802EF0" w:rsidP="00B24E19">
            <w:pPr>
              <w:pStyle w:val="DHHStabletext"/>
              <w:rPr>
                <w:lang w:eastAsia="en-AU"/>
              </w:rPr>
            </w:pPr>
            <w:r w:rsidRPr="003650A0">
              <w:t>88.3</w:t>
            </w:r>
            <w:r>
              <w:t>%</w:t>
            </w:r>
          </w:p>
        </w:tc>
        <w:tc>
          <w:tcPr>
            <w:tcW w:w="1332" w:type="dxa"/>
            <w:hideMark/>
          </w:tcPr>
          <w:p w14:paraId="146DBBE2" w14:textId="0ADD603D" w:rsidR="00802EF0" w:rsidRPr="003650A0" w:rsidRDefault="00802EF0" w:rsidP="00B24E19">
            <w:pPr>
              <w:pStyle w:val="DHHStabletext"/>
              <w:rPr>
                <w:lang w:eastAsia="en-AU"/>
              </w:rPr>
            </w:pPr>
            <w:r w:rsidRPr="003650A0">
              <w:t>86.9</w:t>
            </w:r>
            <w:r>
              <w:t>%</w:t>
            </w:r>
          </w:p>
        </w:tc>
        <w:tc>
          <w:tcPr>
            <w:tcW w:w="1332" w:type="dxa"/>
            <w:hideMark/>
          </w:tcPr>
          <w:p w14:paraId="50CD7749" w14:textId="46E862CF" w:rsidR="00802EF0" w:rsidRPr="003650A0" w:rsidRDefault="00802EF0" w:rsidP="00B24E19">
            <w:pPr>
              <w:pStyle w:val="DHHStabletext"/>
              <w:rPr>
                <w:lang w:eastAsia="en-AU"/>
              </w:rPr>
            </w:pPr>
            <w:r w:rsidRPr="003650A0">
              <w:t>87.3</w:t>
            </w:r>
            <w:r>
              <w:t>%</w:t>
            </w:r>
          </w:p>
        </w:tc>
        <w:tc>
          <w:tcPr>
            <w:tcW w:w="1332" w:type="dxa"/>
            <w:hideMark/>
          </w:tcPr>
          <w:p w14:paraId="75660F79" w14:textId="5A348BCB" w:rsidR="00802EF0" w:rsidRPr="003650A0" w:rsidRDefault="00802EF0" w:rsidP="00B24E19">
            <w:pPr>
              <w:pStyle w:val="DHHStabletext"/>
              <w:rPr>
                <w:lang w:eastAsia="en-AU"/>
              </w:rPr>
            </w:pPr>
            <w:r w:rsidRPr="003650A0">
              <w:t>87.0</w:t>
            </w:r>
            <w:r>
              <w:t>%</w:t>
            </w:r>
          </w:p>
        </w:tc>
        <w:tc>
          <w:tcPr>
            <w:tcW w:w="1332" w:type="dxa"/>
          </w:tcPr>
          <w:p w14:paraId="676C7AA2" w14:textId="38C8A25D" w:rsidR="00802EF0" w:rsidRPr="003650A0" w:rsidRDefault="00802EF0" w:rsidP="00B24E19">
            <w:pPr>
              <w:pStyle w:val="DHHStabletext"/>
              <w:rPr>
                <w:lang w:eastAsia="en-AU"/>
              </w:rPr>
            </w:pPr>
            <w:r w:rsidRPr="003650A0">
              <w:t>84.3</w:t>
            </w:r>
            <w:r>
              <w:t>%</w:t>
            </w:r>
          </w:p>
        </w:tc>
      </w:tr>
      <w:tr w:rsidR="00802EF0" w:rsidRPr="003650A0" w14:paraId="1EE455F0" w14:textId="77777777" w:rsidTr="00802EF0">
        <w:trPr>
          <w:trHeight w:val="255"/>
        </w:trPr>
        <w:tc>
          <w:tcPr>
            <w:tcW w:w="2695" w:type="dxa"/>
            <w:hideMark/>
          </w:tcPr>
          <w:p w14:paraId="6B5EAF83" w14:textId="271E440D" w:rsidR="00802EF0" w:rsidRPr="00802EF0" w:rsidRDefault="00802EF0" w:rsidP="00B24E19">
            <w:pPr>
              <w:pStyle w:val="DHHStabletext"/>
              <w:rPr>
                <w:b/>
                <w:bCs/>
                <w:lang w:eastAsia="en-AU"/>
              </w:rPr>
            </w:pPr>
            <w:r w:rsidRPr="00802EF0">
              <w:rPr>
                <w:b/>
                <w:bCs/>
                <w:lang w:eastAsia="en-AU"/>
              </w:rPr>
              <w:t>Total</w:t>
            </w:r>
          </w:p>
        </w:tc>
        <w:tc>
          <w:tcPr>
            <w:tcW w:w="1332" w:type="dxa"/>
          </w:tcPr>
          <w:p w14:paraId="2A8013C0" w14:textId="7FC5EF14" w:rsidR="00802EF0" w:rsidRPr="00802EF0" w:rsidRDefault="00802EF0" w:rsidP="00B24E19">
            <w:pPr>
              <w:pStyle w:val="DHHStabletext"/>
              <w:rPr>
                <w:b/>
                <w:bCs/>
                <w:lang w:eastAsia="en-AU"/>
              </w:rPr>
            </w:pPr>
            <w:r w:rsidRPr="00802EF0">
              <w:rPr>
                <w:b/>
                <w:bCs/>
              </w:rPr>
              <w:t>87.3%</w:t>
            </w:r>
          </w:p>
        </w:tc>
        <w:tc>
          <w:tcPr>
            <w:tcW w:w="1332" w:type="dxa"/>
            <w:hideMark/>
          </w:tcPr>
          <w:p w14:paraId="0E827A9B" w14:textId="15C0AA9D" w:rsidR="00802EF0" w:rsidRPr="00802EF0" w:rsidRDefault="00802EF0" w:rsidP="00B24E19">
            <w:pPr>
              <w:pStyle w:val="DHHStabletext"/>
              <w:rPr>
                <w:b/>
                <w:bCs/>
                <w:lang w:eastAsia="en-AU"/>
              </w:rPr>
            </w:pPr>
            <w:r w:rsidRPr="00802EF0">
              <w:rPr>
                <w:b/>
                <w:bCs/>
              </w:rPr>
              <w:t>86.4%</w:t>
            </w:r>
          </w:p>
        </w:tc>
        <w:tc>
          <w:tcPr>
            <w:tcW w:w="1332" w:type="dxa"/>
            <w:hideMark/>
          </w:tcPr>
          <w:p w14:paraId="3EA63538" w14:textId="03CBEFCE" w:rsidR="00802EF0" w:rsidRPr="00802EF0" w:rsidRDefault="00802EF0" w:rsidP="00B24E19">
            <w:pPr>
              <w:pStyle w:val="DHHStabletext"/>
              <w:rPr>
                <w:b/>
                <w:bCs/>
                <w:lang w:eastAsia="en-AU"/>
              </w:rPr>
            </w:pPr>
            <w:r w:rsidRPr="00802EF0">
              <w:rPr>
                <w:b/>
                <w:bCs/>
              </w:rPr>
              <w:t>87.2%</w:t>
            </w:r>
          </w:p>
        </w:tc>
        <w:tc>
          <w:tcPr>
            <w:tcW w:w="1332" w:type="dxa"/>
            <w:hideMark/>
          </w:tcPr>
          <w:p w14:paraId="095485EE" w14:textId="4AA97C93" w:rsidR="00802EF0" w:rsidRPr="00802EF0" w:rsidRDefault="00802EF0" w:rsidP="00B24E19">
            <w:pPr>
              <w:pStyle w:val="DHHStabletext"/>
              <w:rPr>
                <w:b/>
                <w:bCs/>
                <w:lang w:eastAsia="en-AU"/>
              </w:rPr>
            </w:pPr>
            <w:r w:rsidRPr="00802EF0">
              <w:rPr>
                <w:b/>
                <w:bCs/>
              </w:rPr>
              <w:t>87.2%</w:t>
            </w:r>
          </w:p>
        </w:tc>
        <w:tc>
          <w:tcPr>
            <w:tcW w:w="1332" w:type="dxa"/>
          </w:tcPr>
          <w:p w14:paraId="0AA2B41C" w14:textId="6772D8F2" w:rsidR="00802EF0" w:rsidRPr="00802EF0" w:rsidRDefault="00802EF0" w:rsidP="00B24E19">
            <w:pPr>
              <w:pStyle w:val="DHHStabletext"/>
              <w:rPr>
                <w:b/>
                <w:bCs/>
                <w:lang w:eastAsia="en-AU"/>
              </w:rPr>
            </w:pPr>
            <w:r w:rsidRPr="00802EF0">
              <w:rPr>
                <w:b/>
                <w:bCs/>
              </w:rPr>
              <w:t>83.2%</w:t>
            </w:r>
          </w:p>
        </w:tc>
      </w:tr>
    </w:tbl>
    <w:p w14:paraId="7767C447" w14:textId="587B14A9" w:rsidR="008E0251" w:rsidRPr="00107E38" w:rsidRDefault="008E0251" w:rsidP="008E0251">
      <w:pPr>
        <w:pStyle w:val="Heading2"/>
      </w:pPr>
      <w:bookmarkStart w:id="28" w:name="_Toc55379403"/>
      <w:r w:rsidRPr="00107E38">
        <w:t xml:space="preserve">Forensic </w:t>
      </w:r>
      <w:r w:rsidR="004476F8">
        <w:t>m</w:t>
      </w:r>
      <w:r w:rsidRPr="00107E38">
        <w:t xml:space="preserve">ental </w:t>
      </w:r>
      <w:r w:rsidR="004476F8">
        <w:t>h</w:t>
      </w:r>
      <w:r w:rsidRPr="00107E38">
        <w:t xml:space="preserve">ealth </w:t>
      </w:r>
      <w:r w:rsidR="004476F8">
        <w:t>s</w:t>
      </w:r>
      <w:r w:rsidRPr="00107E38">
        <w:t>ervices</w:t>
      </w:r>
      <w:bookmarkEnd w:id="28"/>
    </w:p>
    <w:p w14:paraId="3253A5FD" w14:textId="61595EDA" w:rsidR="000D20F2" w:rsidRPr="00F77374" w:rsidRDefault="000D20F2" w:rsidP="00F77374">
      <w:pPr>
        <w:pStyle w:val="DHHSbodynospace"/>
        <w:rPr>
          <w:b/>
          <w:bCs/>
          <w:lang w:val="en" w:eastAsia="en-AU"/>
        </w:rPr>
      </w:pPr>
      <w:r w:rsidRPr="00F77374">
        <w:rPr>
          <w:b/>
          <w:bCs/>
          <w:lang w:val="en" w:eastAsia="en-AU"/>
        </w:rPr>
        <w:t xml:space="preserve">Key statistics </w:t>
      </w:r>
      <w:r w:rsidR="00CE40D6" w:rsidRPr="00F77374">
        <w:rPr>
          <w:b/>
          <w:bCs/>
          <w:lang w:val="en" w:eastAsia="en-AU"/>
        </w:rPr>
        <w:t>2019–20</w:t>
      </w:r>
      <w:r w:rsidRPr="00F77374">
        <w:rPr>
          <w:b/>
          <w:bCs/>
          <w:lang w:val="en" w:eastAsia="en-AU"/>
        </w:rPr>
        <w:t>:</w:t>
      </w:r>
    </w:p>
    <w:p w14:paraId="77102091" w14:textId="77777777" w:rsidR="004D308E" w:rsidRPr="004D308E" w:rsidRDefault="008E0251" w:rsidP="00F77374">
      <w:pPr>
        <w:pStyle w:val="DHHSbodynospace"/>
        <w:rPr>
          <w:rFonts w:cstheme="minorHAnsi"/>
          <w:lang w:val="en" w:eastAsia="en-AU"/>
        </w:rPr>
      </w:pPr>
      <w:r w:rsidRPr="004D308E">
        <w:rPr>
          <w:rFonts w:cstheme="minorHAnsi"/>
          <w:lang w:val="en" w:eastAsia="en-AU"/>
        </w:rPr>
        <w:t>1,231 consumers</w:t>
      </w:r>
    </w:p>
    <w:p w14:paraId="3EE6374C" w14:textId="5381DAD9" w:rsidR="004D308E" w:rsidRPr="004D308E" w:rsidRDefault="008E0251" w:rsidP="00F77374">
      <w:pPr>
        <w:pStyle w:val="DHHSbodynospace"/>
        <w:rPr>
          <w:rFonts w:cstheme="minorHAnsi"/>
          <w:lang w:val="en" w:eastAsia="en-AU"/>
        </w:rPr>
      </w:pPr>
      <w:r w:rsidRPr="004D308E">
        <w:rPr>
          <w:rFonts w:cstheme="minorHAnsi"/>
          <w:lang w:val="en" w:eastAsia="en-AU"/>
        </w:rPr>
        <w:t>137 separations</w:t>
      </w:r>
      <w:r w:rsidR="00D83EC5">
        <w:rPr>
          <w:rFonts w:cstheme="minorHAnsi"/>
          <w:lang w:val="en" w:eastAsia="en-AU"/>
        </w:rPr>
        <w:t xml:space="preserve"> </w:t>
      </w:r>
    </w:p>
    <w:p w14:paraId="107E32CA" w14:textId="6BE3C1A4" w:rsidR="008E0251" w:rsidRPr="004D308E" w:rsidRDefault="008E0251" w:rsidP="00F77374">
      <w:pPr>
        <w:pStyle w:val="DHHSbodynospace"/>
        <w:rPr>
          <w:rFonts w:cstheme="minorHAnsi"/>
          <w:lang w:val="en" w:eastAsia="en-AU"/>
        </w:rPr>
      </w:pPr>
      <w:r w:rsidRPr="004D308E">
        <w:rPr>
          <w:rFonts w:cstheme="minorHAnsi"/>
          <w:lang w:val="en" w:eastAsia="en-AU"/>
        </w:rPr>
        <w:t>23,709 community contacts</w:t>
      </w:r>
    </w:p>
    <w:p w14:paraId="1B889A01" w14:textId="77777777" w:rsidR="004D308E" w:rsidRPr="004D308E" w:rsidRDefault="004D308E" w:rsidP="00F77374">
      <w:pPr>
        <w:pStyle w:val="DHHSbody"/>
        <w:rPr>
          <w:lang w:val="en" w:eastAsia="en-AU"/>
        </w:rPr>
      </w:pPr>
    </w:p>
    <w:p w14:paraId="546F3969" w14:textId="04D483F8" w:rsidR="008E0251" w:rsidRPr="003650A0" w:rsidRDefault="008E0251" w:rsidP="008E0251">
      <w:pPr>
        <w:pStyle w:val="DHHSbody"/>
        <w:rPr>
          <w:rFonts w:cs="Arial"/>
        </w:rPr>
      </w:pPr>
      <w:r w:rsidRPr="003650A0">
        <w:rPr>
          <w:rFonts w:cs="Arial"/>
        </w:rPr>
        <w:t>Forensic mental health services provide assessment and treatment for people with mental illness or disorders and involvement with the criminal justice system. Depending on clinical need, treatment may occur within prison, in the community or in a secure inpatient setting at the Thomas Embling Hospital in Fairfield.</w:t>
      </w:r>
    </w:p>
    <w:p w14:paraId="49FA5CAB" w14:textId="1C2B113E" w:rsidR="008E0251" w:rsidRPr="003650A0" w:rsidRDefault="008E0251" w:rsidP="008E0251">
      <w:pPr>
        <w:pStyle w:val="DHHSbody"/>
        <w:rPr>
          <w:rFonts w:cs="Arial"/>
        </w:rPr>
      </w:pPr>
      <w:r w:rsidRPr="003650A0">
        <w:rPr>
          <w:rFonts w:cs="Arial"/>
        </w:rPr>
        <w:t xml:space="preserve">The number of </w:t>
      </w:r>
      <w:r>
        <w:rPr>
          <w:rFonts w:cs="Arial"/>
        </w:rPr>
        <w:t>consumer</w:t>
      </w:r>
      <w:r w:rsidRPr="003650A0">
        <w:rPr>
          <w:rFonts w:cs="Arial"/>
        </w:rPr>
        <w:t xml:space="preserve">s increased by 24.6 per cent to 1,231 in </w:t>
      </w:r>
      <w:r w:rsidR="00894D3B">
        <w:rPr>
          <w:rFonts w:cs="Arial"/>
        </w:rPr>
        <w:t>2019–20</w:t>
      </w:r>
      <w:r w:rsidRPr="003650A0">
        <w:rPr>
          <w:rFonts w:cs="Arial"/>
        </w:rPr>
        <w:t xml:space="preserve">, building on an increase of 12.9 per cent the previous year. The increasing number of forensic </w:t>
      </w:r>
      <w:r>
        <w:rPr>
          <w:rFonts w:cs="Arial"/>
        </w:rPr>
        <w:t>consumer</w:t>
      </w:r>
      <w:r w:rsidRPr="003650A0">
        <w:rPr>
          <w:rFonts w:cs="Arial"/>
        </w:rPr>
        <w:t>s reflects in part the re-opening of beds in the Melbourne Assessment Prison</w:t>
      </w:r>
      <w:r w:rsidR="00415C09">
        <w:rPr>
          <w:rFonts w:cs="Arial"/>
        </w:rPr>
        <w:t>, which</w:t>
      </w:r>
      <w:r w:rsidRPr="003650A0">
        <w:rPr>
          <w:rFonts w:cs="Arial"/>
        </w:rPr>
        <w:t xml:space="preserve"> is the reception prison for men in Victoria</w:t>
      </w:r>
      <w:r w:rsidR="00415C09">
        <w:rPr>
          <w:rFonts w:cs="Arial"/>
        </w:rPr>
        <w:t>. It</w:t>
      </w:r>
      <w:r w:rsidRPr="003650A0">
        <w:rPr>
          <w:rFonts w:cs="Arial"/>
        </w:rPr>
        <w:t xml:space="preserve"> has a 16</w:t>
      </w:r>
      <w:r w:rsidR="00415C09">
        <w:rPr>
          <w:rFonts w:cs="Arial"/>
        </w:rPr>
        <w:t>-</w:t>
      </w:r>
      <w:r w:rsidRPr="003650A0">
        <w:rPr>
          <w:rFonts w:cs="Arial"/>
        </w:rPr>
        <w:t xml:space="preserve">bed short stay assessment unit </w:t>
      </w:r>
      <w:r>
        <w:rPr>
          <w:rFonts w:cs="Arial"/>
        </w:rPr>
        <w:t>providing voluntary treatment to</w:t>
      </w:r>
      <w:r w:rsidRPr="003650A0">
        <w:rPr>
          <w:rFonts w:cs="Arial"/>
        </w:rPr>
        <w:t xml:space="preserve"> prisoners</w:t>
      </w:r>
      <w:r w:rsidR="00330C0A">
        <w:rPr>
          <w:rFonts w:cs="Arial"/>
        </w:rPr>
        <w:t>. R</w:t>
      </w:r>
      <w:r w:rsidRPr="003650A0">
        <w:rPr>
          <w:rFonts w:cs="Arial"/>
        </w:rPr>
        <w:t xml:space="preserve">eferrals are made on assessment and from other male prisons in the state. The number of consumers seen at </w:t>
      </w:r>
      <w:r w:rsidR="00415C09" w:rsidRPr="003650A0">
        <w:rPr>
          <w:rFonts w:cs="Arial"/>
        </w:rPr>
        <w:t>Melbourne Assessment Prison</w:t>
      </w:r>
      <w:r w:rsidR="00415C09" w:rsidRPr="003650A0" w:rsidDel="00415C09">
        <w:rPr>
          <w:rFonts w:cs="Arial"/>
        </w:rPr>
        <w:t xml:space="preserve"> </w:t>
      </w:r>
      <w:r w:rsidRPr="003650A0">
        <w:rPr>
          <w:rFonts w:cs="Arial"/>
        </w:rPr>
        <w:t xml:space="preserve">rose from 20 in </w:t>
      </w:r>
      <w:r w:rsidR="00BA6AC1">
        <w:rPr>
          <w:rFonts w:cs="Arial"/>
        </w:rPr>
        <w:t>2018–19</w:t>
      </w:r>
      <w:r w:rsidRPr="003650A0">
        <w:rPr>
          <w:rFonts w:cs="Arial"/>
        </w:rPr>
        <w:t xml:space="preserve"> to 311 in </w:t>
      </w:r>
      <w:r w:rsidR="00894D3B">
        <w:rPr>
          <w:rFonts w:cs="Arial"/>
        </w:rPr>
        <w:t>2019–20</w:t>
      </w:r>
      <w:r w:rsidRPr="003650A0">
        <w:rPr>
          <w:rFonts w:cs="Arial"/>
        </w:rPr>
        <w:t xml:space="preserve">. Overall, there were 137 separations of people from acute forensic mental health inpatient units during the year, an increase of 33 from </w:t>
      </w:r>
      <w:r w:rsidR="00BA6AC1">
        <w:rPr>
          <w:rFonts w:cs="Arial"/>
        </w:rPr>
        <w:t>2018–19</w:t>
      </w:r>
      <w:r w:rsidRPr="003650A0">
        <w:rPr>
          <w:rFonts w:cs="Arial"/>
        </w:rPr>
        <w:t>. Pressure on forensic inpatient beds remains high, with a bed occupancy rate of 95.0 per cent</w:t>
      </w:r>
      <w:r>
        <w:rPr>
          <w:rFonts w:cs="Arial"/>
        </w:rPr>
        <w:t xml:space="preserve"> (Table </w:t>
      </w:r>
      <w:r w:rsidR="006A5F4C">
        <w:rPr>
          <w:rFonts w:cs="Arial"/>
        </w:rPr>
        <w:t>1</w:t>
      </w:r>
      <w:r w:rsidR="006E3E09">
        <w:rPr>
          <w:rFonts w:cs="Arial"/>
        </w:rPr>
        <w:t>5</w:t>
      </w:r>
      <w:r>
        <w:rPr>
          <w:rFonts w:cs="Arial"/>
        </w:rPr>
        <w:t>)</w:t>
      </w:r>
      <w:r w:rsidRPr="003650A0">
        <w:rPr>
          <w:rFonts w:cs="Arial"/>
        </w:rPr>
        <w:t xml:space="preserve">. </w:t>
      </w:r>
    </w:p>
    <w:p w14:paraId="3BA316EE" w14:textId="303DBBC4" w:rsidR="008E0251" w:rsidRDefault="008E0251" w:rsidP="008E0251">
      <w:pPr>
        <w:pStyle w:val="DHHSbody"/>
        <w:rPr>
          <w:rFonts w:cs="Arial"/>
        </w:rPr>
      </w:pPr>
    </w:p>
    <w:p w14:paraId="7AB3825F" w14:textId="4DF28FFA" w:rsidR="008E0251" w:rsidRDefault="008E0251" w:rsidP="008E0251">
      <w:pPr>
        <w:pStyle w:val="DHHSbody"/>
        <w:rPr>
          <w:rFonts w:cs="Arial"/>
        </w:rPr>
      </w:pPr>
      <w:r w:rsidRPr="003650A0">
        <w:rPr>
          <w:rFonts w:cs="Arial"/>
        </w:rPr>
        <w:t xml:space="preserve">Forensic </w:t>
      </w:r>
      <w:r>
        <w:rPr>
          <w:rFonts w:cs="Arial"/>
        </w:rPr>
        <w:t>consumer</w:t>
      </w:r>
      <w:r w:rsidRPr="003650A0">
        <w:rPr>
          <w:rFonts w:cs="Arial"/>
        </w:rPr>
        <w:t>s ha</w:t>
      </w:r>
      <w:r w:rsidR="00F6579C">
        <w:rPr>
          <w:rFonts w:cs="Arial"/>
        </w:rPr>
        <w:t>d</w:t>
      </w:r>
      <w:r w:rsidRPr="003650A0">
        <w:rPr>
          <w:rFonts w:cs="Arial"/>
        </w:rPr>
        <w:t xml:space="preserve"> the longest average duration of compulsory treatment, at 100.6 days. This part of the service system ha</w:t>
      </w:r>
      <w:r w:rsidR="00F6579C">
        <w:rPr>
          <w:rFonts w:cs="Arial"/>
        </w:rPr>
        <w:t>d</w:t>
      </w:r>
      <w:r w:rsidRPr="003650A0">
        <w:rPr>
          <w:rFonts w:cs="Arial"/>
        </w:rPr>
        <w:t xml:space="preserve"> the lowest proportion of new </w:t>
      </w:r>
      <w:r>
        <w:rPr>
          <w:rFonts w:cs="Arial"/>
        </w:rPr>
        <w:t>consumer</w:t>
      </w:r>
      <w:r w:rsidRPr="003650A0">
        <w:rPr>
          <w:rFonts w:cs="Arial"/>
        </w:rPr>
        <w:t>s at 17.2 per cent</w:t>
      </w:r>
      <w:r w:rsidR="00415C09">
        <w:rPr>
          <w:rFonts w:cs="Arial"/>
        </w:rPr>
        <w:t xml:space="preserve"> – </w:t>
      </w:r>
      <w:r w:rsidRPr="003650A0">
        <w:rPr>
          <w:rFonts w:cs="Arial"/>
        </w:rPr>
        <w:t>most had some engagement with services in the preceding five years.</w:t>
      </w:r>
    </w:p>
    <w:p w14:paraId="1D2A0436" w14:textId="210E0D8F" w:rsidR="00802EF0" w:rsidRPr="00B96DA0" w:rsidRDefault="008E0251" w:rsidP="00802EF0">
      <w:pPr>
        <w:pStyle w:val="DHHStablecaption"/>
        <w:rPr>
          <w:bCs/>
        </w:rPr>
      </w:pPr>
      <w:r>
        <w:t xml:space="preserve">Table </w:t>
      </w:r>
      <w:r w:rsidR="006A5F4C">
        <w:t>1</w:t>
      </w:r>
      <w:r w:rsidR="006E3E09">
        <w:t>5</w:t>
      </w:r>
      <w:r>
        <w:t xml:space="preserve">: </w:t>
      </w:r>
      <w:r w:rsidRPr="00BE780A">
        <w:t>Forensic bed occupancy rates (including</w:t>
      </w:r>
      <w:r w:rsidRPr="00107E38">
        <w:rPr>
          <w:bCs/>
        </w:rPr>
        <w:t xml:space="preserve"> leave, excluding same day), 2016</w:t>
      </w:r>
      <w:r w:rsidR="00BA6AC1">
        <w:rPr>
          <w:bCs/>
        </w:rPr>
        <w:t>–</w:t>
      </w:r>
      <w:r w:rsidRPr="00107E38">
        <w:rPr>
          <w:bCs/>
        </w:rPr>
        <w:t xml:space="preserve">17 to </w:t>
      </w:r>
      <w:r w:rsidR="00894D3B">
        <w:rPr>
          <w:bCs/>
        </w:rPr>
        <w:t>2019–20</w:t>
      </w:r>
    </w:p>
    <w:tbl>
      <w:tblPr>
        <w:tblStyle w:val="MentalhealthARtablestyle"/>
        <w:tblW w:w="9355" w:type="dxa"/>
        <w:tblLook w:val="04A0" w:firstRow="1" w:lastRow="0" w:firstColumn="1" w:lastColumn="0" w:noHBand="0" w:noVBand="1"/>
      </w:tblPr>
      <w:tblGrid>
        <w:gridCol w:w="2695"/>
        <w:gridCol w:w="1332"/>
        <w:gridCol w:w="1332"/>
        <w:gridCol w:w="1332"/>
        <w:gridCol w:w="1332"/>
        <w:gridCol w:w="1332"/>
      </w:tblGrid>
      <w:tr w:rsidR="00802EF0" w:rsidRPr="003650A0" w14:paraId="1F14D1E5" w14:textId="77777777" w:rsidTr="00BA6AC1">
        <w:trPr>
          <w:cnfStyle w:val="100000000000" w:firstRow="1" w:lastRow="0" w:firstColumn="0" w:lastColumn="0" w:oddVBand="0" w:evenVBand="0" w:oddHBand="0" w:evenHBand="0" w:firstRowFirstColumn="0" w:firstRowLastColumn="0" w:lastRowFirstColumn="0" w:lastRowLastColumn="0"/>
          <w:trHeight w:val="255"/>
          <w:tblHeader/>
        </w:trPr>
        <w:tc>
          <w:tcPr>
            <w:tcW w:w="2695" w:type="dxa"/>
            <w:hideMark/>
          </w:tcPr>
          <w:p w14:paraId="6FF04F46" w14:textId="77777777" w:rsidR="00802EF0" w:rsidRPr="00B24E19" w:rsidRDefault="00802EF0" w:rsidP="00BA6AC1">
            <w:pPr>
              <w:pStyle w:val="DHHStablecolhead"/>
              <w:rPr>
                <w:b/>
                <w:bCs/>
              </w:rPr>
            </w:pPr>
            <w:r w:rsidRPr="00B24E19">
              <w:rPr>
                <w:b/>
                <w:bCs/>
              </w:rPr>
              <w:t>Setting</w:t>
            </w:r>
          </w:p>
        </w:tc>
        <w:tc>
          <w:tcPr>
            <w:tcW w:w="1332" w:type="dxa"/>
            <w:vAlign w:val="top"/>
          </w:tcPr>
          <w:p w14:paraId="711E3174" w14:textId="77777777" w:rsidR="00802EF0" w:rsidRPr="00B24E19" w:rsidRDefault="00802EF0" w:rsidP="00BA6AC1">
            <w:pPr>
              <w:pStyle w:val="DHHStablecolhead"/>
              <w:rPr>
                <w:b/>
              </w:rPr>
            </w:pPr>
            <w:r w:rsidRPr="00B24E19">
              <w:rPr>
                <w:b/>
              </w:rPr>
              <w:t>2015–16</w:t>
            </w:r>
          </w:p>
        </w:tc>
        <w:tc>
          <w:tcPr>
            <w:tcW w:w="1332" w:type="dxa"/>
            <w:vAlign w:val="top"/>
            <w:hideMark/>
          </w:tcPr>
          <w:p w14:paraId="2E5C2741" w14:textId="77777777" w:rsidR="00802EF0" w:rsidRPr="00B24E19" w:rsidRDefault="00802EF0" w:rsidP="00BA6AC1">
            <w:pPr>
              <w:pStyle w:val="DHHStablecolhead"/>
              <w:rPr>
                <w:b/>
                <w:rtl/>
              </w:rPr>
            </w:pPr>
            <w:r w:rsidRPr="00B24E19">
              <w:rPr>
                <w:b/>
              </w:rPr>
              <w:t>2016–17</w:t>
            </w:r>
          </w:p>
        </w:tc>
        <w:tc>
          <w:tcPr>
            <w:tcW w:w="1332" w:type="dxa"/>
            <w:vAlign w:val="top"/>
            <w:hideMark/>
          </w:tcPr>
          <w:p w14:paraId="205AA2AF" w14:textId="77777777" w:rsidR="00802EF0" w:rsidRPr="00B24E19" w:rsidRDefault="00802EF0" w:rsidP="00BA6AC1">
            <w:pPr>
              <w:pStyle w:val="DHHStablecolhead"/>
              <w:rPr>
                <w:b/>
                <w:rtl/>
              </w:rPr>
            </w:pPr>
            <w:r w:rsidRPr="00B24E19">
              <w:rPr>
                <w:b/>
              </w:rPr>
              <w:t>2017–18</w:t>
            </w:r>
          </w:p>
        </w:tc>
        <w:tc>
          <w:tcPr>
            <w:tcW w:w="1332" w:type="dxa"/>
            <w:vAlign w:val="top"/>
            <w:hideMark/>
          </w:tcPr>
          <w:p w14:paraId="501FE4A5" w14:textId="77777777" w:rsidR="00802EF0" w:rsidRPr="00B24E19" w:rsidRDefault="00802EF0" w:rsidP="00BA6AC1">
            <w:pPr>
              <w:pStyle w:val="DHHStablecolhead"/>
              <w:rPr>
                <w:b/>
                <w:rtl/>
              </w:rPr>
            </w:pPr>
            <w:r w:rsidRPr="00B24E19">
              <w:rPr>
                <w:b/>
              </w:rPr>
              <w:t>2018–19</w:t>
            </w:r>
          </w:p>
        </w:tc>
        <w:tc>
          <w:tcPr>
            <w:tcW w:w="1332" w:type="dxa"/>
            <w:vAlign w:val="top"/>
          </w:tcPr>
          <w:p w14:paraId="72937C4F" w14:textId="77777777" w:rsidR="00802EF0" w:rsidRPr="00B24E19" w:rsidRDefault="00802EF0" w:rsidP="00BA6AC1">
            <w:pPr>
              <w:pStyle w:val="DHHStablecolhead"/>
              <w:rPr>
                <w:b/>
              </w:rPr>
            </w:pPr>
            <w:r w:rsidRPr="00B24E19">
              <w:rPr>
                <w:b/>
              </w:rPr>
              <w:t>2019–20</w:t>
            </w:r>
          </w:p>
        </w:tc>
      </w:tr>
      <w:tr w:rsidR="00802EF0" w:rsidRPr="003650A0" w14:paraId="498A4C6B" w14:textId="77777777" w:rsidTr="00BA6AC1">
        <w:trPr>
          <w:trHeight w:val="255"/>
        </w:trPr>
        <w:tc>
          <w:tcPr>
            <w:tcW w:w="2695" w:type="dxa"/>
            <w:hideMark/>
          </w:tcPr>
          <w:p w14:paraId="7CC506F2" w14:textId="2EC67759" w:rsidR="00802EF0" w:rsidRPr="003650A0" w:rsidRDefault="00802EF0" w:rsidP="00802EF0">
            <w:pPr>
              <w:pStyle w:val="DHHStabletext"/>
              <w:rPr>
                <w:lang w:eastAsia="en-AU"/>
              </w:rPr>
            </w:pPr>
            <w:r w:rsidRPr="003650A0">
              <w:rPr>
                <w:lang w:eastAsia="en-AU"/>
              </w:rPr>
              <w:t>Admitted</w:t>
            </w:r>
            <w:r w:rsidR="00B96DA0">
              <w:rPr>
                <w:lang w:eastAsia="en-AU"/>
              </w:rPr>
              <w:t xml:space="preserve"> – a</w:t>
            </w:r>
            <w:r w:rsidRPr="003650A0">
              <w:rPr>
                <w:lang w:eastAsia="en-AU"/>
              </w:rPr>
              <w:t>cute</w:t>
            </w:r>
          </w:p>
        </w:tc>
        <w:tc>
          <w:tcPr>
            <w:tcW w:w="1332" w:type="dxa"/>
            <w:vAlign w:val="top"/>
          </w:tcPr>
          <w:p w14:paraId="2DA85A11" w14:textId="15B3DC67" w:rsidR="00802EF0" w:rsidRPr="003650A0" w:rsidRDefault="00802EF0" w:rsidP="00802EF0">
            <w:pPr>
              <w:pStyle w:val="DHHStabletext"/>
              <w:rPr>
                <w:lang w:eastAsia="en-AU"/>
              </w:rPr>
            </w:pPr>
            <w:r w:rsidRPr="00014367">
              <w:t>93.6</w:t>
            </w:r>
            <w:r>
              <w:t>%</w:t>
            </w:r>
          </w:p>
        </w:tc>
        <w:tc>
          <w:tcPr>
            <w:tcW w:w="1332" w:type="dxa"/>
            <w:vAlign w:val="top"/>
            <w:hideMark/>
          </w:tcPr>
          <w:p w14:paraId="2E94043C" w14:textId="1B955C28" w:rsidR="00802EF0" w:rsidRPr="003650A0" w:rsidRDefault="00802EF0" w:rsidP="00802EF0">
            <w:pPr>
              <w:pStyle w:val="DHHStabletext"/>
              <w:rPr>
                <w:lang w:eastAsia="en-AU"/>
              </w:rPr>
            </w:pPr>
            <w:r w:rsidRPr="00014367">
              <w:t>95.0</w:t>
            </w:r>
            <w:r>
              <w:t>%</w:t>
            </w:r>
          </w:p>
        </w:tc>
        <w:tc>
          <w:tcPr>
            <w:tcW w:w="1332" w:type="dxa"/>
            <w:vAlign w:val="top"/>
            <w:hideMark/>
          </w:tcPr>
          <w:p w14:paraId="7F734543" w14:textId="4943FB16" w:rsidR="00802EF0" w:rsidRPr="003650A0" w:rsidRDefault="00802EF0" w:rsidP="00802EF0">
            <w:pPr>
              <w:pStyle w:val="DHHStabletext"/>
              <w:rPr>
                <w:lang w:eastAsia="en-AU"/>
              </w:rPr>
            </w:pPr>
            <w:r w:rsidRPr="00014367">
              <w:t>96.6</w:t>
            </w:r>
            <w:r>
              <w:t>%</w:t>
            </w:r>
          </w:p>
        </w:tc>
        <w:tc>
          <w:tcPr>
            <w:tcW w:w="1332" w:type="dxa"/>
            <w:vAlign w:val="top"/>
            <w:hideMark/>
          </w:tcPr>
          <w:p w14:paraId="043528E2" w14:textId="52ACF03D" w:rsidR="00802EF0" w:rsidRPr="003650A0" w:rsidRDefault="00802EF0" w:rsidP="00802EF0">
            <w:pPr>
              <w:pStyle w:val="DHHStabletext"/>
              <w:rPr>
                <w:lang w:eastAsia="en-AU"/>
              </w:rPr>
            </w:pPr>
            <w:r w:rsidRPr="00014367">
              <w:t>95.5</w:t>
            </w:r>
            <w:r>
              <w:t>%</w:t>
            </w:r>
          </w:p>
        </w:tc>
        <w:tc>
          <w:tcPr>
            <w:tcW w:w="1332" w:type="dxa"/>
            <w:vAlign w:val="top"/>
          </w:tcPr>
          <w:p w14:paraId="066E1E3A" w14:textId="5CD9061E" w:rsidR="00802EF0" w:rsidRPr="003650A0" w:rsidRDefault="00802EF0" w:rsidP="00802EF0">
            <w:pPr>
              <w:pStyle w:val="DHHStabletext"/>
              <w:rPr>
                <w:lang w:eastAsia="en-AU"/>
              </w:rPr>
            </w:pPr>
            <w:r w:rsidRPr="00014367">
              <w:t>95.0</w:t>
            </w:r>
            <w:r>
              <w:t>%</w:t>
            </w:r>
          </w:p>
        </w:tc>
      </w:tr>
      <w:tr w:rsidR="00802EF0" w:rsidRPr="003650A0" w14:paraId="15D161F8" w14:textId="77777777" w:rsidTr="00BA6AC1">
        <w:trPr>
          <w:trHeight w:val="255"/>
        </w:trPr>
        <w:tc>
          <w:tcPr>
            <w:tcW w:w="2695" w:type="dxa"/>
            <w:hideMark/>
          </w:tcPr>
          <w:p w14:paraId="59A28B4C" w14:textId="600081AC" w:rsidR="00802EF0" w:rsidRPr="003650A0" w:rsidRDefault="00802EF0" w:rsidP="00802EF0">
            <w:pPr>
              <w:pStyle w:val="DHHStabletext"/>
              <w:rPr>
                <w:lang w:eastAsia="en-AU"/>
              </w:rPr>
            </w:pPr>
            <w:r w:rsidRPr="003650A0">
              <w:rPr>
                <w:lang w:eastAsia="en-AU"/>
              </w:rPr>
              <w:t xml:space="preserve">Admitted </w:t>
            </w:r>
            <w:r>
              <w:rPr>
                <w:lang w:eastAsia="en-AU"/>
              </w:rPr>
              <w:t>–</w:t>
            </w:r>
            <w:r w:rsidRPr="003650A0">
              <w:rPr>
                <w:lang w:eastAsia="en-AU"/>
              </w:rPr>
              <w:t xml:space="preserve"> </w:t>
            </w:r>
            <w:r w:rsidR="00B96DA0">
              <w:rPr>
                <w:lang w:eastAsia="en-AU"/>
              </w:rPr>
              <w:t>n</w:t>
            </w:r>
            <w:r>
              <w:rPr>
                <w:lang w:eastAsia="en-AU"/>
              </w:rPr>
              <w:t>on-acute</w:t>
            </w:r>
          </w:p>
        </w:tc>
        <w:tc>
          <w:tcPr>
            <w:tcW w:w="1332" w:type="dxa"/>
            <w:vAlign w:val="top"/>
          </w:tcPr>
          <w:p w14:paraId="4BC6C810" w14:textId="215EE409" w:rsidR="00802EF0" w:rsidRPr="003650A0" w:rsidRDefault="00802EF0" w:rsidP="00802EF0">
            <w:pPr>
              <w:pStyle w:val="DHHStabletext"/>
              <w:rPr>
                <w:lang w:eastAsia="en-AU"/>
              </w:rPr>
            </w:pPr>
            <w:r w:rsidRPr="00014367">
              <w:t>95.4</w:t>
            </w:r>
            <w:r>
              <w:t>%</w:t>
            </w:r>
          </w:p>
        </w:tc>
        <w:tc>
          <w:tcPr>
            <w:tcW w:w="1332" w:type="dxa"/>
            <w:vAlign w:val="top"/>
            <w:hideMark/>
          </w:tcPr>
          <w:p w14:paraId="23F5E568" w14:textId="65EEADE1" w:rsidR="00802EF0" w:rsidRPr="003650A0" w:rsidRDefault="00802EF0" w:rsidP="00802EF0">
            <w:pPr>
              <w:pStyle w:val="DHHStabletext"/>
              <w:rPr>
                <w:lang w:eastAsia="en-AU"/>
              </w:rPr>
            </w:pPr>
            <w:r w:rsidRPr="00014367">
              <w:t>94.4</w:t>
            </w:r>
            <w:r>
              <w:t>%</w:t>
            </w:r>
          </w:p>
        </w:tc>
        <w:tc>
          <w:tcPr>
            <w:tcW w:w="1332" w:type="dxa"/>
            <w:vAlign w:val="top"/>
            <w:hideMark/>
          </w:tcPr>
          <w:p w14:paraId="2B6E8739" w14:textId="3A1F0E7C" w:rsidR="00802EF0" w:rsidRPr="003650A0" w:rsidRDefault="00802EF0" w:rsidP="00802EF0">
            <w:pPr>
              <w:pStyle w:val="DHHStabletext"/>
              <w:rPr>
                <w:lang w:eastAsia="en-AU"/>
              </w:rPr>
            </w:pPr>
            <w:r w:rsidRPr="00014367">
              <w:t>93.1</w:t>
            </w:r>
            <w:r>
              <w:t>%</w:t>
            </w:r>
          </w:p>
        </w:tc>
        <w:tc>
          <w:tcPr>
            <w:tcW w:w="1332" w:type="dxa"/>
            <w:vAlign w:val="top"/>
            <w:hideMark/>
          </w:tcPr>
          <w:p w14:paraId="4A465146" w14:textId="1FB76062" w:rsidR="00802EF0" w:rsidRPr="003650A0" w:rsidRDefault="00802EF0" w:rsidP="00802EF0">
            <w:pPr>
              <w:pStyle w:val="DHHStabletext"/>
              <w:rPr>
                <w:lang w:eastAsia="en-AU"/>
              </w:rPr>
            </w:pPr>
            <w:r w:rsidRPr="00014367">
              <w:t>94.5</w:t>
            </w:r>
            <w:r>
              <w:t>%</w:t>
            </w:r>
          </w:p>
        </w:tc>
        <w:tc>
          <w:tcPr>
            <w:tcW w:w="1332" w:type="dxa"/>
            <w:vAlign w:val="top"/>
          </w:tcPr>
          <w:p w14:paraId="06A8D3C8" w14:textId="703B4928" w:rsidR="00802EF0" w:rsidRPr="003650A0" w:rsidRDefault="00802EF0" w:rsidP="00802EF0">
            <w:pPr>
              <w:pStyle w:val="DHHStabletext"/>
              <w:rPr>
                <w:lang w:eastAsia="en-AU"/>
              </w:rPr>
            </w:pPr>
            <w:r w:rsidRPr="00014367">
              <w:t>96.4</w:t>
            </w:r>
            <w:r>
              <w:t>%</w:t>
            </w:r>
          </w:p>
        </w:tc>
      </w:tr>
      <w:tr w:rsidR="00802EF0" w:rsidRPr="003650A0" w14:paraId="42C52636" w14:textId="77777777" w:rsidTr="00BA6AC1">
        <w:trPr>
          <w:trHeight w:val="255"/>
        </w:trPr>
        <w:tc>
          <w:tcPr>
            <w:tcW w:w="2695" w:type="dxa"/>
            <w:hideMark/>
          </w:tcPr>
          <w:p w14:paraId="1CA8376B" w14:textId="77777777" w:rsidR="00802EF0" w:rsidRPr="00802EF0" w:rsidRDefault="00802EF0" w:rsidP="00802EF0">
            <w:pPr>
              <w:pStyle w:val="DHHStabletext"/>
              <w:rPr>
                <w:b/>
                <w:bCs/>
                <w:lang w:eastAsia="en-AU"/>
              </w:rPr>
            </w:pPr>
            <w:r w:rsidRPr="00802EF0">
              <w:rPr>
                <w:b/>
                <w:bCs/>
                <w:lang w:eastAsia="en-AU"/>
              </w:rPr>
              <w:t>Total</w:t>
            </w:r>
          </w:p>
        </w:tc>
        <w:tc>
          <w:tcPr>
            <w:tcW w:w="1332" w:type="dxa"/>
            <w:vAlign w:val="top"/>
          </w:tcPr>
          <w:p w14:paraId="7C62D2EB" w14:textId="19E1BB54" w:rsidR="00802EF0" w:rsidRPr="00802EF0" w:rsidRDefault="00802EF0" w:rsidP="00802EF0">
            <w:pPr>
              <w:pStyle w:val="DHHStabletext"/>
              <w:rPr>
                <w:b/>
                <w:bCs/>
                <w:lang w:eastAsia="en-AU"/>
              </w:rPr>
            </w:pPr>
            <w:r w:rsidRPr="00802EF0">
              <w:rPr>
                <w:b/>
                <w:bCs/>
              </w:rPr>
              <w:t>94.8%</w:t>
            </w:r>
          </w:p>
        </w:tc>
        <w:tc>
          <w:tcPr>
            <w:tcW w:w="1332" w:type="dxa"/>
            <w:vAlign w:val="top"/>
            <w:hideMark/>
          </w:tcPr>
          <w:p w14:paraId="76427369" w14:textId="32525C25" w:rsidR="00802EF0" w:rsidRPr="00802EF0" w:rsidRDefault="00802EF0" w:rsidP="00802EF0">
            <w:pPr>
              <w:pStyle w:val="DHHStabletext"/>
              <w:rPr>
                <w:b/>
                <w:bCs/>
                <w:lang w:eastAsia="en-AU"/>
              </w:rPr>
            </w:pPr>
            <w:r w:rsidRPr="00802EF0">
              <w:rPr>
                <w:b/>
                <w:bCs/>
              </w:rPr>
              <w:t>94.6%</w:t>
            </w:r>
          </w:p>
        </w:tc>
        <w:tc>
          <w:tcPr>
            <w:tcW w:w="1332" w:type="dxa"/>
            <w:vAlign w:val="top"/>
            <w:hideMark/>
          </w:tcPr>
          <w:p w14:paraId="6E526EAA" w14:textId="1F49751E" w:rsidR="00802EF0" w:rsidRPr="00802EF0" w:rsidRDefault="00802EF0" w:rsidP="00802EF0">
            <w:pPr>
              <w:pStyle w:val="DHHStabletext"/>
              <w:rPr>
                <w:b/>
                <w:bCs/>
                <w:lang w:eastAsia="en-AU"/>
              </w:rPr>
            </w:pPr>
            <w:r w:rsidRPr="00802EF0">
              <w:rPr>
                <w:b/>
                <w:bCs/>
              </w:rPr>
              <w:t>94.3%</w:t>
            </w:r>
          </w:p>
        </w:tc>
        <w:tc>
          <w:tcPr>
            <w:tcW w:w="1332" w:type="dxa"/>
            <w:vAlign w:val="top"/>
            <w:hideMark/>
          </w:tcPr>
          <w:p w14:paraId="6B6C62C5" w14:textId="15F0CEBF" w:rsidR="00802EF0" w:rsidRPr="00802EF0" w:rsidRDefault="00802EF0" w:rsidP="00802EF0">
            <w:pPr>
              <w:pStyle w:val="DHHStabletext"/>
              <w:rPr>
                <w:b/>
                <w:bCs/>
                <w:lang w:eastAsia="en-AU"/>
              </w:rPr>
            </w:pPr>
            <w:r w:rsidRPr="00802EF0">
              <w:rPr>
                <w:b/>
                <w:bCs/>
              </w:rPr>
              <w:t>94.8%</w:t>
            </w:r>
          </w:p>
        </w:tc>
        <w:tc>
          <w:tcPr>
            <w:tcW w:w="1332" w:type="dxa"/>
            <w:vAlign w:val="top"/>
          </w:tcPr>
          <w:p w14:paraId="381618E0" w14:textId="518CC08C" w:rsidR="00802EF0" w:rsidRPr="00802EF0" w:rsidRDefault="00802EF0" w:rsidP="00802EF0">
            <w:pPr>
              <w:pStyle w:val="DHHStabletext"/>
              <w:rPr>
                <w:b/>
                <w:bCs/>
                <w:lang w:eastAsia="en-AU"/>
              </w:rPr>
            </w:pPr>
            <w:r w:rsidRPr="00802EF0">
              <w:rPr>
                <w:b/>
                <w:bCs/>
              </w:rPr>
              <w:t>95.9%</w:t>
            </w:r>
          </w:p>
        </w:tc>
      </w:tr>
    </w:tbl>
    <w:p w14:paraId="04F9DE5F" w14:textId="1DEF8CCC" w:rsidR="008E0251" w:rsidRPr="00107E38" w:rsidRDefault="008E0251" w:rsidP="008E0251">
      <w:pPr>
        <w:pStyle w:val="Heading2"/>
      </w:pPr>
      <w:bookmarkStart w:id="29" w:name="_Toc55379404"/>
      <w:r w:rsidRPr="00107E38">
        <w:t xml:space="preserve">Specialist </w:t>
      </w:r>
      <w:r w:rsidR="004476F8">
        <w:t>m</w:t>
      </w:r>
      <w:r w:rsidRPr="00107E38">
        <w:t xml:space="preserve">ental </w:t>
      </w:r>
      <w:r w:rsidR="004476F8">
        <w:t>h</w:t>
      </w:r>
      <w:r w:rsidRPr="00107E38">
        <w:t xml:space="preserve">ealth </w:t>
      </w:r>
      <w:r w:rsidR="004476F8">
        <w:t>s</w:t>
      </w:r>
      <w:r w:rsidRPr="00107E38">
        <w:t>ervices</w:t>
      </w:r>
      <w:bookmarkEnd w:id="29"/>
    </w:p>
    <w:p w14:paraId="42741BC2" w14:textId="4B6CE155" w:rsidR="004D308E" w:rsidRPr="00F77374" w:rsidRDefault="004D308E" w:rsidP="00F77374">
      <w:pPr>
        <w:pStyle w:val="DHHSbodynospace"/>
        <w:rPr>
          <w:b/>
          <w:bCs/>
          <w:lang w:val="en" w:eastAsia="en-AU"/>
        </w:rPr>
      </w:pPr>
      <w:r w:rsidRPr="00F77374">
        <w:rPr>
          <w:b/>
          <w:bCs/>
          <w:lang w:val="en" w:eastAsia="en-AU"/>
        </w:rPr>
        <w:t xml:space="preserve">Key statistics </w:t>
      </w:r>
      <w:r w:rsidR="00CE40D6" w:rsidRPr="00F77374">
        <w:rPr>
          <w:b/>
          <w:bCs/>
          <w:lang w:val="en" w:eastAsia="en-AU"/>
        </w:rPr>
        <w:t>2019–20</w:t>
      </w:r>
      <w:r w:rsidRPr="00F77374">
        <w:rPr>
          <w:b/>
          <w:bCs/>
          <w:lang w:val="en" w:eastAsia="en-AU"/>
        </w:rPr>
        <w:t>:</w:t>
      </w:r>
    </w:p>
    <w:p w14:paraId="7F8E60DC" w14:textId="77777777" w:rsidR="004D308E" w:rsidRPr="004D308E" w:rsidRDefault="008E0251" w:rsidP="00F77374">
      <w:pPr>
        <w:pStyle w:val="DHHSbodynospace"/>
        <w:rPr>
          <w:rFonts w:cstheme="minorHAnsi"/>
          <w:lang w:val="en" w:eastAsia="en-AU"/>
        </w:rPr>
      </w:pPr>
      <w:r w:rsidRPr="004D308E">
        <w:rPr>
          <w:rFonts w:cstheme="minorHAnsi"/>
          <w:lang w:val="en" w:eastAsia="en-AU"/>
        </w:rPr>
        <w:t>1,836 consumers</w:t>
      </w:r>
    </w:p>
    <w:p w14:paraId="03162A50" w14:textId="4F3AB7D4" w:rsidR="004D308E" w:rsidRPr="00EB7303" w:rsidRDefault="008E0251" w:rsidP="00F77374">
      <w:pPr>
        <w:pStyle w:val="DHHSbodynospace"/>
        <w:rPr>
          <w:rFonts w:cstheme="minorHAnsi"/>
          <w:lang w:val="en" w:eastAsia="en-AU"/>
        </w:rPr>
      </w:pPr>
      <w:r w:rsidRPr="00EB7303">
        <w:rPr>
          <w:rFonts w:cstheme="minorHAnsi"/>
          <w:lang w:val="en" w:eastAsia="en-AU"/>
        </w:rPr>
        <w:t xml:space="preserve">991 </w:t>
      </w:r>
      <w:r w:rsidR="00EB7303" w:rsidRPr="00EB7303">
        <w:rPr>
          <w:rFonts w:cstheme="minorHAnsi"/>
          <w:lang w:val="en" w:eastAsia="en-AU"/>
        </w:rPr>
        <w:t>separations</w:t>
      </w:r>
    </w:p>
    <w:p w14:paraId="1C819020" w14:textId="3DC79C9E" w:rsidR="008E0251" w:rsidRPr="004D308E" w:rsidRDefault="008E0251" w:rsidP="00F77374">
      <w:pPr>
        <w:pStyle w:val="DHHSbodynospace"/>
        <w:rPr>
          <w:rFonts w:cstheme="minorHAnsi"/>
          <w:lang w:val="en" w:eastAsia="en-AU"/>
        </w:rPr>
      </w:pPr>
      <w:r w:rsidRPr="004D308E">
        <w:rPr>
          <w:rFonts w:cstheme="minorHAnsi"/>
          <w:lang w:val="en" w:eastAsia="en-AU"/>
        </w:rPr>
        <w:t>28,702 community contacts</w:t>
      </w:r>
    </w:p>
    <w:p w14:paraId="2DD02511" w14:textId="77777777" w:rsidR="004D308E" w:rsidRPr="004D308E" w:rsidRDefault="004D308E" w:rsidP="00F77374">
      <w:pPr>
        <w:pStyle w:val="DHHSbody"/>
        <w:rPr>
          <w:lang w:val="en" w:eastAsia="en-AU"/>
        </w:rPr>
      </w:pPr>
    </w:p>
    <w:p w14:paraId="3182D7DE" w14:textId="3522EE06" w:rsidR="008E0251" w:rsidRPr="003650A0" w:rsidRDefault="008E0251" w:rsidP="008E0251">
      <w:pPr>
        <w:pStyle w:val="DHHSbody"/>
        <w:rPr>
          <w:rFonts w:cs="Arial"/>
        </w:rPr>
      </w:pPr>
      <w:r w:rsidRPr="003650A0">
        <w:rPr>
          <w:rFonts w:cs="Arial"/>
        </w:rPr>
        <w:t xml:space="preserve">A range of specialist mental health services provide highly </w:t>
      </w:r>
      <w:r>
        <w:rPr>
          <w:rFonts w:cs="Arial"/>
        </w:rPr>
        <w:t>specialis</w:t>
      </w:r>
      <w:r w:rsidR="00330C0A">
        <w:rPr>
          <w:rFonts w:cs="Arial"/>
        </w:rPr>
        <w:t>ed</w:t>
      </w:r>
      <w:r w:rsidRPr="003650A0">
        <w:rPr>
          <w:rFonts w:cs="Arial"/>
        </w:rPr>
        <w:t xml:space="preserve"> treatment and care to Victorians with severe and complex illnesses. These services include perinatal mental health services</w:t>
      </w:r>
      <w:r>
        <w:rPr>
          <w:rFonts w:cs="Arial"/>
        </w:rPr>
        <w:t>,</w:t>
      </w:r>
      <w:r w:rsidRPr="003650A0">
        <w:rPr>
          <w:rFonts w:cs="Arial"/>
        </w:rPr>
        <w:t xml:space="preserve"> personality disorder service</w:t>
      </w:r>
      <w:r w:rsidR="00330C0A">
        <w:rPr>
          <w:rFonts w:cs="Arial"/>
        </w:rPr>
        <w:t>s</w:t>
      </w:r>
      <w:r w:rsidRPr="003650A0">
        <w:rPr>
          <w:rFonts w:cs="Arial"/>
        </w:rPr>
        <w:t xml:space="preserve"> (Spectrum)</w:t>
      </w:r>
      <w:r>
        <w:rPr>
          <w:rFonts w:cs="Arial"/>
        </w:rPr>
        <w:t>,</w:t>
      </w:r>
      <w:r w:rsidRPr="003650A0">
        <w:rPr>
          <w:rFonts w:cs="Arial"/>
        </w:rPr>
        <w:t xml:space="preserve"> eating disorder services and a dual disability service (for people with both mental illness and an intellectual disability or </w:t>
      </w:r>
      <w:r w:rsidR="00F6579C">
        <w:rPr>
          <w:rFonts w:cs="Arial"/>
        </w:rPr>
        <w:t>ASD</w:t>
      </w:r>
      <w:r w:rsidRPr="003650A0">
        <w:rPr>
          <w:rFonts w:cs="Arial"/>
        </w:rPr>
        <w:t>).</w:t>
      </w:r>
    </w:p>
    <w:p w14:paraId="5461627C" w14:textId="6B4625CB" w:rsidR="00B313FB" w:rsidRDefault="008E0251" w:rsidP="008E0251">
      <w:pPr>
        <w:pStyle w:val="DHHSbody"/>
        <w:rPr>
          <w:rFonts w:cs="Arial"/>
        </w:rPr>
      </w:pPr>
      <w:r>
        <w:rPr>
          <w:rFonts w:cs="Arial"/>
        </w:rPr>
        <w:t xml:space="preserve">These services delivered a 12 per cent increase in service contacts in </w:t>
      </w:r>
      <w:r w:rsidR="00894D3B">
        <w:rPr>
          <w:rFonts w:cs="Arial"/>
        </w:rPr>
        <w:t>2019–20</w:t>
      </w:r>
      <w:r>
        <w:rPr>
          <w:rFonts w:cs="Arial"/>
        </w:rPr>
        <w:t xml:space="preserve">, even though the </w:t>
      </w:r>
      <w:r w:rsidRPr="003650A0">
        <w:rPr>
          <w:rFonts w:cs="Arial"/>
        </w:rPr>
        <w:t xml:space="preserve">number of </w:t>
      </w:r>
      <w:r>
        <w:rPr>
          <w:rFonts w:cs="Arial"/>
        </w:rPr>
        <w:t>consumers</w:t>
      </w:r>
      <w:r w:rsidRPr="003650A0">
        <w:rPr>
          <w:rFonts w:cs="Arial"/>
        </w:rPr>
        <w:t xml:space="preserve"> </w:t>
      </w:r>
      <w:r>
        <w:rPr>
          <w:rFonts w:cs="Arial"/>
        </w:rPr>
        <w:t xml:space="preserve">receiving specialist services </w:t>
      </w:r>
      <w:r w:rsidRPr="003650A0">
        <w:rPr>
          <w:rFonts w:cs="Arial"/>
        </w:rPr>
        <w:t>dropped by 13.5 per cent to 1,836.</w:t>
      </w:r>
      <w:r>
        <w:rPr>
          <w:rFonts w:cs="Arial"/>
        </w:rPr>
        <w:t xml:space="preserve"> S</w:t>
      </w:r>
      <w:r w:rsidRPr="003650A0">
        <w:rPr>
          <w:rFonts w:cs="Arial"/>
        </w:rPr>
        <w:t>ome</w:t>
      </w:r>
      <w:r>
        <w:rPr>
          <w:rFonts w:cs="Arial"/>
        </w:rPr>
        <w:t xml:space="preserve"> bed-based services in this category were temporarily delivered in the community</w:t>
      </w:r>
      <w:r w:rsidR="00330C0A">
        <w:rPr>
          <w:rFonts w:cs="Arial"/>
        </w:rPr>
        <w:t xml:space="preserve"> to reduce the risks of the coronavirus (COVID-19) to consumers, carers and workforce</w:t>
      </w:r>
      <w:r w:rsidRPr="003650A0">
        <w:rPr>
          <w:rFonts w:cs="Arial"/>
        </w:rPr>
        <w:t xml:space="preserve">. </w:t>
      </w:r>
    </w:p>
    <w:p w14:paraId="3503BF7F" w14:textId="7F495FA8" w:rsidR="008E0251" w:rsidRPr="003650A0" w:rsidRDefault="008E0251" w:rsidP="008E0251">
      <w:pPr>
        <w:pStyle w:val="DHHSbody"/>
        <w:rPr>
          <w:rFonts w:cs="Arial"/>
        </w:rPr>
      </w:pPr>
      <w:r w:rsidRPr="003650A0">
        <w:rPr>
          <w:rFonts w:cs="Arial"/>
        </w:rPr>
        <w:t xml:space="preserve">There were 991 </w:t>
      </w:r>
      <w:r w:rsidR="00EB7303">
        <w:rPr>
          <w:rFonts w:cs="Arial"/>
        </w:rPr>
        <w:t>separations from</w:t>
      </w:r>
      <w:r w:rsidR="00B313FB">
        <w:rPr>
          <w:rFonts w:cs="Arial"/>
        </w:rPr>
        <w:t xml:space="preserve"> specialist services</w:t>
      </w:r>
      <w:r w:rsidRPr="003650A0">
        <w:rPr>
          <w:rFonts w:cs="Arial"/>
        </w:rPr>
        <w:t>, 3.8 per cent more than last year. The trimmed average length of stay (</w:t>
      </w:r>
      <w:r w:rsidR="00BA6AC1" w:rsidRPr="00360173">
        <w:rPr>
          <w:rFonts w:cs="Arial"/>
        </w:rPr>
        <w:t xml:space="preserve">≤ </w:t>
      </w:r>
      <w:r w:rsidRPr="003650A0">
        <w:rPr>
          <w:rFonts w:cs="Arial"/>
        </w:rPr>
        <w:t xml:space="preserve">35 days) </w:t>
      </w:r>
      <w:r w:rsidR="00F6579C">
        <w:rPr>
          <w:rFonts w:cs="Arial"/>
        </w:rPr>
        <w:t>was</w:t>
      </w:r>
      <w:r w:rsidRPr="003650A0">
        <w:rPr>
          <w:rFonts w:cs="Arial"/>
        </w:rPr>
        <w:t xml:space="preserve"> similar to the </w:t>
      </w:r>
      <w:r w:rsidR="00F6579C">
        <w:rPr>
          <w:rFonts w:cs="Arial"/>
        </w:rPr>
        <w:t>p</w:t>
      </w:r>
      <w:r w:rsidRPr="003650A0">
        <w:rPr>
          <w:rFonts w:cs="Arial"/>
        </w:rPr>
        <w:t>ast three years at 15.6 days</w:t>
      </w:r>
      <w:r>
        <w:rPr>
          <w:rFonts w:cs="Arial"/>
        </w:rPr>
        <w:t xml:space="preserve"> and</w:t>
      </w:r>
      <w:r w:rsidRPr="003650A0">
        <w:rPr>
          <w:rFonts w:cs="Arial"/>
        </w:rPr>
        <w:t xml:space="preserve"> </w:t>
      </w:r>
      <w:r w:rsidR="00F6579C">
        <w:rPr>
          <w:rFonts w:cs="Arial"/>
        </w:rPr>
        <w:t>wa</w:t>
      </w:r>
      <w:r w:rsidRPr="003650A0">
        <w:rPr>
          <w:rFonts w:cs="Arial"/>
        </w:rPr>
        <w:t>s substantially longer than the comparable figure for adults</w:t>
      </w:r>
      <w:r>
        <w:rPr>
          <w:rFonts w:cs="Arial"/>
        </w:rPr>
        <w:t xml:space="preserve"> not receiving specialist services</w:t>
      </w:r>
      <w:r w:rsidRPr="003650A0">
        <w:rPr>
          <w:rFonts w:cs="Arial"/>
        </w:rPr>
        <w:t xml:space="preserve">. People who stayed longer than 35 days accounted for </w:t>
      </w:r>
      <w:r w:rsidRPr="00207CD2">
        <w:rPr>
          <w:rFonts w:cs="Arial"/>
        </w:rPr>
        <w:t>16</w:t>
      </w:r>
      <w:r w:rsidRPr="003650A0">
        <w:rPr>
          <w:rFonts w:cs="Arial"/>
        </w:rPr>
        <w:t xml:space="preserve"> per cent of occupied bed days, with the highest rate observed at Austin Health, which hosts the</w:t>
      </w:r>
      <w:r>
        <w:rPr>
          <w:rFonts w:cs="Arial"/>
        </w:rPr>
        <w:t xml:space="preserve"> rehabilitative</w:t>
      </w:r>
      <w:r w:rsidRPr="003650A0">
        <w:rPr>
          <w:rFonts w:cs="Arial"/>
        </w:rPr>
        <w:t xml:space="preserve"> Brain Disorder Unit. The preadmission contact rate improved, and post-discharge follow</w:t>
      </w:r>
      <w:r w:rsidR="00BA6AC1">
        <w:rPr>
          <w:rFonts w:cs="Arial"/>
        </w:rPr>
        <w:t>-</w:t>
      </w:r>
      <w:r w:rsidRPr="003650A0">
        <w:rPr>
          <w:rFonts w:cs="Arial"/>
        </w:rPr>
        <w:t>up continue</w:t>
      </w:r>
      <w:r w:rsidR="00F6579C">
        <w:rPr>
          <w:rFonts w:cs="Arial"/>
        </w:rPr>
        <w:t>d</w:t>
      </w:r>
      <w:r w:rsidRPr="003650A0">
        <w:rPr>
          <w:rFonts w:cs="Arial"/>
        </w:rPr>
        <w:t xml:space="preserve"> a substantial upward trend from 2016</w:t>
      </w:r>
      <w:r w:rsidR="00BA6AC1">
        <w:rPr>
          <w:rFonts w:cs="Arial"/>
        </w:rPr>
        <w:t>–</w:t>
      </w:r>
      <w:r w:rsidRPr="003650A0">
        <w:rPr>
          <w:rFonts w:cs="Arial"/>
        </w:rPr>
        <w:t>17. However, both rates remain</w:t>
      </w:r>
      <w:r w:rsidR="00F6579C">
        <w:rPr>
          <w:rFonts w:cs="Arial"/>
        </w:rPr>
        <w:t>ed</w:t>
      </w:r>
      <w:r w:rsidRPr="003650A0">
        <w:rPr>
          <w:rFonts w:cs="Arial"/>
        </w:rPr>
        <w:t xml:space="preserve"> relatively low at 39.5 per cent and 65.4 per cent respectively. Readmissions within 28 days are unusual, with a rate of 2.1 per cent </w:t>
      </w:r>
      <w:r w:rsidR="00F6579C">
        <w:rPr>
          <w:rFonts w:cs="Arial"/>
        </w:rPr>
        <w:t xml:space="preserve">in </w:t>
      </w:r>
      <w:r w:rsidR="00894D3B">
        <w:rPr>
          <w:rFonts w:cs="Arial"/>
        </w:rPr>
        <w:t>2019–20</w:t>
      </w:r>
      <w:r w:rsidRPr="003650A0">
        <w:rPr>
          <w:rFonts w:cs="Arial"/>
        </w:rPr>
        <w:t xml:space="preserve">. </w:t>
      </w:r>
    </w:p>
    <w:p w14:paraId="6BD63ED4" w14:textId="7D24D6E0" w:rsidR="008E0251" w:rsidRDefault="008E0251" w:rsidP="008E0251">
      <w:pPr>
        <w:pStyle w:val="DHHSbody"/>
        <w:rPr>
          <w:rFonts w:cs="Arial"/>
        </w:rPr>
      </w:pPr>
      <w:r w:rsidRPr="003650A0">
        <w:rPr>
          <w:rFonts w:cs="Arial"/>
        </w:rPr>
        <w:t xml:space="preserve">Admitted acute occupied bed days dropped slightly to 22,629, and the bed occupancy rate, which is variable, was 66.7 per cent. There are a small number of specialist </w:t>
      </w:r>
      <w:r>
        <w:rPr>
          <w:rFonts w:cs="Arial"/>
        </w:rPr>
        <w:t>bed-based</w:t>
      </w:r>
      <w:r w:rsidRPr="003650A0">
        <w:rPr>
          <w:rFonts w:cs="Arial"/>
        </w:rPr>
        <w:t xml:space="preserve"> </w:t>
      </w:r>
      <w:r w:rsidR="00330C0A">
        <w:rPr>
          <w:rFonts w:cs="Arial"/>
        </w:rPr>
        <w:t>services</w:t>
      </w:r>
      <w:r w:rsidRPr="003650A0">
        <w:rPr>
          <w:rFonts w:cs="Arial"/>
        </w:rPr>
        <w:t>, and bed occupancy for these services rose to 79.2 per cent from 69.7 per cent</w:t>
      </w:r>
      <w:r>
        <w:rPr>
          <w:rFonts w:cs="Arial"/>
        </w:rPr>
        <w:t>.</w:t>
      </w:r>
    </w:p>
    <w:p w14:paraId="1535471A" w14:textId="77777777" w:rsidR="008E0251" w:rsidRDefault="008E0251" w:rsidP="00B267D2">
      <w:pPr>
        <w:pStyle w:val="Heading2"/>
        <w:rPr>
          <w:rStyle w:val="normaltextrun"/>
        </w:rPr>
      </w:pPr>
      <w:bookmarkStart w:id="30" w:name="_Toc55379405"/>
      <w:r>
        <w:rPr>
          <w:rStyle w:val="normaltextrun"/>
        </w:rPr>
        <w:t xml:space="preserve">Compulsory </w:t>
      </w:r>
      <w:r w:rsidRPr="00B267D2">
        <w:rPr>
          <w:rStyle w:val="normaltextrun"/>
        </w:rPr>
        <w:t>treatment</w:t>
      </w:r>
      <w:bookmarkEnd w:id="30"/>
    </w:p>
    <w:p w14:paraId="4CBE388B" w14:textId="5FAE6FAC" w:rsidR="008E0251" w:rsidRPr="002C030B" w:rsidRDefault="008E0251" w:rsidP="008E0251">
      <w:pPr>
        <w:pStyle w:val="DHHSbody"/>
      </w:pPr>
      <w:r>
        <w:t xml:space="preserve">Victorians with severe mental illness have also been affected by the pandemic and the changes and stresses that have accompanied restrictions. Changes have occurred in the data relating to compulsory treatment, with the proportion of adult and aged clients on a community treatment order increasing in quarter 3 and again in quarter 4. The proportion of clients on an order for more than </w:t>
      </w:r>
      <w:r w:rsidR="00E97007">
        <w:t xml:space="preserve">12 </w:t>
      </w:r>
      <w:r>
        <w:t xml:space="preserve">months has not changed and is at a similar level to the </w:t>
      </w:r>
      <w:r w:rsidR="006975C1">
        <w:t>p</w:t>
      </w:r>
      <w:r>
        <w:t>ast two years. Whether the pandemic substantially affected aspects of mental health service delivery</w:t>
      </w:r>
      <w:r w:rsidR="00B0245B">
        <w:t>,</w:t>
      </w:r>
      <w:r>
        <w:t xml:space="preserve"> including compulsory orders, will be clearer in next year’s report. Restrictions </w:t>
      </w:r>
      <w:r w:rsidR="006975C1">
        <w:t xml:space="preserve">began </w:t>
      </w:r>
      <w:r>
        <w:t>in March but were still very much underway in the first and second quarters of 2020</w:t>
      </w:r>
      <w:r w:rsidR="006975C1">
        <w:t>–</w:t>
      </w:r>
      <w:r>
        <w:t>21, when this report was being finalised.</w:t>
      </w:r>
    </w:p>
    <w:p w14:paraId="6D0757FE" w14:textId="254748CE" w:rsidR="008E0251" w:rsidRDefault="008E0251" w:rsidP="008E0251">
      <w:pPr>
        <w:pStyle w:val="DHHSbody"/>
        <w:rPr>
          <w:rFonts w:cs="Arial"/>
        </w:rPr>
      </w:pPr>
      <w:r>
        <w:rPr>
          <w:rFonts w:cs="Arial"/>
        </w:rPr>
        <w:t>More generally, w</w:t>
      </w:r>
      <w:r w:rsidRPr="003650A0">
        <w:rPr>
          <w:rFonts w:cs="Arial"/>
        </w:rPr>
        <w:t>ith the exception of CAMHS, the average duration of compulsory treatment in the service system is continuing to trend upwards over time</w:t>
      </w:r>
      <w:r>
        <w:rPr>
          <w:rFonts w:cs="Arial"/>
        </w:rPr>
        <w:t>, as shown in Table 1</w:t>
      </w:r>
      <w:r w:rsidR="006E3E09">
        <w:rPr>
          <w:rFonts w:cs="Arial"/>
        </w:rPr>
        <w:t>6</w:t>
      </w:r>
      <w:r w:rsidRPr="003650A0">
        <w:rPr>
          <w:rFonts w:cs="Arial"/>
          <w:color w:val="FF0000"/>
        </w:rPr>
        <w:t xml:space="preserve">. </w:t>
      </w:r>
      <w:r w:rsidRPr="003650A0">
        <w:rPr>
          <w:rFonts w:cs="Arial"/>
        </w:rPr>
        <w:t xml:space="preserve">Research shows that in one of every five hearings the </w:t>
      </w:r>
      <w:r w:rsidR="006975C1">
        <w:rPr>
          <w:rFonts w:cs="Arial"/>
        </w:rPr>
        <w:t>t</w:t>
      </w:r>
      <w:r w:rsidRPr="003650A0">
        <w:rPr>
          <w:rFonts w:cs="Arial"/>
        </w:rPr>
        <w:t>ribunal made a treatment order of different (usually shorter) duration to that requested by the treating team</w:t>
      </w:r>
      <w:r w:rsidR="006975C1">
        <w:rPr>
          <w:rFonts w:cs="Arial"/>
        </w:rPr>
        <w:t>.</w:t>
      </w:r>
      <w:r w:rsidRPr="003650A0">
        <w:rPr>
          <w:rFonts w:cs="Arial"/>
          <w:vertAlign w:val="superscript"/>
        </w:rPr>
        <w:footnoteReference w:id="13"/>
      </w:r>
      <w:r w:rsidRPr="003650A0">
        <w:rPr>
          <w:rFonts w:cs="Arial"/>
        </w:rPr>
        <w:t xml:space="preserve"> Departmental data shows that relatively few orders expire, suggesting that there is active consideration of the need to continue or discontinue them. Many services review orders at the point where they are approaching expiry and either revoke them or, as is required under the </w:t>
      </w:r>
      <w:r w:rsidRPr="00360173">
        <w:rPr>
          <w:rFonts w:cs="Arial"/>
        </w:rPr>
        <w:t>Mental Health Act</w:t>
      </w:r>
      <w:r w:rsidRPr="003650A0">
        <w:rPr>
          <w:rFonts w:cs="Arial"/>
        </w:rPr>
        <w:t xml:space="preserve">, seek another order via the </w:t>
      </w:r>
      <w:r w:rsidR="006975C1">
        <w:rPr>
          <w:rFonts w:cs="Arial"/>
        </w:rPr>
        <w:t>t</w:t>
      </w:r>
      <w:r w:rsidRPr="003650A0">
        <w:rPr>
          <w:rFonts w:cs="Arial"/>
        </w:rPr>
        <w:t xml:space="preserve">ribunal. Although the use and duration of compulsory </w:t>
      </w:r>
      <w:r>
        <w:rPr>
          <w:rFonts w:cs="Arial"/>
        </w:rPr>
        <w:t xml:space="preserve">community treatment </w:t>
      </w:r>
      <w:r w:rsidRPr="003650A0">
        <w:rPr>
          <w:rFonts w:cs="Arial"/>
        </w:rPr>
        <w:t xml:space="preserve">orders </w:t>
      </w:r>
      <w:r>
        <w:rPr>
          <w:rFonts w:cs="Arial"/>
        </w:rPr>
        <w:t>have reduced under</w:t>
      </w:r>
      <w:r w:rsidRPr="003650A0">
        <w:rPr>
          <w:rFonts w:cs="Arial"/>
        </w:rPr>
        <w:t xml:space="preserve"> the </w:t>
      </w:r>
      <w:r w:rsidR="006975C1">
        <w:rPr>
          <w:rFonts w:cs="Arial"/>
        </w:rPr>
        <w:t xml:space="preserve">2014 </w:t>
      </w:r>
      <w:r w:rsidRPr="00360173">
        <w:rPr>
          <w:rFonts w:cs="Arial"/>
        </w:rPr>
        <w:t>Mental Health Act</w:t>
      </w:r>
      <w:r w:rsidRPr="006975C1">
        <w:rPr>
          <w:rFonts w:cs="Arial"/>
        </w:rPr>
        <w:t xml:space="preserve"> </w:t>
      </w:r>
      <w:r w:rsidRPr="003650A0">
        <w:rPr>
          <w:rFonts w:cs="Arial"/>
        </w:rPr>
        <w:t xml:space="preserve">compared </w:t>
      </w:r>
      <w:r w:rsidR="00E51317">
        <w:rPr>
          <w:rFonts w:cs="Arial"/>
        </w:rPr>
        <w:t>with</w:t>
      </w:r>
      <w:r w:rsidR="00E51317" w:rsidRPr="003650A0">
        <w:rPr>
          <w:rFonts w:cs="Arial"/>
        </w:rPr>
        <w:t xml:space="preserve"> </w:t>
      </w:r>
      <w:r w:rsidRPr="003650A0">
        <w:rPr>
          <w:rFonts w:cs="Arial"/>
        </w:rPr>
        <w:t xml:space="preserve">the previous </w:t>
      </w:r>
      <w:r w:rsidRPr="00360173">
        <w:rPr>
          <w:rFonts w:cs="Arial"/>
        </w:rPr>
        <w:t>Mental Health Act</w:t>
      </w:r>
      <w:r w:rsidRPr="003650A0">
        <w:rPr>
          <w:rFonts w:cs="Arial"/>
        </w:rPr>
        <w:t xml:space="preserve"> (1986)</w:t>
      </w:r>
      <w:r w:rsidR="00E97007">
        <w:rPr>
          <w:rFonts w:cs="Arial"/>
        </w:rPr>
        <w:t>,</w:t>
      </w:r>
      <w:r w:rsidRPr="003650A0">
        <w:rPr>
          <w:rFonts w:cs="Arial"/>
          <w:vertAlign w:val="superscript"/>
        </w:rPr>
        <w:footnoteReference w:id="14"/>
      </w:r>
      <w:r w:rsidRPr="003650A0">
        <w:rPr>
          <w:rFonts w:cs="Arial"/>
        </w:rPr>
        <w:t xml:space="preserve"> </w:t>
      </w:r>
      <w:r>
        <w:rPr>
          <w:rFonts w:cs="Arial"/>
        </w:rPr>
        <w:t xml:space="preserve">the </w:t>
      </w:r>
      <w:r w:rsidRPr="003650A0">
        <w:rPr>
          <w:rFonts w:cs="Arial"/>
        </w:rPr>
        <w:t>duration of compulsory treatment</w:t>
      </w:r>
      <w:r>
        <w:rPr>
          <w:rFonts w:cs="Arial"/>
        </w:rPr>
        <w:t xml:space="preserve"> has been trending upwards again since 2015</w:t>
      </w:r>
      <w:r w:rsidR="00E97007">
        <w:rPr>
          <w:rFonts w:cs="Arial"/>
        </w:rPr>
        <w:t>–</w:t>
      </w:r>
      <w:r>
        <w:rPr>
          <w:rFonts w:cs="Arial"/>
        </w:rPr>
        <w:t>16.</w:t>
      </w:r>
    </w:p>
    <w:p w14:paraId="4DC79838" w14:textId="4D35ABE0" w:rsidR="008E0251" w:rsidRDefault="008E0251" w:rsidP="008E0251">
      <w:pPr>
        <w:pStyle w:val="DHHStablecaption"/>
      </w:pPr>
      <w:r>
        <w:t xml:space="preserve">Table </w:t>
      </w:r>
      <w:r w:rsidR="006A5F4C">
        <w:t>1</w:t>
      </w:r>
      <w:r w:rsidR="006E3E09">
        <w:t>6</w:t>
      </w:r>
      <w:r>
        <w:t xml:space="preserve">: </w:t>
      </w:r>
      <w:r w:rsidRPr="00231A8A">
        <w:t>Average duration (days) of a period of compulsory treatment by cohort, 2015</w:t>
      </w:r>
      <w:r w:rsidR="008B42E5">
        <w:t>–</w:t>
      </w:r>
      <w:r w:rsidRPr="00231A8A">
        <w:t xml:space="preserve">16 to </w:t>
      </w:r>
      <w:r w:rsidR="00894D3B">
        <w:t>2019–20</w:t>
      </w:r>
    </w:p>
    <w:tbl>
      <w:tblPr>
        <w:tblStyle w:val="MentalhealthARtablestyle"/>
        <w:tblW w:w="0" w:type="auto"/>
        <w:tblLook w:val="04A0" w:firstRow="1" w:lastRow="0" w:firstColumn="1" w:lastColumn="0" w:noHBand="0" w:noVBand="1"/>
      </w:tblPr>
      <w:tblGrid>
        <w:gridCol w:w="1548"/>
        <w:gridCol w:w="1548"/>
        <w:gridCol w:w="1548"/>
        <w:gridCol w:w="1548"/>
        <w:gridCol w:w="1548"/>
        <w:gridCol w:w="1548"/>
      </w:tblGrid>
      <w:tr w:rsidR="0003357F" w14:paraId="1770866E" w14:textId="77777777" w:rsidTr="008B42E5">
        <w:trPr>
          <w:cnfStyle w:val="100000000000" w:firstRow="1" w:lastRow="0" w:firstColumn="0" w:lastColumn="0" w:oddVBand="0" w:evenVBand="0" w:oddHBand="0" w:evenHBand="0" w:firstRowFirstColumn="0" w:firstRowLastColumn="0" w:lastRowFirstColumn="0" w:lastRowLastColumn="0"/>
          <w:tblHeader/>
        </w:trPr>
        <w:tc>
          <w:tcPr>
            <w:tcW w:w="1548" w:type="dxa"/>
            <w:vAlign w:val="top"/>
          </w:tcPr>
          <w:p w14:paraId="4732B1DE" w14:textId="77777777" w:rsidR="0003357F" w:rsidRPr="005E7578" w:rsidRDefault="0003357F" w:rsidP="008B42E5">
            <w:pPr>
              <w:pStyle w:val="DHHStablecolhead"/>
            </w:pPr>
            <w:r w:rsidRPr="005E7578">
              <w:rPr>
                <w:b/>
                <w:lang w:eastAsia="en-AU"/>
              </w:rPr>
              <w:t>Population</w:t>
            </w:r>
          </w:p>
        </w:tc>
        <w:tc>
          <w:tcPr>
            <w:tcW w:w="1548" w:type="dxa"/>
            <w:vAlign w:val="top"/>
          </w:tcPr>
          <w:p w14:paraId="7EDE7CDE" w14:textId="77777777" w:rsidR="0003357F" w:rsidRPr="005E7578" w:rsidRDefault="0003357F" w:rsidP="008B42E5">
            <w:pPr>
              <w:pStyle w:val="DHHStablecolhead"/>
            </w:pPr>
            <w:r w:rsidRPr="005E7578">
              <w:rPr>
                <w:rFonts w:cs="Arial"/>
                <w:b/>
              </w:rPr>
              <w:t>2015–16</w:t>
            </w:r>
          </w:p>
        </w:tc>
        <w:tc>
          <w:tcPr>
            <w:tcW w:w="1548" w:type="dxa"/>
            <w:vAlign w:val="top"/>
          </w:tcPr>
          <w:p w14:paraId="38694E14" w14:textId="77777777" w:rsidR="0003357F" w:rsidRPr="005E7578" w:rsidRDefault="0003357F" w:rsidP="008B42E5">
            <w:pPr>
              <w:pStyle w:val="DHHStablecolhead"/>
            </w:pPr>
            <w:r w:rsidRPr="005E7578">
              <w:rPr>
                <w:rFonts w:cs="Arial"/>
                <w:b/>
              </w:rPr>
              <w:t>2016–17</w:t>
            </w:r>
          </w:p>
        </w:tc>
        <w:tc>
          <w:tcPr>
            <w:tcW w:w="1548" w:type="dxa"/>
            <w:vAlign w:val="top"/>
          </w:tcPr>
          <w:p w14:paraId="3AE531CD" w14:textId="77777777" w:rsidR="0003357F" w:rsidRPr="005E7578" w:rsidRDefault="0003357F" w:rsidP="008B42E5">
            <w:pPr>
              <w:pStyle w:val="DHHStablecolhead"/>
            </w:pPr>
            <w:r w:rsidRPr="005E7578">
              <w:rPr>
                <w:rFonts w:cs="Arial"/>
                <w:b/>
              </w:rPr>
              <w:t>2017–18</w:t>
            </w:r>
          </w:p>
        </w:tc>
        <w:tc>
          <w:tcPr>
            <w:tcW w:w="1548" w:type="dxa"/>
            <w:vAlign w:val="top"/>
          </w:tcPr>
          <w:p w14:paraId="05B46BD4" w14:textId="77777777" w:rsidR="0003357F" w:rsidRPr="005E7578" w:rsidRDefault="0003357F" w:rsidP="008B42E5">
            <w:pPr>
              <w:pStyle w:val="DHHStablecolhead"/>
            </w:pPr>
            <w:r w:rsidRPr="005E7578">
              <w:rPr>
                <w:rFonts w:cs="Arial"/>
                <w:b/>
              </w:rPr>
              <w:t>2018–19</w:t>
            </w:r>
          </w:p>
        </w:tc>
        <w:tc>
          <w:tcPr>
            <w:tcW w:w="1548" w:type="dxa"/>
            <w:vAlign w:val="top"/>
          </w:tcPr>
          <w:p w14:paraId="75995C22" w14:textId="77777777" w:rsidR="0003357F" w:rsidRPr="005E7578" w:rsidRDefault="0003357F" w:rsidP="008B42E5">
            <w:pPr>
              <w:pStyle w:val="DHHStablecolhead"/>
            </w:pPr>
            <w:r w:rsidRPr="005E7578">
              <w:rPr>
                <w:rFonts w:cs="Arial"/>
                <w:b/>
              </w:rPr>
              <w:t>2019–20</w:t>
            </w:r>
          </w:p>
        </w:tc>
      </w:tr>
      <w:tr w:rsidR="0003357F" w14:paraId="589AC221" w14:textId="77777777" w:rsidTr="008B42E5">
        <w:tc>
          <w:tcPr>
            <w:tcW w:w="1548" w:type="dxa"/>
            <w:vAlign w:val="top"/>
          </w:tcPr>
          <w:p w14:paraId="52E1EA06" w14:textId="77777777" w:rsidR="0003357F" w:rsidRDefault="0003357F" w:rsidP="008B42E5">
            <w:pPr>
              <w:pStyle w:val="DHHStabletext"/>
            </w:pPr>
            <w:r w:rsidRPr="003650A0">
              <w:rPr>
                <w:lang w:eastAsia="en-AU"/>
              </w:rPr>
              <w:t>Adult</w:t>
            </w:r>
          </w:p>
        </w:tc>
        <w:tc>
          <w:tcPr>
            <w:tcW w:w="1548" w:type="dxa"/>
            <w:vAlign w:val="top"/>
          </w:tcPr>
          <w:p w14:paraId="3FDBCDA2" w14:textId="6A13C1AD" w:rsidR="0003357F" w:rsidRDefault="00C04E9C" w:rsidP="008B42E5">
            <w:pPr>
              <w:pStyle w:val="DHHStabletext"/>
            </w:pPr>
            <w:r>
              <w:t>59.8</w:t>
            </w:r>
          </w:p>
        </w:tc>
        <w:tc>
          <w:tcPr>
            <w:tcW w:w="1548" w:type="dxa"/>
            <w:vAlign w:val="top"/>
          </w:tcPr>
          <w:p w14:paraId="6E6C9771" w14:textId="0D6EBFF5" w:rsidR="0003357F" w:rsidRDefault="00C04E9C" w:rsidP="008B42E5">
            <w:pPr>
              <w:pStyle w:val="DHHStabletext"/>
            </w:pPr>
            <w:r>
              <w:t>64.5</w:t>
            </w:r>
          </w:p>
        </w:tc>
        <w:tc>
          <w:tcPr>
            <w:tcW w:w="1548" w:type="dxa"/>
            <w:vAlign w:val="top"/>
          </w:tcPr>
          <w:p w14:paraId="56FAB0DA" w14:textId="0275CF86" w:rsidR="0003357F" w:rsidRDefault="00C04E9C" w:rsidP="008B42E5">
            <w:pPr>
              <w:pStyle w:val="DHHStabletext"/>
            </w:pPr>
            <w:r>
              <w:t>76.7</w:t>
            </w:r>
          </w:p>
        </w:tc>
        <w:tc>
          <w:tcPr>
            <w:tcW w:w="1548" w:type="dxa"/>
            <w:vAlign w:val="top"/>
          </w:tcPr>
          <w:p w14:paraId="6A5F7D20" w14:textId="3D8EFDF2" w:rsidR="0003357F" w:rsidRDefault="00C04E9C" w:rsidP="008B42E5">
            <w:pPr>
              <w:pStyle w:val="DHHStabletext"/>
            </w:pPr>
            <w:r>
              <w:t>75.7</w:t>
            </w:r>
          </w:p>
        </w:tc>
        <w:tc>
          <w:tcPr>
            <w:tcW w:w="1548" w:type="dxa"/>
            <w:vAlign w:val="top"/>
          </w:tcPr>
          <w:p w14:paraId="6C501DF9" w14:textId="633C002C" w:rsidR="0003357F" w:rsidRDefault="00C04E9C" w:rsidP="008B42E5">
            <w:pPr>
              <w:pStyle w:val="DHHStabletext"/>
            </w:pPr>
            <w:r>
              <w:t>83.1</w:t>
            </w:r>
          </w:p>
        </w:tc>
      </w:tr>
      <w:tr w:rsidR="0003357F" w14:paraId="3729D592" w14:textId="77777777" w:rsidTr="008B42E5">
        <w:tc>
          <w:tcPr>
            <w:tcW w:w="1548" w:type="dxa"/>
            <w:vAlign w:val="top"/>
          </w:tcPr>
          <w:p w14:paraId="441662C0" w14:textId="77777777" w:rsidR="0003357F" w:rsidRDefault="0003357F" w:rsidP="008B42E5">
            <w:pPr>
              <w:pStyle w:val="DHHStabletext"/>
            </w:pPr>
            <w:r w:rsidRPr="003650A0">
              <w:rPr>
                <w:lang w:eastAsia="en-AU"/>
              </w:rPr>
              <w:t>Aged</w:t>
            </w:r>
          </w:p>
        </w:tc>
        <w:tc>
          <w:tcPr>
            <w:tcW w:w="1548" w:type="dxa"/>
            <w:vAlign w:val="top"/>
          </w:tcPr>
          <w:p w14:paraId="29D735C5" w14:textId="3F14919B" w:rsidR="0003357F" w:rsidRDefault="00C04E9C" w:rsidP="008B42E5">
            <w:pPr>
              <w:pStyle w:val="DHHStabletext"/>
            </w:pPr>
            <w:r>
              <w:t>47.8</w:t>
            </w:r>
          </w:p>
        </w:tc>
        <w:tc>
          <w:tcPr>
            <w:tcW w:w="1548" w:type="dxa"/>
            <w:vAlign w:val="top"/>
          </w:tcPr>
          <w:p w14:paraId="40368E20" w14:textId="033333CC" w:rsidR="0003357F" w:rsidRDefault="00C04E9C" w:rsidP="008B42E5">
            <w:pPr>
              <w:pStyle w:val="DHHStabletext"/>
            </w:pPr>
            <w:r>
              <w:t>50.5</w:t>
            </w:r>
          </w:p>
        </w:tc>
        <w:tc>
          <w:tcPr>
            <w:tcW w:w="1548" w:type="dxa"/>
            <w:vAlign w:val="top"/>
          </w:tcPr>
          <w:p w14:paraId="07F72703" w14:textId="0069AFD4" w:rsidR="0003357F" w:rsidRDefault="00C04E9C" w:rsidP="008B42E5">
            <w:pPr>
              <w:pStyle w:val="DHHStabletext"/>
            </w:pPr>
            <w:r>
              <w:t>61.4</w:t>
            </w:r>
          </w:p>
        </w:tc>
        <w:tc>
          <w:tcPr>
            <w:tcW w:w="1548" w:type="dxa"/>
            <w:vAlign w:val="top"/>
          </w:tcPr>
          <w:p w14:paraId="2FA05936" w14:textId="73BCFB3C" w:rsidR="0003357F" w:rsidRDefault="00C04E9C" w:rsidP="008B42E5">
            <w:pPr>
              <w:pStyle w:val="DHHStabletext"/>
            </w:pPr>
            <w:r>
              <w:t>66.1</w:t>
            </w:r>
          </w:p>
        </w:tc>
        <w:tc>
          <w:tcPr>
            <w:tcW w:w="1548" w:type="dxa"/>
            <w:vAlign w:val="top"/>
          </w:tcPr>
          <w:p w14:paraId="358B2C28" w14:textId="4FF848D9" w:rsidR="0003357F" w:rsidRDefault="00C04E9C" w:rsidP="008B42E5">
            <w:pPr>
              <w:pStyle w:val="DHHStabletext"/>
            </w:pPr>
            <w:r>
              <w:t>69.7</w:t>
            </w:r>
          </w:p>
        </w:tc>
      </w:tr>
      <w:tr w:rsidR="0003357F" w14:paraId="6062B8F8" w14:textId="77777777" w:rsidTr="008B42E5">
        <w:tc>
          <w:tcPr>
            <w:tcW w:w="1548" w:type="dxa"/>
            <w:vAlign w:val="top"/>
          </w:tcPr>
          <w:p w14:paraId="5AF3101D" w14:textId="3AC0DFDA" w:rsidR="0003357F" w:rsidRDefault="0003357F" w:rsidP="008B42E5">
            <w:pPr>
              <w:pStyle w:val="DHHStabletext"/>
            </w:pPr>
            <w:r w:rsidRPr="003650A0">
              <w:rPr>
                <w:lang w:eastAsia="en-AU"/>
              </w:rPr>
              <w:t>C</w:t>
            </w:r>
            <w:r w:rsidR="00B0245B">
              <w:rPr>
                <w:lang w:eastAsia="en-AU"/>
              </w:rPr>
              <w:t>A</w:t>
            </w:r>
            <w:r w:rsidRPr="003650A0">
              <w:rPr>
                <w:lang w:eastAsia="en-AU"/>
              </w:rPr>
              <w:t>MHS</w:t>
            </w:r>
          </w:p>
        </w:tc>
        <w:tc>
          <w:tcPr>
            <w:tcW w:w="1548" w:type="dxa"/>
            <w:vAlign w:val="top"/>
          </w:tcPr>
          <w:p w14:paraId="39BE0CB7" w14:textId="35395CEE" w:rsidR="0003357F" w:rsidRDefault="00C04E9C" w:rsidP="008B42E5">
            <w:pPr>
              <w:pStyle w:val="DHHStabletext"/>
            </w:pPr>
            <w:r>
              <w:t>25.4</w:t>
            </w:r>
          </w:p>
        </w:tc>
        <w:tc>
          <w:tcPr>
            <w:tcW w:w="1548" w:type="dxa"/>
            <w:vAlign w:val="top"/>
          </w:tcPr>
          <w:p w14:paraId="4AFA9CB3" w14:textId="0D76222D" w:rsidR="0003357F" w:rsidRDefault="00C04E9C" w:rsidP="008B42E5">
            <w:pPr>
              <w:pStyle w:val="DHHStabletext"/>
            </w:pPr>
            <w:r>
              <w:t>23.8</w:t>
            </w:r>
          </w:p>
        </w:tc>
        <w:tc>
          <w:tcPr>
            <w:tcW w:w="1548" w:type="dxa"/>
            <w:vAlign w:val="top"/>
          </w:tcPr>
          <w:p w14:paraId="0B5A5F2A" w14:textId="3B11F8EA" w:rsidR="0003357F" w:rsidRDefault="00C04E9C" w:rsidP="008B42E5">
            <w:pPr>
              <w:pStyle w:val="DHHStabletext"/>
            </w:pPr>
            <w:r>
              <w:t>23.5</w:t>
            </w:r>
          </w:p>
        </w:tc>
        <w:tc>
          <w:tcPr>
            <w:tcW w:w="1548" w:type="dxa"/>
            <w:vAlign w:val="top"/>
          </w:tcPr>
          <w:p w14:paraId="25018375" w14:textId="63B6DFA5" w:rsidR="0003357F" w:rsidRDefault="00C04E9C" w:rsidP="008B42E5">
            <w:pPr>
              <w:pStyle w:val="DHHStabletext"/>
            </w:pPr>
            <w:r>
              <w:t>25.3</w:t>
            </w:r>
          </w:p>
        </w:tc>
        <w:tc>
          <w:tcPr>
            <w:tcW w:w="1548" w:type="dxa"/>
            <w:vAlign w:val="top"/>
          </w:tcPr>
          <w:p w14:paraId="461CF7FF" w14:textId="30B6BBD9" w:rsidR="0003357F" w:rsidRDefault="00C04E9C" w:rsidP="008B42E5">
            <w:pPr>
              <w:pStyle w:val="DHHStabletext"/>
            </w:pPr>
            <w:r>
              <w:t>24.7</w:t>
            </w:r>
          </w:p>
        </w:tc>
      </w:tr>
      <w:tr w:rsidR="0003357F" w14:paraId="6CD65EE9" w14:textId="77777777" w:rsidTr="008B42E5">
        <w:tc>
          <w:tcPr>
            <w:tcW w:w="1548" w:type="dxa"/>
            <w:vAlign w:val="top"/>
          </w:tcPr>
          <w:p w14:paraId="6668E0C1" w14:textId="48D8C601" w:rsidR="0003357F" w:rsidRPr="003650A0" w:rsidRDefault="0003357F" w:rsidP="008B42E5">
            <w:pPr>
              <w:pStyle w:val="DHHStabletext"/>
              <w:rPr>
                <w:lang w:eastAsia="en-AU"/>
              </w:rPr>
            </w:pPr>
            <w:r>
              <w:rPr>
                <w:lang w:eastAsia="en-AU"/>
              </w:rPr>
              <w:t>Forensic</w:t>
            </w:r>
          </w:p>
        </w:tc>
        <w:tc>
          <w:tcPr>
            <w:tcW w:w="1548" w:type="dxa"/>
            <w:vAlign w:val="top"/>
          </w:tcPr>
          <w:p w14:paraId="60832D25" w14:textId="4EFF6C16" w:rsidR="0003357F" w:rsidRPr="003650A0" w:rsidRDefault="00C04E9C" w:rsidP="008B42E5">
            <w:pPr>
              <w:pStyle w:val="DHHStabletext"/>
              <w:rPr>
                <w:lang w:eastAsia="en-AU"/>
              </w:rPr>
            </w:pPr>
            <w:r>
              <w:rPr>
                <w:lang w:eastAsia="en-AU"/>
              </w:rPr>
              <w:t>72.1</w:t>
            </w:r>
          </w:p>
        </w:tc>
        <w:tc>
          <w:tcPr>
            <w:tcW w:w="1548" w:type="dxa"/>
            <w:vAlign w:val="top"/>
          </w:tcPr>
          <w:p w14:paraId="2367C6E6" w14:textId="0E936E0E" w:rsidR="0003357F" w:rsidRPr="003650A0" w:rsidRDefault="00C04E9C" w:rsidP="008B42E5">
            <w:pPr>
              <w:pStyle w:val="DHHStabletext"/>
              <w:rPr>
                <w:lang w:eastAsia="en-AU"/>
              </w:rPr>
            </w:pPr>
            <w:r>
              <w:rPr>
                <w:lang w:eastAsia="en-AU"/>
              </w:rPr>
              <w:t>79.5</w:t>
            </w:r>
          </w:p>
        </w:tc>
        <w:tc>
          <w:tcPr>
            <w:tcW w:w="1548" w:type="dxa"/>
            <w:vAlign w:val="top"/>
          </w:tcPr>
          <w:p w14:paraId="5F4632F4" w14:textId="3CEA7031" w:rsidR="0003357F" w:rsidRPr="003650A0" w:rsidRDefault="00C04E9C" w:rsidP="008B42E5">
            <w:pPr>
              <w:pStyle w:val="DHHStabletext"/>
              <w:rPr>
                <w:lang w:eastAsia="en-AU"/>
              </w:rPr>
            </w:pPr>
            <w:r>
              <w:rPr>
                <w:lang w:eastAsia="en-AU"/>
              </w:rPr>
              <w:t>87.3</w:t>
            </w:r>
          </w:p>
        </w:tc>
        <w:tc>
          <w:tcPr>
            <w:tcW w:w="1548" w:type="dxa"/>
            <w:vAlign w:val="top"/>
          </w:tcPr>
          <w:p w14:paraId="231DACD5" w14:textId="771065F1" w:rsidR="0003357F" w:rsidRPr="003650A0" w:rsidRDefault="00C04E9C" w:rsidP="008B42E5">
            <w:pPr>
              <w:pStyle w:val="DHHStabletext"/>
              <w:rPr>
                <w:lang w:eastAsia="en-AU"/>
              </w:rPr>
            </w:pPr>
            <w:r>
              <w:rPr>
                <w:lang w:eastAsia="en-AU"/>
              </w:rPr>
              <w:t>91.5</w:t>
            </w:r>
          </w:p>
        </w:tc>
        <w:tc>
          <w:tcPr>
            <w:tcW w:w="1548" w:type="dxa"/>
            <w:vAlign w:val="top"/>
          </w:tcPr>
          <w:p w14:paraId="447C3A53" w14:textId="23FA1D82" w:rsidR="0003357F" w:rsidRPr="003650A0" w:rsidRDefault="00C04E9C" w:rsidP="008B42E5">
            <w:pPr>
              <w:pStyle w:val="DHHStabletext"/>
              <w:rPr>
                <w:lang w:eastAsia="en-AU"/>
              </w:rPr>
            </w:pPr>
            <w:r>
              <w:rPr>
                <w:lang w:eastAsia="en-AU"/>
              </w:rPr>
              <w:t>100.6</w:t>
            </w:r>
          </w:p>
        </w:tc>
      </w:tr>
      <w:tr w:rsidR="0003357F" w14:paraId="455A9C3C" w14:textId="77777777" w:rsidTr="008B42E5">
        <w:tc>
          <w:tcPr>
            <w:tcW w:w="1548" w:type="dxa"/>
            <w:vAlign w:val="top"/>
          </w:tcPr>
          <w:p w14:paraId="1E0A0C4E" w14:textId="54FB41C9" w:rsidR="0003357F" w:rsidRPr="003650A0" w:rsidRDefault="0003357F" w:rsidP="008B42E5">
            <w:pPr>
              <w:pStyle w:val="DHHStabletext"/>
              <w:rPr>
                <w:lang w:eastAsia="en-AU"/>
              </w:rPr>
            </w:pPr>
            <w:r>
              <w:rPr>
                <w:lang w:eastAsia="en-AU"/>
              </w:rPr>
              <w:t>Specialist</w:t>
            </w:r>
          </w:p>
        </w:tc>
        <w:tc>
          <w:tcPr>
            <w:tcW w:w="1548" w:type="dxa"/>
            <w:vAlign w:val="top"/>
          </w:tcPr>
          <w:p w14:paraId="0286C6A2" w14:textId="0D4078AF" w:rsidR="0003357F" w:rsidRPr="003650A0" w:rsidRDefault="00C04E9C" w:rsidP="008B42E5">
            <w:pPr>
              <w:pStyle w:val="DHHStabletext"/>
              <w:rPr>
                <w:lang w:eastAsia="en-AU"/>
              </w:rPr>
            </w:pPr>
            <w:r>
              <w:rPr>
                <w:lang w:eastAsia="en-AU"/>
              </w:rPr>
              <w:t>36.9</w:t>
            </w:r>
          </w:p>
        </w:tc>
        <w:tc>
          <w:tcPr>
            <w:tcW w:w="1548" w:type="dxa"/>
            <w:vAlign w:val="top"/>
          </w:tcPr>
          <w:p w14:paraId="077EF478" w14:textId="77169C26" w:rsidR="0003357F" w:rsidRPr="003650A0" w:rsidRDefault="00C04E9C" w:rsidP="008B42E5">
            <w:pPr>
              <w:pStyle w:val="DHHStabletext"/>
              <w:rPr>
                <w:lang w:eastAsia="en-AU"/>
              </w:rPr>
            </w:pPr>
            <w:r>
              <w:rPr>
                <w:lang w:eastAsia="en-AU"/>
              </w:rPr>
              <w:t>39.7</w:t>
            </w:r>
          </w:p>
        </w:tc>
        <w:tc>
          <w:tcPr>
            <w:tcW w:w="1548" w:type="dxa"/>
            <w:vAlign w:val="top"/>
          </w:tcPr>
          <w:p w14:paraId="2C755B3E" w14:textId="3ADAF67B" w:rsidR="0003357F" w:rsidRPr="003650A0" w:rsidRDefault="00C04E9C" w:rsidP="008B42E5">
            <w:pPr>
              <w:pStyle w:val="DHHStabletext"/>
              <w:rPr>
                <w:lang w:eastAsia="en-AU"/>
              </w:rPr>
            </w:pPr>
            <w:r>
              <w:rPr>
                <w:lang w:eastAsia="en-AU"/>
              </w:rPr>
              <w:t>49.6</w:t>
            </w:r>
          </w:p>
        </w:tc>
        <w:tc>
          <w:tcPr>
            <w:tcW w:w="1548" w:type="dxa"/>
            <w:vAlign w:val="top"/>
          </w:tcPr>
          <w:p w14:paraId="2D3A141C" w14:textId="2FA59B85" w:rsidR="0003357F" w:rsidRPr="003650A0" w:rsidRDefault="00C04E9C" w:rsidP="008B42E5">
            <w:pPr>
              <w:pStyle w:val="DHHStabletext"/>
              <w:rPr>
                <w:lang w:eastAsia="en-AU"/>
              </w:rPr>
            </w:pPr>
            <w:r>
              <w:rPr>
                <w:lang w:eastAsia="en-AU"/>
              </w:rPr>
              <w:t>54.0</w:t>
            </w:r>
          </w:p>
        </w:tc>
        <w:tc>
          <w:tcPr>
            <w:tcW w:w="1548" w:type="dxa"/>
            <w:vAlign w:val="top"/>
          </w:tcPr>
          <w:p w14:paraId="2822426A" w14:textId="7B6EFB87" w:rsidR="0003357F" w:rsidRPr="003650A0" w:rsidRDefault="00C04E9C" w:rsidP="008B42E5">
            <w:pPr>
              <w:pStyle w:val="DHHStabletext"/>
              <w:rPr>
                <w:lang w:eastAsia="en-AU"/>
              </w:rPr>
            </w:pPr>
            <w:r>
              <w:rPr>
                <w:lang w:eastAsia="en-AU"/>
              </w:rPr>
              <w:t>61.4</w:t>
            </w:r>
          </w:p>
        </w:tc>
      </w:tr>
      <w:tr w:rsidR="0003357F" w14:paraId="19B5AC69" w14:textId="77777777" w:rsidTr="008B42E5">
        <w:tc>
          <w:tcPr>
            <w:tcW w:w="1548" w:type="dxa"/>
            <w:vAlign w:val="top"/>
          </w:tcPr>
          <w:p w14:paraId="465ED8F0" w14:textId="77777777" w:rsidR="0003357F" w:rsidRPr="005E7578" w:rsidRDefault="0003357F" w:rsidP="008B42E5">
            <w:pPr>
              <w:pStyle w:val="DHHStabletext"/>
              <w:rPr>
                <w:b/>
                <w:bCs/>
              </w:rPr>
            </w:pPr>
            <w:r w:rsidRPr="005E7578">
              <w:rPr>
                <w:b/>
                <w:bCs/>
                <w:lang w:eastAsia="en-AU"/>
              </w:rPr>
              <w:t>Total</w:t>
            </w:r>
          </w:p>
        </w:tc>
        <w:tc>
          <w:tcPr>
            <w:tcW w:w="1548" w:type="dxa"/>
            <w:vAlign w:val="top"/>
          </w:tcPr>
          <w:p w14:paraId="3FB536AB" w14:textId="7D021E1D" w:rsidR="0003357F" w:rsidRPr="005E7578" w:rsidRDefault="00C04E9C" w:rsidP="008B42E5">
            <w:pPr>
              <w:pStyle w:val="DHHStabletext"/>
              <w:rPr>
                <w:b/>
                <w:bCs/>
              </w:rPr>
            </w:pPr>
            <w:r w:rsidRPr="005E7578">
              <w:rPr>
                <w:b/>
                <w:bCs/>
              </w:rPr>
              <w:t>59.3</w:t>
            </w:r>
          </w:p>
        </w:tc>
        <w:tc>
          <w:tcPr>
            <w:tcW w:w="1548" w:type="dxa"/>
            <w:vAlign w:val="top"/>
          </w:tcPr>
          <w:p w14:paraId="25FF22E7" w14:textId="635E12BA" w:rsidR="0003357F" w:rsidRPr="005E7578" w:rsidRDefault="00C04E9C" w:rsidP="008B42E5">
            <w:pPr>
              <w:pStyle w:val="DHHStabletext"/>
              <w:rPr>
                <w:b/>
                <w:bCs/>
              </w:rPr>
            </w:pPr>
            <w:r w:rsidRPr="005E7578">
              <w:rPr>
                <w:b/>
                <w:bCs/>
              </w:rPr>
              <w:t>64.1</w:t>
            </w:r>
          </w:p>
        </w:tc>
        <w:tc>
          <w:tcPr>
            <w:tcW w:w="1548" w:type="dxa"/>
            <w:vAlign w:val="top"/>
          </w:tcPr>
          <w:p w14:paraId="47EAB728" w14:textId="7CDE2921" w:rsidR="0003357F" w:rsidRPr="005E7578" w:rsidRDefault="00C04E9C" w:rsidP="008B42E5">
            <w:pPr>
              <w:pStyle w:val="DHHStabletext"/>
              <w:rPr>
                <w:b/>
                <w:bCs/>
              </w:rPr>
            </w:pPr>
            <w:r w:rsidRPr="005E7578">
              <w:rPr>
                <w:b/>
                <w:bCs/>
              </w:rPr>
              <w:t>76.6</w:t>
            </w:r>
          </w:p>
        </w:tc>
        <w:tc>
          <w:tcPr>
            <w:tcW w:w="1548" w:type="dxa"/>
            <w:vAlign w:val="top"/>
          </w:tcPr>
          <w:p w14:paraId="12815F10" w14:textId="03CC2180" w:rsidR="0003357F" w:rsidRPr="005E7578" w:rsidRDefault="00C04E9C" w:rsidP="008B42E5">
            <w:pPr>
              <w:pStyle w:val="DHHStabletext"/>
              <w:rPr>
                <w:b/>
                <w:bCs/>
              </w:rPr>
            </w:pPr>
            <w:r w:rsidRPr="005E7578">
              <w:rPr>
                <w:b/>
                <w:bCs/>
              </w:rPr>
              <w:t>75.6</w:t>
            </w:r>
          </w:p>
        </w:tc>
        <w:tc>
          <w:tcPr>
            <w:tcW w:w="1548" w:type="dxa"/>
            <w:vAlign w:val="top"/>
          </w:tcPr>
          <w:p w14:paraId="0828A103" w14:textId="73B2E4C7" w:rsidR="0003357F" w:rsidRPr="005E7578" w:rsidRDefault="002A5994" w:rsidP="008B42E5">
            <w:pPr>
              <w:pStyle w:val="DHHStabletext"/>
              <w:rPr>
                <w:b/>
                <w:bCs/>
              </w:rPr>
            </w:pPr>
            <w:r>
              <w:rPr>
                <w:b/>
                <w:bCs/>
              </w:rPr>
              <w:t>8</w:t>
            </w:r>
            <w:r w:rsidR="00C04E9C" w:rsidRPr="005E7578">
              <w:rPr>
                <w:b/>
                <w:bCs/>
              </w:rPr>
              <w:t>2.9</w:t>
            </w:r>
          </w:p>
        </w:tc>
      </w:tr>
    </w:tbl>
    <w:p w14:paraId="738934CD" w14:textId="706D871C" w:rsidR="008E0251" w:rsidRPr="00AC5CDB" w:rsidRDefault="008E0251" w:rsidP="008E0251">
      <w:pPr>
        <w:pStyle w:val="Heading2"/>
        <w:rPr>
          <w:rStyle w:val="normaltextrun"/>
        </w:rPr>
      </w:pPr>
      <w:bookmarkStart w:id="31" w:name="_Toc55379406"/>
      <w:r w:rsidRPr="00AC5CDB">
        <w:rPr>
          <w:rStyle w:val="normaltextrun"/>
        </w:rPr>
        <w:t>Seclusion and restraint</w:t>
      </w:r>
      <w:bookmarkEnd w:id="31"/>
      <w:r w:rsidR="00894D3B">
        <w:rPr>
          <w:rStyle w:val="normaltextrun"/>
        </w:rPr>
        <w:t xml:space="preserve"> </w:t>
      </w:r>
    </w:p>
    <w:p w14:paraId="43378476" w14:textId="77777777" w:rsidR="008E0251" w:rsidRPr="003650A0" w:rsidDel="5D52B9C5" w:rsidRDefault="008E0251" w:rsidP="008E0251">
      <w:pPr>
        <w:pStyle w:val="DHHSbody"/>
        <w:rPr>
          <w:rFonts w:cs="Arial"/>
        </w:rPr>
      </w:pPr>
      <w:r w:rsidRPr="003650A0">
        <w:rPr>
          <w:rFonts w:eastAsia="Arial" w:cs="Arial"/>
        </w:rPr>
        <w:t xml:space="preserve">Seclusion and restraint are intrusive practices that should only be used after all possible less restrictive options have been tried or considered and have been found to be unsuitable. </w:t>
      </w:r>
      <w:r w:rsidRPr="003650A0">
        <w:rPr>
          <w:rFonts w:cs="Arial"/>
        </w:rPr>
        <w:t xml:space="preserve">There is a strong emphasis on the accurate recording of restrictive interventions by services, as part of good clinical governance. </w:t>
      </w:r>
    </w:p>
    <w:p w14:paraId="43E16F85" w14:textId="128DBB6F" w:rsidR="008E0251" w:rsidRPr="003650A0" w:rsidRDefault="008E0251" w:rsidP="008E0251">
      <w:pPr>
        <w:pStyle w:val="DHHSbody"/>
        <w:rPr>
          <w:rFonts w:cs="Arial"/>
        </w:rPr>
      </w:pPr>
      <w:r w:rsidRPr="003650A0">
        <w:rPr>
          <w:rFonts w:cs="Arial"/>
        </w:rPr>
        <w:t>Data on seclusion is well established, b</w:t>
      </w:r>
      <w:r w:rsidRPr="00AD43E5">
        <w:rPr>
          <w:rFonts w:cs="Arial"/>
        </w:rPr>
        <w:t>u</w:t>
      </w:r>
      <w:r w:rsidRPr="003650A0">
        <w:rPr>
          <w:rFonts w:cs="Arial"/>
        </w:rPr>
        <w:t xml:space="preserve">t data on restraint is continuing to develop. </w:t>
      </w:r>
      <w:r w:rsidR="00B808D7">
        <w:rPr>
          <w:rFonts w:cs="Arial"/>
        </w:rPr>
        <w:t>E</w:t>
      </w:r>
      <w:r w:rsidRPr="003650A0">
        <w:rPr>
          <w:rFonts w:cs="Arial"/>
        </w:rPr>
        <w:t xml:space="preserve">very piece of data reflects a person’s experience of seclusion and restraint, which can be </w:t>
      </w:r>
      <w:r>
        <w:rPr>
          <w:rFonts w:cs="Arial"/>
        </w:rPr>
        <w:t xml:space="preserve">a </w:t>
      </w:r>
      <w:r w:rsidRPr="003650A0">
        <w:rPr>
          <w:rFonts w:cs="Arial"/>
        </w:rPr>
        <w:t>traumatic</w:t>
      </w:r>
      <w:r>
        <w:rPr>
          <w:rFonts w:cs="Arial"/>
        </w:rPr>
        <w:t xml:space="preserve"> event for them</w:t>
      </w:r>
      <w:r w:rsidRPr="003650A0">
        <w:rPr>
          <w:rFonts w:cs="Arial"/>
        </w:rPr>
        <w:t>. Public reporting enables services to review their individual results against state and national rates and those for like services. This reporting, and regular discussion between services and the Office of the Chief Psychiatrist and</w:t>
      </w:r>
      <w:r w:rsidR="00B808D7">
        <w:rPr>
          <w:rFonts w:cs="Arial"/>
        </w:rPr>
        <w:t xml:space="preserve"> the</w:t>
      </w:r>
      <w:r w:rsidRPr="003650A0">
        <w:rPr>
          <w:rFonts w:cs="Arial"/>
        </w:rPr>
        <w:t xml:space="preserve"> Office of the Chief Mental Health Nurse about their results, supports service </w:t>
      </w:r>
      <w:r w:rsidRPr="003650A0">
        <w:rPr>
          <w:rFonts w:eastAsia="Arial" w:cs="Arial"/>
        </w:rPr>
        <w:t>reform,</w:t>
      </w:r>
      <w:r w:rsidRPr="003650A0">
        <w:rPr>
          <w:rFonts w:cs="Arial"/>
        </w:rPr>
        <w:t xml:space="preserve"> quality improvement and better experiences of mental health services. </w:t>
      </w:r>
    </w:p>
    <w:p w14:paraId="3A801430" w14:textId="512893CF" w:rsidR="008E0251" w:rsidRDefault="008E0251" w:rsidP="008E0251">
      <w:pPr>
        <w:pStyle w:val="DHHSbody"/>
        <w:rPr>
          <w:rFonts w:cs="Arial"/>
        </w:rPr>
      </w:pPr>
      <w:r w:rsidRPr="003650A0">
        <w:rPr>
          <w:rFonts w:cs="Arial"/>
        </w:rPr>
        <w:t xml:space="preserve">The rate of seclusion </w:t>
      </w:r>
      <w:r w:rsidR="00B808D7">
        <w:rPr>
          <w:rFonts w:cs="Arial"/>
        </w:rPr>
        <w:t xml:space="preserve">rose </w:t>
      </w:r>
      <w:r w:rsidRPr="003650A0">
        <w:rPr>
          <w:rFonts w:cs="Arial"/>
        </w:rPr>
        <w:t xml:space="preserve">to 9.6 episodes per 1,000 occupied bed days </w:t>
      </w:r>
      <w:r w:rsidR="00B808D7">
        <w:rPr>
          <w:rFonts w:cs="Arial"/>
        </w:rPr>
        <w:t>in</w:t>
      </w:r>
      <w:r w:rsidRPr="003650A0">
        <w:rPr>
          <w:rFonts w:cs="Arial"/>
        </w:rPr>
        <w:t xml:space="preserve"> </w:t>
      </w:r>
      <w:r w:rsidR="00894D3B">
        <w:rPr>
          <w:rFonts w:cs="Arial"/>
        </w:rPr>
        <w:t>2019–20</w:t>
      </w:r>
      <w:r w:rsidRPr="003650A0">
        <w:rPr>
          <w:rFonts w:cs="Arial"/>
        </w:rPr>
        <w:t xml:space="preserve">, from a rate of 8.5 </w:t>
      </w:r>
      <w:r w:rsidR="00B808D7">
        <w:rPr>
          <w:rFonts w:cs="Arial"/>
        </w:rPr>
        <w:t xml:space="preserve">in 2018–19 </w:t>
      </w:r>
      <w:r>
        <w:rPr>
          <w:rFonts w:cs="Arial"/>
        </w:rPr>
        <w:t>(Table 1</w:t>
      </w:r>
      <w:r w:rsidR="006E3E09">
        <w:rPr>
          <w:rFonts w:cs="Arial"/>
        </w:rPr>
        <w:t>7</w:t>
      </w:r>
      <w:r>
        <w:rPr>
          <w:rFonts w:cs="Arial"/>
        </w:rPr>
        <w:t>)</w:t>
      </w:r>
      <w:r w:rsidRPr="003650A0">
        <w:rPr>
          <w:rFonts w:cs="Arial"/>
        </w:rPr>
        <w:t xml:space="preserve">. This rate </w:t>
      </w:r>
      <w:r w:rsidR="00B808D7">
        <w:rPr>
          <w:rFonts w:cs="Arial"/>
        </w:rPr>
        <w:t>wa</w:t>
      </w:r>
      <w:r w:rsidRPr="003650A0">
        <w:rPr>
          <w:rFonts w:cs="Arial"/>
        </w:rPr>
        <w:t xml:space="preserve">s across all services, which masks the frequency of the intervention with different </w:t>
      </w:r>
      <w:r>
        <w:rPr>
          <w:rFonts w:cs="Arial"/>
        </w:rPr>
        <w:t>consumer</w:t>
      </w:r>
      <w:r w:rsidRPr="003650A0">
        <w:rPr>
          <w:rFonts w:cs="Arial"/>
        </w:rPr>
        <w:t xml:space="preserve"> groups. It is rare for an aged person or a</w:t>
      </w:r>
      <w:r>
        <w:rPr>
          <w:rFonts w:cs="Arial"/>
        </w:rPr>
        <w:t xml:space="preserve"> person admitted to a specialist service such as a Parent and Infant Unit</w:t>
      </w:r>
      <w:r w:rsidRPr="003650A0">
        <w:rPr>
          <w:rFonts w:cs="Arial"/>
        </w:rPr>
        <w:t xml:space="preserve"> to be secluded. </w:t>
      </w:r>
      <w:r>
        <w:rPr>
          <w:rFonts w:cs="Arial"/>
        </w:rPr>
        <w:t>Consumer</w:t>
      </w:r>
      <w:r w:rsidRPr="003650A0">
        <w:rPr>
          <w:rFonts w:cs="Arial"/>
        </w:rPr>
        <w:t xml:space="preserve">s with a forensic background are secluded at a higher rate, and for this group the rate </w:t>
      </w:r>
      <w:r w:rsidR="00B808D7">
        <w:rPr>
          <w:rFonts w:cs="Arial"/>
        </w:rPr>
        <w:t>wa</w:t>
      </w:r>
      <w:r w:rsidRPr="003650A0">
        <w:rPr>
          <w:rFonts w:cs="Arial"/>
        </w:rPr>
        <w:t>s 33.0 per 1,000 occupied bed days</w:t>
      </w:r>
      <w:r w:rsidRPr="00DE1555">
        <w:rPr>
          <w:rFonts w:cs="Arial"/>
        </w:rPr>
        <w:t xml:space="preserve">. This year the rate for children and young people </w:t>
      </w:r>
      <w:r w:rsidR="0076304C">
        <w:rPr>
          <w:rFonts w:cs="Arial"/>
        </w:rPr>
        <w:t>increased to</w:t>
      </w:r>
      <w:r w:rsidRPr="00DE1555">
        <w:rPr>
          <w:rFonts w:cs="Arial"/>
        </w:rPr>
        <w:t xml:space="preserve"> 14.4. </w:t>
      </w:r>
      <w:r>
        <w:rPr>
          <w:rFonts w:cs="Arial"/>
        </w:rPr>
        <w:t xml:space="preserve">This result is </w:t>
      </w:r>
      <w:r w:rsidR="00B808D7">
        <w:rPr>
          <w:rFonts w:cs="Arial"/>
        </w:rPr>
        <w:t xml:space="preserve">affected </w:t>
      </w:r>
      <w:r>
        <w:rPr>
          <w:rFonts w:cs="Arial"/>
        </w:rPr>
        <w:t>by outlier data in a small population size. This is under review by the Office of the Chief Psychiatrist.</w:t>
      </w:r>
    </w:p>
    <w:p w14:paraId="5E934B3B" w14:textId="4376AE27" w:rsidR="008E0251" w:rsidRPr="003650A0" w:rsidRDefault="008E0251" w:rsidP="008E0251">
      <w:pPr>
        <w:pStyle w:val="DHHSbody"/>
        <w:rPr>
          <w:rFonts w:cs="Arial"/>
        </w:rPr>
      </w:pPr>
      <w:r w:rsidRPr="003650A0">
        <w:rPr>
          <w:rFonts w:cs="Arial"/>
        </w:rPr>
        <w:t xml:space="preserve">Work is underway with all services to reduce the use of restrictive interventions, including work with </w:t>
      </w:r>
      <w:r w:rsidR="00B808D7">
        <w:rPr>
          <w:rFonts w:cs="Arial"/>
        </w:rPr>
        <w:t>CAMHS</w:t>
      </w:r>
      <w:r w:rsidRPr="003650A0">
        <w:rPr>
          <w:rFonts w:cs="Arial"/>
        </w:rPr>
        <w:t xml:space="preserve">. Over the </w:t>
      </w:r>
      <w:r w:rsidR="00E97007">
        <w:rPr>
          <w:rFonts w:cs="Arial"/>
        </w:rPr>
        <w:t>p</w:t>
      </w:r>
      <w:r w:rsidRPr="003650A0">
        <w:rPr>
          <w:rFonts w:cs="Arial"/>
        </w:rPr>
        <w:t xml:space="preserve">ast </w:t>
      </w:r>
      <w:r w:rsidR="00E97007">
        <w:rPr>
          <w:rFonts w:cs="Arial"/>
        </w:rPr>
        <w:t>10</w:t>
      </w:r>
      <w:r w:rsidR="00E97007" w:rsidRPr="003650A0">
        <w:rPr>
          <w:rFonts w:cs="Arial"/>
        </w:rPr>
        <w:t xml:space="preserve"> </w:t>
      </w:r>
      <w:r w:rsidRPr="003650A0">
        <w:rPr>
          <w:rFonts w:cs="Arial"/>
        </w:rPr>
        <w:t xml:space="preserve">years, the overall trend for adults, older people and specialist </w:t>
      </w:r>
      <w:r>
        <w:rPr>
          <w:rFonts w:cs="Arial"/>
        </w:rPr>
        <w:t>consumer</w:t>
      </w:r>
      <w:r w:rsidRPr="003650A0">
        <w:rPr>
          <w:rFonts w:cs="Arial"/>
        </w:rPr>
        <w:t xml:space="preserve">s is </w:t>
      </w:r>
      <w:r w:rsidR="00B808D7">
        <w:rPr>
          <w:rFonts w:cs="Arial"/>
        </w:rPr>
        <w:t xml:space="preserve">a decreasing </w:t>
      </w:r>
      <w:r w:rsidRPr="003650A0">
        <w:rPr>
          <w:rFonts w:cs="Arial"/>
        </w:rPr>
        <w:t>seclusion rate. Results for</w:t>
      </w:r>
      <w:r w:rsidRPr="003650A0" w:rsidDel="004C4C02">
        <w:rPr>
          <w:rFonts w:cs="Arial"/>
        </w:rPr>
        <w:t xml:space="preserve"> </w:t>
      </w:r>
      <w:r>
        <w:rPr>
          <w:rFonts w:cs="Arial"/>
        </w:rPr>
        <w:t>CAMHS</w:t>
      </w:r>
      <w:r w:rsidRPr="003650A0">
        <w:rPr>
          <w:rFonts w:cs="Arial"/>
        </w:rPr>
        <w:t xml:space="preserve"> and forensic services are trending upwards.</w:t>
      </w:r>
    </w:p>
    <w:p w14:paraId="53B9EF73" w14:textId="5CC88B8C" w:rsidR="008E0251" w:rsidRPr="003650A0" w:rsidRDefault="008E0251" w:rsidP="008E0251">
      <w:pPr>
        <w:pStyle w:val="DHHSbody"/>
        <w:rPr>
          <w:rFonts w:cs="Arial"/>
        </w:rPr>
      </w:pPr>
      <w:r w:rsidRPr="003650A0">
        <w:rPr>
          <w:rFonts w:cs="Arial"/>
        </w:rPr>
        <w:t xml:space="preserve">Some </w:t>
      </w:r>
      <w:r>
        <w:rPr>
          <w:rFonts w:cs="Arial"/>
        </w:rPr>
        <w:t>consumers</w:t>
      </w:r>
      <w:r w:rsidRPr="003650A0" w:rsidDel="008855D3">
        <w:rPr>
          <w:rFonts w:cs="Arial"/>
        </w:rPr>
        <w:t xml:space="preserve"> </w:t>
      </w:r>
      <w:r w:rsidRPr="003650A0">
        <w:rPr>
          <w:rFonts w:cs="Arial"/>
        </w:rPr>
        <w:t xml:space="preserve">with a forensic background </w:t>
      </w:r>
      <w:r>
        <w:rPr>
          <w:rFonts w:cs="Arial"/>
        </w:rPr>
        <w:t>present with</w:t>
      </w:r>
      <w:r w:rsidRPr="003650A0">
        <w:rPr>
          <w:rFonts w:cs="Arial"/>
        </w:rPr>
        <w:t xml:space="preserve"> behaviours</w:t>
      </w:r>
      <w:r>
        <w:rPr>
          <w:rFonts w:cs="Arial"/>
        </w:rPr>
        <w:t xml:space="preserve"> of concern</w:t>
      </w:r>
      <w:r w:rsidRPr="003650A0">
        <w:rPr>
          <w:rFonts w:cs="Arial"/>
        </w:rPr>
        <w:t xml:space="preserve">. Thomas Embling Hospital continued a substantial effort to reduce the use of restrictive interventions during </w:t>
      </w:r>
      <w:r w:rsidR="00894D3B">
        <w:rPr>
          <w:rFonts w:cs="Arial"/>
        </w:rPr>
        <w:t>2019–20</w:t>
      </w:r>
      <w:r w:rsidRPr="003650A0">
        <w:rPr>
          <w:rFonts w:cs="Arial"/>
        </w:rPr>
        <w:t>, develop</w:t>
      </w:r>
      <w:r w:rsidR="007F2211">
        <w:rPr>
          <w:rFonts w:cs="Arial"/>
        </w:rPr>
        <w:t>ing</w:t>
      </w:r>
      <w:r w:rsidRPr="003650A0">
        <w:rPr>
          <w:rFonts w:cs="Arial"/>
        </w:rPr>
        <w:t xml:space="preserve"> tailored behavioural programs and intensi</w:t>
      </w:r>
      <w:r w:rsidR="007F2211">
        <w:rPr>
          <w:rFonts w:cs="Arial"/>
        </w:rPr>
        <w:t>fying</w:t>
      </w:r>
      <w:r w:rsidRPr="003650A0">
        <w:rPr>
          <w:rFonts w:cs="Arial"/>
        </w:rPr>
        <w:t xml:space="preserve"> staffing efforts.</w:t>
      </w:r>
    </w:p>
    <w:p w14:paraId="1F23E087" w14:textId="10199088" w:rsidR="008E0251" w:rsidRPr="003650A0" w:rsidRDefault="008E0251" w:rsidP="008E0251">
      <w:pPr>
        <w:pStyle w:val="DHHSbody"/>
        <w:rPr>
          <w:rFonts w:cs="Arial"/>
        </w:rPr>
      </w:pPr>
      <w:r w:rsidRPr="003650A0">
        <w:rPr>
          <w:rFonts w:cs="Arial"/>
        </w:rPr>
        <w:t xml:space="preserve">The average duration of seclusion has decreased from 20.0 hours </w:t>
      </w:r>
      <w:r w:rsidR="007F2211">
        <w:rPr>
          <w:rFonts w:cs="Arial"/>
        </w:rPr>
        <w:t>in 2018–19</w:t>
      </w:r>
      <w:r w:rsidRPr="003650A0">
        <w:rPr>
          <w:rFonts w:cs="Arial"/>
        </w:rPr>
        <w:t xml:space="preserve"> to a length of 13.8 hours</w:t>
      </w:r>
      <w:r>
        <w:rPr>
          <w:rFonts w:cs="Arial"/>
        </w:rPr>
        <w:t xml:space="preserve"> (Table 1</w:t>
      </w:r>
      <w:r w:rsidR="006E3E09">
        <w:rPr>
          <w:rFonts w:cs="Arial"/>
        </w:rPr>
        <w:t>8</w:t>
      </w:r>
      <w:r>
        <w:rPr>
          <w:rFonts w:cs="Arial"/>
        </w:rPr>
        <w:t>)</w:t>
      </w:r>
      <w:r w:rsidRPr="003650A0">
        <w:rPr>
          <w:rFonts w:cs="Arial"/>
        </w:rPr>
        <w:t xml:space="preserve">. This figure </w:t>
      </w:r>
      <w:r w:rsidR="007F2211">
        <w:rPr>
          <w:rFonts w:cs="Arial"/>
        </w:rPr>
        <w:t>includes</w:t>
      </w:r>
      <w:r w:rsidRPr="003650A0">
        <w:rPr>
          <w:rFonts w:cs="Arial"/>
        </w:rPr>
        <w:t xml:space="preserve"> </w:t>
      </w:r>
      <w:r>
        <w:rPr>
          <w:rFonts w:cs="Arial"/>
        </w:rPr>
        <w:t>consumers</w:t>
      </w:r>
      <w:r w:rsidR="00894D3B">
        <w:rPr>
          <w:rFonts w:cs="Arial"/>
        </w:rPr>
        <w:t xml:space="preserve"> </w:t>
      </w:r>
      <w:r w:rsidRPr="003650A0">
        <w:rPr>
          <w:rFonts w:cs="Arial"/>
        </w:rPr>
        <w:t xml:space="preserve">with a forensic background for whom the average duration of seclusion </w:t>
      </w:r>
      <w:r w:rsidR="007F2211">
        <w:rPr>
          <w:rFonts w:cs="Arial"/>
        </w:rPr>
        <w:t>wa</w:t>
      </w:r>
      <w:r w:rsidRPr="003650A0">
        <w:rPr>
          <w:rFonts w:cs="Arial"/>
        </w:rPr>
        <w:t>s 40.5 hours. Nonetheless</w:t>
      </w:r>
      <w:r>
        <w:rPr>
          <w:rFonts w:cs="Arial"/>
        </w:rPr>
        <w:t>,</w:t>
      </w:r>
      <w:r w:rsidRPr="003650A0">
        <w:rPr>
          <w:rFonts w:cs="Arial"/>
        </w:rPr>
        <w:t xml:space="preserve"> this amount of time is half the duration of </w:t>
      </w:r>
      <w:r w:rsidR="00BA6AC1">
        <w:rPr>
          <w:rFonts w:cs="Arial"/>
        </w:rPr>
        <w:t>2018–19</w:t>
      </w:r>
      <w:r w:rsidRPr="003650A0">
        <w:rPr>
          <w:rFonts w:cs="Arial"/>
        </w:rPr>
        <w:t xml:space="preserve">, when the average duration was 81.4 hours. The corresponding figure for adults </w:t>
      </w:r>
      <w:r w:rsidR="007F2211">
        <w:rPr>
          <w:rFonts w:cs="Arial"/>
        </w:rPr>
        <w:t>wa</w:t>
      </w:r>
      <w:r w:rsidRPr="003650A0">
        <w:rPr>
          <w:rFonts w:cs="Arial"/>
        </w:rPr>
        <w:t>s 6.0 hours, continuing a downward trend from the 2016</w:t>
      </w:r>
      <w:r w:rsidR="00BA6AC1">
        <w:rPr>
          <w:rFonts w:cs="Arial"/>
        </w:rPr>
        <w:t>–</w:t>
      </w:r>
      <w:r w:rsidRPr="003650A0">
        <w:rPr>
          <w:rFonts w:cs="Arial"/>
        </w:rPr>
        <w:t>17 level of 9.6 hours. For children and young people</w:t>
      </w:r>
      <w:r w:rsidR="007F2211">
        <w:rPr>
          <w:rFonts w:cs="Arial"/>
        </w:rPr>
        <w:t>,</w:t>
      </w:r>
      <w:r w:rsidRPr="003650A0">
        <w:rPr>
          <w:rFonts w:cs="Arial"/>
        </w:rPr>
        <w:t xml:space="preserve"> the average duration of seclusion increased substantially this year to 3.2 hours from 1.0 hour the previous year.</w:t>
      </w:r>
      <w:r>
        <w:rPr>
          <w:rFonts w:cs="Arial"/>
        </w:rPr>
        <w:t xml:space="preserve"> This increase relates to the duration of seclusion episodes for young people aged from 18 to 24 included in this category.</w:t>
      </w:r>
    </w:p>
    <w:p w14:paraId="3E69550A" w14:textId="5DA630BE" w:rsidR="008E0251" w:rsidRPr="003650A0" w:rsidRDefault="008E0251" w:rsidP="008E0251">
      <w:pPr>
        <w:pStyle w:val="DHHSbody"/>
        <w:rPr>
          <w:rFonts w:cs="Arial"/>
        </w:rPr>
      </w:pPr>
      <w:r w:rsidRPr="003650A0">
        <w:rPr>
          <w:rFonts w:cs="Arial"/>
        </w:rPr>
        <w:t>The bodily restraint rate reduced this year from 25.8 to 20.7 per 1,000 occupied bed days. The rate varie</w:t>
      </w:r>
      <w:r w:rsidR="007F2211">
        <w:rPr>
          <w:rFonts w:cs="Arial"/>
        </w:rPr>
        <w:t>d</w:t>
      </w:r>
      <w:r w:rsidRPr="003650A0">
        <w:rPr>
          <w:rFonts w:cs="Arial"/>
        </w:rPr>
        <w:t xml:space="preserve"> from 0.8 for specialist </w:t>
      </w:r>
      <w:r>
        <w:rPr>
          <w:rFonts w:cs="Arial"/>
        </w:rPr>
        <w:t>consumer</w:t>
      </w:r>
      <w:r w:rsidRPr="003650A0">
        <w:rPr>
          <w:rFonts w:cs="Arial"/>
        </w:rPr>
        <w:t xml:space="preserve">s to 90.3 per 1,000 occupied bed days for </w:t>
      </w:r>
      <w:r>
        <w:rPr>
          <w:rFonts w:cs="Arial"/>
        </w:rPr>
        <w:t>consumer</w:t>
      </w:r>
      <w:r w:rsidRPr="003650A0">
        <w:rPr>
          <w:rFonts w:cs="Arial"/>
        </w:rPr>
        <w:t>s with a forensic background</w:t>
      </w:r>
      <w:r w:rsidR="007F2211">
        <w:rPr>
          <w:rFonts w:cs="Arial"/>
        </w:rPr>
        <w:t>,</w:t>
      </w:r>
      <w:r w:rsidRPr="003650A0">
        <w:rPr>
          <w:rFonts w:cs="Arial"/>
        </w:rPr>
        <w:t xml:space="preserve"> reduc</w:t>
      </w:r>
      <w:r w:rsidR="007F2211">
        <w:rPr>
          <w:rFonts w:cs="Arial"/>
        </w:rPr>
        <w:t>ing</w:t>
      </w:r>
      <w:r w:rsidRPr="003650A0">
        <w:rPr>
          <w:rFonts w:cs="Arial"/>
        </w:rPr>
        <w:t xml:space="preserve"> from 162.1 in 2018</w:t>
      </w:r>
      <w:r w:rsidR="00BA6AC1">
        <w:rPr>
          <w:rFonts w:cs="Arial"/>
        </w:rPr>
        <w:t>–</w:t>
      </w:r>
      <w:r w:rsidRPr="003650A0">
        <w:rPr>
          <w:rFonts w:cs="Arial"/>
        </w:rPr>
        <w:t xml:space="preserve">19. The average duration of restraint </w:t>
      </w:r>
      <w:r w:rsidR="006365E9">
        <w:rPr>
          <w:rFonts w:cs="Arial"/>
        </w:rPr>
        <w:t>rose</w:t>
      </w:r>
      <w:r w:rsidRPr="003650A0">
        <w:rPr>
          <w:rFonts w:cs="Arial"/>
        </w:rPr>
        <w:t xml:space="preserve"> to 18 minutes </w:t>
      </w:r>
      <w:r w:rsidR="006365E9">
        <w:rPr>
          <w:rFonts w:cs="Arial"/>
        </w:rPr>
        <w:t>in</w:t>
      </w:r>
      <w:r w:rsidR="006365E9" w:rsidRPr="003650A0">
        <w:rPr>
          <w:rFonts w:cs="Arial"/>
        </w:rPr>
        <w:t xml:space="preserve"> </w:t>
      </w:r>
      <w:r w:rsidR="00894D3B">
        <w:rPr>
          <w:rFonts w:cs="Arial"/>
        </w:rPr>
        <w:t>2019–20</w:t>
      </w:r>
      <w:r w:rsidRPr="003650A0">
        <w:rPr>
          <w:rFonts w:cs="Arial"/>
        </w:rPr>
        <w:t>, up from 12 minutes the previous year.</w:t>
      </w:r>
    </w:p>
    <w:p w14:paraId="4E3C2764" w14:textId="5E360ADE" w:rsidR="008B42E5" w:rsidRDefault="008E0251" w:rsidP="008B42E5">
      <w:pPr>
        <w:pStyle w:val="DHHStablecaption"/>
      </w:pPr>
      <w:r>
        <w:t>Table 1</w:t>
      </w:r>
      <w:r w:rsidR="006E3E09">
        <w:t>7</w:t>
      </w:r>
      <w:r w:rsidRPr="008D5F6F">
        <w:t>:</w:t>
      </w:r>
      <w:r w:rsidR="00894D3B">
        <w:t xml:space="preserve"> </w:t>
      </w:r>
      <w:r w:rsidRPr="008D5F6F">
        <w:t>Seclusion episodes per 1,000 occupied bed days, 2015</w:t>
      </w:r>
      <w:r w:rsidR="00BA6AC1">
        <w:t>–</w:t>
      </w:r>
      <w:r w:rsidRPr="008D5F6F">
        <w:t xml:space="preserve">16 to </w:t>
      </w:r>
      <w:r w:rsidR="00894D3B">
        <w:t>2019–20</w:t>
      </w:r>
    </w:p>
    <w:tbl>
      <w:tblPr>
        <w:tblStyle w:val="MentalhealthARtablestyle"/>
        <w:tblW w:w="0" w:type="auto"/>
        <w:tblLook w:val="04A0" w:firstRow="1" w:lastRow="0" w:firstColumn="1" w:lastColumn="0" w:noHBand="0" w:noVBand="1"/>
      </w:tblPr>
      <w:tblGrid>
        <w:gridCol w:w="1548"/>
        <w:gridCol w:w="1548"/>
        <w:gridCol w:w="1548"/>
        <w:gridCol w:w="1548"/>
        <w:gridCol w:w="1548"/>
        <w:gridCol w:w="1548"/>
      </w:tblGrid>
      <w:tr w:rsidR="008B42E5" w14:paraId="5635B67F" w14:textId="77777777" w:rsidTr="008B42E5">
        <w:trPr>
          <w:cnfStyle w:val="100000000000" w:firstRow="1" w:lastRow="0" w:firstColumn="0" w:lastColumn="0" w:oddVBand="0" w:evenVBand="0" w:oddHBand="0" w:evenHBand="0" w:firstRowFirstColumn="0" w:firstRowLastColumn="0" w:lastRowFirstColumn="0" w:lastRowLastColumn="0"/>
          <w:tblHeader/>
        </w:trPr>
        <w:tc>
          <w:tcPr>
            <w:tcW w:w="1548" w:type="dxa"/>
            <w:vAlign w:val="top"/>
          </w:tcPr>
          <w:p w14:paraId="74C01133" w14:textId="77777777" w:rsidR="008B42E5" w:rsidRDefault="008B42E5" w:rsidP="008B42E5">
            <w:pPr>
              <w:pStyle w:val="DHHStablecolhead"/>
            </w:pPr>
            <w:r w:rsidRPr="003650A0">
              <w:rPr>
                <w:b/>
                <w:lang w:eastAsia="en-AU"/>
              </w:rPr>
              <w:t>Population</w:t>
            </w:r>
          </w:p>
        </w:tc>
        <w:tc>
          <w:tcPr>
            <w:tcW w:w="1548" w:type="dxa"/>
            <w:vAlign w:val="top"/>
          </w:tcPr>
          <w:p w14:paraId="0760C49F" w14:textId="77777777" w:rsidR="008B42E5" w:rsidRDefault="008B42E5" w:rsidP="008B42E5">
            <w:pPr>
              <w:pStyle w:val="DHHStablecolhead"/>
            </w:pPr>
            <w:r w:rsidRPr="00B267D2">
              <w:rPr>
                <w:rFonts w:cs="Arial"/>
                <w:b/>
                <w:sz w:val="18"/>
                <w:szCs w:val="18"/>
              </w:rPr>
              <w:t>2015–16</w:t>
            </w:r>
          </w:p>
        </w:tc>
        <w:tc>
          <w:tcPr>
            <w:tcW w:w="1548" w:type="dxa"/>
            <w:vAlign w:val="top"/>
          </w:tcPr>
          <w:p w14:paraId="2663BB3D" w14:textId="77777777" w:rsidR="008B42E5" w:rsidRDefault="008B42E5" w:rsidP="008B42E5">
            <w:pPr>
              <w:pStyle w:val="DHHStablecolhead"/>
            </w:pPr>
            <w:r w:rsidRPr="00B267D2">
              <w:rPr>
                <w:rFonts w:cs="Arial"/>
                <w:b/>
                <w:sz w:val="18"/>
                <w:szCs w:val="18"/>
              </w:rPr>
              <w:t>2016–17</w:t>
            </w:r>
          </w:p>
        </w:tc>
        <w:tc>
          <w:tcPr>
            <w:tcW w:w="1548" w:type="dxa"/>
            <w:vAlign w:val="top"/>
          </w:tcPr>
          <w:p w14:paraId="5B12E4D5" w14:textId="77777777" w:rsidR="008B42E5" w:rsidRDefault="008B42E5" w:rsidP="008B42E5">
            <w:pPr>
              <w:pStyle w:val="DHHStablecolhead"/>
            </w:pPr>
            <w:r w:rsidRPr="00B267D2">
              <w:rPr>
                <w:rFonts w:cs="Arial"/>
                <w:b/>
                <w:sz w:val="18"/>
                <w:szCs w:val="18"/>
              </w:rPr>
              <w:t>2017–18</w:t>
            </w:r>
          </w:p>
        </w:tc>
        <w:tc>
          <w:tcPr>
            <w:tcW w:w="1548" w:type="dxa"/>
            <w:vAlign w:val="top"/>
          </w:tcPr>
          <w:p w14:paraId="7EE198C4" w14:textId="77777777" w:rsidR="008B42E5" w:rsidRDefault="008B42E5" w:rsidP="008B42E5">
            <w:pPr>
              <w:pStyle w:val="DHHStablecolhead"/>
            </w:pPr>
            <w:r w:rsidRPr="00B267D2">
              <w:rPr>
                <w:rFonts w:cs="Arial"/>
                <w:b/>
                <w:sz w:val="18"/>
                <w:szCs w:val="18"/>
              </w:rPr>
              <w:t>2018–19</w:t>
            </w:r>
          </w:p>
        </w:tc>
        <w:tc>
          <w:tcPr>
            <w:tcW w:w="1548" w:type="dxa"/>
            <w:vAlign w:val="top"/>
          </w:tcPr>
          <w:p w14:paraId="2FAE8BCB" w14:textId="77777777" w:rsidR="008B42E5" w:rsidRDefault="008B42E5" w:rsidP="008B42E5">
            <w:pPr>
              <w:pStyle w:val="DHHStablecolhead"/>
            </w:pPr>
            <w:r w:rsidRPr="00B267D2">
              <w:rPr>
                <w:rFonts w:cs="Arial"/>
                <w:b/>
                <w:sz w:val="18"/>
                <w:szCs w:val="18"/>
              </w:rPr>
              <w:t>2019–20</w:t>
            </w:r>
          </w:p>
        </w:tc>
      </w:tr>
      <w:tr w:rsidR="008B42E5" w14:paraId="35809A2B" w14:textId="77777777" w:rsidTr="008B42E5">
        <w:tc>
          <w:tcPr>
            <w:tcW w:w="1548" w:type="dxa"/>
            <w:vAlign w:val="top"/>
          </w:tcPr>
          <w:p w14:paraId="65A7187A" w14:textId="77777777" w:rsidR="008B42E5" w:rsidRDefault="008B42E5" w:rsidP="008B42E5">
            <w:pPr>
              <w:pStyle w:val="DHHStabletext"/>
            </w:pPr>
            <w:r w:rsidRPr="003650A0">
              <w:rPr>
                <w:lang w:eastAsia="en-AU"/>
              </w:rPr>
              <w:t>Adult</w:t>
            </w:r>
          </w:p>
        </w:tc>
        <w:tc>
          <w:tcPr>
            <w:tcW w:w="1548" w:type="dxa"/>
            <w:vAlign w:val="top"/>
          </w:tcPr>
          <w:p w14:paraId="5662E134" w14:textId="7D82FD89" w:rsidR="008B42E5" w:rsidRPr="008B42E5" w:rsidRDefault="008B42E5" w:rsidP="008B42E5">
            <w:pPr>
              <w:pStyle w:val="DHHStabletext"/>
            </w:pPr>
            <w:r w:rsidRPr="008B42E5">
              <w:rPr>
                <w:rFonts w:eastAsia="Verdana"/>
              </w:rPr>
              <w:t>11.9</w:t>
            </w:r>
          </w:p>
        </w:tc>
        <w:tc>
          <w:tcPr>
            <w:tcW w:w="1548" w:type="dxa"/>
            <w:vAlign w:val="top"/>
          </w:tcPr>
          <w:p w14:paraId="2A665C69" w14:textId="25455BB2" w:rsidR="008B42E5" w:rsidRPr="008B42E5" w:rsidRDefault="008B42E5" w:rsidP="008B42E5">
            <w:pPr>
              <w:pStyle w:val="DHHStabletext"/>
            </w:pPr>
            <w:r w:rsidRPr="008B42E5">
              <w:rPr>
                <w:rFonts w:eastAsia="Verdana"/>
              </w:rPr>
              <w:t>11.3</w:t>
            </w:r>
          </w:p>
        </w:tc>
        <w:tc>
          <w:tcPr>
            <w:tcW w:w="1548" w:type="dxa"/>
            <w:vAlign w:val="top"/>
          </w:tcPr>
          <w:p w14:paraId="33F3FDCA" w14:textId="70DB76EE" w:rsidR="008B42E5" w:rsidRPr="008B42E5" w:rsidRDefault="008B42E5" w:rsidP="008B42E5">
            <w:pPr>
              <w:pStyle w:val="DHHStabletext"/>
            </w:pPr>
            <w:r w:rsidRPr="008B42E5">
              <w:rPr>
                <w:rFonts w:eastAsia="Verdana"/>
              </w:rPr>
              <w:t>10.5</w:t>
            </w:r>
          </w:p>
        </w:tc>
        <w:tc>
          <w:tcPr>
            <w:tcW w:w="1548" w:type="dxa"/>
            <w:vAlign w:val="top"/>
          </w:tcPr>
          <w:p w14:paraId="325BF976" w14:textId="2E6E7C4D" w:rsidR="008B42E5" w:rsidRPr="008B42E5" w:rsidRDefault="008B42E5" w:rsidP="008B42E5">
            <w:pPr>
              <w:pStyle w:val="DHHStabletext"/>
            </w:pPr>
            <w:r w:rsidRPr="008B42E5">
              <w:rPr>
                <w:rFonts w:eastAsia="Verdana"/>
              </w:rPr>
              <w:t>9.3</w:t>
            </w:r>
          </w:p>
        </w:tc>
        <w:tc>
          <w:tcPr>
            <w:tcW w:w="1548" w:type="dxa"/>
            <w:vAlign w:val="top"/>
          </w:tcPr>
          <w:p w14:paraId="0D7DFDDC" w14:textId="5FA368EB" w:rsidR="008B42E5" w:rsidRPr="008B42E5" w:rsidRDefault="008B42E5" w:rsidP="008B42E5">
            <w:pPr>
              <w:pStyle w:val="DHHStabletext"/>
            </w:pPr>
            <w:r w:rsidRPr="008B42E5">
              <w:rPr>
                <w:rFonts w:eastAsia="Verdana"/>
              </w:rPr>
              <w:t>9.7</w:t>
            </w:r>
          </w:p>
        </w:tc>
      </w:tr>
      <w:tr w:rsidR="008B42E5" w14:paraId="07FED6DB" w14:textId="77777777" w:rsidTr="008B42E5">
        <w:tc>
          <w:tcPr>
            <w:tcW w:w="1548" w:type="dxa"/>
            <w:vAlign w:val="top"/>
          </w:tcPr>
          <w:p w14:paraId="21A734C5" w14:textId="77777777" w:rsidR="008B42E5" w:rsidRDefault="008B42E5" w:rsidP="008B42E5">
            <w:pPr>
              <w:pStyle w:val="DHHStabletext"/>
            </w:pPr>
            <w:r w:rsidRPr="003650A0">
              <w:rPr>
                <w:lang w:eastAsia="en-AU"/>
              </w:rPr>
              <w:t>Aged</w:t>
            </w:r>
          </w:p>
        </w:tc>
        <w:tc>
          <w:tcPr>
            <w:tcW w:w="1548" w:type="dxa"/>
            <w:vAlign w:val="top"/>
          </w:tcPr>
          <w:p w14:paraId="26A0388B" w14:textId="1AFCDC23" w:rsidR="008B42E5" w:rsidRPr="008B42E5" w:rsidRDefault="008B42E5" w:rsidP="008B42E5">
            <w:pPr>
              <w:pStyle w:val="DHHStabletext"/>
            </w:pPr>
            <w:r w:rsidRPr="008B42E5">
              <w:rPr>
                <w:rFonts w:eastAsia="Verdana"/>
              </w:rPr>
              <w:t>1.0</w:t>
            </w:r>
          </w:p>
        </w:tc>
        <w:tc>
          <w:tcPr>
            <w:tcW w:w="1548" w:type="dxa"/>
            <w:vAlign w:val="top"/>
          </w:tcPr>
          <w:p w14:paraId="6BA5F134" w14:textId="7195D93E" w:rsidR="008B42E5" w:rsidRPr="008B42E5" w:rsidRDefault="008B42E5" w:rsidP="008B42E5">
            <w:pPr>
              <w:pStyle w:val="DHHStabletext"/>
            </w:pPr>
            <w:r w:rsidRPr="008B42E5">
              <w:rPr>
                <w:rFonts w:eastAsia="Verdana"/>
              </w:rPr>
              <w:t>1.8</w:t>
            </w:r>
          </w:p>
        </w:tc>
        <w:tc>
          <w:tcPr>
            <w:tcW w:w="1548" w:type="dxa"/>
            <w:vAlign w:val="top"/>
          </w:tcPr>
          <w:p w14:paraId="58234762" w14:textId="1CBC1803" w:rsidR="008B42E5" w:rsidRPr="008B42E5" w:rsidRDefault="008B42E5" w:rsidP="008B42E5">
            <w:pPr>
              <w:pStyle w:val="DHHStabletext"/>
            </w:pPr>
            <w:r w:rsidRPr="008B42E5">
              <w:rPr>
                <w:rFonts w:eastAsia="Verdana"/>
              </w:rPr>
              <w:t>1.2</w:t>
            </w:r>
          </w:p>
        </w:tc>
        <w:tc>
          <w:tcPr>
            <w:tcW w:w="1548" w:type="dxa"/>
            <w:vAlign w:val="top"/>
          </w:tcPr>
          <w:p w14:paraId="5C765F3B" w14:textId="76F1E18F" w:rsidR="008B42E5" w:rsidRPr="008B42E5" w:rsidRDefault="008B42E5" w:rsidP="008B42E5">
            <w:pPr>
              <w:pStyle w:val="DHHStabletext"/>
            </w:pPr>
            <w:r w:rsidRPr="008B42E5">
              <w:rPr>
                <w:rFonts w:eastAsia="Verdana"/>
              </w:rPr>
              <w:t>0.7</w:t>
            </w:r>
          </w:p>
        </w:tc>
        <w:tc>
          <w:tcPr>
            <w:tcW w:w="1548" w:type="dxa"/>
            <w:vAlign w:val="top"/>
          </w:tcPr>
          <w:p w14:paraId="4430321A" w14:textId="38672D2D" w:rsidR="008B42E5" w:rsidRPr="008B42E5" w:rsidRDefault="008B42E5" w:rsidP="008B42E5">
            <w:pPr>
              <w:pStyle w:val="DHHStabletext"/>
            </w:pPr>
            <w:r w:rsidRPr="008B42E5">
              <w:rPr>
                <w:rFonts w:eastAsia="Verdana"/>
              </w:rPr>
              <w:t>0.6</w:t>
            </w:r>
          </w:p>
        </w:tc>
      </w:tr>
      <w:tr w:rsidR="008B42E5" w14:paraId="6046AC62" w14:textId="77777777" w:rsidTr="008B42E5">
        <w:tc>
          <w:tcPr>
            <w:tcW w:w="1548" w:type="dxa"/>
            <w:vAlign w:val="top"/>
          </w:tcPr>
          <w:p w14:paraId="56854701" w14:textId="14587FF2" w:rsidR="008B42E5" w:rsidRDefault="008B42E5" w:rsidP="008B42E5">
            <w:pPr>
              <w:pStyle w:val="DHHStabletext"/>
            </w:pPr>
            <w:r w:rsidRPr="003650A0">
              <w:rPr>
                <w:lang w:eastAsia="en-AU"/>
              </w:rPr>
              <w:t>C</w:t>
            </w:r>
            <w:r w:rsidR="00B0245B">
              <w:rPr>
                <w:lang w:eastAsia="en-AU"/>
              </w:rPr>
              <w:t>A</w:t>
            </w:r>
            <w:r w:rsidRPr="003650A0">
              <w:rPr>
                <w:lang w:eastAsia="en-AU"/>
              </w:rPr>
              <w:t>MHS</w:t>
            </w:r>
          </w:p>
        </w:tc>
        <w:tc>
          <w:tcPr>
            <w:tcW w:w="1548" w:type="dxa"/>
            <w:vAlign w:val="top"/>
          </w:tcPr>
          <w:p w14:paraId="5201DB16" w14:textId="693CE57F" w:rsidR="008B42E5" w:rsidRPr="008B42E5" w:rsidRDefault="008B42E5" w:rsidP="008B42E5">
            <w:pPr>
              <w:pStyle w:val="DHHStabletext"/>
            </w:pPr>
            <w:r w:rsidRPr="008B42E5">
              <w:rPr>
                <w:rFonts w:eastAsia="Verdana"/>
              </w:rPr>
              <w:t>5.5</w:t>
            </w:r>
          </w:p>
        </w:tc>
        <w:tc>
          <w:tcPr>
            <w:tcW w:w="1548" w:type="dxa"/>
            <w:vAlign w:val="top"/>
          </w:tcPr>
          <w:p w14:paraId="2C3EC026" w14:textId="603D2448" w:rsidR="008B42E5" w:rsidRPr="008B42E5" w:rsidRDefault="008B42E5" w:rsidP="008B42E5">
            <w:pPr>
              <w:pStyle w:val="DHHStabletext"/>
            </w:pPr>
            <w:r w:rsidRPr="008B42E5">
              <w:rPr>
                <w:rFonts w:eastAsia="Verdana"/>
              </w:rPr>
              <w:t>5.4</w:t>
            </w:r>
          </w:p>
        </w:tc>
        <w:tc>
          <w:tcPr>
            <w:tcW w:w="1548" w:type="dxa"/>
            <w:vAlign w:val="top"/>
          </w:tcPr>
          <w:p w14:paraId="7E5E2D85" w14:textId="24A5D49F" w:rsidR="008B42E5" w:rsidRPr="008B42E5" w:rsidRDefault="008B42E5" w:rsidP="008B42E5">
            <w:pPr>
              <w:pStyle w:val="DHHStabletext"/>
            </w:pPr>
            <w:r w:rsidRPr="008B42E5">
              <w:rPr>
                <w:rFonts w:eastAsia="Verdana"/>
              </w:rPr>
              <w:t>8.8</w:t>
            </w:r>
          </w:p>
        </w:tc>
        <w:tc>
          <w:tcPr>
            <w:tcW w:w="1548" w:type="dxa"/>
            <w:vAlign w:val="top"/>
          </w:tcPr>
          <w:p w14:paraId="7E053E99" w14:textId="08DA91E9" w:rsidR="008B42E5" w:rsidRPr="008B42E5" w:rsidRDefault="008B42E5" w:rsidP="008B42E5">
            <w:pPr>
              <w:pStyle w:val="DHHStabletext"/>
            </w:pPr>
            <w:r w:rsidRPr="008B42E5">
              <w:rPr>
                <w:rFonts w:eastAsia="Verdana"/>
              </w:rPr>
              <w:t>12.0</w:t>
            </w:r>
          </w:p>
        </w:tc>
        <w:tc>
          <w:tcPr>
            <w:tcW w:w="1548" w:type="dxa"/>
            <w:vAlign w:val="top"/>
          </w:tcPr>
          <w:p w14:paraId="2A3F7A61" w14:textId="441C4952" w:rsidR="008B42E5" w:rsidRPr="008B42E5" w:rsidRDefault="008B42E5" w:rsidP="008B42E5">
            <w:pPr>
              <w:pStyle w:val="DHHStabletext"/>
            </w:pPr>
            <w:r w:rsidRPr="008B42E5">
              <w:rPr>
                <w:rFonts w:eastAsia="Verdana"/>
              </w:rPr>
              <w:t>14.4</w:t>
            </w:r>
          </w:p>
        </w:tc>
      </w:tr>
      <w:tr w:rsidR="008B42E5" w14:paraId="4C83D8F7" w14:textId="77777777" w:rsidTr="008B42E5">
        <w:tc>
          <w:tcPr>
            <w:tcW w:w="1548" w:type="dxa"/>
            <w:vAlign w:val="top"/>
          </w:tcPr>
          <w:p w14:paraId="125020F1" w14:textId="77777777" w:rsidR="008B42E5" w:rsidRPr="003650A0" w:rsidRDefault="008B42E5" w:rsidP="008B42E5">
            <w:pPr>
              <w:pStyle w:val="DHHStabletext"/>
              <w:rPr>
                <w:lang w:eastAsia="en-AU"/>
              </w:rPr>
            </w:pPr>
            <w:r>
              <w:rPr>
                <w:lang w:eastAsia="en-AU"/>
              </w:rPr>
              <w:t>Forensic</w:t>
            </w:r>
          </w:p>
        </w:tc>
        <w:tc>
          <w:tcPr>
            <w:tcW w:w="1548" w:type="dxa"/>
            <w:vAlign w:val="top"/>
          </w:tcPr>
          <w:p w14:paraId="270C8243" w14:textId="0C35B90A" w:rsidR="008B42E5" w:rsidRPr="008B42E5" w:rsidRDefault="008B42E5" w:rsidP="008B42E5">
            <w:pPr>
              <w:pStyle w:val="DHHStabletext"/>
            </w:pPr>
            <w:r w:rsidRPr="008B42E5">
              <w:rPr>
                <w:rFonts w:eastAsia="Verdana"/>
              </w:rPr>
              <w:t>13.1</w:t>
            </w:r>
          </w:p>
        </w:tc>
        <w:tc>
          <w:tcPr>
            <w:tcW w:w="1548" w:type="dxa"/>
            <w:vAlign w:val="top"/>
          </w:tcPr>
          <w:p w14:paraId="25EE0D79" w14:textId="04087DD7" w:rsidR="008B42E5" w:rsidRPr="008B42E5" w:rsidRDefault="008B42E5" w:rsidP="008B42E5">
            <w:pPr>
              <w:pStyle w:val="DHHStabletext"/>
            </w:pPr>
            <w:r w:rsidRPr="008B42E5">
              <w:rPr>
                <w:rFonts w:eastAsia="Verdana"/>
              </w:rPr>
              <w:t>28.7</w:t>
            </w:r>
          </w:p>
        </w:tc>
        <w:tc>
          <w:tcPr>
            <w:tcW w:w="1548" w:type="dxa"/>
            <w:vAlign w:val="top"/>
          </w:tcPr>
          <w:p w14:paraId="38879939" w14:textId="54D06657" w:rsidR="008B42E5" w:rsidRPr="008B42E5" w:rsidRDefault="008B42E5" w:rsidP="008B42E5">
            <w:pPr>
              <w:pStyle w:val="DHHStabletext"/>
            </w:pPr>
            <w:r w:rsidRPr="008B42E5">
              <w:rPr>
                <w:rFonts w:eastAsia="Verdana"/>
              </w:rPr>
              <w:t>34.3</w:t>
            </w:r>
          </w:p>
        </w:tc>
        <w:tc>
          <w:tcPr>
            <w:tcW w:w="1548" w:type="dxa"/>
            <w:vAlign w:val="top"/>
          </w:tcPr>
          <w:p w14:paraId="450DF760" w14:textId="59F2EB26" w:rsidR="008B42E5" w:rsidRPr="008B42E5" w:rsidRDefault="008B42E5" w:rsidP="008B42E5">
            <w:pPr>
              <w:pStyle w:val="DHHStabletext"/>
            </w:pPr>
            <w:r w:rsidRPr="008B42E5">
              <w:rPr>
                <w:rFonts w:eastAsia="Verdana"/>
              </w:rPr>
              <w:t>26.8</w:t>
            </w:r>
          </w:p>
        </w:tc>
        <w:tc>
          <w:tcPr>
            <w:tcW w:w="1548" w:type="dxa"/>
            <w:vAlign w:val="top"/>
          </w:tcPr>
          <w:p w14:paraId="43D7E548" w14:textId="5733FEF3" w:rsidR="008B42E5" w:rsidRPr="008B42E5" w:rsidRDefault="008B42E5" w:rsidP="008B42E5">
            <w:pPr>
              <w:pStyle w:val="DHHStabletext"/>
            </w:pPr>
            <w:r w:rsidRPr="008B42E5">
              <w:rPr>
                <w:rFonts w:eastAsia="Verdana"/>
              </w:rPr>
              <w:t>33.0</w:t>
            </w:r>
          </w:p>
        </w:tc>
      </w:tr>
      <w:tr w:rsidR="008B42E5" w14:paraId="40C82330" w14:textId="77777777" w:rsidTr="008B42E5">
        <w:tc>
          <w:tcPr>
            <w:tcW w:w="1548" w:type="dxa"/>
            <w:vAlign w:val="top"/>
          </w:tcPr>
          <w:p w14:paraId="79276573" w14:textId="77777777" w:rsidR="008B42E5" w:rsidRPr="003650A0" w:rsidRDefault="008B42E5" w:rsidP="008B42E5">
            <w:pPr>
              <w:pStyle w:val="DHHStabletext"/>
              <w:rPr>
                <w:lang w:eastAsia="en-AU"/>
              </w:rPr>
            </w:pPr>
            <w:r>
              <w:rPr>
                <w:lang w:eastAsia="en-AU"/>
              </w:rPr>
              <w:t>Specialist</w:t>
            </w:r>
          </w:p>
        </w:tc>
        <w:tc>
          <w:tcPr>
            <w:tcW w:w="1548" w:type="dxa"/>
            <w:vAlign w:val="top"/>
          </w:tcPr>
          <w:p w14:paraId="776BF84A" w14:textId="00C88A92" w:rsidR="008B42E5" w:rsidRPr="008B42E5" w:rsidRDefault="008B42E5" w:rsidP="008B42E5">
            <w:pPr>
              <w:pStyle w:val="DHHStabletext"/>
            </w:pPr>
            <w:r w:rsidRPr="008B42E5">
              <w:rPr>
                <w:rFonts w:eastAsia="Verdana"/>
              </w:rPr>
              <w:t>0.5</w:t>
            </w:r>
          </w:p>
        </w:tc>
        <w:tc>
          <w:tcPr>
            <w:tcW w:w="1548" w:type="dxa"/>
            <w:vAlign w:val="top"/>
          </w:tcPr>
          <w:p w14:paraId="0421377B" w14:textId="2878B1CC" w:rsidR="008B42E5" w:rsidRPr="008B42E5" w:rsidRDefault="008B42E5" w:rsidP="008B42E5">
            <w:pPr>
              <w:pStyle w:val="DHHStabletext"/>
            </w:pPr>
            <w:r w:rsidRPr="008B42E5">
              <w:rPr>
                <w:rFonts w:eastAsia="Verdana"/>
              </w:rPr>
              <w:t>3.1</w:t>
            </w:r>
          </w:p>
        </w:tc>
        <w:tc>
          <w:tcPr>
            <w:tcW w:w="1548" w:type="dxa"/>
            <w:vAlign w:val="top"/>
          </w:tcPr>
          <w:p w14:paraId="095A2242" w14:textId="39499FC6" w:rsidR="008B42E5" w:rsidRPr="008B42E5" w:rsidRDefault="008B42E5" w:rsidP="008B42E5">
            <w:pPr>
              <w:pStyle w:val="DHHStabletext"/>
            </w:pPr>
            <w:r w:rsidRPr="008B42E5">
              <w:rPr>
                <w:rFonts w:eastAsia="Verdana"/>
              </w:rPr>
              <w:t>0.6</w:t>
            </w:r>
          </w:p>
        </w:tc>
        <w:tc>
          <w:tcPr>
            <w:tcW w:w="1548" w:type="dxa"/>
            <w:vAlign w:val="top"/>
          </w:tcPr>
          <w:p w14:paraId="61E0F6C5" w14:textId="58834AE7" w:rsidR="008B42E5" w:rsidRPr="008B42E5" w:rsidRDefault="008B42E5" w:rsidP="008B42E5">
            <w:pPr>
              <w:pStyle w:val="DHHStabletext"/>
            </w:pPr>
            <w:r w:rsidRPr="008B42E5">
              <w:rPr>
                <w:rFonts w:eastAsia="Verdana"/>
              </w:rPr>
              <w:t>0.4</w:t>
            </w:r>
          </w:p>
        </w:tc>
        <w:tc>
          <w:tcPr>
            <w:tcW w:w="1548" w:type="dxa"/>
            <w:vAlign w:val="top"/>
          </w:tcPr>
          <w:p w14:paraId="0E67D7A2" w14:textId="3FDD6B84" w:rsidR="008B42E5" w:rsidRPr="008B42E5" w:rsidRDefault="008B42E5" w:rsidP="008B42E5">
            <w:pPr>
              <w:pStyle w:val="DHHStabletext"/>
            </w:pPr>
            <w:r w:rsidRPr="008B42E5">
              <w:rPr>
                <w:rFonts w:eastAsia="Verdana"/>
              </w:rPr>
              <w:t>0.5</w:t>
            </w:r>
          </w:p>
        </w:tc>
      </w:tr>
      <w:tr w:rsidR="008B42E5" w14:paraId="4542E726" w14:textId="77777777" w:rsidTr="008B42E5">
        <w:tc>
          <w:tcPr>
            <w:tcW w:w="1548" w:type="dxa"/>
            <w:vAlign w:val="top"/>
          </w:tcPr>
          <w:p w14:paraId="58FAD143" w14:textId="77777777" w:rsidR="008B42E5" w:rsidRPr="00B96DA0" w:rsidRDefault="008B42E5" w:rsidP="008B42E5">
            <w:pPr>
              <w:pStyle w:val="DHHStabletext"/>
              <w:rPr>
                <w:b/>
                <w:bCs/>
              </w:rPr>
            </w:pPr>
            <w:r w:rsidRPr="00B96DA0">
              <w:rPr>
                <w:b/>
                <w:bCs/>
                <w:lang w:eastAsia="en-AU"/>
              </w:rPr>
              <w:t>Total</w:t>
            </w:r>
          </w:p>
        </w:tc>
        <w:tc>
          <w:tcPr>
            <w:tcW w:w="1548" w:type="dxa"/>
            <w:vAlign w:val="top"/>
          </w:tcPr>
          <w:p w14:paraId="293AD59A" w14:textId="2C727A80" w:rsidR="008B42E5" w:rsidRPr="00B96DA0" w:rsidRDefault="008B42E5" w:rsidP="008B42E5">
            <w:pPr>
              <w:pStyle w:val="DHHStabletext"/>
              <w:rPr>
                <w:b/>
                <w:bCs/>
              </w:rPr>
            </w:pPr>
            <w:r w:rsidRPr="00B96DA0">
              <w:rPr>
                <w:rFonts w:eastAsia="Verdana"/>
                <w:b/>
                <w:bCs/>
              </w:rPr>
              <w:t>9.2</w:t>
            </w:r>
          </w:p>
        </w:tc>
        <w:tc>
          <w:tcPr>
            <w:tcW w:w="1548" w:type="dxa"/>
            <w:vAlign w:val="top"/>
          </w:tcPr>
          <w:p w14:paraId="51213BC0" w14:textId="3ED24848" w:rsidR="008B42E5" w:rsidRPr="00B96DA0" w:rsidRDefault="008B42E5" w:rsidP="008B42E5">
            <w:pPr>
              <w:pStyle w:val="DHHStabletext"/>
              <w:rPr>
                <w:b/>
                <w:bCs/>
              </w:rPr>
            </w:pPr>
            <w:r w:rsidRPr="00B96DA0">
              <w:rPr>
                <w:rFonts w:eastAsia="Verdana"/>
                <w:b/>
                <w:bCs/>
              </w:rPr>
              <w:t>9.9</w:t>
            </w:r>
          </w:p>
        </w:tc>
        <w:tc>
          <w:tcPr>
            <w:tcW w:w="1548" w:type="dxa"/>
            <w:vAlign w:val="top"/>
          </w:tcPr>
          <w:p w14:paraId="02FE278B" w14:textId="242BCC72" w:rsidR="008B42E5" w:rsidRPr="00B96DA0" w:rsidRDefault="008B42E5" w:rsidP="008B42E5">
            <w:pPr>
              <w:pStyle w:val="DHHStabletext"/>
              <w:rPr>
                <w:b/>
                <w:bCs/>
              </w:rPr>
            </w:pPr>
            <w:r w:rsidRPr="00B96DA0">
              <w:rPr>
                <w:rFonts w:eastAsia="Verdana"/>
                <w:b/>
                <w:bCs/>
              </w:rPr>
              <w:t>9.7</w:t>
            </w:r>
          </w:p>
        </w:tc>
        <w:tc>
          <w:tcPr>
            <w:tcW w:w="1548" w:type="dxa"/>
            <w:vAlign w:val="top"/>
          </w:tcPr>
          <w:p w14:paraId="6B3FBD76" w14:textId="3F4F0688" w:rsidR="008B42E5" w:rsidRPr="00B96DA0" w:rsidRDefault="008B42E5" w:rsidP="008B42E5">
            <w:pPr>
              <w:pStyle w:val="DHHStabletext"/>
              <w:rPr>
                <w:b/>
                <w:bCs/>
              </w:rPr>
            </w:pPr>
            <w:r w:rsidRPr="00B96DA0">
              <w:rPr>
                <w:rFonts w:eastAsia="Verdana"/>
                <w:b/>
                <w:bCs/>
              </w:rPr>
              <w:t>8.5</w:t>
            </w:r>
          </w:p>
        </w:tc>
        <w:tc>
          <w:tcPr>
            <w:tcW w:w="1548" w:type="dxa"/>
            <w:vAlign w:val="top"/>
          </w:tcPr>
          <w:p w14:paraId="07543A08" w14:textId="55BA766F" w:rsidR="008B42E5" w:rsidRPr="00B96DA0" w:rsidRDefault="008B42E5" w:rsidP="008B42E5">
            <w:pPr>
              <w:pStyle w:val="DHHStabletext"/>
              <w:rPr>
                <w:b/>
                <w:bCs/>
              </w:rPr>
            </w:pPr>
            <w:r w:rsidRPr="00B96DA0">
              <w:rPr>
                <w:rFonts w:eastAsia="Verdana"/>
                <w:b/>
                <w:bCs/>
              </w:rPr>
              <w:t>9.6</w:t>
            </w:r>
          </w:p>
        </w:tc>
      </w:tr>
    </w:tbl>
    <w:p w14:paraId="6460659D" w14:textId="6C58029C" w:rsidR="008B42E5" w:rsidRDefault="008B42E5" w:rsidP="008B42E5">
      <w:pPr>
        <w:pStyle w:val="DHHStablecaption"/>
      </w:pPr>
      <w:r>
        <w:t>Table 1</w:t>
      </w:r>
      <w:r w:rsidR="006E3E09">
        <w:t>8</w:t>
      </w:r>
      <w:r w:rsidRPr="008D5F6F">
        <w:t>:</w:t>
      </w:r>
      <w:r>
        <w:t xml:space="preserve"> </w:t>
      </w:r>
      <w:r w:rsidRPr="008D5F6F">
        <w:t>Average inpatient seclusion duration (hours), 2015</w:t>
      </w:r>
      <w:r w:rsidR="00BA6AC1">
        <w:t>–</w:t>
      </w:r>
      <w:r w:rsidRPr="008D5F6F">
        <w:t xml:space="preserve">16 to </w:t>
      </w:r>
      <w:r>
        <w:t>2019–20</w:t>
      </w:r>
    </w:p>
    <w:tbl>
      <w:tblPr>
        <w:tblStyle w:val="MentalhealthARtablestyle"/>
        <w:tblW w:w="0" w:type="auto"/>
        <w:tblLook w:val="04A0" w:firstRow="1" w:lastRow="0" w:firstColumn="1" w:lastColumn="0" w:noHBand="0" w:noVBand="1"/>
      </w:tblPr>
      <w:tblGrid>
        <w:gridCol w:w="1548"/>
        <w:gridCol w:w="1548"/>
        <w:gridCol w:w="1548"/>
        <w:gridCol w:w="1548"/>
        <w:gridCol w:w="1548"/>
        <w:gridCol w:w="1548"/>
      </w:tblGrid>
      <w:tr w:rsidR="008B42E5" w14:paraId="79D51E73" w14:textId="77777777" w:rsidTr="008B42E5">
        <w:trPr>
          <w:cnfStyle w:val="100000000000" w:firstRow="1" w:lastRow="0" w:firstColumn="0" w:lastColumn="0" w:oddVBand="0" w:evenVBand="0" w:oddHBand="0" w:evenHBand="0" w:firstRowFirstColumn="0" w:firstRowLastColumn="0" w:lastRowFirstColumn="0" w:lastRowLastColumn="0"/>
          <w:tblHeader/>
        </w:trPr>
        <w:tc>
          <w:tcPr>
            <w:tcW w:w="1548" w:type="dxa"/>
            <w:vAlign w:val="top"/>
          </w:tcPr>
          <w:p w14:paraId="1C48F207" w14:textId="77777777" w:rsidR="008B42E5" w:rsidRDefault="008B42E5" w:rsidP="008B42E5">
            <w:pPr>
              <w:pStyle w:val="DHHStablecolhead"/>
            </w:pPr>
            <w:r w:rsidRPr="003650A0">
              <w:rPr>
                <w:b/>
                <w:lang w:eastAsia="en-AU"/>
              </w:rPr>
              <w:t>Population</w:t>
            </w:r>
          </w:p>
        </w:tc>
        <w:tc>
          <w:tcPr>
            <w:tcW w:w="1548" w:type="dxa"/>
            <w:vAlign w:val="top"/>
          </w:tcPr>
          <w:p w14:paraId="3579AF90" w14:textId="77777777" w:rsidR="008B42E5" w:rsidRDefault="008B42E5" w:rsidP="008B42E5">
            <w:pPr>
              <w:pStyle w:val="DHHStablecolhead"/>
            </w:pPr>
            <w:r w:rsidRPr="00B267D2">
              <w:rPr>
                <w:rFonts w:cs="Arial"/>
                <w:b/>
                <w:sz w:val="18"/>
                <w:szCs w:val="18"/>
              </w:rPr>
              <w:t>2015–16</w:t>
            </w:r>
          </w:p>
        </w:tc>
        <w:tc>
          <w:tcPr>
            <w:tcW w:w="1548" w:type="dxa"/>
            <w:vAlign w:val="top"/>
          </w:tcPr>
          <w:p w14:paraId="185109EC" w14:textId="77777777" w:rsidR="008B42E5" w:rsidRDefault="008B42E5" w:rsidP="008B42E5">
            <w:pPr>
              <w:pStyle w:val="DHHStablecolhead"/>
            </w:pPr>
            <w:r w:rsidRPr="00B267D2">
              <w:rPr>
                <w:rFonts w:cs="Arial"/>
                <w:b/>
                <w:sz w:val="18"/>
                <w:szCs w:val="18"/>
              </w:rPr>
              <w:t>2016–17</w:t>
            </w:r>
          </w:p>
        </w:tc>
        <w:tc>
          <w:tcPr>
            <w:tcW w:w="1548" w:type="dxa"/>
            <w:vAlign w:val="top"/>
          </w:tcPr>
          <w:p w14:paraId="77F657B5" w14:textId="77777777" w:rsidR="008B42E5" w:rsidRDefault="008B42E5" w:rsidP="008B42E5">
            <w:pPr>
              <w:pStyle w:val="DHHStablecolhead"/>
            </w:pPr>
            <w:r w:rsidRPr="00B267D2">
              <w:rPr>
                <w:rFonts w:cs="Arial"/>
                <w:b/>
                <w:sz w:val="18"/>
                <w:szCs w:val="18"/>
              </w:rPr>
              <w:t>2017–18</w:t>
            </w:r>
          </w:p>
        </w:tc>
        <w:tc>
          <w:tcPr>
            <w:tcW w:w="1548" w:type="dxa"/>
            <w:vAlign w:val="top"/>
          </w:tcPr>
          <w:p w14:paraId="408FA4B4" w14:textId="77777777" w:rsidR="008B42E5" w:rsidRDefault="008B42E5" w:rsidP="008B42E5">
            <w:pPr>
              <w:pStyle w:val="DHHStablecolhead"/>
            </w:pPr>
            <w:r w:rsidRPr="00B267D2">
              <w:rPr>
                <w:rFonts w:cs="Arial"/>
                <w:b/>
                <w:sz w:val="18"/>
                <w:szCs w:val="18"/>
              </w:rPr>
              <w:t>2018–19</w:t>
            </w:r>
          </w:p>
        </w:tc>
        <w:tc>
          <w:tcPr>
            <w:tcW w:w="1548" w:type="dxa"/>
            <w:vAlign w:val="top"/>
          </w:tcPr>
          <w:p w14:paraId="61AE613C" w14:textId="77777777" w:rsidR="008B42E5" w:rsidRDefault="008B42E5" w:rsidP="008B42E5">
            <w:pPr>
              <w:pStyle w:val="DHHStablecolhead"/>
            </w:pPr>
            <w:r w:rsidRPr="00B267D2">
              <w:rPr>
                <w:rFonts w:cs="Arial"/>
                <w:b/>
                <w:sz w:val="18"/>
                <w:szCs w:val="18"/>
              </w:rPr>
              <w:t>2019–20</w:t>
            </w:r>
          </w:p>
        </w:tc>
      </w:tr>
      <w:tr w:rsidR="008B42E5" w14:paraId="3E55C2FB" w14:textId="77777777" w:rsidTr="008B42E5">
        <w:tc>
          <w:tcPr>
            <w:tcW w:w="1548" w:type="dxa"/>
            <w:vAlign w:val="top"/>
          </w:tcPr>
          <w:p w14:paraId="7FFE11F1" w14:textId="77777777" w:rsidR="008B42E5" w:rsidRDefault="008B42E5" w:rsidP="008B42E5">
            <w:pPr>
              <w:pStyle w:val="DHHStabletext"/>
            </w:pPr>
            <w:r w:rsidRPr="003650A0">
              <w:rPr>
                <w:lang w:eastAsia="en-AU"/>
              </w:rPr>
              <w:t>Adult</w:t>
            </w:r>
          </w:p>
        </w:tc>
        <w:tc>
          <w:tcPr>
            <w:tcW w:w="1548" w:type="dxa"/>
            <w:vAlign w:val="top"/>
          </w:tcPr>
          <w:p w14:paraId="5103479B" w14:textId="3F701AAF" w:rsidR="008B42E5" w:rsidRPr="008B42E5" w:rsidRDefault="008B42E5" w:rsidP="008B42E5">
            <w:pPr>
              <w:pStyle w:val="DHHStabletext"/>
            </w:pPr>
            <w:r w:rsidRPr="008B42E5">
              <w:t>8.4</w:t>
            </w:r>
          </w:p>
        </w:tc>
        <w:tc>
          <w:tcPr>
            <w:tcW w:w="1548" w:type="dxa"/>
            <w:vAlign w:val="top"/>
          </w:tcPr>
          <w:p w14:paraId="05DEE54C" w14:textId="3C0F53EC" w:rsidR="008B42E5" w:rsidRPr="008B42E5" w:rsidRDefault="008B42E5" w:rsidP="008B42E5">
            <w:pPr>
              <w:pStyle w:val="DHHStabletext"/>
            </w:pPr>
            <w:r w:rsidRPr="008B42E5">
              <w:t>9.6</w:t>
            </w:r>
          </w:p>
        </w:tc>
        <w:tc>
          <w:tcPr>
            <w:tcW w:w="1548" w:type="dxa"/>
            <w:vAlign w:val="top"/>
          </w:tcPr>
          <w:p w14:paraId="530F3BDF" w14:textId="0A78EF8F" w:rsidR="008B42E5" w:rsidRPr="008B42E5" w:rsidRDefault="008B42E5" w:rsidP="008B42E5">
            <w:pPr>
              <w:pStyle w:val="DHHStabletext"/>
            </w:pPr>
            <w:r w:rsidRPr="008B42E5">
              <w:t>8.9</w:t>
            </w:r>
          </w:p>
        </w:tc>
        <w:tc>
          <w:tcPr>
            <w:tcW w:w="1548" w:type="dxa"/>
            <w:vAlign w:val="top"/>
          </w:tcPr>
          <w:p w14:paraId="0A78BABF" w14:textId="5A5F84CD" w:rsidR="008B42E5" w:rsidRPr="008B42E5" w:rsidRDefault="008B42E5" w:rsidP="008B42E5">
            <w:pPr>
              <w:pStyle w:val="DHHStabletext"/>
            </w:pPr>
            <w:r w:rsidRPr="008B42E5">
              <w:t>6.3</w:t>
            </w:r>
          </w:p>
        </w:tc>
        <w:tc>
          <w:tcPr>
            <w:tcW w:w="1548" w:type="dxa"/>
            <w:vAlign w:val="top"/>
          </w:tcPr>
          <w:p w14:paraId="54A0F7F8" w14:textId="6A97D3DD" w:rsidR="008B42E5" w:rsidRPr="008B42E5" w:rsidRDefault="008B42E5" w:rsidP="008B42E5">
            <w:pPr>
              <w:pStyle w:val="DHHStabletext"/>
            </w:pPr>
            <w:r w:rsidRPr="008B42E5">
              <w:t>6.0</w:t>
            </w:r>
          </w:p>
        </w:tc>
      </w:tr>
      <w:tr w:rsidR="008B42E5" w14:paraId="0AA0396F" w14:textId="77777777" w:rsidTr="008B42E5">
        <w:tc>
          <w:tcPr>
            <w:tcW w:w="1548" w:type="dxa"/>
            <w:vAlign w:val="top"/>
          </w:tcPr>
          <w:p w14:paraId="7B25E182" w14:textId="77777777" w:rsidR="008B42E5" w:rsidRDefault="008B42E5" w:rsidP="008B42E5">
            <w:pPr>
              <w:pStyle w:val="DHHStabletext"/>
            </w:pPr>
            <w:r w:rsidRPr="003650A0">
              <w:rPr>
                <w:lang w:eastAsia="en-AU"/>
              </w:rPr>
              <w:t>Aged</w:t>
            </w:r>
          </w:p>
        </w:tc>
        <w:tc>
          <w:tcPr>
            <w:tcW w:w="1548" w:type="dxa"/>
            <w:vAlign w:val="top"/>
          </w:tcPr>
          <w:p w14:paraId="77493F9E" w14:textId="088F5B3E" w:rsidR="008B42E5" w:rsidRPr="008B42E5" w:rsidRDefault="008B42E5" w:rsidP="008B42E5">
            <w:pPr>
              <w:pStyle w:val="DHHStabletext"/>
            </w:pPr>
            <w:r w:rsidRPr="008B42E5">
              <w:t>3.6</w:t>
            </w:r>
          </w:p>
        </w:tc>
        <w:tc>
          <w:tcPr>
            <w:tcW w:w="1548" w:type="dxa"/>
            <w:vAlign w:val="top"/>
          </w:tcPr>
          <w:p w14:paraId="501A994B" w14:textId="2753A381" w:rsidR="008B42E5" w:rsidRPr="008B42E5" w:rsidRDefault="008B42E5" w:rsidP="008B42E5">
            <w:pPr>
              <w:pStyle w:val="DHHStabletext"/>
            </w:pPr>
            <w:r w:rsidRPr="008B42E5">
              <w:t>5.0</w:t>
            </w:r>
          </w:p>
        </w:tc>
        <w:tc>
          <w:tcPr>
            <w:tcW w:w="1548" w:type="dxa"/>
            <w:vAlign w:val="top"/>
          </w:tcPr>
          <w:p w14:paraId="2777A6B1" w14:textId="777B1568" w:rsidR="008B42E5" w:rsidRPr="008B42E5" w:rsidRDefault="008B42E5" w:rsidP="008B42E5">
            <w:pPr>
              <w:pStyle w:val="DHHStabletext"/>
            </w:pPr>
            <w:r w:rsidRPr="008B42E5">
              <w:t>5.5</w:t>
            </w:r>
          </w:p>
        </w:tc>
        <w:tc>
          <w:tcPr>
            <w:tcW w:w="1548" w:type="dxa"/>
            <w:vAlign w:val="top"/>
          </w:tcPr>
          <w:p w14:paraId="3442A2FA" w14:textId="0C167074" w:rsidR="008B42E5" w:rsidRPr="008B42E5" w:rsidRDefault="008B42E5" w:rsidP="008B42E5">
            <w:pPr>
              <w:pStyle w:val="DHHStabletext"/>
            </w:pPr>
            <w:r w:rsidRPr="008B42E5">
              <w:t>4.4</w:t>
            </w:r>
          </w:p>
        </w:tc>
        <w:tc>
          <w:tcPr>
            <w:tcW w:w="1548" w:type="dxa"/>
            <w:vAlign w:val="top"/>
          </w:tcPr>
          <w:p w14:paraId="7B732004" w14:textId="09617CE1" w:rsidR="008B42E5" w:rsidRPr="008B42E5" w:rsidRDefault="008B42E5" w:rsidP="008B42E5">
            <w:pPr>
              <w:pStyle w:val="DHHStabletext"/>
            </w:pPr>
            <w:r w:rsidRPr="008B42E5">
              <w:t>6.5</w:t>
            </w:r>
          </w:p>
        </w:tc>
      </w:tr>
      <w:tr w:rsidR="008B42E5" w14:paraId="08FD09A0" w14:textId="77777777" w:rsidTr="008B42E5">
        <w:tc>
          <w:tcPr>
            <w:tcW w:w="1548" w:type="dxa"/>
            <w:vAlign w:val="top"/>
          </w:tcPr>
          <w:p w14:paraId="3FC81417" w14:textId="223120E9" w:rsidR="008B42E5" w:rsidRDefault="008B42E5" w:rsidP="008B42E5">
            <w:pPr>
              <w:pStyle w:val="DHHStabletext"/>
            </w:pPr>
            <w:r w:rsidRPr="003650A0">
              <w:rPr>
                <w:lang w:eastAsia="en-AU"/>
              </w:rPr>
              <w:t>C</w:t>
            </w:r>
            <w:r w:rsidR="00B0245B">
              <w:rPr>
                <w:lang w:eastAsia="en-AU"/>
              </w:rPr>
              <w:t>A</w:t>
            </w:r>
            <w:r w:rsidRPr="003650A0">
              <w:rPr>
                <w:lang w:eastAsia="en-AU"/>
              </w:rPr>
              <w:t>MHS</w:t>
            </w:r>
          </w:p>
        </w:tc>
        <w:tc>
          <w:tcPr>
            <w:tcW w:w="1548" w:type="dxa"/>
            <w:vAlign w:val="top"/>
          </w:tcPr>
          <w:p w14:paraId="79B79C1B" w14:textId="36BF839D" w:rsidR="008B42E5" w:rsidRPr="008B42E5" w:rsidRDefault="008B42E5" w:rsidP="008B42E5">
            <w:pPr>
              <w:pStyle w:val="DHHStabletext"/>
            </w:pPr>
            <w:r w:rsidRPr="008B42E5">
              <w:t>2.1</w:t>
            </w:r>
          </w:p>
        </w:tc>
        <w:tc>
          <w:tcPr>
            <w:tcW w:w="1548" w:type="dxa"/>
            <w:vAlign w:val="top"/>
          </w:tcPr>
          <w:p w14:paraId="13ECAB47" w14:textId="7921F068" w:rsidR="008B42E5" w:rsidRPr="008B42E5" w:rsidRDefault="008B42E5" w:rsidP="008B42E5">
            <w:pPr>
              <w:pStyle w:val="DHHStabletext"/>
            </w:pPr>
            <w:r w:rsidRPr="008B42E5">
              <w:t>1.1</w:t>
            </w:r>
          </w:p>
        </w:tc>
        <w:tc>
          <w:tcPr>
            <w:tcW w:w="1548" w:type="dxa"/>
            <w:vAlign w:val="top"/>
          </w:tcPr>
          <w:p w14:paraId="797372D2" w14:textId="6DEC9641" w:rsidR="008B42E5" w:rsidRPr="008B42E5" w:rsidRDefault="008B42E5" w:rsidP="008B42E5">
            <w:pPr>
              <w:pStyle w:val="DHHStabletext"/>
            </w:pPr>
            <w:r w:rsidRPr="008B42E5">
              <w:t>1.5</w:t>
            </w:r>
          </w:p>
        </w:tc>
        <w:tc>
          <w:tcPr>
            <w:tcW w:w="1548" w:type="dxa"/>
            <w:vAlign w:val="top"/>
          </w:tcPr>
          <w:p w14:paraId="5D08CCB0" w14:textId="351F3CB5" w:rsidR="008B42E5" w:rsidRPr="008B42E5" w:rsidRDefault="008B42E5" w:rsidP="008B42E5">
            <w:pPr>
              <w:pStyle w:val="DHHStabletext"/>
            </w:pPr>
            <w:r w:rsidRPr="008B42E5">
              <w:t>1.0</w:t>
            </w:r>
          </w:p>
        </w:tc>
        <w:tc>
          <w:tcPr>
            <w:tcW w:w="1548" w:type="dxa"/>
            <w:vAlign w:val="top"/>
          </w:tcPr>
          <w:p w14:paraId="35A15314" w14:textId="6E4662D9" w:rsidR="008B42E5" w:rsidRPr="008B42E5" w:rsidRDefault="008B42E5" w:rsidP="008B42E5">
            <w:pPr>
              <w:pStyle w:val="DHHStabletext"/>
            </w:pPr>
            <w:r w:rsidRPr="008B42E5">
              <w:t>3.2</w:t>
            </w:r>
          </w:p>
        </w:tc>
      </w:tr>
      <w:tr w:rsidR="008B42E5" w14:paraId="4A4C9E0F" w14:textId="77777777" w:rsidTr="008B42E5">
        <w:tc>
          <w:tcPr>
            <w:tcW w:w="1548" w:type="dxa"/>
            <w:vAlign w:val="top"/>
          </w:tcPr>
          <w:p w14:paraId="6E66ED0E" w14:textId="77777777" w:rsidR="008B42E5" w:rsidRPr="003650A0" w:rsidRDefault="008B42E5" w:rsidP="008B42E5">
            <w:pPr>
              <w:pStyle w:val="DHHStabletext"/>
              <w:rPr>
                <w:lang w:eastAsia="en-AU"/>
              </w:rPr>
            </w:pPr>
            <w:r>
              <w:rPr>
                <w:lang w:eastAsia="en-AU"/>
              </w:rPr>
              <w:t>Forensic</w:t>
            </w:r>
          </w:p>
        </w:tc>
        <w:tc>
          <w:tcPr>
            <w:tcW w:w="1548" w:type="dxa"/>
            <w:vAlign w:val="top"/>
          </w:tcPr>
          <w:p w14:paraId="7DA1192F" w14:textId="6457606F" w:rsidR="008B42E5" w:rsidRPr="008B42E5" w:rsidRDefault="008B42E5" w:rsidP="008B42E5">
            <w:pPr>
              <w:pStyle w:val="DHHStabletext"/>
            </w:pPr>
            <w:r w:rsidRPr="008B42E5">
              <w:t>99.9</w:t>
            </w:r>
          </w:p>
        </w:tc>
        <w:tc>
          <w:tcPr>
            <w:tcW w:w="1548" w:type="dxa"/>
            <w:vAlign w:val="top"/>
          </w:tcPr>
          <w:p w14:paraId="28501DE1" w14:textId="41AE11C8" w:rsidR="008B42E5" w:rsidRPr="008B42E5" w:rsidRDefault="008B42E5" w:rsidP="008B42E5">
            <w:pPr>
              <w:pStyle w:val="DHHStabletext"/>
            </w:pPr>
            <w:r w:rsidRPr="008B42E5">
              <w:t>52.2</w:t>
            </w:r>
          </w:p>
        </w:tc>
        <w:tc>
          <w:tcPr>
            <w:tcW w:w="1548" w:type="dxa"/>
            <w:vAlign w:val="top"/>
          </w:tcPr>
          <w:p w14:paraId="249719AE" w14:textId="16B0ECB8" w:rsidR="008B42E5" w:rsidRPr="008B42E5" w:rsidRDefault="008B42E5" w:rsidP="008B42E5">
            <w:pPr>
              <w:pStyle w:val="DHHStabletext"/>
            </w:pPr>
            <w:r w:rsidRPr="008B42E5">
              <w:t>48.5</w:t>
            </w:r>
          </w:p>
        </w:tc>
        <w:tc>
          <w:tcPr>
            <w:tcW w:w="1548" w:type="dxa"/>
            <w:vAlign w:val="top"/>
          </w:tcPr>
          <w:p w14:paraId="53C0F2FD" w14:textId="776BE823" w:rsidR="008B42E5" w:rsidRPr="008B42E5" w:rsidRDefault="008B42E5" w:rsidP="008B42E5">
            <w:pPr>
              <w:pStyle w:val="DHHStabletext"/>
            </w:pPr>
            <w:r w:rsidRPr="008B42E5">
              <w:t>81.4</w:t>
            </w:r>
          </w:p>
        </w:tc>
        <w:tc>
          <w:tcPr>
            <w:tcW w:w="1548" w:type="dxa"/>
            <w:vAlign w:val="top"/>
          </w:tcPr>
          <w:p w14:paraId="2C36B864" w14:textId="2B959C17" w:rsidR="008B42E5" w:rsidRPr="008B42E5" w:rsidRDefault="008B42E5" w:rsidP="008B42E5">
            <w:pPr>
              <w:pStyle w:val="DHHStabletext"/>
            </w:pPr>
            <w:r w:rsidRPr="008B42E5">
              <w:t>40.5</w:t>
            </w:r>
          </w:p>
        </w:tc>
      </w:tr>
      <w:tr w:rsidR="008B42E5" w14:paraId="0926CA2C" w14:textId="77777777" w:rsidTr="008B42E5">
        <w:tc>
          <w:tcPr>
            <w:tcW w:w="1548" w:type="dxa"/>
            <w:vAlign w:val="top"/>
          </w:tcPr>
          <w:p w14:paraId="78587518" w14:textId="77777777" w:rsidR="008B42E5" w:rsidRPr="003650A0" w:rsidRDefault="008B42E5" w:rsidP="008B42E5">
            <w:pPr>
              <w:pStyle w:val="DHHStabletext"/>
              <w:rPr>
                <w:lang w:eastAsia="en-AU"/>
              </w:rPr>
            </w:pPr>
            <w:r>
              <w:rPr>
                <w:lang w:eastAsia="en-AU"/>
              </w:rPr>
              <w:t>Specialist</w:t>
            </w:r>
          </w:p>
        </w:tc>
        <w:tc>
          <w:tcPr>
            <w:tcW w:w="1548" w:type="dxa"/>
            <w:vAlign w:val="top"/>
          </w:tcPr>
          <w:p w14:paraId="74911D24" w14:textId="67315548" w:rsidR="008B42E5" w:rsidRPr="008B42E5" w:rsidRDefault="008B42E5" w:rsidP="008B42E5">
            <w:pPr>
              <w:pStyle w:val="DHHStabletext"/>
            </w:pPr>
            <w:r w:rsidRPr="008B42E5">
              <w:t>144.6</w:t>
            </w:r>
          </w:p>
        </w:tc>
        <w:tc>
          <w:tcPr>
            <w:tcW w:w="1548" w:type="dxa"/>
            <w:vAlign w:val="top"/>
          </w:tcPr>
          <w:p w14:paraId="7E17DEFE" w14:textId="57153BA5" w:rsidR="008B42E5" w:rsidRPr="008B42E5" w:rsidRDefault="008B42E5" w:rsidP="008B42E5">
            <w:pPr>
              <w:pStyle w:val="DHHStabletext"/>
            </w:pPr>
            <w:r w:rsidRPr="008B42E5">
              <w:t>94.6</w:t>
            </w:r>
          </w:p>
        </w:tc>
        <w:tc>
          <w:tcPr>
            <w:tcW w:w="1548" w:type="dxa"/>
            <w:vAlign w:val="top"/>
          </w:tcPr>
          <w:p w14:paraId="74D2AC48" w14:textId="1E75B1F7" w:rsidR="008B42E5" w:rsidRPr="008B42E5" w:rsidRDefault="008B42E5" w:rsidP="008B42E5">
            <w:pPr>
              <w:pStyle w:val="DHHStabletext"/>
            </w:pPr>
            <w:r w:rsidRPr="008B42E5">
              <w:t>9.4</w:t>
            </w:r>
          </w:p>
        </w:tc>
        <w:tc>
          <w:tcPr>
            <w:tcW w:w="1548" w:type="dxa"/>
            <w:vAlign w:val="top"/>
          </w:tcPr>
          <w:p w14:paraId="512849A8" w14:textId="3E9C064D" w:rsidR="008B42E5" w:rsidRPr="008B42E5" w:rsidRDefault="008B42E5" w:rsidP="008B42E5">
            <w:pPr>
              <w:pStyle w:val="DHHStabletext"/>
            </w:pPr>
            <w:r w:rsidRPr="008B42E5">
              <w:t>2.3</w:t>
            </w:r>
          </w:p>
        </w:tc>
        <w:tc>
          <w:tcPr>
            <w:tcW w:w="1548" w:type="dxa"/>
            <w:vAlign w:val="top"/>
          </w:tcPr>
          <w:p w14:paraId="119E837B" w14:textId="625884E0" w:rsidR="008B42E5" w:rsidRPr="008B42E5" w:rsidRDefault="008B42E5" w:rsidP="008B42E5">
            <w:pPr>
              <w:pStyle w:val="DHHStabletext"/>
            </w:pPr>
            <w:r w:rsidRPr="008B42E5">
              <w:t>3.8</w:t>
            </w:r>
          </w:p>
        </w:tc>
      </w:tr>
      <w:tr w:rsidR="008B42E5" w14:paraId="41A75A50" w14:textId="77777777" w:rsidTr="008B42E5">
        <w:tc>
          <w:tcPr>
            <w:tcW w:w="1548" w:type="dxa"/>
            <w:vAlign w:val="top"/>
          </w:tcPr>
          <w:p w14:paraId="3026AE36" w14:textId="77777777" w:rsidR="008B42E5" w:rsidRPr="00B96DA0" w:rsidRDefault="008B42E5" w:rsidP="008B42E5">
            <w:pPr>
              <w:pStyle w:val="DHHStabletext"/>
              <w:rPr>
                <w:b/>
                <w:bCs/>
              </w:rPr>
            </w:pPr>
            <w:r w:rsidRPr="00B96DA0">
              <w:rPr>
                <w:b/>
                <w:bCs/>
                <w:lang w:eastAsia="en-AU"/>
              </w:rPr>
              <w:t>Total</w:t>
            </w:r>
          </w:p>
        </w:tc>
        <w:tc>
          <w:tcPr>
            <w:tcW w:w="1548" w:type="dxa"/>
            <w:vAlign w:val="top"/>
          </w:tcPr>
          <w:p w14:paraId="56F6183F" w14:textId="6C7421E5" w:rsidR="008B42E5" w:rsidRPr="00B96DA0" w:rsidRDefault="008B42E5" w:rsidP="008B42E5">
            <w:pPr>
              <w:pStyle w:val="DHHStabletext"/>
              <w:rPr>
                <w:b/>
                <w:bCs/>
              </w:rPr>
            </w:pPr>
            <w:r w:rsidRPr="00B96DA0">
              <w:rPr>
                <w:b/>
                <w:bCs/>
              </w:rPr>
              <w:t>16.4</w:t>
            </w:r>
          </w:p>
        </w:tc>
        <w:tc>
          <w:tcPr>
            <w:tcW w:w="1548" w:type="dxa"/>
            <w:vAlign w:val="top"/>
          </w:tcPr>
          <w:p w14:paraId="3A0CFF6E" w14:textId="7FE3B837" w:rsidR="008B42E5" w:rsidRPr="00B96DA0" w:rsidRDefault="008B42E5" w:rsidP="008B42E5">
            <w:pPr>
              <w:pStyle w:val="DHHStabletext"/>
              <w:rPr>
                <w:b/>
                <w:bCs/>
              </w:rPr>
            </w:pPr>
            <w:r w:rsidRPr="00B96DA0">
              <w:rPr>
                <w:b/>
                <w:bCs/>
              </w:rPr>
              <w:t>17.4</w:t>
            </w:r>
          </w:p>
        </w:tc>
        <w:tc>
          <w:tcPr>
            <w:tcW w:w="1548" w:type="dxa"/>
            <w:vAlign w:val="top"/>
          </w:tcPr>
          <w:p w14:paraId="1FAFF0EF" w14:textId="6AC52DAF" w:rsidR="008B42E5" w:rsidRPr="00B96DA0" w:rsidRDefault="008B42E5" w:rsidP="008B42E5">
            <w:pPr>
              <w:pStyle w:val="DHHStabletext"/>
              <w:rPr>
                <w:b/>
                <w:bCs/>
              </w:rPr>
            </w:pPr>
            <w:r w:rsidRPr="00B96DA0">
              <w:rPr>
                <w:b/>
                <w:bCs/>
              </w:rPr>
              <w:t>16.7</w:t>
            </w:r>
          </w:p>
        </w:tc>
        <w:tc>
          <w:tcPr>
            <w:tcW w:w="1548" w:type="dxa"/>
            <w:vAlign w:val="top"/>
          </w:tcPr>
          <w:p w14:paraId="3BBACFB9" w14:textId="3FF60726" w:rsidR="008B42E5" w:rsidRPr="00B96DA0" w:rsidRDefault="008B42E5" w:rsidP="008B42E5">
            <w:pPr>
              <w:pStyle w:val="DHHStabletext"/>
              <w:rPr>
                <w:b/>
                <w:bCs/>
              </w:rPr>
            </w:pPr>
            <w:r w:rsidRPr="00B96DA0">
              <w:rPr>
                <w:b/>
                <w:bCs/>
              </w:rPr>
              <w:t>20.0</w:t>
            </w:r>
          </w:p>
        </w:tc>
        <w:tc>
          <w:tcPr>
            <w:tcW w:w="1548" w:type="dxa"/>
            <w:vAlign w:val="top"/>
          </w:tcPr>
          <w:p w14:paraId="08BFD051" w14:textId="44453BD9" w:rsidR="008B42E5" w:rsidRPr="00B96DA0" w:rsidRDefault="008B42E5" w:rsidP="008B42E5">
            <w:pPr>
              <w:pStyle w:val="DHHStabletext"/>
              <w:rPr>
                <w:b/>
                <w:bCs/>
              </w:rPr>
            </w:pPr>
            <w:r w:rsidRPr="00B96DA0">
              <w:rPr>
                <w:b/>
                <w:bCs/>
              </w:rPr>
              <w:t>13.8</w:t>
            </w:r>
          </w:p>
        </w:tc>
      </w:tr>
    </w:tbl>
    <w:p w14:paraId="7346683B" w14:textId="77777777" w:rsidR="008B42E5" w:rsidRDefault="008B42E5" w:rsidP="00A520EE">
      <w:pPr>
        <w:pStyle w:val="DHHSbody"/>
        <w:rPr>
          <w:color w:val="201547"/>
          <w:sz w:val="44"/>
          <w:szCs w:val="44"/>
        </w:rPr>
      </w:pPr>
      <w:r>
        <w:br w:type="page"/>
      </w:r>
    </w:p>
    <w:p w14:paraId="1175B9C0" w14:textId="5BA3A06D" w:rsidR="00CC7040" w:rsidRPr="00E06100" w:rsidRDefault="004A26FB" w:rsidP="00B267D2">
      <w:pPr>
        <w:pStyle w:val="Heading1"/>
      </w:pPr>
      <w:bookmarkStart w:id="32" w:name="_Toc55379407"/>
      <w:r>
        <w:t>Appendix 1</w:t>
      </w:r>
      <w:r w:rsidR="0054787A">
        <w:t>:</w:t>
      </w:r>
      <w:r w:rsidR="00CC7040">
        <w:t xml:space="preserve"> </w:t>
      </w:r>
      <w:r w:rsidR="00CC7040">
        <w:rPr>
          <w:rStyle w:val="normaltextrun"/>
        </w:rPr>
        <w:t xml:space="preserve">Mental health reporting based on </w:t>
      </w:r>
      <w:r w:rsidR="00CC662F">
        <w:rPr>
          <w:rStyle w:val="normaltextrun"/>
        </w:rPr>
        <w:t xml:space="preserve">the </w:t>
      </w:r>
      <w:r w:rsidR="00CC7040">
        <w:rPr>
          <w:rStyle w:val="normaltextrun"/>
        </w:rPr>
        <w:t>outcomes framework</w:t>
      </w:r>
      <w:bookmarkEnd w:id="32"/>
      <w:r w:rsidR="00CC7040" w:rsidRPr="00E06100">
        <w:rPr>
          <w:rStyle w:val="eop"/>
        </w:rPr>
        <w:t> </w:t>
      </w:r>
    </w:p>
    <w:p w14:paraId="6C63ADB3" w14:textId="6D274C61" w:rsidR="00CC7040" w:rsidRDefault="00CC7040" w:rsidP="00CC7040">
      <w:pPr>
        <w:pStyle w:val="DHHSbody"/>
        <w:rPr>
          <w:rStyle w:val="eop"/>
        </w:rPr>
      </w:pPr>
      <w:r w:rsidRPr="00D73EB5">
        <w:rPr>
          <w:rStyle w:val="normaltextrun"/>
        </w:rPr>
        <w:t>The outcomes framework, and its indicators, measure and monitor how our programs and services are contributing to improved outcomes for people with mental illness. The framework is intended to be dynamic, but unfortunately this year it has not been possible to add new indicators or update data on all the existing indicators. The</w:t>
      </w:r>
      <w:r w:rsidR="00392D2A">
        <w:rPr>
          <w:rStyle w:val="normaltextrun"/>
        </w:rPr>
        <w:t xml:space="preserve"> coronavirus</w:t>
      </w:r>
      <w:r w:rsidRPr="00D73EB5">
        <w:rPr>
          <w:rStyle w:val="normaltextrun"/>
        </w:rPr>
        <w:t> </w:t>
      </w:r>
      <w:r w:rsidR="00392D2A">
        <w:rPr>
          <w:rStyle w:val="normaltextrun"/>
        </w:rPr>
        <w:t>(</w:t>
      </w:r>
      <w:r w:rsidRPr="00D73EB5">
        <w:rPr>
          <w:rStyle w:val="normaltextrun"/>
        </w:rPr>
        <w:t>COVID-19</w:t>
      </w:r>
      <w:r w:rsidR="00392D2A">
        <w:rPr>
          <w:rStyle w:val="normaltextrun"/>
        </w:rPr>
        <w:t>)</w:t>
      </w:r>
      <w:r w:rsidRPr="00D73EB5">
        <w:rPr>
          <w:rStyle w:val="normaltextrun"/>
        </w:rPr>
        <w:t> pandemic has affected the delivery of some surveys, and the capacity of departments and services to undertake new developmental work on indicators has been reduced.</w:t>
      </w:r>
      <w:r w:rsidRPr="00D73EB5">
        <w:rPr>
          <w:rStyle w:val="eop"/>
        </w:rPr>
        <w:t> </w:t>
      </w:r>
    </w:p>
    <w:p w14:paraId="470B99A6" w14:textId="6A13433B" w:rsidR="00CC7040" w:rsidRDefault="00CC7040" w:rsidP="00B267D2">
      <w:pPr>
        <w:pStyle w:val="Heading2"/>
        <w:rPr>
          <w:rStyle w:val="eop"/>
        </w:rPr>
      </w:pPr>
      <w:bookmarkStart w:id="33" w:name="_Toc55379408"/>
      <w:r>
        <w:rPr>
          <w:rStyle w:val="eop"/>
        </w:rPr>
        <w:t>Domain</w:t>
      </w:r>
      <w:r w:rsidR="00EA190C">
        <w:rPr>
          <w:rStyle w:val="eop"/>
        </w:rPr>
        <w:t xml:space="preserve"> 1</w:t>
      </w:r>
      <w:r>
        <w:rPr>
          <w:rStyle w:val="eop"/>
        </w:rPr>
        <w:t>: Victorians have good mental health and wellbeing</w:t>
      </w:r>
      <w:bookmarkEnd w:id="33"/>
    </w:p>
    <w:p w14:paraId="23124541" w14:textId="77777777" w:rsidR="00CC7040" w:rsidRDefault="00CC7040" w:rsidP="00B267D2">
      <w:pPr>
        <w:pStyle w:val="Heading3"/>
        <w:rPr>
          <w:lang w:eastAsia="en-AU"/>
        </w:rPr>
      </w:pPr>
      <w:r>
        <w:rPr>
          <w:rStyle w:val="eop"/>
        </w:rPr>
        <w:t xml:space="preserve">Outcome 1: Victorians have </w:t>
      </w:r>
      <w:r w:rsidRPr="00BB180B">
        <w:rPr>
          <w:lang w:eastAsia="en-AU"/>
        </w:rPr>
        <w:t>good mental health and wellbeing at all ages and stages of life</w:t>
      </w:r>
      <w:r>
        <w:rPr>
          <w:lang w:eastAsia="en-AU"/>
        </w:rPr>
        <w:t xml:space="preserve">, and Outcome 2: </w:t>
      </w:r>
      <w:r w:rsidRPr="00BB180B">
        <w:rPr>
          <w:lang w:eastAsia="en-AU"/>
        </w:rPr>
        <w:t>The gap in mental health and wellbeing for at-risk groups is reduced</w:t>
      </w:r>
    </w:p>
    <w:p w14:paraId="0EF7A130" w14:textId="73182C7E" w:rsidR="00CC7040" w:rsidRDefault="00CC7040" w:rsidP="00CC7040">
      <w:pPr>
        <w:pStyle w:val="DHHSbody"/>
        <w:rPr>
          <w:rStyle w:val="eop"/>
        </w:rPr>
      </w:pPr>
      <w:r>
        <w:rPr>
          <w:rStyle w:val="normaltextrun"/>
        </w:rPr>
        <w:t>Data for outcomes 1 and 2 is drawn</w:t>
      </w:r>
      <w:r w:rsidRPr="00402A6B">
        <w:rPr>
          <w:rStyle w:val="normaltextrun"/>
        </w:rPr>
        <w:t xml:space="preserve"> from the 2018 Victorian Population Health Survey (VPHS)</w:t>
      </w:r>
      <w:r>
        <w:rPr>
          <w:rStyle w:val="normaltextrun"/>
        </w:rPr>
        <w:t xml:space="preserve"> and reflects the wellbeing of Victorians prior to the </w:t>
      </w:r>
      <w:r w:rsidR="00E51317">
        <w:rPr>
          <w:rStyle w:val="normaltextrun"/>
        </w:rPr>
        <w:t>coronavirus (COVID-19)</w:t>
      </w:r>
      <w:r>
        <w:rPr>
          <w:rStyle w:val="normaltextrun"/>
        </w:rPr>
        <w:t xml:space="preserve"> pandemic</w:t>
      </w:r>
      <w:r w:rsidRPr="00402A6B">
        <w:rPr>
          <w:rStyle w:val="normaltextrun"/>
        </w:rPr>
        <w:t>. About every three years, the survey runs a larger sample size of some 34,000 Victorians. This enables data analysis at the local government level and for some subpopulations. The 2017 survey was a large sample year</w:t>
      </w:r>
      <w:r w:rsidR="00E97007">
        <w:rPr>
          <w:rStyle w:val="normaltextrun"/>
        </w:rPr>
        <w:t>;</w:t>
      </w:r>
      <w:r w:rsidRPr="00402A6B">
        <w:rPr>
          <w:rStyle w:val="normaltextrun"/>
        </w:rPr>
        <w:t xml:space="preserve"> however</w:t>
      </w:r>
      <w:r w:rsidR="00E97007">
        <w:rPr>
          <w:rStyle w:val="normaltextrun"/>
        </w:rPr>
        <w:t>,</w:t>
      </w:r>
      <w:r>
        <w:rPr>
          <w:rStyle w:val="normaltextrun"/>
        </w:rPr>
        <w:t xml:space="preserve"> </w:t>
      </w:r>
      <w:r w:rsidRPr="00402A6B">
        <w:rPr>
          <w:rStyle w:val="normaltextrun"/>
        </w:rPr>
        <w:t>2018 was not.</w:t>
      </w:r>
      <w:r w:rsidRPr="00402A6B">
        <w:rPr>
          <w:rStyle w:val="eop"/>
        </w:rPr>
        <w:t> </w:t>
      </w:r>
    </w:p>
    <w:p w14:paraId="4CEF685B" w14:textId="69374D2D" w:rsidR="00CC7040" w:rsidRDefault="00CC7040" w:rsidP="00CC7040">
      <w:pPr>
        <w:pStyle w:val="DHHSbody"/>
        <w:rPr>
          <w:rStyle w:val="normaltextrun"/>
        </w:rPr>
      </w:pPr>
      <w:r w:rsidRPr="00402A6B">
        <w:rPr>
          <w:rStyle w:val="normaltextrun"/>
        </w:rPr>
        <w:t xml:space="preserve">The </w:t>
      </w:r>
      <w:r>
        <w:rPr>
          <w:rStyle w:val="normaltextrun"/>
        </w:rPr>
        <w:t>VPHS</w:t>
      </w:r>
      <w:r w:rsidRPr="00402A6B">
        <w:rPr>
          <w:rStyle w:val="normaltextrun"/>
        </w:rPr>
        <w:t xml:space="preserve"> data show</w:t>
      </w:r>
      <w:r>
        <w:rPr>
          <w:rStyle w:val="normaltextrun"/>
        </w:rPr>
        <w:t>ed</w:t>
      </w:r>
      <w:r w:rsidRPr="00402A6B">
        <w:rPr>
          <w:rStyle w:val="normaltextrun"/>
        </w:rPr>
        <w:t xml:space="preserve"> that levels of psychological distress vary among different population groups. Older people (65+ years of age) continue</w:t>
      </w:r>
      <w:r>
        <w:rPr>
          <w:rStyle w:val="normaltextrun"/>
        </w:rPr>
        <w:t>d</w:t>
      </w:r>
      <w:r w:rsidRPr="00402A6B">
        <w:rPr>
          <w:rStyle w:val="normaltextrun"/>
        </w:rPr>
        <w:t xml:space="preserve"> to report significantly lower levels (9.2 per cent) of high or very high psychological distress compared with the proportion in all adults (15.0</w:t>
      </w:r>
      <w:r>
        <w:rPr>
          <w:rStyle w:val="normaltextrun"/>
        </w:rPr>
        <w:t xml:space="preserve"> per cent</w:t>
      </w:r>
      <w:r w:rsidRPr="00402A6B">
        <w:rPr>
          <w:rStyle w:val="normaltextrun"/>
        </w:rPr>
        <w:t>). The proportion of adults with high or very high levels of psychological distress was not significantly different in people who spoke a language other than English at home (13.8 per cent) or rural Victorians (17.1 per cent). However, the proportion of adults with high or very high levels of psychological distress was significantly higher in the Aboriginal subpopulation compared with the proportion in all adults, at 30.3 per cent. This show</w:t>
      </w:r>
      <w:r>
        <w:rPr>
          <w:rStyle w:val="normaltextrun"/>
        </w:rPr>
        <w:t>ed</w:t>
      </w:r>
      <w:r w:rsidRPr="00402A6B">
        <w:rPr>
          <w:rStyle w:val="normaltextrun"/>
        </w:rPr>
        <w:t xml:space="preserve"> an increase of 5.3 per cent over </w:t>
      </w:r>
      <w:r w:rsidR="00E97007">
        <w:rPr>
          <w:rStyle w:val="normaltextrun"/>
        </w:rPr>
        <w:t xml:space="preserve">12 </w:t>
      </w:r>
      <w:r w:rsidRPr="00402A6B">
        <w:rPr>
          <w:rStyle w:val="normaltextrun"/>
        </w:rPr>
        <w:t>months</w:t>
      </w:r>
      <w:r w:rsidR="00377102">
        <w:rPr>
          <w:rStyle w:val="normaltextrun"/>
        </w:rPr>
        <w:t>;</w:t>
      </w:r>
      <w:r>
        <w:rPr>
          <w:rStyle w:val="normaltextrun"/>
        </w:rPr>
        <w:t xml:space="preserve"> however</w:t>
      </w:r>
      <w:r w:rsidR="00E97007">
        <w:rPr>
          <w:rStyle w:val="normaltextrun"/>
        </w:rPr>
        <w:t>,</w:t>
      </w:r>
      <w:r>
        <w:rPr>
          <w:rStyle w:val="normaltextrun"/>
        </w:rPr>
        <w:t xml:space="preserve"> the difference was not statistically significant.</w:t>
      </w:r>
      <w:r w:rsidRPr="00402A6B">
        <w:rPr>
          <w:rStyle w:val="normaltextrun"/>
        </w:rPr>
        <w:t xml:space="preserve"> Questions relating to LGBTIQ+ Victorians were not included </w:t>
      </w:r>
      <w:r>
        <w:rPr>
          <w:rStyle w:val="normaltextrun"/>
        </w:rPr>
        <w:t>in the 2018 VPHS survey</w:t>
      </w:r>
      <w:r w:rsidRPr="00402A6B">
        <w:rPr>
          <w:rStyle w:val="normaltextrun"/>
        </w:rPr>
        <w:t>. </w:t>
      </w:r>
    </w:p>
    <w:p w14:paraId="1783548F" w14:textId="77777777" w:rsidR="00CC7040" w:rsidRPr="00F17C22" w:rsidRDefault="00CC7040" w:rsidP="00F17C22">
      <w:pPr>
        <w:pStyle w:val="Heading4"/>
        <w:rPr>
          <w:rStyle w:val="normaltextrun"/>
        </w:rPr>
      </w:pPr>
      <w:r w:rsidRPr="00F17C22">
        <w:rPr>
          <w:rStyle w:val="normaltextrun"/>
        </w:rPr>
        <w:t>Indicators for Outcome 1</w:t>
      </w:r>
    </w:p>
    <w:tbl>
      <w:tblPr>
        <w:tblStyle w:val="MentalhealthARtablestyle"/>
        <w:tblW w:w="0" w:type="auto"/>
        <w:tblLook w:val="04A0" w:firstRow="1" w:lastRow="0" w:firstColumn="1" w:lastColumn="0" w:noHBand="0" w:noVBand="1"/>
      </w:tblPr>
      <w:tblGrid>
        <w:gridCol w:w="1695"/>
        <w:gridCol w:w="1228"/>
        <w:gridCol w:w="1401"/>
        <w:gridCol w:w="1128"/>
        <w:gridCol w:w="1131"/>
        <w:gridCol w:w="1135"/>
        <w:gridCol w:w="1298"/>
      </w:tblGrid>
      <w:tr w:rsidR="00CC7040" w:rsidRPr="008F7636" w14:paraId="38F37858" w14:textId="77777777" w:rsidTr="0054787A">
        <w:trPr>
          <w:cnfStyle w:val="100000000000" w:firstRow="1" w:lastRow="0" w:firstColumn="0" w:lastColumn="0" w:oddVBand="0" w:evenVBand="0" w:oddHBand="0" w:evenHBand="0" w:firstRowFirstColumn="0" w:firstRowLastColumn="0" w:lastRowFirstColumn="0" w:lastRowLastColumn="0"/>
          <w:tblHeader/>
        </w:trPr>
        <w:tc>
          <w:tcPr>
            <w:tcW w:w="1695" w:type="dxa"/>
          </w:tcPr>
          <w:p w14:paraId="244FC233" w14:textId="09989636" w:rsidR="00CC7040" w:rsidRPr="005D3F48" w:rsidRDefault="00CC7040" w:rsidP="0054787A">
            <w:pPr>
              <w:pStyle w:val="DHHStablecolhead"/>
              <w:rPr>
                <w:b/>
                <w:bCs/>
                <w:sz w:val="18"/>
                <w:szCs w:val="18"/>
              </w:rPr>
            </w:pPr>
            <w:r w:rsidRPr="005D3F48">
              <w:rPr>
                <w:b/>
                <w:bCs/>
                <w:sz w:val="18"/>
                <w:szCs w:val="18"/>
              </w:rPr>
              <w:t xml:space="preserve">Indicator </w:t>
            </w:r>
          </w:p>
        </w:tc>
        <w:tc>
          <w:tcPr>
            <w:tcW w:w="1228" w:type="dxa"/>
          </w:tcPr>
          <w:p w14:paraId="22D9E69C" w14:textId="77777777" w:rsidR="00CC7040" w:rsidRPr="005D3F48" w:rsidRDefault="00CC7040" w:rsidP="0054787A">
            <w:pPr>
              <w:pStyle w:val="DHHStablecolhead"/>
              <w:rPr>
                <w:b/>
                <w:bCs/>
                <w:sz w:val="18"/>
                <w:szCs w:val="18"/>
              </w:rPr>
            </w:pPr>
            <w:r w:rsidRPr="005D3F48">
              <w:rPr>
                <w:b/>
                <w:bCs/>
                <w:sz w:val="18"/>
                <w:szCs w:val="18"/>
              </w:rPr>
              <w:t>Reference</w:t>
            </w:r>
          </w:p>
          <w:p w14:paraId="1C70BE79" w14:textId="77777777" w:rsidR="00CC7040" w:rsidRPr="005D3F48" w:rsidRDefault="00CC7040" w:rsidP="0054787A">
            <w:pPr>
              <w:pStyle w:val="DHHStablecolhead"/>
              <w:rPr>
                <w:b/>
                <w:bCs/>
                <w:sz w:val="18"/>
                <w:szCs w:val="18"/>
              </w:rPr>
            </w:pPr>
            <w:r w:rsidRPr="005D3F48">
              <w:rPr>
                <w:b/>
                <w:bCs/>
                <w:sz w:val="18"/>
                <w:szCs w:val="18"/>
              </w:rPr>
              <w:t>year</w:t>
            </w:r>
          </w:p>
        </w:tc>
        <w:tc>
          <w:tcPr>
            <w:tcW w:w="1401" w:type="dxa"/>
          </w:tcPr>
          <w:p w14:paraId="2C47EC98" w14:textId="77777777" w:rsidR="00CC7040" w:rsidRPr="005D3F48" w:rsidRDefault="00CC7040" w:rsidP="0054787A">
            <w:pPr>
              <w:pStyle w:val="DHHStablecolhead"/>
              <w:rPr>
                <w:b/>
                <w:bCs/>
                <w:sz w:val="18"/>
                <w:szCs w:val="18"/>
              </w:rPr>
            </w:pPr>
            <w:r w:rsidRPr="005D3F48">
              <w:rPr>
                <w:b/>
                <w:bCs/>
                <w:sz w:val="18"/>
                <w:szCs w:val="18"/>
              </w:rPr>
              <w:t>Four years prior</w:t>
            </w:r>
          </w:p>
        </w:tc>
        <w:tc>
          <w:tcPr>
            <w:tcW w:w="1128" w:type="dxa"/>
          </w:tcPr>
          <w:p w14:paraId="5E4C4561" w14:textId="77777777" w:rsidR="00CC7040" w:rsidRPr="005D3F48" w:rsidRDefault="00CC7040" w:rsidP="0054787A">
            <w:pPr>
              <w:pStyle w:val="DHHStablecolhead"/>
              <w:rPr>
                <w:b/>
                <w:bCs/>
                <w:sz w:val="18"/>
                <w:szCs w:val="18"/>
              </w:rPr>
            </w:pPr>
            <w:r w:rsidRPr="005D3F48">
              <w:rPr>
                <w:b/>
                <w:bCs/>
                <w:sz w:val="18"/>
                <w:szCs w:val="18"/>
              </w:rPr>
              <w:t>Three years prior</w:t>
            </w:r>
          </w:p>
        </w:tc>
        <w:tc>
          <w:tcPr>
            <w:tcW w:w="1131" w:type="dxa"/>
          </w:tcPr>
          <w:p w14:paraId="2F0E82FD" w14:textId="77777777" w:rsidR="00CC7040" w:rsidRPr="005D3F48" w:rsidRDefault="00CC7040" w:rsidP="0054787A">
            <w:pPr>
              <w:pStyle w:val="DHHStablecolhead"/>
              <w:rPr>
                <w:b/>
                <w:bCs/>
                <w:sz w:val="18"/>
                <w:szCs w:val="18"/>
              </w:rPr>
            </w:pPr>
            <w:r w:rsidRPr="005D3F48">
              <w:rPr>
                <w:b/>
                <w:bCs/>
                <w:sz w:val="18"/>
                <w:szCs w:val="18"/>
              </w:rPr>
              <w:t>Two years prior</w:t>
            </w:r>
          </w:p>
        </w:tc>
        <w:tc>
          <w:tcPr>
            <w:tcW w:w="1135" w:type="dxa"/>
          </w:tcPr>
          <w:p w14:paraId="5AC3FB33" w14:textId="77777777" w:rsidR="00CC7040" w:rsidRPr="005D3F48" w:rsidRDefault="00CC7040" w:rsidP="0054787A">
            <w:pPr>
              <w:pStyle w:val="DHHStablecolhead"/>
              <w:rPr>
                <w:b/>
                <w:bCs/>
                <w:sz w:val="18"/>
                <w:szCs w:val="18"/>
              </w:rPr>
            </w:pPr>
            <w:r w:rsidRPr="005D3F48">
              <w:rPr>
                <w:b/>
                <w:bCs/>
                <w:sz w:val="18"/>
                <w:szCs w:val="18"/>
              </w:rPr>
              <w:t>One year prior</w:t>
            </w:r>
          </w:p>
        </w:tc>
        <w:tc>
          <w:tcPr>
            <w:tcW w:w="1298" w:type="dxa"/>
          </w:tcPr>
          <w:p w14:paraId="2B88C4D2" w14:textId="77777777" w:rsidR="00CC7040" w:rsidRPr="005D3F48" w:rsidRDefault="00CC7040" w:rsidP="0054787A">
            <w:pPr>
              <w:pStyle w:val="DHHStablecolhead"/>
              <w:rPr>
                <w:b/>
                <w:bCs/>
                <w:sz w:val="18"/>
                <w:szCs w:val="18"/>
              </w:rPr>
            </w:pPr>
            <w:r w:rsidRPr="005D3F48">
              <w:rPr>
                <w:b/>
                <w:bCs/>
                <w:sz w:val="18"/>
                <w:szCs w:val="18"/>
              </w:rPr>
              <w:t>Most current data</w:t>
            </w:r>
          </w:p>
        </w:tc>
      </w:tr>
      <w:tr w:rsidR="00CC7040" w14:paraId="1E780F49" w14:textId="77777777" w:rsidTr="004476F8">
        <w:tc>
          <w:tcPr>
            <w:tcW w:w="1695" w:type="dxa"/>
          </w:tcPr>
          <w:p w14:paraId="6F5C8974" w14:textId="77777777" w:rsidR="00CC7040" w:rsidRPr="005D3F48" w:rsidRDefault="00CC7040" w:rsidP="0054787A">
            <w:pPr>
              <w:pStyle w:val="DHHStabletext"/>
              <w:rPr>
                <w:sz w:val="18"/>
                <w:szCs w:val="18"/>
              </w:rPr>
            </w:pPr>
            <w:r w:rsidRPr="005D3F48">
              <w:rPr>
                <w:sz w:val="18"/>
                <w:szCs w:val="18"/>
                <w:lang w:eastAsia="en-AU"/>
              </w:rPr>
              <w:t>1.1 Proportion of Victorian population with high or very high psychological distress (adults)</w:t>
            </w:r>
          </w:p>
        </w:tc>
        <w:tc>
          <w:tcPr>
            <w:tcW w:w="1228" w:type="dxa"/>
          </w:tcPr>
          <w:p w14:paraId="4C121DE7" w14:textId="77777777" w:rsidR="00CC7040" w:rsidRPr="005D3F48" w:rsidRDefault="00CC7040" w:rsidP="0054787A">
            <w:pPr>
              <w:pStyle w:val="DHHStabletext"/>
              <w:rPr>
                <w:sz w:val="18"/>
                <w:szCs w:val="18"/>
              </w:rPr>
            </w:pPr>
            <w:r w:rsidRPr="005D3F48">
              <w:rPr>
                <w:sz w:val="18"/>
                <w:szCs w:val="18"/>
              </w:rPr>
              <w:t>2018</w:t>
            </w:r>
          </w:p>
        </w:tc>
        <w:tc>
          <w:tcPr>
            <w:tcW w:w="1401" w:type="dxa"/>
          </w:tcPr>
          <w:p w14:paraId="6E11FD02" w14:textId="50B8A590" w:rsidR="00CC7040" w:rsidRPr="005D3F48" w:rsidRDefault="00F2363E" w:rsidP="0054787A">
            <w:pPr>
              <w:pStyle w:val="DHHStabletext"/>
              <w:rPr>
                <w:sz w:val="18"/>
                <w:szCs w:val="18"/>
              </w:rPr>
            </w:pPr>
            <w:r>
              <w:rPr>
                <w:sz w:val="18"/>
                <w:szCs w:val="18"/>
              </w:rPr>
              <w:t>n/a</w:t>
            </w:r>
            <w:r w:rsidR="00CF4148">
              <w:rPr>
                <w:rStyle w:val="FootnoteReference"/>
                <w:sz w:val="18"/>
                <w:szCs w:val="18"/>
              </w:rPr>
              <w:footnoteReference w:id="15"/>
            </w:r>
          </w:p>
        </w:tc>
        <w:tc>
          <w:tcPr>
            <w:tcW w:w="1128" w:type="dxa"/>
          </w:tcPr>
          <w:p w14:paraId="43242A9D" w14:textId="77777777" w:rsidR="00CC7040" w:rsidRPr="005D3F48" w:rsidRDefault="00CC7040" w:rsidP="0054787A">
            <w:pPr>
              <w:pStyle w:val="DHHStabletext"/>
              <w:rPr>
                <w:sz w:val="18"/>
                <w:szCs w:val="18"/>
              </w:rPr>
            </w:pPr>
            <w:r w:rsidRPr="005D3F48">
              <w:rPr>
                <w:sz w:val="18"/>
                <w:szCs w:val="18"/>
              </w:rPr>
              <w:t>17.3%</w:t>
            </w:r>
          </w:p>
        </w:tc>
        <w:tc>
          <w:tcPr>
            <w:tcW w:w="1131" w:type="dxa"/>
          </w:tcPr>
          <w:p w14:paraId="5D83B0A9" w14:textId="77777777" w:rsidR="00CC7040" w:rsidRPr="005D3F48" w:rsidRDefault="00CC7040" w:rsidP="0054787A">
            <w:pPr>
              <w:pStyle w:val="DHHStabletext"/>
              <w:rPr>
                <w:sz w:val="18"/>
                <w:szCs w:val="18"/>
              </w:rPr>
            </w:pPr>
            <w:r w:rsidRPr="005D3F48">
              <w:rPr>
                <w:sz w:val="18"/>
                <w:szCs w:val="18"/>
              </w:rPr>
              <w:t>14.8%</w:t>
            </w:r>
          </w:p>
        </w:tc>
        <w:tc>
          <w:tcPr>
            <w:tcW w:w="1135" w:type="dxa"/>
          </w:tcPr>
          <w:p w14:paraId="201D2541" w14:textId="77777777" w:rsidR="00CC7040" w:rsidRPr="005D3F48" w:rsidRDefault="00CC7040" w:rsidP="0054787A">
            <w:pPr>
              <w:pStyle w:val="DHHStabletext"/>
              <w:rPr>
                <w:sz w:val="18"/>
                <w:szCs w:val="18"/>
              </w:rPr>
            </w:pPr>
            <w:r w:rsidRPr="005D3F48">
              <w:rPr>
                <w:sz w:val="18"/>
                <w:szCs w:val="18"/>
              </w:rPr>
              <w:t>15.4%</w:t>
            </w:r>
          </w:p>
        </w:tc>
        <w:tc>
          <w:tcPr>
            <w:tcW w:w="1298" w:type="dxa"/>
          </w:tcPr>
          <w:p w14:paraId="192AEAA2" w14:textId="77777777" w:rsidR="00CC7040" w:rsidRPr="005D3F48" w:rsidRDefault="00CC7040" w:rsidP="0054787A">
            <w:pPr>
              <w:pStyle w:val="DHHStabletext"/>
              <w:rPr>
                <w:sz w:val="18"/>
                <w:szCs w:val="18"/>
              </w:rPr>
            </w:pPr>
            <w:r w:rsidRPr="005D3F48">
              <w:rPr>
                <w:sz w:val="18"/>
                <w:szCs w:val="18"/>
              </w:rPr>
              <w:t>15.0%</w:t>
            </w:r>
          </w:p>
        </w:tc>
      </w:tr>
      <w:tr w:rsidR="00CC7040" w14:paraId="5E36F5EA" w14:textId="77777777" w:rsidTr="004476F8">
        <w:tc>
          <w:tcPr>
            <w:tcW w:w="1695" w:type="dxa"/>
          </w:tcPr>
          <w:p w14:paraId="7EEF3377" w14:textId="382830E6" w:rsidR="00CC7040" w:rsidRPr="005D3F48" w:rsidRDefault="00CC7040" w:rsidP="0054787A">
            <w:pPr>
              <w:pStyle w:val="DHHStabletext"/>
              <w:rPr>
                <w:sz w:val="18"/>
                <w:szCs w:val="18"/>
              </w:rPr>
            </w:pPr>
            <w:r w:rsidRPr="005D3F48">
              <w:rPr>
                <w:sz w:val="18"/>
                <w:szCs w:val="18"/>
              </w:rPr>
              <w:t xml:space="preserve">1.2 </w:t>
            </w:r>
            <w:r w:rsidRPr="005D3F48">
              <w:rPr>
                <w:sz w:val="18"/>
                <w:szCs w:val="18"/>
                <w:lang w:eastAsia="en-AU"/>
              </w:rPr>
              <w:t>Proportion of Victorian population receiving clinical mental health</w:t>
            </w:r>
            <w:r w:rsidR="00377102">
              <w:rPr>
                <w:sz w:val="18"/>
                <w:szCs w:val="18"/>
                <w:lang w:eastAsia="en-AU"/>
              </w:rPr>
              <w:t xml:space="preserve"> </w:t>
            </w:r>
            <w:r w:rsidRPr="005D3F48">
              <w:rPr>
                <w:sz w:val="18"/>
                <w:szCs w:val="18"/>
                <w:lang w:eastAsia="en-AU"/>
              </w:rPr>
              <w:t>care</w:t>
            </w:r>
          </w:p>
        </w:tc>
        <w:tc>
          <w:tcPr>
            <w:tcW w:w="1228" w:type="dxa"/>
          </w:tcPr>
          <w:p w14:paraId="3996552A" w14:textId="6EB4E8ED" w:rsidR="00CC7040" w:rsidRPr="005D3F48" w:rsidRDefault="00894D3B" w:rsidP="0054787A">
            <w:pPr>
              <w:pStyle w:val="DHHStabletext"/>
              <w:rPr>
                <w:sz w:val="18"/>
                <w:szCs w:val="18"/>
              </w:rPr>
            </w:pPr>
            <w:r w:rsidRPr="005D3F48">
              <w:rPr>
                <w:sz w:val="18"/>
                <w:szCs w:val="18"/>
              </w:rPr>
              <w:t>2019–20</w:t>
            </w:r>
          </w:p>
        </w:tc>
        <w:tc>
          <w:tcPr>
            <w:tcW w:w="1401" w:type="dxa"/>
          </w:tcPr>
          <w:p w14:paraId="574E0CB0" w14:textId="0C8956CB" w:rsidR="00CC7040" w:rsidRPr="005D3F48" w:rsidRDefault="00CC7040" w:rsidP="0054787A">
            <w:pPr>
              <w:pStyle w:val="DHHStabletext"/>
              <w:rPr>
                <w:sz w:val="18"/>
                <w:szCs w:val="18"/>
              </w:rPr>
            </w:pPr>
            <w:r w:rsidRPr="005D3F48">
              <w:rPr>
                <w:sz w:val="18"/>
                <w:szCs w:val="18"/>
              </w:rPr>
              <w:t>1.10</w:t>
            </w:r>
            <w:r w:rsidR="00014367" w:rsidRPr="005D3F48">
              <w:rPr>
                <w:sz w:val="18"/>
                <w:szCs w:val="18"/>
              </w:rPr>
              <w:t>%</w:t>
            </w:r>
          </w:p>
        </w:tc>
        <w:tc>
          <w:tcPr>
            <w:tcW w:w="1128" w:type="dxa"/>
          </w:tcPr>
          <w:p w14:paraId="6849B35F" w14:textId="4963C615" w:rsidR="00CC7040" w:rsidRPr="005D3F48" w:rsidRDefault="00CC7040" w:rsidP="0054787A">
            <w:pPr>
              <w:pStyle w:val="DHHStabletext"/>
              <w:rPr>
                <w:sz w:val="18"/>
                <w:szCs w:val="18"/>
              </w:rPr>
            </w:pPr>
            <w:r w:rsidRPr="005D3F48">
              <w:rPr>
                <w:sz w:val="18"/>
                <w:szCs w:val="18"/>
              </w:rPr>
              <w:t>1.07</w:t>
            </w:r>
            <w:r w:rsidR="00014367" w:rsidRPr="005D3F48">
              <w:rPr>
                <w:sz w:val="18"/>
                <w:szCs w:val="18"/>
              </w:rPr>
              <w:t>%</w:t>
            </w:r>
          </w:p>
        </w:tc>
        <w:tc>
          <w:tcPr>
            <w:tcW w:w="1131" w:type="dxa"/>
          </w:tcPr>
          <w:p w14:paraId="6E7331E1" w14:textId="524166C8" w:rsidR="00CC7040" w:rsidRPr="005D3F48" w:rsidRDefault="00CC7040" w:rsidP="0054787A">
            <w:pPr>
              <w:pStyle w:val="DHHStabletext"/>
              <w:rPr>
                <w:sz w:val="18"/>
                <w:szCs w:val="18"/>
              </w:rPr>
            </w:pPr>
            <w:r w:rsidRPr="005D3F48">
              <w:rPr>
                <w:sz w:val="18"/>
                <w:szCs w:val="18"/>
              </w:rPr>
              <w:t>1.15</w:t>
            </w:r>
            <w:r w:rsidR="00014367" w:rsidRPr="005D3F48">
              <w:rPr>
                <w:sz w:val="18"/>
                <w:szCs w:val="18"/>
              </w:rPr>
              <w:t>%</w:t>
            </w:r>
          </w:p>
        </w:tc>
        <w:tc>
          <w:tcPr>
            <w:tcW w:w="1135" w:type="dxa"/>
          </w:tcPr>
          <w:p w14:paraId="544D73EE" w14:textId="4EE85E22" w:rsidR="00CC7040" w:rsidRPr="005D3F48" w:rsidRDefault="00CC7040" w:rsidP="0054787A">
            <w:pPr>
              <w:pStyle w:val="DHHStabletext"/>
              <w:rPr>
                <w:sz w:val="18"/>
                <w:szCs w:val="18"/>
              </w:rPr>
            </w:pPr>
            <w:r w:rsidRPr="005D3F48">
              <w:rPr>
                <w:sz w:val="18"/>
                <w:szCs w:val="18"/>
              </w:rPr>
              <w:t>1.16</w:t>
            </w:r>
            <w:r w:rsidR="00014367" w:rsidRPr="005D3F48">
              <w:rPr>
                <w:sz w:val="18"/>
                <w:szCs w:val="18"/>
              </w:rPr>
              <w:t>%</w:t>
            </w:r>
          </w:p>
        </w:tc>
        <w:tc>
          <w:tcPr>
            <w:tcW w:w="1298" w:type="dxa"/>
          </w:tcPr>
          <w:p w14:paraId="3A656095" w14:textId="3E5CE179" w:rsidR="00CC7040" w:rsidRPr="005D3F48" w:rsidRDefault="00CC7040" w:rsidP="0054787A">
            <w:pPr>
              <w:pStyle w:val="DHHStabletext"/>
              <w:rPr>
                <w:sz w:val="18"/>
                <w:szCs w:val="18"/>
              </w:rPr>
            </w:pPr>
            <w:r w:rsidRPr="005D3F48">
              <w:rPr>
                <w:sz w:val="18"/>
                <w:szCs w:val="18"/>
              </w:rPr>
              <w:t>1.16</w:t>
            </w:r>
            <w:r w:rsidR="00014367" w:rsidRPr="005D3F48">
              <w:rPr>
                <w:sz w:val="18"/>
                <w:szCs w:val="18"/>
              </w:rPr>
              <w:t>%</w:t>
            </w:r>
          </w:p>
        </w:tc>
      </w:tr>
      <w:tr w:rsidR="00CC7040" w14:paraId="7FD07FA8" w14:textId="77777777" w:rsidTr="004476F8">
        <w:tc>
          <w:tcPr>
            <w:tcW w:w="1695" w:type="dxa"/>
          </w:tcPr>
          <w:p w14:paraId="7D84FE47" w14:textId="321D3BBF" w:rsidR="00CC7040" w:rsidRPr="005D3F48" w:rsidRDefault="00CC7040" w:rsidP="0054787A">
            <w:pPr>
              <w:pStyle w:val="DHHStabletext"/>
              <w:rPr>
                <w:sz w:val="18"/>
                <w:szCs w:val="18"/>
              </w:rPr>
            </w:pPr>
            <w:r w:rsidRPr="005D3F48">
              <w:rPr>
                <w:sz w:val="18"/>
                <w:szCs w:val="18"/>
              </w:rPr>
              <w:t xml:space="preserve">1.3 </w:t>
            </w:r>
            <w:r w:rsidRPr="005D3F48">
              <w:rPr>
                <w:sz w:val="18"/>
                <w:szCs w:val="18"/>
                <w:lang w:eastAsia="en-AU"/>
              </w:rPr>
              <w:t>Proportion of Victorian young people with positive psychological development</w:t>
            </w:r>
            <w:r w:rsidR="00CF4148">
              <w:rPr>
                <w:rStyle w:val="FootnoteReference"/>
                <w:sz w:val="18"/>
                <w:szCs w:val="18"/>
                <w:lang w:eastAsia="en-AU"/>
              </w:rPr>
              <w:footnoteReference w:id="16"/>
            </w:r>
          </w:p>
        </w:tc>
        <w:tc>
          <w:tcPr>
            <w:tcW w:w="1228" w:type="dxa"/>
          </w:tcPr>
          <w:p w14:paraId="721BD5B0" w14:textId="77777777" w:rsidR="00CC7040" w:rsidRPr="005D3F48" w:rsidRDefault="00CC7040" w:rsidP="0054787A">
            <w:pPr>
              <w:pStyle w:val="DHHStabletext"/>
              <w:rPr>
                <w:sz w:val="18"/>
                <w:szCs w:val="18"/>
              </w:rPr>
            </w:pPr>
            <w:r w:rsidRPr="005D3F48">
              <w:rPr>
                <w:sz w:val="18"/>
                <w:szCs w:val="18"/>
              </w:rPr>
              <w:t>2018</w:t>
            </w:r>
          </w:p>
        </w:tc>
        <w:tc>
          <w:tcPr>
            <w:tcW w:w="1401" w:type="dxa"/>
          </w:tcPr>
          <w:p w14:paraId="30E1B05B" w14:textId="77777777" w:rsidR="00CC7040" w:rsidRPr="005D3F48" w:rsidRDefault="00CC7040" w:rsidP="0054787A">
            <w:pPr>
              <w:pStyle w:val="DHHStabletext"/>
              <w:rPr>
                <w:sz w:val="18"/>
                <w:szCs w:val="18"/>
              </w:rPr>
            </w:pPr>
            <w:r w:rsidRPr="005D3F48">
              <w:rPr>
                <w:sz w:val="18"/>
                <w:szCs w:val="18"/>
              </w:rPr>
              <w:t>68.8%</w:t>
            </w:r>
          </w:p>
        </w:tc>
        <w:tc>
          <w:tcPr>
            <w:tcW w:w="1128" w:type="dxa"/>
          </w:tcPr>
          <w:p w14:paraId="5D3770CB" w14:textId="7F1E8F1F" w:rsidR="00CC7040" w:rsidRPr="005D3F48" w:rsidRDefault="00F2363E" w:rsidP="0054787A">
            <w:pPr>
              <w:pStyle w:val="DHHStabletext"/>
              <w:rPr>
                <w:sz w:val="18"/>
                <w:szCs w:val="18"/>
              </w:rPr>
            </w:pPr>
            <w:r>
              <w:rPr>
                <w:sz w:val="18"/>
                <w:szCs w:val="18"/>
              </w:rPr>
              <w:t>n</w:t>
            </w:r>
            <w:r w:rsidR="00CC7040" w:rsidRPr="005D3F48">
              <w:rPr>
                <w:sz w:val="18"/>
                <w:szCs w:val="18"/>
              </w:rPr>
              <w:t>/</w:t>
            </w:r>
            <w:r>
              <w:rPr>
                <w:sz w:val="18"/>
                <w:szCs w:val="18"/>
              </w:rPr>
              <w:t>a</w:t>
            </w:r>
          </w:p>
        </w:tc>
        <w:tc>
          <w:tcPr>
            <w:tcW w:w="1131" w:type="dxa"/>
          </w:tcPr>
          <w:p w14:paraId="32EEFE81" w14:textId="77777777" w:rsidR="00CC7040" w:rsidRPr="005D3F48" w:rsidRDefault="00CC7040" w:rsidP="0054787A">
            <w:pPr>
              <w:pStyle w:val="DHHStabletext"/>
              <w:rPr>
                <w:sz w:val="18"/>
                <w:szCs w:val="18"/>
              </w:rPr>
            </w:pPr>
            <w:r w:rsidRPr="005D3F48">
              <w:rPr>
                <w:sz w:val="18"/>
                <w:szCs w:val="18"/>
              </w:rPr>
              <w:t>67.3%</w:t>
            </w:r>
          </w:p>
        </w:tc>
        <w:tc>
          <w:tcPr>
            <w:tcW w:w="1135" w:type="dxa"/>
          </w:tcPr>
          <w:p w14:paraId="15A65DC7" w14:textId="1B9D2153" w:rsidR="00CC7040" w:rsidRPr="005D3F48" w:rsidRDefault="00F2363E" w:rsidP="0054787A">
            <w:pPr>
              <w:pStyle w:val="DHHStabletext"/>
              <w:rPr>
                <w:sz w:val="18"/>
                <w:szCs w:val="18"/>
              </w:rPr>
            </w:pPr>
            <w:r>
              <w:rPr>
                <w:sz w:val="18"/>
                <w:szCs w:val="18"/>
              </w:rPr>
              <w:t>n</w:t>
            </w:r>
            <w:r w:rsidR="00CC7040" w:rsidRPr="005D3F48">
              <w:rPr>
                <w:sz w:val="18"/>
                <w:szCs w:val="18"/>
              </w:rPr>
              <w:t>/</w:t>
            </w:r>
            <w:r>
              <w:rPr>
                <w:sz w:val="18"/>
                <w:szCs w:val="18"/>
              </w:rPr>
              <w:t>a</w:t>
            </w:r>
          </w:p>
        </w:tc>
        <w:tc>
          <w:tcPr>
            <w:tcW w:w="1298" w:type="dxa"/>
          </w:tcPr>
          <w:p w14:paraId="2A6856A3" w14:textId="77777777" w:rsidR="00CC7040" w:rsidRPr="005D3F48" w:rsidRDefault="00CC7040" w:rsidP="0054787A">
            <w:pPr>
              <w:pStyle w:val="DHHStabletext"/>
              <w:rPr>
                <w:sz w:val="18"/>
                <w:szCs w:val="18"/>
              </w:rPr>
            </w:pPr>
            <w:r w:rsidRPr="005D3F48">
              <w:rPr>
                <w:sz w:val="18"/>
                <w:szCs w:val="18"/>
              </w:rPr>
              <w:t>67.3%</w:t>
            </w:r>
          </w:p>
        </w:tc>
      </w:tr>
      <w:tr w:rsidR="00CC7040" w14:paraId="18BF6401" w14:textId="77777777" w:rsidTr="004476F8">
        <w:tc>
          <w:tcPr>
            <w:tcW w:w="1695" w:type="dxa"/>
          </w:tcPr>
          <w:p w14:paraId="7CBE4511" w14:textId="77777777" w:rsidR="00CC7040" w:rsidRPr="005D3F48" w:rsidRDefault="00CC7040" w:rsidP="0054787A">
            <w:pPr>
              <w:pStyle w:val="DHHStabletext"/>
              <w:rPr>
                <w:sz w:val="18"/>
                <w:szCs w:val="18"/>
              </w:rPr>
            </w:pPr>
            <w:r w:rsidRPr="005D3F48">
              <w:rPr>
                <w:sz w:val="18"/>
                <w:szCs w:val="18"/>
              </w:rPr>
              <w:t xml:space="preserve">1.4 </w:t>
            </w:r>
            <w:r w:rsidRPr="005D3F48">
              <w:rPr>
                <w:sz w:val="18"/>
                <w:szCs w:val="18"/>
                <w:lang w:eastAsia="en-AU"/>
              </w:rPr>
              <w:t>Proportion of Victorian older persons (65 years or older) with high or very high psychological distress</w:t>
            </w:r>
          </w:p>
        </w:tc>
        <w:tc>
          <w:tcPr>
            <w:tcW w:w="1228" w:type="dxa"/>
          </w:tcPr>
          <w:p w14:paraId="2A6C92E4" w14:textId="77777777" w:rsidR="00CC7040" w:rsidRPr="005D3F48" w:rsidRDefault="00CC7040" w:rsidP="0054787A">
            <w:pPr>
              <w:pStyle w:val="DHHStabletext"/>
              <w:rPr>
                <w:sz w:val="18"/>
                <w:szCs w:val="18"/>
              </w:rPr>
            </w:pPr>
            <w:r w:rsidRPr="005D3F48">
              <w:rPr>
                <w:sz w:val="18"/>
                <w:szCs w:val="18"/>
              </w:rPr>
              <w:t>2018</w:t>
            </w:r>
          </w:p>
        </w:tc>
        <w:tc>
          <w:tcPr>
            <w:tcW w:w="1401" w:type="dxa"/>
          </w:tcPr>
          <w:p w14:paraId="224BF618" w14:textId="4F019CEB" w:rsidR="00CC7040" w:rsidRPr="005D3F48" w:rsidRDefault="00F2363E" w:rsidP="0054787A">
            <w:pPr>
              <w:pStyle w:val="DHHStabletext"/>
              <w:rPr>
                <w:sz w:val="18"/>
                <w:szCs w:val="18"/>
              </w:rPr>
            </w:pPr>
            <w:r>
              <w:rPr>
                <w:sz w:val="18"/>
                <w:szCs w:val="18"/>
              </w:rPr>
              <w:t>n/a</w:t>
            </w:r>
            <w:r w:rsidR="00CF4148" w:rsidRPr="00CF4148">
              <w:rPr>
                <w:sz w:val="18"/>
                <w:szCs w:val="18"/>
                <w:vertAlign w:val="superscript"/>
              </w:rPr>
              <w:t>16</w:t>
            </w:r>
          </w:p>
        </w:tc>
        <w:tc>
          <w:tcPr>
            <w:tcW w:w="1128" w:type="dxa"/>
          </w:tcPr>
          <w:p w14:paraId="572CB236" w14:textId="77777777" w:rsidR="00CC7040" w:rsidRPr="005D3F48" w:rsidRDefault="00CC7040" w:rsidP="0054787A">
            <w:pPr>
              <w:pStyle w:val="DHHStabletext"/>
              <w:rPr>
                <w:sz w:val="18"/>
                <w:szCs w:val="18"/>
              </w:rPr>
            </w:pPr>
            <w:r w:rsidRPr="005D3F48">
              <w:rPr>
                <w:sz w:val="18"/>
                <w:szCs w:val="18"/>
              </w:rPr>
              <w:t>10.8%</w:t>
            </w:r>
          </w:p>
        </w:tc>
        <w:tc>
          <w:tcPr>
            <w:tcW w:w="1131" w:type="dxa"/>
          </w:tcPr>
          <w:p w14:paraId="68BDA3FF" w14:textId="77777777" w:rsidR="00CC7040" w:rsidRPr="005D3F48" w:rsidRDefault="00CC7040" w:rsidP="0054787A">
            <w:pPr>
              <w:pStyle w:val="DHHStabletext"/>
              <w:rPr>
                <w:sz w:val="18"/>
                <w:szCs w:val="18"/>
              </w:rPr>
            </w:pPr>
            <w:r w:rsidRPr="005D3F48">
              <w:rPr>
                <w:sz w:val="18"/>
                <w:szCs w:val="18"/>
              </w:rPr>
              <w:t>8.5%</w:t>
            </w:r>
          </w:p>
        </w:tc>
        <w:tc>
          <w:tcPr>
            <w:tcW w:w="1135" w:type="dxa"/>
          </w:tcPr>
          <w:p w14:paraId="4E495A6F" w14:textId="77777777" w:rsidR="00CC7040" w:rsidRPr="005D3F48" w:rsidRDefault="00CC7040" w:rsidP="0054787A">
            <w:pPr>
              <w:pStyle w:val="DHHStabletext"/>
              <w:rPr>
                <w:sz w:val="18"/>
                <w:szCs w:val="18"/>
              </w:rPr>
            </w:pPr>
            <w:r w:rsidRPr="005D3F48">
              <w:rPr>
                <w:sz w:val="18"/>
                <w:szCs w:val="18"/>
              </w:rPr>
              <w:t>10.0%</w:t>
            </w:r>
          </w:p>
        </w:tc>
        <w:tc>
          <w:tcPr>
            <w:tcW w:w="1298" w:type="dxa"/>
          </w:tcPr>
          <w:p w14:paraId="6F1F2445" w14:textId="77777777" w:rsidR="00CC7040" w:rsidRPr="005D3F48" w:rsidRDefault="00CC7040" w:rsidP="0054787A">
            <w:pPr>
              <w:pStyle w:val="DHHStabletext"/>
              <w:rPr>
                <w:sz w:val="18"/>
                <w:szCs w:val="18"/>
              </w:rPr>
            </w:pPr>
            <w:r w:rsidRPr="005D3F48">
              <w:rPr>
                <w:sz w:val="18"/>
                <w:szCs w:val="18"/>
              </w:rPr>
              <w:t>9.2%</w:t>
            </w:r>
          </w:p>
        </w:tc>
      </w:tr>
      <w:tr w:rsidR="00CC7040" w14:paraId="326D125D" w14:textId="77777777" w:rsidTr="004476F8">
        <w:tc>
          <w:tcPr>
            <w:tcW w:w="1695" w:type="dxa"/>
          </w:tcPr>
          <w:p w14:paraId="016C3470" w14:textId="77777777" w:rsidR="00CC7040" w:rsidRPr="005D3F48" w:rsidRDefault="00CC7040" w:rsidP="0054787A">
            <w:pPr>
              <w:pStyle w:val="DHHStabletext"/>
              <w:rPr>
                <w:sz w:val="18"/>
                <w:szCs w:val="18"/>
              </w:rPr>
            </w:pPr>
            <w:r w:rsidRPr="005D3F48">
              <w:rPr>
                <w:sz w:val="18"/>
                <w:szCs w:val="18"/>
              </w:rPr>
              <w:t xml:space="preserve">1.5 </w:t>
            </w:r>
            <w:r w:rsidRPr="005D3F48">
              <w:rPr>
                <w:sz w:val="18"/>
                <w:szCs w:val="18"/>
                <w:lang w:val="en-US"/>
              </w:rPr>
              <w:t xml:space="preserve">Proportion of children at school entry at high risk of clinically significant problems related to behaviour and emotional wellbeing </w:t>
            </w:r>
          </w:p>
        </w:tc>
        <w:tc>
          <w:tcPr>
            <w:tcW w:w="1228" w:type="dxa"/>
          </w:tcPr>
          <w:p w14:paraId="2F245766" w14:textId="77777777" w:rsidR="00CC7040" w:rsidRPr="005D3F48" w:rsidRDefault="00CC7040" w:rsidP="0054787A">
            <w:pPr>
              <w:pStyle w:val="DHHStabletext"/>
              <w:rPr>
                <w:sz w:val="18"/>
                <w:szCs w:val="18"/>
              </w:rPr>
            </w:pPr>
            <w:r w:rsidRPr="005D3F48">
              <w:rPr>
                <w:sz w:val="18"/>
                <w:szCs w:val="18"/>
              </w:rPr>
              <w:t>2019</w:t>
            </w:r>
          </w:p>
        </w:tc>
        <w:tc>
          <w:tcPr>
            <w:tcW w:w="1401" w:type="dxa"/>
          </w:tcPr>
          <w:p w14:paraId="2039AC10" w14:textId="6217588C" w:rsidR="00CC7040" w:rsidRPr="005D3F48" w:rsidRDefault="00F2363E" w:rsidP="0054787A">
            <w:pPr>
              <w:pStyle w:val="DHHStabletext"/>
              <w:rPr>
                <w:sz w:val="18"/>
                <w:szCs w:val="18"/>
              </w:rPr>
            </w:pPr>
            <w:r>
              <w:rPr>
                <w:sz w:val="18"/>
                <w:szCs w:val="18"/>
              </w:rPr>
              <w:t>n</w:t>
            </w:r>
            <w:r w:rsidR="00CC7040" w:rsidRPr="005D3F48">
              <w:rPr>
                <w:sz w:val="18"/>
                <w:szCs w:val="18"/>
              </w:rPr>
              <w:t>/</w:t>
            </w:r>
            <w:r>
              <w:rPr>
                <w:sz w:val="18"/>
                <w:szCs w:val="18"/>
              </w:rPr>
              <w:t>a</w:t>
            </w:r>
          </w:p>
        </w:tc>
        <w:tc>
          <w:tcPr>
            <w:tcW w:w="1128" w:type="dxa"/>
          </w:tcPr>
          <w:p w14:paraId="5F8AB625" w14:textId="77777777" w:rsidR="00CC7040" w:rsidRPr="005D3F48" w:rsidRDefault="00CC7040" w:rsidP="0054787A">
            <w:pPr>
              <w:pStyle w:val="DHHStabletext"/>
              <w:rPr>
                <w:sz w:val="18"/>
                <w:szCs w:val="18"/>
              </w:rPr>
            </w:pPr>
            <w:r w:rsidRPr="005D3F48">
              <w:rPr>
                <w:sz w:val="18"/>
                <w:szCs w:val="18"/>
              </w:rPr>
              <w:t>4.8%</w:t>
            </w:r>
          </w:p>
        </w:tc>
        <w:tc>
          <w:tcPr>
            <w:tcW w:w="1131" w:type="dxa"/>
          </w:tcPr>
          <w:p w14:paraId="677A80D8" w14:textId="77777777" w:rsidR="00CC7040" w:rsidRPr="005D3F48" w:rsidRDefault="00CC7040" w:rsidP="0054787A">
            <w:pPr>
              <w:pStyle w:val="DHHStabletext"/>
              <w:rPr>
                <w:sz w:val="18"/>
                <w:szCs w:val="18"/>
              </w:rPr>
            </w:pPr>
            <w:r w:rsidRPr="005D3F48">
              <w:rPr>
                <w:sz w:val="18"/>
                <w:szCs w:val="18"/>
              </w:rPr>
              <w:t>4.9%</w:t>
            </w:r>
          </w:p>
        </w:tc>
        <w:tc>
          <w:tcPr>
            <w:tcW w:w="1135" w:type="dxa"/>
          </w:tcPr>
          <w:p w14:paraId="61ADC711" w14:textId="77777777" w:rsidR="00CC7040" w:rsidRPr="005D3F48" w:rsidRDefault="00CC7040" w:rsidP="0054787A">
            <w:pPr>
              <w:pStyle w:val="DHHStabletext"/>
              <w:rPr>
                <w:sz w:val="18"/>
                <w:szCs w:val="18"/>
              </w:rPr>
            </w:pPr>
            <w:r w:rsidRPr="005D3F48">
              <w:rPr>
                <w:sz w:val="18"/>
                <w:szCs w:val="18"/>
              </w:rPr>
              <w:t>5.6%</w:t>
            </w:r>
          </w:p>
        </w:tc>
        <w:tc>
          <w:tcPr>
            <w:tcW w:w="1298" w:type="dxa"/>
          </w:tcPr>
          <w:p w14:paraId="62BAC6E4" w14:textId="77777777" w:rsidR="00CC7040" w:rsidRPr="005D3F48" w:rsidRDefault="00CC7040" w:rsidP="0054787A">
            <w:pPr>
              <w:pStyle w:val="DHHStabletext"/>
              <w:rPr>
                <w:sz w:val="18"/>
                <w:szCs w:val="18"/>
              </w:rPr>
            </w:pPr>
            <w:r w:rsidRPr="005D3F48">
              <w:rPr>
                <w:sz w:val="18"/>
                <w:szCs w:val="18"/>
              </w:rPr>
              <w:t>6.7%</w:t>
            </w:r>
          </w:p>
        </w:tc>
      </w:tr>
    </w:tbl>
    <w:p w14:paraId="478D1677" w14:textId="77777777" w:rsidR="00CC7040" w:rsidRPr="00F17C22" w:rsidRDefault="00CC7040" w:rsidP="00F17C22">
      <w:pPr>
        <w:pStyle w:val="Heading4"/>
        <w:rPr>
          <w:rStyle w:val="normaltextrun"/>
        </w:rPr>
      </w:pPr>
      <w:r w:rsidRPr="00F17C22">
        <w:rPr>
          <w:rStyle w:val="normaltextrun"/>
        </w:rPr>
        <w:t>Indicators for Outcome 2</w:t>
      </w:r>
    </w:p>
    <w:tbl>
      <w:tblPr>
        <w:tblStyle w:val="MentalhealthARtablestyle"/>
        <w:tblW w:w="0" w:type="auto"/>
        <w:tblLook w:val="04A0" w:firstRow="1" w:lastRow="0" w:firstColumn="1" w:lastColumn="0" w:noHBand="0" w:noVBand="1"/>
      </w:tblPr>
      <w:tblGrid>
        <w:gridCol w:w="1695"/>
        <w:gridCol w:w="1228"/>
        <w:gridCol w:w="1401"/>
        <w:gridCol w:w="1128"/>
        <w:gridCol w:w="1131"/>
        <w:gridCol w:w="1135"/>
        <w:gridCol w:w="1298"/>
      </w:tblGrid>
      <w:tr w:rsidR="00CC7040" w:rsidRPr="006D5168" w14:paraId="3AD32E2B" w14:textId="77777777" w:rsidTr="0054787A">
        <w:trPr>
          <w:cnfStyle w:val="100000000000" w:firstRow="1" w:lastRow="0" w:firstColumn="0" w:lastColumn="0" w:oddVBand="0" w:evenVBand="0" w:oddHBand="0" w:evenHBand="0" w:firstRowFirstColumn="0" w:firstRowLastColumn="0" w:lastRowFirstColumn="0" w:lastRowLastColumn="0"/>
          <w:tblHeader/>
        </w:trPr>
        <w:tc>
          <w:tcPr>
            <w:tcW w:w="1695" w:type="dxa"/>
          </w:tcPr>
          <w:p w14:paraId="0AA39E9D" w14:textId="0A80B05B" w:rsidR="00CC7040" w:rsidRPr="005D3F48" w:rsidRDefault="00CC7040" w:rsidP="00B24E19">
            <w:pPr>
              <w:pStyle w:val="DHHStablecolhead"/>
              <w:rPr>
                <w:b/>
                <w:bCs/>
                <w:sz w:val="18"/>
                <w:szCs w:val="18"/>
              </w:rPr>
            </w:pPr>
            <w:r w:rsidRPr="005D3F48">
              <w:rPr>
                <w:b/>
                <w:bCs/>
                <w:sz w:val="18"/>
                <w:szCs w:val="18"/>
              </w:rPr>
              <w:t>Indicator</w:t>
            </w:r>
          </w:p>
        </w:tc>
        <w:tc>
          <w:tcPr>
            <w:tcW w:w="1228" w:type="dxa"/>
          </w:tcPr>
          <w:p w14:paraId="4208962C" w14:textId="77777777" w:rsidR="00CC7040" w:rsidRPr="005D3F48" w:rsidRDefault="00CC7040" w:rsidP="00B24E19">
            <w:pPr>
              <w:pStyle w:val="DHHStablecolhead"/>
              <w:rPr>
                <w:b/>
                <w:bCs/>
                <w:sz w:val="18"/>
                <w:szCs w:val="18"/>
              </w:rPr>
            </w:pPr>
            <w:r w:rsidRPr="005D3F48">
              <w:rPr>
                <w:b/>
                <w:bCs/>
                <w:sz w:val="18"/>
                <w:szCs w:val="18"/>
              </w:rPr>
              <w:t>Reference</w:t>
            </w:r>
          </w:p>
          <w:p w14:paraId="5E75E51B" w14:textId="77777777" w:rsidR="00CC7040" w:rsidRPr="005D3F48" w:rsidRDefault="00CC7040" w:rsidP="00B24E19">
            <w:pPr>
              <w:pStyle w:val="DHHStablecolhead"/>
              <w:rPr>
                <w:b/>
                <w:bCs/>
                <w:sz w:val="18"/>
                <w:szCs w:val="18"/>
              </w:rPr>
            </w:pPr>
            <w:r w:rsidRPr="005D3F48">
              <w:rPr>
                <w:b/>
                <w:bCs/>
                <w:sz w:val="18"/>
                <w:szCs w:val="18"/>
              </w:rPr>
              <w:t>year</w:t>
            </w:r>
          </w:p>
        </w:tc>
        <w:tc>
          <w:tcPr>
            <w:tcW w:w="1401" w:type="dxa"/>
          </w:tcPr>
          <w:p w14:paraId="6BE335D1" w14:textId="77777777" w:rsidR="00CC7040" w:rsidRPr="005D3F48" w:rsidRDefault="00CC7040" w:rsidP="00B24E19">
            <w:pPr>
              <w:pStyle w:val="DHHStablecolhead"/>
              <w:rPr>
                <w:b/>
                <w:bCs/>
                <w:sz w:val="18"/>
                <w:szCs w:val="18"/>
              </w:rPr>
            </w:pPr>
            <w:r w:rsidRPr="005D3F48">
              <w:rPr>
                <w:b/>
                <w:bCs/>
                <w:sz w:val="18"/>
                <w:szCs w:val="18"/>
              </w:rPr>
              <w:t>Four years prior</w:t>
            </w:r>
          </w:p>
        </w:tc>
        <w:tc>
          <w:tcPr>
            <w:tcW w:w="1128" w:type="dxa"/>
          </w:tcPr>
          <w:p w14:paraId="06947A2E" w14:textId="77777777" w:rsidR="00CC7040" w:rsidRPr="005D3F48" w:rsidRDefault="00CC7040" w:rsidP="00B24E19">
            <w:pPr>
              <w:pStyle w:val="DHHStablecolhead"/>
              <w:rPr>
                <w:b/>
                <w:bCs/>
                <w:sz w:val="18"/>
                <w:szCs w:val="18"/>
              </w:rPr>
            </w:pPr>
            <w:r w:rsidRPr="005D3F48">
              <w:rPr>
                <w:b/>
                <w:bCs/>
                <w:sz w:val="18"/>
                <w:szCs w:val="18"/>
              </w:rPr>
              <w:t>Three years prior</w:t>
            </w:r>
          </w:p>
        </w:tc>
        <w:tc>
          <w:tcPr>
            <w:tcW w:w="1131" w:type="dxa"/>
          </w:tcPr>
          <w:p w14:paraId="091FF5E1" w14:textId="77777777" w:rsidR="00CC7040" w:rsidRPr="005D3F48" w:rsidRDefault="00CC7040" w:rsidP="00B24E19">
            <w:pPr>
              <w:pStyle w:val="DHHStablecolhead"/>
              <w:rPr>
                <w:b/>
                <w:bCs/>
                <w:sz w:val="18"/>
                <w:szCs w:val="18"/>
              </w:rPr>
            </w:pPr>
            <w:r w:rsidRPr="005D3F48">
              <w:rPr>
                <w:b/>
                <w:bCs/>
                <w:sz w:val="18"/>
                <w:szCs w:val="18"/>
              </w:rPr>
              <w:t>Two years prior</w:t>
            </w:r>
          </w:p>
        </w:tc>
        <w:tc>
          <w:tcPr>
            <w:tcW w:w="1135" w:type="dxa"/>
          </w:tcPr>
          <w:p w14:paraId="2A2870F0" w14:textId="77777777" w:rsidR="00CC7040" w:rsidRPr="005D3F48" w:rsidRDefault="00CC7040" w:rsidP="00B24E19">
            <w:pPr>
              <w:pStyle w:val="DHHStablecolhead"/>
              <w:rPr>
                <w:b/>
                <w:bCs/>
                <w:sz w:val="18"/>
                <w:szCs w:val="18"/>
              </w:rPr>
            </w:pPr>
            <w:r w:rsidRPr="005D3F48">
              <w:rPr>
                <w:b/>
                <w:bCs/>
                <w:sz w:val="18"/>
                <w:szCs w:val="18"/>
              </w:rPr>
              <w:t>One year prior</w:t>
            </w:r>
          </w:p>
        </w:tc>
        <w:tc>
          <w:tcPr>
            <w:tcW w:w="1298" w:type="dxa"/>
          </w:tcPr>
          <w:p w14:paraId="6C816381" w14:textId="77777777" w:rsidR="00CC7040" w:rsidRPr="005D3F48" w:rsidRDefault="00CC7040" w:rsidP="00B24E19">
            <w:pPr>
              <w:pStyle w:val="DHHStablecolhead"/>
              <w:rPr>
                <w:b/>
                <w:bCs/>
                <w:sz w:val="18"/>
                <w:szCs w:val="18"/>
              </w:rPr>
            </w:pPr>
            <w:r w:rsidRPr="005D3F48">
              <w:rPr>
                <w:b/>
                <w:bCs/>
                <w:sz w:val="18"/>
                <w:szCs w:val="18"/>
              </w:rPr>
              <w:t>Most current data</w:t>
            </w:r>
          </w:p>
        </w:tc>
      </w:tr>
      <w:tr w:rsidR="00CC7040" w14:paraId="2B8133AD" w14:textId="77777777" w:rsidTr="004476F8">
        <w:tc>
          <w:tcPr>
            <w:tcW w:w="1695" w:type="dxa"/>
          </w:tcPr>
          <w:p w14:paraId="529F0D73" w14:textId="77777777" w:rsidR="00CC7040" w:rsidRPr="005D3F48" w:rsidRDefault="00CC7040" w:rsidP="0054787A">
            <w:pPr>
              <w:pStyle w:val="DHHStabletext"/>
              <w:rPr>
                <w:sz w:val="18"/>
                <w:szCs w:val="18"/>
                <w:lang w:val="en-US"/>
              </w:rPr>
            </w:pPr>
            <w:r w:rsidRPr="005D3F48">
              <w:rPr>
                <w:sz w:val="18"/>
                <w:szCs w:val="18"/>
                <w:lang w:val="en-US"/>
              </w:rPr>
              <w:t>2.1 Proportion of Victorian population who speak a language other than English at home with high or very high psychological distress (adults)</w:t>
            </w:r>
          </w:p>
        </w:tc>
        <w:tc>
          <w:tcPr>
            <w:tcW w:w="1228" w:type="dxa"/>
          </w:tcPr>
          <w:p w14:paraId="3AD3C8D9" w14:textId="77777777" w:rsidR="00CC7040" w:rsidRPr="005D3F48" w:rsidRDefault="00CC7040" w:rsidP="0054787A">
            <w:pPr>
              <w:pStyle w:val="DHHStabletext"/>
              <w:rPr>
                <w:sz w:val="18"/>
                <w:szCs w:val="18"/>
                <w:lang w:val="en-US"/>
              </w:rPr>
            </w:pPr>
            <w:r w:rsidRPr="005D3F48">
              <w:rPr>
                <w:sz w:val="18"/>
                <w:szCs w:val="18"/>
                <w:lang w:val="en-US"/>
              </w:rPr>
              <w:t>2018</w:t>
            </w:r>
          </w:p>
        </w:tc>
        <w:tc>
          <w:tcPr>
            <w:tcW w:w="1401" w:type="dxa"/>
          </w:tcPr>
          <w:p w14:paraId="69CCFF07" w14:textId="291F7E08" w:rsidR="00CC7040" w:rsidRPr="005D3F48" w:rsidRDefault="00F2363E" w:rsidP="0054787A">
            <w:pPr>
              <w:pStyle w:val="DHHStabletext"/>
              <w:rPr>
                <w:sz w:val="18"/>
                <w:szCs w:val="18"/>
                <w:highlight w:val="yellow"/>
                <w:lang w:val="en-US"/>
              </w:rPr>
            </w:pPr>
            <w:r>
              <w:rPr>
                <w:sz w:val="18"/>
                <w:szCs w:val="18"/>
                <w:lang w:val="en-US"/>
              </w:rPr>
              <w:t>n/a</w:t>
            </w:r>
            <w:r w:rsidR="00E92DF3">
              <w:rPr>
                <w:rStyle w:val="FootnoteReference"/>
                <w:sz w:val="18"/>
                <w:szCs w:val="18"/>
                <w:lang w:val="en-US"/>
              </w:rPr>
              <w:footnoteReference w:id="17"/>
            </w:r>
          </w:p>
        </w:tc>
        <w:tc>
          <w:tcPr>
            <w:tcW w:w="1128" w:type="dxa"/>
          </w:tcPr>
          <w:p w14:paraId="78609358" w14:textId="77777777" w:rsidR="00CC7040" w:rsidRPr="005D3F48" w:rsidRDefault="00CC7040" w:rsidP="0054787A">
            <w:pPr>
              <w:pStyle w:val="DHHStabletext"/>
              <w:rPr>
                <w:sz w:val="18"/>
                <w:szCs w:val="18"/>
                <w:lang w:val="en-US"/>
              </w:rPr>
            </w:pPr>
            <w:r w:rsidRPr="005D3F48">
              <w:rPr>
                <w:sz w:val="18"/>
                <w:szCs w:val="18"/>
                <w:lang w:val="en-US"/>
              </w:rPr>
              <w:t>18.0%</w:t>
            </w:r>
          </w:p>
        </w:tc>
        <w:tc>
          <w:tcPr>
            <w:tcW w:w="1131" w:type="dxa"/>
          </w:tcPr>
          <w:p w14:paraId="2C019513" w14:textId="77777777" w:rsidR="00CC7040" w:rsidRPr="005D3F48" w:rsidRDefault="00CC7040" w:rsidP="0054787A">
            <w:pPr>
              <w:pStyle w:val="DHHStabletext"/>
              <w:rPr>
                <w:sz w:val="18"/>
                <w:szCs w:val="18"/>
                <w:lang w:val="en-US"/>
              </w:rPr>
            </w:pPr>
            <w:r w:rsidRPr="005D3F48">
              <w:rPr>
                <w:sz w:val="18"/>
                <w:szCs w:val="18"/>
                <w:lang w:val="en-US"/>
              </w:rPr>
              <w:t>17.2%</w:t>
            </w:r>
          </w:p>
        </w:tc>
        <w:tc>
          <w:tcPr>
            <w:tcW w:w="1135" w:type="dxa"/>
          </w:tcPr>
          <w:p w14:paraId="53C0C85A" w14:textId="77777777" w:rsidR="00CC7040" w:rsidRPr="005D3F48" w:rsidRDefault="00CC7040" w:rsidP="0054787A">
            <w:pPr>
              <w:pStyle w:val="DHHStabletext"/>
              <w:rPr>
                <w:sz w:val="18"/>
                <w:szCs w:val="18"/>
                <w:lang w:val="en-US"/>
              </w:rPr>
            </w:pPr>
            <w:r w:rsidRPr="005D3F48">
              <w:rPr>
                <w:sz w:val="18"/>
                <w:szCs w:val="18"/>
                <w:lang w:val="en-US"/>
              </w:rPr>
              <w:t>17.3%</w:t>
            </w:r>
          </w:p>
        </w:tc>
        <w:tc>
          <w:tcPr>
            <w:tcW w:w="1298" w:type="dxa"/>
          </w:tcPr>
          <w:p w14:paraId="25D3055B" w14:textId="77777777" w:rsidR="00CC7040" w:rsidRPr="005D3F48" w:rsidRDefault="00CC7040" w:rsidP="0054787A">
            <w:pPr>
              <w:pStyle w:val="DHHStabletext"/>
              <w:rPr>
                <w:sz w:val="18"/>
                <w:szCs w:val="18"/>
                <w:lang w:val="en-US"/>
              </w:rPr>
            </w:pPr>
            <w:r w:rsidRPr="005D3F48">
              <w:rPr>
                <w:sz w:val="18"/>
                <w:szCs w:val="18"/>
                <w:lang w:val="en-US"/>
              </w:rPr>
              <w:t>13.8%</w:t>
            </w:r>
          </w:p>
        </w:tc>
      </w:tr>
      <w:tr w:rsidR="00CC7040" w14:paraId="040D84C8" w14:textId="77777777" w:rsidTr="004476F8">
        <w:tc>
          <w:tcPr>
            <w:tcW w:w="1695" w:type="dxa"/>
          </w:tcPr>
          <w:p w14:paraId="16A82F7E" w14:textId="77777777" w:rsidR="00CC7040" w:rsidRPr="005D3F48" w:rsidRDefault="00CC7040" w:rsidP="0054787A">
            <w:pPr>
              <w:pStyle w:val="DHHStabletext"/>
              <w:rPr>
                <w:sz w:val="18"/>
                <w:szCs w:val="18"/>
                <w:lang w:val="en-US"/>
              </w:rPr>
            </w:pPr>
            <w:r w:rsidRPr="005D3F48">
              <w:rPr>
                <w:sz w:val="18"/>
                <w:szCs w:val="18"/>
                <w:lang w:val="en-US"/>
              </w:rPr>
              <w:t>2.2 Proportion of Victorian rural population with high or very high psychological distress (adults)</w:t>
            </w:r>
          </w:p>
        </w:tc>
        <w:tc>
          <w:tcPr>
            <w:tcW w:w="1228" w:type="dxa"/>
          </w:tcPr>
          <w:p w14:paraId="4D32BEBA" w14:textId="77777777" w:rsidR="00CC7040" w:rsidRPr="005D3F48" w:rsidRDefault="00CC7040" w:rsidP="0054787A">
            <w:pPr>
              <w:pStyle w:val="DHHStabletext"/>
              <w:rPr>
                <w:sz w:val="18"/>
                <w:szCs w:val="18"/>
                <w:lang w:val="en-US"/>
              </w:rPr>
            </w:pPr>
            <w:r w:rsidRPr="005D3F48">
              <w:rPr>
                <w:sz w:val="18"/>
                <w:szCs w:val="18"/>
                <w:lang w:val="en-US"/>
              </w:rPr>
              <w:t>2018</w:t>
            </w:r>
          </w:p>
        </w:tc>
        <w:tc>
          <w:tcPr>
            <w:tcW w:w="1401" w:type="dxa"/>
          </w:tcPr>
          <w:p w14:paraId="2ECBCA20" w14:textId="7483C768" w:rsidR="00CC7040" w:rsidRPr="005D3F48" w:rsidRDefault="00F2363E" w:rsidP="0054787A">
            <w:pPr>
              <w:pStyle w:val="DHHStabletext"/>
              <w:rPr>
                <w:sz w:val="18"/>
                <w:szCs w:val="18"/>
                <w:highlight w:val="yellow"/>
                <w:lang w:val="en-US"/>
              </w:rPr>
            </w:pPr>
            <w:r>
              <w:rPr>
                <w:sz w:val="18"/>
                <w:szCs w:val="18"/>
                <w:lang w:val="en-US"/>
              </w:rPr>
              <w:t>n/a</w:t>
            </w:r>
            <w:r w:rsidR="00E92DF3" w:rsidRPr="00E92DF3">
              <w:rPr>
                <w:sz w:val="18"/>
                <w:szCs w:val="18"/>
                <w:vertAlign w:val="superscript"/>
                <w:lang w:val="en-US"/>
              </w:rPr>
              <w:t>1</w:t>
            </w:r>
            <w:r w:rsidR="00317825">
              <w:rPr>
                <w:sz w:val="18"/>
                <w:szCs w:val="18"/>
                <w:vertAlign w:val="superscript"/>
                <w:lang w:val="en-US"/>
              </w:rPr>
              <w:t>6</w:t>
            </w:r>
          </w:p>
        </w:tc>
        <w:tc>
          <w:tcPr>
            <w:tcW w:w="1128" w:type="dxa"/>
          </w:tcPr>
          <w:p w14:paraId="5B15FE52" w14:textId="77777777" w:rsidR="00CC7040" w:rsidRPr="005D3F48" w:rsidRDefault="00CC7040" w:rsidP="0054787A">
            <w:pPr>
              <w:pStyle w:val="DHHStabletext"/>
              <w:rPr>
                <w:sz w:val="18"/>
                <w:szCs w:val="18"/>
                <w:lang w:val="en-US"/>
              </w:rPr>
            </w:pPr>
            <w:r w:rsidRPr="005D3F48">
              <w:rPr>
                <w:sz w:val="18"/>
                <w:szCs w:val="18"/>
                <w:lang w:val="en-US"/>
              </w:rPr>
              <w:t>15.9%</w:t>
            </w:r>
          </w:p>
        </w:tc>
        <w:tc>
          <w:tcPr>
            <w:tcW w:w="1131" w:type="dxa"/>
          </w:tcPr>
          <w:p w14:paraId="75CA81AD" w14:textId="77777777" w:rsidR="00CC7040" w:rsidRPr="005D3F48" w:rsidRDefault="00CC7040" w:rsidP="0054787A">
            <w:pPr>
              <w:pStyle w:val="DHHStabletext"/>
              <w:rPr>
                <w:sz w:val="18"/>
                <w:szCs w:val="18"/>
                <w:lang w:val="en-US"/>
              </w:rPr>
            </w:pPr>
            <w:r w:rsidRPr="005D3F48">
              <w:rPr>
                <w:sz w:val="18"/>
                <w:szCs w:val="18"/>
                <w:lang w:val="en-US"/>
              </w:rPr>
              <w:t>14.6%</w:t>
            </w:r>
          </w:p>
        </w:tc>
        <w:tc>
          <w:tcPr>
            <w:tcW w:w="1135" w:type="dxa"/>
          </w:tcPr>
          <w:p w14:paraId="74DDCDA5" w14:textId="77777777" w:rsidR="00CC7040" w:rsidRPr="005D3F48" w:rsidRDefault="00CC7040" w:rsidP="0054787A">
            <w:pPr>
              <w:pStyle w:val="DHHStabletext"/>
              <w:rPr>
                <w:sz w:val="18"/>
                <w:szCs w:val="18"/>
                <w:lang w:val="en-US"/>
              </w:rPr>
            </w:pPr>
            <w:r w:rsidRPr="005D3F48">
              <w:rPr>
                <w:sz w:val="18"/>
                <w:szCs w:val="18"/>
                <w:lang w:val="en-US"/>
              </w:rPr>
              <w:t>16.3%</w:t>
            </w:r>
          </w:p>
        </w:tc>
        <w:tc>
          <w:tcPr>
            <w:tcW w:w="1298" w:type="dxa"/>
          </w:tcPr>
          <w:p w14:paraId="7C272042" w14:textId="77777777" w:rsidR="00CC7040" w:rsidRPr="005D3F48" w:rsidRDefault="00CC7040" w:rsidP="0054787A">
            <w:pPr>
              <w:pStyle w:val="DHHStabletext"/>
              <w:rPr>
                <w:sz w:val="18"/>
                <w:szCs w:val="18"/>
                <w:lang w:val="en-US"/>
              </w:rPr>
            </w:pPr>
            <w:r w:rsidRPr="005D3F48">
              <w:rPr>
                <w:sz w:val="18"/>
                <w:szCs w:val="18"/>
                <w:lang w:val="en-US"/>
              </w:rPr>
              <w:t>17.1%</w:t>
            </w:r>
          </w:p>
        </w:tc>
      </w:tr>
      <w:tr w:rsidR="00CC7040" w14:paraId="7CA7682D" w14:textId="77777777" w:rsidTr="004476F8">
        <w:tc>
          <w:tcPr>
            <w:tcW w:w="1695" w:type="dxa"/>
          </w:tcPr>
          <w:p w14:paraId="15ABA96D" w14:textId="77777777" w:rsidR="00CC7040" w:rsidRPr="005D3F48" w:rsidRDefault="00CC7040" w:rsidP="0054787A">
            <w:pPr>
              <w:pStyle w:val="DHHStabletext"/>
              <w:rPr>
                <w:sz w:val="18"/>
                <w:szCs w:val="18"/>
                <w:lang w:val="en-US"/>
              </w:rPr>
            </w:pPr>
            <w:r w:rsidRPr="005D3F48">
              <w:rPr>
                <w:sz w:val="18"/>
                <w:szCs w:val="18"/>
                <w:lang w:val="en-US"/>
              </w:rPr>
              <w:t>2.3 Proportion of Victorian population who identify as LGBTI with high or very high psychological distress (adults)</w:t>
            </w:r>
          </w:p>
        </w:tc>
        <w:tc>
          <w:tcPr>
            <w:tcW w:w="1228" w:type="dxa"/>
          </w:tcPr>
          <w:p w14:paraId="758F79FC" w14:textId="77777777" w:rsidR="00CC7040" w:rsidRPr="005D3F48" w:rsidRDefault="00CC7040" w:rsidP="0054787A">
            <w:pPr>
              <w:pStyle w:val="DHHStabletext"/>
              <w:rPr>
                <w:sz w:val="18"/>
                <w:szCs w:val="18"/>
                <w:lang w:val="en-US"/>
              </w:rPr>
            </w:pPr>
            <w:r w:rsidRPr="005D3F48">
              <w:rPr>
                <w:sz w:val="18"/>
                <w:szCs w:val="18"/>
                <w:lang w:val="en-US"/>
              </w:rPr>
              <w:t>2018</w:t>
            </w:r>
          </w:p>
        </w:tc>
        <w:tc>
          <w:tcPr>
            <w:tcW w:w="1401" w:type="dxa"/>
          </w:tcPr>
          <w:p w14:paraId="1C47AC04" w14:textId="51374567" w:rsidR="00CC7040" w:rsidRPr="005D3F48" w:rsidRDefault="00F2363E" w:rsidP="0054787A">
            <w:pPr>
              <w:pStyle w:val="DHHStabletext"/>
              <w:rPr>
                <w:sz w:val="18"/>
                <w:szCs w:val="18"/>
                <w:lang w:val="en-US"/>
              </w:rPr>
            </w:pPr>
            <w:r>
              <w:rPr>
                <w:sz w:val="18"/>
                <w:szCs w:val="18"/>
                <w:lang w:val="en-US"/>
              </w:rPr>
              <w:t>n/a</w:t>
            </w:r>
          </w:p>
        </w:tc>
        <w:tc>
          <w:tcPr>
            <w:tcW w:w="1128" w:type="dxa"/>
          </w:tcPr>
          <w:p w14:paraId="049EC57C" w14:textId="37C54267" w:rsidR="00CC7040" w:rsidRPr="005D3F48" w:rsidRDefault="00F2363E" w:rsidP="0054787A">
            <w:pPr>
              <w:pStyle w:val="DHHStabletext"/>
              <w:rPr>
                <w:sz w:val="18"/>
                <w:szCs w:val="18"/>
                <w:lang w:val="en-US"/>
              </w:rPr>
            </w:pPr>
            <w:r>
              <w:rPr>
                <w:sz w:val="18"/>
                <w:szCs w:val="18"/>
                <w:lang w:val="en-US"/>
              </w:rPr>
              <w:t>n/a</w:t>
            </w:r>
          </w:p>
        </w:tc>
        <w:tc>
          <w:tcPr>
            <w:tcW w:w="1131" w:type="dxa"/>
          </w:tcPr>
          <w:p w14:paraId="5A0AEA15" w14:textId="25914535" w:rsidR="00CC7040" w:rsidRPr="005D3F48" w:rsidRDefault="00F2363E" w:rsidP="0054787A">
            <w:pPr>
              <w:pStyle w:val="DHHStabletext"/>
              <w:rPr>
                <w:sz w:val="18"/>
                <w:szCs w:val="18"/>
                <w:lang w:val="en-US"/>
              </w:rPr>
            </w:pPr>
            <w:r>
              <w:rPr>
                <w:sz w:val="18"/>
                <w:szCs w:val="18"/>
                <w:lang w:val="en-US"/>
              </w:rPr>
              <w:t>n/a</w:t>
            </w:r>
          </w:p>
        </w:tc>
        <w:tc>
          <w:tcPr>
            <w:tcW w:w="1135" w:type="dxa"/>
          </w:tcPr>
          <w:p w14:paraId="6FC2FEC5" w14:textId="77777777" w:rsidR="00CC7040" w:rsidRPr="005D3F48" w:rsidRDefault="00CC7040" w:rsidP="0054787A">
            <w:pPr>
              <w:pStyle w:val="DHHStabletext"/>
              <w:rPr>
                <w:sz w:val="18"/>
                <w:szCs w:val="18"/>
                <w:lang w:val="en-US"/>
              </w:rPr>
            </w:pPr>
            <w:r w:rsidRPr="005D3F48">
              <w:rPr>
                <w:sz w:val="18"/>
                <w:szCs w:val="18"/>
                <w:lang w:val="en-US"/>
              </w:rPr>
              <w:t>22.1%</w:t>
            </w:r>
          </w:p>
        </w:tc>
        <w:tc>
          <w:tcPr>
            <w:tcW w:w="1298" w:type="dxa"/>
          </w:tcPr>
          <w:p w14:paraId="26B4AEEC" w14:textId="5118C949" w:rsidR="00CC7040" w:rsidRPr="005D3F48" w:rsidRDefault="00F2363E" w:rsidP="0054787A">
            <w:pPr>
              <w:pStyle w:val="DHHStabletext"/>
              <w:rPr>
                <w:sz w:val="18"/>
                <w:szCs w:val="18"/>
                <w:lang w:val="en-US"/>
              </w:rPr>
            </w:pPr>
            <w:r>
              <w:rPr>
                <w:sz w:val="18"/>
                <w:szCs w:val="18"/>
                <w:lang w:val="en-US"/>
              </w:rPr>
              <w:t>N</w:t>
            </w:r>
            <w:r w:rsidR="00CC7040" w:rsidRPr="005D3F48">
              <w:rPr>
                <w:sz w:val="18"/>
                <w:szCs w:val="18"/>
                <w:lang w:val="en-US"/>
              </w:rPr>
              <w:t>ot available for 2018</w:t>
            </w:r>
          </w:p>
        </w:tc>
      </w:tr>
    </w:tbl>
    <w:p w14:paraId="59C5689D" w14:textId="77777777" w:rsidR="00CC7040" w:rsidRPr="00D73EB5" w:rsidRDefault="00CC7040" w:rsidP="00F17C22">
      <w:pPr>
        <w:pStyle w:val="Heading3"/>
      </w:pPr>
      <w:r>
        <w:t xml:space="preserve">Outcome 3: </w:t>
      </w:r>
      <w:r w:rsidRPr="001A513C">
        <w:rPr>
          <w:lang w:eastAsia="en-AU"/>
        </w:rPr>
        <w:t>The gap in mental health and wellbeing for Aboriginal Victorians is reduce</w:t>
      </w:r>
      <w:r>
        <w:rPr>
          <w:lang w:eastAsia="en-AU"/>
        </w:rPr>
        <w:t>d</w:t>
      </w:r>
    </w:p>
    <w:p w14:paraId="054B2A14" w14:textId="060640CD" w:rsidR="00CC7040" w:rsidRDefault="00FB4EBE" w:rsidP="00CC7040">
      <w:pPr>
        <w:pStyle w:val="DHHSbody"/>
        <w:rPr>
          <w:rFonts w:ascii="Segoe UI" w:hAnsi="Segoe UI" w:cs="Segoe UI"/>
          <w:sz w:val="18"/>
          <w:szCs w:val="18"/>
        </w:rPr>
      </w:pPr>
      <w:r>
        <w:rPr>
          <w:rStyle w:val="normaltextrun"/>
        </w:rPr>
        <w:t>As discussed in section 3 of this report, o</w:t>
      </w:r>
      <w:r w:rsidR="00CC7040" w:rsidRPr="00402A6B">
        <w:rPr>
          <w:rStyle w:val="normaltextrun"/>
        </w:rPr>
        <w:t xml:space="preserve">utcome indicators relating to Aboriginal Victorians show that they continue to be over-represented in clinical mental health services. Aboriginal people form about 0.7 per cent of Victoria’s population, </w:t>
      </w:r>
      <w:r>
        <w:rPr>
          <w:rStyle w:val="normaltextrun"/>
        </w:rPr>
        <w:t xml:space="preserve">yet the proportion </w:t>
      </w:r>
      <w:r w:rsidR="00C31784">
        <w:rPr>
          <w:rStyle w:val="normaltextrun"/>
        </w:rPr>
        <w:t xml:space="preserve">of the Aboriginal population </w:t>
      </w:r>
      <w:r w:rsidR="00CC7040" w:rsidRPr="00402A6B">
        <w:rPr>
          <w:rStyle w:val="normaltextrun"/>
        </w:rPr>
        <w:t>receiving clinical mental health care</w:t>
      </w:r>
      <w:r w:rsidR="005A2CA9">
        <w:rPr>
          <w:rStyle w:val="normaltextrun"/>
        </w:rPr>
        <w:t xml:space="preserve"> sits at </w:t>
      </w:r>
      <w:r w:rsidR="00CC7040" w:rsidRPr="00402A6B">
        <w:rPr>
          <w:rStyle w:val="normaltextrun"/>
        </w:rPr>
        <w:t>3.1 per cent</w:t>
      </w:r>
      <w:r w:rsidR="005A2CA9">
        <w:rPr>
          <w:rStyle w:val="normaltextrun"/>
        </w:rPr>
        <w:t xml:space="preserve"> and</w:t>
      </w:r>
      <w:r w:rsidR="00CC7040" w:rsidRPr="00402A6B">
        <w:rPr>
          <w:rStyle w:val="normaltextrun"/>
        </w:rPr>
        <w:t xml:space="preserve"> has been trending upward over the </w:t>
      </w:r>
      <w:r w:rsidR="00D33A80">
        <w:rPr>
          <w:rStyle w:val="normaltextrun"/>
        </w:rPr>
        <w:t>p</w:t>
      </w:r>
      <w:r w:rsidR="00CC7040" w:rsidRPr="00402A6B">
        <w:rPr>
          <w:rStyle w:val="normaltextrun"/>
        </w:rPr>
        <w:t>ast five years. The proportion of Victorian Aboriginal children at school entry at high risk of clinically significant problems related to behaviour and emotional wellbeing reduced slightly this year to 18.5 per cent. </w:t>
      </w:r>
      <w:r w:rsidR="005A2CA9">
        <w:rPr>
          <w:rStyle w:val="normaltextrun"/>
        </w:rPr>
        <w:t>Although t</w:t>
      </w:r>
      <w:r w:rsidR="00CC7040" w:rsidRPr="00402A6B">
        <w:rPr>
          <w:rStyle w:val="normaltextrun"/>
        </w:rPr>
        <w:t xml:space="preserve">he proportion for all Victorian children rose in 2019, </w:t>
      </w:r>
      <w:r w:rsidR="005A2CA9">
        <w:rPr>
          <w:rStyle w:val="normaltextrun"/>
        </w:rPr>
        <w:t xml:space="preserve">at 6.7 per cent it </w:t>
      </w:r>
      <w:r w:rsidR="00CC7040" w:rsidRPr="00402A6B">
        <w:rPr>
          <w:rStyle w:val="normaltextrun"/>
        </w:rPr>
        <w:t xml:space="preserve">is substantially lower </w:t>
      </w:r>
      <w:r w:rsidR="005A2CA9">
        <w:rPr>
          <w:rStyle w:val="normaltextrun"/>
        </w:rPr>
        <w:t>than the proportion for Victorian Aboriginal children</w:t>
      </w:r>
      <w:r w:rsidR="00CC7040">
        <w:rPr>
          <w:rStyle w:val="normaltextrun"/>
          <w:rFonts w:cs="Arial"/>
          <w:sz w:val="22"/>
          <w:szCs w:val="22"/>
        </w:rPr>
        <w:t>.</w:t>
      </w:r>
      <w:r w:rsidR="00CC7040">
        <w:rPr>
          <w:rStyle w:val="FootnoteReference"/>
          <w:rFonts w:cs="Arial"/>
          <w:sz w:val="22"/>
          <w:szCs w:val="22"/>
        </w:rPr>
        <w:footnoteReference w:id="18"/>
      </w:r>
      <w:r w:rsidR="00894D3B">
        <w:rPr>
          <w:rStyle w:val="normaltextrun"/>
          <w:rFonts w:cs="Arial"/>
          <w:sz w:val="22"/>
          <w:szCs w:val="22"/>
        </w:rPr>
        <w:t xml:space="preserve"> </w:t>
      </w:r>
    </w:p>
    <w:p w14:paraId="0DF90B39" w14:textId="77777777" w:rsidR="00CC7040" w:rsidRPr="00AA04DB" w:rsidRDefault="00CC7040" w:rsidP="00F17C22">
      <w:pPr>
        <w:pStyle w:val="Heading4"/>
        <w:rPr>
          <w:rStyle w:val="normaltextrun"/>
          <w:b w:val="0"/>
          <w:bCs w:val="0"/>
        </w:rPr>
      </w:pPr>
      <w:r>
        <w:rPr>
          <w:lang w:eastAsia="en-AU"/>
        </w:rPr>
        <w:t>Indicators for Outcome 3</w:t>
      </w:r>
    </w:p>
    <w:tbl>
      <w:tblPr>
        <w:tblStyle w:val="MentalhealthARtablestyle"/>
        <w:tblW w:w="0" w:type="auto"/>
        <w:tblLook w:val="04A0" w:firstRow="1" w:lastRow="0" w:firstColumn="1" w:lastColumn="0" w:noHBand="0" w:noVBand="1"/>
      </w:tblPr>
      <w:tblGrid>
        <w:gridCol w:w="1695"/>
        <w:gridCol w:w="1228"/>
        <w:gridCol w:w="1401"/>
        <w:gridCol w:w="1128"/>
        <w:gridCol w:w="1131"/>
        <w:gridCol w:w="1135"/>
        <w:gridCol w:w="1298"/>
      </w:tblGrid>
      <w:tr w:rsidR="00CC7040" w:rsidRPr="008F7636" w14:paraId="1E255DF2" w14:textId="77777777" w:rsidTr="0054787A">
        <w:trPr>
          <w:cnfStyle w:val="100000000000" w:firstRow="1" w:lastRow="0" w:firstColumn="0" w:lastColumn="0" w:oddVBand="0" w:evenVBand="0" w:oddHBand="0" w:evenHBand="0" w:firstRowFirstColumn="0" w:firstRowLastColumn="0" w:lastRowFirstColumn="0" w:lastRowLastColumn="0"/>
          <w:tblHeader/>
        </w:trPr>
        <w:tc>
          <w:tcPr>
            <w:tcW w:w="1695" w:type="dxa"/>
          </w:tcPr>
          <w:p w14:paraId="2630437B" w14:textId="257A7CC0" w:rsidR="00CC7040" w:rsidRPr="005D3F48" w:rsidRDefault="00CC7040" w:rsidP="00B24E19">
            <w:pPr>
              <w:pStyle w:val="DHHStablecolhead"/>
              <w:rPr>
                <w:b/>
                <w:bCs/>
                <w:sz w:val="18"/>
                <w:szCs w:val="18"/>
              </w:rPr>
            </w:pPr>
            <w:r w:rsidRPr="005D3F48">
              <w:rPr>
                <w:b/>
                <w:bCs/>
                <w:sz w:val="18"/>
                <w:szCs w:val="18"/>
              </w:rPr>
              <w:t>Indicator</w:t>
            </w:r>
          </w:p>
        </w:tc>
        <w:tc>
          <w:tcPr>
            <w:tcW w:w="1228" w:type="dxa"/>
          </w:tcPr>
          <w:p w14:paraId="24997AE2" w14:textId="77777777" w:rsidR="00CC7040" w:rsidRPr="005D3F48" w:rsidRDefault="00CC7040" w:rsidP="00B24E19">
            <w:pPr>
              <w:pStyle w:val="DHHStablecolhead"/>
              <w:rPr>
                <w:b/>
                <w:bCs/>
                <w:sz w:val="18"/>
                <w:szCs w:val="18"/>
              </w:rPr>
            </w:pPr>
            <w:r w:rsidRPr="005D3F48">
              <w:rPr>
                <w:b/>
                <w:bCs/>
                <w:sz w:val="18"/>
                <w:szCs w:val="18"/>
              </w:rPr>
              <w:t>Reference</w:t>
            </w:r>
          </w:p>
          <w:p w14:paraId="2F0C0898" w14:textId="77777777" w:rsidR="00CC7040" w:rsidRPr="005D3F48" w:rsidRDefault="00CC7040" w:rsidP="00B24E19">
            <w:pPr>
              <w:pStyle w:val="DHHStablecolhead"/>
              <w:rPr>
                <w:b/>
                <w:bCs/>
                <w:sz w:val="18"/>
                <w:szCs w:val="18"/>
              </w:rPr>
            </w:pPr>
            <w:r w:rsidRPr="005D3F48">
              <w:rPr>
                <w:b/>
                <w:bCs/>
                <w:sz w:val="18"/>
                <w:szCs w:val="18"/>
              </w:rPr>
              <w:t>year</w:t>
            </w:r>
          </w:p>
        </w:tc>
        <w:tc>
          <w:tcPr>
            <w:tcW w:w="1401" w:type="dxa"/>
          </w:tcPr>
          <w:p w14:paraId="7BB2768C" w14:textId="77777777" w:rsidR="00CC7040" w:rsidRPr="005D3F48" w:rsidRDefault="00CC7040" w:rsidP="00B24E19">
            <w:pPr>
              <w:pStyle w:val="DHHStablecolhead"/>
              <w:rPr>
                <w:b/>
                <w:bCs/>
                <w:sz w:val="18"/>
                <w:szCs w:val="18"/>
              </w:rPr>
            </w:pPr>
            <w:r w:rsidRPr="005D3F48">
              <w:rPr>
                <w:b/>
                <w:bCs/>
                <w:sz w:val="18"/>
                <w:szCs w:val="18"/>
              </w:rPr>
              <w:t>Four years prior</w:t>
            </w:r>
          </w:p>
        </w:tc>
        <w:tc>
          <w:tcPr>
            <w:tcW w:w="1128" w:type="dxa"/>
          </w:tcPr>
          <w:p w14:paraId="087AD611" w14:textId="77777777" w:rsidR="00CC7040" w:rsidRPr="005D3F48" w:rsidRDefault="00CC7040" w:rsidP="00B24E19">
            <w:pPr>
              <w:pStyle w:val="DHHStablecolhead"/>
              <w:rPr>
                <w:b/>
                <w:bCs/>
                <w:sz w:val="18"/>
                <w:szCs w:val="18"/>
              </w:rPr>
            </w:pPr>
            <w:r w:rsidRPr="005D3F48">
              <w:rPr>
                <w:b/>
                <w:bCs/>
                <w:sz w:val="18"/>
                <w:szCs w:val="18"/>
              </w:rPr>
              <w:t>Three years prior</w:t>
            </w:r>
          </w:p>
        </w:tc>
        <w:tc>
          <w:tcPr>
            <w:tcW w:w="1131" w:type="dxa"/>
          </w:tcPr>
          <w:p w14:paraId="6B7311BB" w14:textId="77777777" w:rsidR="00CC7040" w:rsidRPr="005D3F48" w:rsidRDefault="00CC7040" w:rsidP="00B24E19">
            <w:pPr>
              <w:pStyle w:val="DHHStablecolhead"/>
              <w:rPr>
                <w:b/>
                <w:bCs/>
                <w:sz w:val="18"/>
                <w:szCs w:val="18"/>
              </w:rPr>
            </w:pPr>
            <w:r w:rsidRPr="005D3F48">
              <w:rPr>
                <w:b/>
                <w:bCs/>
                <w:sz w:val="18"/>
                <w:szCs w:val="18"/>
              </w:rPr>
              <w:t>Two years prior</w:t>
            </w:r>
          </w:p>
        </w:tc>
        <w:tc>
          <w:tcPr>
            <w:tcW w:w="1135" w:type="dxa"/>
          </w:tcPr>
          <w:p w14:paraId="387C1EAE" w14:textId="77777777" w:rsidR="00CC7040" w:rsidRPr="005D3F48" w:rsidRDefault="00CC7040" w:rsidP="00B24E19">
            <w:pPr>
              <w:pStyle w:val="DHHStablecolhead"/>
              <w:rPr>
                <w:b/>
                <w:bCs/>
                <w:sz w:val="18"/>
                <w:szCs w:val="18"/>
              </w:rPr>
            </w:pPr>
            <w:r w:rsidRPr="005D3F48">
              <w:rPr>
                <w:b/>
                <w:bCs/>
                <w:sz w:val="18"/>
                <w:szCs w:val="18"/>
              </w:rPr>
              <w:t>One year prior</w:t>
            </w:r>
          </w:p>
        </w:tc>
        <w:tc>
          <w:tcPr>
            <w:tcW w:w="1298" w:type="dxa"/>
          </w:tcPr>
          <w:p w14:paraId="0CB1DAD9" w14:textId="77777777" w:rsidR="00CC7040" w:rsidRPr="005D3F48" w:rsidRDefault="00CC7040" w:rsidP="00B24E19">
            <w:pPr>
              <w:pStyle w:val="DHHStablecolhead"/>
              <w:rPr>
                <w:b/>
                <w:bCs/>
                <w:sz w:val="18"/>
                <w:szCs w:val="18"/>
              </w:rPr>
            </w:pPr>
            <w:r w:rsidRPr="005D3F48">
              <w:rPr>
                <w:b/>
                <w:bCs/>
                <w:sz w:val="18"/>
                <w:szCs w:val="18"/>
              </w:rPr>
              <w:t>Most current data</w:t>
            </w:r>
          </w:p>
        </w:tc>
      </w:tr>
      <w:tr w:rsidR="00CC7040" w14:paraId="47DC2B77" w14:textId="77777777" w:rsidTr="004476F8">
        <w:tc>
          <w:tcPr>
            <w:tcW w:w="1695" w:type="dxa"/>
          </w:tcPr>
          <w:p w14:paraId="1A91DFB6" w14:textId="4E4A6AA8" w:rsidR="00CC7040" w:rsidRPr="005D3F48" w:rsidRDefault="00CC7040" w:rsidP="0054787A">
            <w:pPr>
              <w:pStyle w:val="DHHStabletext"/>
              <w:rPr>
                <w:sz w:val="18"/>
                <w:szCs w:val="18"/>
                <w:lang w:val="en-US"/>
              </w:rPr>
            </w:pPr>
            <w:r w:rsidRPr="005D3F48">
              <w:rPr>
                <w:sz w:val="18"/>
                <w:szCs w:val="18"/>
                <w:lang w:val="en-US"/>
              </w:rPr>
              <w:t>3.1 Proportion of Victorian Aboriginal population who are receiving clinical mental health</w:t>
            </w:r>
            <w:r w:rsidR="00D33A80">
              <w:rPr>
                <w:sz w:val="18"/>
                <w:szCs w:val="18"/>
                <w:lang w:val="en-US"/>
              </w:rPr>
              <w:t xml:space="preserve"> </w:t>
            </w:r>
            <w:r w:rsidRPr="005D3F48">
              <w:rPr>
                <w:sz w:val="18"/>
                <w:szCs w:val="18"/>
                <w:lang w:val="en-US"/>
              </w:rPr>
              <w:t>care</w:t>
            </w:r>
          </w:p>
        </w:tc>
        <w:tc>
          <w:tcPr>
            <w:tcW w:w="1228" w:type="dxa"/>
          </w:tcPr>
          <w:p w14:paraId="694017F1" w14:textId="40FECA9A" w:rsidR="00CC7040" w:rsidRPr="005D3F48" w:rsidRDefault="00894D3B" w:rsidP="0054787A">
            <w:pPr>
              <w:pStyle w:val="DHHStabletext"/>
              <w:rPr>
                <w:sz w:val="18"/>
                <w:szCs w:val="18"/>
                <w:lang w:val="en-US"/>
              </w:rPr>
            </w:pPr>
            <w:r w:rsidRPr="005D3F48">
              <w:rPr>
                <w:sz w:val="18"/>
                <w:szCs w:val="18"/>
                <w:lang w:val="en-US"/>
              </w:rPr>
              <w:t>2019–20</w:t>
            </w:r>
          </w:p>
        </w:tc>
        <w:tc>
          <w:tcPr>
            <w:tcW w:w="1401" w:type="dxa"/>
          </w:tcPr>
          <w:p w14:paraId="5AE355AF" w14:textId="76A6FC8E" w:rsidR="00CC7040" w:rsidRPr="005D3F48" w:rsidRDefault="00CC7040" w:rsidP="0054787A">
            <w:pPr>
              <w:pStyle w:val="DHHStabletext"/>
              <w:rPr>
                <w:sz w:val="18"/>
                <w:szCs w:val="18"/>
                <w:lang w:val="en-US"/>
              </w:rPr>
            </w:pPr>
            <w:r w:rsidRPr="005D3F48">
              <w:rPr>
                <w:sz w:val="18"/>
                <w:szCs w:val="18"/>
                <w:lang w:val="en-US"/>
              </w:rPr>
              <w:t>2.6</w:t>
            </w:r>
            <w:r w:rsidR="00014367" w:rsidRPr="005D3F48">
              <w:rPr>
                <w:sz w:val="18"/>
                <w:szCs w:val="18"/>
                <w:lang w:val="en-US"/>
              </w:rPr>
              <w:t>%</w:t>
            </w:r>
          </w:p>
        </w:tc>
        <w:tc>
          <w:tcPr>
            <w:tcW w:w="1128" w:type="dxa"/>
          </w:tcPr>
          <w:p w14:paraId="5E5B124F" w14:textId="00345672" w:rsidR="00CC7040" w:rsidRPr="005D3F48" w:rsidRDefault="00CC7040" w:rsidP="0054787A">
            <w:pPr>
              <w:pStyle w:val="DHHStabletext"/>
              <w:rPr>
                <w:sz w:val="18"/>
                <w:szCs w:val="18"/>
                <w:lang w:val="en-US"/>
              </w:rPr>
            </w:pPr>
            <w:r w:rsidRPr="005D3F48">
              <w:rPr>
                <w:sz w:val="18"/>
                <w:szCs w:val="18"/>
                <w:lang w:val="en-US"/>
              </w:rPr>
              <w:t>2.7</w:t>
            </w:r>
            <w:r w:rsidR="00014367" w:rsidRPr="005D3F48">
              <w:rPr>
                <w:sz w:val="18"/>
                <w:szCs w:val="18"/>
                <w:lang w:val="en-US"/>
              </w:rPr>
              <w:t>%</w:t>
            </w:r>
          </w:p>
        </w:tc>
        <w:tc>
          <w:tcPr>
            <w:tcW w:w="1131" w:type="dxa"/>
          </w:tcPr>
          <w:p w14:paraId="66DA4494" w14:textId="59629230" w:rsidR="00CC7040" w:rsidRPr="005D3F48" w:rsidRDefault="00CC7040" w:rsidP="0054787A">
            <w:pPr>
              <w:pStyle w:val="DHHStabletext"/>
              <w:rPr>
                <w:sz w:val="18"/>
                <w:szCs w:val="18"/>
                <w:lang w:val="en-US"/>
              </w:rPr>
            </w:pPr>
            <w:r w:rsidRPr="005D3F48">
              <w:rPr>
                <w:sz w:val="18"/>
                <w:szCs w:val="18"/>
                <w:lang w:val="en-US"/>
              </w:rPr>
              <w:t>2.8</w:t>
            </w:r>
            <w:r w:rsidR="00014367" w:rsidRPr="005D3F48">
              <w:rPr>
                <w:sz w:val="18"/>
                <w:szCs w:val="18"/>
                <w:lang w:val="en-US"/>
              </w:rPr>
              <w:t>%</w:t>
            </w:r>
          </w:p>
        </w:tc>
        <w:tc>
          <w:tcPr>
            <w:tcW w:w="1135" w:type="dxa"/>
          </w:tcPr>
          <w:p w14:paraId="5E85C079" w14:textId="4E274B58" w:rsidR="00CC7040" w:rsidRPr="005D3F48" w:rsidRDefault="00CC7040" w:rsidP="0054787A">
            <w:pPr>
              <w:pStyle w:val="DHHStabletext"/>
              <w:rPr>
                <w:sz w:val="18"/>
                <w:szCs w:val="18"/>
                <w:lang w:val="en-US"/>
              </w:rPr>
            </w:pPr>
            <w:r w:rsidRPr="005D3F48">
              <w:rPr>
                <w:sz w:val="18"/>
                <w:szCs w:val="18"/>
                <w:lang w:val="en-US"/>
              </w:rPr>
              <w:t>2.9</w:t>
            </w:r>
            <w:r w:rsidR="00014367" w:rsidRPr="005D3F48">
              <w:rPr>
                <w:sz w:val="18"/>
                <w:szCs w:val="18"/>
                <w:lang w:val="en-US"/>
              </w:rPr>
              <w:t>%</w:t>
            </w:r>
          </w:p>
        </w:tc>
        <w:tc>
          <w:tcPr>
            <w:tcW w:w="1298" w:type="dxa"/>
          </w:tcPr>
          <w:p w14:paraId="4C35D293" w14:textId="23C00F6D" w:rsidR="00CC7040" w:rsidRPr="005D3F48" w:rsidRDefault="00CC7040" w:rsidP="0054787A">
            <w:pPr>
              <w:pStyle w:val="DHHStabletext"/>
              <w:rPr>
                <w:sz w:val="18"/>
                <w:szCs w:val="18"/>
                <w:lang w:val="en-US"/>
              </w:rPr>
            </w:pPr>
            <w:r w:rsidRPr="005D3F48">
              <w:rPr>
                <w:sz w:val="18"/>
                <w:szCs w:val="18"/>
                <w:lang w:val="en-US"/>
              </w:rPr>
              <w:t>3.1</w:t>
            </w:r>
            <w:r w:rsidR="00014367" w:rsidRPr="005D3F48">
              <w:rPr>
                <w:sz w:val="18"/>
                <w:szCs w:val="18"/>
                <w:lang w:val="en-US"/>
              </w:rPr>
              <w:t>%</w:t>
            </w:r>
          </w:p>
        </w:tc>
      </w:tr>
      <w:tr w:rsidR="00CC7040" w14:paraId="37A2F7D0" w14:textId="77777777" w:rsidTr="004476F8">
        <w:tc>
          <w:tcPr>
            <w:tcW w:w="1695" w:type="dxa"/>
          </w:tcPr>
          <w:p w14:paraId="647C5ACE" w14:textId="77777777" w:rsidR="00CC7040" w:rsidRPr="005D3F48" w:rsidRDefault="00CC7040" w:rsidP="0054787A">
            <w:pPr>
              <w:pStyle w:val="DHHStabletext"/>
              <w:rPr>
                <w:sz w:val="18"/>
                <w:szCs w:val="18"/>
                <w:lang w:val="en-US"/>
              </w:rPr>
            </w:pPr>
            <w:r w:rsidRPr="005D3F48">
              <w:rPr>
                <w:sz w:val="18"/>
                <w:szCs w:val="18"/>
                <w:lang w:val="en-US"/>
              </w:rPr>
              <w:t>3.2 Proportion of Victorian Aboriginal population with high or very high psychological distress</w:t>
            </w:r>
          </w:p>
        </w:tc>
        <w:tc>
          <w:tcPr>
            <w:tcW w:w="1228" w:type="dxa"/>
          </w:tcPr>
          <w:p w14:paraId="11B4843B" w14:textId="77777777" w:rsidR="00CC7040" w:rsidRPr="005D3F48" w:rsidRDefault="00CC7040" w:rsidP="0054787A">
            <w:pPr>
              <w:pStyle w:val="DHHStabletext"/>
              <w:rPr>
                <w:sz w:val="18"/>
                <w:szCs w:val="18"/>
                <w:lang w:val="en-US"/>
              </w:rPr>
            </w:pPr>
            <w:r w:rsidRPr="005D3F48">
              <w:rPr>
                <w:sz w:val="18"/>
                <w:szCs w:val="18"/>
                <w:lang w:val="en-US"/>
              </w:rPr>
              <w:t>2018</w:t>
            </w:r>
          </w:p>
        </w:tc>
        <w:tc>
          <w:tcPr>
            <w:tcW w:w="1401" w:type="dxa"/>
          </w:tcPr>
          <w:p w14:paraId="5541746B" w14:textId="5359C1E1" w:rsidR="00CC7040" w:rsidRPr="005D3F48" w:rsidRDefault="00F2363E" w:rsidP="0054787A">
            <w:pPr>
              <w:pStyle w:val="DHHStabletext"/>
              <w:rPr>
                <w:sz w:val="18"/>
                <w:szCs w:val="18"/>
                <w:lang w:val="en-US"/>
              </w:rPr>
            </w:pPr>
            <w:r>
              <w:rPr>
                <w:sz w:val="18"/>
                <w:szCs w:val="18"/>
                <w:lang w:val="en-US"/>
              </w:rPr>
              <w:t>n/a</w:t>
            </w:r>
            <w:r w:rsidR="00E92DF3">
              <w:rPr>
                <w:rStyle w:val="FootnoteReference"/>
                <w:sz w:val="18"/>
                <w:szCs w:val="18"/>
                <w:lang w:val="en-US"/>
              </w:rPr>
              <w:footnoteReference w:id="19"/>
            </w:r>
          </w:p>
        </w:tc>
        <w:tc>
          <w:tcPr>
            <w:tcW w:w="1128" w:type="dxa"/>
          </w:tcPr>
          <w:p w14:paraId="4B1C146C" w14:textId="22C714BA" w:rsidR="00CC7040" w:rsidRPr="005D3F48" w:rsidRDefault="00CC7040" w:rsidP="0054787A">
            <w:pPr>
              <w:pStyle w:val="DHHStabletext"/>
              <w:rPr>
                <w:sz w:val="18"/>
                <w:szCs w:val="18"/>
                <w:lang w:val="en-US"/>
              </w:rPr>
            </w:pPr>
            <w:r w:rsidRPr="005D3F48">
              <w:rPr>
                <w:sz w:val="18"/>
                <w:szCs w:val="18"/>
                <w:lang w:val="en-US"/>
              </w:rPr>
              <w:t>17.7%</w:t>
            </w:r>
            <w:r w:rsidR="00E92DF3">
              <w:rPr>
                <w:rStyle w:val="FootnoteReference"/>
                <w:sz w:val="18"/>
                <w:szCs w:val="18"/>
                <w:lang w:val="en-US"/>
              </w:rPr>
              <w:footnoteReference w:id="20"/>
            </w:r>
          </w:p>
        </w:tc>
        <w:tc>
          <w:tcPr>
            <w:tcW w:w="1131" w:type="dxa"/>
          </w:tcPr>
          <w:p w14:paraId="0F484E20" w14:textId="77777777" w:rsidR="00CC7040" w:rsidRPr="005D3F48" w:rsidRDefault="00CC7040" w:rsidP="0054787A">
            <w:pPr>
              <w:pStyle w:val="DHHStabletext"/>
              <w:rPr>
                <w:sz w:val="18"/>
                <w:szCs w:val="18"/>
                <w:lang w:val="en-US"/>
              </w:rPr>
            </w:pPr>
            <w:r w:rsidRPr="005D3F48">
              <w:rPr>
                <w:sz w:val="18"/>
                <w:szCs w:val="18"/>
                <w:lang w:val="en-US"/>
              </w:rPr>
              <w:t>27.9%</w:t>
            </w:r>
          </w:p>
        </w:tc>
        <w:tc>
          <w:tcPr>
            <w:tcW w:w="1135" w:type="dxa"/>
          </w:tcPr>
          <w:p w14:paraId="63E9E1C3" w14:textId="77777777" w:rsidR="00CC7040" w:rsidRPr="005D3F48" w:rsidRDefault="00CC7040" w:rsidP="0054787A">
            <w:pPr>
              <w:pStyle w:val="DHHStabletext"/>
              <w:rPr>
                <w:sz w:val="18"/>
                <w:szCs w:val="18"/>
                <w:lang w:val="en-US"/>
              </w:rPr>
            </w:pPr>
            <w:r w:rsidRPr="005D3F48">
              <w:rPr>
                <w:sz w:val="18"/>
                <w:szCs w:val="18"/>
                <w:lang w:val="en-US"/>
              </w:rPr>
              <w:t>25.0%</w:t>
            </w:r>
          </w:p>
        </w:tc>
        <w:tc>
          <w:tcPr>
            <w:tcW w:w="1298" w:type="dxa"/>
          </w:tcPr>
          <w:p w14:paraId="1E86E243" w14:textId="77777777" w:rsidR="00CC7040" w:rsidRPr="005D3F48" w:rsidRDefault="00CC7040" w:rsidP="0054787A">
            <w:pPr>
              <w:pStyle w:val="DHHStabletext"/>
              <w:rPr>
                <w:sz w:val="18"/>
                <w:szCs w:val="18"/>
                <w:lang w:val="en-US"/>
              </w:rPr>
            </w:pPr>
            <w:r w:rsidRPr="005D3F48">
              <w:rPr>
                <w:sz w:val="18"/>
                <w:szCs w:val="18"/>
                <w:lang w:val="en-US"/>
              </w:rPr>
              <w:t>30.3%</w:t>
            </w:r>
          </w:p>
        </w:tc>
      </w:tr>
      <w:tr w:rsidR="00CC7040" w14:paraId="3E0E48B1" w14:textId="77777777" w:rsidTr="004476F8">
        <w:tc>
          <w:tcPr>
            <w:tcW w:w="1695" w:type="dxa"/>
          </w:tcPr>
          <w:p w14:paraId="0209A761" w14:textId="77777777" w:rsidR="00CC7040" w:rsidRPr="005D3F48" w:rsidRDefault="00CC7040" w:rsidP="0054787A">
            <w:pPr>
              <w:pStyle w:val="DHHStabletext"/>
              <w:rPr>
                <w:sz w:val="18"/>
                <w:szCs w:val="18"/>
                <w:lang w:val="en-US"/>
              </w:rPr>
            </w:pPr>
            <w:r w:rsidRPr="005D3F48">
              <w:rPr>
                <w:sz w:val="18"/>
                <w:szCs w:val="18"/>
                <w:lang w:val="en-US"/>
              </w:rPr>
              <w:t xml:space="preserve">3.3 Proportion of Victorian Aboriginal children at school entry at high risk of clinically significant problems related to behaviour and emotional wellbeing </w:t>
            </w:r>
          </w:p>
        </w:tc>
        <w:tc>
          <w:tcPr>
            <w:tcW w:w="1228" w:type="dxa"/>
          </w:tcPr>
          <w:p w14:paraId="4766EC49" w14:textId="77777777" w:rsidR="00CC7040" w:rsidRPr="005D3F48" w:rsidRDefault="00CC7040" w:rsidP="0054787A">
            <w:pPr>
              <w:pStyle w:val="DHHStabletext"/>
              <w:rPr>
                <w:sz w:val="18"/>
                <w:szCs w:val="18"/>
                <w:lang w:val="en-US"/>
              </w:rPr>
            </w:pPr>
            <w:r w:rsidRPr="005D3F48">
              <w:rPr>
                <w:sz w:val="18"/>
                <w:szCs w:val="18"/>
                <w:lang w:val="en-US"/>
              </w:rPr>
              <w:t>2019</w:t>
            </w:r>
          </w:p>
        </w:tc>
        <w:tc>
          <w:tcPr>
            <w:tcW w:w="1401" w:type="dxa"/>
          </w:tcPr>
          <w:p w14:paraId="52838144" w14:textId="7BD367E0" w:rsidR="00CC7040" w:rsidRPr="005D3F48" w:rsidRDefault="00F2363E" w:rsidP="0054787A">
            <w:pPr>
              <w:pStyle w:val="DHHStabletext"/>
              <w:rPr>
                <w:sz w:val="18"/>
                <w:szCs w:val="18"/>
                <w:lang w:val="en-US"/>
              </w:rPr>
            </w:pPr>
            <w:r>
              <w:rPr>
                <w:sz w:val="18"/>
                <w:szCs w:val="18"/>
                <w:lang w:val="en-US"/>
              </w:rPr>
              <w:t>n</w:t>
            </w:r>
            <w:r w:rsidR="00CC7040" w:rsidRPr="005D3F48">
              <w:rPr>
                <w:sz w:val="18"/>
                <w:szCs w:val="18"/>
                <w:lang w:val="en-US"/>
              </w:rPr>
              <w:t>/</w:t>
            </w:r>
            <w:r>
              <w:rPr>
                <w:sz w:val="18"/>
                <w:szCs w:val="18"/>
                <w:lang w:val="en-US"/>
              </w:rPr>
              <w:t>a</w:t>
            </w:r>
          </w:p>
        </w:tc>
        <w:tc>
          <w:tcPr>
            <w:tcW w:w="1128" w:type="dxa"/>
          </w:tcPr>
          <w:p w14:paraId="1A02E8E5" w14:textId="77777777" w:rsidR="00CC7040" w:rsidRPr="005D3F48" w:rsidRDefault="00CC7040" w:rsidP="0054787A">
            <w:pPr>
              <w:pStyle w:val="DHHStabletext"/>
              <w:rPr>
                <w:sz w:val="18"/>
                <w:szCs w:val="18"/>
                <w:lang w:val="en-US"/>
              </w:rPr>
            </w:pPr>
            <w:r w:rsidRPr="005D3F48">
              <w:rPr>
                <w:sz w:val="18"/>
                <w:szCs w:val="18"/>
                <w:lang w:val="en-US"/>
              </w:rPr>
              <w:t>15.6%</w:t>
            </w:r>
          </w:p>
        </w:tc>
        <w:tc>
          <w:tcPr>
            <w:tcW w:w="1131" w:type="dxa"/>
          </w:tcPr>
          <w:p w14:paraId="7CAD4ED6" w14:textId="77777777" w:rsidR="00CC7040" w:rsidRPr="005D3F48" w:rsidRDefault="00CC7040" w:rsidP="0054787A">
            <w:pPr>
              <w:pStyle w:val="DHHStabletext"/>
              <w:rPr>
                <w:sz w:val="18"/>
                <w:szCs w:val="18"/>
                <w:lang w:val="en-US"/>
              </w:rPr>
            </w:pPr>
            <w:r w:rsidRPr="005D3F48">
              <w:rPr>
                <w:sz w:val="18"/>
                <w:szCs w:val="18"/>
                <w:lang w:val="en-US"/>
              </w:rPr>
              <w:t>14.4%</w:t>
            </w:r>
          </w:p>
        </w:tc>
        <w:tc>
          <w:tcPr>
            <w:tcW w:w="1135" w:type="dxa"/>
          </w:tcPr>
          <w:p w14:paraId="1FB66A0B" w14:textId="77777777" w:rsidR="00CC7040" w:rsidRPr="005D3F48" w:rsidRDefault="00CC7040" w:rsidP="0054787A">
            <w:pPr>
              <w:pStyle w:val="DHHStabletext"/>
              <w:rPr>
                <w:sz w:val="18"/>
                <w:szCs w:val="18"/>
                <w:lang w:val="en-US"/>
              </w:rPr>
            </w:pPr>
            <w:r w:rsidRPr="005D3F48">
              <w:rPr>
                <w:sz w:val="18"/>
                <w:szCs w:val="18"/>
                <w:lang w:val="en-US"/>
              </w:rPr>
              <w:t>19.0%</w:t>
            </w:r>
          </w:p>
        </w:tc>
        <w:tc>
          <w:tcPr>
            <w:tcW w:w="1298" w:type="dxa"/>
          </w:tcPr>
          <w:p w14:paraId="340EFD0A" w14:textId="77777777" w:rsidR="00CC7040" w:rsidRPr="005D3F48" w:rsidRDefault="00CC7040" w:rsidP="0054787A">
            <w:pPr>
              <w:pStyle w:val="DHHStabletext"/>
              <w:rPr>
                <w:sz w:val="18"/>
                <w:szCs w:val="18"/>
                <w:lang w:val="en-US"/>
              </w:rPr>
            </w:pPr>
            <w:r w:rsidRPr="005D3F48">
              <w:rPr>
                <w:sz w:val="18"/>
                <w:szCs w:val="18"/>
                <w:lang w:val="en-US"/>
              </w:rPr>
              <w:t>18.5%</w:t>
            </w:r>
          </w:p>
        </w:tc>
      </w:tr>
    </w:tbl>
    <w:p w14:paraId="107D161D" w14:textId="77777777" w:rsidR="00CC7040" w:rsidRDefault="00CC7040" w:rsidP="00F17C22">
      <w:pPr>
        <w:pStyle w:val="Heading3"/>
        <w:rPr>
          <w:rStyle w:val="normaltextrun"/>
        </w:rPr>
      </w:pPr>
      <w:r>
        <w:rPr>
          <w:rStyle w:val="normaltextrun"/>
        </w:rPr>
        <w:t xml:space="preserve">Outcome 4: </w:t>
      </w:r>
      <w:r w:rsidRPr="001A513C">
        <w:rPr>
          <w:lang w:eastAsia="en-AU"/>
        </w:rPr>
        <w:t>The rate of suicide is reduced</w:t>
      </w:r>
    </w:p>
    <w:p w14:paraId="301E62A7" w14:textId="166D57F5" w:rsidR="00560BA1" w:rsidRDefault="00AA29AE" w:rsidP="00CC7040">
      <w:pPr>
        <w:pStyle w:val="DHHSbody"/>
        <w:rPr>
          <w:rStyle w:val="normaltextrun"/>
        </w:rPr>
      </w:pPr>
      <w:r>
        <w:rPr>
          <w:rStyle w:val="normaltextrun"/>
        </w:rPr>
        <w:t>D</w:t>
      </w:r>
      <w:r w:rsidR="00CC7040" w:rsidRPr="00AB2773">
        <w:rPr>
          <w:rStyle w:val="normaltextrun"/>
        </w:rPr>
        <w:t>ata for this indicator is drawn from the Australian Bureau of Statistics </w:t>
      </w:r>
      <w:r w:rsidR="00CC7040" w:rsidRPr="00360173">
        <w:rPr>
          <w:rStyle w:val="normaltextrun"/>
          <w:i/>
          <w:iCs/>
        </w:rPr>
        <w:t xml:space="preserve">Causes of </w:t>
      </w:r>
      <w:r w:rsidR="00D33A80">
        <w:rPr>
          <w:rStyle w:val="normaltextrun"/>
          <w:i/>
          <w:iCs/>
        </w:rPr>
        <w:t>d</w:t>
      </w:r>
      <w:r w:rsidR="00CC7040" w:rsidRPr="00360173">
        <w:rPr>
          <w:rStyle w:val="normaltextrun"/>
          <w:i/>
          <w:iCs/>
        </w:rPr>
        <w:t>eath</w:t>
      </w:r>
      <w:r w:rsidR="00CC7040">
        <w:rPr>
          <w:rStyle w:val="normaltextrun"/>
        </w:rPr>
        <w:t xml:space="preserve"> </w:t>
      </w:r>
      <w:r w:rsidR="00CC7040" w:rsidRPr="00AB2773">
        <w:rPr>
          <w:rStyle w:val="normaltextrun"/>
        </w:rPr>
        <w:t>publication.</w:t>
      </w:r>
      <w:r w:rsidR="00CC7040">
        <w:rPr>
          <w:rStyle w:val="normaltextrun"/>
        </w:rPr>
        <w:t xml:space="preserve"> </w:t>
      </w:r>
      <w:r w:rsidR="00560BA1">
        <w:rPr>
          <w:rStyle w:val="normaltextrun"/>
        </w:rPr>
        <w:t>There has been a revis</w:t>
      </w:r>
      <w:r w:rsidR="007A7358">
        <w:rPr>
          <w:rStyle w:val="normaltextrun"/>
        </w:rPr>
        <w:t>i</w:t>
      </w:r>
      <w:r w:rsidR="00560BA1">
        <w:rPr>
          <w:rStyle w:val="normaltextrun"/>
        </w:rPr>
        <w:t xml:space="preserve">on of Victoria’s suicide data for 2019 and previous years in this report.  Changes made in the registration system at the Victorian Registry of Births, Deaths and Marriages caused under-reporting of some deaths in the 2018 edition of </w:t>
      </w:r>
      <w:r w:rsidR="00560BA1" w:rsidRPr="00EB7303">
        <w:rPr>
          <w:rStyle w:val="normaltextrun"/>
          <w:i/>
          <w:iCs/>
        </w:rPr>
        <w:t>Causes of death</w:t>
      </w:r>
      <w:r w:rsidR="00560BA1">
        <w:rPr>
          <w:rStyle w:val="normaltextrun"/>
        </w:rPr>
        <w:t>.</w:t>
      </w:r>
    </w:p>
    <w:p w14:paraId="29C60C43" w14:textId="51C854BF" w:rsidR="00CC7040" w:rsidRDefault="00560BA1" w:rsidP="00CC7040">
      <w:pPr>
        <w:pStyle w:val="DHHSbody"/>
        <w:rPr>
          <w:rStyle w:val="normaltextrun"/>
        </w:rPr>
      </w:pPr>
      <w:r>
        <w:rPr>
          <w:rStyle w:val="normaltextrun"/>
        </w:rPr>
        <w:t xml:space="preserve">There has been a slight increase in the suicide rate for Victoria in 2019, with a rate of 10.7 deaths (per 100,000) compared to 10.4 in 2018.  Victoria’s age-standardised rate is the lowest of any state or territory </w:t>
      </w:r>
      <w:r w:rsidR="00C31784">
        <w:rPr>
          <w:rStyle w:val="normaltextrun"/>
        </w:rPr>
        <w:t xml:space="preserve">in Australia </w:t>
      </w:r>
      <w:r>
        <w:rPr>
          <w:rStyle w:val="normaltextrun"/>
        </w:rPr>
        <w:t xml:space="preserve">and is lower than the national rate of 12.9. Victoria’s rate </w:t>
      </w:r>
      <w:r w:rsidR="00C31784">
        <w:rPr>
          <w:rStyle w:val="normaltextrun"/>
        </w:rPr>
        <w:t xml:space="preserve">has been </w:t>
      </w:r>
      <w:r>
        <w:rPr>
          <w:rStyle w:val="normaltextrun"/>
        </w:rPr>
        <w:t xml:space="preserve">fairly stable over the last several years, sitting in the range 10.1-11.1 per 100,000 population. </w:t>
      </w:r>
      <w:r w:rsidR="00CC7040" w:rsidRPr="00AB2773">
        <w:rPr>
          <w:rStyle w:val="normaltextrun"/>
        </w:rPr>
        <w:t> </w:t>
      </w:r>
      <w:r w:rsidR="007A7358">
        <w:rPr>
          <w:rStyle w:val="normaltextrun"/>
        </w:rPr>
        <w:t xml:space="preserve">There has been heightened concern about suicide with the </w:t>
      </w:r>
      <w:r w:rsidR="00AA1DD4">
        <w:rPr>
          <w:rStyle w:val="normaltextrun"/>
        </w:rPr>
        <w:t xml:space="preserve">coronavirus (COVID-19) </w:t>
      </w:r>
      <w:r w:rsidR="007A7358">
        <w:rPr>
          <w:rStyle w:val="normaltextrun"/>
        </w:rPr>
        <w:t xml:space="preserve">pandemic.  </w:t>
      </w:r>
      <w:r>
        <w:rPr>
          <w:rStyle w:val="normaltextrun"/>
        </w:rPr>
        <w:t>D</w:t>
      </w:r>
      <w:r w:rsidR="00CC7040" w:rsidRPr="00AB2773">
        <w:rPr>
          <w:rStyle w:val="normaltextrun"/>
        </w:rPr>
        <w:t>ata released by the State Coroner </w:t>
      </w:r>
      <w:r w:rsidR="00FB4EBE">
        <w:rPr>
          <w:rStyle w:val="normaltextrun"/>
        </w:rPr>
        <w:t xml:space="preserve">indicates </w:t>
      </w:r>
      <w:r w:rsidR="00CC7040" w:rsidRPr="00AB2773">
        <w:rPr>
          <w:rStyle w:val="normaltextrun"/>
        </w:rPr>
        <w:t xml:space="preserve">that the </w:t>
      </w:r>
      <w:r w:rsidR="007A7358">
        <w:rPr>
          <w:rStyle w:val="normaltextrun"/>
        </w:rPr>
        <w:t xml:space="preserve">year-to-date </w:t>
      </w:r>
      <w:r w:rsidR="00CC7040" w:rsidRPr="00AB2773">
        <w:rPr>
          <w:rStyle w:val="normaltextrun"/>
        </w:rPr>
        <w:t>number of suicide deaths in Victoria at</w:t>
      </w:r>
      <w:r w:rsidR="00D33A80">
        <w:rPr>
          <w:rStyle w:val="normaltextrun"/>
        </w:rPr>
        <w:t xml:space="preserve"> the</w:t>
      </w:r>
      <w:r w:rsidR="00CC7040" w:rsidRPr="00AB2773">
        <w:rPr>
          <w:rStyle w:val="normaltextrun"/>
        </w:rPr>
        <w:t xml:space="preserve"> end</w:t>
      </w:r>
      <w:r w:rsidR="00D33A80">
        <w:rPr>
          <w:rStyle w:val="normaltextrun"/>
        </w:rPr>
        <w:t xml:space="preserve"> of </w:t>
      </w:r>
      <w:r w:rsidR="00CC7040" w:rsidRPr="00AB2773">
        <w:rPr>
          <w:rStyle w:val="normaltextrun"/>
        </w:rPr>
        <w:t>September 2020 is at a</w:t>
      </w:r>
      <w:r w:rsidR="007A7358">
        <w:rPr>
          <w:rStyle w:val="normaltextrun"/>
        </w:rPr>
        <w:t xml:space="preserve"> very</w:t>
      </w:r>
      <w:r w:rsidR="00CC7040" w:rsidRPr="00AB2773">
        <w:rPr>
          <w:rStyle w:val="normaltextrun"/>
        </w:rPr>
        <w:t xml:space="preserve"> similar level to the same period in 2019. </w:t>
      </w:r>
    </w:p>
    <w:p w14:paraId="2DD122E2" w14:textId="77777777" w:rsidR="00CC7040" w:rsidRDefault="00CC7040" w:rsidP="00F17C22">
      <w:pPr>
        <w:pStyle w:val="Heading4"/>
        <w:rPr>
          <w:rStyle w:val="normaltextrun"/>
        </w:rPr>
      </w:pPr>
      <w:r w:rsidRPr="0016523E">
        <w:rPr>
          <w:lang w:eastAsia="en-AU"/>
        </w:rPr>
        <w:t>Indicators for Outcome 4</w:t>
      </w:r>
    </w:p>
    <w:tbl>
      <w:tblPr>
        <w:tblStyle w:val="MentalhealthARtablestyle"/>
        <w:tblW w:w="0" w:type="auto"/>
        <w:tblLook w:val="04A0" w:firstRow="1" w:lastRow="0" w:firstColumn="1" w:lastColumn="0" w:noHBand="0" w:noVBand="1"/>
      </w:tblPr>
      <w:tblGrid>
        <w:gridCol w:w="1695"/>
        <w:gridCol w:w="1228"/>
        <w:gridCol w:w="1401"/>
        <w:gridCol w:w="1128"/>
        <w:gridCol w:w="1131"/>
        <w:gridCol w:w="1135"/>
        <w:gridCol w:w="1298"/>
      </w:tblGrid>
      <w:tr w:rsidR="00CC7040" w:rsidRPr="008F7636" w14:paraId="292AAD41" w14:textId="77777777" w:rsidTr="0054787A">
        <w:trPr>
          <w:cnfStyle w:val="100000000000" w:firstRow="1" w:lastRow="0" w:firstColumn="0" w:lastColumn="0" w:oddVBand="0" w:evenVBand="0" w:oddHBand="0" w:evenHBand="0" w:firstRowFirstColumn="0" w:firstRowLastColumn="0" w:lastRowFirstColumn="0" w:lastRowLastColumn="0"/>
          <w:tblHeader/>
        </w:trPr>
        <w:tc>
          <w:tcPr>
            <w:tcW w:w="1695" w:type="dxa"/>
          </w:tcPr>
          <w:p w14:paraId="4B3408F3" w14:textId="00328BCC" w:rsidR="00CC7040" w:rsidRPr="005D3F48" w:rsidRDefault="00CC7040" w:rsidP="00B24E19">
            <w:pPr>
              <w:pStyle w:val="DHHStablecolhead"/>
              <w:rPr>
                <w:b/>
                <w:bCs/>
                <w:sz w:val="18"/>
                <w:szCs w:val="18"/>
              </w:rPr>
            </w:pPr>
            <w:r w:rsidRPr="005D3F48">
              <w:rPr>
                <w:b/>
                <w:bCs/>
                <w:sz w:val="18"/>
                <w:szCs w:val="18"/>
              </w:rPr>
              <w:t>Indicator</w:t>
            </w:r>
          </w:p>
        </w:tc>
        <w:tc>
          <w:tcPr>
            <w:tcW w:w="1228" w:type="dxa"/>
          </w:tcPr>
          <w:p w14:paraId="26482BBE" w14:textId="77777777" w:rsidR="00CC7040" w:rsidRPr="005D3F48" w:rsidRDefault="00CC7040" w:rsidP="00B24E19">
            <w:pPr>
              <w:pStyle w:val="DHHStablecolhead"/>
              <w:rPr>
                <w:b/>
                <w:bCs/>
                <w:sz w:val="18"/>
                <w:szCs w:val="18"/>
              </w:rPr>
            </w:pPr>
            <w:r w:rsidRPr="005D3F48">
              <w:rPr>
                <w:b/>
                <w:bCs/>
                <w:sz w:val="18"/>
                <w:szCs w:val="18"/>
              </w:rPr>
              <w:t>Reference</w:t>
            </w:r>
          </w:p>
          <w:p w14:paraId="39C2ED38" w14:textId="2E29CE2D" w:rsidR="00CC7040" w:rsidRPr="005D3F48" w:rsidRDefault="00D33A80" w:rsidP="00B24E19">
            <w:pPr>
              <w:pStyle w:val="DHHStablecolhead"/>
              <w:rPr>
                <w:b/>
                <w:bCs/>
                <w:sz w:val="18"/>
                <w:szCs w:val="18"/>
              </w:rPr>
            </w:pPr>
            <w:r>
              <w:rPr>
                <w:b/>
                <w:bCs/>
                <w:sz w:val="18"/>
                <w:szCs w:val="18"/>
              </w:rPr>
              <w:t>y</w:t>
            </w:r>
            <w:r w:rsidR="00CC7040" w:rsidRPr="005D3F48">
              <w:rPr>
                <w:b/>
                <w:bCs/>
                <w:sz w:val="18"/>
                <w:szCs w:val="18"/>
              </w:rPr>
              <w:t>ear</w:t>
            </w:r>
          </w:p>
        </w:tc>
        <w:tc>
          <w:tcPr>
            <w:tcW w:w="1401" w:type="dxa"/>
          </w:tcPr>
          <w:p w14:paraId="061344FB" w14:textId="77777777" w:rsidR="00CC7040" w:rsidRPr="005D3F48" w:rsidRDefault="00CC7040" w:rsidP="00B24E19">
            <w:pPr>
              <w:pStyle w:val="DHHStablecolhead"/>
              <w:rPr>
                <w:b/>
                <w:bCs/>
                <w:sz w:val="18"/>
                <w:szCs w:val="18"/>
              </w:rPr>
            </w:pPr>
            <w:r w:rsidRPr="005D3F48">
              <w:rPr>
                <w:b/>
                <w:bCs/>
                <w:sz w:val="18"/>
                <w:szCs w:val="18"/>
              </w:rPr>
              <w:t>Four years prior</w:t>
            </w:r>
          </w:p>
        </w:tc>
        <w:tc>
          <w:tcPr>
            <w:tcW w:w="1128" w:type="dxa"/>
          </w:tcPr>
          <w:p w14:paraId="2C49F72C" w14:textId="77777777" w:rsidR="00CC7040" w:rsidRPr="005D3F48" w:rsidRDefault="00CC7040" w:rsidP="00B24E19">
            <w:pPr>
              <w:pStyle w:val="DHHStablecolhead"/>
              <w:rPr>
                <w:b/>
                <w:bCs/>
                <w:sz w:val="18"/>
                <w:szCs w:val="18"/>
              </w:rPr>
            </w:pPr>
            <w:r w:rsidRPr="005D3F48">
              <w:rPr>
                <w:b/>
                <w:bCs/>
                <w:sz w:val="18"/>
                <w:szCs w:val="18"/>
              </w:rPr>
              <w:t>Three years prior</w:t>
            </w:r>
          </w:p>
        </w:tc>
        <w:tc>
          <w:tcPr>
            <w:tcW w:w="1131" w:type="dxa"/>
          </w:tcPr>
          <w:p w14:paraId="2C9C3059" w14:textId="77777777" w:rsidR="00CC7040" w:rsidRPr="005D3F48" w:rsidRDefault="00CC7040" w:rsidP="00B24E19">
            <w:pPr>
              <w:pStyle w:val="DHHStablecolhead"/>
              <w:rPr>
                <w:b/>
                <w:bCs/>
                <w:sz w:val="18"/>
                <w:szCs w:val="18"/>
              </w:rPr>
            </w:pPr>
            <w:r w:rsidRPr="005D3F48">
              <w:rPr>
                <w:b/>
                <w:bCs/>
                <w:sz w:val="18"/>
                <w:szCs w:val="18"/>
              </w:rPr>
              <w:t>Two years prior</w:t>
            </w:r>
          </w:p>
        </w:tc>
        <w:tc>
          <w:tcPr>
            <w:tcW w:w="1135" w:type="dxa"/>
          </w:tcPr>
          <w:p w14:paraId="7EF7863E" w14:textId="77777777" w:rsidR="00CC7040" w:rsidRPr="005D3F48" w:rsidRDefault="00CC7040" w:rsidP="00B24E19">
            <w:pPr>
              <w:pStyle w:val="DHHStablecolhead"/>
              <w:rPr>
                <w:b/>
                <w:bCs/>
                <w:sz w:val="18"/>
                <w:szCs w:val="18"/>
              </w:rPr>
            </w:pPr>
            <w:r w:rsidRPr="005D3F48">
              <w:rPr>
                <w:b/>
                <w:bCs/>
                <w:sz w:val="18"/>
                <w:szCs w:val="18"/>
              </w:rPr>
              <w:t>One year prior</w:t>
            </w:r>
          </w:p>
        </w:tc>
        <w:tc>
          <w:tcPr>
            <w:tcW w:w="1298" w:type="dxa"/>
          </w:tcPr>
          <w:p w14:paraId="78E5F666" w14:textId="77777777" w:rsidR="00CC7040" w:rsidRPr="005D3F48" w:rsidRDefault="00CC7040" w:rsidP="00B24E19">
            <w:pPr>
              <w:pStyle w:val="DHHStablecolhead"/>
              <w:rPr>
                <w:b/>
                <w:bCs/>
                <w:sz w:val="18"/>
                <w:szCs w:val="18"/>
              </w:rPr>
            </w:pPr>
            <w:r w:rsidRPr="005D3F48">
              <w:rPr>
                <w:b/>
                <w:bCs/>
                <w:sz w:val="18"/>
                <w:szCs w:val="18"/>
              </w:rPr>
              <w:t>Most current data</w:t>
            </w:r>
          </w:p>
        </w:tc>
      </w:tr>
      <w:tr w:rsidR="00CC7040" w14:paraId="3BA3FBBC" w14:textId="77777777" w:rsidTr="004476F8">
        <w:tc>
          <w:tcPr>
            <w:tcW w:w="1695" w:type="dxa"/>
          </w:tcPr>
          <w:p w14:paraId="300F90D2" w14:textId="14D76F9D" w:rsidR="00CC7040" w:rsidRPr="005D3F48" w:rsidRDefault="00CC7040" w:rsidP="0054787A">
            <w:pPr>
              <w:pStyle w:val="DHHStabletext"/>
              <w:rPr>
                <w:sz w:val="18"/>
                <w:szCs w:val="18"/>
                <w:lang w:val="en-US"/>
              </w:rPr>
            </w:pPr>
            <w:r w:rsidRPr="005D3F48">
              <w:rPr>
                <w:sz w:val="18"/>
                <w:szCs w:val="18"/>
                <w:lang w:val="en-US"/>
              </w:rPr>
              <w:t>4.1 Victoria’s rate of deaths from suicide per 100,000</w:t>
            </w:r>
          </w:p>
        </w:tc>
        <w:tc>
          <w:tcPr>
            <w:tcW w:w="1228" w:type="dxa"/>
          </w:tcPr>
          <w:p w14:paraId="60338A00" w14:textId="7056C2AA" w:rsidR="00CC7040" w:rsidRPr="005D3F48" w:rsidRDefault="00CC7040" w:rsidP="0054787A">
            <w:pPr>
              <w:pStyle w:val="DHHStabletext"/>
              <w:rPr>
                <w:sz w:val="18"/>
                <w:szCs w:val="18"/>
                <w:lang w:val="en-US"/>
              </w:rPr>
            </w:pPr>
            <w:r w:rsidRPr="005D3F48">
              <w:rPr>
                <w:sz w:val="18"/>
                <w:szCs w:val="18"/>
                <w:lang w:val="en-US"/>
              </w:rPr>
              <w:t>201</w:t>
            </w:r>
            <w:r w:rsidR="00560BA1">
              <w:rPr>
                <w:sz w:val="18"/>
                <w:szCs w:val="18"/>
                <w:lang w:val="en-US"/>
              </w:rPr>
              <w:t>9</w:t>
            </w:r>
          </w:p>
        </w:tc>
        <w:tc>
          <w:tcPr>
            <w:tcW w:w="1401" w:type="dxa"/>
          </w:tcPr>
          <w:p w14:paraId="3442074E" w14:textId="2C0446EE" w:rsidR="00CC7040" w:rsidRPr="005D3F48" w:rsidRDefault="00CC7040" w:rsidP="0054787A">
            <w:pPr>
              <w:pStyle w:val="DHHStabletext"/>
              <w:rPr>
                <w:sz w:val="18"/>
                <w:szCs w:val="18"/>
                <w:lang w:val="en-US"/>
              </w:rPr>
            </w:pPr>
            <w:r w:rsidRPr="005D3F48">
              <w:rPr>
                <w:sz w:val="18"/>
                <w:szCs w:val="18"/>
              </w:rPr>
              <w:t>1</w:t>
            </w:r>
            <w:r w:rsidR="00560BA1">
              <w:rPr>
                <w:sz w:val="18"/>
                <w:szCs w:val="18"/>
              </w:rPr>
              <w:t>1</w:t>
            </w:r>
            <w:r w:rsidRPr="005D3F48">
              <w:rPr>
                <w:sz w:val="18"/>
                <w:szCs w:val="18"/>
              </w:rPr>
              <w:t>.</w:t>
            </w:r>
            <w:r w:rsidR="00560BA1">
              <w:rPr>
                <w:sz w:val="18"/>
                <w:szCs w:val="18"/>
              </w:rPr>
              <w:t>1</w:t>
            </w:r>
          </w:p>
        </w:tc>
        <w:tc>
          <w:tcPr>
            <w:tcW w:w="1128" w:type="dxa"/>
          </w:tcPr>
          <w:p w14:paraId="641F04FD" w14:textId="3B21D11B" w:rsidR="00CC7040" w:rsidRPr="005D3F48" w:rsidRDefault="00CC7040" w:rsidP="0054787A">
            <w:pPr>
              <w:pStyle w:val="DHHStabletext"/>
              <w:rPr>
                <w:sz w:val="18"/>
                <w:szCs w:val="18"/>
                <w:lang w:val="en-US"/>
              </w:rPr>
            </w:pPr>
            <w:r w:rsidRPr="005D3F48">
              <w:rPr>
                <w:sz w:val="18"/>
                <w:szCs w:val="18"/>
              </w:rPr>
              <w:t>1</w:t>
            </w:r>
            <w:r w:rsidR="00560BA1">
              <w:rPr>
                <w:sz w:val="18"/>
                <w:szCs w:val="18"/>
              </w:rPr>
              <w:t>0</w:t>
            </w:r>
            <w:r w:rsidRPr="005D3F48">
              <w:rPr>
                <w:sz w:val="18"/>
                <w:szCs w:val="18"/>
              </w:rPr>
              <w:t>.1</w:t>
            </w:r>
          </w:p>
        </w:tc>
        <w:tc>
          <w:tcPr>
            <w:tcW w:w="1131" w:type="dxa"/>
          </w:tcPr>
          <w:p w14:paraId="150F4CF5" w14:textId="1B5FDEF0" w:rsidR="00CC7040" w:rsidRPr="005D3F48" w:rsidRDefault="00560BA1" w:rsidP="0054787A">
            <w:pPr>
              <w:pStyle w:val="DHHStabletext"/>
              <w:rPr>
                <w:sz w:val="18"/>
                <w:szCs w:val="18"/>
                <w:lang w:val="en-US"/>
              </w:rPr>
            </w:pPr>
            <w:r>
              <w:rPr>
                <w:sz w:val="18"/>
                <w:szCs w:val="18"/>
              </w:rPr>
              <w:t>11.0</w:t>
            </w:r>
          </w:p>
        </w:tc>
        <w:tc>
          <w:tcPr>
            <w:tcW w:w="1135" w:type="dxa"/>
          </w:tcPr>
          <w:p w14:paraId="07080DD4" w14:textId="47F866C4" w:rsidR="00CC7040" w:rsidRPr="005D3F48" w:rsidRDefault="00560BA1" w:rsidP="0054787A">
            <w:pPr>
              <w:pStyle w:val="DHHStabletext"/>
              <w:rPr>
                <w:sz w:val="18"/>
                <w:szCs w:val="18"/>
                <w:lang w:val="en-US"/>
              </w:rPr>
            </w:pPr>
            <w:r>
              <w:rPr>
                <w:sz w:val="18"/>
                <w:szCs w:val="18"/>
              </w:rPr>
              <w:t>10.4</w:t>
            </w:r>
          </w:p>
        </w:tc>
        <w:tc>
          <w:tcPr>
            <w:tcW w:w="1298" w:type="dxa"/>
          </w:tcPr>
          <w:p w14:paraId="5B0721AE" w14:textId="1F8B5548" w:rsidR="00CC7040" w:rsidRPr="005D3F48" w:rsidRDefault="00560BA1" w:rsidP="0054787A">
            <w:pPr>
              <w:pStyle w:val="DHHStabletext"/>
              <w:rPr>
                <w:sz w:val="18"/>
                <w:szCs w:val="18"/>
                <w:lang w:val="en-US"/>
              </w:rPr>
            </w:pPr>
            <w:r>
              <w:rPr>
                <w:sz w:val="18"/>
                <w:szCs w:val="18"/>
              </w:rPr>
              <w:t>10.7</w:t>
            </w:r>
          </w:p>
        </w:tc>
      </w:tr>
    </w:tbl>
    <w:p w14:paraId="36EF8847" w14:textId="1BB581B6" w:rsidR="00CC7040" w:rsidRDefault="00CC7040" w:rsidP="00F17C22">
      <w:pPr>
        <w:pStyle w:val="Heading2"/>
      </w:pPr>
      <w:bookmarkStart w:id="34" w:name="_Toc55379409"/>
      <w:r>
        <w:t>Domain</w:t>
      </w:r>
      <w:r w:rsidR="00EA190C">
        <w:t xml:space="preserve"> 2</w:t>
      </w:r>
      <w:r>
        <w:t xml:space="preserve">: </w:t>
      </w:r>
      <w:r w:rsidRPr="009D52BE">
        <w:t>Victorians promote mental health for all ages and stages of life</w:t>
      </w:r>
      <w:bookmarkEnd w:id="34"/>
    </w:p>
    <w:p w14:paraId="1E4BE5B6" w14:textId="77777777" w:rsidR="00CC7040" w:rsidRPr="004D4A11" w:rsidRDefault="00CC7040" w:rsidP="00F17C22">
      <w:pPr>
        <w:pStyle w:val="Heading3"/>
        <w:rPr>
          <w:lang w:eastAsia="en-AU"/>
        </w:rPr>
      </w:pPr>
      <w:r>
        <w:rPr>
          <w:rStyle w:val="normaltextrun"/>
        </w:rPr>
        <w:t>Outcome 5:</w:t>
      </w:r>
      <w:r w:rsidRPr="009C401F">
        <w:rPr>
          <w:lang w:eastAsia="en-AU"/>
        </w:rPr>
        <w:t xml:space="preserve"> </w:t>
      </w:r>
      <w:r w:rsidRPr="001A513C">
        <w:rPr>
          <w:lang w:eastAsia="en-AU"/>
        </w:rPr>
        <w:t>Victorians with mental illness have good physical health and wellbeing</w:t>
      </w:r>
    </w:p>
    <w:p w14:paraId="60B82964" w14:textId="4E85A300" w:rsidR="00CC7040" w:rsidRPr="00AB2773" w:rsidRDefault="002E286B" w:rsidP="00CC7040">
      <w:pPr>
        <w:pStyle w:val="DHHSbody"/>
        <w:rPr>
          <w:rStyle w:val="normaltextrun"/>
        </w:rPr>
      </w:pPr>
      <w:r>
        <w:rPr>
          <w:rStyle w:val="normaltextrun"/>
        </w:rPr>
        <w:t>Current</w:t>
      </w:r>
      <w:r w:rsidR="00CC7040" w:rsidRPr="00AB2773">
        <w:rPr>
          <w:rStyle w:val="normaltextrun"/>
        </w:rPr>
        <w:t xml:space="preserve"> indicators for physical health are tobacco use (as a risk factor) and type 2 diabetes (as a preventable illness). </w:t>
      </w:r>
      <w:r w:rsidR="009E370B">
        <w:rPr>
          <w:rStyle w:val="normaltextrun"/>
        </w:rPr>
        <w:t>As discussed in section 3 of this report, r</w:t>
      </w:r>
      <w:r w:rsidR="00CC7040" w:rsidRPr="00AB2773">
        <w:rPr>
          <w:rStyle w:val="normaltextrun"/>
        </w:rPr>
        <w:t>esults this year have improved</w:t>
      </w:r>
      <w:r w:rsidR="00E97007">
        <w:rPr>
          <w:rStyle w:val="normaltextrun"/>
        </w:rPr>
        <w:t>;</w:t>
      </w:r>
      <w:r w:rsidR="00CC7040" w:rsidRPr="00AB2773">
        <w:rPr>
          <w:rStyle w:val="normaltextrun"/>
        </w:rPr>
        <w:t xml:space="preserve"> however</w:t>
      </w:r>
      <w:r w:rsidR="00E97007">
        <w:rPr>
          <w:rStyle w:val="normaltextrun"/>
        </w:rPr>
        <w:t>,</w:t>
      </w:r>
      <w:r w:rsidR="00CC7040" w:rsidRPr="00AB2773">
        <w:rPr>
          <w:rStyle w:val="normaltextrun"/>
        </w:rPr>
        <w:t xml:space="preserve"> </w:t>
      </w:r>
      <w:r w:rsidR="00CC7040">
        <w:rPr>
          <w:rStyle w:val="normaltextrun"/>
        </w:rPr>
        <w:t>t</w:t>
      </w:r>
      <w:r w:rsidR="00CC7040" w:rsidRPr="00AB2773">
        <w:rPr>
          <w:rStyle w:val="normaltextrun"/>
        </w:rPr>
        <w:t xml:space="preserve">he data for this indicator draws on inpatient </w:t>
      </w:r>
      <w:r w:rsidR="00CC7040">
        <w:rPr>
          <w:rStyle w:val="normaltextrun"/>
        </w:rPr>
        <w:t>admission information</w:t>
      </w:r>
      <w:r w:rsidR="00CC7040" w:rsidRPr="00AB2773">
        <w:rPr>
          <w:rStyle w:val="normaltextrun"/>
        </w:rPr>
        <w:t xml:space="preserve"> for physical or mental ill</w:t>
      </w:r>
      <w:r w:rsidR="00D33A80">
        <w:rPr>
          <w:rStyle w:val="normaltextrun"/>
        </w:rPr>
        <w:t xml:space="preserve"> </w:t>
      </w:r>
      <w:r w:rsidR="00CC7040" w:rsidRPr="00AB2773">
        <w:rPr>
          <w:rStyle w:val="normaltextrun"/>
        </w:rPr>
        <w:t>health in registered consumers</w:t>
      </w:r>
      <w:r w:rsidR="00CC7040">
        <w:rPr>
          <w:rStyle w:val="normaltextrun"/>
        </w:rPr>
        <w:t xml:space="preserve">. </w:t>
      </w:r>
      <w:r w:rsidR="009E370B">
        <w:rPr>
          <w:rStyle w:val="normaltextrun"/>
        </w:rPr>
        <w:t xml:space="preserve">Data quality for this year may therefore be affected by </w:t>
      </w:r>
      <w:r w:rsidR="00C31784">
        <w:rPr>
          <w:rStyle w:val="normaltextrun"/>
        </w:rPr>
        <w:t>changed patterns of admission due to the coronavirus (COVID-19) pandemic</w:t>
      </w:r>
      <w:r w:rsidR="00CC7040" w:rsidRPr="00AB2773">
        <w:rPr>
          <w:rStyle w:val="normaltextrun"/>
        </w:rPr>
        <w:t>.</w:t>
      </w:r>
    </w:p>
    <w:p w14:paraId="1418DCF6" w14:textId="77777777" w:rsidR="00CC7040" w:rsidRDefault="00CC7040" w:rsidP="00F17C22">
      <w:pPr>
        <w:pStyle w:val="Heading4"/>
        <w:rPr>
          <w:rStyle w:val="normaltextrun"/>
        </w:rPr>
      </w:pPr>
      <w:r w:rsidRPr="0016523E">
        <w:rPr>
          <w:lang w:eastAsia="en-AU"/>
        </w:rPr>
        <w:t xml:space="preserve">Indicators for Outcome </w:t>
      </w:r>
      <w:r>
        <w:rPr>
          <w:lang w:eastAsia="en-AU"/>
        </w:rPr>
        <w:t>5</w:t>
      </w:r>
    </w:p>
    <w:tbl>
      <w:tblPr>
        <w:tblStyle w:val="MentalhealthARtablestyle"/>
        <w:tblW w:w="0" w:type="auto"/>
        <w:tblLook w:val="04A0" w:firstRow="1" w:lastRow="0" w:firstColumn="1" w:lastColumn="0" w:noHBand="0" w:noVBand="1"/>
      </w:tblPr>
      <w:tblGrid>
        <w:gridCol w:w="1695"/>
        <w:gridCol w:w="1228"/>
        <w:gridCol w:w="1401"/>
        <w:gridCol w:w="1128"/>
        <w:gridCol w:w="1131"/>
        <w:gridCol w:w="1135"/>
        <w:gridCol w:w="1298"/>
      </w:tblGrid>
      <w:tr w:rsidR="00CC7040" w:rsidRPr="008F7636" w14:paraId="57A57B15" w14:textId="77777777" w:rsidTr="0054787A">
        <w:trPr>
          <w:cnfStyle w:val="100000000000" w:firstRow="1" w:lastRow="0" w:firstColumn="0" w:lastColumn="0" w:oddVBand="0" w:evenVBand="0" w:oddHBand="0" w:evenHBand="0" w:firstRowFirstColumn="0" w:firstRowLastColumn="0" w:lastRowFirstColumn="0" w:lastRowLastColumn="0"/>
          <w:tblHeader/>
        </w:trPr>
        <w:tc>
          <w:tcPr>
            <w:tcW w:w="1695" w:type="dxa"/>
          </w:tcPr>
          <w:p w14:paraId="18E197F8" w14:textId="11814167" w:rsidR="00CC7040" w:rsidRPr="005D3F48" w:rsidRDefault="00CC7040" w:rsidP="00B24E19">
            <w:pPr>
              <w:pStyle w:val="DHHStablecolhead"/>
              <w:rPr>
                <w:b/>
                <w:bCs/>
                <w:sz w:val="18"/>
                <w:szCs w:val="18"/>
              </w:rPr>
            </w:pPr>
            <w:r w:rsidRPr="005D3F48">
              <w:rPr>
                <w:b/>
                <w:bCs/>
                <w:sz w:val="18"/>
                <w:szCs w:val="18"/>
              </w:rPr>
              <w:t>Indicator</w:t>
            </w:r>
          </w:p>
        </w:tc>
        <w:tc>
          <w:tcPr>
            <w:tcW w:w="1228" w:type="dxa"/>
          </w:tcPr>
          <w:p w14:paraId="218FCD54" w14:textId="77777777" w:rsidR="00CC7040" w:rsidRPr="005D3F48" w:rsidRDefault="00CC7040" w:rsidP="00B24E19">
            <w:pPr>
              <w:pStyle w:val="DHHStablecolhead"/>
              <w:rPr>
                <w:b/>
                <w:bCs/>
                <w:sz w:val="18"/>
                <w:szCs w:val="18"/>
              </w:rPr>
            </w:pPr>
            <w:r w:rsidRPr="005D3F48">
              <w:rPr>
                <w:b/>
                <w:bCs/>
                <w:sz w:val="18"/>
                <w:szCs w:val="18"/>
              </w:rPr>
              <w:t>Reference</w:t>
            </w:r>
          </w:p>
          <w:p w14:paraId="24C4C6E4" w14:textId="77777777" w:rsidR="00CC7040" w:rsidRPr="005D3F48" w:rsidRDefault="00CC7040" w:rsidP="00B24E19">
            <w:pPr>
              <w:pStyle w:val="DHHStablecolhead"/>
              <w:rPr>
                <w:b/>
                <w:bCs/>
                <w:sz w:val="18"/>
                <w:szCs w:val="18"/>
              </w:rPr>
            </w:pPr>
            <w:r w:rsidRPr="005D3F48">
              <w:rPr>
                <w:b/>
                <w:bCs/>
                <w:sz w:val="18"/>
                <w:szCs w:val="18"/>
              </w:rPr>
              <w:t>year</w:t>
            </w:r>
          </w:p>
        </w:tc>
        <w:tc>
          <w:tcPr>
            <w:tcW w:w="1401" w:type="dxa"/>
          </w:tcPr>
          <w:p w14:paraId="2C0ED539" w14:textId="77777777" w:rsidR="00CC7040" w:rsidRPr="005D3F48" w:rsidRDefault="00CC7040" w:rsidP="00B24E19">
            <w:pPr>
              <w:pStyle w:val="DHHStablecolhead"/>
              <w:rPr>
                <w:b/>
                <w:bCs/>
                <w:sz w:val="18"/>
                <w:szCs w:val="18"/>
              </w:rPr>
            </w:pPr>
            <w:r w:rsidRPr="005D3F48">
              <w:rPr>
                <w:b/>
                <w:bCs/>
                <w:sz w:val="18"/>
                <w:szCs w:val="18"/>
              </w:rPr>
              <w:t>Four years prior</w:t>
            </w:r>
          </w:p>
        </w:tc>
        <w:tc>
          <w:tcPr>
            <w:tcW w:w="1128" w:type="dxa"/>
          </w:tcPr>
          <w:p w14:paraId="5016AE9E" w14:textId="77777777" w:rsidR="00CC7040" w:rsidRPr="005D3F48" w:rsidRDefault="00CC7040" w:rsidP="00B24E19">
            <w:pPr>
              <w:pStyle w:val="DHHStablecolhead"/>
              <w:rPr>
                <w:b/>
                <w:bCs/>
                <w:sz w:val="18"/>
                <w:szCs w:val="18"/>
              </w:rPr>
            </w:pPr>
            <w:r w:rsidRPr="005D3F48">
              <w:rPr>
                <w:b/>
                <w:bCs/>
                <w:sz w:val="18"/>
                <w:szCs w:val="18"/>
              </w:rPr>
              <w:t>Three years prior</w:t>
            </w:r>
          </w:p>
        </w:tc>
        <w:tc>
          <w:tcPr>
            <w:tcW w:w="1131" w:type="dxa"/>
          </w:tcPr>
          <w:p w14:paraId="1135C51C" w14:textId="77777777" w:rsidR="00CC7040" w:rsidRPr="005D3F48" w:rsidRDefault="00CC7040" w:rsidP="00B24E19">
            <w:pPr>
              <w:pStyle w:val="DHHStablecolhead"/>
              <w:rPr>
                <w:b/>
                <w:bCs/>
                <w:sz w:val="18"/>
                <w:szCs w:val="18"/>
              </w:rPr>
            </w:pPr>
            <w:r w:rsidRPr="005D3F48">
              <w:rPr>
                <w:b/>
                <w:bCs/>
                <w:sz w:val="18"/>
                <w:szCs w:val="18"/>
              </w:rPr>
              <w:t>Two years prior</w:t>
            </w:r>
          </w:p>
        </w:tc>
        <w:tc>
          <w:tcPr>
            <w:tcW w:w="1135" w:type="dxa"/>
          </w:tcPr>
          <w:p w14:paraId="56D77140" w14:textId="77777777" w:rsidR="00CC7040" w:rsidRPr="005D3F48" w:rsidRDefault="00CC7040" w:rsidP="00B24E19">
            <w:pPr>
              <w:pStyle w:val="DHHStablecolhead"/>
              <w:rPr>
                <w:b/>
                <w:bCs/>
                <w:sz w:val="18"/>
                <w:szCs w:val="18"/>
              </w:rPr>
            </w:pPr>
            <w:r w:rsidRPr="005D3F48">
              <w:rPr>
                <w:b/>
                <w:bCs/>
                <w:sz w:val="18"/>
                <w:szCs w:val="18"/>
              </w:rPr>
              <w:t>One year prior</w:t>
            </w:r>
          </w:p>
        </w:tc>
        <w:tc>
          <w:tcPr>
            <w:tcW w:w="1298" w:type="dxa"/>
          </w:tcPr>
          <w:p w14:paraId="2220994A" w14:textId="77777777" w:rsidR="00CC7040" w:rsidRPr="005D3F48" w:rsidRDefault="00CC7040" w:rsidP="00B24E19">
            <w:pPr>
              <w:pStyle w:val="DHHStablecolhead"/>
              <w:rPr>
                <w:b/>
                <w:bCs/>
                <w:sz w:val="18"/>
                <w:szCs w:val="18"/>
              </w:rPr>
            </w:pPr>
            <w:r w:rsidRPr="005D3F48">
              <w:rPr>
                <w:b/>
                <w:bCs/>
                <w:sz w:val="18"/>
                <w:szCs w:val="18"/>
              </w:rPr>
              <w:t>Most current data</w:t>
            </w:r>
          </w:p>
        </w:tc>
      </w:tr>
      <w:tr w:rsidR="00CC7040" w14:paraId="09A3C4C4" w14:textId="77777777" w:rsidTr="004476F8">
        <w:tc>
          <w:tcPr>
            <w:tcW w:w="1695" w:type="dxa"/>
          </w:tcPr>
          <w:p w14:paraId="026FAE3F" w14:textId="77777777" w:rsidR="00CC7040" w:rsidRPr="005D3F48" w:rsidRDefault="00CC7040" w:rsidP="0054787A">
            <w:pPr>
              <w:pStyle w:val="DHHStabletext"/>
              <w:rPr>
                <w:sz w:val="18"/>
                <w:szCs w:val="18"/>
                <w:lang w:val="en-US"/>
              </w:rPr>
            </w:pPr>
            <w:r w:rsidRPr="005D3F48">
              <w:rPr>
                <w:sz w:val="18"/>
                <w:szCs w:val="18"/>
                <w:lang w:val="en-US"/>
              </w:rPr>
              <w:t>5.1 Proportion of unique admitted clients who were discharged and used tobacco</w:t>
            </w:r>
          </w:p>
        </w:tc>
        <w:tc>
          <w:tcPr>
            <w:tcW w:w="1228" w:type="dxa"/>
          </w:tcPr>
          <w:p w14:paraId="117C63A8" w14:textId="24BD0D65" w:rsidR="00CC7040" w:rsidRPr="005D3F48" w:rsidRDefault="00894D3B" w:rsidP="0054787A">
            <w:pPr>
              <w:pStyle w:val="DHHStabletext"/>
              <w:rPr>
                <w:sz w:val="18"/>
                <w:szCs w:val="18"/>
                <w:lang w:val="en-US"/>
              </w:rPr>
            </w:pPr>
            <w:r w:rsidRPr="005D3F48">
              <w:rPr>
                <w:sz w:val="18"/>
                <w:szCs w:val="18"/>
                <w:lang w:val="en-US"/>
              </w:rPr>
              <w:t>2019–20</w:t>
            </w:r>
          </w:p>
        </w:tc>
        <w:tc>
          <w:tcPr>
            <w:tcW w:w="1401" w:type="dxa"/>
          </w:tcPr>
          <w:p w14:paraId="6C07E36C" w14:textId="77777777" w:rsidR="00CC7040" w:rsidRPr="005D3F48" w:rsidRDefault="00CC7040" w:rsidP="0054787A">
            <w:pPr>
              <w:pStyle w:val="DHHStabletext"/>
              <w:rPr>
                <w:sz w:val="18"/>
                <w:szCs w:val="18"/>
                <w:lang w:val="en-US"/>
              </w:rPr>
            </w:pPr>
            <w:r w:rsidRPr="005D3F48">
              <w:rPr>
                <w:sz w:val="18"/>
                <w:szCs w:val="18"/>
                <w:lang w:val="en-US"/>
              </w:rPr>
              <w:t>37.7%</w:t>
            </w:r>
          </w:p>
        </w:tc>
        <w:tc>
          <w:tcPr>
            <w:tcW w:w="1128" w:type="dxa"/>
          </w:tcPr>
          <w:p w14:paraId="05AC8A58" w14:textId="77777777" w:rsidR="00CC7040" w:rsidRPr="005D3F48" w:rsidRDefault="00CC7040" w:rsidP="0054787A">
            <w:pPr>
              <w:pStyle w:val="DHHStabletext"/>
              <w:rPr>
                <w:sz w:val="18"/>
                <w:szCs w:val="18"/>
                <w:lang w:val="en-US"/>
              </w:rPr>
            </w:pPr>
            <w:r w:rsidRPr="005D3F48">
              <w:rPr>
                <w:sz w:val="18"/>
                <w:szCs w:val="18"/>
                <w:lang w:val="en-US"/>
              </w:rPr>
              <w:t>38.2%</w:t>
            </w:r>
          </w:p>
        </w:tc>
        <w:tc>
          <w:tcPr>
            <w:tcW w:w="1131" w:type="dxa"/>
          </w:tcPr>
          <w:p w14:paraId="4743F8DB" w14:textId="77777777" w:rsidR="00CC7040" w:rsidRPr="005D3F48" w:rsidRDefault="00CC7040" w:rsidP="0054787A">
            <w:pPr>
              <w:pStyle w:val="DHHStabletext"/>
              <w:rPr>
                <w:sz w:val="18"/>
                <w:szCs w:val="18"/>
                <w:lang w:val="en-US"/>
              </w:rPr>
            </w:pPr>
            <w:r w:rsidRPr="005D3F48">
              <w:rPr>
                <w:sz w:val="18"/>
                <w:szCs w:val="18"/>
                <w:lang w:val="en-US"/>
              </w:rPr>
              <w:t>37.1%</w:t>
            </w:r>
          </w:p>
        </w:tc>
        <w:tc>
          <w:tcPr>
            <w:tcW w:w="1135" w:type="dxa"/>
          </w:tcPr>
          <w:p w14:paraId="15AECDD1" w14:textId="77777777" w:rsidR="00CC7040" w:rsidRPr="005D3F48" w:rsidRDefault="00CC7040" w:rsidP="0054787A">
            <w:pPr>
              <w:pStyle w:val="DHHStabletext"/>
              <w:rPr>
                <w:sz w:val="18"/>
                <w:szCs w:val="18"/>
                <w:lang w:val="en-US"/>
              </w:rPr>
            </w:pPr>
            <w:r w:rsidRPr="005D3F48">
              <w:rPr>
                <w:sz w:val="18"/>
                <w:szCs w:val="18"/>
                <w:lang w:val="en-US"/>
              </w:rPr>
              <w:t>36.5%</w:t>
            </w:r>
          </w:p>
        </w:tc>
        <w:tc>
          <w:tcPr>
            <w:tcW w:w="1298" w:type="dxa"/>
          </w:tcPr>
          <w:p w14:paraId="6E1A7FBF" w14:textId="77777777" w:rsidR="00CC7040" w:rsidRPr="005D3F48" w:rsidRDefault="00CC7040" w:rsidP="0054787A">
            <w:pPr>
              <w:pStyle w:val="DHHStabletext"/>
              <w:rPr>
                <w:sz w:val="18"/>
                <w:szCs w:val="18"/>
                <w:lang w:val="en-US"/>
              </w:rPr>
            </w:pPr>
            <w:r w:rsidRPr="005D3F48">
              <w:rPr>
                <w:sz w:val="18"/>
                <w:szCs w:val="18"/>
                <w:lang w:val="en-US"/>
              </w:rPr>
              <w:t>33.5%</w:t>
            </w:r>
          </w:p>
        </w:tc>
      </w:tr>
      <w:tr w:rsidR="00CC7040" w14:paraId="62DD6D0B" w14:textId="77777777" w:rsidTr="004476F8">
        <w:tc>
          <w:tcPr>
            <w:tcW w:w="1695" w:type="dxa"/>
          </w:tcPr>
          <w:p w14:paraId="6AC048C6" w14:textId="77777777" w:rsidR="00CC7040" w:rsidRPr="005D3F48" w:rsidRDefault="00CC7040" w:rsidP="0054787A">
            <w:pPr>
              <w:pStyle w:val="DHHStabletext"/>
              <w:rPr>
                <w:sz w:val="18"/>
                <w:szCs w:val="18"/>
                <w:lang w:val="en-US"/>
              </w:rPr>
            </w:pPr>
            <w:r w:rsidRPr="005D3F48">
              <w:rPr>
                <w:sz w:val="18"/>
                <w:szCs w:val="18"/>
                <w:lang w:val="en-US"/>
              </w:rPr>
              <w:t>5.2 Proportion of registered mental health clients with a type 2 diabetes diagnosis</w:t>
            </w:r>
          </w:p>
        </w:tc>
        <w:tc>
          <w:tcPr>
            <w:tcW w:w="1228" w:type="dxa"/>
          </w:tcPr>
          <w:p w14:paraId="6DB4CF42" w14:textId="343E5352" w:rsidR="00CC7040" w:rsidRPr="005D3F48" w:rsidRDefault="00894D3B" w:rsidP="0054787A">
            <w:pPr>
              <w:pStyle w:val="DHHStabletext"/>
              <w:rPr>
                <w:sz w:val="18"/>
                <w:szCs w:val="18"/>
                <w:lang w:val="en-US"/>
              </w:rPr>
            </w:pPr>
            <w:r w:rsidRPr="005D3F48">
              <w:rPr>
                <w:sz w:val="18"/>
                <w:szCs w:val="18"/>
                <w:lang w:val="en-US"/>
              </w:rPr>
              <w:t>2019–20</w:t>
            </w:r>
          </w:p>
        </w:tc>
        <w:tc>
          <w:tcPr>
            <w:tcW w:w="1401" w:type="dxa"/>
          </w:tcPr>
          <w:p w14:paraId="4C80166E" w14:textId="77777777" w:rsidR="00CC7040" w:rsidRPr="005D3F48" w:rsidRDefault="00CC7040" w:rsidP="0054787A">
            <w:pPr>
              <w:pStyle w:val="DHHStabletext"/>
              <w:rPr>
                <w:sz w:val="18"/>
                <w:szCs w:val="18"/>
                <w:lang w:val="en-US"/>
              </w:rPr>
            </w:pPr>
            <w:r w:rsidRPr="005D3F48">
              <w:rPr>
                <w:sz w:val="18"/>
                <w:szCs w:val="18"/>
                <w:lang w:val="en-US"/>
              </w:rPr>
              <w:t>10.2%</w:t>
            </w:r>
          </w:p>
        </w:tc>
        <w:tc>
          <w:tcPr>
            <w:tcW w:w="1128" w:type="dxa"/>
          </w:tcPr>
          <w:p w14:paraId="68E952C0" w14:textId="77777777" w:rsidR="00CC7040" w:rsidRPr="005D3F48" w:rsidRDefault="00CC7040" w:rsidP="0054787A">
            <w:pPr>
              <w:pStyle w:val="DHHStabletext"/>
              <w:rPr>
                <w:sz w:val="18"/>
                <w:szCs w:val="18"/>
                <w:lang w:val="en-US"/>
              </w:rPr>
            </w:pPr>
            <w:r w:rsidRPr="005D3F48">
              <w:rPr>
                <w:sz w:val="18"/>
                <w:szCs w:val="18"/>
                <w:lang w:val="en-US"/>
              </w:rPr>
              <w:t>9.8%</w:t>
            </w:r>
          </w:p>
        </w:tc>
        <w:tc>
          <w:tcPr>
            <w:tcW w:w="1131" w:type="dxa"/>
          </w:tcPr>
          <w:p w14:paraId="5A1872F4" w14:textId="77777777" w:rsidR="00CC7040" w:rsidRPr="005D3F48" w:rsidRDefault="00CC7040" w:rsidP="0054787A">
            <w:pPr>
              <w:pStyle w:val="DHHStabletext"/>
              <w:rPr>
                <w:sz w:val="18"/>
                <w:szCs w:val="18"/>
                <w:lang w:val="en-US"/>
              </w:rPr>
            </w:pPr>
            <w:r w:rsidRPr="005D3F48">
              <w:rPr>
                <w:sz w:val="18"/>
                <w:szCs w:val="18"/>
                <w:lang w:val="en-US"/>
              </w:rPr>
              <w:t>9.9%</w:t>
            </w:r>
          </w:p>
        </w:tc>
        <w:tc>
          <w:tcPr>
            <w:tcW w:w="1135" w:type="dxa"/>
          </w:tcPr>
          <w:p w14:paraId="76FEE75C" w14:textId="77777777" w:rsidR="00CC7040" w:rsidRPr="005D3F48" w:rsidRDefault="00CC7040" w:rsidP="0054787A">
            <w:pPr>
              <w:pStyle w:val="DHHStabletext"/>
              <w:rPr>
                <w:sz w:val="18"/>
                <w:szCs w:val="18"/>
                <w:lang w:val="en-US"/>
              </w:rPr>
            </w:pPr>
            <w:r w:rsidRPr="005D3F48">
              <w:rPr>
                <w:sz w:val="18"/>
                <w:szCs w:val="18"/>
                <w:lang w:val="en-US"/>
              </w:rPr>
              <w:t>10.0%</w:t>
            </w:r>
          </w:p>
        </w:tc>
        <w:tc>
          <w:tcPr>
            <w:tcW w:w="1298" w:type="dxa"/>
          </w:tcPr>
          <w:p w14:paraId="2BFEA3C4" w14:textId="77777777" w:rsidR="00CC7040" w:rsidRPr="005D3F48" w:rsidRDefault="00CC7040" w:rsidP="0054787A">
            <w:pPr>
              <w:pStyle w:val="DHHStabletext"/>
              <w:rPr>
                <w:sz w:val="18"/>
                <w:szCs w:val="18"/>
                <w:lang w:val="en-US"/>
              </w:rPr>
            </w:pPr>
            <w:r w:rsidRPr="005D3F48">
              <w:rPr>
                <w:sz w:val="18"/>
                <w:szCs w:val="18"/>
                <w:lang w:val="en-US"/>
              </w:rPr>
              <w:t>9.6%</w:t>
            </w:r>
          </w:p>
        </w:tc>
      </w:tr>
    </w:tbl>
    <w:p w14:paraId="059E18E3" w14:textId="77777777" w:rsidR="00CC7040" w:rsidRDefault="00CC7040" w:rsidP="00F17C22">
      <w:pPr>
        <w:pStyle w:val="Heading3"/>
        <w:rPr>
          <w:lang w:eastAsia="en-AU"/>
        </w:rPr>
      </w:pPr>
      <w:r w:rsidRPr="004D4A11">
        <w:rPr>
          <w:lang w:eastAsia="en-AU"/>
        </w:rPr>
        <w:t>Outcome 6:</w:t>
      </w:r>
      <w:r w:rsidRPr="009C401F">
        <w:rPr>
          <w:lang w:eastAsia="en-AU"/>
        </w:rPr>
        <w:t xml:space="preserve"> </w:t>
      </w:r>
      <w:r w:rsidRPr="004D4A11">
        <w:rPr>
          <w:lang w:eastAsia="en-AU"/>
        </w:rPr>
        <w:t>Victorians with mental illness are supported to protect and promote health</w:t>
      </w:r>
    </w:p>
    <w:p w14:paraId="1D2D7BB5" w14:textId="13C33A5A" w:rsidR="00CC7040" w:rsidRPr="008922C3" w:rsidRDefault="00CC7040" w:rsidP="00CC7040">
      <w:pPr>
        <w:pStyle w:val="DHHSbody"/>
        <w:rPr>
          <w:lang w:eastAsia="en-AU"/>
        </w:rPr>
      </w:pPr>
      <w:r>
        <w:rPr>
          <w:lang w:eastAsia="en-AU"/>
        </w:rPr>
        <w:t>Indicators yet to be developed</w:t>
      </w:r>
      <w:r w:rsidR="00AC37B3">
        <w:rPr>
          <w:lang w:eastAsia="en-AU"/>
        </w:rPr>
        <w:t>.</w:t>
      </w:r>
    </w:p>
    <w:p w14:paraId="74EF8DEA" w14:textId="2CA0CB64" w:rsidR="00CC7040" w:rsidRDefault="00CC7040" w:rsidP="00F17C22">
      <w:pPr>
        <w:pStyle w:val="Heading2"/>
      </w:pPr>
      <w:bookmarkStart w:id="35" w:name="_Toc55379410"/>
      <w:r>
        <w:t>Domain</w:t>
      </w:r>
      <w:r w:rsidR="00EA190C">
        <w:t xml:space="preserve"> 3</w:t>
      </w:r>
      <w:r>
        <w:t xml:space="preserve">: </w:t>
      </w:r>
      <w:r w:rsidRPr="00EA79A9">
        <w:t>Victorians with mental illness live fulfilling lives of their choosing, with or without symptoms of mental illness</w:t>
      </w:r>
      <w:bookmarkEnd w:id="35"/>
    </w:p>
    <w:p w14:paraId="25244EEF" w14:textId="77777777" w:rsidR="00CC7040" w:rsidRDefault="00CC7040" w:rsidP="00F17C22">
      <w:pPr>
        <w:pStyle w:val="Heading3"/>
        <w:rPr>
          <w:lang w:eastAsia="en-AU"/>
        </w:rPr>
      </w:pPr>
      <w:r w:rsidRPr="009C694A">
        <w:rPr>
          <w:lang w:eastAsia="en-AU"/>
        </w:rPr>
        <w:t xml:space="preserve">Outcome 7: </w:t>
      </w:r>
      <w:r w:rsidRPr="001A513C">
        <w:rPr>
          <w:lang w:eastAsia="en-AU"/>
        </w:rPr>
        <w:t xml:space="preserve">Victorians with mental illness participate in learning and </w:t>
      </w:r>
      <w:r w:rsidRPr="00020544">
        <w:rPr>
          <w:lang w:eastAsia="en-AU"/>
        </w:rPr>
        <w:t>education</w:t>
      </w:r>
      <w:r>
        <w:rPr>
          <w:lang w:eastAsia="en-AU"/>
        </w:rPr>
        <w:t xml:space="preserve"> </w:t>
      </w:r>
    </w:p>
    <w:p w14:paraId="7CF4E34A" w14:textId="26B6B6D4" w:rsidR="00CC7040" w:rsidRDefault="007028C4" w:rsidP="00CC7040">
      <w:pPr>
        <w:pStyle w:val="DHHSbody"/>
        <w:rPr>
          <w:rStyle w:val="normaltextrun"/>
        </w:rPr>
      </w:pPr>
      <w:r w:rsidRPr="003224D8">
        <w:rPr>
          <w:rStyle w:val="normaltextrun"/>
        </w:rPr>
        <w:t>The data analysis required to update</w:t>
      </w:r>
      <w:r w:rsidR="003224D8" w:rsidRPr="003224D8">
        <w:rPr>
          <w:rStyle w:val="normaltextrun"/>
        </w:rPr>
        <w:t xml:space="preserve"> the National Assessment Program</w:t>
      </w:r>
      <w:r w:rsidR="00B96DA0">
        <w:rPr>
          <w:rStyle w:val="normaltextrun"/>
        </w:rPr>
        <w:t xml:space="preserve"> – </w:t>
      </w:r>
      <w:r w:rsidR="003224D8" w:rsidRPr="003224D8">
        <w:rPr>
          <w:rStyle w:val="normaltextrun"/>
        </w:rPr>
        <w:t>Literacy and Numeracy (NAPLAN)</w:t>
      </w:r>
      <w:r w:rsidR="00F568D9">
        <w:rPr>
          <w:rStyle w:val="normaltextrun"/>
        </w:rPr>
        <w:t>-</w:t>
      </w:r>
      <w:r w:rsidR="003224D8" w:rsidRPr="003224D8">
        <w:rPr>
          <w:rStyle w:val="normaltextrun"/>
        </w:rPr>
        <w:t xml:space="preserve">related </w:t>
      </w:r>
      <w:r w:rsidRPr="003224D8">
        <w:rPr>
          <w:rStyle w:val="normaltextrun"/>
        </w:rPr>
        <w:t>indicator</w:t>
      </w:r>
      <w:r w:rsidR="003224D8" w:rsidRPr="003224D8">
        <w:rPr>
          <w:rStyle w:val="normaltextrun"/>
        </w:rPr>
        <w:t>s</w:t>
      </w:r>
      <w:r w:rsidRPr="003224D8">
        <w:rPr>
          <w:rStyle w:val="normaltextrun"/>
        </w:rPr>
        <w:t xml:space="preserve"> could not be undertaken during 2020</w:t>
      </w:r>
      <w:r w:rsidR="007C186C">
        <w:rPr>
          <w:rStyle w:val="normaltextrun"/>
        </w:rPr>
        <w:t>, therefore t</w:t>
      </w:r>
      <w:r w:rsidR="00CE77CD" w:rsidRPr="003224D8">
        <w:rPr>
          <w:rStyle w:val="normaltextrun"/>
        </w:rPr>
        <w:t xml:space="preserve">he results relating to children and young people with mental illness and NAPLAN in </w:t>
      </w:r>
      <w:r w:rsidR="007C186C">
        <w:rPr>
          <w:rStyle w:val="normaltextrun"/>
        </w:rPr>
        <w:t>the</w:t>
      </w:r>
      <w:r w:rsidR="00CE77CD" w:rsidRPr="003224D8">
        <w:rPr>
          <w:rStyle w:val="normaltextrun"/>
        </w:rPr>
        <w:t xml:space="preserve"> outcomes framework are unchanged from last year’s report.</w:t>
      </w:r>
      <w:r w:rsidR="009B2E98">
        <w:rPr>
          <w:rStyle w:val="normaltextrun"/>
        </w:rPr>
        <w:t xml:space="preserve"> </w:t>
      </w:r>
    </w:p>
    <w:p w14:paraId="46DB09DE" w14:textId="07D65003" w:rsidR="007C186C" w:rsidRPr="007E387B" w:rsidRDefault="007C186C" w:rsidP="007C186C">
      <w:pPr>
        <w:pStyle w:val="DHHSbody"/>
      </w:pPr>
      <w:r>
        <w:t>The indicators report</w:t>
      </w:r>
      <w:r w:rsidRPr="007C186C">
        <w:t xml:space="preserve"> the proportion of children and young people with mental illness who are at or above national minimum reading </w:t>
      </w:r>
      <w:r>
        <w:t xml:space="preserve">and numeracy </w:t>
      </w:r>
      <w:r w:rsidRPr="007C186C">
        <w:t>standards</w:t>
      </w:r>
      <w:r>
        <w:t xml:space="preserve"> at </w:t>
      </w:r>
      <w:r w:rsidR="00F568D9">
        <w:t>Y</w:t>
      </w:r>
      <w:r>
        <w:t xml:space="preserve">ear </w:t>
      </w:r>
      <w:r w:rsidR="00F568D9">
        <w:t>3</w:t>
      </w:r>
      <w:r>
        <w:t xml:space="preserve"> and </w:t>
      </w:r>
      <w:r w:rsidR="00F568D9">
        <w:t>Y</w:t>
      </w:r>
      <w:r>
        <w:t xml:space="preserve">ear </w:t>
      </w:r>
      <w:r w:rsidR="00F568D9">
        <w:t>9</w:t>
      </w:r>
      <w:r>
        <w:t>.</w:t>
      </w:r>
      <w:r w:rsidR="00894D3B">
        <w:t xml:space="preserve"> </w:t>
      </w:r>
      <w:r w:rsidRPr="007E387B">
        <w:t xml:space="preserve">It has not been possible to obtain data about educational outcomes for children and young people with mental illness that </w:t>
      </w:r>
      <w:r>
        <w:t>are</w:t>
      </w:r>
      <w:r w:rsidRPr="007E387B">
        <w:t xml:space="preserve"> directly comparable with national benchmarks. This is because of the way students who are absent for, or withdrawn from, NAPLAN are treated in the national data calculations. </w:t>
      </w:r>
      <w:r w:rsidRPr="007C186C">
        <w:t>Nonetheless, the 2018 data shows that the proportion of children and young people with mental illness who are at or above national minimum reading standards is below what might be expected and reduces from a Year 3 level of 59.5 per cent to 49.1 per cent at Year 9. Numeracy results are similar, varying from 64.8 per cent at or above the national minimum standard for students in Year 3, to 50.3 per cent for Year 9 students.</w:t>
      </w:r>
    </w:p>
    <w:p w14:paraId="59C07E20" w14:textId="77777777" w:rsidR="00CC7040" w:rsidRDefault="00CC7040" w:rsidP="00F17C22">
      <w:pPr>
        <w:pStyle w:val="Heading4"/>
        <w:rPr>
          <w:rStyle w:val="normaltextrun"/>
        </w:rPr>
      </w:pPr>
      <w:r w:rsidRPr="0016523E">
        <w:rPr>
          <w:lang w:eastAsia="en-AU"/>
        </w:rPr>
        <w:t xml:space="preserve">Indicators for Outcome </w:t>
      </w:r>
      <w:r>
        <w:rPr>
          <w:lang w:eastAsia="en-AU"/>
        </w:rPr>
        <w:t>7</w:t>
      </w:r>
    </w:p>
    <w:tbl>
      <w:tblPr>
        <w:tblStyle w:val="MentalhealthARtablestyle"/>
        <w:tblW w:w="0" w:type="auto"/>
        <w:tblLook w:val="04A0" w:firstRow="1" w:lastRow="0" w:firstColumn="1" w:lastColumn="0" w:noHBand="0" w:noVBand="1"/>
      </w:tblPr>
      <w:tblGrid>
        <w:gridCol w:w="1695"/>
        <w:gridCol w:w="1228"/>
        <w:gridCol w:w="1401"/>
        <w:gridCol w:w="1128"/>
        <w:gridCol w:w="1131"/>
        <w:gridCol w:w="1135"/>
        <w:gridCol w:w="1298"/>
      </w:tblGrid>
      <w:tr w:rsidR="00CC7040" w:rsidRPr="008F7636" w14:paraId="41CB6FC0" w14:textId="77777777" w:rsidTr="0054787A">
        <w:trPr>
          <w:cnfStyle w:val="100000000000" w:firstRow="1" w:lastRow="0" w:firstColumn="0" w:lastColumn="0" w:oddVBand="0" w:evenVBand="0" w:oddHBand="0" w:evenHBand="0" w:firstRowFirstColumn="0" w:firstRowLastColumn="0" w:lastRowFirstColumn="0" w:lastRowLastColumn="0"/>
          <w:tblHeader/>
        </w:trPr>
        <w:tc>
          <w:tcPr>
            <w:tcW w:w="1695" w:type="dxa"/>
          </w:tcPr>
          <w:p w14:paraId="48B36F5C" w14:textId="43C82854" w:rsidR="00CC7040" w:rsidRPr="005D3F48" w:rsidRDefault="00CC7040" w:rsidP="00B24E19">
            <w:pPr>
              <w:pStyle w:val="DHHStablecolhead"/>
              <w:rPr>
                <w:b/>
                <w:bCs/>
                <w:sz w:val="18"/>
                <w:szCs w:val="18"/>
              </w:rPr>
            </w:pPr>
            <w:r w:rsidRPr="005D3F48">
              <w:rPr>
                <w:b/>
                <w:bCs/>
                <w:sz w:val="18"/>
                <w:szCs w:val="18"/>
              </w:rPr>
              <w:t>Indicator</w:t>
            </w:r>
          </w:p>
        </w:tc>
        <w:tc>
          <w:tcPr>
            <w:tcW w:w="1228" w:type="dxa"/>
          </w:tcPr>
          <w:p w14:paraId="26C3FF2E" w14:textId="77777777" w:rsidR="00CC7040" w:rsidRPr="005D3F48" w:rsidRDefault="00CC7040" w:rsidP="00B24E19">
            <w:pPr>
              <w:pStyle w:val="DHHStablecolhead"/>
              <w:rPr>
                <w:b/>
                <w:bCs/>
                <w:sz w:val="18"/>
                <w:szCs w:val="18"/>
              </w:rPr>
            </w:pPr>
            <w:r w:rsidRPr="005D3F48">
              <w:rPr>
                <w:b/>
                <w:bCs/>
                <w:sz w:val="18"/>
                <w:szCs w:val="18"/>
              </w:rPr>
              <w:t>Reference</w:t>
            </w:r>
          </w:p>
          <w:p w14:paraId="48214A9F" w14:textId="77777777" w:rsidR="00CC7040" w:rsidRPr="005D3F48" w:rsidRDefault="00CC7040" w:rsidP="00B24E19">
            <w:pPr>
              <w:pStyle w:val="DHHStablecolhead"/>
              <w:rPr>
                <w:b/>
                <w:bCs/>
                <w:sz w:val="18"/>
                <w:szCs w:val="18"/>
              </w:rPr>
            </w:pPr>
            <w:r w:rsidRPr="005D3F48">
              <w:rPr>
                <w:b/>
                <w:bCs/>
                <w:sz w:val="18"/>
                <w:szCs w:val="18"/>
              </w:rPr>
              <w:t>year</w:t>
            </w:r>
          </w:p>
        </w:tc>
        <w:tc>
          <w:tcPr>
            <w:tcW w:w="1401" w:type="dxa"/>
          </w:tcPr>
          <w:p w14:paraId="40389778" w14:textId="77777777" w:rsidR="00CC7040" w:rsidRPr="005D3F48" w:rsidRDefault="00CC7040" w:rsidP="00B24E19">
            <w:pPr>
              <w:pStyle w:val="DHHStablecolhead"/>
              <w:rPr>
                <w:b/>
                <w:bCs/>
                <w:sz w:val="18"/>
                <w:szCs w:val="18"/>
              </w:rPr>
            </w:pPr>
            <w:r w:rsidRPr="005D3F48">
              <w:rPr>
                <w:b/>
                <w:bCs/>
                <w:sz w:val="18"/>
                <w:szCs w:val="18"/>
              </w:rPr>
              <w:t>Four years prior</w:t>
            </w:r>
          </w:p>
        </w:tc>
        <w:tc>
          <w:tcPr>
            <w:tcW w:w="1128" w:type="dxa"/>
          </w:tcPr>
          <w:p w14:paraId="5617AB09" w14:textId="77777777" w:rsidR="00CC7040" w:rsidRPr="005D3F48" w:rsidRDefault="00CC7040" w:rsidP="00B24E19">
            <w:pPr>
              <w:pStyle w:val="DHHStablecolhead"/>
              <w:rPr>
                <w:b/>
                <w:bCs/>
                <w:sz w:val="18"/>
                <w:szCs w:val="18"/>
              </w:rPr>
            </w:pPr>
            <w:r w:rsidRPr="005D3F48">
              <w:rPr>
                <w:b/>
                <w:bCs/>
                <w:sz w:val="18"/>
                <w:szCs w:val="18"/>
              </w:rPr>
              <w:t>Three years prior</w:t>
            </w:r>
          </w:p>
        </w:tc>
        <w:tc>
          <w:tcPr>
            <w:tcW w:w="1131" w:type="dxa"/>
          </w:tcPr>
          <w:p w14:paraId="65096D4E" w14:textId="77777777" w:rsidR="00CC7040" w:rsidRPr="005D3F48" w:rsidRDefault="00CC7040" w:rsidP="00B24E19">
            <w:pPr>
              <w:pStyle w:val="DHHStablecolhead"/>
              <w:rPr>
                <w:b/>
                <w:bCs/>
                <w:sz w:val="18"/>
                <w:szCs w:val="18"/>
              </w:rPr>
            </w:pPr>
            <w:r w:rsidRPr="005D3F48">
              <w:rPr>
                <w:b/>
                <w:bCs/>
                <w:sz w:val="18"/>
                <w:szCs w:val="18"/>
              </w:rPr>
              <w:t>Two years prior</w:t>
            </w:r>
          </w:p>
        </w:tc>
        <w:tc>
          <w:tcPr>
            <w:tcW w:w="1135" w:type="dxa"/>
          </w:tcPr>
          <w:p w14:paraId="35B33EE6" w14:textId="77777777" w:rsidR="00CC7040" w:rsidRPr="005D3F48" w:rsidRDefault="00CC7040" w:rsidP="00B24E19">
            <w:pPr>
              <w:pStyle w:val="DHHStablecolhead"/>
              <w:rPr>
                <w:b/>
                <w:bCs/>
                <w:sz w:val="18"/>
                <w:szCs w:val="18"/>
              </w:rPr>
            </w:pPr>
            <w:r w:rsidRPr="005D3F48">
              <w:rPr>
                <w:b/>
                <w:bCs/>
                <w:sz w:val="18"/>
                <w:szCs w:val="18"/>
              </w:rPr>
              <w:t>One year prior</w:t>
            </w:r>
          </w:p>
        </w:tc>
        <w:tc>
          <w:tcPr>
            <w:tcW w:w="1298" w:type="dxa"/>
          </w:tcPr>
          <w:p w14:paraId="3880D72B" w14:textId="77777777" w:rsidR="00CC7040" w:rsidRPr="005D3F48" w:rsidRDefault="00CC7040" w:rsidP="00B24E19">
            <w:pPr>
              <w:pStyle w:val="DHHStablecolhead"/>
              <w:rPr>
                <w:b/>
                <w:bCs/>
                <w:sz w:val="18"/>
                <w:szCs w:val="18"/>
              </w:rPr>
            </w:pPr>
            <w:r w:rsidRPr="005D3F48">
              <w:rPr>
                <w:b/>
                <w:bCs/>
                <w:sz w:val="18"/>
                <w:szCs w:val="18"/>
              </w:rPr>
              <w:t>Most current data</w:t>
            </w:r>
          </w:p>
        </w:tc>
      </w:tr>
      <w:tr w:rsidR="00CC7040" w14:paraId="7FFBE758" w14:textId="77777777" w:rsidTr="004476F8">
        <w:tc>
          <w:tcPr>
            <w:tcW w:w="1695" w:type="dxa"/>
          </w:tcPr>
          <w:p w14:paraId="348AFE81" w14:textId="113CDA80" w:rsidR="00CC7040" w:rsidRPr="005D3F48" w:rsidRDefault="00CC7040" w:rsidP="0054787A">
            <w:pPr>
              <w:pStyle w:val="DHHStabletext"/>
              <w:rPr>
                <w:sz w:val="18"/>
                <w:szCs w:val="18"/>
                <w:lang w:val="en-US"/>
              </w:rPr>
            </w:pPr>
            <w:r w:rsidRPr="005D3F48">
              <w:rPr>
                <w:sz w:val="18"/>
                <w:szCs w:val="18"/>
                <w:lang w:val="en-US"/>
              </w:rPr>
              <w:t xml:space="preserve">7.1 Proportion of </w:t>
            </w:r>
            <w:r w:rsidR="00F568D9">
              <w:rPr>
                <w:sz w:val="18"/>
                <w:szCs w:val="18"/>
                <w:lang w:val="en-US"/>
              </w:rPr>
              <w:t>Y</w:t>
            </w:r>
            <w:r w:rsidRPr="005D3F48">
              <w:rPr>
                <w:sz w:val="18"/>
                <w:szCs w:val="18"/>
                <w:lang w:val="en-US"/>
              </w:rPr>
              <w:t xml:space="preserve">ear </w:t>
            </w:r>
            <w:r w:rsidR="00F568D9">
              <w:rPr>
                <w:sz w:val="18"/>
                <w:szCs w:val="18"/>
                <w:lang w:val="en-US"/>
              </w:rPr>
              <w:t>3</w:t>
            </w:r>
            <w:r w:rsidR="00F568D9" w:rsidRPr="005D3F48">
              <w:rPr>
                <w:sz w:val="18"/>
                <w:szCs w:val="18"/>
                <w:lang w:val="en-US"/>
              </w:rPr>
              <w:t xml:space="preserve"> </w:t>
            </w:r>
            <w:r w:rsidRPr="005D3F48">
              <w:rPr>
                <w:sz w:val="18"/>
                <w:szCs w:val="18"/>
                <w:lang w:val="en-US"/>
              </w:rPr>
              <w:t>students receiving clinical mental health care at or above the national minimum standard for reading</w:t>
            </w:r>
          </w:p>
        </w:tc>
        <w:tc>
          <w:tcPr>
            <w:tcW w:w="1228" w:type="dxa"/>
          </w:tcPr>
          <w:p w14:paraId="535267F7" w14:textId="77777777" w:rsidR="00CC7040" w:rsidRPr="005D3F48" w:rsidRDefault="00CC7040" w:rsidP="0054787A">
            <w:pPr>
              <w:pStyle w:val="DHHStabletext"/>
              <w:rPr>
                <w:sz w:val="18"/>
                <w:szCs w:val="18"/>
                <w:lang w:val="en-US"/>
              </w:rPr>
            </w:pPr>
            <w:r w:rsidRPr="005D3F48">
              <w:rPr>
                <w:sz w:val="18"/>
                <w:szCs w:val="18"/>
                <w:lang w:val="en-US"/>
              </w:rPr>
              <w:t>2018</w:t>
            </w:r>
          </w:p>
        </w:tc>
        <w:tc>
          <w:tcPr>
            <w:tcW w:w="1401" w:type="dxa"/>
          </w:tcPr>
          <w:p w14:paraId="1B6B450D" w14:textId="3B16B2A2" w:rsidR="00CC7040" w:rsidRPr="005D3F48" w:rsidRDefault="00095B28" w:rsidP="0054787A">
            <w:pPr>
              <w:pStyle w:val="DHHStabletext"/>
              <w:rPr>
                <w:sz w:val="18"/>
                <w:szCs w:val="18"/>
                <w:lang w:val="en-US"/>
              </w:rPr>
            </w:pPr>
            <w:r>
              <w:rPr>
                <w:sz w:val="18"/>
                <w:szCs w:val="18"/>
                <w:lang w:val="en-US"/>
              </w:rPr>
              <w:t>n</w:t>
            </w:r>
            <w:r w:rsidRPr="005D3F48">
              <w:rPr>
                <w:sz w:val="18"/>
                <w:szCs w:val="18"/>
                <w:lang w:val="en-US"/>
              </w:rPr>
              <w:t>/</w:t>
            </w:r>
            <w:r>
              <w:rPr>
                <w:sz w:val="18"/>
                <w:szCs w:val="18"/>
                <w:lang w:val="en-US"/>
              </w:rPr>
              <w:t>a</w:t>
            </w:r>
          </w:p>
        </w:tc>
        <w:tc>
          <w:tcPr>
            <w:tcW w:w="1128" w:type="dxa"/>
          </w:tcPr>
          <w:p w14:paraId="7D44C0C9" w14:textId="70CFD58D" w:rsidR="00CC7040" w:rsidRPr="005D3F48" w:rsidRDefault="00095B28" w:rsidP="0054787A">
            <w:pPr>
              <w:pStyle w:val="DHHStabletext"/>
              <w:rPr>
                <w:sz w:val="18"/>
                <w:szCs w:val="18"/>
                <w:lang w:val="en-US"/>
              </w:rPr>
            </w:pPr>
            <w:r>
              <w:rPr>
                <w:sz w:val="18"/>
                <w:szCs w:val="18"/>
                <w:lang w:val="en-US"/>
              </w:rPr>
              <w:t>n</w:t>
            </w:r>
            <w:r w:rsidRPr="005D3F48">
              <w:rPr>
                <w:sz w:val="18"/>
                <w:szCs w:val="18"/>
                <w:lang w:val="en-US"/>
              </w:rPr>
              <w:t>/</w:t>
            </w:r>
            <w:r>
              <w:rPr>
                <w:sz w:val="18"/>
                <w:szCs w:val="18"/>
                <w:lang w:val="en-US"/>
              </w:rPr>
              <w:t>a</w:t>
            </w:r>
          </w:p>
        </w:tc>
        <w:tc>
          <w:tcPr>
            <w:tcW w:w="1131" w:type="dxa"/>
          </w:tcPr>
          <w:p w14:paraId="51A4E0A5" w14:textId="731CB3D7" w:rsidR="00CC7040" w:rsidRPr="005D3F48" w:rsidRDefault="00CC7040" w:rsidP="0054787A">
            <w:pPr>
              <w:pStyle w:val="DHHStabletext"/>
              <w:rPr>
                <w:sz w:val="18"/>
                <w:szCs w:val="18"/>
                <w:lang w:val="en-US"/>
              </w:rPr>
            </w:pPr>
            <w:r w:rsidRPr="005D3F48">
              <w:rPr>
                <w:sz w:val="18"/>
                <w:szCs w:val="18"/>
                <w:lang w:val="en-US"/>
              </w:rPr>
              <w:t>68.1</w:t>
            </w:r>
            <w:r w:rsidR="007F7F41">
              <w:rPr>
                <w:sz w:val="18"/>
                <w:szCs w:val="18"/>
                <w:lang w:val="en-US"/>
              </w:rPr>
              <w:t>%</w:t>
            </w:r>
          </w:p>
        </w:tc>
        <w:tc>
          <w:tcPr>
            <w:tcW w:w="1135" w:type="dxa"/>
          </w:tcPr>
          <w:p w14:paraId="3D4AFD12" w14:textId="0D07FDAB" w:rsidR="00CC7040" w:rsidRPr="005D3F48" w:rsidRDefault="00CC7040" w:rsidP="0054787A">
            <w:pPr>
              <w:pStyle w:val="DHHStabletext"/>
              <w:rPr>
                <w:sz w:val="18"/>
                <w:szCs w:val="18"/>
                <w:lang w:val="en-US"/>
              </w:rPr>
            </w:pPr>
            <w:r w:rsidRPr="005D3F48">
              <w:rPr>
                <w:sz w:val="18"/>
                <w:szCs w:val="18"/>
                <w:lang w:val="en-US"/>
              </w:rPr>
              <w:t>64.3</w:t>
            </w:r>
            <w:r w:rsidR="007F7F41">
              <w:rPr>
                <w:sz w:val="18"/>
                <w:szCs w:val="18"/>
                <w:lang w:val="en-US"/>
              </w:rPr>
              <w:t>%</w:t>
            </w:r>
          </w:p>
        </w:tc>
        <w:tc>
          <w:tcPr>
            <w:tcW w:w="1298" w:type="dxa"/>
          </w:tcPr>
          <w:p w14:paraId="00DB814C" w14:textId="25620FB7" w:rsidR="00CC7040" w:rsidRPr="005D3F48" w:rsidRDefault="00CC7040" w:rsidP="0054787A">
            <w:pPr>
              <w:pStyle w:val="DHHStabletext"/>
              <w:rPr>
                <w:sz w:val="18"/>
                <w:szCs w:val="18"/>
                <w:lang w:val="en-US"/>
              </w:rPr>
            </w:pPr>
            <w:r w:rsidRPr="005D3F48">
              <w:rPr>
                <w:sz w:val="18"/>
                <w:szCs w:val="18"/>
                <w:lang w:val="en-US"/>
              </w:rPr>
              <w:t>59.5</w:t>
            </w:r>
            <w:r w:rsidR="007F7F41">
              <w:rPr>
                <w:sz w:val="18"/>
                <w:szCs w:val="18"/>
                <w:lang w:val="en-US"/>
              </w:rPr>
              <w:t>%</w:t>
            </w:r>
          </w:p>
        </w:tc>
      </w:tr>
      <w:tr w:rsidR="00CC7040" w14:paraId="2C491766" w14:textId="77777777" w:rsidTr="004476F8">
        <w:tc>
          <w:tcPr>
            <w:tcW w:w="1695" w:type="dxa"/>
          </w:tcPr>
          <w:p w14:paraId="7DE717A6" w14:textId="4C0039D6" w:rsidR="00CC7040" w:rsidRPr="005D3F48" w:rsidRDefault="00CC7040" w:rsidP="0054787A">
            <w:pPr>
              <w:pStyle w:val="DHHStabletext"/>
              <w:rPr>
                <w:sz w:val="18"/>
                <w:szCs w:val="18"/>
                <w:lang w:val="en-US"/>
              </w:rPr>
            </w:pPr>
            <w:r w:rsidRPr="005D3F48">
              <w:rPr>
                <w:sz w:val="18"/>
                <w:szCs w:val="18"/>
                <w:lang w:val="en-US"/>
              </w:rPr>
              <w:t xml:space="preserve">7.2 Proportion of </w:t>
            </w:r>
            <w:r w:rsidR="00F568D9">
              <w:rPr>
                <w:sz w:val="18"/>
                <w:szCs w:val="18"/>
                <w:lang w:val="en-US"/>
              </w:rPr>
              <w:t>Y</w:t>
            </w:r>
            <w:r w:rsidRPr="005D3F48">
              <w:rPr>
                <w:sz w:val="18"/>
                <w:szCs w:val="18"/>
                <w:lang w:val="en-US"/>
              </w:rPr>
              <w:t xml:space="preserve">ear </w:t>
            </w:r>
            <w:r w:rsidR="00F568D9">
              <w:rPr>
                <w:sz w:val="18"/>
                <w:szCs w:val="18"/>
                <w:lang w:val="en-US"/>
              </w:rPr>
              <w:t>3</w:t>
            </w:r>
            <w:r w:rsidRPr="005D3F48">
              <w:rPr>
                <w:sz w:val="18"/>
                <w:szCs w:val="18"/>
                <w:lang w:val="en-US"/>
              </w:rPr>
              <w:t xml:space="preserve"> students receiving clinical mental health care at or above the national minimum standard for numeracy</w:t>
            </w:r>
          </w:p>
        </w:tc>
        <w:tc>
          <w:tcPr>
            <w:tcW w:w="1228" w:type="dxa"/>
          </w:tcPr>
          <w:p w14:paraId="25832A47" w14:textId="77777777" w:rsidR="00CC7040" w:rsidRPr="005D3F48" w:rsidRDefault="00CC7040" w:rsidP="0054787A">
            <w:pPr>
              <w:pStyle w:val="DHHStabletext"/>
              <w:rPr>
                <w:sz w:val="18"/>
                <w:szCs w:val="18"/>
                <w:lang w:val="en-US"/>
              </w:rPr>
            </w:pPr>
            <w:r w:rsidRPr="005D3F48">
              <w:rPr>
                <w:sz w:val="18"/>
                <w:szCs w:val="18"/>
                <w:lang w:val="en-US"/>
              </w:rPr>
              <w:t>2018</w:t>
            </w:r>
          </w:p>
        </w:tc>
        <w:tc>
          <w:tcPr>
            <w:tcW w:w="1401" w:type="dxa"/>
          </w:tcPr>
          <w:p w14:paraId="33F999B8" w14:textId="70408738" w:rsidR="00CC7040" w:rsidRPr="005D3F48" w:rsidRDefault="00095B28" w:rsidP="0054787A">
            <w:pPr>
              <w:pStyle w:val="DHHStabletext"/>
              <w:rPr>
                <w:sz w:val="18"/>
                <w:szCs w:val="18"/>
                <w:lang w:val="en-US"/>
              </w:rPr>
            </w:pPr>
            <w:r>
              <w:rPr>
                <w:sz w:val="18"/>
                <w:szCs w:val="18"/>
                <w:lang w:val="en-US"/>
              </w:rPr>
              <w:t>n</w:t>
            </w:r>
            <w:r w:rsidRPr="005D3F48">
              <w:rPr>
                <w:sz w:val="18"/>
                <w:szCs w:val="18"/>
                <w:lang w:val="en-US"/>
              </w:rPr>
              <w:t>/</w:t>
            </w:r>
            <w:r>
              <w:rPr>
                <w:sz w:val="18"/>
                <w:szCs w:val="18"/>
                <w:lang w:val="en-US"/>
              </w:rPr>
              <w:t>a</w:t>
            </w:r>
          </w:p>
        </w:tc>
        <w:tc>
          <w:tcPr>
            <w:tcW w:w="1128" w:type="dxa"/>
          </w:tcPr>
          <w:p w14:paraId="098AFCF7" w14:textId="76905911" w:rsidR="00CC7040" w:rsidRPr="005D3F48" w:rsidRDefault="00095B28" w:rsidP="0054787A">
            <w:pPr>
              <w:pStyle w:val="DHHStabletext"/>
              <w:rPr>
                <w:sz w:val="18"/>
                <w:szCs w:val="18"/>
                <w:lang w:val="en-US"/>
              </w:rPr>
            </w:pPr>
            <w:r>
              <w:rPr>
                <w:sz w:val="18"/>
                <w:szCs w:val="18"/>
                <w:lang w:val="en-US"/>
              </w:rPr>
              <w:t>n</w:t>
            </w:r>
            <w:r w:rsidRPr="005D3F48">
              <w:rPr>
                <w:sz w:val="18"/>
                <w:szCs w:val="18"/>
                <w:lang w:val="en-US"/>
              </w:rPr>
              <w:t>/</w:t>
            </w:r>
            <w:r>
              <w:rPr>
                <w:sz w:val="18"/>
                <w:szCs w:val="18"/>
                <w:lang w:val="en-US"/>
              </w:rPr>
              <w:t>a</w:t>
            </w:r>
          </w:p>
        </w:tc>
        <w:tc>
          <w:tcPr>
            <w:tcW w:w="1131" w:type="dxa"/>
          </w:tcPr>
          <w:p w14:paraId="34175065" w14:textId="4EB3B4F6" w:rsidR="00CC7040" w:rsidRPr="005D3F48" w:rsidRDefault="00CC7040" w:rsidP="0054787A">
            <w:pPr>
              <w:pStyle w:val="DHHStabletext"/>
              <w:rPr>
                <w:sz w:val="18"/>
                <w:szCs w:val="18"/>
                <w:lang w:val="en-US"/>
              </w:rPr>
            </w:pPr>
            <w:r w:rsidRPr="005D3F48">
              <w:rPr>
                <w:sz w:val="18"/>
                <w:szCs w:val="18"/>
                <w:lang w:val="en-US"/>
              </w:rPr>
              <w:t>67.9</w:t>
            </w:r>
            <w:r w:rsidR="007F7F41">
              <w:rPr>
                <w:sz w:val="18"/>
                <w:szCs w:val="18"/>
                <w:lang w:val="en-US"/>
              </w:rPr>
              <w:t>%</w:t>
            </w:r>
          </w:p>
        </w:tc>
        <w:tc>
          <w:tcPr>
            <w:tcW w:w="1135" w:type="dxa"/>
          </w:tcPr>
          <w:p w14:paraId="7D740329" w14:textId="069B2FB7" w:rsidR="00CC7040" w:rsidRPr="005D3F48" w:rsidRDefault="00CC7040" w:rsidP="0054787A">
            <w:pPr>
              <w:pStyle w:val="DHHStabletext"/>
              <w:rPr>
                <w:sz w:val="18"/>
                <w:szCs w:val="18"/>
                <w:lang w:val="en-US"/>
              </w:rPr>
            </w:pPr>
            <w:r w:rsidRPr="005D3F48">
              <w:rPr>
                <w:sz w:val="18"/>
                <w:szCs w:val="18"/>
                <w:lang w:val="en-US"/>
              </w:rPr>
              <w:t>66.0</w:t>
            </w:r>
            <w:r w:rsidR="007F7F41">
              <w:rPr>
                <w:sz w:val="18"/>
                <w:szCs w:val="18"/>
                <w:lang w:val="en-US"/>
              </w:rPr>
              <w:t>%</w:t>
            </w:r>
          </w:p>
        </w:tc>
        <w:tc>
          <w:tcPr>
            <w:tcW w:w="1298" w:type="dxa"/>
          </w:tcPr>
          <w:p w14:paraId="66AA3F3E" w14:textId="3E01A324" w:rsidR="00CC7040" w:rsidRPr="005D3F48" w:rsidRDefault="00CC7040" w:rsidP="0054787A">
            <w:pPr>
              <w:pStyle w:val="DHHStabletext"/>
              <w:rPr>
                <w:sz w:val="18"/>
                <w:szCs w:val="18"/>
                <w:lang w:val="en-US"/>
              </w:rPr>
            </w:pPr>
            <w:r w:rsidRPr="005D3F48">
              <w:rPr>
                <w:sz w:val="18"/>
                <w:szCs w:val="18"/>
                <w:lang w:val="en-US"/>
              </w:rPr>
              <w:t>64.8</w:t>
            </w:r>
            <w:r w:rsidR="007F7F41">
              <w:rPr>
                <w:sz w:val="18"/>
                <w:szCs w:val="18"/>
                <w:lang w:val="en-US"/>
              </w:rPr>
              <w:t>%</w:t>
            </w:r>
          </w:p>
        </w:tc>
      </w:tr>
      <w:tr w:rsidR="00CC7040" w14:paraId="197846DA" w14:textId="77777777" w:rsidTr="004476F8">
        <w:tc>
          <w:tcPr>
            <w:tcW w:w="1695" w:type="dxa"/>
          </w:tcPr>
          <w:p w14:paraId="0B1370C9" w14:textId="668AC61D" w:rsidR="00CC7040" w:rsidRPr="005D3F48" w:rsidRDefault="00CC7040" w:rsidP="0054787A">
            <w:pPr>
              <w:pStyle w:val="DHHStabletext"/>
              <w:rPr>
                <w:sz w:val="18"/>
                <w:szCs w:val="18"/>
                <w:lang w:val="en-US"/>
              </w:rPr>
            </w:pPr>
            <w:r w:rsidRPr="005D3F48">
              <w:rPr>
                <w:sz w:val="18"/>
                <w:szCs w:val="18"/>
                <w:lang w:val="en-US"/>
              </w:rPr>
              <w:t>7.</w:t>
            </w:r>
            <w:r w:rsidR="007F7F41">
              <w:rPr>
                <w:sz w:val="18"/>
                <w:szCs w:val="18"/>
                <w:lang w:val="en-US"/>
              </w:rPr>
              <w:t>3</w:t>
            </w:r>
            <w:r w:rsidR="00894D3B" w:rsidRPr="005D3F48">
              <w:rPr>
                <w:sz w:val="18"/>
                <w:szCs w:val="18"/>
                <w:lang w:val="en-US"/>
              </w:rPr>
              <w:t xml:space="preserve"> </w:t>
            </w:r>
            <w:r w:rsidRPr="005D3F48">
              <w:rPr>
                <w:sz w:val="18"/>
                <w:szCs w:val="18"/>
                <w:lang w:val="en-US"/>
              </w:rPr>
              <w:t xml:space="preserve">Proportion of </w:t>
            </w:r>
            <w:r w:rsidR="00F568D9">
              <w:rPr>
                <w:sz w:val="18"/>
                <w:szCs w:val="18"/>
                <w:lang w:val="en-US"/>
              </w:rPr>
              <w:t>Y</w:t>
            </w:r>
            <w:r w:rsidRPr="005D3F48">
              <w:rPr>
                <w:sz w:val="18"/>
                <w:szCs w:val="18"/>
                <w:lang w:val="en-US"/>
              </w:rPr>
              <w:t xml:space="preserve">ear </w:t>
            </w:r>
            <w:r w:rsidR="00F568D9">
              <w:rPr>
                <w:sz w:val="18"/>
                <w:szCs w:val="18"/>
                <w:lang w:val="en-US"/>
              </w:rPr>
              <w:t xml:space="preserve">9 </w:t>
            </w:r>
            <w:r w:rsidRPr="005D3F48">
              <w:rPr>
                <w:sz w:val="18"/>
                <w:szCs w:val="18"/>
                <w:lang w:val="en-US"/>
              </w:rPr>
              <w:t>students receiving clinical mental health care at or above the national minimum standard for reading</w:t>
            </w:r>
          </w:p>
        </w:tc>
        <w:tc>
          <w:tcPr>
            <w:tcW w:w="1228" w:type="dxa"/>
          </w:tcPr>
          <w:p w14:paraId="03DA8280" w14:textId="77777777" w:rsidR="00CC7040" w:rsidRPr="005D3F48" w:rsidRDefault="00CC7040" w:rsidP="0054787A">
            <w:pPr>
              <w:pStyle w:val="DHHStabletext"/>
              <w:rPr>
                <w:sz w:val="18"/>
                <w:szCs w:val="18"/>
                <w:lang w:val="en-US"/>
              </w:rPr>
            </w:pPr>
            <w:r w:rsidRPr="005D3F48">
              <w:rPr>
                <w:sz w:val="18"/>
                <w:szCs w:val="18"/>
                <w:lang w:val="en-US"/>
              </w:rPr>
              <w:t>2018</w:t>
            </w:r>
          </w:p>
        </w:tc>
        <w:tc>
          <w:tcPr>
            <w:tcW w:w="1401" w:type="dxa"/>
          </w:tcPr>
          <w:p w14:paraId="70CD13CE" w14:textId="1AB5C668" w:rsidR="00CC7040" w:rsidRPr="005D3F48" w:rsidRDefault="00095B28" w:rsidP="0054787A">
            <w:pPr>
              <w:pStyle w:val="DHHStabletext"/>
              <w:rPr>
                <w:sz w:val="18"/>
                <w:szCs w:val="18"/>
                <w:lang w:val="en-US"/>
              </w:rPr>
            </w:pPr>
            <w:r>
              <w:rPr>
                <w:sz w:val="18"/>
                <w:szCs w:val="18"/>
                <w:lang w:val="en-US"/>
              </w:rPr>
              <w:t>n</w:t>
            </w:r>
            <w:r w:rsidRPr="005D3F48">
              <w:rPr>
                <w:sz w:val="18"/>
                <w:szCs w:val="18"/>
                <w:lang w:val="en-US"/>
              </w:rPr>
              <w:t>/</w:t>
            </w:r>
            <w:r>
              <w:rPr>
                <w:sz w:val="18"/>
                <w:szCs w:val="18"/>
                <w:lang w:val="en-US"/>
              </w:rPr>
              <w:t>a</w:t>
            </w:r>
          </w:p>
        </w:tc>
        <w:tc>
          <w:tcPr>
            <w:tcW w:w="1128" w:type="dxa"/>
          </w:tcPr>
          <w:p w14:paraId="067DC598" w14:textId="4A89468B" w:rsidR="00CC7040" w:rsidRPr="005D3F48" w:rsidRDefault="00095B28" w:rsidP="0054787A">
            <w:pPr>
              <w:pStyle w:val="DHHStabletext"/>
              <w:rPr>
                <w:sz w:val="18"/>
                <w:szCs w:val="18"/>
                <w:lang w:val="en-US"/>
              </w:rPr>
            </w:pPr>
            <w:r>
              <w:rPr>
                <w:sz w:val="18"/>
                <w:szCs w:val="18"/>
                <w:lang w:val="en-US"/>
              </w:rPr>
              <w:t>n</w:t>
            </w:r>
            <w:r w:rsidRPr="005D3F48">
              <w:rPr>
                <w:sz w:val="18"/>
                <w:szCs w:val="18"/>
                <w:lang w:val="en-US"/>
              </w:rPr>
              <w:t>/</w:t>
            </w:r>
            <w:r>
              <w:rPr>
                <w:sz w:val="18"/>
                <w:szCs w:val="18"/>
                <w:lang w:val="en-US"/>
              </w:rPr>
              <w:t>a</w:t>
            </w:r>
          </w:p>
        </w:tc>
        <w:tc>
          <w:tcPr>
            <w:tcW w:w="1131" w:type="dxa"/>
          </w:tcPr>
          <w:p w14:paraId="22120028" w14:textId="5F32229F" w:rsidR="00CC7040" w:rsidRPr="005D3F48" w:rsidRDefault="00CC7040" w:rsidP="0054787A">
            <w:pPr>
              <w:pStyle w:val="DHHStabletext"/>
              <w:rPr>
                <w:sz w:val="18"/>
                <w:szCs w:val="18"/>
                <w:lang w:val="en-US"/>
              </w:rPr>
            </w:pPr>
            <w:r w:rsidRPr="005D3F48">
              <w:rPr>
                <w:sz w:val="18"/>
                <w:szCs w:val="18"/>
                <w:lang w:val="en-US"/>
              </w:rPr>
              <w:t>59.2</w:t>
            </w:r>
            <w:r w:rsidR="007F7F41">
              <w:rPr>
                <w:sz w:val="18"/>
                <w:szCs w:val="18"/>
                <w:lang w:val="en-US"/>
              </w:rPr>
              <w:t>%</w:t>
            </w:r>
          </w:p>
        </w:tc>
        <w:tc>
          <w:tcPr>
            <w:tcW w:w="1135" w:type="dxa"/>
          </w:tcPr>
          <w:p w14:paraId="279CD141" w14:textId="0A822180" w:rsidR="00CC7040" w:rsidRPr="005D3F48" w:rsidRDefault="00CC7040" w:rsidP="0054787A">
            <w:pPr>
              <w:pStyle w:val="DHHStabletext"/>
              <w:rPr>
                <w:sz w:val="18"/>
                <w:szCs w:val="18"/>
                <w:lang w:val="en-US"/>
              </w:rPr>
            </w:pPr>
            <w:r w:rsidRPr="005D3F48">
              <w:rPr>
                <w:sz w:val="18"/>
                <w:szCs w:val="18"/>
                <w:lang w:val="en-US"/>
              </w:rPr>
              <w:t>52.5</w:t>
            </w:r>
            <w:r w:rsidR="007F7F41">
              <w:rPr>
                <w:sz w:val="18"/>
                <w:szCs w:val="18"/>
                <w:lang w:val="en-US"/>
              </w:rPr>
              <w:t>%</w:t>
            </w:r>
          </w:p>
        </w:tc>
        <w:tc>
          <w:tcPr>
            <w:tcW w:w="1298" w:type="dxa"/>
          </w:tcPr>
          <w:p w14:paraId="46147278" w14:textId="5FDC76BD" w:rsidR="00CC7040" w:rsidRPr="005D3F48" w:rsidRDefault="00CC7040" w:rsidP="0054787A">
            <w:pPr>
              <w:pStyle w:val="DHHStabletext"/>
              <w:rPr>
                <w:sz w:val="18"/>
                <w:szCs w:val="18"/>
                <w:lang w:val="en-US"/>
              </w:rPr>
            </w:pPr>
            <w:r w:rsidRPr="005D3F48">
              <w:rPr>
                <w:sz w:val="18"/>
                <w:szCs w:val="18"/>
                <w:lang w:val="en-US"/>
              </w:rPr>
              <w:t>49.1</w:t>
            </w:r>
            <w:r w:rsidR="007F7F41">
              <w:rPr>
                <w:sz w:val="18"/>
                <w:szCs w:val="18"/>
                <w:lang w:val="en-US"/>
              </w:rPr>
              <w:t>%</w:t>
            </w:r>
          </w:p>
        </w:tc>
      </w:tr>
      <w:tr w:rsidR="00CC7040" w:rsidRPr="005D3F48" w14:paraId="52B42F38" w14:textId="77777777" w:rsidTr="004476F8">
        <w:tc>
          <w:tcPr>
            <w:tcW w:w="1695" w:type="dxa"/>
          </w:tcPr>
          <w:p w14:paraId="3642EA32" w14:textId="74DF2877" w:rsidR="00CC7040" w:rsidRPr="005D3F48" w:rsidRDefault="00CC7040" w:rsidP="0054787A">
            <w:pPr>
              <w:pStyle w:val="DHHStabletext"/>
              <w:rPr>
                <w:sz w:val="18"/>
                <w:szCs w:val="18"/>
                <w:lang w:val="en-US"/>
              </w:rPr>
            </w:pPr>
            <w:r w:rsidRPr="005D3F48">
              <w:rPr>
                <w:sz w:val="18"/>
                <w:szCs w:val="18"/>
                <w:lang w:val="en-US"/>
              </w:rPr>
              <w:t>7.</w:t>
            </w:r>
            <w:r w:rsidR="007F7F41">
              <w:rPr>
                <w:sz w:val="18"/>
                <w:szCs w:val="18"/>
                <w:lang w:val="en-US"/>
              </w:rPr>
              <w:t>4</w:t>
            </w:r>
            <w:r w:rsidR="00894D3B" w:rsidRPr="005D3F48">
              <w:rPr>
                <w:sz w:val="18"/>
                <w:szCs w:val="18"/>
                <w:lang w:val="en-US"/>
              </w:rPr>
              <w:t xml:space="preserve"> </w:t>
            </w:r>
            <w:r w:rsidRPr="005D3F48">
              <w:rPr>
                <w:sz w:val="18"/>
                <w:szCs w:val="18"/>
                <w:lang w:val="en-US"/>
              </w:rPr>
              <w:t xml:space="preserve">Proportion of </w:t>
            </w:r>
            <w:r w:rsidR="00F568D9">
              <w:rPr>
                <w:sz w:val="18"/>
                <w:szCs w:val="18"/>
                <w:lang w:val="en-US"/>
              </w:rPr>
              <w:t>Y</w:t>
            </w:r>
            <w:r w:rsidRPr="005D3F48">
              <w:rPr>
                <w:sz w:val="18"/>
                <w:szCs w:val="18"/>
                <w:lang w:val="en-US"/>
              </w:rPr>
              <w:t xml:space="preserve">ear </w:t>
            </w:r>
            <w:r w:rsidR="00F568D9">
              <w:rPr>
                <w:sz w:val="18"/>
                <w:szCs w:val="18"/>
                <w:lang w:val="en-US"/>
              </w:rPr>
              <w:t xml:space="preserve">9 </w:t>
            </w:r>
            <w:r w:rsidRPr="005D3F48">
              <w:rPr>
                <w:sz w:val="18"/>
                <w:szCs w:val="18"/>
                <w:lang w:val="en-US"/>
              </w:rPr>
              <w:t>students receiving clinical mental health care at or above the national minimum standard for numeracy</w:t>
            </w:r>
          </w:p>
        </w:tc>
        <w:tc>
          <w:tcPr>
            <w:tcW w:w="1228" w:type="dxa"/>
          </w:tcPr>
          <w:p w14:paraId="401F4134" w14:textId="77777777" w:rsidR="00CC7040" w:rsidRPr="005D3F48" w:rsidRDefault="00CC7040" w:rsidP="0054787A">
            <w:pPr>
              <w:pStyle w:val="DHHStabletext"/>
              <w:rPr>
                <w:sz w:val="18"/>
                <w:szCs w:val="18"/>
                <w:lang w:val="en-US"/>
              </w:rPr>
            </w:pPr>
            <w:r w:rsidRPr="005D3F48">
              <w:rPr>
                <w:sz w:val="18"/>
                <w:szCs w:val="18"/>
                <w:lang w:val="en-US"/>
              </w:rPr>
              <w:t>2018</w:t>
            </w:r>
          </w:p>
        </w:tc>
        <w:tc>
          <w:tcPr>
            <w:tcW w:w="1401" w:type="dxa"/>
          </w:tcPr>
          <w:p w14:paraId="0A1534D8" w14:textId="0F641645" w:rsidR="00CC7040" w:rsidRPr="005D3F48" w:rsidRDefault="00095B28" w:rsidP="0054787A">
            <w:pPr>
              <w:pStyle w:val="DHHStabletext"/>
              <w:rPr>
                <w:sz w:val="18"/>
                <w:szCs w:val="18"/>
                <w:lang w:val="en-US"/>
              </w:rPr>
            </w:pPr>
            <w:r>
              <w:rPr>
                <w:sz w:val="18"/>
                <w:szCs w:val="18"/>
                <w:lang w:val="en-US"/>
              </w:rPr>
              <w:t>n</w:t>
            </w:r>
            <w:r w:rsidRPr="005D3F48">
              <w:rPr>
                <w:sz w:val="18"/>
                <w:szCs w:val="18"/>
                <w:lang w:val="en-US"/>
              </w:rPr>
              <w:t>/</w:t>
            </w:r>
            <w:r>
              <w:rPr>
                <w:sz w:val="18"/>
                <w:szCs w:val="18"/>
                <w:lang w:val="en-US"/>
              </w:rPr>
              <w:t>a</w:t>
            </w:r>
          </w:p>
        </w:tc>
        <w:tc>
          <w:tcPr>
            <w:tcW w:w="1128" w:type="dxa"/>
          </w:tcPr>
          <w:p w14:paraId="6A990AD9" w14:textId="0DB70B65" w:rsidR="00CC7040" w:rsidRPr="005D3F48" w:rsidRDefault="00095B28" w:rsidP="0054787A">
            <w:pPr>
              <w:pStyle w:val="DHHStabletext"/>
              <w:rPr>
                <w:sz w:val="18"/>
                <w:szCs w:val="18"/>
                <w:lang w:val="en-US"/>
              </w:rPr>
            </w:pPr>
            <w:r>
              <w:rPr>
                <w:sz w:val="18"/>
                <w:szCs w:val="18"/>
                <w:lang w:val="en-US"/>
              </w:rPr>
              <w:t>n</w:t>
            </w:r>
            <w:r w:rsidRPr="005D3F48">
              <w:rPr>
                <w:sz w:val="18"/>
                <w:szCs w:val="18"/>
                <w:lang w:val="en-US"/>
              </w:rPr>
              <w:t>/</w:t>
            </w:r>
            <w:r>
              <w:rPr>
                <w:sz w:val="18"/>
                <w:szCs w:val="18"/>
                <w:lang w:val="en-US"/>
              </w:rPr>
              <w:t>a</w:t>
            </w:r>
          </w:p>
        </w:tc>
        <w:tc>
          <w:tcPr>
            <w:tcW w:w="1131" w:type="dxa"/>
          </w:tcPr>
          <w:p w14:paraId="0C421282" w14:textId="21672520" w:rsidR="00CC7040" w:rsidRPr="005D3F48" w:rsidRDefault="00CC7040" w:rsidP="0054787A">
            <w:pPr>
              <w:pStyle w:val="DHHStabletext"/>
              <w:rPr>
                <w:sz w:val="18"/>
                <w:szCs w:val="18"/>
                <w:lang w:val="en-US"/>
              </w:rPr>
            </w:pPr>
            <w:r w:rsidRPr="005D3F48">
              <w:rPr>
                <w:sz w:val="18"/>
                <w:szCs w:val="18"/>
                <w:lang w:val="en-US"/>
              </w:rPr>
              <w:t>60.1</w:t>
            </w:r>
            <w:r w:rsidR="007F7F41">
              <w:rPr>
                <w:sz w:val="18"/>
                <w:szCs w:val="18"/>
                <w:lang w:val="en-US"/>
              </w:rPr>
              <w:t>%</w:t>
            </w:r>
          </w:p>
        </w:tc>
        <w:tc>
          <w:tcPr>
            <w:tcW w:w="1135" w:type="dxa"/>
          </w:tcPr>
          <w:p w14:paraId="5DCCB960" w14:textId="3D4BF0CF" w:rsidR="00CC7040" w:rsidRPr="005D3F48" w:rsidRDefault="00CC7040" w:rsidP="0054787A">
            <w:pPr>
              <w:pStyle w:val="DHHStabletext"/>
              <w:rPr>
                <w:sz w:val="18"/>
                <w:szCs w:val="18"/>
                <w:lang w:val="en-US"/>
              </w:rPr>
            </w:pPr>
            <w:r w:rsidRPr="005D3F48">
              <w:rPr>
                <w:sz w:val="18"/>
                <w:szCs w:val="18"/>
                <w:lang w:val="en-US"/>
              </w:rPr>
              <w:t>56.3</w:t>
            </w:r>
            <w:r w:rsidR="007F7F41">
              <w:rPr>
                <w:sz w:val="18"/>
                <w:szCs w:val="18"/>
                <w:lang w:val="en-US"/>
              </w:rPr>
              <w:t>%</w:t>
            </w:r>
          </w:p>
        </w:tc>
        <w:tc>
          <w:tcPr>
            <w:tcW w:w="1298" w:type="dxa"/>
          </w:tcPr>
          <w:p w14:paraId="11F081E7" w14:textId="27C4289F" w:rsidR="00CC7040" w:rsidRPr="005D3F48" w:rsidRDefault="00CC7040" w:rsidP="0054787A">
            <w:pPr>
              <w:pStyle w:val="DHHStabletext"/>
              <w:rPr>
                <w:sz w:val="18"/>
                <w:szCs w:val="18"/>
                <w:lang w:val="en-US"/>
              </w:rPr>
            </w:pPr>
            <w:r w:rsidRPr="005D3F48">
              <w:rPr>
                <w:sz w:val="18"/>
                <w:szCs w:val="18"/>
                <w:lang w:val="en-US"/>
              </w:rPr>
              <w:t>50.3</w:t>
            </w:r>
            <w:r w:rsidR="007F7F41">
              <w:rPr>
                <w:sz w:val="18"/>
                <w:szCs w:val="18"/>
                <w:lang w:val="en-US"/>
              </w:rPr>
              <w:t>%</w:t>
            </w:r>
          </w:p>
        </w:tc>
      </w:tr>
    </w:tbl>
    <w:p w14:paraId="1EEF17F9" w14:textId="77777777" w:rsidR="00CC7040" w:rsidRDefault="00CC7040" w:rsidP="00F17C22">
      <w:pPr>
        <w:pStyle w:val="Heading3"/>
        <w:rPr>
          <w:lang w:eastAsia="en-AU"/>
        </w:rPr>
      </w:pPr>
      <w:r>
        <w:rPr>
          <w:lang w:eastAsia="en-AU"/>
        </w:rPr>
        <w:t xml:space="preserve">Outcome 8: </w:t>
      </w:r>
      <w:r w:rsidRPr="001A513C">
        <w:rPr>
          <w:lang w:eastAsia="en-AU"/>
        </w:rPr>
        <w:t>Victorians with mental illness participate in and contribute to the economy</w:t>
      </w:r>
    </w:p>
    <w:p w14:paraId="55777DCD" w14:textId="43A244CB" w:rsidR="00CC7040" w:rsidRPr="008922C3" w:rsidRDefault="00CC7040" w:rsidP="00CC7040">
      <w:pPr>
        <w:pStyle w:val="DHHSbody"/>
        <w:rPr>
          <w:lang w:eastAsia="en-AU"/>
        </w:rPr>
      </w:pPr>
      <w:r>
        <w:rPr>
          <w:lang w:eastAsia="en-AU"/>
        </w:rPr>
        <w:t>Indicators yet to be developed</w:t>
      </w:r>
      <w:r w:rsidR="00AC37B3">
        <w:rPr>
          <w:lang w:eastAsia="en-AU"/>
        </w:rPr>
        <w:t>.</w:t>
      </w:r>
    </w:p>
    <w:p w14:paraId="64221336" w14:textId="77777777" w:rsidR="00CC7040" w:rsidRDefault="00CC7040" w:rsidP="00F17C22">
      <w:pPr>
        <w:pStyle w:val="Heading3"/>
        <w:rPr>
          <w:lang w:eastAsia="en-AU"/>
        </w:rPr>
      </w:pPr>
      <w:r>
        <w:rPr>
          <w:lang w:eastAsia="en-AU"/>
        </w:rPr>
        <w:t>Outcome 9:</w:t>
      </w:r>
      <w:r w:rsidRPr="000D5B42">
        <w:rPr>
          <w:lang w:eastAsia="en-AU"/>
        </w:rPr>
        <w:t xml:space="preserve"> </w:t>
      </w:r>
      <w:r w:rsidRPr="001A513C">
        <w:rPr>
          <w:lang w:eastAsia="en-AU"/>
        </w:rPr>
        <w:t>Victorians with mental illness have financial security</w:t>
      </w:r>
    </w:p>
    <w:p w14:paraId="0A47F47C" w14:textId="4335FF21" w:rsidR="00CC7040" w:rsidRPr="008922C3" w:rsidRDefault="00CC7040" w:rsidP="00CC7040">
      <w:pPr>
        <w:pStyle w:val="DHHSbody"/>
        <w:rPr>
          <w:lang w:eastAsia="en-AU"/>
        </w:rPr>
      </w:pPr>
      <w:r>
        <w:rPr>
          <w:lang w:eastAsia="en-AU"/>
        </w:rPr>
        <w:t>Indicators yet to be developed</w:t>
      </w:r>
      <w:r w:rsidR="00AC37B3">
        <w:rPr>
          <w:lang w:eastAsia="en-AU"/>
        </w:rPr>
        <w:t>.</w:t>
      </w:r>
    </w:p>
    <w:p w14:paraId="057AE1D0" w14:textId="77777777" w:rsidR="00CC7040" w:rsidRDefault="00CC7040" w:rsidP="00F17C22">
      <w:pPr>
        <w:pStyle w:val="Heading3"/>
        <w:rPr>
          <w:lang w:eastAsia="en-AU"/>
        </w:rPr>
      </w:pPr>
      <w:r>
        <w:rPr>
          <w:lang w:eastAsia="en-AU"/>
        </w:rPr>
        <w:t>Outcome 10:</w:t>
      </w:r>
      <w:r w:rsidRPr="006C22F0">
        <w:rPr>
          <w:lang w:eastAsia="en-AU"/>
        </w:rPr>
        <w:t xml:space="preserve"> </w:t>
      </w:r>
      <w:r w:rsidRPr="00C82AAD">
        <w:rPr>
          <w:lang w:eastAsia="en-AU"/>
        </w:rPr>
        <w:t>Victorians with mental illness are socially engaged and live in inclusive communities</w:t>
      </w:r>
    </w:p>
    <w:p w14:paraId="563594D8" w14:textId="09897799" w:rsidR="00CC7040" w:rsidRPr="008922C3" w:rsidRDefault="00CC7040" w:rsidP="00CC7040">
      <w:pPr>
        <w:pStyle w:val="DHHSbody"/>
        <w:rPr>
          <w:lang w:eastAsia="en-AU"/>
        </w:rPr>
      </w:pPr>
      <w:r>
        <w:rPr>
          <w:lang w:eastAsia="en-AU"/>
        </w:rPr>
        <w:t>Indicators yet to be developed</w:t>
      </w:r>
      <w:r w:rsidR="00AC37B3">
        <w:rPr>
          <w:lang w:eastAsia="en-AU"/>
        </w:rPr>
        <w:t>.</w:t>
      </w:r>
    </w:p>
    <w:p w14:paraId="609C09B8" w14:textId="77777777" w:rsidR="00CC7040" w:rsidRPr="001D22D4" w:rsidRDefault="00CC7040" w:rsidP="00F17C22">
      <w:pPr>
        <w:pStyle w:val="Heading3"/>
        <w:rPr>
          <w:lang w:eastAsia="en-AU"/>
        </w:rPr>
      </w:pPr>
      <w:r w:rsidRPr="009C694A">
        <w:rPr>
          <w:lang w:eastAsia="en-AU"/>
        </w:rPr>
        <w:t xml:space="preserve">Outcome </w:t>
      </w:r>
      <w:r>
        <w:rPr>
          <w:lang w:eastAsia="en-AU"/>
        </w:rPr>
        <w:t>11</w:t>
      </w:r>
      <w:r w:rsidRPr="009C694A">
        <w:rPr>
          <w:lang w:eastAsia="en-AU"/>
        </w:rPr>
        <w:t xml:space="preserve">: </w:t>
      </w:r>
      <w:r w:rsidRPr="001A513C">
        <w:rPr>
          <w:lang w:eastAsia="en-AU"/>
        </w:rPr>
        <w:t>Victorians with mental illness live free from abuse or violence, and have reduced contact with the criminal justice system</w:t>
      </w:r>
    </w:p>
    <w:p w14:paraId="5D2DBD38" w14:textId="020CC7CE" w:rsidR="00CC7040" w:rsidRPr="00AB2773" w:rsidRDefault="008F4CB5" w:rsidP="00CC7040">
      <w:pPr>
        <w:pStyle w:val="DHHSbody"/>
        <w:rPr>
          <w:rStyle w:val="normaltextrun"/>
        </w:rPr>
      </w:pPr>
      <w:r>
        <w:rPr>
          <w:rStyle w:val="normaltextrun"/>
        </w:rPr>
        <w:t>This indicator reports on</w:t>
      </w:r>
      <w:r w:rsidR="00CC7040" w:rsidRPr="00AB2773">
        <w:rPr>
          <w:rStyle w:val="normaltextrun"/>
        </w:rPr>
        <w:t xml:space="preserve"> the percentage of prisoners receiving a Psychiatric </w:t>
      </w:r>
      <w:r w:rsidR="00CC7040">
        <w:rPr>
          <w:rStyle w:val="normaltextrun"/>
        </w:rPr>
        <w:t>R</w:t>
      </w:r>
      <w:r w:rsidR="00CC7040" w:rsidRPr="00AB2773">
        <w:rPr>
          <w:rStyle w:val="normaltextrun"/>
        </w:rPr>
        <w:t xml:space="preserve">isk </w:t>
      </w:r>
      <w:r w:rsidR="00CC7040">
        <w:rPr>
          <w:rStyle w:val="normaltextrun"/>
        </w:rPr>
        <w:t>R</w:t>
      </w:r>
      <w:r w:rsidR="00CC7040" w:rsidRPr="00AB2773">
        <w:rPr>
          <w:rStyle w:val="normaltextrun"/>
        </w:rPr>
        <w:t>ating (P-rating) on entry to prison.</w:t>
      </w:r>
      <w:r w:rsidRPr="008F4CB5">
        <w:rPr>
          <w:rStyle w:val="normaltextrun"/>
        </w:rPr>
        <w:t xml:space="preserve"> </w:t>
      </w:r>
      <w:r w:rsidR="00CC7040" w:rsidRPr="00AB2773">
        <w:rPr>
          <w:rStyle w:val="normaltextrun"/>
        </w:rPr>
        <w:t>A P-rating is not a clinical diagnosis but a rating applied to a prisoner to aid decisions about prisoner placement and to flag treatment requirements. P-ratings vary and range from a prisoner indicating that they have a</w:t>
      </w:r>
      <w:r w:rsidR="00A520EE">
        <w:rPr>
          <w:rStyle w:val="normaltextrun"/>
        </w:rPr>
        <w:t xml:space="preserve"> </w:t>
      </w:r>
      <w:r w:rsidR="00CC7040" w:rsidRPr="00AB2773">
        <w:rPr>
          <w:rStyle w:val="normaltextrun"/>
        </w:rPr>
        <w:t xml:space="preserve">history of mental illness to acute problems where </w:t>
      </w:r>
      <w:r w:rsidR="00CC7040">
        <w:rPr>
          <w:rStyle w:val="normaltextrun"/>
        </w:rPr>
        <w:t>intensive</w:t>
      </w:r>
      <w:r w:rsidR="00CC7040" w:rsidRPr="00AB2773">
        <w:rPr>
          <w:rStyle w:val="normaltextrun"/>
        </w:rPr>
        <w:t xml:space="preserve"> mental health treatment is required immediately.</w:t>
      </w:r>
      <w:r>
        <w:rPr>
          <w:rStyle w:val="normaltextrun"/>
        </w:rPr>
        <w:t xml:space="preserve"> </w:t>
      </w:r>
      <w:r w:rsidR="00CC7040" w:rsidRPr="00AB2773">
        <w:rPr>
          <w:rStyle w:val="normaltextrun"/>
        </w:rPr>
        <w:t>There has been a substantial drop this year in the percentage of prisoners receiving a P-rating on entry to prison</w:t>
      </w:r>
      <w:r w:rsidR="00E232A5">
        <w:rPr>
          <w:rStyle w:val="normaltextrun"/>
        </w:rPr>
        <w:t>, but</w:t>
      </w:r>
      <w:r w:rsidR="00CC7040" w:rsidRPr="00AB2773">
        <w:rPr>
          <w:rStyle w:val="normaltextrun"/>
        </w:rPr>
        <w:t xml:space="preserve"> it is not known </w:t>
      </w:r>
      <w:r w:rsidR="00E232A5">
        <w:rPr>
          <w:rStyle w:val="normaltextrun"/>
        </w:rPr>
        <w:t>at this stage</w:t>
      </w:r>
      <w:r w:rsidR="00CC7040" w:rsidRPr="00AB2773">
        <w:rPr>
          <w:rStyle w:val="normaltextrun"/>
        </w:rPr>
        <w:t xml:space="preserve"> </w:t>
      </w:r>
      <w:r w:rsidR="00E232A5">
        <w:rPr>
          <w:rStyle w:val="normaltextrun"/>
        </w:rPr>
        <w:t>whether</w:t>
      </w:r>
      <w:r w:rsidR="00CC7040" w:rsidRPr="00AB2773">
        <w:rPr>
          <w:rStyle w:val="normaltextrun"/>
        </w:rPr>
        <w:t xml:space="preserve"> th</w:t>
      </w:r>
      <w:r w:rsidR="00E232A5">
        <w:rPr>
          <w:rStyle w:val="normaltextrun"/>
        </w:rPr>
        <w:t>is</w:t>
      </w:r>
      <w:r w:rsidR="00CC7040" w:rsidRPr="00AB2773">
        <w:rPr>
          <w:rStyle w:val="normaltextrun"/>
        </w:rPr>
        <w:t xml:space="preserve"> change relates to the pandemic. </w:t>
      </w:r>
    </w:p>
    <w:p w14:paraId="3EC10455" w14:textId="77777777" w:rsidR="00CC7040" w:rsidRDefault="00CC7040" w:rsidP="00F17C22">
      <w:pPr>
        <w:pStyle w:val="Heading4"/>
        <w:rPr>
          <w:rStyle w:val="normaltextrun"/>
        </w:rPr>
      </w:pPr>
      <w:r w:rsidRPr="0016523E">
        <w:rPr>
          <w:lang w:eastAsia="en-AU"/>
        </w:rPr>
        <w:t xml:space="preserve">Indicators for Outcome </w:t>
      </w:r>
      <w:r>
        <w:rPr>
          <w:lang w:eastAsia="en-AU"/>
        </w:rPr>
        <w:t>11</w:t>
      </w:r>
    </w:p>
    <w:tbl>
      <w:tblPr>
        <w:tblStyle w:val="MentalhealthARtablestyle"/>
        <w:tblW w:w="9288" w:type="dxa"/>
        <w:tblLook w:val="04A0" w:firstRow="1" w:lastRow="0" w:firstColumn="1" w:lastColumn="0" w:noHBand="0" w:noVBand="1"/>
      </w:tblPr>
      <w:tblGrid>
        <w:gridCol w:w="1830"/>
        <w:gridCol w:w="1311"/>
        <w:gridCol w:w="1316"/>
        <w:gridCol w:w="1157"/>
        <w:gridCol w:w="1159"/>
        <w:gridCol w:w="1162"/>
        <w:gridCol w:w="1353"/>
      </w:tblGrid>
      <w:tr w:rsidR="00CC7040" w14:paraId="6A3C1677" w14:textId="77777777" w:rsidTr="0054787A">
        <w:trPr>
          <w:cnfStyle w:val="100000000000" w:firstRow="1" w:lastRow="0" w:firstColumn="0" w:lastColumn="0" w:oddVBand="0" w:evenVBand="0" w:oddHBand="0" w:evenHBand="0" w:firstRowFirstColumn="0" w:firstRowLastColumn="0" w:lastRowFirstColumn="0" w:lastRowLastColumn="0"/>
          <w:tblHeader/>
        </w:trPr>
        <w:tc>
          <w:tcPr>
            <w:tcW w:w="1830" w:type="dxa"/>
          </w:tcPr>
          <w:p w14:paraId="0DCFF571" w14:textId="3F59E900" w:rsidR="00CC7040" w:rsidRPr="005D3F48" w:rsidRDefault="00CC7040" w:rsidP="00B24E19">
            <w:pPr>
              <w:pStyle w:val="DHHStablecolhead"/>
              <w:rPr>
                <w:b/>
                <w:bCs/>
                <w:sz w:val="18"/>
                <w:szCs w:val="18"/>
              </w:rPr>
            </w:pPr>
            <w:r w:rsidRPr="005D3F48">
              <w:rPr>
                <w:b/>
                <w:bCs/>
                <w:sz w:val="18"/>
                <w:szCs w:val="18"/>
              </w:rPr>
              <w:t>Indicator</w:t>
            </w:r>
          </w:p>
        </w:tc>
        <w:tc>
          <w:tcPr>
            <w:tcW w:w="1311" w:type="dxa"/>
          </w:tcPr>
          <w:p w14:paraId="7E07AB3E" w14:textId="77777777" w:rsidR="00CC7040" w:rsidRPr="005D3F48" w:rsidRDefault="00CC7040" w:rsidP="00B24E19">
            <w:pPr>
              <w:pStyle w:val="DHHStablecolhead"/>
              <w:rPr>
                <w:b/>
                <w:bCs/>
                <w:sz w:val="18"/>
                <w:szCs w:val="18"/>
              </w:rPr>
            </w:pPr>
            <w:r w:rsidRPr="005D3F48">
              <w:rPr>
                <w:b/>
                <w:bCs/>
                <w:sz w:val="18"/>
                <w:szCs w:val="18"/>
              </w:rPr>
              <w:t>Reference</w:t>
            </w:r>
          </w:p>
          <w:p w14:paraId="07415666" w14:textId="77777777" w:rsidR="00CC7040" w:rsidRPr="005D3F48" w:rsidRDefault="00CC7040" w:rsidP="00B24E19">
            <w:pPr>
              <w:pStyle w:val="DHHStablecolhead"/>
              <w:rPr>
                <w:b/>
                <w:bCs/>
                <w:sz w:val="18"/>
                <w:szCs w:val="18"/>
              </w:rPr>
            </w:pPr>
            <w:r w:rsidRPr="005D3F48">
              <w:rPr>
                <w:b/>
                <w:bCs/>
                <w:sz w:val="18"/>
                <w:szCs w:val="18"/>
              </w:rPr>
              <w:t>year</w:t>
            </w:r>
          </w:p>
        </w:tc>
        <w:tc>
          <w:tcPr>
            <w:tcW w:w="1316" w:type="dxa"/>
          </w:tcPr>
          <w:p w14:paraId="709C37AE" w14:textId="77777777" w:rsidR="00CC7040" w:rsidRPr="005D3F48" w:rsidRDefault="00CC7040" w:rsidP="00B24E19">
            <w:pPr>
              <w:pStyle w:val="DHHStablecolhead"/>
              <w:rPr>
                <w:b/>
                <w:bCs/>
                <w:sz w:val="18"/>
                <w:szCs w:val="18"/>
              </w:rPr>
            </w:pPr>
            <w:r w:rsidRPr="005D3F48">
              <w:rPr>
                <w:b/>
                <w:bCs/>
                <w:sz w:val="18"/>
                <w:szCs w:val="18"/>
              </w:rPr>
              <w:t>Four years prior</w:t>
            </w:r>
          </w:p>
        </w:tc>
        <w:tc>
          <w:tcPr>
            <w:tcW w:w="1157" w:type="dxa"/>
          </w:tcPr>
          <w:p w14:paraId="341109FE" w14:textId="77777777" w:rsidR="00CC7040" w:rsidRPr="005D3F48" w:rsidRDefault="00CC7040" w:rsidP="00B24E19">
            <w:pPr>
              <w:pStyle w:val="DHHStablecolhead"/>
              <w:rPr>
                <w:b/>
                <w:bCs/>
                <w:sz w:val="18"/>
                <w:szCs w:val="18"/>
              </w:rPr>
            </w:pPr>
            <w:r w:rsidRPr="005D3F48">
              <w:rPr>
                <w:b/>
                <w:bCs/>
                <w:sz w:val="18"/>
                <w:szCs w:val="18"/>
              </w:rPr>
              <w:t>Three years prior</w:t>
            </w:r>
          </w:p>
        </w:tc>
        <w:tc>
          <w:tcPr>
            <w:tcW w:w="1159" w:type="dxa"/>
          </w:tcPr>
          <w:p w14:paraId="0CB931D0" w14:textId="77777777" w:rsidR="00CC7040" w:rsidRPr="005D3F48" w:rsidRDefault="00CC7040" w:rsidP="00B24E19">
            <w:pPr>
              <w:pStyle w:val="DHHStablecolhead"/>
              <w:rPr>
                <w:b/>
                <w:bCs/>
                <w:sz w:val="18"/>
                <w:szCs w:val="18"/>
              </w:rPr>
            </w:pPr>
            <w:r w:rsidRPr="005D3F48">
              <w:rPr>
                <w:b/>
                <w:bCs/>
                <w:sz w:val="18"/>
                <w:szCs w:val="18"/>
              </w:rPr>
              <w:t>Two years prior</w:t>
            </w:r>
          </w:p>
        </w:tc>
        <w:tc>
          <w:tcPr>
            <w:tcW w:w="1162" w:type="dxa"/>
          </w:tcPr>
          <w:p w14:paraId="37B8B88D" w14:textId="77777777" w:rsidR="00CC7040" w:rsidRPr="005D3F48" w:rsidRDefault="00CC7040" w:rsidP="00B24E19">
            <w:pPr>
              <w:pStyle w:val="DHHStablecolhead"/>
              <w:rPr>
                <w:b/>
                <w:bCs/>
                <w:sz w:val="18"/>
                <w:szCs w:val="18"/>
              </w:rPr>
            </w:pPr>
            <w:r w:rsidRPr="005D3F48">
              <w:rPr>
                <w:b/>
                <w:bCs/>
                <w:sz w:val="18"/>
                <w:szCs w:val="18"/>
              </w:rPr>
              <w:t>One year prior</w:t>
            </w:r>
          </w:p>
        </w:tc>
        <w:tc>
          <w:tcPr>
            <w:tcW w:w="1353" w:type="dxa"/>
          </w:tcPr>
          <w:p w14:paraId="448CD7B5" w14:textId="77777777" w:rsidR="00CC7040" w:rsidRPr="005D3F48" w:rsidRDefault="00CC7040" w:rsidP="00B24E19">
            <w:pPr>
              <w:pStyle w:val="DHHStablecolhead"/>
              <w:rPr>
                <w:b/>
                <w:bCs/>
                <w:sz w:val="18"/>
                <w:szCs w:val="18"/>
              </w:rPr>
            </w:pPr>
            <w:r w:rsidRPr="005D3F48">
              <w:rPr>
                <w:b/>
                <w:bCs/>
                <w:sz w:val="18"/>
                <w:szCs w:val="18"/>
              </w:rPr>
              <w:t>Most current data</w:t>
            </w:r>
          </w:p>
        </w:tc>
      </w:tr>
      <w:tr w:rsidR="00CC7040" w14:paraId="612428B4" w14:textId="77777777" w:rsidTr="004476F8">
        <w:tc>
          <w:tcPr>
            <w:tcW w:w="1830" w:type="dxa"/>
          </w:tcPr>
          <w:p w14:paraId="1E36B9A9" w14:textId="77777777" w:rsidR="00CC7040" w:rsidRPr="005D3F48" w:rsidRDefault="00CC7040" w:rsidP="0054787A">
            <w:pPr>
              <w:pStyle w:val="DHHStabletext"/>
              <w:rPr>
                <w:sz w:val="18"/>
                <w:szCs w:val="18"/>
                <w:lang w:val="en-US"/>
              </w:rPr>
            </w:pPr>
            <w:r w:rsidRPr="005D3F48">
              <w:rPr>
                <w:sz w:val="18"/>
                <w:szCs w:val="18"/>
                <w:lang w:val="en-US"/>
              </w:rPr>
              <w:t>11.1 Proportion of Victorian prison entrants who, at prison reception assessment, are allocated a psychiatric risk rating</w:t>
            </w:r>
          </w:p>
        </w:tc>
        <w:tc>
          <w:tcPr>
            <w:tcW w:w="1311" w:type="dxa"/>
          </w:tcPr>
          <w:p w14:paraId="347D477C" w14:textId="20E8D41B" w:rsidR="00CC7040" w:rsidRPr="005D3F48" w:rsidRDefault="00894D3B" w:rsidP="0054787A">
            <w:pPr>
              <w:pStyle w:val="DHHStabletext"/>
              <w:rPr>
                <w:sz w:val="18"/>
                <w:szCs w:val="18"/>
                <w:lang w:val="en-US"/>
              </w:rPr>
            </w:pPr>
            <w:r w:rsidRPr="005D3F48">
              <w:rPr>
                <w:sz w:val="18"/>
                <w:szCs w:val="18"/>
                <w:lang w:val="en-US"/>
              </w:rPr>
              <w:t>2019–20</w:t>
            </w:r>
          </w:p>
        </w:tc>
        <w:tc>
          <w:tcPr>
            <w:tcW w:w="1316" w:type="dxa"/>
          </w:tcPr>
          <w:p w14:paraId="452C37A3" w14:textId="6EFA84A7" w:rsidR="00CC7040" w:rsidRPr="005D3F48" w:rsidRDefault="00CC7040" w:rsidP="0054787A">
            <w:pPr>
              <w:pStyle w:val="DHHStabletext"/>
              <w:rPr>
                <w:sz w:val="18"/>
                <w:szCs w:val="18"/>
                <w:lang w:val="en-US"/>
              </w:rPr>
            </w:pPr>
            <w:r w:rsidRPr="005D3F48">
              <w:rPr>
                <w:sz w:val="18"/>
                <w:szCs w:val="18"/>
                <w:lang w:val="en-US"/>
              </w:rPr>
              <w:t>38</w:t>
            </w:r>
            <w:r w:rsidR="00C452BC">
              <w:rPr>
                <w:sz w:val="18"/>
                <w:szCs w:val="18"/>
                <w:lang w:val="en-US"/>
              </w:rPr>
              <w:t>.0</w:t>
            </w:r>
            <w:r w:rsidRPr="005D3F48">
              <w:rPr>
                <w:sz w:val="18"/>
                <w:szCs w:val="18"/>
                <w:lang w:val="en-US"/>
              </w:rPr>
              <w:t>%</w:t>
            </w:r>
          </w:p>
        </w:tc>
        <w:tc>
          <w:tcPr>
            <w:tcW w:w="1157" w:type="dxa"/>
          </w:tcPr>
          <w:p w14:paraId="4C5F4F04" w14:textId="77777777" w:rsidR="00CC7040" w:rsidRPr="005D3F48" w:rsidRDefault="00CC7040" w:rsidP="0054787A">
            <w:pPr>
              <w:pStyle w:val="DHHStabletext"/>
              <w:rPr>
                <w:sz w:val="18"/>
                <w:szCs w:val="18"/>
                <w:lang w:val="en-US"/>
              </w:rPr>
            </w:pPr>
            <w:r w:rsidRPr="005D3F48">
              <w:rPr>
                <w:sz w:val="18"/>
                <w:szCs w:val="18"/>
                <w:lang w:val="en-US"/>
              </w:rPr>
              <w:t>36.9%</w:t>
            </w:r>
          </w:p>
        </w:tc>
        <w:tc>
          <w:tcPr>
            <w:tcW w:w="1159" w:type="dxa"/>
          </w:tcPr>
          <w:p w14:paraId="7F672E61" w14:textId="77777777" w:rsidR="00CC7040" w:rsidRPr="005D3F48" w:rsidRDefault="00CC7040" w:rsidP="0054787A">
            <w:pPr>
              <w:pStyle w:val="DHHStabletext"/>
              <w:rPr>
                <w:sz w:val="18"/>
                <w:szCs w:val="18"/>
                <w:lang w:val="en-US"/>
              </w:rPr>
            </w:pPr>
            <w:r w:rsidRPr="005D3F48">
              <w:rPr>
                <w:sz w:val="18"/>
                <w:szCs w:val="18"/>
                <w:lang w:val="en-US"/>
              </w:rPr>
              <w:t>37.2%</w:t>
            </w:r>
          </w:p>
        </w:tc>
        <w:tc>
          <w:tcPr>
            <w:tcW w:w="1162" w:type="dxa"/>
          </w:tcPr>
          <w:p w14:paraId="346B4EF4" w14:textId="77777777" w:rsidR="00CC7040" w:rsidRPr="005D3F48" w:rsidRDefault="00CC7040" w:rsidP="0054787A">
            <w:pPr>
              <w:pStyle w:val="DHHStabletext"/>
              <w:rPr>
                <w:sz w:val="18"/>
                <w:szCs w:val="18"/>
                <w:lang w:val="en-US"/>
              </w:rPr>
            </w:pPr>
            <w:r w:rsidRPr="005D3F48">
              <w:rPr>
                <w:sz w:val="18"/>
                <w:szCs w:val="18"/>
                <w:lang w:val="en-US"/>
              </w:rPr>
              <w:t>36.2%</w:t>
            </w:r>
          </w:p>
        </w:tc>
        <w:tc>
          <w:tcPr>
            <w:tcW w:w="1353" w:type="dxa"/>
          </w:tcPr>
          <w:p w14:paraId="13C0A91B" w14:textId="77777777" w:rsidR="00CC7040" w:rsidRPr="005D3F48" w:rsidRDefault="00CC7040" w:rsidP="0054787A">
            <w:pPr>
              <w:pStyle w:val="DHHStabletext"/>
              <w:rPr>
                <w:sz w:val="18"/>
                <w:szCs w:val="18"/>
                <w:lang w:val="en-US"/>
              </w:rPr>
            </w:pPr>
            <w:r w:rsidRPr="005D3F48">
              <w:rPr>
                <w:sz w:val="18"/>
                <w:szCs w:val="18"/>
                <w:lang w:val="en-US"/>
              </w:rPr>
              <w:t>30.6%</w:t>
            </w:r>
          </w:p>
        </w:tc>
      </w:tr>
    </w:tbl>
    <w:p w14:paraId="33B056BE" w14:textId="77777777" w:rsidR="00CC7040" w:rsidRDefault="00CC7040" w:rsidP="00F17C22">
      <w:pPr>
        <w:pStyle w:val="Heading3"/>
        <w:rPr>
          <w:lang w:eastAsia="en-AU"/>
        </w:rPr>
      </w:pPr>
      <w:r w:rsidRPr="009C694A">
        <w:rPr>
          <w:lang w:eastAsia="en-AU"/>
        </w:rPr>
        <w:t xml:space="preserve">Outcome </w:t>
      </w:r>
      <w:r>
        <w:rPr>
          <w:lang w:eastAsia="en-AU"/>
        </w:rPr>
        <w:t>12</w:t>
      </w:r>
      <w:r w:rsidRPr="009C694A">
        <w:rPr>
          <w:lang w:eastAsia="en-AU"/>
        </w:rPr>
        <w:t xml:space="preserve">: </w:t>
      </w:r>
      <w:r w:rsidRPr="006F2974">
        <w:rPr>
          <w:lang w:eastAsia="en-AU"/>
        </w:rPr>
        <w:t>Victorians with mental illness have suitable and stable housing</w:t>
      </w:r>
    </w:p>
    <w:p w14:paraId="0EFC74FE" w14:textId="1B316703" w:rsidR="00CC7040" w:rsidRPr="0010750F" w:rsidRDefault="00272DC6" w:rsidP="00CC7040">
      <w:pPr>
        <w:pStyle w:val="DHHSbody"/>
      </w:pPr>
      <w:r>
        <w:t>This indicator draws on data from the Health of the Nation Outcome Scale 65+ and reflects the p</w:t>
      </w:r>
      <w:r w:rsidRPr="00272DC6">
        <w:t xml:space="preserve">ercentage of public </w:t>
      </w:r>
      <w:r w:rsidR="00CC7040" w:rsidRPr="00A86899">
        <w:t xml:space="preserve">mental </w:t>
      </w:r>
      <w:r w:rsidRPr="00272DC6">
        <w:t>health service consumers who</w:t>
      </w:r>
      <w:r w:rsidR="00CC7040" w:rsidRPr="00A86899">
        <w:t xml:space="preserve"> are </w:t>
      </w:r>
      <w:r w:rsidRPr="00272DC6">
        <w:t xml:space="preserve">considered, </w:t>
      </w:r>
      <w:r w:rsidR="00CC7040" w:rsidRPr="00A86899">
        <w:t xml:space="preserve">at </w:t>
      </w:r>
      <w:r w:rsidRPr="00272DC6">
        <w:t>baseline rating, to have no</w:t>
      </w:r>
      <w:r w:rsidR="00CC7040" w:rsidRPr="00A86899">
        <w:t xml:space="preserve"> significant </w:t>
      </w:r>
      <w:r w:rsidRPr="00272DC6">
        <w:t>problems with their accommodation as rated on scale 11 (Problems with living conditions).</w:t>
      </w:r>
      <w:r w:rsidR="00CC7040" w:rsidRPr="00A86899">
        <w:t xml:space="preserve"> </w:t>
      </w:r>
      <w:r w:rsidR="0038609C">
        <w:t>As discussed in section 3 of this report, t</w:t>
      </w:r>
      <w:r w:rsidR="00CC7040">
        <w:t xml:space="preserve">he data suggests that although </w:t>
      </w:r>
      <w:r w:rsidR="002C6791">
        <w:t>most</w:t>
      </w:r>
      <w:r w:rsidR="00CC7040">
        <w:t xml:space="preserve"> clients are in stable housing, the proportion with unstable housing is large in comparison </w:t>
      </w:r>
      <w:r w:rsidR="002C6791">
        <w:t xml:space="preserve">with </w:t>
      </w:r>
      <w:r w:rsidR="00CC7040">
        <w:t>the general population and increasing.</w:t>
      </w:r>
      <w:r w:rsidR="00894D3B">
        <w:t xml:space="preserve"> </w:t>
      </w:r>
    </w:p>
    <w:p w14:paraId="698B2C7C" w14:textId="77777777" w:rsidR="00CC7040" w:rsidRPr="00265C7F" w:rsidRDefault="00CC7040" w:rsidP="00F17C22">
      <w:pPr>
        <w:pStyle w:val="Heading4"/>
      </w:pPr>
      <w:r w:rsidRPr="0016523E">
        <w:rPr>
          <w:lang w:eastAsia="en-AU"/>
        </w:rPr>
        <w:t xml:space="preserve">Indicators for Outcome </w:t>
      </w:r>
      <w:r>
        <w:rPr>
          <w:lang w:eastAsia="en-AU"/>
        </w:rPr>
        <w:t>12</w:t>
      </w:r>
    </w:p>
    <w:tbl>
      <w:tblPr>
        <w:tblStyle w:val="MentalhealthARtablestyle"/>
        <w:tblW w:w="0" w:type="auto"/>
        <w:tblLook w:val="04A0" w:firstRow="1" w:lastRow="0" w:firstColumn="1" w:lastColumn="0" w:noHBand="0" w:noVBand="1"/>
      </w:tblPr>
      <w:tblGrid>
        <w:gridCol w:w="1695"/>
        <w:gridCol w:w="1228"/>
        <w:gridCol w:w="1401"/>
        <w:gridCol w:w="1128"/>
        <w:gridCol w:w="1131"/>
        <w:gridCol w:w="1135"/>
        <w:gridCol w:w="1298"/>
      </w:tblGrid>
      <w:tr w:rsidR="00CC7040" w:rsidRPr="008F7636" w14:paraId="2C887431" w14:textId="77777777" w:rsidTr="0054787A">
        <w:trPr>
          <w:cnfStyle w:val="100000000000" w:firstRow="1" w:lastRow="0" w:firstColumn="0" w:lastColumn="0" w:oddVBand="0" w:evenVBand="0" w:oddHBand="0" w:evenHBand="0" w:firstRowFirstColumn="0" w:firstRowLastColumn="0" w:lastRowFirstColumn="0" w:lastRowLastColumn="0"/>
          <w:tblHeader/>
        </w:trPr>
        <w:tc>
          <w:tcPr>
            <w:tcW w:w="1695" w:type="dxa"/>
          </w:tcPr>
          <w:p w14:paraId="1B3688DC" w14:textId="51498BDF" w:rsidR="00CC7040" w:rsidRPr="005D3F48" w:rsidRDefault="00CC7040" w:rsidP="00B24E19">
            <w:pPr>
              <w:pStyle w:val="DHHStablecolhead"/>
              <w:rPr>
                <w:b/>
                <w:bCs/>
                <w:sz w:val="18"/>
                <w:szCs w:val="18"/>
              </w:rPr>
            </w:pPr>
            <w:r w:rsidRPr="005D3F48">
              <w:rPr>
                <w:b/>
                <w:bCs/>
                <w:sz w:val="18"/>
                <w:szCs w:val="18"/>
              </w:rPr>
              <w:t>Indicator</w:t>
            </w:r>
          </w:p>
        </w:tc>
        <w:tc>
          <w:tcPr>
            <w:tcW w:w="1228" w:type="dxa"/>
          </w:tcPr>
          <w:p w14:paraId="162D2469" w14:textId="77777777" w:rsidR="00CC7040" w:rsidRPr="005D3F48" w:rsidRDefault="00CC7040" w:rsidP="00B24E19">
            <w:pPr>
              <w:pStyle w:val="DHHStablecolhead"/>
              <w:rPr>
                <w:b/>
                <w:bCs/>
                <w:sz w:val="18"/>
                <w:szCs w:val="18"/>
              </w:rPr>
            </w:pPr>
            <w:r w:rsidRPr="005D3F48">
              <w:rPr>
                <w:b/>
                <w:bCs/>
                <w:sz w:val="18"/>
                <w:szCs w:val="18"/>
              </w:rPr>
              <w:t>Reference</w:t>
            </w:r>
          </w:p>
          <w:p w14:paraId="5CDA845E" w14:textId="77777777" w:rsidR="00CC7040" w:rsidRPr="005D3F48" w:rsidRDefault="00CC7040" w:rsidP="00B24E19">
            <w:pPr>
              <w:pStyle w:val="DHHStablecolhead"/>
              <w:rPr>
                <w:b/>
                <w:bCs/>
                <w:sz w:val="18"/>
                <w:szCs w:val="18"/>
              </w:rPr>
            </w:pPr>
            <w:r w:rsidRPr="005D3F48">
              <w:rPr>
                <w:b/>
                <w:bCs/>
                <w:sz w:val="18"/>
                <w:szCs w:val="18"/>
              </w:rPr>
              <w:t>year</w:t>
            </w:r>
          </w:p>
        </w:tc>
        <w:tc>
          <w:tcPr>
            <w:tcW w:w="1401" w:type="dxa"/>
          </w:tcPr>
          <w:p w14:paraId="4614FB24" w14:textId="77777777" w:rsidR="00CC7040" w:rsidRPr="005D3F48" w:rsidRDefault="00CC7040" w:rsidP="00B24E19">
            <w:pPr>
              <w:pStyle w:val="DHHStablecolhead"/>
              <w:rPr>
                <w:b/>
                <w:bCs/>
                <w:sz w:val="18"/>
                <w:szCs w:val="18"/>
              </w:rPr>
            </w:pPr>
            <w:r w:rsidRPr="005D3F48">
              <w:rPr>
                <w:b/>
                <w:bCs/>
                <w:sz w:val="18"/>
                <w:szCs w:val="18"/>
              </w:rPr>
              <w:t>Four years prior</w:t>
            </w:r>
          </w:p>
        </w:tc>
        <w:tc>
          <w:tcPr>
            <w:tcW w:w="1128" w:type="dxa"/>
          </w:tcPr>
          <w:p w14:paraId="2DF36A9F" w14:textId="77777777" w:rsidR="00CC7040" w:rsidRPr="005D3F48" w:rsidRDefault="00CC7040" w:rsidP="00B24E19">
            <w:pPr>
              <w:pStyle w:val="DHHStablecolhead"/>
              <w:rPr>
                <w:b/>
                <w:bCs/>
                <w:sz w:val="18"/>
                <w:szCs w:val="18"/>
              </w:rPr>
            </w:pPr>
            <w:r w:rsidRPr="005D3F48">
              <w:rPr>
                <w:b/>
                <w:bCs/>
                <w:sz w:val="18"/>
                <w:szCs w:val="18"/>
              </w:rPr>
              <w:t>Three years prior</w:t>
            </w:r>
          </w:p>
        </w:tc>
        <w:tc>
          <w:tcPr>
            <w:tcW w:w="1131" w:type="dxa"/>
          </w:tcPr>
          <w:p w14:paraId="6E4E27BB" w14:textId="77777777" w:rsidR="00CC7040" w:rsidRPr="005D3F48" w:rsidRDefault="00CC7040" w:rsidP="00B24E19">
            <w:pPr>
              <w:pStyle w:val="DHHStablecolhead"/>
              <w:rPr>
                <w:b/>
                <w:bCs/>
                <w:sz w:val="18"/>
                <w:szCs w:val="18"/>
              </w:rPr>
            </w:pPr>
            <w:r w:rsidRPr="005D3F48">
              <w:rPr>
                <w:b/>
                <w:bCs/>
                <w:sz w:val="18"/>
                <w:szCs w:val="18"/>
              </w:rPr>
              <w:t>Two years prior</w:t>
            </w:r>
          </w:p>
        </w:tc>
        <w:tc>
          <w:tcPr>
            <w:tcW w:w="1135" w:type="dxa"/>
          </w:tcPr>
          <w:p w14:paraId="47572632" w14:textId="77777777" w:rsidR="00CC7040" w:rsidRPr="005D3F48" w:rsidRDefault="00CC7040" w:rsidP="00B24E19">
            <w:pPr>
              <w:pStyle w:val="DHHStablecolhead"/>
              <w:rPr>
                <w:b/>
                <w:bCs/>
                <w:sz w:val="18"/>
                <w:szCs w:val="18"/>
              </w:rPr>
            </w:pPr>
            <w:r w:rsidRPr="005D3F48">
              <w:rPr>
                <w:b/>
                <w:bCs/>
                <w:sz w:val="18"/>
                <w:szCs w:val="18"/>
              </w:rPr>
              <w:t>One year prior</w:t>
            </w:r>
          </w:p>
        </w:tc>
        <w:tc>
          <w:tcPr>
            <w:tcW w:w="1298" w:type="dxa"/>
          </w:tcPr>
          <w:p w14:paraId="75613057" w14:textId="77777777" w:rsidR="00CC7040" w:rsidRPr="005D3F48" w:rsidRDefault="00CC7040" w:rsidP="00B24E19">
            <w:pPr>
              <w:pStyle w:val="DHHStablecolhead"/>
              <w:rPr>
                <w:b/>
                <w:bCs/>
                <w:sz w:val="18"/>
                <w:szCs w:val="18"/>
              </w:rPr>
            </w:pPr>
            <w:r w:rsidRPr="005D3F48">
              <w:rPr>
                <w:b/>
                <w:bCs/>
                <w:sz w:val="18"/>
                <w:szCs w:val="18"/>
              </w:rPr>
              <w:t>Most current data</w:t>
            </w:r>
          </w:p>
        </w:tc>
      </w:tr>
      <w:tr w:rsidR="00CC7040" w14:paraId="4BAEFE88" w14:textId="77777777" w:rsidTr="004476F8">
        <w:tc>
          <w:tcPr>
            <w:tcW w:w="1695" w:type="dxa"/>
          </w:tcPr>
          <w:p w14:paraId="09DE3593" w14:textId="77777777" w:rsidR="00CC7040" w:rsidRPr="005D3F48" w:rsidRDefault="00CC7040" w:rsidP="0054787A">
            <w:pPr>
              <w:pStyle w:val="DHHStabletext"/>
              <w:rPr>
                <w:sz w:val="18"/>
                <w:szCs w:val="18"/>
                <w:lang w:val="en-US"/>
              </w:rPr>
            </w:pPr>
            <w:r w:rsidRPr="005D3F48">
              <w:rPr>
                <w:sz w:val="18"/>
                <w:szCs w:val="18"/>
                <w:lang w:val="en-US"/>
              </w:rPr>
              <w:t>12.1 Proportion of registered clients living in stable housing</w:t>
            </w:r>
          </w:p>
        </w:tc>
        <w:tc>
          <w:tcPr>
            <w:tcW w:w="1228" w:type="dxa"/>
          </w:tcPr>
          <w:p w14:paraId="2CB9FD9A" w14:textId="56D916A9" w:rsidR="00CC7040" w:rsidRPr="005D3F48" w:rsidRDefault="00894D3B" w:rsidP="0054787A">
            <w:pPr>
              <w:pStyle w:val="DHHStabletext"/>
              <w:rPr>
                <w:sz w:val="18"/>
                <w:szCs w:val="18"/>
                <w:lang w:val="en-US"/>
              </w:rPr>
            </w:pPr>
            <w:r w:rsidRPr="005D3F48">
              <w:rPr>
                <w:sz w:val="18"/>
                <w:szCs w:val="18"/>
                <w:lang w:val="en-US"/>
              </w:rPr>
              <w:t>2019–20</w:t>
            </w:r>
          </w:p>
        </w:tc>
        <w:tc>
          <w:tcPr>
            <w:tcW w:w="1401" w:type="dxa"/>
          </w:tcPr>
          <w:p w14:paraId="7642D56F" w14:textId="77777777" w:rsidR="00CC7040" w:rsidRPr="005D3F48" w:rsidRDefault="00CC7040" w:rsidP="0054787A">
            <w:pPr>
              <w:pStyle w:val="DHHStabletext"/>
              <w:rPr>
                <w:sz w:val="18"/>
                <w:szCs w:val="18"/>
                <w:lang w:val="en-US"/>
              </w:rPr>
            </w:pPr>
            <w:r w:rsidRPr="005D3F48">
              <w:rPr>
                <w:sz w:val="18"/>
                <w:szCs w:val="18"/>
                <w:lang w:val="en-US"/>
              </w:rPr>
              <w:t>81%</w:t>
            </w:r>
          </w:p>
        </w:tc>
        <w:tc>
          <w:tcPr>
            <w:tcW w:w="1128" w:type="dxa"/>
          </w:tcPr>
          <w:p w14:paraId="7D02F104" w14:textId="77777777" w:rsidR="00CC7040" w:rsidRPr="005D3F48" w:rsidRDefault="00CC7040" w:rsidP="0054787A">
            <w:pPr>
              <w:pStyle w:val="DHHStabletext"/>
              <w:rPr>
                <w:sz w:val="18"/>
                <w:szCs w:val="18"/>
                <w:lang w:val="en-US"/>
              </w:rPr>
            </w:pPr>
            <w:r w:rsidRPr="005D3F48">
              <w:rPr>
                <w:sz w:val="18"/>
                <w:szCs w:val="18"/>
                <w:lang w:val="en-US"/>
              </w:rPr>
              <w:t>81%</w:t>
            </w:r>
          </w:p>
        </w:tc>
        <w:tc>
          <w:tcPr>
            <w:tcW w:w="1131" w:type="dxa"/>
          </w:tcPr>
          <w:p w14:paraId="74E523A8" w14:textId="77777777" w:rsidR="00CC7040" w:rsidRPr="005D3F48" w:rsidRDefault="00CC7040" w:rsidP="0054787A">
            <w:pPr>
              <w:pStyle w:val="DHHStabletext"/>
              <w:rPr>
                <w:sz w:val="18"/>
                <w:szCs w:val="18"/>
                <w:lang w:val="en-US"/>
              </w:rPr>
            </w:pPr>
            <w:r w:rsidRPr="005D3F48">
              <w:rPr>
                <w:sz w:val="18"/>
                <w:szCs w:val="18"/>
                <w:lang w:val="en-US"/>
              </w:rPr>
              <w:t>80%</w:t>
            </w:r>
          </w:p>
        </w:tc>
        <w:tc>
          <w:tcPr>
            <w:tcW w:w="1135" w:type="dxa"/>
          </w:tcPr>
          <w:p w14:paraId="1595D1F4" w14:textId="77777777" w:rsidR="00CC7040" w:rsidRPr="005D3F48" w:rsidRDefault="00CC7040" w:rsidP="0054787A">
            <w:pPr>
              <w:pStyle w:val="DHHStabletext"/>
              <w:rPr>
                <w:sz w:val="18"/>
                <w:szCs w:val="18"/>
                <w:lang w:val="en-US"/>
              </w:rPr>
            </w:pPr>
            <w:r w:rsidRPr="005D3F48">
              <w:rPr>
                <w:sz w:val="18"/>
                <w:szCs w:val="18"/>
                <w:lang w:val="en-US"/>
              </w:rPr>
              <w:t>80%</w:t>
            </w:r>
          </w:p>
        </w:tc>
        <w:tc>
          <w:tcPr>
            <w:tcW w:w="1298" w:type="dxa"/>
          </w:tcPr>
          <w:p w14:paraId="2FA4431A" w14:textId="77777777" w:rsidR="00CC7040" w:rsidRPr="005D3F48" w:rsidRDefault="00CC7040" w:rsidP="0054787A">
            <w:pPr>
              <w:pStyle w:val="DHHStabletext"/>
              <w:rPr>
                <w:sz w:val="18"/>
                <w:szCs w:val="18"/>
                <w:lang w:val="en-US"/>
              </w:rPr>
            </w:pPr>
            <w:r w:rsidRPr="005D3F48">
              <w:rPr>
                <w:sz w:val="18"/>
                <w:szCs w:val="18"/>
                <w:lang w:val="en-US"/>
              </w:rPr>
              <w:t>79%</w:t>
            </w:r>
          </w:p>
        </w:tc>
      </w:tr>
    </w:tbl>
    <w:p w14:paraId="13678931" w14:textId="493B0724" w:rsidR="00CC7040" w:rsidRPr="00747189" w:rsidRDefault="00CC7040" w:rsidP="00F17C22">
      <w:pPr>
        <w:pStyle w:val="Heading2"/>
      </w:pPr>
      <w:bookmarkStart w:id="36" w:name="_Toc55379411"/>
      <w:r>
        <w:t>Domain</w:t>
      </w:r>
      <w:r w:rsidR="00EA190C">
        <w:t xml:space="preserve"> 4</w:t>
      </w:r>
      <w:r>
        <w:t xml:space="preserve">: </w:t>
      </w:r>
      <w:r w:rsidRPr="00747189">
        <w:t>The service system is accessible, flexible and responsive to people of all ages, their families and carers, and the workforce is supported to deliver this</w:t>
      </w:r>
      <w:bookmarkEnd w:id="36"/>
    </w:p>
    <w:p w14:paraId="0606D1DB" w14:textId="743D9D6F" w:rsidR="00CC7040" w:rsidRDefault="00CC7040" w:rsidP="00F17C22">
      <w:pPr>
        <w:pStyle w:val="Heading3"/>
        <w:rPr>
          <w:lang w:eastAsia="en-AU"/>
        </w:rPr>
      </w:pPr>
      <w:r>
        <w:rPr>
          <w:rStyle w:val="normaltextrun"/>
        </w:rPr>
        <w:t xml:space="preserve">Outcome 13: </w:t>
      </w:r>
      <w:r w:rsidRPr="001A513C">
        <w:rPr>
          <w:lang w:eastAsia="en-AU"/>
        </w:rPr>
        <w:t>The treatment and support that Victorians with mental illness, their families and carers need is available in the right place at the right time</w:t>
      </w:r>
    </w:p>
    <w:p w14:paraId="7ACDA4EE" w14:textId="79AA65E1" w:rsidR="002C6791" w:rsidRPr="002C6791" w:rsidRDefault="002C6791" w:rsidP="00360173">
      <w:pPr>
        <w:pStyle w:val="DHHSbody"/>
        <w:rPr>
          <w:lang w:eastAsia="en-AU"/>
        </w:rPr>
      </w:pPr>
      <w:r>
        <w:rPr>
          <w:lang w:eastAsia="en-AU"/>
        </w:rPr>
        <w:t>See explanation under Outcome 16.</w:t>
      </w:r>
    </w:p>
    <w:p w14:paraId="4EAD62C0" w14:textId="1FAFF3CC" w:rsidR="00CC7040" w:rsidRDefault="00CC7040" w:rsidP="00F17C22">
      <w:pPr>
        <w:pStyle w:val="Heading3"/>
        <w:rPr>
          <w:lang w:eastAsia="en-AU"/>
        </w:rPr>
      </w:pPr>
      <w:r>
        <w:rPr>
          <w:lang w:eastAsia="en-AU"/>
        </w:rPr>
        <w:t xml:space="preserve">Outcome 14: </w:t>
      </w:r>
      <w:r w:rsidRPr="001A513C">
        <w:rPr>
          <w:lang w:eastAsia="en-AU"/>
        </w:rPr>
        <w:t>Services are recovery-oriented, trauma-informed and family-inclusive</w:t>
      </w:r>
    </w:p>
    <w:p w14:paraId="3C289547" w14:textId="14AEBFC1" w:rsidR="002C6791" w:rsidRPr="002C6791" w:rsidRDefault="002C6791" w:rsidP="00360173">
      <w:pPr>
        <w:pStyle w:val="DHHSbody"/>
        <w:rPr>
          <w:lang w:eastAsia="en-AU"/>
        </w:rPr>
      </w:pPr>
      <w:r>
        <w:rPr>
          <w:lang w:eastAsia="en-AU"/>
        </w:rPr>
        <w:t>See explanation under Outcome 16.</w:t>
      </w:r>
    </w:p>
    <w:p w14:paraId="6CB22F52" w14:textId="6FF6B75E" w:rsidR="00CC7040" w:rsidRDefault="00CC7040" w:rsidP="00F17C22">
      <w:pPr>
        <w:pStyle w:val="Heading3"/>
        <w:rPr>
          <w:lang w:eastAsia="en-AU"/>
        </w:rPr>
      </w:pPr>
      <w:r>
        <w:rPr>
          <w:lang w:eastAsia="en-AU"/>
        </w:rPr>
        <w:t xml:space="preserve">Outcome 15: </w:t>
      </w:r>
      <w:r w:rsidRPr="001A513C">
        <w:rPr>
          <w:lang w:eastAsia="en-AU"/>
        </w:rPr>
        <w:t>Victorians with mental illness, their families and carers are treated with respect by services</w:t>
      </w:r>
    </w:p>
    <w:p w14:paraId="66E57793" w14:textId="5944EC4F" w:rsidR="002C6791" w:rsidRPr="002C6791" w:rsidRDefault="002C6791" w:rsidP="00360173">
      <w:pPr>
        <w:pStyle w:val="DHHSbody"/>
        <w:rPr>
          <w:lang w:eastAsia="en-AU"/>
        </w:rPr>
      </w:pPr>
      <w:r>
        <w:rPr>
          <w:lang w:eastAsia="en-AU"/>
        </w:rPr>
        <w:t>See explanation under Outcome 16.</w:t>
      </w:r>
    </w:p>
    <w:p w14:paraId="0ACE5940" w14:textId="77777777" w:rsidR="00CC7040" w:rsidRDefault="00CC7040" w:rsidP="00F17C22">
      <w:pPr>
        <w:pStyle w:val="Heading3"/>
        <w:rPr>
          <w:rStyle w:val="normaltextrun"/>
        </w:rPr>
      </w:pPr>
      <w:r>
        <w:rPr>
          <w:lang w:eastAsia="en-AU"/>
        </w:rPr>
        <w:t xml:space="preserve">Outcome 16: </w:t>
      </w:r>
      <w:r w:rsidRPr="001A513C">
        <w:rPr>
          <w:lang w:eastAsia="en-AU"/>
        </w:rPr>
        <w:t>Services are safe, of high quality, offer choice and provide a positive service experience</w:t>
      </w:r>
    </w:p>
    <w:p w14:paraId="2942947D" w14:textId="30204695" w:rsidR="00CC7040" w:rsidRPr="00AB2773" w:rsidRDefault="00CC7040" w:rsidP="00CC7040">
      <w:pPr>
        <w:pStyle w:val="DHHSbody"/>
        <w:rPr>
          <w:rStyle w:val="normaltextrun"/>
        </w:rPr>
      </w:pPr>
      <w:r>
        <w:rPr>
          <w:rStyle w:val="normaltextrun"/>
        </w:rPr>
        <w:t>Indicators for outcomes 13</w:t>
      </w:r>
      <w:r w:rsidR="00DC1FAD">
        <w:rPr>
          <w:rStyle w:val="normaltextrun"/>
        </w:rPr>
        <w:t xml:space="preserve"> to </w:t>
      </w:r>
      <w:r>
        <w:rPr>
          <w:rStyle w:val="normaltextrun"/>
        </w:rPr>
        <w:t>16 draw on the public mental health service data reported in Appendix 2</w:t>
      </w:r>
      <w:r w:rsidR="00844CF1">
        <w:rPr>
          <w:rStyle w:val="normaltextrun"/>
        </w:rPr>
        <w:t xml:space="preserve"> and </w:t>
      </w:r>
      <w:r w:rsidR="00C452BC">
        <w:rPr>
          <w:rStyle w:val="normaltextrun"/>
        </w:rPr>
        <w:t xml:space="preserve">are </w:t>
      </w:r>
      <w:r w:rsidR="00844CF1">
        <w:rPr>
          <w:rStyle w:val="normaltextrun"/>
        </w:rPr>
        <w:t>discussed in greater detail in section 3 of this report</w:t>
      </w:r>
      <w:r>
        <w:rPr>
          <w:rStyle w:val="normaltextrun"/>
        </w:rPr>
        <w:t xml:space="preserve">. </w:t>
      </w:r>
      <w:r w:rsidRPr="00AB2773">
        <w:rPr>
          <w:rStyle w:val="normaltextrun"/>
        </w:rPr>
        <w:t xml:space="preserve">Many </w:t>
      </w:r>
      <w:r>
        <w:rPr>
          <w:rStyle w:val="normaltextrun"/>
        </w:rPr>
        <w:t>of these</w:t>
      </w:r>
      <w:r w:rsidRPr="00AB2773">
        <w:rPr>
          <w:rStyle w:val="normaltextrun"/>
        </w:rPr>
        <w:t xml:space="preserve"> indicators have remained stable or</w:t>
      </w:r>
      <w:r w:rsidR="00DC1FAD">
        <w:rPr>
          <w:rStyle w:val="normaltextrun"/>
        </w:rPr>
        <w:t xml:space="preserve"> only</w:t>
      </w:r>
      <w:r w:rsidRPr="00AB2773">
        <w:rPr>
          <w:rStyle w:val="normaltextrun"/>
        </w:rPr>
        <w:t xml:space="preserve"> fluctuated slightly. This includes rates of preadmission contact and rates of readmission within 28 days. The rate of post-discharge follow</w:t>
      </w:r>
      <w:r>
        <w:rPr>
          <w:rStyle w:val="normaltextrun"/>
        </w:rPr>
        <w:t>-</w:t>
      </w:r>
      <w:r w:rsidRPr="00AB2773">
        <w:rPr>
          <w:rStyle w:val="normaltextrun"/>
        </w:rPr>
        <w:t xml:space="preserve">up within </w:t>
      </w:r>
      <w:r w:rsidR="00DC1FAD">
        <w:rPr>
          <w:rStyle w:val="normaltextrun"/>
        </w:rPr>
        <w:t>seven</w:t>
      </w:r>
      <w:r w:rsidRPr="00AB2773">
        <w:rPr>
          <w:rStyle w:val="normaltextrun"/>
        </w:rPr>
        <w:t xml:space="preserve"> days is trending upwards. Follow</w:t>
      </w:r>
      <w:r>
        <w:rPr>
          <w:rStyle w:val="normaltextrun"/>
        </w:rPr>
        <w:t>-</w:t>
      </w:r>
      <w:r w:rsidRPr="00AB2773">
        <w:rPr>
          <w:rStyle w:val="normaltextrun"/>
        </w:rPr>
        <w:t xml:space="preserve">up soon after discharge enhances continuity of care at a time when consumers </w:t>
      </w:r>
      <w:r w:rsidR="00C452BC">
        <w:rPr>
          <w:rStyle w:val="normaltextrun"/>
        </w:rPr>
        <w:t>often require additional supports</w:t>
      </w:r>
      <w:r w:rsidRPr="00AB2773">
        <w:rPr>
          <w:rStyle w:val="normaltextrun"/>
        </w:rPr>
        <w:t>. </w:t>
      </w:r>
    </w:p>
    <w:p w14:paraId="7A4747A3" w14:textId="31D58D09" w:rsidR="00CC7040" w:rsidRPr="00AB2773" w:rsidRDefault="00CC7040" w:rsidP="00CC7040">
      <w:pPr>
        <w:pStyle w:val="DHHSbody"/>
        <w:rPr>
          <w:rStyle w:val="normaltextrun"/>
        </w:rPr>
      </w:pPr>
      <w:r w:rsidRPr="00AB2773">
        <w:rPr>
          <w:rStyle w:val="normaltextrun"/>
        </w:rPr>
        <w:t>Clinically reported improved or stable outcomes for child and adolescent, adult and aged clients are also stable. Results for forensic and specialist clients have not been shown</w:t>
      </w:r>
      <w:r w:rsidR="00DC1FAD">
        <w:rPr>
          <w:rStyle w:val="normaltextrun"/>
        </w:rPr>
        <w:t xml:space="preserve"> because</w:t>
      </w:r>
      <w:r w:rsidRPr="00AB2773">
        <w:rPr>
          <w:rStyle w:val="normaltextrun"/>
        </w:rPr>
        <w:t xml:space="preserve"> the numbers are too small to be meaningful. </w:t>
      </w:r>
    </w:p>
    <w:p w14:paraId="1B943C51" w14:textId="047403AC" w:rsidR="00CC7040" w:rsidRDefault="00CC7040" w:rsidP="00CC7040">
      <w:pPr>
        <w:pStyle w:val="DHHSbody"/>
        <w:rPr>
          <w:rStyle w:val="normaltextrun"/>
        </w:rPr>
      </w:pPr>
      <w:r w:rsidRPr="00AB2773">
        <w:rPr>
          <w:rStyle w:val="normaltextrun"/>
        </w:rPr>
        <w:t xml:space="preserve">The proportion of </w:t>
      </w:r>
      <w:r w:rsidR="00DC1FAD" w:rsidRPr="00AB2773">
        <w:rPr>
          <w:rStyle w:val="normaltextrun"/>
        </w:rPr>
        <w:t>compulsory </w:t>
      </w:r>
      <w:r w:rsidRPr="00AB2773">
        <w:rPr>
          <w:rStyle w:val="normaltextrun"/>
        </w:rPr>
        <w:t>inpatient admissions has increased. The duration of compulsory treatment has also increased, with the proportion of people receiving compulsory community treatment fairly stable</w:t>
      </w:r>
      <w:r w:rsidR="00524A3F">
        <w:rPr>
          <w:rStyle w:val="normaltextrun"/>
        </w:rPr>
        <w:t xml:space="preserve">, and this is discussed in detail in section </w:t>
      </w:r>
      <w:r w:rsidR="000B1307">
        <w:rPr>
          <w:rStyle w:val="normaltextrun"/>
        </w:rPr>
        <w:t>4</w:t>
      </w:r>
      <w:r w:rsidR="00524A3F">
        <w:rPr>
          <w:rStyle w:val="normaltextrun"/>
        </w:rPr>
        <w:t xml:space="preserve"> of this report</w:t>
      </w:r>
      <w:r w:rsidRPr="00AB2773">
        <w:rPr>
          <w:rStyle w:val="normaltextrun"/>
        </w:rPr>
        <w:t xml:space="preserve">. </w:t>
      </w:r>
    </w:p>
    <w:p w14:paraId="20DAABE5" w14:textId="71BD8724" w:rsidR="00CC7040" w:rsidRPr="00AB2773" w:rsidRDefault="00CC7040" w:rsidP="00CC7040">
      <w:pPr>
        <w:pStyle w:val="DHHSbody"/>
        <w:rPr>
          <w:rStyle w:val="normaltextrun"/>
        </w:rPr>
      </w:pPr>
      <w:r>
        <w:rPr>
          <w:rStyle w:val="normaltextrun"/>
        </w:rPr>
        <w:t xml:space="preserve">Six indicators in this domain draw on data from the YES survey, which </w:t>
      </w:r>
      <w:r w:rsidRPr="00AB2773">
        <w:rPr>
          <w:rStyle w:val="normaltextrun"/>
        </w:rPr>
        <w:t>gathers the views of consumers of Victoria’s clinical mental health services</w:t>
      </w:r>
      <w:r>
        <w:rPr>
          <w:rStyle w:val="normaltextrun"/>
        </w:rPr>
        <w:t xml:space="preserve">. As noted in section </w:t>
      </w:r>
      <w:r w:rsidR="00DC1FAD">
        <w:rPr>
          <w:rStyle w:val="normaltextrun"/>
        </w:rPr>
        <w:t xml:space="preserve">3 </w:t>
      </w:r>
      <w:r>
        <w:rPr>
          <w:rStyle w:val="normaltextrun"/>
        </w:rPr>
        <w:t xml:space="preserve">of this report, the YES survey was not conducted as usual this year due to the </w:t>
      </w:r>
      <w:r w:rsidR="00E51317">
        <w:rPr>
          <w:rStyle w:val="normaltextrun"/>
        </w:rPr>
        <w:t>coronavirus (COVID-19)</w:t>
      </w:r>
      <w:r>
        <w:rPr>
          <w:rStyle w:val="normaltextrun"/>
        </w:rPr>
        <w:t xml:space="preserve"> pandemic. </w:t>
      </w:r>
      <w:r w:rsidRPr="00AB2773">
        <w:rPr>
          <w:rStyle w:val="normaltextrun"/>
        </w:rPr>
        <w:t>This data is therefore unchanged from last year’s</w:t>
      </w:r>
      <w:r>
        <w:rPr>
          <w:rStyle w:val="normaltextrun"/>
        </w:rPr>
        <w:t xml:space="preserve"> annual</w:t>
      </w:r>
      <w:r w:rsidRPr="00AB2773">
        <w:rPr>
          <w:rStyle w:val="normaltextrun"/>
        </w:rPr>
        <w:t xml:space="preserve"> report. </w:t>
      </w:r>
    </w:p>
    <w:p w14:paraId="00013A13" w14:textId="77777777" w:rsidR="00CC7040" w:rsidRDefault="00CC7040" w:rsidP="00F17C22">
      <w:pPr>
        <w:pStyle w:val="Heading4"/>
        <w:rPr>
          <w:lang w:eastAsia="en-AU"/>
        </w:rPr>
      </w:pPr>
      <w:r w:rsidRPr="0016523E">
        <w:rPr>
          <w:lang w:eastAsia="en-AU"/>
        </w:rPr>
        <w:t xml:space="preserve">Indicators for Outcome </w:t>
      </w:r>
      <w:r>
        <w:rPr>
          <w:lang w:eastAsia="en-AU"/>
        </w:rPr>
        <w:t>13</w:t>
      </w:r>
    </w:p>
    <w:tbl>
      <w:tblPr>
        <w:tblStyle w:val="MentalhealthARtablestyle"/>
        <w:tblW w:w="0" w:type="auto"/>
        <w:tblLook w:val="04A0" w:firstRow="1" w:lastRow="0" w:firstColumn="1" w:lastColumn="0" w:noHBand="0" w:noVBand="1"/>
      </w:tblPr>
      <w:tblGrid>
        <w:gridCol w:w="1903"/>
        <w:gridCol w:w="1519"/>
        <w:gridCol w:w="1232"/>
        <w:gridCol w:w="1111"/>
        <w:gridCol w:w="1151"/>
        <w:gridCol w:w="1155"/>
        <w:gridCol w:w="1217"/>
      </w:tblGrid>
      <w:tr w:rsidR="00CC7040" w14:paraId="11CACD44" w14:textId="77777777" w:rsidTr="0054787A">
        <w:trPr>
          <w:cnfStyle w:val="100000000000" w:firstRow="1" w:lastRow="0" w:firstColumn="0" w:lastColumn="0" w:oddVBand="0" w:evenVBand="0" w:oddHBand="0" w:evenHBand="0" w:firstRowFirstColumn="0" w:firstRowLastColumn="0" w:lastRowFirstColumn="0" w:lastRowLastColumn="0"/>
          <w:tblHeader/>
        </w:trPr>
        <w:tc>
          <w:tcPr>
            <w:tcW w:w="1903" w:type="dxa"/>
          </w:tcPr>
          <w:p w14:paraId="4A1DA220" w14:textId="0EF66FFC" w:rsidR="00CC7040" w:rsidRPr="005D3F48" w:rsidRDefault="00CC7040" w:rsidP="00B24E19">
            <w:pPr>
              <w:pStyle w:val="DHHStablecolhead"/>
              <w:rPr>
                <w:b/>
                <w:bCs/>
                <w:sz w:val="18"/>
                <w:szCs w:val="18"/>
              </w:rPr>
            </w:pPr>
            <w:r w:rsidRPr="005D3F48">
              <w:rPr>
                <w:b/>
                <w:bCs/>
                <w:sz w:val="18"/>
                <w:szCs w:val="18"/>
              </w:rPr>
              <w:t>Indicator</w:t>
            </w:r>
          </w:p>
        </w:tc>
        <w:tc>
          <w:tcPr>
            <w:tcW w:w="1519" w:type="dxa"/>
          </w:tcPr>
          <w:p w14:paraId="6DE17A71" w14:textId="77777777" w:rsidR="00CC7040" w:rsidRPr="005D3F48" w:rsidRDefault="00CC7040" w:rsidP="00B24E19">
            <w:pPr>
              <w:pStyle w:val="DHHStablecolhead"/>
              <w:rPr>
                <w:b/>
                <w:bCs/>
                <w:sz w:val="18"/>
                <w:szCs w:val="18"/>
              </w:rPr>
            </w:pPr>
            <w:r w:rsidRPr="005D3F48">
              <w:rPr>
                <w:b/>
                <w:bCs/>
                <w:sz w:val="18"/>
                <w:szCs w:val="18"/>
              </w:rPr>
              <w:t>Reference</w:t>
            </w:r>
          </w:p>
          <w:p w14:paraId="7E23406D" w14:textId="77777777" w:rsidR="00CC7040" w:rsidRPr="005D3F48" w:rsidRDefault="00CC7040" w:rsidP="00B24E19">
            <w:pPr>
              <w:pStyle w:val="DHHStablecolhead"/>
              <w:rPr>
                <w:b/>
                <w:bCs/>
                <w:sz w:val="18"/>
                <w:szCs w:val="18"/>
              </w:rPr>
            </w:pPr>
            <w:r w:rsidRPr="005D3F48">
              <w:rPr>
                <w:b/>
                <w:bCs/>
                <w:sz w:val="18"/>
                <w:szCs w:val="18"/>
              </w:rPr>
              <w:t>year</w:t>
            </w:r>
          </w:p>
        </w:tc>
        <w:tc>
          <w:tcPr>
            <w:tcW w:w="1232" w:type="dxa"/>
          </w:tcPr>
          <w:p w14:paraId="296B8DB6" w14:textId="77777777" w:rsidR="00CC7040" w:rsidRPr="005D3F48" w:rsidRDefault="00CC7040" w:rsidP="00B24E19">
            <w:pPr>
              <w:pStyle w:val="DHHStablecolhead"/>
              <w:rPr>
                <w:b/>
                <w:bCs/>
                <w:sz w:val="18"/>
                <w:szCs w:val="18"/>
              </w:rPr>
            </w:pPr>
            <w:r w:rsidRPr="005D3F48">
              <w:rPr>
                <w:b/>
                <w:bCs/>
                <w:sz w:val="18"/>
                <w:szCs w:val="18"/>
              </w:rPr>
              <w:t>Four years prior</w:t>
            </w:r>
          </w:p>
        </w:tc>
        <w:tc>
          <w:tcPr>
            <w:tcW w:w="1111" w:type="dxa"/>
          </w:tcPr>
          <w:p w14:paraId="1E283930" w14:textId="77777777" w:rsidR="00CC7040" w:rsidRPr="005D3F48" w:rsidRDefault="00CC7040" w:rsidP="00B24E19">
            <w:pPr>
              <w:pStyle w:val="DHHStablecolhead"/>
              <w:rPr>
                <w:b/>
                <w:bCs/>
                <w:sz w:val="18"/>
                <w:szCs w:val="18"/>
              </w:rPr>
            </w:pPr>
            <w:r w:rsidRPr="005D3F48">
              <w:rPr>
                <w:b/>
                <w:bCs/>
                <w:sz w:val="18"/>
                <w:szCs w:val="18"/>
              </w:rPr>
              <w:t>Three years prior</w:t>
            </w:r>
          </w:p>
        </w:tc>
        <w:tc>
          <w:tcPr>
            <w:tcW w:w="1151" w:type="dxa"/>
          </w:tcPr>
          <w:p w14:paraId="0826B783" w14:textId="77777777" w:rsidR="00CC7040" w:rsidRPr="005D3F48" w:rsidRDefault="00CC7040" w:rsidP="00B24E19">
            <w:pPr>
              <w:pStyle w:val="DHHStablecolhead"/>
              <w:rPr>
                <w:b/>
                <w:bCs/>
                <w:sz w:val="18"/>
                <w:szCs w:val="18"/>
              </w:rPr>
            </w:pPr>
            <w:r w:rsidRPr="005D3F48">
              <w:rPr>
                <w:b/>
                <w:bCs/>
                <w:sz w:val="18"/>
                <w:szCs w:val="18"/>
              </w:rPr>
              <w:t>Two years prior</w:t>
            </w:r>
          </w:p>
        </w:tc>
        <w:tc>
          <w:tcPr>
            <w:tcW w:w="1155" w:type="dxa"/>
          </w:tcPr>
          <w:p w14:paraId="505AE498" w14:textId="77777777" w:rsidR="00CC7040" w:rsidRPr="005D3F48" w:rsidRDefault="00CC7040" w:rsidP="00B24E19">
            <w:pPr>
              <w:pStyle w:val="DHHStablecolhead"/>
              <w:rPr>
                <w:b/>
                <w:bCs/>
                <w:sz w:val="18"/>
                <w:szCs w:val="18"/>
              </w:rPr>
            </w:pPr>
            <w:r w:rsidRPr="005D3F48">
              <w:rPr>
                <w:b/>
                <w:bCs/>
                <w:sz w:val="18"/>
                <w:szCs w:val="18"/>
              </w:rPr>
              <w:t>One year prior</w:t>
            </w:r>
          </w:p>
        </w:tc>
        <w:tc>
          <w:tcPr>
            <w:tcW w:w="1217" w:type="dxa"/>
          </w:tcPr>
          <w:p w14:paraId="4A008A69" w14:textId="77777777" w:rsidR="00CC7040" w:rsidRPr="005D3F48" w:rsidRDefault="00CC7040" w:rsidP="00B24E19">
            <w:pPr>
              <w:pStyle w:val="DHHStablecolhead"/>
              <w:rPr>
                <w:b/>
                <w:bCs/>
                <w:sz w:val="18"/>
                <w:szCs w:val="18"/>
              </w:rPr>
            </w:pPr>
            <w:r w:rsidRPr="005D3F48">
              <w:rPr>
                <w:b/>
                <w:bCs/>
                <w:sz w:val="18"/>
                <w:szCs w:val="18"/>
              </w:rPr>
              <w:t>Most current data</w:t>
            </w:r>
          </w:p>
        </w:tc>
      </w:tr>
      <w:tr w:rsidR="00CC7040" w14:paraId="2B70087E" w14:textId="77777777" w:rsidTr="004476F8">
        <w:tc>
          <w:tcPr>
            <w:tcW w:w="1903" w:type="dxa"/>
          </w:tcPr>
          <w:p w14:paraId="2C316B7E" w14:textId="77777777" w:rsidR="00CC7040" w:rsidRPr="005D3F48" w:rsidRDefault="00CC7040" w:rsidP="0054787A">
            <w:pPr>
              <w:pStyle w:val="DHHStabletext"/>
              <w:rPr>
                <w:sz w:val="18"/>
                <w:szCs w:val="18"/>
                <w:lang w:val="en-US"/>
              </w:rPr>
            </w:pPr>
            <w:r w:rsidRPr="005D3F48">
              <w:rPr>
                <w:sz w:val="18"/>
                <w:szCs w:val="18"/>
                <w:lang w:val="en-US"/>
              </w:rPr>
              <w:t>13.1 Rate of preadmission contact</w:t>
            </w:r>
          </w:p>
        </w:tc>
        <w:tc>
          <w:tcPr>
            <w:tcW w:w="1519" w:type="dxa"/>
          </w:tcPr>
          <w:p w14:paraId="7EF586AE" w14:textId="0415BA2B" w:rsidR="00CC7040" w:rsidRPr="005D3F48" w:rsidRDefault="00894D3B" w:rsidP="0054787A">
            <w:pPr>
              <w:pStyle w:val="DHHStabletext"/>
              <w:rPr>
                <w:sz w:val="18"/>
                <w:szCs w:val="18"/>
                <w:lang w:val="en-US"/>
              </w:rPr>
            </w:pPr>
            <w:r w:rsidRPr="005D3F48">
              <w:rPr>
                <w:sz w:val="18"/>
                <w:szCs w:val="18"/>
                <w:lang w:val="en-US"/>
              </w:rPr>
              <w:t>2019–20</w:t>
            </w:r>
          </w:p>
        </w:tc>
        <w:tc>
          <w:tcPr>
            <w:tcW w:w="1232" w:type="dxa"/>
          </w:tcPr>
          <w:p w14:paraId="2C3CAD1C" w14:textId="560F45B0" w:rsidR="00CC7040" w:rsidRPr="005D3F48" w:rsidRDefault="00CC7040" w:rsidP="0054787A">
            <w:pPr>
              <w:pStyle w:val="DHHStabletext"/>
              <w:rPr>
                <w:sz w:val="18"/>
                <w:szCs w:val="18"/>
                <w:lang w:val="en-US"/>
              </w:rPr>
            </w:pPr>
            <w:r w:rsidRPr="005D3F48">
              <w:rPr>
                <w:sz w:val="18"/>
                <w:szCs w:val="18"/>
                <w:lang w:val="en-US"/>
              </w:rPr>
              <w:t>57.2</w:t>
            </w:r>
            <w:r w:rsidR="00014367" w:rsidRPr="005D3F48">
              <w:rPr>
                <w:sz w:val="18"/>
                <w:szCs w:val="18"/>
                <w:lang w:val="en-US"/>
              </w:rPr>
              <w:t>%</w:t>
            </w:r>
          </w:p>
        </w:tc>
        <w:tc>
          <w:tcPr>
            <w:tcW w:w="1111" w:type="dxa"/>
          </w:tcPr>
          <w:p w14:paraId="2EC9D43A" w14:textId="2001EC9F" w:rsidR="00CC7040" w:rsidRPr="005D3F48" w:rsidRDefault="00CC7040" w:rsidP="0054787A">
            <w:pPr>
              <w:pStyle w:val="DHHStabletext"/>
              <w:rPr>
                <w:sz w:val="18"/>
                <w:szCs w:val="18"/>
                <w:lang w:val="en-US"/>
              </w:rPr>
            </w:pPr>
            <w:r w:rsidRPr="005D3F48">
              <w:rPr>
                <w:sz w:val="18"/>
                <w:szCs w:val="18"/>
                <w:lang w:val="en-US"/>
              </w:rPr>
              <w:t>51.8</w:t>
            </w:r>
            <w:r w:rsidR="00014367" w:rsidRPr="005D3F48">
              <w:rPr>
                <w:sz w:val="18"/>
                <w:szCs w:val="18"/>
                <w:lang w:val="en-US"/>
              </w:rPr>
              <w:t>%</w:t>
            </w:r>
          </w:p>
        </w:tc>
        <w:tc>
          <w:tcPr>
            <w:tcW w:w="1151" w:type="dxa"/>
          </w:tcPr>
          <w:p w14:paraId="0FDF92BC" w14:textId="03C1913C" w:rsidR="00CC7040" w:rsidRPr="005D3F48" w:rsidRDefault="00CC7040" w:rsidP="0054787A">
            <w:pPr>
              <w:pStyle w:val="DHHStabletext"/>
              <w:rPr>
                <w:sz w:val="18"/>
                <w:szCs w:val="18"/>
                <w:lang w:val="en-US"/>
              </w:rPr>
            </w:pPr>
            <w:r w:rsidRPr="005D3F48">
              <w:rPr>
                <w:sz w:val="18"/>
                <w:szCs w:val="18"/>
                <w:lang w:val="en-US"/>
              </w:rPr>
              <w:t>59.4</w:t>
            </w:r>
            <w:r w:rsidR="00014367" w:rsidRPr="005D3F48">
              <w:rPr>
                <w:sz w:val="18"/>
                <w:szCs w:val="18"/>
                <w:lang w:val="en-US"/>
              </w:rPr>
              <w:t>%</w:t>
            </w:r>
          </w:p>
        </w:tc>
        <w:tc>
          <w:tcPr>
            <w:tcW w:w="1155" w:type="dxa"/>
          </w:tcPr>
          <w:p w14:paraId="0F0CEBB9" w14:textId="32358CE6" w:rsidR="00CC7040" w:rsidRPr="005D3F48" w:rsidRDefault="00CC7040" w:rsidP="0054787A">
            <w:pPr>
              <w:pStyle w:val="DHHStabletext"/>
              <w:rPr>
                <w:sz w:val="18"/>
                <w:szCs w:val="18"/>
                <w:lang w:val="en-US"/>
              </w:rPr>
            </w:pPr>
            <w:r w:rsidRPr="005D3F48">
              <w:rPr>
                <w:sz w:val="18"/>
                <w:szCs w:val="18"/>
                <w:lang w:val="en-US"/>
              </w:rPr>
              <w:t>58.7</w:t>
            </w:r>
            <w:r w:rsidR="00014367" w:rsidRPr="005D3F48">
              <w:rPr>
                <w:sz w:val="18"/>
                <w:szCs w:val="18"/>
                <w:lang w:val="en-US"/>
              </w:rPr>
              <w:t>%</w:t>
            </w:r>
          </w:p>
        </w:tc>
        <w:tc>
          <w:tcPr>
            <w:tcW w:w="1217" w:type="dxa"/>
          </w:tcPr>
          <w:p w14:paraId="7DBBDF3C" w14:textId="684F1DA8" w:rsidR="00CC7040" w:rsidRPr="005D3F48" w:rsidRDefault="00CC7040" w:rsidP="0054787A">
            <w:pPr>
              <w:pStyle w:val="DHHStabletext"/>
              <w:rPr>
                <w:sz w:val="18"/>
                <w:szCs w:val="18"/>
                <w:lang w:val="en-US"/>
              </w:rPr>
            </w:pPr>
            <w:r w:rsidRPr="005D3F48">
              <w:rPr>
                <w:sz w:val="18"/>
                <w:szCs w:val="18"/>
                <w:lang w:val="en-US"/>
              </w:rPr>
              <w:t>60.6</w:t>
            </w:r>
            <w:r w:rsidR="00014367" w:rsidRPr="005D3F48">
              <w:rPr>
                <w:sz w:val="18"/>
                <w:szCs w:val="18"/>
                <w:lang w:val="en-US"/>
              </w:rPr>
              <w:t>%</w:t>
            </w:r>
          </w:p>
        </w:tc>
      </w:tr>
      <w:tr w:rsidR="00CC7040" w14:paraId="6F4DAD7F" w14:textId="77777777" w:rsidTr="004476F8">
        <w:tc>
          <w:tcPr>
            <w:tcW w:w="1903" w:type="dxa"/>
          </w:tcPr>
          <w:p w14:paraId="0402A1D1" w14:textId="77777777" w:rsidR="00CC7040" w:rsidRPr="005D3F48" w:rsidRDefault="00CC7040" w:rsidP="0054787A">
            <w:pPr>
              <w:pStyle w:val="DHHStabletext"/>
              <w:rPr>
                <w:sz w:val="18"/>
                <w:szCs w:val="18"/>
                <w:lang w:val="en-US"/>
              </w:rPr>
            </w:pPr>
            <w:r w:rsidRPr="005D3F48">
              <w:rPr>
                <w:sz w:val="18"/>
                <w:szCs w:val="18"/>
                <w:lang w:val="en-US"/>
              </w:rPr>
              <w:t>13.2 Rate of readmission within 28 days</w:t>
            </w:r>
          </w:p>
        </w:tc>
        <w:tc>
          <w:tcPr>
            <w:tcW w:w="1519" w:type="dxa"/>
          </w:tcPr>
          <w:p w14:paraId="740692CF" w14:textId="4E99239B" w:rsidR="00CC7040" w:rsidRPr="005D3F48" w:rsidRDefault="00894D3B" w:rsidP="0054787A">
            <w:pPr>
              <w:pStyle w:val="DHHStabletext"/>
              <w:rPr>
                <w:sz w:val="18"/>
                <w:szCs w:val="18"/>
                <w:lang w:val="en-US"/>
              </w:rPr>
            </w:pPr>
            <w:r w:rsidRPr="005D3F48">
              <w:rPr>
                <w:sz w:val="18"/>
                <w:szCs w:val="18"/>
                <w:lang w:val="en-US"/>
              </w:rPr>
              <w:t>2019–20</w:t>
            </w:r>
          </w:p>
        </w:tc>
        <w:tc>
          <w:tcPr>
            <w:tcW w:w="1232" w:type="dxa"/>
          </w:tcPr>
          <w:p w14:paraId="3B3AFEC5" w14:textId="116B8D07" w:rsidR="00CC7040" w:rsidRPr="005D3F48" w:rsidRDefault="00CC7040" w:rsidP="0054787A">
            <w:pPr>
              <w:pStyle w:val="DHHStabletext"/>
              <w:rPr>
                <w:sz w:val="18"/>
                <w:szCs w:val="18"/>
                <w:lang w:val="en-US"/>
              </w:rPr>
            </w:pPr>
            <w:r w:rsidRPr="005D3F48">
              <w:rPr>
                <w:sz w:val="18"/>
                <w:szCs w:val="18"/>
                <w:lang w:val="en-US"/>
              </w:rPr>
              <w:t>13.9</w:t>
            </w:r>
            <w:r w:rsidR="00014367" w:rsidRPr="005D3F48">
              <w:rPr>
                <w:sz w:val="18"/>
                <w:szCs w:val="18"/>
                <w:lang w:val="en-US"/>
              </w:rPr>
              <w:t>%</w:t>
            </w:r>
          </w:p>
        </w:tc>
        <w:tc>
          <w:tcPr>
            <w:tcW w:w="1111" w:type="dxa"/>
          </w:tcPr>
          <w:p w14:paraId="614C90E0" w14:textId="423C394C" w:rsidR="00CC7040" w:rsidRPr="005D3F48" w:rsidRDefault="00CC7040" w:rsidP="0054787A">
            <w:pPr>
              <w:pStyle w:val="DHHStabletext"/>
              <w:rPr>
                <w:sz w:val="18"/>
                <w:szCs w:val="18"/>
                <w:lang w:val="en-US"/>
              </w:rPr>
            </w:pPr>
            <w:r w:rsidRPr="005D3F48">
              <w:rPr>
                <w:sz w:val="18"/>
                <w:szCs w:val="18"/>
                <w:lang w:val="en-US"/>
              </w:rPr>
              <w:t>13.4</w:t>
            </w:r>
            <w:r w:rsidR="00014367" w:rsidRPr="005D3F48">
              <w:rPr>
                <w:sz w:val="18"/>
                <w:szCs w:val="18"/>
                <w:lang w:val="en-US"/>
              </w:rPr>
              <w:t>%</w:t>
            </w:r>
          </w:p>
        </w:tc>
        <w:tc>
          <w:tcPr>
            <w:tcW w:w="1151" w:type="dxa"/>
          </w:tcPr>
          <w:p w14:paraId="515EBBE3" w14:textId="0A85F562" w:rsidR="00CC7040" w:rsidRPr="005D3F48" w:rsidRDefault="00CC7040" w:rsidP="0054787A">
            <w:pPr>
              <w:pStyle w:val="DHHStabletext"/>
              <w:rPr>
                <w:sz w:val="18"/>
                <w:szCs w:val="18"/>
                <w:lang w:val="en-US"/>
              </w:rPr>
            </w:pPr>
            <w:r w:rsidRPr="005D3F48">
              <w:rPr>
                <w:sz w:val="18"/>
                <w:szCs w:val="18"/>
                <w:lang w:val="en-US"/>
              </w:rPr>
              <w:t>13.8</w:t>
            </w:r>
            <w:r w:rsidR="00014367" w:rsidRPr="005D3F48">
              <w:rPr>
                <w:sz w:val="18"/>
                <w:szCs w:val="18"/>
                <w:lang w:val="en-US"/>
              </w:rPr>
              <w:t>%</w:t>
            </w:r>
          </w:p>
        </w:tc>
        <w:tc>
          <w:tcPr>
            <w:tcW w:w="1155" w:type="dxa"/>
          </w:tcPr>
          <w:p w14:paraId="3A5ADD7D" w14:textId="7A4FD316" w:rsidR="00CC7040" w:rsidRPr="005D3F48" w:rsidRDefault="00CC7040" w:rsidP="0054787A">
            <w:pPr>
              <w:pStyle w:val="DHHStabletext"/>
              <w:rPr>
                <w:sz w:val="18"/>
                <w:szCs w:val="18"/>
                <w:lang w:val="en-US"/>
              </w:rPr>
            </w:pPr>
            <w:r w:rsidRPr="005D3F48">
              <w:rPr>
                <w:sz w:val="18"/>
                <w:szCs w:val="18"/>
                <w:lang w:val="en-US"/>
              </w:rPr>
              <w:t>13.3</w:t>
            </w:r>
            <w:r w:rsidR="00014367" w:rsidRPr="005D3F48">
              <w:rPr>
                <w:sz w:val="18"/>
                <w:szCs w:val="18"/>
                <w:lang w:val="en-US"/>
              </w:rPr>
              <w:t>%</w:t>
            </w:r>
          </w:p>
        </w:tc>
        <w:tc>
          <w:tcPr>
            <w:tcW w:w="1217" w:type="dxa"/>
          </w:tcPr>
          <w:p w14:paraId="4AEFDF13" w14:textId="40AD0C0C" w:rsidR="00CC7040" w:rsidRPr="005D3F48" w:rsidRDefault="00CC7040" w:rsidP="0054787A">
            <w:pPr>
              <w:pStyle w:val="DHHStabletext"/>
              <w:rPr>
                <w:sz w:val="18"/>
                <w:szCs w:val="18"/>
                <w:lang w:val="en-US"/>
              </w:rPr>
            </w:pPr>
            <w:r w:rsidRPr="005D3F48">
              <w:rPr>
                <w:sz w:val="18"/>
                <w:szCs w:val="18"/>
                <w:lang w:val="en-US"/>
              </w:rPr>
              <w:t>14.3</w:t>
            </w:r>
            <w:r w:rsidR="00014367" w:rsidRPr="005D3F48">
              <w:rPr>
                <w:sz w:val="18"/>
                <w:szCs w:val="18"/>
                <w:lang w:val="en-US"/>
              </w:rPr>
              <w:t>%</w:t>
            </w:r>
          </w:p>
        </w:tc>
      </w:tr>
      <w:tr w:rsidR="00CC7040" w14:paraId="207AEC6E" w14:textId="77777777" w:rsidTr="004476F8">
        <w:tc>
          <w:tcPr>
            <w:tcW w:w="1903" w:type="dxa"/>
          </w:tcPr>
          <w:p w14:paraId="1205D9ED" w14:textId="77777777" w:rsidR="00CC7040" w:rsidRPr="005D3F48" w:rsidRDefault="00CC7040" w:rsidP="0054787A">
            <w:pPr>
              <w:pStyle w:val="DHHStabletext"/>
              <w:rPr>
                <w:sz w:val="18"/>
                <w:szCs w:val="18"/>
                <w:lang w:val="en-US"/>
              </w:rPr>
            </w:pPr>
            <w:r w:rsidRPr="005D3F48">
              <w:rPr>
                <w:sz w:val="18"/>
                <w:szCs w:val="18"/>
                <w:lang w:val="en-US"/>
              </w:rPr>
              <w:t>13.3 Rate of post-discharge follow-up</w:t>
            </w:r>
          </w:p>
        </w:tc>
        <w:tc>
          <w:tcPr>
            <w:tcW w:w="1519" w:type="dxa"/>
          </w:tcPr>
          <w:p w14:paraId="05860516" w14:textId="357E13DD" w:rsidR="00CC7040" w:rsidRPr="005D3F48" w:rsidRDefault="00894D3B" w:rsidP="0054787A">
            <w:pPr>
              <w:pStyle w:val="DHHStabletext"/>
              <w:rPr>
                <w:sz w:val="18"/>
                <w:szCs w:val="18"/>
                <w:lang w:val="en-US"/>
              </w:rPr>
            </w:pPr>
            <w:r w:rsidRPr="005D3F48">
              <w:rPr>
                <w:sz w:val="18"/>
                <w:szCs w:val="18"/>
                <w:lang w:val="en-US"/>
              </w:rPr>
              <w:t>2019–20</w:t>
            </w:r>
          </w:p>
        </w:tc>
        <w:tc>
          <w:tcPr>
            <w:tcW w:w="1232" w:type="dxa"/>
          </w:tcPr>
          <w:p w14:paraId="017DC203" w14:textId="1A9CC681" w:rsidR="00CC7040" w:rsidRPr="005D3F48" w:rsidRDefault="00CC7040" w:rsidP="0054787A">
            <w:pPr>
              <w:pStyle w:val="DHHStabletext"/>
              <w:rPr>
                <w:sz w:val="18"/>
                <w:szCs w:val="18"/>
                <w:lang w:val="en-US"/>
              </w:rPr>
            </w:pPr>
            <w:r w:rsidRPr="005D3F48">
              <w:rPr>
                <w:sz w:val="18"/>
                <w:szCs w:val="18"/>
                <w:lang w:val="en-US"/>
              </w:rPr>
              <w:t>84.2</w:t>
            </w:r>
            <w:r w:rsidR="00014367" w:rsidRPr="005D3F48">
              <w:rPr>
                <w:sz w:val="18"/>
                <w:szCs w:val="18"/>
                <w:lang w:val="en-US"/>
              </w:rPr>
              <w:t>%</w:t>
            </w:r>
          </w:p>
        </w:tc>
        <w:tc>
          <w:tcPr>
            <w:tcW w:w="1111" w:type="dxa"/>
          </w:tcPr>
          <w:p w14:paraId="5088963A" w14:textId="13CD9DCF" w:rsidR="00CC7040" w:rsidRPr="005D3F48" w:rsidRDefault="00CC7040" w:rsidP="0054787A">
            <w:pPr>
              <w:pStyle w:val="DHHStabletext"/>
              <w:rPr>
                <w:sz w:val="18"/>
                <w:szCs w:val="18"/>
                <w:lang w:val="en-US"/>
              </w:rPr>
            </w:pPr>
            <w:r w:rsidRPr="005D3F48">
              <w:rPr>
                <w:sz w:val="18"/>
                <w:szCs w:val="18"/>
                <w:lang w:val="en-US"/>
              </w:rPr>
              <w:t>77.6</w:t>
            </w:r>
            <w:r w:rsidR="00014367" w:rsidRPr="005D3F48">
              <w:rPr>
                <w:sz w:val="18"/>
                <w:szCs w:val="18"/>
                <w:lang w:val="en-US"/>
              </w:rPr>
              <w:t>%</w:t>
            </w:r>
          </w:p>
        </w:tc>
        <w:tc>
          <w:tcPr>
            <w:tcW w:w="1151" w:type="dxa"/>
          </w:tcPr>
          <w:p w14:paraId="22F7FE33" w14:textId="723F0C33" w:rsidR="00CC7040" w:rsidRPr="005D3F48" w:rsidRDefault="00CC7040" w:rsidP="0054787A">
            <w:pPr>
              <w:pStyle w:val="DHHStabletext"/>
              <w:rPr>
                <w:sz w:val="18"/>
                <w:szCs w:val="18"/>
                <w:lang w:val="en-US"/>
              </w:rPr>
            </w:pPr>
            <w:r w:rsidRPr="005D3F48">
              <w:rPr>
                <w:sz w:val="18"/>
                <w:szCs w:val="18"/>
                <w:lang w:val="en-US"/>
              </w:rPr>
              <w:t>87.0</w:t>
            </w:r>
            <w:r w:rsidR="00014367" w:rsidRPr="005D3F48">
              <w:rPr>
                <w:sz w:val="18"/>
                <w:szCs w:val="18"/>
                <w:lang w:val="en-US"/>
              </w:rPr>
              <w:t>%</w:t>
            </w:r>
          </w:p>
        </w:tc>
        <w:tc>
          <w:tcPr>
            <w:tcW w:w="1155" w:type="dxa"/>
          </w:tcPr>
          <w:p w14:paraId="1EDFA247" w14:textId="3479C1D3" w:rsidR="00CC7040" w:rsidRPr="005D3F48" w:rsidRDefault="00CC7040" w:rsidP="0054787A">
            <w:pPr>
              <w:pStyle w:val="DHHStabletext"/>
              <w:rPr>
                <w:sz w:val="18"/>
                <w:szCs w:val="18"/>
                <w:lang w:val="en-US"/>
              </w:rPr>
            </w:pPr>
            <w:r w:rsidRPr="005D3F48">
              <w:rPr>
                <w:sz w:val="18"/>
                <w:szCs w:val="18"/>
                <w:lang w:val="en-US"/>
              </w:rPr>
              <w:t>88.0</w:t>
            </w:r>
            <w:r w:rsidR="00014367" w:rsidRPr="005D3F48">
              <w:rPr>
                <w:sz w:val="18"/>
                <w:szCs w:val="18"/>
                <w:lang w:val="en-US"/>
              </w:rPr>
              <w:t>%</w:t>
            </w:r>
          </w:p>
        </w:tc>
        <w:tc>
          <w:tcPr>
            <w:tcW w:w="1217" w:type="dxa"/>
          </w:tcPr>
          <w:p w14:paraId="046136AB" w14:textId="272A771B" w:rsidR="00CC7040" w:rsidRPr="005D3F48" w:rsidRDefault="00CC7040" w:rsidP="0054787A">
            <w:pPr>
              <w:pStyle w:val="DHHStabletext"/>
              <w:rPr>
                <w:sz w:val="18"/>
                <w:szCs w:val="18"/>
                <w:lang w:val="en-US"/>
              </w:rPr>
            </w:pPr>
            <w:r w:rsidRPr="005D3F48">
              <w:rPr>
                <w:sz w:val="18"/>
                <w:szCs w:val="18"/>
                <w:lang w:val="en-US"/>
              </w:rPr>
              <w:t>89.6</w:t>
            </w:r>
            <w:r w:rsidR="00014367" w:rsidRPr="005D3F48">
              <w:rPr>
                <w:sz w:val="18"/>
                <w:szCs w:val="18"/>
                <w:lang w:val="en-US"/>
              </w:rPr>
              <w:t>%</w:t>
            </w:r>
          </w:p>
        </w:tc>
      </w:tr>
      <w:tr w:rsidR="00CC7040" w14:paraId="11F57E02" w14:textId="77777777" w:rsidTr="004476F8">
        <w:tc>
          <w:tcPr>
            <w:tcW w:w="1903" w:type="dxa"/>
          </w:tcPr>
          <w:p w14:paraId="26CCF52E" w14:textId="77777777" w:rsidR="00CC7040" w:rsidRPr="005D3F48" w:rsidRDefault="00CC7040" w:rsidP="0054787A">
            <w:pPr>
              <w:pStyle w:val="DHHStabletext"/>
              <w:rPr>
                <w:sz w:val="18"/>
                <w:szCs w:val="18"/>
                <w:lang w:val="en-US"/>
              </w:rPr>
            </w:pPr>
            <w:r w:rsidRPr="005D3F48">
              <w:rPr>
                <w:sz w:val="18"/>
                <w:szCs w:val="18"/>
                <w:lang w:val="en-US"/>
              </w:rPr>
              <w:t>13.4 New registered clients accessing public mental health services (no access in last five years)</w:t>
            </w:r>
          </w:p>
        </w:tc>
        <w:tc>
          <w:tcPr>
            <w:tcW w:w="1519" w:type="dxa"/>
          </w:tcPr>
          <w:p w14:paraId="1FE6A88D" w14:textId="0DBB4A42" w:rsidR="00CC7040" w:rsidRPr="005D3F48" w:rsidRDefault="00894D3B" w:rsidP="0054787A">
            <w:pPr>
              <w:pStyle w:val="DHHStabletext"/>
              <w:rPr>
                <w:sz w:val="18"/>
                <w:szCs w:val="18"/>
                <w:lang w:val="en-US"/>
              </w:rPr>
            </w:pPr>
            <w:r w:rsidRPr="005D3F48">
              <w:rPr>
                <w:sz w:val="18"/>
                <w:szCs w:val="18"/>
                <w:lang w:val="en-US"/>
              </w:rPr>
              <w:t>2019–20</w:t>
            </w:r>
          </w:p>
        </w:tc>
        <w:tc>
          <w:tcPr>
            <w:tcW w:w="1232" w:type="dxa"/>
          </w:tcPr>
          <w:p w14:paraId="6EDCDD98" w14:textId="5431A0B8" w:rsidR="00CC7040" w:rsidRPr="005D3F48" w:rsidRDefault="00CC7040" w:rsidP="0054787A">
            <w:pPr>
              <w:pStyle w:val="DHHStabletext"/>
              <w:rPr>
                <w:sz w:val="18"/>
                <w:szCs w:val="18"/>
                <w:lang w:val="en-US"/>
              </w:rPr>
            </w:pPr>
            <w:r w:rsidRPr="005D3F48">
              <w:rPr>
                <w:sz w:val="18"/>
                <w:szCs w:val="18"/>
                <w:lang w:val="en-US"/>
              </w:rPr>
              <w:t>35.7</w:t>
            </w:r>
            <w:r w:rsidR="00014367" w:rsidRPr="005D3F48">
              <w:rPr>
                <w:sz w:val="18"/>
                <w:szCs w:val="18"/>
                <w:lang w:val="en-US"/>
              </w:rPr>
              <w:t>%</w:t>
            </w:r>
          </w:p>
        </w:tc>
        <w:tc>
          <w:tcPr>
            <w:tcW w:w="1111" w:type="dxa"/>
          </w:tcPr>
          <w:p w14:paraId="2A2E0F26" w14:textId="184DD7BB" w:rsidR="00CC7040" w:rsidRPr="005D3F48" w:rsidRDefault="00CC7040" w:rsidP="0054787A">
            <w:pPr>
              <w:pStyle w:val="DHHStabletext"/>
              <w:rPr>
                <w:sz w:val="18"/>
                <w:szCs w:val="18"/>
                <w:lang w:val="en-US"/>
              </w:rPr>
            </w:pPr>
            <w:r w:rsidRPr="005D3F48">
              <w:rPr>
                <w:sz w:val="18"/>
                <w:szCs w:val="18"/>
                <w:lang w:val="en-US"/>
              </w:rPr>
              <w:t>36.6</w:t>
            </w:r>
            <w:r w:rsidR="00014367" w:rsidRPr="005D3F48">
              <w:rPr>
                <w:sz w:val="18"/>
                <w:szCs w:val="18"/>
                <w:lang w:val="en-US"/>
              </w:rPr>
              <w:t>%</w:t>
            </w:r>
          </w:p>
        </w:tc>
        <w:tc>
          <w:tcPr>
            <w:tcW w:w="1151" w:type="dxa"/>
          </w:tcPr>
          <w:p w14:paraId="4407F341" w14:textId="7AC64B59" w:rsidR="00CC7040" w:rsidRPr="005D3F48" w:rsidRDefault="00CC7040" w:rsidP="0054787A">
            <w:pPr>
              <w:pStyle w:val="DHHStabletext"/>
              <w:rPr>
                <w:sz w:val="18"/>
                <w:szCs w:val="18"/>
                <w:lang w:val="en-US"/>
              </w:rPr>
            </w:pPr>
            <w:r w:rsidRPr="005D3F48">
              <w:rPr>
                <w:sz w:val="18"/>
                <w:szCs w:val="18"/>
                <w:lang w:val="en-US"/>
              </w:rPr>
              <w:t>36.8</w:t>
            </w:r>
            <w:r w:rsidR="00014367" w:rsidRPr="005D3F48">
              <w:rPr>
                <w:sz w:val="18"/>
                <w:szCs w:val="18"/>
                <w:lang w:val="en-US"/>
              </w:rPr>
              <w:t>%</w:t>
            </w:r>
          </w:p>
        </w:tc>
        <w:tc>
          <w:tcPr>
            <w:tcW w:w="1155" w:type="dxa"/>
          </w:tcPr>
          <w:p w14:paraId="000BE546" w14:textId="1A5313DE" w:rsidR="00CC7040" w:rsidRPr="005D3F48" w:rsidRDefault="00CC7040" w:rsidP="0054787A">
            <w:pPr>
              <w:pStyle w:val="DHHStabletext"/>
              <w:rPr>
                <w:sz w:val="18"/>
                <w:szCs w:val="18"/>
                <w:lang w:val="en-US"/>
              </w:rPr>
            </w:pPr>
            <w:r w:rsidRPr="005D3F48">
              <w:rPr>
                <w:sz w:val="18"/>
                <w:szCs w:val="18"/>
                <w:lang w:val="en-US"/>
              </w:rPr>
              <w:t>35.9</w:t>
            </w:r>
            <w:r w:rsidR="00014367" w:rsidRPr="005D3F48">
              <w:rPr>
                <w:sz w:val="18"/>
                <w:szCs w:val="18"/>
                <w:lang w:val="en-US"/>
              </w:rPr>
              <w:t>%</w:t>
            </w:r>
          </w:p>
        </w:tc>
        <w:tc>
          <w:tcPr>
            <w:tcW w:w="1217" w:type="dxa"/>
          </w:tcPr>
          <w:p w14:paraId="63676E0B" w14:textId="7C20316C" w:rsidR="00CC7040" w:rsidRPr="005D3F48" w:rsidRDefault="00CC7040" w:rsidP="0054787A">
            <w:pPr>
              <w:pStyle w:val="DHHStabletext"/>
              <w:rPr>
                <w:sz w:val="18"/>
                <w:szCs w:val="18"/>
                <w:lang w:val="en-US"/>
              </w:rPr>
            </w:pPr>
            <w:r w:rsidRPr="005D3F48">
              <w:rPr>
                <w:sz w:val="18"/>
                <w:szCs w:val="18"/>
                <w:lang w:val="en-US"/>
              </w:rPr>
              <w:t>35.3</w:t>
            </w:r>
            <w:r w:rsidR="00014367" w:rsidRPr="005D3F48">
              <w:rPr>
                <w:sz w:val="18"/>
                <w:szCs w:val="18"/>
                <w:lang w:val="en-US"/>
              </w:rPr>
              <w:t>%</w:t>
            </w:r>
          </w:p>
        </w:tc>
      </w:tr>
      <w:tr w:rsidR="00CC7040" w14:paraId="6135A1DE" w14:textId="77777777" w:rsidTr="004476F8">
        <w:tc>
          <w:tcPr>
            <w:tcW w:w="1903" w:type="dxa"/>
          </w:tcPr>
          <w:p w14:paraId="11EFC3F5" w14:textId="77777777" w:rsidR="00CC7040" w:rsidRPr="005D3F48" w:rsidRDefault="00CC7040" w:rsidP="0054787A">
            <w:pPr>
              <w:pStyle w:val="DHHStabletext"/>
              <w:rPr>
                <w:sz w:val="18"/>
                <w:szCs w:val="18"/>
                <w:lang w:val="en-US"/>
              </w:rPr>
            </w:pPr>
            <w:r w:rsidRPr="005D3F48">
              <w:rPr>
                <w:sz w:val="18"/>
                <w:szCs w:val="18"/>
                <w:lang w:val="en-US"/>
              </w:rPr>
              <w:t xml:space="preserve">13.5 Proportion of consumers reporting the effect the service had on their ability to manage their day-to-day life was very good (29.4%) or excellent (26.7%) </w:t>
            </w:r>
          </w:p>
        </w:tc>
        <w:tc>
          <w:tcPr>
            <w:tcW w:w="1519" w:type="dxa"/>
          </w:tcPr>
          <w:p w14:paraId="363D4E71" w14:textId="4B212295" w:rsidR="00CC7040" w:rsidRPr="005D3F48" w:rsidRDefault="00BA6AC1" w:rsidP="0054787A">
            <w:pPr>
              <w:pStyle w:val="DHHStabletext"/>
              <w:rPr>
                <w:sz w:val="18"/>
                <w:szCs w:val="18"/>
                <w:lang w:val="en-US"/>
              </w:rPr>
            </w:pPr>
            <w:r w:rsidRPr="005D3F48">
              <w:rPr>
                <w:sz w:val="18"/>
                <w:szCs w:val="18"/>
                <w:lang w:val="en-US"/>
              </w:rPr>
              <w:t>2018–19</w:t>
            </w:r>
            <w:r w:rsidR="00CF4148">
              <w:rPr>
                <w:rStyle w:val="FootnoteReference"/>
                <w:sz w:val="18"/>
                <w:szCs w:val="18"/>
                <w:lang w:val="en-US"/>
              </w:rPr>
              <w:footnoteReference w:id="21"/>
            </w:r>
          </w:p>
        </w:tc>
        <w:tc>
          <w:tcPr>
            <w:tcW w:w="1232" w:type="dxa"/>
          </w:tcPr>
          <w:p w14:paraId="68F726FB" w14:textId="7AD915B6" w:rsidR="00CC7040" w:rsidRPr="005D3F48" w:rsidRDefault="00F2363E" w:rsidP="0054787A">
            <w:pPr>
              <w:pStyle w:val="DHHStabletext"/>
              <w:rPr>
                <w:sz w:val="18"/>
                <w:szCs w:val="18"/>
                <w:lang w:val="en-US"/>
              </w:rPr>
            </w:pPr>
            <w:r>
              <w:rPr>
                <w:sz w:val="18"/>
                <w:szCs w:val="18"/>
                <w:lang w:val="en-US"/>
              </w:rPr>
              <w:t>n</w:t>
            </w:r>
            <w:r w:rsidR="00CC7040" w:rsidRPr="005D3F48">
              <w:rPr>
                <w:sz w:val="18"/>
                <w:szCs w:val="18"/>
                <w:lang w:val="en-US"/>
              </w:rPr>
              <w:t>/</w:t>
            </w:r>
            <w:r>
              <w:rPr>
                <w:sz w:val="18"/>
                <w:szCs w:val="18"/>
                <w:lang w:val="en-US"/>
              </w:rPr>
              <w:t>a</w:t>
            </w:r>
          </w:p>
        </w:tc>
        <w:tc>
          <w:tcPr>
            <w:tcW w:w="1111" w:type="dxa"/>
          </w:tcPr>
          <w:p w14:paraId="6C9F5488" w14:textId="547BE448" w:rsidR="00CC7040" w:rsidRPr="005D3F48" w:rsidRDefault="00F2363E" w:rsidP="0054787A">
            <w:pPr>
              <w:pStyle w:val="DHHStabletext"/>
              <w:rPr>
                <w:sz w:val="18"/>
                <w:szCs w:val="18"/>
                <w:lang w:val="en-US"/>
              </w:rPr>
            </w:pPr>
            <w:r>
              <w:rPr>
                <w:sz w:val="18"/>
                <w:szCs w:val="18"/>
                <w:lang w:val="en-US"/>
              </w:rPr>
              <w:t>n</w:t>
            </w:r>
            <w:r w:rsidR="00CC7040" w:rsidRPr="005D3F48">
              <w:rPr>
                <w:sz w:val="18"/>
                <w:szCs w:val="18"/>
                <w:lang w:val="en-US"/>
              </w:rPr>
              <w:t>/</w:t>
            </w:r>
            <w:r>
              <w:rPr>
                <w:sz w:val="18"/>
                <w:szCs w:val="18"/>
                <w:lang w:val="en-US"/>
              </w:rPr>
              <w:t>a</w:t>
            </w:r>
          </w:p>
        </w:tc>
        <w:tc>
          <w:tcPr>
            <w:tcW w:w="1151" w:type="dxa"/>
          </w:tcPr>
          <w:p w14:paraId="377ACE15" w14:textId="77777777" w:rsidR="00CC7040" w:rsidRPr="005D3F48" w:rsidRDefault="00CC7040" w:rsidP="0054787A">
            <w:pPr>
              <w:pStyle w:val="DHHStabletext"/>
              <w:rPr>
                <w:sz w:val="18"/>
                <w:szCs w:val="18"/>
                <w:lang w:val="en-US"/>
              </w:rPr>
            </w:pPr>
            <w:r w:rsidRPr="005D3F48">
              <w:rPr>
                <w:sz w:val="18"/>
                <w:szCs w:val="18"/>
                <w:lang w:val="en-US"/>
              </w:rPr>
              <w:t>53.6%</w:t>
            </w:r>
          </w:p>
        </w:tc>
        <w:tc>
          <w:tcPr>
            <w:tcW w:w="1155" w:type="dxa"/>
          </w:tcPr>
          <w:p w14:paraId="7D40CC06" w14:textId="77777777" w:rsidR="00CC7040" w:rsidRPr="005D3F48" w:rsidRDefault="00CC7040" w:rsidP="0054787A">
            <w:pPr>
              <w:pStyle w:val="DHHStabletext"/>
              <w:rPr>
                <w:sz w:val="18"/>
                <w:szCs w:val="18"/>
                <w:lang w:val="en-US"/>
              </w:rPr>
            </w:pPr>
            <w:r w:rsidRPr="005D3F48">
              <w:rPr>
                <w:sz w:val="18"/>
                <w:szCs w:val="18"/>
                <w:lang w:val="en-US"/>
              </w:rPr>
              <w:t>55.2%</w:t>
            </w:r>
          </w:p>
        </w:tc>
        <w:tc>
          <w:tcPr>
            <w:tcW w:w="1217" w:type="dxa"/>
          </w:tcPr>
          <w:p w14:paraId="39DFFE90" w14:textId="77777777" w:rsidR="00CC7040" w:rsidRPr="005D3F48" w:rsidRDefault="00CC7040" w:rsidP="0054787A">
            <w:pPr>
              <w:pStyle w:val="DHHStabletext"/>
              <w:rPr>
                <w:sz w:val="18"/>
                <w:szCs w:val="18"/>
                <w:lang w:val="en-US"/>
              </w:rPr>
            </w:pPr>
            <w:r w:rsidRPr="005D3F48">
              <w:rPr>
                <w:sz w:val="18"/>
                <w:szCs w:val="18"/>
                <w:lang w:val="en-US"/>
              </w:rPr>
              <w:t>56.1%</w:t>
            </w:r>
          </w:p>
        </w:tc>
      </w:tr>
    </w:tbl>
    <w:p w14:paraId="23E011A7" w14:textId="11974B79" w:rsidR="00355798" w:rsidRDefault="00355798" w:rsidP="00355798">
      <w:pPr>
        <w:pStyle w:val="Heading4"/>
        <w:rPr>
          <w:lang w:eastAsia="en-AU"/>
        </w:rPr>
      </w:pPr>
      <w:r w:rsidRPr="0016523E">
        <w:rPr>
          <w:lang w:eastAsia="en-AU"/>
        </w:rPr>
        <w:t xml:space="preserve">Indicators for Outcome </w:t>
      </w:r>
      <w:r>
        <w:rPr>
          <w:lang w:eastAsia="en-AU"/>
        </w:rPr>
        <w:t>14</w:t>
      </w:r>
    </w:p>
    <w:tbl>
      <w:tblPr>
        <w:tblStyle w:val="MentalhealthARtablestyle"/>
        <w:tblW w:w="9360" w:type="dxa"/>
        <w:jc w:val="center"/>
        <w:tblLook w:val="04A0" w:firstRow="1" w:lastRow="0" w:firstColumn="1" w:lastColumn="0" w:noHBand="0" w:noVBand="1"/>
      </w:tblPr>
      <w:tblGrid>
        <w:gridCol w:w="2476"/>
        <w:gridCol w:w="1431"/>
        <w:gridCol w:w="1088"/>
        <w:gridCol w:w="1088"/>
        <w:gridCol w:w="1088"/>
        <w:gridCol w:w="1088"/>
        <w:gridCol w:w="1101"/>
      </w:tblGrid>
      <w:tr w:rsidR="00355798" w14:paraId="2D32D6DE" w14:textId="77777777" w:rsidTr="00355798">
        <w:trPr>
          <w:cnfStyle w:val="100000000000" w:firstRow="1" w:lastRow="0" w:firstColumn="0" w:lastColumn="0" w:oddVBand="0" w:evenVBand="0" w:oddHBand="0" w:evenHBand="0" w:firstRowFirstColumn="0" w:firstRowLastColumn="0" w:lastRowFirstColumn="0" w:lastRowLastColumn="0"/>
          <w:tblHeader/>
          <w:jc w:val="center"/>
        </w:trPr>
        <w:tc>
          <w:tcPr>
            <w:tcW w:w="1814" w:type="dxa"/>
            <w:hideMark/>
          </w:tcPr>
          <w:p w14:paraId="66120AA8" w14:textId="77777777" w:rsidR="00355798" w:rsidRDefault="00355798">
            <w:pPr>
              <w:pStyle w:val="DHHStablecolhead"/>
              <w:rPr>
                <w:b/>
                <w:bCs/>
                <w:sz w:val="18"/>
                <w:szCs w:val="18"/>
              </w:rPr>
            </w:pPr>
            <w:r>
              <w:rPr>
                <w:b/>
                <w:bCs/>
                <w:sz w:val="18"/>
                <w:szCs w:val="18"/>
              </w:rPr>
              <w:t>Indicator</w:t>
            </w:r>
          </w:p>
        </w:tc>
        <w:tc>
          <w:tcPr>
            <w:tcW w:w="1087" w:type="dxa"/>
            <w:hideMark/>
          </w:tcPr>
          <w:p w14:paraId="5D2FCAD0" w14:textId="77777777" w:rsidR="00355798" w:rsidRDefault="00355798">
            <w:pPr>
              <w:pStyle w:val="DHHStablecolhead"/>
              <w:rPr>
                <w:b/>
                <w:bCs/>
                <w:sz w:val="18"/>
                <w:szCs w:val="18"/>
              </w:rPr>
            </w:pPr>
            <w:r>
              <w:rPr>
                <w:b/>
                <w:bCs/>
                <w:sz w:val="18"/>
                <w:szCs w:val="18"/>
              </w:rPr>
              <w:t>Reference</w:t>
            </w:r>
          </w:p>
          <w:p w14:paraId="0D846A1A" w14:textId="77777777" w:rsidR="00355798" w:rsidRDefault="00355798">
            <w:pPr>
              <w:pStyle w:val="DHHStablecolhead"/>
              <w:rPr>
                <w:b/>
                <w:bCs/>
                <w:sz w:val="18"/>
                <w:szCs w:val="18"/>
              </w:rPr>
            </w:pPr>
            <w:r>
              <w:rPr>
                <w:b/>
                <w:bCs/>
                <w:sz w:val="18"/>
                <w:szCs w:val="18"/>
              </w:rPr>
              <w:t>year</w:t>
            </w:r>
          </w:p>
        </w:tc>
        <w:tc>
          <w:tcPr>
            <w:tcW w:w="827" w:type="dxa"/>
            <w:hideMark/>
          </w:tcPr>
          <w:p w14:paraId="2BE72770" w14:textId="77777777" w:rsidR="00355798" w:rsidRDefault="00355798">
            <w:pPr>
              <w:pStyle w:val="DHHStablecolhead"/>
              <w:rPr>
                <w:b/>
                <w:bCs/>
                <w:sz w:val="18"/>
                <w:szCs w:val="18"/>
              </w:rPr>
            </w:pPr>
            <w:r>
              <w:rPr>
                <w:b/>
                <w:bCs/>
                <w:sz w:val="18"/>
                <w:szCs w:val="18"/>
              </w:rPr>
              <w:t>Four years prior</w:t>
            </w:r>
          </w:p>
        </w:tc>
        <w:tc>
          <w:tcPr>
            <w:tcW w:w="827" w:type="dxa"/>
            <w:hideMark/>
          </w:tcPr>
          <w:p w14:paraId="5DE0ABCF" w14:textId="77777777" w:rsidR="00355798" w:rsidRDefault="00355798">
            <w:pPr>
              <w:pStyle w:val="DHHStablecolhead"/>
              <w:rPr>
                <w:b/>
                <w:bCs/>
                <w:sz w:val="18"/>
                <w:szCs w:val="18"/>
              </w:rPr>
            </w:pPr>
            <w:r>
              <w:rPr>
                <w:b/>
                <w:bCs/>
                <w:sz w:val="18"/>
                <w:szCs w:val="18"/>
              </w:rPr>
              <w:t>Three years prior</w:t>
            </w:r>
          </w:p>
        </w:tc>
        <w:tc>
          <w:tcPr>
            <w:tcW w:w="827" w:type="dxa"/>
            <w:hideMark/>
          </w:tcPr>
          <w:p w14:paraId="0F2BFFEA" w14:textId="77777777" w:rsidR="00355798" w:rsidRDefault="00355798">
            <w:pPr>
              <w:pStyle w:val="DHHStablecolhead"/>
              <w:rPr>
                <w:b/>
                <w:bCs/>
                <w:sz w:val="18"/>
                <w:szCs w:val="18"/>
              </w:rPr>
            </w:pPr>
            <w:r>
              <w:rPr>
                <w:b/>
                <w:bCs/>
                <w:sz w:val="18"/>
                <w:szCs w:val="18"/>
              </w:rPr>
              <w:t>Two years prior</w:t>
            </w:r>
          </w:p>
        </w:tc>
        <w:tc>
          <w:tcPr>
            <w:tcW w:w="827" w:type="dxa"/>
            <w:hideMark/>
          </w:tcPr>
          <w:p w14:paraId="26057413" w14:textId="77777777" w:rsidR="00355798" w:rsidRDefault="00355798">
            <w:pPr>
              <w:pStyle w:val="DHHStablecolhead"/>
              <w:rPr>
                <w:b/>
                <w:bCs/>
                <w:sz w:val="18"/>
                <w:szCs w:val="18"/>
              </w:rPr>
            </w:pPr>
            <w:r>
              <w:rPr>
                <w:b/>
                <w:bCs/>
                <w:sz w:val="18"/>
                <w:szCs w:val="18"/>
              </w:rPr>
              <w:t>One year prior</w:t>
            </w:r>
          </w:p>
        </w:tc>
        <w:tc>
          <w:tcPr>
            <w:tcW w:w="837" w:type="dxa"/>
            <w:hideMark/>
          </w:tcPr>
          <w:p w14:paraId="3A42BBFE" w14:textId="77777777" w:rsidR="00355798" w:rsidRDefault="00355798">
            <w:pPr>
              <w:pStyle w:val="DHHStablecolhead"/>
              <w:rPr>
                <w:b/>
                <w:bCs/>
                <w:sz w:val="18"/>
                <w:szCs w:val="18"/>
              </w:rPr>
            </w:pPr>
            <w:r>
              <w:rPr>
                <w:b/>
                <w:bCs/>
                <w:sz w:val="18"/>
                <w:szCs w:val="18"/>
              </w:rPr>
              <w:t>Most current data</w:t>
            </w:r>
          </w:p>
        </w:tc>
      </w:tr>
      <w:tr w:rsidR="00355798" w14:paraId="72AC6855" w14:textId="77777777" w:rsidTr="00355798">
        <w:trPr>
          <w:jc w:val="center"/>
        </w:trPr>
        <w:tc>
          <w:tcPr>
            <w:tcW w:w="1814" w:type="dxa"/>
            <w:tcBorders>
              <w:top w:val="single" w:sz="4" w:space="0" w:color="004EA8"/>
              <w:left w:val="single" w:sz="4" w:space="0" w:color="004EA8"/>
              <w:bottom w:val="single" w:sz="4" w:space="0" w:color="004EA8"/>
              <w:right w:val="single" w:sz="4" w:space="0" w:color="004EA8"/>
            </w:tcBorders>
            <w:hideMark/>
          </w:tcPr>
          <w:p w14:paraId="1269C317" w14:textId="77777777" w:rsidR="00355798" w:rsidRDefault="00355798">
            <w:pPr>
              <w:pStyle w:val="DHHStabletext"/>
              <w:rPr>
                <w:sz w:val="18"/>
                <w:szCs w:val="18"/>
                <w:lang w:val="en-US"/>
              </w:rPr>
            </w:pPr>
            <w:r>
              <w:rPr>
                <w:sz w:val="18"/>
                <w:szCs w:val="18"/>
                <w:lang w:val="en-US"/>
              </w:rPr>
              <w:t>14.1 Proportion of registered clients experiencing stable or improved clinical outcomes (adults)</w:t>
            </w:r>
          </w:p>
        </w:tc>
        <w:tc>
          <w:tcPr>
            <w:tcW w:w="1087" w:type="dxa"/>
            <w:tcBorders>
              <w:top w:val="single" w:sz="4" w:space="0" w:color="004EA8"/>
              <w:left w:val="single" w:sz="4" w:space="0" w:color="004EA8"/>
              <w:bottom w:val="single" w:sz="4" w:space="0" w:color="004EA8"/>
              <w:right w:val="single" w:sz="4" w:space="0" w:color="004EA8"/>
            </w:tcBorders>
            <w:hideMark/>
          </w:tcPr>
          <w:p w14:paraId="7E6E04EC" w14:textId="77777777" w:rsidR="00355798" w:rsidRDefault="00355798">
            <w:pPr>
              <w:pStyle w:val="DHHStabletext"/>
              <w:rPr>
                <w:sz w:val="18"/>
                <w:szCs w:val="18"/>
                <w:lang w:val="en-US"/>
              </w:rPr>
            </w:pPr>
            <w:r>
              <w:rPr>
                <w:sz w:val="18"/>
                <w:szCs w:val="18"/>
                <w:lang w:val="en-US"/>
              </w:rPr>
              <w:t>2019–20</w:t>
            </w:r>
          </w:p>
        </w:tc>
        <w:tc>
          <w:tcPr>
            <w:tcW w:w="827" w:type="dxa"/>
            <w:tcBorders>
              <w:top w:val="single" w:sz="4" w:space="0" w:color="004EA8"/>
              <w:left w:val="single" w:sz="4" w:space="0" w:color="004EA8"/>
              <w:bottom w:val="single" w:sz="4" w:space="0" w:color="004EA8"/>
              <w:right w:val="single" w:sz="4" w:space="0" w:color="004EA8"/>
            </w:tcBorders>
            <w:hideMark/>
          </w:tcPr>
          <w:p w14:paraId="5DBFBB15" w14:textId="61408497" w:rsidR="00355798" w:rsidRDefault="00355798">
            <w:pPr>
              <w:pStyle w:val="DHHStabletext"/>
              <w:rPr>
                <w:sz w:val="18"/>
                <w:szCs w:val="18"/>
                <w:lang w:val="en-US"/>
              </w:rPr>
            </w:pPr>
            <w:r>
              <w:rPr>
                <w:sz w:val="18"/>
                <w:szCs w:val="18"/>
                <w:lang w:val="en-US"/>
              </w:rPr>
              <w:t>91.1%</w:t>
            </w:r>
          </w:p>
        </w:tc>
        <w:tc>
          <w:tcPr>
            <w:tcW w:w="827" w:type="dxa"/>
            <w:tcBorders>
              <w:top w:val="single" w:sz="4" w:space="0" w:color="004EA8"/>
              <w:left w:val="single" w:sz="4" w:space="0" w:color="004EA8"/>
              <w:bottom w:val="single" w:sz="4" w:space="0" w:color="004EA8"/>
              <w:right w:val="single" w:sz="4" w:space="0" w:color="004EA8"/>
            </w:tcBorders>
            <w:hideMark/>
          </w:tcPr>
          <w:p w14:paraId="1F78FD75" w14:textId="032B731F" w:rsidR="00355798" w:rsidRDefault="00355798">
            <w:pPr>
              <w:pStyle w:val="DHHStabletext"/>
              <w:rPr>
                <w:sz w:val="18"/>
                <w:szCs w:val="18"/>
                <w:lang w:val="en-US"/>
              </w:rPr>
            </w:pPr>
            <w:r>
              <w:rPr>
                <w:sz w:val="18"/>
                <w:szCs w:val="18"/>
                <w:lang w:val="en-US"/>
              </w:rPr>
              <w:t>91.1%</w:t>
            </w:r>
          </w:p>
        </w:tc>
        <w:tc>
          <w:tcPr>
            <w:tcW w:w="827" w:type="dxa"/>
            <w:tcBorders>
              <w:top w:val="single" w:sz="4" w:space="0" w:color="004EA8"/>
              <w:left w:val="single" w:sz="4" w:space="0" w:color="004EA8"/>
              <w:bottom w:val="single" w:sz="4" w:space="0" w:color="004EA8"/>
              <w:right w:val="single" w:sz="4" w:space="0" w:color="004EA8"/>
            </w:tcBorders>
            <w:hideMark/>
          </w:tcPr>
          <w:p w14:paraId="7FA02966" w14:textId="34EC0CB5" w:rsidR="00355798" w:rsidRDefault="00355798">
            <w:pPr>
              <w:pStyle w:val="DHHStabletext"/>
              <w:rPr>
                <w:sz w:val="18"/>
                <w:szCs w:val="18"/>
                <w:lang w:val="en-US"/>
              </w:rPr>
            </w:pPr>
            <w:r>
              <w:rPr>
                <w:sz w:val="18"/>
                <w:szCs w:val="18"/>
                <w:lang w:val="en-US"/>
              </w:rPr>
              <w:t>91.2%</w:t>
            </w:r>
          </w:p>
        </w:tc>
        <w:tc>
          <w:tcPr>
            <w:tcW w:w="827" w:type="dxa"/>
            <w:tcBorders>
              <w:top w:val="single" w:sz="4" w:space="0" w:color="004EA8"/>
              <w:left w:val="single" w:sz="4" w:space="0" w:color="004EA8"/>
              <w:bottom w:val="single" w:sz="4" w:space="0" w:color="004EA8"/>
              <w:right w:val="single" w:sz="4" w:space="0" w:color="004EA8"/>
            </w:tcBorders>
            <w:hideMark/>
          </w:tcPr>
          <w:p w14:paraId="3E611B3A" w14:textId="5EB0482E" w:rsidR="00355798" w:rsidRDefault="00355798">
            <w:pPr>
              <w:pStyle w:val="DHHStabletext"/>
              <w:rPr>
                <w:sz w:val="18"/>
                <w:szCs w:val="18"/>
                <w:lang w:val="en-US"/>
              </w:rPr>
            </w:pPr>
            <w:r>
              <w:rPr>
                <w:sz w:val="18"/>
                <w:szCs w:val="18"/>
                <w:lang w:val="en-US"/>
              </w:rPr>
              <w:t>91.2%</w:t>
            </w:r>
          </w:p>
        </w:tc>
        <w:tc>
          <w:tcPr>
            <w:tcW w:w="837" w:type="dxa"/>
            <w:tcBorders>
              <w:top w:val="single" w:sz="4" w:space="0" w:color="004EA8"/>
              <w:left w:val="single" w:sz="4" w:space="0" w:color="004EA8"/>
              <w:bottom w:val="single" w:sz="4" w:space="0" w:color="004EA8"/>
              <w:right w:val="single" w:sz="4" w:space="0" w:color="004EA8"/>
            </w:tcBorders>
            <w:hideMark/>
          </w:tcPr>
          <w:p w14:paraId="2E5E4C93" w14:textId="77777777" w:rsidR="00355798" w:rsidRDefault="00355798">
            <w:pPr>
              <w:pStyle w:val="DHHStabletext"/>
              <w:rPr>
                <w:sz w:val="18"/>
                <w:szCs w:val="18"/>
                <w:lang w:val="en-US"/>
              </w:rPr>
            </w:pPr>
            <w:r>
              <w:rPr>
                <w:sz w:val="18"/>
                <w:szCs w:val="18"/>
                <w:lang w:val="en-US"/>
              </w:rPr>
              <w:t>91.1%</w:t>
            </w:r>
          </w:p>
        </w:tc>
      </w:tr>
      <w:tr w:rsidR="00355798" w14:paraId="109626FB" w14:textId="77777777" w:rsidTr="00355798">
        <w:trPr>
          <w:jc w:val="center"/>
        </w:trPr>
        <w:tc>
          <w:tcPr>
            <w:tcW w:w="1814" w:type="dxa"/>
            <w:tcBorders>
              <w:top w:val="single" w:sz="4" w:space="0" w:color="004EA8"/>
              <w:left w:val="single" w:sz="4" w:space="0" w:color="004EA8"/>
              <w:bottom w:val="single" w:sz="4" w:space="0" w:color="004EA8"/>
              <w:right w:val="single" w:sz="4" w:space="0" w:color="004EA8"/>
            </w:tcBorders>
            <w:hideMark/>
          </w:tcPr>
          <w:p w14:paraId="5B2B8947" w14:textId="77777777" w:rsidR="00355798" w:rsidRDefault="00355798">
            <w:pPr>
              <w:pStyle w:val="DHHStabletext"/>
              <w:rPr>
                <w:sz w:val="18"/>
                <w:szCs w:val="18"/>
                <w:lang w:val="en-US"/>
              </w:rPr>
            </w:pPr>
            <w:r>
              <w:rPr>
                <w:sz w:val="18"/>
                <w:szCs w:val="18"/>
                <w:lang w:val="en-US"/>
              </w:rPr>
              <w:t>14.2 Proportion of registered clients experiencing stable or improved clinical outcomes (CAMHS)</w:t>
            </w:r>
          </w:p>
        </w:tc>
        <w:tc>
          <w:tcPr>
            <w:tcW w:w="1087" w:type="dxa"/>
            <w:tcBorders>
              <w:top w:val="single" w:sz="4" w:space="0" w:color="004EA8"/>
              <w:left w:val="single" w:sz="4" w:space="0" w:color="004EA8"/>
              <w:bottom w:val="single" w:sz="4" w:space="0" w:color="004EA8"/>
              <w:right w:val="single" w:sz="4" w:space="0" w:color="004EA8"/>
            </w:tcBorders>
            <w:hideMark/>
          </w:tcPr>
          <w:p w14:paraId="303E4122" w14:textId="77777777" w:rsidR="00355798" w:rsidRDefault="00355798">
            <w:pPr>
              <w:pStyle w:val="DHHStabletext"/>
              <w:rPr>
                <w:sz w:val="18"/>
                <w:szCs w:val="18"/>
                <w:lang w:val="en-US"/>
              </w:rPr>
            </w:pPr>
            <w:r>
              <w:rPr>
                <w:sz w:val="18"/>
                <w:szCs w:val="18"/>
                <w:lang w:val="en-US"/>
              </w:rPr>
              <w:t>2019–20</w:t>
            </w:r>
          </w:p>
        </w:tc>
        <w:tc>
          <w:tcPr>
            <w:tcW w:w="827" w:type="dxa"/>
            <w:tcBorders>
              <w:top w:val="single" w:sz="4" w:space="0" w:color="004EA8"/>
              <w:left w:val="single" w:sz="4" w:space="0" w:color="004EA8"/>
              <w:bottom w:val="single" w:sz="4" w:space="0" w:color="004EA8"/>
              <w:right w:val="single" w:sz="4" w:space="0" w:color="004EA8"/>
            </w:tcBorders>
            <w:hideMark/>
          </w:tcPr>
          <w:p w14:paraId="5F55951C" w14:textId="2BCE080B" w:rsidR="00355798" w:rsidRDefault="00355798">
            <w:pPr>
              <w:pStyle w:val="DHHStabletext"/>
              <w:rPr>
                <w:sz w:val="18"/>
                <w:szCs w:val="18"/>
                <w:lang w:val="en-US"/>
              </w:rPr>
            </w:pPr>
            <w:r>
              <w:rPr>
                <w:sz w:val="18"/>
                <w:szCs w:val="18"/>
                <w:lang w:val="en-US"/>
              </w:rPr>
              <w:t>90.6%</w:t>
            </w:r>
          </w:p>
        </w:tc>
        <w:tc>
          <w:tcPr>
            <w:tcW w:w="827" w:type="dxa"/>
            <w:tcBorders>
              <w:top w:val="single" w:sz="4" w:space="0" w:color="004EA8"/>
              <w:left w:val="single" w:sz="4" w:space="0" w:color="004EA8"/>
              <w:bottom w:val="single" w:sz="4" w:space="0" w:color="004EA8"/>
              <w:right w:val="single" w:sz="4" w:space="0" w:color="004EA8"/>
            </w:tcBorders>
            <w:hideMark/>
          </w:tcPr>
          <w:p w14:paraId="71463241" w14:textId="1A176717" w:rsidR="00355798" w:rsidRDefault="00355798">
            <w:pPr>
              <w:pStyle w:val="DHHStabletext"/>
              <w:rPr>
                <w:sz w:val="18"/>
                <w:szCs w:val="18"/>
                <w:lang w:val="en-US"/>
              </w:rPr>
            </w:pPr>
            <w:r>
              <w:rPr>
                <w:sz w:val="18"/>
                <w:szCs w:val="18"/>
                <w:lang w:val="en-US"/>
              </w:rPr>
              <w:t>91.3%</w:t>
            </w:r>
          </w:p>
        </w:tc>
        <w:tc>
          <w:tcPr>
            <w:tcW w:w="827" w:type="dxa"/>
            <w:tcBorders>
              <w:top w:val="single" w:sz="4" w:space="0" w:color="004EA8"/>
              <w:left w:val="single" w:sz="4" w:space="0" w:color="004EA8"/>
              <w:bottom w:val="single" w:sz="4" w:space="0" w:color="004EA8"/>
              <w:right w:val="single" w:sz="4" w:space="0" w:color="004EA8"/>
            </w:tcBorders>
            <w:hideMark/>
          </w:tcPr>
          <w:p w14:paraId="2D02D4B6" w14:textId="0EDA8FB6" w:rsidR="00355798" w:rsidRDefault="00355798">
            <w:pPr>
              <w:pStyle w:val="DHHStabletext"/>
              <w:rPr>
                <w:sz w:val="18"/>
                <w:szCs w:val="18"/>
                <w:lang w:val="en-US"/>
              </w:rPr>
            </w:pPr>
            <w:r>
              <w:rPr>
                <w:sz w:val="18"/>
                <w:szCs w:val="18"/>
                <w:lang w:val="en-US"/>
              </w:rPr>
              <w:t>90.7%</w:t>
            </w:r>
          </w:p>
        </w:tc>
        <w:tc>
          <w:tcPr>
            <w:tcW w:w="827" w:type="dxa"/>
            <w:tcBorders>
              <w:top w:val="single" w:sz="4" w:space="0" w:color="004EA8"/>
              <w:left w:val="single" w:sz="4" w:space="0" w:color="004EA8"/>
              <w:bottom w:val="single" w:sz="4" w:space="0" w:color="004EA8"/>
              <w:right w:val="single" w:sz="4" w:space="0" w:color="004EA8"/>
            </w:tcBorders>
            <w:hideMark/>
          </w:tcPr>
          <w:p w14:paraId="60A70F93" w14:textId="71C7EEFD" w:rsidR="00355798" w:rsidRDefault="00355798">
            <w:pPr>
              <w:pStyle w:val="DHHStabletext"/>
              <w:rPr>
                <w:sz w:val="18"/>
                <w:szCs w:val="18"/>
                <w:lang w:val="en-US"/>
              </w:rPr>
            </w:pPr>
            <w:r>
              <w:rPr>
                <w:sz w:val="18"/>
                <w:szCs w:val="18"/>
                <w:lang w:val="en-US"/>
              </w:rPr>
              <w:t>91.0%</w:t>
            </w:r>
          </w:p>
        </w:tc>
        <w:tc>
          <w:tcPr>
            <w:tcW w:w="837" w:type="dxa"/>
            <w:tcBorders>
              <w:top w:val="single" w:sz="4" w:space="0" w:color="004EA8"/>
              <w:left w:val="single" w:sz="4" w:space="0" w:color="004EA8"/>
              <w:bottom w:val="single" w:sz="4" w:space="0" w:color="004EA8"/>
              <w:right w:val="single" w:sz="4" w:space="0" w:color="004EA8"/>
            </w:tcBorders>
            <w:hideMark/>
          </w:tcPr>
          <w:p w14:paraId="040D62DB" w14:textId="1E2850C1" w:rsidR="00355798" w:rsidRDefault="00355798">
            <w:pPr>
              <w:pStyle w:val="DHHStabletext"/>
              <w:rPr>
                <w:sz w:val="18"/>
                <w:szCs w:val="18"/>
                <w:lang w:val="en-US"/>
              </w:rPr>
            </w:pPr>
            <w:r>
              <w:rPr>
                <w:sz w:val="18"/>
                <w:szCs w:val="18"/>
                <w:lang w:val="en-US"/>
              </w:rPr>
              <w:t>91.3%</w:t>
            </w:r>
          </w:p>
        </w:tc>
      </w:tr>
      <w:tr w:rsidR="00355798" w14:paraId="46A24A90" w14:textId="77777777" w:rsidTr="00355798">
        <w:trPr>
          <w:jc w:val="center"/>
        </w:trPr>
        <w:tc>
          <w:tcPr>
            <w:tcW w:w="1814" w:type="dxa"/>
            <w:tcBorders>
              <w:top w:val="single" w:sz="4" w:space="0" w:color="004EA8"/>
              <w:left w:val="single" w:sz="4" w:space="0" w:color="004EA8"/>
              <w:bottom w:val="single" w:sz="4" w:space="0" w:color="004EA8"/>
              <w:right w:val="single" w:sz="4" w:space="0" w:color="004EA8"/>
            </w:tcBorders>
            <w:hideMark/>
          </w:tcPr>
          <w:p w14:paraId="6B62203B" w14:textId="77777777" w:rsidR="00355798" w:rsidRDefault="00355798">
            <w:pPr>
              <w:pStyle w:val="DHHStabletext"/>
              <w:rPr>
                <w:sz w:val="18"/>
                <w:szCs w:val="18"/>
                <w:lang w:val="en-US"/>
              </w:rPr>
            </w:pPr>
            <w:r>
              <w:rPr>
                <w:sz w:val="18"/>
                <w:szCs w:val="18"/>
                <w:lang w:val="en-US"/>
              </w:rPr>
              <w:t>14.3 Proportion of registered clients experiencing stable or improved clinical outcomes (aged persons)</w:t>
            </w:r>
          </w:p>
        </w:tc>
        <w:tc>
          <w:tcPr>
            <w:tcW w:w="1087" w:type="dxa"/>
            <w:tcBorders>
              <w:top w:val="single" w:sz="4" w:space="0" w:color="004EA8"/>
              <w:left w:val="single" w:sz="4" w:space="0" w:color="004EA8"/>
              <w:bottom w:val="single" w:sz="4" w:space="0" w:color="004EA8"/>
              <w:right w:val="single" w:sz="4" w:space="0" w:color="004EA8"/>
            </w:tcBorders>
            <w:hideMark/>
          </w:tcPr>
          <w:p w14:paraId="2E7B685A" w14:textId="77777777" w:rsidR="00355798" w:rsidRDefault="00355798">
            <w:pPr>
              <w:pStyle w:val="DHHStabletext"/>
              <w:rPr>
                <w:sz w:val="18"/>
                <w:szCs w:val="18"/>
                <w:lang w:val="en-US"/>
              </w:rPr>
            </w:pPr>
            <w:r>
              <w:rPr>
                <w:sz w:val="18"/>
                <w:szCs w:val="18"/>
                <w:lang w:val="en-US"/>
              </w:rPr>
              <w:t>2019–20</w:t>
            </w:r>
          </w:p>
        </w:tc>
        <w:tc>
          <w:tcPr>
            <w:tcW w:w="827" w:type="dxa"/>
            <w:tcBorders>
              <w:top w:val="single" w:sz="4" w:space="0" w:color="004EA8"/>
              <w:left w:val="single" w:sz="4" w:space="0" w:color="004EA8"/>
              <w:bottom w:val="single" w:sz="4" w:space="0" w:color="004EA8"/>
              <w:right w:val="single" w:sz="4" w:space="0" w:color="004EA8"/>
            </w:tcBorders>
            <w:hideMark/>
          </w:tcPr>
          <w:p w14:paraId="4F5F1458" w14:textId="0BAEC4DF" w:rsidR="00355798" w:rsidRDefault="00355798">
            <w:pPr>
              <w:pStyle w:val="DHHStabletext"/>
              <w:rPr>
                <w:sz w:val="18"/>
                <w:szCs w:val="18"/>
                <w:lang w:val="en-US"/>
              </w:rPr>
            </w:pPr>
            <w:r>
              <w:rPr>
                <w:sz w:val="18"/>
                <w:szCs w:val="18"/>
                <w:lang w:val="en-US"/>
              </w:rPr>
              <w:t>93.9%</w:t>
            </w:r>
          </w:p>
        </w:tc>
        <w:tc>
          <w:tcPr>
            <w:tcW w:w="827" w:type="dxa"/>
            <w:tcBorders>
              <w:top w:val="single" w:sz="4" w:space="0" w:color="004EA8"/>
              <w:left w:val="single" w:sz="4" w:space="0" w:color="004EA8"/>
              <w:bottom w:val="single" w:sz="4" w:space="0" w:color="004EA8"/>
              <w:right w:val="single" w:sz="4" w:space="0" w:color="004EA8"/>
            </w:tcBorders>
            <w:hideMark/>
          </w:tcPr>
          <w:p w14:paraId="0D9C5108" w14:textId="4AC360CC" w:rsidR="00355798" w:rsidRDefault="00355798">
            <w:pPr>
              <w:pStyle w:val="DHHStabletext"/>
              <w:rPr>
                <w:sz w:val="18"/>
                <w:szCs w:val="18"/>
                <w:lang w:val="en-US"/>
              </w:rPr>
            </w:pPr>
            <w:r>
              <w:rPr>
                <w:sz w:val="18"/>
                <w:szCs w:val="18"/>
                <w:lang w:val="en-US"/>
              </w:rPr>
              <w:t>92.3%</w:t>
            </w:r>
          </w:p>
        </w:tc>
        <w:tc>
          <w:tcPr>
            <w:tcW w:w="827" w:type="dxa"/>
            <w:tcBorders>
              <w:top w:val="single" w:sz="4" w:space="0" w:color="004EA8"/>
              <w:left w:val="single" w:sz="4" w:space="0" w:color="004EA8"/>
              <w:bottom w:val="single" w:sz="4" w:space="0" w:color="004EA8"/>
              <w:right w:val="single" w:sz="4" w:space="0" w:color="004EA8"/>
            </w:tcBorders>
            <w:hideMark/>
          </w:tcPr>
          <w:p w14:paraId="40DD6A4F" w14:textId="44655E61" w:rsidR="00355798" w:rsidRDefault="00355798">
            <w:pPr>
              <w:pStyle w:val="DHHStabletext"/>
              <w:rPr>
                <w:sz w:val="18"/>
                <w:szCs w:val="18"/>
                <w:lang w:val="en-US"/>
              </w:rPr>
            </w:pPr>
            <w:r>
              <w:rPr>
                <w:sz w:val="18"/>
                <w:szCs w:val="18"/>
                <w:lang w:val="en-US"/>
              </w:rPr>
              <w:t>92.5%</w:t>
            </w:r>
          </w:p>
        </w:tc>
        <w:tc>
          <w:tcPr>
            <w:tcW w:w="827" w:type="dxa"/>
            <w:tcBorders>
              <w:top w:val="single" w:sz="4" w:space="0" w:color="004EA8"/>
              <w:left w:val="single" w:sz="4" w:space="0" w:color="004EA8"/>
              <w:bottom w:val="single" w:sz="4" w:space="0" w:color="004EA8"/>
              <w:right w:val="single" w:sz="4" w:space="0" w:color="004EA8"/>
            </w:tcBorders>
            <w:hideMark/>
          </w:tcPr>
          <w:p w14:paraId="094440B4" w14:textId="7FE29B22" w:rsidR="00355798" w:rsidRDefault="00355798">
            <w:pPr>
              <w:pStyle w:val="DHHStabletext"/>
              <w:rPr>
                <w:sz w:val="18"/>
                <w:szCs w:val="18"/>
                <w:lang w:val="en-US"/>
              </w:rPr>
            </w:pPr>
            <w:r>
              <w:rPr>
                <w:sz w:val="18"/>
                <w:szCs w:val="18"/>
                <w:lang w:val="en-US"/>
              </w:rPr>
              <w:t>93.6%</w:t>
            </w:r>
          </w:p>
        </w:tc>
        <w:tc>
          <w:tcPr>
            <w:tcW w:w="837" w:type="dxa"/>
            <w:tcBorders>
              <w:top w:val="single" w:sz="4" w:space="0" w:color="004EA8"/>
              <w:left w:val="single" w:sz="4" w:space="0" w:color="004EA8"/>
              <w:bottom w:val="single" w:sz="4" w:space="0" w:color="004EA8"/>
              <w:right w:val="single" w:sz="4" w:space="0" w:color="004EA8"/>
            </w:tcBorders>
            <w:hideMark/>
          </w:tcPr>
          <w:p w14:paraId="1A72F15D" w14:textId="336656C5" w:rsidR="00355798" w:rsidRDefault="00355798">
            <w:pPr>
              <w:pStyle w:val="DHHStabletext"/>
              <w:rPr>
                <w:sz w:val="18"/>
                <w:szCs w:val="18"/>
                <w:lang w:val="en-US"/>
              </w:rPr>
            </w:pPr>
            <w:r>
              <w:rPr>
                <w:sz w:val="18"/>
                <w:szCs w:val="18"/>
                <w:lang w:val="en-US"/>
              </w:rPr>
              <w:t>93.6%</w:t>
            </w:r>
          </w:p>
        </w:tc>
      </w:tr>
      <w:tr w:rsidR="00355798" w14:paraId="7E6DB998" w14:textId="77777777" w:rsidTr="00355798">
        <w:trPr>
          <w:jc w:val="center"/>
        </w:trPr>
        <w:tc>
          <w:tcPr>
            <w:tcW w:w="1814" w:type="dxa"/>
            <w:tcBorders>
              <w:top w:val="single" w:sz="4" w:space="0" w:color="004EA8"/>
              <w:left w:val="single" w:sz="4" w:space="0" w:color="004EA8"/>
              <w:bottom w:val="single" w:sz="4" w:space="0" w:color="004EA8"/>
              <w:right w:val="single" w:sz="4" w:space="0" w:color="004EA8"/>
            </w:tcBorders>
            <w:hideMark/>
          </w:tcPr>
          <w:p w14:paraId="5B133E9E" w14:textId="40C106E2" w:rsidR="00355798" w:rsidRDefault="00355798">
            <w:pPr>
              <w:pStyle w:val="DHHStabletext"/>
              <w:rPr>
                <w:sz w:val="18"/>
                <w:szCs w:val="18"/>
                <w:lang w:val="en-US"/>
              </w:rPr>
            </w:pPr>
            <w:r>
              <w:rPr>
                <w:sz w:val="18"/>
                <w:szCs w:val="18"/>
                <w:lang w:val="en-US"/>
              </w:rPr>
              <w:t>14.4 Proportion of registered clients experiencing stable or improved clinical outcomes(forensic)</w:t>
            </w:r>
            <w:r w:rsidR="00CF4148">
              <w:rPr>
                <w:rStyle w:val="FootnoteReference"/>
                <w:sz w:val="18"/>
                <w:szCs w:val="18"/>
                <w:lang w:val="en-US"/>
              </w:rPr>
              <w:footnoteReference w:id="22"/>
            </w:r>
          </w:p>
        </w:tc>
        <w:tc>
          <w:tcPr>
            <w:tcW w:w="1087" w:type="dxa"/>
            <w:tcBorders>
              <w:top w:val="single" w:sz="4" w:space="0" w:color="004EA8"/>
              <w:left w:val="single" w:sz="4" w:space="0" w:color="004EA8"/>
              <w:bottom w:val="single" w:sz="4" w:space="0" w:color="004EA8"/>
              <w:right w:val="single" w:sz="4" w:space="0" w:color="004EA8"/>
            </w:tcBorders>
            <w:hideMark/>
          </w:tcPr>
          <w:p w14:paraId="0C56181B" w14:textId="77777777" w:rsidR="00355798" w:rsidRDefault="00355798">
            <w:pPr>
              <w:pStyle w:val="DHHStabletext"/>
              <w:rPr>
                <w:sz w:val="18"/>
                <w:szCs w:val="18"/>
                <w:lang w:val="en-US"/>
              </w:rPr>
            </w:pPr>
            <w:r>
              <w:rPr>
                <w:sz w:val="18"/>
                <w:szCs w:val="18"/>
                <w:lang w:val="en-US"/>
              </w:rPr>
              <w:t>2019–20</w:t>
            </w:r>
          </w:p>
        </w:tc>
        <w:tc>
          <w:tcPr>
            <w:tcW w:w="827" w:type="dxa"/>
            <w:tcBorders>
              <w:top w:val="single" w:sz="4" w:space="0" w:color="004EA8"/>
              <w:left w:val="single" w:sz="4" w:space="0" w:color="004EA8"/>
              <w:bottom w:val="single" w:sz="4" w:space="0" w:color="004EA8"/>
              <w:right w:val="single" w:sz="4" w:space="0" w:color="004EA8"/>
            </w:tcBorders>
            <w:hideMark/>
          </w:tcPr>
          <w:p w14:paraId="5DE77C14" w14:textId="77777777" w:rsidR="00355798" w:rsidRDefault="00355798">
            <w:pPr>
              <w:pStyle w:val="DHHStabletext"/>
              <w:rPr>
                <w:sz w:val="18"/>
                <w:szCs w:val="18"/>
                <w:lang w:val="en-US"/>
              </w:rPr>
            </w:pPr>
            <w:r>
              <w:rPr>
                <w:sz w:val="18"/>
                <w:szCs w:val="18"/>
                <w:lang w:val="en-US"/>
              </w:rPr>
              <w:t>n/a</w:t>
            </w:r>
          </w:p>
        </w:tc>
        <w:tc>
          <w:tcPr>
            <w:tcW w:w="827" w:type="dxa"/>
            <w:tcBorders>
              <w:top w:val="single" w:sz="4" w:space="0" w:color="004EA8"/>
              <w:left w:val="single" w:sz="4" w:space="0" w:color="004EA8"/>
              <w:bottom w:val="single" w:sz="4" w:space="0" w:color="004EA8"/>
              <w:right w:val="single" w:sz="4" w:space="0" w:color="004EA8"/>
            </w:tcBorders>
            <w:hideMark/>
          </w:tcPr>
          <w:p w14:paraId="148FF4EB" w14:textId="77777777" w:rsidR="00355798" w:rsidRDefault="00355798">
            <w:pPr>
              <w:pStyle w:val="DHHStabletext"/>
              <w:rPr>
                <w:sz w:val="18"/>
                <w:szCs w:val="18"/>
                <w:lang w:val="en-US"/>
              </w:rPr>
            </w:pPr>
            <w:r>
              <w:rPr>
                <w:sz w:val="18"/>
                <w:szCs w:val="18"/>
                <w:lang w:val="en-US"/>
              </w:rPr>
              <w:t>n/a</w:t>
            </w:r>
          </w:p>
        </w:tc>
        <w:tc>
          <w:tcPr>
            <w:tcW w:w="827" w:type="dxa"/>
            <w:tcBorders>
              <w:top w:val="single" w:sz="4" w:space="0" w:color="004EA8"/>
              <w:left w:val="single" w:sz="4" w:space="0" w:color="004EA8"/>
              <w:bottom w:val="single" w:sz="4" w:space="0" w:color="004EA8"/>
              <w:right w:val="single" w:sz="4" w:space="0" w:color="004EA8"/>
            </w:tcBorders>
            <w:hideMark/>
          </w:tcPr>
          <w:p w14:paraId="71B39331" w14:textId="77777777" w:rsidR="00355798" w:rsidRDefault="00355798">
            <w:pPr>
              <w:pStyle w:val="DHHStabletext"/>
              <w:rPr>
                <w:sz w:val="18"/>
                <w:szCs w:val="18"/>
                <w:lang w:val="en-US"/>
              </w:rPr>
            </w:pPr>
            <w:r>
              <w:rPr>
                <w:sz w:val="18"/>
                <w:szCs w:val="18"/>
                <w:lang w:val="en-US"/>
              </w:rPr>
              <w:t>n/a</w:t>
            </w:r>
          </w:p>
        </w:tc>
        <w:tc>
          <w:tcPr>
            <w:tcW w:w="827" w:type="dxa"/>
            <w:tcBorders>
              <w:top w:val="single" w:sz="4" w:space="0" w:color="004EA8"/>
              <w:left w:val="single" w:sz="4" w:space="0" w:color="004EA8"/>
              <w:bottom w:val="single" w:sz="4" w:space="0" w:color="004EA8"/>
              <w:right w:val="single" w:sz="4" w:space="0" w:color="004EA8"/>
            </w:tcBorders>
            <w:hideMark/>
          </w:tcPr>
          <w:p w14:paraId="1122A502" w14:textId="77777777" w:rsidR="00355798" w:rsidRDefault="00355798">
            <w:pPr>
              <w:pStyle w:val="DHHStabletext"/>
              <w:rPr>
                <w:sz w:val="18"/>
                <w:szCs w:val="18"/>
                <w:lang w:val="en-US"/>
              </w:rPr>
            </w:pPr>
            <w:r>
              <w:rPr>
                <w:sz w:val="18"/>
                <w:szCs w:val="18"/>
                <w:lang w:val="en-US"/>
              </w:rPr>
              <w:t>n/a</w:t>
            </w:r>
          </w:p>
        </w:tc>
        <w:tc>
          <w:tcPr>
            <w:tcW w:w="837" w:type="dxa"/>
            <w:tcBorders>
              <w:top w:val="single" w:sz="4" w:space="0" w:color="004EA8"/>
              <w:left w:val="single" w:sz="4" w:space="0" w:color="004EA8"/>
              <w:bottom w:val="single" w:sz="4" w:space="0" w:color="004EA8"/>
              <w:right w:val="single" w:sz="4" w:space="0" w:color="004EA8"/>
            </w:tcBorders>
            <w:hideMark/>
          </w:tcPr>
          <w:p w14:paraId="7920E7E8" w14:textId="77777777" w:rsidR="00355798" w:rsidRDefault="00355798">
            <w:pPr>
              <w:pStyle w:val="DHHStabletext"/>
              <w:rPr>
                <w:sz w:val="18"/>
                <w:szCs w:val="18"/>
                <w:lang w:val="en-US"/>
              </w:rPr>
            </w:pPr>
            <w:r>
              <w:rPr>
                <w:sz w:val="18"/>
                <w:szCs w:val="18"/>
                <w:lang w:val="en-US"/>
              </w:rPr>
              <w:t>n/a</w:t>
            </w:r>
          </w:p>
        </w:tc>
      </w:tr>
      <w:tr w:rsidR="00355798" w14:paraId="6D66E9FC" w14:textId="77777777" w:rsidTr="00355798">
        <w:trPr>
          <w:jc w:val="center"/>
        </w:trPr>
        <w:tc>
          <w:tcPr>
            <w:tcW w:w="1814" w:type="dxa"/>
            <w:tcBorders>
              <w:top w:val="single" w:sz="4" w:space="0" w:color="004EA8"/>
              <w:left w:val="single" w:sz="4" w:space="0" w:color="004EA8"/>
              <w:bottom w:val="single" w:sz="4" w:space="0" w:color="004EA8"/>
              <w:right w:val="single" w:sz="4" w:space="0" w:color="004EA8"/>
            </w:tcBorders>
            <w:hideMark/>
          </w:tcPr>
          <w:p w14:paraId="52760869" w14:textId="77777777" w:rsidR="00355798" w:rsidRDefault="00355798">
            <w:pPr>
              <w:pStyle w:val="DHHStabletext"/>
              <w:rPr>
                <w:sz w:val="18"/>
                <w:szCs w:val="18"/>
                <w:lang w:val="en-US"/>
              </w:rPr>
            </w:pPr>
            <w:r>
              <w:rPr>
                <w:sz w:val="18"/>
                <w:szCs w:val="18"/>
                <w:lang w:val="en-US"/>
              </w:rPr>
              <w:t>14.5 Proportion of registered clients experiencing stable or improved clinical outcomes (specialist)</w:t>
            </w:r>
            <w:r>
              <w:rPr>
                <w:rFonts w:eastAsia="Verdana"/>
                <w:color w:val="000000"/>
                <w:sz w:val="18"/>
                <w:szCs w:val="18"/>
                <w:vertAlign w:val="superscript"/>
              </w:rPr>
              <w:t>†</w:t>
            </w:r>
          </w:p>
        </w:tc>
        <w:tc>
          <w:tcPr>
            <w:tcW w:w="1087" w:type="dxa"/>
            <w:tcBorders>
              <w:top w:val="single" w:sz="4" w:space="0" w:color="004EA8"/>
              <w:left w:val="single" w:sz="4" w:space="0" w:color="004EA8"/>
              <w:bottom w:val="single" w:sz="4" w:space="0" w:color="004EA8"/>
              <w:right w:val="single" w:sz="4" w:space="0" w:color="004EA8"/>
            </w:tcBorders>
            <w:hideMark/>
          </w:tcPr>
          <w:p w14:paraId="152D784B" w14:textId="77777777" w:rsidR="00355798" w:rsidRDefault="00355798">
            <w:pPr>
              <w:pStyle w:val="DHHStabletext"/>
              <w:rPr>
                <w:sz w:val="18"/>
                <w:szCs w:val="18"/>
                <w:lang w:val="en-US"/>
              </w:rPr>
            </w:pPr>
            <w:r>
              <w:rPr>
                <w:sz w:val="18"/>
                <w:szCs w:val="18"/>
                <w:lang w:val="en-US"/>
              </w:rPr>
              <w:t>2019–20</w:t>
            </w:r>
          </w:p>
        </w:tc>
        <w:tc>
          <w:tcPr>
            <w:tcW w:w="827" w:type="dxa"/>
            <w:tcBorders>
              <w:top w:val="single" w:sz="4" w:space="0" w:color="004EA8"/>
              <w:left w:val="single" w:sz="4" w:space="0" w:color="004EA8"/>
              <w:bottom w:val="single" w:sz="4" w:space="0" w:color="004EA8"/>
              <w:right w:val="single" w:sz="4" w:space="0" w:color="004EA8"/>
            </w:tcBorders>
            <w:hideMark/>
          </w:tcPr>
          <w:p w14:paraId="0C6C880D" w14:textId="77777777" w:rsidR="00355798" w:rsidRDefault="00355798">
            <w:pPr>
              <w:pStyle w:val="DHHStabletext"/>
              <w:rPr>
                <w:sz w:val="18"/>
                <w:szCs w:val="18"/>
                <w:lang w:val="en-US"/>
              </w:rPr>
            </w:pPr>
            <w:r>
              <w:rPr>
                <w:sz w:val="18"/>
                <w:szCs w:val="18"/>
                <w:lang w:val="en-US"/>
              </w:rPr>
              <w:t>n/a</w:t>
            </w:r>
          </w:p>
        </w:tc>
        <w:tc>
          <w:tcPr>
            <w:tcW w:w="827" w:type="dxa"/>
            <w:tcBorders>
              <w:top w:val="single" w:sz="4" w:space="0" w:color="004EA8"/>
              <w:left w:val="single" w:sz="4" w:space="0" w:color="004EA8"/>
              <w:bottom w:val="single" w:sz="4" w:space="0" w:color="004EA8"/>
              <w:right w:val="single" w:sz="4" w:space="0" w:color="004EA8"/>
            </w:tcBorders>
            <w:hideMark/>
          </w:tcPr>
          <w:p w14:paraId="3AAC140B" w14:textId="77777777" w:rsidR="00355798" w:rsidRDefault="00355798">
            <w:pPr>
              <w:pStyle w:val="DHHStabletext"/>
              <w:rPr>
                <w:sz w:val="18"/>
                <w:szCs w:val="18"/>
                <w:lang w:val="en-US"/>
              </w:rPr>
            </w:pPr>
            <w:r>
              <w:rPr>
                <w:sz w:val="18"/>
                <w:szCs w:val="18"/>
                <w:lang w:val="en-US"/>
              </w:rPr>
              <w:t>n/a</w:t>
            </w:r>
          </w:p>
        </w:tc>
        <w:tc>
          <w:tcPr>
            <w:tcW w:w="827" w:type="dxa"/>
            <w:tcBorders>
              <w:top w:val="single" w:sz="4" w:space="0" w:color="004EA8"/>
              <w:left w:val="single" w:sz="4" w:space="0" w:color="004EA8"/>
              <w:bottom w:val="single" w:sz="4" w:space="0" w:color="004EA8"/>
              <w:right w:val="single" w:sz="4" w:space="0" w:color="004EA8"/>
            </w:tcBorders>
            <w:hideMark/>
          </w:tcPr>
          <w:p w14:paraId="7689C21C" w14:textId="77777777" w:rsidR="00355798" w:rsidRDefault="00355798">
            <w:pPr>
              <w:pStyle w:val="DHHStabletext"/>
              <w:rPr>
                <w:sz w:val="18"/>
                <w:szCs w:val="18"/>
                <w:lang w:val="en-US"/>
              </w:rPr>
            </w:pPr>
            <w:r>
              <w:rPr>
                <w:sz w:val="18"/>
                <w:szCs w:val="18"/>
                <w:lang w:val="en-US"/>
              </w:rPr>
              <w:t>n/a</w:t>
            </w:r>
          </w:p>
        </w:tc>
        <w:tc>
          <w:tcPr>
            <w:tcW w:w="827" w:type="dxa"/>
            <w:tcBorders>
              <w:top w:val="single" w:sz="4" w:space="0" w:color="004EA8"/>
              <w:left w:val="single" w:sz="4" w:space="0" w:color="004EA8"/>
              <w:bottom w:val="single" w:sz="4" w:space="0" w:color="004EA8"/>
              <w:right w:val="single" w:sz="4" w:space="0" w:color="004EA8"/>
            </w:tcBorders>
            <w:hideMark/>
          </w:tcPr>
          <w:p w14:paraId="1DE89D64" w14:textId="77777777" w:rsidR="00355798" w:rsidRDefault="00355798">
            <w:pPr>
              <w:pStyle w:val="DHHStabletext"/>
              <w:rPr>
                <w:sz w:val="18"/>
                <w:szCs w:val="18"/>
                <w:lang w:val="en-US"/>
              </w:rPr>
            </w:pPr>
            <w:r>
              <w:rPr>
                <w:sz w:val="18"/>
                <w:szCs w:val="18"/>
                <w:lang w:val="en-US"/>
              </w:rPr>
              <w:t>n/a</w:t>
            </w:r>
          </w:p>
        </w:tc>
        <w:tc>
          <w:tcPr>
            <w:tcW w:w="837" w:type="dxa"/>
            <w:tcBorders>
              <w:top w:val="single" w:sz="4" w:space="0" w:color="004EA8"/>
              <w:left w:val="single" w:sz="4" w:space="0" w:color="004EA8"/>
              <w:bottom w:val="single" w:sz="4" w:space="0" w:color="004EA8"/>
              <w:right w:val="single" w:sz="4" w:space="0" w:color="004EA8"/>
            </w:tcBorders>
            <w:hideMark/>
          </w:tcPr>
          <w:p w14:paraId="7FEACA7C" w14:textId="77777777" w:rsidR="00355798" w:rsidRDefault="00355798">
            <w:pPr>
              <w:pStyle w:val="DHHStabletext"/>
              <w:rPr>
                <w:sz w:val="18"/>
                <w:szCs w:val="18"/>
                <w:lang w:val="en-US"/>
              </w:rPr>
            </w:pPr>
            <w:r>
              <w:rPr>
                <w:sz w:val="18"/>
                <w:szCs w:val="18"/>
                <w:lang w:val="en-US"/>
              </w:rPr>
              <w:t>n/a</w:t>
            </w:r>
          </w:p>
        </w:tc>
      </w:tr>
      <w:tr w:rsidR="00355798" w14:paraId="0AA37B9D" w14:textId="77777777" w:rsidTr="00355798">
        <w:trPr>
          <w:jc w:val="center"/>
        </w:trPr>
        <w:tc>
          <w:tcPr>
            <w:tcW w:w="1814" w:type="dxa"/>
            <w:tcBorders>
              <w:top w:val="single" w:sz="4" w:space="0" w:color="004EA8"/>
              <w:left w:val="single" w:sz="4" w:space="0" w:color="004EA8"/>
              <w:bottom w:val="single" w:sz="4" w:space="0" w:color="004EA8"/>
              <w:right w:val="single" w:sz="4" w:space="0" w:color="004EA8"/>
            </w:tcBorders>
            <w:hideMark/>
          </w:tcPr>
          <w:p w14:paraId="202B5AF7" w14:textId="77777777" w:rsidR="00355798" w:rsidRDefault="00355798">
            <w:pPr>
              <w:pStyle w:val="DHHStabletext"/>
              <w:rPr>
                <w:sz w:val="18"/>
                <w:szCs w:val="18"/>
                <w:lang w:val="en-US"/>
              </w:rPr>
            </w:pPr>
            <w:r>
              <w:rPr>
                <w:sz w:val="18"/>
                <w:szCs w:val="18"/>
                <w:lang w:val="en-US"/>
              </w:rPr>
              <w:t xml:space="preserve">14.6 Proportion of consumers who reported they usually (17.8%) or always (72.3%) had opportunities for family and carers to be involved in their treatment or care if they wanted </w:t>
            </w:r>
          </w:p>
        </w:tc>
        <w:tc>
          <w:tcPr>
            <w:tcW w:w="1087" w:type="dxa"/>
            <w:tcBorders>
              <w:top w:val="single" w:sz="4" w:space="0" w:color="004EA8"/>
              <w:left w:val="single" w:sz="4" w:space="0" w:color="004EA8"/>
              <w:bottom w:val="single" w:sz="4" w:space="0" w:color="004EA8"/>
              <w:right w:val="single" w:sz="4" w:space="0" w:color="004EA8"/>
            </w:tcBorders>
            <w:hideMark/>
          </w:tcPr>
          <w:p w14:paraId="3A4D774B" w14:textId="78A5E116" w:rsidR="00355798" w:rsidRDefault="00355798">
            <w:pPr>
              <w:pStyle w:val="DHHStabletext"/>
              <w:rPr>
                <w:sz w:val="18"/>
                <w:szCs w:val="18"/>
                <w:lang w:val="en-US"/>
              </w:rPr>
            </w:pPr>
            <w:r>
              <w:rPr>
                <w:sz w:val="18"/>
                <w:szCs w:val="18"/>
                <w:lang w:val="en-US"/>
              </w:rPr>
              <w:t>2018–19</w:t>
            </w:r>
            <w:r w:rsidR="00CF4148">
              <w:rPr>
                <w:rStyle w:val="FootnoteReference"/>
                <w:sz w:val="18"/>
                <w:szCs w:val="18"/>
                <w:lang w:val="en-US"/>
              </w:rPr>
              <w:footnoteReference w:id="23"/>
            </w:r>
          </w:p>
        </w:tc>
        <w:tc>
          <w:tcPr>
            <w:tcW w:w="827" w:type="dxa"/>
            <w:tcBorders>
              <w:top w:val="single" w:sz="4" w:space="0" w:color="004EA8"/>
              <w:left w:val="single" w:sz="4" w:space="0" w:color="004EA8"/>
              <w:bottom w:val="single" w:sz="4" w:space="0" w:color="004EA8"/>
              <w:right w:val="single" w:sz="4" w:space="0" w:color="004EA8"/>
            </w:tcBorders>
            <w:hideMark/>
          </w:tcPr>
          <w:p w14:paraId="48E64F9D" w14:textId="77777777" w:rsidR="00355798" w:rsidRDefault="00355798">
            <w:pPr>
              <w:pStyle w:val="DHHStabletext"/>
              <w:rPr>
                <w:sz w:val="18"/>
                <w:szCs w:val="18"/>
                <w:lang w:val="en-US"/>
              </w:rPr>
            </w:pPr>
            <w:r>
              <w:rPr>
                <w:sz w:val="18"/>
                <w:szCs w:val="18"/>
                <w:lang w:val="en-US"/>
              </w:rPr>
              <w:t>n/a</w:t>
            </w:r>
          </w:p>
        </w:tc>
        <w:tc>
          <w:tcPr>
            <w:tcW w:w="827" w:type="dxa"/>
            <w:tcBorders>
              <w:top w:val="single" w:sz="4" w:space="0" w:color="004EA8"/>
              <w:left w:val="single" w:sz="4" w:space="0" w:color="004EA8"/>
              <w:bottom w:val="single" w:sz="4" w:space="0" w:color="004EA8"/>
              <w:right w:val="single" w:sz="4" w:space="0" w:color="004EA8"/>
            </w:tcBorders>
            <w:hideMark/>
          </w:tcPr>
          <w:p w14:paraId="46890BEF" w14:textId="77777777" w:rsidR="00355798" w:rsidRDefault="00355798">
            <w:pPr>
              <w:pStyle w:val="DHHStabletext"/>
              <w:rPr>
                <w:sz w:val="18"/>
                <w:szCs w:val="18"/>
                <w:lang w:val="en-US"/>
              </w:rPr>
            </w:pPr>
            <w:r>
              <w:rPr>
                <w:sz w:val="18"/>
                <w:szCs w:val="18"/>
                <w:lang w:val="en-US"/>
              </w:rPr>
              <w:t>n/a</w:t>
            </w:r>
          </w:p>
        </w:tc>
        <w:tc>
          <w:tcPr>
            <w:tcW w:w="827" w:type="dxa"/>
            <w:tcBorders>
              <w:top w:val="single" w:sz="4" w:space="0" w:color="004EA8"/>
              <w:left w:val="single" w:sz="4" w:space="0" w:color="004EA8"/>
              <w:bottom w:val="single" w:sz="4" w:space="0" w:color="004EA8"/>
              <w:right w:val="single" w:sz="4" w:space="0" w:color="004EA8"/>
            </w:tcBorders>
            <w:hideMark/>
          </w:tcPr>
          <w:p w14:paraId="129B97C2" w14:textId="77777777" w:rsidR="00355798" w:rsidRDefault="00355798">
            <w:pPr>
              <w:pStyle w:val="DHHStabletext"/>
              <w:rPr>
                <w:sz w:val="18"/>
                <w:szCs w:val="18"/>
                <w:lang w:val="en-US"/>
              </w:rPr>
            </w:pPr>
            <w:r>
              <w:rPr>
                <w:sz w:val="18"/>
                <w:szCs w:val="18"/>
                <w:lang w:val="en-US"/>
              </w:rPr>
              <w:t>82.5%</w:t>
            </w:r>
          </w:p>
        </w:tc>
        <w:tc>
          <w:tcPr>
            <w:tcW w:w="827" w:type="dxa"/>
            <w:tcBorders>
              <w:top w:val="single" w:sz="4" w:space="0" w:color="004EA8"/>
              <w:left w:val="single" w:sz="4" w:space="0" w:color="004EA8"/>
              <w:bottom w:val="single" w:sz="4" w:space="0" w:color="004EA8"/>
              <w:right w:val="single" w:sz="4" w:space="0" w:color="004EA8"/>
            </w:tcBorders>
            <w:hideMark/>
          </w:tcPr>
          <w:p w14:paraId="7619AF56" w14:textId="77777777" w:rsidR="00355798" w:rsidRDefault="00355798">
            <w:pPr>
              <w:pStyle w:val="DHHStabletext"/>
              <w:rPr>
                <w:sz w:val="18"/>
                <w:szCs w:val="18"/>
                <w:lang w:val="en-US"/>
              </w:rPr>
            </w:pPr>
            <w:r>
              <w:rPr>
                <w:sz w:val="18"/>
                <w:szCs w:val="18"/>
                <w:lang w:val="en-US"/>
              </w:rPr>
              <w:t>83.8%</w:t>
            </w:r>
          </w:p>
        </w:tc>
        <w:tc>
          <w:tcPr>
            <w:tcW w:w="837" w:type="dxa"/>
            <w:tcBorders>
              <w:top w:val="single" w:sz="4" w:space="0" w:color="004EA8"/>
              <w:left w:val="single" w:sz="4" w:space="0" w:color="004EA8"/>
              <w:bottom w:val="single" w:sz="4" w:space="0" w:color="004EA8"/>
              <w:right w:val="single" w:sz="4" w:space="0" w:color="004EA8"/>
            </w:tcBorders>
            <w:hideMark/>
          </w:tcPr>
          <w:p w14:paraId="5268697B" w14:textId="77777777" w:rsidR="00355798" w:rsidRDefault="00355798">
            <w:pPr>
              <w:pStyle w:val="DHHStabletext"/>
              <w:rPr>
                <w:sz w:val="18"/>
                <w:szCs w:val="18"/>
                <w:lang w:val="en-US"/>
              </w:rPr>
            </w:pPr>
            <w:r>
              <w:rPr>
                <w:sz w:val="18"/>
                <w:szCs w:val="18"/>
                <w:lang w:val="en-US"/>
              </w:rPr>
              <w:t>82.5%</w:t>
            </w:r>
          </w:p>
        </w:tc>
      </w:tr>
    </w:tbl>
    <w:p w14:paraId="71F3FEE9" w14:textId="77777777" w:rsidR="00CC7040" w:rsidRDefault="00CC7040" w:rsidP="00F17C22">
      <w:pPr>
        <w:pStyle w:val="Heading4"/>
      </w:pPr>
      <w:r w:rsidRPr="0016523E">
        <w:rPr>
          <w:lang w:eastAsia="en-AU"/>
        </w:rPr>
        <w:t xml:space="preserve">Indicators for Outcome </w:t>
      </w:r>
      <w:r>
        <w:rPr>
          <w:lang w:eastAsia="en-AU"/>
        </w:rPr>
        <w:t>15</w:t>
      </w:r>
    </w:p>
    <w:tbl>
      <w:tblPr>
        <w:tblStyle w:val="MentalhealthARtablestyle"/>
        <w:tblW w:w="0" w:type="auto"/>
        <w:tblLook w:val="04A0" w:firstRow="1" w:lastRow="0" w:firstColumn="1" w:lastColumn="0" w:noHBand="0" w:noVBand="1"/>
      </w:tblPr>
      <w:tblGrid>
        <w:gridCol w:w="1995"/>
        <w:gridCol w:w="1440"/>
        <w:gridCol w:w="1110"/>
        <w:gridCol w:w="1112"/>
        <w:gridCol w:w="1183"/>
        <w:gridCol w:w="1167"/>
        <w:gridCol w:w="1281"/>
      </w:tblGrid>
      <w:tr w:rsidR="00CC7040" w14:paraId="1897DE1E" w14:textId="77777777" w:rsidTr="0054787A">
        <w:trPr>
          <w:cnfStyle w:val="100000000000" w:firstRow="1" w:lastRow="0" w:firstColumn="0" w:lastColumn="0" w:oddVBand="0" w:evenVBand="0" w:oddHBand="0" w:evenHBand="0" w:firstRowFirstColumn="0" w:firstRowLastColumn="0" w:lastRowFirstColumn="0" w:lastRowLastColumn="0"/>
          <w:tblHeader/>
        </w:trPr>
        <w:tc>
          <w:tcPr>
            <w:tcW w:w="1995" w:type="dxa"/>
          </w:tcPr>
          <w:p w14:paraId="38871EB7" w14:textId="22D40A17" w:rsidR="00CC7040" w:rsidRPr="005D3F48" w:rsidRDefault="00CC7040" w:rsidP="00B24E19">
            <w:pPr>
              <w:pStyle w:val="DHHStablecolhead"/>
              <w:rPr>
                <w:b/>
                <w:bCs/>
                <w:sz w:val="18"/>
                <w:szCs w:val="18"/>
              </w:rPr>
            </w:pPr>
            <w:r w:rsidRPr="005D3F48">
              <w:rPr>
                <w:b/>
                <w:bCs/>
                <w:sz w:val="18"/>
                <w:szCs w:val="18"/>
              </w:rPr>
              <w:t>Indicator</w:t>
            </w:r>
          </w:p>
        </w:tc>
        <w:tc>
          <w:tcPr>
            <w:tcW w:w="1440" w:type="dxa"/>
          </w:tcPr>
          <w:p w14:paraId="32B225E0" w14:textId="77777777" w:rsidR="00CC7040" w:rsidRPr="005D3F48" w:rsidRDefault="00CC7040" w:rsidP="00B24E19">
            <w:pPr>
              <w:pStyle w:val="DHHStablecolhead"/>
              <w:rPr>
                <w:b/>
                <w:bCs/>
                <w:sz w:val="18"/>
                <w:szCs w:val="18"/>
              </w:rPr>
            </w:pPr>
            <w:r w:rsidRPr="005D3F48">
              <w:rPr>
                <w:b/>
                <w:bCs/>
                <w:sz w:val="18"/>
                <w:szCs w:val="18"/>
              </w:rPr>
              <w:t>Reference</w:t>
            </w:r>
          </w:p>
          <w:p w14:paraId="7763E294" w14:textId="77777777" w:rsidR="00CC7040" w:rsidRPr="005D3F48" w:rsidRDefault="00CC7040" w:rsidP="00B24E19">
            <w:pPr>
              <w:pStyle w:val="DHHStablecolhead"/>
              <w:rPr>
                <w:b/>
                <w:bCs/>
                <w:sz w:val="18"/>
                <w:szCs w:val="18"/>
              </w:rPr>
            </w:pPr>
            <w:r w:rsidRPr="005D3F48">
              <w:rPr>
                <w:b/>
                <w:bCs/>
                <w:sz w:val="18"/>
                <w:szCs w:val="18"/>
              </w:rPr>
              <w:t>year</w:t>
            </w:r>
          </w:p>
        </w:tc>
        <w:tc>
          <w:tcPr>
            <w:tcW w:w="1110" w:type="dxa"/>
          </w:tcPr>
          <w:p w14:paraId="4DF850A9" w14:textId="77777777" w:rsidR="00CC7040" w:rsidRPr="005D3F48" w:rsidRDefault="00CC7040" w:rsidP="00B24E19">
            <w:pPr>
              <w:pStyle w:val="DHHStablecolhead"/>
              <w:rPr>
                <w:b/>
                <w:bCs/>
                <w:sz w:val="18"/>
                <w:szCs w:val="18"/>
              </w:rPr>
            </w:pPr>
            <w:r w:rsidRPr="005D3F48">
              <w:rPr>
                <w:b/>
                <w:bCs/>
                <w:sz w:val="18"/>
                <w:szCs w:val="18"/>
              </w:rPr>
              <w:t>Four years prior</w:t>
            </w:r>
          </w:p>
        </w:tc>
        <w:tc>
          <w:tcPr>
            <w:tcW w:w="1112" w:type="dxa"/>
          </w:tcPr>
          <w:p w14:paraId="4A3B37D7" w14:textId="77777777" w:rsidR="00CC7040" w:rsidRPr="005D3F48" w:rsidRDefault="00CC7040" w:rsidP="00B24E19">
            <w:pPr>
              <w:pStyle w:val="DHHStablecolhead"/>
              <w:rPr>
                <w:b/>
                <w:bCs/>
                <w:sz w:val="18"/>
                <w:szCs w:val="18"/>
              </w:rPr>
            </w:pPr>
            <w:r w:rsidRPr="005D3F48">
              <w:rPr>
                <w:b/>
                <w:bCs/>
                <w:sz w:val="18"/>
                <w:szCs w:val="18"/>
              </w:rPr>
              <w:t>Three years prior</w:t>
            </w:r>
          </w:p>
        </w:tc>
        <w:tc>
          <w:tcPr>
            <w:tcW w:w="1183" w:type="dxa"/>
          </w:tcPr>
          <w:p w14:paraId="5CDA01C7" w14:textId="77777777" w:rsidR="00CC7040" w:rsidRPr="005D3F48" w:rsidRDefault="00CC7040" w:rsidP="00B24E19">
            <w:pPr>
              <w:pStyle w:val="DHHStablecolhead"/>
              <w:rPr>
                <w:b/>
                <w:bCs/>
                <w:sz w:val="18"/>
                <w:szCs w:val="18"/>
              </w:rPr>
            </w:pPr>
            <w:r w:rsidRPr="005D3F48">
              <w:rPr>
                <w:b/>
                <w:bCs/>
                <w:sz w:val="18"/>
                <w:szCs w:val="18"/>
              </w:rPr>
              <w:t>Two years prior</w:t>
            </w:r>
          </w:p>
        </w:tc>
        <w:tc>
          <w:tcPr>
            <w:tcW w:w="1167" w:type="dxa"/>
          </w:tcPr>
          <w:p w14:paraId="328324DB" w14:textId="77777777" w:rsidR="00CC7040" w:rsidRPr="005D3F48" w:rsidRDefault="00CC7040" w:rsidP="00B24E19">
            <w:pPr>
              <w:pStyle w:val="DHHStablecolhead"/>
              <w:rPr>
                <w:b/>
                <w:bCs/>
                <w:sz w:val="18"/>
                <w:szCs w:val="18"/>
              </w:rPr>
            </w:pPr>
            <w:r w:rsidRPr="005D3F48">
              <w:rPr>
                <w:b/>
                <w:bCs/>
                <w:sz w:val="18"/>
                <w:szCs w:val="18"/>
              </w:rPr>
              <w:t>One year prior</w:t>
            </w:r>
          </w:p>
        </w:tc>
        <w:tc>
          <w:tcPr>
            <w:tcW w:w="1281" w:type="dxa"/>
          </w:tcPr>
          <w:p w14:paraId="6C29BF2C" w14:textId="77777777" w:rsidR="00CC7040" w:rsidRPr="005D3F48" w:rsidRDefault="00CC7040" w:rsidP="00B24E19">
            <w:pPr>
              <w:pStyle w:val="DHHStablecolhead"/>
              <w:rPr>
                <w:b/>
                <w:bCs/>
                <w:sz w:val="18"/>
                <w:szCs w:val="18"/>
              </w:rPr>
            </w:pPr>
            <w:r w:rsidRPr="005D3F48">
              <w:rPr>
                <w:b/>
                <w:bCs/>
                <w:sz w:val="18"/>
                <w:szCs w:val="18"/>
              </w:rPr>
              <w:t>Most current data</w:t>
            </w:r>
          </w:p>
        </w:tc>
      </w:tr>
      <w:tr w:rsidR="00CC7040" w14:paraId="238960B9" w14:textId="77777777" w:rsidTr="004476F8">
        <w:tc>
          <w:tcPr>
            <w:tcW w:w="1995" w:type="dxa"/>
          </w:tcPr>
          <w:p w14:paraId="1530E45E" w14:textId="27DFA1A0" w:rsidR="00CC7040" w:rsidRPr="005D3F48" w:rsidRDefault="00CC7040" w:rsidP="0054787A">
            <w:pPr>
              <w:pStyle w:val="DHHStabletext"/>
              <w:rPr>
                <w:sz w:val="18"/>
                <w:szCs w:val="18"/>
                <w:lang w:val="en-US"/>
              </w:rPr>
            </w:pPr>
            <w:r w:rsidRPr="005D3F48">
              <w:rPr>
                <w:sz w:val="18"/>
                <w:szCs w:val="18"/>
                <w:lang w:val="en-US"/>
              </w:rPr>
              <w:t>15.1 Proportion of consumers reporting their individuality and values were usually (17.8%) or always (72.3%)</w:t>
            </w:r>
            <w:r w:rsidR="00894D3B" w:rsidRPr="005D3F48">
              <w:rPr>
                <w:sz w:val="18"/>
                <w:szCs w:val="18"/>
                <w:lang w:val="en-US"/>
              </w:rPr>
              <w:t xml:space="preserve"> </w:t>
            </w:r>
            <w:r w:rsidRPr="005D3F48">
              <w:rPr>
                <w:sz w:val="18"/>
                <w:szCs w:val="18"/>
                <w:lang w:val="en-US"/>
              </w:rPr>
              <w:t xml:space="preserve">respected </w:t>
            </w:r>
          </w:p>
        </w:tc>
        <w:tc>
          <w:tcPr>
            <w:tcW w:w="1440" w:type="dxa"/>
          </w:tcPr>
          <w:p w14:paraId="0FB597DC" w14:textId="6EF88D9B" w:rsidR="00CC7040" w:rsidRPr="005D3F48" w:rsidRDefault="00BA6AC1" w:rsidP="0054787A">
            <w:pPr>
              <w:pStyle w:val="DHHStabletext"/>
              <w:rPr>
                <w:sz w:val="18"/>
                <w:szCs w:val="18"/>
                <w:lang w:val="en-US"/>
              </w:rPr>
            </w:pPr>
            <w:r w:rsidRPr="005D3F48">
              <w:rPr>
                <w:sz w:val="18"/>
                <w:szCs w:val="18"/>
                <w:lang w:val="en-US"/>
              </w:rPr>
              <w:t>2018–19</w:t>
            </w:r>
            <w:r w:rsidR="0034212B" w:rsidRPr="0034212B">
              <w:rPr>
                <w:sz w:val="18"/>
                <w:szCs w:val="18"/>
                <w:vertAlign w:val="superscript"/>
                <w:lang w:val="en-US"/>
              </w:rPr>
              <w:t>2</w:t>
            </w:r>
            <w:r w:rsidR="00317825">
              <w:rPr>
                <w:sz w:val="18"/>
                <w:szCs w:val="18"/>
                <w:vertAlign w:val="superscript"/>
                <w:lang w:val="en-US"/>
              </w:rPr>
              <w:t>3</w:t>
            </w:r>
          </w:p>
        </w:tc>
        <w:tc>
          <w:tcPr>
            <w:tcW w:w="1110" w:type="dxa"/>
          </w:tcPr>
          <w:p w14:paraId="448F7EC1" w14:textId="3B93E1FB" w:rsidR="00CC7040" w:rsidRPr="005D3F48" w:rsidRDefault="00F2363E" w:rsidP="0054787A">
            <w:pPr>
              <w:pStyle w:val="DHHStabletext"/>
              <w:rPr>
                <w:sz w:val="18"/>
                <w:szCs w:val="18"/>
                <w:lang w:val="en-US"/>
              </w:rPr>
            </w:pPr>
            <w:r>
              <w:rPr>
                <w:sz w:val="18"/>
                <w:szCs w:val="18"/>
                <w:lang w:val="en-US"/>
              </w:rPr>
              <w:t>n/a</w:t>
            </w:r>
          </w:p>
        </w:tc>
        <w:tc>
          <w:tcPr>
            <w:tcW w:w="1112" w:type="dxa"/>
          </w:tcPr>
          <w:p w14:paraId="4FFE95EB" w14:textId="33513AEB" w:rsidR="00CC7040" w:rsidRPr="005D3F48" w:rsidRDefault="00F2363E" w:rsidP="0054787A">
            <w:pPr>
              <w:pStyle w:val="DHHStabletext"/>
              <w:rPr>
                <w:sz w:val="18"/>
                <w:szCs w:val="18"/>
                <w:lang w:val="en-US"/>
              </w:rPr>
            </w:pPr>
            <w:r>
              <w:rPr>
                <w:sz w:val="18"/>
                <w:szCs w:val="18"/>
                <w:lang w:val="en-US"/>
              </w:rPr>
              <w:t>n/a</w:t>
            </w:r>
          </w:p>
        </w:tc>
        <w:tc>
          <w:tcPr>
            <w:tcW w:w="1183" w:type="dxa"/>
          </w:tcPr>
          <w:p w14:paraId="74CA301C" w14:textId="77777777" w:rsidR="00CC7040" w:rsidRPr="005D3F48" w:rsidRDefault="00CC7040" w:rsidP="0054787A">
            <w:pPr>
              <w:pStyle w:val="DHHStabletext"/>
              <w:rPr>
                <w:sz w:val="18"/>
                <w:szCs w:val="18"/>
                <w:lang w:val="en-US"/>
              </w:rPr>
            </w:pPr>
            <w:r w:rsidRPr="005D3F48">
              <w:rPr>
                <w:sz w:val="18"/>
                <w:szCs w:val="18"/>
                <w:lang w:val="en-US"/>
              </w:rPr>
              <w:t>88.0%</w:t>
            </w:r>
          </w:p>
        </w:tc>
        <w:tc>
          <w:tcPr>
            <w:tcW w:w="1167" w:type="dxa"/>
          </w:tcPr>
          <w:p w14:paraId="0BA496EA" w14:textId="77777777" w:rsidR="00CC7040" w:rsidRPr="005D3F48" w:rsidRDefault="00CC7040" w:rsidP="0054787A">
            <w:pPr>
              <w:pStyle w:val="DHHStabletext"/>
              <w:rPr>
                <w:sz w:val="18"/>
                <w:szCs w:val="18"/>
                <w:lang w:val="en-US"/>
              </w:rPr>
            </w:pPr>
            <w:r w:rsidRPr="005D3F48">
              <w:rPr>
                <w:sz w:val="18"/>
                <w:szCs w:val="18"/>
                <w:lang w:val="en-US"/>
              </w:rPr>
              <w:t>88.7%</w:t>
            </w:r>
          </w:p>
        </w:tc>
        <w:tc>
          <w:tcPr>
            <w:tcW w:w="1281" w:type="dxa"/>
          </w:tcPr>
          <w:p w14:paraId="443E427C" w14:textId="77777777" w:rsidR="00CC7040" w:rsidRPr="005D3F48" w:rsidRDefault="00CC7040" w:rsidP="0054787A">
            <w:pPr>
              <w:pStyle w:val="DHHStabletext"/>
              <w:rPr>
                <w:sz w:val="18"/>
                <w:szCs w:val="18"/>
                <w:lang w:val="en-US"/>
              </w:rPr>
            </w:pPr>
            <w:r w:rsidRPr="005D3F48">
              <w:rPr>
                <w:sz w:val="18"/>
                <w:szCs w:val="18"/>
                <w:lang w:val="en-US"/>
              </w:rPr>
              <w:t>90.1%</w:t>
            </w:r>
          </w:p>
        </w:tc>
      </w:tr>
      <w:tr w:rsidR="00CC7040" w14:paraId="2F801660" w14:textId="77777777" w:rsidTr="004476F8">
        <w:tc>
          <w:tcPr>
            <w:tcW w:w="1995" w:type="dxa"/>
          </w:tcPr>
          <w:p w14:paraId="68504C3B" w14:textId="296D7B48" w:rsidR="00CC7040" w:rsidRPr="005D3F48" w:rsidRDefault="00CC7040" w:rsidP="0054787A">
            <w:pPr>
              <w:pStyle w:val="DHHStabletext"/>
              <w:rPr>
                <w:sz w:val="18"/>
                <w:szCs w:val="18"/>
                <w:lang w:val="en-US"/>
              </w:rPr>
            </w:pPr>
            <w:r w:rsidRPr="005D3F48">
              <w:rPr>
                <w:sz w:val="18"/>
                <w:szCs w:val="18"/>
                <w:lang w:val="en-US"/>
              </w:rPr>
              <w:t>15.2 Proportion of people with a mental illness reporting a care plan was developed with them that considered all their needs as very good</w:t>
            </w:r>
            <w:r w:rsidR="0091773D">
              <w:rPr>
                <w:sz w:val="18"/>
                <w:szCs w:val="18"/>
                <w:lang w:val="en-US"/>
              </w:rPr>
              <w:t xml:space="preserve"> </w:t>
            </w:r>
            <w:r w:rsidRPr="005D3F48">
              <w:rPr>
                <w:sz w:val="18"/>
                <w:szCs w:val="18"/>
                <w:lang w:val="en-US"/>
              </w:rPr>
              <w:t>(23.3%) or excellent (40.1%)</w:t>
            </w:r>
          </w:p>
        </w:tc>
        <w:tc>
          <w:tcPr>
            <w:tcW w:w="1440" w:type="dxa"/>
          </w:tcPr>
          <w:p w14:paraId="6B896805" w14:textId="10B4C220" w:rsidR="00CC7040" w:rsidRPr="005D3F48" w:rsidRDefault="00BA6AC1" w:rsidP="0054787A">
            <w:pPr>
              <w:pStyle w:val="DHHStabletext"/>
              <w:rPr>
                <w:sz w:val="18"/>
                <w:szCs w:val="18"/>
                <w:lang w:val="en-US"/>
              </w:rPr>
            </w:pPr>
            <w:r w:rsidRPr="005D3F48">
              <w:rPr>
                <w:sz w:val="18"/>
                <w:szCs w:val="18"/>
                <w:lang w:val="en-US"/>
              </w:rPr>
              <w:t>2018–19</w:t>
            </w:r>
            <w:r w:rsidR="00CF4148">
              <w:rPr>
                <w:rStyle w:val="FootnoteReference"/>
                <w:sz w:val="18"/>
                <w:szCs w:val="18"/>
                <w:lang w:val="en-US"/>
              </w:rPr>
              <w:footnoteReference w:id="24"/>
            </w:r>
          </w:p>
        </w:tc>
        <w:tc>
          <w:tcPr>
            <w:tcW w:w="1110" w:type="dxa"/>
          </w:tcPr>
          <w:p w14:paraId="116879EF" w14:textId="4E4E0FF4" w:rsidR="00CC7040" w:rsidRPr="005D3F48" w:rsidRDefault="00F2363E" w:rsidP="0054787A">
            <w:pPr>
              <w:pStyle w:val="DHHStabletext"/>
              <w:rPr>
                <w:sz w:val="18"/>
                <w:szCs w:val="18"/>
                <w:lang w:val="en-US"/>
              </w:rPr>
            </w:pPr>
            <w:r>
              <w:rPr>
                <w:sz w:val="18"/>
                <w:szCs w:val="18"/>
                <w:lang w:val="en-US"/>
              </w:rPr>
              <w:t>n/a</w:t>
            </w:r>
          </w:p>
        </w:tc>
        <w:tc>
          <w:tcPr>
            <w:tcW w:w="1112" w:type="dxa"/>
          </w:tcPr>
          <w:p w14:paraId="701A91E0" w14:textId="23C6E187" w:rsidR="00CC7040" w:rsidRPr="005D3F48" w:rsidRDefault="00F2363E" w:rsidP="0054787A">
            <w:pPr>
              <w:pStyle w:val="DHHStabletext"/>
              <w:rPr>
                <w:sz w:val="18"/>
                <w:szCs w:val="18"/>
                <w:lang w:val="en-US"/>
              </w:rPr>
            </w:pPr>
            <w:r>
              <w:rPr>
                <w:sz w:val="18"/>
                <w:szCs w:val="18"/>
                <w:lang w:val="en-US"/>
              </w:rPr>
              <w:t>n/a</w:t>
            </w:r>
          </w:p>
        </w:tc>
        <w:tc>
          <w:tcPr>
            <w:tcW w:w="1183" w:type="dxa"/>
          </w:tcPr>
          <w:p w14:paraId="465B263A" w14:textId="77777777" w:rsidR="00CC7040" w:rsidRPr="005D3F48" w:rsidRDefault="00CC7040" w:rsidP="0054787A">
            <w:pPr>
              <w:pStyle w:val="DHHStabletext"/>
              <w:rPr>
                <w:sz w:val="18"/>
                <w:szCs w:val="18"/>
                <w:lang w:val="en-US"/>
              </w:rPr>
            </w:pPr>
            <w:r w:rsidRPr="005D3F48">
              <w:rPr>
                <w:sz w:val="18"/>
                <w:szCs w:val="18"/>
                <w:lang w:val="en-US"/>
              </w:rPr>
              <w:t>63.0%</w:t>
            </w:r>
          </w:p>
        </w:tc>
        <w:tc>
          <w:tcPr>
            <w:tcW w:w="1167" w:type="dxa"/>
          </w:tcPr>
          <w:p w14:paraId="31D64F9F" w14:textId="77777777" w:rsidR="00CC7040" w:rsidRPr="005D3F48" w:rsidRDefault="00CC7040" w:rsidP="0054787A">
            <w:pPr>
              <w:pStyle w:val="DHHStabletext"/>
              <w:rPr>
                <w:sz w:val="18"/>
                <w:szCs w:val="18"/>
                <w:lang w:val="en-US"/>
              </w:rPr>
            </w:pPr>
            <w:r w:rsidRPr="005D3F48">
              <w:rPr>
                <w:sz w:val="18"/>
                <w:szCs w:val="18"/>
                <w:lang w:val="en-US"/>
              </w:rPr>
              <w:t>62.5%</w:t>
            </w:r>
          </w:p>
        </w:tc>
        <w:tc>
          <w:tcPr>
            <w:tcW w:w="1281" w:type="dxa"/>
          </w:tcPr>
          <w:p w14:paraId="05B9445B" w14:textId="77777777" w:rsidR="00CC7040" w:rsidRPr="005D3F48" w:rsidRDefault="00CC7040" w:rsidP="0054787A">
            <w:pPr>
              <w:pStyle w:val="DHHStabletext"/>
              <w:rPr>
                <w:sz w:val="18"/>
                <w:szCs w:val="18"/>
                <w:lang w:val="en-US"/>
              </w:rPr>
            </w:pPr>
            <w:r w:rsidRPr="005D3F48">
              <w:rPr>
                <w:sz w:val="18"/>
                <w:szCs w:val="18"/>
                <w:lang w:val="en-US"/>
              </w:rPr>
              <w:t>63.4%</w:t>
            </w:r>
          </w:p>
        </w:tc>
      </w:tr>
    </w:tbl>
    <w:p w14:paraId="6FECF84F" w14:textId="58352FCE" w:rsidR="00CC7040" w:rsidRDefault="00CC7040" w:rsidP="00F17C22">
      <w:pPr>
        <w:pStyle w:val="Heading4"/>
      </w:pPr>
      <w:r w:rsidRPr="0016523E">
        <w:rPr>
          <w:lang w:eastAsia="en-AU"/>
        </w:rPr>
        <w:t xml:space="preserve">Indicators for Outcome </w:t>
      </w:r>
      <w:r>
        <w:rPr>
          <w:lang w:eastAsia="en-AU"/>
        </w:rPr>
        <w:t>1</w:t>
      </w:r>
      <w:r w:rsidR="00173EFD">
        <w:rPr>
          <w:lang w:eastAsia="en-AU"/>
        </w:rPr>
        <w:t>6</w:t>
      </w:r>
    </w:p>
    <w:tbl>
      <w:tblPr>
        <w:tblStyle w:val="MentalhealthARtablestyle"/>
        <w:tblW w:w="0" w:type="auto"/>
        <w:tblLook w:val="04A0" w:firstRow="1" w:lastRow="0" w:firstColumn="1" w:lastColumn="0" w:noHBand="0" w:noVBand="1"/>
      </w:tblPr>
      <w:tblGrid>
        <w:gridCol w:w="2080"/>
        <w:gridCol w:w="1262"/>
        <w:gridCol w:w="1094"/>
        <w:gridCol w:w="1083"/>
        <w:gridCol w:w="1256"/>
        <w:gridCol w:w="1256"/>
        <w:gridCol w:w="1257"/>
      </w:tblGrid>
      <w:tr w:rsidR="00CC7040" w14:paraId="7C5FB1B5" w14:textId="77777777" w:rsidTr="0054787A">
        <w:trPr>
          <w:cnfStyle w:val="100000000000" w:firstRow="1" w:lastRow="0" w:firstColumn="0" w:lastColumn="0" w:oddVBand="0" w:evenVBand="0" w:oddHBand="0" w:evenHBand="0" w:firstRowFirstColumn="0" w:firstRowLastColumn="0" w:lastRowFirstColumn="0" w:lastRowLastColumn="0"/>
          <w:tblHeader/>
        </w:trPr>
        <w:tc>
          <w:tcPr>
            <w:tcW w:w="2080" w:type="dxa"/>
          </w:tcPr>
          <w:p w14:paraId="70FEF3D8" w14:textId="1FC6C260" w:rsidR="00CC7040" w:rsidRPr="005D3F48" w:rsidRDefault="00CC7040" w:rsidP="00B24E19">
            <w:pPr>
              <w:pStyle w:val="DHHStablecolhead"/>
              <w:rPr>
                <w:b/>
                <w:bCs/>
                <w:sz w:val="18"/>
                <w:szCs w:val="18"/>
              </w:rPr>
            </w:pPr>
            <w:r w:rsidRPr="005D3F48">
              <w:rPr>
                <w:b/>
                <w:bCs/>
                <w:sz w:val="18"/>
                <w:szCs w:val="18"/>
              </w:rPr>
              <w:t>Indicator</w:t>
            </w:r>
          </w:p>
        </w:tc>
        <w:tc>
          <w:tcPr>
            <w:tcW w:w="1262" w:type="dxa"/>
          </w:tcPr>
          <w:p w14:paraId="7FDD9D20" w14:textId="77777777" w:rsidR="00CC7040" w:rsidRPr="005D3F48" w:rsidRDefault="00CC7040" w:rsidP="00B24E19">
            <w:pPr>
              <w:pStyle w:val="DHHStablecolhead"/>
              <w:rPr>
                <w:b/>
                <w:bCs/>
                <w:sz w:val="18"/>
                <w:szCs w:val="18"/>
              </w:rPr>
            </w:pPr>
            <w:r w:rsidRPr="005D3F48">
              <w:rPr>
                <w:b/>
                <w:bCs/>
                <w:sz w:val="18"/>
                <w:szCs w:val="18"/>
              </w:rPr>
              <w:t>Reference</w:t>
            </w:r>
          </w:p>
          <w:p w14:paraId="73E1D7F9" w14:textId="77777777" w:rsidR="00CC7040" w:rsidRPr="005D3F48" w:rsidRDefault="00CC7040" w:rsidP="00B24E19">
            <w:pPr>
              <w:pStyle w:val="DHHStablecolhead"/>
              <w:rPr>
                <w:b/>
                <w:bCs/>
                <w:sz w:val="18"/>
                <w:szCs w:val="18"/>
              </w:rPr>
            </w:pPr>
            <w:r w:rsidRPr="005D3F48">
              <w:rPr>
                <w:b/>
                <w:bCs/>
                <w:sz w:val="18"/>
                <w:szCs w:val="18"/>
              </w:rPr>
              <w:t>year</w:t>
            </w:r>
          </w:p>
        </w:tc>
        <w:tc>
          <w:tcPr>
            <w:tcW w:w="1094" w:type="dxa"/>
          </w:tcPr>
          <w:p w14:paraId="3A275555" w14:textId="77777777" w:rsidR="00CC7040" w:rsidRPr="005D3F48" w:rsidRDefault="00CC7040" w:rsidP="00B24E19">
            <w:pPr>
              <w:pStyle w:val="DHHStablecolhead"/>
              <w:rPr>
                <w:b/>
                <w:bCs/>
                <w:sz w:val="18"/>
                <w:szCs w:val="18"/>
              </w:rPr>
            </w:pPr>
            <w:r w:rsidRPr="005D3F48">
              <w:rPr>
                <w:b/>
                <w:bCs/>
                <w:sz w:val="18"/>
                <w:szCs w:val="18"/>
              </w:rPr>
              <w:t>Four years prior</w:t>
            </w:r>
          </w:p>
        </w:tc>
        <w:tc>
          <w:tcPr>
            <w:tcW w:w="1083" w:type="dxa"/>
          </w:tcPr>
          <w:p w14:paraId="12016AAF" w14:textId="77777777" w:rsidR="00CC7040" w:rsidRPr="005D3F48" w:rsidRDefault="00CC7040" w:rsidP="00B24E19">
            <w:pPr>
              <w:pStyle w:val="DHHStablecolhead"/>
              <w:rPr>
                <w:b/>
                <w:bCs/>
                <w:sz w:val="18"/>
                <w:szCs w:val="18"/>
              </w:rPr>
            </w:pPr>
            <w:r w:rsidRPr="005D3F48">
              <w:rPr>
                <w:b/>
                <w:bCs/>
                <w:sz w:val="18"/>
                <w:szCs w:val="18"/>
              </w:rPr>
              <w:t>Three years prior</w:t>
            </w:r>
          </w:p>
        </w:tc>
        <w:tc>
          <w:tcPr>
            <w:tcW w:w="1256" w:type="dxa"/>
          </w:tcPr>
          <w:p w14:paraId="5B667604" w14:textId="77777777" w:rsidR="00CC7040" w:rsidRPr="005D3F48" w:rsidRDefault="00CC7040" w:rsidP="00B24E19">
            <w:pPr>
              <w:pStyle w:val="DHHStablecolhead"/>
              <w:rPr>
                <w:b/>
                <w:bCs/>
                <w:sz w:val="18"/>
                <w:szCs w:val="18"/>
              </w:rPr>
            </w:pPr>
            <w:r w:rsidRPr="005D3F48">
              <w:rPr>
                <w:b/>
                <w:bCs/>
                <w:sz w:val="18"/>
                <w:szCs w:val="18"/>
              </w:rPr>
              <w:t>Two years prior</w:t>
            </w:r>
          </w:p>
        </w:tc>
        <w:tc>
          <w:tcPr>
            <w:tcW w:w="1256" w:type="dxa"/>
          </w:tcPr>
          <w:p w14:paraId="04CA6B5F" w14:textId="77777777" w:rsidR="00CC7040" w:rsidRPr="005D3F48" w:rsidRDefault="00CC7040" w:rsidP="00B24E19">
            <w:pPr>
              <w:pStyle w:val="DHHStablecolhead"/>
              <w:rPr>
                <w:b/>
                <w:bCs/>
                <w:sz w:val="18"/>
                <w:szCs w:val="18"/>
              </w:rPr>
            </w:pPr>
            <w:r w:rsidRPr="005D3F48">
              <w:rPr>
                <w:b/>
                <w:bCs/>
                <w:sz w:val="18"/>
                <w:szCs w:val="18"/>
              </w:rPr>
              <w:t>One year prior</w:t>
            </w:r>
          </w:p>
        </w:tc>
        <w:tc>
          <w:tcPr>
            <w:tcW w:w="1257" w:type="dxa"/>
          </w:tcPr>
          <w:p w14:paraId="6485CEE9" w14:textId="77777777" w:rsidR="00CC7040" w:rsidRPr="005D3F48" w:rsidRDefault="00CC7040" w:rsidP="00B24E19">
            <w:pPr>
              <w:pStyle w:val="DHHStablecolhead"/>
              <w:rPr>
                <w:b/>
                <w:bCs/>
                <w:sz w:val="18"/>
                <w:szCs w:val="18"/>
              </w:rPr>
            </w:pPr>
            <w:r w:rsidRPr="005D3F48">
              <w:rPr>
                <w:b/>
                <w:bCs/>
                <w:sz w:val="18"/>
                <w:szCs w:val="18"/>
              </w:rPr>
              <w:t>Most current data</w:t>
            </w:r>
          </w:p>
        </w:tc>
      </w:tr>
      <w:tr w:rsidR="00CC7040" w14:paraId="528414A4" w14:textId="77777777" w:rsidTr="004476F8">
        <w:tc>
          <w:tcPr>
            <w:tcW w:w="2080" w:type="dxa"/>
          </w:tcPr>
          <w:p w14:paraId="7E3170A0" w14:textId="77777777" w:rsidR="00CC7040" w:rsidRPr="005D3F48" w:rsidRDefault="00CC7040" w:rsidP="0054787A">
            <w:pPr>
              <w:pStyle w:val="DHHStabletext"/>
              <w:rPr>
                <w:sz w:val="18"/>
                <w:szCs w:val="18"/>
                <w:lang w:val="en-US"/>
              </w:rPr>
            </w:pPr>
            <w:r w:rsidRPr="005D3F48">
              <w:rPr>
                <w:sz w:val="18"/>
                <w:szCs w:val="18"/>
                <w:lang w:val="en-US"/>
              </w:rPr>
              <w:t>16.1 Rate of seclusion episodes per 1,000 occupied bed days (inpatient)</w:t>
            </w:r>
          </w:p>
        </w:tc>
        <w:tc>
          <w:tcPr>
            <w:tcW w:w="1262" w:type="dxa"/>
          </w:tcPr>
          <w:p w14:paraId="49BA9E57" w14:textId="2D7CA08D" w:rsidR="00CC7040" w:rsidRPr="005D3F48" w:rsidRDefault="00894D3B" w:rsidP="0054787A">
            <w:pPr>
              <w:pStyle w:val="DHHStabletext"/>
              <w:rPr>
                <w:sz w:val="18"/>
                <w:szCs w:val="18"/>
                <w:lang w:val="en-US"/>
              </w:rPr>
            </w:pPr>
            <w:r w:rsidRPr="005D3F48">
              <w:rPr>
                <w:sz w:val="18"/>
                <w:szCs w:val="18"/>
                <w:lang w:val="en-US"/>
              </w:rPr>
              <w:t>2019–20</w:t>
            </w:r>
          </w:p>
        </w:tc>
        <w:tc>
          <w:tcPr>
            <w:tcW w:w="1094" w:type="dxa"/>
          </w:tcPr>
          <w:p w14:paraId="17593EF5" w14:textId="77777777" w:rsidR="00CC7040" w:rsidRPr="005D3F48" w:rsidRDefault="00CC7040" w:rsidP="0054787A">
            <w:pPr>
              <w:pStyle w:val="DHHStabletext"/>
              <w:rPr>
                <w:sz w:val="18"/>
                <w:szCs w:val="18"/>
                <w:lang w:val="en-US"/>
              </w:rPr>
            </w:pPr>
            <w:r w:rsidRPr="005D3F48">
              <w:rPr>
                <w:sz w:val="18"/>
                <w:szCs w:val="18"/>
                <w:lang w:val="en-US"/>
              </w:rPr>
              <w:t>9.2</w:t>
            </w:r>
          </w:p>
        </w:tc>
        <w:tc>
          <w:tcPr>
            <w:tcW w:w="1083" w:type="dxa"/>
          </w:tcPr>
          <w:p w14:paraId="55D0FE31" w14:textId="77777777" w:rsidR="00CC7040" w:rsidRPr="005D3F48" w:rsidRDefault="00CC7040" w:rsidP="0054787A">
            <w:pPr>
              <w:pStyle w:val="DHHStabletext"/>
              <w:rPr>
                <w:sz w:val="18"/>
                <w:szCs w:val="18"/>
                <w:lang w:val="en-US"/>
              </w:rPr>
            </w:pPr>
            <w:r w:rsidRPr="005D3F48">
              <w:rPr>
                <w:sz w:val="18"/>
                <w:szCs w:val="18"/>
                <w:lang w:val="en-US"/>
              </w:rPr>
              <w:t>9.9</w:t>
            </w:r>
          </w:p>
        </w:tc>
        <w:tc>
          <w:tcPr>
            <w:tcW w:w="1256" w:type="dxa"/>
          </w:tcPr>
          <w:p w14:paraId="4DB478B0" w14:textId="77777777" w:rsidR="00CC7040" w:rsidRPr="005D3F48" w:rsidRDefault="00CC7040" w:rsidP="0054787A">
            <w:pPr>
              <w:pStyle w:val="DHHStabletext"/>
              <w:rPr>
                <w:sz w:val="18"/>
                <w:szCs w:val="18"/>
                <w:lang w:val="en-US"/>
              </w:rPr>
            </w:pPr>
            <w:r w:rsidRPr="005D3F48">
              <w:rPr>
                <w:sz w:val="18"/>
                <w:szCs w:val="18"/>
                <w:lang w:val="en-US"/>
              </w:rPr>
              <w:t>9.7</w:t>
            </w:r>
          </w:p>
        </w:tc>
        <w:tc>
          <w:tcPr>
            <w:tcW w:w="1256" w:type="dxa"/>
          </w:tcPr>
          <w:p w14:paraId="1F86DE71" w14:textId="77777777" w:rsidR="00CC7040" w:rsidRPr="005D3F48" w:rsidRDefault="00CC7040" w:rsidP="0054787A">
            <w:pPr>
              <w:pStyle w:val="DHHStabletext"/>
              <w:rPr>
                <w:sz w:val="18"/>
                <w:szCs w:val="18"/>
                <w:lang w:val="en-US"/>
              </w:rPr>
            </w:pPr>
            <w:r w:rsidRPr="005D3F48">
              <w:rPr>
                <w:sz w:val="18"/>
                <w:szCs w:val="18"/>
                <w:lang w:val="en-US"/>
              </w:rPr>
              <w:t>8.5</w:t>
            </w:r>
          </w:p>
        </w:tc>
        <w:tc>
          <w:tcPr>
            <w:tcW w:w="1257" w:type="dxa"/>
          </w:tcPr>
          <w:p w14:paraId="14105B1D" w14:textId="77777777" w:rsidR="00CC7040" w:rsidRPr="005D3F48" w:rsidRDefault="00CC7040" w:rsidP="0054787A">
            <w:pPr>
              <w:pStyle w:val="DHHStabletext"/>
              <w:rPr>
                <w:sz w:val="18"/>
                <w:szCs w:val="18"/>
                <w:lang w:val="en-US"/>
              </w:rPr>
            </w:pPr>
            <w:r w:rsidRPr="005D3F48">
              <w:rPr>
                <w:sz w:val="18"/>
                <w:szCs w:val="18"/>
                <w:lang w:val="en-US"/>
              </w:rPr>
              <w:t>9.6</w:t>
            </w:r>
          </w:p>
        </w:tc>
      </w:tr>
      <w:tr w:rsidR="00CC7040" w14:paraId="7AB59CE6" w14:textId="77777777" w:rsidTr="004476F8">
        <w:tc>
          <w:tcPr>
            <w:tcW w:w="2080" w:type="dxa"/>
          </w:tcPr>
          <w:p w14:paraId="3018BEC1" w14:textId="77777777" w:rsidR="00CC7040" w:rsidRPr="005D3F48" w:rsidRDefault="00CC7040" w:rsidP="0054787A">
            <w:pPr>
              <w:pStyle w:val="DHHStabletext"/>
              <w:rPr>
                <w:sz w:val="18"/>
                <w:szCs w:val="18"/>
                <w:lang w:val="en-US"/>
              </w:rPr>
            </w:pPr>
            <w:r w:rsidRPr="005D3F48">
              <w:rPr>
                <w:sz w:val="18"/>
                <w:szCs w:val="18"/>
                <w:lang w:val="en-US"/>
              </w:rPr>
              <w:t>16.2 Rate of bodily restraint episodes per 1,000 occupied bed days (inpatient)</w:t>
            </w:r>
          </w:p>
        </w:tc>
        <w:tc>
          <w:tcPr>
            <w:tcW w:w="1262" w:type="dxa"/>
          </w:tcPr>
          <w:p w14:paraId="405AD086" w14:textId="1A8367E9" w:rsidR="00CC7040" w:rsidRPr="005D3F48" w:rsidRDefault="00894D3B" w:rsidP="0054787A">
            <w:pPr>
              <w:pStyle w:val="DHHStabletext"/>
              <w:rPr>
                <w:sz w:val="18"/>
                <w:szCs w:val="18"/>
                <w:lang w:val="en-US"/>
              </w:rPr>
            </w:pPr>
            <w:r w:rsidRPr="005D3F48">
              <w:rPr>
                <w:sz w:val="18"/>
                <w:szCs w:val="18"/>
                <w:lang w:val="en-US"/>
              </w:rPr>
              <w:t>2019–20</w:t>
            </w:r>
          </w:p>
        </w:tc>
        <w:tc>
          <w:tcPr>
            <w:tcW w:w="1094" w:type="dxa"/>
          </w:tcPr>
          <w:p w14:paraId="76FE796C" w14:textId="77777777" w:rsidR="00CC7040" w:rsidRPr="005D3F48" w:rsidRDefault="00CC7040" w:rsidP="0054787A">
            <w:pPr>
              <w:pStyle w:val="DHHStabletext"/>
              <w:rPr>
                <w:sz w:val="18"/>
                <w:szCs w:val="18"/>
                <w:lang w:val="en-US"/>
              </w:rPr>
            </w:pPr>
            <w:r w:rsidRPr="005D3F48">
              <w:rPr>
                <w:sz w:val="18"/>
                <w:szCs w:val="18"/>
                <w:lang w:val="en-US"/>
              </w:rPr>
              <w:t>25.7</w:t>
            </w:r>
          </w:p>
        </w:tc>
        <w:tc>
          <w:tcPr>
            <w:tcW w:w="1083" w:type="dxa"/>
          </w:tcPr>
          <w:p w14:paraId="1B850EC9" w14:textId="77777777" w:rsidR="00CC7040" w:rsidRPr="005D3F48" w:rsidRDefault="00CC7040" w:rsidP="0054787A">
            <w:pPr>
              <w:pStyle w:val="DHHStabletext"/>
              <w:rPr>
                <w:sz w:val="18"/>
                <w:szCs w:val="18"/>
                <w:lang w:val="en-US"/>
              </w:rPr>
            </w:pPr>
            <w:r w:rsidRPr="005D3F48">
              <w:rPr>
                <w:sz w:val="18"/>
                <w:szCs w:val="18"/>
                <w:lang w:val="en-US"/>
              </w:rPr>
              <w:t>19.0</w:t>
            </w:r>
          </w:p>
        </w:tc>
        <w:tc>
          <w:tcPr>
            <w:tcW w:w="1256" w:type="dxa"/>
          </w:tcPr>
          <w:p w14:paraId="5A94F3E2" w14:textId="77777777" w:rsidR="00CC7040" w:rsidRPr="005D3F48" w:rsidRDefault="00CC7040" w:rsidP="0054787A">
            <w:pPr>
              <w:pStyle w:val="DHHStabletext"/>
              <w:rPr>
                <w:sz w:val="18"/>
                <w:szCs w:val="18"/>
                <w:lang w:val="en-US"/>
              </w:rPr>
            </w:pPr>
            <w:r w:rsidRPr="005D3F48">
              <w:rPr>
                <w:sz w:val="18"/>
                <w:szCs w:val="18"/>
                <w:lang w:val="en-US"/>
              </w:rPr>
              <w:t>22.6</w:t>
            </w:r>
          </w:p>
        </w:tc>
        <w:tc>
          <w:tcPr>
            <w:tcW w:w="1256" w:type="dxa"/>
          </w:tcPr>
          <w:p w14:paraId="1F5D0E27" w14:textId="77777777" w:rsidR="00CC7040" w:rsidRPr="005D3F48" w:rsidRDefault="00CC7040" w:rsidP="0054787A">
            <w:pPr>
              <w:pStyle w:val="DHHStabletext"/>
              <w:rPr>
                <w:sz w:val="18"/>
                <w:szCs w:val="18"/>
                <w:lang w:val="en-US"/>
              </w:rPr>
            </w:pPr>
            <w:r w:rsidRPr="005D3F48">
              <w:rPr>
                <w:sz w:val="18"/>
                <w:szCs w:val="18"/>
                <w:lang w:val="en-US"/>
              </w:rPr>
              <w:t>25.8</w:t>
            </w:r>
          </w:p>
        </w:tc>
        <w:tc>
          <w:tcPr>
            <w:tcW w:w="1257" w:type="dxa"/>
          </w:tcPr>
          <w:p w14:paraId="4FF4BAF8" w14:textId="77777777" w:rsidR="00CC7040" w:rsidRPr="005D3F48" w:rsidRDefault="00CC7040" w:rsidP="0054787A">
            <w:pPr>
              <w:pStyle w:val="DHHStabletext"/>
              <w:rPr>
                <w:sz w:val="18"/>
                <w:szCs w:val="18"/>
                <w:lang w:val="en-US"/>
              </w:rPr>
            </w:pPr>
            <w:r w:rsidRPr="005D3F48">
              <w:rPr>
                <w:sz w:val="18"/>
                <w:szCs w:val="18"/>
                <w:lang w:val="en-US"/>
              </w:rPr>
              <w:t>20.7</w:t>
            </w:r>
          </w:p>
        </w:tc>
      </w:tr>
      <w:tr w:rsidR="00CC7040" w14:paraId="36AAF316" w14:textId="77777777" w:rsidTr="004476F8">
        <w:tc>
          <w:tcPr>
            <w:tcW w:w="2080" w:type="dxa"/>
          </w:tcPr>
          <w:p w14:paraId="24511779" w14:textId="77777777" w:rsidR="00CC7040" w:rsidRPr="005D3F48" w:rsidRDefault="00CC7040" w:rsidP="0054787A">
            <w:pPr>
              <w:pStyle w:val="DHHStabletext"/>
              <w:rPr>
                <w:sz w:val="18"/>
                <w:szCs w:val="18"/>
                <w:lang w:val="en-US"/>
              </w:rPr>
            </w:pPr>
            <w:r w:rsidRPr="005D3F48">
              <w:rPr>
                <w:sz w:val="18"/>
                <w:szCs w:val="18"/>
                <w:lang w:val="en-US"/>
              </w:rPr>
              <w:t>16.3 Proportion of community cases with client on a treatment order</w:t>
            </w:r>
          </w:p>
        </w:tc>
        <w:tc>
          <w:tcPr>
            <w:tcW w:w="1262" w:type="dxa"/>
          </w:tcPr>
          <w:p w14:paraId="55FE306F" w14:textId="3B02D0AF" w:rsidR="00CC7040" w:rsidRPr="005D3F48" w:rsidRDefault="00894D3B" w:rsidP="0054787A">
            <w:pPr>
              <w:pStyle w:val="DHHStabletext"/>
              <w:rPr>
                <w:sz w:val="18"/>
                <w:szCs w:val="18"/>
                <w:lang w:val="en-US"/>
              </w:rPr>
            </w:pPr>
            <w:r w:rsidRPr="005D3F48">
              <w:rPr>
                <w:sz w:val="18"/>
                <w:szCs w:val="18"/>
                <w:lang w:val="en-US"/>
              </w:rPr>
              <w:t>2019–20</w:t>
            </w:r>
          </w:p>
        </w:tc>
        <w:tc>
          <w:tcPr>
            <w:tcW w:w="1094" w:type="dxa"/>
          </w:tcPr>
          <w:p w14:paraId="1394E400" w14:textId="100BACEF" w:rsidR="00CC7040" w:rsidRPr="005D3F48" w:rsidRDefault="00CC7040" w:rsidP="0054787A">
            <w:pPr>
              <w:pStyle w:val="DHHStabletext"/>
              <w:rPr>
                <w:sz w:val="18"/>
                <w:szCs w:val="18"/>
                <w:lang w:val="en-US"/>
              </w:rPr>
            </w:pPr>
            <w:r w:rsidRPr="005D3F48">
              <w:rPr>
                <w:sz w:val="18"/>
                <w:szCs w:val="18"/>
                <w:lang w:val="en-US"/>
              </w:rPr>
              <w:t>11.1</w:t>
            </w:r>
            <w:r w:rsidR="00014367" w:rsidRPr="005D3F48">
              <w:rPr>
                <w:sz w:val="18"/>
                <w:szCs w:val="18"/>
                <w:lang w:val="en-US"/>
              </w:rPr>
              <w:t>%</w:t>
            </w:r>
          </w:p>
        </w:tc>
        <w:tc>
          <w:tcPr>
            <w:tcW w:w="1083" w:type="dxa"/>
          </w:tcPr>
          <w:p w14:paraId="51FB8707" w14:textId="3A315EC0" w:rsidR="00CC7040" w:rsidRPr="005D3F48" w:rsidRDefault="00CC7040" w:rsidP="0054787A">
            <w:pPr>
              <w:pStyle w:val="DHHStabletext"/>
              <w:rPr>
                <w:sz w:val="18"/>
                <w:szCs w:val="18"/>
                <w:lang w:val="en-US"/>
              </w:rPr>
            </w:pPr>
            <w:r w:rsidRPr="005D3F48">
              <w:rPr>
                <w:sz w:val="18"/>
                <w:szCs w:val="18"/>
                <w:lang w:val="en-US"/>
              </w:rPr>
              <w:t>11.1</w:t>
            </w:r>
            <w:r w:rsidR="00014367" w:rsidRPr="005D3F48">
              <w:rPr>
                <w:sz w:val="18"/>
                <w:szCs w:val="18"/>
                <w:lang w:val="en-US"/>
              </w:rPr>
              <w:t>%</w:t>
            </w:r>
          </w:p>
        </w:tc>
        <w:tc>
          <w:tcPr>
            <w:tcW w:w="1256" w:type="dxa"/>
          </w:tcPr>
          <w:p w14:paraId="3977E5C5" w14:textId="6986E03C" w:rsidR="00CC7040" w:rsidRPr="005D3F48" w:rsidRDefault="00CC7040" w:rsidP="0054787A">
            <w:pPr>
              <w:pStyle w:val="DHHStabletext"/>
              <w:rPr>
                <w:sz w:val="18"/>
                <w:szCs w:val="18"/>
                <w:lang w:val="en-US"/>
              </w:rPr>
            </w:pPr>
            <w:r w:rsidRPr="005D3F48">
              <w:rPr>
                <w:sz w:val="18"/>
                <w:szCs w:val="18"/>
                <w:lang w:val="en-US"/>
              </w:rPr>
              <w:t>11.4</w:t>
            </w:r>
            <w:r w:rsidR="00014367" w:rsidRPr="005D3F48">
              <w:rPr>
                <w:sz w:val="18"/>
                <w:szCs w:val="18"/>
                <w:lang w:val="en-US"/>
              </w:rPr>
              <w:t>%</w:t>
            </w:r>
          </w:p>
        </w:tc>
        <w:tc>
          <w:tcPr>
            <w:tcW w:w="1256" w:type="dxa"/>
          </w:tcPr>
          <w:p w14:paraId="47B68252" w14:textId="43128289" w:rsidR="00CC7040" w:rsidRPr="005D3F48" w:rsidRDefault="00CC7040" w:rsidP="0054787A">
            <w:pPr>
              <w:pStyle w:val="DHHStabletext"/>
              <w:rPr>
                <w:sz w:val="18"/>
                <w:szCs w:val="18"/>
                <w:lang w:val="en-US"/>
              </w:rPr>
            </w:pPr>
            <w:r w:rsidRPr="005D3F48">
              <w:rPr>
                <w:sz w:val="18"/>
                <w:szCs w:val="18"/>
                <w:lang w:val="en-US"/>
              </w:rPr>
              <w:t>11.0</w:t>
            </w:r>
            <w:r w:rsidR="00014367" w:rsidRPr="005D3F48">
              <w:rPr>
                <w:sz w:val="18"/>
                <w:szCs w:val="18"/>
                <w:lang w:val="en-US"/>
              </w:rPr>
              <w:t>%</w:t>
            </w:r>
          </w:p>
        </w:tc>
        <w:tc>
          <w:tcPr>
            <w:tcW w:w="1257" w:type="dxa"/>
          </w:tcPr>
          <w:p w14:paraId="3FB24FC4" w14:textId="3C43804F" w:rsidR="00CC7040" w:rsidRPr="005D3F48" w:rsidRDefault="00CC7040" w:rsidP="0054787A">
            <w:pPr>
              <w:pStyle w:val="DHHStabletext"/>
              <w:rPr>
                <w:sz w:val="18"/>
                <w:szCs w:val="18"/>
                <w:lang w:val="en-US"/>
              </w:rPr>
            </w:pPr>
            <w:r w:rsidRPr="005D3F48">
              <w:rPr>
                <w:sz w:val="18"/>
                <w:szCs w:val="18"/>
                <w:lang w:val="en-US"/>
              </w:rPr>
              <w:t>11.3</w:t>
            </w:r>
            <w:r w:rsidR="00014367" w:rsidRPr="005D3F48">
              <w:rPr>
                <w:sz w:val="18"/>
                <w:szCs w:val="18"/>
                <w:lang w:val="en-US"/>
              </w:rPr>
              <w:t>%</w:t>
            </w:r>
          </w:p>
        </w:tc>
      </w:tr>
      <w:tr w:rsidR="00CC7040" w14:paraId="5DA1E07D" w14:textId="77777777" w:rsidTr="004476F8">
        <w:tc>
          <w:tcPr>
            <w:tcW w:w="2080" w:type="dxa"/>
          </w:tcPr>
          <w:p w14:paraId="573C6783" w14:textId="77777777" w:rsidR="00CC7040" w:rsidRPr="005D3F48" w:rsidRDefault="00CC7040" w:rsidP="0054787A">
            <w:pPr>
              <w:pStyle w:val="DHHStabletext"/>
              <w:rPr>
                <w:sz w:val="18"/>
                <w:szCs w:val="18"/>
                <w:lang w:val="en-US"/>
              </w:rPr>
            </w:pPr>
            <w:r w:rsidRPr="005D3F48">
              <w:rPr>
                <w:sz w:val="18"/>
                <w:szCs w:val="18"/>
                <w:lang w:val="en-US"/>
              </w:rPr>
              <w:t>16.4 Proportion of inpatient admissions that are compulsory</w:t>
            </w:r>
          </w:p>
        </w:tc>
        <w:tc>
          <w:tcPr>
            <w:tcW w:w="1262" w:type="dxa"/>
          </w:tcPr>
          <w:p w14:paraId="435BE23C" w14:textId="5BD7E2D8" w:rsidR="00CC7040" w:rsidRPr="005D3F48" w:rsidRDefault="00894D3B" w:rsidP="0054787A">
            <w:pPr>
              <w:pStyle w:val="DHHStabletext"/>
              <w:rPr>
                <w:sz w:val="18"/>
                <w:szCs w:val="18"/>
                <w:lang w:val="en-US"/>
              </w:rPr>
            </w:pPr>
            <w:r w:rsidRPr="005D3F48">
              <w:rPr>
                <w:sz w:val="18"/>
                <w:szCs w:val="18"/>
                <w:lang w:val="en-US"/>
              </w:rPr>
              <w:t>2019–20</w:t>
            </w:r>
          </w:p>
        </w:tc>
        <w:tc>
          <w:tcPr>
            <w:tcW w:w="1094" w:type="dxa"/>
          </w:tcPr>
          <w:p w14:paraId="3702E2E0" w14:textId="4476A745" w:rsidR="00CC7040" w:rsidRPr="005D3F48" w:rsidRDefault="00CC7040" w:rsidP="0054787A">
            <w:pPr>
              <w:pStyle w:val="DHHStabletext"/>
              <w:rPr>
                <w:sz w:val="18"/>
                <w:szCs w:val="18"/>
                <w:lang w:val="en-US"/>
              </w:rPr>
            </w:pPr>
            <w:r w:rsidRPr="005D3F48">
              <w:rPr>
                <w:sz w:val="18"/>
                <w:szCs w:val="18"/>
                <w:lang w:val="en-US"/>
              </w:rPr>
              <w:t>52.2</w:t>
            </w:r>
            <w:r w:rsidR="00014367" w:rsidRPr="005D3F48">
              <w:rPr>
                <w:sz w:val="18"/>
                <w:szCs w:val="18"/>
                <w:lang w:val="en-US"/>
              </w:rPr>
              <w:t>%</w:t>
            </w:r>
          </w:p>
        </w:tc>
        <w:tc>
          <w:tcPr>
            <w:tcW w:w="1083" w:type="dxa"/>
          </w:tcPr>
          <w:p w14:paraId="04C6855E" w14:textId="569AABAD" w:rsidR="00CC7040" w:rsidRPr="005D3F48" w:rsidRDefault="00CC7040" w:rsidP="0054787A">
            <w:pPr>
              <w:pStyle w:val="DHHStabletext"/>
              <w:rPr>
                <w:sz w:val="18"/>
                <w:szCs w:val="18"/>
                <w:lang w:val="en-US"/>
              </w:rPr>
            </w:pPr>
            <w:r w:rsidRPr="005D3F48">
              <w:rPr>
                <w:sz w:val="18"/>
                <w:szCs w:val="18"/>
                <w:lang w:val="en-US"/>
              </w:rPr>
              <w:t>51.4</w:t>
            </w:r>
            <w:r w:rsidR="00014367" w:rsidRPr="005D3F48">
              <w:rPr>
                <w:sz w:val="18"/>
                <w:szCs w:val="18"/>
                <w:lang w:val="en-US"/>
              </w:rPr>
              <w:t>%</w:t>
            </w:r>
          </w:p>
        </w:tc>
        <w:tc>
          <w:tcPr>
            <w:tcW w:w="1256" w:type="dxa"/>
          </w:tcPr>
          <w:p w14:paraId="4EF72065" w14:textId="019D7C97" w:rsidR="00CC7040" w:rsidRPr="005D3F48" w:rsidRDefault="00CC7040" w:rsidP="0054787A">
            <w:pPr>
              <w:pStyle w:val="DHHStabletext"/>
              <w:rPr>
                <w:sz w:val="18"/>
                <w:szCs w:val="18"/>
                <w:lang w:val="en-US"/>
              </w:rPr>
            </w:pPr>
            <w:r w:rsidRPr="005D3F48">
              <w:rPr>
                <w:sz w:val="18"/>
                <w:szCs w:val="18"/>
                <w:lang w:val="en-US"/>
              </w:rPr>
              <w:t>50.3</w:t>
            </w:r>
            <w:r w:rsidR="00014367" w:rsidRPr="005D3F48">
              <w:rPr>
                <w:sz w:val="18"/>
                <w:szCs w:val="18"/>
                <w:lang w:val="en-US"/>
              </w:rPr>
              <w:t>%</w:t>
            </w:r>
          </w:p>
        </w:tc>
        <w:tc>
          <w:tcPr>
            <w:tcW w:w="1256" w:type="dxa"/>
          </w:tcPr>
          <w:p w14:paraId="79A293D6" w14:textId="44EF53A7" w:rsidR="00CC7040" w:rsidRPr="005D3F48" w:rsidRDefault="00CC7040" w:rsidP="0054787A">
            <w:pPr>
              <w:pStyle w:val="DHHStabletext"/>
              <w:rPr>
                <w:sz w:val="18"/>
                <w:szCs w:val="18"/>
                <w:lang w:val="en-US"/>
              </w:rPr>
            </w:pPr>
            <w:r w:rsidRPr="005D3F48">
              <w:rPr>
                <w:sz w:val="18"/>
                <w:szCs w:val="18"/>
                <w:lang w:val="en-US"/>
              </w:rPr>
              <w:t>49.7</w:t>
            </w:r>
            <w:r w:rsidR="00014367" w:rsidRPr="005D3F48">
              <w:rPr>
                <w:sz w:val="18"/>
                <w:szCs w:val="18"/>
                <w:lang w:val="en-US"/>
              </w:rPr>
              <w:t>%</w:t>
            </w:r>
          </w:p>
        </w:tc>
        <w:tc>
          <w:tcPr>
            <w:tcW w:w="1257" w:type="dxa"/>
          </w:tcPr>
          <w:p w14:paraId="6D0E6E14" w14:textId="53FFEB9F" w:rsidR="00CC7040" w:rsidRPr="005D3F48" w:rsidRDefault="00CC7040" w:rsidP="0054787A">
            <w:pPr>
              <w:pStyle w:val="DHHStabletext"/>
              <w:rPr>
                <w:sz w:val="18"/>
                <w:szCs w:val="18"/>
                <w:lang w:val="en-US"/>
              </w:rPr>
            </w:pPr>
            <w:r w:rsidRPr="005D3F48">
              <w:rPr>
                <w:sz w:val="18"/>
                <w:szCs w:val="18"/>
                <w:lang w:val="en-US"/>
              </w:rPr>
              <w:t>51.0</w:t>
            </w:r>
            <w:r w:rsidR="00014367" w:rsidRPr="005D3F48">
              <w:rPr>
                <w:sz w:val="18"/>
                <w:szCs w:val="18"/>
                <w:lang w:val="en-US"/>
              </w:rPr>
              <w:t>%</w:t>
            </w:r>
          </w:p>
        </w:tc>
      </w:tr>
      <w:tr w:rsidR="00CC7040" w:rsidRPr="005D3F48" w14:paraId="7C2FBA6C" w14:textId="77777777" w:rsidTr="004476F8">
        <w:tc>
          <w:tcPr>
            <w:tcW w:w="2080" w:type="dxa"/>
          </w:tcPr>
          <w:p w14:paraId="262DF28E" w14:textId="77777777" w:rsidR="00CC7040" w:rsidRPr="005D3F48" w:rsidRDefault="00CC7040" w:rsidP="0054787A">
            <w:pPr>
              <w:pStyle w:val="DHHStabletext"/>
              <w:rPr>
                <w:sz w:val="18"/>
                <w:szCs w:val="18"/>
                <w:lang w:val="en-US"/>
              </w:rPr>
            </w:pPr>
            <w:r w:rsidRPr="005D3F48">
              <w:rPr>
                <w:sz w:val="18"/>
                <w:szCs w:val="18"/>
                <w:lang w:val="en-US"/>
              </w:rPr>
              <w:t>16.5 Average duration of compulsory orders (days)</w:t>
            </w:r>
          </w:p>
        </w:tc>
        <w:tc>
          <w:tcPr>
            <w:tcW w:w="1262" w:type="dxa"/>
          </w:tcPr>
          <w:p w14:paraId="4BBEEE94" w14:textId="50EAC76F" w:rsidR="00CC7040" w:rsidRPr="005D3F48" w:rsidRDefault="00894D3B" w:rsidP="0054787A">
            <w:pPr>
              <w:pStyle w:val="DHHStabletext"/>
              <w:rPr>
                <w:sz w:val="18"/>
                <w:szCs w:val="18"/>
                <w:lang w:val="en-US"/>
              </w:rPr>
            </w:pPr>
            <w:r w:rsidRPr="005D3F48">
              <w:rPr>
                <w:sz w:val="18"/>
                <w:szCs w:val="18"/>
                <w:lang w:val="en-US"/>
              </w:rPr>
              <w:t>2019–20</w:t>
            </w:r>
          </w:p>
        </w:tc>
        <w:tc>
          <w:tcPr>
            <w:tcW w:w="1094" w:type="dxa"/>
          </w:tcPr>
          <w:p w14:paraId="76D3780F" w14:textId="77777777" w:rsidR="00CC7040" w:rsidRPr="005D3F48" w:rsidRDefault="00CC7040" w:rsidP="0054787A">
            <w:pPr>
              <w:pStyle w:val="DHHStabletext"/>
              <w:rPr>
                <w:sz w:val="18"/>
                <w:szCs w:val="18"/>
                <w:lang w:val="en-US"/>
              </w:rPr>
            </w:pPr>
            <w:r w:rsidRPr="005D3F48">
              <w:rPr>
                <w:sz w:val="18"/>
                <w:szCs w:val="18"/>
                <w:lang w:val="en-US"/>
              </w:rPr>
              <w:t>59.3</w:t>
            </w:r>
          </w:p>
        </w:tc>
        <w:tc>
          <w:tcPr>
            <w:tcW w:w="1083" w:type="dxa"/>
          </w:tcPr>
          <w:p w14:paraId="29B1BE8D" w14:textId="77777777" w:rsidR="00CC7040" w:rsidRPr="005D3F48" w:rsidRDefault="00CC7040" w:rsidP="0054787A">
            <w:pPr>
              <w:pStyle w:val="DHHStabletext"/>
              <w:rPr>
                <w:sz w:val="18"/>
                <w:szCs w:val="18"/>
                <w:lang w:val="en-US"/>
              </w:rPr>
            </w:pPr>
            <w:r w:rsidRPr="005D3F48">
              <w:rPr>
                <w:sz w:val="18"/>
                <w:szCs w:val="18"/>
                <w:lang w:val="en-US"/>
              </w:rPr>
              <w:t>64.1</w:t>
            </w:r>
          </w:p>
        </w:tc>
        <w:tc>
          <w:tcPr>
            <w:tcW w:w="1256" w:type="dxa"/>
          </w:tcPr>
          <w:p w14:paraId="22E7FEAB" w14:textId="77777777" w:rsidR="00CC7040" w:rsidRPr="005D3F48" w:rsidRDefault="00CC7040" w:rsidP="0054787A">
            <w:pPr>
              <w:pStyle w:val="DHHStabletext"/>
              <w:rPr>
                <w:sz w:val="18"/>
                <w:szCs w:val="18"/>
                <w:lang w:val="en-US"/>
              </w:rPr>
            </w:pPr>
            <w:r w:rsidRPr="005D3F48">
              <w:rPr>
                <w:sz w:val="18"/>
                <w:szCs w:val="18"/>
                <w:lang w:val="en-US"/>
              </w:rPr>
              <w:t>76.6</w:t>
            </w:r>
          </w:p>
        </w:tc>
        <w:tc>
          <w:tcPr>
            <w:tcW w:w="1256" w:type="dxa"/>
          </w:tcPr>
          <w:p w14:paraId="392198A0" w14:textId="77777777" w:rsidR="00CC7040" w:rsidRPr="005D3F48" w:rsidRDefault="00CC7040" w:rsidP="0054787A">
            <w:pPr>
              <w:pStyle w:val="DHHStabletext"/>
              <w:rPr>
                <w:sz w:val="18"/>
                <w:szCs w:val="18"/>
                <w:lang w:val="en-US"/>
              </w:rPr>
            </w:pPr>
            <w:r w:rsidRPr="005D3F48">
              <w:rPr>
                <w:sz w:val="18"/>
                <w:szCs w:val="18"/>
                <w:lang w:val="en-US"/>
              </w:rPr>
              <w:t>75.6</w:t>
            </w:r>
          </w:p>
        </w:tc>
        <w:tc>
          <w:tcPr>
            <w:tcW w:w="1257" w:type="dxa"/>
          </w:tcPr>
          <w:p w14:paraId="58E8F5EF" w14:textId="77777777" w:rsidR="00CC7040" w:rsidRPr="005D3F48" w:rsidRDefault="00CC7040" w:rsidP="0054787A">
            <w:pPr>
              <w:pStyle w:val="DHHStabletext"/>
              <w:rPr>
                <w:sz w:val="18"/>
                <w:szCs w:val="18"/>
                <w:lang w:val="en-US"/>
              </w:rPr>
            </w:pPr>
            <w:r w:rsidRPr="005D3F48">
              <w:rPr>
                <w:sz w:val="18"/>
                <w:szCs w:val="18"/>
                <w:lang w:val="en-US"/>
              </w:rPr>
              <w:t>82.9</w:t>
            </w:r>
          </w:p>
        </w:tc>
      </w:tr>
      <w:tr w:rsidR="00CC7040" w14:paraId="0224DCB3" w14:textId="77777777" w:rsidTr="004476F8">
        <w:tc>
          <w:tcPr>
            <w:tcW w:w="2080" w:type="dxa"/>
          </w:tcPr>
          <w:p w14:paraId="4E0FB0F4" w14:textId="77777777" w:rsidR="00CC7040" w:rsidRPr="005D3F48" w:rsidRDefault="00CC7040" w:rsidP="0054787A">
            <w:pPr>
              <w:pStyle w:val="DHHStabletext"/>
              <w:rPr>
                <w:sz w:val="18"/>
                <w:szCs w:val="18"/>
                <w:lang w:val="en-US"/>
              </w:rPr>
            </w:pPr>
            <w:r w:rsidRPr="005D3F48">
              <w:rPr>
                <w:sz w:val="18"/>
                <w:szCs w:val="18"/>
                <w:lang w:val="en-US"/>
              </w:rPr>
              <w:t xml:space="preserve">16.6 Proportion of consumers who rated their experience of care with a service in the last three months as very good (27.7%) or excellent (37.8%) </w:t>
            </w:r>
          </w:p>
        </w:tc>
        <w:tc>
          <w:tcPr>
            <w:tcW w:w="1262" w:type="dxa"/>
          </w:tcPr>
          <w:p w14:paraId="4B0453E3" w14:textId="1CD2FB38" w:rsidR="00CC7040" w:rsidRPr="005D3F48" w:rsidRDefault="00BA6AC1" w:rsidP="0054787A">
            <w:pPr>
              <w:pStyle w:val="DHHStabletext"/>
              <w:rPr>
                <w:sz w:val="18"/>
                <w:szCs w:val="18"/>
                <w:lang w:val="en-US"/>
              </w:rPr>
            </w:pPr>
            <w:r w:rsidRPr="005D3F48">
              <w:rPr>
                <w:sz w:val="18"/>
                <w:szCs w:val="18"/>
                <w:lang w:val="en-US"/>
              </w:rPr>
              <w:t>2018–19</w:t>
            </w:r>
            <w:r w:rsidR="0034212B">
              <w:rPr>
                <w:rStyle w:val="FootnoteReference"/>
                <w:sz w:val="18"/>
                <w:szCs w:val="18"/>
                <w:lang w:val="en-US"/>
              </w:rPr>
              <w:footnoteReference w:id="25"/>
            </w:r>
          </w:p>
        </w:tc>
        <w:tc>
          <w:tcPr>
            <w:tcW w:w="1094" w:type="dxa"/>
          </w:tcPr>
          <w:p w14:paraId="0012FDBE" w14:textId="271B978C" w:rsidR="00CC7040" w:rsidRPr="005D3F48" w:rsidRDefault="00F2363E" w:rsidP="0054787A">
            <w:pPr>
              <w:pStyle w:val="DHHStabletext"/>
              <w:rPr>
                <w:sz w:val="18"/>
                <w:szCs w:val="18"/>
                <w:lang w:val="en-US"/>
              </w:rPr>
            </w:pPr>
            <w:r>
              <w:rPr>
                <w:sz w:val="18"/>
                <w:szCs w:val="18"/>
                <w:lang w:val="en-US"/>
              </w:rPr>
              <w:t>n/a</w:t>
            </w:r>
          </w:p>
        </w:tc>
        <w:tc>
          <w:tcPr>
            <w:tcW w:w="1083" w:type="dxa"/>
          </w:tcPr>
          <w:p w14:paraId="739D0011" w14:textId="689191F3" w:rsidR="00CC7040" w:rsidRPr="005D3F48" w:rsidRDefault="00F2363E" w:rsidP="0054787A">
            <w:pPr>
              <w:pStyle w:val="DHHStabletext"/>
              <w:rPr>
                <w:sz w:val="18"/>
                <w:szCs w:val="18"/>
                <w:lang w:val="en-US"/>
              </w:rPr>
            </w:pPr>
            <w:r>
              <w:rPr>
                <w:sz w:val="18"/>
                <w:szCs w:val="18"/>
                <w:lang w:val="en-US"/>
              </w:rPr>
              <w:t>n/a</w:t>
            </w:r>
          </w:p>
        </w:tc>
        <w:tc>
          <w:tcPr>
            <w:tcW w:w="1256" w:type="dxa"/>
          </w:tcPr>
          <w:p w14:paraId="69188629" w14:textId="77777777" w:rsidR="00CC7040" w:rsidRPr="005D3F48" w:rsidRDefault="00CC7040" w:rsidP="0054787A">
            <w:pPr>
              <w:pStyle w:val="DHHStabletext"/>
              <w:rPr>
                <w:sz w:val="18"/>
                <w:szCs w:val="18"/>
                <w:lang w:val="en-US"/>
              </w:rPr>
            </w:pPr>
            <w:r w:rsidRPr="005D3F48">
              <w:rPr>
                <w:sz w:val="18"/>
                <w:szCs w:val="18"/>
                <w:lang w:val="en-US"/>
              </w:rPr>
              <w:t>65.1%</w:t>
            </w:r>
          </w:p>
        </w:tc>
        <w:tc>
          <w:tcPr>
            <w:tcW w:w="1256" w:type="dxa"/>
          </w:tcPr>
          <w:p w14:paraId="6CDFAF6E" w14:textId="77777777" w:rsidR="00CC7040" w:rsidRPr="005D3F48" w:rsidRDefault="00CC7040" w:rsidP="0054787A">
            <w:pPr>
              <w:pStyle w:val="DHHStabletext"/>
              <w:rPr>
                <w:sz w:val="18"/>
                <w:szCs w:val="18"/>
                <w:lang w:val="en-US"/>
              </w:rPr>
            </w:pPr>
            <w:r w:rsidRPr="005D3F48">
              <w:rPr>
                <w:sz w:val="18"/>
                <w:szCs w:val="18"/>
                <w:lang w:val="en-US"/>
              </w:rPr>
              <w:t>65.4%</w:t>
            </w:r>
          </w:p>
        </w:tc>
        <w:tc>
          <w:tcPr>
            <w:tcW w:w="1257" w:type="dxa"/>
          </w:tcPr>
          <w:p w14:paraId="5C59F550" w14:textId="77777777" w:rsidR="00CC7040" w:rsidRPr="005D3F48" w:rsidRDefault="00CC7040" w:rsidP="0054787A">
            <w:pPr>
              <w:pStyle w:val="DHHStabletext"/>
              <w:rPr>
                <w:sz w:val="18"/>
                <w:szCs w:val="18"/>
                <w:lang w:val="en-US"/>
              </w:rPr>
            </w:pPr>
            <w:r w:rsidRPr="005D3F48">
              <w:rPr>
                <w:sz w:val="18"/>
                <w:szCs w:val="18"/>
                <w:lang w:val="en-US"/>
              </w:rPr>
              <w:t>65.5%</w:t>
            </w:r>
          </w:p>
        </w:tc>
      </w:tr>
      <w:tr w:rsidR="00CC7040" w14:paraId="3DD28DEE" w14:textId="77777777" w:rsidTr="004476F8">
        <w:tc>
          <w:tcPr>
            <w:tcW w:w="2080" w:type="dxa"/>
          </w:tcPr>
          <w:p w14:paraId="5B338250" w14:textId="77777777" w:rsidR="00CC7040" w:rsidRPr="005D3F48" w:rsidRDefault="00CC7040" w:rsidP="0054787A">
            <w:pPr>
              <w:pStyle w:val="DHHStabletext"/>
              <w:rPr>
                <w:sz w:val="18"/>
                <w:szCs w:val="18"/>
                <w:lang w:val="en-US"/>
              </w:rPr>
            </w:pPr>
            <w:r w:rsidRPr="005D3F48">
              <w:rPr>
                <w:sz w:val="18"/>
                <w:szCs w:val="18"/>
                <w:lang w:val="en-US"/>
              </w:rPr>
              <w:t xml:space="preserve">16.7 Proportion of consumers reporting the effect the service had on their overall wellbeing was very good (28.2%) or excellent (30.0%) </w:t>
            </w:r>
          </w:p>
        </w:tc>
        <w:tc>
          <w:tcPr>
            <w:tcW w:w="1262" w:type="dxa"/>
          </w:tcPr>
          <w:p w14:paraId="621B153F" w14:textId="2881E43D" w:rsidR="00CC7040" w:rsidRPr="005D3F48" w:rsidRDefault="00BA6AC1" w:rsidP="0054787A">
            <w:pPr>
              <w:pStyle w:val="DHHStabletext"/>
              <w:rPr>
                <w:sz w:val="18"/>
                <w:szCs w:val="18"/>
                <w:lang w:val="en-US"/>
              </w:rPr>
            </w:pPr>
            <w:r w:rsidRPr="005D3F48">
              <w:rPr>
                <w:sz w:val="18"/>
                <w:szCs w:val="18"/>
                <w:lang w:val="en-US"/>
              </w:rPr>
              <w:t>2018–19</w:t>
            </w:r>
            <w:r w:rsidR="0034212B" w:rsidRPr="0034212B">
              <w:rPr>
                <w:sz w:val="18"/>
                <w:szCs w:val="18"/>
                <w:vertAlign w:val="superscript"/>
                <w:lang w:val="en-US"/>
              </w:rPr>
              <w:t>2</w:t>
            </w:r>
            <w:r w:rsidR="00317825">
              <w:rPr>
                <w:sz w:val="18"/>
                <w:szCs w:val="18"/>
                <w:vertAlign w:val="superscript"/>
                <w:lang w:val="en-US"/>
              </w:rPr>
              <w:t>4</w:t>
            </w:r>
          </w:p>
        </w:tc>
        <w:tc>
          <w:tcPr>
            <w:tcW w:w="1094" w:type="dxa"/>
          </w:tcPr>
          <w:p w14:paraId="440B0F18" w14:textId="33990B0B" w:rsidR="00CC7040" w:rsidRPr="005D3F48" w:rsidRDefault="00F2363E" w:rsidP="0054787A">
            <w:pPr>
              <w:pStyle w:val="DHHStabletext"/>
              <w:rPr>
                <w:sz w:val="18"/>
                <w:szCs w:val="18"/>
                <w:lang w:val="en-US"/>
              </w:rPr>
            </w:pPr>
            <w:r>
              <w:rPr>
                <w:sz w:val="18"/>
                <w:szCs w:val="18"/>
                <w:lang w:val="en-US"/>
              </w:rPr>
              <w:t>n/a</w:t>
            </w:r>
          </w:p>
        </w:tc>
        <w:tc>
          <w:tcPr>
            <w:tcW w:w="1083" w:type="dxa"/>
          </w:tcPr>
          <w:p w14:paraId="774ED333" w14:textId="114970D4" w:rsidR="00CC7040" w:rsidRPr="005D3F48" w:rsidRDefault="00F2363E" w:rsidP="0054787A">
            <w:pPr>
              <w:pStyle w:val="DHHStabletext"/>
              <w:rPr>
                <w:sz w:val="18"/>
                <w:szCs w:val="18"/>
                <w:lang w:val="en-US"/>
              </w:rPr>
            </w:pPr>
            <w:r>
              <w:rPr>
                <w:sz w:val="18"/>
                <w:szCs w:val="18"/>
                <w:lang w:val="en-US"/>
              </w:rPr>
              <w:t>n/a</w:t>
            </w:r>
          </w:p>
        </w:tc>
        <w:tc>
          <w:tcPr>
            <w:tcW w:w="1256" w:type="dxa"/>
          </w:tcPr>
          <w:p w14:paraId="2609304F" w14:textId="77777777" w:rsidR="00CC7040" w:rsidRPr="005D3F48" w:rsidRDefault="00CC7040" w:rsidP="0054787A">
            <w:pPr>
              <w:pStyle w:val="DHHStabletext"/>
              <w:rPr>
                <w:sz w:val="18"/>
                <w:szCs w:val="18"/>
                <w:lang w:val="en-US"/>
              </w:rPr>
            </w:pPr>
            <w:r w:rsidRPr="005D3F48">
              <w:rPr>
                <w:sz w:val="18"/>
                <w:szCs w:val="18"/>
                <w:lang w:val="en-US"/>
              </w:rPr>
              <w:t>56.3%</w:t>
            </w:r>
          </w:p>
        </w:tc>
        <w:tc>
          <w:tcPr>
            <w:tcW w:w="1256" w:type="dxa"/>
          </w:tcPr>
          <w:p w14:paraId="498F0603" w14:textId="77777777" w:rsidR="00CC7040" w:rsidRPr="005D3F48" w:rsidRDefault="00CC7040" w:rsidP="0054787A">
            <w:pPr>
              <w:pStyle w:val="DHHStabletext"/>
              <w:rPr>
                <w:sz w:val="18"/>
                <w:szCs w:val="18"/>
                <w:lang w:val="en-US"/>
              </w:rPr>
            </w:pPr>
            <w:r w:rsidRPr="005D3F48">
              <w:rPr>
                <w:sz w:val="18"/>
                <w:szCs w:val="18"/>
                <w:lang w:val="en-US"/>
              </w:rPr>
              <w:t>57.8%</w:t>
            </w:r>
          </w:p>
        </w:tc>
        <w:tc>
          <w:tcPr>
            <w:tcW w:w="1257" w:type="dxa"/>
          </w:tcPr>
          <w:p w14:paraId="0EE68D97" w14:textId="77777777" w:rsidR="00CC7040" w:rsidRPr="005D3F48" w:rsidRDefault="00CC7040" w:rsidP="0054787A">
            <w:pPr>
              <w:pStyle w:val="DHHStabletext"/>
              <w:rPr>
                <w:sz w:val="18"/>
                <w:szCs w:val="18"/>
                <w:lang w:val="en-US"/>
              </w:rPr>
            </w:pPr>
            <w:r w:rsidRPr="005D3F48">
              <w:rPr>
                <w:sz w:val="18"/>
                <w:szCs w:val="18"/>
                <w:lang w:val="en-US"/>
              </w:rPr>
              <w:t>58.1%</w:t>
            </w:r>
          </w:p>
        </w:tc>
      </w:tr>
    </w:tbl>
    <w:p w14:paraId="601B94BC" w14:textId="77777777" w:rsidR="00CC7040" w:rsidRPr="00793C46" w:rsidRDefault="00CC7040" w:rsidP="00A520EE">
      <w:pPr>
        <w:pStyle w:val="DHHSbody"/>
      </w:pPr>
      <w:r>
        <w:br w:type="page"/>
      </w:r>
    </w:p>
    <w:p w14:paraId="62B27315" w14:textId="6D67C757" w:rsidR="002E37C7" w:rsidRDefault="002E37C7" w:rsidP="002E37C7">
      <w:pPr>
        <w:pStyle w:val="Heading1"/>
      </w:pPr>
      <w:bookmarkStart w:id="37" w:name="_Toc55379412"/>
      <w:r>
        <w:t xml:space="preserve">Appendix </w:t>
      </w:r>
      <w:r w:rsidR="004A26FB">
        <w:t>2</w:t>
      </w:r>
      <w:r w:rsidR="0054787A">
        <w:t>:</w:t>
      </w:r>
      <w:r>
        <w:t xml:space="preserve"> </w:t>
      </w:r>
      <w:r w:rsidR="006412DD">
        <w:t>Public mental health service data</w:t>
      </w:r>
      <w:bookmarkEnd w:id="37"/>
    </w:p>
    <w:p w14:paraId="31675D4C" w14:textId="61C995CC" w:rsidR="00F02CFB" w:rsidRPr="00A31AF1" w:rsidRDefault="00F02CFB" w:rsidP="00F02CFB">
      <w:pPr>
        <w:pStyle w:val="DHHSbody"/>
      </w:pPr>
      <w:r w:rsidRPr="00A31AF1">
        <w:t xml:space="preserve">Most of the data in this appendix is drawn from the mental health Client Management Interface (CMI) / Operational Data Store (ODS). The CMI/ODS is a real-time reporting system that mental health service providers </w:t>
      </w:r>
      <w:r w:rsidR="00C63D00" w:rsidRPr="00A31AF1">
        <w:t xml:space="preserve">update </w:t>
      </w:r>
      <w:r w:rsidRPr="00A31AF1">
        <w:t>regularly. For this reason, there may be small differences in reported data between previous and future annual reports</w:t>
      </w:r>
      <w:r w:rsidR="00C63D00">
        <w:t xml:space="preserve"> because</w:t>
      </w:r>
      <w:r w:rsidRPr="00A31AF1">
        <w:t xml:space="preserve"> the system is not static. </w:t>
      </w:r>
    </w:p>
    <w:p w14:paraId="74EA5EDB" w14:textId="0D84AA66" w:rsidR="00F02CFB" w:rsidRDefault="00F02CFB" w:rsidP="00F02CFB">
      <w:pPr>
        <w:pStyle w:val="DHHSbody"/>
      </w:pPr>
      <w:r w:rsidRPr="00A31AF1">
        <w:t xml:space="preserve">Other collections from which this appendix draws include the Mental Health Establishments National Minimum Dataset and </w:t>
      </w:r>
      <w:r w:rsidRPr="00F02CFB">
        <w:t>the</w:t>
      </w:r>
      <w:r w:rsidRPr="00A31AF1">
        <w:t xml:space="preserve"> Mental Health Community Support Services Collection. </w:t>
      </w:r>
      <w:r>
        <w:t>It should be noted that different data collections may use different definitions</w:t>
      </w:r>
      <w:r w:rsidR="00C63D00">
        <w:t xml:space="preserve"> and</w:t>
      </w:r>
      <w:r>
        <w:t xml:space="preserve"> varying inclusion and exclusion criteria, and may disaggregate data in different ways.</w:t>
      </w:r>
    </w:p>
    <w:p w14:paraId="459FD647" w14:textId="031C04E5" w:rsidR="00F02CFB" w:rsidRDefault="00F02CFB" w:rsidP="00F02CFB">
      <w:pPr>
        <w:pStyle w:val="DHHSbody"/>
      </w:pPr>
      <w:r w:rsidRPr="00247F8A">
        <w:rPr>
          <w:b/>
        </w:rPr>
        <w:t xml:space="preserve">Data </w:t>
      </w:r>
      <w:r w:rsidR="00F2363E">
        <w:rPr>
          <w:b/>
        </w:rPr>
        <w:t>s</w:t>
      </w:r>
      <w:r w:rsidRPr="00247F8A">
        <w:rPr>
          <w:b/>
        </w:rPr>
        <w:t>ource:</w:t>
      </w:r>
      <w:r w:rsidRPr="00247F8A">
        <w:t xml:space="preserve"> </w:t>
      </w:r>
      <w:r>
        <w:t>C</w:t>
      </w:r>
      <w:r w:rsidRPr="00B33889">
        <w:t>MI/ODS</w:t>
      </w:r>
      <w:r>
        <w:t>, or as footnoted otherwise</w:t>
      </w:r>
    </w:p>
    <w:p w14:paraId="1FEC3E7C" w14:textId="120826D3" w:rsidR="00F02CFB" w:rsidRPr="00B33889" w:rsidRDefault="00F02CFB" w:rsidP="00F02CFB">
      <w:pPr>
        <w:pStyle w:val="DHHSbody"/>
      </w:pPr>
      <w:r w:rsidRPr="00247F8A">
        <w:rPr>
          <w:b/>
        </w:rPr>
        <w:t xml:space="preserve">Date </w:t>
      </w:r>
      <w:r w:rsidR="00F2363E">
        <w:rPr>
          <w:b/>
        </w:rPr>
        <w:t>e</w:t>
      </w:r>
      <w:r w:rsidRPr="00247F8A">
        <w:rPr>
          <w:b/>
        </w:rPr>
        <w:t>xtracted:</w:t>
      </w:r>
      <w:r w:rsidR="00F2363E">
        <w:rPr>
          <w:b/>
        </w:rPr>
        <w:t xml:space="preserve"> </w:t>
      </w:r>
      <w:r>
        <w:t>21</w:t>
      </w:r>
      <w:r w:rsidRPr="00B33889">
        <w:t xml:space="preserve"> August 20</w:t>
      </w:r>
      <w:r>
        <w:t>20, or as footnoted otherwise</w:t>
      </w:r>
    </w:p>
    <w:p w14:paraId="4525D99D" w14:textId="323BF53A" w:rsidR="00F02CFB" w:rsidRPr="00B33889" w:rsidRDefault="00F02CFB" w:rsidP="00F02CFB">
      <w:pPr>
        <w:pStyle w:val="DHHSbody"/>
      </w:pPr>
      <w:r w:rsidRPr="00247F8A">
        <w:rPr>
          <w:b/>
        </w:rPr>
        <w:t xml:space="preserve">Date </w:t>
      </w:r>
      <w:r w:rsidR="00F2363E">
        <w:rPr>
          <w:b/>
        </w:rPr>
        <w:t>g</w:t>
      </w:r>
      <w:r w:rsidRPr="00247F8A">
        <w:rPr>
          <w:b/>
        </w:rPr>
        <w:t>enerated:</w:t>
      </w:r>
      <w:r w:rsidR="00F2363E">
        <w:t xml:space="preserve"> </w:t>
      </w:r>
      <w:r>
        <w:t>17 September 2020</w:t>
      </w:r>
    </w:p>
    <w:p w14:paraId="35242984" w14:textId="4592F076" w:rsidR="0034212B" w:rsidRPr="000A5AD9" w:rsidRDefault="0034212B" w:rsidP="0034212B">
      <w:pPr>
        <w:pStyle w:val="Heading2"/>
      </w:pPr>
      <w:r w:rsidRPr="000A5AD9">
        <w:rPr>
          <w:rFonts w:eastAsia="Calibri"/>
        </w:rPr>
        <w:t xml:space="preserve">Notes and </w:t>
      </w:r>
      <w:r>
        <w:rPr>
          <w:rFonts w:eastAsia="Calibri"/>
        </w:rPr>
        <w:t>a</w:t>
      </w:r>
      <w:r w:rsidRPr="000A5AD9">
        <w:rPr>
          <w:rFonts w:eastAsia="Calibri"/>
        </w:rPr>
        <w:t>nnotations</w:t>
      </w:r>
      <w:r>
        <w:rPr>
          <w:rFonts w:eastAsia="Calibri"/>
        </w:rPr>
        <w:t xml:space="preserve"> for tables</w:t>
      </w:r>
    </w:p>
    <w:p w14:paraId="475978DB" w14:textId="77777777" w:rsidR="0034212B" w:rsidRPr="00314AC2" w:rsidRDefault="0034212B" w:rsidP="0034212B">
      <w:pPr>
        <w:pStyle w:val="DHHStablefigurenote"/>
        <w:rPr>
          <w:rFonts w:eastAsia="Verdana"/>
        </w:rPr>
      </w:pPr>
      <w:r w:rsidRPr="00314AC2">
        <w:rPr>
          <w:rFonts w:eastAsia="Verdana"/>
        </w:rPr>
        <w:t xml:space="preserve">Data </w:t>
      </w:r>
      <w:r>
        <w:rPr>
          <w:rFonts w:eastAsia="Verdana"/>
        </w:rPr>
        <w:t xml:space="preserve">in this report </w:t>
      </w:r>
      <w:r w:rsidRPr="00314AC2">
        <w:rPr>
          <w:rFonts w:eastAsia="Verdana"/>
        </w:rPr>
        <w:t xml:space="preserve">exclude </w:t>
      </w:r>
      <w:r>
        <w:rPr>
          <w:rFonts w:eastAsia="Verdana"/>
        </w:rPr>
        <w:t>Albury New South Wales.</w:t>
      </w:r>
    </w:p>
    <w:p w14:paraId="4E7E4379" w14:textId="77777777" w:rsidR="0034212B" w:rsidRPr="00314AC2" w:rsidRDefault="0034212B" w:rsidP="0034212B">
      <w:pPr>
        <w:pStyle w:val="DHHStablefigurenote"/>
      </w:pPr>
      <w:r w:rsidRPr="00314AC2">
        <w:rPr>
          <w:rFonts w:eastAsia="Verdana"/>
        </w:rPr>
        <w:t xml:space="preserve">* Population estimate is based on </w:t>
      </w:r>
      <w:r w:rsidRPr="00314AC2">
        <w:rPr>
          <w:rFonts w:eastAsia="Verdana"/>
          <w:i/>
        </w:rPr>
        <w:t>Victoria in Future 2016</w:t>
      </w:r>
      <w:r w:rsidRPr="00314AC2">
        <w:rPr>
          <w:rFonts w:eastAsia="Verdana"/>
        </w:rPr>
        <w:t xml:space="preserve"> </w:t>
      </w:r>
      <w:r>
        <w:rPr>
          <w:rFonts w:eastAsia="Verdana"/>
        </w:rPr>
        <w:t>estimated bed-based population at 30 June.</w:t>
      </w:r>
    </w:p>
    <w:p w14:paraId="5CEF5199" w14:textId="77777777" w:rsidR="0034212B" w:rsidRDefault="0034212B" w:rsidP="0034212B">
      <w:pPr>
        <w:pStyle w:val="DHHStablefigurenote"/>
        <w:rPr>
          <w:rFonts w:eastAsia="Verdana"/>
        </w:rPr>
      </w:pPr>
      <w:r w:rsidRPr="00314AC2">
        <w:rPr>
          <w:rFonts w:eastAsia="Verdana"/>
          <w:vertAlign w:val="superscript"/>
        </w:rPr>
        <w:t>†</w:t>
      </w:r>
      <w:r w:rsidRPr="00314AC2">
        <w:rPr>
          <w:rFonts w:eastAsia="Verdana"/>
        </w:rPr>
        <w:t xml:space="preserve"> Sum of rows will not equal total </w:t>
      </w:r>
      <w:r>
        <w:rPr>
          <w:rFonts w:eastAsia="Verdana"/>
        </w:rPr>
        <w:t>because</w:t>
      </w:r>
      <w:r w:rsidRPr="00314AC2">
        <w:rPr>
          <w:rFonts w:eastAsia="Verdana"/>
        </w:rPr>
        <w:t xml:space="preserve"> one consumer can access multiple services</w:t>
      </w:r>
      <w:r>
        <w:rPr>
          <w:rFonts w:eastAsia="Verdana"/>
        </w:rPr>
        <w:t>.</w:t>
      </w:r>
    </w:p>
    <w:p w14:paraId="641A2FD9" w14:textId="77777777" w:rsidR="0034212B" w:rsidRPr="00314AC2" w:rsidRDefault="0034212B" w:rsidP="0034212B">
      <w:pPr>
        <w:pStyle w:val="DHHStablefigurenote"/>
        <w:rPr>
          <w:rFonts w:eastAsia="Verdana"/>
        </w:rPr>
      </w:pPr>
      <w:r>
        <w:rPr>
          <w:rFonts w:eastAsia="Verdana"/>
        </w:rPr>
        <w:t>^</w:t>
      </w:r>
      <w:r w:rsidRPr="002841BD">
        <w:t xml:space="preserve"> </w:t>
      </w:r>
      <w:r>
        <w:t xml:space="preserve">Note that the number of CYMHS consumers reported in </w:t>
      </w:r>
      <w:r>
        <w:rPr>
          <w:i/>
          <w:iCs/>
        </w:rPr>
        <w:t>Victoria’s mental health services annual report 2018–19</w:t>
      </w:r>
      <w:r>
        <w:t xml:space="preserve"> was inflated by the categorisation of a subcentre of one rural area mental health service as a CYMHS, when in fact the services were provided to a non-age specific target population and were predominantly adult services. It should also be noted that this number refers to consumers accessing CYMHS services. Each service is classified based on the service or funded program type and not the age of the consumer.</w:t>
      </w:r>
    </w:p>
    <w:p w14:paraId="5BAA8CCB" w14:textId="77777777" w:rsidR="0034212B" w:rsidRPr="00314AC2" w:rsidRDefault="0034212B" w:rsidP="0034212B">
      <w:pPr>
        <w:pStyle w:val="DHHStablefigurenote"/>
        <w:rPr>
          <w:rFonts w:eastAsia="Verdana"/>
        </w:rPr>
      </w:pPr>
      <w:r w:rsidRPr="00314AC2">
        <w:rPr>
          <w:rFonts w:eastAsia="Verdana"/>
          <w:vertAlign w:val="superscript"/>
        </w:rPr>
        <w:t>‡</w:t>
      </w:r>
      <w:r w:rsidRPr="00314AC2">
        <w:rPr>
          <w:rFonts w:eastAsia="Verdana"/>
        </w:rPr>
        <w:t xml:space="preserve"> 2015</w:t>
      </w:r>
      <w:r>
        <w:rPr>
          <w:rFonts w:eastAsia="Verdana"/>
        </w:rPr>
        <w:t>–1</w:t>
      </w:r>
      <w:r w:rsidRPr="00314AC2">
        <w:rPr>
          <w:rFonts w:eastAsia="Verdana"/>
        </w:rPr>
        <w:t>6 and 2016</w:t>
      </w:r>
      <w:r>
        <w:rPr>
          <w:rFonts w:eastAsia="Verdana"/>
        </w:rPr>
        <w:t>–1</w:t>
      </w:r>
      <w:r w:rsidRPr="00314AC2">
        <w:rPr>
          <w:rFonts w:eastAsia="Verdana"/>
        </w:rPr>
        <w:t>7 data were affected by industrial activity, impacting the collection of non-clinical and administrative data and recording of ambulatory mental health service activity and consumer outcome measures. This industrial activity began in May 2016 and was resolved by February 2017. Affected data reported during this period should be interpreted with caution.</w:t>
      </w:r>
    </w:p>
    <w:p w14:paraId="38E83657" w14:textId="77777777" w:rsidR="0034212B" w:rsidRPr="00314AC2" w:rsidRDefault="0034212B" w:rsidP="0034212B">
      <w:pPr>
        <w:pStyle w:val="DHHStablefigurenote"/>
        <w:rPr>
          <w:rFonts w:eastAsia="Verdana"/>
        </w:rPr>
      </w:pPr>
      <w:r w:rsidRPr="00314AC2">
        <w:rPr>
          <w:rFonts w:eastAsia="HelveticaNeueLTStd-Lt"/>
          <w:vertAlign w:val="superscript"/>
          <w:lang w:eastAsia="en-GB"/>
        </w:rPr>
        <w:t>§</w:t>
      </w:r>
      <w:r w:rsidRPr="00314AC2">
        <w:rPr>
          <w:rFonts w:eastAsia="Verdana"/>
        </w:rPr>
        <w:t xml:space="preserve"> Sourced from </w:t>
      </w:r>
      <w:r>
        <w:rPr>
          <w:rFonts w:eastAsia="Verdana"/>
        </w:rPr>
        <w:t xml:space="preserve">the </w:t>
      </w:r>
      <w:r w:rsidRPr="00314AC2">
        <w:rPr>
          <w:rFonts w:eastAsia="Verdana"/>
        </w:rPr>
        <w:t xml:space="preserve">Mental Health Establishments National Minimum Dataset. </w:t>
      </w:r>
    </w:p>
    <w:p w14:paraId="3F798557" w14:textId="77777777" w:rsidR="0034212B" w:rsidRPr="00314AC2" w:rsidRDefault="0034212B" w:rsidP="0034212B">
      <w:pPr>
        <w:pStyle w:val="DHHStablefigurenote"/>
        <w:rPr>
          <w:rFonts w:eastAsia="Verdana"/>
        </w:rPr>
      </w:pPr>
      <w:r w:rsidRPr="00314AC2">
        <w:rPr>
          <w:rFonts w:eastAsia="Verdana"/>
          <w:vertAlign w:val="superscript"/>
        </w:rPr>
        <w:t>#</w:t>
      </w:r>
      <w:r w:rsidRPr="00314AC2">
        <w:rPr>
          <w:rFonts w:eastAsia="Verdana"/>
        </w:rPr>
        <w:t xml:space="preserve"> Impacted by the reduction in mental health community support services progressively transferring to the National Disability Insurance Scheme (NDIS)</w:t>
      </w:r>
      <w:r>
        <w:rPr>
          <w:rFonts w:eastAsia="Verdana"/>
        </w:rPr>
        <w:t>.</w:t>
      </w:r>
    </w:p>
    <w:p w14:paraId="33FD3D5D" w14:textId="77777777" w:rsidR="0034212B" w:rsidRDefault="0034212B" w:rsidP="0034212B">
      <w:pPr>
        <w:pStyle w:val="DHHStablefigurenote"/>
        <w:rPr>
          <w:rFonts w:eastAsia="Verdana"/>
        </w:rPr>
      </w:pPr>
      <w:r>
        <w:rPr>
          <w:rFonts w:eastAsia="Verdana"/>
        </w:rPr>
        <w:t xml:space="preserve">** </w:t>
      </w:r>
      <w:r w:rsidRPr="00314AC2">
        <w:rPr>
          <w:rFonts w:eastAsia="Verdana"/>
        </w:rPr>
        <w:t>Further analysis of clinical outcomes data for forensic clients indicates that the sample size is too low for the data to be considered</w:t>
      </w:r>
      <w:r>
        <w:rPr>
          <w:rFonts w:eastAsia="Verdana"/>
        </w:rPr>
        <w:t xml:space="preserve"> </w:t>
      </w:r>
      <w:r w:rsidRPr="00314AC2">
        <w:rPr>
          <w:rFonts w:eastAsia="Verdana"/>
        </w:rPr>
        <w:t>reliable.</w:t>
      </w:r>
    </w:p>
    <w:p w14:paraId="1527DBB3" w14:textId="77777777" w:rsidR="0034212B" w:rsidRPr="00314AC2" w:rsidRDefault="0034212B" w:rsidP="0034212B">
      <w:pPr>
        <w:pStyle w:val="DHHStablefigurenote"/>
      </w:pPr>
      <w:r w:rsidRPr="00314AC2">
        <w:rPr>
          <w:rFonts w:eastAsia="Verdana"/>
        </w:rPr>
        <w:t xml:space="preserve">*** </w:t>
      </w:r>
      <w:r>
        <w:rPr>
          <w:rFonts w:eastAsia="Verdana"/>
        </w:rPr>
        <w:t>Bed-based</w:t>
      </w:r>
      <w:r w:rsidRPr="00314AC2">
        <w:rPr>
          <w:rFonts w:eastAsia="Verdana"/>
        </w:rPr>
        <w:t xml:space="preserve"> rehabilitation beds transitioned to the NDIS during 2018–19</w:t>
      </w:r>
      <w:r>
        <w:rPr>
          <w:rFonts w:eastAsia="Verdana"/>
        </w:rPr>
        <w:t xml:space="preserve"> and 2019–20</w:t>
      </w:r>
      <w:r w:rsidRPr="00314AC2">
        <w:rPr>
          <w:rFonts w:eastAsia="Verdana"/>
        </w:rPr>
        <w:t>.</w:t>
      </w:r>
    </w:p>
    <w:p w14:paraId="35241D5F" w14:textId="77777777" w:rsidR="0034212B" w:rsidRPr="00314AC2" w:rsidRDefault="0034212B" w:rsidP="0034212B">
      <w:pPr>
        <w:pStyle w:val="DHHStablefigurenote"/>
        <w:rPr>
          <w:rFonts w:eastAsia="Verdana"/>
        </w:rPr>
      </w:pPr>
      <w:r w:rsidRPr="00314AC2">
        <w:rPr>
          <w:rFonts w:eastAsia="Verdana"/>
        </w:rPr>
        <w:t>n/a: No data available for this period</w:t>
      </w:r>
      <w:r>
        <w:rPr>
          <w:rFonts w:eastAsia="Verdana"/>
        </w:rPr>
        <w:t>.</w:t>
      </w:r>
    </w:p>
    <w:p w14:paraId="458799F5" w14:textId="77777777" w:rsidR="0034212B" w:rsidRDefault="0034212B" w:rsidP="0034212B">
      <w:pPr>
        <w:pStyle w:val="DHHStablefigurenote"/>
      </w:pPr>
      <w:r w:rsidRPr="00314AC2">
        <w:rPr>
          <w:rFonts w:eastAsia="Verdana"/>
        </w:rPr>
        <w:t>Note that some data may not sum due to rounding</w:t>
      </w:r>
      <w:r>
        <w:rPr>
          <w:rFonts w:eastAsia="Verdana"/>
        </w:rPr>
        <w:t>.</w:t>
      </w:r>
    </w:p>
    <w:p w14:paraId="7C591580" w14:textId="61A21832" w:rsidR="00F02CFB" w:rsidRPr="00D31EA2" w:rsidRDefault="00F02CFB" w:rsidP="00157535">
      <w:pPr>
        <w:pStyle w:val="DHHStablecaption"/>
      </w:pPr>
      <w:r w:rsidRPr="00D31EA2">
        <w:t>Whole population</w:t>
      </w:r>
    </w:p>
    <w:tbl>
      <w:tblPr>
        <w:tblW w:w="0" w:type="auto"/>
        <w:tblBorders>
          <w:top w:val="single" w:sz="8" w:space="0" w:color="004EA8"/>
          <w:left w:val="single" w:sz="8" w:space="0" w:color="004EA8"/>
          <w:bottom w:val="single" w:sz="8" w:space="0" w:color="004EA8"/>
          <w:right w:val="single" w:sz="8" w:space="0" w:color="004EA8"/>
          <w:insideH w:val="single" w:sz="8" w:space="0" w:color="004EA8"/>
          <w:insideV w:val="single" w:sz="8" w:space="0" w:color="004EA8"/>
        </w:tblBorders>
        <w:tblCellMar>
          <w:left w:w="0" w:type="dxa"/>
          <w:right w:w="0" w:type="dxa"/>
        </w:tblCellMar>
        <w:tblLook w:val="0000" w:firstRow="0" w:lastRow="0" w:firstColumn="0" w:lastColumn="0" w:noHBand="0" w:noVBand="0"/>
      </w:tblPr>
      <w:tblGrid>
        <w:gridCol w:w="4267"/>
        <w:gridCol w:w="995"/>
        <w:gridCol w:w="995"/>
        <w:gridCol w:w="1007"/>
        <w:gridCol w:w="1007"/>
        <w:gridCol w:w="1007"/>
      </w:tblGrid>
      <w:tr w:rsidR="00D31EA2" w14:paraId="5A31C1C3" w14:textId="77777777" w:rsidTr="00157B5E">
        <w:trPr>
          <w:trHeight w:val="279"/>
          <w:tblHeader/>
        </w:trPr>
        <w:tc>
          <w:tcPr>
            <w:tcW w:w="5529" w:type="dxa"/>
            <w:shd w:val="clear" w:color="auto" w:fill="004EA8"/>
            <w:tcMar>
              <w:top w:w="40" w:type="dxa"/>
              <w:left w:w="40" w:type="dxa"/>
              <w:bottom w:w="40" w:type="dxa"/>
              <w:right w:w="40" w:type="dxa"/>
            </w:tcMar>
            <w:vAlign w:val="center"/>
          </w:tcPr>
          <w:p w14:paraId="5F1B11C5" w14:textId="05FA9978" w:rsidR="00D31EA2" w:rsidRPr="00AA148D" w:rsidRDefault="00F2363E" w:rsidP="00410442">
            <w:pPr>
              <w:rPr>
                <w:rFonts w:ascii="Arial" w:hAnsi="Arial" w:cs="Arial"/>
                <w:sz w:val="18"/>
                <w:szCs w:val="18"/>
              </w:rPr>
            </w:pPr>
            <w:r w:rsidRPr="00095B28">
              <w:rPr>
                <w:rFonts w:ascii="Arial" w:eastAsia="Verdana" w:hAnsi="Arial" w:cs="Arial"/>
                <w:b/>
                <w:color w:val="FFFFFF"/>
                <w:sz w:val="18"/>
                <w:szCs w:val="18"/>
              </w:rPr>
              <w:t>Measure</w:t>
            </w:r>
          </w:p>
        </w:tc>
        <w:tc>
          <w:tcPr>
            <w:tcW w:w="1154" w:type="dxa"/>
            <w:shd w:val="clear" w:color="auto" w:fill="004EA8"/>
            <w:vAlign w:val="center"/>
          </w:tcPr>
          <w:p w14:paraId="2C85A80E" w14:textId="77777777" w:rsidR="00D31EA2" w:rsidRDefault="00D31EA2" w:rsidP="00410442">
            <w:pPr>
              <w:rPr>
                <w:rFonts w:ascii="Arial" w:hAnsi="Arial" w:cs="Arial"/>
                <w:b/>
                <w:bCs/>
                <w:color w:val="FFFFFF"/>
                <w:sz w:val="18"/>
                <w:szCs w:val="18"/>
                <w:lang w:eastAsia="en-AU"/>
              </w:rPr>
            </w:pPr>
            <w:r>
              <w:rPr>
                <w:rFonts w:ascii="Arial" w:hAnsi="Arial" w:cs="Arial"/>
                <w:b/>
                <w:bCs/>
                <w:color w:val="FFFFFF"/>
                <w:sz w:val="18"/>
                <w:szCs w:val="18"/>
              </w:rPr>
              <w:t>2015–16</w:t>
            </w:r>
          </w:p>
        </w:tc>
        <w:tc>
          <w:tcPr>
            <w:tcW w:w="1155" w:type="dxa"/>
            <w:shd w:val="clear" w:color="auto" w:fill="004EA8"/>
            <w:vAlign w:val="center"/>
          </w:tcPr>
          <w:p w14:paraId="1E8CF3BC"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2016–17</w:t>
            </w:r>
          </w:p>
        </w:tc>
        <w:tc>
          <w:tcPr>
            <w:tcW w:w="1155" w:type="dxa"/>
            <w:shd w:val="clear" w:color="auto" w:fill="004EA8"/>
            <w:tcMar>
              <w:top w:w="40" w:type="dxa"/>
              <w:left w:w="80" w:type="dxa"/>
              <w:bottom w:w="60" w:type="dxa"/>
              <w:right w:w="40" w:type="dxa"/>
            </w:tcMar>
            <w:vAlign w:val="center"/>
          </w:tcPr>
          <w:p w14:paraId="206F3430"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2017–18</w:t>
            </w:r>
          </w:p>
        </w:tc>
        <w:tc>
          <w:tcPr>
            <w:tcW w:w="1155" w:type="dxa"/>
            <w:shd w:val="clear" w:color="auto" w:fill="004EA8"/>
            <w:tcMar>
              <w:top w:w="40" w:type="dxa"/>
              <w:left w:w="80" w:type="dxa"/>
              <w:bottom w:w="60" w:type="dxa"/>
              <w:right w:w="40" w:type="dxa"/>
            </w:tcMar>
            <w:vAlign w:val="center"/>
          </w:tcPr>
          <w:p w14:paraId="6531D473"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2018–19</w:t>
            </w:r>
          </w:p>
        </w:tc>
        <w:tc>
          <w:tcPr>
            <w:tcW w:w="1155" w:type="dxa"/>
            <w:shd w:val="clear" w:color="auto" w:fill="004EA8"/>
            <w:tcMar>
              <w:top w:w="40" w:type="dxa"/>
              <w:left w:w="80" w:type="dxa"/>
              <w:bottom w:w="60" w:type="dxa"/>
              <w:right w:w="40" w:type="dxa"/>
            </w:tcMar>
            <w:vAlign w:val="center"/>
          </w:tcPr>
          <w:p w14:paraId="43B036C3"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2019–20</w:t>
            </w:r>
          </w:p>
        </w:tc>
      </w:tr>
      <w:tr w:rsidR="00D31EA2" w14:paraId="247F6026" w14:textId="77777777" w:rsidTr="00311585">
        <w:trPr>
          <w:trHeight w:val="240"/>
        </w:trPr>
        <w:tc>
          <w:tcPr>
            <w:tcW w:w="5529" w:type="dxa"/>
            <w:tcMar>
              <w:top w:w="40" w:type="dxa"/>
              <w:left w:w="120" w:type="dxa"/>
              <w:bottom w:w="60" w:type="dxa"/>
              <w:right w:w="40" w:type="dxa"/>
            </w:tcMar>
            <w:vAlign w:val="center"/>
          </w:tcPr>
          <w:p w14:paraId="41E33766" w14:textId="04061F01"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 xml:space="preserve">Total estimated </w:t>
            </w:r>
            <w:r>
              <w:rPr>
                <w:rFonts w:ascii="Arial" w:eastAsia="Verdana" w:hAnsi="Arial" w:cs="Arial"/>
                <w:color w:val="000000"/>
                <w:sz w:val="18"/>
                <w:szCs w:val="18"/>
              </w:rPr>
              <w:t>bed-based</w:t>
            </w:r>
            <w:r w:rsidRPr="00AA148D">
              <w:rPr>
                <w:rFonts w:ascii="Arial" w:eastAsia="Verdana" w:hAnsi="Arial" w:cs="Arial"/>
                <w:color w:val="000000"/>
                <w:sz w:val="18"/>
                <w:szCs w:val="18"/>
              </w:rPr>
              <w:t xml:space="preserve"> population in Victoria (based on mental health area) (</w:t>
            </w:r>
            <w:r w:rsidR="00C63D00">
              <w:rPr>
                <w:rFonts w:ascii="Arial" w:eastAsia="Verdana" w:hAnsi="Arial" w:cs="Arial"/>
                <w:color w:val="000000"/>
                <w:sz w:val="18"/>
                <w:szCs w:val="18"/>
              </w:rPr>
              <w:t>’</w:t>
            </w:r>
            <w:r w:rsidRPr="00AA148D">
              <w:rPr>
                <w:rFonts w:ascii="Arial" w:eastAsia="Verdana" w:hAnsi="Arial" w:cs="Arial"/>
                <w:color w:val="000000"/>
                <w:sz w:val="18"/>
                <w:szCs w:val="18"/>
              </w:rPr>
              <w:t>000)*</w:t>
            </w:r>
          </w:p>
        </w:tc>
        <w:tc>
          <w:tcPr>
            <w:tcW w:w="1154" w:type="dxa"/>
            <w:tcMar>
              <w:top w:w="43" w:type="dxa"/>
              <w:left w:w="86" w:type="dxa"/>
              <w:bottom w:w="58" w:type="dxa"/>
              <w:right w:w="43" w:type="dxa"/>
            </w:tcMar>
            <w:vAlign w:val="center"/>
          </w:tcPr>
          <w:p w14:paraId="44D10A90" w14:textId="77777777" w:rsidR="00D31EA2" w:rsidRDefault="00D31EA2" w:rsidP="00410442">
            <w:pPr>
              <w:rPr>
                <w:rFonts w:ascii="Arial" w:hAnsi="Arial" w:cs="Arial"/>
                <w:color w:val="000000"/>
                <w:sz w:val="18"/>
                <w:szCs w:val="18"/>
              </w:rPr>
            </w:pPr>
            <w:r>
              <w:rPr>
                <w:rFonts w:ascii="Arial" w:hAnsi="Arial" w:cs="Arial"/>
                <w:color w:val="000000"/>
                <w:sz w:val="18"/>
                <w:szCs w:val="18"/>
              </w:rPr>
              <w:t>6,117</w:t>
            </w:r>
          </w:p>
        </w:tc>
        <w:tc>
          <w:tcPr>
            <w:tcW w:w="1155" w:type="dxa"/>
            <w:tcMar>
              <w:top w:w="43" w:type="dxa"/>
              <w:left w:w="86" w:type="dxa"/>
              <w:bottom w:w="58" w:type="dxa"/>
              <w:right w:w="43" w:type="dxa"/>
            </w:tcMar>
            <w:vAlign w:val="center"/>
          </w:tcPr>
          <w:p w14:paraId="228F0D3B" w14:textId="77777777" w:rsidR="00D31EA2" w:rsidRDefault="00D31EA2" w:rsidP="00410442">
            <w:pPr>
              <w:rPr>
                <w:rFonts w:ascii="Arial" w:hAnsi="Arial" w:cs="Arial"/>
                <w:color w:val="000000"/>
                <w:sz w:val="18"/>
                <w:szCs w:val="18"/>
              </w:rPr>
            </w:pPr>
            <w:r>
              <w:rPr>
                <w:rFonts w:ascii="Arial" w:hAnsi="Arial" w:cs="Arial"/>
                <w:color w:val="000000"/>
                <w:sz w:val="18"/>
                <w:szCs w:val="18"/>
              </w:rPr>
              <w:t>6,228</w:t>
            </w:r>
          </w:p>
        </w:tc>
        <w:tc>
          <w:tcPr>
            <w:tcW w:w="1155" w:type="dxa"/>
            <w:tcMar>
              <w:top w:w="40" w:type="dxa"/>
              <w:left w:w="80" w:type="dxa"/>
              <w:bottom w:w="60" w:type="dxa"/>
              <w:right w:w="40" w:type="dxa"/>
            </w:tcMar>
            <w:vAlign w:val="center"/>
          </w:tcPr>
          <w:p w14:paraId="64FB5EE2" w14:textId="77777777" w:rsidR="00D31EA2" w:rsidRDefault="00D31EA2" w:rsidP="00410442">
            <w:pPr>
              <w:rPr>
                <w:rFonts w:ascii="Arial" w:hAnsi="Arial" w:cs="Arial"/>
                <w:color w:val="000000"/>
                <w:sz w:val="18"/>
                <w:szCs w:val="18"/>
              </w:rPr>
            </w:pPr>
            <w:r>
              <w:rPr>
                <w:rFonts w:ascii="Arial" w:hAnsi="Arial" w:cs="Arial"/>
                <w:color w:val="000000"/>
                <w:sz w:val="18"/>
                <w:szCs w:val="18"/>
              </w:rPr>
              <w:t>6,339</w:t>
            </w:r>
          </w:p>
        </w:tc>
        <w:tc>
          <w:tcPr>
            <w:tcW w:w="1155" w:type="dxa"/>
            <w:tcMar>
              <w:top w:w="40" w:type="dxa"/>
              <w:left w:w="80" w:type="dxa"/>
              <w:bottom w:w="60" w:type="dxa"/>
              <w:right w:w="40" w:type="dxa"/>
            </w:tcMar>
            <w:vAlign w:val="center"/>
          </w:tcPr>
          <w:p w14:paraId="1A73E4C3" w14:textId="77777777" w:rsidR="00D31EA2" w:rsidRDefault="00D31EA2" w:rsidP="00410442">
            <w:pPr>
              <w:rPr>
                <w:rFonts w:ascii="Arial" w:hAnsi="Arial" w:cs="Arial"/>
                <w:color w:val="000000"/>
                <w:sz w:val="18"/>
                <w:szCs w:val="18"/>
              </w:rPr>
            </w:pPr>
            <w:r>
              <w:rPr>
                <w:rFonts w:ascii="Arial" w:hAnsi="Arial" w:cs="Arial"/>
                <w:color w:val="000000"/>
                <w:sz w:val="18"/>
                <w:szCs w:val="18"/>
              </w:rPr>
              <w:t>6,452</w:t>
            </w:r>
          </w:p>
        </w:tc>
        <w:tc>
          <w:tcPr>
            <w:tcW w:w="1155" w:type="dxa"/>
            <w:tcMar>
              <w:top w:w="40" w:type="dxa"/>
              <w:left w:w="80" w:type="dxa"/>
              <w:bottom w:w="60" w:type="dxa"/>
              <w:right w:w="40" w:type="dxa"/>
            </w:tcMar>
            <w:vAlign w:val="center"/>
          </w:tcPr>
          <w:p w14:paraId="6B1BCC74" w14:textId="77777777" w:rsidR="00D31EA2" w:rsidRDefault="00D31EA2" w:rsidP="00410442">
            <w:pPr>
              <w:rPr>
                <w:rFonts w:ascii="Arial" w:hAnsi="Arial" w:cs="Arial"/>
                <w:color w:val="000000"/>
                <w:sz w:val="18"/>
                <w:szCs w:val="18"/>
              </w:rPr>
            </w:pPr>
            <w:r>
              <w:rPr>
                <w:rFonts w:ascii="Arial" w:hAnsi="Arial" w:cs="Arial"/>
                <w:color w:val="000000"/>
                <w:sz w:val="18"/>
                <w:szCs w:val="18"/>
              </w:rPr>
              <w:t>6,570</w:t>
            </w:r>
          </w:p>
        </w:tc>
      </w:tr>
    </w:tbl>
    <w:p w14:paraId="3A8B6B6A" w14:textId="061FD4EB" w:rsidR="00F02CFB" w:rsidRDefault="00D31EA2" w:rsidP="00157535">
      <w:pPr>
        <w:pStyle w:val="DHHStablecaption"/>
        <w:rPr>
          <w:rFonts w:eastAsia="Verdana"/>
        </w:rPr>
      </w:pPr>
      <w:r w:rsidRPr="00D31EA2">
        <w:rPr>
          <w:rFonts w:eastAsia="Verdana"/>
        </w:rPr>
        <w:t>People accessing mental health services</w:t>
      </w:r>
    </w:p>
    <w:tbl>
      <w:tblPr>
        <w:tblW w:w="0" w:type="auto"/>
        <w:tblBorders>
          <w:top w:val="single" w:sz="8" w:space="0" w:color="004EA8"/>
          <w:left w:val="single" w:sz="8" w:space="0" w:color="004EA8"/>
          <w:bottom w:val="single" w:sz="8" w:space="0" w:color="004EA8"/>
          <w:right w:val="single" w:sz="8" w:space="0" w:color="004EA8"/>
          <w:insideH w:val="single" w:sz="8" w:space="0" w:color="004EA8"/>
          <w:insideV w:val="single" w:sz="8" w:space="0" w:color="004EA8"/>
        </w:tblBorders>
        <w:tblCellMar>
          <w:left w:w="0" w:type="dxa"/>
          <w:right w:w="0" w:type="dxa"/>
        </w:tblCellMar>
        <w:tblLook w:val="0000" w:firstRow="0" w:lastRow="0" w:firstColumn="0" w:lastColumn="0" w:noHBand="0" w:noVBand="0"/>
      </w:tblPr>
      <w:tblGrid>
        <w:gridCol w:w="4189"/>
        <w:gridCol w:w="1011"/>
        <w:gridCol w:w="1012"/>
        <w:gridCol w:w="1011"/>
        <w:gridCol w:w="1012"/>
        <w:gridCol w:w="1043"/>
      </w:tblGrid>
      <w:tr w:rsidR="00D31EA2" w14:paraId="19EE9161" w14:textId="77777777" w:rsidTr="00157B5E">
        <w:trPr>
          <w:trHeight w:val="279"/>
          <w:tblHeader/>
        </w:trPr>
        <w:tc>
          <w:tcPr>
            <w:tcW w:w="5505" w:type="dxa"/>
            <w:shd w:val="clear" w:color="auto" w:fill="004EA8"/>
            <w:tcMar>
              <w:top w:w="40" w:type="dxa"/>
              <w:left w:w="40" w:type="dxa"/>
              <w:bottom w:w="40" w:type="dxa"/>
              <w:right w:w="40" w:type="dxa"/>
            </w:tcMar>
            <w:vAlign w:val="center"/>
          </w:tcPr>
          <w:p w14:paraId="2EF33C26" w14:textId="29ABE145" w:rsidR="00D31EA2" w:rsidRPr="00AA148D" w:rsidRDefault="00F2363E" w:rsidP="00410442">
            <w:pPr>
              <w:rPr>
                <w:rFonts w:ascii="Arial" w:hAnsi="Arial" w:cs="Arial"/>
                <w:sz w:val="18"/>
                <w:szCs w:val="18"/>
              </w:rPr>
            </w:pPr>
            <w:r w:rsidRPr="00095B28">
              <w:rPr>
                <w:rFonts w:ascii="Arial" w:eastAsia="Verdana" w:hAnsi="Arial" w:cs="Arial"/>
                <w:b/>
                <w:color w:val="FFFFFF"/>
                <w:sz w:val="18"/>
                <w:szCs w:val="18"/>
              </w:rPr>
              <w:t>Measure</w:t>
            </w:r>
          </w:p>
        </w:tc>
        <w:tc>
          <w:tcPr>
            <w:tcW w:w="1159" w:type="dxa"/>
            <w:shd w:val="clear" w:color="auto" w:fill="004EA8"/>
            <w:vAlign w:val="center"/>
          </w:tcPr>
          <w:p w14:paraId="44573BEC" w14:textId="77777777" w:rsidR="00D31EA2" w:rsidRDefault="00D31EA2" w:rsidP="00410442">
            <w:pPr>
              <w:rPr>
                <w:rFonts w:ascii="Arial" w:hAnsi="Arial" w:cs="Arial"/>
                <w:b/>
                <w:bCs/>
                <w:color w:val="FFFFFF"/>
                <w:sz w:val="18"/>
                <w:szCs w:val="18"/>
                <w:lang w:eastAsia="en-AU"/>
              </w:rPr>
            </w:pPr>
            <w:r>
              <w:rPr>
                <w:rFonts w:ascii="Arial" w:hAnsi="Arial" w:cs="Arial"/>
                <w:b/>
                <w:bCs/>
                <w:color w:val="FFFFFF"/>
                <w:sz w:val="18"/>
                <w:szCs w:val="18"/>
              </w:rPr>
              <w:t>2015–16</w:t>
            </w:r>
          </w:p>
        </w:tc>
        <w:tc>
          <w:tcPr>
            <w:tcW w:w="1160" w:type="dxa"/>
            <w:shd w:val="clear" w:color="auto" w:fill="004EA8"/>
            <w:vAlign w:val="center"/>
          </w:tcPr>
          <w:p w14:paraId="61A29676"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2016–17</w:t>
            </w:r>
          </w:p>
        </w:tc>
        <w:tc>
          <w:tcPr>
            <w:tcW w:w="1159" w:type="dxa"/>
            <w:shd w:val="clear" w:color="auto" w:fill="004EA8"/>
            <w:tcMar>
              <w:top w:w="40" w:type="dxa"/>
              <w:left w:w="80" w:type="dxa"/>
              <w:bottom w:w="60" w:type="dxa"/>
              <w:right w:w="40" w:type="dxa"/>
            </w:tcMar>
            <w:vAlign w:val="center"/>
          </w:tcPr>
          <w:p w14:paraId="357322E1"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2017–18</w:t>
            </w:r>
          </w:p>
        </w:tc>
        <w:tc>
          <w:tcPr>
            <w:tcW w:w="1160" w:type="dxa"/>
            <w:shd w:val="clear" w:color="auto" w:fill="004EA8"/>
            <w:tcMar>
              <w:top w:w="40" w:type="dxa"/>
              <w:left w:w="80" w:type="dxa"/>
              <w:bottom w:w="60" w:type="dxa"/>
              <w:right w:w="40" w:type="dxa"/>
            </w:tcMar>
            <w:vAlign w:val="center"/>
          </w:tcPr>
          <w:p w14:paraId="1D0DEECD"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2018–19</w:t>
            </w:r>
          </w:p>
        </w:tc>
        <w:tc>
          <w:tcPr>
            <w:tcW w:w="1160" w:type="dxa"/>
            <w:shd w:val="clear" w:color="auto" w:fill="004EA8"/>
            <w:tcMar>
              <w:top w:w="40" w:type="dxa"/>
              <w:left w:w="80" w:type="dxa"/>
              <w:bottom w:w="60" w:type="dxa"/>
              <w:right w:w="40" w:type="dxa"/>
            </w:tcMar>
            <w:vAlign w:val="center"/>
          </w:tcPr>
          <w:p w14:paraId="3A8EF8E1"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2019–20</w:t>
            </w:r>
          </w:p>
        </w:tc>
      </w:tr>
      <w:tr w:rsidR="00D31EA2" w14:paraId="7753431E" w14:textId="77777777" w:rsidTr="00C63D00">
        <w:trPr>
          <w:trHeight w:val="240"/>
        </w:trPr>
        <w:tc>
          <w:tcPr>
            <w:tcW w:w="5505" w:type="dxa"/>
            <w:tcMar>
              <w:top w:w="40" w:type="dxa"/>
              <w:left w:w="120" w:type="dxa"/>
              <w:bottom w:w="60" w:type="dxa"/>
              <w:right w:w="40" w:type="dxa"/>
            </w:tcMar>
            <w:vAlign w:val="center"/>
          </w:tcPr>
          <w:p w14:paraId="704BEE35" w14:textId="79E011BF"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Mental health</w:t>
            </w:r>
            <w:r w:rsidR="00C63D00">
              <w:rPr>
                <w:rFonts w:ascii="Arial" w:eastAsia="Verdana" w:hAnsi="Arial" w:cs="Arial"/>
                <w:color w:val="000000"/>
                <w:sz w:val="18"/>
                <w:szCs w:val="18"/>
              </w:rPr>
              <w:t>–</w:t>
            </w:r>
            <w:r w:rsidRPr="00AA148D">
              <w:rPr>
                <w:rFonts w:ascii="Arial" w:eastAsia="Verdana" w:hAnsi="Arial" w:cs="Arial"/>
                <w:color w:val="000000"/>
                <w:sz w:val="18"/>
                <w:szCs w:val="18"/>
              </w:rPr>
              <w:t>related emergency department presentations</w:t>
            </w:r>
          </w:p>
        </w:tc>
        <w:tc>
          <w:tcPr>
            <w:tcW w:w="1159" w:type="dxa"/>
            <w:tcMar>
              <w:top w:w="43" w:type="dxa"/>
              <w:left w:w="86" w:type="dxa"/>
              <w:bottom w:w="58" w:type="dxa"/>
              <w:right w:w="43" w:type="dxa"/>
            </w:tcMar>
            <w:vAlign w:val="center"/>
          </w:tcPr>
          <w:p w14:paraId="2BFE5B65" w14:textId="77777777" w:rsidR="00D31EA2" w:rsidRDefault="00D31EA2" w:rsidP="00410442">
            <w:pPr>
              <w:rPr>
                <w:rFonts w:ascii="Arial" w:hAnsi="Arial" w:cs="Arial"/>
                <w:color w:val="000000"/>
                <w:sz w:val="18"/>
                <w:szCs w:val="18"/>
                <w:lang w:eastAsia="en-AU"/>
              </w:rPr>
            </w:pPr>
            <w:r>
              <w:rPr>
                <w:rFonts w:ascii="Arial" w:hAnsi="Arial" w:cs="Arial"/>
                <w:color w:val="000000"/>
                <w:sz w:val="18"/>
                <w:szCs w:val="18"/>
              </w:rPr>
              <w:t>83,268</w:t>
            </w:r>
          </w:p>
        </w:tc>
        <w:tc>
          <w:tcPr>
            <w:tcW w:w="1160" w:type="dxa"/>
            <w:tcMar>
              <w:top w:w="43" w:type="dxa"/>
              <w:left w:w="86" w:type="dxa"/>
              <w:bottom w:w="58" w:type="dxa"/>
              <w:right w:w="43" w:type="dxa"/>
            </w:tcMar>
            <w:vAlign w:val="center"/>
          </w:tcPr>
          <w:p w14:paraId="5804FA25" w14:textId="77777777" w:rsidR="00D31EA2" w:rsidRDefault="00D31EA2" w:rsidP="00410442">
            <w:pPr>
              <w:rPr>
                <w:rFonts w:ascii="Arial" w:hAnsi="Arial" w:cs="Arial"/>
                <w:color w:val="000000"/>
                <w:sz w:val="18"/>
                <w:szCs w:val="18"/>
              </w:rPr>
            </w:pPr>
            <w:r>
              <w:rPr>
                <w:rFonts w:ascii="Arial" w:hAnsi="Arial" w:cs="Arial"/>
                <w:color w:val="000000"/>
                <w:sz w:val="18"/>
                <w:szCs w:val="18"/>
              </w:rPr>
              <w:t>87,197</w:t>
            </w:r>
          </w:p>
        </w:tc>
        <w:tc>
          <w:tcPr>
            <w:tcW w:w="1159" w:type="dxa"/>
            <w:shd w:val="clear" w:color="auto" w:fill="auto"/>
            <w:tcMar>
              <w:top w:w="43" w:type="dxa"/>
              <w:left w:w="86" w:type="dxa"/>
              <w:bottom w:w="58" w:type="dxa"/>
              <w:right w:w="43" w:type="dxa"/>
            </w:tcMar>
            <w:vAlign w:val="center"/>
          </w:tcPr>
          <w:p w14:paraId="51FD5015" w14:textId="77777777" w:rsidR="00D31EA2" w:rsidRDefault="00D31EA2" w:rsidP="00410442">
            <w:pPr>
              <w:rPr>
                <w:rFonts w:ascii="Arial" w:hAnsi="Arial" w:cs="Arial"/>
                <w:color w:val="000000"/>
                <w:sz w:val="18"/>
                <w:szCs w:val="18"/>
              </w:rPr>
            </w:pPr>
            <w:r>
              <w:rPr>
                <w:rFonts w:ascii="Arial" w:hAnsi="Arial" w:cs="Arial"/>
                <w:color w:val="000000"/>
                <w:sz w:val="18"/>
                <w:szCs w:val="18"/>
              </w:rPr>
              <w:t>92,610</w:t>
            </w:r>
          </w:p>
        </w:tc>
        <w:tc>
          <w:tcPr>
            <w:tcW w:w="1160" w:type="dxa"/>
            <w:shd w:val="clear" w:color="auto" w:fill="auto"/>
            <w:tcMar>
              <w:top w:w="43" w:type="dxa"/>
              <w:left w:w="86" w:type="dxa"/>
              <w:bottom w:w="58" w:type="dxa"/>
              <w:right w:w="43" w:type="dxa"/>
            </w:tcMar>
            <w:vAlign w:val="center"/>
          </w:tcPr>
          <w:p w14:paraId="7DF60C05" w14:textId="77777777" w:rsidR="00D31EA2" w:rsidRDefault="00D31EA2" w:rsidP="00410442">
            <w:pPr>
              <w:rPr>
                <w:rFonts w:ascii="Arial" w:hAnsi="Arial" w:cs="Arial"/>
                <w:color w:val="000000"/>
                <w:sz w:val="18"/>
                <w:szCs w:val="18"/>
              </w:rPr>
            </w:pPr>
            <w:r>
              <w:rPr>
                <w:rFonts w:ascii="Arial" w:hAnsi="Arial" w:cs="Arial"/>
                <w:color w:val="000000"/>
                <w:sz w:val="18"/>
                <w:szCs w:val="18"/>
              </w:rPr>
              <w:t>97,731</w:t>
            </w:r>
          </w:p>
        </w:tc>
        <w:tc>
          <w:tcPr>
            <w:tcW w:w="1160" w:type="dxa"/>
            <w:shd w:val="clear" w:color="auto" w:fill="auto"/>
            <w:tcMar>
              <w:top w:w="43" w:type="dxa"/>
              <w:left w:w="86" w:type="dxa"/>
              <w:bottom w:w="58" w:type="dxa"/>
              <w:right w:w="43" w:type="dxa"/>
            </w:tcMar>
            <w:vAlign w:val="center"/>
          </w:tcPr>
          <w:p w14:paraId="63380636" w14:textId="77777777" w:rsidR="00D31EA2" w:rsidRDefault="00D31EA2" w:rsidP="00410442">
            <w:pPr>
              <w:rPr>
                <w:rFonts w:ascii="Arial" w:hAnsi="Arial" w:cs="Arial"/>
                <w:color w:val="000000"/>
                <w:sz w:val="18"/>
                <w:szCs w:val="18"/>
              </w:rPr>
            </w:pPr>
            <w:r>
              <w:rPr>
                <w:rFonts w:ascii="Arial" w:hAnsi="Arial" w:cs="Arial"/>
                <w:color w:val="000000"/>
                <w:sz w:val="18"/>
                <w:szCs w:val="18"/>
              </w:rPr>
              <w:t>100,945</w:t>
            </w:r>
          </w:p>
        </w:tc>
      </w:tr>
      <w:tr w:rsidR="00D31EA2" w14:paraId="63E8EA36" w14:textId="77777777" w:rsidTr="00C63D00">
        <w:trPr>
          <w:trHeight w:val="240"/>
        </w:trPr>
        <w:tc>
          <w:tcPr>
            <w:tcW w:w="5505" w:type="dxa"/>
            <w:tcMar>
              <w:top w:w="40" w:type="dxa"/>
              <w:left w:w="120" w:type="dxa"/>
              <w:bottom w:w="60" w:type="dxa"/>
              <w:right w:w="40" w:type="dxa"/>
            </w:tcMar>
            <w:vAlign w:val="center"/>
          </w:tcPr>
          <w:p w14:paraId="5042DF9E" w14:textId="2415C8EB"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Emergency department presentations that were mental health</w:t>
            </w:r>
            <w:r w:rsidR="00377102">
              <w:rPr>
                <w:rFonts w:ascii="Arial" w:eastAsia="Verdana" w:hAnsi="Arial" w:cs="Arial"/>
                <w:color w:val="000000"/>
                <w:sz w:val="18"/>
                <w:szCs w:val="18"/>
              </w:rPr>
              <w:t>–</w:t>
            </w:r>
            <w:r w:rsidRPr="00AA148D">
              <w:rPr>
                <w:rFonts w:ascii="Arial" w:eastAsia="Verdana" w:hAnsi="Arial" w:cs="Arial"/>
                <w:color w:val="000000"/>
                <w:sz w:val="18"/>
                <w:szCs w:val="18"/>
              </w:rPr>
              <w:t>related (%)</w:t>
            </w:r>
          </w:p>
        </w:tc>
        <w:tc>
          <w:tcPr>
            <w:tcW w:w="1159" w:type="dxa"/>
            <w:tcMar>
              <w:top w:w="43" w:type="dxa"/>
              <w:left w:w="86" w:type="dxa"/>
              <w:bottom w:w="58" w:type="dxa"/>
              <w:right w:w="43" w:type="dxa"/>
            </w:tcMar>
            <w:vAlign w:val="center"/>
          </w:tcPr>
          <w:p w14:paraId="308984D8" w14:textId="77777777" w:rsidR="00D31EA2" w:rsidRDefault="00D31EA2" w:rsidP="00410442">
            <w:pPr>
              <w:rPr>
                <w:rFonts w:ascii="Arial" w:hAnsi="Arial" w:cs="Arial"/>
                <w:color w:val="000000"/>
                <w:sz w:val="18"/>
                <w:szCs w:val="18"/>
              </w:rPr>
            </w:pPr>
            <w:r>
              <w:rPr>
                <w:rFonts w:ascii="Arial" w:hAnsi="Arial" w:cs="Arial"/>
                <w:color w:val="000000"/>
                <w:sz w:val="18"/>
                <w:szCs w:val="18"/>
              </w:rPr>
              <w:t>5.06%</w:t>
            </w:r>
          </w:p>
        </w:tc>
        <w:tc>
          <w:tcPr>
            <w:tcW w:w="1160" w:type="dxa"/>
            <w:tcMar>
              <w:top w:w="43" w:type="dxa"/>
              <w:left w:w="86" w:type="dxa"/>
              <w:bottom w:w="58" w:type="dxa"/>
              <w:right w:w="43" w:type="dxa"/>
            </w:tcMar>
            <w:vAlign w:val="center"/>
          </w:tcPr>
          <w:p w14:paraId="26BA2125" w14:textId="77777777" w:rsidR="00D31EA2" w:rsidRDefault="00D31EA2" w:rsidP="00410442">
            <w:pPr>
              <w:rPr>
                <w:rFonts w:ascii="Arial" w:hAnsi="Arial" w:cs="Arial"/>
                <w:color w:val="000000"/>
                <w:sz w:val="18"/>
                <w:szCs w:val="18"/>
              </w:rPr>
            </w:pPr>
            <w:r>
              <w:rPr>
                <w:rFonts w:ascii="Arial" w:hAnsi="Arial" w:cs="Arial"/>
                <w:color w:val="000000"/>
                <w:sz w:val="18"/>
                <w:szCs w:val="18"/>
              </w:rPr>
              <w:t>5.14%</w:t>
            </w:r>
          </w:p>
        </w:tc>
        <w:tc>
          <w:tcPr>
            <w:tcW w:w="1159" w:type="dxa"/>
            <w:shd w:val="clear" w:color="auto" w:fill="auto"/>
            <w:tcMar>
              <w:top w:w="43" w:type="dxa"/>
              <w:left w:w="86" w:type="dxa"/>
              <w:bottom w:w="58" w:type="dxa"/>
              <w:right w:w="43" w:type="dxa"/>
            </w:tcMar>
            <w:vAlign w:val="center"/>
          </w:tcPr>
          <w:p w14:paraId="4D9657A4" w14:textId="77777777" w:rsidR="00D31EA2" w:rsidRDefault="00D31EA2" w:rsidP="00410442">
            <w:pPr>
              <w:rPr>
                <w:rFonts w:ascii="Arial" w:hAnsi="Arial" w:cs="Arial"/>
                <w:color w:val="000000"/>
                <w:sz w:val="18"/>
                <w:szCs w:val="18"/>
              </w:rPr>
            </w:pPr>
            <w:r>
              <w:rPr>
                <w:rFonts w:ascii="Arial" w:hAnsi="Arial" w:cs="Arial"/>
                <w:color w:val="000000"/>
                <w:sz w:val="18"/>
                <w:szCs w:val="18"/>
              </w:rPr>
              <w:t>5.27%</w:t>
            </w:r>
          </w:p>
        </w:tc>
        <w:tc>
          <w:tcPr>
            <w:tcW w:w="1160" w:type="dxa"/>
            <w:shd w:val="clear" w:color="auto" w:fill="auto"/>
            <w:tcMar>
              <w:top w:w="43" w:type="dxa"/>
              <w:left w:w="86" w:type="dxa"/>
              <w:bottom w:w="58" w:type="dxa"/>
              <w:right w:w="43" w:type="dxa"/>
            </w:tcMar>
            <w:vAlign w:val="center"/>
          </w:tcPr>
          <w:p w14:paraId="1BAD0832" w14:textId="77777777" w:rsidR="00D31EA2" w:rsidRDefault="00D31EA2" w:rsidP="00410442">
            <w:pPr>
              <w:rPr>
                <w:rFonts w:ascii="Arial" w:hAnsi="Arial" w:cs="Arial"/>
                <w:color w:val="000000"/>
                <w:sz w:val="18"/>
                <w:szCs w:val="18"/>
              </w:rPr>
            </w:pPr>
            <w:r>
              <w:rPr>
                <w:rFonts w:ascii="Arial" w:hAnsi="Arial" w:cs="Arial"/>
                <w:color w:val="000000"/>
                <w:sz w:val="18"/>
                <w:szCs w:val="18"/>
              </w:rPr>
              <w:t>5.36%</w:t>
            </w:r>
          </w:p>
        </w:tc>
        <w:tc>
          <w:tcPr>
            <w:tcW w:w="1160" w:type="dxa"/>
            <w:shd w:val="clear" w:color="auto" w:fill="auto"/>
            <w:tcMar>
              <w:top w:w="43" w:type="dxa"/>
              <w:left w:w="86" w:type="dxa"/>
              <w:bottom w:w="58" w:type="dxa"/>
              <w:right w:w="43" w:type="dxa"/>
            </w:tcMar>
            <w:vAlign w:val="center"/>
          </w:tcPr>
          <w:p w14:paraId="582022EE" w14:textId="77777777" w:rsidR="00D31EA2" w:rsidRDefault="00D31EA2" w:rsidP="00410442">
            <w:pPr>
              <w:rPr>
                <w:rFonts w:ascii="Arial" w:hAnsi="Arial" w:cs="Arial"/>
                <w:color w:val="000000"/>
                <w:sz w:val="18"/>
                <w:szCs w:val="18"/>
              </w:rPr>
            </w:pPr>
            <w:r>
              <w:rPr>
                <w:rFonts w:ascii="Arial" w:hAnsi="Arial" w:cs="Arial"/>
                <w:color w:val="000000"/>
                <w:sz w:val="18"/>
                <w:szCs w:val="18"/>
              </w:rPr>
              <w:t>5.77%</w:t>
            </w:r>
          </w:p>
        </w:tc>
      </w:tr>
    </w:tbl>
    <w:p w14:paraId="617577A4" w14:textId="46A755CD" w:rsidR="00D31EA2" w:rsidRPr="00D31EA2" w:rsidRDefault="00D31EA2" w:rsidP="00157535">
      <w:pPr>
        <w:pStyle w:val="DHHStablecaption"/>
      </w:pPr>
      <w:r w:rsidRPr="00D31EA2">
        <w:rPr>
          <w:rFonts w:eastAsia="Verdana"/>
        </w:rPr>
        <w:t>People accessing clinical mental health services</w:t>
      </w:r>
    </w:p>
    <w:tbl>
      <w:tblPr>
        <w:tblW w:w="0" w:type="auto"/>
        <w:tblBorders>
          <w:top w:val="single" w:sz="8" w:space="0" w:color="004EA8"/>
          <w:left w:val="single" w:sz="8" w:space="0" w:color="004EA8"/>
          <w:bottom w:val="single" w:sz="8" w:space="0" w:color="004EA8"/>
          <w:right w:val="single" w:sz="8" w:space="0" w:color="004EA8"/>
          <w:insideH w:val="single" w:sz="8" w:space="0" w:color="004EA8"/>
          <w:insideV w:val="single" w:sz="8" w:space="0" w:color="004EA8"/>
        </w:tblBorders>
        <w:tblCellMar>
          <w:left w:w="0" w:type="dxa"/>
          <w:right w:w="0" w:type="dxa"/>
        </w:tblCellMar>
        <w:tblLook w:val="0000" w:firstRow="0" w:lastRow="0" w:firstColumn="0" w:lastColumn="0" w:noHBand="0" w:noVBand="0"/>
      </w:tblPr>
      <w:tblGrid>
        <w:gridCol w:w="4181"/>
        <w:gridCol w:w="951"/>
        <w:gridCol w:w="951"/>
        <w:gridCol w:w="1065"/>
        <w:gridCol w:w="1065"/>
        <w:gridCol w:w="1065"/>
      </w:tblGrid>
      <w:tr w:rsidR="00D31EA2" w14:paraId="3A63F928" w14:textId="77777777" w:rsidTr="00157B5E">
        <w:trPr>
          <w:trHeight w:val="279"/>
          <w:tblHeader/>
        </w:trPr>
        <w:tc>
          <w:tcPr>
            <w:tcW w:w="5489" w:type="dxa"/>
            <w:shd w:val="clear" w:color="auto" w:fill="004EA8"/>
            <w:tcMar>
              <w:top w:w="40" w:type="dxa"/>
              <w:left w:w="80" w:type="dxa"/>
              <w:bottom w:w="40" w:type="dxa"/>
              <w:right w:w="40" w:type="dxa"/>
            </w:tcMar>
            <w:vAlign w:val="center"/>
          </w:tcPr>
          <w:p w14:paraId="65AD584D" w14:textId="3F322588" w:rsidR="00D31EA2" w:rsidRPr="00AA148D" w:rsidRDefault="00F2363E" w:rsidP="00410442">
            <w:pPr>
              <w:rPr>
                <w:rFonts w:ascii="Arial" w:hAnsi="Arial" w:cs="Arial"/>
                <w:sz w:val="18"/>
                <w:szCs w:val="18"/>
              </w:rPr>
            </w:pPr>
            <w:r>
              <w:rPr>
                <w:rFonts w:ascii="Arial" w:eastAsia="Verdana" w:hAnsi="Arial" w:cs="Arial"/>
                <w:b/>
                <w:color w:val="FFFFFF"/>
                <w:sz w:val="18"/>
                <w:szCs w:val="18"/>
              </w:rPr>
              <w:t>Measure</w:t>
            </w:r>
          </w:p>
        </w:tc>
        <w:tc>
          <w:tcPr>
            <w:tcW w:w="1065" w:type="dxa"/>
            <w:shd w:val="clear" w:color="auto" w:fill="004EA8"/>
            <w:vAlign w:val="center"/>
          </w:tcPr>
          <w:p w14:paraId="46217E94" w14:textId="77777777" w:rsidR="00D31EA2" w:rsidRDefault="00D31EA2" w:rsidP="00410442">
            <w:pPr>
              <w:rPr>
                <w:rFonts w:ascii="Arial" w:hAnsi="Arial" w:cs="Arial"/>
                <w:b/>
                <w:bCs/>
                <w:color w:val="FFFFFF"/>
                <w:sz w:val="18"/>
                <w:szCs w:val="18"/>
                <w:lang w:eastAsia="en-AU"/>
              </w:rPr>
            </w:pPr>
            <w:r>
              <w:rPr>
                <w:rFonts w:ascii="Arial" w:hAnsi="Arial" w:cs="Arial"/>
                <w:b/>
                <w:bCs/>
                <w:color w:val="FFFFFF"/>
                <w:sz w:val="18"/>
                <w:szCs w:val="18"/>
              </w:rPr>
              <w:t>2015–16</w:t>
            </w:r>
          </w:p>
        </w:tc>
        <w:tc>
          <w:tcPr>
            <w:tcW w:w="1065" w:type="dxa"/>
            <w:shd w:val="clear" w:color="auto" w:fill="004EA8"/>
            <w:vAlign w:val="center"/>
          </w:tcPr>
          <w:p w14:paraId="0E01D03B"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2016–17</w:t>
            </w:r>
          </w:p>
        </w:tc>
        <w:tc>
          <w:tcPr>
            <w:tcW w:w="1228" w:type="dxa"/>
            <w:shd w:val="clear" w:color="auto" w:fill="004EA8"/>
            <w:tcMar>
              <w:top w:w="40" w:type="dxa"/>
              <w:left w:w="80" w:type="dxa"/>
              <w:bottom w:w="60" w:type="dxa"/>
              <w:right w:w="40" w:type="dxa"/>
            </w:tcMar>
            <w:vAlign w:val="center"/>
          </w:tcPr>
          <w:p w14:paraId="769E2073"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2017–18</w:t>
            </w:r>
          </w:p>
        </w:tc>
        <w:tc>
          <w:tcPr>
            <w:tcW w:w="1228" w:type="dxa"/>
            <w:shd w:val="clear" w:color="auto" w:fill="004EA8"/>
            <w:tcMar>
              <w:top w:w="40" w:type="dxa"/>
              <w:left w:w="80" w:type="dxa"/>
              <w:bottom w:w="60" w:type="dxa"/>
              <w:right w:w="40" w:type="dxa"/>
            </w:tcMar>
            <w:vAlign w:val="center"/>
          </w:tcPr>
          <w:p w14:paraId="2B4FE4BF"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2018–19</w:t>
            </w:r>
          </w:p>
        </w:tc>
        <w:tc>
          <w:tcPr>
            <w:tcW w:w="1228" w:type="dxa"/>
            <w:shd w:val="clear" w:color="auto" w:fill="004EA8"/>
            <w:tcMar>
              <w:top w:w="40" w:type="dxa"/>
              <w:left w:w="80" w:type="dxa"/>
              <w:bottom w:w="60" w:type="dxa"/>
              <w:right w:w="40" w:type="dxa"/>
            </w:tcMar>
            <w:vAlign w:val="center"/>
          </w:tcPr>
          <w:p w14:paraId="33074EBA"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2019–20</w:t>
            </w:r>
          </w:p>
        </w:tc>
      </w:tr>
      <w:tr w:rsidR="00D31EA2" w14:paraId="51C40DA3" w14:textId="77777777" w:rsidTr="00311585">
        <w:trPr>
          <w:trHeight w:val="240"/>
        </w:trPr>
        <w:tc>
          <w:tcPr>
            <w:tcW w:w="5489" w:type="dxa"/>
            <w:tcMar>
              <w:top w:w="40" w:type="dxa"/>
              <w:left w:w="120" w:type="dxa"/>
              <w:bottom w:w="40" w:type="dxa"/>
              <w:right w:w="40" w:type="dxa"/>
            </w:tcMar>
          </w:tcPr>
          <w:p w14:paraId="285A473A"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Consumers accessing clinical mental health services</w:t>
            </w:r>
            <w:r w:rsidRPr="00AA148D">
              <w:rPr>
                <w:rFonts w:ascii="Arial" w:eastAsia="Verdana" w:hAnsi="Arial" w:cs="Arial"/>
                <w:color w:val="000000"/>
                <w:sz w:val="18"/>
                <w:szCs w:val="18"/>
                <w:vertAlign w:val="superscript"/>
              </w:rPr>
              <w:t>†</w:t>
            </w:r>
            <w:r w:rsidRPr="00AA148D">
              <w:rPr>
                <w:rFonts w:ascii="Arial" w:eastAsia="Verdana" w:hAnsi="Arial" w:cs="Arial"/>
                <w:color w:val="000000"/>
                <w:sz w:val="18"/>
                <w:szCs w:val="18"/>
              </w:rPr>
              <w:t xml:space="preserve"> </w:t>
            </w:r>
            <w:r w:rsidRPr="00AA148D">
              <w:rPr>
                <w:rFonts w:ascii="Arial" w:eastAsia="Verdana" w:hAnsi="Arial" w:cs="Arial"/>
                <w:color w:val="000000"/>
                <w:sz w:val="18"/>
                <w:szCs w:val="18"/>
                <w:vertAlign w:val="superscript"/>
              </w:rPr>
              <w:t>‡</w:t>
            </w:r>
          </w:p>
        </w:tc>
        <w:tc>
          <w:tcPr>
            <w:tcW w:w="1065" w:type="dxa"/>
            <w:tcMar>
              <w:top w:w="43" w:type="dxa"/>
              <w:left w:w="86" w:type="dxa"/>
              <w:bottom w:w="58" w:type="dxa"/>
              <w:right w:w="43" w:type="dxa"/>
            </w:tcMar>
          </w:tcPr>
          <w:p w14:paraId="2A6B51CA" w14:textId="77777777" w:rsidR="00D31EA2" w:rsidRPr="00C63D00" w:rsidRDefault="00D31EA2" w:rsidP="00C63D00">
            <w:pPr>
              <w:pStyle w:val="DHHStabletext"/>
              <w:rPr>
                <w:sz w:val="18"/>
                <w:szCs w:val="18"/>
              </w:rPr>
            </w:pPr>
            <w:r w:rsidRPr="00C63D00">
              <w:rPr>
                <w:sz w:val="18"/>
                <w:szCs w:val="18"/>
              </w:rPr>
              <w:t>67,563</w:t>
            </w:r>
          </w:p>
        </w:tc>
        <w:tc>
          <w:tcPr>
            <w:tcW w:w="1065" w:type="dxa"/>
            <w:tcMar>
              <w:top w:w="43" w:type="dxa"/>
              <w:left w:w="86" w:type="dxa"/>
              <w:bottom w:w="58" w:type="dxa"/>
              <w:right w:w="43" w:type="dxa"/>
            </w:tcMar>
          </w:tcPr>
          <w:p w14:paraId="722D846D" w14:textId="77777777" w:rsidR="00D31EA2" w:rsidRPr="00C63D00" w:rsidRDefault="00D31EA2" w:rsidP="00C63D00">
            <w:pPr>
              <w:pStyle w:val="DHHStabletext"/>
              <w:rPr>
                <w:sz w:val="18"/>
                <w:szCs w:val="18"/>
              </w:rPr>
            </w:pPr>
            <w:r w:rsidRPr="00C63D00">
              <w:rPr>
                <w:sz w:val="18"/>
                <w:szCs w:val="18"/>
              </w:rPr>
              <w:t>66,490</w:t>
            </w:r>
          </w:p>
        </w:tc>
        <w:tc>
          <w:tcPr>
            <w:tcW w:w="1228" w:type="dxa"/>
            <w:tcMar>
              <w:top w:w="43" w:type="dxa"/>
              <w:left w:w="86" w:type="dxa"/>
              <w:bottom w:w="58" w:type="dxa"/>
              <w:right w:w="43" w:type="dxa"/>
            </w:tcMar>
          </w:tcPr>
          <w:p w14:paraId="573E45D4" w14:textId="77777777" w:rsidR="00D31EA2" w:rsidRPr="00C63D00" w:rsidRDefault="00D31EA2" w:rsidP="00C63D00">
            <w:pPr>
              <w:pStyle w:val="DHHStabletext"/>
              <w:rPr>
                <w:sz w:val="18"/>
                <w:szCs w:val="18"/>
              </w:rPr>
            </w:pPr>
            <w:r w:rsidRPr="00C63D00">
              <w:rPr>
                <w:sz w:val="18"/>
                <w:szCs w:val="18"/>
              </w:rPr>
              <w:t>72,905</w:t>
            </w:r>
          </w:p>
        </w:tc>
        <w:tc>
          <w:tcPr>
            <w:tcW w:w="1228" w:type="dxa"/>
            <w:tcMar>
              <w:top w:w="43" w:type="dxa"/>
              <w:left w:w="86" w:type="dxa"/>
              <w:bottom w:w="58" w:type="dxa"/>
              <w:right w:w="43" w:type="dxa"/>
            </w:tcMar>
          </w:tcPr>
          <w:p w14:paraId="0B09B627" w14:textId="77777777" w:rsidR="00D31EA2" w:rsidRPr="00C63D00" w:rsidRDefault="00D31EA2" w:rsidP="00C63D00">
            <w:pPr>
              <w:pStyle w:val="DHHStabletext"/>
              <w:rPr>
                <w:sz w:val="18"/>
                <w:szCs w:val="18"/>
              </w:rPr>
            </w:pPr>
            <w:r w:rsidRPr="00C63D00">
              <w:rPr>
                <w:sz w:val="18"/>
                <w:szCs w:val="18"/>
              </w:rPr>
              <w:t>74,834</w:t>
            </w:r>
          </w:p>
        </w:tc>
        <w:tc>
          <w:tcPr>
            <w:tcW w:w="1228" w:type="dxa"/>
            <w:tcMar>
              <w:top w:w="43" w:type="dxa"/>
              <w:left w:w="86" w:type="dxa"/>
              <w:bottom w:w="58" w:type="dxa"/>
              <w:right w:w="43" w:type="dxa"/>
            </w:tcMar>
          </w:tcPr>
          <w:p w14:paraId="0E9DAB5F" w14:textId="77777777" w:rsidR="00D31EA2" w:rsidRPr="00C63D00" w:rsidRDefault="00D31EA2" w:rsidP="00C63D00">
            <w:pPr>
              <w:pStyle w:val="DHHStabletext"/>
              <w:rPr>
                <w:sz w:val="18"/>
                <w:szCs w:val="18"/>
              </w:rPr>
            </w:pPr>
            <w:r w:rsidRPr="00C63D00">
              <w:rPr>
                <w:sz w:val="18"/>
                <w:szCs w:val="18"/>
              </w:rPr>
              <w:t>76,441</w:t>
            </w:r>
          </w:p>
        </w:tc>
      </w:tr>
      <w:tr w:rsidR="00D31EA2" w14:paraId="4C0B528B" w14:textId="77777777" w:rsidTr="00311585">
        <w:trPr>
          <w:trHeight w:val="240"/>
        </w:trPr>
        <w:tc>
          <w:tcPr>
            <w:tcW w:w="5489" w:type="dxa"/>
            <w:tcMar>
              <w:top w:w="40" w:type="dxa"/>
              <w:left w:w="120" w:type="dxa"/>
              <w:bottom w:w="40" w:type="dxa"/>
              <w:right w:w="40" w:type="dxa"/>
            </w:tcMar>
          </w:tcPr>
          <w:p w14:paraId="694C13E8"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Proportion of population receiving clinical care (%)*</w:t>
            </w:r>
          </w:p>
        </w:tc>
        <w:tc>
          <w:tcPr>
            <w:tcW w:w="1065" w:type="dxa"/>
            <w:tcMar>
              <w:top w:w="43" w:type="dxa"/>
              <w:left w:w="86" w:type="dxa"/>
              <w:bottom w:w="58" w:type="dxa"/>
              <w:right w:w="43" w:type="dxa"/>
            </w:tcMar>
          </w:tcPr>
          <w:p w14:paraId="26A4A87D" w14:textId="77777777" w:rsidR="00D31EA2" w:rsidRPr="00C63D00" w:rsidRDefault="00D31EA2" w:rsidP="00C63D00">
            <w:pPr>
              <w:pStyle w:val="DHHStabletext"/>
              <w:rPr>
                <w:sz w:val="18"/>
                <w:szCs w:val="18"/>
              </w:rPr>
            </w:pPr>
            <w:r w:rsidRPr="00C63D00">
              <w:rPr>
                <w:sz w:val="18"/>
                <w:szCs w:val="18"/>
              </w:rPr>
              <w:t>1.10%</w:t>
            </w:r>
          </w:p>
        </w:tc>
        <w:tc>
          <w:tcPr>
            <w:tcW w:w="1065" w:type="dxa"/>
            <w:tcMar>
              <w:top w:w="43" w:type="dxa"/>
              <w:left w:w="86" w:type="dxa"/>
              <w:bottom w:w="58" w:type="dxa"/>
              <w:right w:w="43" w:type="dxa"/>
            </w:tcMar>
          </w:tcPr>
          <w:p w14:paraId="15E08AE5" w14:textId="77777777" w:rsidR="00D31EA2" w:rsidRPr="00C63D00" w:rsidRDefault="00D31EA2" w:rsidP="00C63D00">
            <w:pPr>
              <w:pStyle w:val="DHHStabletext"/>
              <w:rPr>
                <w:sz w:val="18"/>
                <w:szCs w:val="18"/>
              </w:rPr>
            </w:pPr>
            <w:r w:rsidRPr="00C63D00">
              <w:rPr>
                <w:sz w:val="18"/>
                <w:szCs w:val="18"/>
              </w:rPr>
              <w:t>1.07%</w:t>
            </w:r>
          </w:p>
        </w:tc>
        <w:tc>
          <w:tcPr>
            <w:tcW w:w="1228" w:type="dxa"/>
            <w:tcMar>
              <w:top w:w="43" w:type="dxa"/>
              <w:left w:w="86" w:type="dxa"/>
              <w:bottom w:w="58" w:type="dxa"/>
              <w:right w:w="43" w:type="dxa"/>
            </w:tcMar>
          </w:tcPr>
          <w:p w14:paraId="623D319B" w14:textId="77777777" w:rsidR="00D31EA2" w:rsidRPr="00C63D00" w:rsidRDefault="00D31EA2" w:rsidP="00C63D00">
            <w:pPr>
              <w:pStyle w:val="DHHStabletext"/>
              <w:rPr>
                <w:sz w:val="18"/>
                <w:szCs w:val="18"/>
              </w:rPr>
            </w:pPr>
            <w:r w:rsidRPr="00C63D00">
              <w:rPr>
                <w:sz w:val="18"/>
                <w:szCs w:val="18"/>
              </w:rPr>
              <w:t>1.15%</w:t>
            </w:r>
          </w:p>
        </w:tc>
        <w:tc>
          <w:tcPr>
            <w:tcW w:w="1228" w:type="dxa"/>
            <w:tcMar>
              <w:top w:w="43" w:type="dxa"/>
              <w:left w:w="86" w:type="dxa"/>
              <w:bottom w:w="58" w:type="dxa"/>
              <w:right w:w="43" w:type="dxa"/>
            </w:tcMar>
          </w:tcPr>
          <w:p w14:paraId="60A4ECE9" w14:textId="77777777" w:rsidR="00D31EA2" w:rsidRPr="00C63D00" w:rsidRDefault="00D31EA2" w:rsidP="00C63D00">
            <w:pPr>
              <w:pStyle w:val="DHHStabletext"/>
              <w:rPr>
                <w:sz w:val="18"/>
                <w:szCs w:val="18"/>
              </w:rPr>
            </w:pPr>
            <w:r w:rsidRPr="00C63D00">
              <w:rPr>
                <w:sz w:val="18"/>
                <w:szCs w:val="18"/>
              </w:rPr>
              <w:t>1.16%</w:t>
            </w:r>
          </w:p>
        </w:tc>
        <w:tc>
          <w:tcPr>
            <w:tcW w:w="1228" w:type="dxa"/>
            <w:tcMar>
              <w:top w:w="43" w:type="dxa"/>
              <w:left w:w="86" w:type="dxa"/>
              <w:bottom w:w="58" w:type="dxa"/>
              <w:right w:w="43" w:type="dxa"/>
            </w:tcMar>
          </w:tcPr>
          <w:p w14:paraId="32218C2C" w14:textId="77777777" w:rsidR="00D31EA2" w:rsidRPr="00C63D00" w:rsidRDefault="00D31EA2" w:rsidP="00C63D00">
            <w:pPr>
              <w:pStyle w:val="DHHStabletext"/>
              <w:rPr>
                <w:sz w:val="18"/>
                <w:szCs w:val="18"/>
              </w:rPr>
            </w:pPr>
            <w:r w:rsidRPr="00C63D00">
              <w:rPr>
                <w:sz w:val="18"/>
                <w:szCs w:val="18"/>
              </w:rPr>
              <w:t>1.16%</w:t>
            </w:r>
          </w:p>
        </w:tc>
      </w:tr>
    </w:tbl>
    <w:p w14:paraId="4D9DA408" w14:textId="696A812D" w:rsidR="00F02CFB" w:rsidRDefault="00F02CFB" w:rsidP="00157535">
      <w:pPr>
        <w:pStyle w:val="DHHSbodynospace"/>
      </w:pPr>
    </w:p>
    <w:tbl>
      <w:tblPr>
        <w:tblW w:w="0" w:type="auto"/>
        <w:tblBorders>
          <w:top w:val="single" w:sz="8" w:space="0" w:color="004EA8"/>
          <w:left w:val="single" w:sz="8" w:space="0" w:color="004EA8"/>
          <w:bottom w:val="single" w:sz="8" w:space="0" w:color="004EA8"/>
          <w:right w:val="single" w:sz="8" w:space="0" w:color="004EA8"/>
          <w:insideH w:val="single" w:sz="8" w:space="0" w:color="004EA8"/>
          <w:insideV w:val="single" w:sz="8" w:space="0" w:color="004EA8"/>
        </w:tblBorders>
        <w:tblCellMar>
          <w:left w:w="0" w:type="dxa"/>
          <w:right w:w="0" w:type="dxa"/>
        </w:tblCellMar>
        <w:tblLook w:val="0000" w:firstRow="0" w:lastRow="0" w:firstColumn="0" w:lastColumn="0" w:noHBand="0" w:noVBand="0"/>
      </w:tblPr>
      <w:tblGrid>
        <w:gridCol w:w="2242"/>
        <w:gridCol w:w="2173"/>
        <w:gridCol w:w="970"/>
        <w:gridCol w:w="971"/>
        <w:gridCol w:w="974"/>
        <w:gridCol w:w="974"/>
        <w:gridCol w:w="974"/>
      </w:tblGrid>
      <w:tr w:rsidR="00D31EA2" w14:paraId="577710D5" w14:textId="77777777" w:rsidTr="00157B5E">
        <w:trPr>
          <w:trHeight w:val="279"/>
          <w:tblHeader/>
        </w:trPr>
        <w:tc>
          <w:tcPr>
            <w:tcW w:w="2888" w:type="dxa"/>
            <w:shd w:val="clear" w:color="auto" w:fill="004EA8"/>
            <w:tcMar>
              <w:top w:w="40" w:type="dxa"/>
              <w:left w:w="80" w:type="dxa"/>
              <w:bottom w:w="40" w:type="dxa"/>
              <w:right w:w="40" w:type="dxa"/>
            </w:tcMar>
            <w:vAlign w:val="center"/>
          </w:tcPr>
          <w:p w14:paraId="0F5EFA9E" w14:textId="77777777" w:rsidR="00D31EA2" w:rsidRPr="00AA148D" w:rsidRDefault="00D31EA2" w:rsidP="00410442">
            <w:pPr>
              <w:rPr>
                <w:rFonts w:ascii="Arial" w:hAnsi="Arial" w:cs="Arial"/>
                <w:sz w:val="18"/>
                <w:szCs w:val="18"/>
              </w:rPr>
            </w:pPr>
            <w:r w:rsidRPr="00AA148D">
              <w:rPr>
                <w:rFonts w:ascii="Arial" w:eastAsia="Verdana" w:hAnsi="Arial" w:cs="Arial"/>
                <w:b/>
                <w:color w:val="FFFFFF"/>
                <w:sz w:val="18"/>
                <w:szCs w:val="18"/>
              </w:rPr>
              <w:t>Consumer location</w:t>
            </w:r>
          </w:p>
        </w:tc>
        <w:tc>
          <w:tcPr>
            <w:tcW w:w="2616" w:type="dxa"/>
            <w:shd w:val="clear" w:color="auto" w:fill="004EA8"/>
            <w:tcMar>
              <w:top w:w="40" w:type="dxa"/>
              <w:left w:w="80" w:type="dxa"/>
              <w:bottom w:w="40" w:type="dxa"/>
              <w:right w:w="40" w:type="dxa"/>
            </w:tcMar>
            <w:vAlign w:val="center"/>
          </w:tcPr>
          <w:p w14:paraId="49C126A9" w14:textId="01D6AC8D" w:rsidR="00D31EA2" w:rsidRPr="00AA148D" w:rsidRDefault="00C84B40" w:rsidP="00410442">
            <w:pPr>
              <w:rPr>
                <w:rFonts w:ascii="Arial" w:hAnsi="Arial" w:cs="Arial"/>
                <w:sz w:val="18"/>
                <w:szCs w:val="18"/>
              </w:rPr>
            </w:pPr>
            <w:r>
              <w:rPr>
                <w:rFonts w:ascii="Arial" w:eastAsia="Verdana" w:hAnsi="Arial" w:cs="Arial"/>
                <w:b/>
                <w:color w:val="FFFFFF"/>
                <w:sz w:val="18"/>
                <w:szCs w:val="18"/>
              </w:rPr>
              <w:t>Area</w:t>
            </w:r>
          </w:p>
        </w:tc>
        <w:tc>
          <w:tcPr>
            <w:tcW w:w="1159" w:type="dxa"/>
            <w:shd w:val="clear" w:color="auto" w:fill="004EA8"/>
            <w:vAlign w:val="center"/>
          </w:tcPr>
          <w:p w14:paraId="11F50221" w14:textId="77777777" w:rsidR="00D31EA2" w:rsidRDefault="00D31EA2" w:rsidP="00410442">
            <w:pPr>
              <w:rPr>
                <w:rFonts w:ascii="Arial" w:hAnsi="Arial" w:cs="Arial"/>
                <w:b/>
                <w:bCs/>
                <w:color w:val="FFFFFF"/>
                <w:sz w:val="18"/>
                <w:szCs w:val="18"/>
                <w:lang w:eastAsia="en-AU"/>
              </w:rPr>
            </w:pPr>
            <w:r>
              <w:rPr>
                <w:rFonts w:ascii="Arial" w:hAnsi="Arial" w:cs="Arial"/>
                <w:b/>
                <w:bCs/>
                <w:color w:val="FFFFFF"/>
                <w:sz w:val="18"/>
                <w:szCs w:val="18"/>
              </w:rPr>
              <w:t>2015–16</w:t>
            </w:r>
          </w:p>
        </w:tc>
        <w:tc>
          <w:tcPr>
            <w:tcW w:w="1160" w:type="dxa"/>
            <w:shd w:val="clear" w:color="auto" w:fill="004EA8"/>
            <w:vAlign w:val="center"/>
          </w:tcPr>
          <w:p w14:paraId="7F5F7291"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2016–17</w:t>
            </w:r>
          </w:p>
        </w:tc>
        <w:tc>
          <w:tcPr>
            <w:tcW w:w="1160" w:type="dxa"/>
            <w:shd w:val="clear" w:color="auto" w:fill="004EA8"/>
            <w:tcMar>
              <w:top w:w="40" w:type="dxa"/>
              <w:left w:w="80" w:type="dxa"/>
              <w:bottom w:w="60" w:type="dxa"/>
              <w:right w:w="40" w:type="dxa"/>
            </w:tcMar>
            <w:vAlign w:val="center"/>
          </w:tcPr>
          <w:p w14:paraId="0BBB28EE"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2017–18</w:t>
            </w:r>
          </w:p>
        </w:tc>
        <w:tc>
          <w:tcPr>
            <w:tcW w:w="1160" w:type="dxa"/>
            <w:shd w:val="clear" w:color="auto" w:fill="004EA8"/>
            <w:tcMar>
              <w:top w:w="40" w:type="dxa"/>
              <w:left w:w="80" w:type="dxa"/>
              <w:bottom w:w="60" w:type="dxa"/>
              <w:right w:w="40" w:type="dxa"/>
            </w:tcMar>
            <w:vAlign w:val="center"/>
          </w:tcPr>
          <w:p w14:paraId="261DD681"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2018–19</w:t>
            </w:r>
          </w:p>
        </w:tc>
        <w:tc>
          <w:tcPr>
            <w:tcW w:w="1160" w:type="dxa"/>
            <w:shd w:val="clear" w:color="auto" w:fill="004EA8"/>
            <w:tcMar>
              <w:top w:w="40" w:type="dxa"/>
              <w:left w:w="80" w:type="dxa"/>
              <w:bottom w:w="60" w:type="dxa"/>
              <w:right w:w="40" w:type="dxa"/>
            </w:tcMar>
            <w:vAlign w:val="center"/>
          </w:tcPr>
          <w:p w14:paraId="61BAD480"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2019–20</w:t>
            </w:r>
          </w:p>
        </w:tc>
      </w:tr>
      <w:tr w:rsidR="00D31EA2" w14:paraId="6B57CB02" w14:textId="77777777" w:rsidTr="00311585">
        <w:trPr>
          <w:trHeight w:val="240"/>
        </w:trPr>
        <w:tc>
          <w:tcPr>
            <w:tcW w:w="2888" w:type="dxa"/>
            <w:vMerge w:val="restart"/>
            <w:tcMar>
              <w:top w:w="40" w:type="dxa"/>
              <w:left w:w="120" w:type="dxa"/>
              <w:bottom w:w="40" w:type="dxa"/>
              <w:right w:w="40" w:type="dxa"/>
            </w:tcMar>
            <w:vAlign w:val="center"/>
          </w:tcPr>
          <w:p w14:paraId="0DCDAF85"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 xml:space="preserve">Consumer </w:t>
            </w:r>
            <w:r>
              <w:rPr>
                <w:rFonts w:ascii="Arial" w:eastAsia="Verdana" w:hAnsi="Arial" w:cs="Arial"/>
                <w:color w:val="000000"/>
                <w:sz w:val="18"/>
                <w:szCs w:val="18"/>
              </w:rPr>
              <w:t>bed-based</w:t>
            </w:r>
            <w:r w:rsidRPr="00AA148D">
              <w:rPr>
                <w:rFonts w:ascii="Arial" w:eastAsia="Verdana" w:hAnsi="Arial" w:cs="Arial"/>
                <w:color w:val="000000"/>
                <w:sz w:val="18"/>
                <w:szCs w:val="18"/>
              </w:rPr>
              <w:t xml:space="preserve"> location (%)</w:t>
            </w:r>
          </w:p>
        </w:tc>
        <w:tc>
          <w:tcPr>
            <w:tcW w:w="2616" w:type="dxa"/>
            <w:tcMar>
              <w:top w:w="40" w:type="dxa"/>
              <w:left w:w="80" w:type="dxa"/>
              <w:bottom w:w="40" w:type="dxa"/>
              <w:right w:w="40" w:type="dxa"/>
            </w:tcMar>
          </w:tcPr>
          <w:p w14:paraId="26D349A0"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Metro</w:t>
            </w:r>
          </w:p>
        </w:tc>
        <w:tc>
          <w:tcPr>
            <w:tcW w:w="1159" w:type="dxa"/>
            <w:tcMar>
              <w:top w:w="43" w:type="dxa"/>
              <w:left w:w="58" w:type="dxa"/>
              <w:bottom w:w="86" w:type="dxa"/>
              <w:right w:w="43" w:type="dxa"/>
            </w:tcMar>
          </w:tcPr>
          <w:p w14:paraId="12BC3D78" w14:textId="77777777" w:rsidR="00D31EA2" w:rsidRDefault="00D31EA2" w:rsidP="00410442">
            <w:pPr>
              <w:rPr>
                <w:rFonts w:ascii="Arial" w:hAnsi="Arial" w:cs="Arial"/>
                <w:color w:val="000000"/>
                <w:sz w:val="18"/>
                <w:szCs w:val="18"/>
              </w:rPr>
            </w:pPr>
            <w:r>
              <w:rPr>
                <w:rFonts w:ascii="Arial" w:hAnsi="Arial" w:cs="Arial"/>
                <w:color w:val="000000"/>
                <w:sz w:val="18"/>
                <w:szCs w:val="18"/>
              </w:rPr>
              <w:t>62.5%</w:t>
            </w:r>
          </w:p>
        </w:tc>
        <w:tc>
          <w:tcPr>
            <w:tcW w:w="1160" w:type="dxa"/>
            <w:tcMar>
              <w:top w:w="43" w:type="dxa"/>
              <w:left w:w="58" w:type="dxa"/>
              <w:bottom w:w="86" w:type="dxa"/>
              <w:right w:w="43" w:type="dxa"/>
            </w:tcMar>
          </w:tcPr>
          <w:p w14:paraId="5A8EDCDD" w14:textId="77777777" w:rsidR="00D31EA2" w:rsidRDefault="00D31EA2" w:rsidP="00410442">
            <w:pPr>
              <w:rPr>
                <w:rFonts w:ascii="Arial" w:hAnsi="Arial" w:cs="Arial"/>
                <w:color w:val="000000"/>
                <w:sz w:val="18"/>
                <w:szCs w:val="18"/>
              </w:rPr>
            </w:pPr>
            <w:r>
              <w:rPr>
                <w:rFonts w:ascii="Arial" w:hAnsi="Arial" w:cs="Arial"/>
                <w:color w:val="000000"/>
                <w:sz w:val="18"/>
                <w:szCs w:val="18"/>
              </w:rPr>
              <w:t>64.4%</w:t>
            </w:r>
          </w:p>
        </w:tc>
        <w:tc>
          <w:tcPr>
            <w:tcW w:w="1160" w:type="dxa"/>
            <w:tcMar>
              <w:top w:w="43" w:type="dxa"/>
              <w:left w:w="58" w:type="dxa"/>
              <w:bottom w:w="86" w:type="dxa"/>
              <w:right w:w="43" w:type="dxa"/>
            </w:tcMar>
          </w:tcPr>
          <w:p w14:paraId="35BBF3EF" w14:textId="77777777" w:rsidR="00D31EA2" w:rsidRDefault="00D31EA2" w:rsidP="00410442">
            <w:pPr>
              <w:rPr>
                <w:rFonts w:ascii="Arial" w:hAnsi="Arial" w:cs="Arial"/>
                <w:color w:val="000000"/>
                <w:sz w:val="18"/>
                <w:szCs w:val="18"/>
              </w:rPr>
            </w:pPr>
            <w:r>
              <w:rPr>
                <w:rFonts w:ascii="Arial" w:hAnsi="Arial" w:cs="Arial"/>
                <w:color w:val="000000"/>
                <w:sz w:val="18"/>
                <w:szCs w:val="18"/>
              </w:rPr>
              <w:t>64.1%</w:t>
            </w:r>
          </w:p>
        </w:tc>
        <w:tc>
          <w:tcPr>
            <w:tcW w:w="1160" w:type="dxa"/>
            <w:tcMar>
              <w:top w:w="43" w:type="dxa"/>
              <w:left w:w="58" w:type="dxa"/>
              <w:bottom w:w="86" w:type="dxa"/>
              <w:right w:w="43" w:type="dxa"/>
            </w:tcMar>
          </w:tcPr>
          <w:p w14:paraId="0689F603" w14:textId="77777777" w:rsidR="00D31EA2" w:rsidRDefault="00D31EA2" w:rsidP="00410442">
            <w:pPr>
              <w:rPr>
                <w:rFonts w:ascii="Arial" w:hAnsi="Arial" w:cs="Arial"/>
                <w:color w:val="000000"/>
                <w:sz w:val="18"/>
                <w:szCs w:val="18"/>
              </w:rPr>
            </w:pPr>
            <w:r>
              <w:rPr>
                <w:rFonts w:ascii="Arial" w:hAnsi="Arial" w:cs="Arial"/>
                <w:color w:val="000000"/>
                <w:sz w:val="18"/>
                <w:szCs w:val="18"/>
              </w:rPr>
              <w:t>64.0%</w:t>
            </w:r>
          </w:p>
        </w:tc>
        <w:tc>
          <w:tcPr>
            <w:tcW w:w="1160" w:type="dxa"/>
            <w:tcMar>
              <w:top w:w="43" w:type="dxa"/>
              <w:left w:w="58" w:type="dxa"/>
              <w:bottom w:w="86" w:type="dxa"/>
              <w:right w:w="43" w:type="dxa"/>
            </w:tcMar>
          </w:tcPr>
          <w:p w14:paraId="75AF90ED" w14:textId="77777777" w:rsidR="00D31EA2" w:rsidRDefault="00D31EA2" w:rsidP="00410442">
            <w:pPr>
              <w:rPr>
                <w:rFonts w:ascii="Arial" w:hAnsi="Arial" w:cs="Arial"/>
                <w:color w:val="000000"/>
                <w:sz w:val="18"/>
                <w:szCs w:val="18"/>
              </w:rPr>
            </w:pPr>
            <w:r>
              <w:rPr>
                <w:rFonts w:ascii="Arial" w:hAnsi="Arial" w:cs="Arial"/>
                <w:color w:val="000000"/>
                <w:sz w:val="18"/>
                <w:szCs w:val="18"/>
              </w:rPr>
              <w:t>63.6%</w:t>
            </w:r>
          </w:p>
        </w:tc>
      </w:tr>
      <w:tr w:rsidR="00D31EA2" w14:paraId="36E05DF0" w14:textId="77777777" w:rsidTr="00311585">
        <w:trPr>
          <w:trHeight w:val="240"/>
        </w:trPr>
        <w:tc>
          <w:tcPr>
            <w:tcW w:w="2888" w:type="dxa"/>
            <w:vMerge/>
            <w:tcMar>
              <w:top w:w="40" w:type="dxa"/>
              <w:left w:w="120" w:type="dxa"/>
              <w:bottom w:w="40" w:type="dxa"/>
              <w:right w:w="40" w:type="dxa"/>
            </w:tcMar>
            <w:vAlign w:val="center"/>
          </w:tcPr>
          <w:p w14:paraId="2213EFC2" w14:textId="77777777" w:rsidR="00D31EA2" w:rsidRPr="00AA148D" w:rsidRDefault="00D31EA2" w:rsidP="00410442">
            <w:pPr>
              <w:rPr>
                <w:rFonts w:ascii="Arial" w:hAnsi="Arial" w:cs="Arial"/>
                <w:sz w:val="18"/>
                <w:szCs w:val="18"/>
              </w:rPr>
            </w:pPr>
          </w:p>
        </w:tc>
        <w:tc>
          <w:tcPr>
            <w:tcW w:w="2616" w:type="dxa"/>
            <w:tcMar>
              <w:top w:w="40" w:type="dxa"/>
              <w:left w:w="80" w:type="dxa"/>
              <w:bottom w:w="40" w:type="dxa"/>
              <w:right w:w="40" w:type="dxa"/>
            </w:tcMar>
          </w:tcPr>
          <w:p w14:paraId="71E1ABD5"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Rural</w:t>
            </w:r>
          </w:p>
        </w:tc>
        <w:tc>
          <w:tcPr>
            <w:tcW w:w="1159" w:type="dxa"/>
            <w:tcMar>
              <w:top w:w="43" w:type="dxa"/>
              <w:left w:w="58" w:type="dxa"/>
              <w:bottom w:w="86" w:type="dxa"/>
              <w:right w:w="43" w:type="dxa"/>
            </w:tcMar>
          </w:tcPr>
          <w:p w14:paraId="7989F9B8" w14:textId="77777777" w:rsidR="00D31EA2" w:rsidRDefault="00D31EA2" w:rsidP="00410442">
            <w:pPr>
              <w:rPr>
                <w:rFonts w:ascii="Arial" w:hAnsi="Arial" w:cs="Arial"/>
                <w:color w:val="000000"/>
                <w:sz w:val="18"/>
                <w:szCs w:val="18"/>
              </w:rPr>
            </w:pPr>
            <w:r>
              <w:rPr>
                <w:rFonts w:ascii="Arial" w:hAnsi="Arial" w:cs="Arial"/>
                <w:color w:val="000000"/>
                <w:sz w:val="18"/>
                <w:szCs w:val="18"/>
              </w:rPr>
              <w:t>34.9%</w:t>
            </w:r>
          </w:p>
        </w:tc>
        <w:tc>
          <w:tcPr>
            <w:tcW w:w="1160" w:type="dxa"/>
            <w:tcMar>
              <w:top w:w="43" w:type="dxa"/>
              <w:left w:w="58" w:type="dxa"/>
              <w:bottom w:w="86" w:type="dxa"/>
              <w:right w:w="43" w:type="dxa"/>
            </w:tcMar>
          </w:tcPr>
          <w:p w14:paraId="3D3E050D" w14:textId="77777777" w:rsidR="00D31EA2" w:rsidRDefault="00D31EA2" w:rsidP="00410442">
            <w:pPr>
              <w:rPr>
                <w:rFonts w:ascii="Arial" w:hAnsi="Arial" w:cs="Arial"/>
                <w:color w:val="000000"/>
                <w:sz w:val="18"/>
                <w:szCs w:val="18"/>
              </w:rPr>
            </w:pPr>
            <w:r>
              <w:rPr>
                <w:rFonts w:ascii="Arial" w:hAnsi="Arial" w:cs="Arial"/>
                <w:color w:val="000000"/>
                <w:sz w:val="18"/>
                <w:szCs w:val="18"/>
              </w:rPr>
              <w:t>32.7%</w:t>
            </w:r>
          </w:p>
        </w:tc>
        <w:tc>
          <w:tcPr>
            <w:tcW w:w="1160" w:type="dxa"/>
            <w:tcMar>
              <w:top w:w="43" w:type="dxa"/>
              <w:left w:w="58" w:type="dxa"/>
              <w:bottom w:w="86" w:type="dxa"/>
              <w:right w:w="43" w:type="dxa"/>
            </w:tcMar>
          </w:tcPr>
          <w:p w14:paraId="0F548B48" w14:textId="77777777" w:rsidR="00D31EA2" w:rsidRDefault="00D31EA2" w:rsidP="00410442">
            <w:pPr>
              <w:rPr>
                <w:rFonts w:ascii="Arial" w:hAnsi="Arial" w:cs="Arial"/>
                <w:color w:val="000000"/>
                <w:sz w:val="18"/>
                <w:szCs w:val="18"/>
              </w:rPr>
            </w:pPr>
            <w:r>
              <w:rPr>
                <w:rFonts w:ascii="Arial" w:hAnsi="Arial" w:cs="Arial"/>
                <w:color w:val="000000"/>
                <w:sz w:val="18"/>
                <w:szCs w:val="18"/>
              </w:rPr>
              <w:t>32.9%</w:t>
            </w:r>
          </w:p>
        </w:tc>
        <w:tc>
          <w:tcPr>
            <w:tcW w:w="1160" w:type="dxa"/>
            <w:tcMar>
              <w:top w:w="43" w:type="dxa"/>
              <w:left w:w="58" w:type="dxa"/>
              <w:bottom w:w="86" w:type="dxa"/>
              <w:right w:w="43" w:type="dxa"/>
            </w:tcMar>
          </w:tcPr>
          <w:p w14:paraId="39700E8A" w14:textId="77777777" w:rsidR="00D31EA2" w:rsidRDefault="00D31EA2" w:rsidP="00410442">
            <w:pPr>
              <w:rPr>
                <w:rFonts w:ascii="Arial" w:hAnsi="Arial" w:cs="Arial"/>
                <w:color w:val="000000"/>
                <w:sz w:val="18"/>
                <w:szCs w:val="18"/>
              </w:rPr>
            </w:pPr>
            <w:r>
              <w:rPr>
                <w:rFonts w:ascii="Arial" w:hAnsi="Arial" w:cs="Arial"/>
                <w:color w:val="000000"/>
                <w:sz w:val="18"/>
                <w:szCs w:val="18"/>
              </w:rPr>
              <w:t>32.7%</w:t>
            </w:r>
          </w:p>
        </w:tc>
        <w:tc>
          <w:tcPr>
            <w:tcW w:w="1160" w:type="dxa"/>
            <w:tcMar>
              <w:top w:w="43" w:type="dxa"/>
              <w:left w:w="58" w:type="dxa"/>
              <w:bottom w:w="86" w:type="dxa"/>
              <w:right w:w="43" w:type="dxa"/>
            </w:tcMar>
          </w:tcPr>
          <w:p w14:paraId="1AEAA59E" w14:textId="77777777" w:rsidR="00D31EA2" w:rsidRDefault="00D31EA2" w:rsidP="00410442">
            <w:pPr>
              <w:rPr>
                <w:rFonts w:ascii="Arial" w:hAnsi="Arial" w:cs="Arial"/>
                <w:color w:val="000000"/>
                <w:sz w:val="18"/>
                <w:szCs w:val="18"/>
              </w:rPr>
            </w:pPr>
            <w:r>
              <w:rPr>
                <w:rFonts w:ascii="Arial" w:hAnsi="Arial" w:cs="Arial"/>
                <w:color w:val="000000"/>
                <w:sz w:val="18"/>
                <w:szCs w:val="18"/>
              </w:rPr>
              <w:t>33.0%</w:t>
            </w:r>
          </w:p>
        </w:tc>
      </w:tr>
      <w:tr w:rsidR="00D31EA2" w14:paraId="1F85877E" w14:textId="77777777" w:rsidTr="00311585">
        <w:trPr>
          <w:trHeight w:val="240"/>
        </w:trPr>
        <w:tc>
          <w:tcPr>
            <w:tcW w:w="2888" w:type="dxa"/>
            <w:vMerge/>
            <w:tcMar>
              <w:top w:w="40" w:type="dxa"/>
              <w:left w:w="120" w:type="dxa"/>
              <w:bottom w:w="40" w:type="dxa"/>
              <w:right w:w="40" w:type="dxa"/>
            </w:tcMar>
            <w:vAlign w:val="center"/>
          </w:tcPr>
          <w:p w14:paraId="58809B39" w14:textId="77777777" w:rsidR="00D31EA2" w:rsidRPr="00AA148D" w:rsidRDefault="00D31EA2" w:rsidP="00410442">
            <w:pPr>
              <w:rPr>
                <w:rFonts w:ascii="Arial" w:hAnsi="Arial" w:cs="Arial"/>
                <w:sz w:val="18"/>
                <w:szCs w:val="18"/>
              </w:rPr>
            </w:pPr>
          </w:p>
        </w:tc>
        <w:tc>
          <w:tcPr>
            <w:tcW w:w="2616" w:type="dxa"/>
            <w:tcMar>
              <w:top w:w="40" w:type="dxa"/>
              <w:left w:w="80" w:type="dxa"/>
              <w:bottom w:w="40" w:type="dxa"/>
              <w:right w:w="40" w:type="dxa"/>
            </w:tcMar>
          </w:tcPr>
          <w:p w14:paraId="58CFCE25"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Unknown/other</w:t>
            </w:r>
          </w:p>
        </w:tc>
        <w:tc>
          <w:tcPr>
            <w:tcW w:w="1159" w:type="dxa"/>
            <w:tcMar>
              <w:top w:w="43" w:type="dxa"/>
              <w:left w:w="58" w:type="dxa"/>
              <w:bottom w:w="86" w:type="dxa"/>
              <w:right w:w="43" w:type="dxa"/>
            </w:tcMar>
          </w:tcPr>
          <w:p w14:paraId="3724459F" w14:textId="77777777" w:rsidR="00D31EA2" w:rsidRDefault="00D31EA2" w:rsidP="00410442">
            <w:pPr>
              <w:rPr>
                <w:rFonts w:ascii="Arial" w:hAnsi="Arial" w:cs="Arial"/>
                <w:color w:val="000000"/>
                <w:sz w:val="18"/>
                <w:szCs w:val="18"/>
              </w:rPr>
            </w:pPr>
            <w:r>
              <w:rPr>
                <w:rFonts w:ascii="Arial" w:hAnsi="Arial" w:cs="Arial"/>
                <w:color w:val="000000"/>
                <w:sz w:val="18"/>
                <w:szCs w:val="18"/>
              </w:rPr>
              <w:t>2.6%</w:t>
            </w:r>
          </w:p>
        </w:tc>
        <w:tc>
          <w:tcPr>
            <w:tcW w:w="1160" w:type="dxa"/>
            <w:tcMar>
              <w:top w:w="43" w:type="dxa"/>
              <w:left w:w="58" w:type="dxa"/>
              <w:bottom w:w="86" w:type="dxa"/>
              <w:right w:w="43" w:type="dxa"/>
            </w:tcMar>
          </w:tcPr>
          <w:p w14:paraId="058FB8FC" w14:textId="77777777" w:rsidR="00D31EA2" w:rsidRDefault="00D31EA2" w:rsidP="00410442">
            <w:pPr>
              <w:rPr>
                <w:rFonts w:ascii="Arial" w:hAnsi="Arial" w:cs="Arial"/>
                <w:color w:val="000000"/>
                <w:sz w:val="18"/>
                <w:szCs w:val="18"/>
              </w:rPr>
            </w:pPr>
            <w:r>
              <w:rPr>
                <w:rFonts w:ascii="Arial" w:hAnsi="Arial" w:cs="Arial"/>
                <w:color w:val="000000"/>
                <w:sz w:val="18"/>
                <w:szCs w:val="18"/>
              </w:rPr>
              <w:t>3.0%</w:t>
            </w:r>
          </w:p>
        </w:tc>
        <w:tc>
          <w:tcPr>
            <w:tcW w:w="1160" w:type="dxa"/>
            <w:tcMar>
              <w:top w:w="43" w:type="dxa"/>
              <w:left w:w="58" w:type="dxa"/>
              <w:bottom w:w="86" w:type="dxa"/>
              <w:right w:w="43" w:type="dxa"/>
            </w:tcMar>
          </w:tcPr>
          <w:p w14:paraId="75B85550" w14:textId="77777777" w:rsidR="00D31EA2" w:rsidRDefault="00D31EA2" w:rsidP="00410442">
            <w:pPr>
              <w:rPr>
                <w:rFonts w:ascii="Arial" w:hAnsi="Arial" w:cs="Arial"/>
                <w:color w:val="000000"/>
                <w:sz w:val="18"/>
                <w:szCs w:val="18"/>
              </w:rPr>
            </w:pPr>
            <w:r>
              <w:rPr>
                <w:rFonts w:ascii="Arial" w:hAnsi="Arial" w:cs="Arial"/>
                <w:color w:val="000000"/>
                <w:sz w:val="18"/>
                <w:szCs w:val="18"/>
              </w:rPr>
              <w:t>3.0%</w:t>
            </w:r>
          </w:p>
        </w:tc>
        <w:tc>
          <w:tcPr>
            <w:tcW w:w="1160" w:type="dxa"/>
            <w:tcMar>
              <w:top w:w="43" w:type="dxa"/>
              <w:left w:w="58" w:type="dxa"/>
              <w:bottom w:w="86" w:type="dxa"/>
              <w:right w:w="43" w:type="dxa"/>
            </w:tcMar>
          </w:tcPr>
          <w:p w14:paraId="3BADDFFD" w14:textId="77777777" w:rsidR="00D31EA2" w:rsidRDefault="00D31EA2" w:rsidP="00410442">
            <w:pPr>
              <w:rPr>
                <w:rFonts w:ascii="Arial" w:hAnsi="Arial" w:cs="Arial"/>
                <w:color w:val="000000"/>
                <w:sz w:val="18"/>
                <w:szCs w:val="18"/>
              </w:rPr>
            </w:pPr>
            <w:r>
              <w:rPr>
                <w:rFonts w:ascii="Arial" w:hAnsi="Arial" w:cs="Arial"/>
                <w:color w:val="000000"/>
                <w:sz w:val="18"/>
                <w:szCs w:val="18"/>
              </w:rPr>
              <w:t>3.3%</w:t>
            </w:r>
          </w:p>
        </w:tc>
        <w:tc>
          <w:tcPr>
            <w:tcW w:w="1160" w:type="dxa"/>
            <w:tcMar>
              <w:top w:w="43" w:type="dxa"/>
              <w:left w:w="58" w:type="dxa"/>
              <w:bottom w:w="86" w:type="dxa"/>
              <w:right w:w="43" w:type="dxa"/>
            </w:tcMar>
          </w:tcPr>
          <w:p w14:paraId="1876C58E" w14:textId="77777777" w:rsidR="00D31EA2" w:rsidRDefault="00D31EA2" w:rsidP="00410442">
            <w:pPr>
              <w:rPr>
                <w:rFonts w:ascii="Arial" w:hAnsi="Arial" w:cs="Arial"/>
                <w:color w:val="000000"/>
                <w:sz w:val="18"/>
                <w:szCs w:val="18"/>
              </w:rPr>
            </w:pPr>
            <w:r>
              <w:rPr>
                <w:rFonts w:ascii="Arial" w:hAnsi="Arial" w:cs="Arial"/>
                <w:color w:val="000000"/>
                <w:sz w:val="18"/>
                <w:szCs w:val="18"/>
              </w:rPr>
              <w:t>3.4%</w:t>
            </w:r>
          </w:p>
        </w:tc>
      </w:tr>
    </w:tbl>
    <w:p w14:paraId="35EA7DA8" w14:textId="2D937E2D" w:rsidR="00D31EA2" w:rsidRDefault="00D31EA2" w:rsidP="00157535">
      <w:pPr>
        <w:pStyle w:val="DHHSbodynospace"/>
      </w:pPr>
    </w:p>
    <w:tbl>
      <w:tblPr>
        <w:tblW w:w="0" w:type="auto"/>
        <w:tblBorders>
          <w:top w:val="single" w:sz="8" w:space="0" w:color="004EA8"/>
          <w:left w:val="single" w:sz="8" w:space="0" w:color="004EA8"/>
          <w:bottom w:val="single" w:sz="8" w:space="0" w:color="004EA8"/>
          <w:right w:val="single" w:sz="8" w:space="0" w:color="004EA8"/>
          <w:insideH w:val="single" w:sz="8" w:space="0" w:color="004EA8"/>
          <w:insideV w:val="single" w:sz="8" w:space="0" w:color="004EA8"/>
        </w:tblBorders>
        <w:tblCellMar>
          <w:left w:w="0" w:type="dxa"/>
          <w:right w:w="0" w:type="dxa"/>
        </w:tblCellMar>
        <w:tblLook w:val="0000" w:firstRow="0" w:lastRow="0" w:firstColumn="0" w:lastColumn="0" w:noHBand="0" w:noVBand="0"/>
      </w:tblPr>
      <w:tblGrid>
        <w:gridCol w:w="2363"/>
        <w:gridCol w:w="2094"/>
        <w:gridCol w:w="966"/>
        <w:gridCol w:w="966"/>
        <w:gridCol w:w="963"/>
        <w:gridCol w:w="963"/>
        <w:gridCol w:w="963"/>
      </w:tblGrid>
      <w:tr w:rsidR="00D31EA2" w14:paraId="07DF5D4E" w14:textId="77777777" w:rsidTr="00157B5E">
        <w:trPr>
          <w:cantSplit/>
          <w:trHeight w:val="279"/>
          <w:tblHeader/>
        </w:trPr>
        <w:tc>
          <w:tcPr>
            <w:tcW w:w="2964" w:type="dxa"/>
            <w:shd w:val="clear" w:color="auto" w:fill="004EA8"/>
            <w:tcMar>
              <w:top w:w="40" w:type="dxa"/>
              <w:left w:w="80" w:type="dxa"/>
              <w:bottom w:w="40" w:type="dxa"/>
              <w:right w:w="40" w:type="dxa"/>
            </w:tcMar>
            <w:vAlign w:val="center"/>
          </w:tcPr>
          <w:p w14:paraId="03FE7E02" w14:textId="77777777" w:rsidR="00D31EA2" w:rsidRPr="00AA148D" w:rsidRDefault="00D31EA2" w:rsidP="00410442">
            <w:pPr>
              <w:rPr>
                <w:rFonts w:ascii="Arial" w:hAnsi="Arial" w:cs="Arial"/>
                <w:sz w:val="18"/>
                <w:szCs w:val="18"/>
              </w:rPr>
            </w:pPr>
            <w:r w:rsidRPr="00AA148D">
              <w:rPr>
                <w:rFonts w:ascii="Arial" w:eastAsia="Verdana" w:hAnsi="Arial" w:cs="Arial"/>
                <w:b/>
                <w:color w:val="FFFFFF"/>
                <w:sz w:val="18"/>
                <w:szCs w:val="18"/>
              </w:rPr>
              <w:t>Consumer demographics</w:t>
            </w:r>
          </w:p>
        </w:tc>
        <w:tc>
          <w:tcPr>
            <w:tcW w:w="2540" w:type="dxa"/>
            <w:shd w:val="clear" w:color="auto" w:fill="004EA8"/>
            <w:tcMar>
              <w:top w:w="40" w:type="dxa"/>
              <w:left w:w="80" w:type="dxa"/>
              <w:bottom w:w="40" w:type="dxa"/>
              <w:right w:w="40" w:type="dxa"/>
            </w:tcMar>
            <w:vAlign w:val="center"/>
          </w:tcPr>
          <w:p w14:paraId="5534C347" w14:textId="23A63E0B" w:rsidR="00D31EA2" w:rsidRPr="00AA148D" w:rsidRDefault="00C84B40" w:rsidP="00410442">
            <w:pPr>
              <w:rPr>
                <w:rFonts w:ascii="Arial" w:hAnsi="Arial" w:cs="Arial"/>
                <w:sz w:val="18"/>
                <w:szCs w:val="18"/>
              </w:rPr>
            </w:pPr>
            <w:r>
              <w:rPr>
                <w:rFonts w:ascii="Arial" w:eastAsia="Verdana" w:hAnsi="Arial" w:cs="Arial"/>
                <w:b/>
                <w:color w:val="FFFFFF"/>
                <w:sz w:val="18"/>
                <w:szCs w:val="18"/>
              </w:rPr>
              <w:t>Description</w:t>
            </w:r>
          </w:p>
        </w:tc>
        <w:tc>
          <w:tcPr>
            <w:tcW w:w="1159" w:type="dxa"/>
            <w:shd w:val="clear" w:color="auto" w:fill="004EA8"/>
            <w:vAlign w:val="center"/>
          </w:tcPr>
          <w:p w14:paraId="64346F9B" w14:textId="77777777" w:rsidR="00D31EA2" w:rsidRDefault="00D31EA2" w:rsidP="00410442">
            <w:pPr>
              <w:rPr>
                <w:rFonts w:ascii="Arial" w:hAnsi="Arial" w:cs="Arial"/>
                <w:b/>
                <w:bCs/>
                <w:color w:val="FFFFFF"/>
                <w:sz w:val="18"/>
                <w:szCs w:val="18"/>
                <w:lang w:eastAsia="en-AU"/>
              </w:rPr>
            </w:pPr>
            <w:r>
              <w:rPr>
                <w:rFonts w:ascii="Arial" w:hAnsi="Arial" w:cs="Arial"/>
                <w:b/>
                <w:bCs/>
                <w:color w:val="FFFFFF"/>
                <w:sz w:val="18"/>
                <w:szCs w:val="18"/>
              </w:rPr>
              <w:t>2015–16</w:t>
            </w:r>
          </w:p>
        </w:tc>
        <w:tc>
          <w:tcPr>
            <w:tcW w:w="1160" w:type="dxa"/>
            <w:shd w:val="clear" w:color="auto" w:fill="004EA8"/>
            <w:vAlign w:val="center"/>
          </w:tcPr>
          <w:p w14:paraId="4AAA6DF7"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2016–17</w:t>
            </w:r>
          </w:p>
        </w:tc>
        <w:tc>
          <w:tcPr>
            <w:tcW w:w="1160" w:type="dxa"/>
            <w:shd w:val="clear" w:color="auto" w:fill="004EA8"/>
            <w:tcMar>
              <w:top w:w="40" w:type="dxa"/>
              <w:left w:w="80" w:type="dxa"/>
              <w:bottom w:w="60" w:type="dxa"/>
              <w:right w:w="40" w:type="dxa"/>
            </w:tcMar>
            <w:vAlign w:val="center"/>
          </w:tcPr>
          <w:p w14:paraId="074982B6"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2017–18</w:t>
            </w:r>
          </w:p>
        </w:tc>
        <w:tc>
          <w:tcPr>
            <w:tcW w:w="1160" w:type="dxa"/>
            <w:shd w:val="clear" w:color="auto" w:fill="004EA8"/>
            <w:tcMar>
              <w:top w:w="40" w:type="dxa"/>
              <w:left w:w="80" w:type="dxa"/>
              <w:bottom w:w="60" w:type="dxa"/>
              <w:right w:w="40" w:type="dxa"/>
            </w:tcMar>
            <w:vAlign w:val="center"/>
          </w:tcPr>
          <w:p w14:paraId="2A283BC3"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2018–19</w:t>
            </w:r>
          </w:p>
        </w:tc>
        <w:tc>
          <w:tcPr>
            <w:tcW w:w="1160" w:type="dxa"/>
            <w:shd w:val="clear" w:color="auto" w:fill="004EA8"/>
            <w:tcMar>
              <w:top w:w="40" w:type="dxa"/>
              <w:left w:w="80" w:type="dxa"/>
              <w:bottom w:w="60" w:type="dxa"/>
              <w:right w:w="40" w:type="dxa"/>
            </w:tcMar>
            <w:vAlign w:val="center"/>
          </w:tcPr>
          <w:p w14:paraId="648971CB"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2019–20</w:t>
            </w:r>
          </w:p>
        </w:tc>
      </w:tr>
      <w:tr w:rsidR="00D31EA2" w14:paraId="4B36A1D9" w14:textId="77777777" w:rsidTr="00311585">
        <w:trPr>
          <w:cantSplit/>
          <w:trHeight w:val="240"/>
        </w:trPr>
        <w:tc>
          <w:tcPr>
            <w:tcW w:w="2964" w:type="dxa"/>
            <w:vMerge w:val="restart"/>
            <w:tcMar>
              <w:top w:w="40" w:type="dxa"/>
              <w:left w:w="120" w:type="dxa"/>
              <w:bottom w:w="40" w:type="dxa"/>
              <w:right w:w="40" w:type="dxa"/>
            </w:tcMar>
          </w:tcPr>
          <w:p w14:paraId="1F0B23AC"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Gender (%)</w:t>
            </w:r>
          </w:p>
        </w:tc>
        <w:tc>
          <w:tcPr>
            <w:tcW w:w="2540" w:type="dxa"/>
            <w:tcMar>
              <w:top w:w="40" w:type="dxa"/>
              <w:left w:w="80" w:type="dxa"/>
              <w:bottom w:w="40" w:type="dxa"/>
              <w:right w:w="40" w:type="dxa"/>
            </w:tcMar>
          </w:tcPr>
          <w:p w14:paraId="09644904"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Female</w:t>
            </w:r>
          </w:p>
        </w:tc>
        <w:tc>
          <w:tcPr>
            <w:tcW w:w="1159" w:type="dxa"/>
            <w:tcMar>
              <w:top w:w="43" w:type="dxa"/>
              <w:left w:w="86" w:type="dxa"/>
              <w:bottom w:w="58" w:type="dxa"/>
              <w:right w:w="43" w:type="dxa"/>
            </w:tcMar>
          </w:tcPr>
          <w:p w14:paraId="6751D586" w14:textId="77777777" w:rsidR="00D31EA2" w:rsidRDefault="00D31EA2" w:rsidP="00410442">
            <w:pPr>
              <w:rPr>
                <w:rFonts w:ascii="Arial" w:hAnsi="Arial" w:cs="Arial"/>
                <w:color w:val="000000"/>
                <w:sz w:val="18"/>
                <w:szCs w:val="18"/>
              </w:rPr>
            </w:pPr>
            <w:r>
              <w:rPr>
                <w:rFonts w:ascii="Arial" w:hAnsi="Arial" w:cs="Arial"/>
                <w:color w:val="000000"/>
                <w:sz w:val="18"/>
                <w:szCs w:val="18"/>
              </w:rPr>
              <w:t>50.4%</w:t>
            </w:r>
          </w:p>
        </w:tc>
        <w:tc>
          <w:tcPr>
            <w:tcW w:w="1160" w:type="dxa"/>
            <w:tcMar>
              <w:top w:w="43" w:type="dxa"/>
              <w:left w:w="86" w:type="dxa"/>
              <w:bottom w:w="58" w:type="dxa"/>
              <w:right w:w="43" w:type="dxa"/>
            </w:tcMar>
          </w:tcPr>
          <w:p w14:paraId="497962ED" w14:textId="77777777" w:rsidR="00D31EA2" w:rsidRDefault="00D31EA2" w:rsidP="00410442">
            <w:pPr>
              <w:rPr>
                <w:rFonts w:ascii="Arial" w:hAnsi="Arial" w:cs="Arial"/>
                <w:color w:val="000000"/>
                <w:sz w:val="18"/>
                <w:szCs w:val="18"/>
              </w:rPr>
            </w:pPr>
            <w:r>
              <w:rPr>
                <w:rFonts w:ascii="Arial" w:hAnsi="Arial" w:cs="Arial"/>
                <w:color w:val="000000"/>
                <w:sz w:val="18"/>
                <w:szCs w:val="18"/>
              </w:rPr>
              <w:t>50.4%</w:t>
            </w:r>
          </w:p>
        </w:tc>
        <w:tc>
          <w:tcPr>
            <w:tcW w:w="1160" w:type="dxa"/>
            <w:tcMar>
              <w:top w:w="40" w:type="dxa"/>
              <w:left w:w="80" w:type="dxa"/>
              <w:bottom w:w="60" w:type="dxa"/>
              <w:right w:w="40" w:type="dxa"/>
            </w:tcMar>
          </w:tcPr>
          <w:p w14:paraId="50D4F17E" w14:textId="77777777" w:rsidR="00D31EA2" w:rsidRDefault="00D31EA2" w:rsidP="00410442">
            <w:pPr>
              <w:rPr>
                <w:rFonts w:ascii="Arial" w:hAnsi="Arial" w:cs="Arial"/>
                <w:color w:val="000000"/>
                <w:sz w:val="18"/>
                <w:szCs w:val="18"/>
              </w:rPr>
            </w:pPr>
            <w:r>
              <w:rPr>
                <w:rFonts w:ascii="Arial" w:hAnsi="Arial" w:cs="Arial"/>
                <w:color w:val="000000"/>
                <w:sz w:val="18"/>
                <w:szCs w:val="18"/>
              </w:rPr>
              <w:t>50.3%</w:t>
            </w:r>
          </w:p>
        </w:tc>
        <w:tc>
          <w:tcPr>
            <w:tcW w:w="1160" w:type="dxa"/>
            <w:tcMar>
              <w:top w:w="40" w:type="dxa"/>
              <w:left w:w="80" w:type="dxa"/>
              <w:bottom w:w="60" w:type="dxa"/>
              <w:right w:w="40" w:type="dxa"/>
            </w:tcMar>
          </w:tcPr>
          <w:p w14:paraId="14414EFC" w14:textId="77777777" w:rsidR="00D31EA2" w:rsidRDefault="00D31EA2" w:rsidP="00410442">
            <w:pPr>
              <w:rPr>
                <w:rFonts w:ascii="Arial" w:hAnsi="Arial" w:cs="Arial"/>
                <w:color w:val="000000"/>
                <w:sz w:val="18"/>
                <w:szCs w:val="18"/>
              </w:rPr>
            </w:pPr>
            <w:r>
              <w:rPr>
                <w:rFonts w:ascii="Arial" w:hAnsi="Arial" w:cs="Arial"/>
                <w:color w:val="000000"/>
                <w:sz w:val="18"/>
                <w:szCs w:val="18"/>
              </w:rPr>
              <w:t>50.4%</w:t>
            </w:r>
          </w:p>
        </w:tc>
        <w:tc>
          <w:tcPr>
            <w:tcW w:w="1160" w:type="dxa"/>
            <w:tcMar>
              <w:top w:w="40" w:type="dxa"/>
              <w:left w:w="80" w:type="dxa"/>
              <w:bottom w:w="60" w:type="dxa"/>
              <w:right w:w="40" w:type="dxa"/>
            </w:tcMar>
          </w:tcPr>
          <w:p w14:paraId="287FD5B7" w14:textId="77777777" w:rsidR="00D31EA2" w:rsidRDefault="00D31EA2" w:rsidP="00410442">
            <w:pPr>
              <w:rPr>
                <w:rFonts w:ascii="Arial" w:hAnsi="Arial" w:cs="Arial"/>
                <w:color w:val="000000"/>
                <w:sz w:val="18"/>
                <w:szCs w:val="18"/>
              </w:rPr>
            </w:pPr>
            <w:r>
              <w:rPr>
                <w:rFonts w:ascii="Arial" w:hAnsi="Arial" w:cs="Arial"/>
                <w:color w:val="000000"/>
                <w:sz w:val="18"/>
                <w:szCs w:val="18"/>
              </w:rPr>
              <w:t>50.5%</w:t>
            </w:r>
          </w:p>
        </w:tc>
      </w:tr>
      <w:tr w:rsidR="00D31EA2" w14:paraId="7F9BA7C0" w14:textId="77777777" w:rsidTr="00311585">
        <w:trPr>
          <w:cantSplit/>
          <w:trHeight w:val="240"/>
        </w:trPr>
        <w:tc>
          <w:tcPr>
            <w:tcW w:w="2964" w:type="dxa"/>
            <w:vMerge/>
            <w:tcMar>
              <w:top w:w="40" w:type="dxa"/>
              <w:left w:w="120" w:type="dxa"/>
              <w:bottom w:w="40" w:type="dxa"/>
              <w:right w:w="40" w:type="dxa"/>
            </w:tcMar>
          </w:tcPr>
          <w:p w14:paraId="09EBEFE8" w14:textId="77777777" w:rsidR="00D31EA2" w:rsidRPr="00AA148D" w:rsidRDefault="00D31EA2" w:rsidP="00410442">
            <w:pPr>
              <w:rPr>
                <w:rFonts w:ascii="Arial" w:hAnsi="Arial" w:cs="Arial"/>
                <w:sz w:val="18"/>
                <w:szCs w:val="18"/>
              </w:rPr>
            </w:pPr>
          </w:p>
        </w:tc>
        <w:tc>
          <w:tcPr>
            <w:tcW w:w="2540" w:type="dxa"/>
            <w:tcMar>
              <w:top w:w="40" w:type="dxa"/>
              <w:left w:w="80" w:type="dxa"/>
              <w:bottom w:w="40" w:type="dxa"/>
              <w:right w:w="40" w:type="dxa"/>
            </w:tcMar>
          </w:tcPr>
          <w:p w14:paraId="3B5F443D"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Male</w:t>
            </w:r>
          </w:p>
        </w:tc>
        <w:tc>
          <w:tcPr>
            <w:tcW w:w="1159" w:type="dxa"/>
            <w:tcMar>
              <w:top w:w="43" w:type="dxa"/>
              <w:left w:w="86" w:type="dxa"/>
              <w:bottom w:w="58" w:type="dxa"/>
              <w:right w:w="43" w:type="dxa"/>
            </w:tcMar>
          </w:tcPr>
          <w:p w14:paraId="50C9B166" w14:textId="77777777" w:rsidR="00D31EA2" w:rsidRDefault="00D31EA2" w:rsidP="00410442">
            <w:pPr>
              <w:rPr>
                <w:rFonts w:ascii="Arial" w:hAnsi="Arial" w:cs="Arial"/>
                <w:color w:val="000000"/>
                <w:sz w:val="18"/>
                <w:szCs w:val="18"/>
              </w:rPr>
            </w:pPr>
            <w:r>
              <w:rPr>
                <w:rFonts w:ascii="Arial" w:hAnsi="Arial" w:cs="Arial"/>
                <w:color w:val="000000"/>
                <w:sz w:val="18"/>
                <w:szCs w:val="18"/>
              </w:rPr>
              <w:t>49.5%</w:t>
            </w:r>
          </w:p>
        </w:tc>
        <w:tc>
          <w:tcPr>
            <w:tcW w:w="1160" w:type="dxa"/>
            <w:tcMar>
              <w:top w:w="43" w:type="dxa"/>
              <w:left w:w="86" w:type="dxa"/>
              <w:bottom w:w="58" w:type="dxa"/>
              <w:right w:w="43" w:type="dxa"/>
            </w:tcMar>
          </w:tcPr>
          <w:p w14:paraId="64A77CB4" w14:textId="77777777" w:rsidR="00D31EA2" w:rsidRDefault="00D31EA2" w:rsidP="00410442">
            <w:pPr>
              <w:rPr>
                <w:rFonts w:ascii="Arial" w:hAnsi="Arial" w:cs="Arial"/>
                <w:color w:val="000000"/>
                <w:sz w:val="18"/>
                <w:szCs w:val="18"/>
              </w:rPr>
            </w:pPr>
            <w:r>
              <w:rPr>
                <w:rFonts w:ascii="Arial" w:hAnsi="Arial" w:cs="Arial"/>
                <w:color w:val="000000"/>
                <w:sz w:val="18"/>
                <w:szCs w:val="18"/>
              </w:rPr>
              <w:t>49.5%</w:t>
            </w:r>
          </w:p>
        </w:tc>
        <w:tc>
          <w:tcPr>
            <w:tcW w:w="1160" w:type="dxa"/>
            <w:tcMar>
              <w:top w:w="40" w:type="dxa"/>
              <w:left w:w="80" w:type="dxa"/>
              <w:bottom w:w="60" w:type="dxa"/>
              <w:right w:w="40" w:type="dxa"/>
            </w:tcMar>
          </w:tcPr>
          <w:p w14:paraId="0867FFC1" w14:textId="77777777" w:rsidR="00D31EA2" w:rsidRDefault="00D31EA2" w:rsidP="00410442">
            <w:pPr>
              <w:rPr>
                <w:rFonts w:ascii="Arial" w:hAnsi="Arial" w:cs="Arial"/>
                <w:color w:val="000000"/>
                <w:sz w:val="18"/>
                <w:szCs w:val="18"/>
              </w:rPr>
            </w:pPr>
            <w:r>
              <w:rPr>
                <w:rFonts w:ascii="Arial" w:hAnsi="Arial" w:cs="Arial"/>
                <w:color w:val="000000"/>
                <w:sz w:val="18"/>
                <w:szCs w:val="18"/>
              </w:rPr>
              <w:t>49.6%</w:t>
            </w:r>
          </w:p>
        </w:tc>
        <w:tc>
          <w:tcPr>
            <w:tcW w:w="1160" w:type="dxa"/>
            <w:tcMar>
              <w:top w:w="40" w:type="dxa"/>
              <w:left w:w="80" w:type="dxa"/>
              <w:bottom w:w="60" w:type="dxa"/>
              <w:right w:w="40" w:type="dxa"/>
            </w:tcMar>
          </w:tcPr>
          <w:p w14:paraId="18CB33FB" w14:textId="77777777" w:rsidR="00D31EA2" w:rsidRDefault="00D31EA2" w:rsidP="00410442">
            <w:pPr>
              <w:rPr>
                <w:rFonts w:ascii="Arial" w:hAnsi="Arial" w:cs="Arial"/>
                <w:color w:val="000000"/>
                <w:sz w:val="18"/>
                <w:szCs w:val="18"/>
              </w:rPr>
            </w:pPr>
            <w:r>
              <w:rPr>
                <w:rFonts w:ascii="Arial" w:hAnsi="Arial" w:cs="Arial"/>
                <w:color w:val="000000"/>
                <w:sz w:val="18"/>
                <w:szCs w:val="18"/>
              </w:rPr>
              <w:t>49.4%</w:t>
            </w:r>
          </w:p>
        </w:tc>
        <w:tc>
          <w:tcPr>
            <w:tcW w:w="1160" w:type="dxa"/>
            <w:tcMar>
              <w:top w:w="40" w:type="dxa"/>
              <w:left w:w="80" w:type="dxa"/>
              <w:bottom w:w="60" w:type="dxa"/>
              <w:right w:w="40" w:type="dxa"/>
            </w:tcMar>
          </w:tcPr>
          <w:p w14:paraId="4695E5BF" w14:textId="77777777" w:rsidR="00D31EA2" w:rsidRDefault="00D31EA2" w:rsidP="00410442">
            <w:pPr>
              <w:rPr>
                <w:rFonts w:ascii="Arial" w:hAnsi="Arial" w:cs="Arial"/>
                <w:color w:val="000000"/>
                <w:sz w:val="18"/>
                <w:szCs w:val="18"/>
              </w:rPr>
            </w:pPr>
            <w:r>
              <w:rPr>
                <w:rFonts w:ascii="Arial" w:hAnsi="Arial" w:cs="Arial"/>
                <w:color w:val="000000"/>
                <w:sz w:val="18"/>
                <w:szCs w:val="18"/>
              </w:rPr>
              <w:t>49.3%</w:t>
            </w:r>
          </w:p>
        </w:tc>
      </w:tr>
      <w:tr w:rsidR="00D31EA2" w14:paraId="11D9C3AD" w14:textId="77777777" w:rsidTr="00311585">
        <w:trPr>
          <w:cantSplit/>
          <w:trHeight w:val="240"/>
        </w:trPr>
        <w:tc>
          <w:tcPr>
            <w:tcW w:w="2964" w:type="dxa"/>
            <w:vMerge/>
            <w:tcMar>
              <w:top w:w="40" w:type="dxa"/>
              <w:left w:w="120" w:type="dxa"/>
              <w:bottom w:w="40" w:type="dxa"/>
              <w:right w:w="40" w:type="dxa"/>
            </w:tcMar>
          </w:tcPr>
          <w:p w14:paraId="117F6903" w14:textId="77777777" w:rsidR="00D31EA2" w:rsidRPr="00AA148D" w:rsidRDefault="00D31EA2" w:rsidP="00410442">
            <w:pPr>
              <w:rPr>
                <w:rFonts w:ascii="Arial" w:hAnsi="Arial" w:cs="Arial"/>
                <w:sz w:val="18"/>
                <w:szCs w:val="18"/>
              </w:rPr>
            </w:pPr>
          </w:p>
        </w:tc>
        <w:tc>
          <w:tcPr>
            <w:tcW w:w="2540" w:type="dxa"/>
            <w:tcMar>
              <w:top w:w="40" w:type="dxa"/>
              <w:left w:w="80" w:type="dxa"/>
              <w:bottom w:w="40" w:type="dxa"/>
              <w:right w:w="40" w:type="dxa"/>
            </w:tcMar>
          </w:tcPr>
          <w:p w14:paraId="5FEC6018"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Other/unknown</w:t>
            </w:r>
          </w:p>
        </w:tc>
        <w:tc>
          <w:tcPr>
            <w:tcW w:w="1159" w:type="dxa"/>
            <w:tcMar>
              <w:top w:w="43" w:type="dxa"/>
              <w:left w:w="86" w:type="dxa"/>
              <w:bottom w:w="58" w:type="dxa"/>
              <w:right w:w="43" w:type="dxa"/>
            </w:tcMar>
          </w:tcPr>
          <w:p w14:paraId="0A2F67EA" w14:textId="77777777" w:rsidR="00D31EA2" w:rsidRDefault="00D31EA2" w:rsidP="00410442">
            <w:pPr>
              <w:rPr>
                <w:rFonts w:ascii="Arial" w:hAnsi="Arial" w:cs="Arial"/>
                <w:color w:val="000000"/>
                <w:sz w:val="18"/>
                <w:szCs w:val="18"/>
              </w:rPr>
            </w:pPr>
            <w:r>
              <w:rPr>
                <w:rFonts w:ascii="Arial" w:hAnsi="Arial" w:cs="Arial"/>
                <w:color w:val="000000"/>
                <w:sz w:val="18"/>
                <w:szCs w:val="18"/>
              </w:rPr>
              <w:t>0.1%</w:t>
            </w:r>
          </w:p>
        </w:tc>
        <w:tc>
          <w:tcPr>
            <w:tcW w:w="1160" w:type="dxa"/>
            <w:tcMar>
              <w:top w:w="43" w:type="dxa"/>
              <w:left w:w="86" w:type="dxa"/>
              <w:bottom w:w="58" w:type="dxa"/>
              <w:right w:w="43" w:type="dxa"/>
            </w:tcMar>
          </w:tcPr>
          <w:p w14:paraId="57B244C3" w14:textId="77777777" w:rsidR="00D31EA2" w:rsidRDefault="00D31EA2" w:rsidP="00410442">
            <w:pPr>
              <w:rPr>
                <w:rFonts w:ascii="Arial" w:hAnsi="Arial" w:cs="Arial"/>
                <w:color w:val="000000"/>
                <w:sz w:val="18"/>
                <w:szCs w:val="18"/>
              </w:rPr>
            </w:pPr>
            <w:r>
              <w:rPr>
                <w:rFonts w:ascii="Arial" w:hAnsi="Arial" w:cs="Arial"/>
                <w:color w:val="000000"/>
                <w:sz w:val="18"/>
                <w:szCs w:val="18"/>
              </w:rPr>
              <w:t>0.1%</w:t>
            </w:r>
          </w:p>
        </w:tc>
        <w:tc>
          <w:tcPr>
            <w:tcW w:w="1160" w:type="dxa"/>
            <w:tcMar>
              <w:top w:w="40" w:type="dxa"/>
              <w:left w:w="80" w:type="dxa"/>
              <w:bottom w:w="60" w:type="dxa"/>
              <w:right w:w="40" w:type="dxa"/>
            </w:tcMar>
          </w:tcPr>
          <w:p w14:paraId="6D04D4FD" w14:textId="77777777" w:rsidR="00D31EA2" w:rsidRDefault="00D31EA2" w:rsidP="00410442">
            <w:pPr>
              <w:rPr>
                <w:rFonts w:ascii="Arial" w:hAnsi="Arial" w:cs="Arial"/>
                <w:color w:val="000000"/>
                <w:sz w:val="18"/>
                <w:szCs w:val="18"/>
              </w:rPr>
            </w:pPr>
            <w:r>
              <w:rPr>
                <w:rFonts w:ascii="Arial" w:hAnsi="Arial" w:cs="Arial"/>
                <w:color w:val="000000"/>
                <w:sz w:val="18"/>
                <w:szCs w:val="18"/>
              </w:rPr>
              <w:t>0.2%</w:t>
            </w:r>
          </w:p>
        </w:tc>
        <w:tc>
          <w:tcPr>
            <w:tcW w:w="1160" w:type="dxa"/>
            <w:tcMar>
              <w:top w:w="40" w:type="dxa"/>
              <w:left w:w="80" w:type="dxa"/>
              <w:bottom w:w="60" w:type="dxa"/>
              <w:right w:w="40" w:type="dxa"/>
            </w:tcMar>
          </w:tcPr>
          <w:p w14:paraId="6D6BDA2E" w14:textId="77777777" w:rsidR="00D31EA2" w:rsidRDefault="00D31EA2" w:rsidP="00410442">
            <w:pPr>
              <w:rPr>
                <w:rFonts w:ascii="Arial" w:hAnsi="Arial" w:cs="Arial"/>
                <w:color w:val="000000"/>
                <w:sz w:val="18"/>
                <w:szCs w:val="18"/>
              </w:rPr>
            </w:pPr>
            <w:r>
              <w:rPr>
                <w:rFonts w:ascii="Arial" w:hAnsi="Arial" w:cs="Arial"/>
                <w:color w:val="000000"/>
                <w:sz w:val="18"/>
                <w:szCs w:val="18"/>
              </w:rPr>
              <w:t>0.2%</w:t>
            </w:r>
          </w:p>
        </w:tc>
        <w:tc>
          <w:tcPr>
            <w:tcW w:w="1160" w:type="dxa"/>
            <w:tcMar>
              <w:top w:w="40" w:type="dxa"/>
              <w:left w:w="80" w:type="dxa"/>
              <w:bottom w:w="60" w:type="dxa"/>
              <w:right w:w="40" w:type="dxa"/>
            </w:tcMar>
          </w:tcPr>
          <w:p w14:paraId="5D9E02AE" w14:textId="77777777" w:rsidR="00D31EA2" w:rsidRDefault="00D31EA2" w:rsidP="00410442">
            <w:pPr>
              <w:rPr>
                <w:rFonts w:ascii="Arial" w:hAnsi="Arial" w:cs="Arial"/>
                <w:color w:val="000000"/>
                <w:sz w:val="18"/>
                <w:szCs w:val="18"/>
              </w:rPr>
            </w:pPr>
            <w:r>
              <w:rPr>
                <w:rFonts w:ascii="Arial" w:hAnsi="Arial" w:cs="Arial"/>
                <w:color w:val="000000"/>
                <w:sz w:val="18"/>
                <w:szCs w:val="18"/>
              </w:rPr>
              <w:t>0.2%</w:t>
            </w:r>
          </w:p>
        </w:tc>
      </w:tr>
      <w:tr w:rsidR="00D31EA2" w14:paraId="5E91B163" w14:textId="77777777" w:rsidTr="00311585">
        <w:trPr>
          <w:cantSplit/>
          <w:trHeight w:val="240"/>
        </w:trPr>
        <w:tc>
          <w:tcPr>
            <w:tcW w:w="2964" w:type="dxa"/>
            <w:vMerge w:val="restart"/>
            <w:tcMar>
              <w:top w:w="40" w:type="dxa"/>
              <w:left w:w="120" w:type="dxa"/>
              <w:bottom w:w="40" w:type="dxa"/>
              <w:right w:w="40" w:type="dxa"/>
            </w:tcMar>
          </w:tcPr>
          <w:p w14:paraId="6A347DFD"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Age group (%)</w:t>
            </w:r>
          </w:p>
        </w:tc>
        <w:tc>
          <w:tcPr>
            <w:tcW w:w="2540" w:type="dxa"/>
            <w:tcMar>
              <w:top w:w="40" w:type="dxa"/>
              <w:left w:w="80" w:type="dxa"/>
              <w:bottom w:w="40" w:type="dxa"/>
              <w:right w:w="40" w:type="dxa"/>
            </w:tcMar>
          </w:tcPr>
          <w:p w14:paraId="7AD25150" w14:textId="3BA6F4E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0</w:t>
            </w:r>
            <w:r w:rsidR="00C84B40">
              <w:rPr>
                <w:rFonts w:ascii="Arial" w:eastAsia="Verdana" w:hAnsi="Arial" w:cs="Arial"/>
                <w:color w:val="000000"/>
                <w:sz w:val="18"/>
                <w:szCs w:val="18"/>
              </w:rPr>
              <w:t>–</w:t>
            </w:r>
            <w:r w:rsidRPr="00AA148D">
              <w:rPr>
                <w:rFonts w:ascii="Arial" w:eastAsia="Verdana" w:hAnsi="Arial" w:cs="Arial"/>
                <w:color w:val="000000"/>
                <w:sz w:val="18"/>
                <w:szCs w:val="18"/>
              </w:rPr>
              <w:t>4</w:t>
            </w:r>
          </w:p>
        </w:tc>
        <w:tc>
          <w:tcPr>
            <w:tcW w:w="1159" w:type="dxa"/>
            <w:tcMar>
              <w:top w:w="43" w:type="dxa"/>
              <w:left w:w="86" w:type="dxa"/>
              <w:bottom w:w="58" w:type="dxa"/>
              <w:right w:w="43" w:type="dxa"/>
            </w:tcMar>
          </w:tcPr>
          <w:p w14:paraId="7186544F" w14:textId="77777777" w:rsidR="00D31EA2" w:rsidRDefault="00D31EA2" w:rsidP="00410442">
            <w:pPr>
              <w:rPr>
                <w:rFonts w:ascii="Arial" w:hAnsi="Arial" w:cs="Arial"/>
                <w:color w:val="000000"/>
                <w:sz w:val="18"/>
                <w:szCs w:val="18"/>
              </w:rPr>
            </w:pPr>
            <w:r>
              <w:rPr>
                <w:rFonts w:ascii="Arial" w:hAnsi="Arial" w:cs="Arial"/>
                <w:color w:val="000000"/>
                <w:sz w:val="18"/>
                <w:szCs w:val="18"/>
              </w:rPr>
              <w:t>0.8%</w:t>
            </w:r>
          </w:p>
        </w:tc>
        <w:tc>
          <w:tcPr>
            <w:tcW w:w="1160" w:type="dxa"/>
            <w:tcMar>
              <w:top w:w="43" w:type="dxa"/>
              <w:left w:w="86" w:type="dxa"/>
              <w:bottom w:w="58" w:type="dxa"/>
              <w:right w:w="43" w:type="dxa"/>
            </w:tcMar>
          </w:tcPr>
          <w:p w14:paraId="495D4A6B" w14:textId="77777777" w:rsidR="00D31EA2" w:rsidRDefault="00D31EA2" w:rsidP="00410442">
            <w:pPr>
              <w:rPr>
                <w:rFonts w:ascii="Arial" w:hAnsi="Arial" w:cs="Arial"/>
                <w:color w:val="000000"/>
                <w:sz w:val="18"/>
                <w:szCs w:val="18"/>
              </w:rPr>
            </w:pPr>
            <w:r>
              <w:rPr>
                <w:rFonts w:ascii="Arial" w:hAnsi="Arial" w:cs="Arial"/>
                <w:color w:val="000000"/>
                <w:sz w:val="18"/>
                <w:szCs w:val="18"/>
              </w:rPr>
              <w:t>0.8%</w:t>
            </w:r>
          </w:p>
        </w:tc>
        <w:tc>
          <w:tcPr>
            <w:tcW w:w="1160" w:type="dxa"/>
            <w:tcMar>
              <w:top w:w="40" w:type="dxa"/>
              <w:left w:w="80" w:type="dxa"/>
              <w:bottom w:w="60" w:type="dxa"/>
              <w:right w:w="40" w:type="dxa"/>
            </w:tcMar>
          </w:tcPr>
          <w:p w14:paraId="1AFCBE1E" w14:textId="77777777" w:rsidR="00D31EA2" w:rsidRDefault="00D31EA2" w:rsidP="00410442">
            <w:pPr>
              <w:rPr>
                <w:rFonts w:ascii="Arial" w:hAnsi="Arial" w:cs="Arial"/>
                <w:color w:val="000000"/>
                <w:sz w:val="18"/>
                <w:szCs w:val="18"/>
              </w:rPr>
            </w:pPr>
            <w:r>
              <w:rPr>
                <w:rFonts w:ascii="Arial" w:hAnsi="Arial" w:cs="Arial"/>
                <w:color w:val="000000"/>
                <w:sz w:val="18"/>
                <w:szCs w:val="18"/>
              </w:rPr>
              <w:t>0.8%</w:t>
            </w:r>
          </w:p>
        </w:tc>
        <w:tc>
          <w:tcPr>
            <w:tcW w:w="1160" w:type="dxa"/>
            <w:tcMar>
              <w:top w:w="40" w:type="dxa"/>
              <w:left w:w="80" w:type="dxa"/>
              <w:bottom w:w="60" w:type="dxa"/>
              <w:right w:w="40" w:type="dxa"/>
            </w:tcMar>
          </w:tcPr>
          <w:p w14:paraId="6D16572B" w14:textId="77777777" w:rsidR="00D31EA2" w:rsidRDefault="00D31EA2" w:rsidP="00410442">
            <w:pPr>
              <w:rPr>
                <w:rFonts w:ascii="Arial" w:hAnsi="Arial" w:cs="Arial"/>
                <w:color w:val="000000"/>
                <w:sz w:val="18"/>
                <w:szCs w:val="18"/>
              </w:rPr>
            </w:pPr>
            <w:r>
              <w:rPr>
                <w:rFonts w:ascii="Arial" w:hAnsi="Arial" w:cs="Arial"/>
                <w:color w:val="000000"/>
                <w:sz w:val="18"/>
                <w:szCs w:val="18"/>
              </w:rPr>
              <w:t>0.8%</w:t>
            </w:r>
          </w:p>
        </w:tc>
        <w:tc>
          <w:tcPr>
            <w:tcW w:w="1160" w:type="dxa"/>
            <w:tcMar>
              <w:top w:w="40" w:type="dxa"/>
              <w:left w:w="80" w:type="dxa"/>
              <w:bottom w:w="60" w:type="dxa"/>
              <w:right w:w="40" w:type="dxa"/>
            </w:tcMar>
          </w:tcPr>
          <w:p w14:paraId="0D1AF766" w14:textId="77777777" w:rsidR="00D31EA2" w:rsidRDefault="00D31EA2" w:rsidP="00410442">
            <w:pPr>
              <w:rPr>
                <w:rFonts w:ascii="Arial" w:hAnsi="Arial" w:cs="Arial"/>
                <w:color w:val="000000"/>
                <w:sz w:val="18"/>
                <w:szCs w:val="18"/>
              </w:rPr>
            </w:pPr>
            <w:r>
              <w:rPr>
                <w:rFonts w:ascii="Arial" w:hAnsi="Arial" w:cs="Arial"/>
                <w:color w:val="000000"/>
                <w:sz w:val="18"/>
                <w:szCs w:val="18"/>
              </w:rPr>
              <w:t>0.7%</w:t>
            </w:r>
          </w:p>
        </w:tc>
      </w:tr>
      <w:tr w:rsidR="00D31EA2" w14:paraId="60521B59" w14:textId="77777777" w:rsidTr="00311585">
        <w:trPr>
          <w:cantSplit/>
          <w:trHeight w:val="240"/>
        </w:trPr>
        <w:tc>
          <w:tcPr>
            <w:tcW w:w="2964" w:type="dxa"/>
            <w:vMerge/>
            <w:tcMar>
              <w:top w:w="40" w:type="dxa"/>
              <w:left w:w="120" w:type="dxa"/>
              <w:bottom w:w="40" w:type="dxa"/>
              <w:right w:w="40" w:type="dxa"/>
            </w:tcMar>
          </w:tcPr>
          <w:p w14:paraId="164EF8B0" w14:textId="77777777" w:rsidR="00D31EA2" w:rsidRPr="00AA148D" w:rsidRDefault="00D31EA2" w:rsidP="00410442">
            <w:pPr>
              <w:rPr>
                <w:rFonts w:ascii="Arial" w:hAnsi="Arial" w:cs="Arial"/>
                <w:sz w:val="18"/>
                <w:szCs w:val="18"/>
              </w:rPr>
            </w:pPr>
          </w:p>
        </w:tc>
        <w:tc>
          <w:tcPr>
            <w:tcW w:w="2540" w:type="dxa"/>
            <w:tcMar>
              <w:top w:w="40" w:type="dxa"/>
              <w:left w:w="80" w:type="dxa"/>
              <w:bottom w:w="40" w:type="dxa"/>
              <w:right w:w="40" w:type="dxa"/>
            </w:tcMar>
          </w:tcPr>
          <w:p w14:paraId="6EA7239E"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5</w:t>
            </w:r>
            <w:r>
              <w:rPr>
                <w:rFonts w:ascii="Arial" w:eastAsia="Verdana" w:hAnsi="Arial" w:cs="Arial"/>
                <w:color w:val="000000"/>
                <w:sz w:val="18"/>
                <w:szCs w:val="18"/>
              </w:rPr>
              <w:t>–1</w:t>
            </w:r>
            <w:r w:rsidRPr="00AA148D">
              <w:rPr>
                <w:rFonts w:ascii="Arial" w:eastAsia="Verdana" w:hAnsi="Arial" w:cs="Arial"/>
                <w:color w:val="000000"/>
                <w:sz w:val="18"/>
                <w:szCs w:val="18"/>
              </w:rPr>
              <w:t>4</w:t>
            </w:r>
          </w:p>
        </w:tc>
        <w:tc>
          <w:tcPr>
            <w:tcW w:w="1159" w:type="dxa"/>
            <w:tcMar>
              <w:top w:w="43" w:type="dxa"/>
              <w:left w:w="86" w:type="dxa"/>
              <w:bottom w:w="58" w:type="dxa"/>
              <w:right w:w="43" w:type="dxa"/>
            </w:tcMar>
          </w:tcPr>
          <w:p w14:paraId="1D0E60A2" w14:textId="77777777" w:rsidR="00D31EA2" w:rsidRDefault="00D31EA2" w:rsidP="00410442">
            <w:pPr>
              <w:rPr>
                <w:rFonts w:ascii="Arial" w:hAnsi="Arial" w:cs="Arial"/>
                <w:color w:val="000000"/>
                <w:sz w:val="18"/>
                <w:szCs w:val="18"/>
              </w:rPr>
            </w:pPr>
            <w:r>
              <w:rPr>
                <w:rFonts w:ascii="Arial" w:hAnsi="Arial" w:cs="Arial"/>
                <w:color w:val="000000"/>
                <w:sz w:val="18"/>
                <w:szCs w:val="18"/>
              </w:rPr>
              <w:t>7.5%</w:t>
            </w:r>
          </w:p>
        </w:tc>
        <w:tc>
          <w:tcPr>
            <w:tcW w:w="1160" w:type="dxa"/>
            <w:tcMar>
              <w:top w:w="43" w:type="dxa"/>
              <w:left w:w="86" w:type="dxa"/>
              <w:bottom w:w="58" w:type="dxa"/>
              <w:right w:w="43" w:type="dxa"/>
            </w:tcMar>
          </w:tcPr>
          <w:p w14:paraId="4B9DE09F" w14:textId="77777777" w:rsidR="00D31EA2" w:rsidRDefault="00D31EA2" w:rsidP="00410442">
            <w:pPr>
              <w:rPr>
                <w:rFonts w:ascii="Arial" w:hAnsi="Arial" w:cs="Arial"/>
                <w:color w:val="000000"/>
                <w:sz w:val="18"/>
                <w:szCs w:val="18"/>
              </w:rPr>
            </w:pPr>
            <w:r>
              <w:rPr>
                <w:rFonts w:ascii="Arial" w:hAnsi="Arial" w:cs="Arial"/>
                <w:color w:val="000000"/>
                <w:sz w:val="18"/>
                <w:szCs w:val="18"/>
              </w:rPr>
              <w:t>8.2%</w:t>
            </w:r>
          </w:p>
        </w:tc>
        <w:tc>
          <w:tcPr>
            <w:tcW w:w="1160" w:type="dxa"/>
            <w:tcMar>
              <w:top w:w="40" w:type="dxa"/>
              <w:left w:w="80" w:type="dxa"/>
              <w:bottom w:w="60" w:type="dxa"/>
              <w:right w:w="40" w:type="dxa"/>
            </w:tcMar>
          </w:tcPr>
          <w:p w14:paraId="02BF0F54" w14:textId="77777777" w:rsidR="00D31EA2" w:rsidRDefault="00D31EA2" w:rsidP="00410442">
            <w:pPr>
              <w:rPr>
                <w:rFonts w:ascii="Arial" w:hAnsi="Arial" w:cs="Arial"/>
                <w:color w:val="000000"/>
                <w:sz w:val="18"/>
                <w:szCs w:val="18"/>
              </w:rPr>
            </w:pPr>
            <w:r>
              <w:rPr>
                <w:rFonts w:ascii="Arial" w:hAnsi="Arial" w:cs="Arial"/>
                <w:color w:val="000000"/>
                <w:sz w:val="18"/>
                <w:szCs w:val="18"/>
              </w:rPr>
              <w:t>8.2%</w:t>
            </w:r>
          </w:p>
        </w:tc>
        <w:tc>
          <w:tcPr>
            <w:tcW w:w="1160" w:type="dxa"/>
            <w:tcMar>
              <w:top w:w="40" w:type="dxa"/>
              <w:left w:w="80" w:type="dxa"/>
              <w:bottom w:w="60" w:type="dxa"/>
              <w:right w:w="40" w:type="dxa"/>
            </w:tcMar>
          </w:tcPr>
          <w:p w14:paraId="76BBBBA4" w14:textId="77777777" w:rsidR="00D31EA2" w:rsidRDefault="00D31EA2" w:rsidP="00410442">
            <w:pPr>
              <w:rPr>
                <w:rFonts w:ascii="Arial" w:hAnsi="Arial" w:cs="Arial"/>
                <w:color w:val="000000"/>
                <w:sz w:val="18"/>
                <w:szCs w:val="18"/>
              </w:rPr>
            </w:pPr>
            <w:r>
              <w:rPr>
                <w:rFonts w:ascii="Arial" w:hAnsi="Arial" w:cs="Arial"/>
                <w:color w:val="000000"/>
                <w:sz w:val="18"/>
                <w:szCs w:val="18"/>
              </w:rPr>
              <w:t>8.5%</w:t>
            </w:r>
          </w:p>
        </w:tc>
        <w:tc>
          <w:tcPr>
            <w:tcW w:w="1160" w:type="dxa"/>
            <w:tcMar>
              <w:top w:w="40" w:type="dxa"/>
              <w:left w:w="80" w:type="dxa"/>
              <w:bottom w:w="60" w:type="dxa"/>
              <w:right w:w="40" w:type="dxa"/>
            </w:tcMar>
          </w:tcPr>
          <w:p w14:paraId="1B1A7047" w14:textId="77777777" w:rsidR="00D31EA2" w:rsidRDefault="00D31EA2" w:rsidP="00410442">
            <w:pPr>
              <w:rPr>
                <w:rFonts w:ascii="Arial" w:hAnsi="Arial" w:cs="Arial"/>
                <w:color w:val="000000"/>
                <w:sz w:val="18"/>
                <w:szCs w:val="18"/>
              </w:rPr>
            </w:pPr>
            <w:r>
              <w:rPr>
                <w:rFonts w:ascii="Arial" w:hAnsi="Arial" w:cs="Arial"/>
                <w:color w:val="000000"/>
                <w:sz w:val="18"/>
                <w:szCs w:val="18"/>
              </w:rPr>
              <w:t>8.0%</w:t>
            </w:r>
          </w:p>
        </w:tc>
      </w:tr>
      <w:tr w:rsidR="00D31EA2" w14:paraId="1E4D70D8" w14:textId="77777777" w:rsidTr="00311585">
        <w:trPr>
          <w:cantSplit/>
          <w:trHeight w:val="240"/>
        </w:trPr>
        <w:tc>
          <w:tcPr>
            <w:tcW w:w="2964" w:type="dxa"/>
            <w:vMerge/>
            <w:tcMar>
              <w:top w:w="40" w:type="dxa"/>
              <w:left w:w="120" w:type="dxa"/>
              <w:bottom w:w="40" w:type="dxa"/>
              <w:right w:w="40" w:type="dxa"/>
            </w:tcMar>
          </w:tcPr>
          <w:p w14:paraId="48F01114" w14:textId="77777777" w:rsidR="00D31EA2" w:rsidRPr="00AA148D" w:rsidRDefault="00D31EA2" w:rsidP="00410442">
            <w:pPr>
              <w:rPr>
                <w:rFonts w:ascii="Arial" w:hAnsi="Arial" w:cs="Arial"/>
                <w:sz w:val="18"/>
                <w:szCs w:val="18"/>
              </w:rPr>
            </w:pPr>
          </w:p>
        </w:tc>
        <w:tc>
          <w:tcPr>
            <w:tcW w:w="2540" w:type="dxa"/>
            <w:tcMar>
              <w:top w:w="40" w:type="dxa"/>
              <w:left w:w="80" w:type="dxa"/>
              <w:bottom w:w="40" w:type="dxa"/>
              <w:right w:w="40" w:type="dxa"/>
            </w:tcMar>
          </w:tcPr>
          <w:p w14:paraId="3CCC0DBF" w14:textId="32BE1A7A"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15</w:t>
            </w:r>
            <w:r w:rsidR="000A5AD9">
              <w:rPr>
                <w:rFonts w:ascii="Arial" w:eastAsia="Verdana" w:hAnsi="Arial" w:cs="Arial"/>
                <w:color w:val="000000"/>
                <w:sz w:val="18"/>
                <w:szCs w:val="18"/>
              </w:rPr>
              <w:t>–</w:t>
            </w:r>
            <w:r w:rsidRPr="00AA148D">
              <w:rPr>
                <w:rFonts w:ascii="Arial" w:eastAsia="Verdana" w:hAnsi="Arial" w:cs="Arial"/>
                <w:color w:val="000000"/>
                <w:sz w:val="18"/>
                <w:szCs w:val="18"/>
              </w:rPr>
              <w:t>24</w:t>
            </w:r>
          </w:p>
        </w:tc>
        <w:tc>
          <w:tcPr>
            <w:tcW w:w="1159" w:type="dxa"/>
            <w:tcMar>
              <w:top w:w="43" w:type="dxa"/>
              <w:left w:w="86" w:type="dxa"/>
              <w:bottom w:w="58" w:type="dxa"/>
              <w:right w:w="43" w:type="dxa"/>
            </w:tcMar>
          </w:tcPr>
          <w:p w14:paraId="7B383E49" w14:textId="77777777" w:rsidR="00D31EA2" w:rsidRDefault="00D31EA2" w:rsidP="00410442">
            <w:pPr>
              <w:rPr>
                <w:rFonts w:ascii="Arial" w:hAnsi="Arial" w:cs="Arial"/>
                <w:color w:val="000000"/>
                <w:sz w:val="18"/>
                <w:szCs w:val="18"/>
              </w:rPr>
            </w:pPr>
            <w:r>
              <w:rPr>
                <w:rFonts w:ascii="Arial" w:hAnsi="Arial" w:cs="Arial"/>
                <w:color w:val="000000"/>
                <w:sz w:val="18"/>
                <w:szCs w:val="18"/>
              </w:rPr>
              <w:t>19.0%</w:t>
            </w:r>
          </w:p>
        </w:tc>
        <w:tc>
          <w:tcPr>
            <w:tcW w:w="1160" w:type="dxa"/>
            <w:tcMar>
              <w:top w:w="43" w:type="dxa"/>
              <w:left w:w="86" w:type="dxa"/>
              <w:bottom w:w="58" w:type="dxa"/>
              <w:right w:w="43" w:type="dxa"/>
            </w:tcMar>
          </w:tcPr>
          <w:p w14:paraId="37BA77EC" w14:textId="77777777" w:rsidR="00D31EA2" w:rsidRDefault="00D31EA2" w:rsidP="00410442">
            <w:pPr>
              <w:rPr>
                <w:rFonts w:ascii="Arial" w:hAnsi="Arial" w:cs="Arial"/>
                <w:color w:val="000000"/>
                <w:sz w:val="18"/>
                <w:szCs w:val="18"/>
              </w:rPr>
            </w:pPr>
            <w:r>
              <w:rPr>
                <w:rFonts w:ascii="Arial" w:hAnsi="Arial" w:cs="Arial"/>
                <w:color w:val="000000"/>
                <w:sz w:val="18"/>
                <w:szCs w:val="18"/>
              </w:rPr>
              <w:t>19.1%</w:t>
            </w:r>
          </w:p>
        </w:tc>
        <w:tc>
          <w:tcPr>
            <w:tcW w:w="1160" w:type="dxa"/>
            <w:tcMar>
              <w:top w:w="40" w:type="dxa"/>
              <w:left w:w="80" w:type="dxa"/>
              <w:bottom w:w="60" w:type="dxa"/>
              <w:right w:w="40" w:type="dxa"/>
            </w:tcMar>
          </w:tcPr>
          <w:p w14:paraId="079766E3" w14:textId="77777777" w:rsidR="00D31EA2" w:rsidRDefault="00D31EA2" w:rsidP="00410442">
            <w:pPr>
              <w:rPr>
                <w:rFonts w:ascii="Arial" w:hAnsi="Arial" w:cs="Arial"/>
                <w:color w:val="000000"/>
                <w:sz w:val="18"/>
                <w:szCs w:val="18"/>
              </w:rPr>
            </w:pPr>
            <w:r>
              <w:rPr>
                <w:rFonts w:ascii="Arial" w:hAnsi="Arial" w:cs="Arial"/>
                <w:color w:val="000000"/>
                <w:sz w:val="18"/>
                <w:szCs w:val="18"/>
              </w:rPr>
              <w:t>19.3%</w:t>
            </w:r>
          </w:p>
        </w:tc>
        <w:tc>
          <w:tcPr>
            <w:tcW w:w="1160" w:type="dxa"/>
            <w:tcMar>
              <w:top w:w="40" w:type="dxa"/>
              <w:left w:w="80" w:type="dxa"/>
              <w:bottom w:w="60" w:type="dxa"/>
              <w:right w:w="40" w:type="dxa"/>
            </w:tcMar>
          </w:tcPr>
          <w:p w14:paraId="5652D73F" w14:textId="77777777" w:rsidR="00D31EA2" w:rsidRDefault="00D31EA2" w:rsidP="00410442">
            <w:pPr>
              <w:rPr>
                <w:rFonts w:ascii="Arial" w:hAnsi="Arial" w:cs="Arial"/>
                <w:color w:val="000000"/>
                <w:sz w:val="18"/>
                <w:szCs w:val="18"/>
              </w:rPr>
            </w:pPr>
            <w:r>
              <w:rPr>
                <w:rFonts w:ascii="Arial" w:hAnsi="Arial" w:cs="Arial"/>
                <w:color w:val="000000"/>
                <w:sz w:val="18"/>
                <w:szCs w:val="18"/>
              </w:rPr>
              <w:t>19.6%</w:t>
            </w:r>
          </w:p>
        </w:tc>
        <w:tc>
          <w:tcPr>
            <w:tcW w:w="1160" w:type="dxa"/>
            <w:tcMar>
              <w:top w:w="40" w:type="dxa"/>
              <w:left w:w="80" w:type="dxa"/>
              <w:bottom w:w="60" w:type="dxa"/>
              <w:right w:w="40" w:type="dxa"/>
            </w:tcMar>
          </w:tcPr>
          <w:p w14:paraId="43188259" w14:textId="77777777" w:rsidR="00D31EA2" w:rsidRDefault="00D31EA2" w:rsidP="00410442">
            <w:pPr>
              <w:rPr>
                <w:rFonts w:ascii="Arial" w:hAnsi="Arial" w:cs="Arial"/>
                <w:color w:val="000000"/>
                <w:sz w:val="18"/>
                <w:szCs w:val="18"/>
              </w:rPr>
            </w:pPr>
            <w:r>
              <w:rPr>
                <w:rFonts w:ascii="Arial" w:hAnsi="Arial" w:cs="Arial"/>
                <w:color w:val="000000"/>
                <w:sz w:val="18"/>
                <w:szCs w:val="18"/>
              </w:rPr>
              <w:t>19.8%</w:t>
            </w:r>
          </w:p>
        </w:tc>
      </w:tr>
      <w:tr w:rsidR="00D31EA2" w14:paraId="03E78E1B" w14:textId="77777777" w:rsidTr="00311585">
        <w:trPr>
          <w:cantSplit/>
          <w:trHeight w:val="240"/>
        </w:trPr>
        <w:tc>
          <w:tcPr>
            <w:tcW w:w="2964" w:type="dxa"/>
            <w:vMerge/>
            <w:tcMar>
              <w:top w:w="40" w:type="dxa"/>
              <w:left w:w="120" w:type="dxa"/>
              <w:bottom w:w="40" w:type="dxa"/>
              <w:right w:w="40" w:type="dxa"/>
            </w:tcMar>
          </w:tcPr>
          <w:p w14:paraId="1BEEC026" w14:textId="77777777" w:rsidR="00D31EA2" w:rsidRPr="00AA148D" w:rsidRDefault="00D31EA2" w:rsidP="00410442">
            <w:pPr>
              <w:rPr>
                <w:rFonts w:ascii="Arial" w:hAnsi="Arial" w:cs="Arial"/>
                <w:sz w:val="18"/>
                <w:szCs w:val="18"/>
              </w:rPr>
            </w:pPr>
          </w:p>
        </w:tc>
        <w:tc>
          <w:tcPr>
            <w:tcW w:w="2540" w:type="dxa"/>
            <w:tcMar>
              <w:top w:w="40" w:type="dxa"/>
              <w:left w:w="80" w:type="dxa"/>
              <w:bottom w:w="40" w:type="dxa"/>
              <w:right w:w="40" w:type="dxa"/>
            </w:tcMar>
          </w:tcPr>
          <w:p w14:paraId="314E35B1" w14:textId="26706DC8"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25</w:t>
            </w:r>
            <w:r w:rsidR="000A5AD9">
              <w:rPr>
                <w:rFonts w:ascii="Arial" w:eastAsia="Verdana" w:hAnsi="Arial" w:cs="Arial"/>
                <w:color w:val="000000"/>
                <w:sz w:val="18"/>
                <w:szCs w:val="18"/>
              </w:rPr>
              <w:t>–</w:t>
            </w:r>
            <w:r w:rsidRPr="00AA148D">
              <w:rPr>
                <w:rFonts w:ascii="Arial" w:eastAsia="Verdana" w:hAnsi="Arial" w:cs="Arial"/>
                <w:color w:val="000000"/>
                <w:sz w:val="18"/>
                <w:szCs w:val="18"/>
              </w:rPr>
              <w:t>34</w:t>
            </w:r>
          </w:p>
        </w:tc>
        <w:tc>
          <w:tcPr>
            <w:tcW w:w="1159" w:type="dxa"/>
            <w:tcMar>
              <w:top w:w="43" w:type="dxa"/>
              <w:left w:w="86" w:type="dxa"/>
              <w:bottom w:w="58" w:type="dxa"/>
              <w:right w:w="43" w:type="dxa"/>
            </w:tcMar>
          </w:tcPr>
          <w:p w14:paraId="206E9082" w14:textId="77777777" w:rsidR="00D31EA2" w:rsidRDefault="00D31EA2" w:rsidP="00410442">
            <w:pPr>
              <w:rPr>
                <w:rFonts w:ascii="Arial" w:hAnsi="Arial" w:cs="Arial"/>
                <w:color w:val="000000"/>
                <w:sz w:val="18"/>
                <w:szCs w:val="18"/>
              </w:rPr>
            </w:pPr>
            <w:r>
              <w:rPr>
                <w:rFonts w:ascii="Arial" w:hAnsi="Arial" w:cs="Arial"/>
                <w:color w:val="000000"/>
                <w:sz w:val="18"/>
                <w:szCs w:val="18"/>
              </w:rPr>
              <w:t>17.8%</w:t>
            </w:r>
          </w:p>
        </w:tc>
        <w:tc>
          <w:tcPr>
            <w:tcW w:w="1160" w:type="dxa"/>
            <w:tcMar>
              <w:top w:w="43" w:type="dxa"/>
              <w:left w:w="86" w:type="dxa"/>
              <w:bottom w:w="58" w:type="dxa"/>
              <w:right w:w="43" w:type="dxa"/>
            </w:tcMar>
          </w:tcPr>
          <w:p w14:paraId="4CAA9076" w14:textId="77777777" w:rsidR="00D31EA2" w:rsidRDefault="00D31EA2" w:rsidP="00410442">
            <w:pPr>
              <w:rPr>
                <w:rFonts w:ascii="Arial" w:hAnsi="Arial" w:cs="Arial"/>
                <w:color w:val="000000"/>
                <w:sz w:val="18"/>
                <w:szCs w:val="18"/>
              </w:rPr>
            </w:pPr>
            <w:r>
              <w:rPr>
                <w:rFonts w:ascii="Arial" w:hAnsi="Arial" w:cs="Arial"/>
                <w:color w:val="000000"/>
                <w:sz w:val="18"/>
                <w:szCs w:val="18"/>
              </w:rPr>
              <w:t>17.9%</w:t>
            </w:r>
          </w:p>
        </w:tc>
        <w:tc>
          <w:tcPr>
            <w:tcW w:w="1160" w:type="dxa"/>
            <w:tcMar>
              <w:top w:w="40" w:type="dxa"/>
              <w:left w:w="80" w:type="dxa"/>
              <w:bottom w:w="60" w:type="dxa"/>
              <w:right w:w="40" w:type="dxa"/>
            </w:tcMar>
          </w:tcPr>
          <w:p w14:paraId="4674D26A" w14:textId="77777777" w:rsidR="00D31EA2" w:rsidRDefault="00D31EA2" w:rsidP="00410442">
            <w:pPr>
              <w:rPr>
                <w:rFonts w:ascii="Arial" w:hAnsi="Arial" w:cs="Arial"/>
                <w:color w:val="000000"/>
                <w:sz w:val="18"/>
                <w:szCs w:val="18"/>
              </w:rPr>
            </w:pPr>
            <w:r>
              <w:rPr>
                <w:rFonts w:ascii="Arial" w:hAnsi="Arial" w:cs="Arial"/>
                <w:color w:val="000000"/>
                <w:sz w:val="18"/>
                <w:szCs w:val="18"/>
              </w:rPr>
              <w:t>17.6%</w:t>
            </w:r>
          </w:p>
        </w:tc>
        <w:tc>
          <w:tcPr>
            <w:tcW w:w="1160" w:type="dxa"/>
            <w:tcMar>
              <w:top w:w="40" w:type="dxa"/>
              <w:left w:w="80" w:type="dxa"/>
              <w:bottom w:w="60" w:type="dxa"/>
              <w:right w:w="40" w:type="dxa"/>
            </w:tcMar>
          </w:tcPr>
          <w:p w14:paraId="0AB8F44B" w14:textId="77777777" w:rsidR="00D31EA2" w:rsidRDefault="00D31EA2" w:rsidP="00410442">
            <w:pPr>
              <w:rPr>
                <w:rFonts w:ascii="Arial" w:hAnsi="Arial" w:cs="Arial"/>
                <w:color w:val="000000"/>
                <w:sz w:val="18"/>
                <w:szCs w:val="18"/>
              </w:rPr>
            </w:pPr>
            <w:r>
              <w:rPr>
                <w:rFonts w:ascii="Arial" w:hAnsi="Arial" w:cs="Arial"/>
                <w:color w:val="000000"/>
                <w:sz w:val="18"/>
                <w:szCs w:val="18"/>
              </w:rPr>
              <w:t>18.0%</w:t>
            </w:r>
          </w:p>
        </w:tc>
        <w:tc>
          <w:tcPr>
            <w:tcW w:w="1160" w:type="dxa"/>
            <w:tcMar>
              <w:top w:w="40" w:type="dxa"/>
              <w:left w:w="80" w:type="dxa"/>
              <w:bottom w:w="60" w:type="dxa"/>
              <w:right w:w="40" w:type="dxa"/>
            </w:tcMar>
          </w:tcPr>
          <w:p w14:paraId="7480952B" w14:textId="77777777" w:rsidR="00D31EA2" w:rsidRDefault="00D31EA2" w:rsidP="00410442">
            <w:pPr>
              <w:rPr>
                <w:rFonts w:ascii="Arial" w:hAnsi="Arial" w:cs="Arial"/>
                <w:color w:val="000000"/>
                <w:sz w:val="18"/>
                <w:szCs w:val="18"/>
              </w:rPr>
            </w:pPr>
            <w:r>
              <w:rPr>
                <w:rFonts w:ascii="Arial" w:hAnsi="Arial" w:cs="Arial"/>
                <w:color w:val="000000"/>
                <w:sz w:val="18"/>
                <w:szCs w:val="18"/>
              </w:rPr>
              <w:t>18.4%</w:t>
            </w:r>
          </w:p>
        </w:tc>
      </w:tr>
      <w:tr w:rsidR="00D31EA2" w14:paraId="600E95DC" w14:textId="77777777" w:rsidTr="00311585">
        <w:trPr>
          <w:cantSplit/>
          <w:trHeight w:val="240"/>
        </w:trPr>
        <w:tc>
          <w:tcPr>
            <w:tcW w:w="2964" w:type="dxa"/>
            <w:vMerge/>
            <w:tcMar>
              <w:top w:w="40" w:type="dxa"/>
              <w:left w:w="120" w:type="dxa"/>
              <w:bottom w:w="40" w:type="dxa"/>
              <w:right w:w="40" w:type="dxa"/>
            </w:tcMar>
          </w:tcPr>
          <w:p w14:paraId="65436278" w14:textId="77777777" w:rsidR="00D31EA2" w:rsidRPr="00AA148D" w:rsidRDefault="00D31EA2" w:rsidP="00410442">
            <w:pPr>
              <w:rPr>
                <w:rFonts w:ascii="Arial" w:hAnsi="Arial" w:cs="Arial"/>
                <w:sz w:val="18"/>
                <w:szCs w:val="18"/>
              </w:rPr>
            </w:pPr>
          </w:p>
        </w:tc>
        <w:tc>
          <w:tcPr>
            <w:tcW w:w="2540" w:type="dxa"/>
            <w:tcMar>
              <w:top w:w="40" w:type="dxa"/>
              <w:left w:w="80" w:type="dxa"/>
              <w:bottom w:w="40" w:type="dxa"/>
              <w:right w:w="40" w:type="dxa"/>
            </w:tcMar>
          </w:tcPr>
          <w:p w14:paraId="65258C6E" w14:textId="53E1181B"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35</w:t>
            </w:r>
            <w:r w:rsidR="000A5AD9">
              <w:rPr>
                <w:rFonts w:ascii="Arial" w:eastAsia="Verdana" w:hAnsi="Arial" w:cs="Arial"/>
                <w:color w:val="000000"/>
                <w:sz w:val="18"/>
                <w:szCs w:val="18"/>
              </w:rPr>
              <w:t>–</w:t>
            </w:r>
            <w:r w:rsidRPr="00AA148D">
              <w:rPr>
                <w:rFonts w:ascii="Arial" w:eastAsia="Verdana" w:hAnsi="Arial" w:cs="Arial"/>
                <w:color w:val="000000"/>
                <w:sz w:val="18"/>
                <w:szCs w:val="18"/>
              </w:rPr>
              <w:t>44</w:t>
            </w:r>
          </w:p>
        </w:tc>
        <w:tc>
          <w:tcPr>
            <w:tcW w:w="1159" w:type="dxa"/>
            <w:tcMar>
              <w:top w:w="43" w:type="dxa"/>
              <w:left w:w="86" w:type="dxa"/>
              <w:bottom w:w="58" w:type="dxa"/>
              <w:right w:w="43" w:type="dxa"/>
            </w:tcMar>
          </w:tcPr>
          <w:p w14:paraId="6C8934F2" w14:textId="77777777" w:rsidR="00D31EA2" w:rsidRDefault="00D31EA2" w:rsidP="00410442">
            <w:pPr>
              <w:rPr>
                <w:rFonts w:ascii="Arial" w:hAnsi="Arial" w:cs="Arial"/>
                <w:color w:val="000000"/>
                <w:sz w:val="18"/>
                <w:szCs w:val="18"/>
              </w:rPr>
            </w:pPr>
            <w:r>
              <w:rPr>
                <w:rFonts w:ascii="Arial" w:hAnsi="Arial" w:cs="Arial"/>
                <w:color w:val="000000"/>
                <w:sz w:val="18"/>
                <w:szCs w:val="18"/>
              </w:rPr>
              <w:t>18.6%</w:t>
            </w:r>
          </w:p>
        </w:tc>
        <w:tc>
          <w:tcPr>
            <w:tcW w:w="1160" w:type="dxa"/>
            <w:tcMar>
              <w:top w:w="43" w:type="dxa"/>
              <w:left w:w="86" w:type="dxa"/>
              <w:bottom w:w="58" w:type="dxa"/>
              <w:right w:w="43" w:type="dxa"/>
            </w:tcMar>
          </w:tcPr>
          <w:p w14:paraId="66C111B6" w14:textId="77777777" w:rsidR="00D31EA2" w:rsidRDefault="00D31EA2" w:rsidP="00410442">
            <w:pPr>
              <w:rPr>
                <w:rFonts w:ascii="Arial" w:hAnsi="Arial" w:cs="Arial"/>
                <w:color w:val="000000"/>
                <w:sz w:val="18"/>
                <w:szCs w:val="18"/>
              </w:rPr>
            </w:pPr>
            <w:r>
              <w:rPr>
                <w:rFonts w:ascii="Arial" w:hAnsi="Arial" w:cs="Arial"/>
                <w:color w:val="000000"/>
                <w:sz w:val="18"/>
                <w:szCs w:val="18"/>
              </w:rPr>
              <w:t>18.2%</w:t>
            </w:r>
          </w:p>
        </w:tc>
        <w:tc>
          <w:tcPr>
            <w:tcW w:w="1160" w:type="dxa"/>
            <w:tcMar>
              <w:top w:w="40" w:type="dxa"/>
              <w:left w:w="80" w:type="dxa"/>
              <w:bottom w:w="60" w:type="dxa"/>
              <w:right w:w="40" w:type="dxa"/>
            </w:tcMar>
          </w:tcPr>
          <w:p w14:paraId="17D15F3E" w14:textId="77777777" w:rsidR="00D31EA2" w:rsidRDefault="00D31EA2" w:rsidP="00410442">
            <w:pPr>
              <w:rPr>
                <w:rFonts w:ascii="Arial" w:hAnsi="Arial" w:cs="Arial"/>
                <w:color w:val="000000"/>
                <w:sz w:val="18"/>
                <w:szCs w:val="18"/>
              </w:rPr>
            </w:pPr>
            <w:r>
              <w:rPr>
                <w:rFonts w:ascii="Arial" w:hAnsi="Arial" w:cs="Arial"/>
                <w:color w:val="000000"/>
                <w:sz w:val="18"/>
                <w:szCs w:val="18"/>
              </w:rPr>
              <w:t>18.0%</w:t>
            </w:r>
          </w:p>
        </w:tc>
        <w:tc>
          <w:tcPr>
            <w:tcW w:w="1160" w:type="dxa"/>
            <w:tcMar>
              <w:top w:w="40" w:type="dxa"/>
              <w:left w:w="80" w:type="dxa"/>
              <w:bottom w:w="60" w:type="dxa"/>
              <w:right w:w="40" w:type="dxa"/>
            </w:tcMar>
          </w:tcPr>
          <w:p w14:paraId="563F851F" w14:textId="77777777" w:rsidR="00D31EA2" w:rsidRDefault="00D31EA2" w:rsidP="00410442">
            <w:pPr>
              <w:rPr>
                <w:rFonts w:ascii="Arial" w:hAnsi="Arial" w:cs="Arial"/>
                <w:color w:val="000000"/>
                <w:sz w:val="18"/>
                <w:szCs w:val="18"/>
              </w:rPr>
            </w:pPr>
            <w:r>
              <w:rPr>
                <w:rFonts w:ascii="Arial" w:hAnsi="Arial" w:cs="Arial"/>
                <w:color w:val="000000"/>
                <w:sz w:val="18"/>
                <w:szCs w:val="18"/>
              </w:rPr>
              <w:t>17.3%</w:t>
            </w:r>
          </w:p>
        </w:tc>
        <w:tc>
          <w:tcPr>
            <w:tcW w:w="1160" w:type="dxa"/>
            <w:tcMar>
              <w:top w:w="40" w:type="dxa"/>
              <w:left w:w="80" w:type="dxa"/>
              <w:bottom w:w="60" w:type="dxa"/>
              <w:right w:w="40" w:type="dxa"/>
            </w:tcMar>
          </w:tcPr>
          <w:p w14:paraId="5DE2C78F" w14:textId="77777777" w:rsidR="00D31EA2" w:rsidRDefault="00D31EA2" w:rsidP="00410442">
            <w:pPr>
              <w:rPr>
                <w:rFonts w:ascii="Arial" w:hAnsi="Arial" w:cs="Arial"/>
                <w:color w:val="000000"/>
                <w:sz w:val="18"/>
                <w:szCs w:val="18"/>
              </w:rPr>
            </w:pPr>
            <w:r>
              <w:rPr>
                <w:rFonts w:ascii="Arial" w:hAnsi="Arial" w:cs="Arial"/>
                <w:color w:val="000000"/>
                <w:sz w:val="18"/>
                <w:szCs w:val="18"/>
              </w:rPr>
              <w:t>17.4%</w:t>
            </w:r>
          </w:p>
        </w:tc>
      </w:tr>
      <w:tr w:rsidR="00D31EA2" w14:paraId="082A532E" w14:textId="77777777" w:rsidTr="00311585">
        <w:trPr>
          <w:cantSplit/>
          <w:trHeight w:val="240"/>
        </w:trPr>
        <w:tc>
          <w:tcPr>
            <w:tcW w:w="2964" w:type="dxa"/>
            <w:vMerge/>
            <w:tcMar>
              <w:top w:w="40" w:type="dxa"/>
              <w:left w:w="120" w:type="dxa"/>
              <w:bottom w:w="40" w:type="dxa"/>
              <w:right w:w="40" w:type="dxa"/>
            </w:tcMar>
          </w:tcPr>
          <w:p w14:paraId="2A97FBC1" w14:textId="77777777" w:rsidR="00D31EA2" w:rsidRPr="00AA148D" w:rsidRDefault="00D31EA2" w:rsidP="00410442">
            <w:pPr>
              <w:rPr>
                <w:rFonts w:ascii="Arial" w:hAnsi="Arial" w:cs="Arial"/>
                <w:sz w:val="18"/>
                <w:szCs w:val="18"/>
              </w:rPr>
            </w:pPr>
          </w:p>
        </w:tc>
        <w:tc>
          <w:tcPr>
            <w:tcW w:w="2540" w:type="dxa"/>
            <w:tcMar>
              <w:top w:w="40" w:type="dxa"/>
              <w:left w:w="80" w:type="dxa"/>
              <w:bottom w:w="40" w:type="dxa"/>
              <w:right w:w="40" w:type="dxa"/>
            </w:tcMar>
          </w:tcPr>
          <w:p w14:paraId="23A1E4FF" w14:textId="64A3BC02"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45</w:t>
            </w:r>
            <w:r w:rsidR="000A5AD9">
              <w:rPr>
                <w:rFonts w:ascii="Arial" w:eastAsia="Verdana" w:hAnsi="Arial" w:cs="Arial"/>
                <w:color w:val="000000"/>
                <w:sz w:val="18"/>
                <w:szCs w:val="18"/>
              </w:rPr>
              <w:t>–</w:t>
            </w:r>
            <w:r w:rsidRPr="00AA148D">
              <w:rPr>
                <w:rFonts w:ascii="Arial" w:eastAsia="Verdana" w:hAnsi="Arial" w:cs="Arial"/>
                <w:color w:val="000000"/>
                <w:sz w:val="18"/>
                <w:szCs w:val="18"/>
              </w:rPr>
              <w:t>54</w:t>
            </w:r>
          </w:p>
        </w:tc>
        <w:tc>
          <w:tcPr>
            <w:tcW w:w="1159" w:type="dxa"/>
            <w:tcMar>
              <w:top w:w="43" w:type="dxa"/>
              <w:left w:w="86" w:type="dxa"/>
              <w:bottom w:w="58" w:type="dxa"/>
              <w:right w:w="43" w:type="dxa"/>
            </w:tcMar>
          </w:tcPr>
          <w:p w14:paraId="14DAC1DD" w14:textId="77777777" w:rsidR="00D31EA2" w:rsidRDefault="00D31EA2" w:rsidP="00410442">
            <w:pPr>
              <w:rPr>
                <w:rFonts w:ascii="Arial" w:hAnsi="Arial" w:cs="Arial"/>
                <w:color w:val="000000"/>
                <w:sz w:val="18"/>
                <w:szCs w:val="18"/>
              </w:rPr>
            </w:pPr>
            <w:r>
              <w:rPr>
                <w:rFonts w:ascii="Arial" w:hAnsi="Arial" w:cs="Arial"/>
                <w:color w:val="000000"/>
                <w:sz w:val="18"/>
                <w:szCs w:val="18"/>
              </w:rPr>
              <w:t>14.5%</w:t>
            </w:r>
          </w:p>
        </w:tc>
        <w:tc>
          <w:tcPr>
            <w:tcW w:w="1160" w:type="dxa"/>
            <w:tcMar>
              <w:top w:w="43" w:type="dxa"/>
              <w:left w:w="86" w:type="dxa"/>
              <w:bottom w:w="58" w:type="dxa"/>
              <w:right w:w="43" w:type="dxa"/>
            </w:tcMar>
          </w:tcPr>
          <w:p w14:paraId="274BE9BE" w14:textId="77777777" w:rsidR="00D31EA2" w:rsidRDefault="00D31EA2" w:rsidP="00410442">
            <w:pPr>
              <w:rPr>
                <w:rFonts w:ascii="Arial" w:hAnsi="Arial" w:cs="Arial"/>
                <w:color w:val="000000"/>
                <w:sz w:val="18"/>
                <w:szCs w:val="18"/>
              </w:rPr>
            </w:pPr>
            <w:r>
              <w:rPr>
                <w:rFonts w:ascii="Arial" w:hAnsi="Arial" w:cs="Arial"/>
                <w:color w:val="000000"/>
                <w:sz w:val="18"/>
                <w:szCs w:val="18"/>
              </w:rPr>
              <w:t>14.6%</w:t>
            </w:r>
          </w:p>
        </w:tc>
        <w:tc>
          <w:tcPr>
            <w:tcW w:w="1160" w:type="dxa"/>
            <w:tcMar>
              <w:top w:w="40" w:type="dxa"/>
              <w:left w:w="80" w:type="dxa"/>
              <w:bottom w:w="60" w:type="dxa"/>
              <w:right w:w="40" w:type="dxa"/>
            </w:tcMar>
          </w:tcPr>
          <w:p w14:paraId="2652E92E" w14:textId="77777777" w:rsidR="00D31EA2" w:rsidRDefault="00D31EA2" w:rsidP="00410442">
            <w:pPr>
              <w:rPr>
                <w:rFonts w:ascii="Arial" w:hAnsi="Arial" w:cs="Arial"/>
                <w:color w:val="000000"/>
                <w:sz w:val="18"/>
                <w:szCs w:val="18"/>
              </w:rPr>
            </w:pPr>
            <w:r>
              <w:rPr>
                <w:rFonts w:ascii="Arial" w:hAnsi="Arial" w:cs="Arial"/>
                <w:color w:val="000000"/>
                <w:sz w:val="18"/>
                <w:szCs w:val="18"/>
              </w:rPr>
              <w:t>14.8%</w:t>
            </w:r>
          </w:p>
        </w:tc>
        <w:tc>
          <w:tcPr>
            <w:tcW w:w="1160" w:type="dxa"/>
            <w:tcMar>
              <w:top w:w="40" w:type="dxa"/>
              <w:left w:w="80" w:type="dxa"/>
              <w:bottom w:w="60" w:type="dxa"/>
              <w:right w:w="40" w:type="dxa"/>
            </w:tcMar>
          </w:tcPr>
          <w:p w14:paraId="55C8444E" w14:textId="77777777" w:rsidR="00D31EA2" w:rsidRDefault="00D31EA2" w:rsidP="00410442">
            <w:pPr>
              <w:rPr>
                <w:rFonts w:ascii="Arial" w:hAnsi="Arial" w:cs="Arial"/>
                <w:color w:val="000000"/>
                <w:sz w:val="18"/>
                <w:szCs w:val="18"/>
              </w:rPr>
            </w:pPr>
            <w:r>
              <w:rPr>
                <w:rFonts w:ascii="Arial" w:hAnsi="Arial" w:cs="Arial"/>
                <w:color w:val="000000"/>
                <w:sz w:val="18"/>
                <w:szCs w:val="18"/>
              </w:rPr>
              <w:t>15.1%</w:t>
            </w:r>
          </w:p>
        </w:tc>
        <w:tc>
          <w:tcPr>
            <w:tcW w:w="1160" w:type="dxa"/>
            <w:tcMar>
              <w:top w:w="40" w:type="dxa"/>
              <w:left w:w="80" w:type="dxa"/>
              <w:bottom w:w="60" w:type="dxa"/>
              <w:right w:w="40" w:type="dxa"/>
            </w:tcMar>
          </w:tcPr>
          <w:p w14:paraId="7EF13FD2" w14:textId="77777777" w:rsidR="00D31EA2" w:rsidRDefault="00D31EA2" w:rsidP="00410442">
            <w:pPr>
              <w:rPr>
                <w:rFonts w:ascii="Arial" w:hAnsi="Arial" w:cs="Arial"/>
                <w:color w:val="000000"/>
                <w:sz w:val="18"/>
                <w:szCs w:val="18"/>
              </w:rPr>
            </w:pPr>
            <w:r>
              <w:rPr>
                <w:rFonts w:ascii="Arial" w:hAnsi="Arial" w:cs="Arial"/>
                <w:color w:val="000000"/>
                <w:sz w:val="18"/>
                <w:szCs w:val="18"/>
              </w:rPr>
              <w:t>14.8%</w:t>
            </w:r>
          </w:p>
        </w:tc>
      </w:tr>
      <w:tr w:rsidR="00D31EA2" w14:paraId="469A8C92" w14:textId="77777777" w:rsidTr="00311585">
        <w:trPr>
          <w:cantSplit/>
          <w:trHeight w:val="240"/>
        </w:trPr>
        <w:tc>
          <w:tcPr>
            <w:tcW w:w="2964" w:type="dxa"/>
            <w:vMerge/>
            <w:tcMar>
              <w:top w:w="40" w:type="dxa"/>
              <w:left w:w="120" w:type="dxa"/>
              <w:bottom w:w="40" w:type="dxa"/>
              <w:right w:w="40" w:type="dxa"/>
            </w:tcMar>
          </w:tcPr>
          <w:p w14:paraId="5AC5B0CD" w14:textId="77777777" w:rsidR="00D31EA2" w:rsidRPr="00AA148D" w:rsidRDefault="00D31EA2" w:rsidP="00410442">
            <w:pPr>
              <w:rPr>
                <w:rFonts w:ascii="Arial" w:hAnsi="Arial" w:cs="Arial"/>
                <w:sz w:val="18"/>
                <w:szCs w:val="18"/>
              </w:rPr>
            </w:pPr>
          </w:p>
        </w:tc>
        <w:tc>
          <w:tcPr>
            <w:tcW w:w="2540" w:type="dxa"/>
            <w:tcMar>
              <w:top w:w="40" w:type="dxa"/>
              <w:left w:w="80" w:type="dxa"/>
              <w:bottom w:w="40" w:type="dxa"/>
              <w:right w:w="40" w:type="dxa"/>
            </w:tcMar>
          </w:tcPr>
          <w:p w14:paraId="6D1C7EF0" w14:textId="11CD3DF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55</w:t>
            </w:r>
            <w:r w:rsidR="000A5AD9">
              <w:rPr>
                <w:rFonts w:ascii="Arial" w:eastAsia="Verdana" w:hAnsi="Arial" w:cs="Arial"/>
                <w:color w:val="000000"/>
                <w:sz w:val="18"/>
                <w:szCs w:val="18"/>
              </w:rPr>
              <w:t>–</w:t>
            </w:r>
            <w:r w:rsidRPr="00AA148D">
              <w:rPr>
                <w:rFonts w:ascii="Arial" w:eastAsia="Verdana" w:hAnsi="Arial" w:cs="Arial"/>
                <w:color w:val="000000"/>
                <w:sz w:val="18"/>
                <w:szCs w:val="18"/>
              </w:rPr>
              <w:t>64</w:t>
            </w:r>
          </w:p>
        </w:tc>
        <w:tc>
          <w:tcPr>
            <w:tcW w:w="1159" w:type="dxa"/>
            <w:tcMar>
              <w:top w:w="43" w:type="dxa"/>
              <w:left w:w="86" w:type="dxa"/>
              <w:bottom w:w="58" w:type="dxa"/>
              <w:right w:w="43" w:type="dxa"/>
            </w:tcMar>
          </w:tcPr>
          <w:p w14:paraId="793EAE8D" w14:textId="77777777" w:rsidR="00D31EA2" w:rsidRDefault="00D31EA2" w:rsidP="00410442">
            <w:pPr>
              <w:rPr>
                <w:rFonts w:ascii="Arial" w:hAnsi="Arial" w:cs="Arial"/>
                <w:color w:val="000000"/>
                <w:sz w:val="18"/>
                <w:szCs w:val="18"/>
              </w:rPr>
            </w:pPr>
            <w:r>
              <w:rPr>
                <w:rFonts w:ascii="Arial" w:hAnsi="Arial" w:cs="Arial"/>
                <w:color w:val="000000"/>
                <w:sz w:val="18"/>
                <w:szCs w:val="18"/>
              </w:rPr>
              <w:t>8.7%</w:t>
            </w:r>
          </w:p>
        </w:tc>
        <w:tc>
          <w:tcPr>
            <w:tcW w:w="1160" w:type="dxa"/>
            <w:tcMar>
              <w:top w:w="43" w:type="dxa"/>
              <w:left w:w="86" w:type="dxa"/>
              <w:bottom w:w="58" w:type="dxa"/>
              <w:right w:w="43" w:type="dxa"/>
            </w:tcMar>
          </w:tcPr>
          <w:p w14:paraId="74BB50AE" w14:textId="77777777" w:rsidR="00D31EA2" w:rsidRDefault="00D31EA2" w:rsidP="00410442">
            <w:pPr>
              <w:rPr>
                <w:rFonts w:ascii="Arial" w:hAnsi="Arial" w:cs="Arial"/>
                <w:color w:val="000000"/>
                <w:sz w:val="18"/>
                <w:szCs w:val="18"/>
              </w:rPr>
            </w:pPr>
            <w:r>
              <w:rPr>
                <w:rFonts w:ascii="Arial" w:hAnsi="Arial" w:cs="Arial"/>
                <w:color w:val="000000"/>
                <w:sz w:val="18"/>
                <w:szCs w:val="18"/>
              </w:rPr>
              <w:t>8.8%</w:t>
            </w:r>
          </w:p>
        </w:tc>
        <w:tc>
          <w:tcPr>
            <w:tcW w:w="1160" w:type="dxa"/>
            <w:tcMar>
              <w:top w:w="40" w:type="dxa"/>
              <w:left w:w="80" w:type="dxa"/>
              <w:bottom w:w="60" w:type="dxa"/>
              <w:right w:w="40" w:type="dxa"/>
            </w:tcMar>
          </w:tcPr>
          <w:p w14:paraId="51130DFC" w14:textId="77777777" w:rsidR="00D31EA2" w:rsidRDefault="00D31EA2" w:rsidP="00410442">
            <w:pPr>
              <w:rPr>
                <w:rFonts w:ascii="Arial" w:hAnsi="Arial" w:cs="Arial"/>
                <w:color w:val="000000"/>
                <w:sz w:val="18"/>
                <w:szCs w:val="18"/>
              </w:rPr>
            </w:pPr>
            <w:r>
              <w:rPr>
                <w:rFonts w:ascii="Arial" w:hAnsi="Arial" w:cs="Arial"/>
                <w:color w:val="000000"/>
                <w:sz w:val="18"/>
                <w:szCs w:val="18"/>
              </w:rPr>
              <w:t>8.7%</w:t>
            </w:r>
          </w:p>
        </w:tc>
        <w:tc>
          <w:tcPr>
            <w:tcW w:w="1160" w:type="dxa"/>
            <w:tcMar>
              <w:top w:w="40" w:type="dxa"/>
              <w:left w:w="80" w:type="dxa"/>
              <w:bottom w:w="60" w:type="dxa"/>
              <w:right w:w="40" w:type="dxa"/>
            </w:tcMar>
          </w:tcPr>
          <w:p w14:paraId="630C503D" w14:textId="77777777" w:rsidR="00D31EA2" w:rsidRDefault="00D31EA2" w:rsidP="00410442">
            <w:pPr>
              <w:rPr>
                <w:rFonts w:ascii="Arial" w:hAnsi="Arial" w:cs="Arial"/>
                <w:color w:val="000000"/>
                <w:sz w:val="18"/>
                <w:szCs w:val="18"/>
              </w:rPr>
            </w:pPr>
            <w:r>
              <w:rPr>
                <w:rFonts w:ascii="Arial" w:hAnsi="Arial" w:cs="Arial"/>
                <w:color w:val="000000"/>
                <w:sz w:val="18"/>
                <w:szCs w:val="18"/>
              </w:rPr>
              <w:t>8.8%</w:t>
            </w:r>
          </w:p>
        </w:tc>
        <w:tc>
          <w:tcPr>
            <w:tcW w:w="1160" w:type="dxa"/>
            <w:tcMar>
              <w:top w:w="40" w:type="dxa"/>
              <w:left w:w="80" w:type="dxa"/>
              <w:bottom w:w="60" w:type="dxa"/>
              <w:right w:w="40" w:type="dxa"/>
            </w:tcMar>
          </w:tcPr>
          <w:p w14:paraId="6A6F303D" w14:textId="77777777" w:rsidR="00D31EA2" w:rsidRDefault="00D31EA2" w:rsidP="00410442">
            <w:pPr>
              <w:rPr>
                <w:rFonts w:ascii="Arial" w:hAnsi="Arial" w:cs="Arial"/>
                <w:color w:val="000000"/>
                <w:sz w:val="18"/>
                <w:szCs w:val="18"/>
              </w:rPr>
            </w:pPr>
            <w:r>
              <w:rPr>
                <w:rFonts w:ascii="Arial" w:hAnsi="Arial" w:cs="Arial"/>
                <w:color w:val="000000"/>
                <w:sz w:val="18"/>
                <w:szCs w:val="18"/>
              </w:rPr>
              <w:t>9.0%</w:t>
            </w:r>
          </w:p>
        </w:tc>
      </w:tr>
      <w:tr w:rsidR="00D31EA2" w14:paraId="34082FF0" w14:textId="77777777" w:rsidTr="00311585">
        <w:trPr>
          <w:cantSplit/>
          <w:trHeight w:val="240"/>
        </w:trPr>
        <w:tc>
          <w:tcPr>
            <w:tcW w:w="2964" w:type="dxa"/>
            <w:vMerge/>
            <w:tcMar>
              <w:top w:w="40" w:type="dxa"/>
              <w:left w:w="120" w:type="dxa"/>
              <w:bottom w:w="40" w:type="dxa"/>
              <w:right w:w="40" w:type="dxa"/>
            </w:tcMar>
          </w:tcPr>
          <w:p w14:paraId="320F92E8" w14:textId="77777777" w:rsidR="00D31EA2" w:rsidRPr="00AA148D" w:rsidRDefault="00D31EA2" w:rsidP="00410442">
            <w:pPr>
              <w:rPr>
                <w:rFonts w:ascii="Arial" w:hAnsi="Arial" w:cs="Arial"/>
                <w:sz w:val="18"/>
                <w:szCs w:val="18"/>
              </w:rPr>
            </w:pPr>
          </w:p>
        </w:tc>
        <w:tc>
          <w:tcPr>
            <w:tcW w:w="2540" w:type="dxa"/>
            <w:tcMar>
              <w:top w:w="40" w:type="dxa"/>
              <w:left w:w="80" w:type="dxa"/>
              <w:bottom w:w="40" w:type="dxa"/>
              <w:right w:w="40" w:type="dxa"/>
            </w:tcMar>
          </w:tcPr>
          <w:p w14:paraId="1A83AE44" w14:textId="61621894"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65</w:t>
            </w:r>
            <w:r w:rsidR="000A5AD9">
              <w:rPr>
                <w:rFonts w:ascii="Arial" w:eastAsia="Verdana" w:hAnsi="Arial" w:cs="Arial"/>
                <w:color w:val="000000"/>
                <w:sz w:val="18"/>
                <w:szCs w:val="18"/>
              </w:rPr>
              <w:t>–</w:t>
            </w:r>
            <w:r w:rsidRPr="00AA148D">
              <w:rPr>
                <w:rFonts w:ascii="Arial" w:eastAsia="Verdana" w:hAnsi="Arial" w:cs="Arial"/>
                <w:color w:val="000000"/>
                <w:sz w:val="18"/>
                <w:szCs w:val="18"/>
              </w:rPr>
              <w:t>74</w:t>
            </w:r>
          </w:p>
        </w:tc>
        <w:tc>
          <w:tcPr>
            <w:tcW w:w="1159" w:type="dxa"/>
            <w:tcMar>
              <w:top w:w="43" w:type="dxa"/>
              <w:left w:w="86" w:type="dxa"/>
              <w:bottom w:w="58" w:type="dxa"/>
              <w:right w:w="43" w:type="dxa"/>
            </w:tcMar>
          </w:tcPr>
          <w:p w14:paraId="48C13454" w14:textId="77777777" w:rsidR="00D31EA2" w:rsidRDefault="00D31EA2" w:rsidP="00410442">
            <w:pPr>
              <w:rPr>
                <w:rFonts w:ascii="Arial" w:hAnsi="Arial" w:cs="Arial"/>
                <w:color w:val="000000"/>
                <w:sz w:val="18"/>
                <w:szCs w:val="18"/>
              </w:rPr>
            </w:pPr>
            <w:r>
              <w:rPr>
                <w:rFonts w:ascii="Arial" w:hAnsi="Arial" w:cs="Arial"/>
                <w:color w:val="000000"/>
                <w:sz w:val="18"/>
                <w:szCs w:val="18"/>
              </w:rPr>
              <w:t>6.1%</w:t>
            </w:r>
          </w:p>
        </w:tc>
        <w:tc>
          <w:tcPr>
            <w:tcW w:w="1160" w:type="dxa"/>
            <w:tcMar>
              <w:top w:w="43" w:type="dxa"/>
              <w:left w:w="86" w:type="dxa"/>
              <w:bottom w:w="58" w:type="dxa"/>
              <w:right w:w="43" w:type="dxa"/>
            </w:tcMar>
          </w:tcPr>
          <w:p w14:paraId="37015B40" w14:textId="77777777" w:rsidR="00D31EA2" w:rsidRDefault="00D31EA2" w:rsidP="00410442">
            <w:pPr>
              <w:rPr>
                <w:rFonts w:ascii="Arial" w:hAnsi="Arial" w:cs="Arial"/>
                <w:color w:val="000000"/>
                <w:sz w:val="18"/>
                <w:szCs w:val="18"/>
              </w:rPr>
            </w:pPr>
            <w:r>
              <w:rPr>
                <w:rFonts w:ascii="Arial" w:hAnsi="Arial" w:cs="Arial"/>
                <w:color w:val="000000"/>
                <w:sz w:val="18"/>
                <w:szCs w:val="18"/>
              </w:rPr>
              <w:t>6.1%</w:t>
            </w:r>
          </w:p>
        </w:tc>
        <w:tc>
          <w:tcPr>
            <w:tcW w:w="1160" w:type="dxa"/>
            <w:tcMar>
              <w:top w:w="40" w:type="dxa"/>
              <w:left w:w="80" w:type="dxa"/>
              <w:bottom w:w="60" w:type="dxa"/>
              <w:right w:w="40" w:type="dxa"/>
            </w:tcMar>
          </w:tcPr>
          <w:p w14:paraId="4A166CD5" w14:textId="77777777" w:rsidR="00D31EA2" w:rsidRDefault="00D31EA2" w:rsidP="00410442">
            <w:pPr>
              <w:rPr>
                <w:rFonts w:ascii="Arial" w:hAnsi="Arial" w:cs="Arial"/>
                <w:color w:val="000000"/>
                <w:sz w:val="18"/>
                <w:szCs w:val="18"/>
              </w:rPr>
            </w:pPr>
            <w:r>
              <w:rPr>
                <w:rFonts w:ascii="Arial" w:hAnsi="Arial" w:cs="Arial"/>
                <w:color w:val="000000"/>
                <w:sz w:val="18"/>
                <w:szCs w:val="18"/>
              </w:rPr>
              <w:t>6.2%</w:t>
            </w:r>
          </w:p>
        </w:tc>
        <w:tc>
          <w:tcPr>
            <w:tcW w:w="1160" w:type="dxa"/>
            <w:tcMar>
              <w:top w:w="40" w:type="dxa"/>
              <w:left w:w="80" w:type="dxa"/>
              <w:bottom w:w="60" w:type="dxa"/>
              <w:right w:w="40" w:type="dxa"/>
            </w:tcMar>
          </w:tcPr>
          <w:p w14:paraId="595A0543" w14:textId="77777777" w:rsidR="00D31EA2" w:rsidRDefault="00D31EA2" w:rsidP="00410442">
            <w:pPr>
              <w:rPr>
                <w:rFonts w:ascii="Arial" w:hAnsi="Arial" w:cs="Arial"/>
                <w:color w:val="000000"/>
                <w:sz w:val="18"/>
                <w:szCs w:val="18"/>
              </w:rPr>
            </w:pPr>
            <w:r>
              <w:rPr>
                <w:rFonts w:ascii="Arial" w:hAnsi="Arial" w:cs="Arial"/>
                <w:color w:val="000000"/>
                <w:sz w:val="18"/>
                <w:szCs w:val="18"/>
              </w:rPr>
              <w:t>6.1%</w:t>
            </w:r>
          </w:p>
        </w:tc>
        <w:tc>
          <w:tcPr>
            <w:tcW w:w="1160" w:type="dxa"/>
            <w:tcMar>
              <w:top w:w="40" w:type="dxa"/>
              <w:left w:w="80" w:type="dxa"/>
              <w:bottom w:w="60" w:type="dxa"/>
              <w:right w:w="40" w:type="dxa"/>
            </w:tcMar>
          </w:tcPr>
          <w:p w14:paraId="6D88CC08" w14:textId="77777777" w:rsidR="00D31EA2" w:rsidRDefault="00D31EA2" w:rsidP="00410442">
            <w:pPr>
              <w:rPr>
                <w:rFonts w:ascii="Arial" w:hAnsi="Arial" w:cs="Arial"/>
                <w:color w:val="000000"/>
                <w:sz w:val="18"/>
                <w:szCs w:val="18"/>
              </w:rPr>
            </w:pPr>
            <w:r>
              <w:rPr>
                <w:rFonts w:ascii="Arial" w:hAnsi="Arial" w:cs="Arial"/>
                <w:color w:val="000000"/>
                <w:sz w:val="18"/>
                <w:szCs w:val="18"/>
              </w:rPr>
              <w:t>6.1%</w:t>
            </w:r>
          </w:p>
        </w:tc>
      </w:tr>
      <w:tr w:rsidR="00D31EA2" w14:paraId="42DA660F" w14:textId="77777777" w:rsidTr="00311585">
        <w:trPr>
          <w:cantSplit/>
          <w:trHeight w:val="240"/>
        </w:trPr>
        <w:tc>
          <w:tcPr>
            <w:tcW w:w="2964" w:type="dxa"/>
            <w:vMerge/>
            <w:tcMar>
              <w:top w:w="40" w:type="dxa"/>
              <w:left w:w="120" w:type="dxa"/>
              <w:bottom w:w="40" w:type="dxa"/>
              <w:right w:w="40" w:type="dxa"/>
            </w:tcMar>
          </w:tcPr>
          <w:p w14:paraId="3923ECB8" w14:textId="77777777" w:rsidR="00D31EA2" w:rsidRPr="00AA148D" w:rsidRDefault="00D31EA2" w:rsidP="00410442">
            <w:pPr>
              <w:rPr>
                <w:rFonts w:ascii="Arial" w:hAnsi="Arial" w:cs="Arial"/>
                <w:sz w:val="18"/>
                <w:szCs w:val="18"/>
              </w:rPr>
            </w:pPr>
          </w:p>
        </w:tc>
        <w:tc>
          <w:tcPr>
            <w:tcW w:w="2540" w:type="dxa"/>
            <w:tcMar>
              <w:top w:w="40" w:type="dxa"/>
              <w:left w:w="80" w:type="dxa"/>
              <w:bottom w:w="40" w:type="dxa"/>
              <w:right w:w="40" w:type="dxa"/>
            </w:tcMar>
          </w:tcPr>
          <w:p w14:paraId="323D2337" w14:textId="75E914DB"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75</w:t>
            </w:r>
            <w:r w:rsidR="000A5AD9">
              <w:rPr>
                <w:rFonts w:ascii="Arial" w:eastAsia="Verdana" w:hAnsi="Arial" w:cs="Arial"/>
                <w:color w:val="000000"/>
                <w:sz w:val="18"/>
                <w:szCs w:val="18"/>
              </w:rPr>
              <w:t>–</w:t>
            </w:r>
            <w:r w:rsidRPr="00AA148D">
              <w:rPr>
                <w:rFonts w:ascii="Arial" w:eastAsia="Verdana" w:hAnsi="Arial" w:cs="Arial"/>
                <w:color w:val="000000"/>
                <w:sz w:val="18"/>
                <w:szCs w:val="18"/>
              </w:rPr>
              <w:t>84</w:t>
            </w:r>
          </w:p>
        </w:tc>
        <w:tc>
          <w:tcPr>
            <w:tcW w:w="1159" w:type="dxa"/>
            <w:tcMar>
              <w:top w:w="43" w:type="dxa"/>
              <w:left w:w="86" w:type="dxa"/>
              <w:bottom w:w="58" w:type="dxa"/>
              <w:right w:w="43" w:type="dxa"/>
            </w:tcMar>
          </w:tcPr>
          <w:p w14:paraId="6E7CBCAF" w14:textId="77777777" w:rsidR="00D31EA2" w:rsidRDefault="00D31EA2" w:rsidP="00410442">
            <w:pPr>
              <w:rPr>
                <w:rFonts w:ascii="Arial" w:hAnsi="Arial" w:cs="Arial"/>
                <w:color w:val="000000"/>
                <w:sz w:val="18"/>
                <w:szCs w:val="18"/>
              </w:rPr>
            </w:pPr>
            <w:r>
              <w:rPr>
                <w:rFonts w:ascii="Arial" w:hAnsi="Arial" w:cs="Arial"/>
                <w:color w:val="000000"/>
                <w:sz w:val="18"/>
                <w:szCs w:val="18"/>
              </w:rPr>
              <w:t>4.6%</w:t>
            </w:r>
          </w:p>
        </w:tc>
        <w:tc>
          <w:tcPr>
            <w:tcW w:w="1160" w:type="dxa"/>
            <w:tcMar>
              <w:top w:w="43" w:type="dxa"/>
              <w:left w:w="86" w:type="dxa"/>
              <w:bottom w:w="58" w:type="dxa"/>
              <w:right w:w="43" w:type="dxa"/>
            </w:tcMar>
          </w:tcPr>
          <w:p w14:paraId="425F7F42" w14:textId="77777777" w:rsidR="00D31EA2" w:rsidRDefault="00D31EA2" w:rsidP="00410442">
            <w:pPr>
              <w:rPr>
                <w:rFonts w:ascii="Arial" w:hAnsi="Arial" w:cs="Arial"/>
                <w:color w:val="000000"/>
                <w:sz w:val="18"/>
                <w:szCs w:val="18"/>
              </w:rPr>
            </w:pPr>
            <w:r>
              <w:rPr>
                <w:rFonts w:ascii="Arial" w:hAnsi="Arial" w:cs="Arial"/>
                <w:color w:val="000000"/>
                <w:sz w:val="18"/>
                <w:szCs w:val="18"/>
              </w:rPr>
              <w:t>4.3%</w:t>
            </w:r>
          </w:p>
        </w:tc>
        <w:tc>
          <w:tcPr>
            <w:tcW w:w="1160" w:type="dxa"/>
            <w:tcMar>
              <w:top w:w="40" w:type="dxa"/>
              <w:left w:w="80" w:type="dxa"/>
              <w:bottom w:w="60" w:type="dxa"/>
              <w:right w:w="40" w:type="dxa"/>
            </w:tcMar>
          </w:tcPr>
          <w:p w14:paraId="64A1E037" w14:textId="77777777" w:rsidR="00D31EA2" w:rsidRDefault="00D31EA2" w:rsidP="00410442">
            <w:pPr>
              <w:rPr>
                <w:rFonts w:ascii="Arial" w:hAnsi="Arial" w:cs="Arial"/>
                <w:color w:val="000000"/>
                <w:sz w:val="18"/>
                <w:szCs w:val="18"/>
              </w:rPr>
            </w:pPr>
            <w:r>
              <w:rPr>
                <w:rFonts w:ascii="Arial" w:hAnsi="Arial" w:cs="Arial"/>
                <w:color w:val="000000"/>
                <w:sz w:val="18"/>
                <w:szCs w:val="18"/>
              </w:rPr>
              <w:t>4.2%</w:t>
            </w:r>
          </w:p>
        </w:tc>
        <w:tc>
          <w:tcPr>
            <w:tcW w:w="1160" w:type="dxa"/>
            <w:tcMar>
              <w:top w:w="40" w:type="dxa"/>
              <w:left w:w="80" w:type="dxa"/>
              <w:bottom w:w="60" w:type="dxa"/>
              <w:right w:w="40" w:type="dxa"/>
            </w:tcMar>
          </w:tcPr>
          <w:p w14:paraId="312384A2" w14:textId="77777777" w:rsidR="00D31EA2" w:rsidRDefault="00D31EA2" w:rsidP="00410442">
            <w:pPr>
              <w:rPr>
                <w:rFonts w:ascii="Arial" w:hAnsi="Arial" w:cs="Arial"/>
                <w:color w:val="000000"/>
                <w:sz w:val="18"/>
                <w:szCs w:val="18"/>
              </w:rPr>
            </w:pPr>
            <w:r>
              <w:rPr>
                <w:rFonts w:ascii="Arial" w:hAnsi="Arial" w:cs="Arial"/>
                <w:color w:val="000000"/>
                <w:sz w:val="18"/>
                <w:szCs w:val="18"/>
              </w:rPr>
              <w:t>4.0%</w:t>
            </w:r>
          </w:p>
        </w:tc>
        <w:tc>
          <w:tcPr>
            <w:tcW w:w="1160" w:type="dxa"/>
            <w:tcMar>
              <w:top w:w="40" w:type="dxa"/>
              <w:left w:w="80" w:type="dxa"/>
              <w:bottom w:w="60" w:type="dxa"/>
              <w:right w:w="40" w:type="dxa"/>
            </w:tcMar>
          </w:tcPr>
          <w:p w14:paraId="3AA40ED9" w14:textId="77777777" w:rsidR="00D31EA2" w:rsidRDefault="00D31EA2" w:rsidP="00410442">
            <w:pPr>
              <w:rPr>
                <w:rFonts w:ascii="Arial" w:hAnsi="Arial" w:cs="Arial"/>
                <w:color w:val="000000"/>
                <w:sz w:val="18"/>
                <w:szCs w:val="18"/>
              </w:rPr>
            </w:pPr>
            <w:r>
              <w:rPr>
                <w:rFonts w:ascii="Arial" w:hAnsi="Arial" w:cs="Arial"/>
                <w:color w:val="000000"/>
                <w:sz w:val="18"/>
                <w:szCs w:val="18"/>
              </w:rPr>
              <w:t>4.1%</w:t>
            </w:r>
          </w:p>
        </w:tc>
      </w:tr>
      <w:tr w:rsidR="00D31EA2" w14:paraId="20E85106" w14:textId="77777777" w:rsidTr="00311585">
        <w:trPr>
          <w:cantSplit/>
          <w:trHeight w:val="240"/>
        </w:trPr>
        <w:tc>
          <w:tcPr>
            <w:tcW w:w="2964" w:type="dxa"/>
            <w:vMerge/>
            <w:tcMar>
              <w:top w:w="40" w:type="dxa"/>
              <w:left w:w="120" w:type="dxa"/>
              <w:bottom w:w="40" w:type="dxa"/>
              <w:right w:w="40" w:type="dxa"/>
            </w:tcMar>
          </w:tcPr>
          <w:p w14:paraId="4F8A3560" w14:textId="77777777" w:rsidR="00D31EA2" w:rsidRPr="00AA148D" w:rsidRDefault="00D31EA2" w:rsidP="00410442">
            <w:pPr>
              <w:rPr>
                <w:rFonts w:ascii="Arial" w:hAnsi="Arial" w:cs="Arial"/>
                <w:sz w:val="18"/>
                <w:szCs w:val="18"/>
              </w:rPr>
            </w:pPr>
          </w:p>
        </w:tc>
        <w:tc>
          <w:tcPr>
            <w:tcW w:w="2540" w:type="dxa"/>
            <w:tcMar>
              <w:top w:w="40" w:type="dxa"/>
              <w:left w:w="80" w:type="dxa"/>
              <w:bottom w:w="40" w:type="dxa"/>
              <w:right w:w="40" w:type="dxa"/>
            </w:tcMar>
          </w:tcPr>
          <w:p w14:paraId="042E7B3F" w14:textId="57835AA9"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85</w:t>
            </w:r>
            <w:r w:rsidR="000A5AD9">
              <w:rPr>
                <w:rFonts w:ascii="Arial" w:eastAsia="Verdana" w:hAnsi="Arial" w:cs="Arial"/>
                <w:color w:val="000000"/>
                <w:sz w:val="18"/>
                <w:szCs w:val="18"/>
              </w:rPr>
              <w:t>–</w:t>
            </w:r>
            <w:r w:rsidRPr="00AA148D">
              <w:rPr>
                <w:rFonts w:ascii="Arial" w:eastAsia="Verdana" w:hAnsi="Arial" w:cs="Arial"/>
                <w:color w:val="000000"/>
                <w:sz w:val="18"/>
                <w:szCs w:val="18"/>
              </w:rPr>
              <w:t>94</w:t>
            </w:r>
          </w:p>
        </w:tc>
        <w:tc>
          <w:tcPr>
            <w:tcW w:w="1159" w:type="dxa"/>
            <w:tcMar>
              <w:top w:w="43" w:type="dxa"/>
              <w:left w:w="86" w:type="dxa"/>
              <w:bottom w:w="58" w:type="dxa"/>
              <w:right w:w="43" w:type="dxa"/>
            </w:tcMar>
          </w:tcPr>
          <w:p w14:paraId="063ACB6D" w14:textId="77777777" w:rsidR="00D31EA2" w:rsidRDefault="00D31EA2" w:rsidP="00410442">
            <w:pPr>
              <w:rPr>
                <w:rFonts w:ascii="Arial" w:hAnsi="Arial" w:cs="Arial"/>
                <w:color w:val="000000"/>
                <w:sz w:val="18"/>
                <w:szCs w:val="18"/>
              </w:rPr>
            </w:pPr>
            <w:r>
              <w:rPr>
                <w:rFonts w:ascii="Arial" w:hAnsi="Arial" w:cs="Arial"/>
                <w:color w:val="000000"/>
                <w:sz w:val="18"/>
                <w:szCs w:val="18"/>
              </w:rPr>
              <w:t>2.3%</w:t>
            </w:r>
          </w:p>
        </w:tc>
        <w:tc>
          <w:tcPr>
            <w:tcW w:w="1160" w:type="dxa"/>
            <w:tcMar>
              <w:top w:w="43" w:type="dxa"/>
              <w:left w:w="86" w:type="dxa"/>
              <w:bottom w:w="58" w:type="dxa"/>
              <w:right w:w="43" w:type="dxa"/>
            </w:tcMar>
          </w:tcPr>
          <w:p w14:paraId="189AB62B" w14:textId="77777777" w:rsidR="00D31EA2" w:rsidRDefault="00D31EA2" w:rsidP="00410442">
            <w:pPr>
              <w:rPr>
                <w:rFonts w:ascii="Arial" w:hAnsi="Arial" w:cs="Arial"/>
                <w:color w:val="000000"/>
                <w:sz w:val="18"/>
                <w:szCs w:val="18"/>
              </w:rPr>
            </w:pPr>
            <w:r>
              <w:rPr>
                <w:rFonts w:ascii="Arial" w:hAnsi="Arial" w:cs="Arial"/>
                <w:color w:val="000000"/>
                <w:sz w:val="18"/>
                <w:szCs w:val="18"/>
              </w:rPr>
              <w:t>1.9%</w:t>
            </w:r>
          </w:p>
        </w:tc>
        <w:tc>
          <w:tcPr>
            <w:tcW w:w="1160" w:type="dxa"/>
            <w:tcMar>
              <w:top w:w="40" w:type="dxa"/>
              <w:left w:w="80" w:type="dxa"/>
              <w:bottom w:w="60" w:type="dxa"/>
              <w:right w:w="40" w:type="dxa"/>
            </w:tcMar>
          </w:tcPr>
          <w:p w14:paraId="024B517D" w14:textId="77777777" w:rsidR="00D31EA2" w:rsidRDefault="00D31EA2" w:rsidP="00410442">
            <w:pPr>
              <w:rPr>
                <w:rFonts w:ascii="Arial" w:hAnsi="Arial" w:cs="Arial"/>
                <w:color w:val="000000"/>
                <w:sz w:val="18"/>
                <w:szCs w:val="18"/>
              </w:rPr>
            </w:pPr>
            <w:r>
              <w:rPr>
                <w:rFonts w:ascii="Arial" w:hAnsi="Arial" w:cs="Arial"/>
                <w:color w:val="000000"/>
                <w:sz w:val="18"/>
                <w:szCs w:val="18"/>
              </w:rPr>
              <w:t>1.8%</w:t>
            </w:r>
          </w:p>
        </w:tc>
        <w:tc>
          <w:tcPr>
            <w:tcW w:w="1160" w:type="dxa"/>
            <w:tcMar>
              <w:top w:w="40" w:type="dxa"/>
              <w:left w:w="80" w:type="dxa"/>
              <w:bottom w:w="60" w:type="dxa"/>
              <w:right w:w="40" w:type="dxa"/>
            </w:tcMar>
          </w:tcPr>
          <w:p w14:paraId="1E81CEED" w14:textId="77777777" w:rsidR="00D31EA2" w:rsidRDefault="00D31EA2" w:rsidP="00410442">
            <w:pPr>
              <w:rPr>
                <w:rFonts w:ascii="Arial" w:hAnsi="Arial" w:cs="Arial"/>
                <w:color w:val="000000"/>
                <w:sz w:val="18"/>
                <w:szCs w:val="18"/>
              </w:rPr>
            </w:pPr>
            <w:r>
              <w:rPr>
                <w:rFonts w:ascii="Arial" w:hAnsi="Arial" w:cs="Arial"/>
                <w:color w:val="000000"/>
                <w:sz w:val="18"/>
                <w:szCs w:val="18"/>
              </w:rPr>
              <w:t>1.7%</w:t>
            </w:r>
          </w:p>
        </w:tc>
        <w:tc>
          <w:tcPr>
            <w:tcW w:w="1160" w:type="dxa"/>
            <w:tcMar>
              <w:top w:w="40" w:type="dxa"/>
              <w:left w:w="80" w:type="dxa"/>
              <w:bottom w:w="60" w:type="dxa"/>
              <w:right w:w="40" w:type="dxa"/>
            </w:tcMar>
          </w:tcPr>
          <w:p w14:paraId="74EC1B82" w14:textId="77777777" w:rsidR="00D31EA2" w:rsidRDefault="00D31EA2" w:rsidP="00410442">
            <w:pPr>
              <w:rPr>
                <w:rFonts w:ascii="Arial" w:hAnsi="Arial" w:cs="Arial"/>
                <w:color w:val="000000"/>
                <w:sz w:val="18"/>
                <w:szCs w:val="18"/>
              </w:rPr>
            </w:pPr>
            <w:r>
              <w:rPr>
                <w:rFonts w:ascii="Arial" w:hAnsi="Arial" w:cs="Arial"/>
                <w:color w:val="000000"/>
                <w:sz w:val="18"/>
                <w:szCs w:val="18"/>
              </w:rPr>
              <w:t>1.7%</w:t>
            </w:r>
          </w:p>
        </w:tc>
      </w:tr>
      <w:tr w:rsidR="00D31EA2" w14:paraId="7C2B0EBC" w14:textId="77777777" w:rsidTr="00311585">
        <w:trPr>
          <w:cantSplit/>
          <w:trHeight w:val="240"/>
        </w:trPr>
        <w:tc>
          <w:tcPr>
            <w:tcW w:w="2964" w:type="dxa"/>
            <w:vMerge/>
            <w:tcMar>
              <w:top w:w="40" w:type="dxa"/>
              <w:left w:w="120" w:type="dxa"/>
              <w:bottom w:w="40" w:type="dxa"/>
              <w:right w:w="40" w:type="dxa"/>
            </w:tcMar>
          </w:tcPr>
          <w:p w14:paraId="0B792455" w14:textId="77777777" w:rsidR="00D31EA2" w:rsidRPr="00AA148D" w:rsidRDefault="00D31EA2" w:rsidP="00410442">
            <w:pPr>
              <w:rPr>
                <w:rFonts w:ascii="Arial" w:hAnsi="Arial" w:cs="Arial"/>
                <w:sz w:val="18"/>
                <w:szCs w:val="18"/>
              </w:rPr>
            </w:pPr>
          </w:p>
        </w:tc>
        <w:tc>
          <w:tcPr>
            <w:tcW w:w="2540" w:type="dxa"/>
            <w:tcMar>
              <w:top w:w="40" w:type="dxa"/>
              <w:left w:w="80" w:type="dxa"/>
              <w:bottom w:w="40" w:type="dxa"/>
              <w:right w:w="40" w:type="dxa"/>
            </w:tcMar>
          </w:tcPr>
          <w:p w14:paraId="4173797E"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95+</w:t>
            </w:r>
          </w:p>
        </w:tc>
        <w:tc>
          <w:tcPr>
            <w:tcW w:w="1159" w:type="dxa"/>
            <w:tcMar>
              <w:top w:w="43" w:type="dxa"/>
              <w:left w:w="86" w:type="dxa"/>
              <w:bottom w:w="58" w:type="dxa"/>
              <w:right w:w="43" w:type="dxa"/>
            </w:tcMar>
          </w:tcPr>
          <w:p w14:paraId="06089B7D" w14:textId="77777777" w:rsidR="00D31EA2" w:rsidRDefault="00D31EA2" w:rsidP="00410442">
            <w:pPr>
              <w:rPr>
                <w:rFonts w:ascii="Arial" w:hAnsi="Arial" w:cs="Arial"/>
                <w:color w:val="000000"/>
                <w:sz w:val="18"/>
                <w:szCs w:val="18"/>
              </w:rPr>
            </w:pPr>
            <w:r>
              <w:rPr>
                <w:rFonts w:ascii="Arial" w:hAnsi="Arial" w:cs="Arial"/>
                <w:color w:val="000000"/>
                <w:sz w:val="18"/>
                <w:szCs w:val="18"/>
              </w:rPr>
              <w:t>0.2%</w:t>
            </w:r>
          </w:p>
        </w:tc>
        <w:tc>
          <w:tcPr>
            <w:tcW w:w="1160" w:type="dxa"/>
            <w:tcMar>
              <w:top w:w="43" w:type="dxa"/>
              <w:left w:w="86" w:type="dxa"/>
              <w:bottom w:w="58" w:type="dxa"/>
              <w:right w:w="43" w:type="dxa"/>
            </w:tcMar>
          </w:tcPr>
          <w:p w14:paraId="1341AD2E" w14:textId="77777777" w:rsidR="00D31EA2" w:rsidRDefault="00D31EA2" w:rsidP="00410442">
            <w:pPr>
              <w:rPr>
                <w:rFonts w:ascii="Arial" w:hAnsi="Arial" w:cs="Arial"/>
                <w:color w:val="000000"/>
                <w:sz w:val="18"/>
                <w:szCs w:val="18"/>
              </w:rPr>
            </w:pPr>
            <w:r>
              <w:rPr>
                <w:rFonts w:ascii="Arial" w:hAnsi="Arial" w:cs="Arial"/>
                <w:color w:val="000000"/>
                <w:sz w:val="18"/>
                <w:szCs w:val="18"/>
              </w:rPr>
              <w:t>0.2%</w:t>
            </w:r>
          </w:p>
        </w:tc>
        <w:tc>
          <w:tcPr>
            <w:tcW w:w="1160" w:type="dxa"/>
            <w:tcMar>
              <w:top w:w="40" w:type="dxa"/>
              <w:left w:w="80" w:type="dxa"/>
              <w:bottom w:w="60" w:type="dxa"/>
              <w:right w:w="40" w:type="dxa"/>
            </w:tcMar>
          </w:tcPr>
          <w:p w14:paraId="599D7BFA" w14:textId="77777777" w:rsidR="00D31EA2" w:rsidRDefault="00D31EA2" w:rsidP="00410442">
            <w:pPr>
              <w:rPr>
                <w:rFonts w:ascii="Arial" w:hAnsi="Arial" w:cs="Arial"/>
                <w:color w:val="000000"/>
                <w:sz w:val="18"/>
                <w:szCs w:val="18"/>
              </w:rPr>
            </w:pPr>
            <w:r>
              <w:rPr>
                <w:rFonts w:ascii="Arial" w:hAnsi="Arial" w:cs="Arial"/>
                <w:color w:val="000000"/>
                <w:sz w:val="18"/>
                <w:szCs w:val="18"/>
              </w:rPr>
              <w:t>0.2%</w:t>
            </w:r>
          </w:p>
        </w:tc>
        <w:tc>
          <w:tcPr>
            <w:tcW w:w="1160" w:type="dxa"/>
            <w:tcMar>
              <w:top w:w="40" w:type="dxa"/>
              <w:left w:w="80" w:type="dxa"/>
              <w:bottom w:w="60" w:type="dxa"/>
              <w:right w:w="40" w:type="dxa"/>
            </w:tcMar>
          </w:tcPr>
          <w:p w14:paraId="09A9FD7D" w14:textId="77777777" w:rsidR="00D31EA2" w:rsidRDefault="00D31EA2" w:rsidP="00410442">
            <w:pPr>
              <w:rPr>
                <w:rFonts w:ascii="Arial" w:hAnsi="Arial" w:cs="Arial"/>
                <w:color w:val="000000"/>
                <w:sz w:val="18"/>
                <w:szCs w:val="18"/>
              </w:rPr>
            </w:pPr>
            <w:r>
              <w:rPr>
                <w:rFonts w:ascii="Arial" w:hAnsi="Arial" w:cs="Arial"/>
                <w:color w:val="000000"/>
                <w:sz w:val="18"/>
                <w:szCs w:val="18"/>
              </w:rPr>
              <w:t>0.2%</w:t>
            </w:r>
          </w:p>
        </w:tc>
        <w:tc>
          <w:tcPr>
            <w:tcW w:w="1160" w:type="dxa"/>
            <w:tcMar>
              <w:top w:w="40" w:type="dxa"/>
              <w:left w:w="80" w:type="dxa"/>
              <w:bottom w:w="60" w:type="dxa"/>
              <w:right w:w="40" w:type="dxa"/>
            </w:tcMar>
          </w:tcPr>
          <w:p w14:paraId="596E6BD1" w14:textId="77777777" w:rsidR="00D31EA2" w:rsidRDefault="00D31EA2" w:rsidP="00410442">
            <w:pPr>
              <w:rPr>
                <w:rFonts w:ascii="Arial" w:hAnsi="Arial" w:cs="Arial"/>
                <w:color w:val="000000"/>
                <w:sz w:val="18"/>
                <w:szCs w:val="18"/>
              </w:rPr>
            </w:pPr>
            <w:r>
              <w:rPr>
                <w:rFonts w:ascii="Arial" w:hAnsi="Arial" w:cs="Arial"/>
                <w:color w:val="000000"/>
                <w:sz w:val="18"/>
                <w:szCs w:val="18"/>
              </w:rPr>
              <w:t>0.2%</w:t>
            </w:r>
          </w:p>
        </w:tc>
      </w:tr>
      <w:tr w:rsidR="00D31EA2" w14:paraId="56A65422" w14:textId="77777777" w:rsidTr="00311585">
        <w:trPr>
          <w:cantSplit/>
          <w:trHeight w:val="240"/>
        </w:trPr>
        <w:tc>
          <w:tcPr>
            <w:tcW w:w="2964" w:type="dxa"/>
            <w:tcMar>
              <w:top w:w="40" w:type="dxa"/>
              <w:left w:w="120" w:type="dxa"/>
              <w:bottom w:w="40" w:type="dxa"/>
              <w:right w:w="40" w:type="dxa"/>
            </w:tcMar>
          </w:tcPr>
          <w:p w14:paraId="1AE12C06"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Consumers of culturally and linguistically diverse backgrounds (%)</w:t>
            </w:r>
          </w:p>
        </w:tc>
        <w:tc>
          <w:tcPr>
            <w:tcW w:w="2540" w:type="dxa"/>
            <w:tcMar>
              <w:top w:w="40" w:type="dxa"/>
              <w:left w:w="80" w:type="dxa"/>
              <w:bottom w:w="40" w:type="dxa"/>
              <w:right w:w="40" w:type="dxa"/>
            </w:tcMar>
          </w:tcPr>
          <w:p w14:paraId="4B62A10B" w14:textId="0F0E28A6" w:rsidR="00D31EA2" w:rsidRPr="00AA148D" w:rsidRDefault="001A10D7" w:rsidP="00410442">
            <w:pPr>
              <w:rPr>
                <w:rFonts w:ascii="Arial" w:hAnsi="Arial" w:cs="Arial"/>
                <w:sz w:val="18"/>
                <w:szCs w:val="18"/>
              </w:rPr>
            </w:pPr>
            <w:r>
              <w:rPr>
                <w:rFonts w:ascii="Arial" w:eastAsia="Verdana" w:hAnsi="Arial" w:cs="Arial"/>
                <w:color w:val="000000"/>
                <w:sz w:val="18"/>
                <w:szCs w:val="18"/>
              </w:rPr>
              <w:t>C</w:t>
            </w:r>
            <w:r w:rsidRPr="00AA148D">
              <w:rPr>
                <w:rFonts w:ascii="Arial" w:eastAsia="Verdana" w:hAnsi="Arial" w:cs="Arial"/>
                <w:color w:val="000000"/>
                <w:sz w:val="18"/>
                <w:szCs w:val="18"/>
              </w:rPr>
              <w:t>ulturally and linguistically diverse</w:t>
            </w:r>
          </w:p>
        </w:tc>
        <w:tc>
          <w:tcPr>
            <w:tcW w:w="1159" w:type="dxa"/>
            <w:tcMar>
              <w:top w:w="43" w:type="dxa"/>
              <w:left w:w="86" w:type="dxa"/>
              <w:bottom w:w="58" w:type="dxa"/>
              <w:right w:w="43" w:type="dxa"/>
            </w:tcMar>
          </w:tcPr>
          <w:p w14:paraId="21C90C0C" w14:textId="77777777" w:rsidR="00D31EA2" w:rsidRDefault="00D31EA2" w:rsidP="00410442">
            <w:pPr>
              <w:rPr>
                <w:rFonts w:ascii="Arial" w:hAnsi="Arial" w:cs="Arial"/>
                <w:color w:val="000000"/>
                <w:sz w:val="18"/>
                <w:szCs w:val="18"/>
                <w:lang w:eastAsia="en-AU"/>
              </w:rPr>
            </w:pPr>
            <w:r>
              <w:rPr>
                <w:rFonts w:ascii="Arial" w:hAnsi="Arial" w:cs="Arial"/>
                <w:color w:val="000000"/>
                <w:sz w:val="18"/>
                <w:szCs w:val="18"/>
              </w:rPr>
              <w:t>14.0%</w:t>
            </w:r>
          </w:p>
        </w:tc>
        <w:tc>
          <w:tcPr>
            <w:tcW w:w="1160" w:type="dxa"/>
            <w:tcMar>
              <w:top w:w="43" w:type="dxa"/>
              <w:left w:w="86" w:type="dxa"/>
              <w:bottom w:w="58" w:type="dxa"/>
              <w:right w:w="43" w:type="dxa"/>
            </w:tcMar>
          </w:tcPr>
          <w:p w14:paraId="38DFF529" w14:textId="77777777" w:rsidR="00D31EA2" w:rsidRDefault="00D31EA2" w:rsidP="00410442">
            <w:pPr>
              <w:rPr>
                <w:rFonts w:ascii="Arial" w:hAnsi="Arial" w:cs="Arial"/>
                <w:color w:val="000000"/>
                <w:sz w:val="18"/>
                <w:szCs w:val="18"/>
              </w:rPr>
            </w:pPr>
            <w:r>
              <w:rPr>
                <w:rFonts w:ascii="Arial" w:hAnsi="Arial" w:cs="Arial"/>
                <w:color w:val="000000"/>
                <w:sz w:val="18"/>
                <w:szCs w:val="18"/>
              </w:rPr>
              <w:t>13.6%</w:t>
            </w:r>
          </w:p>
        </w:tc>
        <w:tc>
          <w:tcPr>
            <w:tcW w:w="1160" w:type="dxa"/>
            <w:tcMar>
              <w:top w:w="40" w:type="dxa"/>
              <w:left w:w="80" w:type="dxa"/>
              <w:bottom w:w="60" w:type="dxa"/>
              <w:right w:w="40" w:type="dxa"/>
            </w:tcMar>
          </w:tcPr>
          <w:p w14:paraId="02CD06B5" w14:textId="77777777" w:rsidR="00D31EA2" w:rsidRDefault="00D31EA2" w:rsidP="00410442">
            <w:pPr>
              <w:rPr>
                <w:rFonts w:ascii="Arial" w:hAnsi="Arial" w:cs="Arial"/>
                <w:color w:val="000000"/>
                <w:sz w:val="18"/>
                <w:szCs w:val="18"/>
              </w:rPr>
            </w:pPr>
            <w:r>
              <w:rPr>
                <w:rFonts w:ascii="Arial" w:hAnsi="Arial" w:cs="Arial"/>
                <w:color w:val="000000"/>
                <w:sz w:val="18"/>
                <w:szCs w:val="18"/>
              </w:rPr>
              <w:t>13.8%</w:t>
            </w:r>
          </w:p>
        </w:tc>
        <w:tc>
          <w:tcPr>
            <w:tcW w:w="1160" w:type="dxa"/>
            <w:tcMar>
              <w:top w:w="40" w:type="dxa"/>
              <w:left w:w="80" w:type="dxa"/>
              <w:bottom w:w="60" w:type="dxa"/>
              <w:right w:w="40" w:type="dxa"/>
            </w:tcMar>
          </w:tcPr>
          <w:p w14:paraId="0E86F4F2" w14:textId="77777777" w:rsidR="00D31EA2" w:rsidRDefault="00D31EA2" w:rsidP="00410442">
            <w:pPr>
              <w:rPr>
                <w:rFonts w:ascii="Arial" w:hAnsi="Arial" w:cs="Arial"/>
                <w:color w:val="000000"/>
                <w:sz w:val="18"/>
                <w:szCs w:val="18"/>
              </w:rPr>
            </w:pPr>
            <w:r>
              <w:rPr>
                <w:rFonts w:ascii="Arial" w:hAnsi="Arial" w:cs="Arial"/>
                <w:color w:val="000000"/>
                <w:sz w:val="18"/>
                <w:szCs w:val="18"/>
              </w:rPr>
              <w:t>13.8%</w:t>
            </w:r>
          </w:p>
        </w:tc>
        <w:tc>
          <w:tcPr>
            <w:tcW w:w="1160" w:type="dxa"/>
            <w:tcMar>
              <w:top w:w="40" w:type="dxa"/>
              <w:left w:w="80" w:type="dxa"/>
              <w:bottom w:w="60" w:type="dxa"/>
              <w:right w:w="40" w:type="dxa"/>
            </w:tcMar>
          </w:tcPr>
          <w:p w14:paraId="6A6F9B51" w14:textId="77777777" w:rsidR="00D31EA2" w:rsidRDefault="00D31EA2" w:rsidP="00410442">
            <w:pPr>
              <w:rPr>
                <w:rFonts w:ascii="Arial" w:hAnsi="Arial" w:cs="Arial"/>
                <w:color w:val="000000"/>
                <w:sz w:val="18"/>
                <w:szCs w:val="18"/>
              </w:rPr>
            </w:pPr>
            <w:r>
              <w:rPr>
                <w:rFonts w:ascii="Arial" w:hAnsi="Arial" w:cs="Arial"/>
                <w:color w:val="000000"/>
                <w:sz w:val="18"/>
                <w:szCs w:val="18"/>
              </w:rPr>
              <w:t>14.0%</w:t>
            </w:r>
          </w:p>
        </w:tc>
      </w:tr>
      <w:tr w:rsidR="00D31EA2" w14:paraId="7AB86776" w14:textId="77777777" w:rsidTr="00311585">
        <w:trPr>
          <w:cantSplit/>
          <w:trHeight w:val="240"/>
        </w:trPr>
        <w:tc>
          <w:tcPr>
            <w:tcW w:w="2964" w:type="dxa"/>
            <w:tcMar>
              <w:top w:w="40" w:type="dxa"/>
              <w:left w:w="120" w:type="dxa"/>
              <w:bottom w:w="40" w:type="dxa"/>
              <w:right w:w="40" w:type="dxa"/>
            </w:tcMar>
          </w:tcPr>
          <w:p w14:paraId="45F670CC"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Aboriginal or Torres Strait Islander status (%)</w:t>
            </w:r>
          </w:p>
        </w:tc>
        <w:tc>
          <w:tcPr>
            <w:tcW w:w="2540" w:type="dxa"/>
            <w:tcMar>
              <w:top w:w="40" w:type="dxa"/>
              <w:left w:w="80" w:type="dxa"/>
              <w:bottom w:w="40" w:type="dxa"/>
              <w:right w:w="40" w:type="dxa"/>
            </w:tcMar>
          </w:tcPr>
          <w:p w14:paraId="1A5210C9"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Indigenous</w:t>
            </w:r>
          </w:p>
        </w:tc>
        <w:tc>
          <w:tcPr>
            <w:tcW w:w="1159" w:type="dxa"/>
            <w:tcMar>
              <w:top w:w="43" w:type="dxa"/>
              <w:left w:w="86" w:type="dxa"/>
              <w:bottom w:w="58" w:type="dxa"/>
              <w:right w:w="43" w:type="dxa"/>
            </w:tcMar>
          </w:tcPr>
          <w:p w14:paraId="595ABE38" w14:textId="77777777" w:rsidR="00D31EA2" w:rsidRDefault="00D31EA2" w:rsidP="00410442">
            <w:pPr>
              <w:rPr>
                <w:rFonts w:ascii="Arial" w:hAnsi="Arial" w:cs="Arial"/>
                <w:color w:val="000000"/>
                <w:sz w:val="18"/>
                <w:szCs w:val="18"/>
                <w:lang w:eastAsia="en-AU"/>
              </w:rPr>
            </w:pPr>
            <w:r>
              <w:rPr>
                <w:rFonts w:ascii="Arial" w:hAnsi="Arial" w:cs="Arial"/>
                <w:color w:val="000000"/>
                <w:sz w:val="18"/>
                <w:szCs w:val="18"/>
              </w:rPr>
              <w:t>2.6%</w:t>
            </w:r>
          </w:p>
        </w:tc>
        <w:tc>
          <w:tcPr>
            <w:tcW w:w="1160" w:type="dxa"/>
            <w:tcMar>
              <w:top w:w="43" w:type="dxa"/>
              <w:left w:w="86" w:type="dxa"/>
              <w:bottom w:w="58" w:type="dxa"/>
              <w:right w:w="43" w:type="dxa"/>
            </w:tcMar>
          </w:tcPr>
          <w:p w14:paraId="094043F6" w14:textId="77777777" w:rsidR="00D31EA2" w:rsidRDefault="00D31EA2" w:rsidP="00410442">
            <w:pPr>
              <w:rPr>
                <w:rFonts w:ascii="Arial" w:hAnsi="Arial" w:cs="Arial"/>
                <w:color w:val="000000"/>
                <w:sz w:val="18"/>
                <w:szCs w:val="18"/>
              </w:rPr>
            </w:pPr>
            <w:r>
              <w:rPr>
                <w:rFonts w:ascii="Arial" w:hAnsi="Arial" w:cs="Arial"/>
                <w:color w:val="000000"/>
                <w:sz w:val="18"/>
                <w:szCs w:val="18"/>
              </w:rPr>
              <w:t>2.7%</w:t>
            </w:r>
          </w:p>
        </w:tc>
        <w:tc>
          <w:tcPr>
            <w:tcW w:w="1160" w:type="dxa"/>
            <w:tcMar>
              <w:top w:w="40" w:type="dxa"/>
              <w:left w:w="80" w:type="dxa"/>
              <w:bottom w:w="60" w:type="dxa"/>
              <w:right w:w="40" w:type="dxa"/>
            </w:tcMar>
          </w:tcPr>
          <w:p w14:paraId="017BF123" w14:textId="77777777" w:rsidR="00D31EA2" w:rsidRDefault="00D31EA2" w:rsidP="00410442">
            <w:pPr>
              <w:rPr>
                <w:rFonts w:ascii="Arial" w:hAnsi="Arial" w:cs="Arial"/>
                <w:color w:val="000000"/>
                <w:sz w:val="18"/>
                <w:szCs w:val="18"/>
              </w:rPr>
            </w:pPr>
            <w:r>
              <w:rPr>
                <w:rFonts w:ascii="Arial" w:hAnsi="Arial" w:cs="Arial"/>
                <w:color w:val="000000"/>
                <w:sz w:val="18"/>
                <w:szCs w:val="18"/>
              </w:rPr>
              <w:t>2.8%</w:t>
            </w:r>
          </w:p>
        </w:tc>
        <w:tc>
          <w:tcPr>
            <w:tcW w:w="1160" w:type="dxa"/>
            <w:tcMar>
              <w:top w:w="40" w:type="dxa"/>
              <w:left w:w="80" w:type="dxa"/>
              <w:bottom w:w="60" w:type="dxa"/>
              <w:right w:w="40" w:type="dxa"/>
            </w:tcMar>
          </w:tcPr>
          <w:p w14:paraId="0ADE8B1C" w14:textId="77777777" w:rsidR="00D31EA2" w:rsidRDefault="00D31EA2" w:rsidP="00410442">
            <w:pPr>
              <w:rPr>
                <w:rFonts w:ascii="Arial" w:hAnsi="Arial" w:cs="Arial"/>
                <w:color w:val="000000"/>
                <w:sz w:val="18"/>
                <w:szCs w:val="18"/>
              </w:rPr>
            </w:pPr>
            <w:r>
              <w:rPr>
                <w:rFonts w:ascii="Arial" w:hAnsi="Arial" w:cs="Arial"/>
                <w:color w:val="000000"/>
                <w:sz w:val="18"/>
                <w:szCs w:val="18"/>
              </w:rPr>
              <w:t>2.9%</w:t>
            </w:r>
          </w:p>
        </w:tc>
        <w:tc>
          <w:tcPr>
            <w:tcW w:w="1160" w:type="dxa"/>
            <w:tcMar>
              <w:top w:w="40" w:type="dxa"/>
              <w:left w:w="80" w:type="dxa"/>
              <w:bottom w:w="60" w:type="dxa"/>
              <w:right w:w="40" w:type="dxa"/>
            </w:tcMar>
          </w:tcPr>
          <w:p w14:paraId="168B57EA" w14:textId="77777777" w:rsidR="00D31EA2" w:rsidRDefault="00D31EA2" w:rsidP="00410442">
            <w:pPr>
              <w:rPr>
                <w:rFonts w:ascii="Arial" w:hAnsi="Arial" w:cs="Arial"/>
                <w:color w:val="000000"/>
                <w:sz w:val="18"/>
                <w:szCs w:val="18"/>
              </w:rPr>
            </w:pPr>
            <w:r>
              <w:rPr>
                <w:rFonts w:ascii="Arial" w:hAnsi="Arial" w:cs="Arial"/>
                <w:color w:val="000000"/>
                <w:sz w:val="18"/>
                <w:szCs w:val="18"/>
              </w:rPr>
              <w:t>3.1%</w:t>
            </w:r>
          </w:p>
        </w:tc>
      </w:tr>
      <w:tr w:rsidR="00D31EA2" w14:paraId="3DF02B1C" w14:textId="77777777" w:rsidTr="00311585">
        <w:trPr>
          <w:cantSplit/>
          <w:trHeight w:val="240"/>
        </w:trPr>
        <w:tc>
          <w:tcPr>
            <w:tcW w:w="2964" w:type="dxa"/>
            <w:vMerge w:val="restart"/>
            <w:tcMar>
              <w:top w:w="40" w:type="dxa"/>
              <w:left w:w="120" w:type="dxa"/>
              <w:bottom w:w="40" w:type="dxa"/>
              <w:right w:w="40" w:type="dxa"/>
            </w:tcMar>
          </w:tcPr>
          <w:p w14:paraId="0F660BF3"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Country of birth (top 10 non-English speaking) (%)</w:t>
            </w:r>
          </w:p>
        </w:tc>
        <w:tc>
          <w:tcPr>
            <w:tcW w:w="2540" w:type="dxa"/>
            <w:tcMar>
              <w:top w:w="40" w:type="dxa"/>
              <w:left w:w="80" w:type="dxa"/>
              <w:bottom w:w="40" w:type="dxa"/>
              <w:right w:w="40" w:type="dxa"/>
            </w:tcMar>
          </w:tcPr>
          <w:p w14:paraId="58E51EB3" w14:textId="77777777" w:rsidR="00D31EA2" w:rsidRDefault="00D31EA2" w:rsidP="00410442">
            <w:pPr>
              <w:rPr>
                <w:rFonts w:ascii="Arial" w:hAnsi="Arial" w:cs="Arial"/>
                <w:color w:val="000000"/>
                <w:sz w:val="18"/>
                <w:szCs w:val="18"/>
                <w:lang w:eastAsia="en-AU"/>
              </w:rPr>
            </w:pPr>
            <w:r>
              <w:rPr>
                <w:rFonts w:ascii="Arial" w:hAnsi="Arial" w:cs="Arial"/>
                <w:color w:val="000000"/>
                <w:sz w:val="18"/>
                <w:szCs w:val="18"/>
              </w:rPr>
              <w:t>Italy</w:t>
            </w:r>
          </w:p>
        </w:tc>
        <w:tc>
          <w:tcPr>
            <w:tcW w:w="1159" w:type="dxa"/>
            <w:tcMar>
              <w:top w:w="43" w:type="dxa"/>
              <w:left w:w="86" w:type="dxa"/>
              <w:bottom w:w="58" w:type="dxa"/>
              <w:right w:w="43" w:type="dxa"/>
            </w:tcMar>
          </w:tcPr>
          <w:p w14:paraId="68D7A66C" w14:textId="77777777" w:rsidR="00D31EA2" w:rsidRDefault="00D31EA2" w:rsidP="00410442">
            <w:pPr>
              <w:rPr>
                <w:rFonts w:ascii="Arial" w:hAnsi="Arial" w:cs="Arial"/>
                <w:color w:val="000000"/>
                <w:sz w:val="18"/>
                <w:szCs w:val="18"/>
              </w:rPr>
            </w:pPr>
            <w:r>
              <w:rPr>
                <w:rFonts w:ascii="Arial" w:hAnsi="Arial" w:cs="Arial"/>
                <w:color w:val="000000"/>
                <w:sz w:val="18"/>
                <w:szCs w:val="18"/>
              </w:rPr>
              <w:t>1.1%</w:t>
            </w:r>
          </w:p>
        </w:tc>
        <w:tc>
          <w:tcPr>
            <w:tcW w:w="1160" w:type="dxa"/>
            <w:tcMar>
              <w:top w:w="43" w:type="dxa"/>
              <w:left w:w="86" w:type="dxa"/>
              <w:bottom w:w="58" w:type="dxa"/>
              <w:right w:w="43" w:type="dxa"/>
            </w:tcMar>
          </w:tcPr>
          <w:p w14:paraId="34185E91" w14:textId="77777777" w:rsidR="00D31EA2" w:rsidRDefault="00D31EA2" w:rsidP="00410442">
            <w:pPr>
              <w:rPr>
                <w:rFonts w:ascii="Arial" w:hAnsi="Arial" w:cs="Arial"/>
                <w:color w:val="000000"/>
                <w:sz w:val="18"/>
                <w:szCs w:val="18"/>
              </w:rPr>
            </w:pPr>
            <w:r>
              <w:rPr>
                <w:rFonts w:ascii="Arial" w:hAnsi="Arial" w:cs="Arial"/>
                <w:color w:val="000000"/>
                <w:sz w:val="18"/>
                <w:szCs w:val="18"/>
              </w:rPr>
              <w:t>1.0%</w:t>
            </w:r>
          </w:p>
        </w:tc>
        <w:tc>
          <w:tcPr>
            <w:tcW w:w="1160" w:type="dxa"/>
            <w:tcMar>
              <w:top w:w="40" w:type="dxa"/>
              <w:left w:w="80" w:type="dxa"/>
              <w:bottom w:w="60" w:type="dxa"/>
              <w:right w:w="40" w:type="dxa"/>
            </w:tcMar>
          </w:tcPr>
          <w:p w14:paraId="25F0B8A5" w14:textId="77777777" w:rsidR="00D31EA2" w:rsidRDefault="00D31EA2" w:rsidP="00410442">
            <w:pPr>
              <w:rPr>
                <w:rFonts w:ascii="Arial" w:hAnsi="Arial" w:cs="Arial"/>
                <w:color w:val="000000"/>
                <w:sz w:val="18"/>
                <w:szCs w:val="18"/>
              </w:rPr>
            </w:pPr>
            <w:r>
              <w:rPr>
                <w:rFonts w:ascii="Arial" w:hAnsi="Arial" w:cs="Arial"/>
                <w:color w:val="000000"/>
                <w:sz w:val="18"/>
                <w:szCs w:val="18"/>
              </w:rPr>
              <w:t>1.0%</w:t>
            </w:r>
          </w:p>
        </w:tc>
        <w:tc>
          <w:tcPr>
            <w:tcW w:w="1160" w:type="dxa"/>
            <w:tcMar>
              <w:top w:w="40" w:type="dxa"/>
              <w:left w:w="80" w:type="dxa"/>
              <w:bottom w:w="60" w:type="dxa"/>
              <w:right w:w="40" w:type="dxa"/>
            </w:tcMar>
          </w:tcPr>
          <w:p w14:paraId="1EE84EDC" w14:textId="77777777" w:rsidR="00D31EA2" w:rsidRDefault="00D31EA2" w:rsidP="00410442">
            <w:pPr>
              <w:rPr>
                <w:rFonts w:ascii="Arial" w:hAnsi="Arial" w:cs="Arial"/>
                <w:color w:val="000000"/>
                <w:sz w:val="18"/>
                <w:szCs w:val="18"/>
              </w:rPr>
            </w:pPr>
            <w:r>
              <w:rPr>
                <w:rFonts w:ascii="Arial" w:hAnsi="Arial" w:cs="Arial"/>
                <w:color w:val="000000"/>
                <w:sz w:val="18"/>
                <w:szCs w:val="18"/>
              </w:rPr>
              <w:t>0.9%</w:t>
            </w:r>
          </w:p>
        </w:tc>
        <w:tc>
          <w:tcPr>
            <w:tcW w:w="1160" w:type="dxa"/>
            <w:tcMar>
              <w:top w:w="40" w:type="dxa"/>
              <w:left w:w="80" w:type="dxa"/>
              <w:bottom w:w="60" w:type="dxa"/>
              <w:right w:w="40" w:type="dxa"/>
            </w:tcMar>
          </w:tcPr>
          <w:p w14:paraId="51261B3F" w14:textId="77777777" w:rsidR="00D31EA2" w:rsidRDefault="00D31EA2" w:rsidP="00410442">
            <w:pPr>
              <w:rPr>
                <w:rFonts w:ascii="Arial" w:hAnsi="Arial" w:cs="Arial"/>
                <w:color w:val="000000"/>
                <w:sz w:val="18"/>
                <w:szCs w:val="18"/>
              </w:rPr>
            </w:pPr>
            <w:r>
              <w:rPr>
                <w:rFonts w:ascii="Arial" w:hAnsi="Arial" w:cs="Arial"/>
                <w:color w:val="000000"/>
                <w:sz w:val="18"/>
                <w:szCs w:val="18"/>
              </w:rPr>
              <w:t>0.8%</w:t>
            </w:r>
          </w:p>
        </w:tc>
      </w:tr>
      <w:tr w:rsidR="00D31EA2" w14:paraId="039A2380" w14:textId="77777777" w:rsidTr="00311585">
        <w:trPr>
          <w:cantSplit/>
          <w:trHeight w:val="240"/>
        </w:trPr>
        <w:tc>
          <w:tcPr>
            <w:tcW w:w="2964" w:type="dxa"/>
            <w:vMerge/>
            <w:tcMar>
              <w:top w:w="40" w:type="dxa"/>
              <w:left w:w="120" w:type="dxa"/>
              <w:bottom w:w="40" w:type="dxa"/>
              <w:right w:w="40" w:type="dxa"/>
            </w:tcMar>
          </w:tcPr>
          <w:p w14:paraId="41B2A83D" w14:textId="77777777" w:rsidR="00D31EA2" w:rsidRPr="00AA148D" w:rsidRDefault="00D31EA2" w:rsidP="00410442">
            <w:pPr>
              <w:rPr>
                <w:rFonts w:ascii="Arial" w:hAnsi="Arial" w:cs="Arial"/>
                <w:sz w:val="18"/>
                <w:szCs w:val="18"/>
              </w:rPr>
            </w:pPr>
          </w:p>
        </w:tc>
        <w:tc>
          <w:tcPr>
            <w:tcW w:w="2540" w:type="dxa"/>
            <w:tcMar>
              <w:top w:w="40" w:type="dxa"/>
              <w:left w:w="80" w:type="dxa"/>
              <w:bottom w:w="40" w:type="dxa"/>
              <w:right w:w="40" w:type="dxa"/>
            </w:tcMar>
          </w:tcPr>
          <w:p w14:paraId="7DED088B" w14:textId="77777777" w:rsidR="00D31EA2" w:rsidRDefault="00D31EA2" w:rsidP="00410442">
            <w:pPr>
              <w:rPr>
                <w:rFonts w:ascii="Arial" w:hAnsi="Arial" w:cs="Arial"/>
                <w:color w:val="000000"/>
                <w:sz w:val="18"/>
                <w:szCs w:val="18"/>
              </w:rPr>
            </w:pPr>
            <w:r>
              <w:rPr>
                <w:rFonts w:ascii="Arial" w:hAnsi="Arial" w:cs="Arial"/>
                <w:color w:val="000000"/>
                <w:sz w:val="18"/>
                <w:szCs w:val="18"/>
              </w:rPr>
              <w:t>Vietnam</w:t>
            </w:r>
          </w:p>
        </w:tc>
        <w:tc>
          <w:tcPr>
            <w:tcW w:w="1159" w:type="dxa"/>
            <w:tcMar>
              <w:top w:w="43" w:type="dxa"/>
              <w:left w:w="86" w:type="dxa"/>
              <w:bottom w:w="58" w:type="dxa"/>
              <w:right w:w="43" w:type="dxa"/>
            </w:tcMar>
          </w:tcPr>
          <w:p w14:paraId="096DBB47" w14:textId="77777777" w:rsidR="00D31EA2" w:rsidRDefault="00D31EA2" w:rsidP="00410442">
            <w:pPr>
              <w:rPr>
                <w:rFonts w:ascii="Arial" w:hAnsi="Arial" w:cs="Arial"/>
                <w:color w:val="000000"/>
                <w:sz w:val="18"/>
                <w:szCs w:val="18"/>
              </w:rPr>
            </w:pPr>
            <w:r>
              <w:rPr>
                <w:rFonts w:ascii="Arial" w:hAnsi="Arial" w:cs="Arial"/>
                <w:color w:val="000000"/>
                <w:sz w:val="18"/>
                <w:szCs w:val="18"/>
              </w:rPr>
              <w:t>0.9%</w:t>
            </w:r>
          </w:p>
        </w:tc>
        <w:tc>
          <w:tcPr>
            <w:tcW w:w="1160" w:type="dxa"/>
            <w:tcMar>
              <w:top w:w="43" w:type="dxa"/>
              <w:left w:w="86" w:type="dxa"/>
              <w:bottom w:w="58" w:type="dxa"/>
              <w:right w:w="43" w:type="dxa"/>
            </w:tcMar>
          </w:tcPr>
          <w:p w14:paraId="51B65328" w14:textId="77777777" w:rsidR="00D31EA2" w:rsidRDefault="00D31EA2" w:rsidP="00410442">
            <w:pPr>
              <w:rPr>
                <w:rFonts w:ascii="Arial" w:hAnsi="Arial" w:cs="Arial"/>
                <w:color w:val="000000"/>
                <w:sz w:val="18"/>
                <w:szCs w:val="18"/>
              </w:rPr>
            </w:pPr>
            <w:r>
              <w:rPr>
                <w:rFonts w:ascii="Arial" w:hAnsi="Arial" w:cs="Arial"/>
                <w:color w:val="000000"/>
                <w:sz w:val="18"/>
                <w:szCs w:val="18"/>
              </w:rPr>
              <w:t>0.8%</w:t>
            </w:r>
          </w:p>
        </w:tc>
        <w:tc>
          <w:tcPr>
            <w:tcW w:w="1160" w:type="dxa"/>
            <w:tcMar>
              <w:top w:w="40" w:type="dxa"/>
              <w:left w:w="80" w:type="dxa"/>
              <w:bottom w:w="60" w:type="dxa"/>
              <w:right w:w="40" w:type="dxa"/>
            </w:tcMar>
          </w:tcPr>
          <w:p w14:paraId="5AA1007E" w14:textId="77777777" w:rsidR="00D31EA2" w:rsidRDefault="00D31EA2" w:rsidP="00410442">
            <w:pPr>
              <w:rPr>
                <w:rFonts w:ascii="Arial" w:hAnsi="Arial" w:cs="Arial"/>
                <w:color w:val="000000"/>
                <w:sz w:val="18"/>
                <w:szCs w:val="18"/>
              </w:rPr>
            </w:pPr>
            <w:r>
              <w:rPr>
                <w:rFonts w:ascii="Arial" w:hAnsi="Arial" w:cs="Arial"/>
                <w:color w:val="000000"/>
                <w:sz w:val="18"/>
                <w:szCs w:val="18"/>
              </w:rPr>
              <w:t>0.9%</w:t>
            </w:r>
          </w:p>
        </w:tc>
        <w:tc>
          <w:tcPr>
            <w:tcW w:w="1160" w:type="dxa"/>
            <w:tcMar>
              <w:top w:w="40" w:type="dxa"/>
              <w:left w:w="80" w:type="dxa"/>
              <w:bottom w:w="60" w:type="dxa"/>
              <w:right w:w="40" w:type="dxa"/>
            </w:tcMar>
          </w:tcPr>
          <w:p w14:paraId="6D9CCF3E" w14:textId="77777777" w:rsidR="00D31EA2" w:rsidRDefault="00D31EA2" w:rsidP="00410442">
            <w:pPr>
              <w:rPr>
                <w:rFonts w:ascii="Arial" w:hAnsi="Arial" w:cs="Arial"/>
                <w:color w:val="000000"/>
                <w:sz w:val="18"/>
                <w:szCs w:val="18"/>
              </w:rPr>
            </w:pPr>
            <w:r>
              <w:rPr>
                <w:rFonts w:ascii="Arial" w:hAnsi="Arial" w:cs="Arial"/>
                <w:color w:val="000000"/>
                <w:sz w:val="18"/>
                <w:szCs w:val="18"/>
              </w:rPr>
              <w:t>0.8%</w:t>
            </w:r>
          </w:p>
        </w:tc>
        <w:tc>
          <w:tcPr>
            <w:tcW w:w="1160" w:type="dxa"/>
            <w:tcMar>
              <w:top w:w="40" w:type="dxa"/>
              <w:left w:w="80" w:type="dxa"/>
              <w:bottom w:w="60" w:type="dxa"/>
              <w:right w:w="40" w:type="dxa"/>
            </w:tcMar>
          </w:tcPr>
          <w:p w14:paraId="33C765D3" w14:textId="77777777" w:rsidR="00D31EA2" w:rsidRDefault="00D31EA2" w:rsidP="00410442">
            <w:pPr>
              <w:rPr>
                <w:rFonts w:ascii="Arial" w:hAnsi="Arial" w:cs="Arial"/>
                <w:color w:val="000000"/>
                <w:sz w:val="18"/>
                <w:szCs w:val="18"/>
              </w:rPr>
            </w:pPr>
            <w:r>
              <w:rPr>
                <w:rFonts w:ascii="Arial" w:hAnsi="Arial" w:cs="Arial"/>
                <w:color w:val="000000"/>
                <w:sz w:val="18"/>
                <w:szCs w:val="18"/>
              </w:rPr>
              <w:t>0.8%</w:t>
            </w:r>
          </w:p>
        </w:tc>
      </w:tr>
      <w:tr w:rsidR="00D31EA2" w14:paraId="5A196CC8" w14:textId="77777777" w:rsidTr="00311585">
        <w:trPr>
          <w:cantSplit/>
          <w:trHeight w:val="240"/>
        </w:trPr>
        <w:tc>
          <w:tcPr>
            <w:tcW w:w="2964" w:type="dxa"/>
            <w:vMerge/>
            <w:tcMar>
              <w:top w:w="40" w:type="dxa"/>
              <w:left w:w="120" w:type="dxa"/>
              <w:bottom w:w="40" w:type="dxa"/>
              <w:right w:w="40" w:type="dxa"/>
            </w:tcMar>
          </w:tcPr>
          <w:p w14:paraId="4B50A2CA" w14:textId="77777777" w:rsidR="00D31EA2" w:rsidRPr="00AA148D" w:rsidRDefault="00D31EA2" w:rsidP="00410442">
            <w:pPr>
              <w:rPr>
                <w:rFonts w:ascii="Arial" w:hAnsi="Arial" w:cs="Arial"/>
                <w:sz w:val="18"/>
                <w:szCs w:val="18"/>
              </w:rPr>
            </w:pPr>
          </w:p>
        </w:tc>
        <w:tc>
          <w:tcPr>
            <w:tcW w:w="2540" w:type="dxa"/>
            <w:tcMar>
              <w:top w:w="40" w:type="dxa"/>
              <w:left w:w="80" w:type="dxa"/>
              <w:bottom w:w="40" w:type="dxa"/>
              <w:right w:w="40" w:type="dxa"/>
            </w:tcMar>
          </w:tcPr>
          <w:p w14:paraId="6F820F8C" w14:textId="77777777" w:rsidR="00D31EA2" w:rsidRDefault="00D31EA2" w:rsidP="00410442">
            <w:pPr>
              <w:rPr>
                <w:rFonts w:ascii="Arial" w:hAnsi="Arial" w:cs="Arial"/>
                <w:color w:val="000000"/>
                <w:sz w:val="18"/>
                <w:szCs w:val="18"/>
              </w:rPr>
            </w:pPr>
            <w:r>
              <w:rPr>
                <w:rFonts w:ascii="Arial" w:hAnsi="Arial" w:cs="Arial"/>
                <w:color w:val="000000"/>
                <w:sz w:val="18"/>
                <w:szCs w:val="18"/>
              </w:rPr>
              <w:t>India</w:t>
            </w:r>
          </w:p>
        </w:tc>
        <w:tc>
          <w:tcPr>
            <w:tcW w:w="1159" w:type="dxa"/>
            <w:tcMar>
              <w:top w:w="43" w:type="dxa"/>
              <w:left w:w="86" w:type="dxa"/>
              <w:bottom w:w="58" w:type="dxa"/>
              <w:right w:w="43" w:type="dxa"/>
            </w:tcMar>
          </w:tcPr>
          <w:p w14:paraId="6B9B6AD6" w14:textId="77777777" w:rsidR="00D31EA2" w:rsidRDefault="00D31EA2" w:rsidP="00410442">
            <w:pPr>
              <w:rPr>
                <w:rFonts w:ascii="Arial" w:hAnsi="Arial" w:cs="Arial"/>
                <w:color w:val="000000"/>
                <w:sz w:val="18"/>
                <w:szCs w:val="18"/>
              </w:rPr>
            </w:pPr>
            <w:r>
              <w:rPr>
                <w:rFonts w:ascii="Arial" w:hAnsi="Arial" w:cs="Arial"/>
                <w:color w:val="000000"/>
                <w:sz w:val="18"/>
                <w:szCs w:val="18"/>
              </w:rPr>
              <w:t>0.6%</w:t>
            </w:r>
          </w:p>
        </w:tc>
        <w:tc>
          <w:tcPr>
            <w:tcW w:w="1160" w:type="dxa"/>
            <w:tcMar>
              <w:top w:w="43" w:type="dxa"/>
              <w:left w:w="86" w:type="dxa"/>
              <w:bottom w:w="58" w:type="dxa"/>
              <w:right w:w="43" w:type="dxa"/>
            </w:tcMar>
          </w:tcPr>
          <w:p w14:paraId="445E930C" w14:textId="77777777" w:rsidR="00D31EA2" w:rsidRDefault="00D31EA2" w:rsidP="00410442">
            <w:pPr>
              <w:rPr>
                <w:rFonts w:ascii="Arial" w:hAnsi="Arial" w:cs="Arial"/>
                <w:color w:val="000000"/>
                <w:sz w:val="18"/>
                <w:szCs w:val="18"/>
              </w:rPr>
            </w:pPr>
            <w:r>
              <w:rPr>
                <w:rFonts w:ascii="Arial" w:hAnsi="Arial" w:cs="Arial"/>
                <w:color w:val="000000"/>
                <w:sz w:val="18"/>
                <w:szCs w:val="18"/>
              </w:rPr>
              <w:t>0.7%</w:t>
            </w:r>
          </w:p>
        </w:tc>
        <w:tc>
          <w:tcPr>
            <w:tcW w:w="1160" w:type="dxa"/>
            <w:tcMar>
              <w:top w:w="40" w:type="dxa"/>
              <w:left w:w="80" w:type="dxa"/>
              <w:bottom w:w="60" w:type="dxa"/>
              <w:right w:w="40" w:type="dxa"/>
            </w:tcMar>
          </w:tcPr>
          <w:p w14:paraId="7B3BFE36" w14:textId="77777777" w:rsidR="00D31EA2" w:rsidRDefault="00D31EA2" w:rsidP="00410442">
            <w:pPr>
              <w:rPr>
                <w:rFonts w:ascii="Arial" w:hAnsi="Arial" w:cs="Arial"/>
                <w:color w:val="000000"/>
                <w:sz w:val="18"/>
                <w:szCs w:val="18"/>
              </w:rPr>
            </w:pPr>
            <w:r>
              <w:rPr>
                <w:rFonts w:ascii="Arial" w:hAnsi="Arial" w:cs="Arial"/>
                <w:color w:val="000000"/>
                <w:sz w:val="18"/>
                <w:szCs w:val="18"/>
              </w:rPr>
              <w:t>0.8%</w:t>
            </w:r>
          </w:p>
        </w:tc>
        <w:tc>
          <w:tcPr>
            <w:tcW w:w="1160" w:type="dxa"/>
            <w:tcMar>
              <w:top w:w="40" w:type="dxa"/>
              <w:left w:w="80" w:type="dxa"/>
              <w:bottom w:w="60" w:type="dxa"/>
              <w:right w:w="40" w:type="dxa"/>
            </w:tcMar>
          </w:tcPr>
          <w:p w14:paraId="47944910" w14:textId="77777777" w:rsidR="00D31EA2" w:rsidRDefault="00D31EA2" w:rsidP="00410442">
            <w:pPr>
              <w:rPr>
                <w:rFonts w:ascii="Arial" w:hAnsi="Arial" w:cs="Arial"/>
                <w:color w:val="000000"/>
                <w:sz w:val="18"/>
                <w:szCs w:val="18"/>
              </w:rPr>
            </w:pPr>
            <w:r>
              <w:rPr>
                <w:rFonts w:ascii="Arial" w:hAnsi="Arial" w:cs="Arial"/>
                <w:color w:val="000000"/>
                <w:sz w:val="18"/>
                <w:szCs w:val="18"/>
              </w:rPr>
              <w:t>0.8%</w:t>
            </w:r>
          </w:p>
        </w:tc>
        <w:tc>
          <w:tcPr>
            <w:tcW w:w="1160" w:type="dxa"/>
            <w:tcMar>
              <w:top w:w="40" w:type="dxa"/>
              <w:left w:w="80" w:type="dxa"/>
              <w:bottom w:w="60" w:type="dxa"/>
              <w:right w:w="40" w:type="dxa"/>
            </w:tcMar>
          </w:tcPr>
          <w:p w14:paraId="1EC3D6F0" w14:textId="77777777" w:rsidR="00D31EA2" w:rsidRDefault="00D31EA2" w:rsidP="00410442">
            <w:pPr>
              <w:rPr>
                <w:rFonts w:ascii="Arial" w:hAnsi="Arial" w:cs="Arial"/>
                <w:color w:val="000000"/>
                <w:sz w:val="18"/>
                <w:szCs w:val="18"/>
              </w:rPr>
            </w:pPr>
            <w:r>
              <w:rPr>
                <w:rFonts w:ascii="Arial" w:hAnsi="Arial" w:cs="Arial"/>
                <w:color w:val="000000"/>
                <w:sz w:val="18"/>
                <w:szCs w:val="18"/>
              </w:rPr>
              <w:t>1.0%</w:t>
            </w:r>
          </w:p>
        </w:tc>
      </w:tr>
      <w:tr w:rsidR="00D31EA2" w14:paraId="44053D97" w14:textId="77777777" w:rsidTr="00311585">
        <w:trPr>
          <w:cantSplit/>
          <w:trHeight w:val="240"/>
        </w:trPr>
        <w:tc>
          <w:tcPr>
            <w:tcW w:w="2964" w:type="dxa"/>
            <w:vMerge/>
            <w:tcMar>
              <w:top w:w="40" w:type="dxa"/>
              <w:left w:w="120" w:type="dxa"/>
              <w:bottom w:w="40" w:type="dxa"/>
              <w:right w:w="40" w:type="dxa"/>
            </w:tcMar>
          </w:tcPr>
          <w:p w14:paraId="1C6F2C52" w14:textId="77777777" w:rsidR="00D31EA2" w:rsidRPr="00AA148D" w:rsidRDefault="00D31EA2" w:rsidP="00410442">
            <w:pPr>
              <w:rPr>
                <w:rFonts w:ascii="Arial" w:hAnsi="Arial" w:cs="Arial"/>
                <w:sz w:val="18"/>
                <w:szCs w:val="18"/>
              </w:rPr>
            </w:pPr>
          </w:p>
        </w:tc>
        <w:tc>
          <w:tcPr>
            <w:tcW w:w="2540" w:type="dxa"/>
            <w:tcMar>
              <w:top w:w="40" w:type="dxa"/>
              <w:left w:w="80" w:type="dxa"/>
              <w:bottom w:w="40" w:type="dxa"/>
              <w:right w:w="40" w:type="dxa"/>
            </w:tcMar>
          </w:tcPr>
          <w:p w14:paraId="7003FC56" w14:textId="77777777" w:rsidR="00D31EA2" w:rsidRDefault="00D31EA2" w:rsidP="00410442">
            <w:pPr>
              <w:rPr>
                <w:rFonts w:ascii="Arial" w:hAnsi="Arial" w:cs="Arial"/>
                <w:color w:val="000000"/>
                <w:sz w:val="18"/>
                <w:szCs w:val="18"/>
              </w:rPr>
            </w:pPr>
            <w:r>
              <w:rPr>
                <w:rFonts w:ascii="Arial" w:hAnsi="Arial" w:cs="Arial"/>
                <w:color w:val="000000"/>
                <w:sz w:val="18"/>
                <w:szCs w:val="18"/>
              </w:rPr>
              <w:t>Greece</w:t>
            </w:r>
          </w:p>
        </w:tc>
        <w:tc>
          <w:tcPr>
            <w:tcW w:w="1159" w:type="dxa"/>
            <w:tcMar>
              <w:top w:w="43" w:type="dxa"/>
              <w:left w:w="86" w:type="dxa"/>
              <w:bottom w:w="58" w:type="dxa"/>
              <w:right w:w="43" w:type="dxa"/>
            </w:tcMar>
          </w:tcPr>
          <w:p w14:paraId="63F45212" w14:textId="77777777" w:rsidR="00D31EA2" w:rsidRDefault="00D31EA2" w:rsidP="00410442">
            <w:pPr>
              <w:rPr>
                <w:rFonts w:ascii="Arial" w:hAnsi="Arial" w:cs="Arial"/>
                <w:color w:val="000000"/>
                <w:sz w:val="18"/>
                <w:szCs w:val="18"/>
              </w:rPr>
            </w:pPr>
            <w:r>
              <w:rPr>
                <w:rFonts w:ascii="Arial" w:hAnsi="Arial" w:cs="Arial"/>
                <w:color w:val="000000"/>
                <w:sz w:val="18"/>
                <w:szCs w:val="18"/>
              </w:rPr>
              <w:t>0.8%</w:t>
            </w:r>
          </w:p>
        </w:tc>
        <w:tc>
          <w:tcPr>
            <w:tcW w:w="1160" w:type="dxa"/>
            <w:tcMar>
              <w:top w:w="43" w:type="dxa"/>
              <w:left w:w="86" w:type="dxa"/>
              <w:bottom w:w="58" w:type="dxa"/>
              <w:right w:w="43" w:type="dxa"/>
            </w:tcMar>
          </w:tcPr>
          <w:p w14:paraId="2EFD6CDC" w14:textId="77777777" w:rsidR="00D31EA2" w:rsidRDefault="00D31EA2" w:rsidP="00410442">
            <w:pPr>
              <w:rPr>
                <w:rFonts w:ascii="Arial" w:hAnsi="Arial" w:cs="Arial"/>
                <w:color w:val="000000"/>
                <w:sz w:val="18"/>
                <w:szCs w:val="18"/>
              </w:rPr>
            </w:pPr>
            <w:r>
              <w:rPr>
                <w:rFonts w:ascii="Arial" w:hAnsi="Arial" w:cs="Arial"/>
                <w:color w:val="000000"/>
                <w:sz w:val="18"/>
                <w:szCs w:val="18"/>
              </w:rPr>
              <w:t>0.8%</w:t>
            </w:r>
          </w:p>
        </w:tc>
        <w:tc>
          <w:tcPr>
            <w:tcW w:w="1160" w:type="dxa"/>
            <w:tcMar>
              <w:top w:w="40" w:type="dxa"/>
              <w:left w:w="80" w:type="dxa"/>
              <w:bottom w:w="60" w:type="dxa"/>
              <w:right w:w="40" w:type="dxa"/>
            </w:tcMar>
          </w:tcPr>
          <w:p w14:paraId="4B45F21D" w14:textId="77777777" w:rsidR="00D31EA2" w:rsidRDefault="00D31EA2" w:rsidP="00410442">
            <w:pPr>
              <w:rPr>
                <w:rFonts w:ascii="Arial" w:hAnsi="Arial" w:cs="Arial"/>
                <w:color w:val="000000"/>
                <w:sz w:val="18"/>
                <w:szCs w:val="18"/>
              </w:rPr>
            </w:pPr>
            <w:r>
              <w:rPr>
                <w:rFonts w:ascii="Arial" w:hAnsi="Arial" w:cs="Arial"/>
                <w:color w:val="000000"/>
                <w:sz w:val="18"/>
                <w:szCs w:val="18"/>
              </w:rPr>
              <w:t>0.8%</w:t>
            </w:r>
          </w:p>
        </w:tc>
        <w:tc>
          <w:tcPr>
            <w:tcW w:w="1160" w:type="dxa"/>
            <w:tcMar>
              <w:top w:w="40" w:type="dxa"/>
              <w:left w:w="80" w:type="dxa"/>
              <w:bottom w:w="60" w:type="dxa"/>
              <w:right w:w="40" w:type="dxa"/>
            </w:tcMar>
          </w:tcPr>
          <w:p w14:paraId="5566133B" w14:textId="77777777" w:rsidR="00D31EA2" w:rsidRDefault="00D31EA2" w:rsidP="00410442">
            <w:pPr>
              <w:rPr>
                <w:rFonts w:ascii="Arial" w:hAnsi="Arial" w:cs="Arial"/>
                <w:color w:val="000000"/>
                <w:sz w:val="18"/>
                <w:szCs w:val="18"/>
              </w:rPr>
            </w:pPr>
            <w:r>
              <w:rPr>
                <w:rFonts w:ascii="Arial" w:hAnsi="Arial" w:cs="Arial"/>
                <w:color w:val="000000"/>
                <w:sz w:val="18"/>
                <w:szCs w:val="18"/>
              </w:rPr>
              <w:t>0.7%</w:t>
            </w:r>
          </w:p>
        </w:tc>
        <w:tc>
          <w:tcPr>
            <w:tcW w:w="1160" w:type="dxa"/>
            <w:tcMar>
              <w:top w:w="40" w:type="dxa"/>
              <w:left w:w="80" w:type="dxa"/>
              <w:bottom w:w="60" w:type="dxa"/>
              <w:right w:w="40" w:type="dxa"/>
            </w:tcMar>
          </w:tcPr>
          <w:p w14:paraId="47FCB053" w14:textId="77777777" w:rsidR="00D31EA2" w:rsidRDefault="00D31EA2" w:rsidP="00410442">
            <w:pPr>
              <w:rPr>
                <w:rFonts w:ascii="Arial" w:hAnsi="Arial" w:cs="Arial"/>
                <w:color w:val="000000"/>
                <w:sz w:val="18"/>
                <w:szCs w:val="18"/>
              </w:rPr>
            </w:pPr>
            <w:r>
              <w:rPr>
                <w:rFonts w:ascii="Arial" w:hAnsi="Arial" w:cs="Arial"/>
                <w:color w:val="000000"/>
                <w:sz w:val="18"/>
                <w:szCs w:val="18"/>
              </w:rPr>
              <w:t>0.7%</w:t>
            </w:r>
          </w:p>
        </w:tc>
      </w:tr>
      <w:tr w:rsidR="00D31EA2" w14:paraId="553DBA96" w14:textId="77777777" w:rsidTr="00311585">
        <w:trPr>
          <w:cantSplit/>
          <w:trHeight w:val="240"/>
        </w:trPr>
        <w:tc>
          <w:tcPr>
            <w:tcW w:w="2964" w:type="dxa"/>
            <w:vMerge/>
            <w:tcMar>
              <w:top w:w="40" w:type="dxa"/>
              <w:left w:w="120" w:type="dxa"/>
              <w:bottom w:w="40" w:type="dxa"/>
              <w:right w:w="40" w:type="dxa"/>
            </w:tcMar>
          </w:tcPr>
          <w:p w14:paraId="181890BE" w14:textId="77777777" w:rsidR="00D31EA2" w:rsidRPr="00AA148D" w:rsidRDefault="00D31EA2" w:rsidP="00410442">
            <w:pPr>
              <w:rPr>
                <w:rFonts w:ascii="Arial" w:hAnsi="Arial" w:cs="Arial"/>
                <w:sz w:val="18"/>
                <w:szCs w:val="18"/>
              </w:rPr>
            </w:pPr>
          </w:p>
        </w:tc>
        <w:tc>
          <w:tcPr>
            <w:tcW w:w="2540" w:type="dxa"/>
            <w:tcMar>
              <w:top w:w="40" w:type="dxa"/>
              <w:left w:w="80" w:type="dxa"/>
              <w:bottom w:w="40" w:type="dxa"/>
              <w:right w:w="40" w:type="dxa"/>
            </w:tcMar>
          </w:tcPr>
          <w:p w14:paraId="0175760F" w14:textId="77777777" w:rsidR="00D31EA2" w:rsidRDefault="00D31EA2" w:rsidP="00410442">
            <w:pPr>
              <w:rPr>
                <w:rFonts w:ascii="Arial" w:hAnsi="Arial" w:cs="Arial"/>
                <w:color w:val="000000"/>
                <w:sz w:val="18"/>
                <w:szCs w:val="18"/>
              </w:rPr>
            </w:pPr>
            <w:r>
              <w:rPr>
                <w:rFonts w:ascii="Arial" w:hAnsi="Arial" w:cs="Arial"/>
                <w:color w:val="000000"/>
                <w:sz w:val="18"/>
                <w:szCs w:val="18"/>
              </w:rPr>
              <w:t>China (excludes SARs and Taiwan)</w:t>
            </w:r>
          </w:p>
        </w:tc>
        <w:tc>
          <w:tcPr>
            <w:tcW w:w="1159" w:type="dxa"/>
            <w:tcMar>
              <w:top w:w="43" w:type="dxa"/>
              <w:left w:w="86" w:type="dxa"/>
              <w:bottom w:w="58" w:type="dxa"/>
              <w:right w:w="43" w:type="dxa"/>
            </w:tcMar>
          </w:tcPr>
          <w:p w14:paraId="123ED74C" w14:textId="77777777" w:rsidR="00D31EA2" w:rsidRDefault="00D31EA2" w:rsidP="00410442">
            <w:pPr>
              <w:rPr>
                <w:rFonts w:ascii="Arial" w:hAnsi="Arial" w:cs="Arial"/>
                <w:color w:val="000000"/>
                <w:sz w:val="18"/>
                <w:szCs w:val="18"/>
              </w:rPr>
            </w:pPr>
            <w:r>
              <w:rPr>
                <w:rFonts w:ascii="Arial" w:hAnsi="Arial" w:cs="Arial"/>
                <w:color w:val="000000"/>
                <w:sz w:val="18"/>
                <w:szCs w:val="18"/>
              </w:rPr>
              <w:t>0.6%</w:t>
            </w:r>
          </w:p>
        </w:tc>
        <w:tc>
          <w:tcPr>
            <w:tcW w:w="1160" w:type="dxa"/>
            <w:tcMar>
              <w:top w:w="43" w:type="dxa"/>
              <w:left w:w="86" w:type="dxa"/>
              <w:bottom w:w="58" w:type="dxa"/>
              <w:right w:w="43" w:type="dxa"/>
            </w:tcMar>
          </w:tcPr>
          <w:p w14:paraId="0FD63AC8" w14:textId="77777777" w:rsidR="00D31EA2" w:rsidRDefault="00D31EA2" w:rsidP="00410442">
            <w:pPr>
              <w:rPr>
                <w:rFonts w:ascii="Arial" w:hAnsi="Arial" w:cs="Arial"/>
                <w:color w:val="000000"/>
                <w:sz w:val="18"/>
                <w:szCs w:val="18"/>
              </w:rPr>
            </w:pPr>
            <w:r>
              <w:rPr>
                <w:rFonts w:ascii="Arial" w:hAnsi="Arial" w:cs="Arial"/>
                <w:color w:val="000000"/>
                <w:sz w:val="18"/>
                <w:szCs w:val="18"/>
              </w:rPr>
              <w:t>0.6%</w:t>
            </w:r>
          </w:p>
        </w:tc>
        <w:tc>
          <w:tcPr>
            <w:tcW w:w="1160" w:type="dxa"/>
            <w:tcMar>
              <w:top w:w="40" w:type="dxa"/>
              <w:left w:w="80" w:type="dxa"/>
              <w:bottom w:w="60" w:type="dxa"/>
              <w:right w:w="40" w:type="dxa"/>
            </w:tcMar>
          </w:tcPr>
          <w:p w14:paraId="2899C42A" w14:textId="77777777" w:rsidR="00D31EA2" w:rsidRDefault="00D31EA2" w:rsidP="00410442">
            <w:pPr>
              <w:rPr>
                <w:rFonts w:ascii="Arial" w:hAnsi="Arial" w:cs="Arial"/>
                <w:color w:val="000000"/>
                <w:sz w:val="18"/>
                <w:szCs w:val="18"/>
              </w:rPr>
            </w:pPr>
            <w:r>
              <w:rPr>
                <w:rFonts w:ascii="Arial" w:hAnsi="Arial" w:cs="Arial"/>
                <w:color w:val="000000"/>
                <w:sz w:val="18"/>
                <w:szCs w:val="18"/>
              </w:rPr>
              <w:t>0.7%</w:t>
            </w:r>
          </w:p>
        </w:tc>
        <w:tc>
          <w:tcPr>
            <w:tcW w:w="1160" w:type="dxa"/>
            <w:tcMar>
              <w:top w:w="40" w:type="dxa"/>
              <w:left w:w="80" w:type="dxa"/>
              <w:bottom w:w="60" w:type="dxa"/>
              <w:right w:w="40" w:type="dxa"/>
            </w:tcMar>
          </w:tcPr>
          <w:p w14:paraId="2E07559D" w14:textId="77777777" w:rsidR="00D31EA2" w:rsidRDefault="00D31EA2" w:rsidP="00410442">
            <w:pPr>
              <w:rPr>
                <w:rFonts w:ascii="Arial" w:hAnsi="Arial" w:cs="Arial"/>
                <w:color w:val="000000"/>
                <w:sz w:val="18"/>
                <w:szCs w:val="18"/>
              </w:rPr>
            </w:pPr>
            <w:r>
              <w:rPr>
                <w:rFonts w:ascii="Arial" w:hAnsi="Arial" w:cs="Arial"/>
                <w:color w:val="000000"/>
                <w:sz w:val="18"/>
                <w:szCs w:val="18"/>
              </w:rPr>
              <w:t>0.7%</w:t>
            </w:r>
          </w:p>
        </w:tc>
        <w:tc>
          <w:tcPr>
            <w:tcW w:w="1160" w:type="dxa"/>
            <w:tcMar>
              <w:top w:w="40" w:type="dxa"/>
              <w:left w:w="80" w:type="dxa"/>
              <w:bottom w:w="60" w:type="dxa"/>
              <w:right w:w="40" w:type="dxa"/>
            </w:tcMar>
          </w:tcPr>
          <w:p w14:paraId="6A6C3BC4" w14:textId="77777777" w:rsidR="00D31EA2" w:rsidRDefault="00D31EA2" w:rsidP="00410442">
            <w:pPr>
              <w:rPr>
                <w:rFonts w:ascii="Arial" w:hAnsi="Arial" w:cs="Arial"/>
                <w:color w:val="000000"/>
                <w:sz w:val="18"/>
                <w:szCs w:val="18"/>
              </w:rPr>
            </w:pPr>
            <w:r>
              <w:rPr>
                <w:rFonts w:ascii="Arial" w:hAnsi="Arial" w:cs="Arial"/>
                <w:color w:val="000000"/>
                <w:sz w:val="18"/>
                <w:szCs w:val="18"/>
              </w:rPr>
              <w:t>0.7%</w:t>
            </w:r>
          </w:p>
        </w:tc>
      </w:tr>
      <w:tr w:rsidR="00D31EA2" w14:paraId="51076B81" w14:textId="77777777" w:rsidTr="00311585">
        <w:trPr>
          <w:cantSplit/>
          <w:trHeight w:val="240"/>
        </w:trPr>
        <w:tc>
          <w:tcPr>
            <w:tcW w:w="2964" w:type="dxa"/>
            <w:vMerge/>
            <w:tcMar>
              <w:top w:w="40" w:type="dxa"/>
              <w:left w:w="120" w:type="dxa"/>
              <w:bottom w:w="40" w:type="dxa"/>
              <w:right w:w="40" w:type="dxa"/>
            </w:tcMar>
          </w:tcPr>
          <w:p w14:paraId="3C2BEFB3" w14:textId="77777777" w:rsidR="00D31EA2" w:rsidRPr="00AA148D" w:rsidRDefault="00D31EA2" w:rsidP="00410442">
            <w:pPr>
              <w:rPr>
                <w:rFonts w:ascii="Arial" w:hAnsi="Arial" w:cs="Arial"/>
                <w:sz w:val="18"/>
                <w:szCs w:val="18"/>
              </w:rPr>
            </w:pPr>
          </w:p>
        </w:tc>
        <w:tc>
          <w:tcPr>
            <w:tcW w:w="2540" w:type="dxa"/>
            <w:tcMar>
              <w:top w:w="40" w:type="dxa"/>
              <w:left w:w="80" w:type="dxa"/>
              <w:bottom w:w="40" w:type="dxa"/>
              <w:right w:w="40" w:type="dxa"/>
            </w:tcMar>
          </w:tcPr>
          <w:p w14:paraId="7C976C62" w14:textId="77777777" w:rsidR="00D31EA2" w:rsidRDefault="00D31EA2" w:rsidP="00410442">
            <w:pPr>
              <w:rPr>
                <w:rFonts w:ascii="Arial" w:hAnsi="Arial" w:cs="Arial"/>
                <w:color w:val="000000"/>
                <w:sz w:val="18"/>
                <w:szCs w:val="18"/>
              </w:rPr>
            </w:pPr>
            <w:r>
              <w:rPr>
                <w:rFonts w:ascii="Arial" w:hAnsi="Arial" w:cs="Arial"/>
                <w:color w:val="000000"/>
                <w:sz w:val="18"/>
                <w:szCs w:val="18"/>
              </w:rPr>
              <w:t>Sri Lanka</w:t>
            </w:r>
          </w:p>
        </w:tc>
        <w:tc>
          <w:tcPr>
            <w:tcW w:w="1159" w:type="dxa"/>
            <w:tcMar>
              <w:top w:w="43" w:type="dxa"/>
              <w:left w:w="86" w:type="dxa"/>
              <w:bottom w:w="58" w:type="dxa"/>
              <w:right w:w="43" w:type="dxa"/>
            </w:tcMar>
          </w:tcPr>
          <w:p w14:paraId="5825DAF2" w14:textId="77777777" w:rsidR="00D31EA2" w:rsidRDefault="00D31EA2" w:rsidP="00410442">
            <w:pPr>
              <w:rPr>
                <w:rFonts w:ascii="Arial" w:hAnsi="Arial" w:cs="Arial"/>
                <w:color w:val="000000"/>
                <w:sz w:val="18"/>
                <w:szCs w:val="18"/>
              </w:rPr>
            </w:pPr>
            <w:r>
              <w:rPr>
                <w:rFonts w:ascii="Arial" w:hAnsi="Arial" w:cs="Arial"/>
                <w:color w:val="000000"/>
                <w:sz w:val="18"/>
                <w:szCs w:val="18"/>
              </w:rPr>
              <w:t>0.4%</w:t>
            </w:r>
          </w:p>
        </w:tc>
        <w:tc>
          <w:tcPr>
            <w:tcW w:w="1160" w:type="dxa"/>
            <w:tcMar>
              <w:top w:w="43" w:type="dxa"/>
              <w:left w:w="86" w:type="dxa"/>
              <w:bottom w:w="58" w:type="dxa"/>
              <w:right w:w="43" w:type="dxa"/>
            </w:tcMar>
          </w:tcPr>
          <w:p w14:paraId="3F4D4CC2" w14:textId="77777777" w:rsidR="00D31EA2" w:rsidRDefault="00D31EA2" w:rsidP="00410442">
            <w:pPr>
              <w:rPr>
                <w:rFonts w:ascii="Arial" w:hAnsi="Arial" w:cs="Arial"/>
                <w:color w:val="000000"/>
                <w:sz w:val="18"/>
                <w:szCs w:val="18"/>
              </w:rPr>
            </w:pPr>
            <w:r>
              <w:rPr>
                <w:rFonts w:ascii="Arial" w:hAnsi="Arial" w:cs="Arial"/>
                <w:color w:val="000000"/>
                <w:sz w:val="18"/>
                <w:szCs w:val="18"/>
              </w:rPr>
              <w:t>0.5%</w:t>
            </w:r>
          </w:p>
        </w:tc>
        <w:tc>
          <w:tcPr>
            <w:tcW w:w="1160" w:type="dxa"/>
            <w:tcMar>
              <w:top w:w="40" w:type="dxa"/>
              <w:left w:w="80" w:type="dxa"/>
              <w:bottom w:w="60" w:type="dxa"/>
              <w:right w:w="40" w:type="dxa"/>
            </w:tcMar>
          </w:tcPr>
          <w:p w14:paraId="138675F6" w14:textId="77777777" w:rsidR="00D31EA2" w:rsidRDefault="00D31EA2" w:rsidP="00410442">
            <w:pPr>
              <w:rPr>
                <w:rFonts w:ascii="Arial" w:hAnsi="Arial" w:cs="Arial"/>
                <w:color w:val="000000"/>
                <w:sz w:val="18"/>
                <w:szCs w:val="18"/>
              </w:rPr>
            </w:pPr>
            <w:r>
              <w:rPr>
                <w:rFonts w:ascii="Arial" w:hAnsi="Arial" w:cs="Arial"/>
                <w:color w:val="000000"/>
                <w:sz w:val="18"/>
                <w:szCs w:val="18"/>
              </w:rPr>
              <w:t>0.5%</w:t>
            </w:r>
          </w:p>
        </w:tc>
        <w:tc>
          <w:tcPr>
            <w:tcW w:w="1160" w:type="dxa"/>
            <w:tcMar>
              <w:top w:w="40" w:type="dxa"/>
              <w:left w:w="80" w:type="dxa"/>
              <w:bottom w:w="60" w:type="dxa"/>
              <w:right w:w="40" w:type="dxa"/>
            </w:tcMar>
          </w:tcPr>
          <w:p w14:paraId="28681CC9" w14:textId="77777777" w:rsidR="00D31EA2" w:rsidRDefault="00D31EA2" w:rsidP="00410442">
            <w:pPr>
              <w:rPr>
                <w:rFonts w:ascii="Arial" w:hAnsi="Arial" w:cs="Arial"/>
                <w:color w:val="000000"/>
                <w:sz w:val="18"/>
                <w:szCs w:val="18"/>
              </w:rPr>
            </w:pPr>
            <w:r>
              <w:rPr>
                <w:rFonts w:ascii="Arial" w:hAnsi="Arial" w:cs="Arial"/>
                <w:color w:val="000000"/>
                <w:sz w:val="18"/>
                <w:szCs w:val="18"/>
              </w:rPr>
              <w:t>0.5%</w:t>
            </w:r>
          </w:p>
        </w:tc>
        <w:tc>
          <w:tcPr>
            <w:tcW w:w="1160" w:type="dxa"/>
            <w:tcMar>
              <w:top w:w="40" w:type="dxa"/>
              <w:left w:w="80" w:type="dxa"/>
              <w:bottom w:w="60" w:type="dxa"/>
              <w:right w:w="40" w:type="dxa"/>
            </w:tcMar>
          </w:tcPr>
          <w:p w14:paraId="3D250A42" w14:textId="77777777" w:rsidR="00D31EA2" w:rsidRDefault="00D31EA2" w:rsidP="00410442">
            <w:pPr>
              <w:rPr>
                <w:rFonts w:ascii="Arial" w:hAnsi="Arial" w:cs="Arial"/>
                <w:color w:val="000000"/>
                <w:sz w:val="18"/>
                <w:szCs w:val="18"/>
              </w:rPr>
            </w:pPr>
            <w:r>
              <w:rPr>
                <w:rFonts w:ascii="Arial" w:hAnsi="Arial" w:cs="Arial"/>
                <w:color w:val="000000"/>
                <w:sz w:val="18"/>
                <w:szCs w:val="18"/>
              </w:rPr>
              <w:t>0.5%</w:t>
            </w:r>
          </w:p>
        </w:tc>
      </w:tr>
      <w:tr w:rsidR="00D31EA2" w14:paraId="1717B788" w14:textId="77777777" w:rsidTr="00311585">
        <w:trPr>
          <w:cantSplit/>
          <w:trHeight w:val="240"/>
        </w:trPr>
        <w:tc>
          <w:tcPr>
            <w:tcW w:w="2964" w:type="dxa"/>
            <w:vMerge/>
            <w:tcMar>
              <w:top w:w="40" w:type="dxa"/>
              <w:left w:w="120" w:type="dxa"/>
              <w:bottom w:w="40" w:type="dxa"/>
              <w:right w:w="40" w:type="dxa"/>
            </w:tcMar>
          </w:tcPr>
          <w:p w14:paraId="24B4126D" w14:textId="77777777" w:rsidR="00D31EA2" w:rsidRPr="00AA148D" w:rsidRDefault="00D31EA2" w:rsidP="00410442">
            <w:pPr>
              <w:rPr>
                <w:rFonts w:ascii="Arial" w:hAnsi="Arial" w:cs="Arial"/>
                <w:sz w:val="18"/>
                <w:szCs w:val="18"/>
              </w:rPr>
            </w:pPr>
          </w:p>
        </w:tc>
        <w:tc>
          <w:tcPr>
            <w:tcW w:w="2540" w:type="dxa"/>
            <w:tcMar>
              <w:top w:w="40" w:type="dxa"/>
              <w:left w:w="80" w:type="dxa"/>
              <w:bottom w:w="40" w:type="dxa"/>
              <w:right w:w="40" w:type="dxa"/>
            </w:tcMar>
          </w:tcPr>
          <w:p w14:paraId="2B339BEB" w14:textId="77777777" w:rsidR="00D31EA2" w:rsidRDefault="00D31EA2" w:rsidP="00410442">
            <w:pPr>
              <w:rPr>
                <w:rFonts w:ascii="Arial" w:hAnsi="Arial" w:cs="Arial"/>
                <w:color w:val="000000"/>
                <w:sz w:val="18"/>
                <w:szCs w:val="18"/>
              </w:rPr>
            </w:pPr>
            <w:r>
              <w:rPr>
                <w:rFonts w:ascii="Arial" w:hAnsi="Arial" w:cs="Arial"/>
                <w:color w:val="000000"/>
                <w:sz w:val="18"/>
                <w:szCs w:val="18"/>
              </w:rPr>
              <w:t>Turkey</w:t>
            </w:r>
          </w:p>
        </w:tc>
        <w:tc>
          <w:tcPr>
            <w:tcW w:w="1159" w:type="dxa"/>
            <w:tcMar>
              <w:top w:w="43" w:type="dxa"/>
              <w:left w:w="86" w:type="dxa"/>
              <w:bottom w:w="58" w:type="dxa"/>
              <w:right w:w="43" w:type="dxa"/>
            </w:tcMar>
          </w:tcPr>
          <w:p w14:paraId="75F14250" w14:textId="77777777" w:rsidR="00D31EA2" w:rsidRDefault="00D31EA2" w:rsidP="00410442">
            <w:pPr>
              <w:rPr>
                <w:rFonts w:ascii="Arial" w:hAnsi="Arial" w:cs="Arial"/>
                <w:color w:val="000000"/>
                <w:sz w:val="18"/>
                <w:szCs w:val="18"/>
              </w:rPr>
            </w:pPr>
            <w:r>
              <w:rPr>
                <w:rFonts w:ascii="Arial" w:hAnsi="Arial" w:cs="Arial"/>
                <w:color w:val="000000"/>
                <w:sz w:val="18"/>
                <w:szCs w:val="18"/>
              </w:rPr>
              <w:t>0.4%</w:t>
            </w:r>
          </w:p>
        </w:tc>
        <w:tc>
          <w:tcPr>
            <w:tcW w:w="1160" w:type="dxa"/>
            <w:tcMar>
              <w:top w:w="43" w:type="dxa"/>
              <w:left w:w="86" w:type="dxa"/>
              <w:bottom w:w="58" w:type="dxa"/>
              <w:right w:w="43" w:type="dxa"/>
            </w:tcMar>
          </w:tcPr>
          <w:p w14:paraId="4389DCE4" w14:textId="77777777" w:rsidR="00D31EA2" w:rsidRDefault="00D31EA2" w:rsidP="00410442">
            <w:pPr>
              <w:rPr>
                <w:rFonts w:ascii="Arial" w:hAnsi="Arial" w:cs="Arial"/>
                <w:color w:val="000000"/>
                <w:sz w:val="18"/>
                <w:szCs w:val="18"/>
              </w:rPr>
            </w:pPr>
            <w:r>
              <w:rPr>
                <w:rFonts w:ascii="Arial" w:hAnsi="Arial" w:cs="Arial"/>
                <w:color w:val="000000"/>
                <w:sz w:val="18"/>
                <w:szCs w:val="18"/>
              </w:rPr>
              <w:t>0.4%</w:t>
            </w:r>
          </w:p>
        </w:tc>
        <w:tc>
          <w:tcPr>
            <w:tcW w:w="1160" w:type="dxa"/>
            <w:tcMar>
              <w:top w:w="40" w:type="dxa"/>
              <w:left w:w="80" w:type="dxa"/>
              <w:bottom w:w="60" w:type="dxa"/>
              <w:right w:w="40" w:type="dxa"/>
            </w:tcMar>
          </w:tcPr>
          <w:p w14:paraId="1AEBEAFA" w14:textId="77777777" w:rsidR="00D31EA2" w:rsidRDefault="00D31EA2" w:rsidP="00410442">
            <w:pPr>
              <w:rPr>
                <w:rFonts w:ascii="Arial" w:hAnsi="Arial" w:cs="Arial"/>
                <w:color w:val="000000"/>
                <w:sz w:val="18"/>
                <w:szCs w:val="18"/>
              </w:rPr>
            </w:pPr>
            <w:r>
              <w:rPr>
                <w:rFonts w:ascii="Arial" w:hAnsi="Arial" w:cs="Arial"/>
                <w:color w:val="000000"/>
                <w:sz w:val="18"/>
                <w:szCs w:val="18"/>
              </w:rPr>
              <w:t>0.4%</w:t>
            </w:r>
          </w:p>
        </w:tc>
        <w:tc>
          <w:tcPr>
            <w:tcW w:w="1160" w:type="dxa"/>
            <w:tcMar>
              <w:top w:w="40" w:type="dxa"/>
              <w:left w:w="80" w:type="dxa"/>
              <w:bottom w:w="60" w:type="dxa"/>
              <w:right w:w="40" w:type="dxa"/>
            </w:tcMar>
          </w:tcPr>
          <w:p w14:paraId="67A22B9F" w14:textId="77777777" w:rsidR="00D31EA2" w:rsidRDefault="00D31EA2" w:rsidP="00410442">
            <w:pPr>
              <w:rPr>
                <w:rFonts w:ascii="Arial" w:hAnsi="Arial" w:cs="Arial"/>
                <w:color w:val="000000"/>
                <w:sz w:val="18"/>
                <w:szCs w:val="18"/>
              </w:rPr>
            </w:pPr>
            <w:r>
              <w:rPr>
                <w:rFonts w:ascii="Arial" w:hAnsi="Arial" w:cs="Arial"/>
                <w:color w:val="000000"/>
                <w:sz w:val="18"/>
                <w:szCs w:val="18"/>
              </w:rPr>
              <w:t>0.4%</w:t>
            </w:r>
          </w:p>
        </w:tc>
        <w:tc>
          <w:tcPr>
            <w:tcW w:w="1160" w:type="dxa"/>
            <w:tcMar>
              <w:top w:w="40" w:type="dxa"/>
              <w:left w:w="80" w:type="dxa"/>
              <w:bottom w:w="60" w:type="dxa"/>
              <w:right w:w="40" w:type="dxa"/>
            </w:tcMar>
          </w:tcPr>
          <w:p w14:paraId="53705272" w14:textId="77777777" w:rsidR="00D31EA2" w:rsidRDefault="00D31EA2" w:rsidP="00410442">
            <w:pPr>
              <w:rPr>
                <w:rFonts w:ascii="Arial" w:hAnsi="Arial" w:cs="Arial"/>
                <w:color w:val="000000"/>
                <w:sz w:val="18"/>
                <w:szCs w:val="18"/>
              </w:rPr>
            </w:pPr>
            <w:r>
              <w:rPr>
                <w:rFonts w:ascii="Arial" w:hAnsi="Arial" w:cs="Arial"/>
                <w:color w:val="000000"/>
                <w:sz w:val="18"/>
                <w:szCs w:val="18"/>
              </w:rPr>
              <w:t>0.4%</w:t>
            </w:r>
          </w:p>
        </w:tc>
      </w:tr>
      <w:tr w:rsidR="00D31EA2" w14:paraId="0E8578F5" w14:textId="77777777" w:rsidTr="00311585">
        <w:trPr>
          <w:cantSplit/>
          <w:trHeight w:val="240"/>
        </w:trPr>
        <w:tc>
          <w:tcPr>
            <w:tcW w:w="2964" w:type="dxa"/>
            <w:vMerge/>
            <w:tcMar>
              <w:top w:w="40" w:type="dxa"/>
              <w:left w:w="120" w:type="dxa"/>
              <w:bottom w:w="40" w:type="dxa"/>
              <w:right w:w="40" w:type="dxa"/>
            </w:tcMar>
          </w:tcPr>
          <w:p w14:paraId="03E8A743" w14:textId="77777777" w:rsidR="00D31EA2" w:rsidRPr="00AA148D" w:rsidRDefault="00D31EA2" w:rsidP="00410442">
            <w:pPr>
              <w:rPr>
                <w:rFonts w:ascii="Arial" w:hAnsi="Arial" w:cs="Arial"/>
                <w:sz w:val="18"/>
                <w:szCs w:val="18"/>
              </w:rPr>
            </w:pPr>
          </w:p>
        </w:tc>
        <w:tc>
          <w:tcPr>
            <w:tcW w:w="2540" w:type="dxa"/>
            <w:tcMar>
              <w:top w:w="40" w:type="dxa"/>
              <w:left w:w="80" w:type="dxa"/>
              <w:bottom w:w="40" w:type="dxa"/>
              <w:right w:w="40" w:type="dxa"/>
            </w:tcMar>
          </w:tcPr>
          <w:p w14:paraId="0F657A6D" w14:textId="77777777" w:rsidR="00D31EA2" w:rsidRDefault="00D31EA2" w:rsidP="00410442">
            <w:pPr>
              <w:rPr>
                <w:rFonts w:ascii="Arial" w:hAnsi="Arial" w:cs="Arial"/>
                <w:color w:val="000000"/>
                <w:sz w:val="18"/>
                <w:szCs w:val="18"/>
              </w:rPr>
            </w:pPr>
            <w:r>
              <w:rPr>
                <w:rFonts w:ascii="Arial" w:hAnsi="Arial" w:cs="Arial"/>
                <w:color w:val="000000"/>
                <w:sz w:val="18"/>
                <w:szCs w:val="18"/>
              </w:rPr>
              <w:t>Philippines</w:t>
            </w:r>
          </w:p>
        </w:tc>
        <w:tc>
          <w:tcPr>
            <w:tcW w:w="1159" w:type="dxa"/>
            <w:tcMar>
              <w:top w:w="43" w:type="dxa"/>
              <w:left w:w="86" w:type="dxa"/>
              <w:bottom w:w="58" w:type="dxa"/>
              <w:right w:w="43" w:type="dxa"/>
            </w:tcMar>
          </w:tcPr>
          <w:p w14:paraId="43166D35" w14:textId="77777777" w:rsidR="00D31EA2" w:rsidRDefault="00D31EA2" w:rsidP="00410442">
            <w:pPr>
              <w:rPr>
                <w:rFonts w:ascii="Arial" w:hAnsi="Arial" w:cs="Arial"/>
                <w:color w:val="000000"/>
                <w:sz w:val="18"/>
                <w:szCs w:val="18"/>
              </w:rPr>
            </w:pPr>
            <w:r>
              <w:rPr>
                <w:rFonts w:ascii="Arial" w:hAnsi="Arial" w:cs="Arial"/>
                <w:color w:val="000000"/>
                <w:sz w:val="18"/>
                <w:szCs w:val="18"/>
              </w:rPr>
              <w:t>0.4%</w:t>
            </w:r>
          </w:p>
        </w:tc>
        <w:tc>
          <w:tcPr>
            <w:tcW w:w="1160" w:type="dxa"/>
            <w:tcMar>
              <w:top w:w="43" w:type="dxa"/>
              <w:left w:w="86" w:type="dxa"/>
              <w:bottom w:w="58" w:type="dxa"/>
              <w:right w:w="43" w:type="dxa"/>
            </w:tcMar>
          </w:tcPr>
          <w:p w14:paraId="4E685A47" w14:textId="77777777" w:rsidR="00D31EA2" w:rsidRDefault="00D31EA2" w:rsidP="00410442">
            <w:pPr>
              <w:rPr>
                <w:rFonts w:ascii="Arial" w:hAnsi="Arial" w:cs="Arial"/>
                <w:color w:val="000000"/>
                <w:sz w:val="18"/>
                <w:szCs w:val="18"/>
              </w:rPr>
            </w:pPr>
            <w:r>
              <w:rPr>
                <w:rFonts w:ascii="Arial" w:hAnsi="Arial" w:cs="Arial"/>
                <w:color w:val="000000"/>
                <w:sz w:val="18"/>
                <w:szCs w:val="18"/>
              </w:rPr>
              <w:t>0.4%</w:t>
            </w:r>
          </w:p>
        </w:tc>
        <w:tc>
          <w:tcPr>
            <w:tcW w:w="1160" w:type="dxa"/>
            <w:tcMar>
              <w:top w:w="40" w:type="dxa"/>
              <w:left w:w="80" w:type="dxa"/>
              <w:bottom w:w="60" w:type="dxa"/>
              <w:right w:w="40" w:type="dxa"/>
            </w:tcMar>
          </w:tcPr>
          <w:p w14:paraId="145C2F56" w14:textId="77777777" w:rsidR="00D31EA2" w:rsidRDefault="00D31EA2" w:rsidP="00410442">
            <w:pPr>
              <w:rPr>
                <w:rFonts w:ascii="Arial" w:hAnsi="Arial" w:cs="Arial"/>
                <w:color w:val="000000"/>
                <w:sz w:val="18"/>
                <w:szCs w:val="18"/>
              </w:rPr>
            </w:pPr>
            <w:r>
              <w:rPr>
                <w:rFonts w:ascii="Arial" w:hAnsi="Arial" w:cs="Arial"/>
                <w:color w:val="000000"/>
                <w:sz w:val="18"/>
                <w:szCs w:val="18"/>
              </w:rPr>
              <w:t>0.5%</w:t>
            </w:r>
          </w:p>
        </w:tc>
        <w:tc>
          <w:tcPr>
            <w:tcW w:w="1160" w:type="dxa"/>
            <w:tcMar>
              <w:top w:w="40" w:type="dxa"/>
              <w:left w:w="80" w:type="dxa"/>
              <w:bottom w:w="60" w:type="dxa"/>
              <w:right w:w="40" w:type="dxa"/>
            </w:tcMar>
          </w:tcPr>
          <w:p w14:paraId="2F90AC0B" w14:textId="77777777" w:rsidR="00D31EA2" w:rsidRDefault="00D31EA2" w:rsidP="00410442">
            <w:pPr>
              <w:rPr>
                <w:rFonts w:ascii="Arial" w:hAnsi="Arial" w:cs="Arial"/>
                <w:color w:val="000000"/>
                <w:sz w:val="18"/>
                <w:szCs w:val="18"/>
              </w:rPr>
            </w:pPr>
            <w:r>
              <w:rPr>
                <w:rFonts w:ascii="Arial" w:hAnsi="Arial" w:cs="Arial"/>
                <w:color w:val="000000"/>
                <w:sz w:val="18"/>
                <w:szCs w:val="18"/>
              </w:rPr>
              <w:t>0.4%</w:t>
            </w:r>
          </w:p>
        </w:tc>
        <w:tc>
          <w:tcPr>
            <w:tcW w:w="1160" w:type="dxa"/>
            <w:tcMar>
              <w:top w:w="40" w:type="dxa"/>
              <w:left w:w="80" w:type="dxa"/>
              <w:bottom w:w="60" w:type="dxa"/>
              <w:right w:w="40" w:type="dxa"/>
            </w:tcMar>
          </w:tcPr>
          <w:p w14:paraId="5C24E581" w14:textId="77777777" w:rsidR="00D31EA2" w:rsidRDefault="00D31EA2" w:rsidP="00410442">
            <w:pPr>
              <w:rPr>
                <w:rFonts w:ascii="Arial" w:hAnsi="Arial" w:cs="Arial"/>
                <w:color w:val="000000"/>
                <w:sz w:val="18"/>
                <w:szCs w:val="18"/>
              </w:rPr>
            </w:pPr>
            <w:r>
              <w:rPr>
                <w:rFonts w:ascii="Arial" w:hAnsi="Arial" w:cs="Arial"/>
                <w:color w:val="000000"/>
                <w:sz w:val="18"/>
                <w:szCs w:val="18"/>
              </w:rPr>
              <w:t>0.4%</w:t>
            </w:r>
          </w:p>
        </w:tc>
      </w:tr>
      <w:tr w:rsidR="00D31EA2" w14:paraId="3C8A567F" w14:textId="77777777" w:rsidTr="00311585">
        <w:trPr>
          <w:cantSplit/>
          <w:trHeight w:val="240"/>
        </w:trPr>
        <w:tc>
          <w:tcPr>
            <w:tcW w:w="2964" w:type="dxa"/>
            <w:vMerge/>
            <w:tcMar>
              <w:top w:w="40" w:type="dxa"/>
              <w:left w:w="120" w:type="dxa"/>
              <w:bottom w:w="40" w:type="dxa"/>
              <w:right w:w="40" w:type="dxa"/>
            </w:tcMar>
          </w:tcPr>
          <w:p w14:paraId="317E027B" w14:textId="77777777" w:rsidR="00D31EA2" w:rsidRPr="00AA148D" w:rsidRDefault="00D31EA2" w:rsidP="00410442">
            <w:pPr>
              <w:rPr>
                <w:rFonts w:ascii="Arial" w:hAnsi="Arial" w:cs="Arial"/>
                <w:sz w:val="18"/>
                <w:szCs w:val="18"/>
              </w:rPr>
            </w:pPr>
          </w:p>
        </w:tc>
        <w:tc>
          <w:tcPr>
            <w:tcW w:w="2540" w:type="dxa"/>
            <w:tcMar>
              <w:top w:w="40" w:type="dxa"/>
              <w:left w:w="80" w:type="dxa"/>
              <w:bottom w:w="40" w:type="dxa"/>
              <w:right w:w="40" w:type="dxa"/>
            </w:tcMar>
          </w:tcPr>
          <w:p w14:paraId="4A31FA5B" w14:textId="77777777" w:rsidR="00D31EA2" w:rsidRDefault="00D31EA2" w:rsidP="00410442">
            <w:pPr>
              <w:rPr>
                <w:rFonts w:ascii="Arial" w:hAnsi="Arial" w:cs="Arial"/>
                <w:color w:val="000000"/>
                <w:sz w:val="18"/>
                <w:szCs w:val="18"/>
              </w:rPr>
            </w:pPr>
            <w:r>
              <w:rPr>
                <w:rFonts w:ascii="Arial" w:hAnsi="Arial" w:cs="Arial"/>
                <w:color w:val="000000"/>
                <w:sz w:val="18"/>
                <w:szCs w:val="18"/>
              </w:rPr>
              <w:t>Sudan</w:t>
            </w:r>
          </w:p>
        </w:tc>
        <w:tc>
          <w:tcPr>
            <w:tcW w:w="1159" w:type="dxa"/>
            <w:tcMar>
              <w:top w:w="43" w:type="dxa"/>
              <w:left w:w="86" w:type="dxa"/>
              <w:bottom w:w="58" w:type="dxa"/>
              <w:right w:w="43" w:type="dxa"/>
            </w:tcMar>
          </w:tcPr>
          <w:p w14:paraId="7A5E4E72" w14:textId="77777777" w:rsidR="00D31EA2" w:rsidRDefault="00D31EA2" w:rsidP="00410442">
            <w:pPr>
              <w:rPr>
                <w:rFonts w:ascii="Arial" w:hAnsi="Arial" w:cs="Arial"/>
                <w:color w:val="000000"/>
                <w:sz w:val="18"/>
                <w:szCs w:val="18"/>
              </w:rPr>
            </w:pPr>
            <w:r>
              <w:rPr>
                <w:rFonts w:ascii="Arial" w:hAnsi="Arial" w:cs="Arial"/>
                <w:color w:val="000000"/>
                <w:sz w:val="18"/>
                <w:szCs w:val="18"/>
              </w:rPr>
              <w:t>0.3%</w:t>
            </w:r>
          </w:p>
        </w:tc>
        <w:tc>
          <w:tcPr>
            <w:tcW w:w="1160" w:type="dxa"/>
            <w:tcMar>
              <w:top w:w="43" w:type="dxa"/>
              <w:left w:w="86" w:type="dxa"/>
              <w:bottom w:w="58" w:type="dxa"/>
              <w:right w:w="43" w:type="dxa"/>
            </w:tcMar>
          </w:tcPr>
          <w:p w14:paraId="0EF46001" w14:textId="77777777" w:rsidR="00D31EA2" w:rsidRDefault="00D31EA2" w:rsidP="00410442">
            <w:pPr>
              <w:rPr>
                <w:rFonts w:ascii="Arial" w:hAnsi="Arial" w:cs="Arial"/>
                <w:color w:val="000000"/>
                <w:sz w:val="18"/>
                <w:szCs w:val="18"/>
              </w:rPr>
            </w:pPr>
            <w:r>
              <w:rPr>
                <w:rFonts w:ascii="Arial" w:hAnsi="Arial" w:cs="Arial"/>
                <w:color w:val="000000"/>
                <w:sz w:val="18"/>
                <w:szCs w:val="18"/>
              </w:rPr>
              <w:t>0.3%</w:t>
            </w:r>
          </w:p>
        </w:tc>
        <w:tc>
          <w:tcPr>
            <w:tcW w:w="1160" w:type="dxa"/>
            <w:tcMar>
              <w:top w:w="40" w:type="dxa"/>
              <w:left w:w="80" w:type="dxa"/>
              <w:bottom w:w="60" w:type="dxa"/>
              <w:right w:w="40" w:type="dxa"/>
            </w:tcMar>
          </w:tcPr>
          <w:p w14:paraId="5013D21D" w14:textId="77777777" w:rsidR="00D31EA2" w:rsidRDefault="00D31EA2" w:rsidP="00410442">
            <w:pPr>
              <w:rPr>
                <w:rFonts w:ascii="Arial" w:hAnsi="Arial" w:cs="Arial"/>
                <w:color w:val="000000"/>
                <w:sz w:val="18"/>
                <w:szCs w:val="18"/>
              </w:rPr>
            </w:pPr>
            <w:r>
              <w:rPr>
                <w:rFonts w:ascii="Arial" w:hAnsi="Arial" w:cs="Arial"/>
                <w:color w:val="000000"/>
                <w:sz w:val="18"/>
                <w:szCs w:val="18"/>
              </w:rPr>
              <w:t>0.4%</w:t>
            </w:r>
          </w:p>
        </w:tc>
        <w:tc>
          <w:tcPr>
            <w:tcW w:w="1160" w:type="dxa"/>
            <w:tcMar>
              <w:top w:w="40" w:type="dxa"/>
              <w:left w:w="80" w:type="dxa"/>
              <w:bottom w:w="60" w:type="dxa"/>
              <w:right w:w="40" w:type="dxa"/>
            </w:tcMar>
          </w:tcPr>
          <w:p w14:paraId="237094E1" w14:textId="77777777" w:rsidR="00D31EA2" w:rsidRDefault="00D31EA2" w:rsidP="00410442">
            <w:pPr>
              <w:rPr>
                <w:rFonts w:ascii="Arial" w:hAnsi="Arial" w:cs="Arial"/>
                <w:color w:val="000000"/>
                <w:sz w:val="18"/>
                <w:szCs w:val="18"/>
              </w:rPr>
            </w:pPr>
            <w:r>
              <w:rPr>
                <w:rFonts w:ascii="Arial" w:hAnsi="Arial" w:cs="Arial"/>
                <w:color w:val="000000"/>
                <w:sz w:val="18"/>
                <w:szCs w:val="18"/>
              </w:rPr>
              <w:t>0.4%</w:t>
            </w:r>
          </w:p>
        </w:tc>
        <w:tc>
          <w:tcPr>
            <w:tcW w:w="1160" w:type="dxa"/>
            <w:tcMar>
              <w:top w:w="40" w:type="dxa"/>
              <w:left w:w="80" w:type="dxa"/>
              <w:bottom w:w="60" w:type="dxa"/>
              <w:right w:w="40" w:type="dxa"/>
            </w:tcMar>
          </w:tcPr>
          <w:p w14:paraId="310C3642" w14:textId="77777777" w:rsidR="00D31EA2" w:rsidRDefault="00D31EA2" w:rsidP="00410442">
            <w:pPr>
              <w:rPr>
                <w:rFonts w:ascii="Arial" w:hAnsi="Arial" w:cs="Arial"/>
                <w:color w:val="000000"/>
                <w:sz w:val="18"/>
                <w:szCs w:val="18"/>
              </w:rPr>
            </w:pPr>
            <w:r>
              <w:rPr>
                <w:rFonts w:ascii="Arial" w:hAnsi="Arial" w:cs="Arial"/>
                <w:color w:val="000000"/>
                <w:sz w:val="18"/>
                <w:szCs w:val="18"/>
              </w:rPr>
              <w:t>0.4%</w:t>
            </w:r>
          </w:p>
        </w:tc>
      </w:tr>
      <w:tr w:rsidR="00D31EA2" w14:paraId="376C1F39" w14:textId="77777777" w:rsidTr="00311585">
        <w:trPr>
          <w:cantSplit/>
          <w:trHeight w:val="240"/>
        </w:trPr>
        <w:tc>
          <w:tcPr>
            <w:tcW w:w="2964" w:type="dxa"/>
            <w:vMerge/>
            <w:tcMar>
              <w:top w:w="40" w:type="dxa"/>
              <w:left w:w="120" w:type="dxa"/>
              <w:bottom w:w="40" w:type="dxa"/>
              <w:right w:w="40" w:type="dxa"/>
            </w:tcMar>
          </w:tcPr>
          <w:p w14:paraId="22251BC8" w14:textId="77777777" w:rsidR="00D31EA2" w:rsidRPr="00AA148D" w:rsidRDefault="00D31EA2" w:rsidP="00410442">
            <w:pPr>
              <w:rPr>
                <w:rFonts w:ascii="Arial" w:hAnsi="Arial" w:cs="Arial"/>
                <w:sz w:val="18"/>
                <w:szCs w:val="18"/>
              </w:rPr>
            </w:pPr>
          </w:p>
        </w:tc>
        <w:tc>
          <w:tcPr>
            <w:tcW w:w="2540" w:type="dxa"/>
            <w:tcMar>
              <w:top w:w="40" w:type="dxa"/>
              <w:left w:w="80" w:type="dxa"/>
              <w:bottom w:w="40" w:type="dxa"/>
              <w:right w:w="40" w:type="dxa"/>
            </w:tcMar>
          </w:tcPr>
          <w:p w14:paraId="04A792BD" w14:textId="77777777" w:rsidR="00D31EA2" w:rsidRDefault="00D31EA2" w:rsidP="00410442">
            <w:pPr>
              <w:rPr>
                <w:rFonts w:ascii="Arial" w:hAnsi="Arial" w:cs="Arial"/>
                <w:color w:val="000000"/>
                <w:sz w:val="18"/>
                <w:szCs w:val="18"/>
              </w:rPr>
            </w:pPr>
            <w:r>
              <w:rPr>
                <w:rFonts w:ascii="Arial" w:hAnsi="Arial" w:cs="Arial"/>
                <w:color w:val="000000"/>
                <w:sz w:val="18"/>
                <w:szCs w:val="18"/>
              </w:rPr>
              <w:t>Iran</w:t>
            </w:r>
          </w:p>
        </w:tc>
        <w:tc>
          <w:tcPr>
            <w:tcW w:w="1159" w:type="dxa"/>
            <w:tcMar>
              <w:top w:w="43" w:type="dxa"/>
              <w:left w:w="86" w:type="dxa"/>
              <w:bottom w:w="58" w:type="dxa"/>
              <w:right w:w="43" w:type="dxa"/>
            </w:tcMar>
          </w:tcPr>
          <w:p w14:paraId="2BB5104A" w14:textId="77777777" w:rsidR="00D31EA2" w:rsidRDefault="00D31EA2" w:rsidP="00410442">
            <w:pPr>
              <w:rPr>
                <w:rFonts w:ascii="Arial" w:hAnsi="Arial" w:cs="Arial"/>
                <w:color w:val="000000"/>
                <w:sz w:val="18"/>
                <w:szCs w:val="18"/>
              </w:rPr>
            </w:pPr>
            <w:r>
              <w:rPr>
                <w:rFonts w:ascii="Arial" w:hAnsi="Arial" w:cs="Arial"/>
                <w:color w:val="000000"/>
                <w:sz w:val="18"/>
                <w:szCs w:val="18"/>
              </w:rPr>
              <w:t>0.4%</w:t>
            </w:r>
          </w:p>
        </w:tc>
        <w:tc>
          <w:tcPr>
            <w:tcW w:w="1160" w:type="dxa"/>
            <w:tcMar>
              <w:top w:w="43" w:type="dxa"/>
              <w:left w:w="86" w:type="dxa"/>
              <w:bottom w:w="58" w:type="dxa"/>
              <w:right w:w="43" w:type="dxa"/>
            </w:tcMar>
          </w:tcPr>
          <w:p w14:paraId="5C3EA020" w14:textId="77777777" w:rsidR="00D31EA2" w:rsidRDefault="00D31EA2" w:rsidP="00410442">
            <w:pPr>
              <w:rPr>
                <w:rFonts w:ascii="Arial" w:hAnsi="Arial" w:cs="Arial"/>
                <w:color w:val="000000"/>
                <w:sz w:val="18"/>
                <w:szCs w:val="18"/>
              </w:rPr>
            </w:pPr>
            <w:r>
              <w:rPr>
                <w:rFonts w:ascii="Arial" w:hAnsi="Arial" w:cs="Arial"/>
                <w:color w:val="000000"/>
                <w:sz w:val="18"/>
                <w:szCs w:val="18"/>
              </w:rPr>
              <w:t>0.4%</w:t>
            </w:r>
          </w:p>
        </w:tc>
        <w:tc>
          <w:tcPr>
            <w:tcW w:w="1160" w:type="dxa"/>
            <w:tcMar>
              <w:top w:w="40" w:type="dxa"/>
              <w:left w:w="80" w:type="dxa"/>
              <w:bottom w:w="60" w:type="dxa"/>
              <w:right w:w="40" w:type="dxa"/>
            </w:tcMar>
          </w:tcPr>
          <w:p w14:paraId="6991E322" w14:textId="77777777" w:rsidR="00D31EA2" w:rsidRDefault="00D31EA2" w:rsidP="00410442">
            <w:pPr>
              <w:rPr>
                <w:rFonts w:ascii="Arial" w:hAnsi="Arial" w:cs="Arial"/>
                <w:color w:val="000000"/>
                <w:sz w:val="18"/>
                <w:szCs w:val="18"/>
              </w:rPr>
            </w:pPr>
            <w:r>
              <w:rPr>
                <w:rFonts w:ascii="Arial" w:hAnsi="Arial" w:cs="Arial"/>
                <w:color w:val="000000"/>
                <w:sz w:val="18"/>
                <w:szCs w:val="18"/>
              </w:rPr>
              <w:t>0.4%</w:t>
            </w:r>
          </w:p>
        </w:tc>
        <w:tc>
          <w:tcPr>
            <w:tcW w:w="1160" w:type="dxa"/>
            <w:tcMar>
              <w:top w:w="40" w:type="dxa"/>
              <w:left w:w="80" w:type="dxa"/>
              <w:bottom w:w="60" w:type="dxa"/>
              <w:right w:w="40" w:type="dxa"/>
            </w:tcMar>
          </w:tcPr>
          <w:p w14:paraId="1CC384B1" w14:textId="77777777" w:rsidR="00D31EA2" w:rsidRDefault="00D31EA2" w:rsidP="00410442">
            <w:pPr>
              <w:rPr>
                <w:rFonts w:ascii="Arial" w:hAnsi="Arial" w:cs="Arial"/>
                <w:color w:val="000000"/>
                <w:sz w:val="18"/>
                <w:szCs w:val="18"/>
              </w:rPr>
            </w:pPr>
            <w:r>
              <w:rPr>
                <w:rFonts w:ascii="Arial" w:hAnsi="Arial" w:cs="Arial"/>
                <w:color w:val="000000"/>
                <w:sz w:val="18"/>
                <w:szCs w:val="18"/>
              </w:rPr>
              <w:t>0.4%</w:t>
            </w:r>
          </w:p>
        </w:tc>
        <w:tc>
          <w:tcPr>
            <w:tcW w:w="1160" w:type="dxa"/>
            <w:tcMar>
              <w:top w:w="40" w:type="dxa"/>
              <w:left w:w="80" w:type="dxa"/>
              <w:bottom w:w="60" w:type="dxa"/>
              <w:right w:w="40" w:type="dxa"/>
            </w:tcMar>
          </w:tcPr>
          <w:p w14:paraId="13C63F03" w14:textId="77777777" w:rsidR="00D31EA2" w:rsidRDefault="00D31EA2" w:rsidP="00410442">
            <w:pPr>
              <w:rPr>
                <w:rFonts w:ascii="Arial" w:hAnsi="Arial" w:cs="Arial"/>
                <w:color w:val="000000"/>
                <w:sz w:val="18"/>
                <w:szCs w:val="18"/>
              </w:rPr>
            </w:pPr>
            <w:r>
              <w:rPr>
                <w:rFonts w:ascii="Arial" w:hAnsi="Arial" w:cs="Arial"/>
                <w:color w:val="000000"/>
                <w:sz w:val="18"/>
                <w:szCs w:val="18"/>
              </w:rPr>
              <w:t>0.4%</w:t>
            </w:r>
          </w:p>
        </w:tc>
      </w:tr>
      <w:tr w:rsidR="00D31EA2" w14:paraId="54578C30" w14:textId="77777777" w:rsidTr="00311585">
        <w:trPr>
          <w:cantSplit/>
          <w:trHeight w:val="240"/>
        </w:trPr>
        <w:tc>
          <w:tcPr>
            <w:tcW w:w="2964" w:type="dxa"/>
            <w:vMerge w:val="restart"/>
            <w:tcMar>
              <w:top w:w="40" w:type="dxa"/>
              <w:left w:w="120" w:type="dxa"/>
              <w:bottom w:w="40" w:type="dxa"/>
              <w:right w:w="40" w:type="dxa"/>
            </w:tcMar>
          </w:tcPr>
          <w:p w14:paraId="49F68BF9"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Preferred language other than English (top 10)</w:t>
            </w:r>
            <w:r>
              <w:rPr>
                <w:rFonts w:ascii="Arial" w:eastAsia="Verdana" w:hAnsi="Arial" w:cs="Arial"/>
                <w:color w:val="000000"/>
                <w:sz w:val="18"/>
                <w:szCs w:val="18"/>
              </w:rPr>
              <w:t xml:space="preserve"> </w:t>
            </w:r>
            <w:r w:rsidRPr="00AA148D">
              <w:rPr>
                <w:rFonts w:ascii="Arial" w:eastAsia="Verdana" w:hAnsi="Arial" w:cs="Arial"/>
                <w:color w:val="000000"/>
                <w:sz w:val="18"/>
                <w:szCs w:val="18"/>
              </w:rPr>
              <w:t>(%)</w:t>
            </w:r>
          </w:p>
        </w:tc>
        <w:tc>
          <w:tcPr>
            <w:tcW w:w="2540" w:type="dxa"/>
            <w:shd w:val="clear" w:color="auto" w:fill="auto"/>
            <w:tcMar>
              <w:top w:w="40" w:type="dxa"/>
              <w:left w:w="80" w:type="dxa"/>
              <w:bottom w:w="40" w:type="dxa"/>
              <w:right w:w="40" w:type="dxa"/>
            </w:tcMar>
          </w:tcPr>
          <w:p w14:paraId="1264A720" w14:textId="77777777" w:rsidR="00D31EA2" w:rsidRDefault="00D31EA2" w:rsidP="00410442">
            <w:pPr>
              <w:rPr>
                <w:rFonts w:ascii="Arial" w:hAnsi="Arial" w:cs="Arial"/>
                <w:color w:val="000000"/>
                <w:sz w:val="18"/>
                <w:szCs w:val="18"/>
                <w:lang w:eastAsia="en-AU"/>
              </w:rPr>
            </w:pPr>
            <w:r>
              <w:rPr>
                <w:rFonts w:ascii="Arial" w:hAnsi="Arial" w:cs="Arial"/>
                <w:color w:val="000000"/>
                <w:sz w:val="18"/>
                <w:szCs w:val="18"/>
              </w:rPr>
              <w:t>Vietnamese</w:t>
            </w:r>
          </w:p>
        </w:tc>
        <w:tc>
          <w:tcPr>
            <w:tcW w:w="1159" w:type="dxa"/>
            <w:tcMar>
              <w:top w:w="43" w:type="dxa"/>
              <w:left w:w="86" w:type="dxa"/>
              <w:bottom w:w="58" w:type="dxa"/>
              <w:right w:w="43" w:type="dxa"/>
            </w:tcMar>
          </w:tcPr>
          <w:p w14:paraId="3A6C3E08" w14:textId="77777777" w:rsidR="00D31EA2" w:rsidRDefault="00D31EA2" w:rsidP="00410442">
            <w:pPr>
              <w:rPr>
                <w:rFonts w:ascii="Arial" w:hAnsi="Arial" w:cs="Arial"/>
                <w:color w:val="000000"/>
                <w:sz w:val="18"/>
                <w:szCs w:val="18"/>
              </w:rPr>
            </w:pPr>
            <w:r>
              <w:rPr>
                <w:rFonts w:ascii="Arial" w:hAnsi="Arial" w:cs="Arial"/>
                <w:color w:val="000000"/>
                <w:sz w:val="18"/>
                <w:szCs w:val="18"/>
              </w:rPr>
              <w:t>0.6%</w:t>
            </w:r>
          </w:p>
        </w:tc>
        <w:tc>
          <w:tcPr>
            <w:tcW w:w="1160" w:type="dxa"/>
            <w:tcMar>
              <w:top w:w="43" w:type="dxa"/>
              <w:left w:w="86" w:type="dxa"/>
              <w:bottom w:w="58" w:type="dxa"/>
              <w:right w:w="43" w:type="dxa"/>
            </w:tcMar>
          </w:tcPr>
          <w:p w14:paraId="659496B7" w14:textId="77777777" w:rsidR="00D31EA2" w:rsidRDefault="00D31EA2" w:rsidP="00410442">
            <w:pPr>
              <w:rPr>
                <w:rFonts w:ascii="Arial" w:hAnsi="Arial" w:cs="Arial"/>
                <w:color w:val="000000"/>
                <w:sz w:val="18"/>
                <w:szCs w:val="18"/>
              </w:rPr>
            </w:pPr>
            <w:r>
              <w:rPr>
                <w:rFonts w:ascii="Arial" w:hAnsi="Arial" w:cs="Arial"/>
                <w:color w:val="000000"/>
                <w:sz w:val="18"/>
                <w:szCs w:val="18"/>
              </w:rPr>
              <w:t>0.5%</w:t>
            </w:r>
          </w:p>
        </w:tc>
        <w:tc>
          <w:tcPr>
            <w:tcW w:w="1160" w:type="dxa"/>
            <w:shd w:val="clear" w:color="auto" w:fill="auto"/>
            <w:tcMar>
              <w:top w:w="40" w:type="dxa"/>
              <w:left w:w="80" w:type="dxa"/>
              <w:bottom w:w="60" w:type="dxa"/>
              <w:right w:w="40" w:type="dxa"/>
            </w:tcMar>
          </w:tcPr>
          <w:p w14:paraId="1066D435" w14:textId="77777777" w:rsidR="00D31EA2" w:rsidRDefault="00D31EA2" w:rsidP="00410442">
            <w:pPr>
              <w:rPr>
                <w:rFonts w:ascii="Arial" w:hAnsi="Arial" w:cs="Arial"/>
                <w:color w:val="000000"/>
                <w:sz w:val="18"/>
                <w:szCs w:val="18"/>
              </w:rPr>
            </w:pPr>
            <w:r>
              <w:rPr>
                <w:rFonts w:ascii="Arial" w:hAnsi="Arial" w:cs="Arial"/>
                <w:color w:val="000000"/>
                <w:sz w:val="18"/>
                <w:szCs w:val="18"/>
              </w:rPr>
              <w:t>0.5%</w:t>
            </w:r>
          </w:p>
        </w:tc>
        <w:tc>
          <w:tcPr>
            <w:tcW w:w="1160" w:type="dxa"/>
            <w:shd w:val="clear" w:color="auto" w:fill="auto"/>
            <w:tcMar>
              <w:top w:w="40" w:type="dxa"/>
              <w:left w:w="80" w:type="dxa"/>
              <w:bottom w:w="60" w:type="dxa"/>
              <w:right w:w="40" w:type="dxa"/>
            </w:tcMar>
          </w:tcPr>
          <w:p w14:paraId="53E7B40B" w14:textId="77777777" w:rsidR="00D31EA2" w:rsidRDefault="00D31EA2" w:rsidP="00410442">
            <w:pPr>
              <w:rPr>
                <w:rFonts w:ascii="Arial" w:hAnsi="Arial" w:cs="Arial"/>
                <w:color w:val="000000"/>
                <w:sz w:val="18"/>
                <w:szCs w:val="18"/>
              </w:rPr>
            </w:pPr>
            <w:r>
              <w:rPr>
                <w:rFonts w:ascii="Arial" w:hAnsi="Arial" w:cs="Arial"/>
                <w:color w:val="000000"/>
                <w:sz w:val="18"/>
                <w:szCs w:val="18"/>
              </w:rPr>
              <w:t>0.5%</w:t>
            </w:r>
          </w:p>
        </w:tc>
        <w:tc>
          <w:tcPr>
            <w:tcW w:w="1160" w:type="dxa"/>
            <w:shd w:val="clear" w:color="auto" w:fill="auto"/>
            <w:tcMar>
              <w:top w:w="40" w:type="dxa"/>
              <w:left w:w="80" w:type="dxa"/>
              <w:bottom w:w="60" w:type="dxa"/>
              <w:right w:w="40" w:type="dxa"/>
            </w:tcMar>
          </w:tcPr>
          <w:p w14:paraId="7AF2EC13" w14:textId="77777777" w:rsidR="00D31EA2" w:rsidRDefault="00D31EA2" w:rsidP="00410442">
            <w:pPr>
              <w:rPr>
                <w:rFonts w:ascii="Arial" w:hAnsi="Arial" w:cs="Arial"/>
                <w:color w:val="000000"/>
                <w:sz w:val="18"/>
                <w:szCs w:val="18"/>
              </w:rPr>
            </w:pPr>
            <w:r>
              <w:rPr>
                <w:rFonts w:ascii="Arial" w:hAnsi="Arial" w:cs="Arial"/>
                <w:color w:val="000000"/>
                <w:sz w:val="18"/>
                <w:szCs w:val="18"/>
              </w:rPr>
              <w:t>0.5%</w:t>
            </w:r>
          </w:p>
        </w:tc>
      </w:tr>
      <w:tr w:rsidR="00D31EA2" w14:paraId="27228077" w14:textId="77777777" w:rsidTr="00311585">
        <w:trPr>
          <w:cantSplit/>
          <w:trHeight w:val="240"/>
        </w:trPr>
        <w:tc>
          <w:tcPr>
            <w:tcW w:w="2964" w:type="dxa"/>
            <w:vMerge/>
            <w:tcMar>
              <w:top w:w="40" w:type="dxa"/>
              <w:left w:w="120" w:type="dxa"/>
              <w:bottom w:w="40" w:type="dxa"/>
              <w:right w:w="40" w:type="dxa"/>
            </w:tcMar>
          </w:tcPr>
          <w:p w14:paraId="3DA9EDDF" w14:textId="77777777" w:rsidR="00D31EA2" w:rsidRPr="00AA148D" w:rsidRDefault="00D31EA2" w:rsidP="00410442">
            <w:pPr>
              <w:rPr>
                <w:rFonts w:ascii="Arial" w:eastAsia="Verdana" w:hAnsi="Arial" w:cs="Arial"/>
                <w:color w:val="000000"/>
                <w:sz w:val="18"/>
                <w:szCs w:val="18"/>
              </w:rPr>
            </w:pPr>
          </w:p>
        </w:tc>
        <w:tc>
          <w:tcPr>
            <w:tcW w:w="2540" w:type="dxa"/>
            <w:shd w:val="clear" w:color="auto" w:fill="auto"/>
            <w:tcMar>
              <w:top w:w="40" w:type="dxa"/>
              <w:left w:w="80" w:type="dxa"/>
              <w:bottom w:w="40" w:type="dxa"/>
              <w:right w:w="40" w:type="dxa"/>
            </w:tcMar>
          </w:tcPr>
          <w:p w14:paraId="3B175516" w14:textId="77777777" w:rsidR="00D31EA2" w:rsidRDefault="00D31EA2" w:rsidP="00410442">
            <w:pPr>
              <w:rPr>
                <w:rFonts w:ascii="Arial" w:hAnsi="Arial" w:cs="Arial"/>
                <w:color w:val="000000"/>
                <w:sz w:val="18"/>
                <w:szCs w:val="18"/>
              </w:rPr>
            </w:pPr>
            <w:r>
              <w:rPr>
                <w:rFonts w:ascii="Arial" w:hAnsi="Arial" w:cs="Arial"/>
                <w:color w:val="000000"/>
                <w:sz w:val="18"/>
                <w:szCs w:val="18"/>
              </w:rPr>
              <w:t>Italian</w:t>
            </w:r>
          </w:p>
        </w:tc>
        <w:tc>
          <w:tcPr>
            <w:tcW w:w="1159" w:type="dxa"/>
            <w:tcMar>
              <w:top w:w="43" w:type="dxa"/>
              <w:left w:w="86" w:type="dxa"/>
              <w:bottom w:w="58" w:type="dxa"/>
              <w:right w:w="43" w:type="dxa"/>
            </w:tcMar>
          </w:tcPr>
          <w:p w14:paraId="0927F500" w14:textId="77777777" w:rsidR="00D31EA2" w:rsidRDefault="00D31EA2" w:rsidP="00410442">
            <w:pPr>
              <w:rPr>
                <w:rFonts w:ascii="Arial" w:hAnsi="Arial" w:cs="Arial"/>
                <w:color w:val="000000"/>
                <w:sz w:val="18"/>
                <w:szCs w:val="18"/>
              </w:rPr>
            </w:pPr>
            <w:r>
              <w:rPr>
                <w:rFonts w:ascii="Arial" w:hAnsi="Arial" w:cs="Arial"/>
                <w:color w:val="000000"/>
                <w:sz w:val="18"/>
                <w:szCs w:val="18"/>
              </w:rPr>
              <w:t>0.6%</w:t>
            </w:r>
          </w:p>
        </w:tc>
        <w:tc>
          <w:tcPr>
            <w:tcW w:w="1160" w:type="dxa"/>
            <w:tcMar>
              <w:top w:w="43" w:type="dxa"/>
              <w:left w:w="86" w:type="dxa"/>
              <w:bottom w:w="58" w:type="dxa"/>
              <w:right w:w="43" w:type="dxa"/>
            </w:tcMar>
          </w:tcPr>
          <w:p w14:paraId="5CEEC9D4" w14:textId="77777777" w:rsidR="00D31EA2" w:rsidRDefault="00D31EA2" w:rsidP="00410442">
            <w:pPr>
              <w:rPr>
                <w:rFonts w:ascii="Arial" w:hAnsi="Arial" w:cs="Arial"/>
                <w:color w:val="000000"/>
                <w:sz w:val="18"/>
                <w:szCs w:val="18"/>
              </w:rPr>
            </w:pPr>
            <w:r>
              <w:rPr>
                <w:rFonts w:ascii="Arial" w:hAnsi="Arial" w:cs="Arial"/>
                <w:color w:val="000000"/>
                <w:sz w:val="18"/>
                <w:szCs w:val="18"/>
              </w:rPr>
              <w:t>0.5%</w:t>
            </w:r>
          </w:p>
        </w:tc>
        <w:tc>
          <w:tcPr>
            <w:tcW w:w="1160" w:type="dxa"/>
            <w:shd w:val="clear" w:color="auto" w:fill="auto"/>
            <w:tcMar>
              <w:top w:w="40" w:type="dxa"/>
              <w:left w:w="80" w:type="dxa"/>
              <w:bottom w:w="60" w:type="dxa"/>
              <w:right w:w="40" w:type="dxa"/>
            </w:tcMar>
          </w:tcPr>
          <w:p w14:paraId="4FC1B922" w14:textId="77777777" w:rsidR="00D31EA2" w:rsidRDefault="00D31EA2" w:rsidP="00410442">
            <w:pPr>
              <w:rPr>
                <w:rFonts w:ascii="Arial" w:hAnsi="Arial" w:cs="Arial"/>
                <w:color w:val="000000"/>
                <w:sz w:val="18"/>
                <w:szCs w:val="18"/>
              </w:rPr>
            </w:pPr>
            <w:r>
              <w:rPr>
                <w:rFonts w:ascii="Arial" w:hAnsi="Arial" w:cs="Arial"/>
                <w:color w:val="000000"/>
                <w:sz w:val="18"/>
                <w:szCs w:val="18"/>
              </w:rPr>
              <w:t>0.5%</w:t>
            </w:r>
          </w:p>
        </w:tc>
        <w:tc>
          <w:tcPr>
            <w:tcW w:w="1160" w:type="dxa"/>
            <w:shd w:val="clear" w:color="auto" w:fill="auto"/>
            <w:tcMar>
              <w:top w:w="40" w:type="dxa"/>
              <w:left w:w="80" w:type="dxa"/>
              <w:bottom w:w="60" w:type="dxa"/>
              <w:right w:w="40" w:type="dxa"/>
            </w:tcMar>
          </w:tcPr>
          <w:p w14:paraId="55E83580" w14:textId="77777777" w:rsidR="00D31EA2" w:rsidRDefault="00D31EA2" w:rsidP="00410442">
            <w:pPr>
              <w:rPr>
                <w:rFonts w:ascii="Arial" w:hAnsi="Arial" w:cs="Arial"/>
                <w:color w:val="000000"/>
                <w:sz w:val="18"/>
                <w:szCs w:val="18"/>
              </w:rPr>
            </w:pPr>
            <w:r>
              <w:rPr>
                <w:rFonts w:ascii="Arial" w:hAnsi="Arial" w:cs="Arial"/>
                <w:color w:val="000000"/>
                <w:sz w:val="18"/>
                <w:szCs w:val="18"/>
              </w:rPr>
              <w:t>0.4%</w:t>
            </w:r>
          </w:p>
        </w:tc>
        <w:tc>
          <w:tcPr>
            <w:tcW w:w="1160" w:type="dxa"/>
            <w:shd w:val="clear" w:color="auto" w:fill="auto"/>
            <w:tcMar>
              <w:top w:w="40" w:type="dxa"/>
              <w:left w:w="80" w:type="dxa"/>
              <w:bottom w:w="60" w:type="dxa"/>
              <w:right w:w="40" w:type="dxa"/>
            </w:tcMar>
          </w:tcPr>
          <w:p w14:paraId="48595BC5" w14:textId="77777777" w:rsidR="00D31EA2" w:rsidRDefault="00D31EA2" w:rsidP="00410442">
            <w:pPr>
              <w:rPr>
                <w:rFonts w:ascii="Arial" w:hAnsi="Arial" w:cs="Arial"/>
                <w:color w:val="000000"/>
                <w:sz w:val="18"/>
                <w:szCs w:val="18"/>
              </w:rPr>
            </w:pPr>
            <w:r>
              <w:rPr>
                <w:rFonts w:ascii="Arial" w:hAnsi="Arial" w:cs="Arial"/>
                <w:color w:val="000000"/>
                <w:sz w:val="18"/>
                <w:szCs w:val="18"/>
              </w:rPr>
              <w:t>0.4%</w:t>
            </w:r>
          </w:p>
        </w:tc>
      </w:tr>
      <w:tr w:rsidR="00D31EA2" w14:paraId="0721D938" w14:textId="77777777" w:rsidTr="00311585">
        <w:trPr>
          <w:cantSplit/>
          <w:trHeight w:val="240"/>
        </w:trPr>
        <w:tc>
          <w:tcPr>
            <w:tcW w:w="2964" w:type="dxa"/>
            <w:vMerge/>
            <w:tcMar>
              <w:top w:w="40" w:type="dxa"/>
              <w:left w:w="120" w:type="dxa"/>
              <w:bottom w:w="40" w:type="dxa"/>
              <w:right w:w="40" w:type="dxa"/>
            </w:tcMar>
          </w:tcPr>
          <w:p w14:paraId="71A71E48" w14:textId="77777777" w:rsidR="00D31EA2" w:rsidRPr="00AA148D" w:rsidRDefault="00D31EA2" w:rsidP="00410442">
            <w:pPr>
              <w:rPr>
                <w:rFonts w:ascii="Arial" w:eastAsia="Verdana" w:hAnsi="Arial" w:cs="Arial"/>
                <w:color w:val="000000"/>
                <w:sz w:val="18"/>
                <w:szCs w:val="18"/>
              </w:rPr>
            </w:pPr>
          </w:p>
        </w:tc>
        <w:tc>
          <w:tcPr>
            <w:tcW w:w="2540" w:type="dxa"/>
            <w:shd w:val="clear" w:color="auto" w:fill="auto"/>
            <w:tcMar>
              <w:top w:w="40" w:type="dxa"/>
              <w:left w:w="80" w:type="dxa"/>
              <w:bottom w:w="40" w:type="dxa"/>
              <w:right w:w="40" w:type="dxa"/>
            </w:tcMar>
          </w:tcPr>
          <w:p w14:paraId="3341B42E" w14:textId="77777777" w:rsidR="00D31EA2" w:rsidRDefault="00D31EA2" w:rsidP="00410442">
            <w:pPr>
              <w:rPr>
                <w:rFonts w:ascii="Arial" w:hAnsi="Arial" w:cs="Arial"/>
                <w:color w:val="000000"/>
                <w:sz w:val="18"/>
                <w:szCs w:val="18"/>
              </w:rPr>
            </w:pPr>
            <w:r>
              <w:rPr>
                <w:rFonts w:ascii="Arial" w:hAnsi="Arial" w:cs="Arial"/>
                <w:color w:val="000000"/>
                <w:sz w:val="18"/>
                <w:szCs w:val="18"/>
              </w:rPr>
              <w:t>Greek</w:t>
            </w:r>
          </w:p>
        </w:tc>
        <w:tc>
          <w:tcPr>
            <w:tcW w:w="1159" w:type="dxa"/>
            <w:tcMar>
              <w:top w:w="43" w:type="dxa"/>
              <w:left w:w="86" w:type="dxa"/>
              <w:bottom w:w="58" w:type="dxa"/>
              <w:right w:w="43" w:type="dxa"/>
            </w:tcMar>
          </w:tcPr>
          <w:p w14:paraId="7AAA24A5" w14:textId="77777777" w:rsidR="00D31EA2" w:rsidRDefault="00D31EA2" w:rsidP="00410442">
            <w:pPr>
              <w:rPr>
                <w:rFonts w:ascii="Arial" w:hAnsi="Arial" w:cs="Arial"/>
                <w:color w:val="000000"/>
                <w:sz w:val="18"/>
                <w:szCs w:val="18"/>
              </w:rPr>
            </w:pPr>
            <w:r>
              <w:rPr>
                <w:rFonts w:ascii="Arial" w:hAnsi="Arial" w:cs="Arial"/>
                <w:color w:val="000000"/>
                <w:sz w:val="18"/>
                <w:szCs w:val="18"/>
              </w:rPr>
              <w:t>0.5%</w:t>
            </w:r>
          </w:p>
        </w:tc>
        <w:tc>
          <w:tcPr>
            <w:tcW w:w="1160" w:type="dxa"/>
            <w:tcMar>
              <w:top w:w="43" w:type="dxa"/>
              <w:left w:w="86" w:type="dxa"/>
              <w:bottom w:w="58" w:type="dxa"/>
              <w:right w:w="43" w:type="dxa"/>
            </w:tcMar>
          </w:tcPr>
          <w:p w14:paraId="6C4CC945" w14:textId="77777777" w:rsidR="00D31EA2" w:rsidRDefault="00D31EA2" w:rsidP="00410442">
            <w:pPr>
              <w:rPr>
                <w:rFonts w:ascii="Arial" w:hAnsi="Arial" w:cs="Arial"/>
                <w:color w:val="000000"/>
                <w:sz w:val="18"/>
                <w:szCs w:val="18"/>
              </w:rPr>
            </w:pPr>
            <w:r>
              <w:rPr>
                <w:rFonts w:ascii="Arial" w:hAnsi="Arial" w:cs="Arial"/>
                <w:color w:val="000000"/>
                <w:sz w:val="18"/>
                <w:szCs w:val="18"/>
              </w:rPr>
              <w:t>0.4%</w:t>
            </w:r>
          </w:p>
        </w:tc>
        <w:tc>
          <w:tcPr>
            <w:tcW w:w="1160" w:type="dxa"/>
            <w:shd w:val="clear" w:color="auto" w:fill="auto"/>
            <w:tcMar>
              <w:top w:w="40" w:type="dxa"/>
              <w:left w:w="80" w:type="dxa"/>
              <w:bottom w:w="60" w:type="dxa"/>
              <w:right w:w="40" w:type="dxa"/>
            </w:tcMar>
          </w:tcPr>
          <w:p w14:paraId="58D25BAB" w14:textId="77777777" w:rsidR="00D31EA2" w:rsidRDefault="00D31EA2" w:rsidP="00410442">
            <w:pPr>
              <w:rPr>
                <w:rFonts w:ascii="Arial" w:hAnsi="Arial" w:cs="Arial"/>
                <w:color w:val="000000"/>
                <w:sz w:val="18"/>
                <w:szCs w:val="18"/>
              </w:rPr>
            </w:pPr>
            <w:r>
              <w:rPr>
                <w:rFonts w:ascii="Arial" w:hAnsi="Arial" w:cs="Arial"/>
                <w:color w:val="000000"/>
                <w:sz w:val="18"/>
                <w:szCs w:val="18"/>
              </w:rPr>
              <w:t>0.5%</w:t>
            </w:r>
          </w:p>
        </w:tc>
        <w:tc>
          <w:tcPr>
            <w:tcW w:w="1160" w:type="dxa"/>
            <w:shd w:val="clear" w:color="auto" w:fill="auto"/>
            <w:tcMar>
              <w:top w:w="40" w:type="dxa"/>
              <w:left w:w="80" w:type="dxa"/>
              <w:bottom w:w="60" w:type="dxa"/>
              <w:right w:w="40" w:type="dxa"/>
            </w:tcMar>
          </w:tcPr>
          <w:p w14:paraId="191395DA" w14:textId="77777777" w:rsidR="00D31EA2" w:rsidRDefault="00D31EA2" w:rsidP="00410442">
            <w:pPr>
              <w:rPr>
                <w:rFonts w:ascii="Arial" w:hAnsi="Arial" w:cs="Arial"/>
                <w:color w:val="000000"/>
                <w:sz w:val="18"/>
                <w:szCs w:val="18"/>
              </w:rPr>
            </w:pPr>
            <w:r>
              <w:rPr>
                <w:rFonts w:ascii="Arial" w:hAnsi="Arial" w:cs="Arial"/>
                <w:color w:val="000000"/>
                <w:sz w:val="18"/>
                <w:szCs w:val="18"/>
              </w:rPr>
              <w:t>0.4%</w:t>
            </w:r>
          </w:p>
        </w:tc>
        <w:tc>
          <w:tcPr>
            <w:tcW w:w="1160" w:type="dxa"/>
            <w:shd w:val="clear" w:color="auto" w:fill="auto"/>
            <w:tcMar>
              <w:top w:w="40" w:type="dxa"/>
              <w:left w:w="80" w:type="dxa"/>
              <w:bottom w:w="60" w:type="dxa"/>
              <w:right w:w="40" w:type="dxa"/>
            </w:tcMar>
          </w:tcPr>
          <w:p w14:paraId="1F6880CC" w14:textId="77777777" w:rsidR="00D31EA2" w:rsidRDefault="00D31EA2" w:rsidP="00410442">
            <w:pPr>
              <w:rPr>
                <w:rFonts w:ascii="Arial" w:hAnsi="Arial" w:cs="Arial"/>
                <w:color w:val="000000"/>
                <w:sz w:val="18"/>
                <w:szCs w:val="18"/>
              </w:rPr>
            </w:pPr>
            <w:r>
              <w:rPr>
                <w:rFonts w:ascii="Arial" w:hAnsi="Arial" w:cs="Arial"/>
                <w:color w:val="000000"/>
                <w:sz w:val="18"/>
                <w:szCs w:val="18"/>
              </w:rPr>
              <w:t>0.4%</w:t>
            </w:r>
          </w:p>
        </w:tc>
      </w:tr>
      <w:tr w:rsidR="00D31EA2" w14:paraId="3337C6F1" w14:textId="77777777" w:rsidTr="00311585">
        <w:trPr>
          <w:cantSplit/>
          <w:trHeight w:val="240"/>
        </w:trPr>
        <w:tc>
          <w:tcPr>
            <w:tcW w:w="2964" w:type="dxa"/>
            <w:vMerge/>
            <w:tcMar>
              <w:top w:w="40" w:type="dxa"/>
              <w:left w:w="120" w:type="dxa"/>
              <w:bottom w:w="40" w:type="dxa"/>
              <w:right w:w="40" w:type="dxa"/>
            </w:tcMar>
          </w:tcPr>
          <w:p w14:paraId="3896FB48" w14:textId="77777777" w:rsidR="00D31EA2" w:rsidRPr="00AA148D" w:rsidRDefault="00D31EA2" w:rsidP="00410442">
            <w:pPr>
              <w:rPr>
                <w:rFonts w:ascii="Arial" w:hAnsi="Arial" w:cs="Arial"/>
                <w:sz w:val="18"/>
                <w:szCs w:val="18"/>
              </w:rPr>
            </w:pPr>
          </w:p>
        </w:tc>
        <w:tc>
          <w:tcPr>
            <w:tcW w:w="2540" w:type="dxa"/>
            <w:shd w:val="clear" w:color="auto" w:fill="auto"/>
            <w:tcMar>
              <w:top w:w="40" w:type="dxa"/>
              <w:left w:w="80" w:type="dxa"/>
              <w:bottom w:w="40" w:type="dxa"/>
              <w:right w:w="40" w:type="dxa"/>
            </w:tcMar>
          </w:tcPr>
          <w:p w14:paraId="1332CD01" w14:textId="77777777" w:rsidR="00D31EA2" w:rsidRDefault="00D31EA2" w:rsidP="00410442">
            <w:pPr>
              <w:rPr>
                <w:rFonts w:ascii="Arial" w:hAnsi="Arial" w:cs="Arial"/>
                <w:color w:val="000000"/>
                <w:sz w:val="18"/>
                <w:szCs w:val="18"/>
              </w:rPr>
            </w:pPr>
            <w:r>
              <w:rPr>
                <w:rFonts w:ascii="Arial" w:hAnsi="Arial" w:cs="Arial"/>
                <w:color w:val="000000"/>
                <w:sz w:val="18"/>
                <w:szCs w:val="18"/>
              </w:rPr>
              <w:t>Arabic</w:t>
            </w:r>
          </w:p>
        </w:tc>
        <w:tc>
          <w:tcPr>
            <w:tcW w:w="1159" w:type="dxa"/>
            <w:tcMar>
              <w:top w:w="43" w:type="dxa"/>
              <w:left w:w="86" w:type="dxa"/>
              <w:bottom w:w="58" w:type="dxa"/>
              <w:right w:w="43" w:type="dxa"/>
            </w:tcMar>
          </w:tcPr>
          <w:p w14:paraId="1EEF5CA8" w14:textId="77777777" w:rsidR="00D31EA2" w:rsidRDefault="00D31EA2" w:rsidP="00410442">
            <w:pPr>
              <w:rPr>
                <w:rFonts w:ascii="Arial" w:hAnsi="Arial" w:cs="Arial"/>
                <w:color w:val="000000"/>
                <w:sz w:val="18"/>
                <w:szCs w:val="18"/>
              </w:rPr>
            </w:pPr>
            <w:r>
              <w:rPr>
                <w:rFonts w:ascii="Arial" w:hAnsi="Arial" w:cs="Arial"/>
                <w:color w:val="000000"/>
                <w:sz w:val="18"/>
                <w:szCs w:val="18"/>
              </w:rPr>
              <w:t>0.3%</w:t>
            </w:r>
          </w:p>
        </w:tc>
        <w:tc>
          <w:tcPr>
            <w:tcW w:w="1160" w:type="dxa"/>
            <w:tcMar>
              <w:top w:w="43" w:type="dxa"/>
              <w:left w:w="86" w:type="dxa"/>
              <w:bottom w:w="58" w:type="dxa"/>
              <w:right w:w="43" w:type="dxa"/>
            </w:tcMar>
          </w:tcPr>
          <w:p w14:paraId="5FC262D6" w14:textId="77777777" w:rsidR="00D31EA2" w:rsidRDefault="00D31EA2" w:rsidP="00410442">
            <w:pPr>
              <w:rPr>
                <w:rFonts w:ascii="Arial" w:hAnsi="Arial" w:cs="Arial"/>
                <w:color w:val="000000"/>
                <w:sz w:val="18"/>
                <w:szCs w:val="18"/>
              </w:rPr>
            </w:pPr>
            <w:r>
              <w:rPr>
                <w:rFonts w:ascii="Arial" w:hAnsi="Arial" w:cs="Arial"/>
                <w:color w:val="000000"/>
                <w:sz w:val="18"/>
                <w:szCs w:val="18"/>
              </w:rPr>
              <w:t>0.3%</w:t>
            </w:r>
          </w:p>
        </w:tc>
        <w:tc>
          <w:tcPr>
            <w:tcW w:w="1160" w:type="dxa"/>
            <w:shd w:val="clear" w:color="auto" w:fill="auto"/>
            <w:tcMar>
              <w:top w:w="40" w:type="dxa"/>
              <w:left w:w="80" w:type="dxa"/>
              <w:bottom w:w="60" w:type="dxa"/>
              <w:right w:w="40" w:type="dxa"/>
            </w:tcMar>
          </w:tcPr>
          <w:p w14:paraId="3F56825C" w14:textId="77777777" w:rsidR="00D31EA2" w:rsidRDefault="00D31EA2" w:rsidP="00410442">
            <w:pPr>
              <w:rPr>
                <w:rFonts w:ascii="Arial" w:hAnsi="Arial" w:cs="Arial"/>
                <w:color w:val="000000"/>
                <w:sz w:val="18"/>
                <w:szCs w:val="18"/>
              </w:rPr>
            </w:pPr>
            <w:r>
              <w:rPr>
                <w:rFonts w:ascii="Arial" w:hAnsi="Arial" w:cs="Arial"/>
                <w:color w:val="000000"/>
                <w:sz w:val="18"/>
                <w:szCs w:val="18"/>
              </w:rPr>
              <w:t>0.3%</w:t>
            </w:r>
          </w:p>
        </w:tc>
        <w:tc>
          <w:tcPr>
            <w:tcW w:w="1160" w:type="dxa"/>
            <w:shd w:val="clear" w:color="auto" w:fill="auto"/>
            <w:tcMar>
              <w:top w:w="40" w:type="dxa"/>
              <w:left w:w="80" w:type="dxa"/>
              <w:bottom w:w="60" w:type="dxa"/>
              <w:right w:w="40" w:type="dxa"/>
            </w:tcMar>
          </w:tcPr>
          <w:p w14:paraId="74D3DC5C" w14:textId="77777777" w:rsidR="00D31EA2" w:rsidRDefault="00D31EA2" w:rsidP="00410442">
            <w:pPr>
              <w:rPr>
                <w:rFonts w:ascii="Arial" w:hAnsi="Arial" w:cs="Arial"/>
                <w:color w:val="000000"/>
                <w:sz w:val="18"/>
                <w:szCs w:val="18"/>
              </w:rPr>
            </w:pPr>
            <w:r>
              <w:rPr>
                <w:rFonts w:ascii="Arial" w:hAnsi="Arial" w:cs="Arial"/>
                <w:color w:val="000000"/>
                <w:sz w:val="18"/>
                <w:szCs w:val="18"/>
              </w:rPr>
              <w:t>0.3%</w:t>
            </w:r>
          </w:p>
        </w:tc>
        <w:tc>
          <w:tcPr>
            <w:tcW w:w="1160" w:type="dxa"/>
            <w:shd w:val="clear" w:color="auto" w:fill="auto"/>
            <w:tcMar>
              <w:top w:w="40" w:type="dxa"/>
              <w:left w:w="80" w:type="dxa"/>
              <w:bottom w:w="60" w:type="dxa"/>
              <w:right w:w="40" w:type="dxa"/>
            </w:tcMar>
          </w:tcPr>
          <w:p w14:paraId="7EB9A68F" w14:textId="77777777" w:rsidR="00D31EA2" w:rsidRDefault="00D31EA2" w:rsidP="00410442">
            <w:pPr>
              <w:rPr>
                <w:rFonts w:ascii="Arial" w:hAnsi="Arial" w:cs="Arial"/>
                <w:color w:val="000000"/>
                <w:sz w:val="18"/>
                <w:szCs w:val="18"/>
              </w:rPr>
            </w:pPr>
            <w:r>
              <w:rPr>
                <w:rFonts w:ascii="Arial" w:hAnsi="Arial" w:cs="Arial"/>
                <w:color w:val="000000"/>
                <w:sz w:val="18"/>
                <w:szCs w:val="18"/>
              </w:rPr>
              <w:t>0.4%</w:t>
            </w:r>
          </w:p>
        </w:tc>
      </w:tr>
      <w:tr w:rsidR="00D31EA2" w14:paraId="5D857693" w14:textId="77777777" w:rsidTr="00311585">
        <w:trPr>
          <w:cantSplit/>
          <w:trHeight w:val="240"/>
        </w:trPr>
        <w:tc>
          <w:tcPr>
            <w:tcW w:w="2964" w:type="dxa"/>
            <w:vMerge/>
            <w:tcMar>
              <w:top w:w="40" w:type="dxa"/>
              <w:left w:w="120" w:type="dxa"/>
              <w:bottom w:w="40" w:type="dxa"/>
              <w:right w:w="40" w:type="dxa"/>
            </w:tcMar>
          </w:tcPr>
          <w:p w14:paraId="7DD7E34A" w14:textId="77777777" w:rsidR="00D31EA2" w:rsidRPr="00AA148D" w:rsidRDefault="00D31EA2" w:rsidP="00410442">
            <w:pPr>
              <w:rPr>
                <w:rFonts w:ascii="Arial" w:hAnsi="Arial" w:cs="Arial"/>
                <w:sz w:val="18"/>
                <w:szCs w:val="18"/>
              </w:rPr>
            </w:pPr>
          </w:p>
        </w:tc>
        <w:tc>
          <w:tcPr>
            <w:tcW w:w="2540" w:type="dxa"/>
            <w:shd w:val="clear" w:color="auto" w:fill="auto"/>
            <w:tcMar>
              <w:top w:w="40" w:type="dxa"/>
              <w:left w:w="80" w:type="dxa"/>
              <w:bottom w:w="40" w:type="dxa"/>
              <w:right w:w="40" w:type="dxa"/>
            </w:tcMar>
          </w:tcPr>
          <w:p w14:paraId="5E37829F" w14:textId="77777777" w:rsidR="00D31EA2" w:rsidRDefault="00D31EA2" w:rsidP="00410442">
            <w:pPr>
              <w:rPr>
                <w:rFonts w:ascii="Arial" w:hAnsi="Arial" w:cs="Arial"/>
                <w:color w:val="000000"/>
                <w:sz w:val="18"/>
                <w:szCs w:val="18"/>
              </w:rPr>
            </w:pPr>
            <w:r>
              <w:rPr>
                <w:rFonts w:ascii="Arial" w:hAnsi="Arial" w:cs="Arial"/>
                <w:color w:val="000000"/>
                <w:sz w:val="18"/>
                <w:szCs w:val="18"/>
              </w:rPr>
              <w:t>Mandarin</w:t>
            </w:r>
          </w:p>
        </w:tc>
        <w:tc>
          <w:tcPr>
            <w:tcW w:w="1159" w:type="dxa"/>
            <w:tcMar>
              <w:top w:w="43" w:type="dxa"/>
              <w:left w:w="86" w:type="dxa"/>
              <w:bottom w:w="58" w:type="dxa"/>
              <w:right w:w="43" w:type="dxa"/>
            </w:tcMar>
          </w:tcPr>
          <w:p w14:paraId="129AE79B" w14:textId="77777777" w:rsidR="00D31EA2" w:rsidRDefault="00D31EA2" w:rsidP="00410442">
            <w:pPr>
              <w:rPr>
                <w:rFonts w:ascii="Arial" w:hAnsi="Arial" w:cs="Arial"/>
                <w:color w:val="000000"/>
                <w:sz w:val="18"/>
                <w:szCs w:val="18"/>
              </w:rPr>
            </w:pPr>
            <w:r>
              <w:rPr>
                <w:rFonts w:ascii="Arial" w:hAnsi="Arial" w:cs="Arial"/>
                <w:color w:val="000000"/>
                <w:sz w:val="18"/>
                <w:szCs w:val="18"/>
              </w:rPr>
              <w:t>0.3%</w:t>
            </w:r>
          </w:p>
        </w:tc>
        <w:tc>
          <w:tcPr>
            <w:tcW w:w="1160" w:type="dxa"/>
            <w:tcMar>
              <w:top w:w="43" w:type="dxa"/>
              <w:left w:w="86" w:type="dxa"/>
              <w:bottom w:w="58" w:type="dxa"/>
              <w:right w:w="43" w:type="dxa"/>
            </w:tcMar>
          </w:tcPr>
          <w:p w14:paraId="5BB3D09E" w14:textId="77777777" w:rsidR="00D31EA2" w:rsidRDefault="00D31EA2" w:rsidP="00410442">
            <w:pPr>
              <w:rPr>
                <w:rFonts w:ascii="Arial" w:hAnsi="Arial" w:cs="Arial"/>
                <w:color w:val="000000"/>
                <w:sz w:val="18"/>
                <w:szCs w:val="18"/>
              </w:rPr>
            </w:pPr>
            <w:r>
              <w:rPr>
                <w:rFonts w:ascii="Arial" w:hAnsi="Arial" w:cs="Arial"/>
                <w:color w:val="000000"/>
                <w:sz w:val="18"/>
                <w:szCs w:val="18"/>
              </w:rPr>
              <w:t>0.3%</w:t>
            </w:r>
          </w:p>
        </w:tc>
        <w:tc>
          <w:tcPr>
            <w:tcW w:w="1160" w:type="dxa"/>
            <w:shd w:val="clear" w:color="auto" w:fill="auto"/>
            <w:tcMar>
              <w:top w:w="40" w:type="dxa"/>
              <w:left w:w="80" w:type="dxa"/>
              <w:bottom w:w="60" w:type="dxa"/>
              <w:right w:w="40" w:type="dxa"/>
            </w:tcMar>
          </w:tcPr>
          <w:p w14:paraId="1C5716CA" w14:textId="77777777" w:rsidR="00D31EA2" w:rsidRDefault="00D31EA2" w:rsidP="00410442">
            <w:pPr>
              <w:rPr>
                <w:rFonts w:ascii="Arial" w:hAnsi="Arial" w:cs="Arial"/>
                <w:color w:val="000000"/>
                <w:sz w:val="18"/>
                <w:szCs w:val="18"/>
              </w:rPr>
            </w:pPr>
            <w:r>
              <w:rPr>
                <w:rFonts w:ascii="Arial" w:hAnsi="Arial" w:cs="Arial"/>
                <w:color w:val="000000"/>
                <w:sz w:val="18"/>
                <w:szCs w:val="18"/>
              </w:rPr>
              <w:t>0.3%</w:t>
            </w:r>
          </w:p>
        </w:tc>
        <w:tc>
          <w:tcPr>
            <w:tcW w:w="1160" w:type="dxa"/>
            <w:shd w:val="clear" w:color="auto" w:fill="auto"/>
            <w:tcMar>
              <w:top w:w="40" w:type="dxa"/>
              <w:left w:w="80" w:type="dxa"/>
              <w:bottom w:w="60" w:type="dxa"/>
              <w:right w:w="40" w:type="dxa"/>
            </w:tcMar>
          </w:tcPr>
          <w:p w14:paraId="5412119B" w14:textId="77777777" w:rsidR="00D31EA2" w:rsidRDefault="00D31EA2" w:rsidP="00410442">
            <w:pPr>
              <w:rPr>
                <w:rFonts w:ascii="Arial" w:hAnsi="Arial" w:cs="Arial"/>
                <w:color w:val="000000"/>
                <w:sz w:val="18"/>
                <w:szCs w:val="18"/>
              </w:rPr>
            </w:pPr>
            <w:r>
              <w:rPr>
                <w:rFonts w:ascii="Arial" w:hAnsi="Arial" w:cs="Arial"/>
                <w:color w:val="000000"/>
                <w:sz w:val="18"/>
                <w:szCs w:val="18"/>
              </w:rPr>
              <w:t>0.3%</w:t>
            </w:r>
          </w:p>
        </w:tc>
        <w:tc>
          <w:tcPr>
            <w:tcW w:w="1160" w:type="dxa"/>
            <w:shd w:val="clear" w:color="auto" w:fill="auto"/>
            <w:tcMar>
              <w:top w:w="40" w:type="dxa"/>
              <w:left w:w="80" w:type="dxa"/>
              <w:bottom w:w="60" w:type="dxa"/>
              <w:right w:w="40" w:type="dxa"/>
            </w:tcMar>
          </w:tcPr>
          <w:p w14:paraId="543A596C" w14:textId="77777777" w:rsidR="00D31EA2" w:rsidRDefault="00D31EA2" w:rsidP="00410442">
            <w:pPr>
              <w:rPr>
                <w:rFonts w:ascii="Arial" w:hAnsi="Arial" w:cs="Arial"/>
                <w:color w:val="000000"/>
                <w:sz w:val="18"/>
                <w:szCs w:val="18"/>
              </w:rPr>
            </w:pPr>
            <w:r>
              <w:rPr>
                <w:rFonts w:ascii="Arial" w:hAnsi="Arial" w:cs="Arial"/>
                <w:color w:val="000000"/>
                <w:sz w:val="18"/>
                <w:szCs w:val="18"/>
              </w:rPr>
              <w:t>0.4%</w:t>
            </w:r>
          </w:p>
        </w:tc>
      </w:tr>
      <w:tr w:rsidR="00D31EA2" w14:paraId="6D281EAB" w14:textId="77777777" w:rsidTr="00311585">
        <w:trPr>
          <w:cantSplit/>
          <w:trHeight w:val="240"/>
        </w:trPr>
        <w:tc>
          <w:tcPr>
            <w:tcW w:w="2964" w:type="dxa"/>
            <w:vMerge/>
            <w:tcMar>
              <w:top w:w="40" w:type="dxa"/>
              <w:left w:w="120" w:type="dxa"/>
              <w:bottom w:w="40" w:type="dxa"/>
              <w:right w:w="40" w:type="dxa"/>
            </w:tcMar>
          </w:tcPr>
          <w:p w14:paraId="6422C648" w14:textId="77777777" w:rsidR="00D31EA2" w:rsidRPr="00AA148D" w:rsidRDefault="00D31EA2" w:rsidP="00410442">
            <w:pPr>
              <w:rPr>
                <w:rFonts w:ascii="Arial" w:hAnsi="Arial" w:cs="Arial"/>
                <w:sz w:val="18"/>
                <w:szCs w:val="18"/>
              </w:rPr>
            </w:pPr>
          </w:p>
        </w:tc>
        <w:tc>
          <w:tcPr>
            <w:tcW w:w="2540" w:type="dxa"/>
            <w:shd w:val="clear" w:color="auto" w:fill="auto"/>
            <w:tcMar>
              <w:top w:w="40" w:type="dxa"/>
              <w:left w:w="80" w:type="dxa"/>
              <w:bottom w:w="40" w:type="dxa"/>
              <w:right w:w="40" w:type="dxa"/>
            </w:tcMar>
          </w:tcPr>
          <w:p w14:paraId="251DB30A" w14:textId="77777777" w:rsidR="00D31EA2" w:rsidRDefault="00D31EA2" w:rsidP="00410442">
            <w:pPr>
              <w:rPr>
                <w:rFonts w:ascii="Arial" w:hAnsi="Arial" w:cs="Arial"/>
                <w:color w:val="000000"/>
                <w:sz w:val="18"/>
                <w:szCs w:val="18"/>
              </w:rPr>
            </w:pPr>
            <w:r>
              <w:rPr>
                <w:rFonts w:ascii="Arial" w:hAnsi="Arial" w:cs="Arial"/>
                <w:color w:val="000000"/>
                <w:sz w:val="18"/>
                <w:szCs w:val="18"/>
              </w:rPr>
              <w:t>Persian (excluding Dari)</w:t>
            </w:r>
          </w:p>
        </w:tc>
        <w:tc>
          <w:tcPr>
            <w:tcW w:w="1159" w:type="dxa"/>
            <w:tcMar>
              <w:top w:w="43" w:type="dxa"/>
              <w:left w:w="86" w:type="dxa"/>
              <w:bottom w:w="58" w:type="dxa"/>
              <w:right w:w="43" w:type="dxa"/>
            </w:tcMar>
          </w:tcPr>
          <w:p w14:paraId="7F6A5C46" w14:textId="77777777" w:rsidR="00D31EA2" w:rsidRDefault="00D31EA2" w:rsidP="00410442">
            <w:pPr>
              <w:rPr>
                <w:rFonts w:ascii="Arial" w:hAnsi="Arial" w:cs="Arial"/>
                <w:color w:val="000000"/>
                <w:sz w:val="18"/>
                <w:szCs w:val="18"/>
              </w:rPr>
            </w:pPr>
            <w:r>
              <w:rPr>
                <w:rFonts w:ascii="Arial" w:hAnsi="Arial" w:cs="Arial"/>
                <w:color w:val="000000"/>
                <w:sz w:val="18"/>
                <w:szCs w:val="18"/>
              </w:rPr>
              <w:t>0.2%</w:t>
            </w:r>
          </w:p>
        </w:tc>
        <w:tc>
          <w:tcPr>
            <w:tcW w:w="1160" w:type="dxa"/>
            <w:tcMar>
              <w:top w:w="43" w:type="dxa"/>
              <w:left w:w="86" w:type="dxa"/>
              <w:bottom w:w="58" w:type="dxa"/>
              <w:right w:w="43" w:type="dxa"/>
            </w:tcMar>
          </w:tcPr>
          <w:p w14:paraId="2E62DADF" w14:textId="77777777" w:rsidR="00D31EA2" w:rsidRDefault="00D31EA2" w:rsidP="00410442">
            <w:pPr>
              <w:rPr>
                <w:rFonts w:ascii="Arial" w:hAnsi="Arial" w:cs="Arial"/>
                <w:color w:val="000000"/>
                <w:sz w:val="18"/>
                <w:szCs w:val="18"/>
              </w:rPr>
            </w:pPr>
            <w:r>
              <w:rPr>
                <w:rFonts w:ascii="Arial" w:hAnsi="Arial" w:cs="Arial"/>
                <w:color w:val="000000"/>
                <w:sz w:val="18"/>
                <w:szCs w:val="18"/>
              </w:rPr>
              <w:t>0.2%</w:t>
            </w:r>
          </w:p>
        </w:tc>
        <w:tc>
          <w:tcPr>
            <w:tcW w:w="1160" w:type="dxa"/>
            <w:shd w:val="clear" w:color="auto" w:fill="auto"/>
            <w:tcMar>
              <w:top w:w="40" w:type="dxa"/>
              <w:left w:w="80" w:type="dxa"/>
              <w:bottom w:w="60" w:type="dxa"/>
              <w:right w:w="40" w:type="dxa"/>
            </w:tcMar>
          </w:tcPr>
          <w:p w14:paraId="21737727" w14:textId="77777777" w:rsidR="00D31EA2" w:rsidRDefault="00D31EA2" w:rsidP="00410442">
            <w:pPr>
              <w:rPr>
                <w:rFonts w:ascii="Arial" w:hAnsi="Arial" w:cs="Arial"/>
                <w:color w:val="000000"/>
                <w:sz w:val="18"/>
                <w:szCs w:val="18"/>
              </w:rPr>
            </w:pPr>
            <w:r>
              <w:rPr>
                <w:rFonts w:ascii="Arial" w:hAnsi="Arial" w:cs="Arial"/>
                <w:color w:val="000000"/>
                <w:sz w:val="18"/>
                <w:szCs w:val="18"/>
              </w:rPr>
              <w:t>0.2%</w:t>
            </w:r>
          </w:p>
        </w:tc>
        <w:tc>
          <w:tcPr>
            <w:tcW w:w="1160" w:type="dxa"/>
            <w:shd w:val="clear" w:color="auto" w:fill="auto"/>
            <w:tcMar>
              <w:top w:w="40" w:type="dxa"/>
              <w:left w:w="80" w:type="dxa"/>
              <w:bottom w:w="60" w:type="dxa"/>
              <w:right w:w="40" w:type="dxa"/>
            </w:tcMar>
          </w:tcPr>
          <w:p w14:paraId="65AEDA59" w14:textId="77777777" w:rsidR="00D31EA2" w:rsidRDefault="00D31EA2" w:rsidP="00410442">
            <w:pPr>
              <w:rPr>
                <w:rFonts w:ascii="Arial" w:hAnsi="Arial" w:cs="Arial"/>
                <w:color w:val="000000"/>
                <w:sz w:val="18"/>
                <w:szCs w:val="18"/>
              </w:rPr>
            </w:pPr>
            <w:r>
              <w:rPr>
                <w:rFonts w:ascii="Arial" w:hAnsi="Arial" w:cs="Arial"/>
                <w:color w:val="000000"/>
                <w:sz w:val="18"/>
                <w:szCs w:val="18"/>
              </w:rPr>
              <w:t>0.2%</w:t>
            </w:r>
          </w:p>
        </w:tc>
        <w:tc>
          <w:tcPr>
            <w:tcW w:w="1160" w:type="dxa"/>
            <w:shd w:val="clear" w:color="auto" w:fill="auto"/>
            <w:tcMar>
              <w:top w:w="40" w:type="dxa"/>
              <w:left w:w="80" w:type="dxa"/>
              <w:bottom w:w="60" w:type="dxa"/>
              <w:right w:w="40" w:type="dxa"/>
            </w:tcMar>
          </w:tcPr>
          <w:p w14:paraId="7FFB7799" w14:textId="77777777" w:rsidR="00D31EA2" w:rsidRDefault="00D31EA2" w:rsidP="00410442">
            <w:pPr>
              <w:rPr>
                <w:rFonts w:ascii="Arial" w:hAnsi="Arial" w:cs="Arial"/>
                <w:color w:val="000000"/>
                <w:sz w:val="18"/>
                <w:szCs w:val="18"/>
              </w:rPr>
            </w:pPr>
            <w:r>
              <w:rPr>
                <w:rFonts w:ascii="Arial" w:hAnsi="Arial" w:cs="Arial"/>
                <w:color w:val="000000"/>
                <w:sz w:val="18"/>
                <w:szCs w:val="18"/>
              </w:rPr>
              <w:t>0.2%</w:t>
            </w:r>
          </w:p>
        </w:tc>
      </w:tr>
      <w:tr w:rsidR="00D31EA2" w14:paraId="1DAE9FD3" w14:textId="77777777" w:rsidTr="00311585">
        <w:trPr>
          <w:cantSplit/>
          <w:trHeight w:val="240"/>
        </w:trPr>
        <w:tc>
          <w:tcPr>
            <w:tcW w:w="2964" w:type="dxa"/>
            <w:vMerge/>
            <w:tcMar>
              <w:top w:w="40" w:type="dxa"/>
              <w:left w:w="120" w:type="dxa"/>
              <w:bottom w:w="40" w:type="dxa"/>
              <w:right w:w="40" w:type="dxa"/>
            </w:tcMar>
          </w:tcPr>
          <w:p w14:paraId="372D6A27" w14:textId="77777777" w:rsidR="00D31EA2" w:rsidRPr="00AA148D" w:rsidRDefault="00D31EA2" w:rsidP="00410442">
            <w:pPr>
              <w:rPr>
                <w:rFonts w:ascii="Arial" w:hAnsi="Arial" w:cs="Arial"/>
                <w:sz w:val="18"/>
                <w:szCs w:val="18"/>
              </w:rPr>
            </w:pPr>
          </w:p>
        </w:tc>
        <w:tc>
          <w:tcPr>
            <w:tcW w:w="2540" w:type="dxa"/>
            <w:shd w:val="clear" w:color="auto" w:fill="auto"/>
            <w:tcMar>
              <w:top w:w="40" w:type="dxa"/>
              <w:left w:w="80" w:type="dxa"/>
              <w:bottom w:w="40" w:type="dxa"/>
              <w:right w:w="40" w:type="dxa"/>
            </w:tcMar>
          </w:tcPr>
          <w:p w14:paraId="644E2086" w14:textId="77777777" w:rsidR="00D31EA2" w:rsidRDefault="00D31EA2" w:rsidP="00410442">
            <w:pPr>
              <w:rPr>
                <w:rFonts w:ascii="Arial" w:hAnsi="Arial" w:cs="Arial"/>
                <w:color w:val="000000"/>
                <w:sz w:val="18"/>
                <w:szCs w:val="18"/>
              </w:rPr>
            </w:pPr>
            <w:r>
              <w:rPr>
                <w:rFonts w:ascii="Arial" w:hAnsi="Arial" w:cs="Arial"/>
                <w:color w:val="000000"/>
                <w:sz w:val="18"/>
                <w:szCs w:val="18"/>
              </w:rPr>
              <w:t>Turkish</w:t>
            </w:r>
          </w:p>
        </w:tc>
        <w:tc>
          <w:tcPr>
            <w:tcW w:w="1159" w:type="dxa"/>
            <w:tcMar>
              <w:top w:w="43" w:type="dxa"/>
              <w:left w:w="86" w:type="dxa"/>
              <w:bottom w:w="58" w:type="dxa"/>
              <w:right w:w="43" w:type="dxa"/>
            </w:tcMar>
          </w:tcPr>
          <w:p w14:paraId="2442A406" w14:textId="77777777" w:rsidR="00D31EA2" w:rsidRDefault="00D31EA2" w:rsidP="00410442">
            <w:pPr>
              <w:rPr>
                <w:rFonts w:ascii="Arial" w:hAnsi="Arial" w:cs="Arial"/>
                <w:color w:val="000000"/>
                <w:sz w:val="18"/>
                <w:szCs w:val="18"/>
              </w:rPr>
            </w:pPr>
            <w:r>
              <w:rPr>
                <w:rFonts w:ascii="Arial" w:hAnsi="Arial" w:cs="Arial"/>
                <w:color w:val="000000"/>
                <w:sz w:val="18"/>
                <w:szCs w:val="18"/>
              </w:rPr>
              <w:t>0.2%</w:t>
            </w:r>
          </w:p>
        </w:tc>
        <w:tc>
          <w:tcPr>
            <w:tcW w:w="1160" w:type="dxa"/>
            <w:tcMar>
              <w:top w:w="43" w:type="dxa"/>
              <w:left w:w="86" w:type="dxa"/>
              <w:bottom w:w="58" w:type="dxa"/>
              <w:right w:w="43" w:type="dxa"/>
            </w:tcMar>
          </w:tcPr>
          <w:p w14:paraId="2B9B50E0" w14:textId="77777777" w:rsidR="00D31EA2" w:rsidRDefault="00D31EA2" w:rsidP="00410442">
            <w:pPr>
              <w:rPr>
                <w:rFonts w:ascii="Arial" w:hAnsi="Arial" w:cs="Arial"/>
                <w:color w:val="000000"/>
                <w:sz w:val="18"/>
                <w:szCs w:val="18"/>
              </w:rPr>
            </w:pPr>
            <w:r>
              <w:rPr>
                <w:rFonts w:ascii="Arial" w:hAnsi="Arial" w:cs="Arial"/>
                <w:color w:val="000000"/>
                <w:sz w:val="18"/>
                <w:szCs w:val="18"/>
              </w:rPr>
              <w:t>0.2%</w:t>
            </w:r>
          </w:p>
        </w:tc>
        <w:tc>
          <w:tcPr>
            <w:tcW w:w="1160" w:type="dxa"/>
            <w:shd w:val="clear" w:color="auto" w:fill="auto"/>
            <w:tcMar>
              <w:top w:w="40" w:type="dxa"/>
              <w:left w:w="80" w:type="dxa"/>
              <w:bottom w:w="60" w:type="dxa"/>
              <w:right w:w="40" w:type="dxa"/>
            </w:tcMar>
          </w:tcPr>
          <w:p w14:paraId="007A5AED" w14:textId="77777777" w:rsidR="00D31EA2" w:rsidRDefault="00D31EA2" w:rsidP="00410442">
            <w:pPr>
              <w:rPr>
                <w:rFonts w:ascii="Arial" w:hAnsi="Arial" w:cs="Arial"/>
                <w:color w:val="000000"/>
                <w:sz w:val="18"/>
                <w:szCs w:val="18"/>
              </w:rPr>
            </w:pPr>
            <w:r>
              <w:rPr>
                <w:rFonts w:ascii="Arial" w:hAnsi="Arial" w:cs="Arial"/>
                <w:color w:val="000000"/>
                <w:sz w:val="18"/>
                <w:szCs w:val="18"/>
              </w:rPr>
              <w:t>0.2%</w:t>
            </w:r>
          </w:p>
        </w:tc>
        <w:tc>
          <w:tcPr>
            <w:tcW w:w="1160" w:type="dxa"/>
            <w:shd w:val="clear" w:color="auto" w:fill="auto"/>
            <w:tcMar>
              <w:top w:w="40" w:type="dxa"/>
              <w:left w:w="80" w:type="dxa"/>
              <w:bottom w:w="60" w:type="dxa"/>
              <w:right w:w="40" w:type="dxa"/>
            </w:tcMar>
          </w:tcPr>
          <w:p w14:paraId="70FED664" w14:textId="77777777" w:rsidR="00D31EA2" w:rsidRDefault="00D31EA2" w:rsidP="00410442">
            <w:pPr>
              <w:rPr>
                <w:rFonts w:ascii="Arial" w:hAnsi="Arial" w:cs="Arial"/>
                <w:color w:val="000000"/>
                <w:sz w:val="18"/>
                <w:szCs w:val="18"/>
              </w:rPr>
            </w:pPr>
            <w:r>
              <w:rPr>
                <w:rFonts w:ascii="Arial" w:hAnsi="Arial" w:cs="Arial"/>
                <w:color w:val="000000"/>
                <w:sz w:val="18"/>
                <w:szCs w:val="18"/>
              </w:rPr>
              <w:t>0.2%</w:t>
            </w:r>
          </w:p>
        </w:tc>
        <w:tc>
          <w:tcPr>
            <w:tcW w:w="1160" w:type="dxa"/>
            <w:shd w:val="clear" w:color="auto" w:fill="auto"/>
            <w:tcMar>
              <w:top w:w="40" w:type="dxa"/>
              <w:left w:w="80" w:type="dxa"/>
              <w:bottom w:w="60" w:type="dxa"/>
              <w:right w:w="40" w:type="dxa"/>
            </w:tcMar>
          </w:tcPr>
          <w:p w14:paraId="7B739F2E" w14:textId="77777777" w:rsidR="00D31EA2" w:rsidRDefault="00D31EA2" w:rsidP="00410442">
            <w:pPr>
              <w:rPr>
                <w:rFonts w:ascii="Arial" w:hAnsi="Arial" w:cs="Arial"/>
                <w:color w:val="000000"/>
                <w:sz w:val="18"/>
                <w:szCs w:val="18"/>
              </w:rPr>
            </w:pPr>
            <w:r>
              <w:rPr>
                <w:rFonts w:ascii="Arial" w:hAnsi="Arial" w:cs="Arial"/>
                <w:color w:val="000000"/>
                <w:sz w:val="18"/>
                <w:szCs w:val="18"/>
              </w:rPr>
              <w:t>0.2%</w:t>
            </w:r>
          </w:p>
        </w:tc>
      </w:tr>
      <w:tr w:rsidR="00D31EA2" w14:paraId="30C88959" w14:textId="77777777" w:rsidTr="00311585">
        <w:trPr>
          <w:cantSplit/>
          <w:trHeight w:val="240"/>
        </w:trPr>
        <w:tc>
          <w:tcPr>
            <w:tcW w:w="2964" w:type="dxa"/>
            <w:vMerge/>
            <w:tcMar>
              <w:top w:w="40" w:type="dxa"/>
              <w:left w:w="120" w:type="dxa"/>
              <w:bottom w:w="40" w:type="dxa"/>
              <w:right w:w="40" w:type="dxa"/>
            </w:tcMar>
          </w:tcPr>
          <w:p w14:paraId="4F361BB9" w14:textId="77777777" w:rsidR="00D31EA2" w:rsidRPr="00AA148D" w:rsidRDefault="00D31EA2" w:rsidP="00410442">
            <w:pPr>
              <w:rPr>
                <w:rFonts w:ascii="Arial" w:hAnsi="Arial" w:cs="Arial"/>
                <w:sz w:val="18"/>
                <w:szCs w:val="18"/>
              </w:rPr>
            </w:pPr>
          </w:p>
        </w:tc>
        <w:tc>
          <w:tcPr>
            <w:tcW w:w="2540" w:type="dxa"/>
            <w:shd w:val="clear" w:color="auto" w:fill="auto"/>
            <w:tcMar>
              <w:top w:w="40" w:type="dxa"/>
              <w:left w:w="80" w:type="dxa"/>
              <w:bottom w:w="40" w:type="dxa"/>
              <w:right w:w="40" w:type="dxa"/>
            </w:tcMar>
          </w:tcPr>
          <w:p w14:paraId="69D25947" w14:textId="77777777" w:rsidR="00D31EA2" w:rsidRDefault="00D31EA2" w:rsidP="00410442">
            <w:pPr>
              <w:rPr>
                <w:rFonts w:ascii="Arial" w:hAnsi="Arial" w:cs="Arial"/>
                <w:color w:val="000000"/>
                <w:sz w:val="18"/>
                <w:szCs w:val="18"/>
              </w:rPr>
            </w:pPr>
            <w:r>
              <w:rPr>
                <w:rFonts w:ascii="Arial" w:hAnsi="Arial" w:cs="Arial"/>
                <w:color w:val="000000"/>
                <w:sz w:val="18"/>
                <w:szCs w:val="18"/>
              </w:rPr>
              <w:t>Macedonian</w:t>
            </w:r>
          </w:p>
        </w:tc>
        <w:tc>
          <w:tcPr>
            <w:tcW w:w="1159" w:type="dxa"/>
            <w:tcMar>
              <w:top w:w="43" w:type="dxa"/>
              <w:left w:w="86" w:type="dxa"/>
              <w:bottom w:w="58" w:type="dxa"/>
              <w:right w:w="43" w:type="dxa"/>
            </w:tcMar>
          </w:tcPr>
          <w:p w14:paraId="45B7E72A" w14:textId="77777777" w:rsidR="00D31EA2" w:rsidRDefault="00D31EA2" w:rsidP="00410442">
            <w:pPr>
              <w:rPr>
                <w:rFonts w:ascii="Arial" w:hAnsi="Arial" w:cs="Arial"/>
                <w:color w:val="000000"/>
                <w:sz w:val="18"/>
                <w:szCs w:val="18"/>
              </w:rPr>
            </w:pPr>
            <w:r>
              <w:rPr>
                <w:rFonts w:ascii="Arial" w:hAnsi="Arial" w:cs="Arial"/>
                <w:color w:val="000000"/>
                <w:sz w:val="18"/>
                <w:szCs w:val="18"/>
              </w:rPr>
              <w:t>0.1%</w:t>
            </w:r>
          </w:p>
        </w:tc>
        <w:tc>
          <w:tcPr>
            <w:tcW w:w="1160" w:type="dxa"/>
            <w:tcMar>
              <w:top w:w="43" w:type="dxa"/>
              <w:left w:w="86" w:type="dxa"/>
              <w:bottom w:w="58" w:type="dxa"/>
              <w:right w:w="43" w:type="dxa"/>
            </w:tcMar>
          </w:tcPr>
          <w:p w14:paraId="3B2BFF17" w14:textId="77777777" w:rsidR="00D31EA2" w:rsidRDefault="00D31EA2" w:rsidP="00410442">
            <w:pPr>
              <w:rPr>
                <w:rFonts w:ascii="Arial" w:hAnsi="Arial" w:cs="Arial"/>
                <w:color w:val="000000"/>
                <w:sz w:val="18"/>
                <w:szCs w:val="18"/>
              </w:rPr>
            </w:pPr>
            <w:r>
              <w:rPr>
                <w:rFonts w:ascii="Arial" w:hAnsi="Arial" w:cs="Arial"/>
                <w:color w:val="000000"/>
                <w:sz w:val="18"/>
                <w:szCs w:val="18"/>
              </w:rPr>
              <w:t>0.1%</w:t>
            </w:r>
          </w:p>
        </w:tc>
        <w:tc>
          <w:tcPr>
            <w:tcW w:w="1160" w:type="dxa"/>
            <w:shd w:val="clear" w:color="auto" w:fill="auto"/>
            <w:tcMar>
              <w:top w:w="40" w:type="dxa"/>
              <w:left w:w="80" w:type="dxa"/>
              <w:bottom w:w="60" w:type="dxa"/>
              <w:right w:w="40" w:type="dxa"/>
            </w:tcMar>
          </w:tcPr>
          <w:p w14:paraId="21E5DE1D" w14:textId="77777777" w:rsidR="00D31EA2" w:rsidRDefault="00D31EA2" w:rsidP="00410442">
            <w:pPr>
              <w:rPr>
                <w:rFonts w:ascii="Arial" w:hAnsi="Arial" w:cs="Arial"/>
                <w:color w:val="000000"/>
                <w:sz w:val="18"/>
                <w:szCs w:val="18"/>
              </w:rPr>
            </w:pPr>
            <w:r>
              <w:rPr>
                <w:rFonts w:ascii="Arial" w:hAnsi="Arial" w:cs="Arial"/>
                <w:color w:val="000000"/>
                <w:sz w:val="18"/>
                <w:szCs w:val="18"/>
              </w:rPr>
              <w:t>0.1%</w:t>
            </w:r>
          </w:p>
        </w:tc>
        <w:tc>
          <w:tcPr>
            <w:tcW w:w="1160" w:type="dxa"/>
            <w:shd w:val="clear" w:color="auto" w:fill="auto"/>
            <w:tcMar>
              <w:top w:w="40" w:type="dxa"/>
              <w:left w:w="80" w:type="dxa"/>
              <w:bottom w:w="60" w:type="dxa"/>
              <w:right w:w="40" w:type="dxa"/>
            </w:tcMar>
          </w:tcPr>
          <w:p w14:paraId="0A86C053" w14:textId="77777777" w:rsidR="00D31EA2" w:rsidRDefault="00D31EA2" w:rsidP="00410442">
            <w:pPr>
              <w:rPr>
                <w:rFonts w:ascii="Arial" w:hAnsi="Arial" w:cs="Arial"/>
                <w:color w:val="000000"/>
                <w:sz w:val="18"/>
                <w:szCs w:val="18"/>
              </w:rPr>
            </w:pPr>
            <w:r>
              <w:rPr>
                <w:rFonts w:ascii="Arial" w:hAnsi="Arial" w:cs="Arial"/>
                <w:color w:val="000000"/>
                <w:sz w:val="18"/>
                <w:szCs w:val="18"/>
              </w:rPr>
              <w:t>0.2%</w:t>
            </w:r>
          </w:p>
        </w:tc>
        <w:tc>
          <w:tcPr>
            <w:tcW w:w="1160" w:type="dxa"/>
            <w:shd w:val="clear" w:color="auto" w:fill="auto"/>
            <w:tcMar>
              <w:top w:w="40" w:type="dxa"/>
              <w:left w:w="80" w:type="dxa"/>
              <w:bottom w:w="60" w:type="dxa"/>
              <w:right w:w="40" w:type="dxa"/>
            </w:tcMar>
          </w:tcPr>
          <w:p w14:paraId="6E8CF60F" w14:textId="77777777" w:rsidR="00D31EA2" w:rsidRDefault="00D31EA2" w:rsidP="00410442">
            <w:pPr>
              <w:rPr>
                <w:rFonts w:ascii="Arial" w:hAnsi="Arial" w:cs="Arial"/>
                <w:color w:val="000000"/>
                <w:sz w:val="18"/>
                <w:szCs w:val="18"/>
              </w:rPr>
            </w:pPr>
            <w:r>
              <w:rPr>
                <w:rFonts w:ascii="Arial" w:hAnsi="Arial" w:cs="Arial"/>
                <w:color w:val="000000"/>
                <w:sz w:val="18"/>
                <w:szCs w:val="18"/>
              </w:rPr>
              <w:t>0.2%</w:t>
            </w:r>
          </w:p>
        </w:tc>
      </w:tr>
      <w:tr w:rsidR="00D31EA2" w14:paraId="1EF28F3E" w14:textId="77777777" w:rsidTr="00311585">
        <w:trPr>
          <w:cantSplit/>
          <w:trHeight w:val="240"/>
        </w:trPr>
        <w:tc>
          <w:tcPr>
            <w:tcW w:w="2964" w:type="dxa"/>
            <w:vMerge/>
            <w:tcMar>
              <w:top w:w="40" w:type="dxa"/>
              <w:left w:w="120" w:type="dxa"/>
              <w:bottom w:w="40" w:type="dxa"/>
              <w:right w:w="40" w:type="dxa"/>
            </w:tcMar>
          </w:tcPr>
          <w:p w14:paraId="1849E464" w14:textId="77777777" w:rsidR="00D31EA2" w:rsidRPr="00AA148D" w:rsidRDefault="00D31EA2" w:rsidP="00410442">
            <w:pPr>
              <w:rPr>
                <w:rFonts w:ascii="Arial" w:hAnsi="Arial" w:cs="Arial"/>
                <w:sz w:val="18"/>
                <w:szCs w:val="18"/>
              </w:rPr>
            </w:pPr>
          </w:p>
        </w:tc>
        <w:tc>
          <w:tcPr>
            <w:tcW w:w="2540" w:type="dxa"/>
            <w:shd w:val="clear" w:color="auto" w:fill="auto"/>
            <w:tcMar>
              <w:top w:w="40" w:type="dxa"/>
              <w:left w:w="80" w:type="dxa"/>
              <w:bottom w:w="40" w:type="dxa"/>
              <w:right w:w="40" w:type="dxa"/>
            </w:tcMar>
          </w:tcPr>
          <w:p w14:paraId="65CB87A0" w14:textId="77777777" w:rsidR="00D31EA2" w:rsidRDefault="00D31EA2" w:rsidP="00410442">
            <w:pPr>
              <w:rPr>
                <w:rFonts w:ascii="Arial" w:hAnsi="Arial" w:cs="Arial"/>
                <w:color w:val="000000"/>
                <w:sz w:val="18"/>
                <w:szCs w:val="18"/>
              </w:rPr>
            </w:pPr>
            <w:r>
              <w:rPr>
                <w:rFonts w:ascii="Arial" w:hAnsi="Arial" w:cs="Arial"/>
                <w:color w:val="000000"/>
                <w:sz w:val="18"/>
                <w:szCs w:val="18"/>
              </w:rPr>
              <w:t>Cantonese</w:t>
            </w:r>
          </w:p>
        </w:tc>
        <w:tc>
          <w:tcPr>
            <w:tcW w:w="1159" w:type="dxa"/>
            <w:tcMar>
              <w:top w:w="43" w:type="dxa"/>
              <w:left w:w="86" w:type="dxa"/>
              <w:bottom w:w="58" w:type="dxa"/>
              <w:right w:w="43" w:type="dxa"/>
            </w:tcMar>
          </w:tcPr>
          <w:p w14:paraId="4C1EE0E9" w14:textId="77777777" w:rsidR="00D31EA2" w:rsidRDefault="00D31EA2" w:rsidP="00410442">
            <w:pPr>
              <w:rPr>
                <w:rFonts w:ascii="Arial" w:hAnsi="Arial" w:cs="Arial"/>
                <w:color w:val="000000"/>
                <w:sz w:val="18"/>
                <w:szCs w:val="18"/>
              </w:rPr>
            </w:pPr>
            <w:r>
              <w:rPr>
                <w:rFonts w:ascii="Arial" w:hAnsi="Arial" w:cs="Arial"/>
                <w:color w:val="000000"/>
                <w:sz w:val="18"/>
                <w:szCs w:val="18"/>
              </w:rPr>
              <w:t>0.2%</w:t>
            </w:r>
          </w:p>
        </w:tc>
        <w:tc>
          <w:tcPr>
            <w:tcW w:w="1160" w:type="dxa"/>
            <w:tcMar>
              <w:top w:w="43" w:type="dxa"/>
              <w:left w:w="86" w:type="dxa"/>
              <w:bottom w:w="58" w:type="dxa"/>
              <w:right w:w="43" w:type="dxa"/>
            </w:tcMar>
          </w:tcPr>
          <w:p w14:paraId="57A7380A" w14:textId="77777777" w:rsidR="00D31EA2" w:rsidRDefault="00D31EA2" w:rsidP="00410442">
            <w:pPr>
              <w:rPr>
                <w:rFonts w:ascii="Arial" w:hAnsi="Arial" w:cs="Arial"/>
                <w:color w:val="000000"/>
                <w:sz w:val="18"/>
                <w:szCs w:val="18"/>
              </w:rPr>
            </w:pPr>
            <w:r>
              <w:rPr>
                <w:rFonts w:ascii="Arial" w:hAnsi="Arial" w:cs="Arial"/>
                <w:color w:val="000000"/>
                <w:sz w:val="18"/>
                <w:szCs w:val="18"/>
              </w:rPr>
              <w:t>0.1%</w:t>
            </w:r>
          </w:p>
        </w:tc>
        <w:tc>
          <w:tcPr>
            <w:tcW w:w="1160" w:type="dxa"/>
            <w:shd w:val="clear" w:color="auto" w:fill="auto"/>
            <w:tcMar>
              <w:top w:w="40" w:type="dxa"/>
              <w:left w:w="80" w:type="dxa"/>
              <w:bottom w:w="60" w:type="dxa"/>
              <w:right w:w="40" w:type="dxa"/>
            </w:tcMar>
          </w:tcPr>
          <w:p w14:paraId="451DB8F7" w14:textId="77777777" w:rsidR="00D31EA2" w:rsidRDefault="00D31EA2" w:rsidP="00410442">
            <w:pPr>
              <w:rPr>
                <w:rFonts w:ascii="Arial" w:hAnsi="Arial" w:cs="Arial"/>
                <w:color w:val="000000"/>
                <w:sz w:val="18"/>
                <w:szCs w:val="18"/>
              </w:rPr>
            </w:pPr>
            <w:r>
              <w:rPr>
                <w:rFonts w:ascii="Arial" w:hAnsi="Arial" w:cs="Arial"/>
                <w:color w:val="000000"/>
                <w:sz w:val="18"/>
                <w:szCs w:val="18"/>
              </w:rPr>
              <w:t>0.1%</w:t>
            </w:r>
          </w:p>
        </w:tc>
        <w:tc>
          <w:tcPr>
            <w:tcW w:w="1160" w:type="dxa"/>
            <w:shd w:val="clear" w:color="auto" w:fill="auto"/>
            <w:tcMar>
              <w:top w:w="40" w:type="dxa"/>
              <w:left w:w="80" w:type="dxa"/>
              <w:bottom w:w="60" w:type="dxa"/>
              <w:right w:w="40" w:type="dxa"/>
            </w:tcMar>
          </w:tcPr>
          <w:p w14:paraId="204DB3B3" w14:textId="77777777" w:rsidR="00D31EA2" w:rsidRDefault="00D31EA2" w:rsidP="00410442">
            <w:pPr>
              <w:rPr>
                <w:rFonts w:ascii="Arial" w:hAnsi="Arial" w:cs="Arial"/>
                <w:color w:val="000000"/>
                <w:sz w:val="18"/>
                <w:szCs w:val="18"/>
              </w:rPr>
            </w:pPr>
            <w:r>
              <w:rPr>
                <w:rFonts w:ascii="Arial" w:hAnsi="Arial" w:cs="Arial"/>
                <w:color w:val="000000"/>
                <w:sz w:val="18"/>
                <w:szCs w:val="18"/>
              </w:rPr>
              <w:t>0.1%</w:t>
            </w:r>
          </w:p>
        </w:tc>
        <w:tc>
          <w:tcPr>
            <w:tcW w:w="1160" w:type="dxa"/>
            <w:shd w:val="clear" w:color="auto" w:fill="auto"/>
            <w:tcMar>
              <w:top w:w="40" w:type="dxa"/>
              <w:left w:w="80" w:type="dxa"/>
              <w:bottom w:w="60" w:type="dxa"/>
              <w:right w:w="40" w:type="dxa"/>
            </w:tcMar>
          </w:tcPr>
          <w:p w14:paraId="5FF396F1" w14:textId="77777777" w:rsidR="00D31EA2" w:rsidRDefault="00D31EA2" w:rsidP="00410442">
            <w:pPr>
              <w:rPr>
                <w:rFonts w:ascii="Arial" w:hAnsi="Arial" w:cs="Arial"/>
                <w:color w:val="000000"/>
                <w:sz w:val="18"/>
                <w:szCs w:val="18"/>
              </w:rPr>
            </w:pPr>
            <w:r>
              <w:rPr>
                <w:rFonts w:ascii="Arial" w:hAnsi="Arial" w:cs="Arial"/>
                <w:color w:val="000000"/>
                <w:sz w:val="18"/>
                <w:szCs w:val="18"/>
              </w:rPr>
              <w:t>0.1%</w:t>
            </w:r>
          </w:p>
        </w:tc>
      </w:tr>
      <w:tr w:rsidR="00D31EA2" w14:paraId="3888A891" w14:textId="77777777" w:rsidTr="00311585">
        <w:trPr>
          <w:cantSplit/>
          <w:trHeight w:val="240"/>
        </w:trPr>
        <w:tc>
          <w:tcPr>
            <w:tcW w:w="2964" w:type="dxa"/>
            <w:vMerge/>
            <w:tcMar>
              <w:top w:w="40" w:type="dxa"/>
              <w:left w:w="120" w:type="dxa"/>
              <w:bottom w:w="40" w:type="dxa"/>
              <w:right w:w="40" w:type="dxa"/>
            </w:tcMar>
          </w:tcPr>
          <w:p w14:paraId="5A6E0262" w14:textId="77777777" w:rsidR="00D31EA2" w:rsidRPr="00AA148D" w:rsidRDefault="00D31EA2" w:rsidP="00410442">
            <w:pPr>
              <w:rPr>
                <w:rFonts w:ascii="Arial" w:hAnsi="Arial" w:cs="Arial"/>
                <w:sz w:val="18"/>
                <w:szCs w:val="18"/>
              </w:rPr>
            </w:pPr>
          </w:p>
        </w:tc>
        <w:tc>
          <w:tcPr>
            <w:tcW w:w="2540" w:type="dxa"/>
            <w:shd w:val="clear" w:color="auto" w:fill="auto"/>
            <w:tcMar>
              <w:top w:w="40" w:type="dxa"/>
              <w:left w:w="80" w:type="dxa"/>
              <w:bottom w:w="40" w:type="dxa"/>
              <w:right w:w="40" w:type="dxa"/>
            </w:tcMar>
          </w:tcPr>
          <w:p w14:paraId="495E40AB" w14:textId="77777777" w:rsidR="00D31EA2" w:rsidRDefault="00D31EA2" w:rsidP="00410442">
            <w:pPr>
              <w:rPr>
                <w:rFonts w:ascii="Arial" w:hAnsi="Arial" w:cs="Arial"/>
                <w:color w:val="000000"/>
                <w:sz w:val="18"/>
                <w:szCs w:val="18"/>
              </w:rPr>
            </w:pPr>
            <w:r>
              <w:rPr>
                <w:rFonts w:ascii="Arial" w:hAnsi="Arial" w:cs="Arial"/>
                <w:color w:val="000000"/>
                <w:sz w:val="18"/>
                <w:szCs w:val="18"/>
              </w:rPr>
              <w:t>Spanish</w:t>
            </w:r>
          </w:p>
        </w:tc>
        <w:tc>
          <w:tcPr>
            <w:tcW w:w="1159" w:type="dxa"/>
            <w:tcMar>
              <w:top w:w="43" w:type="dxa"/>
              <w:left w:w="86" w:type="dxa"/>
              <w:bottom w:w="58" w:type="dxa"/>
              <w:right w:w="43" w:type="dxa"/>
            </w:tcMar>
          </w:tcPr>
          <w:p w14:paraId="3FE3BC82" w14:textId="77777777" w:rsidR="00D31EA2" w:rsidRDefault="00D31EA2" w:rsidP="00410442">
            <w:pPr>
              <w:rPr>
                <w:rFonts w:ascii="Arial" w:hAnsi="Arial" w:cs="Arial"/>
                <w:color w:val="000000"/>
                <w:sz w:val="18"/>
                <w:szCs w:val="18"/>
              </w:rPr>
            </w:pPr>
            <w:r>
              <w:rPr>
                <w:rFonts w:ascii="Arial" w:hAnsi="Arial" w:cs="Arial"/>
                <w:color w:val="000000"/>
                <w:sz w:val="18"/>
                <w:szCs w:val="18"/>
              </w:rPr>
              <w:t>0.1%</w:t>
            </w:r>
          </w:p>
        </w:tc>
        <w:tc>
          <w:tcPr>
            <w:tcW w:w="1160" w:type="dxa"/>
            <w:tcMar>
              <w:top w:w="43" w:type="dxa"/>
              <w:left w:w="86" w:type="dxa"/>
              <w:bottom w:w="58" w:type="dxa"/>
              <w:right w:w="43" w:type="dxa"/>
            </w:tcMar>
          </w:tcPr>
          <w:p w14:paraId="1EC39FA5" w14:textId="77777777" w:rsidR="00D31EA2" w:rsidRDefault="00D31EA2" w:rsidP="00410442">
            <w:pPr>
              <w:rPr>
                <w:rFonts w:ascii="Arial" w:hAnsi="Arial" w:cs="Arial"/>
                <w:color w:val="000000"/>
                <w:sz w:val="18"/>
                <w:szCs w:val="18"/>
              </w:rPr>
            </w:pPr>
            <w:r>
              <w:rPr>
                <w:rFonts w:ascii="Arial" w:hAnsi="Arial" w:cs="Arial"/>
                <w:color w:val="000000"/>
                <w:sz w:val="18"/>
                <w:szCs w:val="18"/>
              </w:rPr>
              <w:t>0.1%</w:t>
            </w:r>
          </w:p>
        </w:tc>
        <w:tc>
          <w:tcPr>
            <w:tcW w:w="1160" w:type="dxa"/>
            <w:shd w:val="clear" w:color="auto" w:fill="auto"/>
            <w:tcMar>
              <w:top w:w="40" w:type="dxa"/>
              <w:left w:w="80" w:type="dxa"/>
              <w:bottom w:w="60" w:type="dxa"/>
              <w:right w:w="40" w:type="dxa"/>
            </w:tcMar>
          </w:tcPr>
          <w:p w14:paraId="51D03D4E" w14:textId="77777777" w:rsidR="00D31EA2" w:rsidRDefault="00D31EA2" w:rsidP="00410442">
            <w:pPr>
              <w:rPr>
                <w:rFonts w:ascii="Arial" w:hAnsi="Arial" w:cs="Arial"/>
                <w:color w:val="000000"/>
                <w:sz w:val="18"/>
                <w:szCs w:val="18"/>
              </w:rPr>
            </w:pPr>
            <w:r>
              <w:rPr>
                <w:rFonts w:ascii="Arial" w:hAnsi="Arial" w:cs="Arial"/>
                <w:color w:val="000000"/>
                <w:sz w:val="18"/>
                <w:szCs w:val="18"/>
              </w:rPr>
              <w:t>0.1%</w:t>
            </w:r>
          </w:p>
        </w:tc>
        <w:tc>
          <w:tcPr>
            <w:tcW w:w="1160" w:type="dxa"/>
            <w:shd w:val="clear" w:color="auto" w:fill="auto"/>
            <w:tcMar>
              <w:top w:w="40" w:type="dxa"/>
              <w:left w:w="80" w:type="dxa"/>
              <w:bottom w:w="60" w:type="dxa"/>
              <w:right w:w="40" w:type="dxa"/>
            </w:tcMar>
          </w:tcPr>
          <w:p w14:paraId="3CCCB44D" w14:textId="77777777" w:rsidR="00D31EA2" w:rsidRDefault="00D31EA2" w:rsidP="00410442">
            <w:pPr>
              <w:rPr>
                <w:rFonts w:ascii="Arial" w:hAnsi="Arial" w:cs="Arial"/>
                <w:color w:val="000000"/>
                <w:sz w:val="18"/>
                <w:szCs w:val="18"/>
              </w:rPr>
            </w:pPr>
            <w:r>
              <w:rPr>
                <w:rFonts w:ascii="Arial" w:hAnsi="Arial" w:cs="Arial"/>
                <w:color w:val="000000"/>
                <w:sz w:val="18"/>
                <w:szCs w:val="18"/>
              </w:rPr>
              <w:t>0.1%</w:t>
            </w:r>
          </w:p>
        </w:tc>
        <w:tc>
          <w:tcPr>
            <w:tcW w:w="1160" w:type="dxa"/>
            <w:shd w:val="clear" w:color="auto" w:fill="auto"/>
            <w:tcMar>
              <w:top w:w="40" w:type="dxa"/>
              <w:left w:w="80" w:type="dxa"/>
              <w:bottom w:w="60" w:type="dxa"/>
              <w:right w:w="40" w:type="dxa"/>
            </w:tcMar>
          </w:tcPr>
          <w:p w14:paraId="142DB515" w14:textId="77777777" w:rsidR="00D31EA2" w:rsidRDefault="00D31EA2" w:rsidP="00410442">
            <w:pPr>
              <w:rPr>
                <w:rFonts w:ascii="Arial" w:hAnsi="Arial" w:cs="Arial"/>
                <w:color w:val="000000"/>
                <w:sz w:val="18"/>
                <w:szCs w:val="18"/>
              </w:rPr>
            </w:pPr>
            <w:r>
              <w:rPr>
                <w:rFonts w:ascii="Arial" w:hAnsi="Arial" w:cs="Arial"/>
                <w:color w:val="000000"/>
                <w:sz w:val="18"/>
                <w:szCs w:val="18"/>
              </w:rPr>
              <w:t>0.1%</w:t>
            </w:r>
          </w:p>
        </w:tc>
      </w:tr>
    </w:tbl>
    <w:p w14:paraId="0FFDB8E1" w14:textId="77777777" w:rsidR="00D31EA2" w:rsidRDefault="00D31EA2" w:rsidP="00157535">
      <w:pPr>
        <w:pStyle w:val="DHHSbodynospace"/>
      </w:pPr>
    </w:p>
    <w:tbl>
      <w:tblPr>
        <w:tblW w:w="0" w:type="auto"/>
        <w:tblBorders>
          <w:top w:val="single" w:sz="8" w:space="0" w:color="004EA8"/>
          <w:left w:val="single" w:sz="8" w:space="0" w:color="004EA8"/>
          <w:bottom w:val="single" w:sz="8" w:space="0" w:color="004EA8"/>
          <w:right w:val="single" w:sz="8" w:space="0" w:color="004EA8"/>
          <w:insideH w:val="single" w:sz="8" w:space="0" w:color="004EA8"/>
          <w:insideV w:val="single" w:sz="8" w:space="0" w:color="004EA8"/>
        </w:tblBorders>
        <w:tblCellMar>
          <w:left w:w="0" w:type="dxa"/>
          <w:right w:w="0" w:type="dxa"/>
        </w:tblCellMar>
        <w:tblLook w:val="0000" w:firstRow="0" w:lastRow="0" w:firstColumn="0" w:lastColumn="0" w:noHBand="0" w:noVBand="0"/>
      </w:tblPr>
      <w:tblGrid>
        <w:gridCol w:w="2229"/>
        <w:gridCol w:w="2142"/>
        <w:gridCol w:w="983"/>
        <w:gridCol w:w="984"/>
        <w:gridCol w:w="980"/>
        <w:gridCol w:w="980"/>
        <w:gridCol w:w="980"/>
      </w:tblGrid>
      <w:tr w:rsidR="00D31EA2" w14:paraId="5A26D359" w14:textId="77777777" w:rsidTr="0057146C">
        <w:trPr>
          <w:trHeight w:val="279"/>
          <w:tblHeader/>
        </w:trPr>
        <w:tc>
          <w:tcPr>
            <w:tcW w:w="2229" w:type="dxa"/>
            <w:shd w:val="clear" w:color="auto" w:fill="004EA8"/>
            <w:tcMar>
              <w:top w:w="40" w:type="dxa"/>
              <w:left w:w="80" w:type="dxa"/>
              <w:bottom w:w="40" w:type="dxa"/>
              <w:right w:w="40" w:type="dxa"/>
            </w:tcMar>
            <w:vAlign w:val="center"/>
          </w:tcPr>
          <w:p w14:paraId="0FEC763A" w14:textId="77777777" w:rsidR="00D31EA2" w:rsidRPr="00B33889" w:rsidRDefault="00D31EA2" w:rsidP="00410442">
            <w:pPr>
              <w:rPr>
                <w:rFonts w:ascii="Arial" w:hAnsi="Arial" w:cs="Arial"/>
              </w:rPr>
            </w:pPr>
            <w:r w:rsidRPr="00B33889">
              <w:rPr>
                <w:rFonts w:ascii="Arial" w:eastAsia="Verdana" w:hAnsi="Arial" w:cs="Arial"/>
                <w:b/>
                <w:color w:val="FFFFFF"/>
                <w:sz w:val="18"/>
              </w:rPr>
              <w:t>Treatment</w:t>
            </w:r>
          </w:p>
        </w:tc>
        <w:tc>
          <w:tcPr>
            <w:tcW w:w="2142" w:type="dxa"/>
            <w:shd w:val="clear" w:color="auto" w:fill="004EA8"/>
            <w:tcMar>
              <w:top w:w="40" w:type="dxa"/>
              <w:left w:w="80" w:type="dxa"/>
              <w:bottom w:w="40" w:type="dxa"/>
              <w:right w:w="40" w:type="dxa"/>
            </w:tcMar>
            <w:vAlign w:val="center"/>
          </w:tcPr>
          <w:p w14:paraId="7D804816" w14:textId="5D2442E0" w:rsidR="00D31EA2" w:rsidRPr="00B33889" w:rsidRDefault="00C84B40" w:rsidP="00410442">
            <w:pPr>
              <w:rPr>
                <w:rFonts w:ascii="Arial" w:hAnsi="Arial" w:cs="Arial"/>
              </w:rPr>
            </w:pPr>
            <w:r>
              <w:rPr>
                <w:rFonts w:ascii="Arial" w:eastAsia="Verdana" w:hAnsi="Arial" w:cs="Arial"/>
                <w:b/>
                <w:color w:val="FFFFFF"/>
                <w:sz w:val="18"/>
              </w:rPr>
              <w:t>Cohort</w:t>
            </w:r>
            <w:r w:rsidR="00D31EA2" w:rsidRPr="00B33889">
              <w:rPr>
                <w:rFonts w:ascii="Arial" w:eastAsia="Verdana" w:hAnsi="Arial" w:cs="Arial"/>
                <w:b/>
                <w:color w:val="FFFFFF"/>
                <w:sz w:val="18"/>
              </w:rPr>
              <w:t xml:space="preserve"> </w:t>
            </w:r>
          </w:p>
        </w:tc>
        <w:tc>
          <w:tcPr>
            <w:tcW w:w="983" w:type="dxa"/>
            <w:shd w:val="clear" w:color="auto" w:fill="004EA8"/>
            <w:vAlign w:val="center"/>
          </w:tcPr>
          <w:p w14:paraId="3D5A7CF6" w14:textId="77777777" w:rsidR="00D31EA2" w:rsidRDefault="00D31EA2" w:rsidP="00410442">
            <w:pPr>
              <w:rPr>
                <w:rFonts w:ascii="Arial" w:hAnsi="Arial" w:cs="Arial"/>
                <w:b/>
                <w:bCs/>
                <w:color w:val="FFFFFF"/>
                <w:sz w:val="18"/>
                <w:szCs w:val="18"/>
                <w:lang w:eastAsia="en-AU"/>
              </w:rPr>
            </w:pPr>
            <w:r>
              <w:rPr>
                <w:rFonts w:ascii="Arial" w:hAnsi="Arial" w:cs="Arial"/>
                <w:b/>
                <w:bCs/>
                <w:color w:val="FFFFFF"/>
                <w:sz w:val="18"/>
                <w:szCs w:val="18"/>
              </w:rPr>
              <w:t>2015–16</w:t>
            </w:r>
          </w:p>
        </w:tc>
        <w:tc>
          <w:tcPr>
            <w:tcW w:w="984" w:type="dxa"/>
            <w:shd w:val="clear" w:color="auto" w:fill="004EA8"/>
            <w:vAlign w:val="center"/>
          </w:tcPr>
          <w:p w14:paraId="5378C4B4"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2016–17</w:t>
            </w:r>
          </w:p>
        </w:tc>
        <w:tc>
          <w:tcPr>
            <w:tcW w:w="980" w:type="dxa"/>
            <w:shd w:val="clear" w:color="auto" w:fill="004EA8"/>
            <w:tcMar>
              <w:top w:w="40" w:type="dxa"/>
              <w:left w:w="80" w:type="dxa"/>
              <w:bottom w:w="60" w:type="dxa"/>
              <w:right w:w="40" w:type="dxa"/>
            </w:tcMar>
            <w:vAlign w:val="center"/>
          </w:tcPr>
          <w:p w14:paraId="5B1F1757"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2017–18</w:t>
            </w:r>
          </w:p>
        </w:tc>
        <w:tc>
          <w:tcPr>
            <w:tcW w:w="980" w:type="dxa"/>
            <w:shd w:val="clear" w:color="auto" w:fill="004EA8"/>
            <w:tcMar>
              <w:top w:w="40" w:type="dxa"/>
              <w:left w:w="80" w:type="dxa"/>
              <w:bottom w:w="60" w:type="dxa"/>
              <w:right w:w="40" w:type="dxa"/>
            </w:tcMar>
            <w:vAlign w:val="center"/>
          </w:tcPr>
          <w:p w14:paraId="52CF384D"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2018–19</w:t>
            </w:r>
          </w:p>
        </w:tc>
        <w:tc>
          <w:tcPr>
            <w:tcW w:w="980" w:type="dxa"/>
            <w:shd w:val="clear" w:color="auto" w:fill="004EA8"/>
            <w:tcMar>
              <w:top w:w="40" w:type="dxa"/>
              <w:left w:w="80" w:type="dxa"/>
              <w:bottom w:w="60" w:type="dxa"/>
              <w:right w:w="40" w:type="dxa"/>
            </w:tcMar>
            <w:vAlign w:val="center"/>
          </w:tcPr>
          <w:p w14:paraId="72AFB7B0"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2019–20</w:t>
            </w:r>
          </w:p>
        </w:tc>
      </w:tr>
      <w:tr w:rsidR="00D31EA2" w14:paraId="5A374803" w14:textId="77777777" w:rsidTr="0057146C">
        <w:trPr>
          <w:trHeight w:val="240"/>
        </w:trPr>
        <w:tc>
          <w:tcPr>
            <w:tcW w:w="2229" w:type="dxa"/>
            <w:vMerge w:val="restart"/>
            <w:tcMar>
              <w:top w:w="40" w:type="dxa"/>
              <w:left w:w="120" w:type="dxa"/>
              <w:bottom w:w="40" w:type="dxa"/>
              <w:right w:w="40" w:type="dxa"/>
            </w:tcMar>
          </w:tcPr>
          <w:p w14:paraId="1E86D347" w14:textId="7F836AA9"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Consumers accessing clinical mental health services</w:t>
            </w:r>
            <w:r w:rsidRPr="00AA148D">
              <w:rPr>
                <w:rFonts w:ascii="Arial" w:eastAsia="Verdana" w:hAnsi="Arial" w:cs="Arial"/>
                <w:color w:val="000000"/>
                <w:sz w:val="18"/>
                <w:szCs w:val="18"/>
                <w:vertAlign w:val="superscript"/>
              </w:rPr>
              <w:t>†</w:t>
            </w:r>
            <w:r w:rsidRPr="00AA148D">
              <w:rPr>
                <w:rFonts w:ascii="Arial" w:eastAsia="Verdana" w:hAnsi="Arial" w:cs="Arial"/>
                <w:color w:val="000000"/>
                <w:sz w:val="18"/>
                <w:szCs w:val="18"/>
              </w:rPr>
              <w:t xml:space="preserve"> </w:t>
            </w:r>
            <w:r w:rsidRPr="00AA148D">
              <w:rPr>
                <w:rFonts w:ascii="Arial" w:eastAsia="Verdana" w:hAnsi="Arial" w:cs="Arial"/>
                <w:color w:val="000000"/>
                <w:sz w:val="18"/>
                <w:szCs w:val="18"/>
                <w:vertAlign w:val="superscript"/>
              </w:rPr>
              <w:t>‡</w:t>
            </w:r>
            <w:r w:rsidR="002841BD">
              <w:rPr>
                <w:rFonts w:ascii="Arial" w:eastAsia="Verdana" w:hAnsi="Arial" w:cs="Arial"/>
                <w:color w:val="000000"/>
                <w:sz w:val="18"/>
                <w:szCs w:val="18"/>
                <w:vertAlign w:val="superscript"/>
              </w:rPr>
              <w:t xml:space="preserve"> ^</w:t>
            </w:r>
          </w:p>
        </w:tc>
        <w:tc>
          <w:tcPr>
            <w:tcW w:w="2142" w:type="dxa"/>
            <w:tcMar>
              <w:top w:w="40" w:type="dxa"/>
              <w:left w:w="80" w:type="dxa"/>
              <w:bottom w:w="40" w:type="dxa"/>
              <w:right w:w="40" w:type="dxa"/>
            </w:tcMar>
          </w:tcPr>
          <w:p w14:paraId="35640B62"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Adult</w:t>
            </w:r>
          </w:p>
        </w:tc>
        <w:tc>
          <w:tcPr>
            <w:tcW w:w="983" w:type="dxa"/>
            <w:tcMar>
              <w:top w:w="43" w:type="dxa"/>
              <w:left w:w="86" w:type="dxa"/>
              <w:bottom w:w="58" w:type="dxa"/>
              <w:right w:w="43" w:type="dxa"/>
            </w:tcMar>
          </w:tcPr>
          <w:p w14:paraId="5A15781B" w14:textId="77777777" w:rsidR="00D31EA2" w:rsidRDefault="00D31EA2" w:rsidP="00410442">
            <w:pPr>
              <w:rPr>
                <w:rFonts w:ascii="Arial" w:hAnsi="Arial" w:cs="Arial"/>
                <w:color w:val="000000"/>
                <w:sz w:val="18"/>
                <w:szCs w:val="18"/>
              </w:rPr>
            </w:pPr>
            <w:r>
              <w:rPr>
                <w:rFonts w:ascii="Arial" w:hAnsi="Arial" w:cs="Arial"/>
                <w:color w:val="000000"/>
                <w:sz w:val="18"/>
                <w:szCs w:val="18"/>
              </w:rPr>
              <w:t>52,729</w:t>
            </w:r>
          </w:p>
        </w:tc>
        <w:tc>
          <w:tcPr>
            <w:tcW w:w="984" w:type="dxa"/>
            <w:tcMar>
              <w:top w:w="43" w:type="dxa"/>
              <w:left w:w="86" w:type="dxa"/>
              <w:bottom w:w="58" w:type="dxa"/>
              <w:right w:w="43" w:type="dxa"/>
            </w:tcMar>
          </w:tcPr>
          <w:p w14:paraId="04AD84EB" w14:textId="77777777" w:rsidR="00D31EA2" w:rsidRDefault="00D31EA2" w:rsidP="00410442">
            <w:pPr>
              <w:rPr>
                <w:rFonts w:ascii="Arial" w:hAnsi="Arial" w:cs="Arial"/>
                <w:color w:val="000000"/>
                <w:sz w:val="18"/>
                <w:szCs w:val="18"/>
              </w:rPr>
            </w:pPr>
            <w:r>
              <w:rPr>
                <w:rFonts w:ascii="Arial" w:hAnsi="Arial" w:cs="Arial"/>
                <w:color w:val="000000"/>
                <w:sz w:val="18"/>
                <w:szCs w:val="18"/>
              </w:rPr>
              <w:t>51,790</w:t>
            </w:r>
          </w:p>
        </w:tc>
        <w:tc>
          <w:tcPr>
            <w:tcW w:w="980" w:type="dxa"/>
            <w:tcMar>
              <w:top w:w="40" w:type="dxa"/>
              <w:left w:w="80" w:type="dxa"/>
              <w:bottom w:w="60" w:type="dxa"/>
              <w:right w:w="40" w:type="dxa"/>
            </w:tcMar>
          </w:tcPr>
          <w:p w14:paraId="0FD0EE6F" w14:textId="77777777" w:rsidR="00D31EA2" w:rsidRDefault="00D31EA2" w:rsidP="00410442">
            <w:pPr>
              <w:rPr>
                <w:rFonts w:ascii="Arial" w:hAnsi="Arial" w:cs="Arial"/>
                <w:color w:val="000000"/>
                <w:sz w:val="18"/>
                <w:szCs w:val="18"/>
              </w:rPr>
            </w:pPr>
            <w:r>
              <w:rPr>
                <w:rFonts w:ascii="Arial" w:hAnsi="Arial" w:cs="Arial"/>
                <w:color w:val="000000"/>
                <w:sz w:val="18"/>
                <w:szCs w:val="18"/>
              </w:rPr>
              <w:t>57,642</w:t>
            </w:r>
          </w:p>
        </w:tc>
        <w:tc>
          <w:tcPr>
            <w:tcW w:w="980" w:type="dxa"/>
            <w:tcMar>
              <w:top w:w="40" w:type="dxa"/>
              <w:left w:w="80" w:type="dxa"/>
              <w:bottom w:w="60" w:type="dxa"/>
              <w:right w:w="40" w:type="dxa"/>
            </w:tcMar>
          </w:tcPr>
          <w:p w14:paraId="5D57E19A" w14:textId="77777777" w:rsidR="00D31EA2" w:rsidRDefault="00D31EA2" w:rsidP="00410442">
            <w:pPr>
              <w:rPr>
                <w:rFonts w:ascii="Arial" w:hAnsi="Arial" w:cs="Arial"/>
                <w:color w:val="000000"/>
                <w:sz w:val="18"/>
                <w:szCs w:val="18"/>
              </w:rPr>
            </w:pPr>
            <w:r>
              <w:rPr>
                <w:rFonts w:ascii="Arial" w:hAnsi="Arial" w:cs="Arial"/>
                <w:color w:val="000000"/>
                <w:sz w:val="18"/>
                <w:szCs w:val="18"/>
              </w:rPr>
              <w:t>59,650</w:t>
            </w:r>
          </w:p>
        </w:tc>
        <w:tc>
          <w:tcPr>
            <w:tcW w:w="980" w:type="dxa"/>
            <w:tcMar>
              <w:top w:w="40" w:type="dxa"/>
              <w:left w:w="80" w:type="dxa"/>
              <w:bottom w:w="60" w:type="dxa"/>
              <w:right w:w="40" w:type="dxa"/>
            </w:tcMar>
          </w:tcPr>
          <w:p w14:paraId="0F76C384" w14:textId="77777777" w:rsidR="00D31EA2" w:rsidRDefault="00D31EA2" w:rsidP="00410442">
            <w:pPr>
              <w:rPr>
                <w:rFonts w:ascii="Arial" w:hAnsi="Arial" w:cs="Arial"/>
                <w:color w:val="000000"/>
                <w:sz w:val="18"/>
                <w:szCs w:val="18"/>
              </w:rPr>
            </w:pPr>
            <w:r>
              <w:rPr>
                <w:rFonts w:ascii="Arial" w:hAnsi="Arial" w:cs="Arial"/>
                <w:color w:val="000000"/>
                <w:sz w:val="18"/>
                <w:szCs w:val="18"/>
              </w:rPr>
              <w:t>61,101</w:t>
            </w:r>
          </w:p>
        </w:tc>
      </w:tr>
      <w:tr w:rsidR="00D31EA2" w14:paraId="182FA5B5" w14:textId="77777777" w:rsidTr="0057146C">
        <w:trPr>
          <w:trHeight w:val="240"/>
        </w:trPr>
        <w:tc>
          <w:tcPr>
            <w:tcW w:w="2229" w:type="dxa"/>
            <w:vMerge/>
            <w:tcMar>
              <w:top w:w="40" w:type="dxa"/>
              <w:left w:w="120" w:type="dxa"/>
              <w:bottom w:w="40" w:type="dxa"/>
              <w:right w:w="40" w:type="dxa"/>
            </w:tcMar>
          </w:tcPr>
          <w:p w14:paraId="15D2899D" w14:textId="77777777" w:rsidR="00D31EA2" w:rsidRPr="00AA148D" w:rsidRDefault="00D31EA2" w:rsidP="00410442">
            <w:pPr>
              <w:rPr>
                <w:rFonts w:ascii="Arial" w:hAnsi="Arial" w:cs="Arial"/>
                <w:sz w:val="18"/>
                <w:szCs w:val="18"/>
              </w:rPr>
            </w:pPr>
          </w:p>
        </w:tc>
        <w:tc>
          <w:tcPr>
            <w:tcW w:w="2142" w:type="dxa"/>
            <w:tcMar>
              <w:top w:w="40" w:type="dxa"/>
              <w:left w:w="80" w:type="dxa"/>
              <w:bottom w:w="40" w:type="dxa"/>
              <w:right w:w="40" w:type="dxa"/>
            </w:tcMar>
          </w:tcPr>
          <w:p w14:paraId="48F5FC70"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Aged</w:t>
            </w:r>
          </w:p>
        </w:tc>
        <w:tc>
          <w:tcPr>
            <w:tcW w:w="983" w:type="dxa"/>
            <w:tcMar>
              <w:top w:w="43" w:type="dxa"/>
              <w:left w:w="86" w:type="dxa"/>
              <w:bottom w:w="58" w:type="dxa"/>
              <w:right w:w="43" w:type="dxa"/>
            </w:tcMar>
          </w:tcPr>
          <w:p w14:paraId="1FE23B91" w14:textId="77777777" w:rsidR="00D31EA2" w:rsidRDefault="00D31EA2" w:rsidP="00410442">
            <w:pPr>
              <w:rPr>
                <w:rFonts w:ascii="Arial" w:hAnsi="Arial" w:cs="Arial"/>
                <w:color w:val="000000"/>
                <w:sz w:val="18"/>
                <w:szCs w:val="18"/>
              </w:rPr>
            </w:pPr>
            <w:r>
              <w:rPr>
                <w:rFonts w:ascii="Arial" w:hAnsi="Arial" w:cs="Arial"/>
                <w:color w:val="000000"/>
                <w:sz w:val="18"/>
                <w:szCs w:val="18"/>
              </w:rPr>
              <w:t>8,065</w:t>
            </w:r>
          </w:p>
        </w:tc>
        <w:tc>
          <w:tcPr>
            <w:tcW w:w="984" w:type="dxa"/>
            <w:tcMar>
              <w:top w:w="43" w:type="dxa"/>
              <w:left w:w="86" w:type="dxa"/>
              <w:bottom w:w="58" w:type="dxa"/>
              <w:right w:w="43" w:type="dxa"/>
            </w:tcMar>
          </w:tcPr>
          <w:p w14:paraId="4513EC36" w14:textId="77777777" w:rsidR="00D31EA2" w:rsidRDefault="00D31EA2" w:rsidP="00410442">
            <w:pPr>
              <w:rPr>
                <w:rFonts w:ascii="Arial" w:hAnsi="Arial" w:cs="Arial"/>
                <w:color w:val="000000"/>
                <w:sz w:val="18"/>
                <w:szCs w:val="18"/>
              </w:rPr>
            </w:pPr>
            <w:r>
              <w:rPr>
                <w:rFonts w:ascii="Arial" w:hAnsi="Arial" w:cs="Arial"/>
                <w:color w:val="000000"/>
                <w:sz w:val="18"/>
                <w:szCs w:val="18"/>
              </w:rPr>
              <w:t>7,373</w:t>
            </w:r>
          </w:p>
        </w:tc>
        <w:tc>
          <w:tcPr>
            <w:tcW w:w="980" w:type="dxa"/>
            <w:tcMar>
              <w:top w:w="40" w:type="dxa"/>
              <w:left w:w="80" w:type="dxa"/>
              <w:bottom w:w="60" w:type="dxa"/>
              <w:right w:w="40" w:type="dxa"/>
            </w:tcMar>
          </w:tcPr>
          <w:p w14:paraId="2859B8D9" w14:textId="77777777" w:rsidR="00D31EA2" w:rsidRDefault="00D31EA2" w:rsidP="00410442">
            <w:pPr>
              <w:rPr>
                <w:rFonts w:ascii="Arial" w:hAnsi="Arial" w:cs="Arial"/>
                <w:color w:val="000000"/>
                <w:sz w:val="18"/>
                <w:szCs w:val="18"/>
              </w:rPr>
            </w:pPr>
            <w:r>
              <w:rPr>
                <w:rFonts w:ascii="Arial" w:hAnsi="Arial" w:cs="Arial"/>
                <w:color w:val="000000"/>
                <w:sz w:val="18"/>
                <w:szCs w:val="18"/>
              </w:rPr>
              <w:t>8,279</w:t>
            </w:r>
          </w:p>
        </w:tc>
        <w:tc>
          <w:tcPr>
            <w:tcW w:w="980" w:type="dxa"/>
            <w:tcMar>
              <w:top w:w="40" w:type="dxa"/>
              <w:left w:w="80" w:type="dxa"/>
              <w:bottom w:w="60" w:type="dxa"/>
              <w:right w:w="40" w:type="dxa"/>
            </w:tcMar>
          </w:tcPr>
          <w:p w14:paraId="15151F85" w14:textId="77777777" w:rsidR="00D31EA2" w:rsidRDefault="00D31EA2" w:rsidP="00410442">
            <w:pPr>
              <w:rPr>
                <w:rFonts w:ascii="Arial" w:hAnsi="Arial" w:cs="Arial"/>
                <w:color w:val="000000"/>
                <w:sz w:val="18"/>
                <w:szCs w:val="18"/>
              </w:rPr>
            </w:pPr>
            <w:r>
              <w:rPr>
                <w:rFonts w:ascii="Arial" w:hAnsi="Arial" w:cs="Arial"/>
                <w:color w:val="000000"/>
                <w:sz w:val="18"/>
                <w:szCs w:val="18"/>
              </w:rPr>
              <w:t>8,096</w:t>
            </w:r>
          </w:p>
        </w:tc>
        <w:tc>
          <w:tcPr>
            <w:tcW w:w="980" w:type="dxa"/>
            <w:tcMar>
              <w:top w:w="40" w:type="dxa"/>
              <w:left w:w="80" w:type="dxa"/>
              <w:bottom w:w="60" w:type="dxa"/>
              <w:right w:w="40" w:type="dxa"/>
            </w:tcMar>
          </w:tcPr>
          <w:p w14:paraId="6666FE1E" w14:textId="77777777" w:rsidR="00D31EA2" w:rsidRDefault="00D31EA2" w:rsidP="00410442">
            <w:pPr>
              <w:rPr>
                <w:rFonts w:ascii="Arial" w:hAnsi="Arial" w:cs="Arial"/>
                <w:color w:val="000000"/>
                <w:sz w:val="18"/>
                <w:szCs w:val="18"/>
              </w:rPr>
            </w:pPr>
            <w:r>
              <w:rPr>
                <w:rFonts w:ascii="Arial" w:hAnsi="Arial" w:cs="Arial"/>
                <w:color w:val="000000"/>
                <w:sz w:val="18"/>
                <w:szCs w:val="18"/>
              </w:rPr>
              <w:t>8,304</w:t>
            </w:r>
          </w:p>
        </w:tc>
      </w:tr>
      <w:tr w:rsidR="00D31EA2" w14:paraId="4F2E124C" w14:textId="77777777" w:rsidTr="0057146C">
        <w:trPr>
          <w:trHeight w:val="240"/>
        </w:trPr>
        <w:tc>
          <w:tcPr>
            <w:tcW w:w="2229" w:type="dxa"/>
            <w:vMerge/>
            <w:tcMar>
              <w:top w:w="40" w:type="dxa"/>
              <w:left w:w="120" w:type="dxa"/>
              <w:bottom w:w="40" w:type="dxa"/>
              <w:right w:w="40" w:type="dxa"/>
            </w:tcMar>
          </w:tcPr>
          <w:p w14:paraId="76F4DE4D" w14:textId="77777777" w:rsidR="00D31EA2" w:rsidRPr="00AA148D" w:rsidRDefault="00D31EA2" w:rsidP="00410442">
            <w:pPr>
              <w:rPr>
                <w:rFonts w:ascii="Arial" w:hAnsi="Arial" w:cs="Arial"/>
                <w:sz w:val="18"/>
                <w:szCs w:val="18"/>
              </w:rPr>
            </w:pPr>
          </w:p>
        </w:tc>
        <w:tc>
          <w:tcPr>
            <w:tcW w:w="2142" w:type="dxa"/>
            <w:tcMar>
              <w:top w:w="40" w:type="dxa"/>
              <w:left w:w="80" w:type="dxa"/>
              <w:bottom w:w="40" w:type="dxa"/>
              <w:right w:w="40" w:type="dxa"/>
            </w:tcMar>
          </w:tcPr>
          <w:p w14:paraId="2B01301A"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CAMHS</w:t>
            </w:r>
          </w:p>
        </w:tc>
        <w:tc>
          <w:tcPr>
            <w:tcW w:w="983" w:type="dxa"/>
            <w:tcMar>
              <w:top w:w="43" w:type="dxa"/>
              <w:left w:w="86" w:type="dxa"/>
              <w:bottom w:w="58" w:type="dxa"/>
              <w:right w:w="43" w:type="dxa"/>
            </w:tcMar>
          </w:tcPr>
          <w:p w14:paraId="679F204C" w14:textId="77777777" w:rsidR="00D31EA2" w:rsidRDefault="00D31EA2" w:rsidP="00410442">
            <w:pPr>
              <w:rPr>
                <w:rFonts w:ascii="Arial" w:hAnsi="Arial" w:cs="Arial"/>
                <w:color w:val="000000"/>
                <w:sz w:val="18"/>
                <w:szCs w:val="18"/>
              </w:rPr>
            </w:pPr>
            <w:r>
              <w:rPr>
                <w:rFonts w:ascii="Arial" w:hAnsi="Arial" w:cs="Arial"/>
                <w:color w:val="000000"/>
                <w:sz w:val="18"/>
                <w:szCs w:val="18"/>
              </w:rPr>
              <w:t>10,456</w:t>
            </w:r>
          </w:p>
        </w:tc>
        <w:tc>
          <w:tcPr>
            <w:tcW w:w="984" w:type="dxa"/>
            <w:tcMar>
              <w:top w:w="43" w:type="dxa"/>
              <w:left w:w="86" w:type="dxa"/>
              <w:bottom w:w="58" w:type="dxa"/>
              <w:right w:w="43" w:type="dxa"/>
            </w:tcMar>
          </w:tcPr>
          <w:p w14:paraId="5EA6EF0E" w14:textId="77777777" w:rsidR="00D31EA2" w:rsidRDefault="00D31EA2" w:rsidP="00410442">
            <w:pPr>
              <w:rPr>
                <w:rFonts w:ascii="Arial" w:hAnsi="Arial" w:cs="Arial"/>
                <w:color w:val="000000"/>
                <w:sz w:val="18"/>
                <w:szCs w:val="18"/>
              </w:rPr>
            </w:pPr>
            <w:r>
              <w:rPr>
                <w:rFonts w:ascii="Arial" w:hAnsi="Arial" w:cs="Arial"/>
                <w:color w:val="000000"/>
                <w:sz w:val="18"/>
                <w:szCs w:val="18"/>
              </w:rPr>
              <w:t>10,716</w:t>
            </w:r>
          </w:p>
        </w:tc>
        <w:tc>
          <w:tcPr>
            <w:tcW w:w="980" w:type="dxa"/>
            <w:tcMar>
              <w:top w:w="40" w:type="dxa"/>
              <w:left w:w="80" w:type="dxa"/>
              <w:bottom w:w="60" w:type="dxa"/>
              <w:right w:w="40" w:type="dxa"/>
            </w:tcMar>
          </w:tcPr>
          <w:p w14:paraId="452DD80F" w14:textId="77777777" w:rsidR="00D31EA2" w:rsidRDefault="00D31EA2" w:rsidP="00410442">
            <w:pPr>
              <w:rPr>
                <w:rFonts w:ascii="Arial" w:hAnsi="Arial" w:cs="Arial"/>
                <w:color w:val="000000"/>
                <w:sz w:val="18"/>
                <w:szCs w:val="18"/>
              </w:rPr>
            </w:pPr>
            <w:r>
              <w:rPr>
                <w:rFonts w:ascii="Arial" w:hAnsi="Arial" w:cs="Arial"/>
                <w:color w:val="000000"/>
                <w:sz w:val="18"/>
                <w:szCs w:val="18"/>
              </w:rPr>
              <w:t>11,693</w:t>
            </w:r>
          </w:p>
        </w:tc>
        <w:tc>
          <w:tcPr>
            <w:tcW w:w="980" w:type="dxa"/>
            <w:tcMar>
              <w:top w:w="40" w:type="dxa"/>
              <w:left w:w="80" w:type="dxa"/>
              <w:bottom w:w="60" w:type="dxa"/>
              <w:right w:w="40" w:type="dxa"/>
            </w:tcMar>
          </w:tcPr>
          <w:p w14:paraId="0AC6877A" w14:textId="77777777" w:rsidR="00D31EA2" w:rsidRDefault="00D31EA2" w:rsidP="00410442">
            <w:pPr>
              <w:rPr>
                <w:rFonts w:ascii="Arial" w:hAnsi="Arial" w:cs="Arial"/>
                <w:color w:val="000000"/>
                <w:sz w:val="18"/>
                <w:szCs w:val="18"/>
              </w:rPr>
            </w:pPr>
            <w:r>
              <w:rPr>
                <w:rFonts w:ascii="Arial" w:hAnsi="Arial" w:cs="Arial"/>
                <w:color w:val="000000"/>
                <w:sz w:val="18"/>
                <w:szCs w:val="18"/>
              </w:rPr>
              <w:t>11,944</w:t>
            </w:r>
          </w:p>
        </w:tc>
        <w:tc>
          <w:tcPr>
            <w:tcW w:w="980" w:type="dxa"/>
            <w:tcMar>
              <w:top w:w="40" w:type="dxa"/>
              <w:left w:w="80" w:type="dxa"/>
              <w:bottom w:w="60" w:type="dxa"/>
              <w:right w:w="40" w:type="dxa"/>
            </w:tcMar>
          </w:tcPr>
          <w:p w14:paraId="7D48067E" w14:textId="77777777" w:rsidR="00D31EA2" w:rsidRDefault="00D31EA2" w:rsidP="00410442">
            <w:pPr>
              <w:rPr>
                <w:rFonts w:ascii="Arial" w:hAnsi="Arial" w:cs="Arial"/>
                <w:color w:val="000000"/>
                <w:sz w:val="18"/>
                <w:szCs w:val="18"/>
              </w:rPr>
            </w:pPr>
            <w:r>
              <w:rPr>
                <w:rFonts w:ascii="Arial" w:hAnsi="Arial" w:cs="Arial"/>
                <w:color w:val="000000"/>
                <w:sz w:val="18"/>
                <w:szCs w:val="18"/>
              </w:rPr>
              <w:t>12,076</w:t>
            </w:r>
          </w:p>
        </w:tc>
      </w:tr>
      <w:tr w:rsidR="00D31EA2" w14:paraId="74C6EE3A" w14:textId="77777777" w:rsidTr="0057146C">
        <w:trPr>
          <w:trHeight w:val="240"/>
        </w:trPr>
        <w:tc>
          <w:tcPr>
            <w:tcW w:w="2229" w:type="dxa"/>
            <w:vMerge/>
            <w:tcMar>
              <w:top w:w="40" w:type="dxa"/>
              <w:left w:w="120" w:type="dxa"/>
              <w:bottom w:w="40" w:type="dxa"/>
              <w:right w:w="40" w:type="dxa"/>
            </w:tcMar>
          </w:tcPr>
          <w:p w14:paraId="3580D7A2" w14:textId="77777777" w:rsidR="00D31EA2" w:rsidRPr="00AA148D" w:rsidRDefault="00D31EA2" w:rsidP="00410442">
            <w:pPr>
              <w:rPr>
                <w:rFonts w:ascii="Arial" w:hAnsi="Arial" w:cs="Arial"/>
                <w:sz w:val="18"/>
                <w:szCs w:val="18"/>
              </w:rPr>
            </w:pPr>
          </w:p>
        </w:tc>
        <w:tc>
          <w:tcPr>
            <w:tcW w:w="2142" w:type="dxa"/>
            <w:tcMar>
              <w:top w:w="40" w:type="dxa"/>
              <w:left w:w="80" w:type="dxa"/>
              <w:bottom w:w="40" w:type="dxa"/>
              <w:right w:w="40" w:type="dxa"/>
            </w:tcMar>
          </w:tcPr>
          <w:p w14:paraId="2ADD3C84"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Forensic</w:t>
            </w:r>
          </w:p>
        </w:tc>
        <w:tc>
          <w:tcPr>
            <w:tcW w:w="983" w:type="dxa"/>
            <w:tcMar>
              <w:top w:w="43" w:type="dxa"/>
              <w:left w:w="86" w:type="dxa"/>
              <w:bottom w:w="58" w:type="dxa"/>
              <w:right w:w="43" w:type="dxa"/>
            </w:tcMar>
          </w:tcPr>
          <w:p w14:paraId="0467658E" w14:textId="77777777" w:rsidR="00D31EA2" w:rsidRDefault="00D31EA2" w:rsidP="00410442">
            <w:pPr>
              <w:rPr>
                <w:rFonts w:ascii="Arial" w:hAnsi="Arial" w:cs="Arial"/>
                <w:color w:val="000000"/>
                <w:sz w:val="18"/>
                <w:szCs w:val="18"/>
              </w:rPr>
            </w:pPr>
            <w:r>
              <w:rPr>
                <w:rFonts w:ascii="Arial" w:hAnsi="Arial" w:cs="Arial"/>
                <w:color w:val="000000"/>
                <w:sz w:val="18"/>
                <w:szCs w:val="18"/>
              </w:rPr>
              <w:t>700</w:t>
            </w:r>
          </w:p>
        </w:tc>
        <w:tc>
          <w:tcPr>
            <w:tcW w:w="984" w:type="dxa"/>
            <w:tcMar>
              <w:top w:w="43" w:type="dxa"/>
              <w:left w:w="86" w:type="dxa"/>
              <w:bottom w:w="58" w:type="dxa"/>
              <w:right w:w="43" w:type="dxa"/>
            </w:tcMar>
          </w:tcPr>
          <w:p w14:paraId="0DAFA4A6" w14:textId="77777777" w:rsidR="00D31EA2" w:rsidRDefault="00D31EA2" w:rsidP="00410442">
            <w:pPr>
              <w:rPr>
                <w:rFonts w:ascii="Arial" w:hAnsi="Arial" w:cs="Arial"/>
                <w:color w:val="000000"/>
                <w:sz w:val="18"/>
                <w:szCs w:val="18"/>
              </w:rPr>
            </w:pPr>
            <w:r>
              <w:rPr>
                <w:rFonts w:ascii="Arial" w:hAnsi="Arial" w:cs="Arial"/>
                <w:color w:val="000000"/>
                <w:sz w:val="18"/>
                <w:szCs w:val="18"/>
              </w:rPr>
              <w:t>752</w:t>
            </w:r>
          </w:p>
        </w:tc>
        <w:tc>
          <w:tcPr>
            <w:tcW w:w="980" w:type="dxa"/>
            <w:tcMar>
              <w:top w:w="40" w:type="dxa"/>
              <w:left w:w="80" w:type="dxa"/>
              <w:bottom w:w="60" w:type="dxa"/>
              <w:right w:w="40" w:type="dxa"/>
            </w:tcMar>
          </w:tcPr>
          <w:p w14:paraId="264C204A" w14:textId="77777777" w:rsidR="00D31EA2" w:rsidRDefault="00D31EA2" w:rsidP="00410442">
            <w:pPr>
              <w:rPr>
                <w:rFonts w:ascii="Arial" w:hAnsi="Arial" w:cs="Arial"/>
                <w:color w:val="000000"/>
                <w:sz w:val="18"/>
                <w:szCs w:val="18"/>
              </w:rPr>
            </w:pPr>
            <w:r>
              <w:rPr>
                <w:rFonts w:ascii="Arial" w:hAnsi="Arial" w:cs="Arial"/>
                <w:color w:val="000000"/>
                <w:sz w:val="18"/>
                <w:szCs w:val="18"/>
              </w:rPr>
              <w:t>875</w:t>
            </w:r>
          </w:p>
        </w:tc>
        <w:tc>
          <w:tcPr>
            <w:tcW w:w="980" w:type="dxa"/>
            <w:tcMar>
              <w:top w:w="40" w:type="dxa"/>
              <w:left w:w="80" w:type="dxa"/>
              <w:bottom w:w="60" w:type="dxa"/>
              <w:right w:w="40" w:type="dxa"/>
            </w:tcMar>
          </w:tcPr>
          <w:p w14:paraId="517F8243" w14:textId="77777777" w:rsidR="00D31EA2" w:rsidRDefault="00D31EA2" w:rsidP="00410442">
            <w:pPr>
              <w:rPr>
                <w:rFonts w:ascii="Arial" w:hAnsi="Arial" w:cs="Arial"/>
                <w:color w:val="000000"/>
                <w:sz w:val="18"/>
                <w:szCs w:val="18"/>
              </w:rPr>
            </w:pPr>
            <w:r>
              <w:rPr>
                <w:rFonts w:ascii="Arial" w:hAnsi="Arial" w:cs="Arial"/>
                <w:color w:val="000000"/>
                <w:sz w:val="18"/>
                <w:szCs w:val="18"/>
              </w:rPr>
              <w:t>988</w:t>
            </w:r>
          </w:p>
        </w:tc>
        <w:tc>
          <w:tcPr>
            <w:tcW w:w="980" w:type="dxa"/>
            <w:tcMar>
              <w:top w:w="40" w:type="dxa"/>
              <w:left w:w="80" w:type="dxa"/>
              <w:bottom w:w="60" w:type="dxa"/>
              <w:right w:w="40" w:type="dxa"/>
            </w:tcMar>
          </w:tcPr>
          <w:p w14:paraId="23B513D7" w14:textId="77777777" w:rsidR="00D31EA2" w:rsidRDefault="00D31EA2" w:rsidP="00410442">
            <w:pPr>
              <w:rPr>
                <w:rFonts w:ascii="Arial" w:hAnsi="Arial" w:cs="Arial"/>
                <w:color w:val="000000"/>
                <w:sz w:val="18"/>
                <w:szCs w:val="18"/>
              </w:rPr>
            </w:pPr>
            <w:r>
              <w:rPr>
                <w:rFonts w:ascii="Arial" w:hAnsi="Arial" w:cs="Arial"/>
                <w:color w:val="000000"/>
                <w:sz w:val="18"/>
                <w:szCs w:val="18"/>
              </w:rPr>
              <w:t>1,231</w:t>
            </w:r>
          </w:p>
        </w:tc>
      </w:tr>
      <w:tr w:rsidR="00D31EA2" w14:paraId="7A8BE7AE" w14:textId="77777777" w:rsidTr="0057146C">
        <w:trPr>
          <w:trHeight w:val="240"/>
        </w:trPr>
        <w:tc>
          <w:tcPr>
            <w:tcW w:w="2229" w:type="dxa"/>
            <w:vMerge/>
            <w:tcMar>
              <w:top w:w="40" w:type="dxa"/>
              <w:left w:w="120" w:type="dxa"/>
              <w:bottom w:w="40" w:type="dxa"/>
              <w:right w:w="40" w:type="dxa"/>
            </w:tcMar>
          </w:tcPr>
          <w:p w14:paraId="0EAE2015" w14:textId="77777777" w:rsidR="00D31EA2" w:rsidRPr="00AA148D" w:rsidRDefault="00D31EA2" w:rsidP="00410442">
            <w:pPr>
              <w:rPr>
                <w:rFonts w:ascii="Arial" w:hAnsi="Arial" w:cs="Arial"/>
                <w:sz w:val="18"/>
                <w:szCs w:val="18"/>
              </w:rPr>
            </w:pPr>
          </w:p>
        </w:tc>
        <w:tc>
          <w:tcPr>
            <w:tcW w:w="2142" w:type="dxa"/>
            <w:tcMar>
              <w:top w:w="40" w:type="dxa"/>
              <w:left w:w="80" w:type="dxa"/>
              <w:bottom w:w="40" w:type="dxa"/>
              <w:right w:w="40" w:type="dxa"/>
            </w:tcMar>
          </w:tcPr>
          <w:p w14:paraId="49118697"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Specialist</w:t>
            </w:r>
          </w:p>
        </w:tc>
        <w:tc>
          <w:tcPr>
            <w:tcW w:w="983" w:type="dxa"/>
            <w:tcMar>
              <w:top w:w="43" w:type="dxa"/>
              <w:left w:w="86" w:type="dxa"/>
              <w:bottom w:w="58" w:type="dxa"/>
              <w:right w:w="43" w:type="dxa"/>
            </w:tcMar>
          </w:tcPr>
          <w:p w14:paraId="40653B34" w14:textId="77777777" w:rsidR="00D31EA2" w:rsidRDefault="00D31EA2" w:rsidP="00410442">
            <w:pPr>
              <w:rPr>
                <w:rFonts w:ascii="Arial" w:hAnsi="Arial" w:cs="Arial"/>
                <w:color w:val="000000"/>
                <w:sz w:val="18"/>
                <w:szCs w:val="18"/>
              </w:rPr>
            </w:pPr>
            <w:r>
              <w:rPr>
                <w:rFonts w:ascii="Arial" w:hAnsi="Arial" w:cs="Arial"/>
                <w:color w:val="000000"/>
                <w:sz w:val="18"/>
                <w:szCs w:val="18"/>
              </w:rPr>
              <w:t>1,783</w:t>
            </w:r>
          </w:p>
        </w:tc>
        <w:tc>
          <w:tcPr>
            <w:tcW w:w="984" w:type="dxa"/>
            <w:tcMar>
              <w:top w:w="43" w:type="dxa"/>
              <w:left w:w="86" w:type="dxa"/>
              <w:bottom w:w="58" w:type="dxa"/>
              <w:right w:w="43" w:type="dxa"/>
            </w:tcMar>
          </w:tcPr>
          <w:p w14:paraId="069D0665" w14:textId="77777777" w:rsidR="00D31EA2" w:rsidRDefault="00D31EA2" w:rsidP="00410442">
            <w:pPr>
              <w:rPr>
                <w:rFonts w:ascii="Arial" w:hAnsi="Arial" w:cs="Arial"/>
                <w:color w:val="000000"/>
                <w:sz w:val="18"/>
                <w:szCs w:val="18"/>
              </w:rPr>
            </w:pPr>
            <w:r>
              <w:rPr>
                <w:rFonts w:ascii="Arial" w:hAnsi="Arial" w:cs="Arial"/>
                <w:color w:val="000000"/>
                <w:sz w:val="18"/>
                <w:szCs w:val="18"/>
              </w:rPr>
              <w:t>1,821</w:t>
            </w:r>
          </w:p>
        </w:tc>
        <w:tc>
          <w:tcPr>
            <w:tcW w:w="980" w:type="dxa"/>
            <w:tcMar>
              <w:top w:w="40" w:type="dxa"/>
              <w:left w:w="80" w:type="dxa"/>
              <w:bottom w:w="60" w:type="dxa"/>
              <w:right w:w="40" w:type="dxa"/>
            </w:tcMar>
          </w:tcPr>
          <w:p w14:paraId="510B15A0" w14:textId="77777777" w:rsidR="00D31EA2" w:rsidRDefault="00D31EA2" w:rsidP="00410442">
            <w:pPr>
              <w:rPr>
                <w:rFonts w:ascii="Arial" w:hAnsi="Arial" w:cs="Arial"/>
                <w:color w:val="000000"/>
                <w:sz w:val="18"/>
                <w:szCs w:val="18"/>
              </w:rPr>
            </w:pPr>
            <w:r>
              <w:rPr>
                <w:rFonts w:ascii="Arial" w:hAnsi="Arial" w:cs="Arial"/>
                <w:color w:val="000000"/>
                <w:sz w:val="18"/>
                <w:szCs w:val="18"/>
              </w:rPr>
              <w:t>2,187</w:t>
            </w:r>
          </w:p>
        </w:tc>
        <w:tc>
          <w:tcPr>
            <w:tcW w:w="980" w:type="dxa"/>
            <w:tcMar>
              <w:top w:w="40" w:type="dxa"/>
              <w:left w:w="80" w:type="dxa"/>
              <w:bottom w:w="60" w:type="dxa"/>
              <w:right w:w="40" w:type="dxa"/>
            </w:tcMar>
          </w:tcPr>
          <w:p w14:paraId="31497929" w14:textId="77777777" w:rsidR="00D31EA2" w:rsidRDefault="00D31EA2" w:rsidP="00410442">
            <w:pPr>
              <w:rPr>
                <w:rFonts w:ascii="Arial" w:hAnsi="Arial" w:cs="Arial"/>
                <w:color w:val="000000"/>
                <w:sz w:val="18"/>
                <w:szCs w:val="18"/>
              </w:rPr>
            </w:pPr>
            <w:r>
              <w:rPr>
                <w:rFonts w:ascii="Arial" w:hAnsi="Arial" w:cs="Arial"/>
                <w:color w:val="000000"/>
                <w:sz w:val="18"/>
                <w:szCs w:val="18"/>
              </w:rPr>
              <w:t>2,123</w:t>
            </w:r>
          </w:p>
        </w:tc>
        <w:tc>
          <w:tcPr>
            <w:tcW w:w="980" w:type="dxa"/>
            <w:tcMar>
              <w:top w:w="40" w:type="dxa"/>
              <w:left w:w="80" w:type="dxa"/>
              <w:bottom w:w="60" w:type="dxa"/>
              <w:right w:w="40" w:type="dxa"/>
            </w:tcMar>
          </w:tcPr>
          <w:p w14:paraId="6AB9F228" w14:textId="77777777" w:rsidR="00D31EA2" w:rsidRDefault="00D31EA2" w:rsidP="00410442">
            <w:pPr>
              <w:rPr>
                <w:rFonts w:ascii="Arial" w:hAnsi="Arial" w:cs="Arial"/>
                <w:color w:val="000000"/>
                <w:sz w:val="18"/>
                <w:szCs w:val="18"/>
              </w:rPr>
            </w:pPr>
            <w:r>
              <w:rPr>
                <w:rFonts w:ascii="Arial" w:hAnsi="Arial" w:cs="Arial"/>
                <w:color w:val="000000"/>
                <w:sz w:val="18"/>
                <w:szCs w:val="18"/>
              </w:rPr>
              <w:t>1,836</w:t>
            </w:r>
          </w:p>
        </w:tc>
      </w:tr>
      <w:tr w:rsidR="0057146C" w14:paraId="67FA81B1" w14:textId="77777777" w:rsidTr="0057146C">
        <w:trPr>
          <w:trHeight w:val="240"/>
        </w:trPr>
        <w:tc>
          <w:tcPr>
            <w:tcW w:w="2229" w:type="dxa"/>
            <w:vMerge w:val="restart"/>
            <w:tcMar>
              <w:top w:w="40" w:type="dxa"/>
              <w:left w:w="120" w:type="dxa"/>
              <w:bottom w:w="40" w:type="dxa"/>
              <w:right w:w="40" w:type="dxa"/>
            </w:tcMar>
          </w:tcPr>
          <w:p w14:paraId="644407C7" w14:textId="77777777" w:rsidR="0057146C" w:rsidRPr="00AA148D" w:rsidRDefault="0057146C" w:rsidP="00410442">
            <w:pPr>
              <w:rPr>
                <w:rFonts w:ascii="Arial" w:hAnsi="Arial" w:cs="Arial"/>
                <w:sz w:val="18"/>
                <w:szCs w:val="18"/>
              </w:rPr>
            </w:pPr>
            <w:r w:rsidRPr="00AA148D">
              <w:rPr>
                <w:rFonts w:ascii="Arial" w:eastAsia="Verdana" w:hAnsi="Arial" w:cs="Arial"/>
                <w:color w:val="000000"/>
                <w:sz w:val="18"/>
                <w:szCs w:val="18"/>
              </w:rPr>
              <w:t>Diagnosis (%)</w:t>
            </w:r>
          </w:p>
        </w:tc>
        <w:tc>
          <w:tcPr>
            <w:tcW w:w="2142" w:type="dxa"/>
            <w:tcMar>
              <w:top w:w="40" w:type="dxa"/>
              <w:left w:w="80" w:type="dxa"/>
              <w:bottom w:w="40" w:type="dxa"/>
              <w:right w:w="40" w:type="dxa"/>
            </w:tcMar>
          </w:tcPr>
          <w:p w14:paraId="20EB4A04" w14:textId="6E5F1383" w:rsidR="0057146C" w:rsidRDefault="0057146C" w:rsidP="00410442">
            <w:pPr>
              <w:rPr>
                <w:rFonts w:ascii="Arial" w:hAnsi="Arial" w:cs="Arial"/>
                <w:color w:val="000000"/>
                <w:sz w:val="18"/>
                <w:szCs w:val="18"/>
                <w:lang w:eastAsia="en-AU"/>
              </w:rPr>
            </w:pPr>
            <w:r>
              <w:rPr>
                <w:rFonts w:ascii="Arial" w:hAnsi="Arial" w:cs="Arial"/>
                <w:color w:val="000000"/>
                <w:sz w:val="18"/>
                <w:szCs w:val="18"/>
              </w:rPr>
              <w:t>Schizophrenia, paranoia and acute psychotic disorders</w:t>
            </w:r>
          </w:p>
        </w:tc>
        <w:tc>
          <w:tcPr>
            <w:tcW w:w="983" w:type="dxa"/>
            <w:tcMar>
              <w:top w:w="43" w:type="dxa"/>
              <w:left w:w="86" w:type="dxa"/>
              <w:bottom w:w="58" w:type="dxa"/>
              <w:right w:w="43" w:type="dxa"/>
            </w:tcMar>
          </w:tcPr>
          <w:p w14:paraId="7D83446E" w14:textId="77777777" w:rsidR="0057146C" w:rsidRDefault="0057146C" w:rsidP="00410442">
            <w:pPr>
              <w:rPr>
                <w:rFonts w:ascii="Arial" w:hAnsi="Arial" w:cs="Arial"/>
                <w:color w:val="000000"/>
                <w:sz w:val="18"/>
                <w:szCs w:val="18"/>
              </w:rPr>
            </w:pPr>
            <w:r>
              <w:rPr>
                <w:rFonts w:ascii="Arial" w:hAnsi="Arial" w:cs="Arial"/>
                <w:color w:val="000000"/>
                <w:sz w:val="18"/>
                <w:szCs w:val="18"/>
              </w:rPr>
              <w:t>23.9%</w:t>
            </w:r>
          </w:p>
        </w:tc>
        <w:tc>
          <w:tcPr>
            <w:tcW w:w="984" w:type="dxa"/>
            <w:tcMar>
              <w:top w:w="43" w:type="dxa"/>
              <w:left w:w="86" w:type="dxa"/>
              <w:bottom w:w="58" w:type="dxa"/>
              <w:right w:w="43" w:type="dxa"/>
            </w:tcMar>
          </w:tcPr>
          <w:p w14:paraId="2FE52D04" w14:textId="77777777" w:rsidR="0057146C" w:rsidRDefault="0057146C" w:rsidP="00410442">
            <w:pPr>
              <w:rPr>
                <w:rFonts w:ascii="Arial" w:hAnsi="Arial" w:cs="Arial"/>
                <w:color w:val="000000"/>
                <w:sz w:val="18"/>
                <w:szCs w:val="18"/>
              </w:rPr>
            </w:pPr>
            <w:r>
              <w:rPr>
                <w:rFonts w:ascii="Arial" w:hAnsi="Arial" w:cs="Arial"/>
                <w:color w:val="000000"/>
                <w:sz w:val="18"/>
                <w:szCs w:val="18"/>
              </w:rPr>
              <w:t>24.2%</w:t>
            </w:r>
          </w:p>
        </w:tc>
        <w:tc>
          <w:tcPr>
            <w:tcW w:w="980" w:type="dxa"/>
            <w:tcMar>
              <w:top w:w="40" w:type="dxa"/>
              <w:left w:w="80" w:type="dxa"/>
              <w:bottom w:w="60" w:type="dxa"/>
              <w:right w:w="40" w:type="dxa"/>
            </w:tcMar>
          </w:tcPr>
          <w:p w14:paraId="05FCD271" w14:textId="77777777" w:rsidR="0057146C" w:rsidRDefault="0057146C" w:rsidP="00410442">
            <w:pPr>
              <w:rPr>
                <w:rFonts w:ascii="Arial" w:hAnsi="Arial" w:cs="Arial"/>
                <w:color w:val="000000"/>
                <w:sz w:val="18"/>
                <w:szCs w:val="18"/>
              </w:rPr>
            </w:pPr>
            <w:r>
              <w:rPr>
                <w:rFonts w:ascii="Arial" w:hAnsi="Arial" w:cs="Arial"/>
                <w:color w:val="000000"/>
                <w:sz w:val="18"/>
                <w:szCs w:val="18"/>
              </w:rPr>
              <w:t>23.3%</w:t>
            </w:r>
          </w:p>
        </w:tc>
        <w:tc>
          <w:tcPr>
            <w:tcW w:w="980" w:type="dxa"/>
            <w:tcMar>
              <w:top w:w="40" w:type="dxa"/>
              <w:left w:w="80" w:type="dxa"/>
              <w:bottom w:w="60" w:type="dxa"/>
              <w:right w:w="40" w:type="dxa"/>
            </w:tcMar>
          </w:tcPr>
          <w:p w14:paraId="4F21E050" w14:textId="77777777" w:rsidR="0057146C" w:rsidRDefault="0057146C" w:rsidP="00410442">
            <w:pPr>
              <w:rPr>
                <w:rFonts w:ascii="Arial" w:hAnsi="Arial" w:cs="Arial"/>
                <w:color w:val="000000"/>
                <w:sz w:val="18"/>
                <w:szCs w:val="18"/>
              </w:rPr>
            </w:pPr>
            <w:r>
              <w:rPr>
                <w:rFonts w:ascii="Arial" w:hAnsi="Arial" w:cs="Arial"/>
                <w:color w:val="000000"/>
                <w:sz w:val="18"/>
                <w:szCs w:val="18"/>
              </w:rPr>
              <w:t>22.9%</w:t>
            </w:r>
          </w:p>
        </w:tc>
        <w:tc>
          <w:tcPr>
            <w:tcW w:w="980" w:type="dxa"/>
            <w:tcMar>
              <w:top w:w="40" w:type="dxa"/>
              <w:left w:w="80" w:type="dxa"/>
              <w:bottom w:w="60" w:type="dxa"/>
              <w:right w:w="40" w:type="dxa"/>
            </w:tcMar>
          </w:tcPr>
          <w:p w14:paraId="61A73DCB" w14:textId="77777777" w:rsidR="0057146C" w:rsidRDefault="0057146C" w:rsidP="00410442">
            <w:pPr>
              <w:rPr>
                <w:rFonts w:ascii="Arial" w:hAnsi="Arial" w:cs="Arial"/>
                <w:color w:val="000000"/>
                <w:sz w:val="18"/>
                <w:szCs w:val="18"/>
              </w:rPr>
            </w:pPr>
            <w:r>
              <w:rPr>
                <w:rFonts w:ascii="Arial" w:hAnsi="Arial" w:cs="Arial"/>
                <w:color w:val="000000"/>
                <w:sz w:val="18"/>
                <w:szCs w:val="18"/>
              </w:rPr>
              <w:t>22.7%</w:t>
            </w:r>
          </w:p>
        </w:tc>
      </w:tr>
      <w:tr w:rsidR="0057146C" w14:paraId="0720679E" w14:textId="77777777" w:rsidTr="0057146C">
        <w:trPr>
          <w:trHeight w:val="240"/>
        </w:trPr>
        <w:tc>
          <w:tcPr>
            <w:tcW w:w="2229" w:type="dxa"/>
            <w:vMerge/>
            <w:tcMar>
              <w:top w:w="40" w:type="dxa"/>
              <w:left w:w="120" w:type="dxa"/>
              <w:bottom w:w="40" w:type="dxa"/>
              <w:right w:w="40" w:type="dxa"/>
            </w:tcMar>
          </w:tcPr>
          <w:p w14:paraId="104E4130" w14:textId="77777777" w:rsidR="0057146C" w:rsidRPr="00AA148D" w:rsidRDefault="0057146C" w:rsidP="00410442">
            <w:pPr>
              <w:rPr>
                <w:rFonts w:ascii="Arial" w:hAnsi="Arial" w:cs="Arial"/>
                <w:sz w:val="18"/>
                <w:szCs w:val="18"/>
              </w:rPr>
            </w:pPr>
          </w:p>
        </w:tc>
        <w:tc>
          <w:tcPr>
            <w:tcW w:w="2142" w:type="dxa"/>
            <w:tcMar>
              <w:top w:w="40" w:type="dxa"/>
              <w:left w:w="80" w:type="dxa"/>
              <w:bottom w:w="40" w:type="dxa"/>
              <w:right w:w="40" w:type="dxa"/>
            </w:tcMar>
          </w:tcPr>
          <w:p w14:paraId="252798C5" w14:textId="507C78C2" w:rsidR="0057146C" w:rsidRDefault="0057146C" w:rsidP="00410442">
            <w:pPr>
              <w:rPr>
                <w:rFonts w:ascii="Arial" w:hAnsi="Arial" w:cs="Arial"/>
                <w:color w:val="000000"/>
                <w:sz w:val="18"/>
                <w:szCs w:val="18"/>
              </w:rPr>
            </w:pPr>
            <w:r>
              <w:rPr>
                <w:rFonts w:ascii="Arial" w:hAnsi="Arial" w:cs="Arial"/>
                <w:color w:val="000000"/>
                <w:sz w:val="18"/>
                <w:szCs w:val="18"/>
              </w:rPr>
              <w:t>Mood disorders</w:t>
            </w:r>
          </w:p>
        </w:tc>
        <w:tc>
          <w:tcPr>
            <w:tcW w:w="983" w:type="dxa"/>
            <w:tcMar>
              <w:top w:w="43" w:type="dxa"/>
              <w:left w:w="86" w:type="dxa"/>
              <w:bottom w:w="58" w:type="dxa"/>
              <w:right w:w="43" w:type="dxa"/>
            </w:tcMar>
          </w:tcPr>
          <w:p w14:paraId="7B1C783B" w14:textId="77777777" w:rsidR="0057146C" w:rsidRDefault="0057146C" w:rsidP="00410442">
            <w:pPr>
              <w:rPr>
                <w:rFonts w:ascii="Arial" w:hAnsi="Arial" w:cs="Arial"/>
                <w:color w:val="000000"/>
                <w:sz w:val="18"/>
                <w:szCs w:val="18"/>
              </w:rPr>
            </w:pPr>
            <w:r>
              <w:rPr>
                <w:rFonts w:ascii="Arial" w:hAnsi="Arial" w:cs="Arial"/>
                <w:color w:val="000000"/>
                <w:sz w:val="18"/>
                <w:szCs w:val="18"/>
              </w:rPr>
              <w:t>20.3%</w:t>
            </w:r>
          </w:p>
        </w:tc>
        <w:tc>
          <w:tcPr>
            <w:tcW w:w="984" w:type="dxa"/>
            <w:tcMar>
              <w:top w:w="43" w:type="dxa"/>
              <w:left w:w="86" w:type="dxa"/>
              <w:bottom w:w="58" w:type="dxa"/>
              <w:right w:w="43" w:type="dxa"/>
            </w:tcMar>
          </w:tcPr>
          <w:p w14:paraId="0E3D7842" w14:textId="77777777" w:rsidR="0057146C" w:rsidRDefault="0057146C" w:rsidP="00410442">
            <w:pPr>
              <w:rPr>
                <w:rFonts w:ascii="Arial" w:hAnsi="Arial" w:cs="Arial"/>
                <w:color w:val="000000"/>
                <w:sz w:val="18"/>
                <w:szCs w:val="18"/>
              </w:rPr>
            </w:pPr>
            <w:r>
              <w:rPr>
                <w:rFonts w:ascii="Arial" w:hAnsi="Arial" w:cs="Arial"/>
                <w:color w:val="000000"/>
                <w:sz w:val="18"/>
                <w:szCs w:val="18"/>
              </w:rPr>
              <w:t>20.2%</w:t>
            </w:r>
          </w:p>
        </w:tc>
        <w:tc>
          <w:tcPr>
            <w:tcW w:w="980" w:type="dxa"/>
            <w:tcMar>
              <w:top w:w="40" w:type="dxa"/>
              <w:left w:w="80" w:type="dxa"/>
              <w:bottom w:w="60" w:type="dxa"/>
              <w:right w:w="40" w:type="dxa"/>
            </w:tcMar>
          </w:tcPr>
          <w:p w14:paraId="673B2329" w14:textId="77777777" w:rsidR="0057146C" w:rsidRDefault="0057146C" w:rsidP="00410442">
            <w:pPr>
              <w:rPr>
                <w:rFonts w:ascii="Arial" w:hAnsi="Arial" w:cs="Arial"/>
                <w:color w:val="000000"/>
                <w:sz w:val="18"/>
                <w:szCs w:val="18"/>
              </w:rPr>
            </w:pPr>
            <w:r>
              <w:rPr>
                <w:rFonts w:ascii="Arial" w:hAnsi="Arial" w:cs="Arial"/>
                <w:color w:val="000000"/>
                <w:sz w:val="18"/>
                <w:szCs w:val="18"/>
              </w:rPr>
              <w:t>19.7%</w:t>
            </w:r>
          </w:p>
        </w:tc>
        <w:tc>
          <w:tcPr>
            <w:tcW w:w="980" w:type="dxa"/>
            <w:tcMar>
              <w:top w:w="40" w:type="dxa"/>
              <w:left w:w="80" w:type="dxa"/>
              <w:bottom w:w="60" w:type="dxa"/>
              <w:right w:w="40" w:type="dxa"/>
            </w:tcMar>
          </w:tcPr>
          <w:p w14:paraId="62C0DC05" w14:textId="77777777" w:rsidR="0057146C" w:rsidRDefault="0057146C" w:rsidP="00410442">
            <w:pPr>
              <w:rPr>
                <w:rFonts w:ascii="Arial" w:hAnsi="Arial" w:cs="Arial"/>
                <w:color w:val="000000"/>
                <w:sz w:val="18"/>
                <w:szCs w:val="18"/>
              </w:rPr>
            </w:pPr>
            <w:r>
              <w:rPr>
                <w:rFonts w:ascii="Arial" w:hAnsi="Arial" w:cs="Arial"/>
                <w:color w:val="000000"/>
                <w:sz w:val="18"/>
                <w:szCs w:val="18"/>
              </w:rPr>
              <w:t>19.1%</w:t>
            </w:r>
          </w:p>
        </w:tc>
        <w:tc>
          <w:tcPr>
            <w:tcW w:w="980" w:type="dxa"/>
            <w:tcMar>
              <w:top w:w="40" w:type="dxa"/>
              <w:left w:w="80" w:type="dxa"/>
              <w:bottom w:w="60" w:type="dxa"/>
              <w:right w:w="40" w:type="dxa"/>
            </w:tcMar>
          </w:tcPr>
          <w:p w14:paraId="1BC59CE3" w14:textId="77777777" w:rsidR="0057146C" w:rsidRDefault="0057146C" w:rsidP="00410442">
            <w:pPr>
              <w:rPr>
                <w:rFonts w:ascii="Arial" w:hAnsi="Arial" w:cs="Arial"/>
                <w:color w:val="000000"/>
                <w:sz w:val="18"/>
                <w:szCs w:val="18"/>
              </w:rPr>
            </w:pPr>
            <w:r>
              <w:rPr>
                <w:rFonts w:ascii="Arial" w:hAnsi="Arial" w:cs="Arial"/>
                <w:color w:val="000000"/>
                <w:sz w:val="18"/>
                <w:szCs w:val="18"/>
              </w:rPr>
              <w:t>18.7%</w:t>
            </w:r>
          </w:p>
        </w:tc>
      </w:tr>
      <w:tr w:rsidR="0057146C" w14:paraId="4B6EAA8A" w14:textId="77777777" w:rsidTr="0057146C">
        <w:trPr>
          <w:trHeight w:val="240"/>
        </w:trPr>
        <w:tc>
          <w:tcPr>
            <w:tcW w:w="2229" w:type="dxa"/>
            <w:vMerge/>
            <w:tcMar>
              <w:top w:w="40" w:type="dxa"/>
              <w:left w:w="120" w:type="dxa"/>
              <w:bottom w:w="40" w:type="dxa"/>
              <w:right w:w="40" w:type="dxa"/>
            </w:tcMar>
          </w:tcPr>
          <w:p w14:paraId="0133BFE4" w14:textId="77777777" w:rsidR="0057146C" w:rsidRPr="00AA148D" w:rsidRDefault="0057146C" w:rsidP="00410442">
            <w:pPr>
              <w:rPr>
                <w:rFonts w:ascii="Arial" w:hAnsi="Arial" w:cs="Arial"/>
                <w:sz w:val="18"/>
                <w:szCs w:val="18"/>
              </w:rPr>
            </w:pPr>
          </w:p>
        </w:tc>
        <w:tc>
          <w:tcPr>
            <w:tcW w:w="2142" w:type="dxa"/>
            <w:tcMar>
              <w:top w:w="40" w:type="dxa"/>
              <w:left w:w="80" w:type="dxa"/>
              <w:bottom w:w="40" w:type="dxa"/>
              <w:right w:w="40" w:type="dxa"/>
            </w:tcMar>
          </w:tcPr>
          <w:p w14:paraId="395536BD" w14:textId="2346DE11" w:rsidR="0057146C" w:rsidRDefault="0057146C" w:rsidP="00410442">
            <w:pPr>
              <w:rPr>
                <w:rFonts w:ascii="Arial" w:hAnsi="Arial" w:cs="Arial"/>
                <w:color w:val="000000"/>
                <w:sz w:val="18"/>
                <w:szCs w:val="18"/>
              </w:rPr>
            </w:pPr>
            <w:r>
              <w:rPr>
                <w:rFonts w:ascii="Arial" w:hAnsi="Arial" w:cs="Arial"/>
                <w:color w:val="000000"/>
                <w:sz w:val="18"/>
                <w:szCs w:val="18"/>
              </w:rPr>
              <w:t>Stress and adjustment disorders</w:t>
            </w:r>
          </w:p>
        </w:tc>
        <w:tc>
          <w:tcPr>
            <w:tcW w:w="983" w:type="dxa"/>
            <w:tcMar>
              <w:top w:w="43" w:type="dxa"/>
              <w:left w:w="86" w:type="dxa"/>
              <w:bottom w:w="58" w:type="dxa"/>
              <w:right w:w="43" w:type="dxa"/>
            </w:tcMar>
          </w:tcPr>
          <w:p w14:paraId="1521D13F" w14:textId="77777777" w:rsidR="0057146C" w:rsidRDefault="0057146C" w:rsidP="00410442">
            <w:pPr>
              <w:rPr>
                <w:rFonts w:ascii="Arial" w:hAnsi="Arial" w:cs="Arial"/>
                <w:color w:val="000000"/>
                <w:sz w:val="18"/>
                <w:szCs w:val="18"/>
              </w:rPr>
            </w:pPr>
            <w:r>
              <w:rPr>
                <w:rFonts w:ascii="Arial" w:hAnsi="Arial" w:cs="Arial"/>
                <w:color w:val="000000"/>
                <w:sz w:val="18"/>
                <w:szCs w:val="18"/>
              </w:rPr>
              <w:t>8.0%</w:t>
            </w:r>
          </w:p>
        </w:tc>
        <w:tc>
          <w:tcPr>
            <w:tcW w:w="984" w:type="dxa"/>
            <w:tcMar>
              <w:top w:w="43" w:type="dxa"/>
              <w:left w:w="86" w:type="dxa"/>
              <w:bottom w:w="58" w:type="dxa"/>
              <w:right w:w="43" w:type="dxa"/>
            </w:tcMar>
          </w:tcPr>
          <w:p w14:paraId="4D6521FF" w14:textId="77777777" w:rsidR="0057146C" w:rsidRDefault="0057146C" w:rsidP="00410442">
            <w:pPr>
              <w:rPr>
                <w:rFonts w:ascii="Arial" w:hAnsi="Arial" w:cs="Arial"/>
                <w:color w:val="000000"/>
                <w:sz w:val="18"/>
                <w:szCs w:val="18"/>
              </w:rPr>
            </w:pPr>
            <w:r>
              <w:rPr>
                <w:rFonts w:ascii="Arial" w:hAnsi="Arial" w:cs="Arial"/>
                <w:color w:val="000000"/>
                <w:sz w:val="18"/>
                <w:szCs w:val="18"/>
              </w:rPr>
              <w:t>8.5%</w:t>
            </w:r>
          </w:p>
        </w:tc>
        <w:tc>
          <w:tcPr>
            <w:tcW w:w="980" w:type="dxa"/>
            <w:tcMar>
              <w:top w:w="40" w:type="dxa"/>
              <w:left w:w="80" w:type="dxa"/>
              <w:bottom w:w="60" w:type="dxa"/>
              <w:right w:w="40" w:type="dxa"/>
            </w:tcMar>
          </w:tcPr>
          <w:p w14:paraId="3BD611BF" w14:textId="77777777" w:rsidR="0057146C" w:rsidRDefault="0057146C" w:rsidP="00410442">
            <w:pPr>
              <w:rPr>
                <w:rFonts w:ascii="Arial" w:hAnsi="Arial" w:cs="Arial"/>
                <w:color w:val="000000"/>
                <w:sz w:val="18"/>
                <w:szCs w:val="18"/>
              </w:rPr>
            </w:pPr>
            <w:r>
              <w:rPr>
                <w:rFonts w:ascii="Arial" w:hAnsi="Arial" w:cs="Arial"/>
                <w:color w:val="000000"/>
                <w:sz w:val="18"/>
                <w:szCs w:val="18"/>
              </w:rPr>
              <w:t>8.8%</w:t>
            </w:r>
          </w:p>
        </w:tc>
        <w:tc>
          <w:tcPr>
            <w:tcW w:w="980" w:type="dxa"/>
            <w:tcMar>
              <w:top w:w="40" w:type="dxa"/>
              <w:left w:w="80" w:type="dxa"/>
              <w:bottom w:w="60" w:type="dxa"/>
              <w:right w:w="40" w:type="dxa"/>
            </w:tcMar>
          </w:tcPr>
          <w:p w14:paraId="1E73AB9F" w14:textId="77777777" w:rsidR="0057146C" w:rsidRDefault="0057146C" w:rsidP="00410442">
            <w:pPr>
              <w:rPr>
                <w:rFonts w:ascii="Arial" w:hAnsi="Arial" w:cs="Arial"/>
                <w:color w:val="000000"/>
                <w:sz w:val="18"/>
                <w:szCs w:val="18"/>
              </w:rPr>
            </w:pPr>
            <w:r>
              <w:rPr>
                <w:rFonts w:ascii="Arial" w:hAnsi="Arial" w:cs="Arial"/>
                <w:color w:val="000000"/>
                <w:sz w:val="18"/>
                <w:szCs w:val="18"/>
              </w:rPr>
              <w:t>9.1%</w:t>
            </w:r>
          </w:p>
        </w:tc>
        <w:tc>
          <w:tcPr>
            <w:tcW w:w="980" w:type="dxa"/>
            <w:tcMar>
              <w:top w:w="40" w:type="dxa"/>
              <w:left w:w="80" w:type="dxa"/>
              <w:bottom w:w="60" w:type="dxa"/>
              <w:right w:w="40" w:type="dxa"/>
            </w:tcMar>
          </w:tcPr>
          <w:p w14:paraId="568BC76E" w14:textId="77777777" w:rsidR="0057146C" w:rsidRDefault="0057146C" w:rsidP="00410442">
            <w:pPr>
              <w:rPr>
                <w:rFonts w:ascii="Arial" w:hAnsi="Arial" w:cs="Arial"/>
                <w:color w:val="000000"/>
                <w:sz w:val="18"/>
                <w:szCs w:val="18"/>
              </w:rPr>
            </w:pPr>
            <w:r>
              <w:rPr>
                <w:rFonts w:ascii="Arial" w:hAnsi="Arial" w:cs="Arial"/>
                <w:color w:val="000000"/>
                <w:sz w:val="18"/>
                <w:szCs w:val="18"/>
              </w:rPr>
              <w:t>8.7%</w:t>
            </w:r>
          </w:p>
        </w:tc>
      </w:tr>
      <w:tr w:rsidR="0057146C" w14:paraId="1822D1FA" w14:textId="77777777" w:rsidTr="0057146C">
        <w:trPr>
          <w:trHeight w:val="240"/>
        </w:trPr>
        <w:tc>
          <w:tcPr>
            <w:tcW w:w="2229" w:type="dxa"/>
            <w:vMerge/>
            <w:tcMar>
              <w:top w:w="40" w:type="dxa"/>
              <w:left w:w="120" w:type="dxa"/>
              <w:bottom w:w="40" w:type="dxa"/>
              <w:right w:w="40" w:type="dxa"/>
            </w:tcMar>
          </w:tcPr>
          <w:p w14:paraId="6F915954" w14:textId="77777777" w:rsidR="0057146C" w:rsidRPr="00AA148D" w:rsidRDefault="0057146C" w:rsidP="00410442">
            <w:pPr>
              <w:rPr>
                <w:rFonts w:ascii="Arial" w:hAnsi="Arial" w:cs="Arial"/>
                <w:sz w:val="18"/>
                <w:szCs w:val="18"/>
              </w:rPr>
            </w:pPr>
          </w:p>
        </w:tc>
        <w:tc>
          <w:tcPr>
            <w:tcW w:w="2142" w:type="dxa"/>
            <w:tcMar>
              <w:top w:w="40" w:type="dxa"/>
              <w:left w:w="80" w:type="dxa"/>
              <w:bottom w:w="40" w:type="dxa"/>
              <w:right w:w="40" w:type="dxa"/>
            </w:tcMar>
          </w:tcPr>
          <w:p w14:paraId="361CEC9E" w14:textId="70C1F0AA" w:rsidR="0057146C" w:rsidRDefault="0057146C" w:rsidP="00410442">
            <w:pPr>
              <w:rPr>
                <w:rFonts w:ascii="Arial" w:hAnsi="Arial" w:cs="Arial"/>
                <w:color w:val="000000"/>
                <w:sz w:val="18"/>
                <w:szCs w:val="18"/>
              </w:rPr>
            </w:pPr>
            <w:r>
              <w:rPr>
                <w:rFonts w:ascii="Arial" w:hAnsi="Arial" w:cs="Arial"/>
                <w:color w:val="000000"/>
                <w:sz w:val="18"/>
                <w:szCs w:val="18"/>
              </w:rPr>
              <w:t>Personality disorders</w:t>
            </w:r>
          </w:p>
        </w:tc>
        <w:tc>
          <w:tcPr>
            <w:tcW w:w="983" w:type="dxa"/>
            <w:tcMar>
              <w:top w:w="43" w:type="dxa"/>
              <w:left w:w="86" w:type="dxa"/>
              <w:bottom w:w="58" w:type="dxa"/>
              <w:right w:w="43" w:type="dxa"/>
            </w:tcMar>
          </w:tcPr>
          <w:p w14:paraId="0EAE420B" w14:textId="77777777" w:rsidR="0057146C" w:rsidRDefault="0057146C" w:rsidP="00410442">
            <w:pPr>
              <w:rPr>
                <w:rFonts w:ascii="Arial" w:hAnsi="Arial" w:cs="Arial"/>
                <w:color w:val="000000"/>
                <w:sz w:val="18"/>
                <w:szCs w:val="18"/>
              </w:rPr>
            </w:pPr>
            <w:r>
              <w:rPr>
                <w:rFonts w:ascii="Arial" w:hAnsi="Arial" w:cs="Arial"/>
                <w:color w:val="000000"/>
                <w:sz w:val="18"/>
                <w:szCs w:val="18"/>
              </w:rPr>
              <w:t>5.5%</w:t>
            </w:r>
          </w:p>
        </w:tc>
        <w:tc>
          <w:tcPr>
            <w:tcW w:w="984" w:type="dxa"/>
            <w:tcMar>
              <w:top w:w="43" w:type="dxa"/>
              <w:left w:w="86" w:type="dxa"/>
              <w:bottom w:w="58" w:type="dxa"/>
              <w:right w:w="43" w:type="dxa"/>
            </w:tcMar>
          </w:tcPr>
          <w:p w14:paraId="4E284EE7" w14:textId="77777777" w:rsidR="0057146C" w:rsidRDefault="0057146C" w:rsidP="00410442">
            <w:pPr>
              <w:rPr>
                <w:rFonts w:ascii="Arial" w:hAnsi="Arial" w:cs="Arial"/>
                <w:color w:val="000000"/>
                <w:sz w:val="18"/>
                <w:szCs w:val="18"/>
              </w:rPr>
            </w:pPr>
            <w:r>
              <w:rPr>
                <w:rFonts w:ascii="Arial" w:hAnsi="Arial" w:cs="Arial"/>
                <w:color w:val="000000"/>
                <w:sz w:val="18"/>
                <w:szCs w:val="18"/>
              </w:rPr>
              <w:t>6.0%</w:t>
            </w:r>
          </w:p>
        </w:tc>
        <w:tc>
          <w:tcPr>
            <w:tcW w:w="980" w:type="dxa"/>
            <w:tcMar>
              <w:top w:w="40" w:type="dxa"/>
              <w:left w:w="80" w:type="dxa"/>
              <w:bottom w:w="60" w:type="dxa"/>
              <w:right w:w="40" w:type="dxa"/>
            </w:tcMar>
          </w:tcPr>
          <w:p w14:paraId="7B67C284" w14:textId="77777777" w:rsidR="0057146C" w:rsidRDefault="0057146C" w:rsidP="00410442">
            <w:pPr>
              <w:rPr>
                <w:rFonts w:ascii="Arial" w:hAnsi="Arial" w:cs="Arial"/>
                <w:color w:val="000000"/>
                <w:sz w:val="18"/>
                <w:szCs w:val="18"/>
              </w:rPr>
            </w:pPr>
            <w:r>
              <w:rPr>
                <w:rFonts w:ascii="Arial" w:hAnsi="Arial" w:cs="Arial"/>
                <w:color w:val="000000"/>
                <w:sz w:val="18"/>
                <w:szCs w:val="18"/>
              </w:rPr>
              <w:t>6.3%</w:t>
            </w:r>
          </w:p>
        </w:tc>
        <w:tc>
          <w:tcPr>
            <w:tcW w:w="980" w:type="dxa"/>
            <w:tcMar>
              <w:top w:w="40" w:type="dxa"/>
              <w:left w:w="80" w:type="dxa"/>
              <w:bottom w:w="60" w:type="dxa"/>
              <w:right w:w="40" w:type="dxa"/>
            </w:tcMar>
          </w:tcPr>
          <w:p w14:paraId="569E308C" w14:textId="77777777" w:rsidR="0057146C" w:rsidRDefault="0057146C" w:rsidP="00410442">
            <w:pPr>
              <w:rPr>
                <w:rFonts w:ascii="Arial" w:hAnsi="Arial" w:cs="Arial"/>
                <w:color w:val="000000"/>
                <w:sz w:val="18"/>
                <w:szCs w:val="18"/>
              </w:rPr>
            </w:pPr>
            <w:r>
              <w:rPr>
                <w:rFonts w:ascii="Arial" w:hAnsi="Arial" w:cs="Arial"/>
                <w:color w:val="000000"/>
                <w:sz w:val="18"/>
                <w:szCs w:val="18"/>
              </w:rPr>
              <w:t>6.5%</w:t>
            </w:r>
          </w:p>
        </w:tc>
        <w:tc>
          <w:tcPr>
            <w:tcW w:w="980" w:type="dxa"/>
            <w:tcMar>
              <w:top w:w="40" w:type="dxa"/>
              <w:left w:w="80" w:type="dxa"/>
              <w:bottom w:w="60" w:type="dxa"/>
              <w:right w:w="40" w:type="dxa"/>
            </w:tcMar>
          </w:tcPr>
          <w:p w14:paraId="0DB94899" w14:textId="77777777" w:rsidR="0057146C" w:rsidRDefault="0057146C" w:rsidP="00410442">
            <w:pPr>
              <w:rPr>
                <w:rFonts w:ascii="Arial" w:hAnsi="Arial" w:cs="Arial"/>
                <w:color w:val="000000"/>
                <w:sz w:val="18"/>
                <w:szCs w:val="18"/>
              </w:rPr>
            </w:pPr>
            <w:r>
              <w:rPr>
                <w:rFonts w:ascii="Arial" w:hAnsi="Arial" w:cs="Arial"/>
                <w:color w:val="000000"/>
                <w:sz w:val="18"/>
                <w:szCs w:val="18"/>
              </w:rPr>
              <w:t>6.6%</w:t>
            </w:r>
          </w:p>
        </w:tc>
      </w:tr>
      <w:tr w:rsidR="0057146C" w14:paraId="74D4BB18" w14:textId="77777777" w:rsidTr="0057146C">
        <w:trPr>
          <w:trHeight w:val="240"/>
        </w:trPr>
        <w:tc>
          <w:tcPr>
            <w:tcW w:w="2229" w:type="dxa"/>
            <w:vMerge/>
            <w:tcMar>
              <w:top w:w="40" w:type="dxa"/>
              <w:left w:w="120" w:type="dxa"/>
              <w:bottom w:w="40" w:type="dxa"/>
              <w:right w:w="40" w:type="dxa"/>
            </w:tcMar>
          </w:tcPr>
          <w:p w14:paraId="0ADE26BC" w14:textId="77777777" w:rsidR="0057146C" w:rsidRPr="00AA148D" w:rsidRDefault="0057146C" w:rsidP="00410442">
            <w:pPr>
              <w:rPr>
                <w:rFonts w:ascii="Arial" w:hAnsi="Arial" w:cs="Arial"/>
                <w:sz w:val="18"/>
                <w:szCs w:val="18"/>
              </w:rPr>
            </w:pPr>
          </w:p>
        </w:tc>
        <w:tc>
          <w:tcPr>
            <w:tcW w:w="2142" w:type="dxa"/>
            <w:tcMar>
              <w:top w:w="40" w:type="dxa"/>
              <w:left w:w="80" w:type="dxa"/>
              <w:bottom w:w="40" w:type="dxa"/>
              <w:right w:w="40" w:type="dxa"/>
            </w:tcMar>
          </w:tcPr>
          <w:p w14:paraId="0780B5A5" w14:textId="5B3A9654" w:rsidR="0057146C" w:rsidRDefault="0057146C" w:rsidP="00410442">
            <w:pPr>
              <w:rPr>
                <w:rFonts w:ascii="Arial" w:hAnsi="Arial" w:cs="Arial"/>
                <w:color w:val="000000"/>
                <w:sz w:val="18"/>
                <w:szCs w:val="18"/>
              </w:rPr>
            </w:pPr>
            <w:r>
              <w:rPr>
                <w:rFonts w:ascii="Arial" w:hAnsi="Arial" w:cs="Arial"/>
                <w:color w:val="000000"/>
                <w:sz w:val="18"/>
                <w:szCs w:val="18"/>
              </w:rPr>
              <w:t>Anxiety disorders</w:t>
            </w:r>
          </w:p>
        </w:tc>
        <w:tc>
          <w:tcPr>
            <w:tcW w:w="983" w:type="dxa"/>
            <w:tcMar>
              <w:top w:w="43" w:type="dxa"/>
              <w:left w:w="86" w:type="dxa"/>
              <w:bottom w:w="58" w:type="dxa"/>
              <w:right w:w="43" w:type="dxa"/>
            </w:tcMar>
          </w:tcPr>
          <w:p w14:paraId="6FC52905" w14:textId="77777777" w:rsidR="0057146C" w:rsidRDefault="0057146C" w:rsidP="00410442">
            <w:pPr>
              <w:rPr>
                <w:rFonts w:ascii="Arial" w:hAnsi="Arial" w:cs="Arial"/>
                <w:color w:val="000000"/>
                <w:sz w:val="18"/>
                <w:szCs w:val="18"/>
              </w:rPr>
            </w:pPr>
            <w:r>
              <w:rPr>
                <w:rFonts w:ascii="Arial" w:hAnsi="Arial" w:cs="Arial"/>
                <w:color w:val="000000"/>
                <w:sz w:val="18"/>
                <w:szCs w:val="18"/>
              </w:rPr>
              <w:t>5.2%</w:t>
            </w:r>
          </w:p>
        </w:tc>
        <w:tc>
          <w:tcPr>
            <w:tcW w:w="984" w:type="dxa"/>
            <w:tcMar>
              <w:top w:w="43" w:type="dxa"/>
              <w:left w:w="86" w:type="dxa"/>
              <w:bottom w:w="58" w:type="dxa"/>
              <w:right w:w="43" w:type="dxa"/>
            </w:tcMar>
          </w:tcPr>
          <w:p w14:paraId="79C399DA" w14:textId="77777777" w:rsidR="0057146C" w:rsidRDefault="0057146C" w:rsidP="00410442">
            <w:pPr>
              <w:rPr>
                <w:rFonts w:ascii="Arial" w:hAnsi="Arial" w:cs="Arial"/>
                <w:color w:val="000000"/>
                <w:sz w:val="18"/>
                <w:szCs w:val="18"/>
              </w:rPr>
            </w:pPr>
            <w:r>
              <w:rPr>
                <w:rFonts w:ascii="Arial" w:hAnsi="Arial" w:cs="Arial"/>
                <w:color w:val="000000"/>
                <w:sz w:val="18"/>
                <w:szCs w:val="18"/>
              </w:rPr>
              <w:t>5.3%</w:t>
            </w:r>
          </w:p>
        </w:tc>
        <w:tc>
          <w:tcPr>
            <w:tcW w:w="980" w:type="dxa"/>
            <w:tcMar>
              <w:top w:w="40" w:type="dxa"/>
              <w:left w:w="80" w:type="dxa"/>
              <w:bottom w:w="60" w:type="dxa"/>
              <w:right w:w="40" w:type="dxa"/>
            </w:tcMar>
          </w:tcPr>
          <w:p w14:paraId="5FF235E8" w14:textId="77777777" w:rsidR="0057146C" w:rsidRDefault="0057146C" w:rsidP="00410442">
            <w:pPr>
              <w:rPr>
                <w:rFonts w:ascii="Arial" w:hAnsi="Arial" w:cs="Arial"/>
                <w:color w:val="000000"/>
                <w:sz w:val="18"/>
                <w:szCs w:val="18"/>
              </w:rPr>
            </w:pPr>
            <w:r>
              <w:rPr>
                <w:rFonts w:ascii="Arial" w:hAnsi="Arial" w:cs="Arial"/>
                <w:color w:val="000000"/>
                <w:sz w:val="18"/>
                <w:szCs w:val="18"/>
              </w:rPr>
              <w:t>5.7%</w:t>
            </w:r>
          </w:p>
        </w:tc>
        <w:tc>
          <w:tcPr>
            <w:tcW w:w="980" w:type="dxa"/>
            <w:tcMar>
              <w:top w:w="40" w:type="dxa"/>
              <w:left w:w="80" w:type="dxa"/>
              <w:bottom w:w="60" w:type="dxa"/>
              <w:right w:w="40" w:type="dxa"/>
            </w:tcMar>
          </w:tcPr>
          <w:p w14:paraId="6A0AECE8" w14:textId="77777777" w:rsidR="0057146C" w:rsidRDefault="0057146C" w:rsidP="00410442">
            <w:pPr>
              <w:rPr>
                <w:rFonts w:ascii="Arial" w:hAnsi="Arial" w:cs="Arial"/>
                <w:color w:val="000000"/>
                <w:sz w:val="18"/>
                <w:szCs w:val="18"/>
              </w:rPr>
            </w:pPr>
            <w:r>
              <w:rPr>
                <w:rFonts w:ascii="Arial" w:hAnsi="Arial" w:cs="Arial"/>
                <w:color w:val="000000"/>
                <w:sz w:val="18"/>
                <w:szCs w:val="18"/>
              </w:rPr>
              <w:t>5.8%</w:t>
            </w:r>
          </w:p>
        </w:tc>
        <w:tc>
          <w:tcPr>
            <w:tcW w:w="980" w:type="dxa"/>
            <w:tcMar>
              <w:top w:w="40" w:type="dxa"/>
              <w:left w:w="80" w:type="dxa"/>
              <w:bottom w:w="60" w:type="dxa"/>
              <w:right w:w="40" w:type="dxa"/>
            </w:tcMar>
          </w:tcPr>
          <w:p w14:paraId="402F6223" w14:textId="77777777" w:rsidR="0057146C" w:rsidRDefault="0057146C" w:rsidP="00410442">
            <w:pPr>
              <w:rPr>
                <w:rFonts w:ascii="Arial" w:hAnsi="Arial" w:cs="Arial"/>
                <w:color w:val="000000"/>
                <w:sz w:val="18"/>
                <w:szCs w:val="18"/>
              </w:rPr>
            </w:pPr>
            <w:r>
              <w:rPr>
                <w:rFonts w:ascii="Arial" w:hAnsi="Arial" w:cs="Arial"/>
                <w:color w:val="000000"/>
                <w:sz w:val="18"/>
                <w:szCs w:val="18"/>
              </w:rPr>
              <w:t>6.0%</w:t>
            </w:r>
          </w:p>
        </w:tc>
      </w:tr>
      <w:tr w:rsidR="0057146C" w14:paraId="7D3334AE" w14:textId="77777777" w:rsidTr="0057146C">
        <w:trPr>
          <w:trHeight w:val="240"/>
        </w:trPr>
        <w:tc>
          <w:tcPr>
            <w:tcW w:w="2229" w:type="dxa"/>
            <w:vMerge/>
            <w:tcMar>
              <w:top w:w="40" w:type="dxa"/>
              <w:left w:w="120" w:type="dxa"/>
              <w:bottom w:w="40" w:type="dxa"/>
              <w:right w:w="40" w:type="dxa"/>
            </w:tcMar>
          </w:tcPr>
          <w:p w14:paraId="201A7484" w14:textId="77777777" w:rsidR="0057146C" w:rsidRPr="00AA148D" w:rsidRDefault="0057146C" w:rsidP="00410442">
            <w:pPr>
              <w:rPr>
                <w:rFonts w:ascii="Arial" w:hAnsi="Arial" w:cs="Arial"/>
                <w:sz w:val="18"/>
                <w:szCs w:val="18"/>
              </w:rPr>
            </w:pPr>
          </w:p>
        </w:tc>
        <w:tc>
          <w:tcPr>
            <w:tcW w:w="2142" w:type="dxa"/>
            <w:tcMar>
              <w:top w:w="40" w:type="dxa"/>
              <w:left w:w="80" w:type="dxa"/>
              <w:bottom w:w="40" w:type="dxa"/>
              <w:right w:w="40" w:type="dxa"/>
            </w:tcMar>
          </w:tcPr>
          <w:p w14:paraId="31F4BBE7" w14:textId="06DB1D8B" w:rsidR="0057146C" w:rsidRDefault="0057146C" w:rsidP="00410442">
            <w:pPr>
              <w:rPr>
                <w:rFonts w:ascii="Arial" w:hAnsi="Arial" w:cs="Arial"/>
                <w:color w:val="000000"/>
                <w:sz w:val="18"/>
                <w:szCs w:val="18"/>
              </w:rPr>
            </w:pPr>
            <w:r>
              <w:rPr>
                <w:rFonts w:ascii="Arial" w:hAnsi="Arial" w:cs="Arial"/>
                <w:color w:val="000000"/>
                <w:sz w:val="18"/>
                <w:szCs w:val="18"/>
              </w:rPr>
              <w:t>Substance abuse disorders</w:t>
            </w:r>
          </w:p>
        </w:tc>
        <w:tc>
          <w:tcPr>
            <w:tcW w:w="983" w:type="dxa"/>
            <w:tcMar>
              <w:top w:w="43" w:type="dxa"/>
              <w:left w:w="86" w:type="dxa"/>
              <w:bottom w:w="58" w:type="dxa"/>
              <w:right w:w="43" w:type="dxa"/>
            </w:tcMar>
          </w:tcPr>
          <w:p w14:paraId="14D95F7E" w14:textId="77777777" w:rsidR="0057146C" w:rsidRDefault="0057146C" w:rsidP="00410442">
            <w:pPr>
              <w:rPr>
                <w:rFonts w:ascii="Arial" w:hAnsi="Arial" w:cs="Arial"/>
                <w:color w:val="000000"/>
                <w:sz w:val="18"/>
                <w:szCs w:val="18"/>
              </w:rPr>
            </w:pPr>
            <w:r>
              <w:rPr>
                <w:rFonts w:ascii="Arial" w:hAnsi="Arial" w:cs="Arial"/>
                <w:color w:val="000000"/>
                <w:sz w:val="18"/>
                <w:szCs w:val="18"/>
              </w:rPr>
              <w:t>3.5%</w:t>
            </w:r>
          </w:p>
        </w:tc>
        <w:tc>
          <w:tcPr>
            <w:tcW w:w="984" w:type="dxa"/>
            <w:tcMar>
              <w:top w:w="43" w:type="dxa"/>
              <w:left w:w="86" w:type="dxa"/>
              <w:bottom w:w="58" w:type="dxa"/>
              <w:right w:w="43" w:type="dxa"/>
            </w:tcMar>
          </w:tcPr>
          <w:p w14:paraId="72311EB1" w14:textId="77777777" w:rsidR="0057146C" w:rsidRDefault="0057146C" w:rsidP="00410442">
            <w:pPr>
              <w:rPr>
                <w:rFonts w:ascii="Arial" w:hAnsi="Arial" w:cs="Arial"/>
                <w:color w:val="000000"/>
                <w:sz w:val="18"/>
                <w:szCs w:val="18"/>
              </w:rPr>
            </w:pPr>
            <w:r>
              <w:rPr>
                <w:rFonts w:ascii="Arial" w:hAnsi="Arial" w:cs="Arial"/>
                <w:color w:val="000000"/>
                <w:sz w:val="18"/>
                <w:szCs w:val="18"/>
              </w:rPr>
              <w:t>3.5%</w:t>
            </w:r>
          </w:p>
        </w:tc>
        <w:tc>
          <w:tcPr>
            <w:tcW w:w="980" w:type="dxa"/>
            <w:tcMar>
              <w:top w:w="40" w:type="dxa"/>
              <w:left w:w="80" w:type="dxa"/>
              <w:bottom w:w="60" w:type="dxa"/>
              <w:right w:w="40" w:type="dxa"/>
            </w:tcMar>
          </w:tcPr>
          <w:p w14:paraId="617355CC" w14:textId="77777777" w:rsidR="0057146C" w:rsidRDefault="0057146C" w:rsidP="00410442">
            <w:pPr>
              <w:rPr>
                <w:rFonts w:ascii="Arial" w:hAnsi="Arial" w:cs="Arial"/>
                <w:color w:val="000000"/>
                <w:sz w:val="18"/>
                <w:szCs w:val="18"/>
              </w:rPr>
            </w:pPr>
            <w:r>
              <w:rPr>
                <w:rFonts w:ascii="Arial" w:hAnsi="Arial" w:cs="Arial"/>
                <w:color w:val="000000"/>
                <w:sz w:val="18"/>
                <w:szCs w:val="18"/>
              </w:rPr>
              <w:t>3.5%</w:t>
            </w:r>
          </w:p>
        </w:tc>
        <w:tc>
          <w:tcPr>
            <w:tcW w:w="980" w:type="dxa"/>
            <w:tcMar>
              <w:top w:w="40" w:type="dxa"/>
              <w:left w:w="80" w:type="dxa"/>
              <w:bottom w:w="60" w:type="dxa"/>
              <w:right w:w="40" w:type="dxa"/>
            </w:tcMar>
          </w:tcPr>
          <w:p w14:paraId="20AF69B9" w14:textId="77777777" w:rsidR="0057146C" w:rsidRDefault="0057146C" w:rsidP="00410442">
            <w:pPr>
              <w:rPr>
                <w:rFonts w:ascii="Arial" w:hAnsi="Arial" w:cs="Arial"/>
                <w:color w:val="000000"/>
                <w:sz w:val="18"/>
                <w:szCs w:val="18"/>
              </w:rPr>
            </w:pPr>
            <w:r>
              <w:rPr>
                <w:rFonts w:ascii="Arial" w:hAnsi="Arial" w:cs="Arial"/>
                <w:color w:val="000000"/>
                <w:sz w:val="18"/>
                <w:szCs w:val="18"/>
              </w:rPr>
              <w:t>3.3%</w:t>
            </w:r>
          </w:p>
        </w:tc>
        <w:tc>
          <w:tcPr>
            <w:tcW w:w="980" w:type="dxa"/>
            <w:tcMar>
              <w:top w:w="40" w:type="dxa"/>
              <w:left w:w="80" w:type="dxa"/>
              <w:bottom w:w="60" w:type="dxa"/>
              <w:right w:w="40" w:type="dxa"/>
            </w:tcMar>
          </w:tcPr>
          <w:p w14:paraId="0477A64B" w14:textId="77777777" w:rsidR="0057146C" w:rsidRDefault="0057146C" w:rsidP="00410442">
            <w:pPr>
              <w:rPr>
                <w:rFonts w:ascii="Arial" w:hAnsi="Arial" w:cs="Arial"/>
                <w:color w:val="000000"/>
                <w:sz w:val="18"/>
                <w:szCs w:val="18"/>
              </w:rPr>
            </w:pPr>
            <w:r>
              <w:rPr>
                <w:rFonts w:ascii="Arial" w:hAnsi="Arial" w:cs="Arial"/>
                <w:color w:val="000000"/>
                <w:sz w:val="18"/>
                <w:szCs w:val="18"/>
              </w:rPr>
              <w:t>3.3%</w:t>
            </w:r>
          </w:p>
        </w:tc>
      </w:tr>
      <w:tr w:rsidR="0057146C" w14:paraId="602E5610" w14:textId="77777777" w:rsidTr="0057146C">
        <w:trPr>
          <w:trHeight w:val="240"/>
        </w:trPr>
        <w:tc>
          <w:tcPr>
            <w:tcW w:w="2229" w:type="dxa"/>
            <w:vMerge/>
            <w:tcMar>
              <w:top w:w="40" w:type="dxa"/>
              <w:left w:w="120" w:type="dxa"/>
              <w:bottom w:w="40" w:type="dxa"/>
              <w:right w:w="40" w:type="dxa"/>
            </w:tcMar>
          </w:tcPr>
          <w:p w14:paraId="3078E236" w14:textId="77777777" w:rsidR="0057146C" w:rsidRPr="00AA148D" w:rsidRDefault="0057146C" w:rsidP="00410442">
            <w:pPr>
              <w:rPr>
                <w:rFonts w:ascii="Arial" w:hAnsi="Arial" w:cs="Arial"/>
                <w:sz w:val="18"/>
                <w:szCs w:val="18"/>
              </w:rPr>
            </w:pPr>
          </w:p>
        </w:tc>
        <w:tc>
          <w:tcPr>
            <w:tcW w:w="2142" w:type="dxa"/>
            <w:tcMar>
              <w:top w:w="40" w:type="dxa"/>
              <w:left w:w="80" w:type="dxa"/>
              <w:bottom w:w="40" w:type="dxa"/>
              <w:right w:w="40" w:type="dxa"/>
            </w:tcMar>
          </w:tcPr>
          <w:p w14:paraId="288AF3C8" w14:textId="1F09122C" w:rsidR="0057146C" w:rsidRDefault="0057146C" w:rsidP="00410442">
            <w:pPr>
              <w:rPr>
                <w:rFonts w:ascii="Arial" w:hAnsi="Arial" w:cs="Arial"/>
                <w:color w:val="000000"/>
                <w:sz w:val="18"/>
                <w:szCs w:val="18"/>
              </w:rPr>
            </w:pPr>
            <w:r>
              <w:rPr>
                <w:rFonts w:ascii="Arial" w:hAnsi="Arial" w:cs="Arial"/>
                <w:color w:val="000000"/>
                <w:sz w:val="18"/>
                <w:szCs w:val="18"/>
              </w:rPr>
              <w:t>Organic disorders</w:t>
            </w:r>
          </w:p>
        </w:tc>
        <w:tc>
          <w:tcPr>
            <w:tcW w:w="983" w:type="dxa"/>
            <w:tcMar>
              <w:top w:w="43" w:type="dxa"/>
              <w:left w:w="86" w:type="dxa"/>
              <w:bottom w:w="58" w:type="dxa"/>
              <w:right w:w="43" w:type="dxa"/>
            </w:tcMar>
          </w:tcPr>
          <w:p w14:paraId="75B7020A" w14:textId="77777777" w:rsidR="0057146C" w:rsidRDefault="0057146C" w:rsidP="00410442">
            <w:pPr>
              <w:rPr>
                <w:rFonts w:ascii="Arial" w:hAnsi="Arial" w:cs="Arial"/>
                <w:color w:val="000000"/>
                <w:sz w:val="18"/>
                <w:szCs w:val="18"/>
              </w:rPr>
            </w:pPr>
            <w:r>
              <w:rPr>
                <w:rFonts w:ascii="Arial" w:hAnsi="Arial" w:cs="Arial"/>
                <w:color w:val="000000"/>
                <w:sz w:val="18"/>
                <w:szCs w:val="18"/>
              </w:rPr>
              <w:t>3.0%</w:t>
            </w:r>
          </w:p>
        </w:tc>
        <w:tc>
          <w:tcPr>
            <w:tcW w:w="984" w:type="dxa"/>
            <w:tcMar>
              <w:top w:w="43" w:type="dxa"/>
              <w:left w:w="86" w:type="dxa"/>
              <w:bottom w:w="58" w:type="dxa"/>
              <w:right w:w="43" w:type="dxa"/>
            </w:tcMar>
          </w:tcPr>
          <w:p w14:paraId="08D6374B" w14:textId="77777777" w:rsidR="0057146C" w:rsidRDefault="0057146C" w:rsidP="00410442">
            <w:pPr>
              <w:rPr>
                <w:rFonts w:ascii="Arial" w:hAnsi="Arial" w:cs="Arial"/>
                <w:color w:val="000000"/>
                <w:sz w:val="18"/>
                <w:szCs w:val="18"/>
              </w:rPr>
            </w:pPr>
            <w:r>
              <w:rPr>
                <w:rFonts w:ascii="Arial" w:hAnsi="Arial" w:cs="Arial"/>
                <w:color w:val="000000"/>
                <w:sz w:val="18"/>
                <w:szCs w:val="18"/>
              </w:rPr>
              <w:t>2.7%</w:t>
            </w:r>
          </w:p>
        </w:tc>
        <w:tc>
          <w:tcPr>
            <w:tcW w:w="980" w:type="dxa"/>
            <w:tcMar>
              <w:top w:w="40" w:type="dxa"/>
              <w:left w:w="80" w:type="dxa"/>
              <w:bottom w:w="60" w:type="dxa"/>
              <w:right w:w="40" w:type="dxa"/>
            </w:tcMar>
          </w:tcPr>
          <w:p w14:paraId="1D13DCE3" w14:textId="77777777" w:rsidR="0057146C" w:rsidRDefault="0057146C" w:rsidP="00410442">
            <w:pPr>
              <w:rPr>
                <w:rFonts w:ascii="Arial" w:hAnsi="Arial" w:cs="Arial"/>
                <w:color w:val="000000"/>
                <w:sz w:val="18"/>
                <w:szCs w:val="18"/>
              </w:rPr>
            </w:pPr>
            <w:r>
              <w:rPr>
                <w:rFonts w:ascii="Arial" w:hAnsi="Arial" w:cs="Arial"/>
                <w:color w:val="000000"/>
                <w:sz w:val="18"/>
                <w:szCs w:val="18"/>
              </w:rPr>
              <w:t>2.6%</w:t>
            </w:r>
          </w:p>
        </w:tc>
        <w:tc>
          <w:tcPr>
            <w:tcW w:w="980" w:type="dxa"/>
            <w:tcMar>
              <w:top w:w="40" w:type="dxa"/>
              <w:left w:w="80" w:type="dxa"/>
              <w:bottom w:w="60" w:type="dxa"/>
              <w:right w:w="40" w:type="dxa"/>
            </w:tcMar>
          </w:tcPr>
          <w:p w14:paraId="1E0DC37D" w14:textId="77777777" w:rsidR="0057146C" w:rsidRDefault="0057146C" w:rsidP="00410442">
            <w:pPr>
              <w:rPr>
                <w:rFonts w:ascii="Arial" w:hAnsi="Arial" w:cs="Arial"/>
                <w:color w:val="000000"/>
                <w:sz w:val="18"/>
                <w:szCs w:val="18"/>
              </w:rPr>
            </w:pPr>
            <w:r>
              <w:rPr>
                <w:rFonts w:ascii="Arial" w:hAnsi="Arial" w:cs="Arial"/>
                <w:color w:val="000000"/>
                <w:sz w:val="18"/>
                <w:szCs w:val="18"/>
              </w:rPr>
              <w:t>2.2%</w:t>
            </w:r>
          </w:p>
        </w:tc>
        <w:tc>
          <w:tcPr>
            <w:tcW w:w="980" w:type="dxa"/>
            <w:tcMar>
              <w:top w:w="40" w:type="dxa"/>
              <w:left w:w="80" w:type="dxa"/>
              <w:bottom w:w="60" w:type="dxa"/>
              <w:right w:w="40" w:type="dxa"/>
            </w:tcMar>
          </w:tcPr>
          <w:p w14:paraId="11114FC8" w14:textId="77777777" w:rsidR="0057146C" w:rsidRDefault="0057146C" w:rsidP="00410442">
            <w:pPr>
              <w:rPr>
                <w:rFonts w:ascii="Arial" w:hAnsi="Arial" w:cs="Arial"/>
                <w:color w:val="000000"/>
                <w:sz w:val="18"/>
                <w:szCs w:val="18"/>
              </w:rPr>
            </w:pPr>
            <w:r>
              <w:rPr>
                <w:rFonts w:ascii="Arial" w:hAnsi="Arial" w:cs="Arial"/>
                <w:color w:val="000000"/>
                <w:sz w:val="18"/>
                <w:szCs w:val="18"/>
              </w:rPr>
              <w:t>2.1%</w:t>
            </w:r>
          </w:p>
        </w:tc>
      </w:tr>
      <w:tr w:rsidR="0057146C" w14:paraId="3862AB45" w14:textId="77777777" w:rsidTr="0057146C">
        <w:trPr>
          <w:trHeight w:val="240"/>
        </w:trPr>
        <w:tc>
          <w:tcPr>
            <w:tcW w:w="2229" w:type="dxa"/>
            <w:vMerge/>
            <w:tcMar>
              <w:top w:w="40" w:type="dxa"/>
              <w:left w:w="120" w:type="dxa"/>
              <w:bottom w:w="40" w:type="dxa"/>
              <w:right w:w="40" w:type="dxa"/>
            </w:tcMar>
          </w:tcPr>
          <w:p w14:paraId="6CA89CAB" w14:textId="77777777" w:rsidR="0057146C" w:rsidRPr="00AA148D" w:rsidRDefault="0057146C" w:rsidP="00410442">
            <w:pPr>
              <w:rPr>
                <w:rFonts w:ascii="Arial" w:hAnsi="Arial" w:cs="Arial"/>
                <w:sz w:val="18"/>
                <w:szCs w:val="18"/>
              </w:rPr>
            </w:pPr>
          </w:p>
        </w:tc>
        <w:tc>
          <w:tcPr>
            <w:tcW w:w="2142" w:type="dxa"/>
            <w:tcMar>
              <w:top w:w="40" w:type="dxa"/>
              <w:left w:w="80" w:type="dxa"/>
              <w:bottom w:w="40" w:type="dxa"/>
              <w:right w:w="40" w:type="dxa"/>
            </w:tcMar>
          </w:tcPr>
          <w:p w14:paraId="1B8F4BCD" w14:textId="50A853A1" w:rsidR="0057146C" w:rsidRDefault="0057146C" w:rsidP="00410442">
            <w:pPr>
              <w:rPr>
                <w:rFonts w:ascii="Arial" w:hAnsi="Arial" w:cs="Arial"/>
                <w:color w:val="000000"/>
                <w:sz w:val="18"/>
                <w:szCs w:val="18"/>
              </w:rPr>
            </w:pPr>
            <w:r>
              <w:rPr>
                <w:rFonts w:ascii="Arial" w:hAnsi="Arial" w:cs="Arial"/>
                <w:color w:val="000000"/>
                <w:sz w:val="18"/>
                <w:szCs w:val="18"/>
              </w:rPr>
              <w:t>Disorders of psychological development</w:t>
            </w:r>
          </w:p>
        </w:tc>
        <w:tc>
          <w:tcPr>
            <w:tcW w:w="983" w:type="dxa"/>
            <w:tcMar>
              <w:top w:w="43" w:type="dxa"/>
              <w:left w:w="86" w:type="dxa"/>
              <w:bottom w:w="58" w:type="dxa"/>
              <w:right w:w="43" w:type="dxa"/>
            </w:tcMar>
          </w:tcPr>
          <w:p w14:paraId="635BBEBA" w14:textId="77777777" w:rsidR="0057146C" w:rsidRDefault="0057146C" w:rsidP="00410442">
            <w:pPr>
              <w:rPr>
                <w:rFonts w:ascii="Arial" w:hAnsi="Arial" w:cs="Arial"/>
                <w:color w:val="000000"/>
                <w:sz w:val="18"/>
                <w:szCs w:val="18"/>
              </w:rPr>
            </w:pPr>
            <w:r>
              <w:rPr>
                <w:rFonts w:ascii="Arial" w:hAnsi="Arial" w:cs="Arial"/>
                <w:color w:val="000000"/>
                <w:sz w:val="18"/>
                <w:szCs w:val="18"/>
              </w:rPr>
              <w:t>1.6%</w:t>
            </w:r>
          </w:p>
        </w:tc>
        <w:tc>
          <w:tcPr>
            <w:tcW w:w="984" w:type="dxa"/>
            <w:tcMar>
              <w:top w:w="43" w:type="dxa"/>
              <w:left w:w="86" w:type="dxa"/>
              <w:bottom w:w="58" w:type="dxa"/>
              <w:right w:w="43" w:type="dxa"/>
            </w:tcMar>
          </w:tcPr>
          <w:p w14:paraId="51B0DBCE" w14:textId="77777777" w:rsidR="0057146C" w:rsidRDefault="0057146C" w:rsidP="00410442">
            <w:pPr>
              <w:rPr>
                <w:rFonts w:ascii="Arial" w:hAnsi="Arial" w:cs="Arial"/>
                <w:color w:val="000000"/>
                <w:sz w:val="18"/>
                <w:szCs w:val="18"/>
              </w:rPr>
            </w:pPr>
            <w:r>
              <w:rPr>
                <w:rFonts w:ascii="Arial" w:hAnsi="Arial" w:cs="Arial"/>
                <w:color w:val="000000"/>
                <w:sz w:val="18"/>
                <w:szCs w:val="18"/>
              </w:rPr>
              <w:t>1.9%</w:t>
            </w:r>
          </w:p>
        </w:tc>
        <w:tc>
          <w:tcPr>
            <w:tcW w:w="980" w:type="dxa"/>
            <w:tcMar>
              <w:top w:w="40" w:type="dxa"/>
              <w:left w:w="80" w:type="dxa"/>
              <w:bottom w:w="60" w:type="dxa"/>
              <w:right w:w="40" w:type="dxa"/>
            </w:tcMar>
          </w:tcPr>
          <w:p w14:paraId="08ED5FCE" w14:textId="77777777" w:rsidR="0057146C" w:rsidRDefault="0057146C" w:rsidP="00410442">
            <w:pPr>
              <w:rPr>
                <w:rFonts w:ascii="Arial" w:hAnsi="Arial" w:cs="Arial"/>
                <w:color w:val="000000"/>
                <w:sz w:val="18"/>
                <w:szCs w:val="18"/>
              </w:rPr>
            </w:pPr>
            <w:r>
              <w:rPr>
                <w:rFonts w:ascii="Arial" w:hAnsi="Arial" w:cs="Arial"/>
                <w:color w:val="000000"/>
                <w:sz w:val="18"/>
                <w:szCs w:val="18"/>
              </w:rPr>
              <w:t>1.9%</w:t>
            </w:r>
          </w:p>
        </w:tc>
        <w:tc>
          <w:tcPr>
            <w:tcW w:w="980" w:type="dxa"/>
            <w:tcMar>
              <w:top w:w="40" w:type="dxa"/>
              <w:left w:w="80" w:type="dxa"/>
              <w:bottom w:w="60" w:type="dxa"/>
              <w:right w:w="40" w:type="dxa"/>
            </w:tcMar>
          </w:tcPr>
          <w:p w14:paraId="15811FE1" w14:textId="77777777" w:rsidR="0057146C" w:rsidRDefault="0057146C" w:rsidP="00410442">
            <w:pPr>
              <w:rPr>
                <w:rFonts w:ascii="Arial" w:hAnsi="Arial" w:cs="Arial"/>
                <w:color w:val="000000"/>
                <w:sz w:val="18"/>
                <w:szCs w:val="18"/>
              </w:rPr>
            </w:pPr>
            <w:r>
              <w:rPr>
                <w:rFonts w:ascii="Arial" w:hAnsi="Arial" w:cs="Arial"/>
                <w:color w:val="000000"/>
                <w:sz w:val="18"/>
                <w:szCs w:val="18"/>
              </w:rPr>
              <w:t>2.1%</w:t>
            </w:r>
          </w:p>
        </w:tc>
        <w:tc>
          <w:tcPr>
            <w:tcW w:w="980" w:type="dxa"/>
            <w:tcMar>
              <w:top w:w="40" w:type="dxa"/>
              <w:left w:w="80" w:type="dxa"/>
              <w:bottom w:w="60" w:type="dxa"/>
              <w:right w:w="40" w:type="dxa"/>
            </w:tcMar>
          </w:tcPr>
          <w:p w14:paraId="15B0BD81" w14:textId="77777777" w:rsidR="0057146C" w:rsidRDefault="0057146C" w:rsidP="00410442">
            <w:pPr>
              <w:rPr>
                <w:rFonts w:ascii="Arial" w:hAnsi="Arial" w:cs="Arial"/>
                <w:color w:val="000000"/>
                <w:sz w:val="18"/>
                <w:szCs w:val="18"/>
              </w:rPr>
            </w:pPr>
            <w:r>
              <w:rPr>
                <w:rFonts w:ascii="Arial" w:hAnsi="Arial" w:cs="Arial"/>
                <w:color w:val="000000"/>
                <w:sz w:val="18"/>
                <w:szCs w:val="18"/>
              </w:rPr>
              <w:t>2.0%</w:t>
            </w:r>
          </w:p>
        </w:tc>
      </w:tr>
      <w:tr w:rsidR="0057146C" w14:paraId="2497FE84" w14:textId="77777777" w:rsidTr="0057146C">
        <w:trPr>
          <w:trHeight w:val="240"/>
        </w:trPr>
        <w:tc>
          <w:tcPr>
            <w:tcW w:w="2229" w:type="dxa"/>
            <w:vMerge/>
            <w:tcMar>
              <w:top w:w="40" w:type="dxa"/>
              <w:left w:w="120" w:type="dxa"/>
              <w:bottom w:w="40" w:type="dxa"/>
              <w:right w:w="40" w:type="dxa"/>
            </w:tcMar>
          </w:tcPr>
          <w:p w14:paraId="3C5152C1" w14:textId="77777777" w:rsidR="0057146C" w:rsidRPr="00AA148D" w:rsidRDefault="0057146C" w:rsidP="00410442">
            <w:pPr>
              <w:rPr>
                <w:rFonts w:ascii="Arial" w:hAnsi="Arial" w:cs="Arial"/>
                <w:sz w:val="18"/>
                <w:szCs w:val="18"/>
              </w:rPr>
            </w:pPr>
          </w:p>
        </w:tc>
        <w:tc>
          <w:tcPr>
            <w:tcW w:w="2142" w:type="dxa"/>
            <w:tcMar>
              <w:top w:w="40" w:type="dxa"/>
              <w:left w:w="80" w:type="dxa"/>
              <w:bottom w:w="40" w:type="dxa"/>
              <w:right w:w="40" w:type="dxa"/>
            </w:tcMar>
          </w:tcPr>
          <w:p w14:paraId="16E0840B" w14:textId="09D9B608" w:rsidR="0057146C" w:rsidRDefault="0057146C" w:rsidP="00410442">
            <w:pPr>
              <w:rPr>
                <w:rFonts w:ascii="Arial" w:hAnsi="Arial" w:cs="Arial"/>
                <w:color w:val="000000"/>
                <w:sz w:val="18"/>
                <w:szCs w:val="18"/>
              </w:rPr>
            </w:pPr>
            <w:r>
              <w:rPr>
                <w:rFonts w:ascii="Arial" w:hAnsi="Arial" w:cs="Arial"/>
                <w:color w:val="000000"/>
                <w:sz w:val="18"/>
                <w:szCs w:val="18"/>
              </w:rPr>
              <w:t>Disorders of childhood and adolescence</w:t>
            </w:r>
          </w:p>
        </w:tc>
        <w:tc>
          <w:tcPr>
            <w:tcW w:w="983" w:type="dxa"/>
            <w:tcMar>
              <w:top w:w="43" w:type="dxa"/>
              <w:left w:w="86" w:type="dxa"/>
              <w:bottom w:w="58" w:type="dxa"/>
              <w:right w:w="43" w:type="dxa"/>
            </w:tcMar>
          </w:tcPr>
          <w:p w14:paraId="3E3649E0" w14:textId="77777777" w:rsidR="0057146C" w:rsidRDefault="0057146C" w:rsidP="00410442">
            <w:pPr>
              <w:rPr>
                <w:rFonts w:ascii="Arial" w:hAnsi="Arial" w:cs="Arial"/>
                <w:color w:val="000000"/>
                <w:sz w:val="18"/>
                <w:szCs w:val="18"/>
              </w:rPr>
            </w:pPr>
            <w:r>
              <w:rPr>
                <w:rFonts w:ascii="Arial" w:hAnsi="Arial" w:cs="Arial"/>
                <w:color w:val="000000"/>
                <w:sz w:val="18"/>
                <w:szCs w:val="18"/>
              </w:rPr>
              <w:t>1.9%</w:t>
            </w:r>
          </w:p>
        </w:tc>
        <w:tc>
          <w:tcPr>
            <w:tcW w:w="984" w:type="dxa"/>
            <w:tcMar>
              <w:top w:w="43" w:type="dxa"/>
              <w:left w:w="86" w:type="dxa"/>
              <w:bottom w:w="58" w:type="dxa"/>
              <w:right w:w="43" w:type="dxa"/>
            </w:tcMar>
          </w:tcPr>
          <w:p w14:paraId="43BCF2D6" w14:textId="77777777" w:rsidR="0057146C" w:rsidRDefault="0057146C" w:rsidP="00410442">
            <w:pPr>
              <w:rPr>
                <w:rFonts w:ascii="Arial" w:hAnsi="Arial" w:cs="Arial"/>
                <w:color w:val="000000"/>
                <w:sz w:val="18"/>
                <w:szCs w:val="18"/>
              </w:rPr>
            </w:pPr>
            <w:r>
              <w:rPr>
                <w:rFonts w:ascii="Arial" w:hAnsi="Arial" w:cs="Arial"/>
                <w:color w:val="000000"/>
                <w:sz w:val="18"/>
                <w:szCs w:val="18"/>
              </w:rPr>
              <w:t>2.0%</w:t>
            </w:r>
          </w:p>
        </w:tc>
        <w:tc>
          <w:tcPr>
            <w:tcW w:w="980" w:type="dxa"/>
            <w:tcMar>
              <w:top w:w="40" w:type="dxa"/>
              <w:left w:w="80" w:type="dxa"/>
              <w:bottom w:w="60" w:type="dxa"/>
              <w:right w:w="40" w:type="dxa"/>
            </w:tcMar>
          </w:tcPr>
          <w:p w14:paraId="42BCDB20" w14:textId="77777777" w:rsidR="0057146C" w:rsidRDefault="0057146C" w:rsidP="00410442">
            <w:pPr>
              <w:rPr>
                <w:rFonts w:ascii="Arial" w:hAnsi="Arial" w:cs="Arial"/>
                <w:color w:val="000000"/>
                <w:sz w:val="18"/>
                <w:szCs w:val="18"/>
              </w:rPr>
            </w:pPr>
            <w:r>
              <w:rPr>
                <w:rFonts w:ascii="Arial" w:hAnsi="Arial" w:cs="Arial"/>
                <w:color w:val="000000"/>
                <w:sz w:val="18"/>
                <w:szCs w:val="18"/>
              </w:rPr>
              <w:t>1.9%</w:t>
            </w:r>
          </w:p>
        </w:tc>
        <w:tc>
          <w:tcPr>
            <w:tcW w:w="980" w:type="dxa"/>
            <w:tcMar>
              <w:top w:w="40" w:type="dxa"/>
              <w:left w:w="80" w:type="dxa"/>
              <w:bottom w:w="60" w:type="dxa"/>
              <w:right w:w="40" w:type="dxa"/>
            </w:tcMar>
          </w:tcPr>
          <w:p w14:paraId="622F3D3B" w14:textId="77777777" w:rsidR="0057146C" w:rsidRDefault="0057146C" w:rsidP="00410442">
            <w:pPr>
              <w:rPr>
                <w:rFonts w:ascii="Arial" w:hAnsi="Arial" w:cs="Arial"/>
                <w:color w:val="000000"/>
                <w:sz w:val="18"/>
                <w:szCs w:val="18"/>
              </w:rPr>
            </w:pPr>
            <w:r>
              <w:rPr>
                <w:rFonts w:ascii="Arial" w:hAnsi="Arial" w:cs="Arial"/>
                <w:color w:val="000000"/>
                <w:sz w:val="18"/>
                <w:szCs w:val="18"/>
              </w:rPr>
              <w:t>1.9%</w:t>
            </w:r>
          </w:p>
        </w:tc>
        <w:tc>
          <w:tcPr>
            <w:tcW w:w="980" w:type="dxa"/>
            <w:tcMar>
              <w:top w:w="40" w:type="dxa"/>
              <w:left w:w="80" w:type="dxa"/>
              <w:bottom w:w="60" w:type="dxa"/>
              <w:right w:w="40" w:type="dxa"/>
            </w:tcMar>
          </w:tcPr>
          <w:p w14:paraId="494CDBC5" w14:textId="77777777" w:rsidR="0057146C" w:rsidRDefault="0057146C" w:rsidP="00410442">
            <w:pPr>
              <w:rPr>
                <w:rFonts w:ascii="Arial" w:hAnsi="Arial" w:cs="Arial"/>
                <w:color w:val="000000"/>
                <w:sz w:val="18"/>
                <w:szCs w:val="18"/>
              </w:rPr>
            </w:pPr>
            <w:r>
              <w:rPr>
                <w:rFonts w:ascii="Arial" w:hAnsi="Arial" w:cs="Arial"/>
                <w:color w:val="000000"/>
                <w:sz w:val="18"/>
                <w:szCs w:val="18"/>
              </w:rPr>
              <w:t>1.9%</w:t>
            </w:r>
          </w:p>
        </w:tc>
      </w:tr>
      <w:tr w:rsidR="0057146C" w14:paraId="0132DC42" w14:textId="77777777" w:rsidTr="0057146C">
        <w:trPr>
          <w:trHeight w:val="240"/>
        </w:trPr>
        <w:tc>
          <w:tcPr>
            <w:tcW w:w="2229" w:type="dxa"/>
            <w:vMerge/>
            <w:tcMar>
              <w:top w:w="40" w:type="dxa"/>
              <w:left w:w="120" w:type="dxa"/>
              <w:bottom w:w="40" w:type="dxa"/>
              <w:right w:w="40" w:type="dxa"/>
            </w:tcMar>
          </w:tcPr>
          <w:p w14:paraId="760BE1A5" w14:textId="77777777" w:rsidR="0057146C" w:rsidRPr="00AA148D" w:rsidRDefault="0057146C" w:rsidP="00410442">
            <w:pPr>
              <w:rPr>
                <w:rFonts w:ascii="Arial" w:hAnsi="Arial" w:cs="Arial"/>
                <w:sz w:val="18"/>
                <w:szCs w:val="18"/>
              </w:rPr>
            </w:pPr>
          </w:p>
        </w:tc>
        <w:tc>
          <w:tcPr>
            <w:tcW w:w="2142" w:type="dxa"/>
            <w:tcMar>
              <w:top w:w="40" w:type="dxa"/>
              <w:left w:w="80" w:type="dxa"/>
              <w:bottom w:w="40" w:type="dxa"/>
              <w:right w:w="40" w:type="dxa"/>
            </w:tcMar>
          </w:tcPr>
          <w:p w14:paraId="40DC7306" w14:textId="00290330" w:rsidR="0057146C" w:rsidRDefault="0057146C" w:rsidP="00410442">
            <w:pPr>
              <w:rPr>
                <w:rFonts w:ascii="Arial" w:hAnsi="Arial" w:cs="Arial"/>
                <w:color w:val="000000"/>
                <w:sz w:val="18"/>
                <w:szCs w:val="18"/>
              </w:rPr>
            </w:pPr>
            <w:r>
              <w:rPr>
                <w:rFonts w:ascii="Arial" w:hAnsi="Arial" w:cs="Arial"/>
                <w:color w:val="000000"/>
                <w:sz w:val="18"/>
                <w:szCs w:val="18"/>
              </w:rPr>
              <w:t>Eating disorders</w:t>
            </w:r>
          </w:p>
        </w:tc>
        <w:tc>
          <w:tcPr>
            <w:tcW w:w="983" w:type="dxa"/>
            <w:tcMar>
              <w:top w:w="43" w:type="dxa"/>
              <w:left w:w="86" w:type="dxa"/>
              <w:bottom w:w="58" w:type="dxa"/>
              <w:right w:w="43" w:type="dxa"/>
            </w:tcMar>
          </w:tcPr>
          <w:p w14:paraId="64357F39" w14:textId="77777777" w:rsidR="0057146C" w:rsidRDefault="0057146C" w:rsidP="00410442">
            <w:pPr>
              <w:rPr>
                <w:rFonts w:ascii="Arial" w:hAnsi="Arial" w:cs="Arial"/>
                <w:color w:val="000000"/>
                <w:sz w:val="18"/>
                <w:szCs w:val="18"/>
              </w:rPr>
            </w:pPr>
            <w:r>
              <w:rPr>
                <w:rFonts w:ascii="Arial" w:hAnsi="Arial" w:cs="Arial"/>
                <w:color w:val="000000"/>
                <w:sz w:val="18"/>
                <w:szCs w:val="18"/>
              </w:rPr>
              <w:t>1.5%</w:t>
            </w:r>
          </w:p>
        </w:tc>
        <w:tc>
          <w:tcPr>
            <w:tcW w:w="984" w:type="dxa"/>
            <w:tcMar>
              <w:top w:w="43" w:type="dxa"/>
              <w:left w:w="86" w:type="dxa"/>
              <w:bottom w:w="58" w:type="dxa"/>
              <w:right w:w="43" w:type="dxa"/>
            </w:tcMar>
          </w:tcPr>
          <w:p w14:paraId="735EA9EF" w14:textId="77777777" w:rsidR="0057146C" w:rsidRDefault="0057146C" w:rsidP="00410442">
            <w:pPr>
              <w:rPr>
                <w:rFonts w:ascii="Arial" w:hAnsi="Arial" w:cs="Arial"/>
                <w:color w:val="000000"/>
                <w:sz w:val="18"/>
                <w:szCs w:val="18"/>
              </w:rPr>
            </w:pPr>
            <w:r>
              <w:rPr>
                <w:rFonts w:ascii="Arial" w:hAnsi="Arial" w:cs="Arial"/>
                <w:color w:val="000000"/>
                <w:sz w:val="18"/>
                <w:szCs w:val="18"/>
              </w:rPr>
              <w:t>1.5%</w:t>
            </w:r>
          </w:p>
        </w:tc>
        <w:tc>
          <w:tcPr>
            <w:tcW w:w="980" w:type="dxa"/>
            <w:tcMar>
              <w:top w:w="40" w:type="dxa"/>
              <w:left w:w="80" w:type="dxa"/>
              <w:bottom w:w="60" w:type="dxa"/>
              <w:right w:w="40" w:type="dxa"/>
            </w:tcMar>
          </w:tcPr>
          <w:p w14:paraId="11AA3C2C" w14:textId="77777777" w:rsidR="0057146C" w:rsidRDefault="0057146C" w:rsidP="00410442">
            <w:pPr>
              <w:rPr>
                <w:rFonts w:ascii="Arial" w:hAnsi="Arial" w:cs="Arial"/>
                <w:color w:val="000000"/>
                <w:sz w:val="18"/>
                <w:szCs w:val="18"/>
              </w:rPr>
            </w:pPr>
            <w:r>
              <w:rPr>
                <w:rFonts w:ascii="Arial" w:hAnsi="Arial" w:cs="Arial"/>
                <w:color w:val="000000"/>
                <w:sz w:val="18"/>
                <w:szCs w:val="18"/>
              </w:rPr>
              <w:t>1.5%</w:t>
            </w:r>
          </w:p>
        </w:tc>
        <w:tc>
          <w:tcPr>
            <w:tcW w:w="980" w:type="dxa"/>
            <w:tcMar>
              <w:top w:w="40" w:type="dxa"/>
              <w:left w:w="80" w:type="dxa"/>
              <w:bottom w:w="60" w:type="dxa"/>
              <w:right w:w="40" w:type="dxa"/>
            </w:tcMar>
          </w:tcPr>
          <w:p w14:paraId="4AD331AF" w14:textId="77777777" w:rsidR="0057146C" w:rsidRDefault="0057146C" w:rsidP="00410442">
            <w:pPr>
              <w:rPr>
                <w:rFonts w:ascii="Arial" w:hAnsi="Arial" w:cs="Arial"/>
                <w:color w:val="000000"/>
                <w:sz w:val="18"/>
                <w:szCs w:val="18"/>
              </w:rPr>
            </w:pPr>
            <w:r>
              <w:rPr>
                <w:rFonts w:ascii="Arial" w:hAnsi="Arial" w:cs="Arial"/>
                <w:color w:val="000000"/>
                <w:sz w:val="18"/>
                <w:szCs w:val="18"/>
              </w:rPr>
              <w:t>1.6%</w:t>
            </w:r>
          </w:p>
        </w:tc>
        <w:tc>
          <w:tcPr>
            <w:tcW w:w="980" w:type="dxa"/>
            <w:tcMar>
              <w:top w:w="40" w:type="dxa"/>
              <w:left w:w="80" w:type="dxa"/>
              <w:bottom w:w="60" w:type="dxa"/>
              <w:right w:w="40" w:type="dxa"/>
            </w:tcMar>
          </w:tcPr>
          <w:p w14:paraId="2325EE47" w14:textId="77777777" w:rsidR="0057146C" w:rsidRDefault="0057146C" w:rsidP="00410442">
            <w:pPr>
              <w:rPr>
                <w:rFonts w:ascii="Arial" w:hAnsi="Arial" w:cs="Arial"/>
                <w:color w:val="000000"/>
                <w:sz w:val="18"/>
                <w:szCs w:val="18"/>
              </w:rPr>
            </w:pPr>
            <w:r>
              <w:rPr>
                <w:rFonts w:ascii="Arial" w:hAnsi="Arial" w:cs="Arial"/>
                <w:color w:val="000000"/>
                <w:sz w:val="18"/>
                <w:szCs w:val="18"/>
              </w:rPr>
              <w:t>1.6%</w:t>
            </w:r>
          </w:p>
        </w:tc>
      </w:tr>
      <w:tr w:rsidR="0057146C" w14:paraId="15EF0575" w14:textId="77777777" w:rsidTr="0057146C">
        <w:trPr>
          <w:trHeight w:val="240"/>
        </w:trPr>
        <w:tc>
          <w:tcPr>
            <w:tcW w:w="2229" w:type="dxa"/>
            <w:vMerge/>
            <w:tcMar>
              <w:top w:w="40" w:type="dxa"/>
              <w:left w:w="120" w:type="dxa"/>
              <w:bottom w:w="40" w:type="dxa"/>
              <w:right w:w="40" w:type="dxa"/>
            </w:tcMar>
          </w:tcPr>
          <w:p w14:paraId="173887E0" w14:textId="77777777" w:rsidR="0057146C" w:rsidRPr="00AA148D" w:rsidRDefault="0057146C" w:rsidP="00410442">
            <w:pPr>
              <w:rPr>
                <w:rFonts w:ascii="Arial" w:hAnsi="Arial" w:cs="Arial"/>
                <w:sz w:val="18"/>
                <w:szCs w:val="18"/>
              </w:rPr>
            </w:pPr>
          </w:p>
        </w:tc>
        <w:tc>
          <w:tcPr>
            <w:tcW w:w="2142" w:type="dxa"/>
            <w:tcMar>
              <w:top w:w="40" w:type="dxa"/>
              <w:left w:w="80" w:type="dxa"/>
              <w:bottom w:w="40" w:type="dxa"/>
              <w:right w:w="40" w:type="dxa"/>
            </w:tcMar>
          </w:tcPr>
          <w:p w14:paraId="6EC1632E" w14:textId="77777777" w:rsidR="0057146C" w:rsidRDefault="0057146C" w:rsidP="00410442">
            <w:pPr>
              <w:rPr>
                <w:rFonts w:ascii="Arial" w:hAnsi="Arial" w:cs="Arial"/>
                <w:color w:val="000000"/>
                <w:sz w:val="18"/>
                <w:szCs w:val="18"/>
              </w:rPr>
            </w:pPr>
            <w:r>
              <w:rPr>
                <w:rFonts w:ascii="Arial" w:hAnsi="Arial" w:cs="Arial"/>
                <w:color w:val="000000"/>
                <w:sz w:val="18"/>
                <w:szCs w:val="18"/>
              </w:rPr>
              <w:t>Other</w:t>
            </w:r>
          </w:p>
        </w:tc>
        <w:tc>
          <w:tcPr>
            <w:tcW w:w="983" w:type="dxa"/>
            <w:tcMar>
              <w:top w:w="43" w:type="dxa"/>
              <w:left w:w="86" w:type="dxa"/>
              <w:bottom w:w="58" w:type="dxa"/>
              <w:right w:w="43" w:type="dxa"/>
            </w:tcMar>
          </w:tcPr>
          <w:p w14:paraId="0C06DA02" w14:textId="77777777" w:rsidR="0057146C" w:rsidRDefault="0057146C" w:rsidP="00410442">
            <w:pPr>
              <w:rPr>
                <w:rFonts w:ascii="Arial" w:hAnsi="Arial" w:cs="Arial"/>
                <w:color w:val="000000"/>
                <w:sz w:val="18"/>
                <w:szCs w:val="18"/>
              </w:rPr>
            </w:pPr>
            <w:r>
              <w:rPr>
                <w:rFonts w:ascii="Arial" w:hAnsi="Arial" w:cs="Arial"/>
                <w:color w:val="000000"/>
                <w:sz w:val="18"/>
                <w:szCs w:val="18"/>
              </w:rPr>
              <w:t>1.1%</w:t>
            </w:r>
          </w:p>
        </w:tc>
        <w:tc>
          <w:tcPr>
            <w:tcW w:w="984" w:type="dxa"/>
            <w:tcMar>
              <w:top w:w="43" w:type="dxa"/>
              <w:left w:w="86" w:type="dxa"/>
              <w:bottom w:w="58" w:type="dxa"/>
              <w:right w:w="43" w:type="dxa"/>
            </w:tcMar>
          </w:tcPr>
          <w:p w14:paraId="7DE62503" w14:textId="77777777" w:rsidR="0057146C" w:rsidRDefault="0057146C" w:rsidP="00410442">
            <w:pPr>
              <w:rPr>
                <w:rFonts w:ascii="Arial" w:hAnsi="Arial" w:cs="Arial"/>
                <w:color w:val="000000"/>
                <w:sz w:val="18"/>
                <w:szCs w:val="18"/>
              </w:rPr>
            </w:pPr>
            <w:r>
              <w:rPr>
                <w:rFonts w:ascii="Arial" w:hAnsi="Arial" w:cs="Arial"/>
                <w:color w:val="000000"/>
                <w:sz w:val="18"/>
                <w:szCs w:val="18"/>
              </w:rPr>
              <w:t>1.1%</w:t>
            </w:r>
          </w:p>
        </w:tc>
        <w:tc>
          <w:tcPr>
            <w:tcW w:w="980" w:type="dxa"/>
            <w:tcMar>
              <w:top w:w="40" w:type="dxa"/>
              <w:left w:w="80" w:type="dxa"/>
              <w:bottom w:w="60" w:type="dxa"/>
              <w:right w:w="40" w:type="dxa"/>
            </w:tcMar>
          </w:tcPr>
          <w:p w14:paraId="0126DD54" w14:textId="77777777" w:rsidR="0057146C" w:rsidRDefault="0057146C" w:rsidP="00410442">
            <w:pPr>
              <w:rPr>
                <w:rFonts w:ascii="Arial" w:hAnsi="Arial" w:cs="Arial"/>
                <w:color w:val="000000"/>
                <w:sz w:val="18"/>
                <w:szCs w:val="18"/>
              </w:rPr>
            </w:pPr>
            <w:r>
              <w:rPr>
                <w:rFonts w:ascii="Arial" w:hAnsi="Arial" w:cs="Arial"/>
                <w:color w:val="000000"/>
                <w:sz w:val="18"/>
                <w:szCs w:val="18"/>
              </w:rPr>
              <w:t>1.0%</w:t>
            </w:r>
          </w:p>
        </w:tc>
        <w:tc>
          <w:tcPr>
            <w:tcW w:w="980" w:type="dxa"/>
            <w:tcMar>
              <w:top w:w="40" w:type="dxa"/>
              <w:left w:w="80" w:type="dxa"/>
              <w:bottom w:w="60" w:type="dxa"/>
              <w:right w:w="40" w:type="dxa"/>
            </w:tcMar>
          </w:tcPr>
          <w:p w14:paraId="4B058F18" w14:textId="77777777" w:rsidR="0057146C" w:rsidRDefault="0057146C" w:rsidP="00410442">
            <w:pPr>
              <w:rPr>
                <w:rFonts w:ascii="Arial" w:hAnsi="Arial" w:cs="Arial"/>
                <w:color w:val="000000"/>
                <w:sz w:val="18"/>
                <w:szCs w:val="18"/>
              </w:rPr>
            </w:pPr>
            <w:r>
              <w:rPr>
                <w:rFonts w:ascii="Arial" w:hAnsi="Arial" w:cs="Arial"/>
                <w:color w:val="000000"/>
                <w:sz w:val="18"/>
                <w:szCs w:val="18"/>
              </w:rPr>
              <w:t>1.0%</w:t>
            </w:r>
          </w:p>
        </w:tc>
        <w:tc>
          <w:tcPr>
            <w:tcW w:w="980" w:type="dxa"/>
            <w:tcMar>
              <w:top w:w="40" w:type="dxa"/>
              <w:left w:w="80" w:type="dxa"/>
              <w:bottom w:w="60" w:type="dxa"/>
              <w:right w:w="40" w:type="dxa"/>
            </w:tcMar>
          </w:tcPr>
          <w:p w14:paraId="2F4F72AC" w14:textId="77777777" w:rsidR="0057146C" w:rsidRDefault="0057146C" w:rsidP="00410442">
            <w:pPr>
              <w:rPr>
                <w:rFonts w:ascii="Arial" w:hAnsi="Arial" w:cs="Arial"/>
                <w:color w:val="000000"/>
                <w:sz w:val="18"/>
                <w:szCs w:val="18"/>
              </w:rPr>
            </w:pPr>
            <w:r>
              <w:rPr>
                <w:rFonts w:ascii="Arial" w:hAnsi="Arial" w:cs="Arial"/>
                <w:color w:val="000000"/>
                <w:sz w:val="18"/>
                <w:szCs w:val="18"/>
              </w:rPr>
              <w:t>1.0%</w:t>
            </w:r>
          </w:p>
        </w:tc>
      </w:tr>
      <w:tr w:rsidR="0057146C" w14:paraId="5E5AF1C3" w14:textId="77777777" w:rsidTr="0057146C">
        <w:trPr>
          <w:trHeight w:val="240"/>
        </w:trPr>
        <w:tc>
          <w:tcPr>
            <w:tcW w:w="2229" w:type="dxa"/>
            <w:vMerge/>
            <w:tcMar>
              <w:top w:w="40" w:type="dxa"/>
              <w:left w:w="120" w:type="dxa"/>
              <w:bottom w:w="40" w:type="dxa"/>
              <w:right w:w="40" w:type="dxa"/>
            </w:tcMar>
          </w:tcPr>
          <w:p w14:paraId="0DB10C3C" w14:textId="77777777" w:rsidR="0057146C" w:rsidRPr="00AA148D" w:rsidRDefault="0057146C" w:rsidP="00410442">
            <w:pPr>
              <w:rPr>
                <w:rFonts w:ascii="Arial" w:hAnsi="Arial" w:cs="Arial"/>
                <w:sz w:val="18"/>
                <w:szCs w:val="18"/>
              </w:rPr>
            </w:pPr>
          </w:p>
        </w:tc>
        <w:tc>
          <w:tcPr>
            <w:tcW w:w="2142" w:type="dxa"/>
            <w:tcMar>
              <w:top w:w="40" w:type="dxa"/>
              <w:left w:w="80" w:type="dxa"/>
              <w:bottom w:w="40" w:type="dxa"/>
              <w:right w:w="40" w:type="dxa"/>
            </w:tcMar>
          </w:tcPr>
          <w:p w14:paraId="5C2F0C26" w14:textId="08FCB993" w:rsidR="0057146C" w:rsidRDefault="0057146C" w:rsidP="00410442">
            <w:pPr>
              <w:rPr>
                <w:rFonts w:ascii="Arial" w:hAnsi="Arial" w:cs="Arial"/>
                <w:color w:val="000000"/>
                <w:sz w:val="18"/>
                <w:szCs w:val="18"/>
              </w:rPr>
            </w:pPr>
            <w:r>
              <w:rPr>
                <w:rFonts w:ascii="Arial" w:hAnsi="Arial" w:cs="Arial"/>
                <w:color w:val="000000"/>
                <w:sz w:val="18"/>
                <w:szCs w:val="18"/>
              </w:rPr>
              <w:t>Obsessive compulsive disorders</w:t>
            </w:r>
          </w:p>
        </w:tc>
        <w:tc>
          <w:tcPr>
            <w:tcW w:w="983" w:type="dxa"/>
            <w:tcMar>
              <w:top w:w="43" w:type="dxa"/>
              <w:left w:w="86" w:type="dxa"/>
              <w:bottom w:w="58" w:type="dxa"/>
              <w:right w:w="43" w:type="dxa"/>
            </w:tcMar>
          </w:tcPr>
          <w:p w14:paraId="13F1EA0B" w14:textId="77777777" w:rsidR="0057146C" w:rsidRDefault="0057146C" w:rsidP="00410442">
            <w:pPr>
              <w:rPr>
                <w:rFonts w:ascii="Arial" w:hAnsi="Arial" w:cs="Arial"/>
                <w:color w:val="000000"/>
                <w:sz w:val="18"/>
                <w:szCs w:val="18"/>
              </w:rPr>
            </w:pPr>
            <w:r>
              <w:rPr>
                <w:rFonts w:ascii="Arial" w:hAnsi="Arial" w:cs="Arial"/>
                <w:color w:val="000000"/>
                <w:sz w:val="18"/>
                <w:szCs w:val="18"/>
              </w:rPr>
              <w:t>0.5%</w:t>
            </w:r>
          </w:p>
        </w:tc>
        <w:tc>
          <w:tcPr>
            <w:tcW w:w="984" w:type="dxa"/>
            <w:tcMar>
              <w:top w:w="43" w:type="dxa"/>
              <w:left w:w="86" w:type="dxa"/>
              <w:bottom w:w="58" w:type="dxa"/>
              <w:right w:w="43" w:type="dxa"/>
            </w:tcMar>
          </w:tcPr>
          <w:p w14:paraId="42AC727A" w14:textId="77777777" w:rsidR="0057146C" w:rsidRDefault="0057146C" w:rsidP="00410442">
            <w:pPr>
              <w:rPr>
                <w:rFonts w:ascii="Arial" w:hAnsi="Arial" w:cs="Arial"/>
                <w:color w:val="000000"/>
                <w:sz w:val="18"/>
                <w:szCs w:val="18"/>
              </w:rPr>
            </w:pPr>
            <w:r>
              <w:rPr>
                <w:rFonts w:ascii="Arial" w:hAnsi="Arial" w:cs="Arial"/>
                <w:color w:val="000000"/>
                <w:sz w:val="18"/>
                <w:szCs w:val="18"/>
              </w:rPr>
              <w:t>0.5%</w:t>
            </w:r>
          </w:p>
        </w:tc>
        <w:tc>
          <w:tcPr>
            <w:tcW w:w="980" w:type="dxa"/>
            <w:tcMar>
              <w:top w:w="40" w:type="dxa"/>
              <w:left w:w="80" w:type="dxa"/>
              <w:bottom w:w="60" w:type="dxa"/>
              <w:right w:w="40" w:type="dxa"/>
            </w:tcMar>
          </w:tcPr>
          <w:p w14:paraId="6CB07AEC" w14:textId="77777777" w:rsidR="0057146C" w:rsidRDefault="0057146C" w:rsidP="00410442">
            <w:pPr>
              <w:rPr>
                <w:rFonts w:ascii="Arial" w:hAnsi="Arial" w:cs="Arial"/>
                <w:color w:val="000000"/>
                <w:sz w:val="18"/>
                <w:szCs w:val="18"/>
              </w:rPr>
            </w:pPr>
            <w:r>
              <w:rPr>
                <w:rFonts w:ascii="Arial" w:hAnsi="Arial" w:cs="Arial"/>
                <w:color w:val="000000"/>
                <w:sz w:val="18"/>
                <w:szCs w:val="18"/>
              </w:rPr>
              <w:t>0.5%</w:t>
            </w:r>
          </w:p>
        </w:tc>
        <w:tc>
          <w:tcPr>
            <w:tcW w:w="980" w:type="dxa"/>
            <w:tcMar>
              <w:top w:w="40" w:type="dxa"/>
              <w:left w:w="80" w:type="dxa"/>
              <w:bottom w:w="60" w:type="dxa"/>
              <w:right w:w="40" w:type="dxa"/>
            </w:tcMar>
          </w:tcPr>
          <w:p w14:paraId="4968B050" w14:textId="77777777" w:rsidR="0057146C" w:rsidRDefault="0057146C" w:rsidP="00410442">
            <w:pPr>
              <w:rPr>
                <w:rFonts w:ascii="Arial" w:hAnsi="Arial" w:cs="Arial"/>
                <w:color w:val="000000"/>
                <w:sz w:val="18"/>
                <w:szCs w:val="18"/>
              </w:rPr>
            </w:pPr>
            <w:r>
              <w:rPr>
                <w:rFonts w:ascii="Arial" w:hAnsi="Arial" w:cs="Arial"/>
                <w:color w:val="000000"/>
                <w:sz w:val="18"/>
                <w:szCs w:val="18"/>
              </w:rPr>
              <w:t>0.5%</w:t>
            </w:r>
          </w:p>
        </w:tc>
        <w:tc>
          <w:tcPr>
            <w:tcW w:w="980" w:type="dxa"/>
            <w:tcMar>
              <w:top w:w="40" w:type="dxa"/>
              <w:left w:w="80" w:type="dxa"/>
              <w:bottom w:w="60" w:type="dxa"/>
              <w:right w:w="40" w:type="dxa"/>
            </w:tcMar>
          </w:tcPr>
          <w:p w14:paraId="5040BB36" w14:textId="77777777" w:rsidR="0057146C" w:rsidRDefault="0057146C" w:rsidP="00410442">
            <w:pPr>
              <w:rPr>
                <w:rFonts w:ascii="Arial" w:hAnsi="Arial" w:cs="Arial"/>
                <w:color w:val="000000"/>
                <w:sz w:val="18"/>
                <w:szCs w:val="18"/>
              </w:rPr>
            </w:pPr>
            <w:r>
              <w:rPr>
                <w:rFonts w:ascii="Arial" w:hAnsi="Arial" w:cs="Arial"/>
                <w:color w:val="000000"/>
                <w:sz w:val="18"/>
                <w:szCs w:val="18"/>
              </w:rPr>
              <w:t>0.5%</w:t>
            </w:r>
          </w:p>
        </w:tc>
      </w:tr>
      <w:tr w:rsidR="0057146C" w14:paraId="105B6B33" w14:textId="77777777" w:rsidTr="0057146C">
        <w:trPr>
          <w:trHeight w:val="240"/>
        </w:trPr>
        <w:tc>
          <w:tcPr>
            <w:tcW w:w="2229" w:type="dxa"/>
            <w:vMerge/>
            <w:tcMar>
              <w:top w:w="40" w:type="dxa"/>
              <w:left w:w="120" w:type="dxa"/>
              <w:bottom w:w="40" w:type="dxa"/>
              <w:right w:w="40" w:type="dxa"/>
            </w:tcMar>
          </w:tcPr>
          <w:p w14:paraId="61F9BC4D" w14:textId="77777777" w:rsidR="0057146C" w:rsidRPr="00AA148D" w:rsidRDefault="0057146C" w:rsidP="00410442">
            <w:pPr>
              <w:rPr>
                <w:rFonts w:ascii="Arial" w:hAnsi="Arial" w:cs="Arial"/>
                <w:sz w:val="18"/>
                <w:szCs w:val="18"/>
              </w:rPr>
            </w:pPr>
          </w:p>
        </w:tc>
        <w:tc>
          <w:tcPr>
            <w:tcW w:w="2142" w:type="dxa"/>
            <w:tcMar>
              <w:top w:w="40" w:type="dxa"/>
              <w:left w:w="80" w:type="dxa"/>
              <w:bottom w:w="40" w:type="dxa"/>
              <w:right w:w="40" w:type="dxa"/>
            </w:tcMar>
          </w:tcPr>
          <w:p w14:paraId="44B9B67B" w14:textId="77777777" w:rsidR="0057146C" w:rsidRDefault="0057146C" w:rsidP="00410442">
            <w:pPr>
              <w:rPr>
                <w:rFonts w:ascii="Arial" w:hAnsi="Arial" w:cs="Arial"/>
                <w:color w:val="000000"/>
                <w:sz w:val="18"/>
                <w:szCs w:val="18"/>
              </w:rPr>
            </w:pPr>
            <w:r>
              <w:rPr>
                <w:rFonts w:ascii="Arial" w:hAnsi="Arial" w:cs="Arial"/>
                <w:color w:val="000000"/>
                <w:sz w:val="18"/>
                <w:szCs w:val="18"/>
              </w:rPr>
              <w:t>No mental health diagnosis recorded</w:t>
            </w:r>
          </w:p>
        </w:tc>
        <w:tc>
          <w:tcPr>
            <w:tcW w:w="983" w:type="dxa"/>
            <w:tcMar>
              <w:top w:w="43" w:type="dxa"/>
              <w:left w:w="86" w:type="dxa"/>
              <w:bottom w:w="58" w:type="dxa"/>
              <w:right w:w="43" w:type="dxa"/>
            </w:tcMar>
          </w:tcPr>
          <w:p w14:paraId="239A64BA" w14:textId="77777777" w:rsidR="0057146C" w:rsidRDefault="0057146C" w:rsidP="00410442">
            <w:pPr>
              <w:rPr>
                <w:rFonts w:ascii="Arial" w:hAnsi="Arial" w:cs="Arial"/>
                <w:color w:val="000000"/>
                <w:sz w:val="18"/>
                <w:szCs w:val="18"/>
              </w:rPr>
            </w:pPr>
            <w:r>
              <w:rPr>
                <w:rFonts w:ascii="Arial" w:hAnsi="Arial" w:cs="Arial"/>
                <w:color w:val="000000"/>
                <w:sz w:val="18"/>
                <w:szCs w:val="18"/>
              </w:rPr>
              <w:t>23.9%</w:t>
            </w:r>
          </w:p>
        </w:tc>
        <w:tc>
          <w:tcPr>
            <w:tcW w:w="984" w:type="dxa"/>
            <w:tcMar>
              <w:top w:w="43" w:type="dxa"/>
              <w:left w:w="86" w:type="dxa"/>
              <w:bottom w:w="58" w:type="dxa"/>
              <w:right w:w="43" w:type="dxa"/>
            </w:tcMar>
          </w:tcPr>
          <w:p w14:paraId="7516F774" w14:textId="77777777" w:rsidR="0057146C" w:rsidRDefault="0057146C" w:rsidP="00410442">
            <w:pPr>
              <w:rPr>
                <w:rFonts w:ascii="Arial" w:hAnsi="Arial" w:cs="Arial"/>
                <w:color w:val="000000"/>
                <w:sz w:val="18"/>
                <w:szCs w:val="18"/>
              </w:rPr>
            </w:pPr>
            <w:r>
              <w:rPr>
                <w:rFonts w:ascii="Arial" w:hAnsi="Arial" w:cs="Arial"/>
                <w:color w:val="000000"/>
                <w:sz w:val="18"/>
                <w:szCs w:val="18"/>
              </w:rPr>
              <w:t>22.5%</w:t>
            </w:r>
          </w:p>
        </w:tc>
        <w:tc>
          <w:tcPr>
            <w:tcW w:w="980" w:type="dxa"/>
            <w:tcMar>
              <w:top w:w="40" w:type="dxa"/>
              <w:left w:w="80" w:type="dxa"/>
              <w:bottom w:w="60" w:type="dxa"/>
              <w:right w:w="40" w:type="dxa"/>
            </w:tcMar>
          </w:tcPr>
          <w:p w14:paraId="0D200CB6" w14:textId="77777777" w:rsidR="0057146C" w:rsidRDefault="0057146C" w:rsidP="00410442">
            <w:pPr>
              <w:rPr>
                <w:rFonts w:ascii="Arial" w:hAnsi="Arial" w:cs="Arial"/>
                <w:color w:val="000000"/>
                <w:sz w:val="18"/>
                <w:szCs w:val="18"/>
              </w:rPr>
            </w:pPr>
            <w:r>
              <w:rPr>
                <w:rFonts w:ascii="Arial" w:hAnsi="Arial" w:cs="Arial"/>
                <w:color w:val="000000"/>
                <w:sz w:val="18"/>
                <w:szCs w:val="18"/>
              </w:rPr>
              <w:t>23.3%</w:t>
            </w:r>
          </w:p>
        </w:tc>
        <w:tc>
          <w:tcPr>
            <w:tcW w:w="980" w:type="dxa"/>
            <w:tcMar>
              <w:top w:w="40" w:type="dxa"/>
              <w:left w:w="80" w:type="dxa"/>
              <w:bottom w:w="60" w:type="dxa"/>
              <w:right w:w="40" w:type="dxa"/>
            </w:tcMar>
          </w:tcPr>
          <w:p w14:paraId="2194676E" w14:textId="77777777" w:rsidR="0057146C" w:rsidRDefault="0057146C" w:rsidP="00410442">
            <w:pPr>
              <w:rPr>
                <w:rFonts w:ascii="Arial" w:hAnsi="Arial" w:cs="Arial"/>
                <w:color w:val="000000"/>
                <w:sz w:val="18"/>
                <w:szCs w:val="18"/>
              </w:rPr>
            </w:pPr>
            <w:r>
              <w:rPr>
                <w:rFonts w:ascii="Arial" w:hAnsi="Arial" w:cs="Arial"/>
                <w:color w:val="000000"/>
                <w:sz w:val="18"/>
                <w:szCs w:val="18"/>
              </w:rPr>
              <w:t>24.0%</w:t>
            </w:r>
          </w:p>
        </w:tc>
        <w:tc>
          <w:tcPr>
            <w:tcW w:w="980" w:type="dxa"/>
            <w:tcMar>
              <w:top w:w="40" w:type="dxa"/>
              <w:left w:w="80" w:type="dxa"/>
              <w:bottom w:w="60" w:type="dxa"/>
              <w:right w:w="40" w:type="dxa"/>
            </w:tcMar>
          </w:tcPr>
          <w:p w14:paraId="55509B1C" w14:textId="77777777" w:rsidR="0057146C" w:rsidRDefault="0057146C" w:rsidP="00410442">
            <w:pPr>
              <w:rPr>
                <w:rFonts w:ascii="Arial" w:hAnsi="Arial" w:cs="Arial"/>
                <w:color w:val="000000"/>
                <w:sz w:val="18"/>
                <w:szCs w:val="18"/>
              </w:rPr>
            </w:pPr>
            <w:r>
              <w:rPr>
                <w:rFonts w:ascii="Arial" w:hAnsi="Arial" w:cs="Arial"/>
                <w:color w:val="000000"/>
                <w:sz w:val="18"/>
                <w:szCs w:val="18"/>
              </w:rPr>
              <w:t>24.7%</w:t>
            </w:r>
          </w:p>
        </w:tc>
      </w:tr>
      <w:tr w:rsidR="00D31EA2" w14:paraId="4D4927BC" w14:textId="77777777" w:rsidTr="0057146C">
        <w:trPr>
          <w:trHeight w:val="240"/>
        </w:trPr>
        <w:tc>
          <w:tcPr>
            <w:tcW w:w="2229" w:type="dxa"/>
            <w:vMerge w:val="restart"/>
            <w:tcMar>
              <w:top w:w="40" w:type="dxa"/>
              <w:left w:w="120" w:type="dxa"/>
              <w:bottom w:w="40" w:type="dxa"/>
              <w:right w:w="40" w:type="dxa"/>
            </w:tcMar>
          </w:tcPr>
          <w:p w14:paraId="1E2C37D4"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Referral source (newly referred consumers only) (%)</w:t>
            </w:r>
          </w:p>
        </w:tc>
        <w:tc>
          <w:tcPr>
            <w:tcW w:w="2142" w:type="dxa"/>
            <w:tcMar>
              <w:top w:w="40" w:type="dxa"/>
              <w:left w:w="80" w:type="dxa"/>
              <w:bottom w:w="40" w:type="dxa"/>
              <w:right w:w="40" w:type="dxa"/>
            </w:tcMar>
          </w:tcPr>
          <w:p w14:paraId="2166919D" w14:textId="77777777" w:rsidR="00D31EA2" w:rsidRDefault="00D31EA2" w:rsidP="00410442">
            <w:pPr>
              <w:rPr>
                <w:rFonts w:ascii="Arial" w:hAnsi="Arial" w:cs="Arial"/>
                <w:color w:val="000000"/>
                <w:sz w:val="18"/>
                <w:szCs w:val="18"/>
              </w:rPr>
            </w:pPr>
            <w:r>
              <w:rPr>
                <w:rFonts w:ascii="Arial" w:hAnsi="Arial" w:cs="Arial"/>
                <w:color w:val="000000"/>
                <w:sz w:val="18"/>
                <w:szCs w:val="18"/>
              </w:rPr>
              <w:t>Acute health</w:t>
            </w:r>
          </w:p>
        </w:tc>
        <w:tc>
          <w:tcPr>
            <w:tcW w:w="983" w:type="dxa"/>
            <w:tcMar>
              <w:top w:w="43" w:type="dxa"/>
              <w:left w:w="86" w:type="dxa"/>
              <w:bottom w:w="58" w:type="dxa"/>
              <w:right w:w="43" w:type="dxa"/>
            </w:tcMar>
          </w:tcPr>
          <w:p w14:paraId="76ED0674" w14:textId="77777777" w:rsidR="00D31EA2" w:rsidRDefault="00D31EA2" w:rsidP="00410442">
            <w:pPr>
              <w:rPr>
                <w:rFonts w:ascii="Arial" w:hAnsi="Arial" w:cs="Arial"/>
                <w:color w:val="000000"/>
                <w:sz w:val="18"/>
                <w:szCs w:val="18"/>
              </w:rPr>
            </w:pPr>
            <w:r>
              <w:rPr>
                <w:rFonts w:ascii="Arial" w:hAnsi="Arial" w:cs="Arial"/>
                <w:color w:val="000000"/>
                <w:sz w:val="18"/>
                <w:szCs w:val="18"/>
              </w:rPr>
              <w:t>20.7%</w:t>
            </w:r>
          </w:p>
        </w:tc>
        <w:tc>
          <w:tcPr>
            <w:tcW w:w="984" w:type="dxa"/>
            <w:tcMar>
              <w:top w:w="43" w:type="dxa"/>
              <w:left w:w="86" w:type="dxa"/>
              <w:bottom w:w="58" w:type="dxa"/>
              <w:right w:w="43" w:type="dxa"/>
            </w:tcMar>
          </w:tcPr>
          <w:p w14:paraId="7E1D88D9" w14:textId="77777777" w:rsidR="00D31EA2" w:rsidRDefault="00D31EA2" w:rsidP="00410442">
            <w:pPr>
              <w:rPr>
                <w:rFonts w:ascii="Arial" w:hAnsi="Arial" w:cs="Arial"/>
                <w:color w:val="000000"/>
                <w:sz w:val="18"/>
                <w:szCs w:val="18"/>
              </w:rPr>
            </w:pPr>
            <w:r>
              <w:rPr>
                <w:rFonts w:ascii="Arial" w:hAnsi="Arial" w:cs="Arial"/>
                <w:color w:val="000000"/>
                <w:sz w:val="18"/>
                <w:szCs w:val="18"/>
              </w:rPr>
              <w:t>22.0%</w:t>
            </w:r>
          </w:p>
        </w:tc>
        <w:tc>
          <w:tcPr>
            <w:tcW w:w="980" w:type="dxa"/>
            <w:tcMar>
              <w:top w:w="40" w:type="dxa"/>
              <w:left w:w="80" w:type="dxa"/>
              <w:bottom w:w="60" w:type="dxa"/>
              <w:right w:w="40" w:type="dxa"/>
            </w:tcMar>
          </w:tcPr>
          <w:p w14:paraId="4E17DEA6" w14:textId="77777777" w:rsidR="00D31EA2" w:rsidRDefault="00D31EA2" w:rsidP="00410442">
            <w:pPr>
              <w:rPr>
                <w:rFonts w:ascii="Arial" w:hAnsi="Arial" w:cs="Arial"/>
                <w:color w:val="000000"/>
                <w:sz w:val="18"/>
                <w:szCs w:val="18"/>
              </w:rPr>
            </w:pPr>
            <w:r>
              <w:rPr>
                <w:rFonts w:ascii="Arial" w:hAnsi="Arial" w:cs="Arial"/>
                <w:color w:val="000000"/>
                <w:sz w:val="18"/>
                <w:szCs w:val="18"/>
              </w:rPr>
              <w:t>21.5%</w:t>
            </w:r>
          </w:p>
        </w:tc>
        <w:tc>
          <w:tcPr>
            <w:tcW w:w="980" w:type="dxa"/>
            <w:tcMar>
              <w:top w:w="40" w:type="dxa"/>
              <w:left w:w="80" w:type="dxa"/>
              <w:bottom w:w="60" w:type="dxa"/>
              <w:right w:w="40" w:type="dxa"/>
            </w:tcMar>
          </w:tcPr>
          <w:p w14:paraId="04C55CDA" w14:textId="77777777" w:rsidR="00D31EA2" w:rsidRDefault="00D31EA2" w:rsidP="00410442">
            <w:pPr>
              <w:rPr>
                <w:rFonts w:ascii="Arial" w:hAnsi="Arial" w:cs="Arial"/>
                <w:color w:val="000000"/>
                <w:sz w:val="18"/>
                <w:szCs w:val="18"/>
              </w:rPr>
            </w:pPr>
            <w:r>
              <w:rPr>
                <w:rFonts w:ascii="Arial" w:hAnsi="Arial" w:cs="Arial"/>
                <w:color w:val="000000"/>
                <w:sz w:val="18"/>
                <w:szCs w:val="18"/>
              </w:rPr>
              <w:t>21.6%</w:t>
            </w:r>
          </w:p>
        </w:tc>
        <w:tc>
          <w:tcPr>
            <w:tcW w:w="980" w:type="dxa"/>
            <w:tcMar>
              <w:top w:w="40" w:type="dxa"/>
              <w:left w:w="80" w:type="dxa"/>
              <w:bottom w:w="60" w:type="dxa"/>
              <w:right w:w="40" w:type="dxa"/>
            </w:tcMar>
          </w:tcPr>
          <w:p w14:paraId="2287C2CE" w14:textId="77777777" w:rsidR="00D31EA2" w:rsidRDefault="00D31EA2" w:rsidP="00410442">
            <w:pPr>
              <w:rPr>
                <w:rFonts w:ascii="Arial" w:hAnsi="Arial" w:cs="Arial"/>
                <w:color w:val="000000"/>
                <w:sz w:val="18"/>
                <w:szCs w:val="18"/>
              </w:rPr>
            </w:pPr>
            <w:r>
              <w:rPr>
                <w:rFonts w:ascii="Arial" w:hAnsi="Arial" w:cs="Arial"/>
                <w:color w:val="000000"/>
                <w:sz w:val="18"/>
                <w:szCs w:val="18"/>
              </w:rPr>
              <w:t>22.0%</w:t>
            </w:r>
          </w:p>
        </w:tc>
      </w:tr>
      <w:tr w:rsidR="00D31EA2" w14:paraId="77FF8CBD" w14:textId="77777777" w:rsidTr="0057146C">
        <w:trPr>
          <w:trHeight w:val="240"/>
        </w:trPr>
        <w:tc>
          <w:tcPr>
            <w:tcW w:w="2229" w:type="dxa"/>
            <w:vMerge/>
            <w:tcMar>
              <w:top w:w="40" w:type="dxa"/>
              <w:left w:w="120" w:type="dxa"/>
              <w:bottom w:w="40" w:type="dxa"/>
              <w:right w:w="40" w:type="dxa"/>
            </w:tcMar>
          </w:tcPr>
          <w:p w14:paraId="0A863B68" w14:textId="77777777" w:rsidR="00D31EA2" w:rsidRPr="00AA148D" w:rsidRDefault="00D31EA2" w:rsidP="00410442">
            <w:pPr>
              <w:rPr>
                <w:rFonts w:ascii="Arial" w:eastAsia="Verdana" w:hAnsi="Arial" w:cs="Arial"/>
                <w:color w:val="000000"/>
                <w:sz w:val="18"/>
                <w:szCs w:val="18"/>
              </w:rPr>
            </w:pPr>
          </w:p>
        </w:tc>
        <w:tc>
          <w:tcPr>
            <w:tcW w:w="2142" w:type="dxa"/>
            <w:tcMar>
              <w:top w:w="40" w:type="dxa"/>
              <w:left w:w="80" w:type="dxa"/>
              <w:bottom w:w="40" w:type="dxa"/>
              <w:right w:w="40" w:type="dxa"/>
            </w:tcMar>
          </w:tcPr>
          <w:p w14:paraId="5AA1ABAB" w14:textId="77777777" w:rsidR="00D31EA2" w:rsidRDefault="00D31EA2" w:rsidP="00410442">
            <w:pPr>
              <w:rPr>
                <w:rFonts w:ascii="Arial" w:hAnsi="Arial" w:cs="Arial"/>
                <w:color w:val="000000"/>
                <w:sz w:val="18"/>
                <w:szCs w:val="18"/>
              </w:rPr>
            </w:pPr>
            <w:r>
              <w:rPr>
                <w:rFonts w:ascii="Arial" w:hAnsi="Arial" w:cs="Arial"/>
                <w:color w:val="000000"/>
                <w:sz w:val="18"/>
                <w:szCs w:val="18"/>
              </w:rPr>
              <w:t>Emergency department</w:t>
            </w:r>
          </w:p>
        </w:tc>
        <w:tc>
          <w:tcPr>
            <w:tcW w:w="983" w:type="dxa"/>
            <w:tcMar>
              <w:top w:w="43" w:type="dxa"/>
              <w:left w:w="86" w:type="dxa"/>
              <w:bottom w:w="58" w:type="dxa"/>
              <w:right w:w="43" w:type="dxa"/>
            </w:tcMar>
          </w:tcPr>
          <w:p w14:paraId="0743A361" w14:textId="77777777" w:rsidR="00D31EA2" w:rsidRDefault="00D31EA2" w:rsidP="00410442">
            <w:pPr>
              <w:rPr>
                <w:rFonts w:ascii="Arial" w:hAnsi="Arial" w:cs="Arial"/>
                <w:color w:val="000000"/>
                <w:sz w:val="18"/>
                <w:szCs w:val="18"/>
              </w:rPr>
            </w:pPr>
            <w:r>
              <w:rPr>
                <w:rFonts w:ascii="Arial" w:hAnsi="Arial" w:cs="Arial"/>
                <w:color w:val="000000"/>
                <w:sz w:val="18"/>
                <w:szCs w:val="18"/>
              </w:rPr>
              <w:t>21.2%</w:t>
            </w:r>
          </w:p>
        </w:tc>
        <w:tc>
          <w:tcPr>
            <w:tcW w:w="984" w:type="dxa"/>
            <w:tcMar>
              <w:top w:w="43" w:type="dxa"/>
              <w:left w:w="86" w:type="dxa"/>
              <w:bottom w:w="58" w:type="dxa"/>
              <w:right w:w="43" w:type="dxa"/>
            </w:tcMar>
          </w:tcPr>
          <w:p w14:paraId="48DF7510" w14:textId="77777777" w:rsidR="00D31EA2" w:rsidRDefault="00D31EA2" w:rsidP="00410442">
            <w:pPr>
              <w:rPr>
                <w:rFonts w:ascii="Arial" w:hAnsi="Arial" w:cs="Arial"/>
                <w:color w:val="000000"/>
                <w:sz w:val="18"/>
                <w:szCs w:val="18"/>
              </w:rPr>
            </w:pPr>
            <w:r>
              <w:rPr>
                <w:rFonts w:ascii="Arial" w:hAnsi="Arial" w:cs="Arial"/>
                <w:color w:val="000000"/>
                <w:sz w:val="18"/>
                <w:szCs w:val="18"/>
              </w:rPr>
              <w:t>21.9%</w:t>
            </w:r>
          </w:p>
        </w:tc>
        <w:tc>
          <w:tcPr>
            <w:tcW w:w="980" w:type="dxa"/>
            <w:tcMar>
              <w:top w:w="40" w:type="dxa"/>
              <w:left w:w="80" w:type="dxa"/>
              <w:bottom w:w="60" w:type="dxa"/>
              <w:right w:w="40" w:type="dxa"/>
            </w:tcMar>
          </w:tcPr>
          <w:p w14:paraId="3F9AC2D3" w14:textId="77777777" w:rsidR="00D31EA2" w:rsidRDefault="00D31EA2" w:rsidP="00410442">
            <w:pPr>
              <w:rPr>
                <w:rFonts w:ascii="Arial" w:hAnsi="Arial" w:cs="Arial"/>
                <w:color w:val="000000"/>
                <w:sz w:val="18"/>
                <w:szCs w:val="18"/>
              </w:rPr>
            </w:pPr>
            <w:r>
              <w:rPr>
                <w:rFonts w:ascii="Arial" w:hAnsi="Arial" w:cs="Arial"/>
                <w:color w:val="000000"/>
                <w:sz w:val="18"/>
                <w:szCs w:val="18"/>
              </w:rPr>
              <w:t>24.2%</w:t>
            </w:r>
          </w:p>
        </w:tc>
        <w:tc>
          <w:tcPr>
            <w:tcW w:w="980" w:type="dxa"/>
            <w:tcMar>
              <w:top w:w="40" w:type="dxa"/>
              <w:left w:w="80" w:type="dxa"/>
              <w:bottom w:w="60" w:type="dxa"/>
              <w:right w:w="40" w:type="dxa"/>
            </w:tcMar>
          </w:tcPr>
          <w:p w14:paraId="2F30F497" w14:textId="77777777" w:rsidR="00D31EA2" w:rsidRDefault="00D31EA2" w:rsidP="00410442">
            <w:pPr>
              <w:rPr>
                <w:rFonts w:ascii="Arial" w:hAnsi="Arial" w:cs="Arial"/>
                <w:color w:val="000000"/>
                <w:sz w:val="18"/>
                <w:szCs w:val="18"/>
              </w:rPr>
            </w:pPr>
            <w:r>
              <w:rPr>
                <w:rFonts w:ascii="Arial" w:hAnsi="Arial" w:cs="Arial"/>
                <w:color w:val="000000"/>
                <w:sz w:val="18"/>
                <w:szCs w:val="18"/>
              </w:rPr>
              <w:t>27.4%</w:t>
            </w:r>
          </w:p>
        </w:tc>
        <w:tc>
          <w:tcPr>
            <w:tcW w:w="980" w:type="dxa"/>
            <w:tcMar>
              <w:top w:w="40" w:type="dxa"/>
              <w:left w:w="80" w:type="dxa"/>
              <w:bottom w:w="60" w:type="dxa"/>
              <w:right w:w="40" w:type="dxa"/>
            </w:tcMar>
          </w:tcPr>
          <w:p w14:paraId="042419D4" w14:textId="77777777" w:rsidR="00D31EA2" w:rsidRDefault="00D31EA2" w:rsidP="00410442">
            <w:pPr>
              <w:rPr>
                <w:rFonts w:ascii="Arial" w:hAnsi="Arial" w:cs="Arial"/>
                <w:color w:val="000000"/>
                <w:sz w:val="18"/>
                <w:szCs w:val="18"/>
              </w:rPr>
            </w:pPr>
            <w:r>
              <w:rPr>
                <w:rFonts w:ascii="Arial" w:hAnsi="Arial" w:cs="Arial"/>
                <w:color w:val="000000"/>
                <w:sz w:val="18"/>
                <w:szCs w:val="18"/>
              </w:rPr>
              <w:t>26.1%</w:t>
            </w:r>
          </w:p>
        </w:tc>
      </w:tr>
      <w:tr w:rsidR="00D31EA2" w14:paraId="1196A560" w14:textId="77777777" w:rsidTr="0057146C">
        <w:trPr>
          <w:trHeight w:val="240"/>
        </w:trPr>
        <w:tc>
          <w:tcPr>
            <w:tcW w:w="2229" w:type="dxa"/>
            <w:vMerge/>
            <w:tcMar>
              <w:top w:w="40" w:type="dxa"/>
              <w:left w:w="120" w:type="dxa"/>
              <w:bottom w:w="40" w:type="dxa"/>
              <w:right w:w="40" w:type="dxa"/>
            </w:tcMar>
          </w:tcPr>
          <w:p w14:paraId="21C72DBE" w14:textId="77777777" w:rsidR="00D31EA2" w:rsidRPr="00AA148D" w:rsidRDefault="00D31EA2" w:rsidP="00410442">
            <w:pPr>
              <w:rPr>
                <w:rFonts w:ascii="Arial" w:hAnsi="Arial" w:cs="Arial"/>
                <w:sz w:val="18"/>
                <w:szCs w:val="18"/>
              </w:rPr>
            </w:pPr>
          </w:p>
        </w:tc>
        <w:tc>
          <w:tcPr>
            <w:tcW w:w="2142" w:type="dxa"/>
            <w:tcMar>
              <w:top w:w="40" w:type="dxa"/>
              <w:left w:w="80" w:type="dxa"/>
              <w:bottom w:w="40" w:type="dxa"/>
              <w:right w:w="40" w:type="dxa"/>
            </w:tcMar>
          </w:tcPr>
          <w:p w14:paraId="713287E5" w14:textId="6267ECA8" w:rsidR="00D31EA2" w:rsidRDefault="00D31EA2" w:rsidP="00410442">
            <w:pPr>
              <w:rPr>
                <w:rFonts w:ascii="Arial" w:hAnsi="Arial" w:cs="Arial"/>
                <w:color w:val="000000"/>
                <w:sz w:val="18"/>
                <w:szCs w:val="18"/>
              </w:rPr>
            </w:pPr>
            <w:r>
              <w:rPr>
                <w:rFonts w:ascii="Arial" w:hAnsi="Arial" w:cs="Arial"/>
                <w:color w:val="000000"/>
                <w:sz w:val="18"/>
                <w:szCs w:val="18"/>
              </w:rPr>
              <w:t xml:space="preserve">General </w:t>
            </w:r>
            <w:r w:rsidR="00C84B40">
              <w:rPr>
                <w:rFonts w:ascii="Arial" w:hAnsi="Arial" w:cs="Arial"/>
                <w:color w:val="000000"/>
                <w:sz w:val="18"/>
                <w:szCs w:val="18"/>
              </w:rPr>
              <w:t>p</w:t>
            </w:r>
            <w:r>
              <w:rPr>
                <w:rFonts w:ascii="Arial" w:hAnsi="Arial" w:cs="Arial"/>
                <w:color w:val="000000"/>
                <w:sz w:val="18"/>
                <w:szCs w:val="18"/>
              </w:rPr>
              <w:t>ractitioner</w:t>
            </w:r>
          </w:p>
        </w:tc>
        <w:tc>
          <w:tcPr>
            <w:tcW w:w="983" w:type="dxa"/>
            <w:tcMar>
              <w:top w:w="43" w:type="dxa"/>
              <w:left w:w="86" w:type="dxa"/>
              <w:bottom w:w="58" w:type="dxa"/>
              <w:right w:w="43" w:type="dxa"/>
            </w:tcMar>
          </w:tcPr>
          <w:p w14:paraId="3A944D09" w14:textId="77777777" w:rsidR="00D31EA2" w:rsidRDefault="00D31EA2" w:rsidP="00410442">
            <w:pPr>
              <w:rPr>
                <w:rFonts w:ascii="Arial" w:hAnsi="Arial" w:cs="Arial"/>
                <w:color w:val="000000"/>
                <w:sz w:val="18"/>
                <w:szCs w:val="18"/>
              </w:rPr>
            </w:pPr>
            <w:r>
              <w:rPr>
                <w:rFonts w:ascii="Arial" w:hAnsi="Arial" w:cs="Arial"/>
                <w:color w:val="000000"/>
                <w:sz w:val="18"/>
                <w:szCs w:val="18"/>
              </w:rPr>
              <w:t>12.5%</w:t>
            </w:r>
          </w:p>
        </w:tc>
        <w:tc>
          <w:tcPr>
            <w:tcW w:w="984" w:type="dxa"/>
            <w:tcMar>
              <w:top w:w="43" w:type="dxa"/>
              <w:left w:w="86" w:type="dxa"/>
              <w:bottom w:w="58" w:type="dxa"/>
              <w:right w:w="43" w:type="dxa"/>
            </w:tcMar>
          </w:tcPr>
          <w:p w14:paraId="665C1B06" w14:textId="77777777" w:rsidR="00D31EA2" w:rsidRDefault="00D31EA2" w:rsidP="00410442">
            <w:pPr>
              <w:rPr>
                <w:rFonts w:ascii="Arial" w:hAnsi="Arial" w:cs="Arial"/>
                <w:color w:val="000000"/>
                <w:sz w:val="18"/>
                <w:szCs w:val="18"/>
              </w:rPr>
            </w:pPr>
            <w:r>
              <w:rPr>
                <w:rFonts w:ascii="Arial" w:hAnsi="Arial" w:cs="Arial"/>
                <w:color w:val="000000"/>
                <w:sz w:val="18"/>
                <w:szCs w:val="18"/>
              </w:rPr>
              <w:t>11.6%</w:t>
            </w:r>
          </w:p>
        </w:tc>
        <w:tc>
          <w:tcPr>
            <w:tcW w:w="980" w:type="dxa"/>
            <w:tcMar>
              <w:top w:w="40" w:type="dxa"/>
              <w:left w:w="80" w:type="dxa"/>
              <w:bottom w:w="60" w:type="dxa"/>
              <w:right w:w="40" w:type="dxa"/>
            </w:tcMar>
          </w:tcPr>
          <w:p w14:paraId="76859D54" w14:textId="77777777" w:rsidR="00D31EA2" w:rsidRDefault="00D31EA2" w:rsidP="00410442">
            <w:pPr>
              <w:rPr>
                <w:rFonts w:ascii="Arial" w:hAnsi="Arial" w:cs="Arial"/>
                <w:color w:val="000000"/>
                <w:sz w:val="18"/>
                <w:szCs w:val="18"/>
              </w:rPr>
            </w:pPr>
            <w:r>
              <w:rPr>
                <w:rFonts w:ascii="Arial" w:hAnsi="Arial" w:cs="Arial"/>
                <w:color w:val="000000"/>
                <w:sz w:val="18"/>
                <w:szCs w:val="18"/>
              </w:rPr>
              <w:t>11.5%</w:t>
            </w:r>
          </w:p>
        </w:tc>
        <w:tc>
          <w:tcPr>
            <w:tcW w:w="980" w:type="dxa"/>
            <w:tcMar>
              <w:top w:w="40" w:type="dxa"/>
              <w:left w:w="80" w:type="dxa"/>
              <w:bottom w:w="60" w:type="dxa"/>
              <w:right w:w="40" w:type="dxa"/>
            </w:tcMar>
          </w:tcPr>
          <w:p w14:paraId="7EF18BC9" w14:textId="77777777" w:rsidR="00D31EA2" w:rsidRDefault="00D31EA2" w:rsidP="00410442">
            <w:pPr>
              <w:rPr>
                <w:rFonts w:ascii="Arial" w:hAnsi="Arial" w:cs="Arial"/>
                <w:color w:val="000000"/>
                <w:sz w:val="18"/>
                <w:szCs w:val="18"/>
              </w:rPr>
            </w:pPr>
            <w:r>
              <w:rPr>
                <w:rFonts w:ascii="Arial" w:hAnsi="Arial" w:cs="Arial"/>
                <w:color w:val="000000"/>
                <w:sz w:val="18"/>
                <w:szCs w:val="18"/>
              </w:rPr>
              <w:t>10.3%</w:t>
            </w:r>
          </w:p>
        </w:tc>
        <w:tc>
          <w:tcPr>
            <w:tcW w:w="980" w:type="dxa"/>
            <w:tcMar>
              <w:top w:w="40" w:type="dxa"/>
              <w:left w:w="80" w:type="dxa"/>
              <w:bottom w:w="60" w:type="dxa"/>
              <w:right w:w="40" w:type="dxa"/>
            </w:tcMar>
          </w:tcPr>
          <w:p w14:paraId="138C89FF" w14:textId="77777777" w:rsidR="00D31EA2" w:rsidRDefault="00D31EA2" w:rsidP="00410442">
            <w:pPr>
              <w:rPr>
                <w:rFonts w:ascii="Arial" w:hAnsi="Arial" w:cs="Arial"/>
                <w:color w:val="000000"/>
                <w:sz w:val="18"/>
                <w:szCs w:val="18"/>
              </w:rPr>
            </w:pPr>
            <w:r>
              <w:rPr>
                <w:rFonts w:ascii="Arial" w:hAnsi="Arial" w:cs="Arial"/>
                <w:color w:val="000000"/>
                <w:sz w:val="18"/>
                <w:szCs w:val="18"/>
              </w:rPr>
              <w:t>9.9%</w:t>
            </w:r>
          </w:p>
        </w:tc>
      </w:tr>
      <w:tr w:rsidR="00D31EA2" w14:paraId="29C3FC26" w14:textId="77777777" w:rsidTr="0057146C">
        <w:trPr>
          <w:trHeight w:val="240"/>
        </w:trPr>
        <w:tc>
          <w:tcPr>
            <w:tcW w:w="2229" w:type="dxa"/>
            <w:vMerge/>
            <w:tcMar>
              <w:top w:w="40" w:type="dxa"/>
              <w:left w:w="120" w:type="dxa"/>
              <w:bottom w:w="40" w:type="dxa"/>
              <w:right w:w="40" w:type="dxa"/>
            </w:tcMar>
          </w:tcPr>
          <w:p w14:paraId="5B530E05" w14:textId="77777777" w:rsidR="00D31EA2" w:rsidRPr="00AA148D" w:rsidRDefault="00D31EA2" w:rsidP="00410442">
            <w:pPr>
              <w:rPr>
                <w:rFonts w:ascii="Arial" w:hAnsi="Arial" w:cs="Arial"/>
                <w:sz w:val="18"/>
                <w:szCs w:val="18"/>
              </w:rPr>
            </w:pPr>
          </w:p>
        </w:tc>
        <w:tc>
          <w:tcPr>
            <w:tcW w:w="2142" w:type="dxa"/>
            <w:tcMar>
              <w:top w:w="40" w:type="dxa"/>
              <w:left w:w="80" w:type="dxa"/>
              <w:bottom w:w="40" w:type="dxa"/>
              <w:right w:w="40" w:type="dxa"/>
            </w:tcMar>
          </w:tcPr>
          <w:p w14:paraId="1C4DADDC" w14:textId="77777777" w:rsidR="00D31EA2" w:rsidRDefault="00D31EA2" w:rsidP="00410442">
            <w:pPr>
              <w:rPr>
                <w:rFonts w:ascii="Arial" w:hAnsi="Arial" w:cs="Arial"/>
                <w:color w:val="000000"/>
                <w:sz w:val="18"/>
                <w:szCs w:val="18"/>
              </w:rPr>
            </w:pPr>
            <w:r>
              <w:rPr>
                <w:rFonts w:ascii="Arial" w:hAnsi="Arial" w:cs="Arial"/>
                <w:color w:val="000000"/>
                <w:sz w:val="18"/>
                <w:szCs w:val="18"/>
              </w:rPr>
              <w:t>Family</w:t>
            </w:r>
          </w:p>
        </w:tc>
        <w:tc>
          <w:tcPr>
            <w:tcW w:w="983" w:type="dxa"/>
            <w:tcMar>
              <w:top w:w="43" w:type="dxa"/>
              <w:left w:w="86" w:type="dxa"/>
              <w:bottom w:w="58" w:type="dxa"/>
              <w:right w:w="43" w:type="dxa"/>
            </w:tcMar>
          </w:tcPr>
          <w:p w14:paraId="6B1394CE" w14:textId="77777777" w:rsidR="00D31EA2" w:rsidRDefault="00D31EA2" w:rsidP="00410442">
            <w:pPr>
              <w:rPr>
                <w:rFonts w:ascii="Arial" w:hAnsi="Arial" w:cs="Arial"/>
                <w:color w:val="000000"/>
                <w:sz w:val="18"/>
                <w:szCs w:val="18"/>
              </w:rPr>
            </w:pPr>
            <w:r>
              <w:rPr>
                <w:rFonts w:ascii="Arial" w:hAnsi="Arial" w:cs="Arial"/>
                <w:color w:val="000000"/>
                <w:sz w:val="18"/>
                <w:szCs w:val="18"/>
              </w:rPr>
              <w:t>7.9%</w:t>
            </w:r>
          </w:p>
        </w:tc>
        <w:tc>
          <w:tcPr>
            <w:tcW w:w="984" w:type="dxa"/>
            <w:tcMar>
              <w:top w:w="43" w:type="dxa"/>
              <w:left w:w="86" w:type="dxa"/>
              <w:bottom w:w="58" w:type="dxa"/>
              <w:right w:w="43" w:type="dxa"/>
            </w:tcMar>
          </w:tcPr>
          <w:p w14:paraId="69409267" w14:textId="77777777" w:rsidR="00D31EA2" w:rsidRDefault="00D31EA2" w:rsidP="00410442">
            <w:pPr>
              <w:rPr>
                <w:rFonts w:ascii="Arial" w:hAnsi="Arial" w:cs="Arial"/>
                <w:color w:val="000000"/>
                <w:sz w:val="18"/>
                <w:szCs w:val="18"/>
              </w:rPr>
            </w:pPr>
            <w:r>
              <w:rPr>
                <w:rFonts w:ascii="Arial" w:hAnsi="Arial" w:cs="Arial"/>
                <w:color w:val="000000"/>
                <w:sz w:val="18"/>
                <w:szCs w:val="18"/>
              </w:rPr>
              <w:t>7.9%</w:t>
            </w:r>
          </w:p>
        </w:tc>
        <w:tc>
          <w:tcPr>
            <w:tcW w:w="980" w:type="dxa"/>
            <w:tcMar>
              <w:top w:w="40" w:type="dxa"/>
              <w:left w:w="80" w:type="dxa"/>
              <w:bottom w:w="60" w:type="dxa"/>
              <w:right w:w="40" w:type="dxa"/>
            </w:tcMar>
          </w:tcPr>
          <w:p w14:paraId="6D3D6516" w14:textId="77777777" w:rsidR="00D31EA2" w:rsidRDefault="00D31EA2" w:rsidP="00410442">
            <w:pPr>
              <w:rPr>
                <w:rFonts w:ascii="Arial" w:hAnsi="Arial" w:cs="Arial"/>
                <w:color w:val="000000"/>
                <w:sz w:val="18"/>
                <w:szCs w:val="18"/>
              </w:rPr>
            </w:pPr>
            <w:r>
              <w:rPr>
                <w:rFonts w:ascii="Arial" w:hAnsi="Arial" w:cs="Arial"/>
                <w:color w:val="000000"/>
                <w:sz w:val="18"/>
                <w:szCs w:val="18"/>
              </w:rPr>
              <w:t>7.2%</w:t>
            </w:r>
          </w:p>
        </w:tc>
        <w:tc>
          <w:tcPr>
            <w:tcW w:w="980" w:type="dxa"/>
            <w:tcMar>
              <w:top w:w="40" w:type="dxa"/>
              <w:left w:w="80" w:type="dxa"/>
              <w:bottom w:w="60" w:type="dxa"/>
              <w:right w:w="40" w:type="dxa"/>
            </w:tcMar>
          </w:tcPr>
          <w:p w14:paraId="675BFDDE" w14:textId="77777777" w:rsidR="00D31EA2" w:rsidRDefault="00D31EA2" w:rsidP="00410442">
            <w:pPr>
              <w:rPr>
                <w:rFonts w:ascii="Arial" w:hAnsi="Arial" w:cs="Arial"/>
                <w:color w:val="000000"/>
                <w:sz w:val="18"/>
                <w:szCs w:val="18"/>
              </w:rPr>
            </w:pPr>
            <w:r>
              <w:rPr>
                <w:rFonts w:ascii="Arial" w:hAnsi="Arial" w:cs="Arial"/>
                <w:color w:val="000000"/>
                <w:sz w:val="18"/>
                <w:szCs w:val="18"/>
              </w:rPr>
              <w:t>6.5%</w:t>
            </w:r>
          </w:p>
        </w:tc>
        <w:tc>
          <w:tcPr>
            <w:tcW w:w="980" w:type="dxa"/>
            <w:tcMar>
              <w:top w:w="40" w:type="dxa"/>
              <w:left w:w="80" w:type="dxa"/>
              <w:bottom w:w="60" w:type="dxa"/>
              <w:right w:w="40" w:type="dxa"/>
            </w:tcMar>
          </w:tcPr>
          <w:p w14:paraId="4F2717AC" w14:textId="77777777" w:rsidR="00D31EA2" w:rsidRDefault="00D31EA2" w:rsidP="00410442">
            <w:pPr>
              <w:rPr>
                <w:rFonts w:ascii="Arial" w:hAnsi="Arial" w:cs="Arial"/>
                <w:color w:val="000000"/>
                <w:sz w:val="18"/>
                <w:szCs w:val="18"/>
              </w:rPr>
            </w:pPr>
            <w:r>
              <w:rPr>
                <w:rFonts w:ascii="Arial" w:hAnsi="Arial" w:cs="Arial"/>
                <w:color w:val="000000"/>
                <w:sz w:val="18"/>
                <w:szCs w:val="18"/>
              </w:rPr>
              <w:t>6.7%</w:t>
            </w:r>
          </w:p>
        </w:tc>
      </w:tr>
      <w:tr w:rsidR="00D31EA2" w14:paraId="0DD11BA0" w14:textId="77777777" w:rsidTr="0057146C">
        <w:trPr>
          <w:trHeight w:val="240"/>
        </w:trPr>
        <w:tc>
          <w:tcPr>
            <w:tcW w:w="2229" w:type="dxa"/>
            <w:vMerge/>
            <w:tcMar>
              <w:top w:w="40" w:type="dxa"/>
              <w:left w:w="120" w:type="dxa"/>
              <w:bottom w:w="40" w:type="dxa"/>
              <w:right w:w="40" w:type="dxa"/>
            </w:tcMar>
          </w:tcPr>
          <w:p w14:paraId="5EAD0F66" w14:textId="77777777" w:rsidR="00D31EA2" w:rsidRPr="00AA148D" w:rsidRDefault="00D31EA2" w:rsidP="00410442">
            <w:pPr>
              <w:rPr>
                <w:rFonts w:ascii="Arial" w:hAnsi="Arial" w:cs="Arial"/>
                <w:sz w:val="18"/>
                <w:szCs w:val="18"/>
              </w:rPr>
            </w:pPr>
          </w:p>
        </w:tc>
        <w:tc>
          <w:tcPr>
            <w:tcW w:w="2142" w:type="dxa"/>
            <w:tcMar>
              <w:top w:w="40" w:type="dxa"/>
              <w:left w:w="80" w:type="dxa"/>
              <w:bottom w:w="40" w:type="dxa"/>
              <w:right w:w="40" w:type="dxa"/>
            </w:tcMar>
          </w:tcPr>
          <w:p w14:paraId="3034B4D7" w14:textId="47EEC1F9" w:rsidR="00D31EA2" w:rsidRDefault="00D31EA2" w:rsidP="00410442">
            <w:pPr>
              <w:rPr>
                <w:rFonts w:ascii="Arial" w:hAnsi="Arial" w:cs="Arial"/>
                <w:color w:val="000000"/>
                <w:sz w:val="18"/>
                <w:szCs w:val="18"/>
              </w:rPr>
            </w:pPr>
            <w:r>
              <w:rPr>
                <w:rFonts w:ascii="Arial" w:hAnsi="Arial" w:cs="Arial"/>
                <w:color w:val="000000"/>
                <w:sz w:val="18"/>
                <w:szCs w:val="18"/>
              </w:rPr>
              <w:t>Client/</w:t>
            </w:r>
            <w:r w:rsidR="00C84B40">
              <w:rPr>
                <w:rFonts w:ascii="Arial" w:hAnsi="Arial" w:cs="Arial"/>
                <w:color w:val="000000"/>
                <w:sz w:val="18"/>
                <w:szCs w:val="18"/>
              </w:rPr>
              <w:t>s</w:t>
            </w:r>
            <w:r>
              <w:rPr>
                <w:rFonts w:ascii="Arial" w:hAnsi="Arial" w:cs="Arial"/>
                <w:color w:val="000000"/>
                <w:sz w:val="18"/>
                <w:szCs w:val="18"/>
              </w:rPr>
              <w:t>elf</w:t>
            </w:r>
          </w:p>
        </w:tc>
        <w:tc>
          <w:tcPr>
            <w:tcW w:w="983" w:type="dxa"/>
            <w:tcMar>
              <w:top w:w="43" w:type="dxa"/>
              <w:left w:w="86" w:type="dxa"/>
              <w:bottom w:w="58" w:type="dxa"/>
              <w:right w:w="43" w:type="dxa"/>
            </w:tcMar>
          </w:tcPr>
          <w:p w14:paraId="710A6E73" w14:textId="77777777" w:rsidR="00D31EA2" w:rsidRDefault="00D31EA2" w:rsidP="00410442">
            <w:pPr>
              <w:rPr>
                <w:rFonts w:ascii="Arial" w:hAnsi="Arial" w:cs="Arial"/>
                <w:color w:val="000000"/>
                <w:sz w:val="18"/>
                <w:szCs w:val="18"/>
              </w:rPr>
            </w:pPr>
            <w:r>
              <w:rPr>
                <w:rFonts w:ascii="Arial" w:hAnsi="Arial" w:cs="Arial"/>
                <w:color w:val="000000"/>
                <w:sz w:val="18"/>
                <w:szCs w:val="18"/>
              </w:rPr>
              <w:t>4.7%</w:t>
            </w:r>
          </w:p>
        </w:tc>
        <w:tc>
          <w:tcPr>
            <w:tcW w:w="984" w:type="dxa"/>
            <w:tcMar>
              <w:top w:w="43" w:type="dxa"/>
              <w:left w:w="86" w:type="dxa"/>
              <w:bottom w:w="58" w:type="dxa"/>
              <w:right w:w="43" w:type="dxa"/>
            </w:tcMar>
          </w:tcPr>
          <w:p w14:paraId="383C2385" w14:textId="77777777" w:rsidR="00D31EA2" w:rsidRDefault="00D31EA2" w:rsidP="00410442">
            <w:pPr>
              <w:rPr>
                <w:rFonts w:ascii="Arial" w:hAnsi="Arial" w:cs="Arial"/>
                <w:color w:val="000000"/>
                <w:sz w:val="18"/>
                <w:szCs w:val="18"/>
              </w:rPr>
            </w:pPr>
            <w:r>
              <w:rPr>
                <w:rFonts w:ascii="Arial" w:hAnsi="Arial" w:cs="Arial"/>
                <w:color w:val="000000"/>
                <w:sz w:val="18"/>
                <w:szCs w:val="18"/>
              </w:rPr>
              <w:t>4.6%</w:t>
            </w:r>
          </w:p>
        </w:tc>
        <w:tc>
          <w:tcPr>
            <w:tcW w:w="980" w:type="dxa"/>
            <w:tcMar>
              <w:top w:w="40" w:type="dxa"/>
              <w:left w:w="80" w:type="dxa"/>
              <w:bottom w:w="60" w:type="dxa"/>
              <w:right w:w="40" w:type="dxa"/>
            </w:tcMar>
          </w:tcPr>
          <w:p w14:paraId="762B74F6" w14:textId="77777777" w:rsidR="00D31EA2" w:rsidRDefault="00D31EA2" w:rsidP="00410442">
            <w:pPr>
              <w:rPr>
                <w:rFonts w:ascii="Arial" w:hAnsi="Arial" w:cs="Arial"/>
                <w:color w:val="000000"/>
                <w:sz w:val="18"/>
                <w:szCs w:val="18"/>
              </w:rPr>
            </w:pPr>
            <w:r>
              <w:rPr>
                <w:rFonts w:ascii="Arial" w:hAnsi="Arial" w:cs="Arial"/>
                <w:color w:val="000000"/>
                <w:sz w:val="18"/>
                <w:szCs w:val="18"/>
              </w:rPr>
              <w:t>4.7%</w:t>
            </w:r>
          </w:p>
        </w:tc>
        <w:tc>
          <w:tcPr>
            <w:tcW w:w="980" w:type="dxa"/>
            <w:tcMar>
              <w:top w:w="40" w:type="dxa"/>
              <w:left w:w="80" w:type="dxa"/>
              <w:bottom w:w="60" w:type="dxa"/>
              <w:right w:w="40" w:type="dxa"/>
            </w:tcMar>
          </w:tcPr>
          <w:p w14:paraId="7C3304CA" w14:textId="77777777" w:rsidR="00D31EA2" w:rsidRDefault="00D31EA2" w:rsidP="00410442">
            <w:pPr>
              <w:rPr>
                <w:rFonts w:ascii="Arial" w:hAnsi="Arial" w:cs="Arial"/>
                <w:color w:val="000000"/>
                <w:sz w:val="18"/>
                <w:szCs w:val="18"/>
              </w:rPr>
            </w:pPr>
            <w:r>
              <w:rPr>
                <w:rFonts w:ascii="Arial" w:hAnsi="Arial" w:cs="Arial"/>
                <w:color w:val="000000"/>
                <w:sz w:val="18"/>
                <w:szCs w:val="18"/>
              </w:rPr>
              <w:t>4.2%</w:t>
            </w:r>
          </w:p>
        </w:tc>
        <w:tc>
          <w:tcPr>
            <w:tcW w:w="980" w:type="dxa"/>
            <w:tcMar>
              <w:top w:w="40" w:type="dxa"/>
              <w:left w:w="80" w:type="dxa"/>
              <w:bottom w:w="60" w:type="dxa"/>
              <w:right w:w="40" w:type="dxa"/>
            </w:tcMar>
          </w:tcPr>
          <w:p w14:paraId="4C4BAA4D" w14:textId="77777777" w:rsidR="00D31EA2" w:rsidRDefault="00D31EA2" w:rsidP="00410442">
            <w:pPr>
              <w:rPr>
                <w:rFonts w:ascii="Arial" w:hAnsi="Arial" w:cs="Arial"/>
                <w:color w:val="000000"/>
                <w:sz w:val="18"/>
                <w:szCs w:val="18"/>
              </w:rPr>
            </w:pPr>
            <w:r>
              <w:rPr>
                <w:rFonts w:ascii="Arial" w:hAnsi="Arial" w:cs="Arial"/>
                <w:color w:val="000000"/>
                <w:sz w:val="18"/>
                <w:szCs w:val="18"/>
              </w:rPr>
              <w:t>4.7%</w:t>
            </w:r>
          </w:p>
        </w:tc>
      </w:tr>
      <w:tr w:rsidR="00D31EA2" w14:paraId="7A70F7BB" w14:textId="77777777" w:rsidTr="0057146C">
        <w:trPr>
          <w:trHeight w:val="240"/>
        </w:trPr>
        <w:tc>
          <w:tcPr>
            <w:tcW w:w="2229" w:type="dxa"/>
            <w:vMerge/>
            <w:tcMar>
              <w:top w:w="40" w:type="dxa"/>
              <w:left w:w="120" w:type="dxa"/>
              <w:bottom w:w="40" w:type="dxa"/>
              <w:right w:w="40" w:type="dxa"/>
            </w:tcMar>
          </w:tcPr>
          <w:p w14:paraId="2A1D7FD3" w14:textId="77777777" w:rsidR="00D31EA2" w:rsidRPr="00AA148D" w:rsidRDefault="00D31EA2" w:rsidP="00410442">
            <w:pPr>
              <w:rPr>
                <w:rFonts w:ascii="Arial" w:hAnsi="Arial" w:cs="Arial"/>
                <w:sz w:val="18"/>
                <w:szCs w:val="18"/>
              </w:rPr>
            </w:pPr>
          </w:p>
        </w:tc>
        <w:tc>
          <w:tcPr>
            <w:tcW w:w="2142" w:type="dxa"/>
            <w:tcMar>
              <w:top w:w="40" w:type="dxa"/>
              <w:left w:w="80" w:type="dxa"/>
              <w:bottom w:w="40" w:type="dxa"/>
              <w:right w:w="40" w:type="dxa"/>
            </w:tcMar>
          </w:tcPr>
          <w:p w14:paraId="48BD8C0E" w14:textId="2A3E3A47" w:rsidR="00D31EA2" w:rsidRDefault="00D31EA2" w:rsidP="00410442">
            <w:pPr>
              <w:rPr>
                <w:rFonts w:ascii="Arial" w:hAnsi="Arial" w:cs="Arial"/>
                <w:color w:val="000000"/>
                <w:sz w:val="18"/>
                <w:szCs w:val="18"/>
              </w:rPr>
            </w:pPr>
            <w:r>
              <w:rPr>
                <w:rFonts w:ascii="Arial" w:hAnsi="Arial" w:cs="Arial"/>
                <w:color w:val="000000"/>
                <w:sz w:val="18"/>
                <w:szCs w:val="18"/>
              </w:rPr>
              <w:t xml:space="preserve">Community </w:t>
            </w:r>
            <w:r w:rsidR="00C84B40">
              <w:rPr>
                <w:rFonts w:ascii="Arial" w:hAnsi="Arial" w:cs="Arial"/>
                <w:color w:val="000000"/>
                <w:sz w:val="18"/>
                <w:szCs w:val="18"/>
              </w:rPr>
              <w:t>h</w:t>
            </w:r>
            <w:r>
              <w:rPr>
                <w:rFonts w:ascii="Arial" w:hAnsi="Arial" w:cs="Arial"/>
                <w:color w:val="000000"/>
                <w:sz w:val="18"/>
                <w:szCs w:val="18"/>
              </w:rPr>
              <w:t xml:space="preserve">ealth </w:t>
            </w:r>
            <w:r w:rsidR="00C84B40">
              <w:rPr>
                <w:rFonts w:ascii="Arial" w:hAnsi="Arial" w:cs="Arial"/>
                <w:color w:val="000000"/>
                <w:sz w:val="18"/>
                <w:szCs w:val="18"/>
              </w:rPr>
              <w:t>s</w:t>
            </w:r>
            <w:r>
              <w:rPr>
                <w:rFonts w:ascii="Arial" w:hAnsi="Arial" w:cs="Arial"/>
                <w:color w:val="000000"/>
                <w:sz w:val="18"/>
                <w:szCs w:val="18"/>
              </w:rPr>
              <w:t>ervices</w:t>
            </w:r>
          </w:p>
        </w:tc>
        <w:tc>
          <w:tcPr>
            <w:tcW w:w="983" w:type="dxa"/>
            <w:tcMar>
              <w:top w:w="43" w:type="dxa"/>
              <w:left w:w="86" w:type="dxa"/>
              <w:bottom w:w="58" w:type="dxa"/>
              <w:right w:w="43" w:type="dxa"/>
            </w:tcMar>
          </w:tcPr>
          <w:p w14:paraId="2AB2DD17" w14:textId="77777777" w:rsidR="00D31EA2" w:rsidRDefault="00D31EA2" w:rsidP="00410442">
            <w:pPr>
              <w:rPr>
                <w:rFonts w:ascii="Arial" w:hAnsi="Arial" w:cs="Arial"/>
                <w:color w:val="000000"/>
                <w:sz w:val="18"/>
                <w:szCs w:val="18"/>
              </w:rPr>
            </w:pPr>
            <w:r>
              <w:rPr>
                <w:rFonts w:ascii="Arial" w:hAnsi="Arial" w:cs="Arial"/>
                <w:color w:val="000000"/>
                <w:sz w:val="18"/>
                <w:szCs w:val="18"/>
              </w:rPr>
              <w:t>4.8%</w:t>
            </w:r>
          </w:p>
        </w:tc>
        <w:tc>
          <w:tcPr>
            <w:tcW w:w="984" w:type="dxa"/>
            <w:tcMar>
              <w:top w:w="43" w:type="dxa"/>
              <w:left w:w="86" w:type="dxa"/>
              <w:bottom w:w="58" w:type="dxa"/>
              <w:right w:w="43" w:type="dxa"/>
            </w:tcMar>
          </w:tcPr>
          <w:p w14:paraId="2AD87354" w14:textId="77777777" w:rsidR="00D31EA2" w:rsidRDefault="00D31EA2" w:rsidP="00410442">
            <w:pPr>
              <w:rPr>
                <w:rFonts w:ascii="Arial" w:hAnsi="Arial" w:cs="Arial"/>
                <w:color w:val="000000"/>
                <w:sz w:val="18"/>
                <w:szCs w:val="18"/>
              </w:rPr>
            </w:pPr>
            <w:r>
              <w:rPr>
                <w:rFonts w:ascii="Arial" w:hAnsi="Arial" w:cs="Arial"/>
                <w:color w:val="000000"/>
                <w:sz w:val="18"/>
                <w:szCs w:val="18"/>
              </w:rPr>
              <w:t>4.7%</w:t>
            </w:r>
          </w:p>
        </w:tc>
        <w:tc>
          <w:tcPr>
            <w:tcW w:w="980" w:type="dxa"/>
            <w:tcMar>
              <w:top w:w="40" w:type="dxa"/>
              <w:left w:w="80" w:type="dxa"/>
              <w:bottom w:w="60" w:type="dxa"/>
              <w:right w:w="40" w:type="dxa"/>
            </w:tcMar>
          </w:tcPr>
          <w:p w14:paraId="4CCD2B4A" w14:textId="77777777" w:rsidR="00D31EA2" w:rsidRDefault="00D31EA2" w:rsidP="00410442">
            <w:pPr>
              <w:rPr>
                <w:rFonts w:ascii="Arial" w:hAnsi="Arial" w:cs="Arial"/>
                <w:color w:val="000000"/>
                <w:sz w:val="18"/>
                <w:szCs w:val="18"/>
              </w:rPr>
            </w:pPr>
            <w:r>
              <w:rPr>
                <w:rFonts w:ascii="Arial" w:hAnsi="Arial" w:cs="Arial"/>
                <w:color w:val="000000"/>
                <w:sz w:val="18"/>
                <w:szCs w:val="18"/>
              </w:rPr>
              <w:t>4.9%</w:t>
            </w:r>
          </w:p>
        </w:tc>
        <w:tc>
          <w:tcPr>
            <w:tcW w:w="980" w:type="dxa"/>
            <w:tcMar>
              <w:top w:w="40" w:type="dxa"/>
              <w:left w:w="80" w:type="dxa"/>
              <w:bottom w:w="60" w:type="dxa"/>
              <w:right w:w="40" w:type="dxa"/>
            </w:tcMar>
          </w:tcPr>
          <w:p w14:paraId="7602A48D" w14:textId="77777777" w:rsidR="00D31EA2" w:rsidRDefault="00D31EA2" w:rsidP="00410442">
            <w:pPr>
              <w:rPr>
                <w:rFonts w:ascii="Arial" w:hAnsi="Arial" w:cs="Arial"/>
                <w:color w:val="000000"/>
                <w:sz w:val="18"/>
                <w:szCs w:val="18"/>
              </w:rPr>
            </w:pPr>
            <w:r>
              <w:rPr>
                <w:rFonts w:ascii="Arial" w:hAnsi="Arial" w:cs="Arial"/>
                <w:color w:val="000000"/>
                <w:sz w:val="18"/>
                <w:szCs w:val="18"/>
              </w:rPr>
              <w:t>4.0%</w:t>
            </w:r>
          </w:p>
        </w:tc>
        <w:tc>
          <w:tcPr>
            <w:tcW w:w="980" w:type="dxa"/>
            <w:tcMar>
              <w:top w:w="40" w:type="dxa"/>
              <w:left w:w="80" w:type="dxa"/>
              <w:bottom w:w="60" w:type="dxa"/>
              <w:right w:w="40" w:type="dxa"/>
            </w:tcMar>
          </w:tcPr>
          <w:p w14:paraId="5E6F99ED" w14:textId="77777777" w:rsidR="00D31EA2" w:rsidRDefault="00D31EA2" w:rsidP="00410442">
            <w:pPr>
              <w:rPr>
                <w:rFonts w:ascii="Arial" w:hAnsi="Arial" w:cs="Arial"/>
                <w:color w:val="000000"/>
                <w:sz w:val="18"/>
                <w:szCs w:val="18"/>
              </w:rPr>
            </w:pPr>
            <w:r>
              <w:rPr>
                <w:rFonts w:ascii="Arial" w:hAnsi="Arial" w:cs="Arial"/>
                <w:color w:val="000000"/>
                <w:sz w:val="18"/>
                <w:szCs w:val="18"/>
              </w:rPr>
              <w:t>4.1%</w:t>
            </w:r>
          </w:p>
        </w:tc>
      </w:tr>
      <w:tr w:rsidR="00D31EA2" w14:paraId="4EE100BB" w14:textId="77777777" w:rsidTr="0057146C">
        <w:trPr>
          <w:trHeight w:val="240"/>
        </w:trPr>
        <w:tc>
          <w:tcPr>
            <w:tcW w:w="2229" w:type="dxa"/>
            <w:vMerge/>
            <w:tcMar>
              <w:top w:w="40" w:type="dxa"/>
              <w:left w:w="120" w:type="dxa"/>
              <w:bottom w:w="40" w:type="dxa"/>
              <w:right w:w="40" w:type="dxa"/>
            </w:tcMar>
          </w:tcPr>
          <w:p w14:paraId="5ADCAA95" w14:textId="77777777" w:rsidR="00D31EA2" w:rsidRPr="00AA148D" w:rsidRDefault="00D31EA2" w:rsidP="00410442">
            <w:pPr>
              <w:rPr>
                <w:rFonts w:ascii="Arial" w:hAnsi="Arial" w:cs="Arial"/>
                <w:sz w:val="18"/>
                <w:szCs w:val="18"/>
              </w:rPr>
            </w:pPr>
          </w:p>
        </w:tc>
        <w:tc>
          <w:tcPr>
            <w:tcW w:w="2142" w:type="dxa"/>
            <w:tcMar>
              <w:top w:w="40" w:type="dxa"/>
              <w:left w:w="80" w:type="dxa"/>
              <w:bottom w:w="40" w:type="dxa"/>
              <w:right w:w="40" w:type="dxa"/>
            </w:tcMar>
          </w:tcPr>
          <w:p w14:paraId="5E88F476" w14:textId="77777777" w:rsidR="00D31EA2" w:rsidRDefault="00D31EA2" w:rsidP="00410442">
            <w:pPr>
              <w:rPr>
                <w:rFonts w:ascii="Arial" w:hAnsi="Arial" w:cs="Arial"/>
                <w:color w:val="000000"/>
                <w:sz w:val="18"/>
                <w:szCs w:val="18"/>
              </w:rPr>
            </w:pPr>
            <w:r>
              <w:rPr>
                <w:rFonts w:ascii="Arial" w:hAnsi="Arial" w:cs="Arial"/>
                <w:color w:val="000000"/>
                <w:sz w:val="18"/>
                <w:szCs w:val="18"/>
              </w:rPr>
              <w:t>Police</w:t>
            </w:r>
          </w:p>
        </w:tc>
        <w:tc>
          <w:tcPr>
            <w:tcW w:w="983" w:type="dxa"/>
            <w:tcMar>
              <w:top w:w="43" w:type="dxa"/>
              <w:left w:w="86" w:type="dxa"/>
              <w:bottom w:w="58" w:type="dxa"/>
              <w:right w:w="43" w:type="dxa"/>
            </w:tcMar>
          </w:tcPr>
          <w:p w14:paraId="47174702" w14:textId="77777777" w:rsidR="00D31EA2" w:rsidRDefault="00D31EA2" w:rsidP="00410442">
            <w:pPr>
              <w:rPr>
                <w:rFonts w:ascii="Arial" w:hAnsi="Arial" w:cs="Arial"/>
                <w:color w:val="000000"/>
                <w:sz w:val="18"/>
                <w:szCs w:val="18"/>
              </w:rPr>
            </w:pPr>
            <w:r>
              <w:rPr>
                <w:rFonts w:ascii="Arial" w:hAnsi="Arial" w:cs="Arial"/>
                <w:color w:val="000000"/>
                <w:sz w:val="18"/>
                <w:szCs w:val="18"/>
              </w:rPr>
              <w:t>4.0%</w:t>
            </w:r>
          </w:p>
        </w:tc>
        <w:tc>
          <w:tcPr>
            <w:tcW w:w="984" w:type="dxa"/>
            <w:tcMar>
              <w:top w:w="43" w:type="dxa"/>
              <w:left w:w="86" w:type="dxa"/>
              <w:bottom w:w="58" w:type="dxa"/>
              <w:right w:w="43" w:type="dxa"/>
            </w:tcMar>
          </w:tcPr>
          <w:p w14:paraId="630BE008" w14:textId="77777777" w:rsidR="00D31EA2" w:rsidRDefault="00D31EA2" w:rsidP="00410442">
            <w:pPr>
              <w:rPr>
                <w:rFonts w:ascii="Arial" w:hAnsi="Arial" w:cs="Arial"/>
                <w:color w:val="000000"/>
                <w:sz w:val="18"/>
                <w:szCs w:val="18"/>
              </w:rPr>
            </w:pPr>
            <w:r>
              <w:rPr>
                <w:rFonts w:ascii="Arial" w:hAnsi="Arial" w:cs="Arial"/>
                <w:color w:val="000000"/>
                <w:sz w:val="18"/>
                <w:szCs w:val="18"/>
              </w:rPr>
              <w:t>3.6%</w:t>
            </w:r>
          </w:p>
        </w:tc>
        <w:tc>
          <w:tcPr>
            <w:tcW w:w="980" w:type="dxa"/>
            <w:tcMar>
              <w:top w:w="40" w:type="dxa"/>
              <w:left w:w="80" w:type="dxa"/>
              <w:bottom w:w="60" w:type="dxa"/>
              <w:right w:w="40" w:type="dxa"/>
            </w:tcMar>
          </w:tcPr>
          <w:p w14:paraId="599E779C" w14:textId="77777777" w:rsidR="00D31EA2" w:rsidRDefault="00D31EA2" w:rsidP="00410442">
            <w:pPr>
              <w:rPr>
                <w:rFonts w:ascii="Arial" w:hAnsi="Arial" w:cs="Arial"/>
                <w:color w:val="000000"/>
                <w:sz w:val="18"/>
                <w:szCs w:val="18"/>
              </w:rPr>
            </w:pPr>
            <w:r>
              <w:rPr>
                <w:rFonts w:ascii="Arial" w:hAnsi="Arial" w:cs="Arial"/>
                <w:color w:val="000000"/>
                <w:sz w:val="18"/>
                <w:szCs w:val="18"/>
              </w:rPr>
              <w:t>3.7%</w:t>
            </w:r>
          </w:p>
        </w:tc>
        <w:tc>
          <w:tcPr>
            <w:tcW w:w="980" w:type="dxa"/>
            <w:tcMar>
              <w:top w:w="40" w:type="dxa"/>
              <w:left w:w="80" w:type="dxa"/>
              <w:bottom w:w="60" w:type="dxa"/>
              <w:right w:w="40" w:type="dxa"/>
            </w:tcMar>
          </w:tcPr>
          <w:p w14:paraId="2F5F7A4F" w14:textId="77777777" w:rsidR="00D31EA2" w:rsidRDefault="00D31EA2" w:rsidP="00410442">
            <w:pPr>
              <w:rPr>
                <w:rFonts w:ascii="Arial" w:hAnsi="Arial" w:cs="Arial"/>
                <w:color w:val="000000"/>
                <w:sz w:val="18"/>
                <w:szCs w:val="18"/>
              </w:rPr>
            </w:pPr>
            <w:r>
              <w:rPr>
                <w:rFonts w:ascii="Arial" w:hAnsi="Arial" w:cs="Arial"/>
                <w:color w:val="000000"/>
                <w:sz w:val="18"/>
                <w:szCs w:val="18"/>
              </w:rPr>
              <w:t>3.7%</w:t>
            </w:r>
          </w:p>
        </w:tc>
        <w:tc>
          <w:tcPr>
            <w:tcW w:w="980" w:type="dxa"/>
            <w:tcMar>
              <w:top w:w="40" w:type="dxa"/>
              <w:left w:w="80" w:type="dxa"/>
              <w:bottom w:w="60" w:type="dxa"/>
              <w:right w:w="40" w:type="dxa"/>
            </w:tcMar>
          </w:tcPr>
          <w:p w14:paraId="7CE3EBFB" w14:textId="77777777" w:rsidR="00D31EA2" w:rsidRDefault="00D31EA2" w:rsidP="00410442">
            <w:pPr>
              <w:rPr>
                <w:rFonts w:ascii="Arial" w:hAnsi="Arial" w:cs="Arial"/>
                <w:color w:val="000000"/>
                <w:sz w:val="18"/>
                <w:szCs w:val="18"/>
              </w:rPr>
            </w:pPr>
            <w:r>
              <w:rPr>
                <w:rFonts w:ascii="Arial" w:hAnsi="Arial" w:cs="Arial"/>
                <w:color w:val="000000"/>
                <w:sz w:val="18"/>
                <w:szCs w:val="18"/>
              </w:rPr>
              <w:t>3.7%</w:t>
            </w:r>
          </w:p>
        </w:tc>
      </w:tr>
      <w:tr w:rsidR="00D31EA2" w14:paraId="709C6449" w14:textId="77777777" w:rsidTr="0057146C">
        <w:trPr>
          <w:trHeight w:val="240"/>
        </w:trPr>
        <w:tc>
          <w:tcPr>
            <w:tcW w:w="2229" w:type="dxa"/>
            <w:vMerge/>
            <w:tcMar>
              <w:top w:w="40" w:type="dxa"/>
              <w:left w:w="120" w:type="dxa"/>
              <w:bottom w:w="40" w:type="dxa"/>
              <w:right w:w="40" w:type="dxa"/>
            </w:tcMar>
          </w:tcPr>
          <w:p w14:paraId="28E5EC36" w14:textId="77777777" w:rsidR="00D31EA2" w:rsidRPr="00AA148D" w:rsidRDefault="00D31EA2" w:rsidP="00410442">
            <w:pPr>
              <w:rPr>
                <w:rFonts w:ascii="Arial" w:hAnsi="Arial" w:cs="Arial"/>
                <w:sz w:val="18"/>
                <w:szCs w:val="18"/>
              </w:rPr>
            </w:pPr>
          </w:p>
        </w:tc>
        <w:tc>
          <w:tcPr>
            <w:tcW w:w="2142" w:type="dxa"/>
            <w:tcMar>
              <w:top w:w="40" w:type="dxa"/>
              <w:left w:w="80" w:type="dxa"/>
              <w:bottom w:w="40" w:type="dxa"/>
              <w:right w:w="40" w:type="dxa"/>
            </w:tcMar>
          </w:tcPr>
          <w:p w14:paraId="17A3AB23" w14:textId="304E7F86" w:rsidR="00D31EA2" w:rsidRDefault="00D31EA2" w:rsidP="00410442">
            <w:pPr>
              <w:rPr>
                <w:rFonts w:ascii="Arial" w:hAnsi="Arial" w:cs="Arial"/>
                <w:color w:val="000000"/>
                <w:sz w:val="18"/>
                <w:szCs w:val="18"/>
              </w:rPr>
            </w:pPr>
            <w:r>
              <w:rPr>
                <w:rFonts w:ascii="Arial" w:hAnsi="Arial" w:cs="Arial"/>
                <w:color w:val="000000"/>
                <w:sz w:val="18"/>
                <w:szCs w:val="18"/>
              </w:rPr>
              <w:t>Other</w:t>
            </w:r>
            <w:r w:rsidR="00C84B40">
              <w:rPr>
                <w:rFonts w:ascii="Arial" w:hAnsi="Arial" w:cs="Arial"/>
                <w:color w:val="000000"/>
                <w:sz w:val="18"/>
                <w:szCs w:val="18"/>
              </w:rPr>
              <w:t>/u</w:t>
            </w:r>
            <w:r>
              <w:rPr>
                <w:rFonts w:ascii="Arial" w:hAnsi="Arial" w:cs="Arial"/>
                <w:color w:val="000000"/>
                <w:sz w:val="18"/>
                <w:szCs w:val="18"/>
              </w:rPr>
              <w:t>nknown</w:t>
            </w:r>
          </w:p>
        </w:tc>
        <w:tc>
          <w:tcPr>
            <w:tcW w:w="983" w:type="dxa"/>
            <w:tcMar>
              <w:top w:w="43" w:type="dxa"/>
              <w:left w:w="86" w:type="dxa"/>
              <w:bottom w:w="58" w:type="dxa"/>
              <w:right w:w="43" w:type="dxa"/>
            </w:tcMar>
          </w:tcPr>
          <w:p w14:paraId="7CE9172E" w14:textId="77777777" w:rsidR="00D31EA2" w:rsidRDefault="00D31EA2" w:rsidP="00410442">
            <w:pPr>
              <w:rPr>
                <w:rFonts w:ascii="Arial" w:hAnsi="Arial" w:cs="Arial"/>
                <w:color w:val="000000"/>
                <w:sz w:val="18"/>
                <w:szCs w:val="18"/>
              </w:rPr>
            </w:pPr>
            <w:r>
              <w:rPr>
                <w:rFonts w:ascii="Arial" w:hAnsi="Arial" w:cs="Arial"/>
                <w:color w:val="000000"/>
                <w:sz w:val="18"/>
                <w:szCs w:val="18"/>
              </w:rPr>
              <w:t>24.2%</w:t>
            </w:r>
          </w:p>
        </w:tc>
        <w:tc>
          <w:tcPr>
            <w:tcW w:w="984" w:type="dxa"/>
            <w:tcMar>
              <w:top w:w="43" w:type="dxa"/>
              <w:left w:w="86" w:type="dxa"/>
              <w:bottom w:w="58" w:type="dxa"/>
              <w:right w:w="43" w:type="dxa"/>
            </w:tcMar>
          </w:tcPr>
          <w:p w14:paraId="152B4C21" w14:textId="77777777" w:rsidR="00D31EA2" w:rsidRDefault="00D31EA2" w:rsidP="00410442">
            <w:pPr>
              <w:rPr>
                <w:rFonts w:ascii="Arial" w:hAnsi="Arial" w:cs="Arial"/>
                <w:color w:val="000000"/>
                <w:sz w:val="18"/>
                <w:szCs w:val="18"/>
              </w:rPr>
            </w:pPr>
            <w:r>
              <w:rPr>
                <w:rFonts w:ascii="Arial" w:hAnsi="Arial" w:cs="Arial"/>
                <w:color w:val="000000"/>
                <w:sz w:val="18"/>
                <w:szCs w:val="18"/>
              </w:rPr>
              <w:t>23.8%</w:t>
            </w:r>
          </w:p>
        </w:tc>
        <w:tc>
          <w:tcPr>
            <w:tcW w:w="980" w:type="dxa"/>
            <w:tcMar>
              <w:top w:w="40" w:type="dxa"/>
              <w:left w:w="80" w:type="dxa"/>
              <w:bottom w:w="60" w:type="dxa"/>
              <w:right w:w="40" w:type="dxa"/>
            </w:tcMar>
          </w:tcPr>
          <w:p w14:paraId="391450C0" w14:textId="77777777" w:rsidR="00D31EA2" w:rsidRDefault="00D31EA2" w:rsidP="00410442">
            <w:pPr>
              <w:rPr>
                <w:rFonts w:ascii="Arial" w:hAnsi="Arial" w:cs="Arial"/>
                <w:color w:val="000000"/>
                <w:sz w:val="18"/>
                <w:szCs w:val="18"/>
              </w:rPr>
            </w:pPr>
            <w:r>
              <w:rPr>
                <w:rFonts w:ascii="Arial" w:hAnsi="Arial" w:cs="Arial"/>
                <w:color w:val="000000"/>
                <w:sz w:val="18"/>
                <w:szCs w:val="18"/>
              </w:rPr>
              <w:t>22.3%</w:t>
            </w:r>
          </w:p>
        </w:tc>
        <w:tc>
          <w:tcPr>
            <w:tcW w:w="980" w:type="dxa"/>
            <w:tcMar>
              <w:top w:w="40" w:type="dxa"/>
              <w:left w:w="80" w:type="dxa"/>
              <w:bottom w:w="60" w:type="dxa"/>
              <w:right w:w="40" w:type="dxa"/>
            </w:tcMar>
          </w:tcPr>
          <w:p w14:paraId="5B6AA985" w14:textId="77777777" w:rsidR="00D31EA2" w:rsidRDefault="00D31EA2" w:rsidP="00410442">
            <w:pPr>
              <w:rPr>
                <w:rFonts w:ascii="Arial" w:hAnsi="Arial" w:cs="Arial"/>
                <w:color w:val="000000"/>
                <w:sz w:val="18"/>
                <w:szCs w:val="18"/>
              </w:rPr>
            </w:pPr>
            <w:r>
              <w:rPr>
                <w:rFonts w:ascii="Arial" w:hAnsi="Arial" w:cs="Arial"/>
                <w:color w:val="000000"/>
                <w:sz w:val="18"/>
                <w:szCs w:val="18"/>
              </w:rPr>
              <w:t>22.4%</w:t>
            </w:r>
          </w:p>
        </w:tc>
        <w:tc>
          <w:tcPr>
            <w:tcW w:w="980" w:type="dxa"/>
            <w:tcMar>
              <w:top w:w="40" w:type="dxa"/>
              <w:left w:w="80" w:type="dxa"/>
              <w:bottom w:w="60" w:type="dxa"/>
              <w:right w:w="40" w:type="dxa"/>
            </w:tcMar>
          </w:tcPr>
          <w:p w14:paraId="25F63001" w14:textId="77777777" w:rsidR="00D31EA2" w:rsidRDefault="00D31EA2" w:rsidP="00410442">
            <w:pPr>
              <w:rPr>
                <w:rFonts w:ascii="Arial" w:hAnsi="Arial" w:cs="Arial"/>
                <w:color w:val="000000"/>
                <w:sz w:val="18"/>
                <w:szCs w:val="18"/>
              </w:rPr>
            </w:pPr>
            <w:r>
              <w:rPr>
                <w:rFonts w:ascii="Arial" w:hAnsi="Arial" w:cs="Arial"/>
                <w:color w:val="000000"/>
                <w:sz w:val="18"/>
                <w:szCs w:val="18"/>
              </w:rPr>
              <w:t>22.8%</w:t>
            </w:r>
          </w:p>
        </w:tc>
      </w:tr>
      <w:tr w:rsidR="00D31EA2" w14:paraId="73D0EA2A" w14:textId="77777777" w:rsidTr="0057146C">
        <w:trPr>
          <w:trHeight w:val="240"/>
        </w:trPr>
        <w:tc>
          <w:tcPr>
            <w:tcW w:w="2229" w:type="dxa"/>
            <w:tcMar>
              <w:top w:w="40" w:type="dxa"/>
              <w:left w:w="120" w:type="dxa"/>
              <w:bottom w:w="40" w:type="dxa"/>
              <w:right w:w="40" w:type="dxa"/>
            </w:tcMar>
          </w:tcPr>
          <w:p w14:paraId="3AC04120" w14:textId="4E7F0754"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New consumers accessing services (no access in the prior 5 years)</w:t>
            </w:r>
            <w:r w:rsidRPr="00AA148D">
              <w:rPr>
                <w:rFonts w:ascii="Arial" w:eastAsia="Verdana" w:hAnsi="Arial" w:cs="Arial"/>
                <w:color w:val="000000"/>
                <w:sz w:val="18"/>
                <w:szCs w:val="18"/>
                <w:vertAlign w:val="superscript"/>
              </w:rPr>
              <w:t>‡</w:t>
            </w:r>
            <w:r w:rsidRPr="00AA148D">
              <w:rPr>
                <w:rFonts w:ascii="Arial" w:eastAsia="Verdana" w:hAnsi="Arial" w:cs="Arial"/>
                <w:color w:val="000000"/>
                <w:sz w:val="18"/>
                <w:szCs w:val="18"/>
              </w:rPr>
              <w:t xml:space="preserve"> (%)</w:t>
            </w:r>
          </w:p>
        </w:tc>
        <w:tc>
          <w:tcPr>
            <w:tcW w:w="2142" w:type="dxa"/>
            <w:tcMar>
              <w:top w:w="40" w:type="dxa"/>
              <w:left w:w="80" w:type="dxa"/>
              <w:bottom w:w="40" w:type="dxa"/>
              <w:right w:w="40" w:type="dxa"/>
            </w:tcMar>
          </w:tcPr>
          <w:p w14:paraId="7C8F4528" w14:textId="77777777" w:rsidR="00D31EA2" w:rsidRDefault="00D31EA2" w:rsidP="00410442">
            <w:pPr>
              <w:rPr>
                <w:rFonts w:ascii="Arial" w:hAnsi="Arial" w:cs="Arial"/>
                <w:color w:val="000000"/>
                <w:sz w:val="18"/>
                <w:szCs w:val="18"/>
              </w:rPr>
            </w:pPr>
            <w:r>
              <w:rPr>
                <w:rFonts w:ascii="Arial" w:hAnsi="Arial" w:cs="Arial"/>
                <w:color w:val="000000"/>
                <w:sz w:val="18"/>
                <w:szCs w:val="18"/>
              </w:rPr>
              <w:t>Total</w:t>
            </w:r>
          </w:p>
        </w:tc>
        <w:tc>
          <w:tcPr>
            <w:tcW w:w="983" w:type="dxa"/>
            <w:tcMar>
              <w:top w:w="43" w:type="dxa"/>
              <w:left w:w="86" w:type="dxa"/>
              <w:bottom w:w="58" w:type="dxa"/>
              <w:right w:w="43" w:type="dxa"/>
            </w:tcMar>
          </w:tcPr>
          <w:p w14:paraId="1F5D1C40" w14:textId="77777777" w:rsidR="00D31EA2" w:rsidRDefault="00D31EA2" w:rsidP="00410442">
            <w:pPr>
              <w:rPr>
                <w:rFonts w:ascii="Arial" w:hAnsi="Arial" w:cs="Arial"/>
                <w:color w:val="000000"/>
                <w:sz w:val="18"/>
                <w:szCs w:val="18"/>
              </w:rPr>
            </w:pPr>
            <w:r>
              <w:rPr>
                <w:rFonts w:ascii="Arial" w:hAnsi="Arial" w:cs="Arial"/>
                <w:color w:val="000000"/>
                <w:sz w:val="18"/>
                <w:szCs w:val="18"/>
              </w:rPr>
              <w:t>35.7%</w:t>
            </w:r>
          </w:p>
        </w:tc>
        <w:tc>
          <w:tcPr>
            <w:tcW w:w="984" w:type="dxa"/>
            <w:tcMar>
              <w:top w:w="43" w:type="dxa"/>
              <w:left w:w="86" w:type="dxa"/>
              <w:bottom w:w="58" w:type="dxa"/>
              <w:right w:w="43" w:type="dxa"/>
            </w:tcMar>
          </w:tcPr>
          <w:p w14:paraId="52117B85" w14:textId="77777777" w:rsidR="00D31EA2" w:rsidRDefault="00D31EA2" w:rsidP="00410442">
            <w:pPr>
              <w:rPr>
                <w:rFonts w:ascii="Arial" w:hAnsi="Arial" w:cs="Arial"/>
                <w:color w:val="000000"/>
                <w:sz w:val="18"/>
                <w:szCs w:val="18"/>
              </w:rPr>
            </w:pPr>
            <w:r>
              <w:rPr>
                <w:rFonts w:ascii="Arial" w:hAnsi="Arial" w:cs="Arial"/>
                <w:color w:val="000000"/>
                <w:sz w:val="18"/>
                <w:szCs w:val="18"/>
              </w:rPr>
              <w:t>36.6%</w:t>
            </w:r>
          </w:p>
        </w:tc>
        <w:tc>
          <w:tcPr>
            <w:tcW w:w="980" w:type="dxa"/>
            <w:tcMar>
              <w:top w:w="40" w:type="dxa"/>
              <w:left w:w="80" w:type="dxa"/>
              <w:bottom w:w="60" w:type="dxa"/>
              <w:right w:w="40" w:type="dxa"/>
            </w:tcMar>
          </w:tcPr>
          <w:p w14:paraId="03BC86F8" w14:textId="77777777" w:rsidR="00D31EA2" w:rsidRDefault="00D31EA2" w:rsidP="00410442">
            <w:pPr>
              <w:rPr>
                <w:rFonts w:ascii="Arial" w:hAnsi="Arial" w:cs="Arial"/>
                <w:color w:val="000000"/>
                <w:sz w:val="18"/>
                <w:szCs w:val="18"/>
              </w:rPr>
            </w:pPr>
            <w:r>
              <w:rPr>
                <w:rFonts w:ascii="Arial" w:hAnsi="Arial" w:cs="Arial"/>
                <w:color w:val="000000"/>
                <w:sz w:val="18"/>
                <w:szCs w:val="18"/>
              </w:rPr>
              <w:t>36.8%</w:t>
            </w:r>
          </w:p>
        </w:tc>
        <w:tc>
          <w:tcPr>
            <w:tcW w:w="980" w:type="dxa"/>
            <w:tcMar>
              <w:top w:w="40" w:type="dxa"/>
              <w:left w:w="80" w:type="dxa"/>
              <w:bottom w:w="60" w:type="dxa"/>
              <w:right w:w="40" w:type="dxa"/>
            </w:tcMar>
          </w:tcPr>
          <w:p w14:paraId="72928FEA" w14:textId="77777777" w:rsidR="00D31EA2" w:rsidRDefault="00D31EA2" w:rsidP="00410442">
            <w:pPr>
              <w:rPr>
                <w:rFonts w:ascii="Arial" w:hAnsi="Arial" w:cs="Arial"/>
                <w:color w:val="000000"/>
                <w:sz w:val="18"/>
                <w:szCs w:val="18"/>
              </w:rPr>
            </w:pPr>
            <w:r>
              <w:rPr>
                <w:rFonts w:ascii="Arial" w:hAnsi="Arial" w:cs="Arial"/>
                <w:color w:val="000000"/>
                <w:sz w:val="18"/>
                <w:szCs w:val="18"/>
              </w:rPr>
              <w:t>35.9%</w:t>
            </w:r>
          </w:p>
        </w:tc>
        <w:tc>
          <w:tcPr>
            <w:tcW w:w="980" w:type="dxa"/>
            <w:tcMar>
              <w:top w:w="40" w:type="dxa"/>
              <w:left w:w="80" w:type="dxa"/>
              <w:bottom w:w="60" w:type="dxa"/>
              <w:right w:w="40" w:type="dxa"/>
            </w:tcMar>
          </w:tcPr>
          <w:p w14:paraId="7BA7EA35" w14:textId="77777777" w:rsidR="00D31EA2" w:rsidRDefault="00D31EA2" w:rsidP="00410442">
            <w:pPr>
              <w:rPr>
                <w:rFonts w:ascii="Arial" w:hAnsi="Arial" w:cs="Arial"/>
                <w:color w:val="000000"/>
                <w:sz w:val="18"/>
                <w:szCs w:val="18"/>
              </w:rPr>
            </w:pPr>
            <w:r>
              <w:rPr>
                <w:rFonts w:ascii="Arial" w:hAnsi="Arial" w:cs="Arial"/>
                <w:color w:val="000000"/>
                <w:sz w:val="18"/>
                <w:szCs w:val="18"/>
              </w:rPr>
              <w:t>35.3%</w:t>
            </w:r>
          </w:p>
        </w:tc>
      </w:tr>
      <w:tr w:rsidR="00D31EA2" w14:paraId="59B0B727" w14:textId="77777777" w:rsidTr="0057146C">
        <w:trPr>
          <w:trHeight w:val="240"/>
        </w:trPr>
        <w:tc>
          <w:tcPr>
            <w:tcW w:w="2229" w:type="dxa"/>
            <w:tcMar>
              <w:top w:w="40" w:type="dxa"/>
              <w:left w:w="120" w:type="dxa"/>
              <w:bottom w:w="40" w:type="dxa"/>
              <w:right w:w="40" w:type="dxa"/>
            </w:tcMar>
          </w:tcPr>
          <w:p w14:paraId="30B4314A"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Consumers accessing services during each of the previous 5 years</w:t>
            </w:r>
            <w:r w:rsidRPr="00AA148D">
              <w:rPr>
                <w:rFonts w:ascii="Arial" w:eastAsia="Verdana" w:hAnsi="Arial" w:cs="Arial"/>
                <w:color w:val="000000"/>
                <w:sz w:val="18"/>
                <w:szCs w:val="18"/>
                <w:vertAlign w:val="superscript"/>
              </w:rPr>
              <w:t>‡</w:t>
            </w:r>
            <w:r w:rsidRPr="00AA148D">
              <w:rPr>
                <w:rFonts w:ascii="Arial" w:eastAsia="Verdana" w:hAnsi="Arial" w:cs="Arial"/>
                <w:color w:val="000000"/>
                <w:sz w:val="18"/>
                <w:szCs w:val="18"/>
              </w:rPr>
              <w:t xml:space="preserve"> (%)</w:t>
            </w:r>
          </w:p>
        </w:tc>
        <w:tc>
          <w:tcPr>
            <w:tcW w:w="2142" w:type="dxa"/>
            <w:tcMar>
              <w:top w:w="40" w:type="dxa"/>
              <w:left w:w="80" w:type="dxa"/>
              <w:bottom w:w="40" w:type="dxa"/>
              <w:right w:w="40" w:type="dxa"/>
            </w:tcMar>
          </w:tcPr>
          <w:p w14:paraId="0BD3AA3E" w14:textId="77777777" w:rsidR="00D31EA2" w:rsidRDefault="00D31EA2" w:rsidP="00410442">
            <w:pPr>
              <w:rPr>
                <w:rFonts w:ascii="Arial" w:hAnsi="Arial" w:cs="Arial"/>
                <w:color w:val="000000"/>
                <w:sz w:val="18"/>
                <w:szCs w:val="18"/>
              </w:rPr>
            </w:pPr>
            <w:r>
              <w:rPr>
                <w:rFonts w:ascii="Arial" w:hAnsi="Arial" w:cs="Arial"/>
                <w:color w:val="000000"/>
                <w:sz w:val="18"/>
                <w:szCs w:val="18"/>
              </w:rPr>
              <w:t>Total</w:t>
            </w:r>
          </w:p>
        </w:tc>
        <w:tc>
          <w:tcPr>
            <w:tcW w:w="983" w:type="dxa"/>
            <w:tcMar>
              <w:top w:w="43" w:type="dxa"/>
              <w:left w:w="86" w:type="dxa"/>
              <w:bottom w:w="58" w:type="dxa"/>
              <w:right w:w="43" w:type="dxa"/>
            </w:tcMar>
          </w:tcPr>
          <w:p w14:paraId="5236D581" w14:textId="77777777" w:rsidR="00D31EA2" w:rsidRDefault="00D31EA2" w:rsidP="00410442">
            <w:pPr>
              <w:rPr>
                <w:rFonts w:ascii="Arial" w:hAnsi="Arial" w:cs="Arial"/>
                <w:color w:val="000000"/>
                <w:sz w:val="18"/>
                <w:szCs w:val="18"/>
              </w:rPr>
            </w:pPr>
            <w:r>
              <w:rPr>
                <w:rFonts w:ascii="Arial" w:hAnsi="Arial" w:cs="Arial"/>
                <w:color w:val="000000"/>
                <w:sz w:val="18"/>
                <w:szCs w:val="18"/>
              </w:rPr>
              <w:t>14.3%</w:t>
            </w:r>
          </w:p>
        </w:tc>
        <w:tc>
          <w:tcPr>
            <w:tcW w:w="984" w:type="dxa"/>
            <w:tcMar>
              <w:top w:w="43" w:type="dxa"/>
              <w:left w:w="86" w:type="dxa"/>
              <w:bottom w:w="58" w:type="dxa"/>
              <w:right w:w="43" w:type="dxa"/>
            </w:tcMar>
          </w:tcPr>
          <w:p w14:paraId="1CA98C8F" w14:textId="77777777" w:rsidR="00D31EA2" w:rsidRDefault="00D31EA2" w:rsidP="00410442">
            <w:pPr>
              <w:rPr>
                <w:rFonts w:ascii="Arial" w:hAnsi="Arial" w:cs="Arial"/>
                <w:color w:val="000000"/>
                <w:sz w:val="18"/>
                <w:szCs w:val="18"/>
              </w:rPr>
            </w:pPr>
            <w:r>
              <w:rPr>
                <w:rFonts w:ascii="Arial" w:hAnsi="Arial" w:cs="Arial"/>
                <w:color w:val="000000"/>
                <w:sz w:val="18"/>
                <w:szCs w:val="18"/>
              </w:rPr>
              <w:t>14.1%</w:t>
            </w:r>
          </w:p>
        </w:tc>
        <w:tc>
          <w:tcPr>
            <w:tcW w:w="980" w:type="dxa"/>
            <w:tcMar>
              <w:top w:w="40" w:type="dxa"/>
              <w:left w:w="80" w:type="dxa"/>
              <w:bottom w:w="60" w:type="dxa"/>
              <w:right w:w="40" w:type="dxa"/>
            </w:tcMar>
          </w:tcPr>
          <w:p w14:paraId="2F82037F" w14:textId="77777777" w:rsidR="00D31EA2" w:rsidRDefault="00D31EA2" w:rsidP="00410442">
            <w:pPr>
              <w:rPr>
                <w:rFonts w:ascii="Arial" w:hAnsi="Arial" w:cs="Arial"/>
                <w:color w:val="000000"/>
                <w:sz w:val="18"/>
                <w:szCs w:val="18"/>
              </w:rPr>
            </w:pPr>
            <w:r>
              <w:rPr>
                <w:rFonts w:ascii="Arial" w:hAnsi="Arial" w:cs="Arial"/>
                <w:color w:val="000000"/>
                <w:sz w:val="18"/>
                <w:szCs w:val="18"/>
              </w:rPr>
              <w:t>13.5%</w:t>
            </w:r>
          </w:p>
        </w:tc>
        <w:tc>
          <w:tcPr>
            <w:tcW w:w="980" w:type="dxa"/>
            <w:tcMar>
              <w:top w:w="40" w:type="dxa"/>
              <w:left w:w="80" w:type="dxa"/>
              <w:bottom w:w="60" w:type="dxa"/>
              <w:right w:w="40" w:type="dxa"/>
            </w:tcMar>
          </w:tcPr>
          <w:p w14:paraId="29CCE5CC" w14:textId="77777777" w:rsidR="00D31EA2" w:rsidRDefault="00D31EA2" w:rsidP="00410442">
            <w:pPr>
              <w:rPr>
                <w:rFonts w:ascii="Arial" w:hAnsi="Arial" w:cs="Arial"/>
                <w:color w:val="000000"/>
                <w:sz w:val="18"/>
                <w:szCs w:val="18"/>
              </w:rPr>
            </w:pPr>
            <w:r>
              <w:rPr>
                <w:rFonts w:ascii="Arial" w:hAnsi="Arial" w:cs="Arial"/>
                <w:color w:val="000000"/>
                <w:sz w:val="18"/>
                <w:szCs w:val="18"/>
              </w:rPr>
              <w:t>13.4%</w:t>
            </w:r>
          </w:p>
        </w:tc>
        <w:tc>
          <w:tcPr>
            <w:tcW w:w="980" w:type="dxa"/>
            <w:tcMar>
              <w:top w:w="40" w:type="dxa"/>
              <w:left w:w="80" w:type="dxa"/>
              <w:bottom w:w="60" w:type="dxa"/>
              <w:right w:w="40" w:type="dxa"/>
            </w:tcMar>
          </w:tcPr>
          <w:p w14:paraId="3498819A" w14:textId="77777777" w:rsidR="00D31EA2" w:rsidRDefault="00D31EA2" w:rsidP="00410442">
            <w:pPr>
              <w:rPr>
                <w:rFonts w:ascii="Arial" w:hAnsi="Arial" w:cs="Arial"/>
                <w:color w:val="000000"/>
                <w:sz w:val="18"/>
                <w:szCs w:val="18"/>
              </w:rPr>
            </w:pPr>
            <w:r>
              <w:rPr>
                <w:rFonts w:ascii="Arial" w:hAnsi="Arial" w:cs="Arial"/>
                <w:color w:val="000000"/>
                <w:sz w:val="18"/>
                <w:szCs w:val="18"/>
              </w:rPr>
              <w:t>13.5%</w:t>
            </w:r>
          </w:p>
        </w:tc>
      </w:tr>
    </w:tbl>
    <w:p w14:paraId="05D3074E" w14:textId="6B6F3493" w:rsidR="00D31EA2" w:rsidRDefault="00D31EA2" w:rsidP="00157535">
      <w:pPr>
        <w:pStyle w:val="DHHSbodynospace"/>
      </w:pPr>
    </w:p>
    <w:tbl>
      <w:tblPr>
        <w:tblW w:w="0" w:type="auto"/>
        <w:tblBorders>
          <w:top w:val="single" w:sz="8" w:space="0" w:color="004EA8"/>
          <w:left w:val="single" w:sz="8" w:space="0" w:color="004EA8"/>
          <w:bottom w:val="single" w:sz="8" w:space="0" w:color="004EA8"/>
          <w:right w:val="single" w:sz="8" w:space="0" w:color="004EA8"/>
          <w:insideH w:val="single" w:sz="8" w:space="0" w:color="004EA8"/>
          <w:insideV w:val="single" w:sz="8" w:space="0" w:color="004EA8"/>
        </w:tblBorders>
        <w:tblCellMar>
          <w:left w:w="0" w:type="dxa"/>
          <w:right w:w="0" w:type="dxa"/>
        </w:tblCellMar>
        <w:tblLook w:val="0000" w:firstRow="0" w:lastRow="0" w:firstColumn="0" w:lastColumn="0" w:noHBand="0" w:noVBand="0"/>
      </w:tblPr>
      <w:tblGrid>
        <w:gridCol w:w="2231"/>
        <w:gridCol w:w="1958"/>
        <w:gridCol w:w="973"/>
        <w:gridCol w:w="930"/>
        <w:gridCol w:w="1062"/>
        <w:gridCol w:w="1062"/>
        <w:gridCol w:w="1062"/>
      </w:tblGrid>
      <w:tr w:rsidR="00D31EA2" w14:paraId="13270998" w14:textId="77777777" w:rsidTr="00157B5E">
        <w:trPr>
          <w:trHeight w:val="279"/>
          <w:tblHeader/>
        </w:trPr>
        <w:tc>
          <w:tcPr>
            <w:tcW w:w="2899" w:type="dxa"/>
            <w:shd w:val="clear" w:color="auto" w:fill="004EA8"/>
            <w:tcMar>
              <w:top w:w="40" w:type="dxa"/>
              <w:left w:w="80" w:type="dxa"/>
              <w:bottom w:w="40" w:type="dxa"/>
              <w:right w:w="40" w:type="dxa"/>
            </w:tcMar>
            <w:vAlign w:val="center"/>
          </w:tcPr>
          <w:p w14:paraId="183958F5" w14:textId="7A48FE93" w:rsidR="00D31EA2" w:rsidRPr="00B33889" w:rsidRDefault="00D31EA2" w:rsidP="00410442">
            <w:pPr>
              <w:rPr>
                <w:rFonts w:ascii="Arial" w:hAnsi="Arial" w:cs="Arial"/>
              </w:rPr>
            </w:pPr>
            <w:r w:rsidRPr="00B33889">
              <w:rPr>
                <w:rFonts w:ascii="Arial" w:eastAsia="Verdana" w:hAnsi="Arial" w:cs="Arial"/>
                <w:b/>
                <w:color w:val="FFFFFF"/>
                <w:sz w:val="18"/>
              </w:rPr>
              <w:t>Service activity</w:t>
            </w:r>
            <w:r>
              <w:rPr>
                <w:rFonts w:ascii="Arial" w:eastAsia="Verdana" w:hAnsi="Arial" w:cs="Arial"/>
                <w:b/>
                <w:color w:val="FFFFFF"/>
                <w:sz w:val="18"/>
              </w:rPr>
              <w:t xml:space="preserve"> – </w:t>
            </w:r>
            <w:r w:rsidRPr="00B33889">
              <w:rPr>
                <w:rFonts w:ascii="Arial" w:eastAsia="Verdana" w:hAnsi="Arial" w:cs="Arial"/>
                <w:b/>
                <w:color w:val="FFFFFF"/>
                <w:sz w:val="18"/>
              </w:rPr>
              <w:t>bed</w:t>
            </w:r>
            <w:r w:rsidR="00F2363E">
              <w:rPr>
                <w:rFonts w:ascii="Arial" w:eastAsia="Verdana" w:hAnsi="Arial" w:cs="Arial"/>
                <w:b/>
                <w:color w:val="FFFFFF"/>
                <w:sz w:val="18"/>
              </w:rPr>
              <w:t>-</w:t>
            </w:r>
            <w:r w:rsidRPr="00B33889">
              <w:rPr>
                <w:rFonts w:ascii="Arial" w:eastAsia="Verdana" w:hAnsi="Arial" w:cs="Arial"/>
                <w:b/>
                <w:color w:val="FFFFFF"/>
                <w:sz w:val="18"/>
              </w:rPr>
              <w:t>based</w:t>
            </w:r>
          </w:p>
        </w:tc>
        <w:tc>
          <w:tcPr>
            <w:tcW w:w="2605" w:type="dxa"/>
            <w:shd w:val="clear" w:color="auto" w:fill="004EA8"/>
            <w:tcMar>
              <w:top w:w="40" w:type="dxa"/>
              <w:left w:w="80" w:type="dxa"/>
              <w:bottom w:w="40" w:type="dxa"/>
              <w:right w:w="40" w:type="dxa"/>
            </w:tcMar>
            <w:vAlign w:val="center"/>
          </w:tcPr>
          <w:p w14:paraId="6B166BEB" w14:textId="77777777" w:rsidR="00D31EA2" w:rsidRDefault="00D31EA2" w:rsidP="00410442">
            <w:pPr>
              <w:rPr>
                <w:rFonts w:ascii="Arial" w:hAnsi="Arial" w:cs="Arial"/>
                <w:b/>
                <w:bCs/>
                <w:color w:val="FFFFFF"/>
                <w:sz w:val="18"/>
                <w:szCs w:val="18"/>
                <w:lang w:eastAsia="en-AU"/>
              </w:rPr>
            </w:pPr>
            <w:r>
              <w:rPr>
                <w:rFonts w:ascii="Arial" w:hAnsi="Arial" w:cs="Arial"/>
                <w:b/>
                <w:bCs/>
                <w:color w:val="FFFFFF"/>
                <w:sz w:val="18"/>
                <w:szCs w:val="18"/>
              </w:rPr>
              <w:t>Setting</w:t>
            </w:r>
          </w:p>
        </w:tc>
        <w:tc>
          <w:tcPr>
            <w:tcW w:w="1086" w:type="dxa"/>
            <w:shd w:val="clear" w:color="auto" w:fill="004EA8"/>
            <w:vAlign w:val="center"/>
          </w:tcPr>
          <w:p w14:paraId="56370A0F"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2015–16</w:t>
            </w:r>
          </w:p>
        </w:tc>
        <w:tc>
          <w:tcPr>
            <w:tcW w:w="1017" w:type="dxa"/>
            <w:shd w:val="clear" w:color="auto" w:fill="004EA8"/>
            <w:vAlign w:val="center"/>
          </w:tcPr>
          <w:p w14:paraId="1889CCAD"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2016–17</w:t>
            </w:r>
          </w:p>
        </w:tc>
        <w:tc>
          <w:tcPr>
            <w:tcW w:w="1232" w:type="dxa"/>
            <w:shd w:val="clear" w:color="auto" w:fill="004EA8"/>
            <w:tcMar>
              <w:top w:w="40" w:type="dxa"/>
              <w:left w:w="80" w:type="dxa"/>
              <w:bottom w:w="60" w:type="dxa"/>
              <w:right w:w="40" w:type="dxa"/>
            </w:tcMar>
            <w:vAlign w:val="center"/>
          </w:tcPr>
          <w:p w14:paraId="797DB98C"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2017–18</w:t>
            </w:r>
          </w:p>
        </w:tc>
        <w:tc>
          <w:tcPr>
            <w:tcW w:w="1232" w:type="dxa"/>
            <w:shd w:val="clear" w:color="auto" w:fill="004EA8"/>
            <w:tcMar>
              <w:top w:w="40" w:type="dxa"/>
              <w:left w:w="80" w:type="dxa"/>
              <w:bottom w:w="60" w:type="dxa"/>
              <w:right w:w="40" w:type="dxa"/>
            </w:tcMar>
            <w:vAlign w:val="center"/>
          </w:tcPr>
          <w:p w14:paraId="6744329B"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2018–19</w:t>
            </w:r>
          </w:p>
        </w:tc>
        <w:tc>
          <w:tcPr>
            <w:tcW w:w="1232" w:type="dxa"/>
            <w:shd w:val="clear" w:color="auto" w:fill="004EA8"/>
            <w:tcMar>
              <w:top w:w="40" w:type="dxa"/>
              <w:left w:w="80" w:type="dxa"/>
              <w:bottom w:w="60" w:type="dxa"/>
              <w:right w:w="40" w:type="dxa"/>
            </w:tcMar>
            <w:vAlign w:val="center"/>
          </w:tcPr>
          <w:p w14:paraId="3E56632A"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2019–20</w:t>
            </w:r>
          </w:p>
        </w:tc>
      </w:tr>
      <w:tr w:rsidR="00D31EA2" w14:paraId="46DA4861" w14:textId="77777777" w:rsidTr="00311585">
        <w:trPr>
          <w:trHeight w:val="240"/>
        </w:trPr>
        <w:tc>
          <w:tcPr>
            <w:tcW w:w="2899" w:type="dxa"/>
            <w:vMerge w:val="restart"/>
            <w:tcMar>
              <w:top w:w="40" w:type="dxa"/>
              <w:left w:w="120" w:type="dxa"/>
              <w:bottom w:w="40" w:type="dxa"/>
              <w:right w:w="40" w:type="dxa"/>
            </w:tcMar>
          </w:tcPr>
          <w:p w14:paraId="5BA7BCB2"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Total number of separations (excluding same days)</w:t>
            </w:r>
          </w:p>
        </w:tc>
        <w:tc>
          <w:tcPr>
            <w:tcW w:w="2605" w:type="dxa"/>
            <w:tcMar>
              <w:top w:w="40" w:type="dxa"/>
              <w:left w:w="80" w:type="dxa"/>
              <w:bottom w:w="40" w:type="dxa"/>
              <w:right w:w="40" w:type="dxa"/>
            </w:tcMar>
          </w:tcPr>
          <w:p w14:paraId="4CFEE682" w14:textId="6C616713" w:rsidR="00D31EA2" w:rsidRDefault="00D31EA2" w:rsidP="00410442">
            <w:pPr>
              <w:rPr>
                <w:rFonts w:ascii="Arial" w:hAnsi="Arial" w:cs="Arial"/>
                <w:color w:val="000000"/>
                <w:sz w:val="18"/>
                <w:szCs w:val="18"/>
              </w:rPr>
            </w:pPr>
            <w:r>
              <w:rPr>
                <w:rFonts w:ascii="Arial" w:hAnsi="Arial" w:cs="Arial"/>
                <w:color w:val="000000"/>
                <w:sz w:val="18"/>
                <w:szCs w:val="18"/>
              </w:rPr>
              <w:t xml:space="preserve">Admitted – </w:t>
            </w:r>
            <w:r w:rsidR="00247F8A">
              <w:rPr>
                <w:rFonts w:ascii="Arial" w:hAnsi="Arial" w:cs="Arial"/>
                <w:color w:val="000000"/>
                <w:sz w:val="18"/>
                <w:szCs w:val="18"/>
              </w:rPr>
              <w:t>a</w:t>
            </w:r>
            <w:r>
              <w:rPr>
                <w:rFonts w:ascii="Arial" w:hAnsi="Arial" w:cs="Arial"/>
                <w:color w:val="000000"/>
                <w:sz w:val="18"/>
                <w:szCs w:val="18"/>
              </w:rPr>
              <w:t>cute</w:t>
            </w:r>
          </w:p>
        </w:tc>
        <w:tc>
          <w:tcPr>
            <w:tcW w:w="1086" w:type="dxa"/>
            <w:tcMar>
              <w:top w:w="43" w:type="dxa"/>
              <w:left w:w="86" w:type="dxa"/>
              <w:bottom w:w="58" w:type="dxa"/>
              <w:right w:w="43" w:type="dxa"/>
            </w:tcMar>
          </w:tcPr>
          <w:p w14:paraId="69DDEE01" w14:textId="77777777" w:rsidR="00D31EA2" w:rsidRDefault="00D31EA2" w:rsidP="00410442">
            <w:pPr>
              <w:rPr>
                <w:rFonts w:ascii="Arial" w:hAnsi="Arial" w:cs="Arial"/>
                <w:color w:val="000000"/>
                <w:sz w:val="18"/>
                <w:szCs w:val="18"/>
              </w:rPr>
            </w:pPr>
            <w:r>
              <w:rPr>
                <w:rFonts w:ascii="Arial" w:hAnsi="Arial" w:cs="Arial"/>
                <w:color w:val="000000"/>
                <w:sz w:val="18"/>
                <w:szCs w:val="18"/>
              </w:rPr>
              <w:t>23,664</w:t>
            </w:r>
          </w:p>
        </w:tc>
        <w:tc>
          <w:tcPr>
            <w:tcW w:w="1017" w:type="dxa"/>
            <w:tcMar>
              <w:top w:w="43" w:type="dxa"/>
              <w:left w:w="86" w:type="dxa"/>
              <w:bottom w:w="58" w:type="dxa"/>
              <w:right w:w="43" w:type="dxa"/>
            </w:tcMar>
          </w:tcPr>
          <w:p w14:paraId="020081F8" w14:textId="77777777" w:rsidR="00D31EA2" w:rsidRDefault="00D31EA2" w:rsidP="00410442">
            <w:pPr>
              <w:rPr>
                <w:rFonts w:ascii="Arial" w:hAnsi="Arial" w:cs="Arial"/>
                <w:color w:val="000000"/>
                <w:sz w:val="18"/>
                <w:szCs w:val="18"/>
              </w:rPr>
            </w:pPr>
            <w:r>
              <w:rPr>
                <w:rFonts w:ascii="Arial" w:hAnsi="Arial" w:cs="Arial"/>
                <w:color w:val="000000"/>
                <w:sz w:val="18"/>
                <w:szCs w:val="18"/>
              </w:rPr>
              <w:t>24,334</w:t>
            </w:r>
          </w:p>
        </w:tc>
        <w:tc>
          <w:tcPr>
            <w:tcW w:w="1232" w:type="dxa"/>
            <w:tcMar>
              <w:top w:w="40" w:type="dxa"/>
              <w:left w:w="80" w:type="dxa"/>
              <w:bottom w:w="60" w:type="dxa"/>
              <w:right w:w="40" w:type="dxa"/>
            </w:tcMar>
          </w:tcPr>
          <w:p w14:paraId="6886C642" w14:textId="77777777" w:rsidR="00D31EA2" w:rsidRDefault="00D31EA2" w:rsidP="00410442">
            <w:pPr>
              <w:rPr>
                <w:rFonts w:ascii="Arial" w:hAnsi="Arial" w:cs="Arial"/>
                <w:color w:val="000000"/>
                <w:sz w:val="18"/>
                <w:szCs w:val="18"/>
              </w:rPr>
            </w:pPr>
            <w:r>
              <w:rPr>
                <w:rFonts w:ascii="Arial" w:hAnsi="Arial" w:cs="Arial"/>
                <w:color w:val="000000"/>
                <w:sz w:val="18"/>
                <w:szCs w:val="18"/>
              </w:rPr>
              <w:t>26,124</w:t>
            </w:r>
          </w:p>
        </w:tc>
        <w:tc>
          <w:tcPr>
            <w:tcW w:w="1232" w:type="dxa"/>
            <w:tcMar>
              <w:top w:w="40" w:type="dxa"/>
              <w:left w:w="80" w:type="dxa"/>
              <w:bottom w:w="60" w:type="dxa"/>
              <w:right w:w="40" w:type="dxa"/>
            </w:tcMar>
          </w:tcPr>
          <w:p w14:paraId="1570B08B" w14:textId="77777777" w:rsidR="00D31EA2" w:rsidRDefault="00D31EA2" w:rsidP="00410442">
            <w:pPr>
              <w:rPr>
                <w:rFonts w:ascii="Arial" w:hAnsi="Arial" w:cs="Arial"/>
                <w:color w:val="000000"/>
                <w:sz w:val="18"/>
                <w:szCs w:val="18"/>
              </w:rPr>
            </w:pPr>
            <w:r>
              <w:rPr>
                <w:rFonts w:ascii="Arial" w:hAnsi="Arial" w:cs="Arial"/>
                <w:color w:val="000000"/>
                <w:sz w:val="18"/>
                <w:szCs w:val="18"/>
              </w:rPr>
              <w:t>26,692</w:t>
            </w:r>
          </w:p>
        </w:tc>
        <w:tc>
          <w:tcPr>
            <w:tcW w:w="1232" w:type="dxa"/>
            <w:tcMar>
              <w:top w:w="40" w:type="dxa"/>
              <w:left w:w="80" w:type="dxa"/>
              <w:bottom w:w="60" w:type="dxa"/>
              <w:right w:w="40" w:type="dxa"/>
            </w:tcMar>
          </w:tcPr>
          <w:p w14:paraId="1F317175" w14:textId="77777777" w:rsidR="00D31EA2" w:rsidRDefault="00D31EA2" w:rsidP="00410442">
            <w:pPr>
              <w:rPr>
                <w:rFonts w:ascii="Arial" w:hAnsi="Arial" w:cs="Arial"/>
                <w:color w:val="000000"/>
                <w:sz w:val="18"/>
                <w:szCs w:val="18"/>
              </w:rPr>
            </w:pPr>
            <w:r>
              <w:rPr>
                <w:rFonts w:ascii="Arial" w:hAnsi="Arial" w:cs="Arial"/>
                <w:color w:val="000000"/>
                <w:sz w:val="18"/>
                <w:szCs w:val="18"/>
              </w:rPr>
              <w:t>26,654</w:t>
            </w:r>
          </w:p>
        </w:tc>
      </w:tr>
      <w:tr w:rsidR="00D31EA2" w14:paraId="2C4243E6" w14:textId="77777777" w:rsidTr="00311585">
        <w:trPr>
          <w:trHeight w:val="240"/>
        </w:trPr>
        <w:tc>
          <w:tcPr>
            <w:tcW w:w="2899" w:type="dxa"/>
            <w:vMerge/>
            <w:tcMar>
              <w:top w:w="40" w:type="dxa"/>
              <w:left w:w="120" w:type="dxa"/>
              <w:bottom w:w="40" w:type="dxa"/>
              <w:right w:w="40" w:type="dxa"/>
            </w:tcMar>
          </w:tcPr>
          <w:p w14:paraId="3F1797E4" w14:textId="77777777" w:rsidR="00D31EA2" w:rsidRPr="00AA148D" w:rsidRDefault="00D31EA2" w:rsidP="00410442">
            <w:pPr>
              <w:rPr>
                <w:rFonts w:ascii="Arial" w:hAnsi="Arial" w:cs="Arial"/>
                <w:sz w:val="18"/>
                <w:szCs w:val="18"/>
              </w:rPr>
            </w:pPr>
          </w:p>
        </w:tc>
        <w:tc>
          <w:tcPr>
            <w:tcW w:w="2605" w:type="dxa"/>
            <w:tcMar>
              <w:top w:w="40" w:type="dxa"/>
              <w:left w:w="80" w:type="dxa"/>
              <w:bottom w:w="40" w:type="dxa"/>
              <w:right w:w="40" w:type="dxa"/>
            </w:tcMar>
          </w:tcPr>
          <w:p w14:paraId="072AD9D4" w14:textId="77777777" w:rsidR="00D31EA2" w:rsidRDefault="00D31EA2" w:rsidP="00410442">
            <w:pPr>
              <w:rPr>
                <w:rFonts w:ascii="Arial" w:hAnsi="Arial" w:cs="Arial"/>
                <w:color w:val="000000"/>
                <w:sz w:val="18"/>
                <w:szCs w:val="18"/>
              </w:rPr>
            </w:pPr>
            <w:r>
              <w:rPr>
                <w:rFonts w:ascii="Arial" w:hAnsi="Arial" w:cs="Arial"/>
                <w:color w:val="000000"/>
                <w:sz w:val="18"/>
                <w:szCs w:val="18"/>
              </w:rPr>
              <w:t>Admitted – non-acute</w:t>
            </w:r>
          </w:p>
        </w:tc>
        <w:tc>
          <w:tcPr>
            <w:tcW w:w="1086" w:type="dxa"/>
            <w:tcMar>
              <w:top w:w="43" w:type="dxa"/>
              <w:left w:w="86" w:type="dxa"/>
              <w:bottom w:w="58" w:type="dxa"/>
              <w:right w:w="43" w:type="dxa"/>
            </w:tcMar>
          </w:tcPr>
          <w:p w14:paraId="11F33EE2" w14:textId="77777777" w:rsidR="00D31EA2" w:rsidRDefault="00D31EA2" w:rsidP="00410442">
            <w:pPr>
              <w:rPr>
                <w:rFonts w:ascii="Arial" w:hAnsi="Arial" w:cs="Arial"/>
                <w:color w:val="000000"/>
                <w:sz w:val="18"/>
                <w:szCs w:val="18"/>
              </w:rPr>
            </w:pPr>
            <w:r>
              <w:rPr>
                <w:rFonts w:ascii="Arial" w:hAnsi="Arial" w:cs="Arial"/>
                <w:color w:val="000000"/>
                <w:sz w:val="18"/>
                <w:szCs w:val="18"/>
              </w:rPr>
              <w:t>230</w:t>
            </w:r>
          </w:p>
        </w:tc>
        <w:tc>
          <w:tcPr>
            <w:tcW w:w="1017" w:type="dxa"/>
            <w:tcMar>
              <w:top w:w="43" w:type="dxa"/>
              <w:left w:w="86" w:type="dxa"/>
              <w:bottom w:w="58" w:type="dxa"/>
              <w:right w:w="43" w:type="dxa"/>
            </w:tcMar>
          </w:tcPr>
          <w:p w14:paraId="3BC025AA" w14:textId="77777777" w:rsidR="00D31EA2" w:rsidRDefault="00D31EA2" w:rsidP="00410442">
            <w:pPr>
              <w:rPr>
                <w:rFonts w:ascii="Arial" w:hAnsi="Arial" w:cs="Arial"/>
                <w:color w:val="000000"/>
                <w:sz w:val="18"/>
                <w:szCs w:val="18"/>
              </w:rPr>
            </w:pPr>
            <w:r>
              <w:rPr>
                <w:rFonts w:ascii="Arial" w:hAnsi="Arial" w:cs="Arial"/>
                <w:color w:val="000000"/>
                <w:sz w:val="18"/>
                <w:szCs w:val="18"/>
              </w:rPr>
              <w:t>219</w:t>
            </w:r>
          </w:p>
        </w:tc>
        <w:tc>
          <w:tcPr>
            <w:tcW w:w="1232" w:type="dxa"/>
            <w:tcMar>
              <w:top w:w="40" w:type="dxa"/>
              <w:left w:w="80" w:type="dxa"/>
              <w:bottom w:w="60" w:type="dxa"/>
              <w:right w:w="40" w:type="dxa"/>
            </w:tcMar>
          </w:tcPr>
          <w:p w14:paraId="5571C220" w14:textId="77777777" w:rsidR="00D31EA2" w:rsidRDefault="00D31EA2" w:rsidP="00410442">
            <w:pPr>
              <w:rPr>
                <w:rFonts w:ascii="Arial" w:hAnsi="Arial" w:cs="Arial"/>
                <w:color w:val="000000"/>
                <w:sz w:val="18"/>
                <w:szCs w:val="18"/>
              </w:rPr>
            </w:pPr>
            <w:r>
              <w:rPr>
                <w:rFonts w:ascii="Arial" w:hAnsi="Arial" w:cs="Arial"/>
                <w:color w:val="000000"/>
                <w:sz w:val="18"/>
                <w:szCs w:val="18"/>
              </w:rPr>
              <w:t>222</w:t>
            </w:r>
          </w:p>
        </w:tc>
        <w:tc>
          <w:tcPr>
            <w:tcW w:w="1232" w:type="dxa"/>
            <w:tcMar>
              <w:top w:w="40" w:type="dxa"/>
              <w:left w:w="80" w:type="dxa"/>
              <w:bottom w:w="60" w:type="dxa"/>
              <w:right w:w="40" w:type="dxa"/>
            </w:tcMar>
          </w:tcPr>
          <w:p w14:paraId="08311786" w14:textId="77777777" w:rsidR="00D31EA2" w:rsidRDefault="00D31EA2" w:rsidP="00410442">
            <w:pPr>
              <w:rPr>
                <w:rFonts w:ascii="Arial" w:hAnsi="Arial" w:cs="Arial"/>
                <w:color w:val="000000"/>
                <w:sz w:val="18"/>
                <w:szCs w:val="18"/>
              </w:rPr>
            </w:pPr>
            <w:r>
              <w:rPr>
                <w:rFonts w:ascii="Arial" w:hAnsi="Arial" w:cs="Arial"/>
                <w:color w:val="000000"/>
                <w:sz w:val="18"/>
                <w:szCs w:val="18"/>
              </w:rPr>
              <w:t>274</w:t>
            </w:r>
          </w:p>
        </w:tc>
        <w:tc>
          <w:tcPr>
            <w:tcW w:w="1232" w:type="dxa"/>
            <w:tcMar>
              <w:top w:w="40" w:type="dxa"/>
              <w:left w:w="80" w:type="dxa"/>
              <w:bottom w:w="60" w:type="dxa"/>
              <w:right w:w="40" w:type="dxa"/>
            </w:tcMar>
          </w:tcPr>
          <w:p w14:paraId="5E60379C" w14:textId="77777777" w:rsidR="00D31EA2" w:rsidRDefault="00D31EA2" w:rsidP="00410442">
            <w:pPr>
              <w:rPr>
                <w:rFonts w:ascii="Arial" w:hAnsi="Arial" w:cs="Arial"/>
                <w:color w:val="000000"/>
                <w:sz w:val="18"/>
                <w:szCs w:val="18"/>
              </w:rPr>
            </w:pPr>
            <w:r>
              <w:rPr>
                <w:rFonts w:ascii="Arial" w:hAnsi="Arial" w:cs="Arial"/>
                <w:color w:val="000000"/>
                <w:sz w:val="18"/>
                <w:szCs w:val="18"/>
              </w:rPr>
              <w:t>245</w:t>
            </w:r>
          </w:p>
        </w:tc>
      </w:tr>
      <w:tr w:rsidR="00D31EA2" w14:paraId="5E0C4CFE" w14:textId="77777777" w:rsidTr="00311585">
        <w:trPr>
          <w:trHeight w:val="240"/>
        </w:trPr>
        <w:tc>
          <w:tcPr>
            <w:tcW w:w="2899" w:type="dxa"/>
            <w:vMerge/>
            <w:tcMar>
              <w:top w:w="40" w:type="dxa"/>
              <w:left w:w="120" w:type="dxa"/>
              <w:bottom w:w="40" w:type="dxa"/>
              <w:right w:w="40" w:type="dxa"/>
            </w:tcMar>
          </w:tcPr>
          <w:p w14:paraId="05339B6F" w14:textId="77777777" w:rsidR="00D31EA2" w:rsidRPr="00AA148D" w:rsidRDefault="00D31EA2" w:rsidP="00410442">
            <w:pPr>
              <w:rPr>
                <w:rFonts w:ascii="Arial" w:hAnsi="Arial" w:cs="Arial"/>
                <w:sz w:val="18"/>
                <w:szCs w:val="18"/>
              </w:rPr>
            </w:pPr>
          </w:p>
        </w:tc>
        <w:tc>
          <w:tcPr>
            <w:tcW w:w="2605" w:type="dxa"/>
            <w:tcMar>
              <w:top w:w="40" w:type="dxa"/>
              <w:left w:w="80" w:type="dxa"/>
              <w:bottom w:w="40" w:type="dxa"/>
              <w:right w:w="40" w:type="dxa"/>
            </w:tcMar>
          </w:tcPr>
          <w:p w14:paraId="27DEB2BD" w14:textId="217CD4F0" w:rsidR="00D31EA2" w:rsidRDefault="00D31EA2" w:rsidP="00410442">
            <w:pPr>
              <w:rPr>
                <w:rFonts w:ascii="Arial" w:hAnsi="Arial" w:cs="Arial"/>
                <w:color w:val="000000"/>
                <w:sz w:val="18"/>
                <w:szCs w:val="18"/>
              </w:rPr>
            </w:pPr>
            <w:r>
              <w:rPr>
                <w:rFonts w:ascii="Arial" w:hAnsi="Arial" w:cs="Arial"/>
                <w:color w:val="000000"/>
                <w:sz w:val="18"/>
                <w:szCs w:val="18"/>
              </w:rPr>
              <w:t xml:space="preserve">Non-admitted – </w:t>
            </w:r>
            <w:r w:rsidR="00247F8A">
              <w:rPr>
                <w:rFonts w:ascii="Arial" w:hAnsi="Arial" w:cs="Arial"/>
                <w:color w:val="000000"/>
                <w:sz w:val="18"/>
                <w:szCs w:val="18"/>
              </w:rPr>
              <w:t>b</w:t>
            </w:r>
            <w:r>
              <w:rPr>
                <w:rFonts w:ascii="Arial" w:hAnsi="Arial" w:cs="Arial"/>
                <w:color w:val="000000"/>
                <w:sz w:val="18"/>
                <w:szCs w:val="18"/>
              </w:rPr>
              <w:t>ed-based</w:t>
            </w:r>
          </w:p>
        </w:tc>
        <w:tc>
          <w:tcPr>
            <w:tcW w:w="1086" w:type="dxa"/>
            <w:tcMar>
              <w:top w:w="43" w:type="dxa"/>
              <w:left w:w="86" w:type="dxa"/>
              <w:bottom w:w="58" w:type="dxa"/>
              <w:right w:w="43" w:type="dxa"/>
            </w:tcMar>
          </w:tcPr>
          <w:p w14:paraId="257BC618" w14:textId="77777777" w:rsidR="00D31EA2" w:rsidRDefault="00D31EA2" w:rsidP="00410442">
            <w:pPr>
              <w:rPr>
                <w:rFonts w:ascii="Arial" w:hAnsi="Arial" w:cs="Arial"/>
                <w:color w:val="000000"/>
                <w:sz w:val="18"/>
                <w:szCs w:val="18"/>
              </w:rPr>
            </w:pPr>
            <w:r>
              <w:rPr>
                <w:rFonts w:ascii="Arial" w:hAnsi="Arial" w:cs="Arial"/>
                <w:color w:val="000000"/>
                <w:sz w:val="18"/>
                <w:szCs w:val="18"/>
              </w:rPr>
              <w:t>240</w:t>
            </w:r>
          </w:p>
        </w:tc>
        <w:tc>
          <w:tcPr>
            <w:tcW w:w="1017" w:type="dxa"/>
            <w:tcMar>
              <w:top w:w="43" w:type="dxa"/>
              <w:left w:w="86" w:type="dxa"/>
              <w:bottom w:w="58" w:type="dxa"/>
              <w:right w:w="43" w:type="dxa"/>
            </w:tcMar>
          </w:tcPr>
          <w:p w14:paraId="186B3A7F" w14:textId="77777777" w:rsidR="00D31EA2" w:rsidRDefault="00D31EA2" w:rsidP="00410442">
            <w:pPr>
              <w:rPr>
                <w:rFonts w:ascii="Arial" w:hAnsi="Arial" w:cs="Arial"/>
                <w:color w:val="000000"/>
                <w:sz w:val="18"/>
                <w:szCs w:val="18"/>
              </w:rPr>
            </w:pPr>
            <w:r>
              <w:rPr>
                <w:rFonts w:ascii="Arial" w:hAnsi="Arial" w:cs="Arial"/>
                <w:color w:val="000000"/>
                <w:sz w:val="18"/>
                <w:szCs w:val="18"/>
              </w:rPr>
              <w:t>239</w:t>
            </w:r>
          </w:p>
        </w:tc>
        <w:tc>
          <w:tcPr>
            <w:tcW w:w="1232" w:type="dxa"/>
            <w:tcMar>
              <w:top w:w="40" w:type="dxa"/>
              <w:left w:w="80" w:type="dxa"/>
              <w:bottom w:w="60" w:type="dxa"/>
              <w:right w:w="40" w:type="dxa"/>
            </w:tcMar>
          </w:tcPr>
          <w:p w14:paraId="64AFE151" w14:textId="77777777" w:rsidR="00D31EA2" w:rsidRDefault="00D31EA2" w:rsidP="00410442">
            <w:pPr>
              <w:rPr>
                <w:rFonts w:ascii="Arial" w:hAnsi="Arial" w:cs="Arial"/>
                <w:color w:val="000000"/>
                <w:sz w:val="18"/>
                <w:szCs w:val="18"/>
              </w:rPr>
            </w:pPr>
            <w:r>
              <w:rPr>
                <w:rFonts w:ascii="Arial" w:hAnsi="Arial" w:cs="Arial"/>
                <w:color w:val="000000"/>
                <w:sz w:val="18"/>
                <w:szCs w:val="18"/>
              </w:rPr>
              <w:t>247</w:t>
            </w:r>
          </w:p>
        </w:tc>
        <w:tc>
          <w:tcPr>
            <w:tcW w:w="1232" w:type="dxa"/>
            <w:tcMar>
              <w:top w:w="40" w:type="dxa"/>
              <w:left w:w="80" w:type="dxa"/>
              <w:bottom w:w="60" w:type="dxa"/>
              <w:right w:w="40" w:type="dxa"/>
            </w:tcMar>
          </w:tcPr>
          <w:p w14:paraId="4A63CFB2" w14:textId="77777777" w:rsidR="00D31EA2" w:rsidRDefault="00D31EA2" w:rsidP="00410442">
            <w:pPr>
              <w:rPr>
                <w:rFonts w:ascii="Arial" w:hAnsi="Arial" w:cs="Arial"/>
                <w:color w:val="000000"/>
                <w:sz w:val="18"/>
                <w:szCs w:val="18"/>
              </w:rPr>
            </w:pPr>
            <w:r>
              <w:rPr>
                <w:rFonts w:ascii="Arial" w:hAnsi="Arial" w:cs="Arial"/>
                <w:color w:val="000000"/>
                <w:sz w:val="18"/>
                <w:szCs w:val="18"/>
              </w:rPr>
              <w:t>205</w:t>
            </w:r>
          </w:p>
        </w:tc>
        <w:tc>
          <w:tcPr>
            <w:tcW w:w="1232" w:type="dxa"/>
            <w:tcMar>
              <w:top w:w="40" w:type="dxa"/>
              <w:left w:w="80" w:type="dxa"/>
              <w:bottom w:w="60" w:type="dxa"/>
              <w:right w:w="40" w:type="dxa"/>
            </w:tcMar>
          </w:tcPr>
          <w:p w14:paraId="7223AF63" w14:textId="77777777" w:rsidR="00D31EA2" w:rsidRDefault="00D31EA2" w:rsidP="00410442">
            <w:pPr>
              <w:rPr>
                <w:rFonts w:ascii="Arial" w:hAnsi="Arial" w:cs="Arial"/>
                <w:color w:val="000000"/>
                <w:sz w:val="18"/>
                <w:szCs w:val="18"/>
              </w:rPr>
            </w:pPr>
            <w:r>
              <w:rPr>
                <w:rFonts w:ascii="Arial" w:hAnsi="Arial" w:cs="Arial"/>
                <w:color w:val="000000"/>
                <w:sz w:val="18"/>
                <w:szCs w:val="18"/>
              </w:rPr>
              <w:t>224</w:t>
            </w:r>
          </w:p>
        </w:tc>
      </w:tr>
      <w:tr w:rsidR="00D31EA2" w14:paraId="426CC34C" w14:textId="77777777" w:rsidTr="00311585">
        <w:trPr>
          <w:trHeight w:val="240"/>
        </w:trPr>
        <w:tc>
          <w:tcPr>
            <w:tcW w:w="2899" w:type="dxa"/>
            <w:vMerge/>
            <w:tcMar>
              <w:top w:w="40" w:type="dxa"/>
              <w:left w:w="120" w:type="dxa"/>
              <w:bottom w:w="40" w:type="dxa"/>
              <w:right w:w="40" w:type="dxa"/>
            </w:tcMar>
          </w:tcPr>
          <w:p w14:paraId="18F298FF" w14:textId="77777777" w:rsidR="00D31EA2" w:rsidRPr="00AA148D" w:rsidRDefault="00D31EA2" w:rsidP="00410442">
            <w:pPr>
              <w:rPr>
                <w:rFonts w:ascii="Arial" w:hAnsi="Arial" w:cs="Arial"/>
                <w:sz w:val="18"/>
                <w:szCs w:val="18"/>
              </w:rPr>
            </w:pPr>
          </w:p>
        </w:tc>
        <w:tc>
          <w:tcPr>
            <w:tcW w:w="2605" w:type="dxa"/>
            <w:tcMar>
              <w:top w:w="40" w:type="dxa"/>
              <w:left w:w="80" w:type="dxa"/>
              <w:bottom w:w="40" w:type="dxa"/>
              <w:right w:w="40" w:type="dxa"/>
            </w:tcMar>
          </w:tcPr>
          <w:p w14:paraId="2DE4379E" w14:textId="77777777" w:rsidR="00D31EA2" w:rsidRDefault="00D31EA2" w:rsidP="00410442">
            <w:pPr>
              <w:rPr>
                <w:rFonts w:ascii="Arial" w:hAnsi="Arial" w:cs="Arial"/>
                <w:color w:val="000000"/>
                <w:sz w:val="18"/>
                <w:szCs w:val="18"/>
              </w:rPr>
            </w:pPr>
            <w:r>
              <w:rPr>
                <w:rFonts w:ascii="Arial" w:hAnsi="Arial" w:cs="Arial"/>
                <w:color w:val="000000"/>
                <w:sz w:val="18"/>
                <w:szCs w:val="18"/>
              </w:rPr>
              <w:t>Non-admitted – subacute (CCU)</w:t>
            </w:r>
          </w:p>
        </w:tc>
        <w:tc>
          <w:tcPr>
            <w:tcW w:w="1086" w:type="dxa"/>
            <w:tcMar>
              <w:top w:w="43" w:type="dxa"/>
              <w:left w:w="86" w:type="dxa"/>
              <w:bottom w:w="58" w:type="dxa"/>
              <w:right w:w="43" w:type="dxa"/>
            </w:tcMar>
          </w:tcPr>
          <w:p w14:paraId="27367F18" w14:textId="77777777" w:rsidR="00D31EA2" w:rsidRDefault="00D31EA2" w:rsidP="00410442">
            <w:pPr>
              <w:rPr>
                <w:rFonts w:ascii="Arial" w:hAnsi="Arial" w:cs="Arial"/>
                <w:color w:val="000000"/>
                <w:sz w:val="18"/>
                <w:szCs w:val="18"/>
              </w:rPr>
            </w:pPr>
            <w:r>
              <w:rPr>
                <w:rFonts w:ascii="Arial" w:hAnsi="Arial" w:cs="Arial"/>
                <w:color w:val="000000"/>
                <w:sz w:val="18"/>
                <w:szCs w:val="18"/>
              </w:rPr>
              <w:t>675</w:t>
            </w:r>
          </w:p>
        </w:tc>
        <w:tc>
          <w:tcPr>
            <w:tcW w:w="1017" w:type="dxa"/>
            <w:tcMar>
              <w:top w:w="43" w:type="dxa"/>
              <w:left w:w="86" w:type="dxa"/>
              <w:bottom w:w="58" w:type="dxa"/>
              <w:right w:w="43" w:type="dxa"/>
            </w:tcMar>
          </w:tcPr>
          <w:p w14:paraId="70B67543" w14:textId="77777777" w:rsidR="00D31EA2" w:rsidRDefault="00D31EA2" w:rsidP="00410442">
            <w:pPr>
              <w:rPr>
                <w:rFonts w:ascii="Arial" w:hAnsi="Arial" w:cs="Arial"/>
                <w:color w:val="000000"/>
                <w:sz w:val="18"/>
                <w:szCs w:val="18"/>
              </w:rPr>
            </w:pPr>
            <w:r>
              <w:rPr>
                <w:rFonts w:ascii="Arial" w:hAnsi="Arial" w:cs="Arial"/>
                <w:color w:val="000000"/>
                <w:sz w:val="18"/>
                <w:szCs w:val="18"/>
              </w:rPr>
              <w:t>682</w:t>
            </w:r>
          </w:p>
        </w:tc>
        <w:tc>
          <w:tcPr>
            <w:tcW w:w="1232" w:type="dxa"/>
            <w:tcMar>
              <w:top w:w="40" w:type="dxa"/>
              <w:left w:w="80" w:type="dxa"/>
              <w:bottom w:w="60" w:type="dxa"/>
              <w:right w:w="40" w:type="dxa"/>
            </w:tcMar>
          </w:tcPr>
          <w:p w14:paraId="22BD785D" w14:textId="77777777" w:rsidR="00D31EA2" w:rsidRDefault="00D31EA2" w:rsidP="00410442">
            <w:pPr>
              <w:rPr>
                <w:rFonts w:ascii="Arial" w:hAnsi="Arial" w:cs="Arial"/>
                <w:color w:val="000000"/>
                <w:sz w:val="18"/>
                <w:szCs w:val="18"/>
              </w:rPr>
            </w:pPr>
            <w:r>
              <w:rPr>
                <w:rFonts w:ascii="Arial" w:hAnsi="Arial" w:cs="Arial"/>
                <w:color w:val="000000"/>
                <w:sz w:val="18"/>
                <w:szCs w:val="18"/>
              </w:rPr>
              <w:t>650</w:t>
            </w:r>
          </w:p>
        </w:tc>
        <w:tc>
          <w:tcPr>
            <w:tcW w:w="1232" w:type="dxa"/>
            <w:tcMar>
              <w:top w:w="40" w:type="dxa"/>
              <w:left w:w="80" w:type="dxa"/>
              <w:bottom w:w="60" w:type="dxa"/>
              <w:right w:w="40" w:type="dxa"/>
            </w:tcMar>
          </w:tcPr>
          <w:p w14:paraId="59BF4659" w14:textId="77777777" w:rsidR="00D31EA2" w:rsidRDefault="00D31EA2" w:rsidP="00410442">
            <w:pPr>
              <w:rPr>
                <w:rFonts w:ascii="Arial" w:hAnsi="Arial" w:cs="Arial"/>
                <w:color w:val="000000"/>
                <w:sz w:val="18"/>
                <w:szCs w:val="18"/>
              </w:rPr>
            </w:pPr>
            <w:r>
              <w:rPr>
                <w:rFonts w:ascii="Arial" w:hAnsi="Arial" w:cs="Arial"/>
                <w:color w:val="000000"/>
                <w:sz w:val="18"/>
                <w:szCs w:val="18"/>
              </w:rPr>
              <w:t>545</w:t>
            </w:r>
          </w:p>
        </w:tc>
        <w:tc>
          <w:tcPr>
            <w:tcW w:w="1232" w:type="dxa"/>
            <w:tcMar>
              <w:top w:w="40" w:type="dxa"/>
              <w:left w:w="80" w:type="dxa"/>
              <w:bottom w:w="60" w:type="dxa"/>
              <w:right w:w="40" w:type="dxa"/>
            </w:tcMar>
          </w:tcPr>
          <w:p w14:paraId="19FAB7E0" w14:textId="77777777" w:rsidR="00D31EA2" w:rsidRDefault="00D31EA2" w:rsidP="00410442">
            <w:pPr>
              <w:rPr>
                <w:rFonts w:ascii="Arial" w:hAnsi="Arial" w:cs="Arial"/>
                <w:color w:val="000000"/>
                <w:sz w:val="18"/>
                <w:szCs w:val="18"/>
              </w:rPr>
            </w:pPr>
            <w:r>
              <w:rPr>
                <w:rFonts w:ascii="Arial" w:hAnsi="Arial" w:cs="Arial"/>
                <w:color w:val="000000"/>
                <w:sz w:val="18"/>
                <w:szCs w:val="18"/>
              </w:rPr>
              <w:t>565</w:t>
            </w:r>
          </w:p>
        </w:tc>
      </w:tr>
      <w:tr w:rsidR="00D31EA2" w14:paraId="7D0F35D5" w14:textId="77777777" w:rsidTr="00311585">
        <w:trPr>
          <w:trHeight w:val="240"/>
        </w:trPr>
        <w:tc>
          <w:tcPr>
            <w:tcW w:w="2899" w:type="dxa"/>
            <w:vMerge/>
            <w:tcMar>
              <w:top w:w="40" w:type="dxa"/>
              <w:left w:w="120" w:type="dxa"/>
              <w:bottom w:w="40" w:type="dxa"/>
              <w:right w:w="40" w:type="dxa"/>
            </w:tcMar>
          </w:tcPr>
          <w:p w14:paraId="618D19EB" w14:textId="77777777" w:rsidR="00D31EA2" w:rsidRPr="00AA148D" w:rsidRDefault="00D31EA2" w:rsidP="00410442">
            <w:pPr>
              <w:rPr>
                <w:rFonts w:ascii="Arial" w:hAnsi="Arial" w:cs="Arial"/>
                <w:sz w:val="18"/>
                <w:szCs w:val="18"/>
              </w:rPr>
            </w:pPr>
          </w:p>
        </w:tc>
        <w:tc>
          <w:tcPr>
            <w:tcW w:w="2605" w:type="dxa"/>
            <w:tcMar>
              <w:top w:w="40" w:type="dxa"/>
              <w:left w:w="80" w:type="dxa"/>
              <w:bottom w:w="40" w:type="dxa"/>
              <w:right w:w="40" w:type="dxa"/>
            </w:tcMar>
          </w:tcPr>
          <w:p w14:paraId="7D282801" w14:textId="77777777" w:rsidR="00D31EA2" w:rsidRDefault="00D31EA2" w:rsidP="00410442">
            <w:pPr>
              <w:rPr>
                <w:rFonts w:ascii="Arial" w:hAnsi="Arial" w:cs="Arial"/>
                <w:color w:val="000000"/>
                <w:sz w:val="18"/>
                <w:szCs w:val="18"/>
              </w:rPr>
            </w:pPr>
            <w:r>
              <w:rPr>
                <w:rFonts w:ascii="Arial" w:hAnsi="Arial" w:cs="Arial"/>
                <w:color w:val="000000"/>
                <w:sz w:val="18"/>
                <w:szCs w:val="18"/>
              </w:rPr>
              <w:t>Non-admitted – subacute (PARC)</w:t>
            </w:r>
          </w:p>
        </w:tc>
        <w:tc>
          <w:tcPr>
            <w:tcW w:w="1086" w:type="dxa"/>
            <w:tcMar>
              <w:top w:w="43" w:type="dxa"/>
              <w:left w:w="86" w:type="dxa"/>
              <w:bottom w:w="58" w:type="dxa"/>
              <w:right w:w="43" w:type="dxa"/>
            </w:tcMar>
          </w:tcPr>
          <w:p w14:paraId="0893B430" w14:textId="77777777" w:rsidR="00D31EA2" w:rsidRDefault="00D31EA2" w:rsidP="00410442">
            <w:pPr>
              <w:rPr>
                <w:rFonts w:ascii="Arial" w:hAnsi="Arial" w:cs="Arial"/>
                <w:color w:val="000000"/>
                <w:sz w:val="18"/>
                <w:szCs w:val="18"/>
              </w:rPr>
            </w:pPr>
            <w:r>
              <w:rPr>
                <w:rFonts w:ascii="Arial" w:hAnsi="Arial" w:cs="Arial"/>
                <w:color w:val="000000"/>
                <w:sz w:val="18"/>
                <w:szCs w:val="18"/>
              </w:rPr>
              <w:t>3,257</w:t>
            </w:r>
          </w:p>
        </w:tc>
        <w:tc>
          <w:tcPr>
            <w:tcW w:w="1017" w:type="dxa"/>
            <w:tcMar>
              <w:top w:w="43" w:type="dxa"/>
              <w:left w:w="86" w:type="dxa"/>
              <w:bottom w:w="58" w:type="dxa"/>
              <w:right w:w="43" w:type="dxa"/>
            </w:tcMar>
          </w:tcPr>
          <w:p w14:paraId="257458CD" w14:textId="77777777" w:rsidR="00D31EA2" w:rsidRDefault="00D31EA2" w:rsidP="00410442">
            <w:pPr>
              <w:rPr>
                <w:rFonts w:ascii="Arial" w:hAnsi="Arial" w:cs="Arial"/>
                <w:color w:val="000000"/>
                <w:sz w:val="18"/>
                <w:szCs w:val="18"/>
              </w:rPr>
            </w:pPr>
            <w:r>
              <w:rPr>
                <w:rFonts w:ascii="Arial" w:hAnsi="Arial" w:cs="Arial"/>
                <w:color w:val="000000"/>
                <w:sz w:val="18"/>
                <w:szCs w:val="18"/>
              </w:rPr>
              <w:t>3,406</w:t>
            </w:r>
          </w:p>
        </w:tc>
        <w:tc>
          <w:tcPr>
            <w:tcW w:w="1232" w:type="dxa"/>
            <w:tcMar>
              <w:top w:w="40" w:type="dxa"/>
              <w:left w:w="80" w:type="dxa"/>
              <w:bottom w:w="60" w:type="dxa"/>
              <w:right w:w="40" w:type="dxa"/>
            </w:tcMar>
          </w:tcPr>
          <w:p w14:paraId="7B7F6F42" w14:textId="77777777" w:rsidR="00D31EA2" w:rsidRDefault="00D31EA2" w:rsidP="00410442">
            <w:pPr>
              <w:rPr>
                <w:rFonts w:ascii="Arial" w:hAnsi="Arial" w:cs="Arial"/>
                <w:color w:val="000000"/>
                <w:sz w:val="18"/>
                <w:szCs w:val="18"/>
              </w:rPr>
            </w:pPr>
            <w:r>
              <w:rPr>
                <w:rFonts w:ascii="Arial" w:hAnsi="Arial" w:cs="Arial"/>
                <w:color w:val="000000"/>
                <w:sz w:val="18"/>
                <w:szCs w:val="18"/>
              </w:rPr>
              <w:t>3,459</w:t>
            </w:r>
          </w:p>
        </w:tc>
        <w:tc>
          <w:tcPr>
            <w:tcW w:w="1232" w:type="dxa"/>
            <w:tcMar>
              <w:top w:w="40" w:type="dxa"/>
              <w:left w:w="80" w:type="dxa"/>
              <w:bottom w:w="60" w:type="dxa"/>
              <w:right w:w="40" w:type="dxa"/>
            </w:tcMar>
          </w:tcPr>
          <w:p w14:paraId="62DC3F6B" w14:textId="77777777" w:rsidR="00D31EA2" w:rsidRDefault="00D31EA2" w:rsidP="00410442">
            <w:pPr>
              <w:rPr>
                <w:rFonts w:ascii="Arial" w:hAnsi="Arial" w:cs="Arial"/>
                <w:color w:val="000000"/>
                <w:sz w:val="18"/>
                <w:szCs w:val="18"/>
              </w:rPr>
            </w:pPr>
            <w:r>
              <w:rPr>
                <w:rFonts w:ascii="Arial" w:hAnsi="Arial" w:cs="Arial"/>
                <w:color w:val="000000"/>
                <w:sz w:val="18"/>
                <w:szCs w:val="18"/>
              </w:rPr>
              <w:t>3,547</w:t>
            </w:r>
          </w:p>
        </w:tc>
        <w:tc>
          <w:tcPr>
            <w:tcW w:w="1232" w:type="dxa"/>
            <w:tcMar>
              <w:top w:w="40" w:type="dxa"/>
              <w:left w:w="80" w:type="dxa"/>
              <w:bottom w:w="60" w:type="dxa"/>
              <w:right w:w="40" w:type="dxa"/>
            </w:tcMar>
          </w:tcPr>
          <w:p w14:paraId="3679E33C" w14:textId="77777777" w:rsidR="00D31EA2" w:rsidRDefault="00D31EA2" w:rsidP="00410442">
            <w:pPr>
              <w:rPr>
                <w:rFonts w:ascii="Arial" w:hAnsi="Arial" w:cs="Arial"/>
                <w:color w:val="000000"/>
                <w:sz w:val="18"/>
                <w:szCs w:val="18"/>
              </w:rPr>
            </w:pPr>
            <w:r>
              <w:rPr>
                <w:rFonts w:ascii="Arial" w:hAnsi="Arial" w:cs="Arial"/>
                <w:color w:val="000000"/>
                <w:sz w:val="18"/>
                <w:szCs w:val="18"/>
              </w:rPr>
              <w:t>3,362</w:t>
            </w:r>
          </w:p>
        </w:tc>
      </w:tr>
      <w:tr w:rsidR="00D31EA2" w14:paraId="10F3B24A" w14:textId="77777777" w:rsidTr="00311585">
        <w:trPr>
          <w:trHeight w:val="240"/>
        </w:trPr>
        <w:tc>
          <w:tcPr>
            <w:tcW w:w="2899" w:type="dxa"/>
            <w:vMerge/>
            <w:tcMar>
              <w:top w:w="40" w:type="dxa"/>
              <w:left w:w="120" w:type="dxa"/>
              <w:bottom w:w="40" w:type="dxa"/>
              <w:right w:w="40" w:type="dxa"/>
            </w:tcMar>
          </w:tcPr>
          <w:p w14:paraId="4B911FB1" w14:textId="77777777" w:rsidR="00D31EA2" w:rsidRPr="00AA148D" w:rsidRDefault="00D31EA2" w:rsidP="00410442">
            <w:pPr>
              <w:rPr>
                <w:rFonts w:ascii="Arial" w:hAnsi="Arial" w:cs="Arial"/>
                <w:sz w:val="18"/>
                <w:szCs w:val="18"/>
              </w:rPr>
            </w:pPr>
          </w:p>
        </w:tc>
        <w:tc>
          <w:tcPr>
            <w:tcW w:w="2605" w:type="dxa"/>
            <w:shd w:val="clear" w:color="auto" w:fill="E0EAF5"/>
            <w:tcMar>
              <w:top w:w="40" w:type="dxa"/>
              <w:left w:w="80" w:type="dxa"/>
              <w:bottom w:w="40" w:type="dxa"/>
              <w:right w:w="40" w:type="dxa"/>
            </w:tcMar>
          </w:tcPr>
          <w:p w14:paraId="1979B81F"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Total</w:t>
            </w:r>
          </w:p>
        </w:tc>
        <w:tc>
          <w:tcPr>
            <w:tcW w:w="1086" w:type="dxa"/>
            <w:shd w:val="clear" w:color="auto" w:fill="E0EAF5"/>
            <w:tcMar>
              <w:top w:w="43" w:type="dxa"/>
              <w:left w:w="86" w:type="dxa"/>
              <w:bottom w:w="58" w:type="dxa"/>
              <w:right w:w="43" w:type="dxa"/>
            </w:tcMar>
          </w:tcPr>
          <w:p w14:paraId="6D994989"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28,066</w:t>
            </w:r>
          </w:p>
        </w:tc>
        <w:tc>
          <w:tcPr>
            <w:tcW w:w="1017" w:type="dxa"/>
            <w:shd w:val="clear" w:color="auto" w:fill="E0EAF5"/>
            <w:tcMar>
              <w:top w:w="43" w:type="dxa"/>
              <w:left w:w="86" w:type="dxa"/>
              <w:bottom w:w="58" w:type="dxa"/>
              <w:right w:w="43" w:type="dxa"/>
            </w:tcMar>
          </w:tcPr>
          <w:p w14:paraId="2CA70987"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28,880</w:t>
            </w:r>
          </w:p>
        </w:tc>
        <w:tc>
          <w:tcPr>
            <w:tcW w:w="1232" w:type="dxa"/>
            <w:shd w:val="clear" w:color="auto" w:fill="E0EAF5"/>
            <w:tcMar>
              <w:top w:w="40" w:type="dxa"/>
              <w:left w:w="80" w:type="dxa"/>
              <w:bottom w:w="60" w:type="dxa"/>
              <w:right w:w="40" w:type="dxa"/>
            </w:tcMar>
          </w:tcPr>
          <w:p w14:paraId="1F254428"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30,702</w:t>
            </w:r>
          </w:p>
        </w:tc>
        <w:tc>
          <w:tcPr>
            <w:tcW w:w="1232" w:type="dxa"/>
            <w:shd w:val="clear" w:color="auto" w:fill="E0EAF5"/>
            <w:tcMar>
              <w:top w:w="40" w:type="dxa"/>
              <w:left w:w="80" w:type="dxa"/>
              <w:bottom w:w="60" w:type="dxa"/>
              <w:right w:w="40" w:type="dxa"/>
            </w:tcMar>
          </w:tcPr>
          <w:p w14:paraId="73B46A46"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31,263</w:t>
            </w:r>
          </w:p>
        </w:tc>
        <w:tc>
          <w:tcPr>
            <w:tcW w:w="1232" w:type="dxa"/>
            <w:shd w:val="clear" w:color="auto" w:fill="E0EAF5"/>
            <w:tcMar>
              <w:top w:w="40" w:type="dxa"/>
              <w:left w:w="80" w:type="dxa"/>
              <w:bottom w:w="60" w:type="dxa"/>
              <w:right w:w="40" w:type="dxa"/>
            </w:tcMar>
          </w:tcPr>
          <w:p w14:paraId="6B5E0506"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31,050</w:t>
            </w:r>
          </w:p>
        </w:tc>
      </w:tr>
      <w:tr w:rsidR="00D31EA2" w14:paraId="3C4CF18B" w14:textId="77777777" w:rsidTr="00311585">
        <w:trPr>
          <w:trHeight w:val="240"/>
        </w:trPr>
        <w:tc>
          <w:tcPr>
            <w:tcW w:w="2899" w:type="dxa"/>
            <w:vMerge w:val="restart"/>
            <w:tcMar>
              <w:top w:w="40" w:type="dxa"/>
              <w:left w:w="120" w:type="dxa"/>
              <w:bottom w:w="40" w:type="dxa"/>
              <w:right w:w="40" w:type="dxa"/>
            </w:tcMar>
          </w:tcPr>
          <w:p w14:paraId="700B8524"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Occupied bed days (including leave, excluding same days)</w:t>
            </w:r>
          </w:p>
        </w:tc>
        <w:tc>
          <w:tcPr>
            <w:tcW w:w="2605" w:type="dxa"/>
            <w:tcMar>
              <w:top w:w="40" w:type="dxa"/>
              <w:left w:w="80" w:type="dxa"/>
              <w:bottom w:w="40" w:type="dxa"/>
              <w:right w:w="40" w:type="dxa"/>
            </w:tcMar>
          </w:tcPr>
          <w:p w14:paraId="04FFA221" w14:textId="57F3B57F" w:rsidR="00D31EA2" w:rsidRDefault="00D31EA2" w:rsidP="00410442">
            <w:pPr>
              <w:rPr>
                <w:rFonts w:ascii="Arial" w:hAnsi="Arial" w:cs="Arial"/>
                <w:color w:val="000000"/>
                <w:sz w:val="18"/>
                <w:szCs w:val="18"/>
              </w:rPr>
            </w:pPr>
            <w:r>
              <w:rPr>
                <w:rFonts w:ascii="Arial" w:hAnsi="Arial" w:cs="Arial"/>
                <w:color w:val="000000"/>
                <w:sz w:val="18"/>
                <w:szCs w:val="18"/>
              </w:rPr>
              <w:t xml:space="preserve">Admitted – </w:t>
            </w:r>
            <w:r w:rsidR="00247F8A">
              <w:rPr>
                <w:rFonts w:ascii="Arial" w:hAnsi="Arial" w:cs="Arial"/>
                <w:color w:val="000000"/>
                <w:sz w:val="18"/>
                <w:szCs w:val="18"/>
              </w:rPr>
              <w:t>a</w:t>
            </w:r>
            <w:r>
              <w:rPr>
                <w:rFonts w:ascii="Arial" w:hAnsi="Arial" w:cs="Arial"/>
                <w:color w:val="000000"/>
                <w:sz w:val="18"/>
                <w:szCs w:val="18"/>
              </w:rPr>
              <w:t>cute</w:t>
            </w:r>
          </w:p>
        </w:tc>
        <w:tc>
          <w:tcPr>
            <w:tcW w:w="1086" w:type="dxa"/>
            <w:tcMar>
              <w:top w:w="43" w:type="dxa"/>
              <w:left w:w="86" w:type="dxa"/>
              <w:bottom w:w="58" w:type="dxa"/>
              <w:right w:w="43" w:type="dxa"/>
            </w:tcMar>
          </w:tcPr>
          <w:p w14:paraId="5DFB7CC4" w14:textId="77777777" w:rsidR="00D31EA2" w:rsidRDefault="00D31EA2" w:rsidP="00410442">
            <w:pPr>
              <w:rPr>
                <w:rFonts w:ascii="Arial" w:hAnsi="Arial" w:cs="Arial"/>
                <w:color w:val="000000"/>
                <w:sz w:val="18"/>
                <w:szCs w:val="18"/>
              </w:rPr>
            </w:pPr>
            <w:r>
              <w:rPr>
                <w:rFonts w:ascii="Arial" w:hAnsi="Arial" w:cs="Arial"/>
                <w:color w:val="000000"/>
                <w:sz w:val="18"/>
                <w:szCs w:val="18"/>
              </w:rPr>
              <w:t>355,994</w:t>
            </w:r>
          </w:p>
        </w:tc>
        <w:tc>
          <w:tcPr>
            <w:tcW w:w="1017" w:type="dxa"/>
            <w:tcMar>
              <w:top w:w="43" w:type="dxa"/>
              <w:left w:w="86" w:type="dxa"/>
              <w:bottom w:w="58" w:type="dxa"/>
              <w:right w:w="43" w:type="dxa"/>
            </w:tcMar>
          </w:tcPr>
          <w:p w14:paraId="13EE4E90" w14:textId="77777777" w:rsidR="00D31EA2" w:rsidRDefault="00D31EA2" w:rsidP="00410442">
            <w:pPr>
              <w:rPr>
                <w:rFonts w:ascii="Arial" w:hAnsi="Arial" w:cs="Arial"/>
                <w:color w:val="000000"/>
                <w:sz w:val="18"/>
                <w:szCs w:val="18"/>
              </w:rPr>
            </w:pPr>
            <w:r>
              <w:rPr>
                <w:rFonts w:ascii="Arial" w:hAnsi="Arial" w:cs="Arial"/>
                <w:color w:val="000000"/>
                <w:sz w:val="18"/>
                <w:szCs w:val="18"/>
              </w:rPr>
              <w:t>364,468</w:t>
            </w:r>
          </w:p>
        </w:tc>
        <w:tc>
          <w:tcPr>
            <w:tcW w:w="1232" w:type="dxa"/>
            <w:tcMar>
              <w:top w:w="40" w:type="dxa"/>
              <w:left w:w="80" w:type="dxa"/>
              <w:bottom w:w="60" w:type="dxa"/>
              <w:right w:w="40" w:type="dxa"/>
            </w:tcMar>
          </w:tcPr>
          <w:p w14:paraId="3848983F" w14:textId="77777777" w:rsidR="00D31EA2" w:rsidRDefault="00D31EA2" w:rsidP="00410442">
            <w:pPr>
              <w:rPr>
                <w:rFonts w:ascii="Arial" w:hAnsi="Arial" w:cs="Arial"/>
                <w:color w:val="000000"/>
                <w:sz w:val="18"/>
                <w:szCs w:val="18"/>
              </w:rPr>
            </w:pPr>
            <w:r>
              <w:rPr>
                <w:rFonts w:ascii="Arial" w:hAnsi="Arial" w:cs="Arial"/>
                <w:color w:val="000000"/>
                <w:sz w:val="18"/>
                <w:szCs w:val="18"/>
              </w:rPr>
              <w:t>375,273</w:t>
            </w:r>
          </w:p>
        </w:tc>
        <w:tc>
          <w:tcPr>
            <w:tcW w:w="1232" w:type="dxa"/>
            <w:tcMar>
              <w:top w:w="40" w:type="dxa"/>
              <w:left w:w="80" w:type="dxa"/>
              <w:bottom w:w="60" w:type="dxa"/>
              <w:right w:w="40" w:type="dxa"/>
            </w:tcMar>
          </w:tcPr>
          <w:p w14:paraId="540569A0" w14:textId="77777777" w:rsidR="00D31EA2" w:rsidRDefault="00D31EA2" w:rsidP="00410442">
            <w:pPr>
              <w:rPr>
                <w:rFonts w:ascii="Arial" w:hAnsi="Arial" w:cs="Arial"/>
                <w:color w:val="000000"/>
                <w:sz w:val="18"/>
                <w:szCs w:val="18"/>
              </w:rPr>
            </w:pPr>
            <w:r>
              <w:rPr>
                <w:rFonts w:ascii="Arial" w:hAnsi="Arial" w:cs="Arial"/>
                <w:color w:val="000000"/>
                <w:sz w:val="18"/>
                <w:szCs w:val="18"/>
              </w:rPr>
              <w:t>388,556</w:t>
            </w:r>
          </w:p>
        </w:tc>
        <w:tc>
          <w:tcPr>
            <w:tcW w:w="1232" w:type="dxa"/>
            <w:tcMar>
              <w:top w:w="40" w:type="dxa"/>
              <w:left w:w="80" w:type="dxa"/>
              <w:bottom w:w="60" w:type="dxa"/>
              <w:right w:w="40" w:type="dxa"/>
            </w:tcMar>
          </w:tcPr>
          <w:p w14:paraId="6EB1F690" w14:textId="77777777" w:rsidR="00D31EA2" w:rsidRDefault="00D31EA2" w:rsidP="00410442">
            <w:pPr>
              <w:rPr>
                <w:rFonts w:ascii="Arial" w:hAnsi="Arial" w:cs="Arial"/>
                <w:color w:val="000000"/>
                <w:sz w:val="18"/>
                <w:szCs w:val="18"/>
              </w:rPr>
            </w:pPr>
            <w:r>
              <w:rPr>
                <w:rFonts w:ascii="Arial" w:hAnsi="Arial" w:cs="Arial"/>
                <w:color w:val="000000"/>
                <w:sz w:val="18"/>
                <w:szCs w:val="18"/>
              </w:rPr>
              <w:t>385,762</w:t>
            </w:r>
          </w:p>
        </w:tc>
      </w:tr>
      <w:tr w:rsidR="00D31EA2" w14:paraId="6B6D479E" w14:textId="77777777" w:rsidTr="00311585">
        <w:trPr>
          <w:trHeight w:val="240"/>
        </w:trPr>
        <w:tc>
          <w:tcPr>
            <w:tcW w:w="2899" w:type="dxa"/>
            <w:vMerge/>
            <w:tcMar>
              <w:top w:w="40" w:type="dxa"/>
              <w:left w:w="120" w:type="dxa"/>
              <w:bottom w:w="40" w:type="dxa"/>
              <w:right w:w="40" w:type="dxa"/>
            </w:tcMar>
          </w:tcPr>
          <w:p w14:paraId="6EDB2574" w14:textId="77777777" w:rsidR="00D31EA2" w:rsidRPr="00AA148D" w:rsidRDefault="00D31EA2" w:rsidP="00410442">
            <w:pPr>
              <w:rPr>
                <w:rFonts w:ascii="Arial" w:hAnsi="Arial" w:cs="Arial"/>
                <w:sz w:val="18"/>
                <w:szCs w:val="18"/>
              </w:rPr>
            </w:pPr>
          </w:p>
        </w:tc>
        <w:tc>
          <w:tcPr>
            <w:tcW w:w="2605" w:type="dxa"/>
            <w:tcMar>
              <w:top w:w="40" w:type="dxa"/>
              <w:left w:w="80" w:type="dxa"/>
              <w:bottom w:w="40" w:type="dxa"/>
              <w:right w:w="40" w:type="dxa"/>
            </w:tcMar>
          </w:tcPr>
          <w:p w14:paraId="6838C9AD" w14:textId="77777777" w:rsidR="00D31EA2" w:rsidRDefault="00D31EA2" w:rsidP="00410442">
            <w:pPr>
              <w:rPr>
                <w:rFonts w:ascii="Arial" w:hAnsi="Arial" w:cs="Arial"/>
                <w:color w:val="000000"/>
                <w:sz w:val="18"/>
                <w:szCs w:val="18"/>
              </w:rPr>
            </w:pPr>
            <w:r>
              <w:rPr>
                <w:rFonts w:ascii="Arial" w:hAnsi="Arial" w:cs="Arial"/>
                <w:color w:val="000000"/>
                <w:sz w:val="18"/>
                <w:szCs w:val="18"/>
              </w:rPr>
              <w:t>Admitted – non-acute</w:t>
            </w:r>
          </w:p>
        </w:tc>
        <w:tc>
          <w:tcPr>
            <w:tcW w:w="1086" w:type="dxa"/>
            <w:tcMar>
              <w:top w:w="43" w:type="dxa"/>
              <w:left w:w="86" w:type="dxa"/>
              <w:bottom w:w="58" w:type="dxa"/>
              <w:right w:w="43" w:type="dxa"/>
            </w:tcMar>
          </w:tcPr>
          <w:p w14:paraId="659DD979" w14:textId="77777777" w:rsidR="00D31EA2" w:rsidRDefault="00D31EA2" w:rsidP="00410442">
            <w:pPr>
              <w:rPr>
                <w:rFonts w:ascii="Arial" w:hAnsi="Arial" w:cs="Arial"/>
                <w:color w:val="000000"/>
                <w:sz w:val="18"/>
                <w:szCs w:val="18"/>
              </w:rPr>
            </w:pPr>
            <w:r>
              <w:rPr>
                <w:rFonts w:ascii="Arial" w:hAnsi="Arial" w:cs="Arial"/>
                <w:color w:val="000000"/>
                <w:sz w:val="18"/>
                <w:szCs w:val="18"/>
              </w:rPr>
              <w:t>71,105</w:t>
            </w:r>
          </w:p>
        </w:tc>
        <w:tc>
          <w:tcPr>
            <w:tcW w:w="1017" w:type="dxa"/>
            <w:tcMar>
              <w:top w:w="43" w:type="dxa"/>
              <w:left w:w="86" w:type="dxa"/>
              <w:bottom w:w="58" w:type="dxa"/>
              <w:right w:w="43" w:type="dxa"/>
            </w:tcMar>
          </w:tcPr>
          <w:p w14:paraId="73ACD8D0" w14:textId="77777777" w:rsidR="00D31EA2" w:rsidRDefault="00D31EA2" w:rsidP="00410442">
            <w:pPr>
              <w:rPr>
                <w:rFonts w:ascii="Arial" w:hAnsi="Arial" w:cs="Arial"/>
                <w:color w:val="000000"/>
                <w:sz w:val="18"/>
                <w:szCs w:val="18"/>
              </w:rPr>
            </w:pPr>
            <w:r>
              <w:rPr>
                <w:rFonts w:ascii="Arial" w:hAnsi="Arial" w:cs="Arial"/>
                <w:color w:val="000000"/>
                <w:sz w:val="18"/>
                <w:szCs w:val="18"/>
              </w:rPr>
              <w:t>71,470</w:t>
            </w:r>
          </w:p>
        </w:tc>
        <w:tc>
          <w:tcPr>
            <w:tcW w:w="1232" w:type="dxa"/>
            <w:tcMar>
              <w:top w:w="40" w:type="dxa"/>
              <w:left w:w="80" w:type="dxa"/>
              <w:bottom w:w="60" w:type="dxa"/>
              <w:right w:w="40" w:type="dxa"/>
            </w:tcMar>
          </w:tcPr>
          <w:p w14:paraId="490685F1" w14:textId="77777777" w:rsidR="00D31EA2" w:rsidRDefault="00D31EA2" w:rsidP="00410442">
            <w:pPr>
              <w:rPr>
                <w:rFonts w:ascii="Arial" w:hAnsi="Arial" w:cs="Arial"/>
                <w:color w:val="000000"/>
                <w:sz w:val="18"/>
                <w:szCs w:val="18"/>
              </w:rPr>
            </w:pPr>
            <w:r>
              <w:rPr>
                <w:rFonts w:ascii="Arial" w:hAnsi="Arial" w:cs="Arial"/>
                <w:color w:val="000000"/>
                <w:sz w:val="18"/>
                <w:szCs w:val="18"/>
              </w:rPr>
              <w:t>74,409</w:t>
            </w:r>
          </w:p>
        </w:tc>
        <w:tc>
          <w:tcPr>
            <w:tcW w:w="1232" w:type="dxa"/>
            <w:tcMar>
              <w:top w:w="40" w:type="dxa"/>
              <w:left w:w="80" w:type="dxa"/>
              <w:bottom w:w="60" w:type="dxa"/>
              <w:right w:w="40" w:type="dxa"/>
            </w:tcMar>
          </w:tcPr>
          <w:p w14:paraId="1A4D5B6D" w14:textId="77777777" w:rsidR="00D31EA2" w:rsidRDefault="00D31EA2" w:rsidP="00410442">
            <w:pPr>
              <w:rPr>
                <w:rFonts w:ascii="Arial" w:hAnsi="Arial" w:cs="Arial"/>
                <w:color w:val="000000"/>
                <w:sz w:val="18"/>
                <w:szCs w:val="18"/>
              </w:rPr>
            </w:pPr>
            <w:r>
              <w:rPr>
                <w:rFonts w:ascii="Arial" w:hAnsi="Arial" w:cs="Arial"/>
                <w:color w:val="000000"/>
                <w:sz w:val="18"/>
                <w:szCs w:val="18"/>
              </w:rPr>
              <w:t>78,148</w:t>
            </w:r>
          </w:p>
        </w:tc>
        <w:tc>
          <w:tcPr>
            <w:tcW w:w="1232" w:type="dxa"/>
            <w:tcMar>
              <w:top w:w="40" w:type="dxa"/>
              <w:left w:w="80" w:type="dxa"/>
              <w:bottom w:w="60" w:type="dxa"/>
              <w:right w:w="40" w:type="dxa"/>
            </w:tcMar>
          </w:tcPr>
          <w:p w14:paraId="24B91527" w14:textId="77777777" w:rsidR="00D31EA2" w:rsidRDefault="00D31EA2" w:rsidP="00410442">
            <w:pPr>
              <w:rPr>
                <w:rFonts w:ascii="Arial" w:hAnsi="Arial" w:cs="Arial"/>
                <w:color w:val="000000"/>
                <w:sz w:val="18"/>
                <w:szCs w:val="18"/>
              </w:rPr>
            </w:pPr>
            <w:r>
              <w:rPr>
                <w:rFonts w:ascii="Arial" w:hAnsi="Arial" w:cs="Arial"/>
                <w:color w:val="000000"/>
                <w:sz w:val="18"/>
                <w:szCs w:val="18"/>
              </w:rPr>
              <w:t>81,575</w:t>
            </w:r>
          </w:p>
        </w:tc>
      </w:tr>
      <w:tr w:rsidR="00D31EA2" w14:paraId="5488B7B8" w14:textId="77777777" w:rsidTr="00311585">
        <w:trPr>
          <w:trHeight w:val="240"/>
        </w:trPr>
        <w:tc>
          <w:tcPr>
            <w:tcW w:w="2899" w:type="dxa"/>
            <w:vMerge/>
            <w:tcMar>
              <w:top w:w="40" w:type="dxa"/>
              <w:left w:w="120" w:type="dxa"/>
              <w:bottom w:w="40" w:type="dxa"/>
              <w:right w:w="40" w:type="dxa"/>
            </w:tcMar>
          </w:tcPr>
          <w:p w14:paraId="5A61590E" w14:textId="77777777" w:rsidR="00D31EA2" w:rsidRPr="00AA148D" w:rsidRDefault="00D31EA2" w:rsidP="00410442">
            <w:pPr>
              <w:rPr>
                <w:rFonts w:ascii="Arial" w:hAnsi="Arial" w:cs="Arial"/>
                <w:sz w:val="18"/>
                <w:szCs w:val="18"/>
              </w:rPr>
            </w:pPr>
          </w:p>
        </w:tc>
        <w:tc>
          <w:tcPr>
            <w:tcW w:w="2605" w:type="dxa"/>
            <w:tcMar>
              <w:top w:w="40" w:type="dxa"/>
              <w:left w:w="80" w:type="dxa"/>
              <w:bottom w:w="40" w:type="dxa"/>
              <w:right w:w="40" w:type="dxa"/>
            </w:tcMar>
          </w:tcPr>
          <w:p w14:paraId="63A25436" w14:textId="3A1B207B" w:rsidR="00D31EA2" w:rsidRDefault="00D31EA2" w:rsidP="00410442">
            <w:pPr>
              <w:rPr>
                <w:rFonts w:ascii="Arial" w:hAnsi="Arial" w:cs="Arial"/>
                <w:color w:val="000000"/>
                <w:sz w:val="18"/>
                <w:szCs w:val="18"/>
              </w:rPr>
            </w:pPr>
            <w:r>
              <w:rPr>
                <w:rFonts w:ascii="Arial" w:hAnsi="Arial" w:cs="Arial"/>
                <w:color w:val="000000"/>
                <w:sz w:val="18"/>
                <w:szCs w:val="18"/>
              </w:rPr>
              <w:t xml:space="preserve">Non-admitted – </w:t>
            </w:r>
            <w:r w:rsidR="00247F8A">
              <w:rPr>
                <w:rFonts w:ascii="Arial" w:hAnsi="Arial" w:cs="Arial"/>
                <w:color w:val="000000"/>
                <w:sz w:val="18"/>
                <w:szCs w:val="18"/>
              </w:rPr>
              <w:t>b</w:t>
            </w:r>
            <w:r>
              <w:rPr>
                <w:rFonts w:ascii="Arial" w:hAnsi="Arial" w:cs="Arial"/>
                <w:color w:val="000000"/>
                <w:sz w:val="18"/>
                <w:szCs w:val="18"/>
              </w:rPr>
              <w:t>ed-based</w:t>
            </w:r>
          </w:p>
        </w:tc>
        <w:tc>
          <w:tcPr>
            <w:tcW w:w="1086" w:type="dxa"/>
            <w:tcMar>
              <w:top w:w="43" w:type="dxa"/>
              <w:left w:w="86" w:type="dxa"/>
              <w:bottom w:w="58" w:type="dxa"/>
              <w:right w:w="43" w:type="dxa"/>
            </w:tcMar>
          </w:tcPr>
          <w:p w14:paraId="65858B8F" w14:textId="77777777" w:rsidR="00D31EA2" w:rsidRDefault="00D31EA2" w:rsidP="00410442">
            <w:pPr>
              <w:rPr>
                <w:rFonts w:ascii="Arial" w:hAnsi="Arial" w:cs="Arial"/>
                <w:color w:val="000000"/>
                <w:sz w:val="18"/>
                <w:szCs w:val="18"/>
              </w:rPr>
            </w:pPr>
            <w:r>
              <w:rPr>
                <w:rFonts w:ascii="Arial" w:hAnsi="Arial" w:cs="Arial"/>
                <w:color w:val="000000"/>
                <w:sz w:val="18"/>
                <w:szCs w:val="18"/>
              </w:rPr>
              <w:t>169,490</w:t>
            </w:r>
          </w:p>
        </w:tc>
        <w:tc>
          <w:tcPr>
            <w:tcW w:w="1017" w:type="dxa"/>
            <w:tcMar>
              <w:top w:w="43" w:type="dxa"/>
              <w:left w:w="86" w:type="dxa"/>
              <w:bottom w:w="58" w:type="dxa"/>
              <w:right w:w="43" w:type="dxa"/>
            </w:tcMar>
          </w:tcPr>
          <w:p w14:paraId="4F47D506" w14:textId="77777777" w:rsidR="00D31EA2" w:rsidRDefault="00D31EA2" w:rsidP="00410442">
            <w:pPr>
              <w:rPr>
                <w:rFonts w:ascii="Arial" w:hAnsi="Arial" w:cs="Arial"/>
                <w:color w:val="000000"/>
                <w:sz w:val="18"/>
                <w:szCs w:val="18"/>
              </w:rPr>
            </w:pPr>
            <w:r>
              <w:rPr>
                <w:rFonts w:ascii="Arial" w:hAnsi="Arial" w:cs="Arial"/>
                <w:color w:val="000000"/>
                <w:sz w:val="18"/>
                <w:szCs w:val="18"/>
              </w:rPr>
              <w:t>157,508</w:t>
            </w:r>
          </w:p>
        </w:tc>
        <w:tc>
          <w:tcPr>
            <w:tcW w:w="1232" w:type="dxa"/>
            <w:tcMar>
              <w:top w:w="40" w:type="dxa"/>
              <w:left w:w="80" w:type="dxa"/>
              <w:bottom w:w="60" w:type="dxa"/>
              <w:right w:w="40" w:type="dxa"/>
            </w:tcMar>
          </w:tcPr>
          <w:p w14:paraId="11C42C7C" w14:textId="77777777" w:rsidR="00D31EA2" w:rsidRDefault="00D31EA2" w:rsidP="00410442">
            <w:pPr>
              <w:rPr>
                <w:rFonts w:ascii="Arial" w:hAnsi="Arial" w:cs="Arial"/>
                <w:color w:val="000000"/>
                <w:sz w:val="18"/>
                <w:szCs w:val="18"/>
              </w:rPr>
            </w:pPr>
            <w:r>
              <w:rPr>
                <w:rFonts w:ascii="Arial" w:hAnsi="Arial" w:cs="Arial"/>
                <w:color w:val="000000"/>
                <w:sz w:val="18"/>
                <w:szCs w:val="18"/>
              </w:rPr>
              <w:t>156,890</w:t>
            </w:r>
          </w:p>
        </w:tc>
        <w:tc>
          <w:tcPr>
            <w:tcW w:w="1232" w:type="dxa"/>
            <w:tcMar>
              <w:top w:w="40" w:type="dxa"/>
              <w:left w:w="80" w:type="dxa"/>
              <w:bottom w:w="60" w:type="dxa"/>
              <w:right w:w="40" w:type="dxa"/>
            </w:tcMar>
          </w:tcPr>
          <w:p w14:paraId="2DEB5AB4" w14:textId="77777777" w:rsidR="00D31EA2" w:rsidRDefault="00D31EA2" w:rsidP="00410442">
            <w:pPr>
              <w:rPr>
                <w:rFonts w:ascii="Arial" w:hAnsi="Arial" w:cs="Arial"/>
                <w:color w:val="000000"/>
                <w:sz w:val="18"/>
                <w:szCs w:val="18"/>
              </w:rPr>
            </w:pPr>
            <w:r>
              <w:rPr>
                <w:rFonts w:ascii="Arial" w:hAnsi="Arial" w:cs="Arial"/>
                <w:color w:val="000000"/>
                <w:sz w:val="18"/>
                <w:szCs w:val="18"/>
              </w:rPr>
              <w:t>154,927</w:t>
            </w:r>
          </w:p>
        </w:tc>
        <w:tc>
          <w:tcPr>
            <w:tcW w:w="1232" w:type="dxa"/>
            <w:tcMar>
              <w:top w:w="40" w:type="dxa"/>
              <w:left w:w="80" w:type="dxa"/>
              <w:bottom w:w="60" w:type="dxa"/>
              <w:right w:w="40" w:type="dxa"/>
            </w:tcMar>
          </w:tcPr>
          <w:p w14:paraId="39037412" w14:textId="77777777" w:rsidR="00D31EA2" w:rsidRDefault="00D31EA2" w:rsidP="00410442">
            <w:pPr>
              <w:rPr>
                <w:rFonts w:ascii="Arial" w:hAnsi="Arial" w:cs="Arial"/>
                <w:color w:val="000000"/>
                <w:sz w:val="18"/>
                <w:szCs w:val="18"/>
              </w:rPr>
            </w:pPr>
            <w:r>
              <w:rPr>
                <w:rFonts w:ascii="Arial" w:hAnsi="Arial" w:cs="Arial"/>
                <w:color w:val="000000"/>
                <w:sz w:val="18"/>
                <w:szCs w:val="18"/>
              </w:rPr>
              <w:t>151,457</w:t>
            </w:r>
          </w:p>
        </w:tc>
      </w:tr>
      <w:tr w:rsidR="00D31EA2" w14:paraId="56209E08" w14:textId="77777777" w:rsidTr="00311585">
        <w:trPr>
          <w:trHeight w:val="240"/>
        </w:trPr>
        <w:tc>
          <w:tcPr>
            <w:tcW w:w="2899" w:type="dxa"/>
            <w:vMerge/>
            <w:tcMar>
              <w:top w:w="40" w:type="dxa"/>
              <w:left w:w="120" w:type="dxa"/>
              <w:bottom w:w="40" w:type="dxa"/>
              <w:right w:w="40" w:type="dxa"/>
            </w:tcMar>
          </w:tcPr>
          <w:p w14:paraId="1BFCFE3D" w14:textId="77777777" w:rsidR="00D31EA2" w:rsidRPr="00AA148D" w:rsidRDefault="00D31EA2" w:rsidP="00410442">
            <w:pPr>
              <w:rPr>
                <w:rFonts w:ascii="Arial" w:hAnsi="Arial" w:cs="Arial"/>
                <w:sz w:val="18"/>
                <w:szCs w:val="18"/>
              </w:rPr>
            </w:pPr>
          </w:p>
        </w:tc>
        <w:tc>
          <w:tcPr>
            <w:tcW w:w="2605" w:type="dxa"/>
            <w:tcMar>
              <w:top w:w="40" w:type="dxa"/>
              <w:left w:w="80" w:type="dxa"/>
              <w:bottom w:w="40" w:type="dxa"/>
              <w:right w:w="40" w:type="dxa"/>
            </w:tcMar>
          </w:tcPr>
          <w:p w14:paraId="53B22F51" w14:textId="77777777" w:rsidR="00D31EA2" w:rsidRDefault="00D31EA2" w:rsidP="00410442">
            <w:pPr>
              <w:rPr>
                <w:rFonts w:ascii="Arial" w:hAnsi="Arial" w:cs="Arial"/>
                <w:color w:val="000000"/>
                <w:sz w:val="18"/>
                <w:szCs w:val="18"/>
              </w:rPr>
            </w:pPr>
            <w:r>
              <w:rPr>
                <w:rFonts w:ascii="Arial" w:hAnsi="Arial" w:cs="Arial"/>
                <w:color w:val="000000"/>
                <w:sz w:val="18"/>
                <w:szCs w:val="18"/>
              </w:rPr>
              <w:t>Non-admitted – subacute (CCU)</w:t>
            </w:r>
          </w:p>
        </w:tc>
        <w:tc>
          <w:tcPr>
            <w:tcW w:w="1086" w:type="dxa"/>
            <w:tcMar>
              <w:top w:w="43" w:type="dxa"/>
              <w:left w:w="86" w:type="dxa"/>
              <w:bottom w:w="58" w:type="dxa"/>
              <w:right w:w="43" w:type="dxa"/>
            </w:tcMar>
          </w:tcPr>
          <w:p w14:paraId="75CE295D" w14:textId="77777777" w:rsidR="00D31EA2" w:rsidRDefault="00D31EA2" w:rsidP="00410442">
            <w:pPr>
              <w:rPr>
                <w:rFonts w:ascii="Arial" w:hAnsi="Arial" w:cs="Arial"/>
                <w:color w:val="000000"/>
                <w:sz w:val="18"/>
                <w:szCs w:val="18"/>
              </w:rPr>
            </w:pPr>
            <w:r>
              <w:rPr>
                <w:rFonts w:ascii="Arial" w:hAnsi="Arial" w:cs="Arial"/>
                <w:color w:val="000000"/>
                <w:sz w:val="18"/>
                <w:szCs w:val="18"/>
              </w:rPr>
              <w:t>105,371</w:t>
            </w:r>
          </w:p>
        </w:tc>
        <w:tc>
          <w:tcPr>
            <w:tcW w:w="1017" w:type="dxa"/>
            <w:tcMar>
              <w:top w:w="43" w:type="dxa"/>
              <w:left w:w="86" w:type="dxa"/>
              <w:bottom w:w="58" w:type="dxa"/>
              <w:right w:w="43" w:type="dxa"/>
            </w:tcMar>
          </w:tcPr>
          <w:p w14:paraId="0115C70E" w14:textId="77777777" w:rsidR="00D31EA2" w:rsidRDefault="00D31EA2" w:rsidP="00410442">
            <w:pPr>
              <w:rPr>
                <w:rFonts w:ascii="Arial" w:hAnsi="Arial" w:cs="Arial"/>
                <w:color w:val="000000"/>
                <w:sz w:val="18"/>
                <w:szCs w:val="18"/>
              </w:rPr>
            </w:pPr>
            <w:r>
              <w:rPr>
                <w:rFonts w:ascii="Arial" w:hAnsi="Arial" w:cs="Arial"/>
                <w:color w:val="000000"/>
                <w:sz w:val="18"/>
                <w:szCs w:val="18"/>
              </w:rPr>
              <w:t>104,625</w:t>
            </w:r>
          </w:p>
        </w:tc>
        <w:tc>
          <w:tcPr>
            <w:tcW w:w="1232" w:type="dxa"/>
            <w:tcMar>
              <w:top w:w="40" w:type="dxa"/>
              <w:left w:w="80" w:type="dxa"/>
              <w:bottom w:w="60" w:type="dxa"/>
              <w:right w:w="40" w:type="dxa"/>
            </w:tcMar>
          </w:tcPr>
          <w:p w14:paraId="3B8217B6" w14:textId="77777777" w:rsidR="00D31EA2" w:rsidRDefault="00D31EA2" w:rsidP="00410442">
            <w:pPr>
              <w:rPr>
                <w:rFonts w:ascii="Arial" w:hAnsi="Arial" w:cs="Arial"/>
                <w:color w:val="000000"/>
                <w:sz w:val="18"/>
                <w:szCs w:val="18"/>
              </w:rPr>
            </w:pPr>
            <w:r>
              <w:rPr>
                <w:rFonts w:ascii="Arial" w:hAnsi="Arial" w:cs="Arial"/>
                <w:color w:val="000000"/>
                <w:sz w:val="18"/>
                <w:szCs w:val="18"/>
              </w:rPr>
              <w:t>105,072</w:t>
            </w:r>
          </w:p>
        </w:tc>
        <w:tc>
          <w:tcPr>
            <w:tcW w:w="1232" w:type="dxa"/>
            <w:tcMar>
              <w:top w:w="40" w:type="dxa"/>
              <w:left w:w="80" w:type="dxa"/>
              <w:bottom w:w="60" w:type="dxa"/>
              <w:right w:w="40" w:type="dxa"/>
            </w:tcMar>
          </w:tcPr>
          <w:p w14:paraId="08D480BB" w14:textId="77777777" w:rsidR="00D31EA2" w:rsidRDefault="00D31EA2" w:rsidP="00410442">
            <w:pPr>
              <w:rPr>
                <w:rFonts w:ascii="Arial" w:hAnsi="Arial" w:cs="Arial"/>
                <w:color w:val="000000"/>
                <w:sz w:val="18"/>
                <w:szCs w:val="18"/>
              </w:rPr>
            </w:pPr>
            <w:r>
              <w:rPr>
                <w:rFonts w:ascii="Arial" w:hAnsi="Arial" w:cs="Arial"/>
                <w:color w:val="000000"/>
                <w:sz w:val="18"/>
                <w:szCs w:val="18"/>
              </w:rPr>
              <w:t>104,852</w:t>
            </w:r>
          </w:p>
        </w:tc>
        <w:tc>
          <w:tcPr>
            <w:tcW w:w="1232" w:type="dxa"/>
            <w:tcMar>
              <w:top w:w="40" w:type="dxa"/>
              <w:left w:w="80" w:type="dxa"/>
              <w:bottom w:w="60" w:type="dxa"/>
              <w:right w:w="40" w:type="dxa"/>
            </w:tcMar>
          </w:tcPr>
          <w:p w14:paraId="5B5B3C2E" w14:textId="77777777" w:rsidR="00D31EA2" w:rsidRDefault="00D31EA2" w:rsidP="00410442">
            <w:pPr>
              <w:rPr>
                <w:rFonts w:ascii="Arial" w:hAnsi="Arial" w:cs="Arial"/>
                <w:color w:val="000000"/>
                <w:sz w:val="18"/>
                <w:szCs w:val="18"/>
              </w:rPr>
            </w:pPr>
            <w:r>
              <w:rPr>
                <w:rFonts w:ascii="Arial" w:hAnsi="Arial" w:cs="Arial"/>
                <w:color w:val="000000"/>
                <w:sz w:val="18"/>
                <w:szCs w:val="18"/>
              </w:rPr>
              <w:t>103,634</w:t>
            </w:r>
          </w:p>
        </w:tc>
      </w:tr>
      <w:tr w:rsidR="00D31EA2" w14:paraId="09CA2269" w14:textId="77777777" w:rsidTr="00311585">
        <w:trPr>
          <w:trHeight w:val="240"/>
        </w:trPr>
        <w:tc>
          <w:tcPr>
            <w:tcW w:w="2899" w:type="dxa"/>
            <w:vMerge/>
            <w:tcMar>
              <w:top w:w="40" w:type="dxa"/>
              <w:left w:w="120" w:type="dxa"/>
              <w:bottom w:w="40" w:type="dxa"/>
              <w:right w:w="40" w:type="dxa"/>
            </w:tcMar>
          </w:tcPr>
          <w:p w14:paraId="3C5B7345" w14:textId="77777777" w:rsidR="00D31EA2" w:rsidRPr="00AA148D" w:rsidRDefault="00D31EA2" w:rsidP="00410442">
            <w:pPr>
              <w:rPr>
                <w:rFonts w:ascii="Arial" w:hAnsi="Arial" w:cs="Arial"/>
                <w:sz w:val="18"/>
                <w:szCs w:val="18"/>
              </w:rPr>
            </w:pPr>
          </w:p>
        </w:tc>
        <w:tc>
          <w:tcPr>
            <w:tcW w:w="2605" w:type="dxa"/>
            <w:tcMar>
              <w:top w:w="40" w:type="dxa"/>
              <w:left w:w="80" w:type="dxa"/>
              <w:bottom w:w="40" w:type="dxa"/>
              <w:right w:w="40" w:type="dxa"/>
            </w:tcMar>
          </w:tcPr>
          <w:p w14:paraId="1B61FA28" w14:textId="77777777" w:rsidR="00D31EA2" w:rsidRDefault="00D31EA2" w:rsidP="00410442">
            <w:pPr>
              <w:rPr>
                <w:rFonts w:ascii="Arial" w:hAnsi="Arial" w:cs="Arial"/>
                <w:color w:val="000000"/>
                <w:sz w:val="18"/>
                <w:szCs w:val="18"/>
              </w:rPr>
            </w:pPr>
            <w:r>
              <w:rPr>
                <w:rFonts w:ascii="Arial" w:hAnsi="Arial" w:cs="Arial"/>
                <w:color w:val="000000"/>
                <w:sz w:val="18"/>
                <w:szCs w:val="18"/>
              </w:rPr>
              <w:t>Non-admitted – subacute (PARC)</w:t>
            </w:r>
          </w:p>
        </w:tc>
        <w:tc>
          <w:tcPr>
            <w:tcW w:w="1086" w:type="dxa"/>
            <w:tcMar>
              <w:top w:w="43" w:type="dxa"/>
              <w:left w:w="86" w:type="dxa"/>
              <w:bottom w:w="58" w:type="dxa"/>
              <w:right w:w="43" w:type="dxa"/>
            </w:tcMar>
          </w:tcPr>
          <w:p w14:paraId="18C68D13" w14:textId="77777777" w:rsidR="00D31EA2" w:rsidRDefault="00D31EA2" w:rsidP="00410442">
            <w:pPr>
              <w:rPr>
                <w:rFonts w:ascii="Arial" w:hAnsi="Arial" w:cs="Arial"/>
                <w:color w:val="000000"/>
                <w:sz w:val="18"/>
                <w:szCs w:val="18"/>
              </w:rPr>
            </w:pPr>
            <w:r>
              <w:rPr>
                <w:rFonts w:ascii="Arial" w:hAnsi="Arial" w:cs="Arial"/>
                <w:color w:val="000000"/>
                <w:sz w:val="18"/>
                <w:szCs w:val="18"/>
              </w:rPr>
              <w:t>63,425</w:t>
            </w:r>
          </w:p>
        </w:tc>
        <w:tc>
          <w:tcPr>
            <w:tcW w:w="1017" w:type="dxa"/>
            <w:tcMar>
              <w:top w:w="43" w:type="dxa"/>
              <w:left w:w="86" w:type="dxa"/>
              <w:bottom w:w="58" w:type="dxa"/>
              <w:right w:w="43" w:type="dxa"/>
            </w:tcMar>
          </w:tcPr>
          <w:p w14:paraId="141EE2C1" w14:textId="77777777" w:rsidR="00D31EA2" w:rsidRDefault="00D31EA2" w:rsidP="00410442">
            <w:pPr>
              <w:rPr>
                <w:rFonts w:ascii="Arial" w:hAnsi="Arial" w:cs="Arial"/>
                <w:color w:val="000000"/>
                <w:sz w:val="18"/>
                <w:szCs w:val="18"/>
              </w:rPr>
            </w:pPr>
            <w:r>
              <w:rPr>
                <w:rFonts w:ascii="Arial" w:hAnsi="Arial" w:cs="Arial"/>
                <w:color w:val="000000"/>
                <w:sz w:val="18"/>
                <w:szCs w:val="18"/>
              </w:rPr>
              <w:t>65,915</w:t>
            </w:r>
          </w:p>
        </w:tc>
        <w:tc>
          <w:tcPr>
            <w:tcW w:w="1232" w:type="dxa"/>
            <w:tcMar>
              <w:top w:w="40" w:type="dxa"/>
              <w:left w:w="80" w:type="dxa"/>
              <w:bottom w:w="60" w:type="dxa"/>
              <w:right w:w="40" w:type="dxa"/>
            </w:tcMar>
          </w:tcPr>
          <w:p w14:paraId="7FEDB936" w14:textId="77777777" w:rsidR="00D31EA2" w:rsidRDefault="00D31EA2" w:rsidP="00410442">
            <w:pPr>
              <w:rPr>
                <w:rFonts w:ascii="Arial" w:hAnsi="Arial" w:cs="Arial"/>
                <w:color w:val="000000"/>
                <w:sz w:val="18"/>
                <w:szCs w:val="18"/>
              </w:rPr>
            </w:pPr>
            <w:r>
              <w:rPr>
                <w:rFonts w:ascii="Arial" w:hAnsi="Arial" w:cs="Arial"/>
                <w:color w:val="000000"/>
                <w:sz w:val="18"/>
                <w:szCs w:val="18"/>
              </w:rPr>
              <w:t>66,056</w:t>
            </w:r>
          </w:p>
        </w:tc>
        <w:tc>
          <w:tcPr>
            <w:tcW w:w="1232" w:type="dxa"/>
            <w:tcMar>
              <w:top w:w="40" w:type="dxa"/>
              <w:left w:w="80" w:type="dxa"/>
              <w:bottom w:w="60" w:type="dxa"/>
              <w:right w:w="40" w:type="dxa"/>
            </w:tcMar>
          </w:tcPr>
          <w:p w14:paraId="5DE7482C" w14:textId="77777777" w:rsidR="00D31EA2" w:rsidRDefault="00D31EA2" w:rsidP="00410442">
            <w:pPr>
              <w:rPr>
                <w:rFonts w:ascii="Arial" w:hAnsi="Arial" w:cs="Arial"/>
                <w:color w:val="000000"/>
                <w:sz w:val="18"/>
                <w:szCs w:val="18"/>
              </w:rPr>
            </w:pPr>
            <w:r>
              <w:rPr>
                <w:rFonts w:ascii="Arial" w:hAnsi="Arial" w:cs="Arial"/>
                <w:color w:val="000000"/>
                <w:sz w:val="18"/>
                <w:szCs w:val="18"/>
              </w:rPr>
              <w:t>70,420</w:t>
            </w:r>
          </w:p>
        </w:tc>
        <w:tc>
          <w:tcPr>
            <w:tcW w:w="1232" w:type="dxa"/>
            <w:tcMar>
              <w:top w:w="40" w:type="dxa"/>
              <w:left w:w="80" w:type="dxa"/>
              <w:bottom w:w="60" w:type="dxa"/>
              <w:right w:w="40" w:type="dxa"/>
            </w:tcMar>
          </w:tcPr>
          <w:p w14:paraId="0CC8AE0F" w14:textId="77777777" w:rsidR="00D31EA2" w:rsidRDefault="00D31EA2" w:rsidP="00410442">
            <w:pPr>
              <w:rPr>
                <w:rFonts w:ascii="Arial" w:hAnsi="Arial" w:cs="Arial"/>
                <w:color w:val="000000"/>
                <w:sz w:val="18"/>
                <w:szCs w:val="18"/>
              </w:rPr>
            </w:pPr>
            <w:r>
              <w:rPr>
                <w:rFonts w:ascii="Arial" w:hAnsi="Arial" w:cs="Arial"/>
                <w:color w:val="000000"/>
                <w:sz w:val="18"/>
                <w:szCs w:val="18"/>
              </w:rPr>
              <w:t>64,602</w:t>
            </w:r>
          </w:p>
        </w:tc>
      </w:tr>
      <w:tr w:rsidR="00D31EA2" w14:paraId="57521F9A" w14:textId="77777777" w:rsidTr="00311585">
        <w:trPr>
          <w:trHeight w:val="240"/>
        </w:trPr>
        <w:tc>
          <w:tcPr>
            <w:tcW w:w="2899" w:type="dxa"/>
            <w:vMerge/>
            <w:tcMar>
              <w:top w:w="40" w:type="dxa"/>
              <w:left w:w="120" w:type="dxa"/>
              <w:bottom w:w="40" w:type="dxa"/>
              <w:right w:w="40" w:type="dxa"/>
            </w:tcMar>
          </w:tcPr>
          <w:p w14:paraId="2A96C906" w14:textId="77777777" w:rsidR="00D31EA2" w:rsidRPr="00AA148D" w:rsidRDefault="00D31EA2" w:rsidP="00410442">
            <w:pPr>
              <w:rPr>
                <w:rFonts w:ascii="Arial" w:hAnsi="Arial" w:cs="Arial"/>
                <w:sz w:val="18"/>
                <w:szCs w:val="18"/>
              </w:rPr>
            </w:pPr>
          </w:p>
        </w:tc>
        <w:tc>
          <w:tcPr>
            <w:tcW w:w="2605" w:type="dxa"/>
            <w:shd w:val="clear" w:color="auto" w:fill="E0EAF5"/>
            <w:tcMar>
              <w:top w:w="40" w:type="dxa"/>
              <w:left w:w="80" w:type="dxa"/>
              <w:bottom w:w="40" w:type="dxa"/>
              <w:right w:w="40" w:type="dxa"/>
            </w:tcMar>
          </w:tcPr>
          <w:p w14:paraId="75AAAB77"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Total</w:t>
            </w:r>
          </w:p>
        </w:tc>
        <w:tc>
          <w:tcPr>
            <w:tcW w:w="1086" w:type="dxa"/>
            <w:shd w:val="clear" w:color="auto" w:fill="E0EAF5"/>
            <w:tcMar>
              <w:top w:w="43" w:type="dxa"/>
              <w:left w:w="86" w:type="dxa"/>
              <w:bottom w:w="58" w:type="dxa"/>
              <w:right w:w="43" w:type="dxa"/>
            </w:tcMar>
          </w:tcPr>
          <w:p w14:paraId="2F80EE97"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765,387</w:t>
            </w:r>
          </w:p>
        </w:tc>
        <w:tc>
          <w:tcPr>
            <w:tcW w:w="1017" w:type="dxa"/>
            <w:shd w:val="clear" w:color="auto" w:fill="E0EAF5"/>
            <w:tcMar>
              <w:top w:w="43" w:type="dxa"/>
              <w:left w:w="86" w:type="dxa"/>
              <w:bottom w:w="58" w:type="dxa"/>
              <w:right w:w="43" w:type="dxa"/>
            </w:tcMar>
          </w:tcPr>
          <w:p w14:paraId="004DE22A"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763,988</w:t>
            </w:r>
          </w:p>
        </w:tc>
        <w:tc>
          <w:tcPr>
            <w:tcW w:w="1232" w:type="dxa"/>
            <w:shd w:val="clear" w:color="auto" w:fill="E0EAF5"/>
            <w:tcMar>
              <w:top w:w="40" w:type="dxa"/>
              <w:left w:w="80" w:type="dxa"/>
              <w:bottom w:w="60" w:type="dxa"/>
              <w:right w:w="40" w:type="dxa"/>
            </w:tcMar>
          </w:tcPr>
          <w:p w14:paraId="46EA076D"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777,703</w:t>
            </w:r>
          </w:p>
        </w:tc>
        <w:tc>
          <w:tcPr>
            <w:tcW w:w="1232" w:type="dxa"/>
            <w:shd w:val="clear" w:color="auto" w:fill="E0EAF5"/>
            <w:tcMar>
              <w:top w:w="40" w:type="dxa"/>
              <w:left w:w="80" w:type="dxa"/>
              <w:bottom w:w="60" w:type="dxa"/>
              <w:right w:w="40" w:type="dxa"/>
            </w:tcMar>
          </w:tcPr>
          <w:p w14:paraId="1B2BB3D9"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796,905</w:t>
            </w:r>
          </w:p>
        </w:tc>
        <w:tc>
          <w:tcPr>
            <w:tcW w:w="1232" w:type="dxa"/>
            <w:shd w:val="clear" w:color="auto" w:fill="E0EAF5"/>
            <w:tcMar>
              <w:top w:w="40" w:type="dxa"/>
              <w:left w:w="80" w:type="dxa"/>
              <w:bottom w:w="60" w:type="dxa"/>
              <w:right w:w="40" w:type="dxa"/>
            </w:tcMar>
          </w:tcPr>
          <w:p w14:paraId="769F4620"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787,032</w:t>
            </w:r>
          </w:p>
        </w:tc>
      </w:tr>
      <w:tr w:rsidR="00D31EA2" w14:paraId="6A93EC53" w14:textId="77777777" w:rsidTr="00311585">
        <w:trPr>
          <w:trHeight w:val="240"/>
        </w:trPr>
        <w:tc>
          <w:tcPr>
            <w:tcW w:w="2899" w:type="dxa"/>
            <w:vMerge w:val="restart"/>
            <w:tcMar>
              <w:top w:w="40" w:type="dxa"/>
              <w:left w:w="120" w:type="dxa"/>
              <w:bottom w:w="40" w:type="dxa"/>
              <w:right w:w="40" w:type="dxa"/>
            </w:tcMar>
          </w:tcPr>
          <w:p w14:paraId="04933908"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Bed occupancy rate (including leave, excluding same days)</w:t>
            </w:r>
          </w:p>
        </w:tc>
        <w:tc>
          <w:tcPr>
            <w:tcW w:w="2605" w:type="dxa"/>
            <w:tcMar>
              <w:top w:w="40" w:type="dxa"/>
              <w:left w:w="80" w:type="dxa"/>
              <w:bottom w:w="40" w:type="dxa"/>
              <w:right w:w="40" w:type="dxa"/>
            </w:tcMar>
          </w:tcPr>
          <w:p w14:paraId="1EFF9278" w14:textId="1E961FD0" w:rsidR="00D31EA2" w:rsidRDefault="00D31EA2" w:rsidP="00410442">
            <w:pPr>
              <w:rPr>
                <w:rFonts w:ascii="Arial" w:hAnsi="Arial" w:cs="Arial"/>
                <w:color w:val="000000"/>
                <w:sz w:val="18"/>
                <w:szCs w:val="18"/>
              </w:rPr>
            </w:pPr>
            <w:r>
              <w:rPr>
                <w:rFonts w:ascii="Arial" w:hAnsi="Arial" w:cs="Arial"/>
                <w:color w:val="000000"/>
                <w:sz w:val="18"/>
                <w:szCs w:val="18"/>
              </w:rPr>
              <w:t xml:space="preserve">Admitted – </w:t>
            </w:r>
            <w:r w:rsidR="00247F8A">
              <w:rPr>
                <w:rFonts w:ascii="Arial" w:hAnsi="Arial" w:cs="Arial"/>
                <w:color w:val="000000"/>
                <w:sz w:val="18"/>
                <w:szCs w:val="18"/>
              </w:rPr>
              <w:t>a</w:t>
            </w:r>
            <w:r>
              <w:rPr>
                <w:rFonts w:ascii="Arial" w:hAnsi="Arial" w:cs="Arial"/>
                <w:color w:val="000000"/>
                <w:sz w:val="18"/>
                <w:szCs w:val="18"/>
              </w:rPr>
              <w:t>cute</w:t>
            </w:r>
          </w:p>
        </w:tc>
        <w:tc>
          <w:tcPr>
            <w:tcW w:w="1086" w:type="dxa"/>
            <w:tcMar>
              <w:top w:w="43" w:type="dxa"/>
              <w:left w:w="86" w:type="dxa"/>
              <w:bottom w:w="58" w:type="dxa"/>
              <w:right w:w="43" w:type="dxa"/>
            </w:tcMar>
          </w:tcPr>
          <w:p w14:paraId="4DA2BFAA" w14:textId="77777777" w:rsidR="00D31EA2" w:rsidRDefault="00D31EA2" w:rsidP="00410442">
            <w:pPr>
              <w:rPr>
                <w:rFonts w:ascii="Arial" w:hAnsi="Arial" w:cs="Arial"/>
                <w:color w:val="000000"/>
                <w:sz w:val="18"/>
                <w:szCs w:val="18"/>
              </w:rPr>
            </w:pPr>
            <w:r>
              <w:rPr>
                <w:rFonts w:ascii="Arial" w:hAnsi="Arial" w:cs="Arial"/>
                <w:color w:val="000000"/>
                <w:sz w:val="18"/>
                <w:szCs w:val="18"/>
              </w:rPr>
              <w:t>88.5%</w:t>
            </w:r>
          </w:p>
        </w:tc>
        <w:tc>
          <w:tcPr>
            <w:tcW w:w="1017" w:type="dxa"/>
            <w:tcMar>
              <w:top w:w="43" w:type="dxa"/>
              <w:left w:w="86" w:type="dxa"/>
              <w:bottom w:w="58" w:type="dxa"/>
              <w:right w:w="43" w:type="dxa"/>
            </w:tcMar>
          </w:tcPr>
          <w:p w14:paraId="779FADD4" w14:textId="77777777" w:rsidR="00D31EA2" w:rsidRDefault="00D31EA2" w:rsidP="00410442">
            <w:pPr>
              <w:rPr>
                <w:rFonts w:ascii="Arial" w:hAnsi="Arial" w:cs="Arial"/>
                <w:color w:val="000000"/>
                <w:sz w:val="18"/>
                <w:szCs w:val="18"/>
              </w:rPr>
            </w:pPr>
            <w:r>
              <w:rPr>
                <w:rFonts w:ascii="Arial" w:hAnsi="Arial" w:cs="Arial"/>
                <w:color w:val="000000"/>
                <w:sz w:val="18"/>
                <w:szCs w:val="18"/>
              </w:rPr>
              <w:t>88.7%</w:t>
            </w:r>
          </w:p>
        </w:tc>
        <w:tc>
          <w:tcPr>
            <w:tcW w:w="1232" w:type="dxa"/>
            <w:tcMar>
              <w:top w:w="40" w:type="dxa"/>
              <w:left w:w="80" w:type="dxa"/>
              <w:bottom w:w="60" w:type="dxa"/>
              <w:right w:w="40" w:type="dxa"/>
            </w:tcMar>
          </w:tcPr>
          <w:p w14:paraId="43DC8C63" w14:textId="77777777" w:rsidR="00D31EA2" w:rsidRDefault="00D31EA2" w:rsidP="00410442">
            <w:pPr>
              <w:rPr>
                <w:rFonts w:ascii="Arial" w:hAnsi="Arial" w:cs="Arial"/>
                <w:color w:val="000000"/>
                <w:sz w:val="18"/>
                <w:szCs w:val="18"/>
              </w:rPr>
            </w:pPr>
            <w:r>
              <w:rPr>
                <w:rFonts w:ascii="Arial" w:hAnsi="Arial" w:cs="Arial"/>
                <w:color w:val="000000"/>
                <w:sz w:val="18"/>
                <w:szCs w:val="18"/>
              </w:rPr>
              <w:t>88.6%</w:t>
            </w:r>
          </w:p>
        </w:tc>
        <w:tc>
          <w:tcPr>
            <w:tcW w:w="1232" w:type="dxa"/>
            <w:tcMar>
              <w:top w:w="40" w:type="dxa"/>
              <w:left w:w="80" w:type="dxa"/>
              <w:bottom w:w="60" w:type="dxa"/>
              <w:right w:w="40" w:type="dxa"/>
            </w:tcMar>
          </w:tcPr>
          <w:p w14:paraId="7F027ADE" w14:textId="77777777" w:rsidR="00D31EA2" w:rsidRDefault="00D31EA2" w:rsidP="00410442">
            <w:pPr>
              <w:rPr>
                <w:rFonts w:ascii="Arial" w:hAnsi="Arial" w:cs="Arial"/>
                <w:color w:val="000000"/>
                <w:sz w:val="18"/>
                <w:szCs w:val="18"/>
              </w:rPr>
            </w:pPr>
            <w:r>
              <w:rPr>
                <w:rFonts w:ascii="Arial" w:hAnsi="Arial" w:cs="Arial"/>
                <w:color w:val="000000"/>
                <w:sz w:val="18"/>
                <w:szCs w:val="18"/>
              </w:rPr>
              <w:t>89.0%</w:t>
            </w:r>
          </w:p>
        </w:tc>
        <w:tc>
          <w:tcPr>
            <w:tcW w:w="1232" w:type="dxa"/>
            <w:tcMar>
              <w:top w:w="40" w:type="dxa"/>
              <w:left w:w="80" w:type="dxa"/>
              <w:bottom w:w="60" w:type="dxa"/>
              <w:right w:w="40" w:type="dxa"/>
            </w:tcMar>
          </w:tcPr>
          <w:p w14:paraId="1D308CBD" w14:textId="77777777" w:rsidR="00D31EA2" w:rsidRDefault="00D31EA2" w:rsidP="00410442">
            <w:pPr>
              <w:rPr>
                <w:rFonts w:ascii="Arial" w:hAnsi="Arial" w:cs="Arial"/>
                <w:color w:val="000000"/>
                <w:sz w:val="18"/>
                <w:szCs w:val="18"/>
              </w:rPr>
            </w:pPr>
            <w:r>
              <w:rPr>
                <w:rFonts w:ascii="Arial" w:hAnsi="Arial" w:cs="Arial"/>
                <w:color w:val="000000"/>
                <w:sz w:val="18"/>
                <w:szCs w:val="18"/>
              </w:rPr>
              <w:t>86.4%</w:t>
            </w:r>
          </w:p>
        </w:tc>
      </w:tr>
      <w:tr w:rsidR="00D31EA2" w14:paraId="085E98F2" w14:textId="77777777" w:rsidTr="00311585">
        <w:trPr>
          <w:trHeight w:val="240"/>
        </w:trPr>
        <w:tc>
          <w:tcPr>
            <w:tcW w:w="2899" w:type="dxa"/>
            <w:vMerge/>
            <w:tcMar>
              <w:top w:w="40" w:type="dxa"/>
              <w:left w:w="120" w:type="dxa"/>
              <w:bottom w:w="40" w:type="dxa"/>
              <w:right w:w="40" w:type="dxa"/>
            </w:tcMar>
          </w:tcPr>
          <w:p w14:paraId="47DE18CC" w14:textId="77777777" w:rsidR="00D31EA2" w:rsidRPr="00AA148D" w:rsidRDefault="00D31EA2" w:rsidP="00410442">
            <w:pPr>
              <w:rPr>
                <w:rFonts w:ascii="Arial" w:hAnsi="Arial" w:cs="Arial"/>
                <w:sz w:val="18"/>
                <w:szCs w:val="18"/>
              </w:rPr>
            </w:pPr>
          </w:p>
        </w:tc>
        <w:tc>
          <w:tcPr>
            <w:tcW w:w="2605" w:type="dxa"/>
            <w:tcMar>
              <w:top w:w="40" w:type="dxa"/>
              <w:left w:w="80" w:type="dxa"/>
              <w:bottom w:w="40" w:type="dxa"/>
              <w:right w:w="40" w:type="dxa"/>
            </w:tcMar>
          </w:tcPr>
          <w:p w14:paraId="2E6A327C" w14:textId="77777777" w:rsidR="00D31EA2" w:rsidRDefault="00D31EA2" w:rsidP="00410442">
            <w:pPr>
              <w:rPr>
                <w:rFonts w:ascii="Arial" w:hAnsi="Arial" w:cs="Arial"/>
                <w:color w:val="000000"/>
                <w:sz w:val="18"/>
                <w:szCs w:val="18"/>
              </w:rPr>
            </w:pPr>
            <w:r>
              <w:rPr>
                <w:rFonts w:ascii="Arial" w:hAnsi="Arial" w:cs="Arial"/>
                <w:color w:val="000000"/>
                <w:sz w:val="18"/>
                <w:szCs w:val="18"/>
              </w:rPr>
              <w:t>Admitted – non-acute</w:t>
            </w:r>
          </w:p>
        </w:tc>
        <w:tc>
          <w:tcPr>
            <w:tcW w:w="1086" w:type="dxa"/>
            <w:tcMar>
              <w:top w:w="43" w:type="dxa"/>
              <w:left w:w="86" w:type="dxa"/>
              <w:bottom w:w="58" w:type="dxa"/>
              <w:right w:w="43" w:type="dxa"/>
            </w:tcMar>
          </w:tcPr>
          <w:p w14:paraId="3B1F99DC" w14:textId="77777777" w:rsidR="00D31EA2" w:rsidRDefault="00D31EA2" w:rsidP="00410442">
            <w:pPr>
              <w:rPr>
                <w:rFonts w:ascii="Arial" w:hAnsi="Arial" w:cs="Arial"/>
                <w:color w:val="000000"/>
                <w:sz w:val="18"/>
                <w:szCs w:val="18"/>
              </w:rPr>
            </w:pPr>
            <w:r>
              <w:rPr>
                <w:rFonts w:ascii="Arial" w:hAnsi="Arial" w:cs="Arial"/>
                <w:color w:val="000000"/>
                <w:sz w:val="18"/>
                <w:szCs w:val="18"/>
              </w:rPr>
              <w:t>92.1%</w:t>
            </w:r>
          </w:p>
        </w:tc>
        <w:tc>
          <w:tcPr>
            <w:tcW w:w="1017" w:type="dxa"/>
            <w:tcMar>
              <w:top w:w="43" w:type="dxa"/>
              <w:left w:w="86" w:type="dxa"/>
              <w:bottom w:w="58" w:type="dxa"/>
              <w:right w:w="43" w:type="dxa"/>
            </w:tcMar>
          </w:tcPr>
          <w:p w14:paraId="465E6C75" w14:textId="77777777" w:rsidR="00D31EA2" w:rsidRDefault="00D31EA2" w:rsidP="00410442">
            <w:pPr>
              <w:rPr>
                <w:rFonts w:ascii="Arial" w:hAnsi="Arial" w:cs="Arial"/>
                <w:color w:val="000000"/>
                <w:sz w:val="18"/>
                <w:szCs w:val="18"/>
              </w:rPr>
            </w:pPr>
            <w:r>
              <w:rPr>
                <w:rFonts w:ascii="Arial" w:hAnsi="Arial" w:cs="Arial"/>
                <w:color w:val="000000"/>
                <w:sz w:val="18"/>
                <w:szCs w:val="18"/>
              </w:rPr>
              <w:t>90.5%</w:t>
            </w:r>
          </w:p>
        </w:tc>
        <w:tc>
          <w:tcPr>
            <w:tcW w:w="1232" w:type="dxa"/>
            <w:tcMar>
              <w:top w:w="40" w:type="dxa"/>
              <w:left w:w="80" w:type="dxa"/>
              <w:bottom w:w="60" w:type="dxa"/>
              <w:right w:w="40" w:type="dxa"/>
            </w:tcMar>
          </w:tcPr>
          <w:p w14:paraId="2F738EAF" w14:textId="77777777" w:rsidR="00D31EA2" w:rsidRDefault="00D31EA2" w:rsidP="00410442">
            <w:pPr>
              <w:rPr>
                <w:rFonts w:ascii="Arial" w:hAnsi="Arial" w:cs="Arial"/>
                <w:color w:val="000000"/>
                <w:sz w:val="18"/>
                <w:szCs w:val="18"/>
              </w:rPr>
            </w:pPr>
            <w:r>
              <w:rPr>
                <w:rFonts w:ascii="Arial" w:hAnsi="Arial" w:cs="Arial"/>
                <w:color w:val="000000"/>
                <w:sz w:val="18"/>
                <w:szCs w:val="18"/>
              </w:rPr>
              <w:t>85.7%</w:t>
            </w:r>
          </w:p>
        </w:tc>
        <w:tc>
          <w:tcPr>
            <w:tcW w:w="1232" w:type="dxa"/>
            <w:tcMar>
              <w:top w:w="40" w:type="dxa"/>
              <w:left w:w="80" w:type="dxa"/>
              <w:bottom w:w="60" w:type="dxa"/>
              <w:right w:w="40" w:type="dxa"/>
            </w:tcMar>
          </w:tcPr>
          <w:p w14:paraId="7F35A2AB" w14:textId="77777777" w:rsidR="00D31EA2" w:rsidRDefault="00D31EA2" w:rsidP="00410442">
            <w:pPr>
              <w:rPr>
                <w:rFonts w:ascii="Arial" w:hAnsi="Arial" w:cs="Arial"/>
                <w:color w:val="000000"/>
                <w:sz w:val="18"/>
                <w:szCs w:val="18"/>
              </w:rPr>
            </w:pPr>
            <w:r>
              <w:rPr>
                <w:rFonts w:ascii="Arial" w:hAnsi="Arial" w:cs="Arial"/>
                <w:color w:val="000000"/>
                <w:sz w:val="18"/>
                <w:szCs w:val="18"/>
              </w:rPr>
              <w:t>86.9%</w:t>
            </w:r>
          </w:p>
        </w:tc>
        <w:tc>
          <w:tcPr>
            <w:tcW w:w="1232" w:type="dxa"/>
            <w:tcMar>
              <w:top w:w="40" w:type="dxa"/>
              <w:left w:w="80" w:type="dxa"/>
              <w:bottom w:w="60" w:type="dxa"/>
              <w:right w:w="40" w:type="dxa"/>
            </w:tcMar>
          </w:tcPr>
          <w:p w14:paraId="47AE64D2" w14:textId="77777777" w:rsidR="00D31EA2" w:rsidRDefault="00D31EA2" w:rsidP="00410442">
            <w:pPr>
              <w:rPr>
                <w:rFonts w:ascii="Arial" w:hAnsi="Arial" w:cs="Arial"/>
                <w:color w:val="000000"/>
                <w:sz w:val="18"/>
                <w:szCs w:val="18"/>
              </w:rPr>
            </w:pPr>
            <w:r>
              <w:rPr>
                <w:rFonts w:ascii="Arial" w:hAnsi="Arial" w:cs="Arial"/>
                <w:color w:val="000000"/>
                <w:sz w:val="18"/>
                <w:szCs w:val="18"/>
              </w:rPr>
              <w:t>89.9%</w:t>
            </w:r>
          </w:p>
        </w:tc>
      </w:tr>
      <w:tr w:rsidR="00D31EA2" w14:paraId="0E581AC4" w14:textId="77777777" w:rsidTr="00311585">
        <w:trPr>
          <w:trHeight w:val="240"/>
        </w:trPr>
        <w:tc>
          <w:tcPr>
            <w:tcW w:w="2899" w:type="dxa"/>
            <w:vMerge/>
            <w:tcMar>
              <w:top w:w="40" w:type="dxa"/>
              <w:left w:w="120" w:type="dxa"/>
              <w:bottom w:w="40" w:type="dxa"/>
              <w:right w:w="40" w:type="dxa"/>
            </w:tcMar>
          </w:tcPr>
          <w:p w14:paraId="301E286C" w14:textId="77777777" w:rsidR="00D31EA2" w:rsidRPr="00AA148D" w:rsidRDefault="00D31EA2" w:rsidP="00410442">
            <w:pPr>
              <w:rPr>
                <w:rFonts w:ascii="Arial" w:hAnsi="Arial" w:cs="Arial"/>
                <w:sz w:val="18"/>
                <w:szCs w:val="18"/>
              </w:rPr>
            </w:pPr>
          </w:p>
        </w:tc>
        <w:tc>
          <w:tcPr>
            <w:tcW w:w="2605" w:type="dxa"/>
            <w:tcMar>
              <w:top w:w="40" w:type="dxa"/>
              <w:left w:w="80" w:type="dxa"/>
              <w:bottom w:w="40" w:type="dxa"/>
              <w:right w:w="40" w:type="dxa"/>
            </w:tcMar>
          </w:tcPr>
          <w:p w14:paraId="10018D08" w14:textId="79AB2AD7" w:rsidR="00D31EA2" w:rsidRDefault="00D31EA2" w:rsidP="00410442">
            <w:pPr>
              <w:rPr>
                <w:rFonts w:ascii="Arial" w:hAnsi="Arial" w:cs="Arial"/>
                <w:color w:val="000000"/>
                <w:sz w:val="18"/>
                <w:szCs w:val="18"/>
              </w:rPr>
            </w:pPr>
            <w:r>
              <w:rPr>
                <w:rFonts w:ascii="Arial" w:hAnsi="Arial" w:cs="Arial"/>
                <w:color w:val="000000"/>
                <w:sz w:val="18"/>
                <w:szCs w:val="18"/>
              </w:rPr>
              <w:t xml:space="preserve">Non-admitted – </w:t>
            </w:r>
            <w:r w:rsidR="00247F8A">
              <w:rPr>
                <w:rFonts w:ascii="Arial" w:hAnsi="Arial" w:cs="Arial"/>
                <w:color w:val="000000"/>
                <w:sz w:val="18"/>
                <w:szCs w:val="18"/>
              </w:rPr>
              <w:t>b</w:t>
            </w:r>
            <w:r>
              <w:rPr>
                <w:rFonts w:ascii="Arial" w:hAnsi="Arial" w:cs="Arial"/>
                <w:color w:val="000000"/>
                <w:sz w:val="18"/>
                <w:szCs w:val="18"/>
              </w:rPr>
              <w:t>ed-based</w:t>
            </w:r>
          </w:p>
        </w:tc>
        <w:tc>
          <w:tcPr>
            <w:tcW w:w="1086" w:type="dxa"/>
            <w:tcMar>
              <w:top w:w="43" w:type="dxa"/>
              <w:left w:w="86" w:type="dxa"/>
              <w:bottom w:w="58" w:type="dxa"/>
              <w:right w:w="43" w:type="dxa"/>
            </w:tcMar>
          </w:tcPr>
          <w:p w14:paraId="268C1E8F" w14:textId="77777777" w:rsidR="00D31EA2" w:rsidRDefault="00D31EA2" w:rsidP="00410442">
            <w:pPr>
              <w:rPr>
                <w:rFonts w:ascii="Arial" w:hAnsi="Arial" w:cs="Arial"/>
                <w:color w:val="000000"/>
                <w:sz w:val="18"/>
                <w:szCs w:val="18"/>
              </w:rPr>
            </w:pPr>
            <w:r>
              <w:rPr>
                <w:rFonts w:ascii="Arial" w:hAnsi="Arial" w:cs="Arial"/>
                <w:color w:val="000000"/>
                <w:sz w:val="18"/>
                <w:szCs w:val="18"/>
              </w:rPr>
              <w:t>88.4%</w:t>
            </w:r>
          </w:p>
        </w:tc>
        <w:tc>
          <w:tcPr>
            <w:tcW w:w="1017" w:type="dxa"/>
            <w:tcMar>
              <w:top w:w="43" w:type="dxa"/>
              <w:left w:w="86" w:type="dxa"/>
              <w:bottom w:w="58" w:type="dxa"/>
              <w:right w:w="43" w:type="dxa"/>
            </w:tcMar>
          </w:tcPr>
          <w:p w14:paraId="687D25B2" w14:textId="77777777" w:rsidR="00D31EA2" w:rsidRDefault="00D31EA2" w:rsidP="00410442">
            <w:pPr>
              <w:rPr>
                <w:rFonts w:ascii="Arial" w:hAnsi="Arial" w:cs="Arial"/>
                <w:color w:val="000000"/>
                <w:sz w:val="18"/>
                <w:szCs w:val="18"/>
              </w:rPr>
            </w:pPr>
            <w:r>
              <w:rPr>
                <w:rFonts w:ascii="Arial" w:hAnsi="Arial" w:cs="Arial"/>
                <w:color w:val="000000"/>
                <w:sz w:val="18"/>
                <w:szCs w:val="18"/>
              </w:rPr>
              <w:t>87.1%</w:t>
            </w:r>
          </w:p>
        </w:tc>
        <w:tc>
          <w:tcPr>
            <w:tcW w:w="1232" w:type="dxa"/>
            <w:tcMar>
              <w:top w:w="40" w:type="dxa"/>
              <w:left w:w="80" w:type="dxa"/>
              <w:bottom w:w="60" w:type="dxa"/>
              <w:right w:w="40" w:type="dxa"/>
            </w:tcMar>
          </w:tcPr>
          <w:p w14:paraId="241BFE06" w14:textId="77777777" w:rsidR="00D31EA2" w:rsidRDefault="00D31EA2" w:rsidP="00410442">
            <w:pPr>
              <w:rPr>
                <w:rFonts w:ascii="Arial" w:hAnsi="Arial" w:cs="Arial"/>
                <w:color w:val="000000"/>
                <w:sz w:val="18"/>
                <w:szCs w:val="18"/>
              </w:rPr>
            </w:pPr>
            <w:r>
              <w:rPr>
                <w:rFonts w:ascii="Arial" w:hAnsi="Arial" w:cs="Arial"/>
                <w:color w:val="000000"/>
                <w:sz w:val="18"/>
                <w:szCs w:val="18"/>
              </w:rPr>
              <w:t>87.4%</w:t>
            </w:r>
          </w:p>
        </w:tc>
        <w:tc>
          <w:tcPr>
            <w:tcW w:w="1232" w:type="dxa"/>
            <w:tcMar>
              <w:top w:w="40" w:type="dxa"/>
              <w:left w:w="80" w:type="dxa"/>
              <w:bottom w:w="60" w:type="dxa"/>
              <w:right w:w="40" w:type="dxa"/>
            </w:tcMar>
          </w:tcPr>
          <w:p w14:paraId="60ECF648" w14:textId="77777777" w:rsidR="00D31EA2" w:rsidRDefault="00D31EA2" w:rsidP="00410442">
            <w:pPr>
              <w:rPr>
                <w:rFonts w:ascii="Arial" w:hAnsi="Arial" w:cs="Arial"/>
                <w:color w:val="000000"/>
                <w:sz w:val="18"/>
                <w:szCs w:val="18"/>
              </w:rPr>
            </w:pPr>
            <w:r>
              <w:rPr>
                <w:rFonts w:ascii="Arial" w:hAnsi="Arial" w:cs="Arial"/>
                <w:color w:val="000000"/>
                <w:sz w:val="18"/>
                <w:szCs w:val="18"/>
              </w:rPr>
              <w:t>86.3%</w:t>
            </w:r>
          </w:p>
        </w:tc>
        <w:tc>
          <w:tcPr>
            <w:tcW w:w="1232" w:type="dxa"/>
            <w:tcMar>
              <w:top w:w="40" w:type="dxa"/>
              <w:left w:w="80" w:type="dxa"/>
              <w:bottom w:w="60" w:type="dxa"/>
              <w:right w:w="40" w:type="dxa"/>
            </w:tcMar>
          </w:tcPr>
          <w:p w14:paraId="7DB11AA5" w14:textId="77777777" w:rsidR="00D31EA2" w:rsidRDefault="00D31EA2" w:rsidP="00410442">
            <w:pPr>
              <w:rPr>
                <w:rFonts w:ascii="Arial" w:hAnsi="Arial" w:cs="Arial"/>
                <w:color w:val="000000"/>
                <w:sz w:val="18"/>
                <w:szCs w:val="18"/>
              </w:rPr>
            </w:pPr>
            <w:r>
              <w:rPr>
                <w:rFonts w:ascii="Arial" w:hAnsi="Arial" w:cs="Arial"/>
                <w:color w:val="000000"/>
                <w:sz w:val="18"/>
                <w:szCs w:val="18"/>
              </w:rPr>
              <w:t>84.1%</w:t>
            </w:r>
          </w:p>
        </w:tc>
      </w:tr>
      <w:tr w:rsidR="00D31EA2" w14:paraId="637A2B85" w14:textId="77777777" w:rsidTr="00311585">
        <w:trPr>
          <w:trHeight w:val="240"/>
        </w:trPr>
        <w:tc>
          <w:tcPr>
            <w:tcW w:w="2899" w:type="dxa"/>
            <w:vMerge/>
            <w:tcMar>
              <w:top w:w="40" w:type="dxa"/>
              <w:left w:w="120" w:type="dxa"/>
              <w:bottom w:w="40" w:type="dxa"/>
              <w:right w:w="40" w:type="dxa"/>
            </w:tcMar>
          </w:tcPr>
          <w:p w14:paraId="65077731" w14:textId="77777777" w:rsidR="00D31EA2" w:rsidRPr="00AA148D" w:rsidRDefault="00D31EA2" w:rsidP="00410442">
            <w:pPr>
              <w:rPr>
                <w:rFonts w:ascii="Arial" w:hAnsi="Arial" w:cs="Arial"/>
                <w:sz w:val="18"/>
                <w:szCs w:val="18"/>
              </w:rPr>
            </w:pPr>
          </w:p>
        </w:tc>
        <w:tc>
          <w:tcPr>
            <w:tcW w:w="2605" w:type="dxa"/>
            <w:tcMar>
              <w:top w:w="40" w:type="dxa"/>
              <w:left w:w="80" w:type="dxa"/>
              <w:bottom w:w="40" w:type="dxa"/>
              <w:right w:w="40" w:type="dxa"/>
            </w:tcMar>
          </w:tcPr>
          <w:p w14:paraId="6A747029" w14:textId="77777777" w:rsidR="00D31EA2" w:rsidRDefault="00D31EA2" w:rsidP="00410442">
            <w:pPr>
              <w:rPr>
                <w:rFonts w:ascii="Arial" w:hAnsi="Arial" w:cs="Arial"/>
                <w:color w:val="000000"/>
                <w:sz w:val="18"/>
                <w:szCs w:val="18"/>
              </w:rPr>
            </w:pPr>
            <w:r>
              <w:rPr>
                <w:rFonts w:ascii="Arial" w:hAnsi="Arial" w:cs="Arial"/>
                <w:color w:val="000000"/>
                <w:sz w:val="18"/>
                <w:szCs w:val="18"/>
              </w:rPr>
              <w:t>Non-admitted – subacute (CCU)</w:t>
            </w:r>
          </w:p>
        </w:tc>
        <w:tc>
          <w:tcPr>
            <w:tcW w:w="1086" w:type="dxa"/>
            <w:tcMar>
              <w:top w:w="43" w:type="dxa"/>
              <w:left w:w="86" w:type="dxa"/>
              <w:bottom w:w="58" w:type="dxa"/>
              <w:right w:w="43" w:type="dxa"/>
            </w:tcMar>
          </w:tcPr>
          <w:p w14:paraId="0FFFBB2D" w14:textId="77777777" w:rsidR="00D31EA2" w:rsidRDefault="00D31EA2" w:rsidP="00410442">
            <w:pPr>
              <w:rPr>
                <w:rFonts w:ascii="Arial" w:hAnsi="Arial" w:cs="Arial"/>
                <w:color w:val="000000"/>
                <w:sz w:val="18"/>
                <w:szCs w:val="18"/>
              </w:rPr>
            </w:pPr>
            <w:r>
              <w:rPr>
                <w:rFonts w:ascii="Arial" w:hAnsi="Arial" w:cs="Arial"/>
                <w:color w:val="000000"/>
                <w:sz w:val="18"/>
                <w:szCs w:val="18"/>
              </w:rPr>
              <w:t>79.1%</w:t>
            </w:r>
          </w:p>
        </w:tc>
        <w:tc>
          <w:tcPr>
            <w:tcW w:w="1017" w:type="dxa"/>
            <w:tcMar>
              <w:top w:w="43" w:type="dxa"/>
              <w:left w:w="86" w:type="dxa"/>
              <w:bottom w:w="58" w:type="dxa"/>
              <w:right w:w="43" w:type="dxa"/>
            </w:tcMar>
          </w:tcPr>
          <w:p w14:paraId="60BC5E80" w14:textId="77777777" w:rsidR="00D31EA2" w:rsidRDefault="00D31EA2" w:rsidP="00410442">
            <w:pPr>
              <w:rPr>
                <w:rFonts w:ascii="Arial" w:hAnsi="Arial" w:cs="Arial"/>
                <w:color w:val="000000"/>
                <w:sz w:val="18"/>
                <w:szCs w:val="18"/>
              </w:rPr>
            </w:pPr>
            <w:r>
              <w:rPr>
                <w:rFonts w:ascii="Arial" w:hAnsi="Arial" w:cs="Arial"/>
                <w:color w:val="000000"/>
                <w:sz w:val="18"/>
                <w:szCs w:val="18"/>
              </w:rPr>
              <w:t>78.6%</w:t>
            </w:r>
          </w:p>
        </w:tc>
        <w:tc>
          <w:tcPr>
            <w:tcW w:w="1232" w:type="dxa"/>
            <w:tcMar>
              <w:top w:w="40" w:type="dxa"/>
              <w:left w:w="80" w:type="dxa"/>
              <w:bottom w:w="60" w:type="dxa"/>
              <w:right w:w="40" w:type="dxa"/>
            </w:tcMar>
          </w:tcPr>
          <w:p w14:paraId="35823456" w14:textId="77777777" w:rsidR="00D31EA2" w:rsidRDefault="00D31EA2" w:rsidP="00410442">
            <w:pPr>
              <w:rPr>
                <w:rFonts w:ascii="Arial" w:hAnsi="Arial" w:cs="Arial"/>
                <w:color w:val="000000"/>
                <w:sz w:val="18"/>
                <w:szCs w:val="18"/>
              </w:rPr>
            </w:pPr>
            <w:r>
              <w:rPr>
                <w:rFonts w:ascii="Arial" w:hAnsi="Arial" w:cs="Arial"/>
                <w:color w:val="000000"/>
                <w:sz w:val="18"/>
                <w:szCs w:val="18"/>
              </w:rPr>
              <w:t>80.1%</w:t>
            </w:r>
          </w:p>
        </w:tc>
        <w:tc>
          <w:tcPr>
            <w:tcW w:w="1232" w:type="dxa"/>
            <w:tcMar>
              <w:top w:w="40" w:type="dxa"/>
              <w:left w:w="80" w:type="dxa"/>
              <w:bottom w:w="60" w:type="dxa"/>
              <w:right w:w="40" w:type="dxa"/>
            </w:tcMar>
          </w:tcPr>
          <w:p w14:paraId="5F1E86EE" w14:textId="77777777" w:rsidR="00D31EA2" w:rsidRDefault="00D31EA2" w:rsidP="00410442">
            <w:pPr>
              <w:rPr>
                <w:rFonts w:ascii="Arial" w:hAnsi="Arial" w:cs="Arial"/>
                <w:color w:val="000000"/>
                <w:sz w:val="18"/>
                <w:szCs w:val="18"/>
              </w:rPr>
            </w:pPr>
            <w:r>
              <w:rPr>
                <w:rFonts w:ascii="Arial" w:hAnsi="Arial" w:cs="Arial"/>
                <w:color w:val="000000"/>
                <w:sz w:val="18"/>
                <w:szCs w:val="18"/>
              </w:rPr>
              <w:t>80.9%</w:t>
            </w:r>
          </w:p>
        </w:tc>
        <w:tc>
          <w:tcPr>
            <w:tcW w:w="1232" w:type="dxa"/>
            <w:tcMar>
              <w:top w:w="40" w:type="dxa"/>
              <w:left w:w="80" w:type="dxa"/>
              <w:bottom w:w="60" w:type="dxa"/>
              <w:right w:w="40" w:type="dxa"/>
            </w:tcMar>
          </w:tcPr>
          <w:p w14:paraId="312B4170" w14:textId="77777777" w:rsidR="00D31EA2" w:rsidRDefault="00D31EA2" w:rsidP="00410442">
            <w:pPr>
              <w:rPr>
                <w:rFonts w:ascii="Arial" w:hAnsi="Arial" w:cs="Arial"/>
                <w:color w:val="000000"/>
                <w:sz w:val="18"/>
                <w:szCs w:val="18"/>
              </w:rPr>
            </w:pPr>
            <w:r>
              <w:rPr>
                <w:rFonts w:ascii="Arial" w:hAnsi="Arial" w:cs="Arial"/>
                <w:color w:val="000000"/>
                <w:sz w:val="18"/>
                <w:szCs w:val="18"/>
              </w:rPr>
              <w:t>80.3%</w:t>
            </w:r>
          </w:p>
        </w:tc>
      </w:tr>
      <w:tr w:rsidR="00D31EA2" w14:paraId="17D85E5A" w14:textId="77777777" w:rsidTr="00311585">
        <w:trPr>
          <w:trHeight w:val="240"/>
        </w:trPr>
        <w:tc>
          <w:tcPr>
            <w:tcW w:w="2899" w:type="dxa"/>
            <w:vMerge/>
            <w:tcMar>
              <w:top w:w="40" w:type="dxa"/>
              <w:left w:w="120" w:type="dxa"/>
              <w:bottom w:w="40" w:type="dxa"/>
              <w:right w:w="40" w:type="dxa"/>
            </w:tcMar>
          </w:tcPr>
          <w:p w14:paraId="60E4723E" w14:textId="77777777" w:rsidR="00D31EA2" w:rsidRPr="00AA148D" w:rsidRDefault="00D31EA2" w:rsidP="00410442">
            <w:pPr>
              <w:rPr>
                <w:rFonts w:ascii="Arial" w:hAnsi="Arial" w:cs="Arial"/>
                <w:sz w:val="18"/>
                <w:szCs w:val="18"/>
              </w:rPr>
            </w:pPr>
          </w:p>
        </w:tc>
        <w:tc>
          <w:tcPr>
            <w:tcW w:w="2605" w:type="dxa"/>
            <w:tcMar>
              <w:top w:w="40" w:type="dxa"/>
              <w:left w:w="80" w:type="dxa"/>
              <w:bottom w:w="40" w:type="dxa"/>
              <w:right w:w="40" w:type="dxa"/>
            </w:tcMar>
          </w:tcPr>
          <w:p w14:paraId="36FFA810" w14:textId="77777777" w:rsidR="00D31EA2" w:rsidRDefault="00D31EA2" w:rsidP="00410442">
            <w:pPr>
              <w:rPr>
                <w:rFonts w:ascii="Arial" w:hAnsi="Arial" w:cs="Arial"/>
                <w:color w:val="000000"/>
                <w:sz w:val="18"/>
                <w:szCs w:val="18"/>
              </w:rPr>
            </w:pPr>
            <w:r>
              <w:rPr>
                <w:rFonts w:ascii="Arial" w:hAnsi="Arial" w:cs="Arial"/>
                <w:color w:val="000000"/>
                <w:sz w:val="18"/>
                <w:szCs w:val="18"/>
              </w:rPr>
              <w:t>Non-admitted – subacute (PARC)</w:t>
            </w:r>
          </w:p>
        </w:tc>
        <w:tc>
          <w:tcPr>
            <w:tcW w:w="1086" w:type="dxa"/>
            <w:tcMar>
              <w:top w:w="43" w:type="dxa"/>
              <w:left w:w="86" w:type="dxa"/>
              <w:bottom w:w="58" w:type="dxa"/>
              <w:right w:w="43" w:type="dxa"/>
            </w:tcMar>
          </w:tcPr>
          <w:p w14:paraId="08DF4B1A" w14:textId="77777777" w:rsidR="00D31EA2" w:rsidRDefault="00D31EA2" w:rsidP="00410442">
            <w:pPr>
              <w:rPr>
                <w:rFonts w:ascii="Arial" w:hAnsi="Arial" w:cs="Arial"/>
                <w:color w:val="000000"/>
                <w:sz w:val="18"/>
                <w:szCs w:val="18"/>
              </w:rPr>
            </w:pPr>
            <w:r>
              <w:rPr>
                <w:rFonts w:ascii="Arial" w:hAnsi="Arial" w:cs="Arial"/>
                <w:color w:val="000000"/>
                <w:sz w:val="18"/>
                <w:szCs w:val="18"/>
              </w:rPr>
              <w:t>77.8%</w:t>
            </w:r>
          </w:p>
        </w:tc>
        <w:tc>
          <w:tcPr>
            <w:tcW w:w="1017" w:type="dxa"/>
            <w:tcMar>
              <w:top w:w="43" w:type="dxa"/>
              <w:left w:w="86" w:type="dxa"/>
              <w:bottom w:w="58" w:type="dxa"/>
              <w:right w:w="43" w:type="dxa"/>
            </w:tcMar>
          </w:tcPr>
          <w:p w14:paraId="7950DD63" w14:textId="77777777" w:rsidR="00D31EA2" w:rsidRDefault="00D31EA2" w:rsidP="00410442">
            <w:pPr>
              <w:rPr>
                <w:rFonts w:ascii="Arial" w:hAnsi="Arial" w:cs="Arial"/>
                <w:color w:val="000000"/>
                <w:sz w:val="18"/>
                <w:szCs w:val="18"/>
              </w:rPr>
            </w:pPr>
            <w:r>
              <w:rPr>
                <w:rFonts w:ascii="Arial" w:hAnsi="Arial" w:cs="Arial"/>
                <w:color w:val="000000"/>
                <w:sz w:val="18"/>
                <w:szCs w:val="18"/>
              </w:rPr>
              <w:t>80.7%</w:t>
            </w:r>
          </w:p>
        </w:tc>
        <w:tc>
          <w:tcPr>
            <w:tcW w:w="1232" w:type="dxa"/>
            <w:tcMar>
              <w:top w:w="40" w:type="dxa"/>
              <w:left w:w="80" w:type="dxa"/>
              <w:bottom w:w="60" w:type="dxa"/>
              <w:right w:w="40" w:type="dxa"/>
            </w:tcMar>
          </w:tcPr>
          <w:p w14:paraId="2E4A20F8" w14:textId="77777777" w:rsidR="00D31EA2" w:rsidRDefault="00D31EA2" w:rsidP="00410442">
            <w:pPr>
              <w:rPr>
                <w:rFonts w:ascii="Arial" w:hAnsi="Arial" w:cs="Arial"/>
                <w:color w:val="000000"/>
                <w:sz w:val="18"/>
                <w:szCs w:val="18"/>
              </w:rPr>
            </w:pPr>
            <w:r>
              <w:rPr>
                <w:rFonts w:ascii="Arial" w:hAnsi="Arial" w:cs="Arial"/>
                <w:color w:val="000000"/>
                <w:sz w:val="18"/>
                <w:szCs w:val="18"/>
              </w:rPr>
              <w:t>76.1%</w:t>
            </w:r>
          </w:p>
        </w:tc>
        <w:tc>
          <w:tcPr>
            <w:tcW w:w="1232" w:type="dxa"/>
            <w:tcMar>
              <w:top w:w="40" w:type="dxa"/>
              <w:left w:w="80" w:type="dxa"/>
              <w:bottom w:w="60" w:type="dxa"/>
              <w:right w:w="40" w:type="dxa"/>
            </w:tcMar>
          </w:tcPr>
          <w:p w14:paraId="6CDF8343" w14:textId="77777777" w:rsidR="00D31EA2" w:rsidRDefault="00D31EA2" w:rsidP="00410442">
            <w:pPr>
              <w:rPr>
                <w:rFonts w:ascii="Arial" w:hAnsi="Arial" w:cs="Arial"/>
                <w:color w:val="000000"/>
                <w:sz w:val="18"/>
                <w:szCs w:val="18"/>
              </w:rPr>
            </w:pPr>
            <w:r>
              <w:rPr>
                <w:rFonts w:ascii="Arial" w:hAnsi="Arial" w:cs="Arial"/>
                <w:color w:val="000000"/>
                <w:sz w:val="18"/>
                <w:szCs w:val="18"/>
              </w:rPr>
              <w:t>79.4%</w:t>
            </w:r>
          </w:p>
        </w:tc>
        <w:tc>
          <w:tcPr>
            <w:tcW w:w="1232" w:type="dxa"/>
            <w:tcMar>
              <w:top w:w="40" w:type="dxa"/>
              <w:left w:w="80" w:type="dxa"/>
              <w:bottom w:w="60" w:type="dxa"/>
              <w:right w:w="40" w:type="dxa"/>
            </w:tcMar>
          </w:tcPr>
          <w:p w14:paraId="55BB91E2" w14:textId="77777777" w:rsidR="00D31EA2" w:rsidRDefault="00D31EA2" w:rsidP="00410442">
            <w:pPr>
              <w:rPr>
                <w:rFonts w:ascii="Arial" w:hAnsi="Arial" w:cs="Arial"/>
                <w:color w:val="000000"/>
                <w:sz w:val="18"/>
                <w:szCs w:val="18"/>
              </w:rPr>
            </w:pPr>
            <w:r>
              <w:rPr>
                <w:rFonts w:ascii="Arial" w:hAnsi="Arial" w:cs="Arial"/>
                <w:color w:val="000000"/>
                <w:sz w:val="18"/>
                <w:szCs w:val="18"/>
              </w:rPr>
              <w:t>72.6%</w:t>
            </w:r>
          </w:p>
        </w:tc>
      </w:tr>
      <w:tr w:rsidR="00D31EA2" w14:paraId="692799C8" w14:textId="77777777" w:rsidTr="00311585">
        <w:trPr>
          <w:trHeight w:val="240"/>
        </w:trPr>
        <w:tc>
          <w:tcPr>
            <w:tcW w:w="2899" w:type="dxa"/>
            <w:vMerge/>
            <w:tcMar>
              <w:top w:w="40" w:type="dxa"/>
              <w:left w:w="120" w:type="dxa"/>
              <w:bottom w:w="40" w:type="dxa"/>
              <w:right w:w="40" w:type="dxa"/>
            </w:tcMar>
          </w:tcPr>
          <w:p w14:paraId="62A84E9A" w14:textId="77777777" w:rsidR="00D31EA2" w:rsidRPr="00AA148D" w:rsidRDefault="00D31EA2" w:rsidP="00410442">
            <w:pPr>
              <w:rPr>
                <w:rFonts w:ascii="Arial" w:hAnsi="Arial" w:cs="Arial"/>
                <w:sz w:val="18"/>
                <w:szCs w:val="18"/>
              </w:rPr>
            </w:pPr>
          </w:p>
        </w:tc>
        <w:tc>
          <w:tcPr>
            <w:tcW w:w="2605" w:type="dxa"/>
            <w:shd w:val="clear" w:color="auto" w:fill="E0EAF5"/>
            <w:tcMar>
              <w:top w:w="40" w:type="dxa"/>
              <w:left w:w="80" w:type="dxa"/>
              <w:bottom w:w="40" w:type="dxa"/>
              <w:right w:w="40" w:type="dxa"/>
            </w:tcMar>
          </w:tcPr>
          <w:p w14:paraId="6DDC54B7"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Total</w:t>
            </w:r>
          </w:p>
        </w:tc>
        <w:tc>
          <w:tcPr>
            <w:tcW w:w="1086" w:type="dxa"/>
            <w:shd w:val="clear" w:color="auto" w:fill="E0EAF5"/>
            <w:tcMar>
              <w:top w:w="43" w:type="dxa"/>
              <w:left w:w="86" w:type="dxa"/>
              <w:bottom w:w="58" w:type="dxa"/>
              <w:right w:w="43" w:type="dxa"/>
            </w:tcMar>
          </w:tcPr>
          <w:p w14:paraId="38AAEA77"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86.4%</w:t>
            </w:r>
          </w:p>
        </w:tc>
        <w:tc>
          <w:tcPr>
            <w:tcW w:w="1017" w:type="dxa"/>
            <w:shd w:val="clear" w:color="auto" w:fill="E0EAF5"/>
            <w:tcMar>
              <w:top w:w="43" w:type="dxa"/>
              <w:left w:w="86" w:type="dxa"/>
              <w:bottom w:w="58" w:type="dxa"/>
              <w:right w:w="43" w:type="dxa"/>
            </w:tcMar>
          </w:tcPr>
          <w:p w14:paraId="0FF1A5FC"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86.3%</w:t>
            </w:r>
          </w:p>
        </w:tc>
        <w:tc>
          <w:tcPr>
            <w:tcW w:w="1232" w:type="dxa"/>
            <w:shd w:val="clear" w:color="auto" w:fill="E0EAF5"/>
            <w:tcMar>
              <w:top w:w="40" w:type="dxa"/>
              <w:left w:w="80" w:type="dxa"/>
              <w:bottom w:w="60" w:type="dxa"/>
              <w:right w:w="40" w:type="dxa"/>
            </w:tcMar>
          </w:tcPr>
          <w:p w14:paraId="4479645A"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85.7%</w:t>
            </w:r>
          </w:p>
        </w:tc>
        <w:tc>
          <w:tcPr>
            <w:tcW w:w="1232" w:type="dxa"/>
            <w:shd w:val="clear" w:color="auto" w:fill="E0EAF5"/>
            <w:tcMar>
              <w:top w:w="40" w:type="dxa"/>
              <w:left w:w="80" w:type="dxa"/>
              <w:bottom w:w="60" w:type="dxa"/>
              <w:right w:w="40" w:type="dxa"/>
            </w:tcMar>
          </w:tcPr>
          <w:p w14:paraId="000BA631"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86.2%</w:t>
            </w:r>
          </w:p>
        </w:tc>
        <w:tc>
          <w:tcPr>
            <w:tcW w:w="1232" w:type="dxa"/>
            <w:shd w:val="clear" w:color="auto" w:fill="E0EAF5"/>
            <w:tcMar>
              <w:top w:w="40" w:type="dxa"/>
              <w:left w:w="80" w:type="dxa"/>
              <w:bottom w:w="60" w:type="dxa"/>
              <w:right w:w="40" w:type="dxa"/>
            </w:tcMar>
          </w:tcPr>
          <w:p w14:paraId="59F362F1"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84.2%</w:t>
            </w:r>
          </w:p>
        </w:tc>
      </w:tr>
    </w:tbl>
    <w:p w14:paraId="2440CA57" w14:textId="2F437A27" w:rsidR="00D31EA2" w:rsidRDefault="00D31EA2" w:rsidP="00157535">
      <w:pPr>
        <w:pStyle w:val="DHHSbodynospace"/>
      </w:pPr>
    </w:p>
    <w:tbl>
      <w:tblPr>
        <w:tblW w:w="0" w:type="auto"/>
        <w:tblBorders>
          <w:top w:val="single" w:sz="8" w:space="0" w:color="004EA8"/>
          <w:left w:val="single" w:sz="8" w:space="0" w:color="004EA8"/>
          <w:bottom w:val="single" w:sz="8" w:space="0" w:color="004EA8"/>
          <w:right w:val="single" w:sz="8" w:space="0" w:color="004EA8"/>
          <w:insideH w:val="single" w:sz="8" w:space="0" w:color="004EA8"/>
          <w:insideV w:val="single" w:sz="8" w:space="0" w:color="004EA8"/>
        </w:tblBorders>
        <w:tblCellMar>
          <w:left w:w="0" w:type="dxa"/>
          <w:right w:w="0" w:type="dxa"/>
        </w:tblCellMar>
        <w:tblLook w:val="0000" w:firstRow="0" w:lastRow="0" w:firstColumn="0" w:lastColumn="0" w:noHBand="0" w:noVBand="0"/>
      </w:tblPr>
      <w:tblGrid>
        <w:gridCol w:w="2110"/>
        <w:gridCol w:w="1916"/>
        <w:gridCol w:w="1052"/>
        <w:gridCol w:w="1053"/>
        <w:gridCol w:w="1049"/>
        <w:gridCol w:w="1049"/>
        <w:gridCol w:w="1049"/>
      </w:tblGrid>
      <w:tr w:rsidR="00D31EA2" w14:paraId="701D9528" w14:textId="77777777" w:rsidTr="00157B5E">
        <w:trPr>
          <w:trHeight w:val="279"/>
          <w:tblHeader/>
        </w:trPr>
        <w:tc>
          <w:tcPr>
            <w:tcW w:w="2882" w:type="dxa"/>
            <w:shd w:val="clear" w:color="auto" w:fill="004EA8"/>
            <w:tcMar>
              <w:top w:w="40" w:type="dxa"/>
              <w:left w:w="80" w:type="dxa"/>
              <w:bottom w:w="40" w:type="dxa"/>
              <w:right w:w="40" w:type="dxa"/>
            </w:tcMar>
            <w:vAlign w:val="center"/>
          </w:tcPr>
          <w:p w14:paraId="344A5A36" w14:textId="77777777" w:rsidR="00D31EA2" w:rsidRPr="00B33889" w:rsidRDefault="00D31EA2" w:rsidP="00410442">
            <w:pPr>
              <w:rPr>
                <w:rFonts w:ascii="Arial" w:hAnsi="Arial" w:cs="Arial"/>
              </w:rPr>
            </w:pPr>
            <w:r w:rsidRPr="00B33889">
              <w:rPr>
                <w:rFonts w:ascii="Arial" w:eastAsia="Verdana" w:hAnsi="Arial" w:cs="Arial"/>
                <w:b/>
                <w:color w:val="FFFFFF"/>
                <w:sz w:val="18"/>
              </w:rPr>
              <w:t>Service activity</w:t>
            </w:r>
            <w:r>
              <w:rPr>
                <w:rFonts w:ascii="Arial" w:eastAsia="Verdana" w:hAnsi="Arial" w:cs="Arial"/>
                <w:b/>
                <w:color w:val="FFFFFF"/>
                <w:sz w:val="18"/>
              </w:rPr>
              <w:t xml:space="preserve"> – </w:t>
            </w:r>
            <w:r w:rsidRPr="00B33889">
              <w:rPr>
                <w:rFonts w:ascii="Arial" w:eastAsia="Verdana" w:hAnsi="Arial" w:cs="Arial"/>
                <w:b/>
                <w:color w:val="FFFFFF"/>
                <w:sz w:val="18"/>
              </w:rPr>
              <w:t>community</w:t>
            </w:r>
          </w:p>
        </w:tc>
        <w:tc>
          <w:tcPr>
            <w:tcW w:w="2642" w:type="dxa"/>
            <w:shd w:val="clear" w:color="auto" w:fill="004EA8"/>
            <w:tcMar>
              <w:top w:w="40" w:type="dxa"/>
              <w:left w:w="80" w:type="dxa"/>
              <w:bottom w:w="40" w:type="dxa"/>
              <w:right w:w="40" w:type="dxa"/>
            </w:tcMar>
            <w:vAlign w:val="center"/>
          </w:tcPr>
          <w:p w14:paraId="2373A69B" w14:textId="77777777" w:rsidR="00D31EA2" w:rsidRDefault="00D31EA2" w:rsidP="00410442">
            <w:pPr>
              <w:rPr>
                <w:rFonts w:ascii="Arial" w:hAnsi="Arial" w:cs="Arial"/>
                <w:b/>
                <w:bCs/>
                <w:color w:val="FFFFFF"/>
                <w:sz w:val="18"/>
                <w:szCs w:val="18"/>
                <w:lang w:eastAsia="en-AU"/>
              </w:rPr>
            </w:pPr>
            <w:r>
              <w:rPr>
                <w:rFonts w:ascii="Arial" w:hAnsi="Arial" w:cs="Arial"/>
                <w:b/>
                <w:bCs/>
                <w:color w:val="FFFFFF"/>
                <w:sz w:val="18"/>
                <w:szCs w:val="18"/>
              </w:rPr>
              <w:t>Population</w:t>
            </w:r>
          </w:p>
        </w:tc>
        <w:tc>
          <w:tcPr>
            <w:tcW w:w="1155" w:type="dxa"/>
            <w:shd w:val="clear" w:color="auto" w:fill="004EA8"/>
            <w:vAlign w:val="center"/>
          </w:tcPr>
          <w:p w14:paraId="26CB4BBF"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2015–16</w:t>
            </w:r>
          </w:p>
        </w:tc>
        <w:tc>
          <w:tcPr>
            <w:tcW w:w="1156" w:type="dxa"/>
            <w:shd w:val="clear" w:color="auto" w:fill="004EA8"/>
            <w:vAlign w:val="center"/>
          </w:tcPr>
          <w:p w14:paraId="6025A425"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2016–17</w:t>
            </w:r>
          </w:p>
        </w:tc>
        <w:tc>
          <w:tcPr>
            <w:tcW w:w="1156" w:type="dxa"/>
            <w:shd w:val="clear" w:color="auto" w:fill="004EA8"/>
            <w:tcMar>
              <w:top w:w="40" w:type="dxa"/>
              <w:left w:w="80" w:type="dxa"/>
              <w:bottom w:w="60" w:type="dxa"/>
              <w:right w:w="40" w:type="dxa"/>
            </w:tcMar>
            <w:vAlign w:val="center"/>
          </w:tcPr>
          <w:p w14:paraId="1F16FD67"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2017–18</w:t>
            </w:r>
          </w:p>
        </w:tc>
        <w:tc>
          <w:tcPr>
            <w:tcW w:w="1156" w:type="dxa"/>
            <w:shd w:val="clear" w:color="auto" w:fill="004EA8"/>
            <w:tcMar>
              <w:top w:w="40" w:type="dxa"/>
              <w:left w:w="80" w:type="dxa"/>
              <w:bottom w:w="60" w:type="dxa"/>
              <w:right w:w="40" w:type="dxa"/>
            </w:tcMar>
            <w:vAlign w:val="center"/>
          </w:tcPr>
          <w:p w14:paraId="500429B7"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2018–19</w:t>
            </w:r>
          </w:p>
        </w:tc>
        <w:tc>
          <w:tcPr>
            <w:tcW w:w="1156" w:type="dxa"/>
            <w:shd w:val="clear" w:color="auto" w:fill="004EA8"/>
            <w:tcMar>
              <w:top w:w="40" w:type="dxa"/>
              <w:left w:w="80" w:type="dxa"/>
              <w:bottom w:w="60" w:type="dxa"/>
              <w:right w:w="40" w:type="dxa"/>
            </w:tcMar>
            <w:vAlign w:val="center"/>
          </w:tcPr>
          <w:p w14:paraId="4AC12E64"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2019–20</w:t>
            </w:r>
          </w:p>
        </w:tc>
      </w:tr>
      <w:tr w:rsidR="00D31EA2" w14:paraId="308C8298" w14:textId="77777777" w:rsidTr="00311585">
        <w:trPr>
          <w:trHeight w:val="240"/>
        </w:trPr>
        <w:tc>
          <w:tcPr>
            <w:tcW w:w="2882" w:type="dxa"/>
            <w:vMerge w:val="restart"/>
            <w:tcMar>
              <w:top w:w="40" w:type="dxa"/>
              <w:left w:w="120" w:type="dxa"/>
              <w:bottom w:w="40" w:type="dxa"/>
              <w:right w:w="40" w:type="dxa"/>
            </w:tcMar>
          </w:tcPr>
          <w:p w14:paraId="39F00FC6"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Total service contacts, by sector</w:t>
            </w:r>
            <w:r w:rsidRPr="00AA148D">
              <w:rPr>
                <w:rFonts w:ascii="Arial" w:eastAsia="Verdana" w:hAnsi="Arial" w:cs="Arial"/>
                <w:color w:val="000000"/>
                <w:sz w:val="18"/>
                <w:szCs w:val="18"/>
                <w:vertAlign w:val="superscript"/>
              </w:rPr>
              <w:t>‡</w:t>
            </w:r>
          </w:p>
        </w:tc>
        <w:tc>
          <w:tcPr>
            <w:tcW w:w="2642" w:type="dxa"/>
            <w:tcMar>
              <w:top w:w="40" w:type="dxa"/>
              <w:left w:w="80" w:type="dxa"/>
              <w:bottom w:w="40" w:type="dxa"/>
              <w:right w:w="40" w:type="dxa"/>
            </w:tcMar>
          </w:tcPr>
          <w:p w14:paraId="4999FCAA" w14:textId="77777777" w:rsidR="00D31EA2" w:rsidRDefault="00D31EA2" w:rsidP="00410442">
            <w:pPr>
              <w:rPr>
                <w:rFonts w:ascii="Arial" w:hAnsi="Arial" w:cs="Arial"/>
                <w:color w:val="000000"/>
                <w:sz w:val="18"/>
                <w:szCs w:val="18"/>
              </w:rPr>
            </w:pPr>
            <w:r>
              <w:rPr>
                <w:rFonts w:ascii="Arial" w:hAnsi="Arial" w:cs="Arial"/>
                <w:color w:val="000000"/>
                <w:sz w:val="18"/>
                <w:szCs w:val="18"/>
              </w:rPr>
              <w:t>Adult</w:t>
            </w:r>
          </w:p>
        </w:tc>
        <w:tc>
          <w:tcPr>
            <w:tcW w:w="1155" w:type="dxa"/>
            <w:tcMar>
              <w:top w:w="43" w:type="dxa"/>
              <w:left w:w="86" w:type="dxa"/>
              <w:bottom w:w="58" w:type="dxa"/>
              <w:right w:w="43" w:type="dxa"/>
            </w:tcMar>
          </w:tcPr>
          <w:p w14:paraId="337EE884" w14:textId="77777777" w:rsidR="00D31EA2" w:rsidRDefault="00D31EA2" w:rsidP="00410442">
            <w:pPr>
              <w:rPr>
                <w:rFonts w:ascii="Arial" w:hAnsi="Arial" w:cs="Arial"/>
                <w:color w:val="000000"/>
                <w:sz w:val="18"/>
                <w:szCs w:val="18"/>
              </w:rPr>
            </w:pPr>
            <w:r>
              <w:rPr>
                <w:rFonts w:ascii="Arial" w:hAnsi="Arial" w:cs="Arial"/>
                <w:color w:val="000000"/>
                <w:sz w:val="18"/>
                <w:szCs w:val="18"/>
              </w:rPr>
              <w:t>1,400,505</w:t>
            </w:r>
          </w:p>
        </w:tc>
        <w:tc>
          <w:tcPr>
            <w:tcW w:w="1156" w:type="dxa"/>
            <w:tcMar>
              <w:top w:w="43" w:type="dxa"/>
              <w:left w:w="86" w:type="dxa"/>
              <w:bottom w:w="58" w:type="dxa"/>
              <w:right w:w="43" w:type="dxa"/>
            </w:tcMar>
          </w:tcPr>
          <w:p w14:paraId="26AAD2DE" w14:textId="77777777" w:rsidR="00D31EA2" w:rsidRDefault="00D31EA2" w:rsidP="00410442">
            <w:pPr>
              <w:rPr>
                <w:rFonts w:ascii="Arial" w:hAnsi="Arial" w:cs="Arial"/>
                <w:color w:val="000000"/>
                <w:sz w:val="18"/>
                <w:szCs w:val="18"/>
              </w:rPr>
            </w:pPr>
            <w:r>
              <w:rPr>
                <w:rFonts w:ascii="Arial" w:hAnsi="Arial" w:cs="Arial"/>
                <w:color w:val="000000"/>
                <w:sz w:val="18"/>
                <w:szCs w:val="18"/>
              </w:rPr>
              <w:t>1,189,771</w:t>
            </w:r>
          </w:p>
        </w:tc>
        <w:tc>
          <w:tcPr>
            <w:tcW w:w="1156" w:type="dxa"/>
            <w:tcMar>
              <w:top w:w="40" w:type="dxa"/>
              <w:left w:w="80" w:type="dxa"/>
              <w:bottom w:w="60" w:type="dxa"/>
              <w:right w:w="40" w:type="dxa"/>
            </w:tcMar>
          </w:tcPr>
          <w:p w14:paraId="026849FF" w14:textId="77777777" w:rsidR="00D31EA2" w:rsidRDefault="00D31EA2" w:rsidP="00410442">
            <w:pPr>
              <w:rPr>
                <w:rFonts w:ascii="Arial" w:hAnsi="Arial" w:cs="Arial"/>
                <w:color w:val="000000"/>
                <w:sz w:val="18"/>
                <w:szCs w:val="18"/>
              </w:rPr>
            </w:pPr>
            <w:r>
              <w:rPr>
                <w:rFonts w:ascii="Arial" w:hAnsi="Arial" w:cs="Arial"/>
                <w:color w:val="000000"/>
                <w:sz w:val="18"/>
                <w:szCs w:val="18"/>
              </w:rPr>
              <w:t>1,791,497</w:t>
            </w:r>
          </w:p>
        </w:tc>
        <w:tc>
          <w:tcPr>
            <w:tcW w:w="1156" w:type="dxa"/>
            <w:tcMar>
              <w:top w:w="40" w:type="dxa"/>
              <w:left w:w="80" w:type="dxa"/>
              <w:bottom w:w="60" w:type="dxa"/>
              <w:right w:w="40" w:type="dxa"/>
            </w:tcMar>
          </w:tcPr>
          <w:p w14:paraId="75EB69B7" w14:textId="77777777" w:rsidR="00D31EA2" w:rsidRDefault="00D31EA2" w:rsidP="00410442">
            <w:pPr>
              <w:rPr>
                <w:rFonts w:ascii="Arial" w:hAnsi="Arial" w:cs="Arial"/>
                <w:color w:val="000000"/>
                <w:sz w:val="18"/>
                <w:szCs w:val="18"/>
              </w:rPr>
            </w:pPr>
            <w:r>
              <w:rPr>
                <w:rFonts w:ascii="Arial" w:hAnsi="Arial" w:cs="Arial"/>
                <w:color w:val="000000"/>
                <w:sz w:val="18"/>
                <w:szCs w:val="18"/>
              </w:rPr>
              <w:t>1,863,612</w:t>
            </w:r>
          </w:p>
        </w:tc>
        <w:tc>
          <w:tcPr>
            <w:tcW w:w="1156" w:type="dxa"/>
            <w:tcMar>
              <w:top w:w="40" w:type="dxa"/>
              <w:left w:w="80" w:type="dxa"/>
              <w:bottom w:w="60" w:type="dxa"/>
              <w:right w:w="40" w:type="dxa"/>
            </w:tcMar>
          </w:tcPr>
          <w:p w14:paraId="63438685" w14:textId="77777777" w:rsidR="00D31EA2" w:rsidRDefault="00D31EA2" w:rsidP="00410442">
            <w:pPr>
              <w:rPr>
                <w:rFonts w:ascii="Arial" w:hAnsi="Arial" w:cs="Arial"/>
                <w:color w:val="000000"/>
                <w:sz w:val="18"/>
                <w:szCs w:val="18"/>
              </w:rPr>
            </w:pPr>
            <w:r>
              <w:rPr>
                <w:rFonts w:ascii="Arial" w:hAnsi="Arial" w:cs="Arial"/>
                <w:color w:val="000000"/>
                <w:sz w:val="18"/>
                <w:szCs w:val="18"/>
              </w:rPr>
              <w:t>1,952,053</w:t>
            </w:r>
          </w:p>
        </w:tc>
      </w:tr>
      <w:tr w:rsidR="00D31EA2" w14:paraId="35842639" w14:textId="77777777" w:rsidTr="00311585">
        <w:trPr>
          <w:trHeight w:val="240"/>
        </w:trPr>
        <w:tc>
          <w:tcPr>
            <w:tcW w:w="2882" w:type="dxa"/>
            <w:vMerge/>
            <w:tcMar>
              <w:top w:w="40" w:type="dxa"/>
              <w:left w:w="120" w:type="dxa"/>
              <w:bottom w:w="40" w:type="dxa"/>
              <w:right w:w="40" w:type="dxa"/>
            </w:tcMar>
          </w:tcPr>
          <w:p w14:paraId="197AD8BD" w14:textId="77777777" w:rsidR="00D31EA2" w:rsidRPr="00AA148D" w:rsidRDefault="00D31EA2" w:rsidP="00410442">
            <w:pPr>
              <w:rPr>
                <w:rFonts w:ascii="Arial" w:hAnsi="Arial" w:cs="Arial"/>
                <w:sz w:val="18"/>
                <w:szCs w:val="18"/>
              </w:rPr>
            </w:pPr>
          </w:p>
        </w:tc>
        <w:tc>
          <w:tcPr>
            <w:tcW w:w="2642" w:type="dxa"/>
            <w:tcMar>
              <w:top w:w="40" w:type="dxa"/>
              <w:left w:w="80" w:type="dxa"/>
              <w:bottom w:w="40" w:type="dxa"/>
              <w:right w:w="40" w:type="dxa"/>
            </w:tcMar>
          </w:tcPr>
          <w:p w14:paraId="18D98422" w14:textId="77777777" w:rsidR="00D31EA2" w:rsidRDefault="00D31EA2" w:rsidP="00410442">
            <w:pPr>
              <w:rPr>
                <w:rFonts w:ascii="Arial" w:hAnsi="Arial" w:cs="Arial"/>
                <w:color w:val="000000"/>
                <w:sz w:val="18"/>
                <w:szCs w:val="18"/>
              </w:rPr>
            </w:pPr>
            <w:r>
              <w:rPr>
                <w:rFonts w:ascii="Arial" w:hAnsi="Arial" w:cs="Arial"/>
                <w:color w:val="000000"/>
                <w:sz w:val="18"/>
                <w:szCs w:val="18"/>
              </w:rPr>
              <w:t>Aged</w:t>
            </w:r>
          </w:p>
        </w:tc>
        <w:tc>
          <w:tcPr>
            <w:tcW w:w="1155" w:type="dxa"/>
            <w:tcMar>
              <w:top w:w="43" w:type="dxa"/>
              <w:left w:w="86" w:type="dxa"/>
              <w:bottom w:w="58" w:type="dxa"/>
              <w:right w:w="43" w:type="dxa"/>
            </w:tcMar>
          </w:tcPr>
          <w:p w14:paraId="6BAECC0A" w14:textId="77777777" w:rsidR="00D31EA2" w:rsidRDefault="00D31EA2" w:rsidP="00410442">
            <w:pPr>
              <w:rPr>
                <w:rFonts w:ascii="Arial" w:hAnsi="Arial" w:cs="Arial"/>
                <w:color w:val="000000"/>
                <w:sz w:val="18"/>
                <w:szCs w:val="18"/>
              </w:rPr>
            </w:pPr>
            <w:r>
              <w:rPr>
                <w:rFonts w:ascii="Arial" w:hAnsi="Arial" w:cs="Arial"/>
                <w:color w:val="000000"/>
                <w:sz w:val="18"/>
                <w:szCs w:val="18"/>
              </w:rPr>
              <w:t>219,374</w:t>
            </w:r>
          </w:p>
        </w:tc>
        <w:tc>
          <w:tcPr>
            <w:tcW w:w="1156" w:type="dxa"/>
            <w:tcMar>
              <w:top w:w="43" w:type="dxa"/>
              <w:left w:w="86" w:type="dxa"/>
              <w:bottom w:w="58" w:type="dxa"/>
              <w:right w:w="43" w:type="dxa"/>
            </w:tcMar>
          </w:tcPr>
          <w:p w14:paraId="2BD6849C" w14:textId="77777777" w:rsidR="00D31EA2" w:rsidRDefault="00D31EA2" w:rsidP="00410442">
            <w:pPr>
              <w:rPr>
                <w:rFonts w:ascii="Arial" w:hAnsi="Arial" w:cs="Arial"/>
                <w:color w:val="000000"/>
                <w:sz w:val="18"/>
                <w:szCs w:val="18"/>
              </w:rPr>
            </w:pPr>
            <w:r>
              <w:rPr>
                <w:rFonts w:ascii="Arial" w:hAnsi="Arial" w:cs="Arial"/>
                <w:color w:val="000000"/>
                <w:sz w:val="18"/>
                <w:szCs w:val="18"/>
              </w:rPr>
              <w:t>168,748</w:t>
            </w:r>
          </w:p>
        </w:tc>
        <w:tc>
          <w:tcPr>
            <w:tcW w:w="1156" w:type="dxa"/>
            <w:tcMar>
              <w:top w:w="40" w:type="dxa"/>
              <w:left w:w="80" w:type="dxa"/>
              <w:bottom w:w="60" w:type="dxa"/>
              <w:right w:w="40" w:type="dxa"/>
            </w:tcMar>
          </w:tcPr>
          <w:p w14:paraId="5FAA1A94" w14:textId="77777777" w:rsidR="00D31EA2" w:rsidRDefault="00D31EA2" w:rsidP="00410442">
            <w:pPr>
              <w:rPr>
                <w:rFonts w:ascii="Arial" w:hAnsi="Arial" w:cs="Arial"/>
                <w:color w:val="000000"/>
                <w:sz w:val="18"/>
                <w:szCs w:val="18"/>
              </w:rPr>
            </w:pPr>
            <w:r>
              <w:rPr>
                <w:rFonts w:ascii="Arial" w:hAnsi="Arial" w:cs="Arial"/>
                <w:color w:val="000000"/>
                <w:sz w:val="18"/>
                <w:szCs w:val="18"/>
              </w:rPr>
              <w:t>243,552</w:t>
            </w:r>
          </w:p>
        </w:tc>
        <w:tc>
          <w:tcPr>
            <w:tcW w:w="1156" w:type="dxa"/>
            <w:tcMar>
              <w:top w:w="40" w:type="dxa"/>
              <w:left w:w="80" w:type="dxa"/>
              <w:bottom w:w="60" w:type="dxa"/>
              <w:right w:w="40" w:type="dxa"/>
            </w:tcMar>
          </w:tcPr>
          <w:p w14:paraId="1BCA8BAA" w14:textId="77777777" w:rsidR="00D31EA2" w:rsidRDefault="00D31EA2" w:rsidP="00410442">
            <w:pPr>
              <w:rPr>
                <w:rFonts w:ascii="Arial" w:hAnsi="Arial" w:cs="Arial"/>
                <w:color w:val="000000"/>
                <w:sz w:val="18"/>
                <w:szCs w:val="18"/>
              </w:rPr>
            </w:pPr>
            <w:r>
              <w:rPr>
                <w:rFonts w:ascii="Arial" w:hAnsi="Arial" w:cs="Arial"/>
                <w:color w:val="000000"/>
                <w:sz w:val="18"/>
                <w:szCs w:val="18"/>
              </w:rPr>
              <w:t>232,229</w:t>
            </w:r>
          </w:p>
        </w:tc>
        <w:tc>
          <w:tcPr>
            <w:tcW w:w="1156" w:type="dxa"/>
            <w:tcMar>
              <w:top w:w="40" w:type="dxa"/>
              <w:left w:w="80" w:type="dxa"/>
              <w:bottom w:w="60" w:type="dxa"/>
              <w:right w:w="40" w:type="dxa"/>
            </w:tcMar>
          </w:tcPr>
          <w:p w14:paraId="445CC1D0" w14:textId="77777777" w:rsidR="00D31EA2" w:rsidRDefault="00D31EA2" w:rsidP="00410442">
            <w:pPr>
              <w:rPr>
                <w:rFonts w:ascii="Arial" w:hAnsi="Arial" w:cs="Arial"/>
                <w:color w:val="000000"/>
                <w:sz w:val="18"/>
                <w:szCs w:val="18"/>
              </w:rPr>
            </w:pPr>
            <w:r>
              <w:rPr>
                <w:rFonts w:ascii="Arial" w:hAnsi="Arial" w:cs="Arial"/>
                <w:color w:val="000000"/>
                <w:sz w:val="18"/>
                <w:szCs w:val="18"/>
              </w:rPr>
              <w:t>249,954</w:t>
            </w:r>
          </w:p>
        </w:tc>
      </w:tr>
      <w:tr w:rsidR="00D31EA2" w14:paraId="515B2130" w14:textId="77777777" w:rsidTr="00311585">
        <w:trPr>
          <w:trHeight w:val="240"/>
        </w:trPr>
        <w:tc>
          <w:tcPr>
            <w:tcW w:w="2882" w:type="dxa"/>
            <w:vMerge/>
            <w:tcMar>
              <w:top w:w="40" w:type="dxa"/>
              <w:left w:w="120" w:type="dxa"/>
              <w:bottom w:w="40" w:type="dxa"/>
              <w:right w:w="40" w:type="dxa"/>
            </w:tcMar>
          </w:tcPr>
          <w:p w14:paraId="29BB347F" w14:textId="77777777" w:rsidR="00D31EA2" w:rsidRPr="00AA148D" w:rsidRDefault="00D31EA2" w:rsidP="00410442">
            <w:pPr>
              <w:rPr>
                <w:rFonts w:ascii="Arial" w:hAnsi="Arial" w:cs="Arial"/>
                <w:sz w:val="18"/>
                <w:szCs w:val="18"/>
              </w:rPr>
            </w:pPr>
          </w:p>
        </w:tc>
        <w:tc>
          <w:tcPr>
            <w:tcW w:w="2642" w:type="dxa"/>
            <w:tcMar>
              <w:top w:w="40" w:type="dxa"/>
              <w:left w:w="80" w:type="dxa"/>
              <w:bottom w:w="40" w:type="dxa"/>
              <w:right w:w="40" w:type="dxa"/>
            </w:tcMar>
          </w:tcPr>
          <w:p w14:paraId="0DD9B32C" w14:textId="77777777" w:rsidR="00D31EA2" w:rsidRDefault="00D31EA2" w:rsidP="00410442">
            <w:pPr>
              <w:rPr>
                <w:rFonts w:ascii="Arial" w:hAnsi="Arial" w:cs="Arial"/>
                <w:color w:val="000000"/>
                <w:sz w:val="18"/>
                <w:szCs w:val="18"/>
              </w:rPr>
            </w:pPr>
            <w:r>
              <w:rPr>
                <w:rFonts w:ascii="Arial" w:hAnsi="Arial" w:cs="Arial"/>
                <w:color w:val="000000"/>
                <w:sz w:val="18"/>
                <w:szCs w:val="18"/>
              </w:rPr>
              <w:t>CAMHS</w:t>
            </w:r>
          </w:p>
        </w:tc>
        <w:tc>
          <w:tcPr>
            <w:tcW w:w="1155" w:type="dxa"/>
            <w:tcMar>
              <w:top w:w="43" w:type="dxa"/>
              <w:left w:w="86" w:type="dxa"/>
              <w:bottom w:w="58" w:type="dxa"/>
              <w:right w:w="43" w:type="dxa"/>
            </w:tcMar>
          </w:tcPr>
          <w:p w14:paraId="73BB59F3" w14:textId="77777777" w:rsidR="00D31EA2" w:rsidRDefault="00D31EA2" w:rsidP="00410442">
            <w:pPr>
              <w:rPr>
                <w:rFonts w:ascii="Arial" w:hAnsi="Arial" w:cs="Arial"/>
                <w:color w:val="000000"/>
                <w:sz w:val="18"/>
                <w:szCs w:val="18"/>
              </w:rPr>
            </w:pPr>
            <w:r>
              <w:rPr>
                <w:rFonts w:ascii="Arial" w:hAnsi="Arial" w:cs="Arial"/>
                <w:color w:val="000000"/>
                <w:sz w:val="18"/>
                <w:szCs w:val="18"/>
              </w:rPr>
              <w:t>275,042</w:t>
            </w:r>
          </w:p>
        </w:tc>
        <w:tc>
          <w:tcPr>
            <w:tcW w:w="1156" w:type="dxa"/>
            <w:tcMar>
              <w:top w:w="43" w:type="dxa"/>
              <w:left w:w="86" w:type="dxa"/>
              <w:bottom w:w="58" w:type="dxa"/>
              <w:right w:w="43" w:type="dxa"/>
            </w:tcMar>
          </w:tcPr>
          <w:p w14:paraId="7576BD9B" w14:textId="77777777" w:rsidR="00D31EA2" w:rsidRDefault="00D31EA2" w:rsidP="00410442">
            <w:pPr>
              <w:rPr>
                <w:rFonts w:ascii="Arial" w:hAnsi="Arial" w:cs="Arial"/>
                <w:color w:val="000000"/>
                <w:sz w:val="18"/>
                <w:szCs w:val="18"/>
              </w:rPr>
            </w:pPr>
            <w:r>
              <w:rPr>
                <w:rFonts w:ascii="Arial" w:hAnsi="Arial" w:cs="Arial"/>
                <w:color w:val="000000"/>
                <w:sz w:val="18"/>
                <w:szCs w:val="18"/>
              </w:rPr>
              <w:t>278,792</w:t>
            </w:r>
          </w:p>
        </w:tc>
        <w:tc>
          <w:tcPr>
            <w:tcW w:w="1156" w:type="dxa"/>
            <w:tcMar>
              <w:top w:w="40" w:type="dxa"/>
              <w:left w:w="80" w:type="dxa"/>
              <w:bottom w:w="60" w:type="dxa"/>
              <w:right w:w="40" w:type="dxa"/>
            </w:tcMar>
          </w:tcPr>
          <w:p w14:paraId="6754C6BD" w14:textId="77777777" w:rsidR="00D31EA2" w:rsidRDefault="00D31EA2" w:rsidP="00410442">
            <w:pPr>
              <w:rPr>
                <w:rFonts w:ascii="Arial" w:hAnsi="Arial" w:cs="Arial"/>
                <w:color w:val="000000"/>
                <w:sz w:val="18"/>
                <w:szCs w:val="18"/>
              </w:rPr>
            </w:pPr>
            <w:r>
              <w:rPr>
                <w:rFonts w:ascii="Arial" w:hAnsi="Arial" w:cs="Arial"/>
                <w:color w:val="000000"/>
                <w:sz w:val="18"/>
                <w:szCs w:val="18"/>
              </w:rPr>
              <w:t>329,318</w:t>
            </w:r>
          </w:p>
        </w:tc>
        <w:tc>
          <w:tcPr>
            <w:tcW w:w="1156" w:type="dxa"/>
            <w:tcMar>
              <w:top w:w="40" w:type="dxa"/>
              <w:left w:w="80" w:type="dxa"/>
              <w:bottom w:w="60" w:type="dxa"/>
              <w:right w:w="40" w:type="dxa"/>
            </w:tcMar>
          </w:tcPr>
          <w:p w14:paraId="3A591C00" w14:textId="77777777" w:rsidR="00D31EA2" w:rsidRDefault="00D31EA2" w:rsidP="00410442">
            <w:pPr>
              <w:rPr>
                <w:rFonts w:ascii="Arial" w:hAnsi="Arial" w:cs="Arial"/>
                <w:color w:val="000000"/>
                <w:sz w:val="18"/>
                <w:szCs w:val="18"/>
              </w:rPr>
            </w:pPr>
            <w:r>
              <w:rPr>
                <w:rFonts w:ascii="Arial" w:hAnsi="Arial" w:cs="Arial"/>
                <w:color w:val="000000"/>
                <w:sz w:val="18"/>
                <w:szCs w:val="18"/>
              </w:rPr>
              <w:t>335,907</w:t>
            </w:r>
          </w:p>
        </w:tc>
        <w:tc>
          <w:tcPr>
            <w:tcW w:w="1156" w:type="dxa"/>
            <w:tcMar>
              <w:top w:w="40" w:type="dxa"/>
              <w:left w:w="80" w:type="dxa"/>
              <w:bottom w:w="60" w:type="dxa"/>
              <w:right w:w="40" w:type="dxa"/>
            </w:tcMar>
          </w:tcPr>
          <w:p w14:paraId="0793EF97" w14:textId="77777777" w:rsidR="00D31EA2" w:rsidRDefault="00D31EA2" w:rsidP="00410442">
            <w:pPr>
              <w:rPr>
                <w:rFonts w:ascii="Arial" w:hAnsi="Arial" w:cs="Arial"/>
                <w:color w:val="000000"/>
                <w:sz w:val="18"/>
                <w:szCs w:val="18"/>
              </w:rPr>
            </w:pPr>
            <w:r>
              <w:rPr>
                <w:rFonts w:ascii="Arial" w:hAnsi="Arial" w:cs="Arial"/>
                <w:color w:val="000000"/>
                <w:sz w:val="18"/>
                <w:szCs w:val="18"/>
              </w:rPr>
              <w:t>352,576</w:t>
            </w:r>
          </w:p>
        </w:tc>
      </w:tr>
      <w:tr w:rsidR="00D31EA2" w14:paraId="2EA5EDBD" w14:textId="77777777" w:rsidTr="00311585">
        <w:trPr>
          <w:trHeight w:val="240"/>
        </w:trPr>
        <w:tc>
          <w:tcPr>
            <w:tcW w:w="2882" w:type="dxa"/>
            <w:vMerge/>
            <w:tcMar>
              <w:top w:w="40" w:type="dxa"/>
              <w:left w:w="120" w:type="dxa"/>
              <w:bottom w:w="40" w:type="dxa"/>
              <w:right w:w="40" w:type="dxa"/>
            </w:tcMar>
          </w:tcPr>
          <w:p w14:paraId="30150428" w14:textId="77777777" w:rsidR="00D31EA2" w:rsidRPr="00AA148D" w:rsidRDefault="00D31EA2" w:rsidP="00410442">
            <w:pPr>
              <w:rPr>
                <w:rFonts w:ascii="Arial" w:hAnsi="Arial" w:cs="Arial"/>
                <w:sz w:val="18"/>
                <w:szCs w:val="18"/>
              </w:rPr>
            </w:pPr>
          </w:p>
        </w:tc>
        <w:tc>
          <w:tcPr>
            <w:tcW w:w="2642" w:type="dxa"/>
            <w:tcMar>
              <w:top w:w="40" w:type="dxa"/>
              <w:left w:w="80" w:type="dxa"/>
              <w:bottom w:w="40" w:type="dxa"/>
              <w:right w:w="40" w:type="dxa"/>
            </w:tcMar>
          </w:tcPr>
          <w:p w14:paraId="314D4494" w14:textId="77777777" w:rsidR="00D31EA2" w:rsidRDefault="00D31EA2" w:rsidP="00410442">
            <w:pPr>
              <w:rPr>
                <w:rFonts w:ascii="Arial" w:hAnsi="Arial" w:cs="Arial"/>
                <w:color w:val="000000"/>
                <w:sz w:val="18"/>
                <w:szCs w:val="18"/>
              </w:rPr>
            </w:pPr>
            <w:r>
              <w:rPr>
                <w:rFonts w:ascii="Arial" w:hAnsi="Arial" w:cs="Arial"/>
                <w:color w:val="000000"/>
                <w:sz w:val="18"/>
                <w:szCs w:val="18"/>
              </w:rPr>
              <w:t>Forensic</w:t>
            </w:r>
          </w:p>
        </w:tc>
        <w:tc>
          <w:tcPr>
            <w:tcW w:w="1155" w:type="dxa"/>
            <w:tcMar>
              <w:top w:w="43" w:type="dxa"/>
              <w:left w:w="86" w:type="dxa"/>
              <w:bottom w:w="58" w:type="dxa"/>
              <w:right w:w="43" w:type="dxa"/>
            </w:tcMar>
          </w:tcPr>
          <w:p w14:paraId="7C4CB7A1" w14:textId="77777777" w:rsidR="00D31EA2" w:rsidRDefault="00D31EA2" w:rsidP="00410442">
            <w:pPr>
              <w:rPr>
                <w:rFonts w:ascii="Arial" w:hAnsi="Arial" w:cs="Arial"/>
                <w:color w:val="000000"/>
                <w:sz w:val="18"/>
                <w:szCs w:val="18"/>
              </w:rPr>
            </w:pPr>
            <w:r>
              <w:rPr>
                <w:rFonts w:ascii="Arial" w:hAnsi="Arial" w:cs="Arial"/>
                <w:color w:val="000000"/>
                <w:sz w:val="18"/>
                <w:szCs w:val="18"/>
              </w:rPr>
              <w:t>17,998</w:t>
            </w:r>
          </w:p>
        </w:tc>
        <w:tc>
          <w:tcPr>
            <w:tcW w:w="1156" w:type="dxa"/>
            <w:tcMar>
              <w:top w:w="43" w:type="dxa"/>
              <w:left w:w="86" w:type="dxa"/>
              <w:bottom w:w="58" w:type="dxa"/>
              <w:right w:w="43" w:type="dxa"/>
            </w:tcMar>
          </w:tcPr>
          <w:p w14:paraId="262DA1D6" w14:textId="77777777" w:rsidR="00D31EA2" w:rsidRDefault="00D31EA2" w:rsidP="00410442">
            <w:pPr>
              <w:rPr>
                <w:rFonts w:ascii="Arial" w:hAnsi="Arial" w:cs="Arial"/>
                <w:color w:val="000000"/>
                <w:sz w:val="18"/>
                <w:szCs w:val="18"/>
              </w:rPr>
            </w:pPr>
            <w:r>
              <w:rPr>
                <w:rFonts w:ascii="Arial" w:hAnsi="Arial" w:cs="Arial"/>
                <w:color w:val="000000"/>
                <w:sz w:val="18"/>
                <w:szCs w:val="18"/>
              </w:rPr>
              <w:t>17,265</w:t>
            </w:r>
          </w:p>
        </w:tc>
        <w:tc>
          <w:tcPr>
            <w:tcW w:w="1156" w:type="dxa"/>
            <w:tcMar>
              <w:top w:w="40" w:type="dxa"/>
              <w:left w:w="80" w:type="dxa"/>
              <w:bottom w:w="60" w:type="dxa"/>
              <w:right w:w="40" w:type="dxa"/>
            </w:tcMar>
          </w:tcPr>
          <w:p w14:paraId="3FA65C71" w14:textId="77777777" w:rsidR="00D31EA2" w:rsidRDefault="00D31EA2" w:rsidP="00410442">
            <w:pPr>
              <w:rPr>
                <w:rFonts w:ascii="Arial" w:hAnsi="Arial" w:cs="Arial"/>
                <w:color w:val="000000"/>
                <w:sz w:val="18"/>
                <w:szCs w:val="18"/>
              </w:rPr>
            </w:pPr>
            <w:r>
              <w:rPr>
                <w:rFonts w:ascii="Arial" w:hAnsi="Arial" w:cs="Arial"/>
                <w:color w:val="000000"/>
                <w:sz w:val="18"/>
                <w:szCs w:val="18"/>
              </w:rPr>
              <w:t>19,648</w:t>
            </w:r>
          </w:p>
        </w:tc>
        <w:tc>
          <w:tcPr>
            <w:tcW w:w="1156" w:type="dxa"/>
            <w:tcMar>
              <w:top w:w="40" w:type="dxa"/>
              <w:left w:w="80" w:type="dxa"/>
              <w:bottom w:w="60" w:type="dxa"/>
              <w:right w:w="40" w:type="dxa"/>
            </w:tcMar>
          </w:tcPr>
          <w:p w14:paraId="6C3542C0" w14:textId="77777777" w:rsidR="00D31EA2" w:rsidRDefault="00D31EA2" w:rsidP="00410442">
            <w:pPr>
              <w:rPr>
                <w:rFonts w:ascii="Arial" w:hAnsi="Arial" w:cs="Arial"/>
                <w:color w:val="000000"/>
                <w:sz w:val="18"/>
                <w:szCs w:val="18"/>
              </w:rPr>
            </w:pPr>
            <w:r>
              <w:rPr>
                <w:rFonts w:ascii="Arial" w:hAnsi="Arial" w:cs="Arial"/>
                <w:color w:val="000000"/>
                <w:sz w:val="18"/>
                <w:szCs w:val="18"/>
              </w:rPr>
              <w:t>23,797</w:t>
            </w:r>
          </w:p>
        </w:tc>
        <w:tc>
          <w:tcPr>
            <w:tcW w:w="1156" w:type="dxa"/>
            <w:tcMar>
              <w:top w:w="40" w:type="dxa"/>
              <w:left w:w="80" w:type="dxa"/>
              <w:bottom w:w="60" w:type="dxa"/>
              <w:right w:w="40" w:type="dxa"/>
            </w:tcMar>
          </w:tcPr>
          <w:p w14:paraId="524EA893" w14:textId="77777777" w:rsidR="00D31EA2" w:rsidRDefault="00D31EA2" w:rsidP="00410442">
            <w:pPr>
              <w:rPr>
                <w:rFonts w:ascii="Arial" w:hAnsi="Arial" w:cs="Arial"/>
                <w:color w:val="000000"/>
                <w:sz w:val="18"/>
                <w:szCs w:val="18"/>
              </w:rPr>
            </w:pPr>
            <w:r>
              <w:rPr>
                <w:rFonts w:ascii="Arial" w:hAnsi="Arial" w:cs="Arial"/>
                <w:color w:val="000000"/>
                <w:sz w:val="18"/>
                <w:szCs w:val="18"/>
              </w:rPr>
              <w:t>23,709</w:t>
            </w:r>
          </w:p>
        </w:tc>
      </w:tr>
      <w:tr w:rsidR="00D31EA2" w14:paraId="0F82A04A" w14:textId="77777777" w:rsidTr="00311585">
        <w:trPr>
          <w:trHeight w:val="240"/>
        </w:trPr>
        <w:tc>
          <w:tcPr>
            <w:tcW w:w="2882" w:type="dxa"/>
            <w:vMerge/>
            <w:tcMar>
              <w:top w:w="40" w:type="dxa"/>
              <w:left w:w="120" w:type="dxa"/>
              <w:bottom w:w="40" w:type="dxa"/>
              <w:right w:w="40" w:type="dxa"/>
            </w:tcMar>
          </w:tcPr>
          <w:p w14:paraId="2E9E3970" w14:textId="77777777" w:rsidR="00D31EA2" w:rsidRPr="00AA148D" w:rsidRDefault="00D31EA2" w:rsidP="00410442">
            <w:pPr>
              <w:rPr>
                <w:rFonts w:ascii="Arial" w:hAnsi="Arial" w:cs="Arial"/>
                <w:sz w:val="18"/>
                <w:szCs w:val="18"/>
              </w:rPr>
            </w:pPr>
          </w:p>
        </w:tc>
        <w:tc>
          <w:tcPr>
            <w:tcW w:w="2642" w:type="dxa"/>
            <w:tcMar>
              <w:top w:w="40" w:type="dxa"/>
              <w:left w:w="80" w:type="dxa"/>
              <w:bottom w:w="40" w:type="dxa"/>
              <w:right w:w="40" w:type="dxa"/>
            </w:tcMar>
          </w:tcPr>
          <w:p w14:paraId="070E45FF" w14:textId="77777777" w:rsidR="00D31EA2" w:rsidRDefault="00D31EA2" w:rsidP="00410442">
            <w:pPr>
              <w:rPr>
                <w:rFonts w:ascii="Arial" w:hAnsi="Arial" w:cs="Arial"/>
                <w:color w:val="000000"/>
                <w:sz w:val="18"/>
                <w:szCs w:val="18"/>
              </w:rPr>
            </w:pPr>
            <w:r>
              <w:rPr>
                <w:rFonts w:ascii="Arial" w:hAnsi="Arial" w:cs="Arial"/>
                <w:color w:val="000000"/>
                <w:sz w:val="18"/>
                <w:szCs w:val="18"/>
              </w:rPr>
              <w:t>Specialist</w:t>
            </w:r>
          </w:p>
        </w:tc>
        <w:tc>
          <w:tcPr>
            <w:tcW w:w="1155" w:type="dxa"/>
            <w:tcMar>
              <w:top w:w="43" w:type="dxa"/>
              <w:left w:w="86" w:type="dxa"/>
              <w:bottom w:w="58" w:type="dxa"/>
              <w:right w:w="43" w:type="dxa"/>
            </w:tcMar>
          </w:tcPr>
          <w:p w14:paraId="49A005FA" w14:textId="77777777" w:rsidR="00D31EA2" w:rsidRDefault="00D31EA2" w:rsidP="00410442">
            <w:pPr>
              <w:rPr>
                <w:rFonts w:ascii="Arial" w:hAnsi="Arial" w:cs="Arial"/>
                <w:color w:val="000000"/>
                <w:sz w:val="18"/>
                <w:szCs w:val="18"/>
              </w:rPr>
            </w:pPr>
            <w:r>
              <w:rPr>
                <w:rFonts w:ascii="Arial" w:hAnsi="Arial" w:cs="Arial"/>
                <w:color w:val="000000"/>
                <w:sz w:val="18"/>
                <w:szCs w:val="18"/>
              </w:rPr>
              <w:t>22,369</w:t>
            </w:r>
          </w:p>
        </w:tc>
        <w:tc>
          <w:tcPr>
            <w:tcW w:w="1156" w:type="dxa"/>
            <w:tcMar>
              <w:top w:w="43" w:type="dxa"/>
              <w:left w:w="86" w:type="dxa"/>
              <w:bottom w:w="58" w:type="dxa"/>
              <w:right w:w="43" w:type="dxa"/>
            </w:tcMar>
          </w:tcPr>
          <w:p w14:paraId="1B122675" w14:textId="77777777" w:rsidR="00D31EA2" w:rsidRDefault="00D31EA2" w:rsidP="00410442">
            <w:pPr>
              <w:rPr>
                <w:rFonts w:ascii="Arial" w:hAnsi="Arial" w:cs="Arial"/>
                <w:color w:val="000000"/>
                <w:sz w:val="18"/>
                <w:szCs w:val="18"/>
              </w:rPr>
            </w:pPr>
            <w:r>
              <w:rPr>
                <w:rFonts w:ascii="Arial" w:hAnsi="Arial" w:cs="Arial"/>
                <w:color w:val="000000"/>
                <w:sz w:val="18"/>
                <w:szCs w:val="18"/>
              </w:rPr>
              <w:t>21,189</w:t>
            </w:r>
          </w:p>
        </w:tc>
        <w:tc>
          <w:tcPr>
            <w:tcW w:w="1156" w:type="dxa"/>
            <w:tcMar>
              <w:top w:w="40" w:type="dxa"/>
              <w:left w:w="80" w:type="dxa"/>
              <w:bottom w:w="60" w:type="dxa"/>
              <w:right w:w="40" w:type="dxa"/>
            </w:tcMar>
          </w:tcPr>
          <w:p w14:paraId="225A19CB" w14:textId="77777777" w:rsidR="00D31EA2" w:rsidRDefault="00D31EA2" w:rsidP="00410442">
            <w:pPr>
              <w:rPr>
                <w:rFonts w:ascii="Arial" w:hAnsi="Arial" w:cs="Arial"/>
                <w:color w:val="000000"/>
                <w:sz w:val="18"/>
                <w:szCs w:val="18"/>
              </w:rPr>
            </w:pPr>
            <w:r>
              <w:rPr>
                <w:rFonts w:ascii="Arial" w:hAnsi="Arial" w:cs="Arial"/>
                <w:color w:val="000000"/>
                <w:sz w:val="18"/>
                <w:szCs w:val="18"/>
              </w:rPr>
              <w:t>22,863</w:t>
            </w:r>
          </w:p>
        </w:tc>
        <w:tc>
          <w:tcPr>
            <w:tcW w:w="1156" w:type="dxa"/>
            <w:tcMar>
              <w:top w:w="40" w:type="dxa"/>
              <w:left w:w="80" w:type="dxa"/>
              <w:bottom w:w="60" w:type="dxa"/>
              <w:right w:w="40" w:type="dxa"/>
            </w:tcMar>
          </w:tcPr>
          <w:p w14:paraId="759C3891" w14:textId="77777777" w:rsidR="00D31EA2" w:rsidRDefault="00D31EA2" w:rsidP="00410442">
            <w:pPr>
              <w:rPr>
                <w:rFonts w:ascii="Arial" w:hAnsi="Arial" w:cs="Arial"/>
                <w:color w:val="000000"/>
                <w:sz w:val="18"/>
                <w:szCs w:val="18"/>
              </w:rPr>
            </w:pPr>
            <w:r>
              <w:rPr>
                <w:rFonts w:ascii="Arial" w:hAnsi="Arial" w:cs="Arial"/>
                <w:color w:val="000000"/>
                <w:sz w:val="18"/>
                <w:szCs w:val="18"/>
              </w:rPr>
              <w:t>25,629</w:t>
            </w:r>
          </w:p>
        </w:tc>
        <w:tc>
          <w:tcPr>
            <w:tcW w:w="1156" w:type="dxa"/>
            <w:tcMar>
              <w:top w:w="40" w:type="dxa"/>
              <w:left w:w="80" w:type="dxa"/>
              <w:bottom w:w="60" w:type="dxa"/>
              <w:right w:w="40" w:type="dxa"/>
            </w:tcMar>
          </w:tcPr>
          <w:p w14:paraId="0532F8E2" w14:textId="77777777" w:rsidR="00D31EA2" w:rsidRDefault="00D31EA2" w:rsidP="00410442">
            <w:pPr>
              <w:rPr>
                <w:rFonts w:ascii="Arial" w:hAnsi="Arial" w:cs="Arial"/>
                <w:color w:val="000000"/>
                <w:sz w:val="18"/>
                <w:szCs w:val="18"/>
              </w:rPr>
            </w:pPr>
            <w:r>
              <w:rPr>
                <w:rFonts w:ascii="Arial" w:hAnsi="Arial" w:cs="Arial"/>
                <w:color w:val="000000"/>
                <w:sz w:val="18"/>
                <w:szCs w:val="18"/>
              </w:rPr>
              <w:t>28,702</w:t>
            </w:r>
          </w:p>
        </w:tc>
      </w:tr>
      <w:tr w:rsidR="00D31EA2" w14:paraId="053373DF" w14:textId="77777777" w:rsidTr="00311585">
        <w:trPr>
          <w:trHeight w:val="240"/>
        </w:trPr>
        <w:tc>
          <w:tcPr>
            <w:tcW w:w="2882" w:type="dxa"/>
            <w:vMerge/>
            <w:tcMar>
              <w:top w:w="40" w:type="dxa"/>
              <w:left w:w="120" w:type="dxa"/>
              <w:bottom w:w="40" w:type="dxa"/>
              <w:right w:w="40" w:type="dxa"/>
            </w:tcMar>
          </w:tcPr>
          <w:p w14:paraId="214BF47A" w14:textId="77777777" w:rsidR="00D31EA2" w:rsidRPr="00AA148D" w:rsidRDefault="00D31EA2" w:rsidP="00410442">
            <w:pPr>
              <w:rPr>
                <w:rFonts w:ascii="Arial" w:hAnsi="Arial" w:cs="Arial"/>
                <w:sz w:val="18"/>
                <w:szCs w:val="18"/>
              </w:rPr>
            </w:pPr>
          </w:p>
        </w:tc>
        <w:tc>
          <w:tcPr>
            <w:tcW w:w="2642" w:type="dxa"/>
            <w:shd w:val="clear" w:color="auto" w:fill="E0EAF5"/>
            <w:tcMar>
              <w:top w:w="40" w:type="dxa"/>
              <w:left w:w="80" w:type="dxa"/>
              <w:bottom w:w="40" w:type="dxa"/>
              <w:right w:w="40" w:type="dxa"/>
            </w:tcMar>
          </w:tcPr>
          <w:p w14:paraId="79EEABA2"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Total</w:t>
            </w:r>
          </w:p>
        </w:tc>
        <w:tc>
          <w:tcPr>
            <w:tcW w:w="1155" w:type="dxa"/>
            <w:shd w:val="clear" w:color="auto" w:fill="E0EAF5"/>
            <w:tcMar>
              <w:top w:w="43" w:type="dxa"/>
              <w:left w:w="86" w:type="dxa"/>
              <w:bottom w:w="58" w:type="dxa"/>
              <w:right w:w="43" w:type="dxa"/>
            </w:tcMar>
          </w:tcPr>
          <w:p w14:paraId="543B5259"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1,935,290</w:t>
            </w:r>
          </w:p>
        </w:tc>
        <w:tc>
          <w:tcPr>
            <w:tcW w:w="1156" w:type="dxa"/>
            <w:shd w:val="clear" w:color="auto" w:fill="E0EAF5"/>
            <w:tcMar>
              <w:top w:w="43" w:type="dxa"/>
              <w:left w:w="86" w:type="dxa"/>
              <w:bottom w:w="58" w:type="dxa"/>
              <w:right w:w="43" w:type="dxa"/>
            </w:tcMar>
          </w:tcPr>
          <w:p w14:paraId="02D2FAC6"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1,675,767</w:t>
            </w:r>
          </w:p>
        </w:tc>
        <w:tc>
          <w:tcPr>
            <w:tcW w:w="1156" w:type="dxa"/>
            <w:shd w:val="clear" w:color="auto" w:fill="E0EAF5"/>
            <w:tcMar>
              <w:top w:w="40" w:type="dxa"/>
              <w:left w:w="80" w:type="dxa"/>
              <w:bottom w:w="60" w:type="dxa"/>
              <w:right w:w="40" w:type="dxa"/>
            </w:tcMar>
          </w:tcPr>
          <w:p w14:paraId="72EB3A9E"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2,406,880</w:t>
            </w:r>
          </w:p>
        </w:tc>
        <w:tc>
          <w:tcPr>
            <w:tcW w:w="1156" w:type="dxa"/>
            <w:shd w:val="clear" w:color="auto" w:fill="E0EAF5"/>
            <w:tcMar>
              <w:top w:w="40" w:type="dxa"/>
              <w:left w:w="80" w:type="dxa"/>
              <w:bottom w:w="60" w:type="dxa"/>
              <w:right w:w="40" w:type="dxa"/>
            </w:tcMar>
          </w:tcPr>
          <w:p w14:paraId="4534C48C"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2,481,176</w:t>
            </w:r>
          </w:p>
        </w:tc>
        <w:tc>
          <w:tcPr>
            <w:tcW w:w="1156" w:type="dxa"/>
            <w:shd w:val="clear" w:color="auto" w:fill="E0EAF5"/>
            <w:tcMar>
              <w:top w:w="40" w:type="dxa"/>
              <w:left w:w="80" w:type="dxa"/>
              <w:bottom w:w="60" w:type="dxa"/>
              <w:right w:w="40" w:type="dxa"/>
            </w:tcMar>
          </w:tcPr>
          <w:p w14:paraId="14651716"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2,606,995</w:t>
            </w:r>
          </w:p>
        </w:tc>
      </w:tr>
      <w:tr w:rsidR="00D31EA2" w14:paraId="4668375B" w14:textId="77777777" w:rsidTr="00311585">
        <w:trPr>
          <w:trHeight w:val="240"/>
        </w:trPr>
        <w:tc>
          <w:tcPr>
            <w:tcW w:w="2882" w:type="dxa"/>
            <w:vMerge w:val="restart"/>
            <w:tcMar>
              <w:top w:w="40" w:type="dxa"/>
              <w:left w:w="120" w:type="dxa"/>
              <w:bottom w:w="40" w:type="dxa"/>
              <w:right w:w="40" w:type="dxa"/>
            </w:tcMar>
          </w:tcPr>
          <w:p w14:paraId="21F0F36D"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Total service hours, by sector</w:t>
            </w:r>
            <w:r w:rsidRPr="00AA148D">
              <w:rPr>
                <w:rFonts w:ascii="Arial" w:eastAsia="Verdana" w:hAnsi="Arial" w:cs="Arial"/>
                <w:color w:val="000000"/>
                <w:sz w:val="18"/>
                <w:szCs w:val="18"/>
                <w:vertAlign w:val="superscript"/>
              </w:rPr>
              <w:t>‡</w:t>
            </w:r>
          </w:p>
        </w:tc>
        <w:tc>
          <w:tcPr>
            <w:tcW w:w="2642" w:type="dxa"/>
            <w:tcMar>
              <w:top w:w="40" w:type="dxa"/>
              <w:left w:w="80" w:type="dxa"/>
              <w:bottom w:w="40" w:type="dxa"/>
              <w:right w:w="40" w:type="dxa"/>
            </w:tcMar>
          </w:tcPr>
          <w:p w14:paraId="33B76607" w14:textId="77777777" w:rsidR="00D31EA2" w:rsidRDefault="00D31EA2" w:rsidP="00410442">
            <w:pPr>
              <w:rPr>
                <w:rFonts w:ascii="Arial" w:hAnsi="Arial" w:cs="Arial"/>
                <w:color w:val="000000"/>
                <w:sz w:val="18"/>
                <w:szCs w:val="18"/>
              </w:rPr>
            </w:pPr>
            <w:r>
              <w:rPr>
                <w:rFonts w:ascii="Arial" w:hAnsi="Arial" w:cs="Arial"/>
                <w:color w:val="000000"/>
                <w:sz w:val="18"/>
                <w:szCs w:val="18"/>
              </w:rPr>
              <w:t>Adult</w:t>
            </w:r>
          </w:p>
        </w:tc>
        <w:tc>
          <w:tcPr>
            <w:tcW w:w="1155" w:type="dxa"/>
            <w:tcMar>
              <w:top w:w="43" w:type="dxa"/>
              <w:left w:w="86" w:type="dxa"/>
              <w:bottom w:w="58" w:type="dxa"/>
              <w:right w:w="43" w:type="dxa"/>
            </w:tcMar>
          </w:tcPr>
          <w:p w14:paraId="1DD1F4AF" w14:textId="77777777" w:rsidR="00D31EA2" w:rsidRDefault="00D31EA2" w:rsidP="00410442">
            <w:pPr>
              <w:rPr>
                <w:rFonts w:ascii="Arial" w:hAnsi="Arial" w:cs="Arial"/>
                <w:color w:val="000000"/>
                <w:sz w:val="18"/>
                <w:szCs w:val="18"/>
              </w:rPr>
            </w:pPr>
            <w:r>
              <w:rPr>
                <w:rFonts w:ascii="Arial" w:hAnsi="Arial" w:cs="Arial"/>
                <w:color w:val="000000"/>
                <w:sz w:val="18"/>
                <w:szCs w:val="18"/>
              </w:rPr>
              <w:t>665,771</w:t>
            </w:r>
          </w:p>
        </w:tc>
        <w:tc>
          <w:tcPr>
            <w:tcW w:w="1156" w:type="dxa"/>
            <w:tcMar>
              <w:top w:w="43" w:type="dxa"/>
              <w:left w:w="86" w:type="dxa"/>
              <w:bottom w:w="58" w:type="dxa"/>
              <w:right w:w="43" w:type="dxa"/>
            </w:tcMar>
          </w:tcPr>
          <w:p w14:paraId="1AA4A4C2" w14:textId="77777777" w:rsidR="00D31EA2" w:rsidRDefault="00D31EA2" w:rsidP="00410442">
            <w:pPr>
              <w:rPr>
                <w:rFonts w:ascii="Arial" w:hAnsi="Arial" w:cs="Arial"/>
                <w:color w:val="000000"/>
                <w:sz w:val="18"/>
                <w:szCs w:val="18"/>
              </w:rPr>
            </w:pPr>
            <w:r>
              <w:rPr>
                <w:rFonts w:ascii="Arial" w:hAnsi="Arial" w:cs="Arial"/>
                <w:color w:val="000000"/>
                <w:sz w:val="18"/>
                <w:szCs w:val="18"/>
              </w:rPr>
              <w:t>585,321</w:t>
            </w:r>
          </w:p>
        </w:tc>
        <w:tc>
          <w:tcPr>
            <w:tcW w:w="1156" w:type="dxa"/>
            <w:tcMar>
              <w:top w:w="40" w:type="dxa"/>
              <w:left w:w="80" w:type="dxa"/>
              <w:bottom w:w="60" w:type="dxa"/>
              <w:right w:w="40" w:type="dxa"/>
            </w:tcMar>
          </w:tcPr>
          <w:p w14:paraId="39516F62" w14:textId="77777777" w:rsidR="00D31EA2" w:rsidRDefault="00D31EA2" w:rsidP="00410442">
            <w:pPr>
              <w:rPr>
                <w:rFonts w:ascii="Arial" w:hAnsi="Arial" w:cs="Arial"/>
                <w:color w:val="000000"/>
                <w:sz w:val="18"/>
                <w:szCs w:val="18"/>
              </w:rPr>
            </w:pPr>
            <w:r>
              <w:rPr>
                <w:rFonts w:ascii="Arial" w:hAnsi="Arial" w:cs="Arial"/>
                <w:color w:val="000000"/>
                <w:sz w:val="18"/>
                <w:szCs w:val="18"/>
              </w:rPr>
              <w:t>909,940</w:t>
            </w:r>
          </w:p>
        </w:tc>
        <w:tc>
          <w:tcPr>
            <w:tcW w:w="1156" w:type="dxa"/>
            <w:tcMar>
              <w:top w:w="40" w:type="dxa"/>
              <w:left w:w="80" w:type="dxa"/>
              <w:bottom w:w="60" w:type="dxa"/>
              <w:right w:w="40" w:type="dxa"/>
            </w:tcMar>
          </w:tcPr>
          <w:p w14:paraId="042AD254" w14:textId="77777777" w:rsidR="00D31EA2" w:rsidRDefault="00D31EA2" w:rsidP="00410442">
            <w:pPr>
              <w:rPr>
                <w:rFonts w:ascii="Arial" w:hAnsi="Arial" w:cs="Arial"/>
                <w:color w:val="000000"/>
                <w:sz w:val="18"/>
                <w:szCs w:val="18"/>
              </w:rPr>
            </w:pPr>
            <w:r>
              <w:rPr>
                <w:rFonts w:ascii="Arial" w:hAnsi="Arial" w:cs="Arial"/>
                <w:color w:val="000000"/>
                <w:sz w:val="18"/>
                <w:szCs w:val="18"/>
              </w:rPr>
              <w:t>980,488</w:t>
            </w:r>
          </w:p>
        </w:tc>
        <w:tc>
          <w:tcPr>
            <w:tcW w:w="1156" w:type="dxa"/>
            <w:tcMar>
              <w:top w:w="40" w:type="dxa"/>
              <w:left w:w="80" w:type="dxa"/>
              <w:bottom w:w="60" w:type="dxa"/>
              <w:right w:w="40" w:type="dxa"/>
            </w:tcMar>
          </w:tcPr>
          <w:p w14:paraId="79D39E2E" w14:textId="77777777" w:rsidR="00D31EA2" w:rsidRDefault="00D31EA2" w:rsidP="00410442">
            <w:pPr>
              <w:rPr>
                <w:rFonts w:ascii="Arial" w:hAnsi="Arial" w:cs="Arial"/>
                <w:color w:val="000000"/>
                <w:sz w:val="18"/>
                <w:szCs w:val="18"/>
              </w:rPr>
            </w:pPr>
            <w:r>
              <w:rPr>
                <w:rFonts w:ascii="Arial" w:hAnsi="Arial" w:cs="Arial"/>
                <w:color w:val="000000"/>
                <w:sz w:val="18"/>
                <w:szCs w:val="18"/>
              </w:rPr>
              <w:t>1,039,862</w:t>
            </w:r>
          </w:p>
        </w:tc>
      </w:tr>
      <w:tr w:rsidR="00D31EA2" w14:paraId="559A6233" w14:textId="77777777" w:rsidTr="00311585">
        <w:trPr>
          <w:trHeight w:val="240"/>
        </w:trPr>
        <w:tc>
          <w:tcPr>
            <w:tcW w:w="2882" w:type="dxa"/>
            <w:vMerge/>
            <w:tcMar>
              <w:top w:w="40" w:type="dxa"/>
              <w:left w:w="120" w:type="dxa"/>
              <w:bottom w:w="40" w:type="dxa"/>
              <w:right w:w="40" w:type="dxa"/>
            </w:tcMar>
          </w:tcPr>
          <w:p w14:paraId="27208696" w14:textId="77777777" w:rsidR="00D31EA2" w:rsidRPr="00AA148D" w:rsidRDefault="00D31EA2" w:rsidP="00410442">
            <w:pPr>
              <w:rPr>
                <w:rFonts w:ascii="Arial" w:hAnsi="Arial" w:cs="Arial"/>
                <w:sz w:val="18"/>
                <w:szCs w:val="18"/>
              </w:rPr>
            </w:pPr>
          </w:p>
        </w:tc>
        <w:tc>
          <w:tcPr>
            <w:tcW w:w="2642" w:type="dxa"/>
            <w:tcMar>
              <w:top w:w="40" w:type="dxa"/>
              <w:left w:w="80" w:type="dxa"/>
              <w:bottom w:w="40" w:type="dxa"/>
              <w:right w:w="40" w:type="dxa"/>
            </w:tcMar>
          </w:tcPr>
          <w:p w14:paraId="25D7EAE1" w14:textId="77777777" w:rsidR="00D31EA2" w:rsidRDefault="00D31EA2" w:rsidP="00410442">
            <w:pPr>
              <w:rPr>
                <w:rFonts w:ascii="Arial" w:hAnsi="Arial" w:cs="Arial"/>
                <w:color w:val="000000"/>
                <w:sz w:val="18"/>
                <w:szCs w:val="18"/>
              </w:rPr>
            </w:pPr>
            <w:r>
              <w:rPr>
                <w:rFonts w:ascii="Arial" w:hAnsi="Arial" w:cs="Arial"/>
                <w:color w:val="000000"/>
                <w:sz w:val="18"/>
                <w:szCs w:val="18"/>
              </w:rPr>
              <w:t>Aged</w:t>
            </w:r>
          </w:p>
        </w:tc>
        <w:tc>
          <w:tcPr>
            <w:tcW w:w="1155" w:type="dxa"/>
            <w:tcMar>
              <w:top w:w="43" w:type="dxa"/>
              <w:left w:w="86" w:type="dxa"/>
              <w:bottom w:w="58" w:type="dxa"/>
              <w:right w:w="43" w:type="dxa"/>
            </w:tcMar>
          </w:tcPr>
          <w:p w14:paraId="675A9107" w14:textId="77777777" w:rsidR="00D31EA2" w:rsidRDefault="00D31EA2" w:rsidP="00410442">
            <w:pPr>
              <w:rPr>
                <w:rFonts w:ascii="Arial" w:hAnsi="Arial" w:cs="Arial"/>
                <w:color w:val="000000"/>
                <w:sz w:val="18"/>
                <w:szCs w:val="18"/>
              </w:rPr>
            </w:pPr>
            <w:r>
              <w:rPr>
                <w:rFonts w:ascii="Arial" w:hAnsi="Arial" w:cs="Arial"/>
                <w:color w:val="000000"/>
                <w:sz w:val="18"/>
                <w:szCs w:val="18"/>
              </w:rPr>
              <w:t>103,619</w:t>
            </w:r>
          </w:p>
        </w:tc>
        <w:tc>
          <w:tcPr>
            <w:tcW w:w="1156" w:type="dxa"/>
            <w:tcMar>
              <w:top w:w="43" w:type="dxa"/>
              <w:left w:w="86" w:type="dxa"/>
              <w:bottom w:w="58" w:type="dxa"/>
              <w:right w:w="43" w:type="dxa"/>
            </w:tcMar>
          </w:tcPr>
          <w:p w14:paraId="187AAAD6" w14:textId="77777777" w:rsidR="00D31EA2" w:rsidRDefault="00D31EA2" w:rsidP="00410442">
            <w:pPr>
              <w:rPr>
                <w:rFonts w:ascii="Arial" w:hAnsi="Arial" w:cs="Arial"/>
                <w:color w:val="000000"/>
                <w:sz w:val="18"/>
                <w:szCs w:val="18"/>
              </w:rPr>
            </w:pPr>
            <w:r>
              <w:rPr>
                <w:rFonts w:ascii="Arial" w:hAnsi="Arial" w:cs="Arial"/>
                <w:color w:val="000000"/>
                <w:sz w:val="18"/>
                <w:szCs w:val="18"/>
              </w:rPr>
              <w:t>86,138</w:t>
            </w:r>
          </w:p>
        </w:tc>
        <w:tc>
          <w:tcPr>
            <w:tcW w:w="1156" w:type="dxa"/>
            <w:tcMar>
              <w:top w:w="40" w:type="dxa"/>
              <w:left w:w="80" w:type="dxa"/>
              <w:bottom w:w="60" w:type="dxa"/>
              <w:right w:w="40" w:type="dxa"/>
            </w:tcMar>
          </w:tcPr>
          <w:p w14:paraId="34F89FCC" w14:textId="77777777" w:rsidR="00D31EA2" w:rsidRDefault="00D31EA2" w:rsidP="00410442">
            <w:pPr>
              <w:rPr>
                <w:rFonts w:ascii="Arial" w:hAnsi="Arial" w:cs="Arial"/>
                <w:color w:val="000000"/>
                <w:sz w:val="18"/>
                <w:szCs w:val="18"/>
              </w:rPr>
            </w:pPr>
            <w:r>
              <w:rPr>
                <w:rFonts w:ascii="Arial" w:hAnsi="Arial" w:cs="Arial"/>
                <w:color w:val="000000"/>
                <w:sz w:val="18"/>
                <w:szCs w:val="18"/>
              </w:rPr>
              <w:t>125,695</w:t>
            </w:r>
          </w:p>
        </w:tc>
        <w:tc>
          <w:tcPr>
            <w:tcW w:w="1156" w:type="dxa"/>
            <w:tcMar>
              <w:top w:w="40" w:type="dxa"/>
              <w:left w:w="80" w:type="dxa"/>
              <w:bottom w:w="60" w:type="dxa"/>
              <w:right w:w="40" w:type="dxa"/>
            </w:tcMar>
          </w:tcPr>
          <w:p w14:paraId="41171699" w14:textId="77777777" w:rsidR="00D31EA2" w:rsidRDefault="00D31EA2" w:rsidP="00410442">
            <w:pPr>
              <w:rPr>
                <w:rFonts w:ascii="Arial" w:hAnsi="Arial" w:cs="Arial"/>
                <w:color w:val="000000"/>
                <w:sz w:val="18"/>
                <w:szCs w:val="18"/>
              </w:rPr>
            </w:pPr>
            <w:r>
              <w:rPr>
                <w:rFonts w:ascii="Arial" w:hAnsi="Arial" w:cs="Arial"/>
                <w:color w:val="000000"/>
                <w:sz w:val="18"/>
                <w:szCs w:val="18"/>
              </w:rPr>
              <w:t>124,749</w:t>
            </w:r>
          </w:p>
        </w:tc>
        <w:tc>
          <w:tcPr>
            <w:tcW w:w="1156" w:type="dxa"/>
            <w:tcMar>
              <w:top w:w="40" w:type="dxa"/>
              <w:left w:w="80" w:type="dxa"/>
              <w:bottom w:w="60" w:type="dxa"/>
              <w:right w:w="40" w:type="dxa"/>
            </w:tcMar>
          </w:tcPr>
          <w:p w14:paraId="2DCABBFB" w14:textId="77777777" w:rsidR="00D31EA2" w:rsidRDefault="00D31EA2" w:rsidP="00410442">
            <w:pPr>
              <w:rPr>
                <w:rFonts w:ascii="Arial" w:hAnsi="Arial" w:cs="Arial"/>
                <w:color w:val="000000"/>
                <w:sz w:val="18"/>
                <w:szCs w:val="18"/>
              </w:rPr>
            </w:pPr>
            <w:r>
              <w:rPr>
                <w:rFonts w:ascii="Arial" w:hAnsi="Arial" w:cs="Arial"/>
                <w:color w:val="000000"/>
                <w:sz w:val="18"/>
                <w:szCs w:val="18"/>
              </w:rPr>
              <w:t>129,127</w:t>
            </w:r>
          </w:p>
        </w:tc>
      </w:tr>
      <w:tr w:rsidR="00D31EA2" w14:paraId="61D3F640" w14:textId="77777777" w:rsidTr="00311585">
        <w:trPr>
          <w:trHeight w:val="240"/>
        </w:trPr>
        <w:tc>
          <w:tcPr>
            <w:tcW w:w="2882" w:type="dxa"/>
            <w:vMerge/>
            <w:tcMar>
              <w:top w:w="40" w:type="dxa"/>
              <w:left w:w="120" w:type="dxa"/>
              <w:bottom w:w="40" w:type="dxa"/>
              <w:right w:w="40" w:type="dxa"/>
            </w:tcMar>
          </w:tcPr>
          <w:p w14:paraId="1EB62C73" w14:textId="77777777" w:rsidR="00D31EA2" w:rsidRPr="00AA148D" w:rsidRDefault="00D31EA2" w:rsidP="00410442">
            <w:pPr>
              <w:rPr>
                <w:rFonts w:ascii="Arial" w:hAnsi="Arial" w:cs="Arial"/>
                <w:sz w:val="18"/>
                <w:szCs w:val="18"/>
              </w:rPr>
            </w:pPr>
          </w:p>
        </w:tc>
        <w:tc>
          <w:tcPr>
            <w:tcW w:w="2642" w:type="dxa"/>
            <w:tcMar>
              <w:top w:w="40" w:type="dxa"/>
              <w:left w:w="80" w:type="dxa"/>
              <w:bottom w:w="40" w:type="dxa"/>
              <w:right w:w="40" w:type="dxa"/>
            </w:tcMar>
          </w:tcPr>
          <w:p w14:paraId="4DD3FD29" w14:textId="77777777" w:rsidR="00D31EA2" w:rsidRDefault="00D31EA2" w:rsidP="00410442">
            <w:pPr>
              <w:rPr>
                <w:rFonts w:ascii="Arial" w:hAnsi="Arial" w:cs="Arial"/>
                <w:color w:val="000000"/>
                <w:sz w:val="18"/>
                <w:szCs w:val="18"/>
              </w:rPr>
            </w:pPr>
            <w:r>
              <w:rPr>
                <w:rFonts w:ascii="Arial" w:hAnsi="Arial" w:cs="Arial"/>
                <w:color w:val="000000"/>
                <w:sz w:val="18"/>
                <w:szCs w:val="18"/>
              </w:rPr>
              <w:t>CAMHS</w:t>
            </w:r>
          </w:p>
        </w:tc>
        <w:tc>
          <w:tcPr>
            <w:tcW w:w="1155" w:type="dxa"/>
            <w:tcMar>
              <w:top w:w="43" w:type="dxa"/>
              <w:left w:w="86" w:type="dxa"/>
              <w:bottom w:w="58" w:type="dxa"/>
              <w:right w:w="43" w:type="dxa"/>
            </w:tcMar>
          </w:tcPr>
          <w:p w14:paraId="58A3EF60" w14:textId="77777777" w:rsidR="00D31EA2" w:rsidRDefault="00D31EA2" w:rsidP="00410442">
            <w:pPr>
              <w:rPr>
                <w:rFonts w:ascii="Arial" w:hAnsi="Arial" w:cs="Arial"/>
                <w:color w:val="000000"/>
                <w:sz w:val="18"/>
                <w:szCs w:val="18"/>
              </w:rPr>
            </w:pPr>
            <w:r>
              <w:rPr>
                <w:rFonts w:ascii="Arial" w:hAnsi="Arial" w:cs="Arial"/>
                <w:color w:val="000000"/>
                <w:sz w:val="18"/>
                <w:szCs w:val="18"/>
              </w:rPr>
              <w:t>171,290</w:t>
            </w:r>
          </w:p>
        </w:tc>
        <w:tc>
          <w:tcPr>
            <w:tcW w:w="1156" w:type="dxa"/>
            <w:tcMar>
              <w:top w:w="43" w:type="dxa"/>
              <w:left w:w="86" w:type="dxa"/>
              <w:bottom w:w="58" w:type="dxa"/>
              <w:right w:w="43" w:type="dxa"/>
            </w:tcMar>
          </w:tcPr>
          <w:p w14:paraId="24231BC8" w14:textId="77777777" w:rsidR="00D31EA2" w:rsidRDefault="00D31EA2" w:rsidP="00410442">
            <w:pPr>
              <w:rPr>
                <w:rFonts w:ascii="Arial" w:hAnsi="Arial" w:cs="Arial"/>
                <w:color w:val="000000"/>
                <w:sz w:val="18"/>
                <w:szCs w:val="18"/>
              </w:rPr>
            </w:pPr>
            <w:r>
              <w:rPr>
                <w:rFonts w:ascii="Arial" w:hAnsi="Arial" w:cs="Arial"/>
                <w:color w:val="000000"/>
                <w:sz w:val="18"/>
                <w:szCs w:val="18"/>
              </w:rPr>
              <w:t>180,015</w:t>
            </w:r>
          </w:p>
        </w:tc>
        <w:tc>
          <w:tcPr>
            <w:tcW w:w="1156" w:type="dxa"/>
            <w:tcMar>
              <w:top w:w="40" w:type="dxa"/>
              <w:left w:w="80" w:type="dxa"/>
              <w:bottom w:w="60" w:type="dxa"/>
              <w:right w:w="40" w:type="dxa"/>
            </w:tcMar>
          </w:tcPr>
          <w:p w14:paraId="71ED7C54" w14:textId="77777777" w:rsidR="00D31EA2" w:rsidRDefault="00D31EA2" w:rsidP="00410442">
            <w:pPr>
              <w:rPr>
                <w:rFonts w:ascii="Arial" w:hAnsi="Arial" w:cs="Arial"/>
                <w:color w:val="000000"/>
                <w:sz w:val="18"/>
                <w:szCs w:val="18"/>
              </w:rPr>
            </w:pPr>
            <w:r>
              <w:rPr>
                <w:rFonts w:ascii="Arial" w:hAnsi="Arial" w:cs="Arial"/>
                <w:color w:val="000000"/>
                <w:sz w:val="18"/>
                <w:szCs w:val="18"/>
              </w:rPr>
              <w:t>217,911</w:t>
            </w:r>
          </w:p>
        </w:tc>
        <w:tc>
          <w:tcPr>
            <w:tcW w:w="1156" w:type="dxa"/>
            <w:tcMar>
              <w:top w:w="40" w:type="dxa"/>
              <w:left w:w="80" w:type="dxa"/>
              <w:bottom w:w="60" w:type="dxa"/>
              <w:right w:w="40" w:type="dxa"/>
            </w:tcMar>
          </w:tcPr>
          <w:p w14:paraId="3EC796F4" w14:textId="77777777" w:rsidR="00D31EA2" w:rsidRDefault="00D31EA2" w:rsidP="00410442">
            <w:pPr>
              <w:rPr>
                <w:rFonts w:ascii="Arial" w:hAnsi="Arial" w:cs="Arial"/>
                <w:color w:val="000000"/>
                <w:sz w:val="18"/>
                <w:szCs w:val="18"/>
              </w:rPr>
            </w:pPr>
            <w:r>
              <w:rPr>
                <w:rFonts w:ascii="Arial" w:hAnsi="Arial" w:cs="Arial"/>
                <w:color w:val="000000"/>
                <w:sz w:val="18"/>
                <w:szCs w:val="18"/>
              </w:rPr>
              <w:t>225,274</w:t>
            </w:r>
          </w:p>
        </w:tc>
        <w:tc>
          <w:tcPr>
            <w:tcW w:w="1156" w:type="dxa"/>
            <w:tcMar>
              <w:top w:w="40" w:type="dxa"/>
              <w:left w:w="80" w:type="dxa"/>
              <w:bottom w:w="60" w:type="dxa"/>
              <w:right w:w="40" w:type="dxa"/>
            </w:tcMar>
          </w:tcPr>
          <w:p w14:paraId="09F6F2F9" w14:textId="77777777" w:rsidR="00D31EA2" w:rsidRDefault="00D31EA2" w:rsidP="00410442">
            <w:pPr>
              <w:rPr>
                <w:rFonts w:ascii="Arial" w:hAnsi="Arial" w:cs="Arial"/>
                <w:color w:val="000000"/>
                <w:sz w:val="18"/>
                <w:szCs w:val="18"/>
              </w:rPr>
            </w:pPr>
            <w:r>
              <w:rPr>
                <w:rFonts w:ascii="Arial" w:hAnsi="Arial" w:cs="Arial"/>
                <w:color w:val="000000"/>
                <w:sz w:val="18"/>
                <w:szCs w:val="18"/>
              </w:rPr>
              <w:t>231,008</w:t>
            </w:r>
          </w:p>
        </w:tc>
      </w:tr>
      <w:tr w:rsidR="00D31EA2" w14:paraId="7E73B34A" w14:textId="77777777" w:rsidTr="00311585">
        <w:trPr>
          <w:trHeight w:val="240"/>
        </w:trPr>
        <w:tc>
          <w:tcPr>
            <w:tcW w:w="2882" w:type="dxa"/>
            <w:vMerge/>
            <w:tcMar>
              <w:top w:w="40" w:type="dxa"/>
              <w:left w:w="120" w:type="dxa"/>
              <w:bottom w:w="40" w:type="dxa"/>
              <w:right w:w="40" w:type="dxa"/>
            </w:tcMar>
          </w:tcPr>
          <w:p w14:paraId="1B9ACD25" w14:textId="77777777" w:rsidR="00D31EA2" w:rsidRPr="00AA148D" w:rsidRDefault="00D31EA2" w:rsidP="00410442">
            <w:pPr>
              <w:rPr>
                <w:rFonts w:ascii="Arial" w:hAnsi="Arial" w:cs="Arial"/>
                <w:sz w:val="18"/>
                <w:szCs w:val="18"/>
              </w:rPr>
            </w:pPr>
          </w:p>
        </w:tc>
        <w:tc>
          <w:tcPr>
            <w:tcW w:w="2642" w:type="dxa"/>
            <w:tcMar>
              <w:top w:w="40" w:type="dxa"/>
              <w:left w:w="80" w:type="dxa"/>
              <w:bottom w:w="40" w:type="dxa"/>
              <w:right w:w="40" w:type="dxa"/>
            </w:tcMar>
          </w:tcPr>
          <w:p w14:paraId="1CBCBA64" w14:textId="77777777" w:rsidR="00D31EA2" w:rsidRDefault="00D31EA2" w:rsidP="00410442">
            <w:pPr>
              <w:rPr>
                <w:rFonts w:ascii="Arial" w:hAnsi="Arial" w:cs="Arial"/>
                <w:color w:val="000000"/>
                <w:sz w:val="18"/>
                <w:szCs w:val="18"/>
              </w:rPr>
            </w:pPr>
            <w:r>
              <w:rPr>
                <w:rFonts w:ascii="Arial" w:hAnsi="Arial" w:cs="Arial"/>
                <w:color w:val="000000"/>
                <w:sz w:val="18"/>
                <w:szCs w:val="18"/>
              </w:rPr>
              <w:t>Forensic</w:t>
            </w:r>
          </w:p>
        </w:tc>
        <w:tc>
          <w:tcPr>
            <w:tcW w:w="1155" w:type="dxa"/>
            <w:tcMar>
              <w:top w:w="43" w:type="dxa"/>
              <w:left w:w="86" w:type="dxa"/>
              <w:bottom w:w="58" w:type="dxa"/>
              <w:right w:w="43" w:type="dxa"/>
            </w:tcMar>
          </w:tcPr>
          <w:p w14:paraId="0F475FC7" w14:textId="77777777" w:rsidR="00D31EA2" w:rsidRDefault="00D31EA2" w:rsidP="00410442">
            <w:pPr>
              <w:rPr>
                <w:rFonts w:ascii="Arial" w:hAnsi="Arial" w:cs="Arial"/>
                <w:color w:val="000000"/>
                <w:sz w:val="18"/>
                <w:szCs w:val="18"/>
              </w:rPr>
            </w:pPr>
            <w:r>
              <w:rPr>
                <w:rFonts w:ascii="Arial" w:hAnsi="Arial" w:cs="Arial"/>
                <w:color w:val="000000"/>
                <w:sz w:val="18"/>
                <w:szCs w:val="18"/>
              </w:rPr>
              <w:t>10,597</w:t>
            </w:r>
          </w:p>
        </w:tc>
        <w:tc>
          <w:tcPr>
            <w:tcW w:w="1156" w:type="dxa"/>
            <w:tcMar>
              <w:top w:w="43" w:type="dxa"/>
              <w:left w:w="86" w:type="dxa"/>
              <w:bottom w:w="58" w:type="dxa"/>
              <w:right w:w="43" w:type="dxa"/>
            </w:tcMar>
          </w:tcPr>
          <w:p w14:paraId="403219C7" w14:textId="77777777" w:rsidR="00D31EA2" w:rsidRDefault="00D31EA2" w:rsidP="00410442">
            <w:pPr>
              <w:rPr>
                <w:rFonts w:ascii="Arial" w:hAnsi="Arial" w:cs="Arial"/>
                <w:color w:val="000000"/>
                <w:sz w:val="18"/>
                <w:szCs w:val="18"/>
              </w:rPr>
            </w:pPr>
            <w:r>
              <w:rPr>
                <w:rFonts w:ascii="Arial" w:hAnsi="Arial" w:cs="Arial"/>
                <w:color w:val="000000"/>
                <w:sz w:val="18"/>
                <w:szCs w:val="18"/>
              </w:rPr>
              <w:t>10,652</w:t>
            </w:r>
          </w:p>
        </w:tc>
        <w:tc>
          <w:tcPr>
            <w:tcW w:w="1156" w:type="dxa"/>
            <w:tcMar>
              <w:top w:w="40" w:type="dxa"/>
              <w:left w:w="80" w:type="dxa"/>
              <w:bottom w:w="60" w:type="dxa"/>
              <w:right w:w="40" w:type="dxa"/>
            </w:tcMar>
          </w:tcPr>
          <w:p w14:paraId="5D13C1E1" w14:textId="77777777" w:rsidR="00D31EA2" w:rsidRDefault="00D31EA2" w:rsidP="00410442">
            <w:pPr>
              <w:rPr>
                <w:rFonts w:ascii="Arial" w:hAnsi="Arial" w:cs="Arial"/>
                <w:color w:val="000000"/>
                <w:sz w:val="18"/>
                <w:szCs w:val="18"/>
              </w:rPr>
            </w:pPr>
            <w:r>
              <w:rPr>
                <w:rFonts w:ascii="Arial" w:hAnsi="Arial" w:cs="Arial"/>
                <w:color w:val="000000"/>
                <w:sz w:val="18"/>
                <w:szCs w:val="18"/>
              </w:rPr>
              <w:t>12,189</w:t>
            </w:r>
          </w:p>
        </w:tc>
        <w:tc>
          <w:tcPr>
            <w:tcW w:w="1156" w:type="dxa"/>
            <w:tcMar>
              <w:top w:w="40" w:type="dxa"/>
              <w:left w:w="80" w:type="dxa"/>
              <w:bottom w:w="60" w:type="dxa"/>
              <w:right w:w="40" w:type="dxa"/>
            </w:tcMar>
          </w:tcPr>
          <w:p w14:paraId="5A01C5BB" w14:textId="77777777" w:rsidR="00D31EA2" w:rsidRDefault="00D31EA2" w:rsidP="00410442">
            <w:pPr>
              <w:rPr>
                <w:rFonts w:ascii="Arial" w:hAnsi="Arial" w:cs="Arial"/>
                <w:color w:val="000000"/>
                <w:sz w:val="18"/>
                <w:szCs w:val="18"/>
              </w:rPr>
            </w:pPr>
            <w:r>
              <w:rPr>
                <w:rFonts w:ascii="Arial" w:hAnsi="Arial" w:cs="Arial"/>
                <w:color w:val="000000"/>
                <w:sz w:val="18"/>
                <w:szCs w:val="18"/>
              </w:rPr>
              <w:t>16,403</w:t>
            </w:r>
          </w:p>
        </w:tc>
        <w:tc>
          <w:tcPr>
            <w:tcW w:w="1156" w:type="dxa"/>
            <w:tcMar>
              <w:top w:w="40" w:type="dxa"/>
              <w:left w:w="80" w:type="dxa"/>
              <w:bottom w:w="60" w:type="dxa"/>
              <w:right w:w="40" w:type="dxa"/>
            </w:tcMar>
          </w:tcPr>
          <w:p w14:paraId="110B6D7B" w14:textId="77777777" w:rsidR="00D31EA2" w:rsidRDefault="00D31EA2" w:rsidP="00410442">
            <w:pPr>
              <w:rPr>
                <w:rFonts w:ascii="Arial" w:hAnsi="Arial" w:cs="Arial"/>
                <w:color w:val="000000"/>
                <w:sz w:val="18"/>
                <w:szCs w:val="18"/>
              </w:rPr>
            </w:pPr>
            <w:r>
              <w:rPr>
                <w:rFonts w:ascii="Arial" w:hAnsi="Arial" w:cs="Arial"/>
                <w:color w:val="000000"/>
                <w:sz w:val="18"/>
                <w:szCs w:val="18"/>
              </w:rPr>
              <w:t>15,244</w:t>
            </w:r>
          </w:p>
        </w:tc>
      </w:tr>
      <w:tr w:rsidR="00D31EA2" w14:paraId="7C86645F" w14:textId="77777777" w:rsidTr="00311585">
        <w:trPr>
          <w:trHeight w:val="240"/>
        </w:trPr>
        <w:tc>
          <w:tcPr>
            <w:tcW w:w="2882" w:type="dxa"/>
            <w:vMerge/>
            <w:tcMar>
              <w:top w:w="40" w:type="dxa"/>
              <w:left w:w="120" w:type="dxa"/>
              <w:bottom w:w="40" w:type="dxa"/>
              <w:right w:w="40" w:type="dxa"/>
            </w:tcMar>
          </w:tcPr>
          <w:p w14:paraId="37B21325" w14:textId="77777777" w:rsidR="00D31EA2" w:rsidRPr="00AA148D" w:rsidRDefault="00D31EA2" w:rsidP="00410442">
            <w:pPr>
              <w:rPr>
                <w:rFonts w:ascii="Arial" w:hAnsi="Arial" w:cs="Arial"/>
                <w:sz w:val="18"/>
                <w:szCs w:val="18"/>
              </w:rPr>
            </w:pPr>
          </w:p>
        </w:tc>
        <w:tc>
          <w:tcPr>
            <w:tcW w:w="2642" w:type="dxa"/>
            <w:tcMar>
              <w:top w:w="40" w:type="dxa"/>
              <w:left w:w="80" w:type="dxa"/>
              <w:bottom w:w="40" w:type="dxa"/>
              <w:right w:w="40" w:type="dxa"/>
            </w:tcMar>
          </w:tcPr>
          <w:p w14:paraId="4595569F" w14:textId="77777777" w:rsidR="00D31EA2" w:rsidRDefault="00D31EA2" w:rsidP="00410442">
            <w:pPr>
              <w:rPr>
                <w:rFonts w:ascii="Arial" w:hAnsi="Arial" w:cs="Arial"/>
                <w:color w:val="000000"/>
                <w:sz w:val="18"/>
                <w:szCs w:val="18"/>
              </w:rPr>
            </w:pPr>
            <w:r>
              <w:rPr>
                <w:rFonts w:ascii="Arial" w:hAnsi="Arial" w:cs="Arial"/>
                <w:color w:val="000000"/>
                <w:sz w:val="18"/>
                <w:szCs w:val="18"/>
              </w:rPr>
              <w:t>Specialist</w:t>
            </w:r>
          </w:p>
        </w:tc>
        <w:tc>
          <w:tcPr>
            <w:tcW w:w="1155" w:type="dxa"/>
            <w:tcMar>
              <w:top w:w="43" w:type="dxa"/>
              <w:left w:w="86" w:type="dxa"/>
              <w:bottom w:w="58" w:type="dxa"/>
              <w:right w:w="43" w:type="dxa"/>
            </w:tcMar>
          </w:tcPr>
          <w:p w14:paraId="0D28E5FC" w14:textId="77777777" w:rsidR="00D31EA2" w:rsidRDefault="00D31EA2" w:rsidP="00410442">
            <w:pPr>
              <w:rPr>
                <w:rFonts w:ascii="Arial" w:hAnsi="Arial" w:cs="Arial"/>
                <w:color w:val="000000"/>
                <w:sz w:val="18"/>
                <w:szCs w:val="18"/>
              </w:rPr>
            </w:pPr>
            <w:r>
              <w:rPr>
                <w:rFonts w:ascii="Arial" w:hAnsi="Arial" w:cs="Arial"/>
                <w:color w:val="000000"/>
                <w:sz w:val="18"/>
                <w:szCs w:val="18"/>
              </w:rPr>
              <w:t>20,701</w:t>
            </w:r>
          </w:p>
        </w:tc>
        <w:tc>
          <w:tcPr>
            <w:tcW w:w="1156" w:type="dxa"/>
            <w:tcMar>
              <w:top w:w="43" w:type="dxa"/>
              <w:left w:w="86" w:type="dxa"/>
              <w:bottom w:w="58" w:type="dxa"/>
              <w:right w:w="43" w:type="dxa"/>
            </w:tcMar>
          </w:tcPr>
          <w:p w14:paraId="750BAE50" w14:textId="77777777" w:rsidR="00D31EA2" w:rsidRDefault="00D31EA2" w:rsidP="00410442">
            <w:pPr>
              <w:rPr>
                <w:rFonts w:ascii="Arial" w:hAnsi="Arial" w:cs="Arial"/>
                <w:color w:val="000000"/>
                <w:sz w:val="18"/>
                <w:szCs w:val="18"/>
              </w:rPr>
            </w:pPr>
            <w:r>
              <w:rPr>
                <w:rFonts w:ascii="Arial" w:hAnsi="Arial" w:cs="Arial"/>
                <w:color w:val="000000"/>
                <w:sz w:val="18"/>
                <w:szCs w:val="18"/>
              </w:rPr>
              <w:t>19,778</w:t>
            </w:r>
          </w:p>
        </w:tc>
        <w:tc>
          <w:tcPr>
            <w:tcW w:w="1156" w:type="dxa"/>
            <w:tcMar>
              <w:top w:w="40" w:type="dxa"/>
              <w:left w:w="80" w:type="dxa"/>
              <w:bottom w:w="60" w:type="dxa"/>
              <w:right w:w="40" w:type="dxa"/>
            </w:tcMar>
          </w:tcPr>
          <w:p w14:paraId="5C2B34FD" w14:textId="77777777" w:rsidR="00D31EA2" w:rsidRDefault="00D31EA2" w:rsidP="00410442">
            <w:pPr>
              <w:rPr>
                <w:rFonts w:ascii="Arial" w:hAnsi="Arial" w:cs="Arial"/>
                <w:color w:val="000000"/>
                <w:sz w:val="18"/>
                <w:szCs w:val="18"/>
              </w:rPr>
            </w:pPr>
            <w:r>
              <w:rPr>
                <w:rFonts w:ascii="Arial" w:hAnsi="Arial" w:cs="Arial"/>
                <w:color w:val="000000"/>
                <w:sz w:val="18"/>
                <w:szCs w:val="18"/>
              </w:rPr>
              <w:t>20,916</w:t>
            </w:r>
          </w:p>
        </w:tc>
        <w:tc>
          <w:tcPr>
            <w:tcW w:w="1156" w:type="dxa"/>
            <w:tcMar>
              <w:top w:w="40" w:type="dxa"/>
              <w:left w:w="80" w:type="dxa"/>
              <w:bottom w:w="60" w:type="dxa"/>
              <w:right w:w="40" w:type="dxa"/>
            </w:tcMar>
          </w:tcPr>
          <w:p w14:paraId="009CA68E" w14:textId="77777777" w:rsidR="00D31EA2" w:rsidRDefault="00D31EA2" w:rsidP="00410442">
            <w:pPr>
              <w:rPr>
                <w:rFonts w:ascii="Arial" w:hAnsi="Arial" w:cs="Arial"/>
                <w:color w:val="000000"/>
                <w:sz w:val="18"/>
                <w:szCs w:val="18"/>
              </w:rPr>
            </w:pPr>
            <w:r>
              <w:rPr>
                <w:rFonts w:ascii="Arial" w:hAnsi="Arial" w:cs="Arial"/>
                <w:color w:val="000000"/>
                <w:sz w:val="18"/>
                <w:szCs w:val="18"/>
              </w:rPr>
              <w:t>24,648</w:t>
            </w:r>
          </w:p>
        </w:tc>
        <w:tc>
          <w:tcPr>
            <w:tcW w:w="1156" w:type="dxa"/>
            <w:tcMar>
              <w:top w:w="40" w:type="dxa"/>
              <w:left w:w="80" w:type="dxa"/>
              <w:bottom w:w="60" w:type="dxa"/>
              <w:right w:w="40" w:type="dxa"/>
            </w:tcMar>
          </w:tcPr>
          <w:p w14:paraId="14AE447E" w14:textId="77777777" w:rsidR="00D31EA2" w:rsidRDefault="00D31EA2" w:rsidP="00410442">
            <w:pPr>
              <w:rPr>
                <w:rFonts w:ascii="Arial" w:hAnsi="Arial" w:cs="Arial"/>
                <w:color w:val="000000"/>
                <w:sz w:val="18"/>
                <w:szCs w:val="18"/>
              </w:rPr>
            </w:pPr>
            <w:r>
              <w:rPr>
                <w:rFonts w:ascii="Arial" w:hAnsi="Arial" w:cs="Arial"/>
                <w:color w:val="000000"/>
                <w:sz w:val="18"/>
                <w:szCs w:val="18"/>
              </w:rPr>
              <w:t>24,749</w:t>
            </w:r>
          </w:p>
        </w:tc>
      </w:tr>
      <w:tr w:rsidR="00D31EA2" w14:paraId="365A586A" w14:textId="77777777" w:rsidTr="00311585">
        <w:trPr>
          <w:trHeight w:val="240"/>
        </w:trPr>
        <w:tc>
          <w:tcPr>
            <w:tcW w:w="2882" w:type="dxa"/>
            <w:vMerge/>
            <w:tcMar>
              <w:top w:w="40" w:type="dxa"/>
              <w:left w:w="120" w:type="dxa"/>
              <w:bottom w:w="40" w:type="dxa"/>
              <w:right w:w="40" w:type="dxa"/>
            </w:tcMar>
          </w:tcPr>
          <w:p w14:paraId="4AC58A9B" w14:textId="77777777" w:rsidR="00D31EA2" w:rsidRPr="00AA148D" w:rsidRDefault="00D31EA2" w:rsidP="00410442">
            <w:pPr>
              <w:rPr>
                <w:rFonts w:ascii="Arial" w:hAnsi="Arial" w:cs="Arial"/>
                <w:sz w:val="18"/>
                <w:szCs w:val="18"/>
              </w:rPr>
            </w:pPr>
          </w:p>
        </w:tc>
        <w:tc>
          <w:tcPr>
            <w:tcW w:w="2642" w:type="dxa"/>
            <w:shd w:val="clear" w:color="auto" w:fill="E0EAF5"/>
            <w:tcMar>
              <w:top w:w="40" w:type="dxa"/>
              <w:left w:w="80" w:type="dxa"/>
              <w:bottom w:w="40" w:type="dxa"/>
              <w:right w:w="40" w:type="dxa"/>
            </w:tcMar>
          </w:tcPr>
          <w:p w14:paraId="176348BC"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Total</w:t>
            </w:r>
          </w:p>
        </w:tc>
        <w:tc>
          <w:tcPr>
            <w:tcW w:w="1155" w:type="dxa"/>
            <w:shd w:val="clear" w:color="auto" w:fill="E0EAF5"/>
            <w:tcMar>
              <w:top w:w="43" w:type="dxa"/>
              <w:left w:w="86" w:type="dxa"/>
              <w:bottom w:w="58" w:type="dxa"/>
              <w:right w:w="43" w:type="dxa"/>
            </w:tcMar>
          </w:tcPr>
          <w:p w14:paraId="56EA0167"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971,979</w:t>
            </w:r>
          </w:p>
        </w:tc>
        <w:tc>
          <w:tcPr>
            <w:tcW w:w="1156" w:type="dxa"/>
            <w:shd w:val="clear" w:color="auto" w:fill="E0EAF5"/>
            <w:tcMar>
              <w:top w:w="43" w:type="dxa"/>
              <w:left w:w="86" w:type="dxa"/>
              <w:bottom w:w="58" w:type="dxa"/>
              <w:right w:w="43" w:type="dxa"/>
            </w:tcMar>
          </w:tcPr>
          <w:p w14:paraId="6A44B398"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881,906</w:t>
            </w:r>
          </w:p>
        </w:tc>
        <w:tc>
          <w:tcPr>
            <w:tcW w:w="1156" w:type="dxa"/>
            <w:shd w:val="clear" w:color="auto" w:fill="E0EAF5"/>
            <w:tcMar>
              <w:top w:w="40" w:type="dxa"/>
              <w:left w:w="80" w:type="dxa"/>
              <w:bottom w:w="60" w:type="dxa"/>
              <w:right w:w="40" w:type="dxa"/>
            </w:tcMar>
          </w:tcPr>
          <w:p w14:paraId="68AAACA0"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1,286,653</w:t>
            </w:r>
          </w:p>
        </w:tc>
        <w:tc>
          <w:tcPr>
            <w:tcW w:w="1156" w:type="dxa"/>
            <w:shd w:val="clear" w:color="auto" w:fill="E0EAF5"/>
            <w:tcMar>
              <w:top w:w="40" w:type="dxa"/>
              <w:left w:w="80" w:type="dxa"/>
              <w:bottom w:w="60" w:type="dxa"/>
              <w:right w:w="40" w:type="dxa"/>
            </w:tcMar>
          </w:tcPr>
          <w:p w14:paraId="76AD713B"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1,371,563</w:t>
            </w:r>
          </w:p>
        </w:tc>
        <w:tc>
          <w:tcPr>
            <w:tcW w:w="1156" w:type="dxa"/>
            <w:shd w:val="clear" w:color="auto" w:fill="E0EAF5"/>
            <w:tcMar>
              <w:top w:w="40" w:type="dxa"/>
              <w:left w:w="80" w:type="dxa"/>
              <w:bottom w:w="60" w:type="dxa"/>
              <w:right w:w="40" w:type="dxa"/>
            </w:tcMar>
          </w:tcPr>
          <w:p w14:paraId="76DDCEFB"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1,439,992</w:t>
            </w:r>
          </w:p>
        </w:tc>
      </w:tr>
      <w:tr w:rsidR="00D31EA2" w14:paraId="7F66CD48" w14:textId="77777777" w:rsidTr="00311585">
        <w:trPr>
          <w:trHeight w:val="240"/>
        </w:trPr>
        <w:tc>
          <w:tcPr>
            <w:tcW w:w="2882" w:type="dxa"/>
            <w:tcMar>
              <w:top w:w="40" w:type="dxa"/>
              <w:left w:w="120" w:type="dxa"/>
              <w:bottom w:w="40" w:type="dxa"/>
              <w:right w:w="40" w:type="dxa"/>
            </w:tcMar>
          </w:tcPr>
          <w:p w14:paraId="42FE9D45"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Unregistered consumer service hours</w:t>
            </w:r>
            <w:r w:rsidRPr="00AA148D">
              <w:rPr>
                <w:rFonts w:ascii="Arial" w:eastAsia="Verdana" w:hAnsi="Arial" w:cs="Arial"/>
                <w:color w:val="000000"/>
                <w:sz w:val="18"/>
                <w:szCs w:val="18"/>
                <w:vertAlign w:val="superscript"/>
              </w:rPr>
              <w:t>‡</w:t>
            </w:r>
          </w:p>
        </w:tc>
        <w:tc>
          <w:tcPr>
            <w:tcW w:w="2642" w:type="dxa"/>
            <w:tcMar>
              <w:top w:w="40" w:type="dxa"/>
              <w:left w:w="80" w:type="dxa"/>
              <w:bottom w:w="40" w:type="dxa"/>
              <w:right w:w="40" w:type="dxa"/>
            </w:tcMar>
          </w:tcPr>
          <w:p w14:paraId="3CE433D6"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Total</w:t>
            </w:r>
          </w:p>
        </w:tc>
        <w:tc>
          <w:tcPr>
            <w:tcW w:w="1155" w:type="dxa"/>
            <w:tcMar>
              <w:top w:w="43" w:type="dxa"/>
              <w:left w:w="86" w:type="dxa"/>
              <w:bottom w:w="58" w:type="dxa"/>
              <w:right w:w="43" w:type="dxa"/>
            </w:tcMar>
          </w:tcPr>
          <w:p w14:paraId="19A5756E"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15.5%</w:t>
            </w:r>
          </w:p>
        </w:tc>
        <w:tc>
          <w:tcPr>
            <w:tcW w:w="1156" w:type="dxa"/>
            <w:tcMar>
              <w:top w:w="43" w:type="dxa"/>
              <w:left w:w="86" w:type="dxa"/>
              <w:bottom w:w="58" w:type="dxa"/>
              <w:right w:w="43" w:type="dxa"/>
            </w:tcMar>
          </w:tcPr>
          <w:p w14:paraId="7B96CAE2"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15.7%</w:t>
            </w:r>
          </w:p>
        </w:tc>
        <w:tc>
          <w:tcPr>
            <w:tcW w:w="1156" w:type="dxa"/>
            <w:tcMar>
              <w:top w:w="40" w:type="dxa"/>
              <w:left w:w="80" w:type="dxa"/>
              <w:bottom w:w="60" w:type="dxa"/>
              <w:right w:w="40" w:type="dxa"/>
            </w:tcMar>
          </w:tcPr>
          <w:p w14:paraId="62F23CB5"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15.6%</w:t>
            </w:r>
          </w:p>
        </w:tc>
        <w:tc>
          <w:tcPr>
            <w:tcW w:w="1156" w:type="dxa"/>
            <w:tcMar>
              <w:top w:w="40" w:type="dxa"/>
              <w:left w:w="80" w:type="dxa"/>
              <w:bottom w:w="60" w:type="dxa"/>
              <w:right w:w="40" w:type="dxa"/>
            </w:tcMar>
          </w:tcPr>
          <w:p w14:paraId="020FC84B"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15.9%</w:t>
            </w:r>
          </w:p>
        </w:tc>
        <w:tc>
          <w:tcPr>
            <w:tcW w:w="1156" w:type="dxa"/>
            <w:tcMar>
              <w:top w:w="40" w:type="dxa"/>
              <w:left w:w="80" w:type="dxa"/>
              <w:bottom w:w="60" w:type="dxa"/>
              <w:right w:w="40" w:type="dxa"/>
            </w:tcMar>
          </w:tcPr>
          <w:p w14:paraId="3283A53C"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15.5%</w:t>
            </w:r>
          </w:p>
        </w:tc>
      </w:tr>
    </w:tbl>
    <w:p w14:paraId="4AB2049B" w14:textId="2D36C7A9" w:rsidR="00D31EA2" w:rsidRDefault="00D31EA2" w:rsidP="00157535">
      <w:pPr>
        <w:pStyle w:val="DHHSbodynospace"/>
      </w:pPr>
    </w:p>
    <w:tbl>
      <w:tblPr>
        <w:tblW w:w="0" w:type="auto"/>
        <w:tblBorders>
          <w:top w:val="single" w:sz="8" w:space="0" w:color="004EA8"/>
          <w:left w:val="single" w:sz="8" w:space="0" w:color="004EA8"/>
          <w:bottom w:val="single" w:sz="8" w:space="0" w:color="004EA8"/>
          <w:right w:val="single" w:sz="8" w:space="0" w:color="004EA8"/>
          <w:insideH w:val="single" w:sz="8" w:space="0" w:color="004EA8"/>
          <w:insideV w:val="single" w:sz="8" w:space="0" w:color="004EA8"/>
        </w:tblBorders>
        <w:tblCellMar>
          <w:left w:w="0" w:type="dxa"/>
          <w:right w:w="0" w:type="dxa"/>
        </w:tblCellMar>
        <w:tblLook w:val="0000" w:firstRow="0" w:lastRow="0" w:firstColumn="0" w:lastColumn="0" w:noHBand="0" w:noVBand="0"/>
      </w:tblPr>
      <w:tblGrid>
        <w:gridCol w:w="2352"/>
        <w:gridCol w:w="2034"/>
        <w:gridCol w:w="980"/>
        <w:gridCol w:w="981"/>
        <w:gridCol w:w="977"/>
        <w:gridCol w:w="977"/>
        <w:gridCol w:w="977"/>
      </w:tblGrid>
      <w:tr w:rsidR="00D31EA2" w14:paraId="017EFCAA" w14:textId="77777777" w:rsidTr="00157B5E">
        <w:trPr>
          <w:trHeight w:val="279"/>
          <w:tblHeader/>
        </w:trPr>
        <w:tc>
          <w:tcPr>
            <w:tcW w:w="2952" w:type="dxa"/>
            <w:shd w:val="clear" w:color="auto" w:fill="004EA8"/>
            <w:tcMar>
              <w:top w:w="40" w:type="dxa"/>
              <w:left w:w="80" w:type="dxa"/>
              <w:bottom w:w="40" w:type="dxa"/>
              <w:right w:w="40" w:type="dxa"/>
            </w:tcMar>
            <w:vAlign w:val="center"/>
          </w:tcPr>
          <w:p w14:paraId="3A5974B7" w14:textId="77777777" w:rsidR="00D31EA2" w:rsidRPr="00B33889" w:rsidRDefault="00D31EA2" w:rsidP="00410442">
            <w:pPr>
              <w:rPr>
                <w:rFonts w:ascii="Arial" w:hAnsi="Arial" w:cs="Arial"/>
              </w:rPr>
            </w:pPr>
            <w:r w:rsidRPr="00B33889">
              <w:rPr>
                <w:rFonts w:ascii="Arial" w:eastAsia="Verdana" w:hAnsi="Arial" w:cs="Arial"/>
                <w:b/>
                <w:color w:val="FFFFFF"/>
                <w:sz w:val="18"/>
              </w:rPr>
              <w:t>Service performance</w:t>
            </w:r>
          </w:p>
        </w:tc>
        <w:tc>
          <w:tcPr>
            <w:tcW w:w="2552" w:type="dxa"/>
            <w:shd w:val="clear" w:color="auto" w:fill="004EA8"/>
            <w:tcMar>
              <w:top w:w="40" w:type="dxa"/>
              <w:left w:w="80" w:type="dxa"/>
              <w:bottom w:w="40" w:type="dxa"/>
              <w:right w:w="40" w:type="dxa"/>
            </w:tcMar>
            <w:vAlign w:val="center"/>
          </w:tcPr>
          <w:p w14:paraId="14DF63BB" w14:textId="77777777" w:rsidR="00D31EA2" w:rsidRDefault="00D31EA2" w:rsidP="00410442">
            <w:pPr>
              <w:rPr>
                <w:rFonts w:ascii="Arial" w:hAnsi="Arial" w:cs="Arial"/>
                <w:b/>
                <w:bCs/>
                <w:color w:val="FFFFFF"/>
                <w:sz w:val="18"/>
                <w:szCs w:val="18"/>
                <w:lang w:eastAsia="en-AU"/>
              </w:rPr>
            </w:pPr>
            <w:r>
              <w:rPr>
                <w:rFonts w:ascii="Arial" w:hAnsi="Arial" w:cs="Arial"/>
                <w:b/>
                <w:bCs/>
                <w:color w:val="FFFFFF"/>
                <w:sz w:val="18"/>
                <w:szCs w:val="18"/>
              </w:rPr>
              <w:t>Population</w:t>
            </w:r>
          </w:p>
        </w:tc>
        <w:tc>
          <w:tcPr>
            <w:tcW w:w="1159" w:type="dxa"/>
            <w:shd w:val="clear" w:color="auto" w:fill="004EA8"/>
            <w:vAlign w:val="center"/>
          </w:tcPr>
          <w:p w14:paraId="5901A8D7"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2015–16</w:t>
            </w:r>
          </w:p>
        </w:tc>
        <w:tc>
          <w:tcPr>
            <w:tcW w:w="1160" w:type="dxa"/>
            <w:shd w:val="clear" w:color="auto" w:fill="004EA8"/>
            <w:vAlign w:val="center"/>
          </w:tcPr>
          <w:p w14:paraId="2FB72AE1"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2016–17</w:t>
            </w:r>
          </w:p>
        </w:tc>
        <w:tc>
          <w:tcPr>
            <w:tcW w:w="1160" w:type="dxa"/>
            <w:shd w:val="clear" w:color="auto" w:fill="004EA8"/>
            <w:tcMar>
              <w:top w:w="40" w:type="dxa"/>
              <w:left w:w="80" w:type="dxa"/>
              <w:bottom w:w="60" w:type="dxa"/>
              <w:right w:w="40" w:type="dxa"/>
            </w:tcMar>
            <w:vAlign w:val="center"/>
          </w:tcPr>
          <w:p w14:paraId="20F4CD5C"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2017–18</w:t>
            </w:r>
          </w:p>
        </w:tc>
        <w:tc>
          <w:tcPr>
            <w:tcW w:w="1160" w:type="dxa"/>
            <w:shd w:val="clear" w:color="auto" w:fill="004EA8"/>
            <w:tcMar>
              <w:top w:w="40" w:type="dxa"/>
              <w:left w:w="80" w:type="dxa"/>
              <w:bottom w:w="60" w:type="dxa"/>
              <w:right w:w="40" w:type="dxa"/>
            </w:tcMar>
            <w:vAlign w:val="center"/>
          </w:tcPr>
          <w:p w14:paraId="6A77112B"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2018–19</w:t>
            </w:r>
          </w:p>
        </w:tc>
        <w:tc>
          <w:tcPr>
            <w:tcW w:w="1160" w:type="dxa"/>
            <w:shd w:val="clear" w:color="auto" w:fill="004EA8"/>
            <w:tcMar>
              <w:top w:w="40" w:type="dxa"/>
              <w:left w:w="80" w:type="dxa"/>
              <w:bottom w:w="60" w:type="dxa"/>
              <w:right w:w="40" w:type="dxa"/>
            </w:tcMar>
            <w:vAlign w:val="center"/>
          </w:tcPr>
          <w:p w14:paraId="74DA9B26"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2019–20</w:t>
            </w:r>
          </w:p>
        </w:tc>
      </w:tr>
      <w:tr w:rsidR="00D31EA2" w14:paraId="72FDF2EC" w14:textId="77777777" w:rsidTr="00311585">
        <w:trPr>
          <w:trHeight w:val="240"/>
        </w:trPr>
        <w:tc>
          <w:tcPr>
            <w:tcW w:w="2952" w:type="dxa"/>
            <w:vMerge w:val="restart"/>
            <w:tcMar>
              <w:top w:w="40" w:type="dxa"/>
              <w:left w:w="120" w:type="dxa"/>
              <w:bottom w:w="40" w:type="dxa"/>
              <w:right w:w="40" w:type="dxa"/>
            </w:tcMar>
          </w:tcPr>
          <w:p w14:paraId="7FAFC2F8"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Re-admission to inpatient rate 28 day (lagged 1 month)</w:t>
            </w:r>
          </w:p>
        </w:tc>
        <w:tc>
          <w:tcPr>
            <w:tcW w:w="2552" w:type="dxa"/>
            <w:tcMar>
              <w:top w:w="40" w:type="dxa"/>
              <w:left w:w="80" w:type="dxa"/>
              <w:bottom w:w="40" w:type="dxa"/>
              <w:right w:w="40" w:type="dxa"/>
            </w:tcMar>
          </w:tcPr>
          <w:p w14:paraId="14D7B3A9" w14:textId="77777777" w:rsidR="00D31EA2" w:rsidRDefault="00D31EA2" w:rsidP="00410442">
            <w:pPr>
              <w:rPr>
                <w:rFonts w:ascii="Arial" w:hAnsi="Arial" w:cs="Arial"/>
                <w:color w:val="000000"/>
                <w:sz w:val="18"/>
                <w:szCs w:val="18"/>
              </w:rPr>
            </w:pPr>
            <w:r>
              <w:rPr>
                <w:rFonts w:ascii="Arial" w:hAnsi="Arial" w:cs="Arial"/>
                <w:color w:val="000000"/>
                <w:sz w:val="18"/>
                <w:szCs w:val="18"/>
              </w:rPr>
              <w:t>Adult</w:t>
            </w:r>
          </w:p>
        </w:tc>
        <w:tc>
          <w:tcPr>
            <w:tcW w:w="1159" w:type="dxa"/>
            <w:tcMar>
              <w:top w:w="43" w:type="dxa"/>
              <w:left w:w="86" w:type="dxa"/>
              <w:bottom w:w="58" w:type="dxa"/>
              <w:right w:w="43" w:type="dxa"/>
            </w:tcMar>
          </w:tcPr>
          <w:p w14:paraId="32141A4F" w14:textId="77777777" w:rsidR="00D31EA2" w:rsidRDefault="00D31EA2" w:rsidP="00410442">
            <w:pPr>
              <w:rPr>
                <w:rFonts w:ascii="Arial" w:hAnsi="Arial" w:cs="Arial"/>
                <w:color w:val="000000"/>
                <w:sz w:val="18"/>
                <w:szCs w:val="18"/>
              </w:rPr>
            </w:pPr>
            <w:r>
              <w:rPr>
                <w:rFonts w:ascii="Arial" w:hAnsi="Arial" w:cs="Arial"/>
                <w:color w:val="000000"/>
                <w:sz w:val="18"/>
                <w:szCs w:val="18"/>
              </w:rPr>
              <w:t>14.9%</w:t>
            </w:r>
          </w:p>
        </w:tc>
        <w:tc>
          <w:tcPr>
            <w:tcW w:w="1160" w:type="dxa"/>
            <w:tcMar>
              <w:top w:w="43" w:type="dxa"/>
              <w:left w:w="86" w:type="dxa"/>
              <w:bottom w:w="58" w:type="dxa"/>
              <w:right w:w="43" w:type="dxa"/>
            </w:tcMar>
          </w:tcPr>
          <w:p w14:paraId="48422037" w14:textId="77777777" w:rsidR="00D31EA2" w:rsidRDefault="00D31EA2" w:rsidP="00410442">
            <w:pPr>
              <w:rPr>
                <w:rFonts w:ascii="Arial" w:hAnsi="Arial" w:cs="Arial"/>
                <w:color w:val="000000"/>
                <w:sz w:val="18"/>
                <w:szCs w:val="18"/>
              </w:rPr>
            </w:pPr>
            <w:r>
              <w:rPr>
                <w:rFonts w:ascii="Arial" w:hAnsi="Arial" w:cs="Arial"/>
                <w:color w:val="000000"/>
                <w:sz w:val="18"/>
                <w:szCs w:val="18"/>
              </w:rPr>
              <w:t>14.3%</w:t>
            </w:r>
          </w:p>
        </w:tc>
        <w:tc>
          <w:tcPr>
            <w:tcW w:w="1160" w:type="dxa"/>
            <w:tcMar>
              <w:top w:w="40" w:type="dxa"/>
              <w:left w:w="80" w:type="dxa"/>
              <w:bottom w:w="60" w:type="dxa"/>
              <w:right w:w="40" w:type="dxa"/>
            </w:tcMar>
          </w:tcPr>
          <w:p w14:paraId="2BDABDD1" w14:textId="77777777" w:rsidR="00D31EA2" w:rsidRDefault="00D31EA2" w:rsidP="00410442">
            <w:pPr>
              <w:rPr>
                <w:rFonts w:ascii="Arial" w:hAnsi="Arial" w:cs="Arial"/>
                <w:color w:val="000000"/>
                <w:sz w:val="18"/>
                <w:szCs w:val="18"/>
              </w:rPr>
            </w:pPr>
            <w:r>
              <w:rPr>
                <w:rFonts w:ascii="Arial" w:hAnsi="Arial" w:cs="Arial"/>
                <w:color w:val="000000"/>
                <w:sz w:val="18"/>
                <w:szCs w:val="18"/>
              </w:rPr>
              <w:t>14.5%</w:t>
            </w:r>
          </w:p>
        </w:tc>
        <w:tc>
          <w:tcPr>
            <w:tcW w:w="1160" w:type="dxa"/>
            <w:tcMar>
              <w:top w:w="40" w:type="dxa"/>
              <w:left w:w="80" w:type="dxa"/>
              <w:bottom w:w="60" w:type="dxa"/>
              <w:right w:w="40" w:type="dxa"/>
            </w:tcMar>
          </w:tcPr>
          <w:p w14:paraId="01B0BA9E" w14:textId="77777777" w:rsidR="00D31EA2" w:rsidRDefault="00D31EA2" w:rsidP="00410442">
            <w:pPr>
              <w:rPr>
                <w:rFonts w:ascii="Arial" w:hAnsi="Arial" w:cs="Arial"/>
                <w:color w:val="000000"/>
                <w:sz w:val="18"/>
                <w:szCs w:val="18"/>
              </w:rPr>
            </w:pPr>
            <w:r>
              <w:rPr>
                <w:rFonts w:ascii="Arial" w:hAnsi="Arial" w:cs="Arial"/>
                <w:color w:val="000000"/>
                <w:sz w:val="18"/>
                <w:szCs w:val="18"/>
              </w:rPr>
              <w:t>13.7%</w:t>
            </w:r>
          </w:p>
        </w:tc>
        <w:tc>
          <w:tcPr>
            <w:tcW w:w="1160" w:type="dxa"/>
            <w:tcMar>
              <w:top w:w="40" w:type="dxa"/>
              <w:left w:w="80" w:type="dxa"/>
              <w:bottom w:w="60" w:type="dxa"/>
              <w:right w:w="40" w:type="dxa"/>
            </w:tcMar>
          </w:tcPr>
          <w:p w14:paraId="73F40202" w14:textId="77777777" w:rsidR="00D31EA2" w:rsidRDefault="00D31EA2" w:rsidP="00410442">
            <w:pPr>
              <w:rPr>
                <w:rFonts w:ascii="Arial" w:hAnsi="Arial" w:cs="Arial"/>
                <w:color w:val="000000"/>
                <w:sz w:val="18"/>
                <w:szCs w:val="18"/>
              </w:rPr>
            </w:pPr>
            <w:r>
              <w:rPr>
                <w:rFonts w:ascii="Arial" w:hAnsi="Arial" w:cs="Arial"/>
                <w:color w:val="000000"/>
                <w:sz w:val="18"/>
                <w:szCs w:val="18"/>
              </w:rPr>
              <w:t>14.6%</w:t>
            </w:r>
          </w:p>
        </w:tc>
      </w:tr>
      <w:tr w:rsidR="00D31EA2" w14:paraId="3EB59F2A" w14:textId="77777777" w:rsidTr="00311585">
        <w:trPr>
          <w:trHeight w:val="240"/>
        </w:trPr>
        <w:tc>
          <w:tcPr>
            <w:tcW w:w="2952" w:type="dxa"/>
            <w:vMerge/>
            <w:tcMar>
              <w:top w:w="40" w:type="dxa"/>
              <w:left w:w="120" w:type="dxa"/>
              <w:bottom w:w="40" w:type="dxa"/>
              <w:right w:w="40" w:type="dxa"/>
            </w:tcMar>
          </w:tcPr>
          <w:p w14:paraId="135D43BE" w14:textId="77777777" w:rsidR="00D31EA2" w:rsidRPr="00AA148D" w:rsidRDefault="00D31EA2" w:rsidP="00410442">
            <w:pPr>
              <w:rPr>
                <w:rFonts w:ascii="Arial" w:hAnsi="Arial" w:cs="Arial"/>
                <w:sz w:val="18"/>
                <w:szCs w:val="18"/>
              </w:rPr>
            </w:pPr>
          </w:p>
        </w:tc>
        <w:tc>
          <w:tcPr>
            <w:tcW w:w="2552" w:type="dxa"/>
            <w:tcMar>
              <w:top w:w="40" w:type="dxa"/>
              <w:left w:w="80" w:type="dxa"/>
              <w:bottom w:w="40" w:type="dxa"/>
              <w:right w:w="40" w:type="dxa"/>
            </w:tcMar>
          </w:tcPr>
          <w:p w14:paraId="7BFC9B2C" w14:textId="77777777" w:rsidR="00D31EA2" w:rsidRDefault="00D31EA2" w:rsidP="00410442">
            <w:pPr>
              <w:rPr>
                <w:rFonts w:ascii="Arial" w:hAnsi="Arial" w:cs="Arial"/>
                <w:color w:val="000000"/>
                <w:sz w:val="18"/>
                <w:szCs w:val="18"/>
              </w:rPr>
            </w:pPr>
            <w:r>
              <w:rPr>
                <w:rFonts w:ascii="Arial" w:hAnsi="Arial" w:cs="Arial"/>
                <w:color w:val="000000"/>
                <w:sz w:val="18"/>
                <w:szCs w:val="18"/>
              </w:rPr>
              <w:t>Aged</w:t>
            </w:r>
          </w:p>
        </w:tc>
        <w:tc>
          <w:tcPr>
            <w:tcW w:w="1159" w:type="dxa"/>
            <w:tcMar>
              <w:top w:w="43" w:type="dxa"/>
              <w:left w:w="86" w:type="dxa"/>
              <w:bottom w:w="58" w:type="dxa"/>
              <w:right w:w="43" w:type="dxa"/>
            </w:tcMar>
          </w:tcPr>
          <w:p w14:paraId="24D9EE4F" w14:textId="77777777" w:rsidR="00D31EA2" w:rsidRDefault="00D31EA2" w:rsidP="00410442">
            <w:pPr>
              <w:rPr>
                <w:rFonts w:ascii="Arial" w:hAnsi="Arial" w:cs="Arial"/>
                <w:color w:val="000000"/>
                <w:sz w:val="18"/>
                <w:szCs w:val="18"/>
              </w:rPr>
            </w:pPr>
            <w:r>
              <w:rPr>
                <w:rFonts w:ascii="Arial" w:hAnsi="Arial" w:cs="Arial"/>
                <w:color w:val="000000"/>
                <w:sz w:val="18"/>
                <w:szCs w:val="18"/>
              </w:rPr>
              <w:t>7.0%</w:t>
            </w:r>
          </w:p>
        </w:tc>
        <w:tc>
          <w:tcPr>
            <w:tcW w:w="1160" w:type="dxa"/>
            <w:tcMar>
              <w:top w:w="43" w:type="dxa"/>
              <w:left w:w="86" w:type="dxa"/>
              <w:bottom w:w="58" w:type="dxa"/>
              <w:right w:w="43" w:type="dxa"/>
            </w:tcMar>
          </w:tcPr>
          <w:p w14:paraId="579801F9" w14:textId="77777777" w:rsidR="00D31EA2" w:rsidRDefault="00D31EA2" w:rsidP="00410442">
            <w:pPr>
              <w:rPr>
                <w:rFonts w:ascii="Arial" w:hAnsi="Arial" w:cs="Arial"/>
                <w:color w:val="000000"/>
                <w:sz w:val="18"/>
                <w:szCs w:val="18"/>
              </w:rPr>
            </w:pPr>
            <w:r>
              <w:rPr>
                <w:rFonts w:ascii="Arial" w:hAnsi="Arial" w:cs="Arial"/>
                <w:color w:val="000000"/>
                <w:sz w:val="18"/>
                <w:szCs w:val="18"/>
              </w:rPr>
              <w:t>6.8%</w:t>
            </w:r>
          </w:p>
        </w:tc>
        <w:tc>
          <w:tcPr>
            <w:tcW w:w="1160" w:type="dxa"/>
            <w:tcMar>
              <w:top w:w="40" w:type="dxa"/>
              <w:left w:w="80" w:type="dxa"/>
              <w:bottom w:w="60" w:type="dxa"/>
              <w:right w:w="40" w:type="dxa"/>
            </w:tcMar>
          </w:tcPr>
          <w:p w14:paraId="7D908CEA" w14:textId="77777777" w:rsidR="00D31EA2" w:rsidRDefault="00D31EA2" w:rsidP="00410442">
            <w:pPr>
              <w:rPr>
                <w:rFonts w:ascii="Arial" w:hAnsi="Arial" w:cs="Arial"/>
                <w:color w:val="000000"/>
                <w:sz w:val="18"/>
                <w:szCs w:val="18"/>
              </w:rPr>
            </w:pPr>
            <w:r>
              <w:rPr>
                <w:rFonts w:ascii="Arial" w:hAnsi="Arial" w:cs="Arial"/>
                <w:color w:val="000000"/>
                <w:sz w:val="18"/>
                <w:szCs w:val="18"/>
              </w:rPr>
              <w:t>8.5%</w:t>
            </w:r>
          </w:p>
        </w:tc>
        <w:tc>
          <w:tcPr>
            <w:tcW w:w="1160" w:type="dxa"/>
            <w:tcMar>
              <w:top w:w="40" w:type="dxa"/>
              <w:left w:w="80" w:type="dxa"/>
              <w:bottom w:w="60" w:type="dxa"/>
              <w:right w:w="40" w:type="dxa"/>
            </w:tcMar>
          </w:tcPr>
          <w:p w14:paraId="2D7AD695" w14:textId="77777777" w:rsidR="00D31EA2" w:rsidRDefault="00D31EA2" w:rsidP="00410442">
            <w:pPr>
              <w:rPr>
                <w:rFonts w:ascii="Arial" w:hAnsi="Arial" w:cs="Arial"/>
                <w:color w:val="000000"/>
                <w:sz w:val="18"/>
                <w:szCs w:val="18"/>
              </w:rPr>
            </w:pPr>
            <w:r>
              <w:rPr>
                <w:rFonts w:ascii="Arial" w:hAnsi="Arial" w:cs="Arial"/>
                <w:color w:val="000000"/>
                <w:sz w:val="18"/>
                <w:szCs w:val="18"/>
              </w:rPr>
              <w:t>7.6%</w:t>
            </w:r>
          </w:p>
        </w:tc>
        <w:tc>
          <w:tcPr>
            <w:tcW w:w="1160" w:type="dxa"/>
            <w:tcMar>
              <w:top w:w="40" w:type="dxa"/>
              <w:left w:w="80" w:type="dxa"/>
              <w:bottom w:w="60" w:type="dxa"/>
              <w:right w:w="40" w:type="dxa"/>
            </w:tcMar>
          </w:tcPr>
          <w:p w14:paraId="5C86E96B" w14:textId="77777777" w:rsidR="00D31EA2" w:rsidRDefault="00D31EA2" w:rsidP="00410442">
            <w:pPr>
              <w:rPr>
                <w:rFonts w:ascii="Arial" w:hAnsi="Arial" w:cs="Arial"/>
                <w:color w:val="000000"/>
                <w:sz w:val="18"/>
                <w:szCs w:val="18"/>
              </w:rPr>
            </w:pPr>
            <w:r>
              <w:rPr>
                <w:rFonts w:ascii="Arial" w:hAnsi="Arial" w:cs="Arial"/>
                <w:color w:val="000000"/>
                <w:sz w:val="18"/>
                <w:szCs w:val="18"/>
              </w:rPr>
              <w:t>9.1%</w:t>
            </w:r>
          </w:p>
        </w:tc>
      </w:tr>
      <w:tr w:rsidR="00D31EA2" w14:paraId="0A91A49C" w14:textId="77777777" w:rsidTr="00311585">
        <w:trPr>
          <w:trHeight w:val="240"/>
        </w:trPr>
        <w:tc>
          <w:tcPr>
            <w:tcW w:w="2952" w:type="dxa"/>
            <w:vMerge/>
            <w:tcMar>
              <w:top w:w="40" w:type="dxa"/>
              <w:left w:w="120" w:type="dxa"/>
              <w:bottom w:w="40" w:type="dxa"/>
              <w:right w:w="40" w:type="dxa"/>
            </w:tcMar>
          </w:tcPr>
          <w:p w14:paraId="58A7DA4F" w14:textId="77777777" w:rsidR="00D31EA2" w:rsidRPr="00AA148D" w:rsidRDefault="00D31EA2" w:rsidP="00410442">
            <w:pPr>
              <w:rPr>
                <w:rFonts w:ascii="Arial" w:hAnsi="Arial" w:cs="Arial"/>
                <w:sz w:val="18"/>
                <w:szCs w:val="18"/>
              </w:rPr>
            </w:pPr>
          </w:p>
        </w:tc>
        <w:tc>
          <w:tcPr>
            <w:tcW w:w="2552" w:type="dxa"/>
            <w:tcMar>
              <w:top w:w="40" w:type="dxa"/>
              <w:left w:w="80" w:type="dxa"/>
              <w:bottom w:w="40" w:type="dxa"/>
              <w:right w:w="40" w:type="dxa"/>
            </w:tcMar>
          </w:tcPr>
          <w:p w14:paraId="3A6EF08D" w14:textId="77777777" w:rsidR="00D31EA2" w:rsidRDefault="00D31EA2" w:rsidP="00410442">
            <w:pPr>
              <w:rPr>
                <w:rFonts w:ascii="Arial" w:hAnsi="Arial" w:cs="Arial"/>
                <w:color w:val="000000"/>
                <w:sz w:val="18"/>
                <w:szCs w:val="18"/>
              </w:rPr>
            </w:pPr>
            <w:r>
              <w:rPr>
                <w:rFonts w:ascii="Arial" w:hAnsi="Arial" w:cs="Arial"/>
                <w:color w:val="000000"/>
                <w:sz w:val="18"/>
                <w:szCs w:val="18"/>
              </w:rPr>
              <w:t>CAMHS</w:t>
            </w:r>
          </w:p>
        </w:tc>
        <w:tc>
          <w:tcPr>
            <w:tcW w:w="1159" w:type="dxa"/>
            <w:tcMar>
              <w:top w:w="43" w:type="dxa"/>
              <w:left w:w="86" w:type="dxa"/>
              <w:bottom w:w="58" w:type="dxa"/>
              <w:right w:w="43" w:type="dxa"/>
            </w:tcMar>
          </w:tcPr>
          <w:p w14:paraId="4D0F219F" w14:textId="77777777" w:rsidR="00D31EA2" w:rsidRDefault="00D31EA2" w:rsidP="00410442">
            <w:pPr>
              <w:rPr>
                <w:rFonts w:ascii="Arial" w:hAnsi="Arial" w:cs="Arial"/>
                <w:color w:val="000000"/>
                <w:sz w:val="18"/>
                <w:szCs w:val="18"/>
              </w:rPr>
            </w:pPr>
            <w:r>
              <w:rPr>
                <w:rFonts w:ascii="Arial" w:hAnsi="Arial" w:cs="Arial"/>
                <w:color w:val="000000"/>
                <w:sz w:val="18"/>
                <w:szCs w:val="18"/>
              </w:rPr>
              <w:t>16.8%</w:t>
            </w:r>
          </w:p>
        </w:tc>
        <w:tc>
          <w:tcPr>
            <w:tcW w:w="1160" w:type="dxa"/>
            <w:tcMar>
              <w:top w:w="43" w:type="dxa"/>
              <w:left w:w="86" w:type="dxa"/>
              <w:bottom w:w="58" w:type="dxa"/>
              <w:right w:w="43" w:type="dxa"/>
            </w:tcMar>
          </w:tcPr>
          <w:p w14:paraId="5889A6C7" w14:textId="77777777" w:rsidR="00D31EA2" w:rsidRDefault="00D31EA2" w:rsidP="00410442">
            <w:pPr>
              <w:rPr>
                <w:rFonts w:ascii="Arial" w:hAnsi="Arial" w:cs="Arial"/>
                <w:color w:val="000000"/>
                <w:sz w:val="18"/>
                <w:szCs w:val="18"/>
              </w:rPr>
            </w:pPr>
            <w:r>
              <w:rPr>
                <w:rFonts w:ascii="Arial" w:hAnsi="Arial" w:cs="Arial"/>
                <w:color w:val="000000"/>
                <w:sz w:val="18"/>
                <w:szCs w:val="18"/>
              </w:rPr>
              <w:t>17.6%</w:t>
            </w:r>
          </w:p>
        </w:tc>
        <w:tc>
          <w:tcPr>
            <w:tcW w:w="1160" w:type="dxa"/>
            <w:tcMar>
              <w:top w:w="40" w:type="dxa"/>
              <w:left w:w="80" w:type="dxa"/>
              <w:bottom w:w="60" w:type="dxa"/>
              <w:right w:w="40" w:type="dxa"/>
            </w:tcMar>
          </w:tcPr>
          <w:p w14:paraId="33D00E37" w14:textId="77777777" w:rsidR="00D31EA2" w:rsidRDefault="00D31EA2" w:rsidP="00410442">
            <w:pPr>
              <w:rPr>
                <w:rFonts w:ascii="Arial" w:hAnsi="Arial" w:cs="Arial"/>
                <w:color w:val="000000"/>
                <w:sz w:val="18"/>
                <w:szCs w:val="18"/>
              </w:rPr>
            </w:pPr>
            <w:r>
              <w:rPr>
                <w:rFonts w:ascii="Arial" w:hAnsi="Arial" w:cs="Arial"/>
                <w:color w:val="000000"/>
                <w:sz w:val="18"/>
                <w:szCs w:val="18"/>
              </w:rPr>
              <w:t>19.4%</w:t>
            </w:r>
          </w:p>
        </w:tc>
        <w:tc>
          <w:tcPr>
            <w:tcW w:w="1160" w:type="dxa"/>
            <w:tcMar>
              <w:top w:w="40" w:type="dxa"/>
              <w:left w:w="80" w:type="dxa"/>
              <w:bottom w:w="60" w:type="dxa"/>
              <w:right w:w="40" w:type="dxa"/>
            </w:tcMar>
          </w:tcPr>
          <w:p w14:paraId="4FBE195D" w14:textId="77777777" w:rsidR="00D31EA2" w:rsidRDefault="00D31EA2" w:rsidP="00410442">
            <w:pPr>
              <w:rPr>
                <w:rFonts w:ascii="Arial" w:hAnsi="Arial" w:cs="Arial"/>
                <w:color w:val="000000"/>
                <w:sz w:val="18"/>
                <w:szCs w:val="18"/>
              </w:rPr>
            </w:pPr>
            <w:r>
              <w:rPr>
                <w:rFonts w:ascii="Arial" w:hAnsi="Arial" w:cs="Arial"/>
                <w:color w:val="000000"/>
                <w:sz w:val="18"/>
                <w:szCs w:val="18"/>
              </w:rPr>
              <w:t>19.9%</w:t>
            </w:r>
          </w:p>
        </w:tc>
        <w:tc>
          <w:tcPr>
            <w:tcW w:w="1160" w:type="dxa"/>
            <w:tcMar>
              <w:top w:w="40" w:type="dxa"/>
              <w:left w:w="80" w:type="dxa"/>
              <w:bottom w:w="60" w:type="dxa"/>
              <w:right w:w="40" w:type="dxa"/>
            </w:tcMar>
          </w:tcPr>
          <w:p w14:paraId="4ADFE644" w14:textId="77777777" w:rsidR="00D31EA2" w:rsidRDefault="00D31EA2" w:rsidP="00410442">
            <w:pPr>
              <w:rPr>
                <w:rFonts w:ascii="Arial" w:hAnsi="Arial" w:cs="Arial"/>
                <w:color w:val="000000"/>
                <w:sz w:val="18"/>
                <w:szCs w:val="18"/>
              </w:rPr>
            </w:pPr>
            <w:r>
              <w:rPr>
                <w:rFonts w:ascii="Arial" w:hAnsi="Arial" w:cs="Arial"/>
                <w:color w:val="000000"/>
                <w:sz w:val="18"/>
                <w:szCs w:val="18"/>
              </w:rPr>
              <w:t>21.8%</w:t>
            </w:r>
          </w:p>
        </w:tc>
      </w:tr>
      <w:tr w:rsidR="00D31EA2" w14:paraId="0D75CD71" w14:textId="77777777" w:rsidTr="00311585">
        <w:trPr>
          <w:trHeight w:val="240"/>
        </w:trPr>
        <w:tc>
          <w:tcPr>
            <w:tcW w:w="2952" w:type="dxa"/>
            <w:vMerge/>
            <w:tcMar>
              <w:top w:w="40" w:type="dxa"/>
              <w:left w:w="120" w:type="dxa"/>
              <w:bottom w:w="40" w:type="dxa"/>
              <w:right w:w="40" w:type="dxa"/>
            </w:tcMar>
          </w:tcPr>
          <w:p w14:paraId="1064A95A" w14:textId="77777777" w:rsidR="00D31EA2" w:rsidRPr="00AA148D" w:rsidRDefault="00D31EA2" w:rsidP="00410442">
            <w:pPr>
              <w:rPr>
                <w:rFonts w:ascii="Arial" w:hAnsi="Arial" w:cs="Arial"/>
                <w:sz w:val="18"/>
                <w:szCs w:val="18"/>
              </w:rPr>
            </w:pPr>
          </w:p>
        </w:tc>
        <w:tc>
          <w:tcPr>
            <w:tcW w:w="2552" w:type="dxa"/>
            <w:tcMar>
              <w:top w:w="40" w:type="dxa"/>
              <w:left w:w="80" w:type="dxa"/>
              <w:bottom w:w="40" w:type="dxa"/>
              <w:right w:w="40" w:type="dxa"/>
            </w:tcMar>
          </w:tcPr>
          <w:p w14:paraId="00C18969" w14:textId="77777777" w:rsidR="00D31EA2" w:rsidRDefault="00D31EA2" w:rsidP="00410442">
            <w:pPr>
              <w:rPr>
                <w:rFonts w:ascii="Arial" w:hAnsi="Arial" w:cs="Arial"/>
                <w:color w:val="000000"/>
                <w:sz w:val="18"/>
                <w:szCs w:val="18"/>
              </w:rPr>
            </w:pPr>
            <w:r>
              <w:rPr>
                <w:rFonts w:ascii="Arial" w:hAnsi="Arial" w:cs="Arial"/>
                <w:color w:val="000000"/>
                <w:sz w:val="18"/>
                <w:szCs w:val="18"/>
              </w:rPr>
              <w:t>Forensic</w:t>
            </w:r>
          </w:p>
        </w:tc>
        <w:tc>
          <w:tcPr>
            <w:tcW w:w="1159" w:type="dxa"/>
            <w:tcMar>
              <w:top w:w="43" w:type="dxa"/>
              <w:left w:w="86" w:type="dxa"/>
              <w:bottom w:w="58" w:type="dxa"/>
              <w:right w:w="43" w:type="dxa"/>
            </w:tcMar>
          </w:tcPr>
          <w:p w14:paraId="1BC13EF7" w14:textId="77777777" w:rsidR="00D31EA2" w:rsidRDefault="00D31EA2" w:rsidP="00410442">
            <w:pPr>
              <w:rPr>
                <w:rFonts w:ascii="Arial" w:hAnsi="Arial" w:cs="Arial"/>
                <w:color w:val="000000"/>
                <w:sz w:val="18"/>
                <w:szCs w:val="18"/>
              </w:rPr>
            </w:pPr>
            <w:r>
              <w:rPr>
                <w:rFonts w:ascii="Arial" w:hAnsi="Arial" w:cs="Arial"/>
                <w:color w:val="000000"/>
                <w:sz w:val="18"/>
                <w:szCs w:val="18"/>
              </w:rPr>
              <w:t>10.0%</w:t>
            </w:r>
          </w:p>
        </w:tc>
        <w:tc>
          <w:tcPr>
            <w:tcW w:w="1160" w:type="dxa"/>
            <w:tcMar>
              <w:top w:w="43" w:type="dxa"/>
              <w:left w:w="86" w:type="dxa"/>
              <w:bottom w:w="58" w:type="dxa"/>
              <w:right w:w="43" w:type="dxa"/>
            </w:tcMar>
          </w:tcPr>
          <w:p w14:paraId="5F993796" w14:textId="77777777" w:rsidR="00D31EA2" w:rsidRDefault="00D31EA2" w:rsidP="00410442">
            <w:pPr>
              <w:rPr>
                <w:rFonts w:ascii="Arial" w:hAnsi="Arial" w:cs="Arial"/>
                <w:color w:val="000000"/>
                <w:sz w:val="18"/>
                <w:szCs w:val="18"/>
              </w:rPr>
            </w:pPr>
            <w:r>
              <w:rPr>
                <w:rFonts w:ascii="Arial" w:hAnsi="Arial" w:cs="Arial"/>
                <w:color w:val="000000"/>
                <w:sz w:val="18"/>
                <w:szCs w:val="18"/>
              </w:rPr>
              <w:t>12.3%</w:t>
            </w:r>
          </w:p>
        </w:tc>
        <w:tc>
          <w:tcPr>
            <w:tcW w:w="1160" w:type="dxa"/>
            <w:tcMar>
              <w:top w:w="40" w:type="dxa"/>
              <w:left w:w="80" w:type="dxa"/>
              <w:bottom w:w="60" w:type="dxa"/>
              <w:right w:w="40" w:type="dxa"/>
            </w:tcMar>
          </w:tcPr>
          <w:p w14:paraId="13F66121" w14:textId="77777777" w:rsidR="00D31EA2" w:rsidRDefault="00D31EA2" w:rsidP="00410442">
            <w:pPr>
              <w:rPr>
                <w:rFonts w:ascii="Arial" w:hAnsi="Arial" w:cs="Arial"/>
                <w:color w:val="000000"/>
                <w:sz w:val="18"/>
                <w:szCs w:val="18"/>
              </w:rPr>
            </w:pPr>
            <w:r>
              <w:rPr>
                <w:rFonts w:ascii="Arial" w:hAnsi="Arial" w:cs="Arial"/>
                <w:color w:val="000000"/>
                <w:sz w:val="18"/>
                <w:szCs w:val="18"/>
              </w:rPr>
              <w:t>7.8%</w:t>
            </w:r>
          </w:p>
        </w:tc>
        <w:tc>
          <w:tcPr>
            <w:tcW w:w="1160" w:type="dxa"/>
            <w:tcMar>
              <w:top w:w="40" w:type="dxa"/>
              <w:left w:w="80" w:type="dxa"/>
              <w:bottom w:w="60" w:type="dxa"/>
              <w:right w:w="40" w:type="dxa"/>
            </w:tcMar>
          </w:tcPr>
          <w:p w14:paraId="6DF8F2DF" w14:textId="77777777" w:rsidR="00D31EA2" w:rsidRDefault="00D31EA2" w:rsidP="00410442">
            <w:pPr>
              <w:rPr>
                <w:rFonts w:ascii="Arial" w:hAnsi="Arial" w:cs="Arial"/>
                <w:color w:val="000000"/>
                <w:sz w:val="18"/>
                <w:szCs w:val="18"/>
              </w:rPr>
            </w:pPr>
            <w:r>
              <w:rPr>
                <w:rFonts w:ascii="Arial" w:hAnsi="Arial" w:cs="Arial"/>
                <w:color w:val="000000"/>
                <w:sz w:val="18"/>
                <w:szCs w:val="18"/>
              </w:rPr>
              <w:t>6.0%</w:t>
            </w:r>
          </w:p>
        </w:tc>
        <w:tc>
          <w:tcPr>
            <w:tcW w:w="1160" w:type="dxa"/>
            <w:tcMar>
              <w:top w:w="40" w:type="dxa"/>
              <w:left w:w="80" w:type="dxa"/>
              <w:bottom w:w="60" w:type="dxa"/>
              <w:right w:w="40" w:type="dxa"/>
            </w:tcMar>
          </w:tcPr>
          <w:p w14:paraId="028A4496" w14:textId="77777777" w:rsidR="00D31EA2" w:rsidRDefault="00D31EA2" w:rsidP="00410442">
            <w:pPr>
              <w:rPr>
                <w:rFonts w:ascii="Arial" w:hAnsi="Arial" w:cs="Arial"/>
                <w:color w:val="000000"/>
                <w:sz w:val="18"/>
                <w:szCs w:val="18"/>
              </w:rPr>
            </w:pPr>
            <w:r>
              <w:rPr>
                <w:rFonts w:ascii="Arial" w:hAnsi="Arial" w:cs="Arial"/>
                <w:color w:val="000000"/>
                <w:sz w:val="18"/>
                <w:szCs w:val="18"/>
              </w:rPr>
              <w:t>7.5%</w:t>
            </w:r>
          </w:p>
        </w:tc>
      </w:tr>
      <w:tr w:rsidR="00D31EA2" w14:paraId="0A502206" w14:textId="77777777" w:rsidTr="00311585">
        <w:trPr>
          <w:trHeight w:val="240"/>
        </w:trPr>
        <w:tc>
          <w:tcPr>
            <w:tcW w:w="2952" w:type="dxa"/>
            <w:vMerge/>
            <w:tcMar>
              <w:top w:w="40" w:type="dxa"/>
              <w:left w:w="120" w:type="dxa"/>
              <w:bottom w:w="40" w:type="dxa"/>
              <w:right w:w="40" w:type="dxa"/>
            </w:tcMar>
          </w:tcPr>
          <w:p w14:paraId="7B571C33" w14:textId="77777777" w:rsidR="00D31EA2" w:rsidRPr="00AA148D" w:rsidRDefault="00D31EA2" w:rsidP="00410442">
            <w:pPr>
              <w:rPr>
                <w:rFonts w:ascii="Arial" w:hAnsi="Arial" w:cs="Arial"/>
                <w:sz w:val="18"/>
                <w:szCs w:val="18"/>
              </w:rPr>
            </w:pPr>
          </w:p>
        </w:tc>
        <w:tc>
          <w:tcPr>
            <w:tcW w:w="2552" w:type="dxa"/>
            <w:tcMar>
              <w:top w:w="40" w:type="dxa"/>
              <w:left w:w="80" w:type="dxa"/>
              <w:bottom w:w="40" w:type="dxa"/>
              <w:right w:w="40" w:type="dxa"/>
            </w:tcMar>
          </w:tcPr>
          <w:p w14:paraId="57E1D18E" w14:textId="77777777" w:rsidR="00D31EA2" w:rsidRDefault="00D31EA2" w:rsidP="00410442">
            <w:pPr>
              <w:rPr>
                <w:rFonts w:ascii="Arial" w:hAnsi="Arial" w:cs="Arial"/>
                <w:color w:val="000000"/>
                <w:sz w:val="18"/>
                <w:szCs w:val="18"/>
              </w:rPr>
            </w:pPr>
            <w:r>
              <w:rPr>
                <w:rFonts w:ascii="Arial" w:hAnsi="Arial" w:cs="Arial"/>
                <w:color w:val="000000"/>
                <w:sz w:val="18"/>
                <w:szCs w:val="18"/>
              </w:rPr>
              <w:t>Specialist</w:t>
            </w:r>
          </w:p>
        </w:tc>
        <w:tc>
          <w:tcPr>
            <w:tcW w:w="1159" w:type="dxa"/>
            <w:tcMar>
              <w:top w:w="43" w:type="dxa"/>
              <w:left w:w="86" w:type="dxa"/>
              <w:bottom w:w="58" w:type="dxa"/>
              <w:right w:w="43" w:type="dxa"/>
            </w:tcMar>
          </w:tcPr>
          <w:p w14:paraId="0D310656" w14:textId="77777777" w:rsidR="00D31EA2" w:rsidRDefault="00D31EA2" w:rsidP="00410442">
            <w:pPr>
              <w:rPr>
                <w:rFonts w:ascii="Arial" w:hAnsi="Arial" w:cs="Arial"/>
                <w:color w:val="000000"/>
                <w:sz w:val="18"/>
                <w:szCs w:val="18"/>
              </w:rPr>
            </w:pPr>
            <w:r>
              <w:rPr>
                <w:rFonts w:ascii="Arial" w:hAnsi="Arial" w:cs="Arial"/>
                <w:color w:val="000000"/>
                <w:sz w:val="18"/>
                <w:szCs w:val="18"/>
              </w:rPr>
              <w:t>2.0%</w:t>
            </w:r>
          </w:p>
        </w:tc>
        <w:tc>
          <w:tcPr>
            <w:tcW w:w="1160" w:type="dxa"/>
            <w:tcMar>
              <w:top w:w="43" w:type="dxa"/>
              <w:left w:w="86" w:type="dxa"/>
              <w:bottom w:w="58" w:type="dxa"/>
              <w:right w:w="43" w:type="dxa"/>
            </w:tcMar>
          </w:tcPr>
          <w:p w14:paraId="2CCCCB3D" w14:textId="77777777" w:rsidR="00D31EA2" w:rsidRDefault="00D31EA2" w:rsidP="00410442">
            <w:pPr>
              <w:rPr>
                <w:rFonts w:ascii="Arial" w:hAnsi="Arial" w:cs="Arial"/>
                <w:color w:val="000000"/>
                <w:sz w:val="18"/>
                <w:szCs w:val="18"/>
              </w:rPr>
            </w:pPr>
            <w:r>
              <w:rPr>
                <w:rFonts w:ascii="Arial" w:hAnsi="Arial" w:cs="Arial"/>
                <w:color w:val="000000"/>
                <w:sz w:val="18"/>
                <w:szCs w:val="18"/>
              </w:rPr>
              <w:t>2.0%</w:t>
            </w:r>
          </w:p>
        </w:tc>
        <w:tc>
          <w:tcPr>
            <w:tcW w:w="1160" w:type="dxa"/>
            <w:tcMar>
              <w:top w:w="40" w:type="dxa"/>
              <w:left w:w="80" w:type="dxa"/>
              <w:bottom w:w="60" w:type="dxa"/>
              <w:right w:w="40" w:type="dxa"/>
            </w:tcMar>
          </w:tcPr>
          <w:p w14:paraId="479DAD44" w14:textId="77777777" w:rsidR="00D31EA2" w:rsidRDefault="00D31EA2" w:rsidP="00410442">
            <w:pPr>
              <w:rPr>
                <w:rFonts w:ascii="Arial" w:hAnsi="Arial" w:cs="Arial"/>
                <w:color w:val="000000"/>
                <w:sz w:val="18"/>
                <w:szCs w:val="18"/>
              </w:rPr>
            </w:pPr>
            <w:r>
              <w:rPr>
                <w:rFonts w:ascii="Arial" w:hAnsi="Arial" w:cs="Arial"/>
                <w:color w:val="000000"/>
                <w:sz w:val="18"/>
                <w:szCs w:val="18"/>
              </w:rPr>
              <w:t>1.2%</w:t>
            </w:r>
          </w:p>
        </w:tc>
        <w:tc>
          <w:tcPr>
            <w:tcW w:w="1160" w:type="dxa"/>
            <w:tcMar>
              <w:top w:w="40" w:type="dxa"/>
              <w:left w:w="80" w:type="dxa"/>
              <w:bottom w:w="60" w:type="dxa"/>
              <w:right w:w="40" w:type="dxa"/>
            </w:tcMar>
          </w:tcPr>
          <w:p w14:paraId="070CD5D6" w14:textId="77777777" w:rsidR="00D31EA2" w:rsidRDefault="00D31EA2" w:rsidP="00410442">
            <w:pPr>
              <w:rPr>
                <w:rFonts w:ascii="Arial" w:hAnsi="Arial" w:cs="Arial"/>
                <w:color w:val="000000"/>
                <w:sz w:val="18"/>
                <w:szCs w:val="18"/>
              </w:rPr>
            </w:pPr>
            <w:r>
              <w:rPr>
                <w:rFonts w:ascii="Arial" w:hAnsi="Arial" w:cs="Arial"/>
                <w:color w:val="000000"/>
                <w:sz w:val="18"/>
                <w:szCs w:val="18"/>
              </w:rPr>
              <w:t>1.9%</w:t>
            </w:r>
          </w:p>
        </w:tc>
        <w:tc>
          <w:tcPr>
            <w:tcW w:w="1160" w:type="dxa"/>
            <w:tcMar>
              <w:top w:w="40" w:type="dxa"/>
              <w:left w:w="80" w:type="dxa"/>
              <w:bottom w:w="60" w:type="dxa"/>
              <w:right w:w="40" w:type="dxa"/>
            </w:tcMar>
          </w:tcPr>
          <w:p w14:paraId="127414D6" w14:textId="77777777" w:rsidR="00D31EA2" w:rsidRDefault="00D31EA2" w:rsidP="00410442">
            <w:pPr>
              <w:rPr>
                <w:rFonts w:ascii="Arial" w:hAnsi="Arial" w:cs="Arial"/>
                <w:color w:val="000000"/>
                <w:sz w:val="18"/>
                <w:szCs w:val="18"/>
              </w:rPr>
            </w:pPr>
            <w:r>
              <w:rPr>
                <w:rFonts w:ascii="Arial" w:hAnsi="Arial" w:cs="Arial"/>
                <w:color w:val="000000"/>
                <w:sz w:val="18"/>
                <w:szCs w:val="18"/>
              </w:rPr>
              <w:t>2.1%</w:t>
            </w:r>
          </w:p>
        </w:tc>
      </w:tr>
      <w:tr w:rsidR="00D31EA2" w14:paraId="6EBCEFB9" w14:textId="77777777" w:rsidTr="00311585">
        <w:trPr>
          <w:trHeight w:val="240"/>
        </w:trPr>
        <w:tc>
          <w:tcPr>
            <w:tcW w:w="2952" w:type="dxa"/>
            <w:vMerge/>
            <w:tcMar>
              <w:top w:w="40" w:type="dxa"/>
              <w:left w:w="120" w:type="dxa"/>
              <w:bottom w:w="40" w:type="dxa"/>
              <w:right w:w="40" w:type="dxa"/>
            </w:tcMar>
          </w:tcPr>
          <w:p w14:paraId="3F35F036" w14:textId="77777777" w:rsidR="00D31EA2" w:rsidRPr="00AA148D" w:rsidRDefault="00D31EA2" w:rsidP="00410442">
            <w:pPr>
              <w:rPr>
                <w:rFonts w:ascii="Arial" w:hAnsi="Arial" w:cs="Arial"/>
                <w:sz w:val="18"/>
                <w:szCs w:val="18"/>
              </w:rPr>
            </w:pPr>
          </w:p>
        </w:tc>
        <w:tc>
          <w:tcPr>
            <w:tcW w:w="2552" w:type="dxa"/>
            <w:shd w:val="clear" w:color="auto" w:fill="E0EAF5"/>
            <w:tcMar>
              <w:top w:w="40" w:type="dxa"/>
              <w:left w:w="80" w:type="dxa"/>
              <w:bottom w:w="40" w:type="dxa"/>
              <w:right w:w="40" w:type="dxa"/>
            </w:tcMar>
          </w:tcPr>
          <w:p w14:paraId="134D0BA8"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Total</w:t>
            </w:r>
          </w:p>
        </w:tc>
        <w:tc>
          <w:tcPr>
            <w:tcW w:w="1159" w:type="dxa"/>
            <w:shd w:val="clear" w:color="auto" w:fill="E0EAF5"/>
            <w:tcMar>
              <w:top w:w="43" w:type="dxa"/>
              <w:left w:w="86" w:type="dxa"/>
              <w:bottom w:w="58" w:type="dxa"/>
              <w:right w:w="43" w:type="dxa"/>
            </w:tcMar>
          </w:tcPr>
          <w:p w14:paraId="0DC4DCD0"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13.9%</w:t>
            </w:r>
          </w:p>
        </w:tc>
        <w:tc>
          <w:tcPr>
            <w:tcW w:w="1160" w:type="dxa"/>
            <w:shd w:val="clear" w:color="auto" w:fill="E0EAF5"/>
            <w:tcMar>
              <w:top w:w="43" w:type="dxa"/>
              <w:left w:w="86" w:type="dxa"/>
              <w:bottom w:w="58" w:type="dxa"/>
              <w:right w:w="43" w:type="dxa"/>
            </w:tcMar>
          </w:tcPr>
          <w:p w14:paraId="5457D48E"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13.4%</w:t>
            </w:r>
          </w:p>
        </w:tc>
        <w:tc>
          <w:tcPr>
            <w:tcW w:w="1160" w:type="dxa"/>
            <w:shd w:val="clear" w:color="auto" w:fill="E0EAF5"/>
            <w:tcMar>
              <w:top w:w="40" w:type="dxa"/>
              <w:left w:w="80" w:type="dxa"/>
              <w:bottom w:w="60" w:type="dxa"/>
              <w:right w:w="40" w:type="dxa"/>
            </w:tcMar>
          </w:tcPr>
          <w:p w14:paraId="48821FE1"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13.8%</w:t>
            </w:r>
          </w:p>
        </w:tc>
        <w:tc>
          <w:tcPr>
            <w:tcW w:w="1160" w:type="dxa"/>
            <w:shd w:val="clear" w:color="auto" w:fill="E0EAF5"/>
            <w:tcMar>
              <w:top w:w="40" w:type="dxa"/>
              <w:left w:w="80" w:type="dxa"/>
              <w:bottom w:w="60" w:type="dxa"/>
              <w:right w:w="40" w:type="dxa"/>
            </w:tcMar>
          </w:tcPr>
          <w:p w14:paraId="430DE1D7"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13.3%</w:t>
            </w:r>
          </w:p>
        </w:tc>
        <w:tc>
          <w:tcPr>
            <w:tcW w:w="1160" w:type="dxa"/>
            <w:shd w:val="clear" w:color="auto" w:fill="E0EAF5"/>
            <w:tcMar>
              <w:top w:w="40" w:type="dxa"/>
              <w:left w:w="80" w:type="dxa"/>
              <w:bottom w:w="60" w:type="dxa"/>
              <w:right w:w="40" w:type="dxa"/>
            </w:tcMar>
          </w:tcPr>
          <w:p w14:paraId="069DCC8D"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14.3%</w:t>
            </w:r>
          </w:p>
        </w:tc>
      </w:tr>
      <w:tr w:rsidR="00D31EA2" w14:paraId="178D41C9" w14:textId="77777777" w:rsidTr="00311585">
        <w:trPr>
          <w:trHeight w:val="240"/>
        </w:trPr>
        <w:tc>
          <w:tcPr>
            <w:tcW w:w="2952" w:type="dxa"/>
            <w:vMerge w:val="restart"/>
            <w:tcMar>
              <w:top w:w="40" w:type="dxa"/>
              <w:left w:w="120" w:type="dxa"/>
              <w:bottom w:w="40" w:type="dxa"/>
              <w:right w:w="40" w:type="dxa"/>
            </w:tcMar>
          </w:tcPr>
          <w:p w14:paraId="61457661"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Pre-admission contact rate, all consumers</w:t>
            </w:r>
            <w:r w:rsidRPr="00AA148D">
              <w:rPr>
                <w:rFonts w:ascii="Arial" w:eastAsia="Verdana" w:hAnsi="Arial" w:cs="Arial"/>
                <w:color w:val="000000"/>
                <w:sz w:val="18"/>
                <w:szCs w:val="18"/>
                <w:vertAlign w:val="superscript"/>
              </w:rPr>
              <w:t>‡</w:t>
            </w:r>
          </w:p>
        </w:tc>
        <w:tc>
          <w:tcPr>
            <w:tcW w:w="2552" w:type="dxa"/>
            <w:tcMar>
              <w:top w:w="40" w:type="dxa"/>
              <w:left w:w="80" w:type="dxa"/>
              <w:bottom w:w="40" w:type="dxa"/>
              <w:right w:w="40" w:type="dxa"/>
            </w:tcMar>
          </w:tcPr>
          <w:p w14:paraId="40DB4FEA" w14:textId="77777777" w:rsidR="00D31EA2" w:rsidRDefault="00D31EA2" w:rsidP="00410442">
            <w:pPr>
              <w:rPr>
                <w:rFonts w:ascii="Arial" w:hAnsi="Arial" w:cs="Arial"/>
                <w:color w:val="000000"/>
                <w:sz w:val="18"/>
                <w:szCs w:val="18"/>
              </w:rPr>
            </w:pPr>
            <w:r>
              <w:rPr>
                <w:rFonts w:ascii="Arial" w:hAnsi="Arial" w:cs="Arial"/>
                <w:color w:val="000000"/>
                <w:sz w:val="18"/>
                <w:szCs w:val="18"/>
              </w:rPr>
              <w:t>Adult</w:t>
            </w:r>
          </w:p>
        </w:tc>
        <w:tc>
          <w:tcPr>
            <w:tcW w:w="1159" w:type="dxa"/>
            <w:tcMar>
              <w:top w:w="43" w:type="dxa"/>
              <w:left w:w="86" w:type="dxa"/>
              <w:bottom w:w="58" w:type="dxa"/>
              <w:right w:w="43" w:type="dxa"/>
            </w:tcMar>
          </w:tcPr>
          <w:p w14:paraId="38959455" w14:textId="77777777" w:rsidR="00D31EA2" w:rsidRDefault="00D31EA2" w:rsidP="00410442">
            <w:pPr>
              <w:rPr>
                <w:rFonts w:ascii="Arial" w:hAnsi="Arial" w:cs="Arial"/>
                <w:color w:val="000000"/>
                <w:sz w:val="18"/>
                <w:szCs w:val="18"/>
              </w:rPr>
            </w:pPr>
            <w:r>
              <w:rPr>
                <w:rFonts w:ascii="Arial" w:hAnsi="Arial" w:cs="Arial"/>
                <w:color w:val="000000"/>
                <w:sz w:val="18"/>
                <w:szCs w:val="18"/>
              </w:rPr>
              <w:t>58.2%</w:t>
            </w:r>
          </w:p>
        </w:tc>
        <w:tc>
          <w:tcPr>
            <w:tcW w:w="1160" w:type="dxa"/>
            <w:tcMar>
              <w:top w:w="43" w:type="dxa"/>
              <w:left w:w="86" w:type="dxa"/>
              <w:bottom w:w="58" w:type="dxa"/>
              <w:right w:w="43" w:type="dxa"/>
            </w:tcMar>
          </w:tcPr>
          <w:p w14:paraId="5D684FED" w14:textId="77777777" w:rsidR="00D31EA2" w:rsidRDefault="00D31EA2" w:rsidP="00410442">
            <w:pPr>
              <w:rPr>
                <w:rFonts w:ascii="Arial" w:hAnsi="Arial" w:cs="Arial"/>
                <w:color w:val="000000"/>
                <w:sz w:val="18"/>
                <w:szCs w:val="18"/>
              </w:rPr>
            </w:pPr>
            <w:r>
              <w:rPr>
                <w:rFonts w:ascii="Arial" w:hAnsi="Arial" w:cs="Arial"/>
                <w:color w:val="000000"/>
                <w:sz w:val="18"/>
                <w:szCs w:val="18"/>
              </w:rPr>
              <w:t>53.1%</w:t>
            </w:r>
          </w:p>
        </w:tc>
        <w:tc>
          <w:tcPr>
            <w:tcW w:w="1160" w:type="dxa"/>
            <w:tcMar>
              <w:top w:w="40" w:type="dxa"/>
              <w:left w:w="80" w:type="dxa"/>
              <w:bottom w:w="60" w:type="dxa"/>
              <w:right w:w="40" w:type="dxa"/>
            </w:tcMar>
          </w:tcPr>
          <w:p w14:paraId="05CF2924" w14:textId="77777777" w:rsidR="00D31EA2" w:rsidRDefault="00D31EA2" w:rsidP="00410442">
            <w:pPr>
              <w:rPr>
                <w:rFonts w:ascii="Arial" w:hAnsi="Arial" w:cs="Arial"/>
                <w:color w:val="000000"/>
                <w:sz w:val="18"/>
                <w:szCs w:val="18"/>
              </w:rPr>
            </w:pPr>
            <w:r>
              <w:rPr>
                <w:rFonts w:ascii="Arial" w:hAnsi="Arial" w:cs="Arial"/>
                <w:color w:val="000000"/>
                <w:sz w:val="18"/>
                <w:szCs w:val="18"/>
              </w:rPr>
              <w:t>60.2%</w:t>
            </w:r>
          </w:p>
        </w:tc>
        <w:tc>
          <w:tcPr>
            <w:tcW w:w="1160" w:type="dxa"/>
            <w:tcMar>
              <w:top w:w="40" w:type="dxa"/>
              <w:left w:w="80" w:type="dxa"/>
              <w:bottom w:w="60" w:type="dxa"/>
              <w:right w:w="40" w:type="dxa"/>
            </w:tcMar>
          </w:tcPr>
          <w:p w14:paraId="776A0F16" w14:textId="77777777" w:rsidR="00D31EA2" w:rsidRDefault="00D31EA2" w:rsidP="00410442">
            <w:pPr>
              <w:rPr>
                <w:rFonts w:ascii="Arial" w:hAnsi="Arial" w:cs="Arial"/>
                <w:color w:val="000000"/>
                <w:sz w:val="18"/>
                <w:szCs w:val="18"/>
              </w:rPr>
            </w:pPr>
            <w:r>
              <w:rPr>
                <w:rFonts w:ascii="Arial" w:hAnsi="Arial" w:cs="Arial"/>
                <w:color w:val="000000"/>
                <w:sz w:val="18"/>
                <w:szCs w:val="18"/>
              </w:rPr>
              <w:t>59.7%</w:t>
            </w:r>
          </w:p>
        </w:tc>
        <w:tc>
          <w:tcPr>
            <w:tcW w:w="1160" w:type="dxa"/>
            <w:tcMar>
              <w:top w:w="40" w:type="dxa"/>
              <w:left w:w="80" w:type="dxa"/>
              <w:bottom w:w="60" w:type="dxa"/>
              <w:right w:w="40" w:type="dxa"/>
            </w:tcMar>
          </w:tcPr>
          <w:p w14:paraId="3AD1A3FF" w14:textId="77777777" w:rsidR="00D31EA2" w:rsidRDefault="00D31EA2" w:rsidP="00410442">
            <w:pPr>
              <w:rPr>
                <w:rFonts w:ascii="Arial" w:hAnsi="Arial" w:cs="Arial"/>
                <w:color w:val="000000"/>
                <w:sz w:val="18"/>
                <w:szCs w:val="18"/>
              </w:rPr>
            </w:pPr>
            <w:r>
              <w:rPr>
                <w:rFonts w:ascii="Arial" w:hAnsi="Arial" w:cs="Arial"/>
                <w:color w:val="000000"/>
                <w:sz w:val="18"/>
                <w:szCs w:val="18"/>
              </w:rPr>
              <w:t>61.8%</w:t>
            </w:r>
          </w:p>
        </w:tc>
      </w:tr>
      <w:tr w:rsidR="00D31EA2" w14:paraId="560C4F63" w14:textId="77777777" w:rsidTr="00311585">
        <w:trPr>
          <w:trHeight w:val="240"/>
        </w:trPr>
        <w:tc>
          <w:tcPr>
            <w:tcW w:w="2952" w:type="dxa"/>
            <w:vMerge/>
            <w:tcMar>
              <w:top w:w="40" w:type="dxa"/>
              <w:left w:w="120" w:type="dxa"/>
              <w:bottom w:w="40" w:type="dxa"/>
              <w:right w:w="40" w:type="dxa"/>
            </w:tcMar>
          </w:tcPr>
          <w:p w14:paraId="21216ED3" w14:textId="77777777" w:rsidR="00D31EA2" w:rsidRPr="00AA148D" w:rsidRDefault="00D31EA2" w:rsidP="00410442">
            <w:pPr>
              <w:rPr>
                <w:rFonts w:ascii="Arial" w:hAnsi="Arial" w:cs="Arial"/>
                <w:sz w:val="18"/>
                <w:szCs w:val="18"/>
              </w:rPr>
            </w:pPr>
          </w:p>
        </w:tc>
        <w:tc>
          <w:tcPr>
            <w:tcW w:w="2552" w:type="dxa"/>
            <w:tcMar>
              <w:top w:w="40" w:type="dxa"/>
              <w:left w:w="80" w:type="dxa"/>
              <w:bottom w:w="40" w:type="dxa"/>
              <w:right w:w="40" w:type="dxa"/>
            </w:tcMar>
          </w:tcPr>
          <w:p w14:paraId="1AA54DFA" w14:textId="77777777" w:rsidR="00D31EA2" w:rsidRDefault="00D31EA2" w:rsidP="00410442">
            <w:pPr>
              <w:rPr>
                <w:rFonts w:ascii="Arial" w:hAnsi="Arial" w:cs="Arial"/>
                <w:color w:val="000000"/>
                <w:sz w:val="18"/>
                <w:szCs w:val="18"/>
              </w:rPr>
            </w:pPr>
            <w:r>
              <w:rPr>
                <w:rFonts w:ascii="Arial" w:hAnsi="Arial" w:cs="Arial"/>
                <w:color w:val="000000"/>
                <w:sz w:val="18"/>
                <w:szCs w:val="18"/>
              </w:rPr>
              <w:t>Aged</w:t>
            </w:r>
          </w:p>
        </w:tc>
        <w:tc>
          <w:tcPr>
            <w:tcW w:w="1159" w:type="dxa"/>
            <w:tcMar>
              <w:top w:w="43" w:type="dxa"/>
              <w:left w:w="86" w:type="dxa"/>
              <w:bottom w:w="58" w:type="dxa"/>
              <w:right w:w="43" w:type="dxa"/>
            </w:tcMar>
          </w:tcPr>
          <w:p w14:paraId="52AD2192" w14:textId="77777777" w:rsidR="00D31EA2" w:rsidRDefault="00D31EA2" w:rsidP="00410442">
            <w:pPr>
              <w:rPr>
                <w:rFonts w:ascii="Arial" w:hAnsi="Arial" w:cs="Arial"/>
                <w:color w:val="000000"/>
                <w:sz w:val="18"/>
                <w:szCs w:val="18"/>
              </w:rPr>
            </w:pPr>
            <w:r>
              <w:rPr>
                <w:rFonts w:ascii="Arial" w:hAnsi="Arial" w:cs="Arial"/>
                <w:color w:val="000000"/>
                <w:sz w:val="18"/>
                <w:szCs w:val="18"/>
              </w:rPr>
              <w:t>64.8%</w:t>
            </w:r>
          </w:p>
        </w:tc>
        <w:tc>
          <w:tcPr>
            <w:tcW w:w="1160" w:type="dxa"/>
            <w:tcMar>
              <w:top w:w="43" w:type="dxa"/>
              <w:left w:w="86" w:type="dxa"/>
              <w:bottom w:w="58" w:type="dxa"/>
              <w:right w:w="43" w:type="dxa"/>
            </w:tcMar>
          </w:tcPr>
          <w:p w14:paraId="56EDCF41" w14:textId="77777777" w:rsidR="00D31EA2" w:rsidRDefault="00D31EA2" w:rsidP="00410442">
            <w:pPr>
              <w:rPr>
                <w:rFonts w:ascii="Arial" w:hAnsi="Arial" w:cs="Arial"/>
                <w:color w:val="000000"/>
                <w:sz w:val="18"/>
                <w:szCs w:val="18"/>
              </w:rPr>
            </w:pPr>
            <w:r>
              <w:rPr>
                <w:rFonts w:ascii="Arial" w:hAnsi="Arial" w:cs="Arial"/>
                <w:color w:val="000000"/>
                <w:sz w:val="18"/>
                <w:szCs w:val="18"/>
              </w:rPr>
              <w:t>54.0%</w:t>
            </w:r>
          </w:p>
        </w:tc>
        <w:tc>
          <w:tcPr>
            <w:tcW w:w="1160" w:type="dxa"/>
            <w:tcMar>
              <w:top w:w="40" w:type="dxa"/>
              <w:left w:w="80" w:type="dxa"/>
              <w:bottom w:w="60" w:type="dxa"/>
              <w:right w:w="40" w:type="dxa"/>
            </w:tcMar>
          </w:tcPr>
          <w:p w14:paraId="7C34DC0F" w14:textId="77777777" w:rsidR="00D31EA2" w:rsidRDefault="00D31EA2" w:rsidP="00410442">
            <w:pPr>
              <w:rPr>
                <w:rFonts w:ascii="Arial" w:hAnsi="Arial" w:cs="Arial"/>
                <w:color w:val="000000"/>
                <w:sz w:val="18"/>
                <w:szCs w:val="18"/>
              </w:rPr>
            </w:pPr>
            <w:r>
              <w:rPr>
                <w:rFonts w:ascii="Arial" w:hAnsi="Arial" w:cs="Arial"/>
                <w:color w:val="000000"/>
                <w:sz w:val="18"/>
                <w:szCs w:val="18"/>
              </w:rPr>
              <w:t>65.0%</w:t>
            </w:r>
          </w:p>
        </w:tc>
        <w:tc>
          <w:tcPr>
            <w:tcW w:w="1160" w:type="dxa"/>
            <w:tcMar>
              <w:top w:w="40" w:type="dxa"/>
              <w:left w:w="80" w:type="dxa"/>
              <w:bottom w:w="60" w:type="dxa"/>
              <w:right w:w="40" w:type="dxa"/>
            </w:tcMar>
          </w:tcPr>
          <w:p w14:paraId="12EB176D" w14:textId="77777777" w:rsidR="00D31EA2" w:rsidRDefault="00D31EA2" w:rsidP="00410442">
            <w:pPr>
              <w:rPr>
                <w:rFonts w:ascii="Arial" w:hAnsi="Arial" w:cs="Arial"/>
                <w:color w:val="000000"/>
                <w:sz w:val="18"/>
                <w:szCs w:val="18"/>
              </w:rPr>
            </w:pPr>
            <w:r>
              <w:rPr>
                <w:rFonts w:ascii="Arial" w:hAnsi="Arial" w:cs="Arial"/>
                <w:color w:val="000000"/>
                <w:sz w:val="18"/>
                <w:szCs w:val="18"/>
              </w:rPr>
              <w:t>65.7%</w:t>
            </w:r>
          </w:p>
        </w:tc>
        <w:tc>
          <w:tcPr>
            <w:tcW w:w="1160" w:type="dxa"/>
            <w:tcMar>
              <w:top w:w="40" w:type="dxa"/>
              <w:left w:w="80" w:type="dxa"/>
              <w:bottom w:w="60" w:type="dxa"/>
              <w:right w:w="40" w:type="dxa"/>
            </w:tcMar>
          </w:tcPr>
          <w:p w14:paraId="5FEE5A55" w14:textId="77777777" w:rsidR="00D31EA2" w:rsidRDefault="00D31EA2" w:rsidP="00410442">
            <w:pPr>
              <w:rPr>
                <w:rFonts w:ascii="Arial" w:hAnsi="Arial" w:cs="Arial"/>
                <w:color w:val="000000"/>
                <w:sz w:val="18"/>
                <w:szCs w:val="18"/>
              </w:rPr>
            </w:pPr>
            <w:r>
              <w:rPr>
                <w:rFonts w:ascii="Arial" w:hAnsi="Arial" w:cs="Arial"/>
                <w:color w:val="000000"/>
                <w:sz w:val="18"/>
                <w:szCs w:val="18"/>
              </w:rPr>
              <w:t>63.5%</w:t>
            </w:r>
          </w:p>
        </w:tc>
      </w:tr>
      <w:tr w:rsidR="00D31EA2" w14:paraId="7163A426" w14:textId="77777777" w:rsidTr="00311585">
        <w:trPr>
          <w:trHeight w:val="240"/>
        </w:trPr>
        <w:tc>
          <w:tcPr>
            <w:tcW w:w="2952" w:type="dxa"/>
            <w:vMerge/>
            <w:tcMar>
              <w:top w:w="40" w:type="dxa"/>
              <w:left w:w="120" w:type="dxa"/>
              <w:bottom w:w="40" w:type="dxa"/>
              <w:right w:w="40" w:type="dxa"/>
            </w:tcMar>
          </w:tcPr>
          <w:p w14:paraId="314E6102" w14:textId="77777777" w:rsidR="00D31EA2" w:rsidRPr="00AA148D" w:rsidRDefault="00D31EA2" w:rsidP="00410442">
            <w:pPr>
              <w:rPr>
                <w:rFonts w:ascii="Arial" w:hAnsi="Arial" w:cs="Arial"/>
                <w:sz w:val="18"/>
                <w:szCs w:val="18"/>
              </w:rPr>
            </w:pPr>
          </w:p>
        </w:tc>
        <w:tc>
          <w:tcPr>
            <w:tcW w:w="2552" w:type="dxa"/>
            <w:tcMar>
              <w:top w:w="40" w:type="dxa"/>
              <w:left w:w="80" w:type="dxa"/>
              <w:bottom w:w="40" w:type="dxa"/>
              <w:right w:w="40" w:type="dxa"/>
            </w:tcMar>
          </w:tcPr>
          <w:p w14:paraId="26EC4D9D" w14:textId="77777777" w:rsidR="00D31EA2" w:rsidRDefault="00D31EA2" w:rsidP="00410442">
            <w:pPr>
              <w:rPr>
                <w:rFonts w:ascii="Arial" w:hAnsi="Arial" w:cs="Arial"/>
                <w:color w:val="000000"/>
                <w:sz w:val="18"/>
                <w:szCs w:val="18"/>
              </w:rPr>
            </w:pPr>
            <w:r>
              <w:rPr>
                <w:rFonts w:ascii="Arial" w:hAnsi="Arial" w:cs="Arial"/>
                <w:color w:val="000000"/>
                <w:sz w:val="18"/>
                <w:szCs w:val="18"/>
              </w:rPr>
              <w:t>CAMHS</w:t>
            </w:r>
          </w:p>
        </w:tc>
        <w:tc>
          <w:tcPr>
            <w:tcW w:w="1159" w:type="dxa"/>
            <w:tcMar>
              <w:top w:w="43" w:type="dxa"/>
              <w:left w:w="86" w:type="dxa"/>
              <w:bottom w:w="58" w:type="dxa"/>
              <w:right w:w="43" w:type="dxa"/>
            </w:tcMar>
          </w:tcPr>
          <w:p w14:paraId="526A493D" w14:textId="77777777" w:rsidR="00D31EA2" w:rsidRDefault="00D31EA2" w:rsidP="00410442">
            <w:pPr>
              <w:rPr>
                <w:rFonts w:ascii="Arial" w:hAnsi="Arial" w:cs="Arial"/>
                <w:color w:val="000000"/>
                <w:sz w:val="18"/>
                <w:szCs w:val="18"/>
              </w:rPr>
            </w:pPr>
            <w:r>
              <w:rPr>
                <w:rFonts w:ascii="Arial" w:hAnsi="Arial" w:cs="Arial"/>
                <w:color w:val="000000"/>
                <w:sz w:val="18"/>
                <w:szCs w:val="18"/>
              </w:rPr>
              <w:t>53.8%</w:t>
            </w:r>
          </w:p>
        </w:tc>
        <w:tc>
          <w:tcPr>
            <w:tcW w:w="1160" w:type="dxa"/>
            <w:tcMar>
              <w:top w:w="43" w:type="dxa"/>
              <w:left w:w="86" w:type="dxa"/>
              <w:bottom w:w="58" w:type="dxa"/>
              <w:right w:w="43" w:type="dxa"/>
            </w:tcMar>
          </w:tcPr>
          <w:p w14:paraId="528894C2" w14:textId="77777777" w:rsidR="00D31EA2" w:rsidRDefault="00D31EA2" w:rsidP="00410442">
            <w:pPr>
              <w:rPr>
                <w:rFonts w:ascii="Arial" w:hAnsi="Arial" w:cs="Arial"/>
                <w:color w:val="000000"/>
                <w:sz w:val="18"/>
                <w:szCs w:val="18"/>
              </w:rPr>
            </w:pPr>
            <w:r>
              <w:rPr>
                <w:rFonts w:ascii="Arial" w:hAnsi="Arial" w:cs="Arial"/>
                <w:color w:val="000000"/>
                <w:sz w:val="18"/>
                <w:szCs w:val="18"/>
              </w:rPr>
              <w:t>49.5%</w:t>
            </w:r>
          </w:p>
        </w:tc>
        <w:tc>
          <w:tcPr>
            <w:tcW w:w="1160" w:type="dxa"/>
            <w:tcMar>
              <w:top w:w="40" w:type="dxa"/>
              <w:left w:w="80" w:type="dxa"/>
              <w:bottom w:w="60" w:type="dxa"/>
              <w:right w:w="40" w:type="dxa"/>
            </w:tcMar>
          </w:tcPr>
          <w:p w14:paraId="5CBFAA05" w14:textId="77777777" w:rsidR="00D31EA2" w:rsidRDefault="00D31EA2" w:rsidP="00410442">
            <w:pPr>
              <w:rPr>
                <w:rFonts w:ascii="Arial" w:hAnsi="Arial" w:cs="Arial"/>
                <w:color w:val="000000"/>
                <w:sz w:val="18"/>
                <w:szCs w:val="18"/>
              </w:rPr>
            </w:pPr>
            <w:r>
              <w:rPr>
                <w:rFonts w:ascii="Arial" w:hAnsi="Arial" w:cs="Arial"/>
                <w:color w:val="000000"/>
                <w:sz w:val="18"/>
                <w:szCs w:val="18"/>
              </w:rPr>
              <w:t>58.2%</w:t>
            </w:r>
          </w:p>
        </w:tc>
        <w:tc>
          <w:tcPr>
            <w:tcW w:w="1160" w:type="dxa"/>
            <w:tcMar>
              <w:top w:w="40" w:type="dxa"/>
              <w:left w:w="80" w:type="dxa"/>
              <w:bottom w:w="60" w:type="dxa"/>
              <w:right w:w="40" w:type="dxa"/>
            </w:tcMar>
          </w:tcPr>
          <w:p w14:paraId="3FEA6FF6" w14:textId="77777777" w:rsidR="00D31EA2" w:rsidRDefault="00D31EA2" w:rsidP="00410442">
            <w:pPr>
              <w:rPr>
                <w:rFonts w:ascii="Arial" w:hAnsi="Arial" w:cs="Arial"/>
                <w:color w:val="000000"/>
                <w:sz w:val="18"/>
                <w:szCs w:val="18"/>
              </w:rPr>
            </w:pPr>
            <w:r>
              <w:rPr>
                <w:rFonts w:ascii="Arial" w:hAnsi="Arial" w:cs="Arial"/>
                <w:color w:val="000000"/>
                <w:sz w:val="18"/>
                <w:szCs w:val="18"/>
              </w:rPr>
              <w:t>57.4%</w:t>
            </w:r>
          </w:p>
        </w:tc>
        <w:tc>
          <w:tcPr>
            <w:tcW w:w="1160" w:type="dxa"/>
            <w:tcMar>
              <w:top w:w="40" w:type="dxa"/>
              <w:left w:w="80" w:type="dxa"/>
              <w:bottom w:w="60" w:type="dxa"/>
              <w:right w:w="40" w:type="dxa"/>
            </w:tcMar>
          </w:tcPr>
          <w:p w14:paraId="1FD60AA8" w14:textId="77777777" w:rsidR="00D31EA2" w:rsidRDefault="00D31EA2" w:rsidP="00410442">
            <w:pPr>
              <w:rPr>
                <w:rFonts w:ascii="Arial" w:hAnsi="Arial" w:cs="Arial"/>
                <w:color w:val="000000"/>
                <w:sz w:val="18"/>
                <w:szCs w:val="18"/>
              </w:rPr>
            </w:pPr>
            <w:r>
              <w:rPr>
                <w:rFonts w:ascii="Arial" w:hAnsi="Arial" w:cs="Arial"/>
                <w:color w:val="000000"/>
                <w:sz w:val="18"/>
                <w:szCs w:val="18"/>
              </w:rPr>
              <w:t>61.1%</w:t>
            </w:r>
          </w:p>
        </w:tc>
      </w:tr>
      <w:tr w:rsidR="00D31EA2" w14:paraId="06F35391" w14:textId="77777777" w:rsidTr="00311585">
        <w:trPr>
          <w:trHeight w:val="240"/>
        </w:trPr>
        <w:tc>
          <w:tcPr>
            <w:tcW w:w="2952" w:type="dxa"/>
            <w:vMerge/>
            <w:tcMar>
              <w:top w:w="40" w:type="dxa"/>
              <w:left w:w="120" w:type="dxa"/>
              <w:bottom w:w="40" w:type="dxa"/>
              <w:right w:w="40" w:type="dxa"/>
            </w:tcMar>
          </w:tcPr>
          <w:p w14:paraId="169D2CD5" w14:textId="77777777" w:rsidR="00D31EA2" w:rsidRPr="00AA148D" w:rsidRDefault="00D31EA2" w:rsidP="00410442">
            <w:pPr>
              <w:rPr>
                <w:rFonts w:ascii="Arial" w:hAnsi="Arial" w:cs="Arial"/>
                <w:sz w:val="18"/>
                <w:szCs w:val="18"/>
              </w:rPr>
            </w:pPr>
          </w:p>
        </w:tc>
        <w:tc>
          <w:tcPr>
            <w:tcW w:w="2552" w:type="dxa"/>
            <w:tcMar>
              <w:top w:w="40" w:type="dxa"/>
              <w:left w:w="80" w:type="dxa"/>
              <w:bottom w:w="40" w:type="dxa"/>
              <w:right w:w="40" w:type="dxa"/>
            </w:tcMar>
          </w:tcPr>
          <w:p w14:paraId="26CDB7EE" w14:textId="77777777" w:rsidR="00D31EA2" w:rsidRDefault="00D31EA2" w:rsidP="00410442">
            <w:pPr>
              <w:rPr>
                <w:rFonts w:ascii="Arial" w:hAnsi="Arial" w:cs="Arial"/>
                <w:color w:val="000000"/>
                <w:sz w:val="18"/>
                <w:szCs w:val="18"/>
              </w:rPr>
            </w:pPr>
            <w:r>
              <w:rPr>
                <w:rFonts w:ascii="Arial" w:hAnsi="Arial" w:cs="Arial"/>
                <w:color w:val="000000"/>
                <w:sz w:val="18"/>
                <w:szCs w:val="18"/>
              </w:rPr>
              <w:t>Forensic</w:t>
            </w:r>
          </w:p>
        </w:tc>
        <w:tc>
          <w:tcPr>
            <w:tcW w:w="1159" w:type="dxa"/>
            <w:tcMar>
              <w:top w:w="43" w:type="dxa"/>
              <w:left w:w="86" w:type="dxa"/>
              <w:bottom w:w="58" w:type="dxa"/>
              <w:right w:w="43" w:type="dxa"/>
            </w:tcMar>
          </w:tcPr>
          <w:p w14:paraId="3D15E30D" w14:textId="77777777" w:rsidR="00D31EA2" w:rsidRDefault="00D31EA2" w:rsidP="00410442">
            <w:pPr>
              <w:rPr>
                <w:rFonts w:ascii="Arial" w:hAnsi="Arial" w:cs="Arial"/>
                <w:color w:val="000000"/>
                <w:sz w:val="18"/>
                <w:szCs w:val="18"/>
              </w:rPr>
            </w:pPr>
            <w:r>
              <w:rPr>
                <w:rFonts w:ascii="Arial" w:hAnsi="Arial" w:cs="Arial"/>
                <w:color w:val="000000"/>
                <w:sz w:val="18"/>
                <w:szCs w:val="18"/>
              </w:rPr>
              <w:t>18.6%</w:t>
            </w:r>
          </w:p>
        </w:tc>
        <w:tc>
          <w:tcPr>
            <w:tcW w:w="1160" w:type="dxa"/>
            <w:tcMar>
              <w:top w:w="43" w:type="dxa"/>
              <w:left w:w="86" w:type="dxa"/>
              <w:bottom w:w="58" w:type="dxa"/>
              <w:right w:w="43" w:type="dxa"/>
            </w:tcMar>
          </w:tcPr>
          <w:p w14:paraId="0BB44F67" w14:textId="77777777" w:rsidR="00D31EA2" w:rsidRDefault="00D31EA2" w:rsidP="00410442">
            <w:pPr>
              <w:rPr>
                <w:rFonts w:ascii="Arial" w:hAnsi="Arial" w:cs="Arial"/>
                <w:color w:val="000000"/>
                <w:sz w:val="18"/>
                <w:szCs w:val="18"/>
              </w:rPr>
            </w:pPr>
            <w:r>
              <w:rPr>
                <w:rFonts w:ascii="Arial" w:hAnsi="Arial" w:cs="Arial"/>
                <w:color w:val="000000"/>
                <w:sz w:val="18"/>
                <w:szCs w:val="18"/>
              </w:rPr>
              <w:t>17.6%</w:t>
            </w:r>
          </w:p>
        </w:tc>
        <w:tc>
          <w:tcPr>
            <w:tcW w:w="1160" w:type="dxa"/>
            <w:tcMar>
              <w:top w:w="40" w:type="dxa"/>
              <w:left w:w="80" w:type="dxa"/>
              <w:bottom w:w="60" w:type="dxa"/>
              <w:right w:w="40" w:type="dxa"/>
            </w:tcMar>
          </w:tcPr>
          <w:p w14:paraId="1F56E88E" w14:textId="77777777" w:rsidR="00D31EA2" w:rsidRDefault="00D31EA2" w:rsidP="00410442">
            <w:pPr>
              <w:rPr>
                <w:rFonts w:ascii="Arial" w:hAnsi="Arial" w:cs="Arial"/>
                <w:color w:val="000000"/>
                <w:sz w:val="18"/>
                <w:szCs w:val="18"/>
              </w:rPr>
            </w:pPr>
            <w:r>
              <w:rPr>
                <w:rFonts w:ascii="Arial" w:hAnsi="Arial" w:cs="Arial"/>
                <w:color w:val="000000"/>
                <w:sz w:val="18"/>
                <w:szCs w:val="18"/>
              </w:rPr>
              <w:t>21.6%</w:t>
            </w:r>
          </w:p>
        </w:tc>
        <w:tc>
          <w:tcPr>
            <w:tcW w:w="1160" w:type="dxa"/>
            <w:tcMar>
              <w:top w:w="40" w:type="dxa"/>
              <w:left w:w="80" w:type="dxa"/>
              <w:bottom w:w="60" w:type="dxa"/>
              <w:right w:w="40" w:type="dxa"/>
            </w:tcMar>
          </w:tcPr>
          <w:p w14:paraId="642443A9" w14:textId="77777777" w:rsidR="00D31EA2" w:rsidRDefault="00D31EA2" w:rsidP="00410442">
            <w:pPr>
              <w:rPr>
                <w:rFonts w:ascii="Arial" w:hAnsi="Arial" w:cs="Arial"/>
                <w:color w:val="000000"/>
                <w:sz w:val="18"/>
                <w:szCs w:val="18"/>
              </w:rPr>
            </w:pPr>
            <w:r>
              <w:rPr>
                <w:rFonts w:ascii="Arial" w:hAnsi="Arial" w:cs="Arial"/>
                <w:color w:val="000000"/>
                <w:sz w:val="18"/>
                <w:szCs w:val="18"/>
              </w:rPr>
              <w:t>26.8%</w:t>
            </w:r>
          </w:p>
        </w:tc>
        <w:tc>
          <w:tcPr>
            <w:tcW w:w="1160" w:type="dxa"/>
            <w:tcMar>
              <w:top w:w="40" w:type="dxa"/>
              <w:left w:w="80" w:type="dxa"/>
              <w:bottom w:w="60" w:type="dxa"/>
              <w:right w:w="40" w:type="dxa"/>
            </w:tcMar>
          </w:tcPr>
          <w:p w14:paraId="5E448D73" w14:textId="77777777" w:rsidR="00D31EA2" w:rsidRDefault="00D31EA2" w:rsidP="00410442">
            <w:pPr>
              <w:rPr>
                <w:rFonts w:ascii="Arial" w:hAnsi="Arial" w:cs="Arial"/>
                <w:color w:val="000000"/>
                <w:sz w:val="18"/>
                <w:szCs w:val="18"/>
              </w:rPr>
            </w:pPr>
            <w:r>
              <w:rPr>
                <w:rFonts w:ascii="Arial" w:hAnsi="Arial" w:cs="Arial"/>
                <w:color w:val="000000"/>
                <w:sz w:val="18"/>
                <w:szCs w:val="18"/>
              </w:rPr>
              <w:t>16.0%</w:t>
            </w:r>
          </w:p>
        </w:tc>
      </w:tr>
      <w:tr w:rsidR="00D31EA2" w14:paraId="5645C472" w14:textId="77777777" w:rsidTr="00311585">
        <w:trPr>
          <w:trHeight w:val="240"/>
        </w:trPr>
        <w:tc>
          <w:tcPr>
            <w:tcW w:w="2952" w:type="dxa"/>
            <w:vMerge/>
            <w:tcMar>
              <w:top w:w="40" w:type="dxa"/>
              <w:left w:w="120" w:type="dxa"/>
              <w:bottom w:w="40" w:type="dxa"/>
              <w:right w:w="40" w:type="dxa"/>
            </w:tcMar>
          </w:tcPr>
          <w:p w14:paraId="3FD98C89" w14:textId="77777777" w:rsidR="00D31EA2" w:rsidRPr="00AA148D" w:rsidRDefault="00D31EA2" w:rsidP="00410442">
            <w:pPr>
              <w:rPr>
                <w:rFonts w:ascii="Arial" w:hAnsi="Arial" w:cs="Arial"/>
                <w:sz w:val="18"/>
                <w:szCs w:val="18"/>
              </w:rPr>
            </w:pPr>
          </w:p>
        </w:tc>
        <w:tc>
          <w:tcPr>
            <w:tcW w:w="2552" w:type="dxa"/>
            <w:tcMar>
              <w:top w:w="40" w:type="dxa"/>
              <w:left w:w="80" w:type="dxa"/>
              <w:bottom w:w="40" w:type="dxa"/>
              <w:right w:w="40" w:type="dxa"/>
            </w:tcMar>
          </w:tcPr>
          <w:p w14:paraId="17F139B7" w14:textId="77777777" w:rsidR="00D31EA2" w:rsidRDefault="00D31EA2" w:rsidP="00410442">
            <w:pPr>
              <w:rPr>
                <w:rFonts w:ascii="Arial" w:hAnsi="Arial" w:cs="Arial"/>
                <w:color w:val="000000"/>
                <w:sz w:val="18"/>
                <w:szCs w:val="18"/>
              </w:rPr>
            </w:pPr>
            <w:r>
              <w:rPr>
                <w:rFonts w:ascii="Arial" w:hAnsi="Arial" w:cs="Arial"/>
                <w:color w:val="000000"/>
                <w:sz w:val="18"/>
                <w:szCs w:val="18"/>
              </w:rPr>
              <w:t>Specialist</w:t>
            </w:r>
          </w:p>
        </w:tc>
        <w:tc>
          <w:tcPr>
            <w:tcW w:w="1159" w:type="dxa"/>
            <w:tcMar>
              <w:top w:w="43" w:type="dxa"/>
              <w:left w:w="86" w:type="dxa"/>
              <w:bottom w:w="58" w:type="dxa"/>
              <w:right w:w="43" w:type="dxa"/>
            </w:tcMar>
          </w:tcPr>
          <w:p w14:paraId="1C3FE212" w14:textId="77777777" w:rsidR="00D31EA2" w:rsidRDefault="00D31EA2" w:rsidP="00410442">
            <w:pPr>
              <w:rPr>
                <w:rFonts w:ascii="Arial" w:hAnsi="Arial" w:cs="Arial"/>
                <w:color w:val="000000"/>
                <w:sz w:val="18"/>
                <w:szCs w:val="18"/>
              </w:rPr>
            </w:pPr>
            <w:r>
              <w:rPr>
                <w:rFonts w:ascii="Arial" w:hAnsi="Arial" w:cs="Arial"/>
                <w:color w:val="000000"/>
                <w:sz w:val="18"/>
                <w:szCs w:val="18"/>
              </w:rPr>
              <w:t>34.5%</w:t>
            </w:r>
          </w:p>
        </w:tc>
        <w:tc>
          <w:tcPr>
            <w:tcW w:w="1160" w:type="dxa"/>
            <w:tcMar>
              <w:top w:w="43" w:type="dxa"/>
              <w:left w:w="86" w:type="dxa"/>
              <w:bottom w:w="58" w:type="dxa"/>
              <w:right w:w="43" w:type="dxa"/>
            </w:tcMar>
          </w:tcPr>
          <w:p w14:paraId="59D0960B" w14:textId="77777777" w:rsidR="00D31EA2" w:rsidRDefault="00D31EA2" w:rsidP="00410442">
            <w:pPr>
              <w:rPr>
                <w:rFonts w:ascii="Arial" w:hAnsi="Arial" w:cs="Arial"/>
                <w:color w:val="000000"/>
                <w:sz w:val="18"/>
                <w:szCs w:val="18"/>
              </w:rPr>
            </w:pPr>
            <w:r>
              <w:rPr>
                <w:rFonts w:ascii="Arial" w:hAnsi="Arial" w:cs="Arial"/>
                <w:color w:val="000000"/>
                <w:sz w:val="18"/>
                <w:szCs w:val="18"/>
              </w:rPr>
              <w:t>30.6%</w:t>
            </w:r>
          </w:p>
        </w:tc>
        <w:tc>
          <w:tcPr>
            <w:tcW w:w="1160" w:type="dxa"/>
            <w:tcMar>
              <w:top w:w="40" w:type="dxa"/>
              <w:left w:w="80" w:type="dxa"/>
              <w:bottom w:w="60" w:type="dxa"/>
              <w:right w:w="40" w:type="dxa"/>
            </w:tcMar>
          </w:tcPr>
          <w:p w14:paraId="3219051B" w14:textId="77777777" w:rsidR="00D31EA2" w:rsidRDefault="00D31EA2" w:rsidP="00410442">
            <w:pPr>
              <w:rPr>
                <w:rFonts w:ascii="Arial" w:hAnsi="Arial" w:cs="Arial"/>
                <w:color w:val="000000"/>
                <w:sz w:val="18"/>
                <w:szCs w:val="18"/>
              </w:rPr>
            </w:pPr>
            <w:r>
              <w:rPr>
                <w:rFonts w:ascii="Arial" w:hAnsi="Arial" w:cs="Arial"/>
                <w:color w:val="000000"/>
                <w:sz w:val="18"/>
                <w:szCs w:val="18"/>
              </w:rPr>
              <w:t>38.5%</w:t>
            </w:r>
          </w:p>
        </w:tc>
        <w:tc>
          <w:tcPr>
            <w:tcW w:w="1160" w:type="dxa"/>
            <w:tcMar>
              <w:top w:w="40" w:type="dxa"/>
              <w:left w:w="80" w:type="dxa"/>
              <w:bottom w:w="60" w:type="dxa"/>
              <w:right w:w="40" w:type="dxa"/>
            </w:tcMar>
          </w:tcPr>
          <w:p w14:paraId="04E59FE0" w14:textId="77777777" w:rsidR="00D31EA2" w:rsidRDefault="00D31EA2" w:rsidP="00410442">
            <w:pPr>
              <w:rPr>
                <w:rFonts w:ascii="Arial" w:hAnsi="Arial" w:cs="Arial"/>
                <w:color w:val="000000"/>
                <w:sz w:val="18"/>
                <w:szCs w:val="18"/>
              </w:rPr>
            </w:pPr>
            <w:r>
              <w:rPr>
                <w:rFonts w:ascii="Arial" w:hAnsi="Arial" w:cs="Arial"/>
                <w:color w:val="000000"/>
                <w:sz w:val="18"/>
                <w:szCs w:val="18"/>
              </w:rPr>
              <w:t>30.9%</w:t>
            </w:r>
          </w:p>
        </w:tc>
        <w:tc>
          <w:tcPr>
            <w:tcW w:w="1160" w:type="dxa"/>
            <w:tcMar>
              <w:top w:w="40" w:type="dxa"/>
              <w:left w:w="80" w:type="dxa"/>
              <w:bottom w:w="60" w:type="dxa"/>
              <w:right w:w="40" w:type="dxa"/>
            </w:tcMar>
          </w:tcPr>
          <w:p w14:paraId="7832F74A" w14:textId="77777777" w:rsidR="00D31EA2" w:rsidRDefault="00D31EA2" w:rsidP="00410442">
            <w:pPr>
              <w:rPr>
                <w:rFonts w:ascii="Arial" w:hAnsi="Arial" w:cs="Arial"/>
                <w:color w:val="000000"/>
                <w:sz w:val="18"/>
                <w:szCs w:val="18"/>
              </w:rPr>
            </w:pPr>
            <w:r>
              <w:rPr>
                <w:rFonts w:ascii="Arial" w:hAnsi="Arial" w:cs="Arial"/>
                <w:color w:val="000000"/>
                <w:sz w:val="18"/>
                <w:szCs w:val="18"/>
              </w:rPr>
              <w:t>39.5%</w:t>
            </w:r>
          </w:p>
        </w:tc>
      </w:tr>
      <w:tr w:rsidR="00D31EA2" w14:paraId="45E0C1FA" w14:textId="77777777" w:rsidTr="00311585">
        <w:trPr>
          <w:trHeight w:val="240"/>
        </w:trPr>
        <w:tc>
          <w:tcPr>
            <w:tcW w:w="2952" w:type="dxa"/>
            <w:vMerge/>
            <w:tcMar>
              <w:top w:w="40" w:type="dxa"/>
              <w:left w:w="120" w:type="dxa"/>
              <w:bottom w:w="40" w:type="dxa"/>
              <w:right w:w="40" w:type="dxa"/>
            </w:tcMar>
          </w:tcPr>
          <w:p w14:paraId="4D8E3F47" w14:textId="77777777" w:rsidR="00D31EA2" w:rsidRPr="00AA148D" w:rsidRDefault="00D31EA2" w:rsidP="00410442">
            <w:pPr>
              <w:rPr>
                <w:rFonts w:ascii="Arial" w:hAnsi="Arial" w:cs="Arial"/>
                <w:sz w:val="18"/>
                <w:szCs w:val="18"/>
              </w:rPr>
            </w:pPr>
          </w:p>
        </w:tc>
        <w:tc>
          <w:tcPr>
            <w:tcW w:w="2552" w:type="dxa"/>
            <w:shd w:val="clear" w:color="auto" w:fill="E0EAF5"/>
            <w:tcMar>
              <w:top w:w="40" w:type="dxa"/>
              <w:left w:w="80" w:type="dxa"/>
              <w:bottom w:w="40" w:type="dxa"/>
              <w:right w:w="40" w:type="dxa"/>
            </w:tcMar>
          </w:tcPr>
          <w:p w14:paraId="651E55EA"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Total</w:t>
            </w:r>
          </w:p>
        </w:tc>
        <w:tc>
          <w:tcPr>
            <w:tcW w:w="1159" w:type="dxa"/>
            <w:shd w:val="clear" w:color="auto" w:fill="E0EAF5"/>
            <w:tcMar>
              <w:top w:w="43" w:type="dxa"/>
              <w:left w:w="86" w:type="dxa"/>
              <w:bottom w:w="58" w:type="dxa"/>
              <w:right w:w="43" w:type="dxa"/>
            </w:tcMar>
          </w:tcPr>
          <w:p w14:paraId="57D2EB04"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57.2%</w:t>
            </w:r>
          </w:p>
        </w:tc>
        <w:tc>
          <w:tcPr>
            <w:tcW w:w="1160" w:type="dxa"/>
            <w:shd w:val="clear" w:color="auto" w:fill="E0EAF5"/>
            <w:tcMar>
              <w:top w:w="43" w:type="dxa"/>
              <w:left w:w="86" w:type="dxa"/>
              <w:bottom w:w="58" w:type="dxa"/>
              <w:right w:w="43" w:type="dxa"/>
            </w:tcMar>
          </w:tcPr>
          <w:p w14:paraId="518EDFB4"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51.8%</w:t>
            </w:r>
          </w:p>
        </w:tc>
        <w:tc>
          <w:tcPr>
            <w:tcW w:w="1160" w:type="dxa"/>
            <w:shd w:val="clear" w:color="auto" w:fill="E0EAF5"/>
            <w:tcMar>
              <w:top w:w="40" w:type="dxa"/>
              <w:left w:w="80" w:type="dxa"/>
              <w:bottom w:w="60" w:type="dxa"/>
              <w:right w:w="40" w:type="dxa"/>
            </w:tcMar>
          </w:tcPr>
          <w:p w14:paraId="7128E1C4"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59.4%</w:t>
            </w:r>
          </w:p>
        </w:tc>
        <w:tc>
          <w:tcPr>
            <w:tcW w:w="1160" w:type="dxa"/>
            <w:shd w:val="clear" w:color="auto" w:fill="E0EAF5"/>
            <w:tcMar>
              <w:top w:w="40" w:type="dxa"/>
              <w:left w:w="80" w:type="dxa"/>
              <w:bottom w:w="60" w:type="dxa"/>
              <w:right w:w="40" w:type="dxa"/>
            </w:tcMar>
          </w:tcPr>
          <w:p w14:paraId="486A1330"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58.7%</w:t>
            </w:r>
          </w:p>
        </w:tc>
        <w:tc>
          <w:tcPr>
            <w:tcW w:w="1160" w:type="dxa"/>
            <w:shd w:val="clear" w:color="auto" w:fill="E0EAF5"/>
            <w:tcMar>
              <w:top w:w="40" w:type="dxa"/>
              <w:left w:w="80" w:type="dxa"/>
              <w:bottom w:w="60" w:type="dxa"/>
              <w:right w:w="40" w:type="dxa"/>
            </w:tcMar>
          </w:tcPr>
          <w:p w14:paraId="286F035D"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60.6%</w:t>
            </w:r>
          </w:p>
        </w:tc>
      </w:tr>
      <w:tr w:rsidR="00D31EA2" w14:paraId="177A4FA1" w14:textId="77777777" w:rsidTr="00311585">
        <w:trPr>
          <w:trHeight w:val="240"/>
        </w:trPr>
        <w:tc>
          <w:tcPr>
            <w:tcW w:w="2952" w:type="dxa"/>
            <w:vMerge w:val="restart"/>
            <w:tcMar>
              <w:top w:w="40" w:type="dxa"/>
              <w:left w:w="120" w:type="dxa"/>
              <w:bottom w:w="40" w:type="dxa"/>
              <w:right w:w="40" w:type="dxa"/>
            </w:tcMar>
          </w:tcPr>
          <w:p w14:paraId="5A7E80B1"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Post-discharge follow up rate (lagged seven days)</w:t>
            </w:r>
            <w:r w:rsidRPr="00AA148D">
              <w:rPr>
                <w:rFonts w:ascii="Arial" w:eastAsia="Verdana" w:hAnsi="Arial" w:cs="Arial"/>
                <w:color w:val="000000"/>
                <w:sz w:val="18"/>
                <w:szCs w:val="18"/>
                <w:vertAlign w:val="superscript"/>
              </w:rPr>
              <w:t>‡</w:t>
            </w:r>
          </w:p>
        </w:tc>
        <w:tc>
          <w:tcPr>
            <w:tcW w:w="2552" w:type="dxa"/>
            <w:tcMar>
              <w:top w:w="40" w:type="dxa"/>
              <w:left w:w="80" w:type="dxa"/>
              <w:bottom w:w="40" w:type="dxa"/>
              <w:right w:w="40" w:type="dxa"/>
            </w:tcMar>
          </w:tcPr>
          <w:p w14:paraId="421BDD38" w14:textId="77777777" w:rsidR="00D31EA2" w:rsidRDefault="00D31EA2" w:rsidP="00410442">
            <w:pPr>
              <w:rPr>
                <w:rFonts w:ascii="Arial" w:hAnsi="Arial" w:cs="Arial"/>
                <w:color w:val="000000"/>
                <w:sz w:val="18"/>
                <w:szCs w:val="18"/>
              </w:rPr>
            </w:pPr>
            <w:r>
              <w:rPr>
                <w:rFonts w:ascii="Arial" w:hAnsi="Arial" w:cs="Arial"/>
                <w:color w:val="000000"/>
                <w:sz w:val="18"/>
                <w:szCs w:val="18"/>
              </w:rPr>
              <w:t>Adult</w:t>
            </w:r>
          </w:p>
        </w:tc>
        <w:tc>
          <w:tcPr>
            <w:tcW w:w="1159" w:type="dxa"/>
            <w:tcMar>
              <w:top w:w="43" w:type="dxa"/>
              <w:left w:w="86" w:type="dxa"/>
              <w:bottom w:w="58" w:type="dxa"/>
              <w:right w:w="43" w:type="dxa"/>
            </w:tcMar>
          </w:tcPr>
          <w:p w14:paraId="42027BCB" w14:textId="77777777" w:rsidR="00D31EA2" w:rsidRDefault="00D31EA2" w:rsidP="00410442">
            <w:pPr>
              <w:rPr>
                <w:rFonts w:ascii="Arial" w:hAnsi="Arial" w:cs="Arial"/>
                <w:color w:val="000000"/>
                <w:sz w:val="18"/>
                <w:szCs w:val="18"/>
              </w:rPr>
            </w:pPr>
            <w:r>
              <w:rPr>
                <w:rFonts w:ascii="Arial" w:hAnsi="Arial" w:cs="Arial"/>
                <w:color w:val="000000"/>
                <w:sz w:val="18"/>
                <w:szCs w:val="18"/>
              </w:rPr>
              <w:t>85.7%</w:t>
            </w:r>
          </w:p>
        </w:tc>
        <w:tc>
          <w:tcPr>
            <w:tcW w:w="1160" w:type="dxa"/>
            <w:tcMar>
              <w:top w:w="43" w:type="dxa"/>
              <w:left w:w="86" w:type="dxa"/>
              <w:bottom w:w="58" w:type="dxa"/>
              <w:right w:w="43" w:type="dxa"/>
            </w:tcMar>
          </w:tcPr>
          <w:p w14:paraId="7453FB67" w14:textId="77777777" w:rsidR="00D31EA2" w:rsidRDefault="00D31EA2" w:rsidP="00410442">
            <w:pPr>
              <w:rPr>
                <w:rFonts w:ascii="Arial" w:hAnsi="Arial" w:cs="Arial"/>
                <w:color w:val="000000"/>
                <w:sz w:val="18"/>
                <w:szCs w:val="18"/>
              </w:rPr>
            </w:pPr>
            <w:r>
              <w:rPr>
                <w:rFonts w:ascii="Arial" w:hAnsi="Arial" w:cs="Arial"/>
                <w:color w:val="000000"/>
                <w:sz w:val="18"/>
                <w:szCs w:val="18"/>
              </w:rPr>
              <w:t>79.3%</w:t>
            </w:r>
          </w:p>
        </w:tc>
        <w:tc>
          <w:tcPr>
            <w:tcW w:w="1160" w:type="dxa"/>
            <w:tcMar>
              <w:top w:w="40" w:type="dxa"/>
              <w:left w:w="80" w:type="dxa"/>
              <w:bottom w:w="60" w:type="dxa"/>
              <w:right w:w="40" w:type="dxa"/>
            </w:tcMar>
          </w:tcPr>
          <w:p w14:paraId="54E08465" w14:textId="77777777" w:rsidR="00D31EA2" w:rsidRDefault="00D31EA2" w:rsidP="00410442">
            <w:pPr>
              <w:rPr>
                <w:rFonts w:ascii="Arial" w:hAnsi="Arial" w:cs="Arial"/>
                <w:color w:val="000000"/>
                <w:sz w:val="18"/>
                <w:szCs w:val="18"/>
              </w:rPr>
            </w:pPr>
            <w:r>
              <w:rPr>
                <w:rFonts w:ascii="Arial" w:hAnsi="Arial" w:cs="Arial"/>
                <w:color w:val="000000"/>
                <w:sz w:val="18"/>
                <w:szCs w:val="18"/>
              </w:rPr>
              <w:t>88.4%</w:t>
            </w:r>
          </w:p>
        </w:tc>
        <w:tc>
          <w:tcPr>
            <w:tcW w:w="1160" w:type="dxa"/>
            <w:tcMar>
              <w:top w:w="40" w:type="dxa"/>
              <w:left w:w="80" w:type="dxa"/>
              <w:bottom w:w="60" w:type="dxa"/>
              <w:right w:w="40" w:type="dxa"/>
            </w:tcMar>
          </w:tcPr>
          <w:p w14:paraId="4443F8C6" w14:textId="77777777" w:rsidR="00D31EA2" w:rsidRDefault="00D31EA2" w:rsidP="00410442">
            <w:pPr>
              <w:rPr>
                <w:rFonts w:ascii="Arial" w:hAnsi="Arial" w:cs="Arial"/>
                <w:color w:val="000000"/>
                <w:sz w:val="18"/>
                <w:szCs w:val="18"/>
              </w:rPr>
            </w:pPr>
            <w:r>
              <w:rPr>
                <w:rFonts w:ascii="Arial" w:hAnsi="Arial" w:cs="Arial"/>
                <w:color w:val="000000"/>
                <w:sz w:val="18"/>
                <w:szCs w:val="18"/>
              </w:rPr>
              <w:t>89.2%</w:t>
            </w:r>
          </w:p>
        </w:tc>
        <w:tc>
          <w:tcPr>
            <w:tcW w:w="1160" w:type="dxa"/>
            <w:tcMar>
              <w:top w:w="40" w:type="dxa"/>
              <w:left w:w="80" w:type="dxa"/>
              <w:bottom w:w="60" w:type="dxa"/>
              <w:right w:w="40" w:type="dxa"/>
            </w:tcMar>
          </w:tcPr>
          <w:p w14:paraId="7EAB94D9" w14:textId="77777777" w:rsidR="00D31EA2" w:rsidRDefault="00D31EA2" w:rsidP="00410442">
            <w:pPr>
              <w:rPr>
                <w:rFonts w:ascii="Arial" w:hAnsi="Arial" w:cs="Arial"/>
                <w:color w:val="000000"/>
                <w:sz w:val="18"/>
                <w:szCs w:val="18"/>
              </w:rPr>
            </w:pPr>
            <w:r>
              <w:rPr>
                <w:rFonts w:ascii="Arial" w:hAnsi="Arial" w:cs="Arial"/>
                <w:color w:val="000000"/>
                <w:sz w:val="18"/>
                <w:szCs w:val="18"/>
              </w:rPr>
              <w:t>91.1%</w:t>
            </w:r>
          </w:p>
        </w:tc>
      </w:tr>
      <w:tr w:rsidR="00D31EA2" w14:paraId="05B1F638" w14:textId="77777777" w:rsidTr="00311585">
        <w:trPr>
          <w:trHeight w:val="240"/>
        </w:trPr>
        <w:tc>
          <w:tcPr>
            <w:tcW w:w="2952" w:type="dxa"/>
            <w:vMerge/>
            <w:tcMar>
              <w:top w:w="40" w:type="dxa"/>
              <w:left w:w="120" w:type="dxa"/>
              <w:bottom w:w="40" w:type="dxa"/>
              <w:right w:w="40" w:type="dxa"/>
            </w:tcMar>
          </w:tcPr>
          <w:p w14:paraId="4A4DA4A3" w14:textId="77777777" w:rsidR="00D31EA2" w:rsidRPr="00AA148D" w:rsidRDefault="00D31EA2" w:rsidP="00410442">
            <w:pPr>
              <w:rPr>
                <w:rFonts w:ascii="Arial" w:hAnsi="Arial" w:cs="Arial"/>
                <w:sz w:val="18"/>
                <w:szCs w:val="18"/>
              </w:rPr>
            </w:pPr>
          </w:p>
        </w:tc>
        <w:tc>
          <w:tcPr>
            <w:tcW w:w="2552" w:type="dxa"/>
            <w:tcMar>
              <w:top w:w="40" w:type="dxa"/>
              <w:left w:w="80" w:type="dxa"/>
              <w:bottom w:w="40" w:type="dxa"/>
              <w:right w:w="40" w:type="dxa"/>
            </w:tcMar>
          </w:tcPr>
          <w:p w14:paraId="1FB1D031" w14:textId="77777777" w:rsidR="00D31EA2" w:rsidRDefault="00D31EA2" w:rsidP="00410442">
            <w:pPr>
              <w:rPr>
                <w:rFonts w:ascii="Arial" w:hAnsi="Arial" w:cs="Arial"/>
                <w:color w:val="000000"/>
                <w:sz w:val="18"/>
                <w:szCs w:val="18"/>
              </w:rPr>
            </w:pPr>
            <w:r>
              <w:rPr>
                <w:rFonts w:ascii="Arial" w:hAnsi="Arial" w:cs="Arial"/>
                <w:color w:val="000000"/>
                <w:sz w:val="18"/>
                <w:szCs w:val="18"/>
              </w:rPr>
              <w:t>Aged</w:t>
            </w:r>
          </w:p>
        </w:tc>
        <w:tc>
          <w:tcPr>
            <w:tcW w:w="1159" w:type="dxa"/>
            <w:tcMar>
              <w:top w:w="43" w:type="dxa"/>
              <w:left w:w="86" w:type="dxa"/>
              <w:bottom w:w="58" w:type="dxa"/>
              <w:right w:w="43" w:type="dxa"/>
            </w:tcMar>
          </w:tcPr>
          <w:p w14:paraId="038CAC84" w14:textId="77777777" w:rsidR="00D31EA2" w:rsidRDefault="00D31EA2" w:rsidP="00410442">
            <w:pPr>
              <w:rPr>
                <w:rFonts w:ascii="Arial" w:hAnsi="Arial" w:cs="Arial"/>
                <w:color w:val="000000"/>
                <w:sz w:val="18"/>
                <w:szCs w:val="18"/>
              </w:rPr>
            </w:pPr>
            <w:r>
              <w:rPr>
                <w:rFonts w:ascii="Arial" w:hAnsi="Arial" w:cs="Arial"/>
                <w:color w:val="000000"/>
                <w:sz w:val="18"/>
                <w:szCs w:val="18"/>
              </w:rPr>
              <w:t>90.0%</w:t>
            </w:r>
          </w:p>
        </w:tc>
        <w:tc>
          <w:tcPr>
            <w:tcW w:w="1160" w:type="dxa"/>
            <w:tcMar>
              <w:top w:w="43" w:type="dxa"/>
              <w:left w:w="86" w:type="dxa"/>
              <w:bottom w:w="58" w:type="dxa"/>
              <w:right w:w="43" w:type="dxa"/>
            </w:tcMar>
          </w:tcPr>
          <w:p w14:paraId="46C2E6B8" w14:textId="77777777" w:rsidR="00D31EA2" w:rsidRDefault="00D31EA2" w:rsidP="00410442">
            <w:pPr>
              <w:rPr>
                <w:rFonts w:ascii="Arial" w:hAnsi="Arial" w:cs="Arial"/>
                <w:color w:val="000000"/>
                <w:sz w:val="18"/>
                <w:szCs w:val="18"/>
              </w:rPr>
            </w:pPr>
            <w:r>
              <w:rPr>
                <w:rFonts w:ascii="Arial" w:hAnsi="Arial" w:cs="Arial"/>
                <w:color w:val="000000"/>
                <w:sz w:val="18"/>
                <w:szCs w:val="18"/>
              </w:rPr>
              <w:t>74.6%</w:t>
            </w:r>
          </w:p>
        </w:tc>
        <w:tc>
          <w:tcPr>
            <w:tcW w:w="1160" w:type="dxa"/>
            <w:tcMar>
              <w:top w:w="40" w:type="dxa"/>
              <w:left w:w="80" w:type="dxa"/>
              <w:bottom w:w="60" w:type="dxa"/>
              <w:right w:w="40" w:type="dxa"/>
            </w:tcMar>
          </w:tcPr>
          <w:p w14:paraId="3E1A0579" w14:textId="77777777" w:rsidR="00D31EA2" w:rsidRDefault="00D31EA2" w:rsidP="00410442">
            <w:pPr>
              <w:rPr>
                <w:rFonts w:ascii="Arial" w:hAnsi="Arial" w:cs="Arial"/>
                <w:color w:val="000000"/>
                <w:sz w:val="18"/>
                <w:szCs w:val="18"/>
              </w:rPr>
            </w:pPr>
            <w:r>
              <w:rPr>
                <w:rFonts w:ascii="Arial" w:hAnsi="Arial" w:cs="Arial"/>
                <w:color w:val="000000"/>
                <w:sz w:val="18"/>
                <w:szCs w:val="18"/>
              </w:rPr>
              <w:t>93.2%</w:t>
            </w:r>
          </w:p>
        </w:tc>
        <w:tc>
          <w:tcPr>
            <w:tcW w:w="1160" w:type="dxa"/>
            <w:tcMar>
              <w:top w:w="40" w:type="dxa"/>
              <w:left w:w="80" w:type="dxa"/>
              <w:bottom w:w="60" w:type="dxa"/>
              <w:right w:w="40" w:type="dxa"/>
            </w:tcMar>
          </w:tcPr>
          <w:p w14:paraId="0750CAA0" w14:textId="77777777" w:rsidR="00D31EA2" w:rsidRDefault="00D31EA2" w:rsidP="00410442">
            <w:pPr>
              <w:rPr>
                <w:rFonts w:ascii="Arial" w:hAnsi="Arial" w:cs="Arial"/>
                <w:color w:val="000000"/>
                <w:sz w:val="18"/>
                <w:szCs w:val="18"/>
              </w:rPr>
            </w:pPr>
            <w:r>
              <w:rPr>
                <w:rFonts w:ascii="Arial" w:hAnsi="Arial" w:cs="Arial"/>
                <w:color w:val="000000"/>
                <w:sz w:val="18"/>
                <w:szCs w:val="18"/>
              </w:rPr>
              <w:t>94.5%</w:t>
            </w:r>
          </w:p>
        </w:tc>
        <w:tc>
          <w:tcPr>
            <w:tcW w:w="1160" w:type="dxa"/>
            <w:tcMar>
              <w:top w:w="40" w:type="dxa"/>
              <w:left w:w="80" w:type="dxa"/>
              <w:bottom w:w="60" w:type="dxa"/>
              <w:right w:w="40" w:type="dxa"/>
            </w:tcMar>
          </w:tcPr>
          <w:p w14:paraId="417A2388" w14:textId="77777777" w:rsidR="00D31EA2" w:rsidRDefault="00D31EA2" w:rsidP="00410442">
            <w:pPr>
              <w:rPr>
                <w:rFonts w:ascii="Arial" w:hAnsi="Arial" w:cs="Arial"/>
                <w:color w:val="000000"/>
                <w:sz w:val="18"/>
                <w:szCs w:val="18"/>
              </w:rPr>
            </w:pPr>
            <w:r>
              <w:rPr>
                <w:rFonts w:ascii="Arial" w:hAnsi="Arial" w:cs="Arial"/>
                <w:color w:val="000000"/>
                <w:sz w:val="18"/>
                <w:szCs w:val="18"/>
              </w:rPr>
              <w:t>94.9%</w:t>
            </w:r>
          </w:p>
        </w:tc>
      </w:tr>
      <w:tr w:rsidR="00D31EA2" w14:paraId="121F9093" w14:textId="77777777" w:rsidTr="00311585">
        <w:trPr>
          <w:trHeight w:val="240"/>
        </w:trPr>
        <w:tc>
          <w:tcPr>
            <w:tcW w:w="2952" w:type="dxa"/>
            <w:vMerge/>
            <w:tcMar>
              <w:top w:w="40" w:type="dxa"/>
              <w:left w:w="120" w:type="dxa"/>
              <w:bottom w:w="40" w:type="dxa"/>
              <w:right w:w="40" w:type="dxa"/>
            </w:tcMar>
          </w:tcPr>
          <w:p w14:paraId="173F85B5" w14:textId="77777777" w:rsidR="00D31EA2" w:rsidRPr="00AA148D" w:rsidRDefault="00D31EA2" w:rsidP="00410442">
            <w:pPr>
              <w:rPr>
                <w:rFonts w:ascii="Arial" w:hAnsi="Arial" w:cs="Arial"/>
                <w:sz w:val="18"/>
                <w:szCs w:val="18"/>
              </w:rPr>
            </w:pPr>
          </w:p>
        </w:tc>
        <w:tc>
          <w:tcPr>
            <w:tcW w:w="2552" w:type="dxa"/>
            <w:tcMar>
              <w:top w:w="40" w:type="dxa"/>
              <w:left w:w="80" w:type="dxa"/>
              <w:bottom w:w="40" w:type="dxa"/>
              <w:right w:w="40" w:type="dxa"/>
            </w:tcMar>
          </w:tcPr>
          <w:p w14:paraId="7AF92F8A" w14:textId="77777777" w:rsidR="00D31EA2" w:rsidRDefault="00D31EA2" w:rsidP="00410442">
            <w:pPr>
              <w:rPr>
                <w:rFonts w:ascii="Arial" w:hAnsi="Arial" w:cs="Arial"/>
                <w:color w:val="000000"/>
                <w:sz w:val="18"/>
                <w:szCs w:val="18"/>
              </w:rPr>
            </w:pPr>
            <w:r>
              <w:rPr>
                <w:rFonts w:ascii="Arial" w:hAnsi="Arial" w:cs="Arial"/>
                <w:color w:val="000000"/>
                <w:sz w:val="18"/>
                <w:szCs w:val="18"/>
              </w:rPr>
              <w:t>CAMHS</w:t>
            </w:r>
          </w:p>
        </w:tc>
        <w:tc>
          <w:tcPr>
            <w:tcW w:w="1159" w:type="dxa"/>
            <w:tcMar>
              <w:top w:w="43" w:type="dxa"/>
              <w:left w:w="86" w:type="dxa"/>
              <w:bottom w:w="58" w:type="dxa"/>
              <w:right w:w="43" w:type="dxa"/>
            </w:tcMar>
          </w:tcPr>
          <w:p w14:paraId="44A1C994" w14:textId="77777777" w:rsidR="00D31EA2" w:rsidRDefault="00D31EA2" w:rsidP="00410442">
            <w:pPr>
              <w:rPr>
                <w:rFonts w:ascii="Arial" w:hAnsi="Arial" w:cs="Arial"/>
                <w:color w:val="000000"/>
                <w:sz w:val="18"/>
                <w:szCs w:val="18"/>
              </w:rPr>
            </w:pPr>
            <w:r>
              <w:rPr>
                <w:rFonts w:ascii="Arial" w:hAnsi="Arial" w:cs="Arial"/>
                <w:color w:val="000000"/>
                <w:sz w:val="18"/>
                <w:szCs w:val="18"/>
              </w:rPr>
              <w:t>85.8%</w:t>
            </w:r>
          </w:p>
        </w:tc>
        <w:tc>
          <w:tcPr>
            <w:tcW w:w="1160" w:type="dxa"/>
            <w:tcMar>
              <w:top w:w="43" w:type="dxa"/>
              <w:left w:w="86" w:type="dxa"/>
              <w:bottom w:w="58" w:type="dxa"/>
              <w:right w:w="43" w:type="dxa"/>
            </w:tcMar>
          </w:tcPr>
          <w:p w14:paraId="0DBF03C4" w14:textId="77777777" w:rsidR="00D31EA2" w:rsidRDefault="00D31EA2" w:rsidP="00410442">
            <w:pPr>
              <w:rPr>
                <w:rFonts w:ascii="Arial" w:hAnsi="Arial" w:cs="Arial"/>
                <w:color w:val="000000"/>
                <w:sz w:val="18"/>
                <w:szCs w:val="18"/>
              </w:rPr>
            </w:pPr>
            <w:r>
              <w:rPr>
                <w:rFonts w:ascii="Arial" w:hAnsi="Arial" w:cs="Arial"/>
                <w:color w:val="000000"/>
                <w:sz w:val="18"/>
                <w:szCs w:val="18"/>
              </w:rPr>
              <w:t>83.9%</w:t>
            </w:r>
          </w:p>
        </w:tc>
        <w:tc>
          <w:tcPr>
            <w:tcW w:w="1160" w:type="dxa"/>
            <w:tcMar>
              <w:top w:w="40" w:type="dxa"/>
              <w:left w:w="80" w:type="dxa"/>
              <w:bottom w:w="60" w:type="dxa"/>
              <w:right w:w="40" w:type="dxa"/>
            </w:tcMar>
          </w:tcPr>
          <w:p w14:paraId="7400373D" w14:textId="77777777" w:rsidR="00D31EA2" w:rsidRDefault="00D31EA2" w:rsidP="00410442">
            <w:pPr>
              <w:rPr>
                <w:rFonts w:ascii="Arial" w:hAnsi="Arial" w:cs="Arial"/>
                <w:color w:val="000000"/>
                <w:sz w:val="18"/>
                <w:szCs w:val="18"/>
              </w:rPr>
            </w:pPr>
            <w:r>
              <w:rPr>
                <w:rFonts w:ascii="Arial" w:hAnsi="Arial" w:cs="Arial"/>
                <w:color w:val="000000"/>
                <w:sz w:val="18"/>
                <w:szCs w:val="18"/>
              </w:rPr>
              <w:t>86.3%</w:t>
            </w:r>
          </w:p>
        </w:tc>
        <w:tc>
          <w:tcPr>
            <w:tcW w:w="1160" w:type="dxa"/>
            <w:tcMar>
              <w:top w:w="40" w:type="dxa"/>
              <w:left w:w="80" w:type="dxa"/>
              <w:bottom w:w="60" w:type="dxa"/>
              <w:right w:w="40" w:type="dxa"/>
            </w:tcMar>
          </w:tcPr>
          <w:p w14:paraId="4754127A" w14:textId="77777777" w:rsidR="00D31EA2" w:rsidRDefault="00D31EA2" w:rsidP="00410442">
            <w:pPr>
              <w:rPr>
                <w:rFonts w:ascii="Arial" w:hAnsi="Arial" w:cs="Arial"/>
                <w:color w:val="000000"/>
                <w:sz w:val="18"/>
                <w:szCs w:val="18"/>
              </w:rPr>
            </w:pPr>
            <w:r>
              <w:rPr>
                <w:rFonts w:ascii="Arial" w:hAnsi="Arial" w:cs="Arial"/>
                <w:color w:val="000000"/>
                <w:sz w:val="18"/>
                <w:szCs w:val="18"/>
              </w:rPr>
              <w:t>87.4%</w:t>
            </w:r>
          </w:p>
        </w:tc>
        <w:tc>
          <w:tcPr>
            <w:tcW w:w="1160" w:type="dxa"/>
            <w:tcMar>
              <w:top w:w="40" w:type="dxa"/>
              <w:left w:w="80" w:type="dxa"/>
              <w:bottom w:w="60" w:type="dxa"/>
              <w:right w:w="40" w:type="dxa"/>
            </w:tcMar>
          </w:tcPr>
          <w:p w14:paraId="7F559AC6" w14:textId="77777777" w:rsidR="00D31EA2" w:rsidRDefault="00D31EA2" w:rsidP="00410442">
            <w:pPr>
              <w:rPr>
                <w:rFonts w:ascii="Arial" w:hAnsi="Arial" w:cs="Arial"/>
                <w:color w:val="000000"/>
                <w:sz w:val="18"/>
                <w:szCs w:val="18"/>
              </w:rPr>
            </w:pPr>
            <w:r>
              <w:rPr>
                <w:rFonts w:ascii="Arial" w:hAnsi="Arial" w:cs="Arial"/>
                <w:color w:val="000000"/>
                <w:sz w:val="18"/>
                <w:szCs w:val="18"/>
              </w:rPr>
              <w:t>87.0%</w:t>
            </w:r>
          </w:p>
        </w:tc>
      </w:tr>
      <w:tr w:rsidR="00D31EA2" w14:paraId="7754949B" w14:textId="77777777" w:rsidTr="00311585">
        <w:trPr>
          <w:trHeight w:val="240"/>
        </w:trPr>
        <w:tc>
          <w:tcPr>
            <w:tcW w:w="2952" w:type="dxa"/>
            <w:vMerge/>
            <w:tcMar>
              <w:top w:w="40" w:type="dxa"/>
              <w:left w:w="120" w:type="dxa"/>
              <w:bottom w:w="40" w:type="dxa"/>
              <w:right w:w="40" w:type="dxa"/>
            </w:tcMar>
          </w:tcPr>
          <w:p w14:paraId="5FFA0794" w14:textId="77777777" w:rsidR="00D31EA2" w:rsidRPr="00AA148D" w:rsidRDefault="00D31EA2" w:rsidP="00410442">
            <w:pPr>
              <w:rPr>
                <w:rFonts w:ascii="Arial" w:hAnsi="Arial" w:cs="Arial"/>
                <w:sz w:val="18"/>
                <w:szCs w:val="18"/>
              </w:rPr>
            </w:pPr>
          </w:p>
        </w:tc>
        <w:tc>
          <w:tcPr>
            <w:tcW w:w="2552" w:type="dxa"/>
            <w:tcMar>
              <w:top w:w="40" w:type="dxa"/>
              <w:left w:w="80" w:type="dxa"/>
              <w:bottom w:w="40" w:type="dxa"/>
              <w:right w:w="40" w:type="dxa"/>
            </w:tcMar>
          </w:tcPr>
          <w:p w14:paraId="1601B11A" w14:textId="77777777" w:rsidR="00D31EA2" w:rsidRDefault="00D31EA2" w:rsidP="00410442">
            <w:pPr>
              <w:rPr>
                <w:rFonts w:ascii="Arial" w:hAnsi="Arial" w:cs="Arial"/>
                <w:color w:val="000000"/>
                <w:sz w:val="18"/>
                <w:szCs w:val="18"/>
              </w:rPr>
            </w:pPr>
            <w:r>
              <w:rPr>
                <w:rFonts w:ascii="Arial" w:hAnsi="Arial" w:cs="Arial"/>
                <w:color w:val="000000"/>
                <w:sz w:val="18"/>
                <w:szCs w:val="18"/>
              </w:rPr>
              <w:t>Forensic</w:t>
            </w:r>
          </w:p>
        </w:tc>
        <w:tc>
          <w:tcPr>
            <w:tcW w:w="1159" w:type="dxa"/>
            <w:tcMar>
              <w:top w:w="43" w:type="dxa"/>
              <w:left w:w="86" w:type="dxa"/>
              <w:bottom w:w="58" w:type="dxa"/>
              <w:right w:w="43" w:type="dxa"/>
            </w:tcMar>
          </w:tcPr>
          <w:p w14:paraId="59F40158" w14:textId="77777777" w:rsidR="00D31EA2" w:rsidRDefault="00D31EA2" w:rsidP="00410442">
            <w:pPr>
              <w:rPr>
                <w:rFonts w:ascii="Arial" w:hAnsi="Arial" w:cs="Arial"/>
                <w:color w:val="000000"/>
                <w:sz w:val="18"/>
                <w:szCs w:val="18"/>
              </w:rPr>
            </w:pPr>
            <w:r>
              <w:rPr>
                <w:rFonts w:ascii="Arial" w:hAnsi="Arial" w:cs="Arial"/>
                <w:color w:val="000000"/>
                <w:sz w:val="18"/>
                <w:szCs w:val="18"/>
              </w:rPr>
              <w:t>36.8%</w:t>
            </w:r>
          </w:p>
        </w:tc>
        <w:tc>
          <w:tcPr>
            <w:tcW w:w="1160" w:type="dxa"/>
            <w:tcMar>
              <w:top w:w="43" w:type="dxa"/>
              <w:left w:w="86" w:type="dxa"/>
              <w:bottom w:w="58" w:type="dxa"/>
              <w:right w:w="43" w:type="dxa"/>
            </w:tcMar>
          </w:tcPr>
          <w:p w14:paraId="00E47114" w14:textId="77777777" w:rsidR="00D31EA2" w:rsidRDefault="00D31EA2" w:rsidP="00410442">
            <w:pPr>
              <w:rPr>
                <w:rFonts w:ascii="Arial" w:hAnsi="Arial" w:cs="Arial"/>
                <w:color w:val="000000"/>
                <w:sz w:val="18"/>
                <w:szCs w:val="18"/>
              </w:rPr>
            </w:pPr>
            <w:r>
              <w:rPr>
                <w:rFonts w:ascii="Arial" w:hAnsi="Arial" w:cs="Arial"/>
                <w:color w:val="000000"/>
                <w:sz w:val="18"/>
                <w:szCs w:val="18"/>
              </w:rPr>
              <w:t>31.2%</w:t>
            </w:r>
          </w:p>
        </w:tc>
        <w:tc>
          <w:tcPr>
            <w:tcW w:w="1160" w:type="dxa"/>
            <w:tcMar>
              <w:top w:w="40" w:type="dxa"/>
              <w:left w:w="80" w:type="dxa"/>
              <w:bottom w:w="60" w:type="dxa"/>
              <w:right w:w="40" w:type="dxa"/>
            </w:tcMar>
          </w:tcPr>
          <w:p w14:paraId="56D2B327" w14:textId="77777777" w:rsidR="00D31EA2" w:rsidRDefault="00D31EA2" w:rsidP="00410442">
            <w:pPr>
              <w:rPr>
                <w:rFonts w:ascii="Arial" w:hAnsi="Arial" w:cs="Arial"/>
                <w:color w:val="000000"/>
                <w:sz w:val="18"/>
                <w:szCs w:val="18"/>
              </w:rPr>
            </w:pPr>
            <w:r>
              <w:rPr>
                <w:rFonts w:ascii="Arial" w:hAnsi="Arial" w:cs="Arial"/>
                <w:color w:val="000000"/>
                <w:sz w:val="18"/>
                <w:szCs w:val="18"/>
              </w:rPr>
              <w:t>26.4%</w:t>
            </w:r>
          </w:p>
        </w:tc>
        <w:tc>
          <w:tcPr>
            <w:tcW w:w="1160" w:type="dxa"/>
            <w:tcMar>
              <w:top w:w="40" w:type="dxa"/>
              <w:left w:w="80" w:type="dxa"/>
              <w:bottom w:w="60" w:type="dxa"/>
              <w:right w:w="40" w:type="dxa"/>
            </w:tcMar>
          </w:tcPr>
          <w:p w14:paraId="6C2FC36C" w14:textId="77777777" w:rsidR="00D31EA2" w:rsidRDefault="00D31EA2" w:rsidP="00410442">
            <w:pPr>
              <w:rPr>
                <w:rFonts w:ascii="Arial" w:hAnsi="Arial" w:cs="Arial"/>
                <w:color w:val="000000"/>
                <w:sz w:val="18"/>
                <w:szCs w:val="18"/>
              </w:rPr>
            </w:pPr>
            <w:r>
              <w:rPr>
                <w:rFonts w:ascii="Arial" w:hAnsi="Arial" w:cs="Arial"/>
                <w:color w:val="000000"/>
                <w:sz w:val="18"/>
                <w:szCs w:val="18"/>
              </w:rPr>
              <w:t>28.4%</w:t>
            </w:r>
          </w:p>
        </w:tc>
        <w:tc>
          <w:tcPr>
            <w:tcW w:w="1160" w:type="dxa"/>
            <w:tcMar>
              <w:top w:w="40" w:type="dxa"/>
              <w:left w:w="80" w:type="dxa"/>
              <w:bottom w:w="60" w:type="dxa"/>
              <w:right w:w="40" w:type="dxa"/>
            </w:tcMar>
          </w:tcPr>
          <w:p w14:paraId="7F68ECE2" w14:textId="77777777" w:rsidR="00D31EA2" w:rsidRDefault="00D31EA2" w:rsidP="00410442">
            <w:pPr>
              <w:rPr>
                <w:rFonts w:ascii="Arial" w:hAnsi="Arial" w:cs="Arial"/>
                <w:color w:val="000000"/>
                <w:sz w:val="18"/>
                <w:szCs w:val="18"/>
              </w:rPr>
            </w:pPr>
            <w:r>
              <w:rPr>
                <w:rFonts w:ascii="Arial" w:hAnsi="Arial" w:cs="Arial"/>
                <w:color w:val="000000"/>
                <w:sz w:val="18"/>
                <w:szCs w:val="18"/>
              </w:rPr>
              <w:t>28.6%</w:t>
            </w:r>
          </w:p>
        </w:tc>
      </w:tr>
      <w:tr w:rsidR="00D31EA2" w14:paraId="71021A33" w14:textId="77777777" w:rsidTr="00311585">
        <w:trPr>
          <w:trHeight w:val="240"/>
        </w:trPr>
        <w:tc>
          <w:tcPr>
            <w:tcW w:w="2952" w:type="dxa"/>
            <w:vMerge/>
            <w:tcMar>
              <w:top w:w="40" w:type="dxa"/>
              <w:left w:w="120" w:type="dxa"/>
              <w:bottom w:w="40" w:type="dxa"/>
              <w:right w:w="40" w:type="dxa"/>
            </w:tcMar>
          </w:tcPr>
          <w:p w14:paraId="02D5FDEA" w14:textId="77777777" w:rsidR="00D31EA2" w:rsidRPr="00AA148D" w:rsidRDefault="00D31EA2" w:rsidP="00410442">
            <w:pPr>
              <w:rPr>
                <w:rFonts w:ascii="Arial" w:hAnsi="Arial" w:cs="Arial"/>
                <w:sz w:val="18"/>
                <w:szCs w:val="18"/>
              </w:rPr>
            </w:pPr>
          </w:p>
        </w:tc>
        <w:tc>
          <w:tcPr>
            <w:tcW w:w="2552" w:type="dxa"/>
            <w:tcMar>
              <w:top w:w="40" w:type="dxa"/>
              <w:left w:w="80" w:type="dxa"/>
              <w:bottom w:w="40" w:type="dxa"/>
              <w:right w:w="40" w:type="dxa"/>
            </w:tcMar>
          </w:tcPr>
          <w:p w14:paraId="667ABA5F" w14:textId="77777777" w:rsidR="00D31EA2" w:rsidRDefault="00D31EA2" w:rsidP="00410442">
            <w:pPr>
              <w:rPr>
                <w:rFonts w:ascii="Arial" w:hAnsi="Arial" w:cs="Arial"/>
                <w:color w:val="000000"/>
                <w:sz w:val="18"/>
                <w:szCs w:val="18"/>
              </w:rPr>
            </w:pPr>
            <w:r>
              <w:rPr>
                <w:rFonts w:ascii="Arial" w:hAnsi="Arial" w:cs="Arial"/>
                <w:color w:val="000000"/>
                <w:sz w:val="18"/>
                <w:szCs w:val="18"/>
              </w:rPr>
              <w:t>Specialist</w:t>
            </w:r>
          </w:p>
        </w:tc>
        <w:tc>
          <w:tcPr>
            <w:tcW w:w="1159" w:type="dxa"/>
            <w:tcMar>
              <w:top w:w="43" w:type="dxa"/>
              <w:left w:w="86" w:type="dxa"/>
              <w:bottom w:w="58" w:type="dxa"/>
              <w:right w:w="43" w:type="dxa"/>
            </w:tcMar>
          </w:tcPr>
          <w:p w14:paraId="0D4CA97B" w14:textId="77777777" w:rsidR="00D31EA2" w:rsidRDefault="00D31EA2" w:rsidP="00410442">
            <w:pPr>
              <w:rPr>
                <w:rFonts w:ascii="Arial" w:hAnsi="Arial" w:cs="Arial"/>
                <w:color w:val="000000"/>
                <w:sz w:val="18"/>
                <w:szCs w:val="18"/>
              </w:rPr>
            </w:pPr>
            <w:r>
              <w:rPr>
                <w:rFonts w:ascii="Arial" w:hAnsi="Arial" w:cs="Arial"/>
                <w:color w:val="000000"/>
                <w:sz w:val="18"/>
                <w:szCs w:val="18"/>
              </w:rPr>
              <w:t>44.0%</w:t>
            </w:r>
          </w:p>
        </w:tc>
        <w:tc>
          <w:tcPr>
            <w:tcW w:w="1160" w:type="dxa"/>
            <w:tcMar>
              <w:top w:w="43" w:type="dxa"/>
              <w:left w:w="86" w:type="dxa"/>
              <w:bottom w:w="58" w:type="dxa"/>
              <w:right w:w="43" w:type="dxa"/>
            </w:tcMar>
          </w:tcPr>
          <w:p w14:paraId="510E8B6E" w14:textId="77777777" w:rsidR="00D31EA2" w:rsidRDefault="00D31EA2" w:rsidP="00410442">
            <w:pPr>
              <w:rPr>
                <w:rFonts w:ascii="Arial" w:hAnsi="Arial" w:cs="Arial"/>
                <w:color w:val="000000"/>
                <w:sz w:val="18"/>
                <w:szCs w:val="18"/>
              </w:rPr>
            </w:pPr>
            <w:r>
              <w:rPr>
                <w:rFonts w:ascii="Arial" w:hAnsi="Arial" w:cs="Arial"/>
                <w:color w:val="000000"/>
                <w:sz w:val="18"/>
                <w:szCs w:val="18"/>
              </w:rPr>
              <w:t>41.1%</w:t>
            </w:r>
          </w:p>
        </w:tc>
        <w:tc>
          <w:tcPr>
            <w:tcW w:w="1160" w:type="dxa"/>
            <w:tcMar>
              <w:top w:w="40" w:type="dxa"/>
              <w:left w:w="80" w:type="dxa"/>
              <w:bottom w:w="60" w:type="dxa"/>
              <w:right w:w="40" w:type="dxa"/>
            </w:tcMar>
          </w:tcPr>
          <w:p w14:paraId="3607DA32" w14:textId="77777777" w:rsidR="00D31EA2" w:rsidRDefault="00D31EA2" w:rsidP="00410442">
            <w:pPr>
              <w:rPr>
                <w:rFonts w:ascii="Arial" w:hAnsi="Arial" w:cs="Arial"/>
                <w:color w:val="000000"/>
                <w:sz w:val="18"/>
                <w:szCs w:val="18"/>
              </w:rPr>
            </w:pPr>
            <w:r>
              <w:rPr>
                <w:rFonts w:ascii="Arial" w:hAnsi="Arial" w:cs="Arial"/>
                <w:color w:val="000000"/>
                <w:sz w:val="18"/>
                <w:szCs w:val="18"/>
              </w:rPr>
              <w:t>53.3%</w:t>
            </w:r>
          </w:p>
        </w:tc>
        <w:tc>
          <w:tcPr>
            <w:tcW w:w="1160" w:type="dxa"/>
            <w:tcMar>
              <w:top w:w="40" w:type="dxa"/>
              <w:left w:w="80" w:type="dxa"/>
              <w:bottom w:w="60" w:type="dxa"/>
              <w:right w:w="40" w:type="dxa"/>
            </w:tcMar>
          </w:tcPr>
          <w:p w14:paraId="664A84D5" w14:textId="77777777" w:rsidR="00D31EA2" w:rsidRDefault="00D31EA2" w:rsidP="00410442">
            <w:pPr>
              <w:rPr>
                <w:rFonts w:ascii="Arial" w:hAnsi="Arial" w:cs="Arial"/>
                <w:color w:val="000000"/>
                <w:sz w:val="18"/>
                <w:szCs w:val="18"/>
              </w:rPr>
            </w:pPr>
            <w:r>
              <w:rPr>
                <w:rFonts w:ascii="Arial" w:hAnsi="Arial" w:cs="Arial"/>
                <w:color w:val="000000"/>
                <w:sz w:val="18"/>
                <w:szCs w:val="18"/>
              </w:rPr>
              <w:t>60.9%</w:t>
            </w:r>
          </w:p>
        </w:tc>
        <w:tc>
          <w:tcPr>
            <w:tcW w:w="1160" w:type="dxa"/>
            <w:tcMar>
              <w:top w:w="40" w:type="dxa"/>
              <w:left w:w="80" w:type="dxa"/>
              <w:bottom w:w="60" w:type="dxa"/>
              <w:right w:w="40" w:type="dxa"/>
            </w:tcMar>
          </w:tcPr>
          <w:p w14:paraId="53D6C2F5" w14:textId="77777777" w:rsidR="00D31EA2" w:rsidRDefault="00D31EA2" w:rsidP="00410442">
            <w:pPr>
              <w:rPr>
                <w:rFonts w:ascii="Arial" w:hAnsi="Arial" w:cs="Arial"/>
                <w:color w:val="000000"/>
                <w:sz w:val="18"/>
                <w:szCs w:val="18"/>
              </w:rPr>
            </w:pPr>
            <w:r>
              <w:rPr>
                <w:rFonts w:ascii="Arial" w:hAnsi="Arial" w:cs="Arial"/>
                <w:color w:val="000000"/>
                <w:sz w:val="18"/>
                <w:szCs w:val="18"/>
              </w:rPr>
              <w:t>65.4%</w:t>
            </w:r>
          </w:p>
        </w:tc>
      </w:tr>
      <w:tr w:rsidR="00D31EA2" w14:paraId="5AB747C6" w14:textId="77777777" w:rsidTr="00311585">
        <w:trPr>
          <w:trHeight w:val="240"/>
        </w:trPr>
        <w:tc>
          <w:tcPr>
            <w:tcW w:w="2952" w:type="dxa"/>
            <w:vMerge/>
            <w:tcMar>
              <w:top w:w="40" w:type="dxa"/>
              <w:left w:w="120" w:type="dxa"/>
              <w:bottom w:w="40" w:type="dxa"/>
              <w:right w:w="40" w:type="dxa"/>
            </w:tcMar>
          </w:tcPr>
          <w:p w14:paraId="78B417A0" w14:textId="77777777" w:rsidR="00D31EA2" w:rsidRPr="00AA148D" w:rsidRDefault="00D31EA2" w:rsidP="00410442">
            <w:pPr>
              <w:rPr>
                <w:rFonts w:ascii="Arial" w:hAnsi="Arial" w:cs="Arial"/>
                <w:sz w:val="18"/>
                <w:szCs w:val="18"/>
              </w:rPr>
            </w:pPr>
          </w:p>
        </w:tc>
        <w:tc>
          <w:tcPr>
            <w:tcW w:w="2552" w:type="dxa"/>
            <w:shd w:val="clear" w:color="auto" w:fill="E0EAF5"/>
            <w:tcMar>
              <w:top w:w="40" w:type="dxa"/>
              <w:left w:w="80" w:type="dxa"/>
              <w:bottom w:w="40" w:type="dxa"/>
              <w:right w:w="40" w:type="dxa"/>
            </w:tcMar>
          </w:tcPr>
          <w:p w14:paraId="2FFB5421"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Total</w:t>
            </w:r>
          </w:p>
        </w:tc>
        <w:tc>
          <w:tcPr>
            <w:tcW w:w="1159" w:type="dxa"/>
            <w:shd w:val="clear" w:color="auto" w:fill="E0EAF5"/>
            <w:tcMar>
              <w:top w:w="43" w:type="dxa"/>
              <w:left w:w="86" w:type="dxa"/>
              <w:bottom w:w="58" w:type="dxa"/>
              <w:right w:w="43" w:type="dxa"/>
            </w:tcMar>
          </w:tcPr>
          <w:p w14:paraId="57D74B55"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84.2%</w:t>
            </w:r>
          </w:p>
        </w:tc>
        <w:tc>
          <w:tcPr>
            <w:tcW w:w="1160" w:type="dxa"/>
            <w:shd w:val="clear" w:color="auto" w:fill="E0EAF5"/>
            <w:tcMar>
              <w:top w:w="43" w:type="dxa"/>
              <w:left w:w="86" w:type="dxa"/>
              <w:bottom w:w="58" w:type="dxa"/>
              <w:right w:w="43" w:type="dxa"/>
            </w:tcMar>
          </w:tcPr>
          <w:p w14:paraId="7971D172"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77.6%</w:t>
            </w:r>
          </w:p>
        </w:tc>
        <w:tc>
          <w:tcPr>
            <w:tcW w:w="1160" w:type="dxa"/>
            <w:shd w:val="clear" w:color="auto" w:fill="E0EAF5"/>
            <w:tcMar>
              <w:top w:w="40" w:type="dxa"/>
              <w:left w:w="80" w:type="dxa"/>
              <w:bottom w:w="60" w:type="dxa"/>
              <w:right w:w="40" w:type="dxa"/>
            </w:tcMar>
          </w:tcPr>
          <w:p w14:paraId="1E7CECE4"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87.0%</w:t>
            </w:r>
          </w:p>
        </w:tc>
        <w:tc>
          <w:tcPr>
            <w:tcW w:w="1160" w:type="dxa"/>
            <w:shd w:val="clear" w:color="auto" w:fill="E0EAF5"/>
            <w:tcMar>
              <w:top w:w="40" w:type="dxa"/>
              <w:left w:w="80" w:type="dxa"/>
              <w:bottom w:w="60" w:type="dxa"/>
              <w:right w:w="40" w:type="dxa"/>
            </w:tcMar>
          </w:tcPr>
          <w:p w14:paraId="39989EA7"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88.0%</w:t>
            </w:r>
          </w:p>
        </w:tc>
        <w:tc>
          <w:tcPr>
            <w:tcW w:w="1160" w:type="dxa"/>
            <w:shd w:val="clear" w:color="auto" w:fill="E0EAF5"/>
            <w:tcMar>
              <w:top w:w="40" w:type="dxa"/>
              <w:left w:w="80" w:type="dxa"/>
              <w:bottom w:w="60" w:type="dxa"/>
              <w:right w:w="40" w:type="dxa"/>
            </w:tcMar>
          </w:tcPr>
          <w:p w14:paraId="2F0B2C82"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89.6%</w:t>
            </w:r>
          </w:p>
        </w:tc>
      </w:tr>
      <w:tr w:rsidR="00D31EA2" w14:paraId="75319CF7" w14:textId="77777777" w:rsidTr="00311585">
        <w:trPr>
          <w:trHeight w:val="240"/>
        </w:trPr>
        <w:tc>
          <w:tcPr>
            <w:tcW w:w="2952" w:type="dxa"/>
            <w:vMerge w:val="restart"/>
            <w:tcMar>
              <w:top w:w="40" w:type="dxa"/>
              <w:left w:w="120" w:type="dxa"/>
              <w:bottom w:w="40" w:type="dxa"/>
              <w:right w:w="40" w:type="dxa"/>
            </w:tcMar>
          </w:tcPr>
          <w:p w14:paraId="44495AE2" w14:textId="5D5B3E2B"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 xml:space="preserve">Trimmed average length of stay </w:t>
            </w:r>
            <w:r w:rsidR="00377102">
              <w:rPr>
                <w:rFonts w:ascii="Arial" w:eastAsia="Verdana" w:hAnsi="Arial" w:cs="Arial"/>
                <w:color w:val="000000"/>
                <w:sz w:val="18"/>
                <w:szCs w:val="18"/>
              </w:rPr>
              <w:t xml:space="preserve">≤ </w:t>
            </w:r>
            <w:r w:rsidRPr="00AA148D">
              <w:rPr>
                <w:rFonts w:ascii="Arial" w:eastAsia="Verdana" w:hAnsi="Arial" w:cs="Arial"/>
                <w:color w:val="000000"/>
                <w:sz w:val="18"/>
                <w:szCs w:val="18"/>
              </w:rPr>
              <w:t>35 days</w:t>
            </w:r>
            <w:r>
              <w:rPr>
                <w:rFonts w:ascii="Arial" w:eastAsia="Verdana" w:hAnsi="Arial" w:cs="Arial"/>
                <w:color w:val="000000"/>
                <w:sz w:val="18"/>
                <w:szCs w:val="18"/>
              </w:rPr>
              <w:t xml:space="preserve"> – </w:t>
            </w:r>
            <w:r w:rsidRPr="00AA148D">
              <w:rPr>
                <w:rFonts w:ascii="Arial" w:eastAsia="Verdana" w:hAnsi="Arial" w:cs="Arial"/>
                <w:color w:val="000000"/>
                <w:sz w:val="18"/>
                <w:szCs w:val="18"/>
              </w:rPr>
              <w:t>inpatient</w:t>
            </w:r>
          </w:p>
        </w:tc>
        <w:tc>
          <w:tcPr>
            <w:tcW w:w="2552" w:type="dxa"/>
            <w:tcMar>
              <w:top w:w="40" w:type="dxa"/>
              <w:left w:w="80" w:type="dxa"/>
              <w:bottom w:w="40" w:type="dxa"/>
              <w:right w:w="40" w:type="dxa"/>
            </w:tcMar>
          </w:tcPr>
          <w:p w14:paraId="4D3075C7" w14:textId="77777777" w:rsidR="00D31EA2" w:rsidRDefault="00D31EA2" w:rsidP="00410442">
            <w:pPr>
              <w:rPr>
                <w:rFonts w:ascii="Arial" w:hAnsi="Arial" w:cs="Arial"/>
                <w:color w:val="000000"/>
                <w:sz w:val="18"/>
                <w:szCs w:val="18"/>
              </w:rPr>
            </w:pPr>
            <w:r>
              <w:rPr>
                <w:rFonts w:ascii="Arial" w:hAnsi="Arial" w:cs="Arial"/>
                <w:color w:val="000000"/>
                <w:sz w:val="18"/>
                <w:szCs w:val="18"/>
              </w:rPr>
              <w:t>Adult</w:t>
            </w:r>
          </w:p>
        </w:tc>
        <w:tc>
          <w:tcPr>
            <w:tcW w:w="1159" w:type="dxa"/>
            <w:tcMar>
              <w:top w:w="43" w:type="dxa"/>
              <w:left w:w="86" w:type="dxa"/>
              <w:bottom w:w="58" w:type="dxa"/>
              <w:right w:w="43" w:type="dxa"/>
            </w:tcMar>
          </w:tcPr>
          <w:p w14:paraId="57233FCA" w14:textId="77777777" w:rsidR="00D31EA2" w:rsidRDefault="00D31EA2" w:rsidP="00410442">
            <w:pPr>
              <w:rPr>
                <w:rFonts w:ascii="Arial" w:hAnsi="Arial" w:cs="Arial"/>
                <w:color w:val="000000"/>
                <w:sz w:val="18"/>
                <w:szCs w:val="18"/>
              </w:rPr>
            </w:pPr>
            <w:r>
              <w:rPr>
                <w:rFonts w:ascii="Arial" w:hAnsi="Arial" w:cs="Arial"/>
                <w:color w:val="000000"/>
                <w:sz w:val="18"/>
                <w:szCs w:val="18"/>
              </w:rPr>
              <w:t>9.6</w:t>
            </w:r>
          </w:p>
        </w:tc>
        <w:tc>
          <w:tcPr>
            <w:tcW w:w="1160" w:type="dxa"/>
            <w:tcMar>
              <w:top w:w="43" w:type="dxa"/>
              <w:left w:w="86" w:type="dxa"/>
              <w:bottom w:w="58" w:type="dxa"/>
              <w:right w:w="43" w:type="dxa"/>
            </w:tcMar>
          </w:tcPr>
          <w:p w14:paraId="7E5302D1" w14:textId="77777777" w:rsidR="00D31EA2" w:rsidRDefault="00D31EA2" w:rsidP="00410442">
            <w:pPr>
              <w:rPr>
                <w:rFonts w:ascii="Arial" w:hAnsi="Arial" w:cs="Arial"/>
                <w:color w:val="000000"/>
                <w:sz w:val="18"/>
                <w:szCs w:val="18"/>
              </w:rPr>
            </w:pPr>
            <w:r>
              <w:rPr>
                <w:rFonts w:ascii="Arial" w:hAnsi="Arial" w:cs="Arial"/>
                <w:color w:val="000000"/>
                <w:sz w:val="18"/>
                <w:szCs w:val="18"/>
              </w:rPr>
              <w:t>9.5</w:t>
            </w:r>
          </w:p>
        </w:tc>
        <w:tc>
          <w:tcPr>
            <w:tcW w:w="1160" w:type="dxa"/>
            <w:tcMar>
              <w:top w:w="40" w:type="dxa"/>
              <w:left w:w="80" w:type="dxa"/>
              <w:bottom w:w="60" w:type="dxa"/>
              <w:right w:w="40" w:type="dxa"/>
            </w:tcMar>
          </w:tcPr>
          <w:p w14:paraId="51A01558" w14:textId="77777777" w:rsidR="00D31EA2" w:rsidRDefault="00D31EA2" w:rsidP="00410442">
            <w:pPr>
              <w:rPr>
                <w:rFonts w:ascii="Arial" w:hAnsi="Arial" w:cs="Arial"/>
                <w:color w:val="000000"/>
                <w:sz w:val="18"/>
                <w:szCs w:val="18"/>
              </w:rPr>
            </w:pPr>
            <w:r>
              <w:rPr>
                <w:rFonts w:ascii="Arial" w:hAnsi="Arial" w:cs="Arial"/>
                <w:color w:val="000000"/>
                <w:sz w:val="18"/>
                <w:szCs w:val="18"/>
              </w:rPr>
              <w:t>9.1</w:t>
            </w:r>
          </w:p>
        </w:tc>
        <w:tc>
          <w:tcPr>
            <w:tcW w:w="1160" w:type="dxa"/>
            <w:tcMar>
              <w:top w:w="40" w:type="dxa"/>
              <w:left w:w="80" w:type="dxa"/>
              <w:bottom w:w="60" w:type="dxa"/>
              <w:right w:w="40" w:type="dxa"/>
            </w:tcMar>
          </w:tcPr>
          <w:p w14:paraId="055FAFE8" w14:textId="77777777" w:rsidR="00D31EA2" w:rsidRDefault="00D31EA2" w:rsidP="00410442">
            <w:pPr>
              <w:rPr>
                <w:rFonts w:ascii="Arial" w:hAnsi="Arial" w:cs="Arial"/>
                <w:color w:val="000000"/>
                <w:sz w:val="18"/>
                <w:szCs w:val="18"/>
              </w:rPr>
            </w:pPr>
            <w:r>
              <w:rPr>
                <w:rFonts w:ascii="Arial" w:hAnsi="Arial" w:cs="Arial"/>
                <w:color w:val="000000"/>
                <w:sz w:val="18"/>
                <w:szCs w:val="18"/>
              </w:rPr>
              <w:t>9.2</w:t>
            </w:r>
          </w:p>
        </w:tc>
        <w:tc>
          <w:tcPr>
            <w:tcW w:w="1160" w:type="dxa"/>
            <w:tcMar>
              <w:top w:w="40" w:type="dxa"/>
              <w:left w:w="80" w:type="dxa"/>
              <w:bottom w:w="60" w:type="dxa"/>
              <w:right w:w="40" w:type="dxa"/>
            </w:tcMar>
          </w:tcPr>
          <w:p w14:paraId="42EC1014" w14:textId="77777777" w:rsidR="00D31EA2" w:rsidRDefault="00D31EA2" w:rsidP="00410442">
            <w:pPr>
              <w:rPr>
                <w:rFonts w:ascii="Arial" w:hAnsi="Arial" w:cs="Arial"/>
                <w:color w:val="000000"/>
                <w:sz w:val="18"/>
                <w:szCs w:val="18"/>
              </w:rPr>
            </w:pPr>
            <w:r>
              <w:rPr>
                <w:rFonts w:ascii="Arial" w:hAnsi="Arial" w:cs="Arial"/>
                <w:color w:val="000000"/>
                <w:sz w:val="18"/>
                <w:szCs w:val="18"/>
              </w:rPr>
              <w:t>9.5</w:t>
            </w:r>
          </w:p>
        </w:tc>
      </w:tr>
      <w:tr w:rsidR="00D31EA2" w14:paraId="3E1C7A19" w14:textId="77777777" w:rsidTr="00311585">
        <w:trPr>
          <w:trHeight w:val="240"/>
        </w:trPr>
        <w:tc>
          <w:tcPr>
            <w:tcW w:w="2952" w:type="dxa"/>
            <w:vMerge/>
            <w:tcMar>
              <w:top w:w="40" w:type="dxa"/>
              <w:left w:w="120" w:type="dxa"/>
              <w:bottom w:w="40" w:type="dxa"/>
              <w:right w:w="40" w:type="dxa"/>
            </w:tcMar>
          </w:tcPr>
          <w:p w14:paraId="0B5F976F" w14:textId="77777777" w:rsidR="00D31EA2" w:rsidRPr="00AA148D" w:rsidRDefault="00D31EA2" w:rsidP="00410442">
            <w:pPr>
              <w:rPr>
                <w:rFonts w:ascii="Arial" w:hAnsi="Arial" w:cs="Arial"/>
                <w:sz w:val="18"/>
                <w:szCs w:val="18"/>
              </w:rPr>
            </w:pPr>
          </w:p>
        </w:tc>
        <w:tc>
          <w:tcPr>
            <w:tcW w:w="2552" w:type="dxa"/>
            <w:tcMar>
              <w:top w:w="40" w:type="dxa"/>
              <w:left w:w="80" w:type="dxa"/>
              <w:bottom w:w="40" w:type="dxa"/>
              <w:right w:w="40" w:type="dxa"/>
            </w:tcMar>
          </w:tcPr>
          <w:p w14:paraId="6D413FC8" w14:textId="77777777" w:rsidR="00D31EA2" w:rsidRDefault="00D31EA2" w:rsidP="00410442">
            <w:pPr>
              <w:rPr>
                <w:rFonts w:ascii="Arial" w:hAnsi="Arial" w:cs="Arial"/>
                <w:color w:val="000000"/>
                <w:sz w:val="18"/>
                <w:szCs w:val="18"/>
              </w:rPr>
            </w:pPr>
            <w:r>
              <w:rPr>
                <w:rFonts w:ascii="Arial" w:hAnsi="Arial" w:cs="Arial"/>
                <w:color w:val="000000"/>
                <w:sz w:val="18"/>
                <w:szCs w:val="18"/>
              </w:rPr>
              <w:t>Aged</w:t>
            </w:r>
          </w:p>
        </w:tc>
        <w:tc>
          <w:tcPr>
            <w:tcW w:w="1159" w:type="dxa"/>
            <w:tcMar>
              <w:top w:w="43" w:type="dxa"/>
              <w:left w:w="86" w:type="dxa"/>
              <w:bottom w:w="58" w:type="dxa"/>
              <w:right w:w="43" w:type="dxa"/>
            </w:tcMar>
          </w:tcPr>
          <w:p w14:paraId="7B38E047" w14:textId="77777777" w:rsidR="00D31EA2" w:rsidRDefault="00D31EA2" w:rsidP="00410442">
            <w:pPr>
              <w:rPr>
                <w:rFonts w:ascii="Arial" w:hAnsi="Arial" w:cs="Arial"/>
                <w:color w:val="000000"/>
                <w:sz w:val="18"/>
                <w:szCs w:val="18"/>
              </w:rPr>
            </w:pPr>
            <w:r>
              <w:rPr>
                <w:rFonts w:ascii="Arial" w:hAnsi="Arial" w:cs="Arial"/>
                <w:color w:val="000000"/>
                <w:sz w:val="18"/>
                <w:szCs w:val="18"/>
              </w:rPr>
              <w:t>16.0</w:t>
            </w:r>
          </w:p>
        </w:tc>
        <w:tc>
          <w:tcPr>
            <w:tcW w:w="1160" w:type="dxa"/>
            <w:tcMar>
              <w:top w:w="43" w:type="dxa"/>
              <w:left w:w="86" w:type="dxa"/>
              <w:bottom w:w="58" w:type="dxa"/>
              <w:right w:w="43" w:type="dxa"/>
            </w:tcMar>
          </w:tcPr>
          <w:p w14:paraId="5000F11D" w14:textId="77777777" w:rsidR="00D31EA2" w:rsidRDefault="00D31EA2" w:rsidP="00410442">
            <w:pPr>
              <w:rPr>
                <w:rFonts w:ascii="Arial" w:hAnsi="Arial" w:cs="Arial"/>
                <w:color w:val="000000"/>
                <w:sz w:val="18"/>
                <w:szCs w:val="18"/>
              </w:rPr>
            </w:pPr>
            <w:r>
              <w:rPr>
                <w:rFonts w:ascii="Arial" w:hAnsi="Arial" w:cs="Arial"/>
                <w:color w:val="000000"/>
                <w:sz w:val="18"/>
                <w:szCs w:val="18"/>
              </w:rPr>
              <w:t>15.7</w:t>
            </w:r>
          </w:p>
        </w:tc>
        <w:tc>
          <w:tcPr>
            <w:tcW w:w="1160" w:type="dxa"/>
            <w:tcMar>
              <w:top w:w="40" w:type="dxa"/>
              <w:left w:w="80" w:type="dxa"/>
              <w:bottom w:w="60" w:type="dxa"/>
              <w:right w:w="40" w:type="dxa"/>
            </w:tcMar>
          </w:tcPr>
          <w:p w14:paraId="4F2EBFF9" w14:textId="77777777" w:rsidR="00D31EA2" w:rsidRDefault="00D31EA2" w:rsidP="00410442">
            <w:pPr>
              <w:rPr>
                <w:rFonts w:ascii="Arial" w:hAnsi="Arial" w:cs="Arial"/>
                <w:color w:val="000000"/>
                <w:sz w:val="18"/>
                <w:szCs w:val="18"/>
              </w:rPr>
            </w:pPr>
            <w:r>
              <w:rPr>
                <w:rFonts w:ascii="Arial" w:hAnsi="Arial" w:cs="Arial"/>
                <w:color w:val="000000"/>
                <w:sz w:val="18"/>
                <w:szCs w:val="18"/>
              </w:rPr>
              <w:t>15.5</w:t>
            </w:r>
          </w:p>
        </w:tc>
        <w:tc>
          <w:tcPr>
            <w:tcW w:w="1160" w:type="dxa"/>
            <w:tcMar>
              <w:top w:w="40" w:type="dxa"/>
              <w:left w:w="80" w:type="dxa"/>
              <w:bottom w:w="60" w:type="dxa"/>
              <w:right w:w="40" w:type="dxa"/>
            </w:tcMar>
          </w:tcPr>
          <w:p w14:paraId="4F879683" w14:textId="77777777" w:rsidR="00D31EA2" w:rsidRDefault="00D31EA2" w:rsidP="00410442">
            <w:pPr>
              <w:rPr>
                <w:rFonts w:ascii="Arial" w:hAnsi="Arial" w:cs="Arial"/>
                <w:color w:val="000000"/>
                <w:sz w:val="18"/>
                <w:szCs w:val="18"/>
              </w:rPr>
            </w:pPr>
            <w:r>
              <w:rPr>
                <w:rFonts w:ascii="Arial" w:hAnsi="Arial" w:cs="Arial"/>
                <w:color w:val="000000"/>
                <w:sz w:val="18"/>
                <w:szCs w:val="18"/>
              </w:rPr>
              <w:t>15.1</w:t>
            </w:r>
          </w:p>
        </w:tc>
        <w:tc>
          <w:tcPr>
            <w:tcW w:w="1160" w:type="dxa"/>
            <w:tcMar>
              <w:top w:w="40" w:type="dxa"/>
              <w:left w:w="80" w:type="dxa"/>
              <w:bottom w:w="60" w:type="dxa"/>
              <w:right w:w="40" w:type="dxa"/>
            </w:tcMar>
          </w:tcPr>
          <w:p w14:paraId="1FA5FE60" w14:textId="77777777" w:rsidR="00D31EA2" w:rsidRDefault="00D31EA2" w:rsidP="00410442">
            <w:pPr>
              <w:rPr>
                <w:rFonts w:ascii="Arial" w:hAnsi="Arial" w:cs="Arial"/>
                <w:color w:val="000000"/>
                <w:sz w:val="18"/>
                <w:szCs w:val="18"/>
              </w:rPr>
            </w:pPr>
            <w:r>
              <w:rPr>
                <w:rFonts w:ascii="Arial" w:hAnsi="Arial" w:cs="Arial"/>
                <w:color w:val="000000"/>
                <w:sz w:val="18"/>
                <w:szCs w:val="18"/>
              </w:rPr>
              <w:t>15.4</w:t>
            </w:r>
          </w:p>
        </w:tc>
      </w:tr>
      <w:tr w:rsidR="00D31EA2" w14:paraId="352726C4" w14:textId="77777777" w:rsidTr="00311585">
        <w:trPr>
          <w:trHeight w:val="240"/>
        </w:trPr>
        <w:tc>
          <w:tcPr>
            <w:tcW w:w="2952" w:type="dxa"/>
            <w:vMerge/>
            <w:tcMar>
              <w:top w:w="40" w:type="dxa"/>
              <w:left w:w="120" w:type="dxa"/>
              <w:bottom w:w="40" w:type="dxa"/>
              <w:right w:w="40" w:type="dxa"/>
            </w:tcMar>
          </w:tcPr>
          <w:p w14:paraId="6584E706" w14:textId="77777777" w:rsidR="00D31EA2" w:rsidRPr="00AA148D" w:rsidRDefault="00D31EA2" w:rsidP="00410442">
            <w:pPr>
              <w:rPr>
                <w:rFonts w:ascii="Arial" w:hAnsi="Arial" w:cs="Arial"/>
                <w:sz w:val="18"/>
                <w:szCs w:val="18"/>
              </w:rPr>
            </w:pPr>
          </w:p>
        </w:tc>
        <w:tc>
          <w:tcPr>
            <w:tcW w:w="2552" w:type="dxa"/>
            <w:tcMar>
              <w:top w:w="40" w:type="dxa"/>
              <w:left w:w="80" w:type="dxa"/>
              <w:bottom w:w="40" w:type="dxa"/>
              <w:right w:w="40" w:type="dxa"/>
            </w:tcMar>
          </w:tcPr>
          <w:p w14:paraId="369FB822" w14:textId="77777777" w:rsidR="00D31EA2" w:rsidRDefault="00D31EA2" w:rsidP="00410442">
            <w:pPr>
              <w:rPr>
                <w:rFonts w:ascii="Arial" w:hAnsi="Arial" w:cs="Arial"/>
                <w:color w:val="000000"/>
                <w:sz w:val="18"/>
                <w:szCs w:val="18"/>
              </w:rPr>
            </w:pPr>
            <w:r>
              <w:rPr>
                <w:rFonts w:ascii="Arial" w:hAnsi="Arial" w:cs="Arial"/>
                <w:color w:val="000000"/>
                <w:sz w:val="18"/>
                <w:szCs w:val="18"/>
              </w:rPr>
              <w:t>CAMHS</w:t>
            </w:r>
          </w:p>
        </w:tc>
        <w:tc>
          <w:tcPr>
            <w:tcW w:w="1159" w:type="dxa"/>
            <w:tcMar>
              <w:top w:w="43" w:type="dxa"/>
              <w:left w:w="86" w:type="dxa"/>
              <w:bottom w:w="58" w:type="dxa"/>
              <w:right w:w="43" w:type="dxa"/>
            </w:tcMar>
          </w:tcPr>
          <w:p w14:paraId="2867B9DC" w14:textId="77777777" w:rsidR="00D31EA2" w:rsidRDefault="00D31EA2" w:rsidP="00410442">
            <w:pPr>
              <w:rPr>
                <w:rFonts w:ascii="Arial" w:hAnsi="Arial" w:cs="Arial"/>
                <w:color w:val="000000"/>
                <w:sz w:val="18"/>
                <w:szCs w:val="18"/>
              </w:rPr>
            </w:pPr>
            <w:r>
              <w:rPr>
                <w:rFonts w:ascii="Arial" w:hAnsi="Arial" w:cs="Arial"/>
                <w:color w:val="000000"/>
                <w:sz w:val="18"/>
                <w:szCs w:val="18"/>
              </w:rPr>
              <w:t>7.5</w:t>
            </w:r>
          </w:p>
        </w:tc>
        <w:tc>
          <w:tcPr>
            <w:tcW w:w="1160" w:type="dxa"/>
            <w:tcMar>
              <w:top w:w="43" w:type="dxa"/>
              <w:left w:w="86" w:type="dxa"/>
              <w:bottom w:w="58" w:type="dxa"/>
              <w:right w:w="43" w:type="dxa"/>
            </w:tcMar>
          </w:tcPr>
          <w:p w14:paraId="2E51E7AB" w14:textId="77777777" w:rsidR="00D31EA2" w:rsidRDefault="00D31EA2" w:rsidP="00410442">
            <w:pPr>
              <w:rPr>
                <w:rFonts w:ascii="Arial" w:hAnsi="Arial" w:cs="Arial"/>
                <w:color w:val="000000"/>
                <w:sz w:val="18"/>
                <w:szCs w:val="18"/>
              </w:rPr>
            </w:pPr>
            <w:r>
              <w:rPr>
                <w:rFonts w:ascii="Arial" w:hAnsi="Arial" w:cs="Arial"/>
                <w:color w:val="000000"/>
                <w:sz w:val="18"/>
                <w:szCs w:val="18"/>
              </w:rPr>
              <w:t>6.9</w:t>
            </w:r>
          </w:p>
        </w:tc>
        <w:tc>
          <w:tcPr>
            <w:tcW w:w="1160" w:type="dxa"/>
            <w:tcMar>
              <w:top w:w="40" w:type="dxa"/>
              <w:left w:w="80" w:type="dxa"/>
              <w:bottom w:w="60" w:type="dxa"/>
              <w:right w:w="40" w:type="dxa"/>
            </w:tcMar>
          </w:tcPr>
          <w:p w14:paraId="17314E2F" w14:textId="77777777" w:rsidR="00D31EA2" w:rsidRDefault="00D31EA2" w:rsidP="00410442">
            <w:pPr>
              <w:rPr>
                <w:rFonts w:ascii="Arial" w:hAnsi="Arial" w:cs="Arial"/>
                <w:color w:val="000000"/>
                <w:sz w:val="18"/>
                <w:szCs w:val="18"/>
              </w:rPr>
            </w:pPr>
            <w:r>
              <w:rPr>
                <w:rFonts w:ascii="Arial" w:hAnsi="Arial" w:cs="Arial"/>
                <w:color w:val="000000"/>
                <w:sz w:val="18"/>
                <w:szCs w:val="18"/>
              </w:rPr>
              <w:t>6.6</w:t>
            </w:r>
          </w:p>
        </w:tc>
        <w:tc>
          <w:tcPr>
            <w:tcW w:w="1160" w:type="dxa"/>
            <w:tcMar>
              <w:top w:w="40" w:type="dxa"/>
              <w:left w:w="80" w:type="dxa"/>
              <w:bottom w:w="60" w:type="dxa"/>
              <w:right w:w="40" w:type="dxa"/>
            </w:tcMar>
          </w:tcPr>
          <w:p w14:paraId="59912A5A" w14:textId="77777777" w:rsidR="00D31EA2" w:rsidRDefault="00D31EA2" w:rsidP="00410442">
            <w:pPr>
              <w:rPr>
                <w:rFonts w:ascii="Arial" w:hAnsi="Arial" w:cs="Arial"/>
                <w:color w:val="000000"/>
                <w:sz w:val="18"/>
                <w:szCs w:val="18"/>
              </w:rPr>
            </w:pPr>
            <w:r>
              <w:rPr>
                <w:rFonts w:ascii="Arial" w:hAnsi="Arial" w:cs="Arial"/>
                <w:color w:val="000000"/>
                <w:sz w:val="18"/>
                <w:szCs w:val="18"/>
              </w:rPr>
              <w:t>6.5</w:t>
            </w:r>
          </w:p>
        </w:tc>
        <w:tc>
          <w:tcPr>
            <w:tcW w:w="1160" w:type="dxa"/>
            <w:tcMar>
              <w:top w:w="40" w:type="dxa"/>
              <w:left w:w="80" w:type="dxa"/>
              <w:bottom w:w="60" w:type="dxa"/>
              <w:right w:w="40" w:type="dxa"/>
            </w:tcMar>
          </w:tcPr>
          <w:p w14:paraId="3112B143" w14:textId="77777777" w:rsidR="00D31EA2" w:rsidRDefault="00D31EA2" w:rsidP="00410442">
            <w:pPr>
              <w:rPr>
                <w:rFonts w:ascii="Arial" w:hAnsi="Arial" w:cs="Arial"/>
                <w:color w:val="000000"/>
                <w:sz w:val="18"/>
                <w:szCs w:val="18"/>
              </w:rPr>
            </w:pPr>
            <w:r>
              <w:rPr>
                <w:rFonts w:ascii="Arial" w:hAnsi="Arial" w:cs="Arial"/>
                <w:color w:val="000000"/>
                <w:sz w:val="18"/>
                <w:szCs w:val="18"/>
              </w:rPr>
              <w:t>6.3</w:t>
            </w:r>
          </w:p>
        </w:tc>
      </w:tr>
      <w:tr w:rsidR="00D31EA2" w14:paraId="5DBCBC74" w14:textId="77777777" w:rsidTr="00311585">
        <w:trPr>
          <w:trHeight w:val="240"/>
        </w:trPr>
        <w:tc>
          <w:tcPr>
            <w:tcW w:w="2952" w:type="dxa"/>
            <w:vMerge/>
            <w:tcMar>
              <w:top w:w="40" w:type="dxa"/>
              <w:left w:w="120" w:type="dxa"/>
              <w:bottom w:w="40" w:type="dxa"/>
              <w:right w:w="40" w:type="dxa"/>
            </w:tcMar>
          </w:tcPr>
          <w:p w14:paraId="3A06F55C" w14:textId="77777777" w:rsidR="00D31EA2" w:rsidRPr="00AA148D" w:rsidRDefault="00D31EA2" w:rsidP="00410442">
            <w:pPr>
              <w:rPr>
                <w:rFonts w:ascii="Arial" w:hAnsi="Arial" w:cs="Arial"/>
                <w:sz w:val="18"/>
                <w:szCs w:val="18"/>
              </w:rPr>
            </w:pPr>
          </w:p>
        </w:tc>
        <w:tc>
          <w:tcPr>
            <w:tcW w:w="2552" w:type="dxa"/>
            <w:tcMar>
              <w:top w:w="40" w:type="dxa"/>
              <w:left w:w="80" w:type="dxa"/>
              <w:bottom w:w="40" w:type="dxa"/>
              <w:right w:w="40" w:type="dxa"/>
            </w:tcMar>
          </w:tcPr>
          <w:p w14:paraId="37FFA131" w14:textId="77777777" w:rsidR="00D31EA2" w:rsidRDefault="00D31EA2" w:rsidP="00410442">
            <w:pPr>
              <w:rPr>
                <w:rFonts w:ascii="Arial" w:hAnsi="Arial" w:cs="Arial"/>
                <w:color w:val="000000"/>
                <w:sz w:val="18"/>
                <w:szCs w:val="18"/>
              </w:rPr>
            </w:pPr>
            <w:r>
              <w:rPr>
                <w:rFonts w:ascii="Arial" w:hAnsi="Arial" w:cs="Arial"/>
                <w:color w:val="000000"/>
                <w:sz w:val="18"/>
                <w:szCs w:val="18"/>
              </w:rPr>
              <w:t>Forensic</w:t>
            </w:r>
          </w:p>
        </w:tc>
        <w:tc>
          <w:tcPr>
            <w:tcW w:w="1159" w:type="dxa"/>
            <w:tcMar>
              <w:top w:w="43" w:type="dxa"/>
              <w:left w:w="86" w:type="dxa"/>
              <w:bottom w:w="58" w:type="dxa"/>
              <w:right w:w="43" w:type="dxa"/>
            </w:tcMar>
          </w:tcPr>
          <w:p w14:paraId="64D79550" w14:textId="77777777" w:rsidR="00D31EA2" w:rsidRDefault="00D31EA2" w:rsidP="00410442">
            <w:pPr>
              <w:rPr>
                <w:rFonts w:ascii="Arial" w:hAnsi="Arial" w:cs="Arial"/>
                <w:color w:val="000000"/>
                <w:sz w:val="18"/>
                <w:szCs w:val="18"/>
              </w:rPr>
            </w:pPr>
            <w:r>
              <w:rPr>
                <w:rFonts w:ascii="Arial" w:hAnsi="Arial" w:cs="Arial"/>
                <w:color w:val="000000"/>
                <w:sz w:val="18"/>
                <w:szCs w:val="18"/>
              </w:rPr>
              <w:t>18.8</w:t>
            </w:r>
          </w:p>
        </w:tc>
        <w:tc>
          <w:tcPr>
            <w:tcW w:w="1160" w:type="dxa"/>
            <w:tcMar>
              <w:top w:w="43" w:type="dxa"/>
              <w:left w:w="86" w:type="dxa"/>
              <w:bottom w:w="58" w:type="dxa"/>
              <w:right w:w="43" w:type="dxa"/>
            </w:tcMar>
          </w:tcPr>
          <w:p w14:paraId="3D8806F6" w14:textId="77777777" w:rsidR="00D31EA2" w:rsidRDefault="00D31EA2" w:rsidP="00410442">
            <w:pPr>
              <w:rPr>
                <w:rFonts w:ascii="Arial" w:hAnsi="Arial" w:cs="Arial"/>
                <w:color w:val="000000"/>
                <w:sz w:val="18"/>
                <w:szCs w:val="18"/>
              </w:rPr>
            </w:pPr>
            <w:r>
              <w:rPr>
                <w:rFonts w:ascii="Arial" w:hAnsi="Arial" w:cs="Arial"/>
                <w:color w:val="000000"/>
                <w:sz w:val="18"/>
                <w:szCs w:val="18"/>
              </w:rPr>
              <w:t>20.5</w:t>
            </w:r>
          </w:p>
        </w:tc>
        <w:tc>
          <w:tcPr>
            <w:tcW w:w="1160" w:type="dxa"/>
            <w:tcMar>
              <w:top w:w="40" w:type="dxa"/>
              <w:left w:w="80" w:type="dxa"/>
              <w:bottom w:w="60" w:type="dxa"/>
              <w:right w:w="40" w:type="dxa"/>
            </w:tcMar>
          </w:tcPr>
          <w:p w14:paraId="267FF099" w14:textId="77777777" w:rsidR="00D31EA2" w:rsidRDefault="00D31EA2" w:rsidP="00410442">
            <w:pPr>
              <w:rPr>
                <w:rFonts w:ascii="Arial" w:hAnsi="Arial" w:cs="Arial"/>
                <w:color w:val="000000"/>
                <w:sz w:val="18"/>
                <w:szCs w:val="18"/>
              </w:rPr>
            </w:pPr>
            <w:r>
              <w:rPr>
                <w:rFonts w:ascii="Arial" w:hAnsi="Arial" w:cs="Arial"/>
                <w:color w:val="000000"/>
                <w:sz w:val="18"/>
                <w:szCs w:val="18"/>
              </w:rPr>
              <w:t>21.7</w:t>
            </w:r>
          </w:p>
        </w:tc>
        <w:tc>
          <w:tcPr>
            <w:tcW w:w="1160" w:type="dxa"/>
            <w:tcMar>
              <w:top w:w="40" w:type="dxa"/>
              <w:left w:w="80" w:type="dxa"/>
              <w:bottom w:w="60" w:type="dxa"/>
              <w:right w:w="40" w:type="dxa"/>
            </w:tcMar>
          </w:tcPr>
          <w:p w14:paraId="153DE045" w14:textId="77777777" w:rsidR="00D31EA2" w:rsidRDefault="00D31EA2" w:rsidP="00410442">
            <w:pPr>
              <w:rPr>
                <w:rFonts w:ascii="Arial" w:hAnsi="Arial" w:cs="Arial"/>
                <w:color w:val="000000"/>
                <w:sz w:val="18"/>
                <w:szCs w:val="18"/>
              </w:rPr>
            </w:pPr>
            <w:r>
              <w:rPr>
                <w:rFonts w:ascii="Arial" w:hAnsi="Arial" w:cs="Arial"/>
                <w:color w:val="000000"/>
                <w:sz w:val="18"/>
                <w:szCs w:val="18"/>
              </w:rPr>
              <w:t>24.0</w:t>
            </w:r>
          </w:p>
        </w:tc>
        <w:tc>
          <w:tcPr>
            <w:tcW w:w="1160" w:type="dxa"/>
            <w:tcMar>
              <w:top w:w="40" w:type="dxa"/>
              <w:left w:w="80" w:type="dxa"/>
              <w:bottom w:w="60" w:type="dxa"/>
              <w:right w:w="40" w:type="dxa"/>
            </w:tcMar>
          </w:tcPr>
          <w:p w14:paraId="01D183DF" w14:textId="77777777" w:rsidR="00D31EA2" w:rsidRDefault="00D31EA2" w:rsidP="00410442">
            <w:pPr>
              <w:rPr>
                <w:rFonts w:ascii="Arial" w:hAnsi="Arial" w:cs="Arial"/>
                <w:color w:val="000000"/>
                <w:sz w:val="18"/>
                <w:szCs w:val="18"/>
              </w:rPr>
            </w:pPr>
            <w:r>
              <w:rPr>
                <w:rFonts w:ascii="Arial" w:hAnsi="Arial" w:cs="Arial"/>
                <w:color w:val="000000"/>
                <w:sz w:val="18"/>
                <w:szCs w:val="18"/>
              </w:rPr>
              <w:t>21.8</w:t>
            </w:r>
          </w:p>
        </w:tc>
      </w:tr>
      <w:tr w:rsidR="00D31EA2" w14:paraId="49F14AA7" w14:textId="77777777" w:rsidTr="00311585">
        <w:trPr>
          <w:trHeight w:val="240"/>
        </w:trPr>
        <w:tc>
          <w:tcPr>
            <w:tcW w:w="2952" w:type="dxa"/>
            <w:vMerge/>
            <w:tcMar>
              <w:top w:w="40" w:type="dxa"/>
              <w:left w:w="120" w:type="dxa"/>
              <w:bottom w:w="40" w:type="dxa"/>
              <w:right w:w="40" w:type="dxa"/>
            </w:tcMar>
          </w:tcPr>
          <w:p w14:paraId="2C96A20F" w14:textId="77777777" w:rsidR="00D31EA2" w:rsidRPr="00AA148D" w:rsidRDefault="00D31EA2" w:rsidP="00410442">
            <w:pPr>
              <w:rPr>
                <w:rFonts w:ascii="Arial" w:hAnsi="Arial" w:cs="Arial"/>
                <w:sz w:val="18"/>
                <w:szCs w:val="18"/>
              </w:rPr>
            </w:pPr>
          </w:p>
        </w:tc>
        <w:tc>
          <w:tcPr>
            <w:tcW w:w="2552" w:type="dxa"/>
            <w:tcMar>
              <w:top w:w="40" w:type="dxa"/>
              <w:left w:w="80" w:type="dxa"/>
              <w:bottom w:w="40" w:type="dxa"/>
              <w:right w:w="40" w:type="dxa"/>
            </w:tcMar>
          </w:tcPr>
          <w:p w14:paraId="29D3E3DB" w14:textId="77777777" w:rsidR="00D31EA2" w:rsidRDefault="00D31EA2" w:rsidP="00410442">
            <w:pPr>
              <w:rPr>
                <w:rFonts w:ascii="Arial" w:hAnsi="Arial" w:cs="Arial"/>
                <w:color w:val="000000"/>
                <w:sz w:val="18"/>
                <w:szCs w:val="18"/>
              </w:rPr>
            </w:pPr>
            <w:r>
              <w:rPr>
                <w:rFonts w:ascii="Arial" w:hAnsi="Arial" w:cs="Arial"/>
                <w:color w:val="000000"/>
                <w:sz w:val="18"/>
                <w:szCs w:val="18"/>
              </w:rPr>
              <w:t>Specialist</w:t>
            </w:r>
          </w:p>
        </w:tc>
        <w:tc>
          <w:tcPr>
            <w:tcW w:w="1159" w:type="dxa"/>
            <w:tcMar>
              <w:top w:w="43" w:type="dxa"/>
              <w:left w:w="86" w:type="dxa"/>
              <w:bottom w:w="58" w:type="dxa"/>
              <w:right w:w="43" w:type="dxa"/>
            </w:tcMar>
          </w:tcPr>
          <w:p w14:paraId="40D90A32" w14:textId="77777777" w:rsidR="00D31EA2" w:rsidRDefault="00D31EA2" w:rsidP="00410442">
            <w:pPr>
              <w:rPr>
                <w:rFonts w:ascii="Arial" w:hAnsi="Arial" w:cs="Arial"/>
                <w:color w:val="000000"/>
                <w:sz w:val="18"/>
                <w:szCs w:val="18"/>
              </w:rPr>
            </w:pPr>
            <w:r>
              <w:rPr>
                <w:rFonts w:ascii="Arial" w:hAnsi="Arial" w:cs="Arial"/>
                <w:color w:val="000000"/>
                <w:sz w:val="18"/>
                <w:szCs w:val="18"/>
              </w:rPr>
              <w:t>16.7</w:t>
            </w:r>
          </w:p>
        </w:tc>
        <w:tc>
          <w:tcPr>
            <w:tcW w:w="1160" w:type="dxa"/>
            <w:tcMar>
              <w:top w:w="43" w:type="dxa"/>
              <w:left w:w="86" w:type="dxa"/>
              <w:bottom w:w="58" w:type="dxa"/>
              <w:right w:w="43" w:type="dxa"/>
            </w:tcMar>
          </w:tcPr>
          <w:p w14:paraId="6168FE7F" w14:textId="77777777" w:rsidR="00D31EA2" w:rsidRDefault="00D31EA2" w:rsidP="00410442">
            <w:pPr>
              <w:rPr>
                <w:rFonts w:ascii="Arial" w:hAnsi="Arial" w:cs="Arial"/>
                <w:color w:val="000000"/>
                <w:sz w:val="18"/>
                <w:szCs w:val="18"/>
              </w:rPr>
            </w:pPr>
            <w:r>
              <w:rPr>
                <w:rFonts w:ascii="Arial" w:hAnsi="Arial" w:cs="Arial"/>
                <w:color w:val="000000"/>
                <w:sz w:val="18"/>
                <w:szCs w:val="18"/>
              </w:rPr>
              <w:t>15.8</w:t>
            </w:r>
          </w:p>
        </w:tc>
        <w:tc>
          <w:tcPr>
            <w:tcW w:w="1160" w:type="dxa"/>
            <w:tcMar>
              <w:top w:w="40" w:type="dxa"/>
              <w:left w:w="80" w:type="dxa"/>
              <w:bottom w:w="60" w:type="dxa"/>
              <w:right w:w="40" w:type="dxa"/>
            </w:tcMar>
          </w:tcPr>
          <w:p w14:paraId="13F84247" w14:textId="77777777" w:rsidR="00D31EA2" w:rsidRDefault="00D31EA2" w:rsidP="00410442">
            <w:pPr>
              <w:rPr>
                <w:rFonts w:ascii="Arial" w:hAnsi="Arial" w:cs="Arial"/>
                <w:color w:val="000000"/>
                <w:sz w:val="18"/>
                <w:szCs w:val="18"/>
              </w:rPr>
            </w:pPr>
            <w:r>
              <w:rPr>
                <w:rFonts w:ascii="Arial" w:hAnsi="Arial" w:cs="Arial"/>
                <w:color w:val="000000"/>
                <w:sz w:val="18"/>
                <w:szCs w:val="18"/>
              </w:rPr>
              <w:t>15.3</w:t>
            </w:r>
          </w:p>
        </w:tc>
        <w:tc>
          <w:tcPr>
            <w:tcW w:w="1160" w:type="dxa"/>
            <w:tcMar>
              <w:top w:w="40" w:type="dxa"/>
              <w:left w:w="80" w:type="dxa"/>
              <w:bottom w:w="60" w:type="dxa"/>
              <w:right w:w="40" w:type="dxa"/>
            </w:tcMar>
          </w:tcPr>
          <w:p w14:paraId="3613661A" w14:textId="77777777" w:rsidR="00D31EA2" w:rsidRDefault="00D31EA2" w:rsidP="00410442">
            <w:pPr>
              <w:rPr>
                <w:rFonts w:ascii="Arial" w:hAnsi="Arial" w:cs="Arial"/>
                <w:color w:val="000000"/>
                <w:sz w:val="18"/>
                <w:szCs w:val="18"/>
              </w:rPr>
            </w:pPr>
            <w:r>
              <w:rPr>
                <w:rFonts w:ascii="Arial" w:hAnsi="Arial" w:cs="Arial"/>
                <w:color w:val="000000"/>
                <w:sz w:val="18"/>
                <w:szCs w:val="18"/>
              </w:rPr>
              <w:t>16.0</w:t>
            </w:r>
          </w:p>
        </w:tc>
        <w:tc>
          <w:tcPr>
            <w:tcW w:w="1160" w:type="dxa"/>
            <w:tcMar>
              <w:top w:w="40" w:type="dxa"/>
              <w:left w:w="80" w:type="dxa"/>
              <w:bottom w:w="60" w:type="dxa"/>
              <w:right w:w="40" w:type="dxa"/>
            </w:tcMar>
          </w:tcPr>
          <w:p w14:paraId="2140B1CA" w14:textId="77777777" w:rsidR="00D31EA2" w:rsidRDefault="00D31EA2" w:rsidP="00410442">
            <w:pPr>
              <w:rPr>
                <w:rFonts w:ascii="Arial" w:hAnsi="Arial" w:cs="Arial"/>
                <w:color w:val="000000"/>
                <w:sz w:val="18"/>
                <w:szCs w:val="18"/>
              </w:rPr>
            </w:pPr>
            <w:r>
              <w:rPr>
                <w:rFonts w:ascii="Arial" w:hAnsi="Arial" w:cs="Arial"/>
                <w:color w:val="000000"/>
                <w:sz w:val="18"/>
                <w:szCs w:val="18"/>
              </w:rPr>
              <w:t>15.6</w:t>
            </w:r>
          </w:p>
        </w:tc>
      </w:tr>
      <w:tr w:rsidR="00D31EA2" w14:paraId="0918AE72" w14:textId="77777777" w:rsidTr="00311585">
        <w:trPr>
          <w:trHeight w:val="240"/>
        </w:trPr>
        <w:tc>
          <w:tcPr>
            <w:tcW w:w="2952" w:type="dxa"/>
            <w:vMerge/>
            <w:tcMar>
              <w:top w:w="40" w:type="dxa"/>
              <w:left w:w="120" w:type="dxa"/>
              <w:bottom w:w="40" w:type="dxa"/>
              <w:right w:w="40" w:type="dxa"/>
            </w:tcMar>
          </w:tcPr>
          <w:p w14:paraId="48C9D251" w14:textId="77777777" w:rsidR="00D31EA2" w:rsidRPr="00AA148D" w:rsidRDefault="00D31EA2" w:rsidP="00410442">
            <w:pPr>
              <w:rPr>
                <w:rFonts w:ascii="Arial" w:hAnsi="Arial" w:cs="Arial"/>
                <w:sz w:val="18"/>
                <w:szCs w:val="18"/>
              </w:rPr>
            </w:pPr>
          </w:p>
        </w:tc>
        <w:tc>
          <w:tcPr>
            <w:tcW w:w="2552" w:type="dxa"/>
            <w:shd w:val="clear" w:color="auto" w:fill="E0EAF5"/>
            <w:tcMar>
              <w:top w:w="40" w:type="dxa"/>
              <w:left w:w="80" w:type="dxa"/>
              <w:bottom w:w="40" w:type="dxa"/>
              <w:right w:w="40" w:type="dxa"/>
            </w:tcMar>
          </w:tcPr>
          <w:p w14:paraId="01964B9D"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Total</w:t>
            </w:r>
          </w:p>
        </w:tc>
        <w:tc>
          <w:tcPr>
            <w:tcW w:w="1159" w:type="dxa"/>
            <w:shd w:val="clear" w:color="auto" w:fill="E0EAF5"/>
            <w:tcMar>
              <w:top w:w="43" w:type="dxa"/>
              <w:left w:w="86" w:type="dxa"/>
              <w:bottom w:w="58" w:type="dxa"/>
              <w:right w:w="43" w:type="dxa"/>
            </w:tcMar>
          </w:tcPr>
          <w:p w14:paraId="7DDF85DF"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10.1</w:t>
            </w:r>
          </w:p>
        </w:tc>
        <w:tc>
          <w:tcPr>
            <w:tcW w:w="1160" w:type="dxa"/>
            <w:shd w:val="clear" w:color="auto" w:fill="E0EAF5"/>
            <w:tcMar>
              <w:top w:w="43" w:type="dxa"/>
              <w:left w:w="86" w:type="dxa"/>
              <w:bottom w:w="58" w:type="dxa"/>
              <w:right w:w="43" w:type="dxa"/>
            </w:tcMar>
          </w:tcPr>
          <w:p w14:paraId="031FB2EE"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10.0</w:t>
            </w:r>
          </w:p>
        </w:tc>
        <w:tc>
          <w:tcPr>
            <w:tcW w:w="1160" w:type="dxa"/>
            <w:shd w:val="clear" w:color="auto" w:fill="E0EAF5"/>
            <w:tcMar>
              <w:top w:w="40" w:type="dxa"/>
              <w:left w:w="80" w:type="dxa"/>
              <w:bottom w:w="60" w:type="dxa"/>
              <w:right w:w="40" w:type="dxa"/>
            </w:tcMar>
          </w:tcPr>
          <w:p w14:paraId="721FF74D"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9.6</w:t>
            </w:r>
          </w:p>
        </w:tc>
        <w:tc>
          <w:tcPr>
            <w:tcW w:w="1160" w:type="dxa"/>
            <w:shd w:val="clear" w:color="auto" w:fill="E0EAF5"/>
            <w:tcMar>
              <w:top w:w="40" w:type="dxa"/>
              <w:left w:w="80" w:type="dxa"/>
              <w:bottom w:w="60" w:type="dxa"/>
              <w:right w:w="40" w:type="dxa"/>
            </w:tcMar>
          </w:tcPr>
          <w:p w14:paraId="4F5F3092"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9.6</w:t>
            </w:r>
          </w:p>
        </w:tc>
        <w:tc>
          <w:tcPr>
            <w:tcW w:w="1160" w:type="dxa"/>
            <w:shd w:val="clear" w:color="auto" w:fill="E0EAF5"/>
            <w:tcMar>
              <w:top w:w="40" w:type="dxa"/>
              <w:left w:w="80" w:type="dxa"/>
              <w:bottom w:w="60" w:type="dxa"/>
              <w:right w:w="40" w:type="dxa"/>
            </w:tcMar>
          </w:tcPr>
          <w:p w14:paraId="11D73BAA"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9.8</w:t>
            </w:r>
          </w:p>
        </w:tc>
      </w:tr>
    </w:tbl>
    <w:p w14:paraId="299671CB" w14:textId="6C2FBA5D" w:rsidR="00D31EA2" w:rsidRDefault="00D31EA2" w:rsidP="00157535">
      <w:pPr>
        <w:pStyle w:val="DHHSbodynospace"/>
      </w:pPr>
    </w:p>
    <w:tbl>
      <w:tblPr>
        <w:tblW w:w="0" w:type="auto"/>
        <w:tblCellMar>
          <w:left w:w="0" w:type="dxa"/>
          <w:right w:w="0" w:type="dxa"/>
        </w:tblCellMar>
        <w:tblLook w:val="0000" w:firstRow="0" w:lastRow="0" w:firstColumn="0" w:lastColumn="0" w:noHBand="0" w:noVBand="0"/>
      </w:tblPr>
      <w:tblGrid>
        <w:gridCol w:w="2269"/>
        <w:gridCol w:w="2007"/>
        <w:gridCol w:w="1002"/>
        <w:gridCol w:w="1003"/>
        <w:gridCol w:w="999"/>
        <w:gridCol w:w="999"/>
        <w:gridCol w:w="999"/>
      </w:tblGrid>
      <w:tr w:rsidR="00D31EA2" w14:paraId="0025A02D" w14:textId="77777777" w:rsidTr="00C84B40">
        <w:trPr>
          <w:trHeight w:val="279"/>
          <w:tblHeader/>
        </w:trPr>
        <w:tc>
          <w:tcPr>
            <w:tcW w:w="2269" w:type="dxa"/>
            <w:tcBorders>
              <w:top w:val="single" w:sz="8" w:space="0" w:color="004EA8"/>
              <w:left w:val="single" w:sz="8" w:space="0" w:color="004EA8"/>
              <w:bottom w:val="single" w:sz="8" w:space="0" w:color="004EA8"/>
              <w:right w:val="single" w:sz="8" w:space="0" w:color="004EA8"/>
            </w:tcBorders>
            <w:shd w:val="clear" w:color="auto" w:fill="004EA8"/>
            <w:tcMar>
              <w:top w:w="40" w:type="dxa"/>
              <w:left w:w="80" w:type="dxa"/>
              <w:bottom w:w="40" w:type="dxa"/>
              <w:right w:w="40" w:type="dxa"/>
            </w:tcMar>
            <w:vAlign w:val="center"/>
          </w:tcPr>
          <w:p w14:paraId="63A5E23E" w14:textId="77777777" w:rsidR="00D31EA2" w:rsidRPr="00B33889" w:rsidRDefault="00D31EA2" w:rsidP="00410442">
            <w:pPr>
              <w:rPr>
                <w:rFonts w:ascii="Arial" w:hAnsi="Arial" w:cs="Arial"/>
              </w:rPr>
            </w:pPr>
            <w:r w:rsidRPr="00B33889">
              <w:rPr>
                <w:rFonts w:ascii="Arial" w:eastAsia="Verdana" w:hAnsi="Arial" w:cs="Arial"/>
                <w:b/>
                <w:color w:val="FFFFFF"/>
                <w:sz w:val="18"/>
              </w:rPr>
              <w:t>Compulsory treatment</w:t>
            </w:r>
          </w:p>
        </w:tc>
        <w:tc>
          <w:tcPr>
            <w:tcW w:w="2007" w:type="dxa"/>
            <w:tcBorders>
              <w:top w:val="single" w:sz="8" w:space="0" w:color="004EA8"/>
              <w:left w:val="single" w:sz="8" w:space="0" w:color="004EA8"/>
              <w:bottom w:val="single" w:sz="8" w:space="0" w:color="004EA8"/>
              <w:right w:val="single" w:sz="8" w:space="0" w:color="004EA8"/>
            </w:tcBorders>
            <w:shd w:val="clear" w:color="auto" w:fill="004EA8"/>
            <w:tcMar>
              <w:top w:w="40" w:type="dxa"/>
              <w:left w:w="80" w:type="dxa"/>
              <w:bottom w:w="40" w:type="dxa"/>
              <w:right w:w="40" w:type="dxa"/>
            </w:tcMar>
            <w:vAlign w:val="center"/>
          </w:tcPr>
          <w:p w14:paraId="6DE55E6E" w14:textId="77777777" w:rsidR="00D31EA2" w:rsidRDefault="00D31EA2" w:rsidP="00410442">
            <w:pPr>
              <w:rPr>
                <w:rFonts w:ascii="Arial" w:hAnsi="Arial" w:cs="Arial"/>
                <w:b/>
                <w:bCs/>
                <w:color w:val="FFFFFF"/>
                <w:sz w:val="18"/>
                <w:szCs w:val="18"/>
                <w:lang w:eastAsia="en-AU"/>
              </w:rPr>
            </w:pPr>
            <w:r>
              <w:rPr>
                <w:rFonts w:ascii="Arial" w:hAnsi="Arial" w:cs="Arial"/>
                <w:b/>
                <w:bCs/>
                <w:color w:val="FFFFFF"/>
                <w:sz w:val="18"/>
                <w:szCs w:val="18"/>
              </w:rPr>
              <w:t>Population</w:t>
            </w:r>
          </w:p>
        </w:tc>
        <w:tc>
          <w:tcPr>
            <w:tcW w:w="1002" w:type="dxa"/>
            <w:tcBorders>
              <w:top w:val="single" w:sz="8" w:space="0" w:color="004EA8"/>
              <w:left w:val="single" w:sz="8" w:space="0" w:color="004EA8"/>
              <w:bottom w:val="single" w:sz="8" w:space="0" w:color="004EA8"/>
              <w:right w:val="single" w:sz="8" w:space="0" w:color="004EA8"/>
            </w:tcBorders>
            <w:shd w:val="clear" w:color="auto" w:fill="004EA8"/>
            <w:vAlign w:val="center"/>
          </w:tcPr>
          <w:p w14:paraId="1364901C"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2015–16</w:t>
            </w:r>
          </w:p>
        </w:tc>
        <w:tc>
          <w:tcPr>
            <w:tcW w:w="1003" w:type="dxa"/>
            <w:tcBorders>
              <w:top w:val="single" w:sz="8" w:space="0" w:color="004EA8"/>
              <w:left w:val="single" w:sz="8" w:space="0" w:color="004EA8"/>
              <w:bottom w:val="single" w:sz="8" w:space="0" w:color="004EA8"/>
              <w:right w:val="single" w:sz="8" w:space="0" w:color="004EA8"/>
            </w:tcBorders>
            <w:shd w:val="clear" w:color="auto" w:fill="004EA8"/>
            <w:vAlign w:val="center"/>
          </w:tcPr>
          <w:p w14:paraId="13F93640"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2016–17</w:t>
            </w:r>
          </w:p>
        </w:tc>
        <w:tc>
          <w:tcPr>
            <w:tcW w:w="999" w:type="dxa"/>
            <w:tcBorders>
              <w:top w:val="single" w:sz="8" w:space="0" w:color="004EA8"/>
              <w:left w:val="single" w:sz="8" w:space="0" w:color="004EA8"/>
              <w:bottom w:val="single" w:sz="8" w:space="0" w:color="004EA8"/>
              <w:right w:val="single" w:sz="8" w:space="0" w:color="004EA8"/>
            </w:tcBorders>
            <w:shd w:val="clear" w:color="auto" w:fill="004EA8"/>
            <w:tcMar>
              <w:top w:w="40" w:type="dxa"/>
              <w:left w:w="80" w:type="dxa"/>
              <w:bottom w:w="60" w:type="dxa"/>
              <w:right w:w="40" w:type="dxa"/>
            </w:tcMar>
            <w:vAlign w:val="center"/>
          </w:tcPr>
          <w:p w14:paraId="5AA2F1F1"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2017–18</w:t>
            </w:r>
          </w:p>
        </w:tc>
        <w:tc>
          <w:tcPr>
            <w:tcW w:w="999" w:type="dxa"/>
            <w:tcBorders>
              <w:top w:val="single" w:sz="8" w:space="0" w:color="004EA8"/>
              <w:left w:val="single" w:sz="8" w:space="0" w:color="004EA8"/>
              <w:bottom w:val="single" w:sz="8" w:space="0" w:color="004EA8"/>
              <w:right w:val="single" w:sz="8" w:space="0" w:color="004EA8"/>
            </w:tcBorders>
            <w:shd w:val="clear" w:color="auto" w:fill="004EA8"/>
            <w:tcMar>
              <w:top w:w="40" w:type="dxa"/>
              <w:left w:w="80" w:type="dxa"/>
              <w:bottom w:w="60" w:type="dxa"/>
              <w:right w:w="40" w:type="dxa"/>
            </w:tcMar>
            <w:vAlign w:val="center"/>
          </w:tcPr>
          <w:p w14:paraId="38288956"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2018–19</w:t>
            </w:r>
          </w:p>
        </w:tc>
        <w:tc>
          <w:tcPr>
            <w:tcW w:w="999" w:type="dxa"/>
            <w:tcBorders>
              <w:top w:val="single" w:sz="8" w:space="0" w:color="004EA8"/>
              <w:left w:val="single" w:sz="8" w:space="0" w:color="004EA8"/>
              <w:bottom w:val="single" w:sz="8" w:space="0" w:color="004EA8"/>
              <w:right w:val="single" w:sz="8" w:space="0" w:color="004EA8"/>
            </w:tcBorders>
            <w:shd w:val="clear" w:color="auto" w:fill="004EA8"/>
            <w:tcMar>
              <w:top w:w="40" w:type="dxa"/>
              <w:left w:w="80" w:type="dxa"/>
              <w:bottom w:w="60" w:type="dxa"/>
              <w:right w:w="40" w:type="dxa"/>
            </w:tcMar>
            <w:vAlign w:val="center"/>
          </w:tcPr>
          <w:p w14:paraId="06297978"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2019–20</w:t>
            </w:r>
          </w:p>
        </w:tc>
      </w:tr>
      <w:tr w:rsidR="00D31EA2" w14:paraId="5A3BA44B" w14:textId="77777777" w:rsidTr="00C84B40">
        <w:trPr>
          <w:trHeight w:val="240"/>
        </w:trPr>
        <w:tc>
          <w:tcPr>
            <w:tcW w:w="2269" w:type="dxa"/>
            <w:vMerge w:val="restart"/>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3E7E9EF0"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Community cases with consumers on treatment order (%)</w:t>
            </w:r>
          </w:p>
        </w:tc>
        <w:tc>
          <w:tcPr>
            <w:tcW w:w="2007" w:type="dxa"/>
            <w:tcBorders>
              <w:top w:val="single" w:sz="8" w:space="0" w:color="004EA8"/>
              <w:left w:val="single" w:sz="8" w:space="0" w:color="004EA8"/>
              <w:bottom w:val="single" w:sz="8" w:space="0" w:color="004EA8"/>
              <w:right w:val="single" w:sz="8" w:space="0" w:color="004EA8"/>
            </w:tcBorders>
            <w:tcMar>
              <w:top w:w="40" w:type="dxa"/>
              <w:left w:w="80" w:type="dxa"/>
              <w:bottom w:w="40" w:type="dxa"/>
              <w:right w:w="40" w:type="dxa"/>
            </w:tcMar>
          </w:tcPr>
          <w:p w14:paraId="1AA426B2" w14:textId="77777777" w:rsidR="00D31EA2" w:rsidRDefault="00D31EA2" w:rsidP="00410442">
            <w:pPr>
              <w:rPr>
                <w:rFonts w:ascii="Arial" w:hAnsi="Arial" w:cs="Arial"/>
                <w:color w:val="000000"/>
                <w:sz w:val="18"/>
                <w:szCs w:val="18"/>
              </w:rPr>
            </w:pPr>
            <w:r>
              <w:rPr>
                <w:rFonts w:ascii="Arial" w:hAnsi="Arial" w:cs="Arial"/>
                <w:color w:val="000000"/>
                <w:sz w:val="18"/>
                <w:szCs w:val="18"/>
              </w:rPr>
              <w:t>Adult</w:t>
            </w:r>
          </w:p>
        </w:tc>
        <w:tc>
          <w:tcPr>
            <w:tcW w:w="1002"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266D43CC" w14:textId="77777777" w:rsidR="00D31EA2" w:rsidRDefault="00D31EA2" w:rsidP="00410442">
            <w:pPr>
              <w:rPr>
                <w:rFonts w:ascii="Arial" w:hAnsi="Arial" w:cs="Arial"/>
                <w:color w:val="000000"/>
                <w:sz w:val="18"/>
                <w:szCs w:val="18"/>
              </w:rPr>
            </w:pPr>
            <w:r>
              <w:rPr>
                <w:rFonts w:ascii="Arial" w:hAnsi="Arial" w:cs="Arial"/>
                <w:color w:val="000000"/>
                <w:sz w:val="18"/>
                <w:szCs w:val="18"/>
              </w:rPr>
              <w:t>15.0%</w:t>
            </w:r>
          </w:p>
        </w:tc>
        <w:tc>
          <w:tcPr>
            <w:tcW w:w="1003"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48CEA760" w14:textId="77777777" w:rsidR="00D31EA2" w:rsidRDefault="00D31EA2" w:rsidP="00410442">
            <w:pPr>
              <w:rPr>
                <w:rFonts w:ascii="Arial" w:hAnsi="Arial" w:cs="Arial"/>
                <w:color w:val="000000"/>
                <w:sz w:val="18"/>
                <w:szCs w:val="18"/>
              </w:rPr>
            </w:pPr>
            <w:r>
              <w:rPr>
                <w:rFonts w:ascii="Arial" w:hAnsi="Arial" w:cs="Arial"/>
                <w:color w:val="000000"/>
                <w:sz w:val="18"/>
                <w:szCs w:val="18"/>
              </w:rPr>
              <w:t>14.6%</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3AF7E58B" w14:textId="77777777" w:rsidR="00D31EA2" w:rsidRDefault="00D31EA2" w:rsidP="00410442">
            <w:pPr>
              <w:rPr>
                <w:rFonts w:ascii="Arial" w:hAnsi="Arial" w:cs="Arial"/>
                <w:color w:val="000000"/>
                <w:sz w:val="18"/>
                <w:szCs w:val="18"/>
              </w:rPr>
            </w:pPr>
            <w:r>
              <w:rPr>
                <w:rFonts w:ascii="Arial" w:hAnsi="Arial" w:cs="Arial"/>
                <w:color w:val="000000"/>
                <w:sz w:val="18"/>
                <w:szCs w:val="18"/>
              </w:rPr>
              <w:t>14.9%</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532DCCE7" w14:textId="77777777" w:rsidR="00D31EA2" w:rsidRDefault="00D31EA2" w:rsidP="00410442">
            <w:pPr>
              <w:rPr>
                <w:rFonts w:ascii="Arial" w:hAnsi="Arial" w:cs="Arial"/>
                <w:color w:val="000000"/>
                <w:sz w:val="18"/>
                <w:szCs w:val="18"/>
              </w:rPr>
            </w:pPr>
            <w:r>
              <w:rPr>
                <w:rFonts w:ascii="Arial" w:hAnsi="Arial" w:cs="Arial"/>
                <w:color w:val="000000"/>
                <w:sz w:val="18"/>
                <w:szCs w:val="18"/>
              </w:rPr>
              <w:t>14.4%</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1F1A97BB" w14:textId="77777777" w:rsidR="00D31EA2" w:rsidRDefault="00D31EA2" w:rsidP="00410442">
            <w:pPr>
              <w:rPr>
                <w:rFonts w:ascii="Arial" w:hAnsi="Arial" w:cs="Arial"/>
                <w:color w:val="000000"/>
                <w:sz w:val="18"/>
                <w:szCs w:val="18"/>
              </w:rPr>
            </w:pPr>
            <w:r>
              <w:rPr>
                <w:rFonts w:ascii="Arial" w:hAnsi="Arial" w:cs="Arial"/>
                <w:color w:val="000000"/>
                <w:sz w:val="18"/>
                <w:szCs w:val="18"/>
              </w:rPr>
              <w:t>15.0%</w:t>
            </w:r>
          </w:p>
        </w:tc>
      </w:tr>
      <w:tr w:rsidR="00D31EA2" w14:paraId="6F2AFF99" w14:textId="77777777" w:rsidTr="00C84B40">
        <w:trPr>
          <w:trHeight w:val="240"/>
        </w:trPr>
        <w:tc>
          <w:tcPr>
            <w:tcW w:w="2269" w:type="dxa"/>
            <w:vMerge/>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3D1AB666" w14:textId="77777777" w:rsidR="00D31EA2" w:rsidRPr="00AA148D" w:rsidRDefault="00D31EA2" w:rsidP="00410442">
            <w:pPr>
              <w:rPr>
                <w:rFonts w:ascii="Arial" w:hAnsi="Arial" w:cs="Arial"/>
                <w:sz w:val="18"/>
                <w:szCs w:val="18"/>
              </w:rPr>
            </w:pPr>
          </w:p>
        </w:tc>
        <w:tc>
          <w:tcPr>
            <w:tcW w:w="2007" w:type="dxa"/>
            <w:tcBorders>
              <w:top w:val="single" w:sz="8" w:space="0" w:color="004EA8"/>
              <w:left w:val="single" w:sz="8" w:space="0" w:color="004EA8"/>
              <w:bottom w:val="single" w:sz="8" w:space="0" w:color="004EA8"/>
              <w:right w:val="single" w:sz="8" w:space="0" w:color="004EA8"/>
            </w:tcBorders>
            <w:tcMar>
              <w:top w:w="40" w:type="dxa"/>
              <w:left w:w="80" w:type="dxa"/>
              <w:bottom w:w="40" w:type="dxa"/>
              <w:right w:w="40" w:type="dxa"/>
            </w:tcMar>
          </w:tcPr>
          <w:p w14:paraId="44D44923" w14:textId="77777777" w:rsidR="00D31EA2" w:rsidRDefault="00D31EA2" w:rsidP="00410442">
            <w:pPr>
              <w:rPr>
                <w:rFonts w:ascii="Arial" w:hAnsi="Arial" w:cs="Arial"/>
                <w:color w:val="000000"/>
                <w:sz w:val="18"/>
                <w:szCs w:val="18"/>
              </w:rPr>
            </w:pPr>
            <w:r>
              <w:rPr>
                <w:rFonts w:ascii="Arial" w:hAnsi="Arial" w:cs="Arial"/>
                <w:color w:val="000000"/>
                <w:sz w:val="18"/>
                <w:szCs w:val="18"/>
              </w:rPr>
              <w:t>Aged</w:t>
            </w:r>
          </w:p>
        </w:tc>
        <w:tc>
          <w:tcPr>
            <w:tcW w:w="1002"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1F0694A4" w14:textId="77777777" w:rsidR="00D31EA2" w:rsidRDefault="00D31EA2" w:rsidP="00410442">
            <w:pPr>
              <w:rPr>
                <w:rFonts w:ascii="Arial" w:hAnsi="Arial" w:cs="Arial"/>
                <w:color w:val="000000"/>
                <w:sz w:val="18"/>
                <w:szCs w:val="18"/>
              </w:rPr>
            </w:pPr>
            <w:r>
              <w:rPr>
                <w:rFonts w:ascii="Arial" w:hAnsi="Arial" w:cs="Arial"/>
                <w:color w:val="000000"/>
                <w:sz w:val="18"/>
                <w:szCs w:val="18"/>
              </w:rPr>
              <w:t>4.2%</w:t>
            </w:r>
          </w:p>
        </w:tc>
        <w:tc>
          <w:tcPr>
            <w:tcW w:w="1003"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5A8111A5" w14:textId="77777777" w:rsidR="00D31EA2" w:rsidRDefault="00D31EA2" w:rsidP="00410442">
            <w:pPr>
              <w:rPr>
                <w:rFonts w:ascii="Arial" w:hAnsi="Arial" w:cs="Arial"/>
                <w:color w:val="000000"/>
                <w:sz w:val="18"/>
                <w:szCs w:val="18"/>
              </w:rPr>
            </w:pPr>
            <w:r>
              <w:rPr>
                <w:rFonts w:ascii="Arial" w:hAnsi="Arial" w:cs="Arial"/>
                <w:color w:val="000000"/>
                <w:sz w:val="18"/>
                <w:szCs w:val="18"/>
              </w:rPr>
              <w:t>4.5%</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248EDE61" w14:textId="77777777" w:rsidR="00D31EA2" w:rsidRDefault="00D31EA2" w:rsidP="00410442">
            <w:pPr>
              <w:rPr>
                <w:rFonts w:ascii="Arial" w:hAnsi="Arial" w:cs="Arial"/>
                <w:color w:val="000000"/>
                <w:sz w:val="18"/>
                <w:szCs w:val="18"/>
              </w:rPr>
            </w:pPr>
            <w:r>
              <w:rPr>
                <w:rFonts w:ascii="Arial" w:hAnsi="Arial" w:cs="Arial"/>
                <w:color w:val="000000"/>
                <w:sz w:val="18"/>
                <w:szCs w:val="18"/>
              </w:rPr>
              <w:t>5.1%</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17F5F73F" w14:textId="77777777" w:rsidR="00D31EA2" w:rsidRDefault="00D31EA2" w:rsidP="00410442">
            <w:pPr>
              <w:rPr>
                <w:rFonts w:ascii="Arial" w:hAnsi="Arial" w:cs="Arial"/>
                <w:color w:val="000000"/>
                <w:sz w:val="18"/>
                <w:szCs w:val="18"/>
              </w:rPr>
            </w:pPr>
            <w:r>
              <w:rPr>
                <w:rFonts w:ascii="Arial" w:hAnsi="Arial" w:cs="Arial"/>
                <w:color w:val="000000"/>
                <w:sz w:val="18"/>
                <w:szCs w:val="18"/>
              </w:rPr>
              <w:t>5.3%</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521AF4B7" w14:textId="77777777" w:rsidR="00D31EA2" w:rsidRDefault="00D31EA2" w:rsidP="00410442">
            <w:pPr>
              <w:rPr>
                <w:rFonts w:ascii="Arial" w:hAnsi="Arial" w:cs="Arial"/>
                <w:color w:val="000000"/>
                <w:sz w:val="18"/>
                <w:szCs w:val="18"/>
              </w:rPr>
            </w:pPr>
            <w:r>
              <w:rPr>
                <w:rFonts w:ascii="Arial" w:hAnsi="Arial" w:cs="Arial"/>
                <w:color w:val="000000"/>
                <w:sz w:val="18"/>
                <w:szCs w:val="18"/>
              </w:rPr>
              <w:t>5.0%</w:t>
            </w:r>
          </w:p>
        </w:tc>
      </w:tr>
      <w:tr w:rsidR="00D31EA2" w14:paraId="712F8D19" w14:textId="77777777" w:rsidTr="00C84B40">
        <w:trPr>
          <w:trHeight w:val="240"/>
        </w:trPr>
        <w:tc>
          <w:tcPr>
            <w:tcW w:w="2269" w:type="dxa"/>
            <w:vMerge/>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5F9C78BB" w14:textId="77777777" w:rsidR="00D31EA2" w:rsidRPr="00AA148D" w:rsidRDefault="00D31EA2" w:rsidP="00410442">
            <w:pPr>
              <w:rPr>
                <w:rFonts w:ascii="Arial" w:hAnsi="Arial" w:cs="Arial"/>
                <w:sz w:val="18"/>
                <w:szCs w:val="18"/>
              </w:rPr>
            </w:pPr>
          </w:p>
        </w:tc>
        <w:tc>
          <w:tcPr>
            <w:tcW w:w="2007" w:type="dxa"/>
            <w:tcBorders>
              <w:top w:val="single" w:sz="8" w:space="0" w:color="004EA8"/>
              <w:left w:val="single" w:sz="8" w:space="0" w:color="004EA8"/>
              <w:bottom w:val="single" w:sz="8" w:space="0" w:color="004EA8"/>
              <w:right w:val="single" w:sz="8" w:space="0" w:color="004EA8"/>
            </w:tcBorders>
            <w:tcMar>
              <w:top w:w="40" w:type="dxa"/>
              <w:left w:w="80" w:type="dxa"/>
              <w:bottom w:w="40" w:type="dxa"/>
              <w:right w:w="40" w:type="dxa"/>
            </w:tcMar>
          </w:tcPr>
          <w:p w14:paraId="10D08A5C" w14:textId="77777777" w:rsidR="00D31EA2" w:rsidRDefault="00D31EA2" w:rsidP="00410442">
            <w:pPr>
              <w:rPr>
                <w:rFonts w:ascii="Arial" w:hAnsi="Arial" w:cs="Arial"/>
                <w:color w:val="000000"/>
                <w:sz w:val="18"/>
                <w:szCs w:val="18"/>
              </w:rPr>
            </w:pPr>
            <w:r>
              <w:rPr>
                <w:rFonts w:ascii="Arial" w:hAnsi="Arial" w:cs="Arial"/>
                <w:color w:val="000000"/>
                <w:sz w:val="18"/>
                <w:szCs w:val="18"/>
              </w:rPr>
              <w:t>CAMHS</w:t>
            </w:r>
          </w:p>
        </w:tc>
        <w:tc>
          <w:tcPr>
            <w:tcW w:w="1002"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2B589888" w14:textId="77777777" w:rsidR="00D31EA2" w:rsidRDefault="00D31EA2" w:rsidP="00410442">
            <w:pPr>
              <w:rPr>
                <w:rFonts w:ascii="Arial" w:hAnsi="Arial" w:cs="Arial"/>
                <w:color w:val="000000"/>
                <w:sz w:val="18"/>
                <w:szCs w:val="18"/>
              </w:rPr>
            </w:pPr>
            <w:r>
              <w:rPr>
                <w:rFonts w:ascii="Arial" w:hAnsi="Arial" w:cs="Arial"/>
                <w:color w:val="000000"/>
                <w:sz w:val="18"/>
                <w:szCs w:val="18"/>
              </w:rPr>
              <w:t>0.9%</w:t>
            </w:r>
          </w:p>
        </w:tc>
        <w:tc>
          <w:tcPr>
            <w:tcW w:w="1003"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00E05A39" w14:textId="77777777" w:rsidR="00D31EA2" w:rsidRDefault="00D31EA2" w:rsidP="00410442">
            <w:pPr>
              <w:rPr>
                <w:rFonts w:ascii="Arial" w:hAnsi="Arial" w:cs="Arial"/>
                <w:color w:val="000000"/>
                <w:sz w:val="18"/>
                <w:szCs w:val="18"/>
              </w:rPr>
            </w:pPr>
            <w:r>
              <w:rPr>
                <w:rFonts w:ascii="Arial" w:hAnsi="Arial" w:cs="Arial"/>
                <w:color w:val="000000"/>
                <w:sz w:val="18"/>
                <w:szCs w:val="18"/>
              </w:rPr>
              <w:t>1.1%</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39F1F4C1" w14:textId="77777777" w:rsidR="00D31EA2" w:rsidRDefault="00D31EA2" w:rsidP="00410442">
            <w:pPr>
              <w:rPr>
                <w:rFonts w:ascii="Arial" w:hAnsi="Arial" w:cs="Arial"/>
                <w:color w:val="000000"/>
                <w:sz w:val="18"/>
                <w:szCs w:val="18"/>
              </w:rPr>
            </w:pPr>
            <w:r>
              <w:rPr>
                <w:rFonts w:ascii="Arial" w:hAnsi="Arial" w:cs="Arial"/>
                <w:color w:val="000000"/>
                <w:sz w:val="18"/>
                <w:szCs w:val="18"/>
              </w:rPr>
              <w:t>1.1%</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124764DD" w14:textId="77777777" w:rsidR="00D31EA2" w:rsidRDefault="00D31EA2" w:rsidP="00410442">
            <w:pPr>
              <w:rPr>
                <w:rFonts w:ascii="Arial" w:hAnsi="Arial" w:cs="Arial"/>
                <w:color w:val="000000"/>
                <w:sz w:val="18"/>
                <w:szCs w:val="18"/>
              </w:rPr>
            </w:pPr>
            <w:r>
              <w:rPr>
                <w:rFonts w:ascii="Arial" w:hAnsi="Arial" w:cs="Arial"/>
                <w:color w:val="000000"/>
                <w:sz w:val="18"/>
                <w:szCs w:val="18"/>
              </w:rPr>
              <w:t>1.1%</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57F51B92" w14:textId="77777777" w:rsidR="00D31EA2" w:rsidRDefault="00D31EA2" w:rsidP="00410442">
            <w:pPr>
              <w:rPr>
                <w:rFonts w:ascii="Arial" w:hAnsi="Arial" w:cs="Arial"/>
                <w:color w:val="000000"/>
                <w:sz w:val="18"/>
                <w:szCs w:val="18"/>
              </w:rPr>
            </w:pPr>
            <w:r>
              <w:rPr>
                <w:rFonts w:ascii="Arial" w:hAnsi="Arial" w:cs="Arial"/>
                <w:color w:val="000000"/>
                <w:sz w:val="18"/>
                <w:szCs w:val="18"/>
              </w:rPr>
              <w:t>1.0%</w:t>
            </w:r>
          </w:p>
        </w:tc>
      </w:tr>
      <w:tr w:rsidR="00D31EA2" w14:paraId="6BC166A1" w14:textId="77777777" w:rsidTr="00C84B40">
        <w:trPr>
          <w:trHeight w:val="240"/>
        </w:trPr>
        <w:tc>
          <w:tcPr>
            <w:tcW w:w="2269" w:type="dxa"/>
            <w:vMerge/>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4844E8D9" w14:textId="77777777" w:rsidR="00D31EA2" w:rsidRPr="00AA148D" w:rsidRDefault="00D31EA2" w:rsidP="00410442">
            <w:pPr>
              <w:rPr>
                <w:rFonts w:ascii="Arial" w:hAnsi="Arial" w:cs="Arial"/>
                <w:sz w:val="18"/>
                <w:szCs w:val="18"/>
              </w:rPr>
            </w:pPr>
          </w:p>
        </w:tc>
        <w:tc>
          <w:tcPr>
            <w:tcW w:w="2007" w:type="dxa"/>
            <w:tcBorders>
              <w:top w:val="single" w:sz="8" w:space="0" w:color="004EA8"/>
              <w:left w:val="single" w:sz="8" w:space="0" w:color="004EA8"/>
              <w:bottom w:val="single" w:sz="8" w:space="0" w:color="004EA8"/>
              <w:right w:val="single" w:sz="8" w:space="0" w:color="004EA8"/>
            </w:tcBorders>
            <w:tcMar>
              <w:top w:w="40" w:type="dxa"/>
              <w:left w:w="80" w:type="dxa"/>
              <w:bottom w:w="40" w:type="dxa"/>
              <w:right w:w="40" w:type="dxa"/>
            </w:tcMar>
          </w:tcPr>
          <w:p w14:paraId="16A5B4E9" w14:textId="77777777" w:rsidR="00D31EA2" w:rsidRDefault="00D31EA2" w:rsidP="00410442">
            <w:pPr>
              <w:rPr>
                <w:rFonts w:ascii="Arial" w:hAnsi="Arial" w:cs="Arial"/>
                <w:color w:val="000000"/>
                <w:sz w:val="18"/>
                <w:szCs w:val="18"/>
              </w:rPr>
            </w:pPr>
            <w:r>
              <w:rPr>
                <w:rFonts w:ascii="Arial" w:hAnsi="Arial" w:cs="Arial"/>
                <w:color w:val="000000"/>
                <w:sz w:val="18"/>
                <w:szCs w:val="18"/>
              </w:rPr>
              <w:t>Forensic</w:t>
            </w:r>
          </w:p>
        </w:tc>
        <w:tc>
          <w:tcPr>
            <w:tcW w:w="1002"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6E1A0D95" w14:textId="77777777" w:rsidR="00D31EA2" w:rsidRDefault="00D31EA2" w:rsidP="00410442">
            <w:pPr>
              <w:rPr>
                <w:rFonts w:ascii="Arial" w:hAnsi="Arial" w:cs="Arial"/>
                <w:color w:val="000000"/>
                <w:sz w:val="18"/>
                <w:szCs w:val="18"/>
              </w:rPr>
            </w:pPr>
            <w:r>
              <w:rPr>
                <w:rFonts w:ascii="Arial" w:hAnsi="Arial" w:cs="Arial"/>
                <w:color w:val="000000"/>
                <w:sz w:val="18"/>
                <w:szCs w:val="18"/>
              </w:rPr>
              <w:t>15.0%</w:t>
            </w:r>
          </w:p>
        </w:tc>
        <w:tc>
          <w:tcPr>
            <w:tcW w:w="1003"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7887FD25" w14:textId="77777777" w:rsidR="00D31EA2" w:rsidRDefault="00D31EA2" w:rsidP="00410442">
            <w:pPr>
              <w:rPr>
                <w:rFonts w:ascii="Arial" w:hAnsi="Arial" w:cs="Arial"/>
                <w:color w:val="000000"/>
                <w:sz w:val="18"/>
                <w:szCs w:val="18"/>
              </w:rPr>
            </w:pPr>
            <w:r>
              <w:rPr>
                <w:rFonts w:ascii="Arial" w:hAnsi="Arial" w:cs="Arial"/>
                <w:color w:val="000000"/>
                <w:sz w:val="18"/>
                <w:szCs w:val="18"/>
              </w:rPr>
              <w:t>16.0%</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14076390" w14:textId="77777777" w:rsidR="00D31EA2" w:rsidRDefault="00D31EA2" w:rsidP="00410442">
            <w:pPr>
              <w:rPr>
                <w:rFonts w:ascii="Arial" w:hAnsi="Arial" w:cs="Arial"/>
                <w:color w:val="000000"/>
                <w:sz w:val="18"/>
                <w:szCs w:val="18"/>
              </w:rPr>
            </w:pPr>
            <w:r>
              <w:rPr>
                <w:rFonts w:ascii="Arial" w:hAnsi="Arial" w:cs="Arial"/>
                <w:color w:val="000000"/>
                <w:sz w:val="18"/>
                <w:szCs w:val="18"/>
              </w:rPr>
              <w:t>13.2%</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7A834D2C" w14:textId="77777777" w:rsidR="00D31EA2" w:rsidRDefault="00D31EA2" w:rsidP="00410442">
            <w:pPr>
              <w:rPr>
                <w:rFonts w:ascii="Arial" w:hAnsi="Arial" w:cs="Arial"/>
                <w:color w:val="000000"/>
                <w:sz w:val="18"/>
                <w:szCs w:val="18"/>
              </w:rPr>
            </w:pPr>
            <w:r>
              <w:rPr>
                <w:rFonts w:ascii="Arial" w:hAnsi="Arial" w:cs="Arial"/>
                <w:color w:val="000000"/>
                <w:sz w:val="18"/>
                <w:szCs w:val="18"/>
              </w:rPr>
              <w:t>14.2%</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1A34843A" w14:textId="77777777" w:rsidR="00D31EA2" w:rsidRDefault="00D31EA2" w:rsidP="00410442">
            <w:pPr>
              <w:rPr>
                <w:rFonts w:ascii="Arial" w:hAnsi="Arial" w:cs="Arial"/>
                <w:color w:val="000000"/>
                <w:sz w:val="18"/>
                <w:szCs w:val="18"/>
              </w:rPr>
            </w:pPr>
            <w:r>
              <w:rPr>
                <w:rFonts w:ascii="Arial" w:hAnsi="Arial" w:cs="Arial"/>
                <w:color w:val="000000"/>
                <w:sz w:val="18"/>
                <w:szCs w:val="18"/>
              </w:rPr>
              <w:t>13.7%</w:t>
            </w:r>
          </w:p>
        </w:tc>
      </w:tr>
      <w:tr w:rsidR="00D31EA2" w14:paraId="3EC100FE" w14:textId="77777777" w:rsidTr="00C84B40">
        <w:trPr>
          <w:trHeight w:val="240"/>
        </w:trPr>
        <w:tc>
          <w:tcPr>
            <w:tcW w:w="2269" w:type="dxa"/>
            <w:vMerge/>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758B2C37" w14:textId="77777777" w:rsidR="00D31EA2" w:rsidRPr="00AA148D" w:rsidRDefault="00D31EA2" w:rsidP="00410442">
            <w:pPr>
              <w:rPr>
                <w:rFonts w:ascii="Arial" w:hAnsi="Arial" w:cs="Arial"/>
                <w:sz w:val="18"/>
                <w:szCs w:val="18"/>
              </w:rPr>
            </w:pPr>
          </w:p>
        </w:tc>
        <w:tc>
          <w:tcPr>
            <w:tcW w:w="2007" w:type="dxa"/>
            <w:tcBorders>
              <w:top w:val="single" w:sz="8" w:space="0" w:color="004EA8"/>
              <w:left w:val="single" w:sz="8" w:space="0" w:color="004EA8"/>
              <w:bottom w:val="single" w:sz="8" w:space="0" w:color="004EA8"/>
              <w:right w:val="single" w:sz="8" w:space="0" w:color="004EA8"/>
            </w:tcBorders>
            <w:tcMar>
              <w:top w:w="40" w:type="dxa"/>
              <w:left w:w="80" w:type="dxa"/>
              <w:bottom w:w="40" w:type="dxa"/>
              <w:right w:w="40" w:type="dxa"/>
            </w:tcMar>
          </w:tcPr>
          <w:p w14:paraId="772C3263" w14:textId="77777777" w:rsidR="00D31EA2" w:rsidRDefault="00D31EA2" w:rsidP="00410442">
            <w:pPr>
              <w:rPr>
                <w:rFonts w:ascii="Arial" w:hAnsi="Arial" w:cs="Arial"/>
                <w:color w:val="000000"/>
                <w:sz w:val="18"/>
                <w:szCs w:val="18"/>
              </w:rPr>
            </w:pPr>
            <w:r>
              <w:rPr>
                <w:rFonts w:ascii="Arial" w:hAnsi="Arial" w:cs="Arial"/>
                <w:color w:val="000000"/>
                <w:sz w:val="18"/>
                <w:szCs w:val="18"/>
              </w:rPr>
              <w:t>Specialist</w:t>
            </w:r>
          </w:p>
        </w:tc>
        <w:tc>
          <w:tcPr>
            <w:tcW w:w="1002"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7595FC45" w14:textId="77777777" w:rsidR="00D31EA2" w:rsidRDefault="00D31EA2" w:rsidP="00410442">
            <w:pPr>
              <w:rPr>
                <w:rFonts w:ascii="Arial" w:hAnsi="Arial" w:cs="Arial"/>
                <w:color w:val="000000"/>
                <w:sz w:val="18"/>
                <w:szCs w:val="18"/>
              </w:rPr>
            </w:pPr>
            <w:r>
              <w:rPr>
                <w:rFonts w:ascii="Arial" w:hAnsi="Arial" w:cs="Arial"/>
                <w:color w:val="000000"/>
                <w:sz w:val="18"/>
                <w:szCs w:val="18"/>
              </w:rPr>
              <w:t>1.8%</w:t>
            </w:r>
          </w:p>
        </w:tc>
        <w:tc>
          <w:tcPr>
            <w:tcW w:w="1003"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15FBCA19" w14:textId="77777777" w:rsidR="00D31EA2" w:rsidRDefault="00D31EA2" w:rsidP="00410442">
            <w:pPr>
              <w:rPr>
                <w:rFonts w:ascii="Arial" w:hAnsi="Arial" w:cs="Arial"/>
                <w:color w:val="000000"/>
                <w:sz w:val="18"/>
                <w:szCs w:val="18"/>
              </w:rPr>
            </w:pPr>
            <w:r>
              <w:rPr>
                <w:rFonts w:ascii="Arial" w:hAnsi="Arial" w:cs="Arial"/>
                <w:color w:val="000000"/>
                <w:sz w:val="18"/>
                <w:szCs w:val="18"/>
              </w:rPr>
              <w:t>2.2%</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7784CB43" w14:textId="77777777" w:rsidR="00D31EA2" w:rsidRDefault="00D31EA2" w:rsidP="00410442">
            <w:pPr>
              <w:rPr>
                <w:rFonts w:ascii="Arial" w:hAnsi="Arial" w:cs="Arial"/>
                <w:color w:val="000000"/>
                <w:sz w:val="18"/>
                <w:szCs w:val="18"/>
              </w:rPr>
            </w:pPr>
            <w:r>
              <w:rPr>
                <w:rFonts w:ascii="Arial" w:hAnsi="Arial" w:cs="Arial"/>
                <w:color w:val="000000"/>
                <w:sz w:val="18"/>
                <w:szCs w:val="18"/>
              </w:rPr>
              <w:t>5.5%</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3C76D3A8" w14:textId="77777777" w:rsidR="00D31EA2" w:rsidRDefault="00D31EA2" w:rsidP="00410442">
            <w:pPr>
              <w:rPr>
                <w:rFonts w:ascii="Arial" w:hAnsi="Arial" w:cs="Arial"/>
                <w:color w:val="000000"/>
                <w:sz w:val="18"/>
                <w:szCs w:val="18"/>
              </w:rPr>
            </w:pPr>
            <w:r>
              <w:rPr>
                <w:rFonts w:ascii="Arial" w:hAnsi="Arial" w:cs="Arial"/>
                <w:color w:val="000000"/>
                <w:sz w:val="18"/>
                <w:szCs w:val="18"/>
              </w:rPr>
              <w:t>3.5%</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35A2B9DC" w14:textId="77777777" w:rsidR="00D31EA2" w:rsidRDefault="00D31EA2" w:rsidP="00410442">
            <w:pPr>
              <w:rPr>
                <w:rFonts w:ascii="Arial" w:hAnsi="Arial" w:cs="Arial"/>
                <w:color w:val="000000"/>
                <w:sz w:val="18"/>
                <w:szCs w:val="18"/>
              </w:rPr>
            </w:pPr>
            <w:r>
              <w:rPr>
                <w:rFonts w:ascii="Arial" w:hAnsi="Arial" w:cs="Arial"/>
                <w:color w:val="000000"/>
                <w:sz w:val="18"/>
                <w:szCs w:val="18"/>
              </w:rPr>
              <w:t>1.8%</w:t>
            </w:r>
          </w:p>
        </w:tc>
      </w:tr>
      <w:tr w:rsidR="00D31EA2" w14:paraId="65FE6EA0" w14:textId="77777777" w:rsidTr="00C84B40">
        <w:trPr>
          <w:trHeight w:val="240"/>
        </w:trPr>
        <w:tc>
          <w:tcPr>
            <w:tcW w:w="2269" w:type="dxa"/>
            <w:vMerge/>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0D4FE279" w14:textId="77777777" w:rsidR="00D31EA2" w:rsidRPr="00AA148D" w:rsidRDefault="00D31EA2" w:rsidP="00410442">
            <w:pPr>
              <w:rPr>
                <w:rFonts w:ascii="Arial" w:hAnsi="Arial" w:cs="Arial"/>
                <w:sz w:val="18"/>
                <w:szCs w:val="18"/>
              </w:rPr>
            </w:pPr>
          </w:p>
        </w:tc>
        <w:tc>
          <w:tcPr>
            <w:tcW w:w="2007" w:type="dxa"/>
            <w:tcBorders>
              <w:top w:val="single" w:sz="8" w:space="0" w:color="004EA8"/>
              <w:left w:val="single" w:sz="8" w:space="0" w:color="004EA8"/>
              <w:bottom w:val="single" w:sz="8" w:space="0" w:color="004EA8"/>
              <w:right w:val="single" w:sz="8" w:space="0" w:color="004EA8"/>
            </w:tcBorders>
            <w:shd w:val="clear" w:color="auto" w:fill="E0EAF5"/>
            <w:tcMar>
              <w:top w:w="40" w:type="dxa"/>
              <w:left w:w="80" w:type="dxa"/>
              <w:bottom w:w="40" w:type="dxa"/>
              <w:right w:w="40" w:type="dxa"/>
            </w:tcMar>
          </w:tcPr>
          <w:p w14:paraId="4CAFF966"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Total</w:t>
            </w:r>
          </w:p>
        </w:tc>
        <w:tc>
          <w:tcPr>
            <w:tcW w:w="1002" w:type="dxa"/>
            <w:tcBorders>
              <w:top w:val="single" w:sz="8" w:space="0" w:color="004EA8"/>
              <w:left w:val="single" w:sz="8" w:space="0" w:color="004EA8"/>
              <w:bottom w:val="single" w:sz="8" w:space="0" w:color="004EA8"/>
              <w:right w:val="single" w:sz="8" w:space="0" w:color="004EA8"/>
            </w:tcBorders>
            <w:shd w:val="clear" w:color="auto" w:fill="E0EAF5"/>
            <w:tcMar>
              <w:top w:w="43" w:type="dxa"/>
              <w:left w:w="86" w:type="dxa"/>
              <w:bottom w:w="58" w:type="dxa"/>
              <w:right w:w="43" w:type="dxa"/>
            </w:tcMar>
          </w:tcPr>
          <w:p w14:paraId="15FF95CC"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11.1%</w:t>
            </w:r>
          </w:p>
        </w:tc>
        <w:tc>
          <w:tcPr>
            <w:tcW w:w="1003" w:type="dxa"/>
            <w:tcBorders>
              <w:top w:val="single" w:sz="8" w:space="0" w:color="004EA8"/>
              <w:left w:val="single" w:sz="8" w:space="0" w:color="004EA8"/>
              <w:bottom w:val="single" w:sz="8" w:space="0" w:color="004EA8"/>
              <w:right w:val="single" w:sz="8" w:space="0" w:color="004EA8"/>
            </w:tcBorders>
            <w:shd w:val="clear" w:color="auto" w:fill="E0EAF5"/>
            <w:tcMar>
              <w:top w:w="43" w:type="dxa"/>
              <w:left w:w="86" w:type="dxa"/>
              <w:bottom w:w="58" w:type="dxa"/>
              <w:right w:w="43" w:type="dxa"/>
            </w:tcMar>
          </w:tcPr>
          <w:p w14:paraId="0922817D"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11.1%</w:t>
            </w:r>
          </w:p>
        </w:tc>
        <w:tc>
          <w:tcPr>
            <w:tcW w:w="999" w:type="dxa"/>
            <w:tcBorders>
              <w:top w:val="single" w:sz="8" w:space="0" w:color="004EA8"/>
              <w:left w:val="single" w:sz="8" w:space="0" w:color="004EA8"/>
              <w:bottom w:val="single" w:sz="8" w:space="0" w:color="004EA8"/>
              <w:right w:val="single" w:sz="8" w:space="0" w:color="004EA8"/>
            </w:tcBorders>
            <w:shd w:val="clear" w:color="auto" w:fill="E0EAF5"/>
            <w:tcMar>
              <w:top w:w="40" w:type="dxa"/>
              <w:left w:w="80" w:type="dxa"/>
              <w:bottom w:w="60" w:type="dxa"/>
              <w:right w:w="40" w:type="dxa"/>
            </w:tcMar>
          </w:tcPr>
          <w:p w14:paraId="0BCE4BBD"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11.4%</w:t>
            </w:r>
          </w:p>
        </w:tc>
        <w:tc>
          <w:tcPr>
            <w:tcW w:w="999" w:type="dxa"/>
            <w:tcBorders>
              <w:top w:val="single" w:sz="8" w:space="0" w:color="004EA8"/>
              <w:left w:val="single" w:sz="8" w:space="0" w:color="004EA8"/>
              <w:bottom w:val="single" w:sz="8" w:space="0" w:color="004EA8"/>
              <w:right w:val="single" w:sz="8" w:space="0" w:color="004EA8"/>
            </w:tcBorders>
            <w:shd w:val="clear" w:color="auto" w:fill="E0EAF5"/>
            <w:tcMar>
              <w:top w:w="40" w:type="dxa"/>
              <w:left w:w="80" w:type="dxa"/>
              <w:bottom w:w="60" w:type="dxa"/>
              <w:right w:w="40" w:type="dxa"/>
            </w:tcMar>
          </w:tcPr>
          <w:p w14:paraId="043C5566"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11.0%</w:t>
            </w:r>
          </w:p>
        </w:tc>
        <w:tc>
          <w:tcPr>
            <w:tcW w:w="999" w:type="dxa"/>
            <w:tcBorders>
              <w:top w:val="single" w:sz="8" w:space="0" w:color="004EA8"/>
              <w:left w:val="single" w:sz="8" w:space="0" w:color="004EA8"/>
              <w:bottom w:val="single" w:sz="8" w:space="0" w:color="004EA8"/>
              <w:right w:val="single" w:sz="8" w:space="0" w:color="004EA8"/>
            </w:tcBorders>
            <w:shd w:val="clear" w:color="auto" w:fill="E0EAF5"/>
            <w:tcMar>
              <w:top w:w="40" w:type="dxa"/>
              <w:left w:w="80" w:type="dxa"/>
              <w:bottom w:w="60" w:type="dxa"/>
              <w:right w:w="40" w:type="dxa"/>
            </w:tcMar>
          </w:tcPr>
          <w:p w14:paraId="19A4E553"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11.3%</w:t>
            </w:r>
          </w:p>
        </w:tc>
      </w:tr>
      <w:tr w:rsidR="00D31EA2" w14:paraId="21EB28E5" w14:textId="77777777" w:rsidTr="00C84B40">
        <w:trPr>
          <w:trHeight w:val="240"/>
        </w:trPr>
        <w:tc>
          <w:tcPr>
            <w:tcW w:w="2269" w:type="dxa"/>
            <w:vMerge w:val="restart"/>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6CE6E948"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Compulsory admissions</w:t>
            </w:r>
            <w:r>
              <w:rPr>
                <w:rFonts w:ascii="Arial" w:eastAsia="Verdana" w:hAnsi="Arial" w:cs="Arial"/>
                <w:color w:val="000000"/>
                <w:sz w:val="18"/>
                <w:szCs w:val="18"/>
              </w:rPr>
              <w:t xml:space="preserve"> – </w:t>
            </w:r>
            <w:r w:rsidRPr="00AA148D">
              <w:rPr>
                <w:rFonts w:ascii="Arial" w:eastAsia="Verdana" w:hAnsi="Arial" w:cs="Arial"/>
                <w:color w:val="000000"/>
                <w:sz w:val="18"/>
                <w:szCs w:val="18"/>
              </w:rPr>
              <w:t>inpatient (%)</w:t>
            </w:r>
          </w:p>
        </w:tc>
        <w:tc>
          <w:tcPr>
            <w:tcW w:w="2007" w:type="dxa"/>
            <w:tcBorders>
              <w:top w:val="single" w:sz="8" w:space="0" w:color="004EA8"/>
              <w:left w:val="single" w:sz="8" w:space="0" w:color="004EA8"/>
              <w:bottom w:val="single" w:sz="8" w:space="0" w:color="004EA8"/>
              <w:right w:val="single" w:sz="8" w:space="0" w:color="004EA8"/>
            </w:tcBorders>
            <w:tcMar>
              <w:top w:w="40" w:type="dxa"/>
              <w:left w:w="80" w:type="dxa"/>
              <w:bottom w:w="40" w:type="dxa"/>
              <w:right w:w="40" w:type="dxa"/>
            </w:tcMar>
          </w:tcPr>
          <w:p w14:paraId="71906457" w14:textId="77777777" w:rsidR="00D31EA2" w:rsidRDefault="00D31EA2" w:rsidP="00410442">
            <w:pPr>
              <w:rPr>
                <w:rFonts w:ascii="Arial" w:hAnsi="Arial" w:cs="Arial"/>
                <w:color w:val="000000"/>
                <w:sz w:val="18"/>
                <w:szCs w:val="18"/>
              </w:rPr>
            </w:pPr>
            <w:r>
              <w:rPr>
                <w:rFonts w:ascii="Arial" w:hAnsi="Arial" w:cs="Arial"/>
                <w:color w:val="000000"/>
                <w:sz w:val="18"/>
                <w:szCs w:val="18"/>
              </w:rPr>
              <w:t>Adult</w:t>
            </w:r>
          </w:p>
        </w:tc>
        <w:tc>
          <w:tcPr>
            <w:tcW w:w="1002"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4B66611B" w14:textId="77777777" w:rsidR="00D31EA2" w:rsidRDefault="00D31EA2" w:rsidP="00410442">
            <w:pPr>
              <w:rPr>
                <w:rFonts w:ascii="Arial" w:hAnsi="Arial" w:cs="Arial"/>
                <w:color w:val="000000"/>
                <w:sz w:val="18"/>
                <w:szCs w:val="18"/>
              </w:rPr>
            </w:pPr>
            <w:r>
              <w:rPr>
                <w:rFonts w:ascii="Arial" w:hAnsi="Arial" w:cs="Arial"/>
                <w:color w:val="000000"/>
                <w:sz w:val="18"/>
                <w:szCs w:val="18"/>
              </w:rPr>
              <w:t>57.8%</w:t>
            </w:r>
          </w:p>
        </w:tc>
        <w:tc>
          <w:tcPr>
            <w:tcW w:w="1003"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31A81A42" w14:textId="77777777" w:rsidR="00D31EA2" w:rsidRDefault="00D31EA2" w:rsidP="00410442">
            <w:pPr>
              <w:rPr>
                <w:rFonts w:ascii="Arial" w:hAnsi="Arial" w:cs="Arial"/>
                <w:color w:val="000000"/>
                <w:sz w:val="18"/>
                <w:szCs w:val="18"/>
              </w:rPr>
            </w:pPr>
            <w:r>
              <w:rPr>
                <w:rFonts w:ascii="Arial" w:hAnsi="Arial" w:cs="Arial"/>
                <w:color w:val="000000"/>
                <w:sz w:val="18"/>
                <w:szCs w:val="18"/>
              </w:rPr>
              <w:t>56.9%</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19041A77" w14:textId="77777777" w:rsidR="00D31EA2" w:rsidRDefault="00D31EA2" w:rsidP="00410442">
            <w:pPr>
              <w:rPr>
                <w:rFonts w:ascii="Arial" w:hAnsi="Arial" w:cs="Arial"/>
                <w:color w:val="000000"/>
                <w:sz w:val="18"/>
                <w:szCs w:val="18"/>
              </w:rPr>
            </w:pPr>
            <w:r>
              <w:rPr>
                <w:rFonts w:ascii="Arial" w:hAnsi="Arial" w:cs="Arial"/>
                <w:color w:val="000000"/>
                <w:sz w:val="18"/>
                <w:szCs w:val="18"/>
              </w:rPr>
              <w:t>55.3%</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4D77FB74" w14:textId="77777777" w:rsidR="00D31EA2" w:rsidRDefault="00D31EA2" w:rsidP="00410442">
            <w:pPr>
              <w:rPr>
                <w:rFonts w:ascii="Arial" w:hAnsi="Arial" w:cs="Arial"/>
                <w:color w:val="000000"/>
                <w:sz w:val="18"/>
                <w:szCs w:val="18"/>
              </w:rPr>
            </w:pPr>
            <w:r>
              <w:rPr>
                <w:rFonts w:ascii="Arial" w:hAnsi="Arial" w:cs="Arial"/>
                <w:color w:val="000000"/>
                <w:sz w:val="18"/>
                <w:szCs w:val="18"/>
              </w:rPr>
              <w:t>54.3%</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0EF68223" w14:textId="77777777" w:rsidR="00D31EA2" w:rsidRDefault="00D31EA2" w:rsidP="00410442">
            <w:pPr>
              <w:rPr>
                <w:rFonts w:ascii="Arial" w:hAnsi="Arial" w:cs="Arial"/>
                <w:color w:val="000000"/>
                <w:sz w:val="18"/>
                <w:szCs w:val="18"/>
              </w:rPr>
            </w:pPr>
            <w:r>
              <w:rPr>
                <w:rFonts w:ascii="Arial" w:hAnsi="Arial" w:cs="Arial"/>
                <w:color w:val="000000"/>
                <w:sz w:val="18"/>
                <w:szCs w:val="18"/>
              </w:rPr>
              <w:t>56.0%</w:t>
            </w:r>
          </w:p>
        </w:tc>
      </w:tr>
      <w:tr w:rsidR="00D31EA2" w14:paraId="4FBEA6F6" w14:textId="77777777" w:rsidTr="00C84B40">
        <w:trPr>
          <w:trHeight w:val="240"/>
        </w:trPr>
        <w:tc>
          <w:tcPr>
            <w:tcW w:w="2269" w:type="dxa"/>
            <w:vMerge/>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558CAB29" w14:textId="77777777" w:rsidR="00D31EA2" w:rsidRPr="00AA148D" w:rsidRDefault="00D31EA2" w:rsidP="00410442">
            <w:pPr>
              <w:rPr>
                <w:rFonts w:ascii="Arial" w:hAnsi="Arial" w:cs="Arial"/>
                <w:sz w:val="18"/>
                <w:szCs w:val="18"/>
              </w:rPr>
            </w:pPr>
          </w:p>
        </w:tc>
        <w:tc>
          <w:tcPr>
            <w:tcW w:w="2007" w:type="dxa"/>
            <w:tcBorders>
              <w:top w:val="single" w:sz="8" w:space="0" w:color="004EA8"/>
              <w:left w:val="single" w:sz="8" w:space="0" w:color="004EA8"/>
              <w:bottom w:val="single" w:sz="8" w:space="0" w:color="004EA8"/>
              <w:right w:val="single" w:sz="8" w:space="0" w:color="004EA8"/>
            </w:tcBorders>
            <w:tcMar>
              <w:top w:w="40" w:type="dxa"/>
              <w:left w:w="80" w:type="dxa"/>
              <w:bottom w:w="40" w:type="dxa"/>
              <w:right w:w="40" w:type="dxa"/>
            </w:tcMar>
          </w:tcPr>
          <w:p w14:paraId="108F3929" w14:textId="77777777" w:rsidR="00D31EA2" w:rsidRDefault="00D31EA2" w:rsidP="00410442">
            <w:pPr>
              <w:rPr>
                <w:rFonts w:ascii="Arial" w:hAnsi="Arial" w:cs="Arial"/>
                <w:color w:val="000000"/>
                <w:sz w:val="18"/>
                <w:szCs w:val="18"/>
              </w:rPr>
            </w:pPr>
            <w:r>
              <w:rPr>
                <w:rFonts w:ascii="Arial" w:hAnsi="Arial" w:cs="Arial"/>
                <w:color w:val="000000"/>
                <w:sz w:val="18"/>
                <w:szCs w:val="18"/>
              </w:rPr>
              <w:t>Aged</w:t>
            </w:r>
          </w:p>
        </w:tc>
        <w:tc>
          <w:tcPr>
            <w:tcW w:w="1002"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619097A2" w14:textId="77777777" w:rsidR="00D31EA2" w:rsidRDefault="00D31EA2" w:rsidP="00410442">
            <w:pPr>
              <w:rPr>
                <w:rFonts w:ascii="Arial" w:hAnsi="Arial" w:cs="Arial"/>
                <w:color w:val="000000"/>
                <w:sz w:val="18"/>
                <w:szCs w:val="18"/>
              </w:rPr>
            </w:pPr>
            <w:r>
              <w:rPr>
                <w:rFonts w:ascii="Arial" w:hAnsi="Arial" w:cs="Arial"/>
                <w:color w:val="000000"/>
                <w:sz w:val="18"/>
                <w:szCs w:val="18"/>
              </w:rPr>
              <w:t>46.0%</w:t>
            </w:r>
          </w:p>
        </w:tc>
        <w:tc>
          <w:tcPr>
            <w:tcW w:w="1003"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03161578" w14:textId="77777777" w:rsidR="00D31EA2" w:rsidRDefault="00D31EA2" w:rsidP="00410442">
            <w:pPr>
              <w:rPr>
                <w:rFonts w:ascii="Arial" w:hAnsi="Arial" w:cs="Arial"/>
                <w:color w:val="000000"/>
                <w:sz w:val="18"/>
                <w:szCs w:val="18"/>
              </w:rPr>
            </w:pPr>
            <w:r>
              <w:rPr>
                <w:rFonts w:ascii="Arial" w:hAnsi="Arial" w:cs="Arial"/>
                <w:color w:val="000000"/>
                <w:sz w:val="18"/>
                <w:szCs w:val="18"/>
              </w:rPr>
              <w:t>48.2%</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01425A7D" w14:textId="77777777" w:rsidR="00D31EA2" w:rsidRDefault="00D31EA2" w:rsidP="00410442">
            <w:pPr>
              <w:rPr>
                <w:rFonts w:ascii="Arial" w:hAnsi="Arial" w:cs="Arial"/>
                <w:color w:val="000000"/>
                <w:sz w:val="18"/>
                <w:szCs w:val="18"/>
              </w:rPr>
            </w:pPr>
            <w:r>
              <w:rPr>
                <w:rFonts w:ascii="Arial" w:hAnsi="Arial" w:cs="Arial"/>
                <w:color w:val="000000"/>
                <w:sz w:val="18"/>
                <w:szCs w:val="18"/>
              </w:rPr>
              <w:t>46.8%</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6996223C" w14:textId="77777777" w:rsidR="00D31EA2" w:rsidRDefault="00D31EA2" w:rsidP="00410442">
            <w:pPr>
              <w:rPr>
                <w:rFonts w:ascii="Arial" w:hAnsi="Arial" w:cs="Arial"/>
                <w:color w:val="000000"/>
                <w:sz w:val="18"/>
                <w:szCs w:val="18"/>
              </w:rPr>
            </w:pPr>
            <w:r>
              <w:rPr>
                <w:rFonts w:ascii="Arial" w:hAnsi="Arial" w:cs="Arial"/>
                <w:color w:val="000000"/>
                <w:sz w:val="18"/>
                <w:szCs w:val="18"/>
              </w:rPr>
              <w:t>46.7%</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3FAC4ACE" w14:textId="77777777" w:rsidR="00D31EA2" w:rsidRDefault="00D31EA2" w:rsidP="00410442">
            <w:pPr>
              <w:rPr>
                <w:rFonts w:ascii="Arial" w:hAnsi="Arial" w:cs="Arial"/>
                <w:color w:val="000000"/>
                <w:sz w:val="18"/>
                <w:szCs w:val="18"/>
              </w:rPr>
            </w:pPr>
            <w:r>
              <w:rPr>
                <w:rFonts w:ascii="Arial" w:hAnsi="Arial" w:cs="Arial"/>
                <w:color w:val="000000"/>
                <w:sz w:val="18"/>
                <w:szCs w:val="18"/>
              </w:rPr>
              <w:t>50.0%</w:t>
            </w:r>
          </w:p>
        </w:tc>
      </w:tr>
      <w:tr w:rsidR="00D31EA2" w14:paraId="7A853680" w14:textId="77777777" w:rsidTr="00C84B40">
        <w:trPr>
          <w:trHeight w:val="240"/>
        </w:trPr>
        <w:tc>
          <w:tcPr>
            <w:tcW w:w="2269" w:type="dxa"/>
            <w:vMerge/>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60181B4F" w14:textId="77777777" w:rsidR="00D31EA2" w:rsidRPr="00AA148D" w:rsidRDefault="00D31EA2" w:rsidP="00410442">
            <w:pPr>
              <w:rPr>
                <w:rFonts w:ascii="Arial" w:hAnsi="Arial" w:cs="Arial"/>
                <w:sz w:val="18"/>
                <w:szCs w:val="18"/>
              </w:rPr>
            </w:pPr>
          </w:p>
        </w:tc>
        <w:tc>
          <w:tcPr>
            <w:tcW w:w="2007" w:type="dxa"/>
            <w:tcBorders>
              <w:top w:val="single" w:sz="8" w:space="0" w:color="004EA8"/>
              <w:left w:val="single" w:sz="8" w:space="0" w:color="004EA8"/>
              <w:bottom w:val="single" w:sz="8" w:space="0" w:color="004EA8"/>
              <w:right w:val="single" w:sz="8" w:space="0" w:color="004EA8"/>
            </w:tcBorders>
            <w:tcMar>
              <w:top w:w="40" w:type="dxa"/>
              <w:left w:w="80" w:type="dxa"/>
              <w:bottom w:w="40" w:type="dxa"/>
              <w:right w:w="40" w:type="dxa"/>
            </w:tcMar>
          </w:tcPr>
          <w:p w14:paraId="17DC8DC7" w14:textId="77777777" w:rsidR="00D31EA2" w:rsidRDefault="00D31EA2" w:rsidP="00410442">
            <w:pPr>
              <w:rPr>
                <w:rFonts w:ascii="Arial" w:hAnsi="Arial" w:cs="Arial"/>
                <w:color w:val="000000"/>
                <w:sz w:val="18"/>
                <w:szCs w:val="18"/>
              </w:rPr>
            </w:pPr>
            <w:r>
              <w:rPr>
                <w:rFonts w:ascii="Arial" w:hAnsi="Arial" w:cs="Arial"/>
                <w:color w:val="000000"/>
                <w:sz w:val="18"/>
                <w:szCs w:val="18"/>
              </w:rPr>
              <w:t>CAMHS</w:t>
            </w:r>
          </w:p>
        </w:tc>
        <w:tc>
          <w:tcPr>
            <w:tcW w:w="1002"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0337CA3D" w14:textId="77777777" w:rsidR="00D31EA2" w:rsidRDefault="00D31EA2" w:rsidP="00410442">
            <w:pPr>
              <w:rPr>
                <w:rFonts w:ascii="Arial" w:hAnsi="Arial" w:cs="Arial"/>
                <w:color w:val="000000"/>
                <w:sz w:val="18"/>
                <w:szCs w:val="18"/>
              </w:rPr>
            </w:pPr>
            <w:r>
              <w:rPr>
                <w:rFonts w:ascii="Arial" w:hAnsi="Arial" w:cs="Arial"/>
                <w:color w:val="000000"/>
                <w:sz w:val="18"/>
                <w:szCs w:val="18"/>
              </w:rPr>
              <w:t>16.6%</w:t>
            </w:r>
          </w:p>
        </w:tc>
        <w:tc>
          <w:tcPr>
            <w:tcW w:w="1003"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0E562974" w14:textId="77777777" w:rsidR="00D31EA2" w:rsidRDefault="00D31EA2" w:rsidP="00410442">
            <w:pPr>
              <w:rPr>
                <w:rFonts w:ascii="Arial" w:hAnsi="Arial" w:cs="Arial"/>
                <w:color w:val="000000"/>
                <w:sz w:val="18"/>
                <w:szCs w:val="18"/>
              </w:rPr>
            </w:pPr>
            <w:r>
              <w:rPr>
                <w:rFonts w:ascii="Arial" w:hAnsi="Arial" w:cs="Arial"/>
                <w:color w:val="000000"/>
                <w:sz w:val="18"/>
                <w:szCs w:val="18"/>
              </w:rPr>
              <w:t>17.0%</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1A810FD3" w14:textId="77777777" w:rsidR="00D31EA2" w:rsidRDefault="00D31EA2" w:rsidP="00410442">
            <w:pPr>
              <w:rPr>
                <w:rFonts w:ascii="Arial" w:hAnsi="Arial" w:cs="Arial"/>
                <w:color w:val="000000"/>
                <w:sz w:val="18"/>
                <w:szCs w:val="18"/>
              </w:rPr>
            </w:pPr>
            <w:r>
              <w:rPr>
                <w:rFonts w:ascii="Arial" w:hAnsi="Arial" w:cs="Arial"/>
                <w:color w:val="000000"/>
                <w:sz w:val="18"/>
                <w:szCs w:val="18"/>
              </w:rPr>
              <w:t>20.2%</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6448E379" w14:textId="77777777" w:rsidR="00D31EA2" w:rsidRDefault="00D31EA2" w:rsidP="00410442">
            <w:pPr>
              <w:rPr>
                <w:rFonts w:ascii="Arial" w:hAnsi="Arial" w:cs="Arial"/>
                <w:color w:val="000000"/>
                <w:sz w:val="18"/>
                <w:szCs w:val="18"/>
              </w:rPr>
            </w:pPr>
            <w:r>
              <w:rPr>
                <w:rFonts w:ascii="Arial" w:hAnsi="Arial" w:cs="Arial"/>
                <w:color w:val="000000"/>
                <w:sz w:val="18"/>
                <w:szCs w:val="18"/>
              </w:rPr>
              <w:t>21.9%</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5B4B8048" w14:textId="77777777" w:rsidR="00D31EA2" w:rsidRDefault="00D31EA2" w:rsidP="00410442">
            <w:pPr>
              <w:rPr>
                <w:rFonts w:ascii="Arial" w:hAnsi="Arial" w:cs="Arial"/>
                <w:color w:val="000000"/>
                <w:sz w:val="18"/>
                <w:szCs w:val="18"/>
              </w:rPr>
            </w:pPr>
            <w:r>
              <w:rPr>
                <w:rFonts w:ascii="Arial" w:hAnsi="Arial" w:cs="Arial"/>
                <w:color w:val="000000"/>
                <w:sz w:val="18"/>
                <w:szCs w:val="18"/>
              </w:rPr>
              <w:t>20.5%</w:t>
            </w:r>
          </w:p>
        </w:tc>
      </w:tr>
      <w:tr w:rsidR="00D31EA2" w14:paraId="100FDBF3" w14:textId="77777777" w:rsidTr="00C84B40">
        <w:trPr>
          <w:trHeight w:val="240"/>
        </w:trPr>
        <w:tc>
          <w:tcPr>
            <w:tcW w:w="2269" w:type="dxa"/>
            <w:vMerge/>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6388BF5D" w14:textId="77777777" w:rsidR="00D31EA2" w:rsidRPr="00AA148D" w:rsidRDefault="00D31EA2" w:rsidP="00410442">
            <w:pPr>
              <w:rPr>
                <w:rFonts w:ascii="Arial" w:hAnsi="Arial" w:cs="Arial"/>
                <w:sz w:val="18"/>
                <w:szCs w:val="18"/>
              </w:rPr>
            </w:pPr>
          </w:p>
        </w:tc>
        <w:tc>
          <w:tcPr>
            <w:tcW w:w="2007" w:type="dxa"/>
            <w:tcBorders>
              <w:top w:val="single" w:sz="8" w:space="0" w:color="004EA8"/>
              <w:left w:val="single" w:sz="8" w:space="0" w:color="004EA8"/>
              <w:bottom w:val="single" w:sz="8" w:space="0" w:color="004EA8"/>
              <w:right w:val="single" w:sz="8" w:space="0" w:color="004EA8"/>
            </w:tcBorders>
            <w:tcMar>
              <w:top w:w="40" w:type="dxa"/>
              <w:left w:w="80" w:type="dxa"/>
              <w:bottom w:w="40" w:type="dxa"/>
              <w:right w:w="40" w:type="dxa"/>
            </w:tcMar>
          </w:tcPr>
          <w:p w14:paraId="10223E29" w14:textId="77777777" w:rsidR="00D31EA2" w:rsidRDefault="00D31EA2" w:rsidP="00410442">
            <w:pPr>
              <w:rPr>
                <w:rFonts w:ascii="Arial" w:hAnsi="Arial" w:cs="Arial"/>
                <w:color w:val="000000"/>
                <w:sz w:val="18"/>
                <w:szCs w:val="18"/>
              </w:rPr>
            </w:pPr>
            <w:r>
              <w:rPr>
                <w:rFonts w:ascii="Arial" w:hAnsi="Arial" w:cs="Arial"/>
                <w:color w:val="000000"/>
                <w:sz w:val="18"/>
                <w:szCs w:val="18"/>
              </w:rPr>
              <w:t>Forensic</w:t>
            </w:r>
          </w:p>
        </w:tc>
        <w:tc>
          <w:tcPr>
            <w:tcW w:w="1002"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0CB7698A" w14:textId="77777777" w:rsidR="00D31EA2" w:rsidRDefault="00D31EA2" w:rsidP="00410442">
            <w:pPr>
              <w:rPr>
                <w:rFonts w:ascii="Arial" w:hAnsi="Arial" w:cs="Arial"/>
                <w:color w:val="000000"/>
                <w:sz w:val="18"/>
                <w:szCs w:val="18"/>
              </w:rPr>
            </w:pPr>
            <w:r>
              <w:rPr>
                <w:rFonts w:ascii="Arial" w:hAnsi="Arial" w:cs="Arial"/>
                <w:color w:val="000000"/>
                <w:sz w:val="18"/>
                <w:szCs w:val="18"/>
              </w:rPr>
              <w:t>100.0%</w:t>
            </w:r>
          </w:p>
        </w:tc>
        <w:tc>
          <w:tcPr>
            <w:tcW w:w="1003"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735880E9" w14:textId="77777777" w:rsidR="00D31EA2" w:rsidRDefault="00D31EA2" w:rsidP="00410442">
            <w:pPr>
              <w:rPr>
                <w:rFonts w:ascii="Arial" w:hAnsi="Arial" w:cs="Arial"/>
                <w:color w:val="000000"/>
                <w:sz w:val="18"/>
                <w:szCs w:val="18"/>
              </w:rPr>
            </w:pPr>
            <w:r>
              <w:rPr>
                <w:rFonts w:ascii="Arial" w:hAnsi="Arial" w:cs="Arial"/>
                <w:color w:val="000000"/>
                <w:sz w:val="18"/>
                <w:szCs w:val="18"/>
              </w:rPr>
              <w:t>100.0%</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25566A2D" w14:textId="77777777" w:rsidR="00D31EA2" w:rsidRDefault="00D31EA2" w:rsidP="00410442">
            <w:pPr>
              <w:rPr>
                <w:rFonts w:ascii="Arial" w:hAnsi="Arial" w:cs="Arial"/>
                <w:color w:val="000000"/>
                <w:sz w:val="18"/>
                <w:szCs w:val="18"/>
              </w:rPr>
            </w:pPr>
            <w:r>
              <w:rPr>
                <w:rFonts w:ascii="Arial" w:hAnsi="Arial" w:cs="Arial"/>
                <w:color w:val="000000"/>
                <w:sz w:val="18"/>
                <w:szCs w:val="18"/>
              </w:rPr>
              <w:t>100.0%</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7F33F9D0" w14:textId="77777777" w:rsidR="00D31EA2" w:rsidRDefault="00D31EA2" w:rsidP="00410442">
            <w:pPr>
              <w:rPr>
                <w:rFonts w:ascii="Arial" w:hAnsi="Arial" w:cs="Arial"/>
                <w:color w:val="000000"/>
                <w:sz w:val="18"/>
                <w:szCs w:val="18"/>
              </w:rPr>
            </w:pPr>
            <w:r>
              <w:rPr>
                <w:rFonts w:ascii="Arial" w:hAnsi="Arial" w:cs="Arial"/>
                <w:color w:val="000000"/>
                <w:sz w:val="18"/>
                <w:szCs w:val="18"/>
              </w:rPr>
              <w:t>100.0%</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0803ACFB" w14:textId="77777777" w:rsidR="00D31EA2" w:rsidRDefault="00D31EA2" w:rsidP="00410442">
            <w:pPr>
              <w:rPr>
                <w:rFonts w:ascii="Arial" w:hAnsi="Arial" w:cs="Arial"/>
                <w:color w:val="000000"/>
                <w:sz w:val="18"/>
                <w:szCs w:val="18"/>
              </w:rPr>
            </w:pPr>
            <w:r>
              <w:rPr>
                <w:rFonts w:ascii="Arial" w:hAnsi="Arial" w:cs="Arial"/>
                <w:color w:val="000000"/>
                <w:sz w:val="18"/>
                <w:szCs w:val="18"/>
              </w:rPr>
              <w:t>100.0%</w:t>
            </w:r>
          </w:p>
        </w:tc>
      </w:tr>
      <w:tr w:rsidR="00D31EA2" w14:paraId="64713177" w14:textId="77777777" w:rsidTr="00C84B40">
        <w:trPr>
          <w:trHeight w:val="240"/>
        </w:trPr>
        <w:tc>
          <w:tcPr>
            <w:tcW w:w="2269" w:type="dxa"/>
            <w:vMerge/>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4B75A6AF" w14:textId="77777777" w:rsidR="00D31EA2" w:rsidRPr="00AA148D" w:rsidRDefault="00D31EA2" w:rsidP="00410442">
            <w:pPr>
              <w:rPr>
                <w:rFonts w:ascii="Arial" w:hAnsi="Arial" w:cs="Arial"/>
                <w:sz w:val="18"/>
                <w:szCs w:val="18"/>
              </w:rPr>
            </w:pPr>
          </w:p>
        </w:tc>
        <w:tc>
          <w:tcPr>
            <w:tcW w:w="2007" w:type="dxa"/>
            <w:tcBorders>
              <w:top w:val="single" w:sz="8" w:space="0" w:color="004EA8"/>
              <w:left w:val="single" w:sz="8" w:space="0" w:color="004EA8"/>
              <w:bottom w:val="single" w:sz="8" w:space="0" w:color="004EA8"/>
              <w:right w:val="single" w:sz="8" w:space="0" w:color="004EA8"/>
            </w:tcBorders>
            <w:tcMar>
              <w:top w:w="40" w:type="dxa"/>
              <w:left w:w="80" w:type="dxa"/>
              <w:bottom w:w="40" w:type="dxa"/>
              <w:right w:w="40" w:type="dxa"/>
            </w:tcMar>
          </w:tcPr>
          <w:p w14:paraId="7B886442" w14:textId="77777777" w:rsidR="00D31EA2" w:rsidRDefault="00D31EA2" w:rsidP="00410442">
            <w:pPr>
              <w:rPr>
                <w:rFonts w:ascii="Arial" w:hAnsi="Arial" w:cs="Arial"/>
                <w:color w:val="000000"/>
                <w:sz w:val="18"/>
                <w:szCs w:val="18"/>
              </w:rPr>
            </w:pPr>
            <w:r>
              <w:rPr>
                <w:rFonts w:ascii="Arial" w:hAnsi="Arial" w:cs="Arial"/>
                <w:color w:val="000000"/>
                <w:sz w:val="18"/>
                <w:szCs w:val="18"/>
              </w:rPr>
              <w:t>Specialist</w:t>
            </w:r>
          </w:p>
        </w:tc>
        <w:tc>
          <w:tcPr>
            <w:tcW w:w="1002"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3A7B2C44" w14:textId="77777777" w:rsidR="00D31EA2" w:rsidRDefault="00D31EA2" w:rsidP="00410442">
            <w:pPr>
              <w:rPr>
                <w:rFonts w:ascii="Arial" w:hAnsi="Arial" w:cs="Arial"/>
                <w:color w:val="000000"/>
                <w:sz w:val="18"/>
                <w:szCs w:val="18"/>
              </w:rPr>
            </w:pPr>
            <w:r>
              <w:rPr>
                <w:rFonts w:ascii="Arial" w:hAnsi="Arial" w:cs="Arial"/>
                <w:color w:val="000000"/>
                <w:sz w:val="18"/>
                <w:szCs w:val="18"/>
              </w:rPr>
              <w:t>11.3%</w:t>
            </w:r>
          </w:p>
        </w:tc>
        <w:tc>
          <w:tcPr>
            <w:tcW w:w="1003"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225E02F3" w14:textId="77777777" w:rsidR="00D31EA2" w:rsidRDefault="00D31EA2" w:rsidP="00410442">
            <w:pPr>
              <w:rPr>
                <w:rFonts w:ascii="Arial" w:hAnsi="Arial" w:cs="Arial"/>
                <w:color w:val="000000"/>
                <w:sz w:val="18"/>
                <w:szCs w:val="18"/>
              </w:rPr>
            </w:pPr>
            <w:r>
              <w:rPr>
                <w:rFonts w:ascii="Arial" w:hAnsi="Arial" w:cs="Arial"/>
                <w:color w:val="000000"/>
                <w:sz w:val="18"/>
                <w:szCs w:val="18"/>
              </w:rPr>
              <w:t>8.8%</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0BA3DA61" w14:textId="77777777" w:rsidR="00D31EA2" w:rsidRDefault="00D31EA2" w:rsidP="00410442">
            <w:pPr>
              <w:rPr>
                <w:rFonts w:ascii="Arial" w:hAnsi="Arial" w:cs="Arial"/>
                <w:color w:val="000000"/>
                <w:sz w:val="18"/>
                <w:szCs w:val="18"/>
              </w:rPr>
            </w:pPr>
            <w:r>
              <w:rPr>
                <w:rFonts w:ascii="Arial" w:hAnsi="Arial" w:cs="Arial"/>
                <w:color w:val="000000"/>
                <w:sz w:val="18"/>
                <w:szCs w:val="18"/>
              </w:rPr>
              <w:t>8.9%</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27FD7443" w14:textId="77777777" w:rsidR="00D31EA2" w:rsidRDefault="00D31EA2" w:rsidP="00410442">
            <w:pPr>
              <w:rPr>
                <w:rFonts w:ascii="Arial" w:hAnsi="Arial" w:cs="Arial"/>
                <w:color w:val="000000"/>
                <w:sz w:val="18"/>
                <w:szCs w:val="18"/>
              </w:rPr>
            </w:pPr>
            <w:r>
              <w:rPr>
                <w:rFonts w:ascii="Arial" w:hAnsi="Arial" w:cs="Arial"/>
                <w:color w:val="000000"/>
                <w:sz w:val="18"/>
                <w:szCs w:val="18"/>
              </w:rPr>
              <w:t>11.2%</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4161EA95" w14:textId="77777777" w:rsidR="00D31EA2" w:rsidRDefault="00D31EA2" w:rsidP="00410442">
            <w:pPr>
              <w:rPr>
                <w:rFonts w:ascii="Arial" w:hAnsi="Arial" w:cs="Arial"/>
                <w:color w:val="000000"/>
                <w:sz w:val="18"/>
                <w:szCs w:val="18"/>
              </w:rPr>
            </w:pPr>
            <w:r>
              <w:rPr>
                <w:rFonts w:ascii="Arial" w:hAnsi="Arial" w:cs="Arial"/>
                <w:color w:val="000000"/>
                <w:sz w:val="18"/>
                <w:szCs w:val="18"/>
              </w:rPr>
              <w:t>9.4%</w:t>
            </w:r>
          </w:p>
        </w:tc>
      </w:tr>
      <w:tr w:rsidR="00D31EA2" w14:paraId="2AB1519A" w14:textId="77777777" w:rsidTr="00C84B40">
        <w:trPr>
          <w:trHeight w:val="240"/>
        </w:trPr>
        <w:tc>
          <w:tcPr>
            <w:tcW w:w="2269" w:type="dxa"/>
            <w:vMerge/>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65838C2D" w14:textId="77777777" w:rsidR="00D31EA2" w:rsidRPr="00AA148D" w:rsidRDefault="00D31EA2" w:rsidP="00410442">
            <w:pPr>
              <w:rPr>
                <w:rFonts w:ascii="Arial" w:hAnsi="Arial" w:cs="Arial"/>
                <w:sz w:val="18"/>
                <w:szCs w:val="18"/>
              </w:rPr>
            </w:pPr>
          </w:p>
        </w:tc>
        <w:tc>
          <w:tcPr>
            <w:tcW w:w="2007" w:type="dxa"/>
            <w:tcBorders>
              <w:top w:val="single" w:sz="8" w:space="0" w:color="004EA8"/>
              <w:left w:val="single" w:sz="8" w:space="0" w:color="004EA8"/>
              <w:bottom w:val="single" w:sz="8" w:space="0" w:color="004EA8"/>
              <w:right w:val="single" w:sz="8" w:space="0" w:color="004EA8"/>
            </w:tcBorders>
            <w:shd w:val="clear" w:color="auto" w:fill="E0EAF5"/>
            <w:tcMar>
              <w:top w:w="40" w:type="dxa"/>
              <w:left w:w="80" w:type="dxa"/>
              <w:bottom w:w="40" w:type="dxa"/>
              <w:right w:w="40" w:type="dxa"/>
            </w:tcMar>
          </w:tcPr>
          <w:p w14:paraId="02A59469"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Total</w:t>
            </w:r>
          </w:p>
        </w:tc>
        <w:tc>
          <w:tcPr>
            <w:tcW w:w="1002" w:type="dxa"/>
            <w:tcBorders>
              <w:top w:val="single" w:sz="8" w:space="0" w:color="004EA8"/>
              <w:left w:val="single" w:sz="8" w:space="0" w:color="004EA8"/>
              <w:bottom w:val="single" w:sz="8" w:space="0" w:color="004EA8"/>
              <w:right w:val="single" w:sz="8" w:space="0" w:color="004EA8"/>
            </w:tcBorders>
            <w:shd w:val="clear" w:color="auto" w:fill="E0EAF5"/>
            <w:tcMar>
              <w:top w:w="43" w:type="dxa"/>
              <w:left w:w="86" w:type="dxa"/>
              <w:bottom w:w="58" w:type="dxa"/>
              <w:right w:w="43" w:type="dxa"/>
            </w:tcMar>
          </w:tcPr>
          <w:p w14:paraId="253B2F80"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52.2%</w:t>
            </w:r>
          </w:p>
        </w:tc>
        <w:tc>
          <w:tcPr>
            <w:tcW w:w="1003" w:type="dxa"/>
            <w:tcBorders>
              <w:top w:val="single" w:sz="8" w:space="0" w:color="004EA8"/>
              <w:left w:val="single" w:sz="8" w:space="0" w:color="004EA8"/>
              <w:bottom w:val="single" w:sz="8" w:space="0" w:color="004EA8"/>
              <w:right w:val="single" w:sz="8" w:space="0" w:color="004EA8"/>
            </w:tcBorders>
            <w:shd w:val="clear" w:color="auto" w:fill="E0EAF5"/>
            <w:tcMar>
              <w:top w:w="43" w:type="dxa"/>
              <w:left w:w="86" w:type="dxa"/>
              <w:bottom w:w="58" w:type="dxa"/>
              <w:right w:w="43" w:type="dxa"/>
            </w:tcMar>
          </w:tcPr>
          <w:p w14:paraId="6A9A138C"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51.4%</w:t>
            </w:r>
          </w:p>
        </w:tc>
        <w:tc>
          <w:tcPr>
            <w:tcW w:w="999" w:type="dxa"/>
            <w:tcBorders>
              <w:top w:val="single" w:sz="8" w:space="0" w:color="004EA8"/>
              <w:left w:val="single" w:sz="8" w:space="0" w:color="004EA8"/>
              <w:bottom w:val="single" w:sz="8" w:space="0" w:color="004EA8"/>
              <w:right w:val="single" w:sz="8" w:space="0" w:color="004EA8"/>
            </w:tcBorders>
            <w:shd w:val="clear" w:color="auto" w:fill="E0EAF5"/>
            <w:tcMar>
              <w:top w:w="40" w:type="dxa"/>
              <w:left w:w="80" w:type="dxa"/>
              <w:bottom w:w="60" w:type="dxa"/>
              <w:right w:w="40" w:type="dxa"/>
            </w:tcMar>
          </w:tcPr>
          <w:p w14:paraId="33ECCEBB"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50.3%</w:t>
            </w:r>
          </w:p>
        </w:tc>
        <w:tc>
          <w:tcPr>
            <w:tcW w:w="999" w:type="dxa"/>
            <w:tcBorders>
              <w:top w:val="single" w:sz="8" w:space="0" w:color="004EA8"/>
              <w:left w:val="single" w:sz="8" w:space="0" w:color="004EA8"/>
              <w:bottom w:val="single" w:sz="8" w:space="0" w:color="004EA8"/>
              <w:right w:val="single" w:sz="8" w:space="0" w:color="004EA8"/>
            </w:tcBorders>
            <w:shd w:val="clear" w:color="auto" w:fill="E0EAF5"/>
            <w:tcMar>
              <w:top w:w="40" w:type="dxa"/>
              <w:left w:w="80" w:type="dxa"/>
              <w:bottom w:w="60" w:type="dxa"/>
              <w:right w:w="40" w:type="dxa"/>
            </w:tcMar>
          </w:tcPr>
          <w:p w14:paraId="1EC3B2DA"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49.7%</w:t>
            </w:r>
          </w:p>
        </w:tc>
        <w:tc>
          <w:tcPr>
            <w:tcW w:w="999" w:type="dxa"/>
            <w:tcBorders>
              <w:top w:val="single" w:sz="8" w:space="0" w:color="004EA8"/>
              <w:left w:val="single" w:sz="8" w:space="0" w:color="004EA8"/>
              <w:bottom w:val="single" w:sz="8" w:space="0" w:color="004EA8"/>
              <w:right w:val="single" w:sz="8" w:space="0" w:color="004EA8"/>
            </w:tcBorders>
            <w:shd w:val="clear" w:color="auto" w:fill="E0EAF5"/>
            <w:tcMar>
              <w:top w:w="40" w:type="dxa"/>
              <w:left w:w="80" w:type="dxa"/>
              <w:bottom w:w="60" w:type="dxa"/>
              <w:right w:w="40" w:type="dxa"/>
            </w:tcMar>
          </w:tcPr>
          <w:p w14:paraId="54B123A5"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51.0%</w:t>
            </w:r>
          </w:p>
        </w:tc>
      </w:tr>
      <w:tr w:rsidR="00C84B40" w14:paraId="3F313BCF" w14:textId="77777777" w:rsidTr="00C84B40">
        <w:trPr>
          <w:trHeight w:val="240"/>
        </w:trPr>
        <w:tc>
          <w:tcPr>
            <w:tcW w:w="2269" w:type="dxa"/>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6F94408F" w14:textId="77777777" w:rsidR="00C84B40" w:rsidRPr="00AA148D" w:rsidRDefault="00C84B40" w:rsidP="00C84B40">
            <w:pPr>
              <w:rPr>
                <w:rFonts w:ascii="Arial" w:hAnsi="Arial" w:cs="Arial"/>
                <w:sz w:val="18"/>
                <w:szCs w:val="18"/>
              </w:rPr>
            </w:pPr>
            <w:r w:rsidRPr="00AA148D">
              <w:rPr>
                <w:rFonts w:ascii="Arial" w:eastAsia="Verdana" w:hAnsi="Arial" w:cs="Arial"/>
                <w:color w:val="000000"/>
                <w:sz w:val="18"/>
                <w:szCs w:val="18"/>
              </w:rPr>
              <w:t>The average duration (days) of a period of compulsory treatment</w:t>
            </w:r>
          </w:p>
        </w:tc>
        <w:tc>
          <w:tcPr>
            <w:tcW w:w="2007" w:type="dxa"/>
            <w:tcBorders>
              <w:top w:val="single" w:sz="8" w:space="0" w:color="004EA8"/>
              <w:left w:val="single" w:sz="8" w:space="0" w:color="004EA8"/>
              <w:bottom w:val="single" w:sz="8" w:space="0" w:color="004EA8"/>
              <w:right w:val="single" w:sz="8" w:space="0" w:color="004EA8"/>
            </w:tcBorders>
            <w:tcMar>
              <w:top w:w="40" w:type="dxa"/>
              <w:left w:w="80" w:type="dxa"/>
              <w:bottom w:w="40" w:type="dxa"/>
              <w:right w:w="40" w:type="dxa"/>
            </w:tcMar>
          </w:tcPr>
          <w:p w14:paraId="257D8FF5" w14:textId="106CDFB3" w:rsidR="00C84B40" w:rsidRDefault="00C84B40" w:rsidP="00C84B40">
            <w:pPr>
              <w:rPr>
                <w:rFonts w:ascii="Arial" w:hAnsi="Arial" w:cs="Arial"/>
                <w:color w:val="000000"/>
                <w:sz w:val="18"/>
                <w:szCs w:val="18"/>
              </w:rPr>
            </w:pPr>
            <w:r w:rsidRPr="00AA148D">
              <w:rPr>
                <w:rFonts w:ascii="Arial" w:eastAsia="Verdana" w:hAnsi="Arial" w:cs="Arial"/>
                <w:color w:val="000000"/>
                <w:sz w:val="18"/>
                <w:szCs w:val="18"/>
              </w:rPr>
              <w:t>Total</w:t>
            </w:r>
          </w:p>
        </w:tc>
        <w:tc>
          <w:tcPr>
            <w:tcW w:w="1002"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5D0873F5" w14:textId="77777777" w:rsidR="00C84B40" w:rsidRDefault="00C84B40" w:rsidP="00C84B40">
            <w:pPr>
              <w:rPr>
                <w:rFonts w:ascii="Arial" w:hAnsi="Arial" w:cs="Arial"/>
                <w:color w:val="000000"/>
                <w:sz w:val="18"/>
                <w:szCs w:val="18"/>
              </w:rPr>
            </w:pPr>
            <w:r>
              <w:rPr>
                <w:rFonts w:ascii="Arial" w:hAnsi="Arial" w:cs="Arial"/>
                <w:color w:val="000000"/>
                <w:sz w:val="18"/>
                <w:szCs w:val="18"/>
              </w:rPr>
              <w:t>59.3</w:t>
            </w:r>
          </w:p>
        </w:tc>
        <w:tc>
          <w:tcPr>
            <w:tcW w:w="1003"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2855628F" w14:textId="77777777" w:rsidR="00C84B40" w:rsidRDefault="00C84B40" w:rsidP="00C84B40">
            <w:pPr>
              <w:rPr>
                <w:rFonts w:ascii="Arial" w:hAnsi="Arial" w:cs="Arial"/>
                <w:color w:val="000000"/>
                <w:sz w:val="18"/>
                <w:szCs w:val="18"/>
              </w:rPr>
            </w:pPr>
            <w:r>
              <w:rPr>
                <w:rFonts w:ascii="Arial" w:hAnsi="Arial" w:cs="Arial"/>
                <w:color w:val="000000"/>
                <w:sz w:val="18"/>
                <w:szCs w:val="18"/>
              </w:rPr>
              <w:t>64.1</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6EB2D8A5" w14:textId="77777777" w:rsidR="00C84B40" w:rsidRDefault="00C84B40" w:rsidP="00C84B40">
            <w:pPr>
              <w:rPr>
                <w:rFonts w:ascii="Arial" w:hAnsi="Arial" w:cs="Arial"/>
                <w:color w:val="000000"/>
                <w:sz w:val="18"/>
                <w:szCs w:val="18"/>
              </w:rPr>
            </w:pPr>
            <w:r>
              <w:rPr>
                <w:rFonts w:ascii="Arial" w:hAnsi="Arial" w:cs="Arial"/>
                <w:color w:val="000000"/>
                <w:sz w:val="18"/>
                <w:szCs w:val="18"/>
              </w:rPr>
              <w:t>76.6</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5E2E23D5" w14:textId="77777777" w:rsidR="00C84B40" w:rsidRDefault="00C84B40" w:rsidP="00C84B40">
            <w:pPr>
              <w:rPr>
                <w:rFonts w:ascii="Arial" w:hAnsi="Arial" w:cs="Arial"/>
                <w:color w:val="000000"/>
                <w:sz w:val="18"/>
                <w:szCs w:val="18"/>
              </w:rPr>
            </w:pPr>
            <w:r>
              <w:rPr>
                <w:rFonts w:ascii="Arial" w:hAnsi="Arial" w:cs="Arial"/>
                <w:color w:val="000000"/>
                <w:sz w:val="18"/>
                <w:szCs w:val="18"/>
              </w:rPr>
              <w:t>75.6</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2B217FD1" w14:textId="77777777" w:rsidR="00C84B40" w:rsidRDefault="00C84B40" w:rsidP="00C84B40">
            <w:pPr>
              <w:rPr>
                <w:rFonts w:ascii="Arial" w:hAnsi="Arial" w:cs="Arial"/>
                <w:color w:val="000000"/>
                <w:sz w:val="18"/>
                <w:szCs w:val="18"/>
              </w:rPr>
            </w:pPr>
            <w:r>
              <w:rPr>
                <w:rFonts w:ascii="Arial" w:hAnsi="Arial" w:cs="Arial"/>
                <w:color w:val="000000"/>
                <w:sz w:val="18"/>
                <w:szCs w:val="18"/>
              </w:rPr>
              <w:t>82.9</w:t>
            </w:r>
          </w:p>
        </w:tc>
      </w:tr>
      <w:tr w:rsidR="00C84B40" w14:paraId="5AC4BA69" w14:textId="77777777" w:rsidTr="00C84B40">
        <w:trPr>
          <w:trHeight w:val="240"/>
        </w:trPr>
        <w:tc>
          <w:tcPr>
            <w:tcW w:w="2269" w:type="dxa"/>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5ED04798" w14:textId="3BCE94F8" w:rsidR="00C84B40" w:rsidRPr="00AA148D" w:rsidRDefault="00C84B40" w:rsidP="00C84B40">
            <w:pPr>
              <w:rPr>
                <w:rFonts w:ascii="Arial" w:hAnsi="Arial" w:cs="Arial"/>
                <w:sz w:val="18"/>
                <w:szCs w:val="18"/>
              </w:rPr>
            </w:pPr>
            <w:r w:rsidRPr="00AA148D">
              <w:rPr>
                <w:rFonts w:ascii="Arial" w:eastAsia="Verdana" w:hAnsi="Arial" w:cs="Arial"/>
                <w:color w:val="000000"/>
                <w:sz w:val="18"/>
                <w:szCs w:val="18"/>
              </w:rPr>
              <w:t xml:space="preserve">Consumers on an order for more than </w:t>
            </w:r>
            <w:r>
              <w:rPr>
                <w:rFonts w:ascii="Arial" w:eastAsia="Verdana" w:hAnsi="Arial" w:cs="Arial"/>
                <w:color w:val="000000"/>
                <w:sz w:val="18"/>
                <w:szCs w:val="18"/>
              </w:rPr>
              <w:t>12</w:t>
            </w:r>
            <w:r w:rsidRPr="00AA148D">
              <w:rPr>
                <w:rFonts w:ascii="Arial" w:eastAsia="Verdana" w:hAnsi="Arial" w:cs="Arial"/>
                <w:color w:val="000000"/>
                <w:sz w:val="18"/>
                <w:szCs w:val="18"/>
              </w:rPr>
              <w:t xml:space="preserve"> months (%)</w:t>
            </w:r>
          </w:p>
        </w:tc>
        <w:tc>
          <w:tcPr>
            <w:tcW w:w="2007" w:type="dxa"/>
            <w:tcBorders>
              <w:top w:val="single" w:sz="8" w:space="0" w:color="004EA8"/>
              <w:left w:val="single" w:sz="8" w:space="0" w:color="004EA8"/>
              <w:bottom w:val="single" w:sz="8" w:space="0" w:color="004EA8"/>
              <w:right w:val="single" w:sz="8" w:space="0" w:color="004EA8"/>
            </w:tcBorders>
            <w:tcMar>
              <w:top w:w="40" w:type="dxa"/>
              <w:left w:w="80" w:type="dxa"/>
              <w:bottom w:w="40" w:type="dxa"/>
              <w:right w:w="40" w:type="dxa"/>
            </w:tcMar>
          </w:tcPr>
          <w:p w14:paraId="7757726C" w14:textId="7F35B7BF" w:rsidR="00C84B40" w:rsidRDefault="00C84B40" w:rsidP="00C84B40">
            <w:pPr>
              <w:rPr>
                <w:rFonts w:ascii="Arial" w:hAnsi="Arial" w:cs="Arial"/>
                <w:color w:val="000000"/>
                <w:sz w:val="18"/>
                <w:szCs w:val="18"/>
              </w:rPr>
            </w:pPr>
            <w:r w:rsidRPr="00AA148D">
              <w:rPr>
                <w:rFonts w:ascii="Arial" w:eastAsia="Verdana" w:hAnsi="Arial" w:cs="Arial"/>
                <w:color w:val="000000"/>
                <w:sz w:val="18"/>
                <w:szCs w:val="18"/>
              </w:rPr>
              <w:t>Total</w:t>
            </w:r>
          </w:p>
        </w:tc>
        <w:tc>
          <w:tcPr>
            <w:tcW w:w="1002"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70CDA220" w14:textId="77777777" w:rsidR="00C84B40" w:rsidRDefault="00C84B40" w:rsidP="00C84B40">
            <w:pPr>
              <w:rPr>
                <w:rFonts w:ascii="Arial" w:hAnsi="Arial" w:cs="Arial"/>
                <w:color w:val="000000"/>
                <w:sz w:val="18"/>
                <w:szCs w:val="18"/>
              </w:rPr>
            </w:pPr>
            <w:r>
              <w:rPr>
                <w:rFonts w:ascii="Arial" w:hAnsi="Arial" w:cs="Arial"/>
                <w:color w:val="000000"/>
                <w:sz w:val="18"/>
                <w:szCs w:val="18"/>
              </w:rPr>
              <w:t>11.5%</w:t>
            </w:r>
          </w:p>
        </w:tc>
        <w:tc>
          <w:tcPr>
            <w:tcW w:w="1003"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1BD1A06F" w14:textId="77777777" w:rsidR="00C84B40" w:rsidRDefault="00C84B40" w:rsidP="00C84B40">
            <w:pPr>
              <w:rPr>
                <w:rFonts w:ascii="Arial" w:hAnsi="Arial" w:cs="Arial"/>
                <w:color w:val="000000"/>
                <w:sz w:val="18"/>
                <w:szCs w:val="18"/>
              </w:rPr>
            </w:pPr>
            <w:r>
              <w:rPr>
                <w:rFonts w:ascii="Arial" w:hAnsi="Arial" w:cs="Arial"/>
                <w:color w:val="000000"/>
                <w:sz w:val="18"/>
                <w:szCs w:val="18"/>
              </w:rPr>
              <w:t>12.4%</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54049113" w14:textId="77777777" w:rsidR="00C84B40" w:rsidRDefault="00C84B40" w:rsidP="00C84B40">
            <w:pPr>
              <w:rPr>
                <w:rFonts w:ascii="Arial" w:hAnsi="Arial" w:cs="Arial"/>
                <w:color w:val="000000"/>
                <w:sz w:val="18"/>
                <w:szCs w:val="18"/>
              </w:rPr>
            </w:pPr>
            <w:r>
              <w:rPr>
                <w:rFonts w:ascii="Arial" w:hAnsi="Arial" w:cs="Arial"/>
                <w:color w:val="000000"/>
                <w:sz w:val="18"/>
                <w:szCs w:val="18"/>
              </w:rPr>
              <w:t>13.0%</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4E3E5C12" w14:textId="77777777" w:rsidR="00C84B40" w:rsidRDefault="00C84B40" w:rsidP="00C84B40">
            <w:pPr>
              <w:rPr>
                <w:rFonts w:ascii="Arial" w:hAnsi="Arial" w:cs="Arial"/>
                <w:color w:val="000000"/>
                <w:sz w:val="18"/>
                <w:szCs w:val="18"/>
              </w:rPr>
            </w:pPr>
            <w:r>
              <w:rPr>
                <w:rFonts w:ascii="Arial" w:hAnsi="Arial" w:cs="Arial"/>
                <w:color w:val="000000"/>
                <w:sz w:val="18"/>
                <w:szCs w:val="18"/>
              </w:rPr>
              <w:t>12.9%</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495EF408" w14:textId="77777777" w:rsidR="00C84B40" w:rsidRDefault="00C84B40" w:rsidP="00C84B40">
            <w:pPr>
              <w:rPr>
                <w:rFonts w:ascii="Arial" w:hAnsi="Arial" w:cs="Arial"/>
                <w:color w:val="000000"/>
                <w:sz w:val="18"/>
                <w:szCs w:val="18"/>
              </w:rPr>
            </w:pPr>
            <w:r>
              <w:rPr>
                <w:rFonts w:ascii="Arial" w:hAnsi="Arial" w:cs="Arial"/>
                <w:color w:val="000000"/>
                <w:sz w:val="18"/>
                <w:szCs w:val="18"/>
              </w:rPr>
              <w:t>13.1%</w:t>
            </w:r>
          </w:p>
        </w:tc>
      </w:tr>
      <w:tr w:rsidR="00C84B40" w14:paraId="59B997B4" w14:textId="77777777" w:rsidTr="00C84B40">
        <w:trPr>
          <w:trHeight w:val="240"/>
        </w:trPr>
        <w:tc>
          <w:tcPr>
            <w:tcW w:w="2269" w:type="dxa"/>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48303060" w14:textId="77777777" w:rsidR="00C84B40" w:rsidRPr="00AA148D" w:rsidRDefault="00C84B40" w:rsidP="00C84B40">
            <w:pPr>
              <w:rPr>
                <w:rFonts w:ascii="Arial" w:hAnsi="Arial" w:cs="Arial"/>
                <w:sz w:val="18"/>
                <w:szCs w:val="18"/>
              </w:rPr>
            </w:pPr>
            <w:r w:rsidRPr="00AA148D">
              <w:rPr>
                <w:rFonts w:ascii="Arial" w:eastAsia="Verdana" w:hAnsi="Arial" w:cs="Arial"/>
                <w:color w:val="000000"/>
                <w:sz w:val="18"/>
                <w:szCs w:val="18"/>
              </w:rPr>
              <w:t>Adult (18+) consumers who have an advance statement recorded (%)</w:t>
            </w:r>
          </w:p>
        </w:tc>
        <w:tc>
          <w:tcPr>
            <w:tcW w:w="2007" w:type="dxa"/>
            <w:tcBorders>
              <w:top w:val="single" w:sz="8" w:space="0" w:color="004EA8"/>
              <w:left w:val="single" w:sz="8" w:space="0" w:color="004EA8"/>
              <w:bottom w:val="single" w:sz="8" w:space="0" w:color="004EA8"/>
              <w:right w:val="single" w:sz="8" w:space="0" w:color="004EA8"/>
            </w:tcBorders>
            <w:tcMar>
              <w:top w:w="40" w:type="dxa"/>
              <w:left w:w="80" w:type="dxa"/>
              <w:bottom w:w="40" w:type="dxa"/>
              <w:right w:w="40" w:type="dxa"/>
            </w:tcMar>
          </w:tcPr>
          <w:p w14:paraId="7BBCB1BB" w14:textId="4AD7096E" w:rsidR="00C84B40" w:rsidRDefault="00C84B40" w:rsidP="00C84B40">
            <w:pPr>
              <w:rPr>
                <w:rFonts w:ascii="Arial" w:hAnsi="Arial" w:cs="Arial"/>
                <w:color w:val="000000"/>
                <w:sz w:val="18"/>
                <w:szCs w:val="18"/>
              </w:rPr>
            </w:pPr>
            <w:r w:rsidRPr="00AA148D">
              <w:rPr>
                <w:rFonts w:ascii="Arial" w:eastAsia="Verdana" w:hAnsi="Arial" w:cs="Arial"/>
                <w:color w:val="000000"/>
                <w:sz w:val="18"/>
                <w:szCs w:val="18"/>
              </w:rPr>
              <w:t>Total</w:t>
            </w:r>
          </w:p>
        </w:tc>
        <w:tc>
          <w:tcPr>
            <w:tcW w:w="1002"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10FB517E" w14:textId="77777777" w:rsidR="00C84B40" w:rsidRDefault="00C84B40" w:rsidP="00C84B40">
            <w:pPr>
              <w:rPr>
                <w:rFonts w:ascii="Arial" w:hAnsi="Arial" w:cs="Arial"/>
                <w:color w:val="000000"/>
                <w:sz w:val="18"/>
                <w:szCs w:val="18"/>
              </w:rPr>
            </w:pPr>
            <w:r>
              <w:rPr>
                <w:rFonts w:ascii="Arial" w:hAnsi="Arial" w:cs="Arial"/>
                <w:color w:val="000000"/>
                <w:sz w:val="18"/>
                <w:szCs w:val="18"/>
              </w:rPr>
              <w:t>2.03%</w:t>
            </w:r>
          </w:p>
        </w:tc>
        <w:tc>
          <w:tcPr>
            <w:tcW w:w="1003"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1471FA4F" w14:textId="77777777" w:rsidR="00C84B40" w:rsidRDefault="00C84B40" w:rsidP="00C84B40">
            <w:pPr>
              <w:rPr>
                <w:rFonts w:ascii="Arial" w:hAnsi="Arial" w:cs="Arial"/>
                <w:color w:val="000000"/>
                <w:sz w:val="18"/>
                <w:szCs w:val="18"/>
              </w:rPr>
            </w:pPr>
            <w:r>
              <w:rPr>
                <w:rFonts w:ascii="Arial" w:hAnsi="Arial" w:cs="Arial"/>
                <w:color w:val="000000"/>
                <w:sz w:val="18"/>
                <w:szCs w:val="18"/>
              </w:rPr>
              <w:t>2.38%</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739C70A1" w14:textId="77777777" w:rsidR="00C84B40" w:rsidRDefault="00C84B40" w:rsidP="00C84B40">
            <w:pPr>
              <w:rPr>
                <w:rFonts w:ascii="Arial" w:hAnsi="Arial" w:cs="Arial"/>
                <w:color w:val="000000"/>
                <w:sz w:val="18"/>
                <w:szCs w:val="18"/>
              </w:rPr>
            </w:pPr>
            <w:r>
              <w:rPr>
                <w:rFonts w:ascii="Arial" w:hAnsi="Arial" w:cs="Arial"/>
                <w:color w:val="000000"/>
                <w:sz w:val="18"/>
                <w:szCs w:val="18"/>
              </w:rPr>
              <w:t>2.61%</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5399B8B6" w14:textId="77777777" w:rsidR="00C84B40" w:rsidRDefault="00C84B40" w:rsidP="00C84B40">
            <w:pPr>
              <w:rPr>
                <w:rFonts w:ascii="Arial" w:hAnsi="Arial" w:cs="Arial"/>
                <w:color w:val="000000"/>
                <w:sz w:val="18"/>
                <w:szCs w:val="18"/>
              </w:rPr>
            </w:pPr>
            <w:r>
              <w:rPr>
                <w:rFonts w:ascii="Arial" w:hAnsi="Arial" w:cs="Arial"/>
                <w:color w:val="000000"/>
                <w:sz w:val="18"/>
                <w:szCs w:val="18"/>
              </w:rPr>
              <w:t>2.85%</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4B50116E" w14:textId="77777777" w:rsidR="00C84B40" w:rsidRDefault="00C84B40" w:rsidP="00C84B40">
            <w:pPr>
              <w:rPr>
                <w:rFonts w:ascii="Arial" w:hAnsi="Arial" w:cs="Arial"/>
                <w:color w:val="000000"/>
                <w:sz w:val="18"/>
                <w:szCs w:val="18"/>
              </w:rPr>
            </w:pPr>
            <w:r>
              <w:rPr>
                <w:rFonts w:ascii="Arial" w:hAnsi="Arial" w:cs="Arial"/>
                <w:color w:val="000000"/>
                <w:sz w:val="18"/>
                <w:szCs w:val="18"/>
              </w:rPr>
              <w:t>2.94%</w:t>
            </w:r>
          </w:p>
        </w:tc>
      </w:tr>
      <w:tr w:rsidR="00C84B40" w14:paraId="3B9670F2" w14:textId="77777777" w:rsidTr="00C84B40">
        <w:trPr>
          <w:trHeight w:val="240"/>
        </w:trPr>
        <w:tc>
          <w:tcPr>
            <w:tcW w:w="2269" w:type="dxa"/>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3FFDC010" w14:textId="77777777" w:rsidR="00C84B40" w:rsidRPr="00AA148D" w:rsidRDefault="00C84B40" w:rsidP="00C84B40">
            <w:pPr>
              <w:rPr>
                <w:rFonts w:ascii="Arial" w:hAnsi="Arial" w:cs="Arial"/>
                <w:sz w:val="18"/>
                <w:szCs w:val="18"/>
              </w:rPr>
            </w:pPr>
            <w:r w:rsidRPr="00AA148D">
              <w:rPr>
                <w:rFonts w:ascii="Arial" w:eastAsia="Verdana" w:hAnsi="Arial" w:cs="Arial"/>
                <w:color w:val="000000"/>
                <w:sz w:val="18"/>
                <w:szCs w:val="18"/>
              </w:rPr>
              <w:t>Adult (18+) consumers who have a nominated person recorded (%)</w:t>
            </w:r>
          </w:p>
        </w:tc>
        <w:tc>
          <w:tcPr>
            <w:tcW w:w="2007" w:type="dxa"/>
            <w:tcBorders>
              <w:top w:val="single" w:sz="8" w:space="0" w:color="004EA8"/>
              <w:left w:val="single" w:sz="8" w:space="0" w:color="004EA8"/>
              <w:bottom w:val="single" w:sz="8" w:space="0" w:color="004EA8"/>
              <w:right w:val="single" w:sz="8" w:space="0" w:color="004EA8"/>
            </w:tcBorders>
            <w:tcMar>
              <w:top w:w="40" w:type="dxa"/>
              <w:left w:w="80" w:type="dxa"/>
              <w:bottom w:w="40" w:type="dxa"/>
              <w:right w:w="40" w:type="dxa"/>
            </w:tcMar>
          </w:tcPr>
          <w:p w14:paraId="04BE0054" w14:textId="3691A24B" w:rsidR="00C84B40" w:rsidRDefault="00C84B40" w:rsidP="00C84B40">
            <w:pPr>
              <w:rPr>
                <w:rFonts w:ascii="Arial" w:hAnsi="Arial" w:cs="Arial"/>
                <w:color w:val="000000"/>
                <w:sz w:val="18"/>
                <w:szCs w:val="18"/>
              </w:rPr>
            </w:pPr>
            <w:r w:rsidRPr="00AA148D">
              <w:rPr>
                <w:rFonts w:ascii="Arial" w:eastAsia="Verdana" w:hAnsi="Arial" w:cs="Arial"/>
                <w:color w:val="000000"/>
                <w:sz w:val="18"/>
                <w:szCs w:val="18"/>
              </w:rPr>
              <w:t>Total</w:t>
            </w:r>
          </w:p>
        </w:tc>
        <w:tc>
          <w:tcPr>
            <w:tcW w:w="1002"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081F5A2E" w14:textId="77777777" w:rsidR="00C84B40" w:rsidRDefault="00C84B40" w:rsidP="00C84B40">
            <w:pPr>
              <w:rPr>
                <w:rFonts w:ascii="Arial" w:hAnsi="Arial" w:cs="Arial"/>
                <w:color w:val="000000"/>
                <w:sz w:val="18"/>
                <w:szCs w:val="18"/>
              </w:rPr>
            </w:pPr>
            <w:r>
              <w:rPr>
                <w:rFonts w:ascii="Arial" w:hAnsi="Arial" w:cs="Arial"/>
                <w:color w:val="000000"/>
                <w:sz w:val="18"/>
                <w:szCs w:val="18"/>
              </w:rPr>
              <w:t>1.91%</w:t>
            </w:r>
          </w:p>
        </w:tc>
        <w:tc>
          <w:tcPr>
            <w:tcW w:w="1003"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35D34B03" w14:textId="77777777" w:rsidR="00C84B40" w:rsidRDefault="00C84B40" w:rsidP="00C84B40">
            <w:pPr>
              <w:rPr>
                <w:rFonts w:ascii="Arial" w:hAnsi="Arial" w:cs="Arial"/>
                <w:color w:val="000000"/>
                <w:sz w:val="18"/>
                <w:szCs w:val="18"/>
              </w:rPr>
            </w:pPr>
            <w:r>
              <w:rPr>
                <w:rFonts w:ascii="Arial" w:hAnsi="Arial" w:cs="Arial"/>
                <w:color w:val="000000"/>
                <w:sz w:val="18"/>
                <w:szCs w:val="18"/>
              </w:rPr>
              <w:t>2.40%</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05F183B1" w14:textId="77777777" w:rsidR="00C84B40" w:rsidRDefault="00C84B40" w:rsidP="00C84B40">
            <w:pPr>
              <w:rPr>
                <w:rFonts w:ascii="Arial" w:hAnsi="Arial" w:cs="Arial"/>
                <w:color w:val="000000"/>
                <w:sz w:val="18"/>
                <w:szCs w:val="18"/>
              </w:rPr>
            </w:pPr>
            <w:r>
              <w:rPr>
                <w:rFonts w:ascii="Arial" w:hAnsi="Arial" w:cs="Arial"/>
                <w:color w:val="000000"/>
                <w:sz w:val="18"/>
                <w:szCs w:val="18"/>
              </w:rPr>
              <w:t>2.44%</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1D55C95C" w14:textId="77777777" w:rsidR="00C84B40" w:rsidRDefault="00C84B40" w:rsidP="00C84B40">
            <w:pPr>
              <w:rPr>
                <w:rFonts w:ascii="Arial" w:hAnsi="Arial" w:cs="Arial"/>
                <w:color w:val="000000"/>
                <w:sz w:val="18"/>
                <w:szCs w:val="18"/>
              </w:rPr>
            </w:pPr>
            <w:r>
              <w:rPr>
                <w:rFonts w:ascii="Arial" w:hAnsi="Arial" w:cs="Arial"/>
                <w:color w:val="000000"/>
                <w:sz w:val="18"/>
                <w:szCs w:val="18"/>
              </w:rPr>
              <w:t>2.60%</w:t>
            </w:r>
          </w:p>
        </w:tc>
        <w:tc>
          <w:tcPr>
            <w:tcW w:w="999"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7F1AA0C4" w14:textId="77777777" w:rsidR="00C84B40" w:rsidRDefault="00C84B40" w:rsidP="00C84B40">
            <w:pPr>
              <w:rPr>
                <w:rFonts w:ascii="Arial" w:hAnsi="Arial" w:cs="Arial"/>
                <w:color w:val="000000"/>
                <w:sz w:val="18"/>
                <w:szCs w:val="18"/>
              </w:rPr>
            </w:pPr>
            <w:r>
              <w:rPr>
                <w:rFonts w:ascii="Arial" w:hAnsi="Arial" w:cs="Arial"/>
                <w:color w:val="000000"/>
                <w:sz w:val="18"/>
                <w:szCs w:val="18"/>
              </w:rPr>
              <w:t>2.55%</w:t>
            </w:r>
          </w:p>
        </w:tc>
      </w:tr>
    </w:tbl>
    <w:p w14:paraId="7E0D69EF" w14:textId="77777777" w:rsidR="00D31EA2" w:rsidRDefault="00D31EA2" w:rsidP="00157535">
      <w:pPr>
        <w:pStyle w:val="DHHSbodynospace"/>
      </w:pPr>
    </w:p>
    <w:tbl>
      <w:tblPr>
        <w:tblW w:w="0" w:type="auto"/>
        <w:tblBorders>
          <w:top w:val="single" w:sz="8" w:space="0" w:color="004EA8"/>
          <w:left w:val="single" w:sz="8" w:space="0" w:color="004EA8"/>
          <w:bottom w:val="single" w:sz="8" w:space="0" w:color="004EA8"/>
          <w:right w:val="single" w:sz="8" w:space="0" w:color="004EA8"/>
          <w:insideH w:val="single" w:sz="8" w:space="0" w:color="004EA8"/>
          <w:insideV w:val="single" w:sz="8" w:space="0" w:color="004EA8"/>
        </w:tblBorders>
        <w:tblCellMar>
          <w:left w:w="0" w:type="dxa"/>
          <w:right w:w="0" w:type="dxa"/>
        </w:tblCellMar>
        <w:tblLook w:val="0000" w:firstRow="0" w:lastRow="0" w:firstColumn="0" w:lastColumn="0" w:noHBand="0" w:noVBand="0"/>
      </w:tblPr>
      <w:tblGrid>
        <w:gridCol w:w="2322"/>
        <w:gridCol w:w="2087"/>
        <w:gridCol w:w="972"/>
        <w:gridCol w:w="873"/>
        <w:gridCol w:w="1008"/>
        <w:gridCol w:w="1008"/>
        <w:gridCol w:w="1008"/>
      </w:tblGrid>
      <w:tr w:rsidR="00D31EA2" w14:paraId="170039C6" w14:textId="77777777" w:rsidTr="00157B5E">
        <w:trPr>
          <w:trHeight w:val="279"/>
          <w:tblHeader/>
        </w:trPr>
        <w:tc>
          <w:tcPr>
            <w:tcW w:w="2927" w:type="dxa"/>
            <w:shd w:val="clear" w:color="auto" w:fill="004EA8"/>
            <w:tcMar>
              <w:top w:w="40" w:type="dxa"/>
              <w:left w:w="80" w:type="dxa"/>
              <w:bottom w:w="40" w:type="dxa"/>
              <w:right w:w="40" w:type="dxa"/>
            </w:tcMar>
            <w:vAlign w:val="center"/>
          </w:tcPr>
          <w:p w14:paraId="6E569C85" w14:textId="77777777" w:rsidR="00D31EA2" w:rsidRPr="00B33889" w:rsidRDefault="00D31EA2" w:rsidP="00410442">
            <w:pPr>
              <w:rPr>
                <w:rFonts w:ascii="Arial" w:hAnsi="Arial" w:cs="Arial"/>
              </w:rPr>
            </w:pPr>
            <w:r w:rsidRPr="00B33889">
              <w:rPr>
                <w:rFonts w:ascii="Arial" w:eastAsia="Verdana" w:hAnsi="Arial" w:cs="Arial"/>
                <w:b/>
                <w:color w:val="FFFFFF"/>
                <w:sz w:val="18"/>
              </w:rPr>
              <w:t>Restrictive practice</w:t>
            </w:r>
          </w:p>
        </w:tc>
        <w:tc>
          <w:tcPr>
            <w:tcW w:w="2577" w:type="dxa"/>
            <w:shd w:val="clear" w:color="auto" w:fill="004EA8"/>
            <w:tcMar>
              <w:top w:w="40" w:type="dxa"/>
              <w:left w:w="80" w:type="dxa"/>
              <w:bottom w:w="40" w:type="dxa"/>
              <w:right w:w="40" w:type="dxa"/>
            </w:tcMar>
            <w:vAlign w:val="center"/>
          </w:tcPr>
          <w:p w14:paraId="0BBF8B50" w14:textId="77777777" w:rsidR="00D31EA2" w:rsidRPr="00B33889" w:rsidRDefault="00D31EA2" w:rsidP="00410442">
            <w:pPr>
              <w:rPr>
                <w:rFonts w:ascii="Arial" w:hAnsi="Arial" w:cs="Arial"/>
              </w:rPr>
            </w:pPr>
            <w:r w:rsidRPr="00B33889">
              <w:rPr>
                <w:rFonts w:ascii="Arial" w:eastAsia="Verdana" w:hAnsi="Arial" w:cs="Arial"/>
                <w:b/>
                <w:color w:val="FFFFFF"/>
                <w:sz w:val="18"/>
              </w:rPr>
              <w:t>Population</w:t>
            </w:r>
          </w:p>
        </w:tc>
        <w:tc>
          <w:tcPr>
            <w:tcW w:w="1186" w:type="dxa"/>
            <w:shd w:val="clear" w:color="auto" w:fill="004EA8"/>
            <w:vAlign w:val="center"/>
          </w:tcPr>
          <w:p w14:paraId="4E502C3E" w14:textId="77777777" w:rsidR="00D31EA2" w:rsidRDefault="00D31EA2" w:rsidP="00410442">
            <w:pPr>
              <w:rPr>
                <w:rFonts w:ascii="Arial" w:hAnsi="Arial" w:cs="Arial"/>
                <w:b/>
                <w:bCs/>
                <w:color w:val="FFFFFF"/>
                <w:sz w:val="18"/>
                <w:szCs w:val="18"/>
                <w:lang w:eastAsia="en-AU"/>
              </w:rPr>
            </w:pPr>
            <w:r>
              <w:rPr>
                <w:rFonts w:ascii="Arial" w:hAnsi="Arial" w:cs="Arial"/>
                <w:b/>
                <w:bCs/>
                <w:color w:val="FFFFFF"/>
                <w:sz w:val="18"/>
                <w:szCs w:val="18"/>
              </w:rPr>
              <w:t>2015–16</w:t>
            </w:r>
          </w:p>
        </w:tc>
        <w:tc>
          <w:tcPr>
            <w:tcW w:w="1040" w:type="dxa"/>
            <w:shd w:val="clear" w:color="auto" w:fill="004EA8"/>
            <w:vAlign w:val="center"/>
          </w:tcPr>
          <w:p w14:paraId="74BE187E"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2016–17</w:t>
            </w:r>
          </w:p>
        </w:tc>
        <w:tc>
          <w:tcPr>
            <w:tcW w:w="1191" w:type="dxa"/>
            <w:shd w:val="clear" w:color="auto" w:fill="004EA8"/>
            <w:tcMar>
              <w:top w:w="40" w:type="dxa"/>
              <w:left w:w="80" w:type="dxa"/>
              <w:bottom w:w="60" w:type="dxa"/>
              <w:right w:w="40" w:type="dxa"/>
            </w:tcMar>
            <w:vAlign w:val="center"/>
          </w:tcPr>
          <w:p w14:paraId="3BBE8F09"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2017–18</w:t>
            </w:r>
          </w:p>
        </w:tc>
        <w:tc>
          <w:tcPr>
            <w:tcW w:w="1191" w:type="dxa"/>
            <w:shd w:val="clear" w:color="auto" w:fill="004EA8"/>
            <w:tcMar>
              <w:top w:w="40" w:type="dxa"/>
              <w:left w:w="80" w:type="dxa"/>
              <w:bottom w:w="60" w:type="dxa"/>
              <w:right w:w="40" w:type="dxa"/>
            </w:tcMar>
            <w:vAlign w:val="center"/>
          </w:tcPr>
          <w:p w14:paraId="18823074"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2018–19</w:t>
            </w:r>
          </w:p>
        </w:tc>
        <w:tc>
          <w:tcPr>
            <w:tcW w:w="1191" w:type="dxa"/>
            <w:shd w:val="clear" w:color="auto" w:fill="004EA8"/>
            <w:tcMar>
              <w:top w:w="40" w:type="dxa"/>
              <w:left w:w="80" w:type="dxa"/>
              <w:bottom w:w="60" w:type="dxa"/>
              <w:right w:w="40" w:type="dxa"/>
            </w:tcMar>
            <w:vAlign w:val="center"/>
          </w:tcPr>
          <w:p w14:paraId="55897FFF"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2019–20</w:t>
            </w:r>
          </w:p>
        </w:tc>
      </w:tr>
      <w:tr w:rsidR="00D31EA2" w14:paraId="02EB7DE5" w14:textId="77777777" w:rsidTr="00311585">
        <w:trPr>
          <w:trHeight w:val="240"/>
        </w:trPr>
        <w:tc>
          <w:tcPr>
            <w:tcW w:w="2927" w:type="dxa"/>
            <w:tcMar>
              <w:top w:w="40" w:type="dxa"/>
              <w:left w:w="120" w:type="dxa"/>
              <w:bottom w:w="40" w:type="dxa"/>
              <w:right w:w="40" w:type="dxa"/>
            </w:tcMar>
          </w:tcPr>
          <w:p w14:paraId="7EB51620"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Seclusion episodes per 1,000 occupied bed days</w:t>
            </w:r>
            <w:r>
              <w:rPr>
                <w:rFonts w:ascii="Arial" w:eastAsia="Verdana" w:hAnsi="Arial" w:cs="Arial"/>
                <w:color w:val="000000"/>
                <w:sz w:val="18"/>
                <w:szCs w:val="18"/>
              </w:rPr>
              <w:t xml:space="preserve"> – </w:t>
            </w:r>
            <w:r w:rsidRPr="00AA148D">
              <w:rPr>
                <w:rFonts w:ascii="Arial" w:eastAsia="Verdana" w:hAnsi="Arial" w:cs="Arial"/>
                <w:color w:val="000000"/>
                <w:sz w:val="18"/>
                <w:szCs w:val="18"/>
              </w:rPr>
              <w:t>inpatient</w:t>
            </w:r>
          </w:p>
        </w:tc>
        <w:tc>
          <w:tcPr>
            <w:tcW w:w="2577" w:type="dxa"/>
            <w:tcMar>
              <w:top w:w="40" w:type="dxa"/>
              <w:left w:w="80" w:type="dxa"/>
              <w:bottom w:w="40" w:type="dxa"/>
              <w:right w:w="40" w:type="dxa"/>
            </w:tcMar>
          </w:tcPr>
          <w:p w14:paraId="041EC87C"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Total</w:t>
            </w:r>
          </w:p>
        </w:tc>
        <w:tc>
          <w:tcPr>
            <w:tcW w:w="1186" w:type="dxa"/>
            <w:tcMar>
              <w:top w:w="43" w:type="dxa"/>
              <w:left w:w="86" w:type="dxa"/>
              <w:bottom w:w="58" w:type="dxa"/>
              <w:right w:w="43" w:type="dxa"/>
            </w:tcMar>
          </w:tcPr>
          <w:p w14:paraId="2BFDDE18" w14:textId="77777777" w:rsidR="00D31EA2" w:rsidRDefault="00D31EA2" w:rsidP="00410442">
            <w:pPr>
              <w:rPr>
                <w:rFonts w:ascii="Arial" w:hAnsi="Arial" w:cs="Arial"/>
                <w:color w:val="000000"/>
                <w:sz w:val="18"/>
                <w:szCs w:val="18"/>
              </w:rPr>
            </w:pPr>
            <w:r>
              <w:rPr>
                <w:rFonts w:ascii="Arial" w:hAnsi="Arial" w:cs="Arial"/>
                <w:color w:val="000000"/>
                <w:sz w:val="18"/>
                <w:szCs w:val="18"/>
              </w:rPr>
              <w:t>9.2</w:t>
            </w:r>
          </w:p>
        </w:tc>
        <w:tc>
          <w:tcPr>
            <w:tcW w:w="1040" w:type="dxa"/>
            <w:tcMar>
              <w:top w:w="43" w:type="dxa"/>
              <w:left w:w="86" w:type="dxa"/>
              <w:bottom w:w="58" w:type="dxa"/>
              <w:right w:w="43" w:type="dxa"/>
            </w:tcMar>
          </w:tcPr>
          <w:p w14:paraId="453DF62A" w14:textId="77777777" w:rsidR="00D31EA2" w:rsidRDefault="00D31EA2" w:rsidP="00410442">
            <w:pPr>
              <w:rPr>
                <w:rFonts w:ascii="Arial" w:hAnsi="Arial" w:cs="Arial"/>
                <w:color w:val="000000"/>
                <w:sz w:val="18"/>
                <w:szCs w:val="18"/>
              </w:rPr>
            </w:pPr>
            <w:r>
              <w:rPr>
                <w:rFonts w:ascii="Arial" w:hAnsi="Arial" w:cs="Arial"/>
                <w:color w:val="000000"/>
                <w:sz w:val="18"/>
                <w:szCs w:val="18"/>
              </w:rPr>
              <w:t>9.9</w:t>
            </w:r>
          </w:p>
        </w:tc>
        <w:tc>
          <w:tcPr>
            <w:tcW w:w="1191" w:type="dxa"/>
            <w:tcMar>
              <w:top w:w="40" w:type="dxa"/>
              <w:left w:w="80" w:type="dxa"/>
              <w:bottom w:w="60" w:type="dxa"/>
              <w:right w:w="40" w:type="dxa"/>
            </w:tcMar>
          </w:tcPr>
          <w:p w14:paraId="751992FB" w14:textId="77777777" w:rsidR="00D31EA2" w:rsidRDefault="00D31EA2" w:rsidP="00410442">
            <w:pPr>
              <w:rPr>
                <w:rFonts w:ascii="Arial" w:hAnsi="Arial" w:cs="Arial"/>
                <w:color w:val="000000"/>
                <w:sz w:val="18"/>
                <w:szCs w:val="18"/>
              </w:rPr>
            </w:pPr>
            <w:r>
              <w:rPr>
                <w:rFonts w:ascii="Arial" w:hAnsi="Arial" w:cs="Arial"/>
                <w:color w:val="000000"/>
                <w:sz w:val="18"/>
                <w:szCs w:val="18"/>
              </w:rPr>
              <w:t>9.7</w:t>
            </w:r>
          </w:p>
        </w:tc>
        <w:tc>
          <w:tcPr>
            <w:tcW w:w="1191" w:type="dxa"/>
            <w:tcMar>
              <w:top w:w="40" w:type="dxa"/>
              <w:left w:w="80" w:type="dxa"/>
              <w:bottom w:w="60" w:type="dxa"/>
              <w:right w:w="40" w:type="dxa"/>
            </w:tcMar>
          </w:tcPr>
          <w:p w14:paraId="71288C56" w14:textId="77777777" w:rsidR="00D31EA2" w:rsidRDefault="00D31EA2" w:rsidP="00410442">
            <w:pPr>
              <w:rPr>
                <w:rFonts w:ascii="Arial" w:hAnsi="Arial" w:cs="Arial"/>
                <w:color w:val="000000"/>
                <w:sz w:val="18"/>
                <w:szCs w:val="18"/>
              </w:rPr>
            </w:pPr>
            <w:r>
              <w:rPr>
                <w:rFonts w:ascii="Arial" w:hAnsi="Arial" w:cs="Arial"/>
                <w:color w:val="000000"/>
                <w:sz w:val="18"/>
                <w:szCs w:val="18"/>
              </w:rPr>
              <w:t>8.5</w:t>
            </w:r>
          </w:p>
        </w:tc>
        <w:tc>
          <w:tcPr>
            <w:tcW w:w="1191" w:type="dxa"/>
            <w:tcMar>
              <w:top w:w="40" w:type="dxa"/>
              <w:left w:w="80" w:type="dxa"/>
              <w:bottom w:w="60" w:type="dxa"/>
              <w:right w:w="40" w:type="dxa"/>
            </w:tcMar>
          </w:tcPr>
          <w:p w14:paraId="3B9CA179" w14:textId="77777777" w:rsidR="00D31EA2" w:rsidRDefault="00D31EA2" w:rsidP="00410442">
            <w:pPr>
              <w:rPr>
                <w:rFonts w:ascii="Arial" w:hAnsi="Arial" w:cs="Arial"/>
                <w:color w:val="000000"/>
                <w:sz w:val="18"/>
                <w:szCs w:val="18"/>
              </w:rPr>
            </w:pPr>
            <w:r>
              <w:rPr>
                <w:rFonts w:ascii="Arial" w:hAnsi="Arial" w:cs="Arial"/>
                <w:color w:val="000000"/>
                <w:sz w:val="18"/>
                <w:szCs w:val="18"/>
              </w:rPr>
              <w:t>9.6</w:t>
            </w:r>
          </w:p>
        </w:tc>
      </w:tr>
      <w:tr w:rsidR="00D31EA2" w14:paraId="70492340" w14:textId="77777777" w:rsidTr="00311585">
        <w:trPr>
          <w:trHeight w:val="240"/>
        </w:trPr>
        <w:tc>
          <w:tcPr>
            <w:tcW w:w="2927" w:type="dxa"/>
            <w:tcMar>
              <w:top w:w="40" w:type="dxa"/>
              <w:left w:w="120" w:type="dxa"/>
              <w:bottom w:w="40" w:type="dxa"/>
              <w:right w:w="40" w:type="dxa"/>
            </w:tcMar>
          </w:tcPr>
          <w:p w14:paraId="1F4972FD" w14:textId="0C0BEF3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 xml:space="preserve">Average </w:t>
            </w:r>
            <w:r w:rsidR="00C84B40">
              <w:rPr>
                <w:rFonts w:ascii="Arial" w:eastAsia="Verdana" w:hAnsi="Arial" w:cs="Arial"/>
                <w:color w:val="000000"/>
                <w:sz w:val="18"/>
                <w:szCs w:val="18"/>
              </w:rPr>
              <w:t>i</w:t>
            </w:r>
            <w:r w:rsidRPr="00AA148D">
              <w:rPr>
                <w:rFonts w:ascii="Arial" w:eastAsia="Verdana" w:hAnsi="Arial" w:cs="Arial"/>
                <w:color w:val="000000"/>
                <w:sz w:val="18"/>
                <w:szCs w:val="18"/>
              </w:rPr>
              <w:t>npatient seclusion duration (hours)</w:t>
            </w:r>
          </w:p>
        </w:tc>
        <w:tc>
          <w:tcPr>
            <w:tcW w:w="2577" w:type="dxa"/>
            <w:tcMar>
              <w:top w:w="40" w:type="dxa"/>
              <w:left w:w="80" w:type="dxa"/>
              <w:bottom w:w="40" w:type="dxa"/>
              <w:right w:w="40" w:type="dxa"/>
            </w:tcMar>
          </w:tcPr>
          <w:p w14:paraId="5FCD219D"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Total</w:t>
            </w:r>
          </w:p>
        </w:tc>
        <w:tc>
          <w:tcPr>
            <w:tcW w:w="1186" w:type="dxa"/>
            <w:tcMar>
              <w:top w:w="43" w:type="dxa"/>
              <w:left w:w="86" w:type="dxa"/>
              <w:bottom w:w="58" w:type="dxa"/>
              <w:right w:w="43" w:type="dxa"/>
            </w:tcMar>
          </w:tcPr>
          <w:p w14:paraId="5B8F5C60" w14:textId="77777777" w:rsidR="00D31EA2" w:rsidRDefault="00D31EA2" w:rsidP="00410442">
            <w:pPr>
              <w:rPr>
                <w:rFonts w:ascii="Arial" w:hAnsi="Arial" w:cs="Arial"/>
                <w:color w:val="000000"/>
                <w:sz w:val="18"/>
                <w:szCs w:val="18"/>
              </w:rPr>
            </w:pPr>
            <w:r>
              <w:rPr>
                <w:rFonts w:ascii="Arial" w:hAnsi="Arial" w:cs="Arial"/>
                <w:color w:val="000000"/>
                <w:sz w:val="18"/>
                <w:szCs w:val="18"/>
              </w:rPr>
              <w:t>16.4</w:t>
            </w:r>
          </w:p>
        </w:tc>
        <w:tc>
          <w:tcPr>
            <w:tcW w:w="1040" w:type="dxa"/>
            <w:tcMar>
              <w:top w:w="43" w:type="dxa"/>
              <w:left w:w="86" w:type="dxa"/>
              <w:bottom w:w="58" w:type="dxa"/>
              <w:right w:w="43" w:type="dxa"/>
            </w:tcMar>
          </w:tcPr>
          <w:p w14:paraId="25D7AEA3" w14:textId="77777777" w:rsidR="00D31EA2" w:rsidRDefault="00D31EA2" w:rsidP="00410442">
            <w:pPr>
              <w:rPr>
                <w:rFonts w:ascii="Arial" w:hAnsi="Arial" w:cs="Arial"/>
                <w:color w:val="000000"/>
                <w:sz w:val="18"/>
                <w:szCs w:val="18"/>
              </w:rPr>
            </w:pPr>
            <w:r>
              <w:rPr>
                <w:rFonts w:ascii="Arial" w:hAnsi="Arial" w:cs="Arial"/>
                <w:color w:val="000000"/>
                <w:sz w:val="18"/>
                <w:szCs w:val="18"/>
              </w:rPr>
              <w:t>17.4</w:t>
            </w:r>
          </w:p>
        </w:tc>
        <w:tc>
          <w:tcPr>
            <w:tcW w:w="1191" w:type="dxa"/>
            <w:tcMar>
              <w:top w:w="40" w:type="dxa"/>
              <w:left w:w="80" w:type="dxa"/>
              <w:bottom w:w="60" w:type="dxa"/>
              <w:right w:w="40" w:type="dxa"/>
            </w:tcMar>
          </w:tcPr>
          <w:p w14:paraId="5E535BEF" w14:textId="77777777" w:rsidR="00D31EA2" w:rsidRDefault="00D31EA2" w:rsidP="00410442">
            <w:pPr>
              <w:rPr>
                <w:rFonts w:ascii="Arial" w:hAnsi="Arial" w:cs="Arial"/>
                <w:color w:val="000000"/>
                <w:sz w:val="18"/>
                <w:szCs w:val="18"/>
              </w:rPr>
            </w:pPr>
            <w:r>
              <w:rPr>
                <w:rFonts w:ascii="Arial" w:hAnsi="Arial" w:cs="Arial"/>
                <w:color w:val="000000"/>
                <w:sz w:val="18"/>
                <w:szCs w:val="18"/>
              </w:rPr>
              <w:t>16.7</w:t>
            </w:r>
          </w:p>
        </w:tc>
        <w:tc>
          <w:tcPr>
            <w:tcW w:w="1191" w:type="dxa"/>
            <w:tcMar>
              <w:top w:w="40" w:type="dxa"/>
              <w:left w:w="80" w:type="dxa"/>
              <w:bottom w:w="60" w:type="dxa"/>
              <w:right w:w="40" w:type="dxa"/>
            </w:tcMar>
          </w:tcPr>
          <w:p w14:paraId="3EFACCEC" w14:textId="77777777" w:rsidR="00D31EA2" w:rsidRDefault="00D31EA2" w:rsidP="00410442">
            <w:pPr>
              <w:rPr>
                <w:rFonts w:ascii="Arial" w:hAnsi="Arial" w:cs="Arial"/>
                <w:color w:val="000000"/>
                <w:sz w:val="18"/>
                <w:szCs w:val="18"/>
              </w:rPr>
            </w:pPr>
            <w:r>
              <w:rPr>
                <w:rFonts w:ascii="Arial" w:hAnsi="Arial" w:cs="Arial"/>
                <w:color w:val="000000"/>
                <w:sz w:val="18"/>
                <w:szCs w:val="18"/>
              </w:rPr>
              <w:t>20.0</w:t>
            </w:r>
          </w:p>
        </w:tc>
        <w:tc>
          <w:tcPr>
            <w:tcW w:w="1191" w:type="dxa"/>
            <w:tcMar>
              <w:top w:w="40" w:type="dxa"/>
              <w:left w:w="80" w:type="dxa"/>
              <w:bottom w:w="60" w:type="dxa"/>
              <w:right w:w="40" w:type="dxa"/>
            </w:tcMar>
          </w:tcPr>
          <w:p w14:paraId="36943F32" w14:textId="77777777" w:rsidR="00D31EA2" w:rsidRDefault="00D31EA2" w:rsidP="00410442">
            <w:pPr>
              <w:rPr>
                <w:rFonts w:ascii="Arial" w:hAnsi="Arial" w:cs="Arial"/>
                <w:color w:val="000000"/>
                <w:sz w:val="18"/>
                <w:szCs w:val="18"/>
              </w:rPr>
            </w:pPr>
            <w:r>
              <w:rPr>
                <w:rFonts w:ascii="Arial" w:hAnsi="Arial" w:cs="Arial"/>
                <w:color w:val="000000"/>
                <w:sz w:val="18"/>
                <w:szCs w:val="18"/>
              </w:rPr>
              <w:t>13.8</w:t>
            </w:r>
          </w:p>
        </w:tc>
      </w:tr>
      <w:tr w:rsidR="00D31EA2" w14:paraId="24D3BE14" w14:textId="77777777" w:rsidTr="00311585">
        <w:trPr>
          <w:trHeight w:val="240"/>
        </w:trPr>
        <w:tc>
          <w:tcPr>
            <w:tcW w:w="2927" w:type="dxa"/>
            <w:tcMar>
              <w:top w:w="40" w:type="dxa"/>
              <w:left w:w="120" w:type="dxa"/>
              <w:bottom w:w="40" w:type="dxa"/>
              <w:right w:w="40" w:type="dxa"/>
            </w:tcMar>
          </w:tcPr>
          <w:p w14:paraId="40DA3008" w14:textId="40E4CDE6"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Bodily restraint episodes per 1,000 occupied bed days</w:t>
            </w:r>
            <w:r>
              <w:rPr>
                <w:rFonts w:ascii="Arial" w:eastAsia="Verdana" w:hAnsi="Arial" w:cs="Arial"/>
                <w:color w:val="000000"/>
                <w:sz w:val="18"/>
                <w:szCs w:val="18"/>
              </w:rPr>
              <w:t xml:space="preserve"> – </w:t>
            </w:r>
            <w:r w:rsidR="00C84B40">
              <w:rPr>
                <w:rFonts w:ascii="Arial" w:eastAsia="Verdana" w:hAnsi="Arial" w:cs="Arial"/>
                <w:color w:val="000000"/>
                <w:sz w:val="18"/>
                <w:szCs w:val="18"/>
              </w:rPr>
              <w:t>i</w:t>
            </w:r>
            <w:r w:rsidRPr="00AA148D">
              <w:rPr>
                <w:rFonts w:ascii="Arial" w:eastAsia="Verdana" w:hAnsi="Arial" w:cs="Arial"/>
                <w:color w:val="000000"/>
                <w:sz w:val="18"/>
                <w:szCs w:val="18"/>
              </w:rPr>
              <w:t>npatient</w:t>
            </w:r>
          </w:p>
        </w:tc>
        <w:tc>
          <w:tcPr>
            <w:tcW w:w="2577" w:type="dxa"/>
            <w:tcMar>
              <w:top w:w="40" w:type="dxa"/>
              <w:left w:w="80" w:type="dxa"/>
              <w:bottom w:w="40" w:type="dxa"/>
              <w:right w:w="40" w:type="dxa"/>
            </w:tcMar>
          </w:tcPr>
          <w:p w14:paraId="0D717E66"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Total</w:t>
            </w:r>
          </w:p>
        </w:tc>
        <w:tc>
          <w:tcPr>
            <w:tcW w:w="1186" w:type="dxa"/>
            <w:tcMar>
              <w:top w:w="43" w:type="dxa"/>
              <w:left w:w="86" w:type="dxa"/>
              <w:bottom w:w="58" w:type="dxa"/>
              <w:right w:w="43" w:type="dxa"/>
            </w:tcMar>
          </w:tcPr>
          <w:p w14:paraId="560ABA36" w14:textId="77777777" w:rsidR="00D31EA2" w:rsidRDefault="00D31EA2" w:rsidP="00410442">
            <w:pPr>
              <w:rPr>
                <w:rFonts w:ascii="Arial" w:hAnsi="Arial" w:cs="Arial"/>
                <w:color w:val="000000"/>
                <w:sz w:val="18"/>
                <w:szCs w:val="18"/>
              </w:rPr>
            </w:pPr>
            <w:r>
              <w:rPr>
                <w:rFonts w:ascii="Arial" w:hAnsi="Arial" w:cs="Arial"/>
                <w:color w:val="000000"/>
                <w:sz w:val="18"/>
                <w:szCs w:val="18"/>
              </w:rPr>
              <w:t>25.7</w:t>
            </w:r>
          </w:p>
        </w:tc>
        <w:tc>
          <w:tcPr>
            <w:tcW w:w="1040" w:type="dxa"/>
            <w:tcMar>
              <w:top w:w="43" w:type="dxa"/>
              <w:left w:w="86" w:type="dxa"/>
              <w:bottom w:w="58" w:type="dxa"/>
              <w:right w:w="43" w:type="dxa"/>
            </w:tcMar>
          </w:tcPr>
          <w:p w14:paraId="74969B6E" w14:textId="77777777" w:rsidR="00D31EA2" w:rsidRDefault="00D31EA2" w:rsidP="00410442">
            <w:pPr>
              <w:rPr>
                <w:rFonts w:ascii="Arial" w:hAnsi="Arial" w:cs="Arial"/>
                <w:color w:val="000000"/>
                <w:sz w:val="18"/>
                <w:szCs w:val="18"/>
              </w:rPr>
            </w:pPr>
            <w:r>
              <w:rPr>
                <w:rFonts w:ascii="Arial" w:hAnsi="Arial" w:cs="Arial"/>
                <w:color w:val="000000"/>
                <w:sz w:val="18"/>
                <w:szCs w:val="18"/>
              </w:rPr>
              <w:t>19.0</w:t>
            </w:r>
          </w:p>
        </w:tc>
        <w:tc>
          <w:tcPr>
            <w:tcW w:w="1191" w:type="dxa"/>
            <w:tcMar>
              <w:top w:w="40" w:type="dxa"/>
              <w:left w:w="80" w:type="dxa"/>
              <w:bottom w:w="60" w:type="dxa"/>
              <w:right w:w="40" w:type="dxa"/>
            </w:tcMar>
          </w:tcPr>
          <w:p w14:paraId="50D5C7CA" w14:textId="77777777" w:rsidR="00D31EA2" w:rsidRDefault="00D31EA2" w:rsidP="00410442">
            <w:pPr>
              <w:rPr>
                <w:rFonts w:ascii="Arial" w:hAnsi="Arial" w:cs="Arial"/>
                <w:color w:val="000000"/>
                <w:sz w:val="18"/>
                <w:szCs w:val="18"/>
              </w:rPr>
            </w:pPr>
            <w:r>
              <w:rPr>
                <w:rFonts w:ascii="Arial" w:hAnsi="Arial" w:cs="Arial"/>
                <w:color w:val="000000"/>
                <w:sz w:val="18"/>
                <w:szCs w:val="18"/>
              </w:rPr>
              <w:t>22.6</w:t>
            </w:r>
          </w:p>
        </w:tc>
        <w:tc>
          <w:tcPr>
            <w:tcW w:w="1191" w:type="dxa"/>
            <w:tcMar>
              <w:top w:w="40" w:type="dxa"/>
              <w:left w:w="80" w:type="dxa"/>
              <w:bottom w:w="60" w:type="dxa"/>
              <w:right w:w="40" w:type="dxa"/>
            </w:tcMar>
          </w:tcPr>
          <w:p w14:paraId="345E81E6" w14:textId="77777777" w:rsidR="00D31EA2" w:rsidRDefault="00D31EA2" w:rsidP="00410442">
            <w:pPr>
              <w:rPr>
                <w:rFonts w:ascii="Arial" w:hAnsi="Arial" w:cs="Arial"/>
                <w:color w:val="000000"/>
                <w:sz w:val="18"/>
                <w:szCs w:val="18"/>
              </w:rPr>
            </w:pPr>
            <w:r>
              <w:rPr>
                <w:rFonts w:ascii="Arial" w:hAnsi="Arial" w:cs="Arial"/>
                <w:color w:val="000000"/>
                <w:sz w:val="18"/>
                <w:szCs w:val="18"/>
              </w:rPr>
              <w:t>25.8</w:t>
            </w:r>
          </w:p>
        </w:tc>
        <w:tc>
          <w:tcPr>
            <w:tcW w:w="1191" w:type="dxa"/>
            <w:tcMar>
              <w:top w:w="40" w:type="dxa"/>
              <w:left w:w="80" w:type="dxa"/>
              <w:bottom w:w="60" w:type="dxa"/>
              <w:right w:w="40" w:type="dxa"/>
            </w:tcMar>
          </w:tcPr>
          <w:p w14:paraId="28AA3583" w14:textId="77777777" w:rsidR="00D31EA2" w:rsidRDefault="00D31EA2" w:rsidP="00410442">
            <w:pPr>
              <w:rPr>
                <w:rFonts w:ascii="Arial" w:hAnsi="Arial" w:cs="Arial"/>
                <w:color w:val="000000"/>
                <w:sz w:val="18"/>
                <w:szCs w:val="18"/>
              </w:rPr>
            </w:pPr>
            <w:r>
              <w:rPr>
                <w:rFonts w:ascii="Arial" w:hAnsi="Arial" w:cs="Arial"/>
                <w:color w:val="000000"/>
                <w:sz w:val="18"/>
                <w:szCs w:val="18"/>
              </w:rPr>
              <w:t>20.7</w:t>
            </w:r>
          </w:p>
        </w:tc>
      </w:tr>
      <w:tr w:rsidR="00D31EA2" w14:paraId="2A6AD54F" w14:textId="77777777" w:rsidTr="00311585">
        <w:trPr>
          <w:trHeight w:val="240"/>
        </w:trPr>
        <w:tc>
          <w:tcPr>
            <w:tcW w:w="2927" w:type="dxa"/>
            <w:tcMar>
              <w:top w:w="40" w:type="dxa"/>
              <w:left w:w="120" w:type="dxa"/>
              <w:bottom w:w="40" w:type="dxa"/>
              <w:right w:w="40" w:type="dxa"/>
            </w:tcMar>
          </w:tcPr>
          <w:p w14:paraId="6A2FD6C9" w14:textId="24BBBDE2"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 xml:space="preserve">Average </w:t>
            </w:r>
            <w:r w:rsidR="00C84B40">
              <w:rPr>
                <w:rFonts w:ascii="Arial" w:eastAsia="Verdana" w:hAnsi="Arial" w:cs="Arial"/>
                <w:color w:val="000000"/>
                <w:sz w:val="18"/>
                <w:szCs w:val="18"/>
              </w:rPr>
              <w:t>i</w:t>
            </w:r>
            <w:r w:rsidRPr="00AA148D">
              <w:rPr>
                <w:rFonts w:ascii="Arial" w:eastAsia="Verdana" w:hAnsi="Arial" w:cs="Arial"/>
                <w:color w:val="000000"/>
                <w:sz w:val="18"/>
                <w:szCs w:val="18"/>
              </w:rPr>
              <w:t>npatient bodily restraint duration (hours)</w:t>
            </w:r>
          </w:p>
        </w:tc>
        <w:tc>
          <w:tcPr>
            <w:tcW w:w="2577" w:type="dxa"/>
            <w:tcMar>
              <w:top w:w="40" w:type="dxa"/>
              <w:left w:w="80" w:type="dxa"/>
              <w:bottom w:w="40" w:type="dxa"/>
              <w:right w:w="40" w:type="dxa"/>
            </w:tcMar>
          </w:tcPr>
          <w:p w14:paraId="484FCED6"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Total</w:t>
            </w:r>
          </w:p>
        </w:tc>
        <w:tc>
          <w:tcPr>
            <w:tcW w:w="1186" w:type="dxa"/>
            <w:tcMar>
              <w:top w:w="43" w:type="dxa"/>
              <w:left w:w="86" w:type="dxa"/>
              <w:bottom w:w="58" w:type="dxa"/>
              <w:right w:w="43" w:type="dxa"/>
            </w:tcMar>
          </w:tcPr>
          <w:p w14:paraId="38BEBE36" w14:textId="77777777" w:rsidR="00D31EA2" w:rsidRDefault="00D31EA2" w:rsidP="00410442">
            <w:pPr>
              <w:rPr>
                <w:rFonts w:ascii="Arial" w:hAnsi="Arial" w:cs="Arial"/>
                <w:color w:val="000000"/>
                <w:sz w:val="18"/>
                <w:szCs w:val="18"/>
              </w:rPr>
            </w:pPr>
            <w:r>
              <w:rPr>
                <w:rFonts w:ascii="Arial" w:hAnsi="Arial" w:cs="Arial"/>
                <w:color w:val="000000"/>
                <w:sz w:val="18"/>
                <w:szCs w:val="18"/>
              </w:rPr>
              <w:t>0.6</w:t>
            </w:r>
          </w:p>
        </w:tc>
        <w:tc>
          <w:tcPr>
            <w:tcW w:w="1040" w:type="dxa"/>
            <w:tcMar>
              <w:top w:w="43" w:type="dxa"/>
              <w:left w:w="86" w:type="dxa"/>
              <w:bottom w:w="58" w:type="dxa"/>
              <w:right w:w="43" w:type="dxa"/>
            </w:tcMar>
          </w:tcPr>
          <w:p w14:paraId="0893E8A0" w14:textId="77777777" w:rsidR="00D31EA2" w:rsidRDefault="00D31EA2" w:rsidP="00410442">
            <w:pPr>
              <w:rPr>
                <w:rFonts w:ascii="Arial" w:hAnsi="Arial" w:cs="Arial"/>
                <w:color w:val="000000"/>
                <w:sz w:val="18"/>
                <w:szCs w:val="18"/>
              </w:rPr>
            </w:pPr>
            <w:r>
              <w:rPr>
                <w:rFonts w:ascii="Arial" w:hAnsi="Arial" w:cs="Arial"/>
                <w:color w:val="000000"/>
                <w:sz w:val="18"/>
                <w:szCs w:val="18"/>
              </w:rPr>
              <w:t>0.4</w:t>
            </w:r>
          </w:p>
        </w:tc>
        <w:tc>
          <w:tcPr>
            <w:tcW w:w="1191" w:type="dxa"/>
            <w:tcMar>
              <w:top w:w="40" w:type="dxa"/>
              <w:left w:w="80" w:type="dxa"/>
              <w:bottom w:w="60" w:type="dxa"/>
              <w:right w:w="40" w:type="dxa"/>
            </w:tcMar>
          </w:tcPr>
          <w:p w14:paraId="2D4FEEC9" w14:textId="77777777" w:rsidR="00D31EA2" w:rsidRDefault="00D31EA2" w:rsidP="00410442">
            <w:pPr>
              <w:rPr>
                <w:rFonts w:ascii="Arial" w:hAnsi="Arial" w:cs="Arial"/>
                <w:color w:val="000000"/>
                <w:sz w:val="18"/>
                <w:szCs w:val="18"/>
              </w:rPr>
            </w:pPr>
            <w:r>
              <w:rPr>
                <w:rFonts w:ascii="Arial" w:hAnsi="Arial" w:cs="Arial"/>
                <w:color w:val="000000"/>
                <w:sz w:val="18"/>
                <w:szCs w:val="18"/>
              </w:rPr>
              <w:t>0.3</w:t>
            </w:r>
          </w:p>
        </w:tc>
        <w:tc>
          <w:tcPr>
            <w:tcW w:w="1191" w:type="dxa"/>
            <w:tcMar>
              <w:top w:w="40" w:type="dxa"/>
              <w:left w:w="80" w:type="dxa"/>
              <w:bottom w:w="60" w:type="dxa"/>
              <w:right w:w="40" w:type="dxa"/>
            </w:tcMar>
          </w:tcPr>
          <w:p w14:paraId="6E885262" w14:textId="77777777" w:rsidR="00D31EA2" w:rsidRDefault="00D31EA2" w:rsidP="00410442">
            <w:pPr>
              <w:rPr>
                <w:rFonts w:ascii="Arial" w:hAnsi="Arial" w:cs="Arial"/>
                <w:color w:val="000000"/>
                <w:sz w:val="18"/>
                <w:szCs w:val="18"/>
              </w:rPr>
            </w:pPr>
            <w:r>
              <w:rPr>
                <w:rFonts w:ascii="Arial" w:hAnsi="Arial" w:cs="Arial"/>
                <w:color w:val="000000"/>
                <w:sz w:val="18"/>
                <w:szCs w:val="18"/>
              </w:rPr>
              <w:t>0.2</w:t>
            </w:r>
          </w:p>
        </w:tc>
        <w:tc>
          <w:tcPr>
            <w:tcW w:w="1191" w:type="dxa"/>
            <w:tcMar>
              <w:top w:w="40" w:type="dxa"/>
              <w:left w:w="80" w:type="dxa"/>
              <w:bottom w:w="60" w:type="dxa"/>
              <w:right w:w="40" w:type="dxa"/>
            </w:tcMar>
          </w:tcPr>
          <w:p w14:paraId="7ECD70BC" w14:textId="77777777" w:rsidR="00D31EA2" w:rsidRDefault="00D31EA2" w:rsidP="00410442">
            <w:pPr>
              <w:rPr>
                <w:rFonts w:ascii="Arial" w:hAnsi="Arial" w:cs="Arial"/>
                <w:color w:val="000000"/>
                <w:sz w:val="18"/>
                <w:szCs w:val="18"/>
              </w:rPr>
            </w:pPr>
            <w:r>
              <w:rPr>
                <w:rFonts w:ascii="Arial" w:hAnsi="Arial" w:cs="Arial"/>
                <w:color w:val="000000"/>
                <w:sz w:val="18"/>
                <w:szCs w:val="18"/>
              </w:rPr>
              <w:t>0.3</w:t>
            </w:r>
          </w:p>
        </w:tc>
      </w:tr>
    </w:tbl>
    <w:p w14:paraId="0F1A076B" w14:textId="1F09C2CB" w:rsidR="00D31EA2" w:rsidRDefault="00D31EA2" w:rsidP="00157535">
      <w:pPr>
        <w:pStyle w:val="DHHSbodynospace"/>
      </w:pPr>
    </w:p>
    <w:tbl>
      <w:tblPr>
        <w:tblW w:w="0" w:type="auto"/>
        <w:tblCellMar>
          <w:left w:w="0" w:type="dxa"/>
          <w:right w:w="0" w:type="dxa"/>
        </w:tblCellMar>
        <w:tblLook w:val="0000" w:firstRow="0" w:lastRow="0" w:firstColumn="0" w:lastColumn="0" w:noHBand="0" w:noVBand="0"/>
      </w:tblPr>
      <w:tblGrid>
        <w:gridCol w:w="2346"/>
        <w:gridCol w:w="2037"/>
        <w:gridCol w:w="980"/>
        <w:gridCol w:w="981"/>
        <w:gridCol w:w="978"/>
        <w:gridCol w:w="978"/>
        <w:gridCol w:w="978"/>
      </w:tblGrid>
      <w:tr w:rsidR="00D31EA2" w14:paraId="0D8BBC9C" w14:textId="77777777" w:rsidTr="00157B5E">
        <w:trPr>
          <w:trHeight w:val="279"/>
          <w:tblHeader/>
        </w:trPr>
        <w:tc>
          <w:tcPr>
            <w:tcW w:w="2949" w:type="dxa"/>
            <w:tcBorders>
              <w:top w:val="single" w:sz="8" w:space="0" w:color="004EA8"/>
              <w:left w:val="single" w:sz="8" w:space="0" w:color="004EA8"/>
              <w:bottom w:val="single" w:sz="8" w:space="0" w:color="004EA8"/>
              <w:right w:val="single" w:sz="8" w:space="0" w:color="004EA8"/>
            </w:tcBorders>
            <w:shd w:val="clear" w:color="auto" w:fill="004EA8"/>
            <w:tcMar>
              <w:top w:w="40" w:type="dxa"/>
              <w:left w:w="80" w:type="dxa"/>
              <w:bottom w:w="40" w:type="dxa"/>
              <w:right w:w="40" w:type="dxa"/>
            </w:tcMar>
            <w:vAlign w:val="center"/>
          </w:tcPr>
          <w:p w14:paraId="329BA19A" w14:textId="51704BF6" w:rsidR="00D31EA2" w:rsidRPr="00B33889" w:rsidRDefault="00D31EA2" w:rsidP="00410442">
            <w:pPr>
              <w:rPr>
                <w:rFonts w:ascii="Arial" w:hAnsi="Arial" w:cs="Arial"/>
              </w:rPr>
            </w:pPr>
            <w:r>
              <w:rPr>
                <w:rFonts w:ascii="Arial" w:eastAsia="Verdana" w:hAnsi="Arial" w:cs="Arial"/>
                <w:b/>
                <w:color w:val="FFFFFF"/>
                <w:sz w:val="18"/>
              </w:rPr>
              <w:t xml:space="preserve">Clinician-reported </w:t>
            </w:r>
            <w:r w:rsidRPr="00B33889">
              <w:rPr>
                <w:rFonts w:ascii="Arial" w:eastAsia="Verdana" w:hAnsi="Arial" w:cs="Arial"/>
                <w:b/>
                <w:color w:val="FFFFFF"/>
                <w:sz w:val="18"/>
              </w:rPr>
              <w:t>outcome</w:t>
            </w:r>
          </w:p>
        </w:tc>
        <w:tc>
          <w:tcPr>
            <w:tcW w:w="2555" w:type="dxa"/>
            <w:tcBorders>
              <w:top w:val="single" w:sz="8" w:space="0" w:color="004EA8"/>
              <w:left w:val="single" w:sz="8" w:space="0" w:color="004EA8"/>
              <w:bottom w:val="single" w:sz="8" w:space="0" w:color="004EA8"/>
              <w:right w:val="single" w:sz="8" w:space="0" w:color="004EA8"/>
            </w:tcBorders>
            <w:shd w:val="clear" w:color="auto" w:fill="004EA8"/>
            <w:tcMar>
              <w:top w:w="40" w:type="dxa"/>
              <w:left w:w="80" w:type="dxa"/>
              <w:bottom w:w="40" w:type="dxa"/>
              <w:right w:w="40" w:type="dxa"/>
            </w:tcMar>
            <w:vAlign w:val="center"/>
          </w:tcPr>
          <w:p w14:paraId="1793664B" w14:textId="77777777" w:rsidR="00D31EA2" w:rsidRDefault="00D31EA2" w:rsidP="00410442">
            <w:pPr>
              <w:rPr>
                <w:rFonts w:ascii="Arial" w:hAnsi="Arial" w:cs="Arial"/>
                <w:b/>
                <w:bCs/>
                <w:color w:val="FFFFFF"/>
                <w:sz w:val="18"/>
                <w:szCs w:val="18"/>
                <w:lang w:eastAsia="en-AU"/>
              </w:rPr>
            </w:pPr>
            <w:r>
              <w:rPr>
                <w:rFonts w:ascii="Arial" w:hAnsi="Arial" w:cs="Arial"/>
                <w:b/>
                <w:bCs/>
                <w:color w:val="FFFFFF"/>
                <w:sz w:val="18"/>
                <w:szCs w:val="18"/>
              </w:rPr>
              <w:t>Population</w:t>
            </w:r>
          </w:p>
        </w:tc>
        <w:tc>
          <w:tcPr>
            <w:tcW w:w="1159" w:type="dxa"/>
            <w:tcBorders>
              <w:top w:val="single" w:sz="8" w:space="0" w:color="004EA8"/>
              <w:left w:val="single" w:sz="8" w:space="0" w:color="004EA8"/>
              <w:bottom w:val="single" w:sz="8" w:space="0" w:color="004EA8"/>
              <w:right w:val="single" w:sz="8" w:space="0" w:color="004EA8"/>
            </w:tcBorders>
            <w:shd w:val="clear" w:color="auto" w:fill="004EA8"/>
            <w:vAlign w:val="center"/>
          </w:tcPr>
          <w:p w14:paraId="0CC7FA74"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2015–16</w:t>
            </w:r>
          </w:p>
        </w:tc>
        <w:tc>
          <w:tcPr>
            <w:tcW w:w="1160" w:type="dxa"/>
            <w:tcBorders>
              <w:top w:val="single" w:sz="8" w:space="0" w:color="004EA8"/>
              <w:left w:val="single" w:sz="8" w:space="0" w:color="004EA8"/>
              <w:bottom w:val="single" w:sz="8" w:space="0" w:color="004EA8"/>
              <w:right w:val="single" w:sz="8" w:space="0" w:color="004EA8"/>
            </w:tcBorders>
            <w:shd w:val="clear" w:color="auto" w:fill="004EA8"/>
            <w:vAlign w:val="center"/>
          </w:tcPr>
          <w:p w14:paraId="6EDFF83F"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2016–17</w:t>
            </w:r>
          </w:p>
        </w:tc>
        <w:tc>
          <w:tcPr>
            <w:tcW w:w="1160" w:type="dxa"/>
            <w:tcBorders>
              <w:top w:val="single" w:sz="8" w:space="0" w:color="004EA8"/>
              <w:left w:val="single" w:sz="8" w:space="0" w:color="004EA8"/>
              <w:bottom w:val="single" w:sz="8" w:space="0" w:color="004EA8"/>
              <w:right w:val="single" w:sz="8" w:space="0" w:color="004EA8"/>
            </w:tcBorders>
            <w:shd w:val="clear" w:color="auto" w:fill="004EA8"/>
            <w:tcMar>
              <w:top w:w="40" w:type="dxa"/>
              <w:left w:w="80" w:type="dxa"/>
              <w:bottom w:w="60" w:type="dxa"/>
              <w:right w:w="40" w:type="dxa"/>
            </w:tcMar>
            <w:vAlign w:val="center"/>
          </w:tcPr>
          <w:p w14:paraId="21438D5D"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2017–18</w:t>
            </w:r>
          </w:p>
        </w:tc>
        <w:tc>
          <w:tcPr>
            <w:tcW w:w="1160" w:type="dxa"/>
            <w:tcBorders>
              <w:top w:val="single" w:sz="8" w:space="0" w:color="004EA8"/>
              <w:left w:val="single" w:sz="8" w:space="0" w:color="004EA8"/>
              <w:bottom w:val="single" w:sz="8" w:space="0" w:color="004EA8"/>
              <w:right w:val="single" w:sz="8" w:space="0" w:color="004EA8"/>
            </w:tcBorders>
            <w:shd w:val="clear" w:color="auto" w:fill="004EA8"/>
            <w:tcMar>
              <w:top w:w="40" w:type="dxa"/>
              <w:left w:w="80" w:type="dxa"/>
              <w:bottom w:w="60" w:type="dxa"/>
              <w:right w:w="40" w:type="dxa"/>
            </w:tcMar>
            <w:vAlign w:val="center"/>
          </w:tcPr>
          <w:p w14:paraId="3792E1A8"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2018–19</w:t>
            </w:r>
          </w:p>
        </w:tc>
        <w:tc>
          <w:tcPr>
            <w:tcW w:w="1160" w:type="dxa"/>
            <w:tcBorders>
              <w:top w:val="single" w:sz="8" w:space="0" w:color="004EA8"/>
              <w:left w:val="single" w:sz="8" w:space="0" w:color="004EA8"/>
              <w:bottom w:val="single" w:sz="8" w:space="0" w:color="004EA8"/>
              <w:right w:val="single" w:sz="8" w:space="0" w:color="004EA8"/>
            </w:tcBorders>
            <w:shd w:val="clear" w:color="auto" w:fill="004EA8"/>
            <w:tcMar>
              <w:top w:w="40" w:type="dxa"/>
              <w:left w:w="80" w:type="dxa"/>
              <w:bottom w:w="60" w:type="dxa"/>
              <w:right w:w="40" w:type="dxa"/>
            </w:tcMar>
            <w:vAlign w:val="center"/>
          </w:tcPr>
          <w:p w14:paraId="18E7BEB4"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2019–20</w:t>
            </w:r>
          </w:p>
        </w:tc>
      </w:tr>
      <w:tr w:rsidR="00D31EA2" w14:paraId="422C43C2" w14:textId="77777777" w:rsidTr="00311585">
        <w:trPr>
          <w:trHeight w:val="198"/>
        </w:trPr>
        <w:tc>
          <w:tcPr>
            <w:tcW w:w="2949" w:type="dxa"/>
            <w:vMerge w:val="restart"/>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44CF6F82"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Community cases with significant improvement at case closure</w:t>
            </w:r>
            <w:r w:rsidRPr="00AA148D">
              <w:rPr>
                <w:rFonts w:ascii="Arial" w:eastAsia="Verdana" w:hAnsi="Arial" w:cs="Arial"/>
                <w:color w:val="000000"/>
                <w:sz w:val="18"/>
                <w:szCs w:val="18"/>
                <w:vertAlign w:val="superscript"/>
              </w:rPr>
              <w:t>‡</w:t>
            </w:r>
            <w:r w:rsidRPr="00AA148D">
              <w:rPr>
                <w:rFonts w:ascii="Arial" w:eastAsia="Verdana" w:hAnsi="Arial" w:cs="Arial"/>
                <w:color w:val="000000"/>
                <w:sz w:val="18"/>
                <w:szCs w:val="18"/>
              </w:rPr>
              <w:t xml:space="preserve"> (%)</w:t>
            </w:r>
          </w:p>
        </w:tc>
        <w:tc>
          <w:tcPr>
            <w:tcW w:w="2555" w:type="dxa"/>
            <w:tcBorders>
              <w:top w:val="single" w:sz="8" w:space="0" w:color="004EA8"/>
              <w:left w:val="single" w:sz="8" w:space="0" w:color="004EA8"/>
              <w:bottom w:val="single" w:sz="8" w:space="0" w:color="004EA8"/>
              <w:right w:val="single" w:sz="8" w:space="0" w:color="004EA8"/>
            </w:tcBorders>
            <w:tcMar>
              <w:top w:w="40" w:type="dxa"/>
              <w:left w:w="80" w:type="dxa"/>
              <w:bottom w:w="40" w:type="dxa"/>
              <w:right w:w="40" w:type="dxa"/>
            </w:tcMar>
          </w:tcPr>
          <w:p w14:paraId="64F5A8F6" w14:textId="77777777" w:rsidR="00D31EA2" w:rsidRDefault="00D31EA2" w:rsidP="00410442">
            <w:pPr>
              <w:rPr>
                <w:rFonts w:ascii="Arial" w:hAnsi="Arial" w:cs="Arial"/>
                <w:color w:val="000000"/>
                <w:sz w:val="18"/>
                <w:szCs w:val="18"/>
              </w:rPr>
            </w:pPr>
            <w:r>
              <w:rPr>
                <w:rFonts w:ascii="Arial" w:hAnsi="Arial" w:cs="Arial"/>
                <w:color w:val="000000"/>
                <w:sz w:val="18"/>
                <w:szCs w:val="18"/>
              </w:rPr>
              <w:t>Adult</w:t>
            </w:r>
          </w:p>
        </w:tc>
        <w:tc>
          <w:tcPr>
            <w:tcW w:w="1159"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3F5FE44C" w14:textId="77777777" w:rsidR="00D31EA2" w:rsidRDefault="00D31EA2" w:rsidP="00410442">
            <w:pPr>
              <w:rPr>
                <w:rFonts w:ascii="Arial" w:hAnsi="Arial" w:cs="Arial"/>
                <w:color w:val="000000"/>
                <w:sz w:val="18"/>
                <w:szCs w:val="18"/>
              </w:rPr>
            </w:pPr>
            <w:r>
              <w:rPr>
                <w:rFonts w:ascii="Arial" w:hAnsi="Arial" w:cs="Arial"/>
                <w:color w:val="000000"/>
                <w:sz w:val="18"/>
                <w:szCs w:val="18"/>
              </w:rPr>
              <w:t>53.0%</w:t>
            </w:r>
          </w:p>
        </w:tc>
        <w:tc>
          <w:tcPr>
            <w:tcW w:w="1160"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5CC605E8" w14:textId="77777777" w:rsidR="00D31EA2" w:rsidRDefault="00D31EA2" w:rsidP="00410442">
            <w:pPr>
              <w:rPr>
                <w:rFonts w:ascii="Arial" w:hAnsi="Arial" w:cs="Arial"/>
                <w:color w:val="000000"/>
                <w:sz w:val="18"/>
                <w:szCs w:val="18"/>
              </w:rPr>
            </w:pPr>
            <w:r>
              <w:rPr>
                <w:rFonts w:ascii="Arial" w:hAnsi="Arial" w:cs="Arial"/>
                <w:color w:val="000000"/>
                <w:sz w:val="18"/>
                <w:szCs w:val="18"/>
              </w:rPr>
              <w:t>53.3%</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33DD8E5E" w14:textId="77777777" w:rsidR="00D31EA2" w:rsidRDefault="00D31EA2" w:rsidP="00410442">
            <w:pPr>
              <w:rPr>
                <w:rFonts w:ascii="Arial" w:hAnsi="Arial" w:cs="Arial"/>
                <w:color w:val="000000"/>
                <w:sz w:val="18"/>
                <w:szCs w:val="18"/>
              </w:rPr>
            </w:pPr>
            <w:r>
              <w:rPr>
                <w:rFonts w:ascii="Arial" w:hAnsi="Arial" w:cs="Arial"/>
                <w:color w:val="000000"/>
                <w:sz w:val="18"/>
                <w:szCs w:val="18"/>
              </w:rPr>
              <w:t>52.7%</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55AB7401" w14:textId="77777777" w:rsidR="00D31EA2" w:rsidRDefault="00D31EA2" w:rsidP="00410442">
            <w:pPr>
              <w:rPr>
                <w:rFonts w:ascii="Arial" w:hAnsi="Arial" w:cs="Arial"/>
                <w:color w:val="000000"/>
                <w:sz w:val="18"/>
                <w:szCs w:val="18"/>
              </w:rPr>
            </w:pPr>
            <w:r>
              <w:rPr>
                <w:rFonts w:ascii="Arial" w:hAnsi="Arial" w:cs="Arial"/>
                <w:color w:val="000000"/>
                <w:sz w:val="18"/>
                <w:szCs w:val="18"/>
              </w:rPr>
              <w:t>51.6%</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2D8E2B9F" w14:textId="77777777" w:rsidR="00D31EA2" w:rsidRDefault="00D31EA2" w:rsidP="00410442">
            <w:pPr>
              <w:rPr>
                <w:rFonts w:ascii="Arial" w:hAnsi="Arial" w:cs="Arial"/>
                <w:color w:val="000000"/>
                <w:sz w:val="18"/>
                <w:szCs w:val="18"/>
              </w:rPr>
            </w:pPr>
            <w:r>
              <w:rPr>
                <w:rFonts w:ascii="Arial" w:hAnsi="Arial" w:cs="Arial"/>
                <w:color w:val="000000"/>
                <w:sz w:val="18"/>
                <w:szCs w:val="18"/>
              </w:rPr>
              <w:t>53.6%</w:t>
            </w:r>
          </w:p>
        </w:tc>
      </w:tr>
      <w:tr w:rsidR="00D31EA2" w14:paraId="7943D500" w14:textId="77777777" w:rsidTr="00311585">
        <w:trPr>
          <w:trHeight w:val="198"/>
        </w:trPr>
        <w:tc>
          <w:tcPr>
            <w:tcW w:w="2949" w:type="dxa"/>
            <w:vMerge/>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373050E1" w14:textId="77777777" w:rsidR="00D31EA2" w:rsidRPr="00AA148D" w:rsidRDefault="00D31EA2" w:rsidP="00410442">
            <w:pPr>
              <w:rPr>
                <w:rFonts w:ascii="Arial" w:hAnsi="Arial" w:cs="Arial"/>
                <w:sz w:val="18"/>
                <w:szCs w:val="18"/>
              </w:rPr>
            </w:pPr>
          </w:p>
        </w:tc>
        <w:tc>
          <w:tcPr>
            <w:tcW w:w="2555" w:type="dxa"/>
            <w:tcBorders>
              <w:top w:val="single" w:sz="8" w:space="0" w:color="004EA8"/>
              <w:left w:val="single" w:sz="8" w:space="0" w:color="004EA8"/>
              <w:bottom w:val="single" w:sz="8" w:space="0" w:color="004EA8"/>
              <w:right w:val="single" w:sz="8" w:space="0" w:color="004EA8"/>
            </w:tcBorders>
            <w:tcMar>
              <w:top w:w="40" w:type="dxa"/>
              <w:left w:w="80" w:type="dxa"/>
              <w:bottom w:w="40" w:type="dxa"/>
              <w:right w:w="40" w:type="dxa"/>
            </w:tcMar>
          </w:tcPr>
          <w:p w14:paraId="539B94B0" w14:textId="77777777" w:rsidR="00D31EA2" w:rsidRDefault="00D31EA2" w:rsidP="00410442">
            <w:pPr>
              <w:rPr>
                <w:rFonts w:ascii="Arial" w:hAnsi="Arial" w:cs="Arial"/>
                <w:color w:val="000000"/>
                <w:sz w:val="18"/>
                <w:szCs w:val="18"/>
              </w:rPr>
            </w:pPr>
            <w:r>
              <w:rPr>
                <w:rFonts w:ascii="Arial" w:hAnsi="Arial" w:cs="Arial"/>
                <w:color w:val="000000"/>
                <w:sz w:val="18"/>
                <w:szCs w:val="18"/>
              </w:rPr>
              <w:t>Aged</w:t>
            </w:r>
          </w:p>
        </w:tc>
        <w:tc>
          <w:tcPr>
            <w:tcW w:w="1159"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12A412AF" w14:textId="77777777" w:rsidR="00D31EA2" w:rsidRDefault="00D31EA2" w:rsidP="00410442">
            <w:pPr>
              <w:rPr>
                <w:rFonts w:ascii="Arial" w:hAnsi="Arial" w:cs="Arial"/>
                <w:color w:val="000000"/>
                <w:sz w:val="18"/>
                <w:szCs w:val="18"/>
              </w:rPr>
            </w:pPr>
            <w:r>
              <w:rPr>
                <w:rFonts w:ascii="Arial" w:hAnsi="Arial" w:cs="Arial"/>
                <w:color w:val="000000"/>
                <w:sz w:val="18"/>
                <w:szCs w:val="18"/>
              </w:rPr>
              <w:t>54.3%</w:t>
            </w:r>
          </w:p>
        </w:tc>
        <w:tc>
          <w:tcPr>
            <w:tcW w:w="1160"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3B6D88E2" w14:textId="77777777" w:rsidR="00D31EA2" w:rsidRDefault="00D31EA2" w:rsidP="00410442">
            <w:pPr>
              <w:rPr>
                <w:rFonts w:ascii="Arial" w:hAnsi="Arial" w:cs="Arial"/>
                <w:color w:val="000000"/>
                <w:sz w:val="18"/>
                <w:szCs w:val="18"/>
              </w:rPr>
            </w:pPr>
            <w:r>
              <w:rPr>
                <w:rFonts w:ascii="Arial" w:hAnsi="Arial" w:cs="Arial"/>
                <w:color w:val="000000"/>
                <w:sz w:val="18"/>
                <w:szCs w:val="18"/>
              </w:rPr>
              <w:t>54.5%</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7429209D" w14:textId="77777777" w:rsidR="00D31EA2" w:rsidRDefault="00D31EA2" w:rsidP="00410442">
            <w:pPr>
              <w:rPr>
                <w:rFonts w:ascii="Arial" w:hAnsi="Arial" w:cs="Arial"/>
                <w:color w:val="000000"/>
                <w:sz w:val="18"/>
                <w:szCs w:val="18"/>
              </w:rPr>
            </w:pPr>
            <w:r>
              <w:rPr>
                <w:rFonts w:ascii="Arial" w:hAnsi="Arial" w:cs="Arial"/>
                <w:color w:val="000000"/>
                <w:sz w:val="18"/>
                <w:szCs w:val="18"/>
              </w:rPr>
              <w:t>56.3%</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68D5110E" w14:textId="77777777" w:rsidR="00D31EA2" w:rsidRDefault="00D31EA2" w:rsidP="00410442">
            <w:pPr>
              <w:rPr>
                <w:rFonts w:ascii="Arial" w:hAnsi="Arial" w:cs="Arial"/>
                <w:color w:val="000000"/>
                <w:sz w:val="18"/>
                <w:szCs w:val="18"/>
              </w:rPr>
            </w:pPr>
            <w:r>
              <w:rPr>
                <w:rFonts w:ascii="Arial" w:hAnsi="Arial" w:cs="Arial"/>
                <w:color w:val="000000"/>
                <w:sz w:val="18"/>
                <w:szCs w:val="18"/>
              </w:rPr>
              <w:t>59.0%</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50FC4730" w14:textId="77777777" w:rsidR="00D31EA2" w:rsidRDefault="00D31EA2" w:rsidP="00410442">
            <w:pPr>
              <w:rPr>
                <w:rFonts w:ascii="Arial" w:hAnsi="Arial" w:cs="Arial"/>
                <w:color w:val="000000"/>
                <w:sz w:val="18"/>
                <w:szCs w:val="18"/>
              </w:rPr>
            </w:pPr>
            <w:r>
              <w:rPr>
                <w:rFonts w:ascii="Arial" w:hAnsi="Arial" w:cs="Arial"/>
                <w:color w:val="000000"/>
                <w:sz w:val="18"/>
                <w:szCs w:val="18"/>
              </w:rPr>
              <w:t>59.9%</w:t>
            </w:r>
          </w:p>
        </w:tc>
      </w:tr>
      <w:tr w:rsidR="00D31EA2" w14:paraId="54ABA6C3" w14:textId="77777777" w:rsidTr="00311585">
        <w:trPr>
          <w:trHeight w:val="198"/>
        </w:trPr>
        <w:tc>
          <w:tcPr>
            <w:tcW w:w="2949" w:type="dxa"/>
            <w:vMerge/>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3A4F55AA" w14:textId="77777777" w:rsidR="00D31EA2" w:rsidRPr="00AA148D" w:rsidRDefault="00D31EA2" w:rsidP="00410442">
            <w:pPr>
              <w:rPr>
                <w:rFonts w:ascii="Arial" w:hAnsi="Arial" w:cs="Arial"/>
                <w:sz w:val="18"/>
                <w:szCs w:val="18"/>
              </w:rPr>
            </w:pPr>
          </w:p>
        </w:tc>
        <w:tc>
          <w:tcPr>
            <w:tcW w:w="2555" w:type="dxa"/>
            <w:tcBorders>
              <w:top w:val="single" w:sz="8" w:space="0" w:color="004EA8"/>
              <w:left w:val="single" w:sz="8" w:space="0" w:color="004EA8"/>
              <w:bottom w:val="single" w:sz="8" w:space="0" w:color="004EA8"/>
              <w:right w:val="single" w:sz="8" w:space="0" w:color="004EA8"/>
            </w:tcBorders>
            <w:tcMar>
              <w:top w:w="40" w:type="dxa"/>
              <w:left w:w="80" w:type="dxa"/>
              <w:bottom w:w="40" w:type="dxa"/>
              <w:right w:w="40" w:type="dxa"/>
            </w:tcMar>
          </w:tcPr>
          <w:p w14:paraId="10962D8F" w14:textId="77777777" w:rsidR="00D31EA2" w:rsidRDefault="00D31EA2" w:rsidP="00410442">
            <w:pPr>
              <w:rPr>
                <w:rFonts w:ascii="Arial" w:hAnsi="Arial" w:cs="Arial"/>
                <w:color w:val="000000"/>
                <w:sz w:val="18"/>
                <w:szCs w:val="18"/>
              </w:rPr>
            </w:pPr>
            <w:r>
              <w:rPr>
                <w:rFonts w:ascii="Arial" w:hAnsi="Arial" w:cs="Arial"/>
                <w:color w:val="000000"/>
                <w:sz w:val="18"/>
                <w:szCs w:val="18"/>
              </w:rPr>
              <w:t>CAMHS</w:t>
            </w:r>
          </w:p>
        </w:tc>
        <w:tc>
          <w:tcPr>
            <w:tcW w:w="1159"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6C5E6F68" w14:textId="77777777" w:rsidR="00D31EA2" w:rsidRDefault="00D31EA2" w:rsidP="00410442">
            <w:pPr>
              <w:rPr>
                <w:rFonts w:ascii="Arial" w:hAnsi="Arial" w:cs="Arial"/>
                <w:color w:val="000000"/>
                <w:sz w:val="18"/>
                <w:szCs w:val="18"/>
              </w:rPr>
            </w:pPr>
            <w:r>
              <w:rPr>
                <w:rFonts w:ascii="Arial" w:hAnsi="Arial" w:cs="Arial"/>
                <w:color w:val="000000"/>
                <w:sz w:val="18"/>
                <w:szCs w:val="18"/>
              </w:rPr>
              <w:t>48.4%</w:t>
            </w:r>
          </w:p>
        </w:tc>
        <w:tc>
          <w:tcPr>
            <w:tcW w:w="1160"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7DE4EC47" w14:textId="77777777" w:rsidR="00D31EA2" w:rsidRDefault="00D31EA2" w:rsidP="00410442">
            <w:pPr>
              <w:rPr>
                <w:rFonts w:ascii="Arial" w:hAnsi="Arial" w:cs="Arial"/>
                <w:color w:val="000000"/>
                <w:sz w:val="18"/>
                <w:szCs w:val="18"/>
              </w:rPr>
            </w:pPr>
            <w:r>
              <w:rPr>
                <w:rFonts w:ascii="Arial" w:hAnsi="Arial" w:cs="Arial"/>
                <w:color w:val="000000"/>
                <w:sz w:val="18"/>
                <w:szCs w:val="18"/>
              </w:rPr>
              <w:t>48.1%</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5249579A" w14:textId="77777777" w:rsidR="00D31EA2" w:rsidRDefault="00D31EA2" w:rsidP="00410442">
            <w:pPr>
              <w:rPr>
                <w:rFonts w:ascii="Arial" w:hAnsi="Arial" w:cs="Arial"/>
                <w:color w:val="000000"/>
                <w:sz w:val="18"/>
                <w:szCs w:val="18"/>
              </w:rPr>
            </w:pPr>
            <w:r>
              <w:rPr>
                <w:rFonts w:ascii="Arial" w:hAnsi="Arial" w:cs="Arial"/>
                <w:color w:val="000000"/>
                <w:sz w:val="18"/>
                <w:szCs w:val="18"/>
              </w:rPr>
              <w:t>44.8%</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62B299DE" w14:textId="77777777" w:rsidR="00D31EA2" w:rsidRDefault="00D31EA2" w:rsidP="00410442">
            <w:pPr>
              <w:rPr>
                <w:rFonts w:ascii="Arial" w:hAnsi="Arial" w:cs="Arial"/>
                <w:color w:val="000000"/>
                <w:sz w:val="18"/>
                <w:szCs w:val="18"/>
              </w:rPr>
            </w:pPr>
            <w:r>
              <w:rPr>
                <w:rFonts w:ascii="Arial" w:hAnsi="Arial" w:cs="Arial"/>
                <w:color w:val="000000"/>
                <w:sz w:val="18"/>
                <w:szCs w:val="18"/>
              </w:rPr>
              <w:t>43.9%</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78C5BB34" w14:textId="77777777" w:rsidR="00D31EA2" w:rsidRDefault="00D31EA2" w:rsidP="00410442">
            <w:pPr>
              <w:rPr>
                <w:rFonts w:ascii="Arial" w:hAnsi="Arial" w:cs="Arial"/>
                <w:color w:val="000000"/>
                <w:sz w:val="18"/>
                <w:szCs w:val="18"/>
              </w:rPr>
            </w:pPr>
            <w:r>
              <w:rPr>
                <w:rFonts w:ascii="Arial" w:hAnsi="Arial" w:cs="Arial"/>
                <w:color w:val="000000"/>
                <w:sz w:val="18"/>
                <w:szCs w:val="18"/>
              </w:rPr>
              <w:t>47.2%</w:t>
            </w:r>
          </w:p>
        </w:tc>
      </w:tr>
      <w:tr w:rsidR="00D31EA2" w14:paraId="6AD72E19" w14:textId="77777777" w:rsidTr="00311585">
        <w:trPr>
          <w:trHeight w:val="198"/>
        </w:trPr>
        <w:tc>
          <w:tcPr>
            <w:tcW w:w="2949" w:type="dxa"/>
            <w:vMerge/>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58295DD5" w14:textId="77777777" w:rsidR="00D31EA2" w:rsidRPr="00AA148D" w:rsidRDefault="00D31EA2" w:rsidP="00410442">
            <w:pPr>
              <w:rPr>
                <w:rFonts w:ascii="Arial" w:hAnsi="Arial" w:cs="Arial"/>
                <w:sz w:val="18"/>
                <w:szCs w:val="18"/>
              </w:rPr>
            </w:pPr>
          </w:p>
        </w:tc>
        <w:tc>
          <w:tcPr>
            <w:tcW w:w="2555" w:type="dxa"/>
            <w:tcBorders>
              <w:top w:val="single" w:sz="8" w:space="0" w:color="004EA8"/>
              <w:left w:val="single" w:sz="8" w:space="0" w:color="004EA8"/>
              <w:bottom w:val="single" w:sz="8" w:space="0" w:color="004EA8"/>
              <w:right w:val="single" w:sz="8" w:space="0" w:color="004EA8"/>
            </w:tcBorders>
            <w:tcMar>
              <w:top w:w="40" w:type="dxa"/>
              <w:left w:w="80" w:type="dxa"/>
              <w:bottom w:w="40" w:type="dxa"/>
              <w:right w:w="40" w:type="dxa"/>
            </w:tcMar>
          </w:tcPr>
          <w:p w14:paraId="460189CC" w14:textId="77777777" w:rsidR="00D31EA2" w:rsidRDefault="00D31EA2" w:rsidP="00410442">
            <w:pPr>
              <w:rPr>
                <w:rFonts w:ascii="Arial" w:hAnsi="Arial" w:cs="Arial"/>
                <w:color w:val="000000"/>
                <w:sz w:val="18"/>
                <w:szCs w:val="18"/>
              </w:rPr>
            </w:pPr>
            <w:r>
              <w:rPr>
                <w:rFonts w:ascii="Arial" w:hAnsi="Arial" w:cs="Arial"/>
                <w:color w:val="000000"/>
                <w:sz w:val="18"/>
                <w:szCs w:val="18"/>
              </w:rPr>
              <w:t>Forensic</w:t>
            </w:r>
          </w:p>
        </w:tc>
        <w:tc>
          <w:tcPr>
            <w:tcW w:w="1159"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441033A5" w14:textId="77777777" w:rsidR="00D31EA2" w:rsidRDefault="00D31EA2" w:rsidP="00410442">
            <w:pPr>
              <w:rPr>
                <w:rFonts w:ascii="Arial" w:hAnsi="Arial" w:cs="Arial"/>
                <w:color w:val="000000"/>
                <w:sz w:val="18"/>
                <w:szCs w:val="18"/>
              </w:rPr>
            </w:pPr>
            <w:r>
              <w:rPr>
                <w:rFonts w:ascii="Arial" w:hAnsi="Arial" w:cs="Arial"/>
                <w:color w:val="000000"/>
                <w:sz w:val="18"/>
                <w:szCs w:val="18"/>
              </w:rPr>
              <w:t>**</w:t>
            </w:r>
          </w:p>
        </w:tc>
        <w:tc>
          <w:tcPr>
            <w:tcW w:w="1160"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3C9A274B" w14:textId="77777777" w:rsidR="00D31EA2" w:rsidRDefault="00D31EA2" w:rsidP="00410442">
            <w:pPr>
              <w:rPr>
                <w:rFonts w:ascii="Arial" w:hAnsi="Arial" w:cs="Arial"/>
                <w:color w:val="000000"/>
                <w:sz w:val="18"/>
                <w:szCs w:val="18"/>
              </w:rPr>
            </w:pPr>
            <w:r>
              <w:rPr>
                <w:rFonts w:ascii="Arial" w:hAnsi="Arial" w:cs="Arial"/>
                <w:color w:val="000000"/>
                <w:sz w:val="18"/>
                <w:szCs w:val="18"/>
              </w:rPr>
              <w:t>**</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00E246BC" w14:textId="77777777" w:rsidR="00D31EA2" w:rsidRDefault="00D31EA2" w:rsidP="00410442">
            <w:pPr>
              <w:rPr>
                <w:rFonts w:ascii="Arial" w:hAnsi="Arial" w:cs="Arial"/>
                <w:color w:val="000000"/>
                <w:sz w:val="18"/>
                <w:szCs w:val="18"/>
              </w:rPr>
            </w:pPr>
            <w:r>
              <w:rPr>
                <w:rFonts w:ascii="Arial" w:hAnsi="Arial" w:cs="Arial"/>
                <w:color w:val="000000"/>
                <w:sz w:val="18"/>
                <w:szCs w:val="18"/>
              </w:rPr>
              <w:t>**</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03C04FA6" w14:textId="77777777" w:rsidR="00D31EA2" w:rsidRDefault="00D31EA2" w:rsidP="00410442">
            <w:pPr>
              <w:rPr>
                <w:rFonts w:ascii="Arial" w:hAnsi="Arial" w:cs="Arial"/>
                <w:color w:val="000000"/>
                <w:sz w:val="18"/>
                <w:szCs w:val="18"/>
              </w:rPr>
            </w:pPr>
            <w:r>
              <w:rPr>
                <w:rFonts w:ascii="Arial" w:hAnsi="Arial" w:cs="Arial"/>
                <w:color w:val="000000"/>
                <w:sz w:val="18"/>
                <w:szCs w:val="18"/>
              </w:rPr>
              <w:t>**</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03BC5360" w14:textId="77777777" w:rsidR="00D31EA2" w:rsidRDefault="00D31EA2" w:rsidP="00410442">
            <w:pPr>
              <w:rPr>
                <w:rFonts w:ascii="Arial" w:hAnsi="Arial" w:cs="Arial"/>
                <w:color w:val="000000"/>
                <w:sz w:val="18"/>
                <w:szCs w:val="18"/>
              </w:rPr>
            </w:pPr>
            <w:r>
              <w:rPr>
                <w:rFonts w:ascii="Arial" w:hAnsi="Arial" w:cs="Arial"/>
                <w:color w:val="000000"/>
                <w:sz w:val="18"/>
                <w:szCs w:val="18"/>
              </w:rPr>
              <w:t>**</w:t>
            </w:r>
          </w:p>
        </w:tc>
      </w:tr>
      <w:tr w:rsidR="00D31EA2" w14:paraId="6DCBFBAF" w14:textId="77777777" w:rsidTr="00311585">
        <w:trPr>
          <w:trHeight w:val="198"/>
        </w:trPr>
        <w:tc>
          <w:tcPr>
            <w:tcW w:w="2949" w:type="dxa"/>
            <w:vMerge/>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5C1053B1" w14:textId="77777777" w:rsidR="00D31EA2" w:rsidRPr="00AA148D" w:rsidRDefault="00D31EA2" w:rsidP="00410442">
            <w:pPr>
              <w:rPr>
                <w:rFonts w:ascii="Arial" w:hAnsi="Arial" w:cs="Arial"/>
                <w:sz w:val="18"/>
                <w:szCs w:val="18"/>
              </w:rPr>
            </w:pPr>
          </w:p>
        </w:tc>
        <w:tc>
          <w:tcPr>
            <w:tcW w:w="2555" w:type="dxa"/>
            <w:tcBorders>
              <w:top w:val="single" w:sz="8" w:space="0" w:color="004EA8"/>
              <w:left w:val="single" w:sz="8" w:space="0" w:color="004EA8"/>
              <w:bottom w:val="single" w:sz="8" w:space="0" w:color="004EA8"/>
              <w:right w:val="single" w:sz="8" w:space="0" w:color="004EA8"/>
            </w:tcBorders>
            <w:tcMar>
              <w:top w:w="40" w:type="dxa"/>
              <w:left w:w="80" w:type="dxa"/>
              <w:bottom w:w="40" w:type="dxa"/>
              <w:right w:w="40" w:type="dxa"/>
            </w:tcMar>
          </w:tcPr>
          <w:p w14:paraId="7967972C" w14:textId="77777777" w:rsidR="00D31EA2" w:rsidRDefault="00D31EA2" w:rsidP="00410442">
            <w:pPr>
              <w:rPr>
                <w:rFonts w:ascii="Arial" w:hAnsi="Arial" w:cs="Arial"/>
                <w:color w:val="000000"/>
                <w:sz w:val="18"/>
                <w:szCs w:val="18"/>
              </w:rPr>
            </w:pPr>
            <w:r>
              <w:rPr>
                <w:rFonts w:ascii="Arial" w:hAnsi="Arial" w:cs="Arial"/>
                <w:color w:val="000000"/>
                <w:sz w:val="18"/>
                <w:szCs w:val="18"/>
              </w:rPr>
              <w:t>Specialist</w:t>
            </w:r>
          </w:p>
        </w:tc>
        <w:tc>
          <w:tcPr>
            <w:tcW w:w="1159"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161F6614" w14:textId="77777777" w:rsidR="00D31EA2" w:rsidRDefault="00D31EA2" w:rsidP="00410442">
            <w:pPr>
              <w:rPr>
                <w:rFonts w:ascii="Arial" w:hAnsi="Arial" w:cs="Arial"/>
                <w:color w:val="000000"/>
                <w:sz w:val="18"/>
                <w:szCs w:val="18"/>
              </w:rPr>
            </w:pPr>
            <w:r>
              <w:rPr>
                <w:rFonts w:ascii="Arial" w:hAnsi="Arial" w:cs="Arial"/>
                <w:color w:val="000000"/>
                <w:sz w:val="18"/>
                <w:szCs w:val="18"/>
              </w:rPr>
              <w:t>24.3%</w:t>
            </w:r>
          </w:p>
        </w:tc>
        <w:tc>
          <w:tcPr>
            <w:tcW w:w="1160"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4D9BC0BE" w14:textId="77777777" w:rsidR="00D31EA2" w:rsidRDefault="00D31EA2" w:rsidP="00410442">
            <w:pPr>
              <w:rPr>
                <w:rFonts w:ascii="Arial" w:hAnsi="Arial" w:cs="Arial"/>
                <w:color w:val="000000"/>
                <w:sz w:val="18"/>
                <w:szCs w:val="18"/>
              </w:rPr>
            </w:pPr>
            <w:r>
              <w:rPr>
                <w:rFonts w:ascii="Arial" w:hAnsi="Arial" w:cs="Arial"/>
                <w:color w:val="000000"/>
                <w:sz w:val="18"/>
                <w:szCs w:val="18"/>
              </w:rPr>
              <w:t>20.5%</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6B3E0AB1" w14:textId="77777777" w:rsidR="00D31EA2" w:rsidRDefault="00D31EA2" w:rsidP="00410442">
            <w:pPr>
              <w:rPr>
                <w:rFonts w:ascii="Arial" w:hAnsi="Arial" w:cs="Arial"/>
                <w:color w:val="000000"/>
                <w:sz w:val="18"/>
                <w:szCs w:val="18"/>
              </w:rPr>
            </w:pPr>
            <w:r>
              <w:rPr>
                <w:rFonts w:ascii="Arial" w:hAnsi="Arial" w:cs="Arial"/>
                <w:color w:val="000000"/>
                <w:sz w:val="18"/>
                <w:szCs w:val="18"/>
              </w:rPr>
              <w:t>24.1%</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462D280E" w14:textId="77777777" w:rsidR="00D31EA2" w:rsidRDefault="00D31EA2" w:rsidP="00410442">
            <w:pPr>
              <w:rPr>
                <w:rFonts w:ascii="Arial" w:hAnsi="Arial" w:cs="Arial"/>
                <w:color w:val="000000"/>
                <w:sz w:val="18"/>
                <w:szCs w:val="18"/>
              </w:rPr>
            </w:pPr>
            <w:r>
              <w:rPr>
                <w:rFonts w:ascii="Arial" w:hAnsi="Arial" w:cs="Arial"/>
                <w:color w:val="000000"/>
                <w:sz w:val="18"/>
                <w:szCs w:val="18"/>
              </w:rPr>
              <w:t>32.3%</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4D666F63" w14:textId="77777777" w:rsidR="00D31EA2" w:rsidRDefault="00D31EA2" w:rsidP="00410442">
            <w:pPr>
              <w:rPr>
                <w:rFonts w:ascii="Arial" w:hAnsi="Arial" w:cs="Arial"/>
                <w:color w:val="000000"/>
                <w:sz w:val="18"/>
                <w:szCs w:val="18"/>
              </w:rPr>
            </w:pPr>
            <w:r>
              <w:rPr>
                <w:rFonts w:ascii="Arial" w:hAnsi="Arial" w:cs="Arial"/>
                <w:color w:val="000000"/>
                <w:sz w:val="18"/>
                <w:szCs w:val="18"/>
              </w:rPr>
              <w:t>61.9%</w:t>
            </w:r>
          </w:p>
        </w:tc>
      </w:tr>
      <w:tr w:rsidR="00D31EA2" w14:paraId="79EFD156" w14:textId="77777777" w:rsidTr="00311585">
        <w:trPr>
          <w:trHeight w:val="240"/>
        </w:trPr>
        <w:tc>
          <w:tcPr>
            <w:tcW w:w="2949" w:type="dxa"/>
            <w:vMerge/>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458356CB" w14:textId="77777777" w:rsidR="00D31EA2" w:rsidRPr="00AA148D" w:rsidRDefault="00D31EA2" w:rsidP="00410442">
            <w:pPr>
              <w:rPr>
                <w:rFonts w:ascii="Arial" w:hAnsi="Arial" w:cs="Arial"/>
                <w:sz w:val="18"/>
                <w:szCs w:val="18"/>
              </w:rPr>
            </w:pPr>
          </w:p>
        </w:tc>
        <w:tc>
          <w:tcPr>
            <w:tcW w:w="2555" w:type="dxa"/>
            <w:tcBorders>
              <w:top w:val="single" w:sz="8" w:space="0" w:color="004EA8"/>
              <w:left w:val="single" w:sz="8" w:space="0" w:color="004EA8"/>
              <w:bottom w:val="single" w:sz="8" w:space="0" w:color="004EA8"/>
              <w:right w:val="single" w:sz="8" w:space="0" w:color="004EA8"/>
            </w:tcBorders>
            <w:shd w:val="clear" w:color="auto" w:fill="E0EAF5"/>
            <w:tcMar>
              <w:top w:w="40" w:type="dxa"/>
              <w:left w:w="80" w:type="dxa"/>
              <w:bottom w:w="40" w:type="dxa"/>
              <w:right w:w="40" w:type="dxa"/>
            </w:tcMar>
          </w:tcPr>
          <w:p w14:paraId="5AA58B14"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Total</w:t>
            </w:r>
          </w:p>
        </w:tc>
        <w:tc>
          <w:tcPr>
            <w:tcW w:w="1159" w:type="dxa"/>
            <w:tcBorders>
              <w:top w:val="single" w:sz="8" w:space="0" w:color="004EA8"/>
              <w:left w:val="single" w:sz="8" w:space="0" w:color="004EA8"/>
              <w:bottom w:val="single" w:sz="8" w:space="0" w:color="004EA8"/>
              <w:right w:val="single" w:sz="8" w:space="0" w:color="004EA8"/>
            </w:tcBorders>
            <w:shd w:val="clear" w:color="auto" w:fill="E0EAF5"/>
            <w:tcMar>
              <w:top w:w="43" w:type="dxa"/>
              <w:left w:w="86" w:type="dxa"/>
              <w:bottom w:w="58" w:type="dxa"/>
              <w:right w:w="43" w:type="dxa"/>
            </w:tcMar>
          </w:tcPr>
          <w:p w14:paraId="1BD5563C"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52.2%</w:t>
            </w:r>
          </w:p>
        </w:tc>
        <w:tc>
          <w:tcPr>
            <w:tcW w:w="1160" w:type="dxa"/>
            <w:tcBorders>
              <w:top w:val="single" w:sz="8" w:space="0" w:color="004EA8"/>
              <w:left w:val="single" w:sz="8" w:space="0" w:color="004EA8"/>
              <w:bottom w:val="single" w:sz="8" w:space="0" w:color="004EA8"/>
              <w:right w:val="single" w:sz="8" w:space="0" w:color="004EA8"/>
            </w:tcBorders>
            <w:shd w:val="clear" w:color="auto" w:fill="E0EAF5"/>
            <w:tcMar>
              <w:top w:w="43" w:type="dxa"/>
              <w:left w:w="86" w:type="dxa"/>
              <w:bottom w:w="58" w:type="dxa"/>
              <w:right w:w="43" w:type="dxa"/>
            </w:tcMar>
          </w:tcPr>
          <w:p w14:paraId="6259F8B6"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52.2%</w:t>
            </w:r>
          </w:p>
        </w:tc>
        <w:tc>
          <w:tcPr>
            <w:tcW w:w="1160" w:type="dxa"/>
            <w:tcBorders>
              <w:top w:val="single" w:sz="8" w:space="0" w:color="004EA8"/>
              <w:left w:val="single" w:sz="8" w:space="0" w:color="004EA8"/>
              <w:bottom w:val="single" w:sz="8" w:space="0" w:color="004EA8"/>
              <w:right w:val="single" w:sz="8" w:space="0" w:color="004EA8"/>
            </w:tcBorders>
            <w:shd w:val="clear" w:color="auto" w:fill="E0EAF5"/>
            <w:tcMar>
              <w:top w:w="40" w:type="dxa"/>
              <w:left w:w="80" w:type="dxa"/>
              <w:bottom w:w="60" w:type="dxa"/>
              <w:right w:w="40" w:type="dxa"/>
            </w:tcMar>
          </w:tcPr>
          <w:p w14:paraId="30A751CF"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51.6%</w:t>
            </w:r>
          </w:p>
        </w:tc>
        <w:tc>
          <w:tcPr>
            <w:tcW w:w="1160" w:type="dxa"/>
            <w:tcBorders>
              <w:top w:val="single" w:sz="8" w:space="0" w:color="004EA8"/>
              <w:left w:val="single" w:sz="8" w:space="0" w:color="004EA8"/>
              <w:bottom w:val="single" w:sz="8" w:space="0" w:color="004EA8"/>
              <w:right w:val="single" w:sz="8" w:space="0" w:color="004EA8"/>
            </w:tcBorders>
            <w:shd w:val="clear" w:color="auto" w:fill="E0EAF5"/>
            <w:tcMar>
              <w:top w:w="40" w:type="dxa"/>
              <w:left w:w="80" w:type="dxa"/>
              <w:bottom w:w="60" w:type="dxa"/>
              <w:right w:w="40" w:type="dxa"/>
            </w:tcMar>
          </w:tcPr>
          <w:p w14:paraId="1DFA3710"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51.2%</w:t>
            </w:r>
          </w:p>
        </w:tc>
        <w:tc>
          <w:tcPr>
            <w:tcW w:w="1160" w:type="dxa"/>
            <w:tcBorders>
              <w:top w:val="single" w:sz="8" w:space="0" w:color="004EA8"/>
              <w:left w:val="single" w:sz="8" w:space="0" w:color="004EA8"/>
              <w:bottom w:val="single" w:sz="8" w:space="0" w:color="004EA8"/>
              <w:right w:val="single" w:sz="8" w:space="0" w:color="004EA8"/>
            </w:tcBorders>
            <w:shd w:val="clear" w:color="auto" w:fill="E0EAF5"/>
            <w:tcMar>
              <w:top w:w="40" w:type="dxa"/>
              <w:left w:w="80" w:type="dxa"/>
              <w:bottom w:w="60" w:type="dxa"/>
              <w:right w:w="40" w:type="dxa"/>
            </w:tcMar>
          </w:tcPr>
          <w:p w14:paraId="231F1185"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53.4%</w:t>
            </w:r>
          </w:p>
        </w:tc>
      </w:tr>
      <w:tr w:rsidR="00D31EA2" w14:paraId="6B1560C5" w14:textId="77777777" w:rsidTr="00311585">
        <w:trPr>
          <w:trHeight w:val="198"/>
        </w:trPr>
        <w:tc>
          <w:tcPr>
            <w:tcW w:w="2949" w:type="dxa"/>
            <w:vMerge w:val="restart"/>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003ECF06"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Community cases stable at case closure</w:t>
            </w:r>
            <w:r w:rsidRPr="00AA148D">
              <w:rPr>
                <w:rFonts w:ascii="Arial" w:eastAsia="Verdana" w:hAnsi="Arial" w:cs="Arial"/>
                <w:color w:val="000000"/>
                <w:sz w:val="18"/>
                <w:szCs w:val="18"/>
                <w:vertAlign w:val="superscript"/>
              </w:rPr>
              <w:t>‡</w:t>
            </w:r>
            <w:r w:rsidRPr="00AA148D">
              <w:rPr>
                <w:rFonts w:ascii="Arial" w:eastAsia="Verdana" w:hAnsi="Arial" w:cs="Arial"/>
                <w:color w:val="000000"/>
                <w:sz w:val="18"/>
                <w:szCs w:val="18"/>
              </w:rPr>
              <w:t xml:space="preserve"> (%)</w:t>
            </w:r>
          </w:p>
        </w:tc>
        <w:tc>
          <w:tcPr>
            <w:tcW w:w="2555" w:type="dxa"/>
            <w:tcBorders>
              <w:top w:val="single" w:sz="8" w:space="0" w:color="004EA8"/>
              <w:left w:val="single" w:sz="8" w:space="0" w:color="004EA8"/>
              <w:bottom w:val="single" w:sz="8" w:space="0" w:color="004EA8"/>
              <w:right w:val="single" w:sz="8" w:space="0" w:color="004EA8"/>
            </w:tcBorders>
            <w:tcMar>
              <w:top w:w="40" w:type="dxa"/>
              <w:left w:w="80" w:type="dxa"/>
              <w:bottom w:w="40" w:type="dxa"/>
              <w:right w:w="40" w:type="dxa"/>
            </w:tcMar>
          </w:tcPr>
          <w:p w14:paraId="0498D98C" w14:textId="77777777" w:rsidR="00D31EA2" w:rsidRDefault="00D31EA2" w:rsidP="00410442">
            <w:pPr>
              <w:rPr>
                <w:rFonts w:ascii="Arial" w:hAnsi="Arial" w:cs="Arial"/>
                <w:color w:val="000000"/>
                <w:sz w:val="18"/>
                <w:szCs w:val="18"/>
              </w:rPr>
            </w:pPr>
            <w:r>
              <w:rPr>
                <w:rFonts w:ascii="Arial" w:hAnsi="Arial" w:cs="Arial"/>
                <w:color w:val="000000"/>
                <w:sz w:val="18"/>
                <w:szCs w:val="18"/>
              </w:rPr>
              <w:t>Adult</w:t>
            </w:r>
          </w:p>
        </w:tc>
        <w:tc>
          <w:tcPr>
            <w:tcW w:w="1159"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76DE8475" w14:textId="77777777" w:rsidR="00D31EA2" w:rsidRDefault="00D31EA2" w:rsidP="00410442">
            <w:pPr>
              <w:rPr>
                <w:rFonts w:ascii="Arial" w:hAnsi="Arial" w:cs="Arial"/>
                <w:color w:val="000000"/>
                <w:sz w:val="18"/>
                <w:szCs w:val="18"/>
              </w:rPr>
            </w:pPr>
            <w:r>
              <w:rPr>
                <w:rFonts w:ascii="Arial" w:hAnsi="Arial" w:cs="Arial"/>
                <w:color w:val="000000"/>
                <w:sz w:val="18"/>
                <w:szCs w:val="18"/>
              </w:rPr>
              <w:t>38.1%</w:t>
            </w:r>
          </w:p>
        </w:tc>
        <w:tc>
          <w:tcPr>
            <w:tcW w:w="1160"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518C7858" w14:textId="77777777" w:rsidR="00D31EA2" w:rsidRDefault="00D31EA2" w:rsidP="00410442">
            <w:pPr>
              <w:rPr>
                <w:rFonts w:ascii="Arial" w:hAnsi="Arial" w:cs="Arial"/>
                <w:color w:val="000000"/>
                <w:sz w:val="18"/>
                <w:szCs w:val="18"/>
              </w:rPr>
            </w:pPr>
            <w:r>
              <w:rPr>
                <w:rFonts w:ascii="Arial" w:hAnsi="Arial" w:cs="Arial"/>
                <w:color w:val="000000"/>
                <w:sz w:val="18"/>
                <w:szCs w:val="18"/>
              </w:rPr>
              <w:t>37.8%</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14F1BAFD" w14:textId="77777777" w:rsidR="00D31EA2" w:rsidRDefault="00D31EA2" w:rsidP="00410442">
            <w:pPr>
              <w:rPr>
                <w:rFonts w:ascii="Arial" w:hAnsi="Arial" w:cs="Arial"/>
                <w:color w:val="000000"/>
                <w:sz w:val="18"/>
                <w:szCs w:val="18"/>
              </w:rPr>
            </w:pPr>
            <w:r>
              <w:rPr>
                <w:rFonts w:ascii="Arial" w:hAnsi="Arial" w:cs="Arial"/>
                <w:color w:val="000000"/>
                <w:sz w:val="18"/>
                <w:szCs w:val="18"/>
              </w:rPr>
              <w:t>38.5%</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189F286C" w14:textId="77777777" w:rsidR="00D31EA2" w:rsidRDefault="00D31EA2" w:rsidP="00410442">
            <w:pPr>
              <w:rPr>
                <w:rFonts w:ascii="Arial" w:hAnsi="Arial" w:cs="Arial"/>
                <w:color w:val="000000"/>
                <w:sz w:val="18"/>
                <w:szCs w:val="18"/>
              </w:rPr>
            </w:pPr>
            <w:r>
              <w:rPr>
                <w:rFonts w:ascii="Arial" w:hAnsi="Arial" w:cs="Arial"/>
                <w:color w:val="000000"/>
                <w:sz w:val="18"/>
                <w:szCs w:val="18"/>
              </w:rPr>
              <w:t>39.6%</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2CDE66AA" w14:textId="77777777" w:rsidR="00D31EA2" w:rsidRDefault="00D31EA2" w:rsidP="00410442">
            <w:pPr>
              <w:rPr>
                <w:rFonts w:ascii="Arial" w:hAnsi="Arial" w:cs="Arial"/>
                <w:color w:val="000000"/>
                <w:sz w:val="18"/>
                <w:szCs w:val="18"/>
              </w:rPr>
            </w:pPr>
            <w:r>
              <w:rPr>
                <w:rFonts w:ascii="Arial" w:hAnsi="Arial" w:cs="Arial"/>
                <w:color w:val="000000"/>
                <w:sz w:val="18"/>
                <w:szCs w:val="18"/>
              </w:rPr>
              <w:t>37.5%</w:t>
            </w:r>
          </w:p>
        </w:tc>
      </w:tr>
      <w:tr w:rsidR="00D31EA2" w14:paraId="351E1E07" w14:textId="77777777" w:rsidTr="00311585">
        <w:trPr>
          <w:trHeight w:val="198"/>
        </w:trPr>
        <w:tc>
          <w:tcPr>
            <w:tcW w:w="2949" w:type="dxa"/>
            <w:vMerge/>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2E2E5DAE" w14:textId="77777777" w:rsidR="00D31EA2" w:rsidRPr="00AA148D" w:rsidRDefault="00D31EA2" w:rsidP="00410442">
            <w:pPr>
              <w:rPr>
                <w:rFonts w:ascii="Arial" w:hAnsi="Arial" w:cs="Arial"/>
                <w:sz w:val="18"/>
                <w:szCs w:val="18"/>
              </w:rPr>
            </w:pPr>
          </w:p>
        </w:tc>
        <w:tc>
          <w:tcPr>
            <w:tcW w:w="2555" w:type="dxa"/>
            <w:tcBorders>
              <w:top w:val="single" w:sz="8" w:space="0" w:color="004EA8"/>
              <w:left w:val="single" w:sz="8" w:space="0" w:color="004EA8"/>
              <w:bottom w:val="single" w:sz="8" w:space="0" w:color="004EA8"/>
              <w:right w:val="single" w:sz="8" w:space="0" w:color="004EA8"/>
            </w:tcBorders>
            <w:tcMar>
              <w:top w:w="40" w:type="dxa"/>
              <w:left w:w="80" w:type="dxa"/>
              <w:bottom w:w="40" w:type="dxa"/>
              <w:right w:w="40" w:type="dxa"/>
            </w:tcMar>
          </w:tcPr>
          <w:p w14:paraId="43CC9648" w14:textId="77777777" w:rsidR="00D31EA2" w:rsidRDefault="00D31EA2" w:rsidP="00410442">
            <w:pPr>
              <w:rPr>
                <w:rFonts w:ascii="Arial" w:hAnsi="Arial" w:cs="Arial"/>
                <w:color w:val="000000"/>
                <w:sz w:val="18"/>
                <w:szCs w:val="18"/>
              </w:rPr>
            </w:pPr>
            <w:r>
              <w:rPr>
                <w:rFonts w:ascii="Arial" w:hAnsi="Arial" w:cs="Arial"/>
                <w:color w:val="000000"/>
                <w:sz w:val="18"/>
                <w:szCs w:val="18"/>
              </w:rPr>
              <w:t>Aged</w:t>
            </w:r>
          </w:p>
        </w:tc>
        <w:tc>
          <w:tcPr>
            <w:tcW w:w="1159"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1AAE193B" w14:textId="77777777" w:rsidR="00D31EA2" w:rsidRDefault="00D31EA2" w:rsidP="00410442">
            <w:pPr>
              <w:rPr>
                <w:rFonts w:ascii="Arial" w:hAnsi="Arial" w:cs="Arial"/>
                <w:color w:val="000000"/>
                <w:sz w:val="18"/>
                <w:szCs w:val="18"/>
              </w:rPr>
            </w:pPr>
            <w:r>
              <w:rPr>
                <w:rFonts w:ascii="Arial" w:hAnsi="Arial" w:cs="Arial"/>
                <w:color w:val="000000"/>
                <w:sz w:val="18"/>
                <w:szCs w:val="18"/>
              </w:rPr>
              <w:t>39.6%</w:t>
            </w:r>
          </w:p>
        </w:tc>
        <w:tc>
          <w:tcPr>
            <w:tcW w:w="1160"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240AB471" w14:textId="77777777" w:rsidR="00D31EA2" w:rsidRDefault="00D31EA2" w:rsidP="00410442">
            <w:pPr>
              <w:rPr>
                <w:rFonts w:ascii="Arial" w:hAnsi="Arial" w:cs="Arial"/>
                <w:color w:val="000000"/>
                <w:sz w:val="18"/>
                <w:szCs w:val="18"/>
              </w:rPr>
            </w:pPr>
            <w:r>
              <w:rPr>
                <w:rFonts w:ascii="Arial" w:hAnsi="Arial" w:cs="Arial"/>
                <w:color w:val="000000"/>
                <w:sz w:val="18"/>
                <w:szCs w:val="18"/>
              </w:rPr>
              <w:t>37.8%</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49B91BE1" w14:textId="77777777" w:rsidR="00D31EA2" w:rsidRDefault="00D31EA2" w:rsidP="00410442">
            <w:pPr>
              <w:rPr>
                <w:rFonts w:ascii="Arial" w:hAnsi="Arial" w:cs="Arial"/>
                <w:color w:val="000000"/>
                <w:sz w:val="18"/>
                <w:szCs w:val="18"/>
              </w:rPr>
            </w:pPr>
            <w:r>
              <w:rPr>
                <w:rFonts w:ascii="Arial" w:hAnsi="Arial" w:cs="Arial"/>
                <w:color w:val="000000"/>
                <w:sz w:val="18"/>
                <w:szCs w:val="18"/>
              </w:rPr>
              <w:t>36.2%</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5D6F75DB" w14:textId="77777777" w:rsidR="00D31EA2" w:rsidRDefault="00D31EA2" w:rsidP="00410442">
            <w:pPr>
              <w:rPr>
                <w:rFonts w:ascii="Arial" w:hAnsi="Arial" w:cs="Arial"/>
                <w:color w:val="000000"/>
                <w:sz w:val="18"/>
                <w:szCs w:val="18"/>
              </w:rPr>
            </w:pPr>
            <w:r>
              <w:rPr>
                <w:rFonts w:ascii="Arial" w:hAnsi="Arial" w:cs="Arial"/>
                <w:color w:val="000000"/>
                <w:sz w:val="18"/>
                <w:szCs w:val="18"/>
              </w:rPr>
              <w:t>34.6%</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18093AB6" w14:textId="77777777" w:rsidR="00D31EA2" w:rsidRDefault="00D31EA2" w:rsidP="00410442">
            <w:pPr>
              <w:rPr>
                <w:rFonts w:ascii="Arial" w:hAnsi="Arial" w:cs="Arial"/>
                <w:color w:val="000000"/>
                <w:sz w:val="18"/>
                <w:szCs w:val="18"/>
              </w:rPr>
            </w:pPr>
            <w:r>
              <w:rPr>
                <w:rFonts w:ascii="Arial" w:hAnsi="Arial" w:cs="Arial"/>
                <w:color w:val="000000"/>
                <w:sz w:val="18"/>
                <w:szCs w:val="18"/>
              </w:rPr>
              <w:t>33.7%</w:t>
            </w:r>
          </w:p>
        </w:tc>
      </w:tr>
      <w:tr w:rsidR="00D31EA2" w14:paraId="08D5214A" w14:textId="77777777" w:rsidTr="00311585">
        <w:trPr>
          <w:trHeight w:val="198"/>
        </w:trPr>
        <w:tc>
          <w:tcPr>
            <w:tcW w:w="2949" w:type="dxa"/>
            <w:vMerge/>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5F72B813" w14:textId="77777777" w:rsidR="00D31EA2" w:rsidRPr="00AA148D" w:rsidRDefault="00D31EA2" w:rsidP="00410442">
            <w:pPr>
              <w:rPr>
                <w:rFonts w:ascii="Arial" w:hAnsi="Arial" w:cs="Arial"/>
                <w:sz w:val="18"/>
                <w:szCs w:val="18"/>
              </w:rPr>
            </w:pPr>
          </w:p>
        </w:tc>
        <w:tc>
          <w:tcPr>
            <w:tcW w:w="2555" w:type="dxa"/>
            <w:tcBorders>
              <w:top w:val="single" w:sz="8" w:space="0" w:color="004EA8"/>
              <w:left w:val="single" w:sz="8" w:space="0" w:color="004EA8"/>
              <w:bottom w:val="single" w:sz="8" w:space="0" w:color="004EA8"/>
              <w:right w:val="single" w:sz="8" w:space="0" w:color="004EA8"/>
            </w:tcBorders>
            <w:tcMar>
              <w:top w:w="40" w:type="dxa"/>
              <w:left w:w="80" w:type="dxa"/>
              <w:bottom w:w="40" w:type="dxa"/>
              <w:right w:w="40" w:type="dxa"/>
            </w:tcMar>
          </w:tcPr>
          <w:p w14:paraId="4F0CA052" w14:textId="77777777" w:rsidR="00D31EA2" w:rsidRDefault="00D31EA2" w:rsidP="00410442">
            <w:pPr>
              <w:rPr>
                <w:rFonts w:ascii="Arial" w:hAnsi="Arial" w:cs="Arial"/>
                <w:color w:val="000000"/>
                <w:sz w:val="18"/>
                <w:szCs w:val="18"/>
              </w:rPr>
            </w:pPr>
            <w:r>
              <w:rPr>
                <w:rFonts w:ascii="Arial" w:hAnsi="Arial" w:cs="Arial"/>
                <w:color w:val="000000"/>
                <w:sz w:val="18"/>
                <w:szCs w:val="18"/>
              </w:rPr>
              <w:t>CAMHS</w:t>
            </w:r>
          </w:p>
        </w:tc>
        <w:tc>
          <w:tcPr>
            <w:tcW w:w="1159"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326F4773" w14:textId="77777777" w:rsidR="00D31EA2" w:rsidRDefault="00D31EA2" w:rsidP="00410442">
            <w:pPr>
              <w:rPr>
                <w:rFonts w:ascii="Arial" w:hAnsi="Arial" w:cs="Arial"/>
                <w:color w:val="000000"/>
                <w:sz w:val="18"/>
                <w:szCs w:val="18"/>
              </w:rPr>
            </w:pPr>
            <w:r>
              <w:rPr>
                <w:rFonts w:ascii="Arial" w:hAnsi="Arial" w:cs="Arial"/>
                <w:color w:val="000000"/>
                <w:sz w:val="18"/>
                <w:szCs w:val="18"/>
              </w:rPr>
              <w:t>42.2%</w:t>
            </w:r>
          </w:p>
        </w:tc>
        <w:tc>
          <w:tcPr>
            <w:tcW w:w="1160"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7214E290" w14:textId="77777777" w:rsidR="00D31EA2" w:rsidRDefault="00D31EA2" w:rsidP="00410442">
            <w:pPr>
              <w:rPr>
                <w:rFonts w:ascii="Arial" w:hAnsi="Arial" w:cs="Arial"/>
                <w:color w:val="000000"/>
                <w:sz w:val="18"/>
                <w:szCs w:val="18"/>
              </w:rPr>
            </w:pPr>
            <w:r>
              <w:rPr>
                <w:rFonts w:ascii="Arial" w:hAnsi="Arial" w:cs="Arial"/>
                <w:color w:val="000000"/>
                <w:sz w:val="18"/>
                <w:szCs w:val="18"/>
              </w:rPr>
              <w:t>43.2%</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26449BB6" w14:textId="77777777" w:rsidR="00D31EA2" w:rsidRDefault="00D31EA2" w:rsidP="00410442">
            <w:pPr>
              <w:rPr>
                <w:rFonts w:ascii="Arial" w:hAnsi="Arial" w:cs="Arial"/>
                <w:color w:val="000000"/>
                <w:sz w:val="18"/>
                <w:szCs w:val="18"/>
              </w:rPr>
            </w:pPr>
            <w:r>
              <w:rPr>
                <w:rFonts w:ascii="Arial" w:hAnsi="Arial" w:cs="Arial"/>
                <w:color w:val="000000"/>
                <w:sz w:val="18"/>
                <w:szCs w:val="18"/>
              </w:rPr>
              <w:t>45.9%</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31165016" w14:textId="77777777" w:rsidR="00D31EA2" w:rsidRDefault="00D31EA2" w:rsidP="00410442">
            <w:pPr>
              <w:rPr>
                <w:rFonts w:ascii="Arial" w:hAnsi="Arial" w:cs="Arial"/>
                <w:color w:val="000000"/>
                <w:sz w:val="18"/>
                <w:szCs w:val="18"/>
              </w:rPr>
            </w:pPr>
            <w:r>
              <w:rPr>
                <w:rFonts w:ascii="Arial" w:hAnsi="Arial" w:cs="Arial"/>
                <w:color w:val="000000"/>
                <w:sz w:val="18"/>
                <w:szCs w:val="18"/>
              </w:rPr>
              <w:t>47.1%</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400B33F5" w14:textId="77777777" w:rsidR="00D31EA2" w:rsidRDefault="00D31EA2" w:rsidP="00410442">
            <w:pPr>
              <w:rPr>
                <w:rFonts w:ascii="Arial" w:hAnsi="Arial" w:cs="Arial"/>
                <w:color w:val="000000"/>
                <w:sz w:val="18"/>
                <w:szCs w:val="18"/>
              </w:rPr>
            </w:pPr>
            <w:r>
              <w:rPr>
                <w:rFonts w:ascii="Arial" w:hAnsi="Arial" w:cs="Arial"/>
                <w:color w:val="000000"/>
                <w:sz w:val="18"/>
                <w:szCs w:val="18"/>
              </w:rPr>
              <w:t>44.1%</w:t>
            </w:r>
          </w:p>
        </w:tc>
      </w:tr>
      <w:tr w:rsidR="00D31EA2" w14:paraId="6EAACA97" w14:textId="77777777" w:rsidTr="00311585">
        <w:trPr>
          <w:trHeight w:val="198"/>
        </w:trPr>
        <w:tc>
          <w:tcPr>
            <w:tcW w:w="2949" w:type="dxa"/>
            <w:vMerge/>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736ABAD8" w14:textId="77777777" w:rsidR="00D31EA2" w:rsidRPr="00AA148D" w:rsidRDefault="00D31EA2" w:rsidP="00410442">
            <w:pPr>
              <w:rPr>
                <w:rFonts w:ascii="Arial" w:hAnsi="Arial" w:cs="Arial"/>
                <w:sz w:val="18"/>
                <w:szCs w:val="18"/>
              </w:rPr>
            </w:pPr>
          </w:p>
        </w:tc>
        <w:tc>
          <w:tcPr>
            <w:tcW w:w="2555" w:type="dxa"/>
            <w:tcBorders>
              <w:top w:val="single" w:sz="8" w:space="0" w:color="004EA8"/>
              <w:left w:val="single" w:sz="8" w:space="0" w:color="004EA8"/>
              <w:bottom w:val="single" w:sz="8" w:space="0" w:color="004EA8"/>
              <w:right w:val="single" w:sz="8" w:space="0" w:color="004EA8"/>
            </w:tcBorders>
            <w:tcMar>
              <w:top w:w="40" w:type="dxa"/>
              <w:left w:w="80" w:type="dxa"/>
              <w:bottom w:w="40" w:type="dxa"/>
              <w:right w:w="40" w:type="dxa"/>
            </w:tcMar>
          </w:tcPr>
          <w:p w14:paraId="608EDBB1" w14:textId="77777777" w:rsidR="00D31EA2" w:rsidRDefault="00D31EA2" w:rsidP="00410442">
            <w:pPr>
              <w:rPr>
                <w:rFonts w:ascii="Arial" w:hAnsi="Arial" w:cs="Arial"/>
                <w:color w:val="000000"/>
                <w:sz w:val="18"/>
                <w:szCs w:val="18"/>
              </w:rPr>
            </w:pPr>
            <w:r>
              <w:rPr>
                <w:rFonts w:ascii="Arial" w:hAnsi="Arial" w:cs="Arial"/>
                <w:color w:val="000000"/>
                <w:sz w:val="18"/>
                <w:szCs w:val="18"/>
              </w:rPr>
              <w:t>Forensic</w:t>
            </w:r>
          </w:p>
        </w:tc>
        <w:tc>
          <w:tcPr>
            <w:tcW w:w="1159"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638EEC71" w14:textId="77777777" w:rsidR="00D31EA2" w:rsidRDefault="00D31EA2" w:rsidP="00410442">
            <w:pPr>
              <w:rPr>
                <w:rFonts w:ascii="Arial" w:hAnsi="Arial" w:cs="Arial"/>
                <w:color w:val="000000"/>
                <w:sz w:val="18"/>
                <w:szCs w:val="18"/>
              </w:rPr>
            </w:pPr>
            <w:r>
              <w:rPr>
                <w:rFonts w:ascii="Arial" w:hAnsi="Arial" w:cs="Arial"/>
                <w:color w:val="000000"/>
                <w:sz w:val="18"/>
                <w:szCs w:val="18"/>
              </w:rPr>
              <w:t>**</w:t>
            </w:r>
          </w:p>
        </w:tc>
        <w:tc>
          <w:tcPr>
            <w:tcW w:w="1160"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7D118E67" w14:textId="77777777" w:rsidR="00D31EA2" w:rsidRDefault="00D31EA2" w:rsidP="00410442">
            <w:pPr>
              <w:rPr>
                <w:rFonts w:ascii="Arial" w:hAnsi="Arial" w:cs="Arial"/>
                <w:color w:val="000000"/>
                <w:sz w:val="18"/>
                <w:szCs w:val="18"/>
              </w:rPr>
            </w:pPr>
            <w:r>
              <w:rPr>
                <w:rFonts w:ascii="Arial" w:hAnsi="Arial" w:cs="Arial"/>
                <w:color w:val="000000"/>
                <w:sz w:val="18"/>
                <w:szCs w:val="18"/>
              </w:rPr>
              <w:t>**</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25910014" w14:textId="77777777" w:rsidR="00D31EA2" w:rsidRDefault="00D31EA2" w:rsidP="00410442">
            <w:pPr>
              <w:rPr>
                <w:rFonts w:ascii="Arial" w:hAnsi="Arial" w:cs="Arial"/>
                <w:color w:val="000000"/>
                <w:sz w:val="18"/>
                <w:szCs w:val="18"/>
              </w:rPr>
            </w:pPr>
            <w:r>
              <w:rPr>
                <w:rFonts w:ascii="Arial" w:hAnsi="Arial" w:cs="Arial"/>
                <w:color w:val="000000"/>
                <w:sz w:val="18"/>
                <w:szCs w:val="18"/>
              </w:rPr>
              <w:t>**</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46BCC014" w14:textId="77777777" w:rsidR="00D31EA2" w:rsidRDefault="00D31EA2" w:rsidP="00410442">
            <w:pPr>
              <w:rPr>
                <w:rFonts w:ascii="Arial" w:hAnsi="Arial" w:cs="Arial"/>
                <w:color w:val="000000"/>
                <w:sz w:val="18"/>
                <w:szCs w:val="18"/>
              </w:rPr>
            </w:pPr>
            <w:r>
              <w:rPr>
                <w:rFonts w:ascii="Arial" w:hAnsi="Arial" w:cs="Arial"/>
                <w:color w:val="000000"/>
                <w:sz w:val="18"/>
                <w:szCs w:val="18"/>
              </w:rPr>
              <w:t>**</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52219DAD" w14:textId="77777777" w:rsidR="00D31EA2" w:rsidRDefault="00D31EA2" w:rsidP="00410442">
            <w:pPr>
              <w:rPr>
                <w:rFonts w:ascii="Arial" w:hAnsi="Arial" w:cs="Arial"/>
                <w:color w:val="000000"/>
                <w:sz w:val="18"/>
                <w:szCs w:val="18"/>
              </w:rPr>
            </w:pPr>
            <w:r>
              <w:rPr>
                <w:rFonts w:ascii="Arial" w:hAnsi="Arial" w:cs="Arial"/>
                <w:color w:val="000000"/>
                <w:sz w:val="18"/>
                <w:szCs w:val="18"/>
              </w:rPr>
              <w:t>**</w:t>
            </w:r>
          </w:p>
        </w:tc>
      </w:tr>
      <w:tr w:rsidR="00D31EA2" w14:paraId="38EE571C" w14:textId="77777777" w:rsidTr="00311585">
        <w:trPr>
          <w:trHeight w:val="198"/>
        </w:trPr>
        <w:tc>
          <w:tcPr>
            <w:tcW w:w="2949" w:type="dxa"/>
            <w:vMerge/>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292AED68" w14:textId="77777777" w:rsidR="00D31EA2" w:rsidRPr="00AA148D" w:rsidRDefault="00D31EA2" w:rsidP="00410442">
            <w:pPr>
              <w:rPr>
                <w:rFonts w:ascii="Arial" w:hAnsi="Arial" w:cs="Arial"/>
                <w:sz w:val="18"/>
                <w:szCs w:val="18"/>
              </w:rPr>
            </w:pPr>
          </w:p>
        </w:tc>
        <w:tc>
          <w:tcPr>
            <w:tcW w:w="2555" w:type="dxa"/>
            <w:tcBorders>
              <w:top w:val="single" w:sz="8" w:space="0" w:color="004EA8"/>
              <w:left w:val="single" w:sz="8" w:space="0" w:color="004EA8"/>
              <w:bottom w:val="single" w:sz="8" w:space="0" w:color="004EA8"/>
              <w:right w:val="single" w:sz="8" w:space="0" w:color="004EA8"/>
            </w:tcBorders>
            <w:tcMar>
              <w:top w:w="40" w:type="dxa"/>
              <w:left w:w="80" w:type="dxa"/>
              <w:bottom w:w="40" w:type="dxa"/>
              <w:right w:w="40" w:type="dxa"/>
            </w:tcMar>
          </w:tcPr>
          <w:p w14:paraId="6EE26DA5" w14:textId="77777777" w:rsidR="00D31EA2" w:rsidRDefault="00D31EA2" w:rsidP="00410442">
            <w:pPr>
              <w:rPr>
                <w:rFonts w:ascii="Arial" w:hAnsi="Arial" w:cs="Arial"/>
                <w:color w:val="000000"/>
                <w:sz w:val="18"/>
                <w:szCs w:val="18"/>
              </w:rPr>
            </w:pPr>
            <w:r>
              <w:rPr>
                <w:rFonts w:ascii="Arial" w:hAnsi="Arial" w:cs="Arial"/>
                <w:color w:val="000000"/>
                <w:sz w:val="18"/>
                <w:szCs w:val="18"/>
              </w:rPr>
              <w:t>Specialist</w:t>
            </w:r>
          </w:p>
        </w:tc>
        <w:tc>
          <w:tcPr>
            <w:tcW w:w="1159"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7F953BFD" w14:textId="77777777" w:rsidR="00D31EA2" w:rsidRDefault="00D31EA2" w:rsidP="00410442">
            <w:pPr>
              <w:rPr>
                <w:rFonts w:ascii="Arial" w:hAnsi="Arial" w:cs="Arial"/>
                <w:color w:val="000000"/>
                <w:sz w:val="18"/>
                <w:szCs w:val="18"/>
              </w:rPr>
            </w:pPr>
            <w:r>
              <w:rPr>
                <w:rFonts w:ascii="Arial" w:hAnsi="Arial" w:cs="Arial"/>
                <w:color w:val="000000"/>
                <w:sz w:val="18"/>
                <w:szCs w:val="18"/>
              </w:rPr>
              <w:t>70.6%</w:t>
            </w:r>
          </w:p>
        </w:tc>
        <w:tc>
          <w:tcPr>
            <w:tcW w:w="1160"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1B2B4C3A" w14:textId="77777777" w:rsidR="00D31EA2" w:rsidRDefault="00D31EA2" w:rsidP="00410442">
            <w:pPr>
              <w:rPr>
                <w:rFonts w:ascii="Arial" w:hAnsi="Arial" w:cs="Arial"/>
                <w:color w:val="000000"/>
                <w:sz w:val="18"/>
                <w:szCs w:val="18"/>
              </w:rPr>
            </w:pPr>
            <w:r>
              <w:rPr>
                <w:rFonts w:ascii="Arial" w:hAnsi="Arial" w:cs="Arial"/>
                <w:color w:val="000000"/>
                <w:sz w:val="18"/>
                <w:szCs w:val="18"/>
              </w:rPr>
              <w:t>75.0%</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67181586" w14:textId="77777777" w:rsidR="00D31EA2" w:rsidRDefault="00D31EA2" w:rsidP="00410442">
            <w:pPr>
              <w:rPr>
                <w:rFonts w:ascii="Arial" w:hAnsi="Arial" w:cs="Arial"/>
                <w:color w:val="000000"/>
                <w:sz w:val="18"/>
                <w:szCs w:val="18"/>
              </w:rPr>
            </w:pPr>
            <w:r>
              <w:rPr>
                <w:rFonts w:ascii="Arial" w:hAnsi="Arial" w:cs="Arial"/>
                <w:color w:val="000000"/>
                <w:sz w:val="18"/>
                <w:szCs w:val="18"/>
              </w:rPr>
              <w:t>72.4%</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21FEA852" w14:textId="77777777" w:rsidR="00D31EA2" w:rsidRDefault="00D31EA2" w:rsidP="00410442">
            <w:pPr>
              <w:rPr>
                <w:rFonts w:ascii="Arial" w:hAnsi="Arial" w:cs="Arial"/>
                <w:color w:val="000000"/>
                <w:sz w:val="18"/>
                <w:szCs w:val="18"/>
              </w:rPr>
            </w:pPr>
            <w:r>
              <w:rPr>
                <w:rFonts w:ascii="Arial" w:hAnsi="Arial" w:cs="Arial"/>
                <w:color w:val="000000"/>
                <w:sz w:val="18"/>
                <w:szCs w:val="18"/>
              </w:rPr>
              <w:t>67.1%</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418C282E" w14:textId="77777777" w:rsidR="00D31EA2" w:rsidRDefault="00D31EA2" w:rsidP="00410442">
            <w:pPr>
              <w:rPr>
                <w:rFonts w:ascii="Arial" w:hAnsi="Arial" w:cs="Arial"/>
                <w:color w:val="000000"/>
                <w:sz w:val="18"/>
                <w:szCs w:val="18"/>
              </w:rPr>
            </w:pPr>
            <w:r>
              <w:rPr>
                <w:rFonts w:ascii="Arial" w:hAnsi="Arial" w:cs="Arial"/>
                <w:color w:val="000000"/>
                <w:sz w:val="18"/>
                <w:szCs w:val="18"/>
              </w:rPr>
              <w:t>28.6%</w:t>
            </w:r>
          </w:p>
        </w:tc>
      </w:tr>
      <w:tr w:rsidR="00D31EA2" w14:paraId="6D15F4B7" w14:textId="77777777" w:rsidTr="00311585">
        <w:trPr>
          <w:trHeight w:val="240"/>
        </w:trPr>
        <w:tc>
          <w:tcPr>
            <w:tcW w:w="2949" w:type="dxa"/>
            <w:vMerge/>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2A90A451" w14:textId="77777777" w:rsidR="00D31EA2" w:rsidRPr="00AA148D" w:rsidRDefault="00D31EA2" w:rsidP="00410442">
            <w:pPr>
              <w:rPr>
                <w:rFonts w:ascii="Arial" w:hAnsi="Arial" w:cs="Arial"/>
                <w:sz w:val="18"/>
                <w:szCs w:val="18"/>
              </w:rPr>
            </w:pPr>
          </w:p>
        </w:tc>
        <w:tc>
          <w:tcPr>
            <w:tcW w:w="2555" w:type="dxa"/>
            <w:tcBorders>
              <w:top w:val="single" w:sz="8" w:space="0" w:color="004EA8"/>
              <w:left w:val="single" w:sz="8" w:space="0" w:color="004EA8"/>
              <w:bottom w:val="single" w:sz="8" w:space="0" w:color="004EA8"/>
              <w:right w:val="single" w:sz="8" w:space="0" w:color="004EA8"/>
            </w:tcBorders>
            <w:shd w:val="clear" w:color="auto" w:fill="E0EAF5"/>
            <w:tcMar>
              <w:top w:w="40" w:type="dxa"/>
              <w:left w:w="80" w:type="dxa"/>
              <w:bottom w:w="40" w:type="dxa"/>
              <w:right w:w="40" w:type="dxa"/>
            </w:tcMar>
          </w:tcPr>
          <w:p w14:paraId="09FC746C"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Total</w:t>
            </w:r>
          </w:p>
        </w:tc>
        <w:tc>
          <w:tcPr>
            <w:tcW w:w="1159" w:type="dxa"/>
            <w:tcBorders>
              <w:top w:val="single" w:sz="8" w:space="0" w:color="004EA8"/>
              <w:left w:val="single" w:sz="8" w:space="0" w:color="004EA8"/>
              <w:bottom w:val="single" w:sz="8" w:space="0" w:color="004EA8"/>
              <w:right w:val="single" w:sz="8" w:space="0" w:color="004EA8"/>
            </w:tcBorders>
            <w:shd w:val="clear" w:color="auto" w:fill="E0EAF5"/>
            <w:tcMar>
              <w:top w:w="43" w:type="dxa"/>
              <w:left w:w="86" w:type="dxa"/>
              <w:bottom w:w="58" w:type="dxa"/>
              <w:right w:w="43" w:type="dxa"/>
            </w:tcMar>
          </w:tcPr>
          <w:p w14:paraId="350B012B"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39.4%</w:t>
            </w:r>
          </w:p>
        </w:tc>
        <w:tc>
          <w:tcPr>
            <w:tcW w:w="1160" w:type="dxa"/>
            <w:tcBorders>
              <w:top w:val="single" w:sz="8" w:space="0" w:color="004EA8"/>
              <w:left w:val="single" w:sz="8" w:space="0" w:color="004EA8"/>
              <w:bottom w:val="single" w:sz="8" w:space="0" w:color="004EA8"/>
              <w:right w:val="single" w:sz="8" w:space="0" w:color="004EA8"/>
            </w:tcBorders>
            <w:shd w:val="clear" w:color="auto" w:fill="E0EAF5"/>
            <w:tcMar>
              <w:top w:w="43" w:type="dxa"/>
              <w:left w:w="86" w:type="dxa"/>
              <w:bottom w:w="58" w:type="dxa"/>
              <w:right w:w="43" w:type="dxa"/>
            </w:tcMar>
          </w:tcPr>
          <w:p w14:paraId="02388F5D"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39.2%</w:t>
            </w:r>
          </w:p>
        </w:tc>
        <w:tc>
          <w:tcPr>
            <w:tcW w:w="1160" w:type="dxa"/>
            <w:tcBorders>
              <w:top w:val="single" w:sz="8" w:space="0" w:color="004EA8"/>
              <w:left w:val="single" w:sz="8" w:space="0" w:color="004EA8"/>
              <w:bottom w:val="single" w:sz="8" w:space="0" w:color="004EA8"/>
              <w:right w:val="single" w:sz="8" w:space="0" w:color="004EA8"/>
            </w:tcBorders>
            <w:shd w:val="clear" w:color="auto" w:fill="E0EAF5"/>
            <w:tcMar>
              <w:top w:w="40" w:type="dxa"/>
              <w:left w:w="80" w:type="dxa"/>
              <w:bottom w:w="60" w:type="dxa"/>
              <w:right w:w="40" w:type="dxa"/>
            </w:tcMar>
          </w:tcPr>
          <w:p w14:paraId="4EE093DD"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39.7%</w:t>
            </w:r>
          </w:p>
        </w:tc>
        <w:tc>
          <w:tcPr>
            <w:tcW w:w="1160" w:type="dxa"/>
            <w:tcBorders>
              <w:top w:val="single" w:sz="8" w:space="0" w:color="004EA8"/>
              <w:left w:val="single" w:sz="8" w:space="0" w:color="004EA8"/>
              <w:bottom w:val="single" w:sz="8" w:space="0" w:color="004EA8"/>
              <w:right w:val="single" w:sz="8" w:space="0" w:color="004EA8"/>
            </w:tcBorders>
            <w:shd w:val="clear" w:color="auto" w:fill="E0EAF5"/>
            <w:tcMar>
              <w:top w:w="40" w:type="dxa"/>
              <w:left w:w="80" w:type="dxa"/>
              <w:bottom w:w="60" w:type="dxa"/>
              <w:right w:w="40" w:type="dxa"/>
            </w:tcMar>
          </w:tcPr>
          <w:p w14:paraId="18955E28"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40.4%</w:t>
            </w:r>
          </w:p>
        </w:tc>
        <w:tc>
          <w:tcPr>
            <w:tcW w:w="1160" w:type="dxa"/>
            <w:tcBorders>
              <w:top w:val="single" w:sz="8" w:space="0" w:color="004EA8"/>
              <w:left w:val="single" w:sz="8" w:space="0" w:color="004EA8"/>
              <w:bottom w:val="single" w:sz="8" w:space="0" w:color="004EA8"/>
              <w:right w:val="single" w:sz="8" w:space="0" w:color="004EA8"/>
            </w:tcBorders>
            <w:shd w:val="clear" w:color="auto" w:fill="E0EAF5"/>
            <w:tcMar>
              <w:top w:w="40" w:type="dxa"/>
              <w:left w:w="80" w:type="dxa"/>
              <w:bottom w:w="60" w:type="dxa"/>
              <w:right w:w="40" w:type="dxa"/>
            </w:tcMar>
          </w:tcPr>
          <w:p w14:paraId="3549D8FB"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38.0%</w:t>
            </w:r>
          </w:p>
        </w:tc>
      </w:tr>
      <w:tr w:rsidR="00D31EA2" w14:paraId="57BD230C" w14:textId="77777777" w:rsidTr="00311585">
        <w:trPr>
          <w:trHeight w:val="198"/>
        </w:trPr>
        <w:tc>
          <w:tcPr>
            <w:tcW w:w="2949" w:type="dxa"/>
            <w:vMerge w:val="restart"/>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7E5A0105"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Community cases with significant deterioration at case closure</w:t>
            </w:r>
            <w:r w:rsidRPr="00AA148D">
              <w:rPr>
                <w:rFonts w:ascii="Arial" w:eastAsia="Verdana" w:hAnsi="Arial" w:cs="Arial"/>
                <w:color w:val="000000"/>
                <w:sz w:val="18"/>
                <w:szCs w:val="18"/>
                <w:vertAlign w:val="superscript"/>
              </w:rPr>
              <w:t>‡</w:t>
            </w:r>
            <w:r w:rsidRPr="00AA148D">
              <w:rPr>
                <w:rFonts w:ascii="Arial" w:eastAsia="Verdana" w:hAnsi="Arial" w:cs="Arial"/>
                <w:color w:val="000000"/>
                <w:sz w:val="18"/>
                <w:szCs w:val="18"/>
              </w:rPr>
              <w:t xml:space="preserve"> (%)</w:t>
            </w:r>
          </w:p>
        </w:tc>
        <w:tc>
          <w:tcPr>
            <w:tcW w:w="2555" w:type="dxa"/>
            <w:tcBorders>
              <w:top w:val="single" w:sz="8" w:space="0" w:color="004EA8"/>
              <w:left w:val="single" w:sz="8" w:space="0" w:color="004EA8"/>
              <w:bottom w:val="single" w:sz="8" w:space="0" w:color="004EA8"/>
              <w:right w:val="single" w:sz="8" w:space="0" w:color="004EA8"/>
            </w:tcBorders>
            <w:tcMar>
              <w:top w:w="40" w:type="dxa"/>
              <w:left w:w="80" w:type="dxa"/>
              <w:bottom w:w="40" w:type="dxa"/>
              <w:right w:w="40" w:type="dxa"/>
            </w:tcMar>
          </w:tcPr>
          <w:p w14:paraId="5DE6166C" w14:textId="77777777" w:rsidR="00D31EA2" w:rsidRDefault="00D31EA2" w:rsidP="00410442">
            <w:pPr>
              <w:rPr>
                <w:rFonts w:ascii="Arial" w:hAnsi="Arial" w:cs="Arial"/>
                <w:color w:val="000000"/>
                <w:sz w:val="18"/>
                <w:szCs w:val="18"/>
              </w:rPr>
            </w:pPr>
            <w:r>
              <w:rPr>
                <w:rFonts w:ascii="Arial" w:hAnsi="Arial" w:cs="Arial"/>
                <w:color w:val="000000"/>
                <w:sz w:val="18"/>
                <w:szCs w:val="18"/>
              </w:rPr>
              <w:t>Adult</w:t>
            </w:r>
          </w:p>
        </w:tc>
        <w:tc>
          <w:tcPr>
            <w:tcW w:w="1159"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5EF725F1" w14:textId="77777777" w:rsidR="00D31EA2" w:rsidRDefault="00D31EA2" w:rsidP="00410442">
            <w:pPr>
              <w:rPr>
                <w:rFonts w:ascii="Arial" w:hAnsi="Arial" w:cs="Arial"/>
                <w:color w:val="000000"/>
                <w:sz w:val="18"/>
                <w:szCs w:val="18"/>
              </w:rPr>
            </w:pPr>
            <w:r>
              <w:rPr>
                <w:rFonts w:ascii="Arial" w:hAnsi="Arial" w:cs="Arial"/>
                <w:color w:val="000000"/>
                <w:sz w:val="18"/>
                <w:szCs w:val="18"/>
              </w:rPr>
              <w:t>8.9%</w:t>
            </w:r>
          </w:p>
        </w:tc>
        <w:tc>
          <w:tcPr>
            <w:tcW w:w="1160"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4A77804B" w14:textId="77777777" w:rsidR="00D31EA2" w:rsidRDefault="00D31EA2" w:rsidP="00410442">
            <w:pPr>
              <w:rPr>
                <w:rFonts w:ascii="Arial" w:hAnsi="Arial" w:cs="Arial"/>
                <w:color w:val="000000"/>
                <w:sz w:val="18"/>
                <w:szCs w:val="18"/>
              </w:rPr>
            </w:pPr>
            <w:r>
              <w:rPr>
                <w:rFonts w:ascii="Arial" w:hAnsi="Arial" w:cs="Arial"/>
                <w:color w:val="000000"/>
                <w:sz w:val="18"/>
                <w:szCs w:val="18"/>
              </w:rPr>
              <w:t>8.9%</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65818CBE" w14:textId="77777777" w:rsidR="00D31EA2" w:rsidRDefault="00D31EA2" w:rsidP="00410442">
            <w:pPr>
              <w:rPr>
                <w:rFonts w:ascii="Arial" w:hAnsi="Arial" w:cs="Arial"/>
                <w:color w:val="000000"/>
                <w:sz w:val="18"/>
                <w:szCs w:val="18"/>
              </w:rPr>
            </w:pPr>
            <w:r>
              <w:rPr>
                <w:rFonts w:ascii="Arial" w:hAnsi="Arial" w:cs="Arial"/>
                <w:color w:val="000000"/>
                <w:sz w:val="18"/>
                <w:szCs w:val="18"/>
              </w:rPr>
              <w:t>8.9%</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36014A83" w14:textId="77777777" w:rsidR="00D31EA2" w:rsidRDefault="00D31EA2" w:rsidP="00410442">
            <w:pPr>
              <w:rPr>
                <w:rFonts w:ascii="Arial" w:hAnsi="Arial" w:cs="Arial"/>
                <w:color w:val="000000"/>
                <w:sz w:val="18"/>
                <w:szCs w:val="18"/>
              </w:rPr>
            </w:pPr>
            <w:r>
              <w:rPr>
                <w:rFonts w:ascii="Arial" w:hAnsi="Arial" w:cs="Arial"/>
                <w:color w:val="000000"/>
                <w:sz w:val="18"/>
                <w:szCs w:val="18"/>
              </w:rPr>
              <w:t>8.8%</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6A94563C" w14:textId="77777777" w:rsidR="00D31EA2" w:rsidRDefault="00D31EA2" w:rsidP="00410442">
            <w:pPr>
              <w:rPr>
                <w:rFonts w:ascii="Arial" w:hAnsi="Arial" w:cs="Arial"/>
                <w:color w:val="000000"/>
                <w:sz w:val="18"/>
                <w:szCs w:val="18"/>
              </w:rPr>
            </w:pPr>
            <w:r>
              <w:rPr>
                <w:rFonts w:ascii="Arial" w:hAnsi="Arial" w:cs="Arial"/>
                <w:color w:val="000000"/>
                <w:sz w:val="18"/>
                <w:szCs w:val="18"/>
              </w:rPr>
              <w:t>9.0%</w:t>
            </w:r>
          </w:p>
        </w:tc>
      </w:tr>
      <w:tr w:rsidR="00D31EA2" w14:paraId="71D695BF" w14:textId="77777777" w:rsidTr="00311585">
        <w:trPr>
          <w:trHeight w:val="198"/>
        </w:trPr>
        <w:tc>
          <w:tcPr>
            <w:tcW w:w="2949" w:type="dxa"/>
            <w:vMerge/>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0DF668BE" w14:textId="77777777" w:rsidR="00D31EA2" w:rsidRPr="00AA148D" w:rsidRDefault="00D31EA2" w:rsidP="00410442">
            <w:pPr>
              <w:rPr>
                <w:rFonts w:ascii="Arial" w:hAnsi="Arial" w:cs="Arial"/>
                <w:sz w:val="18"/>
                <w:szCs w:val="18"/>
              </w:rPr>
            </w:pPr>
          </w:p>
        </w:tc>
        <w:tc>
          <w:tcPr>
            <w:tcW w:w="2555" w:type="dxa"/>
            <w:tcBorders>
              <w:top w:val="single" w:sz="8" w:space="0" w:color="004EA8"/>
              <w:left w:val="single" w:sz="8" w:space="0" w:color="004EA8"/>
              <w:bottom w:val="single" w:sz="8" w:space="0" w:color="004EA8"/>
              <w:right w:val="single" w:sz="8" w:space="0" w:color="004EA8"/>
            </w:tcBorders>
            <w:tcMar>
              <w:top w:w="40" w:type="dxa"/>
              <w:left w:w="80" w:type="dxa"/>
              <w:bottom w:w="40" w:type="dxa"/>
              <w:right w:w="40" w:type="dxa"/>
            </w:tcMar>
          </w:tcPr>
          <w:p w14:paraId="411CEB49" w14:textId="77777777" w:rsidR="00D31EA2" w:rsidRDefault="00D31EA2" w:rsidP="00410442">
            <w:pPr>
              <w:rPr>
                <w:rFonts w:ascii="Arial" w:hAnsi="Arial" w:cs="Arial"/>
                <w:color w:val="000000"/>
                <w:sz w:val="18"/>
                <w:szCs w:val="18"/>
              </w:rPr>
            </w:pPr>
            <w:r>
              <w:rPr>
                <w:rFonts w:ascii="Arial" w:hAnsi="Arial" w:cs="Arial"/>
                <w:color w:val="000000"/>
                <w:sz w:val="18"/>
                <w:szCs w:val="18"/>
              </w:rPr>
              <w:t>Aged</w:t>
            </w:r>
          </w:p>
        </w:tc>
        <w:tc>
          <w:tcPr>
            <w:tcW w:w="1159"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0D7B1415" w14:textId="77777777" w:rsidR="00D31EA2" w:rsidRDefault="00D31EA2" w:rsidP="00410442">
            <w:pPr>
              <w:rPr>
                <w:rFonts w:ascii="Arial" w:hAnsi="Arial" w:cs="Arial"/>
                <w:color w:val="000000"/>
                <w:sz w:val="18"/>
                <w:szCs w:val="18"/>
              </w:rPr>
            </w:pPr>
            <w:r>
              <w:rPr>
                <w:rFonts w:ascii="Arial" w:hAnsi="Arial" w:cs="Arial"/>
                <w:color w:val="000000"/>
                <w:sz w:val="18"/>
                <w:szCs w:val="18"/>
              </w:rPr>
              <w:t>6.1%</w:t>
            </w:r>
          </w:p>
        </w:tc>
        <w:tc>
          <w:tcPr>
            <w:tcW w:w="1160"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45BE24D2" w14:textId="77777777" w:rsidR="00D31EA2" w:rsidRDefault="00D31EA2" w:rsidP="00410442">
            <w:pPr>
              <w:rPr>
                <w:rFonts w:ascii="Arial" w:hAnsi="Arial" w:cs="Arial"/>
                <w:color w:val="000000"/>
                <w:sz w:val="18"/>
                <w:szCs w:val="18"/>
              </w:rPr>
            </w:pPr>
            <w:r>
              <w:rPr>
                <w:rFonts w:ascii="Arial" w:hAnsi="Arial" w:cs="Arial"/>
                <w:color w:val="000000"/>
                <w:sz w:val="18"/>
                <w:szCs w:val="18"/>
              </w:rPr>
              <w:t>7.7%</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2A977929" w14:textId="77777777" w:rsidR="00D31EA2" w:rsidRDefault="00D31EA2" w:rsidP="00410442">
            <w:pPr>
              <w:rPr>
                <w:rFonts w:ascii="Arial" w:hAnsi="Arial" w:cs="Arial"/>
                <w:color w:val="000000"/>
                <w:sz w:val="18"/>
                <w:szCs w:val="18"/>
              </w:rPr>
            </w:pPr>
            <w:r>
              <w:rPr>
                <w:rFonts w:ascii="Arial" w:hAnsi="Arial" w:cs="Arial"/>
                <w:color w:val="000000"/>
                <w:sz w:val="18"/>
                <w:szCs w:val="18"/>
              </w:rPr>
              <w:t>7.5%</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100FF0D1" w14:textId="77777777" w:rsidR="00D31EA2" w:rsidRDefault="00D31EA2" w:rsidP="00410442">
            <w:pPr>
              <w:rPr>
                <w:rFonts w:ascii="Arial" w:hAnsi="Arial" w:cs="Arial"/>
                <w:color w:val="000000"/>
                <w:sz w:val="18"/>
                <w:szCs w:val="18"/>
              </w:rPr>
            </w:pPr>
            <w:r>
              <w:rPr>
                <w:rFonts w:ascii="Arial" w:hAnsi="Arial" w:cs="Arial"/>
                <w:color w:val="000000"/>
                <w:sz w:val="18"/>
                <w:szCs w:val="18"/>
              </w:rPr>
              <w:t>6.4%</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4E962A03" w14:textId="77777777" w:rsidR="00D31EA2" w:rsidRDefault="00D31EA2" w:rsidP="00410442">
            <w:pPr>
              <w:rPr>
                <w:rFonts w:ascii="Arial" w:hAnsi="Arial" w:cs="Arial"/>
                <w:color w:val="000000"/>
                <w:sz w:val="18"/>
                <w:szCs w:val="18"/>
              </w:rPr>
            </w:pPr>
            <w:r>
              <w:rPr>
                <w:rFonts w:ascii="Arial" w:hAnsi="Arial" w:cs="Arial"/>
                <w:color w:val="000000"/>
                <w:sz w:val="18"/>
                <w:szCs w:val="18"/>
              </w:rPr>
              <w:t>6.4%</w:t>
            </w:r>
          </w:p>
        </w:tc>
      </w:tr>
      <w:tr w:rsidR="00D31EA2" w14:paraId="356BE7DD" w14:textId="77777777" w:rsidTr="00311585">
        <w:trPr>
          <w:trHeight w:val="198"/>
        </w:trPr>
        <w:tc>
          <w:tcPr>
            <w:tcW w:w="2949" w:type="dxa"/>
            <w:vMerge/>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503BA65D" w14:textId="77777777" w:rsidR="00D31EA2" w:rsidRPr="00AA148D" w:rsidRDefault="00D31EA2" w:rsidP="00410442">
            <w:pPr>
              <w:rPr>
                <w:rFonts w:ascii="Arial" w:hAnsi="Arial" w:cs="Arial"/>
                <w:sz w:val="18"/>
                <w:szCs w:val="18"/>
              </w:rPr>
            </w:pPr>
          </w:p>
        </w:tc>
        <w:tc>
          <w:tcPr>
            <w:tcW w:w="2555" w:type="dxa"/>
            <w:tcBorders>
              <w:top w:val="single" w:sz="8" w:space="0" w:color="004EA8"/>
              <w:left w:val="single" w:sz="8" w:space="0" w:color="004EA8"/>
              <w:bottom w:val="single" w:sz="8" w:space="0" w:color="004EA8"/>
              <w:right w:val="single" w:sz="8" w:space="0" w:color="004EA8"/>
            </w:tcBorders>
            <w:tcMar>
              <w:top w:w="40" w:type="dxa"/>
              <w:left w:w="80" w:type="dxa"/>
              <w:bottom w:w="40" w:type="dxa"/>
              <w:right w:w="40" w:type="dxa"/>
            </w:tcMar>
          </w:tcPr>
          <w:p w14:paraId="1B6A1FDE" w14:textId="77777777" w:rsidR="00D31EA2" w:rsidRDefault="00D31EA2" w:rsidP="00410442">
            <w:pPr>
              <w:rPr>
                <w:rFonts w:ascii="Arial" w:hAnsi="Arial" w:cs="Arial"/>
                <w:color w:val="000000"/>
                <w:sz w:val="18"/>
                <w:szCs w:val="18"/>
              </w:rPr>
            </w:pPr>
            <w:r>
              <w:rPr>
                <w:rFonts w:ascii="Arial" w:hAnsi="Arial" w:cs="Arial"/>
                <w:color w:val="000000"/>
                <w:sz w:val="18"/>
                <w:szCs w:val="18"/>
              </w:rPr>
              <w:t>CAMHS</w:t>
            </w:r>
          </w:p>
        </w:tc>
        <w:tc>
          <w:tcPr>
            <w:tcW w:w="1159"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51555892" w14:textId="77777777" w:rsidR="00D31EA2" w:rsidRDefault="00D31EA2" w:rsidP="00410442">
            <w:pPr>
              <w:rPr>
                <w:rFonts w:ascii="Arial" w:hAnsi="Arial" w:cs="Arial"/>
                <w:color w:val="000000"/>
                <w:sz w:val="18"/>
                <w:szCs w:val="18"/>
              </w:rPr>
            </w:pPr>
            <w:r>
              <w:rPr>
                <w:rFonts w:ascii="Arial" w:hAnsi="Arial" w:cs="Arial"/>
                <w:color w:val="000000"/>
                <w:sz w:val="18"/>
                <w:szCs w:val="18"/>
              </w:rPr>
              <w:t>9.4%</w:t>
            </w:r>
          </w:p>
        </w:tc>
        <w:tc>
          <w:tcPr>
            <w:tcW w:w="1160"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5233B979" w14:textId="77777777" w:rsidR="00D31EA2" w:rsidRDefault="00D31EA2" w:rsidP="00410442">
            <w:pPr>
              <w:rPr>
                <w:rFonts w:ascii="Arial" w:hAnsi="Arial" w:cs="Arial"/>
                <w:color w:val="000000"/>
                <w:sz w:val="18"/>
                <w:szCs w:val="18"/>
              </w:rPr>
            </w:pPr>
            <w:r>
              <w:rPr>
                <w:rFonts w:ascii="Arial" w:hAnsi="Arial" w:cs="Arial"/>
                <w:color w:val="000000"/>
                <w:sz w:val="18"/>
                <w:szCs w:val="18"/>
              </w:rPr>
              <w:t>8.7%</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255F2808" w14:textId="77777777" w:rsidR="00D31EA2" w:rsidRDefault="00D31EA2" w:rsidP="00410442">
            <w:pPr>
              <w:rPr>
                <w:rFonts w:ascii="Arial" w:hAnsi="Arial" w:cs="Arial"/>
                <w:color w:val="000000"/>
                <w:sz w:val="18"/>
                <w:szCs w:val="18"/>
              </w:rPr>
            </w:pPr>
            <w:r>
              <w:rPr>
                <w:rFonts w:ascii="Arial" w:hAnsi="Arial" w:cs="Arial"/>
                <w:color w:val="000000"/>
                <w:sz w:val="18"/>
                <w:szCs w:val="18"/>
              </w:rPr>
              <w:t>9.3%</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4E8F82E9" w14:textId="77777777" w:rsidR="00D31EA2" w:rsidRDefault="00D31EA2" w:rsidP="00410442">
            <w:pPr>
              <w:rPr>
                <w:rFonts w:ascii="Arial" w:hAnsi="Arial" w:cs="Arial"/>
                <w:color w:val="000000"/>
                <w:sz w:val="18"/>
                <w:szCs w:val="18"/>
              </w:rPr>
            </w:pPr>
            <w:r>
              <w:rPr>
                <w:rFonts w:ascii="Arial" w:hAnsi="Arial" w:cs="Arial"/>
                <w:color w:val="000000"/>
                <w:sz w:val="18"/>
                <w:szCs w:val="18"/>
              </w:rPr>
              <w:t>9.0%</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729E13D6" w14:textId="77777777" w:rsidR="00D31EA2" w:rsidRDefault="00D31EA2" w:rsidP="00410442">
            <w:pPr>
              <w:rPr>
                <w:rFonts w:ascii="Arial" w:hAnsi="Arial" w:cs="Arial"/>
                <w:color w:val="000000"/>
                <w:sz w:val="18"/>
                <w:szCs w:val="18"/>
              </w:rPr>
            </w:pPr>
            <w:r>
              <w:rPr>
                <w:rFonts w:ascii="Arial" w:hAnsi="Arial" w:cs="Arial"/>
                <w:color w:val="000000"/>
                <w:sz w:val="18"/>
                <w:szCs w:val="18"/>
              </w:rPr>
              <w:t>8.8%</w:t>
            </w:r>
          </w:p>
        </w:tc>
      </w:tr>
      <w:tr w:rsidR="00D31EA2" w14:paraId="137387B7" w14:textId="77777777" w:rsidTr="00311585">
        <w:trPr>
          <w:trHeight w:val="198"/>
        </w:trPr>
        <w:tc>
          <w:tcPr>
            <w:tcW w:w="2949" w:type="dxa"/>
            <w:vMerge/>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07AACB27" w14:textId="77777777" w:rsidR="00D31EA2" w:rsidRPr="00AA148D" w:rsidRDefault="00D31EA2" w:rsidP="00410442">
            <w:pPr>
              <w:rPr>
                <w:rFonts w:ascii="Arial" w:hAnsi="Arial" w:cs="Arial"/>
                <w:sz w:val="18"/>
                <w:szCs w:val="18"/>
              </w:rPr>
            </w:pPr>
          </w:p>
        </w:tc>
        <w:tc>
          <w:tcPr>
            <w:tcW w:w="2555" w:type="dxa"/>
            <w:tcBorders>
              <w:top w:val="single" w:sz="8" w:space="0" w:color="004EA8"/>
              <w:left w:val="single" w:sz="8" w:space="0" w:color="004EA8"/>
              <w:bottom w:val="single" w:sz="8" w:space="0" w:color="004EA8"/>
              <w:right w:val="single" w:sz="8" w:space="0" w:color="004EA8"/>
            </w:tcBorders>
            <w:tcMar>
              <w:top w:w="40" w:type="dxa"/>
              <w:left w:w="80" w:type="dxa"/>
              <w:bottom w:w="40" w:type="dxa"/>
              <w:right w:w="40" w:type="dxa"/>
            </w:tcMar>
          </w:tcPr>
          <w:p w14:paraId="3E403DAE" w14:textId="77777777" w:rsidR="00D31EA2" w:rsidRDefault="00D31EA2" w:rsidP="00410442">
            <w:pPr>
              <w:rPr>
                <w:rFonts w:ascii="Arial" w:hAnsi="Arial" w:cs="Arial"/>
                <w:color w:val="000000"/>
                <w:sz w:val="18"/>
                <w:szCs w:val="18"/>
              </w:rPr>
            </w:pPr>
            <w:r>
              <w:rPr>
                <w:rFonts w:ascii="Arial" w:hAnsi="Arial" w:cs="Arial"/>
                <w:color w:val="000000"/>
                <w:sz w:val="18"/>
                <w:szCs w:val="18"/>
              </w:rPr>
              <w:t>Forensic</w:t>
            </w:r>
          </w:p>
        </w:tc>
        <w:tc>
          <w:tcPr>
            <w:tcW w:w="1159"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418B23FD" w14:textId="77777777" w:rsidR="00D31EA2" w:rsidRDefault="00D31EA2" w:rsidP="00410442">
            <w:pPr>
              <w:rPr>
                <w:rFonts w:ascii="Arial" w:hAnsi="Arial" w:cs="Arial"/>
                <w:color w:val="000000"/>
                <w:sz w:val="18"/>
                <w:szCs w:val="18"/>
              </w:rPr>
            </w:pPr>
            <w:r>
              <w:rPr>
                <w:rFonts w:ascii="Arial" w:hAnsi="Arial" w:cs="Arial"/>
                <w:color w:val="000000"/>
                <w:sz w:val="18"/>
                <w:szCs w:val="18"/>
              </w:rPr>
              <w:t>**</w:t>
            </w:r>
          </w:p>
        </w:tc>
        <w:tc>
          <w:tcPr>
            <w:tcW w:w="1160"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11F06A58" w14:textId="77777777" w:rsidR="00D31EA2" w:rsidRDefault="00D31EA2" w:rsidP="00410442">
            <w:pPr>
              <w:rPr>
                <w:rFonts w:ascii="Arial" w:hAnsi="Arial" w:cs="Arial"/>
                <w:color w:val="000000"/>
                <w:sz w:val="18"/>
                <w:szCs w:val="18"/>
              </w:rPr>
            </w:pPr>
            <w:r>
              <w:rPr>
                <w:rFonts w:ascii="Arial" w:hAnsi="Arial" w:cs="Arial"/>
                <w:color w:val="000000"/>
                <w:sz w:val="18"/>
                <w:szCs w:val="18"/>
              </w:rPr>
              <w:t>**</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4F2C65BE" w14:textId="77777777" w:rsidR="00D31EA2" w:rsidRDefault="00D31EA2" w:rsidP="00410442">
            <w:pPr>
              <w:rPr>
                <w:rFonts w:ascii="Arial" w:hAnsi="Arial" w:cs="Arial"/>
                <w:color w:val="000000"/>
                <w:sz w:val="18"/>
                <w:szCs w:val="18"/>
              </w:rPr>
            </w:pPr>
            <w:r>
              <w:rPr>
                <w:rFonts w:ascii="Arial" w:hAnsi="Arial" w:cs="Arial"/>
                <w:color w:val="000000"/>
                <w:sz w:val="18"/>
                <w:szCs w:val="18"/>
              </w:rPr>
              <w:t>**</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75481791" w14:textId="77777777" w:rsidR="00D31EA2" w:rsidRDefault="00D31EA2" w:rsidP="00410442">
            <w:pPr>
              <w:rPr>
                <w:rFonts w:ascii="Arial" w:hAnsi="Arial" w:cs="Arial"/>
                <w:color w:val="000000"/>
                <w:sz w:val="18"/>
                <w:szCs w:val="18"/>
              </w:rPr>
            </w:pPr>
            <w:r>
              <w:rPr>
                <w:rFonts w:ascii="Arial" w:hAnsi="Arial" w:cs="Arial"/>
                <w:color w:val="000000"/>
                <w:sz w:val="18"/>
                <w:szCs w:val="18"/>
              </w:rPr>
              <w:t>**</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69BD04F1" w14:textId="77777777" w:rsidR="00D31EA2" w:rsidRDefault="00D31EA2" w:rsidP="00410442">
            <w:pPr>
              <w:rPr>
                <w:rFonts w:ascii="Arial" w:hAnsi="Arial" w:cs="Arial"/>
                <w:color w:val="000000"/>
                <w:sz w:val="18"/>
                <w:szCs w:val="18"/>
              </w:rPr>
            </w:pPr>
            <w:r>
              <w:rPr>
                <w:rFonts w:ascii="Arial" w:hAnsi="Arial" w:cs="Arial"/>
                <w:color w:val="000000"/>
                <w:sz w:val="18"/>
                <w:szCs w:val="18"/>
              </w:rPr>
              <w:t>**</w:t>
            </w:r>
          </w:p>
        </w:tc>
      </w:tr>
      <w:tr w:rsidR="00D31EA2" w14:paraId="7A794E18" w14:textId="77777777" w:rsidTr="00311585">
        <w:trPr>
          <w:trHeight w:val="198"/>
        </w:trPr>
        <w:tc>
          <w:tcPr>
            <w:tcW w:w="2949" w:type="dxa"/>
            <w:vMerge/>
            <w:tcBorders>
              <w:top w:val="single" w:sz="8" w:space="0" w:color="004EA8"/>
              <w:left w:val="single" w:sz="8" w:space="0" w:color="004EA8"/>
              <w:bottom w:val="single" w:sz="8" w:space="0" w:color="004EA8"/>
              <w:right w:val="single" w:sz="8" w:space="0" w:color="004EA8"/>
            </w:tcBorders>
            <w:tcMar>
              <w:top w:w="40" w:type="dxa"/>
              <w:left w:w="120" w:type="dxa"/>
              <w:bottom w:w="40" w:type="dxa"/>
              <w:right w:w="40" w:type="dxa"/>
            </w:tcMar>
          </w:tcPr>
          <w:p w14:paraId="522A3C1D" w14:textId="77777777" w:rsidR="00D31EA2" w:rsidRPr="00AA148D" w:rsidRDefault="00D31EA2" w:rsidP="00410442">
            <w:pPr>
              <w:rPr>
                <w:rFonts w:ascii="Arial" w:hAnsi="Arial" w:cs="Arial"/>
                <w:sz w:val="18"/>
                <w:szCs w:val="18"/>
              </w:rPr>
            </w:pPr>
          </w:p>
        </w:tc>
        <w:tc>
          <w:tcPr>
            <w:tcW w:w="2555" w:type="dxa"/>
            <w:tcBorders>
              <w:top w:val="single" w:sz="8" w:space="0" w:color="004EA8"/>
              <w:left w:val="single" w:sz="8" w:space="0" w:color="004EA8"/>
              <w:bottom w:val="single" w:sz="8" w:space="0" w:color="004EA8"/>
              <w:right w:val="single" w:sz="8" w:space="0" w:color="004EA8"/>
            </w:tcBorders>
            <w:tcMar>
              <w:top w:w="40" w:type="dxa"/>
              <w:left w:w="80" w:type="dxa"/>
              <w:bottom w:w="40" w:type="dxa"/>
              <w:right w:w="40" w:type="dxa"/>
            </w:tcMar>
          </w:tcPr>
          <w:p w14:paraId="39510D10" w14:textId="77777777" w:rsidR="00D31EA2" w:rsidRDefault="00D31EA2" w:rsidP="00410442">
            <w:pPr>
              <w:rPr>
                <w:rFonts w:ascii="Arial" w:hAnsi="Arial" w:cs="Arial"/>
                <w:color w:val="000000"/>
                <w:sz w:val="18"/>
                <w:szCs w:val="18"/>
              </w:rPr>
            </w:pPr>
            <w:r>
              <w:rPr>
                <w:rFonts w:ascii="Arial" w:hAnsi="Arial" w:cs="Arial"/>
                <w:color w:val="000000"/>
                <w:sz w:val="18"/>
                <w:szCs w:val="18"/>
              </w:rPr>
              <w:t>Specialist</w:t>
            </w:r>
          </w:p>
        </w:tc>
        <w:tc>
          <w:tcPr>
            <w:tcW w:w="1159"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756EE132" w14:textId="77777777" w:rsidR="00D31EA2" w:rsidRDefault="00D31EA2" w:rsidP="00410442">
            <w:pPr>
              <w:rPr>
                <w:rFonts w:ascii="Arial" w:hAnsi="Arial" w:cs="Arial"/>
                <w:color w:val="000000"/>
                <w:sz w:val="18"/>
                <w:szCs w:val="18"/>
              </w:rPr>
            </w:pPr>
            <w:r>
              <w:rPr>
                <w:rFonts w:ascii="Arial" w:hAnsi="Arial" w:cs="Arial"/>
                <w:color w:val="000000"/>
                <w:sz w:val="18"/>
                <w:szCs w:val="18"/>
              </w:rPr>
              <w:t>5.1%</w:t>
            </w:r>
          </w:p>
        </w:tc>
        <w:tc>
          <w:tcPr>
            <w:tcW w:w="1160" w:type="dxa"/>
            <w:tcBorders>
              <w:top w:val="single" w:sz="8" w:space="0" w:color="004EA8"/>
              <w:left w:val="single" w:sz="8" w:space="0" w:color="004EA8"/>
              <w:bottom w:val="single" w:sz="8" w:space="0" w:color="004EA8"/>
              <w:right w:val="single" w:sz="8" w:space="0" w:color="004EA8"/>
            </w:tcBorders>
            <w:tcMar>
              <w:top w:w="43" w:type="dxa"/>
              <w:left w:w="86" w:type="dxa"/>
              <w:bottom w:w="58" w:type="dxa"/>
              <w:right w:w="43" w:type="dxa"/>
            </w:tcMar>
          </w:tcPr>
          <w:p w14:paraId="39C238D2" w14:textId="77777777" w:rsidR="00D31EA2" w:rsidRDefault="00D31EA2" w:rsidP="00410442">
            <w:pPr>
              <w:rPr>
                <w:rFonts w:ascii="Arial" w:hAnsi="Arial" w:cs="Arial"/>
                <w:color w:val="000000"/>
                <w:sz w:val="18"/>
                <w:szCs w:val="18"/>
              </w:rPr>
            </w:pPr>
            <w:r>
              <w:rPr>
                <w:rFonts w:ascii="Arial" w:hAnsi="Arial" w:cs="Arial"/>
                <w:color w:val="000000"/>
                <w:sz w:val="18"/>
                <w:szCs w:val="18"/>
              </w:rPr>
              <w:t>4.5%</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6B0A9B4A" w14:textId="77777777" w:rsidR="00D31EA2" w:rsidRDefault="00D31EA2" w:rsidP="00410442">
            <w:pPr>
              <w:rPr>
                <w:rFonts w:ascii="Arial" w:hAnsi="Arial" w:cs="Arial"/>
                <w:color w:val="000000"/>
                <w:sz w:val="18"/>
                <w:szCs w:val="18"/>
              </w:rPr>
            </w:pPr>
            <w:r>
              <w:rPr>
                <w:rFonts w:ascii="Arial" w:hAnsi="Arial" w:cs="Arial"/>
                <w:color w:val="000000"/>
                <w:sz w:val="18"/>
                <w:szCs w:val="18"/>
              </w:rPr>
              <w:t>3.5%</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10F45F45" w14:textId="77777777" w:rsidR="00D31EA2" w:rsidRDefault="00D31EA2" w:rsidP="00410442">
            <w:pPr>
              <w:rPr>
                <w:rFonts w:ascii="Arial" w:hAnsi="Arial" w:cs="Arial"/>
                <w:color w:val="000000"/>
                <w:sz w:val="18"/>
                <w:szCs w:val="18"/>
              </w:rPr>
            </w:pPr>
            <w:r>
              <w:rPr>
                <w:rFonts w:ascii="Arial" w:hAnsi="Arial" w:cs="Arial"/>
                <w:color w:val="000000"/>
                <w:sz w:val="18"/>
                <w:szCs w:val="18"/>
              </w:rPr>
              <w:t>0.6%</w:t>
            </w:r>
          </w:p>
        </w:tc>
        <w:tc>
          <w:tcPr>
            <w:tcW w:w="1160" w:type="dxa"/>
            <w:tcBorders>
              <w:top w:val="single" w:sz="8" w:space="0" w:color="004EA8"/>
              <w:left w:val="single" w:sz="8" w:space="0" w:color="004EA8"/>
              <w:bottom w:val="single" w:sz="8" w:space="0" w:color="004EA8"/>
              <w:right w:val="single" w:sz="8" w:space="0" w:color="004EA8"/>
            </w:tcBorders>
            <w:tcMar>
              <w:top w:w="40" w:type="dxa"/>
              <w:left w:w="80" w:type="dxa"/>
              <w:bottom w:w="60" w:type="dxa"/>
              <w:right w:w="40" w:type="dxa"/>
            </w:tcMar>
          </w:tcPr>
          <w:p w14:paraId="09F79770" w14:textId="77777777" w:rsidR="00D31EA2" w:rsidRDefault="00D31EA2" w:rsidP="00410442">
            <w:pPr>
              <w:rPr>
                <w:rFonts w:ascii="Arial" w:hAnsi="Arial" w:cs="Arial"/>
                <w:color w:val="000000"/>
                <w:sz w:val="18"/>
                <w:szCs w:val="18"/>
              </w:rPr>
            </w:pPr>
            <w:r>
              <w:rPr>
                <w:rFonts w:ascii="Arial" w:hAnsi="Arial" w:cs="Arial"/>
                <w:color w:val="000000"/>
                <w:sz w:val="18"/>
                <w:szCs w:val="18"/>
              </w:rPr>
              <w:t>9.5%</w:t>
            </w:r>
          </w:p>
        </w:tc>
      </w:tr>
      <w:tr w:rsidR="00D31EA2" w14:paraId="30AC2875" w14:textId="77777777" w:rsidTr="00311585">
        <w:trPr>
          <w:trHeight w:val="240"/>
        </w:trPr>
        <w:tc>
          <w:tcPr>
            <w:tcW w:w="2949" w:type="dxa"/>
            <w:vMerge/>
            <w:tcBorders>
              <w:top w:val="single" w:sz="8" w:space="0" w:color="004EA8"/>
              <w:left w:val="single" w:sz="8" w:space="0" w:color="004EA8"/>
              <w:bottom w:val="single" w:sz="8" w:space="0" w:color="004EA8"/>
              <w:right w:val="single" w:sz="8" w:space="0" w:color="004EA8"/>
            </w:tcBorders>
            <w:shd w:val="clear" w:color="auto" w:fill="BFCED6"/>
            <w:tcMar>
              <w:top w:w="40" w:type="dxa"/>
              <w:left w:w="120" w:type="dxa"/>
              <w:bottom w:w="40" w:type="dxa"/>
              <w:right w:w="40" w:type="dxa"/>
            </w:tcMar>
          </w:tcPr>
          <w:p w14:paraId="1AB5E795" w14:textId="77777777" w:rsidR="00D31EA2" w:rsidRPr="00AA148D" w:rsidRDefault="00D31EA2" w:rsidP="00410442">
            <w:pPr>
              <w:rPr>
                <w:rFonts w:ascii="Arial" w:hAnsi="Arial" w:cs="Arial"/>
                <w:sz w:val="18"/>
                <w:szCs w:val="18"/>
              </w:rPr>
            </w:pPr>
          </w:p>
        </w:tc>
        <w:tc>
          <w:tcPr>
            <w:tcW w:w="2555" w:type="dxa"/>
            <w:tcBorders>
              <w:top w:val="single" w:sz="8" w:space="0" w:color="004EA8"/>
              <w:left w:val="single" w:sz="8" w:space="0" w:color="004EA8"/>
              <w:bottom w:val="single" w:sz="8" w:space="0" w:color="004EA8"/>
              <w:right w:val="single" w:sz="8" w:space="0" w:color="004EA8"/>
            </w:tcBorders>
            <w:shd w:val="clear" w:color="auto" w:fill="E0EAF5"/>
            <w:tcMar>
              <w:top w:w="40" w:type="dxa"/>
              <w:left w:w="80" w:type="dxa"/>
              <w:bottom w:w="40" w:type="dxa"/>
              <w:right w:w="40" w:type="dxa"/>
            </w:tcMar>
          </w:tcPr>
          <w:p w14:paraId="4F81F228"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Total</w:t>
            </w:r>
          </w:p>
        </w:tc>
        <w:tc>
          <w:tcPr>
            <w:tcW w:w="1159" w:type="dxa"/>
            <w:tcBorders>
              <w:top w:val="single" w:sz="8" w:space="0" w:color="004EA8"/>
              <w:left w:val="single" w:sz="8" w:space="0" w:color="004EA8"/>
              <w:bottom w:val="single" w:sz="8" w:space="0" w:color="004EA8"/>
              <w:right w:val="single" w:sz="8" w:space="0" w:color="004EA8"/>
            </w:tcBorders>
            <w:shd w:val="clear" w:color="auto" w:fill="E0EAF5"/>
            <w:tcMar>
              <w:top w:w="43" w:type="dxa"/>
              <w:left w:w="86" w:type="dxa"/>
              <w:bottom w:w="58" w:type="dxa"/>
              <w:right w:w="43" w:type="dxa"/>
            </w:tcMar>
          </w:tcPr>
          <w:p w14:paraId="4733B6C2"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8.4%</w:t>
            </w:r>
          </w:p>
        </w:tc>
        <w:tc>
          <w:tcPr>
            <w:tcW w:w="1160" w:type="dxa"/>
            <w:tcBorders>
              <w:top w:val="single" w:sz="8" w:space="0" w:color="004EA8"/>
              <w:left w:val="single" w:sz="8" w:space="0" w:color="004EA8"/>
              <w:bottom w:val="single" w:sz="8" w:space="0" w:color="004EA8"/>
              <w:right w:val="single" w:sz="8" w:space="0" w:color="004EA8"/>
            </w:tcBorders>
            <w:shd w:val="clear" w:color="auto" w:fill="E0EAF5"/>
            <w:tcMar>
              <w:top w:w="43" w:type="dxa"/>
              <w:left w:w="86" w:type="dxa"/>
              <w:bottom w:w="58" w:type="dxa"/>
              <w:right w:w="43" w:type="dxa"/>
            </w:tcMar>
          </w:tcPr>
          <w:p w14:paraId="25F6FC3B"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8.6%</w:t>
            </w:r>
          </w:p>
        </w:tc>
        <w:tc>
          <w:tcPr>
            <w:tcW w:w="1160" w:type="dxa"/>
            <w:tcBorders>
              <w:top w:val="single" w:sz="8" w:space="0" w:color="004EA8"/>
              <w:left w:val="single" w:sz="8" w:space="0" w:color="004EA8"/>
              <w:bottom w:val="single" w:sz="8" w:space="0" w:color="004EA8"/>
              <w:right w:val="single" w:sz="8" w:space="0" w:color="004EA8"/>
            </w:tcBorders>
            <w:shd w:val="clear" w:color="auto" w:fill="E0EAF5"/>
            <w:tcMar>
              <w:top w:w="40" w:type="dxa"/>
              <w:left w:w="80" w:type="dxa"/>
              <w:bottom w:w="60" w:type="dxa"/>
              <w:right w:w="40" w:type="dxa"/>
            </w:tcMar>
          </w:tcPr>
          <w:p w14:paraId="0F372F6A"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8.6%</w:t>
            </w:r>
          </w:p>
        </w:tc>
        <w:tc>
          <w:tcPr>
            <w:tcW w:w="1160" w:type="dxa"/>
            <w:tcBorders>
              <w:top w:val="single" w:sz="8" w:space="0" w:color="004EA8"/>
              <w:left w:val="single" w:sz="8" w:space="0" w:color="004EA8"/>
              <w:bottom w:val="single" w:sz="8" w:space="0" w:color="004EA8"/>
              <w:right w:val="single" w:sz="8" w:space="0" w:color="004EA8"/>
            </w:tcBorders>
            <w:shd w:val="clear" w:color="auto" w:fill="E0EAF5"/>
            <w:tcMar>
              <w:top w:w="40" w:type="dxa"/>
              <w:left w:w="80" w:type="dxa"/>
              <w:bottom w:w="60" w:type="dxa"/>
              <w:right w:w="40" w:type="dxa"/>
            </w:tcMar>
          </w:tcPr>
          <w:p w14:paraId="5322B007"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8.4%</w:t>
            </w:r>
          </w:p>
        </w:tc>
        <w:tc>
          <w:tcPr>
            <w:tcW w:w="1160" w:type="dxa"/>
            <w:tcBorders>
              <w:top w:val="single" w:sz="8" w:space="0" w:color="004EA8"/>
              <w:left w:val="single" w:sz="8" w:space="0" w:color="004EA8"/>
              <w:bottom w:val="single" w:sz="8" w:space="0" w:color="004EA8"/>
              <w:right w:val="single" w:sz="8" w:space="0" w:color="004EA8"/>
            </w:tcBorders>
            <w:shd w:val="clear" w:color="auto" w:fill="E0EAF5"/>
            <w:tcMar>
              <w:top w:w="40" w:type="dxa"/>
              <w:left w:w="80" w:type="dxa"/>
              <w:bottom w:w="60" w:type="dxa"/>
              <w:right w:w="40" w:type="dxa"/>
            </w:tcMar>
          </w:tcPr>
          <w:p w14:paraId="74C7D10F"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8.6%</w:t>
            </w:r>
          </w:p>
        </w:tc>
      </w:tr>
    </w:tbl>
    <w:p w14:paraId="5482A25D" w14:textId="77777777" w:rsidR="00D31EA2" w:rsidRDefault="00D31EA2" w:rsidP="00157535">
      <w:pPr>
        <w:pStyle w:val="DHHSbodynospace"/>
      </w:pPr>
    </w:p>
    <w:tbl>
      <w:tblPr>
        <w:tblW w:w="9504" w:type="dxa"/>
        <w:tblBorders>
          <w:top w:val="single" w:sz="8" w:space="0" w:color="004EA8"/>
          <w:left w:val="single" w:sz="8" w:space="0" w:color="004EA8"/>
          <w:bottom w:val="single" w:sz="8" w:space="0" w:color="004EA8"/>
          <w:right w:val="single" w:sz="8" w:space="0" w:color="004EA8"/>
          <w:insideH w:val="single" w:sz="8" w:space="0" w:color="004EA8"/>
          <w:insideV w:val="single" w:sz="8" w:space="0" w:color="004EA8"/>
        </w:tblBorders>
        <w:tblCellMar>
          <w:left w:w="0" w:type="dxa"/>
          <w:right w:w="0" w:type="dxa"/>
        </w:tblCellMar>
        <w:tblLook w:val="0000" w:firstRow="0" w:lastRow="0" w:firstColumn="0" w:lastColumn="0" w:noHBand="0" w:noVBand="0"/>
      </w:tblPr>
      <w:tblGrid>
        <w:gridCol w:w="2237"/>
        <w:gridCol w:w="2158"/>
        <w:gridCol w:w="1023"/>
        <w:gridCol w:w="1023"/>
        <w:gridCol w:w="1021"/>
        <w:gridCol w:w="1021"/>
        <w:gridCol w:w="1021"/>
      </w:tblGrid>
      <w:tr w:rsidR="00D31EA2" w14:paraId="4A3EF7DA" w14:textId="77777777" w:rsidTr="002A5994">
        <w:trPr>
          <w:trHeight w:val="279"/>
          <w:tblHeader/>
        </w:trPr>
        <w:tc>
          <w:tcPr>
            <w:tcW w:w="2237" w:type="dxa"/>
            <w:shd w:val="clear" w:color="auto" w:fill="004EA8"/>
            <w:tcMar>
              <w:top w:w="40" w:type="dxa"/>
              <w:left w:w="80" w:type="dxa"/>
              <w:bottom w:w="40" w:type="dxa"/>
              <w:right w:w="40" w:type="dxa"/>
            </w:tcMar>
            <w:vAlign w:val="center"/>
          </w:tcPr>
          <w:p w14:paraId="276B9D49" w14:textId="77777777" w:rsidR="00D31EA2" w:rsidRPr="00B33889" w:rsidRDefault="00D31EA2" w:rsidP="00410442">
            <w:pPr>
              <w:rPr>
                <w:rFonts w:ascii="Arial" w:hAnsi="Arial" w:cs="Arial"/>
              </w:rPr>
            </w:pPr>
            <w:r w:rsidRPr="00B33889">
              <w:rPr>
                <w:rFonts w:ascii="Arial" w:eastAsia="Verdana" w:hAnsi="Arial" w:cs="Arial"/>
                <w:b/>
                <w:color w:val="FFFFFF"/>
                <w:sz w:val="18"/>
              </w:rPr>
              <w:t>Funding</w:t>
            </w:r>
          </w:p>
        </w:tc>
        <w:tc>
          <w:tcPr>
            <w:tcW w:w="2158" w:type="dxa"/>
            <w:shd w:val="clear" w:color="auto" w:fill="004EA8"/>
            <w:tcMar>
              <w:top w:w="40" w:type="dxa"/>
              <w:left w:w="80" w:type="dxa"/>
              <w:bottom w:w="40" w:type="dxa"/>
              <w:right w:w="40" w:type="dxa"/>
            </w:tcMar>
            <w:vAlign w:val="center"/>
          </w:tcPr>
          <w:p w14:paraId="667DC02D" w14:textId="77777777" w:rsidR="00D31EA2" w:rsidRPr="00B33889" w:rsidRDefault="00D31EA2" w:rsidP="00410442">
            <w:pPr>
              <w:rPr>
                <w:rFonts w:ascii="Arial" w:hAnsi="Arial" w:cs="Arial"/>
              </w:rPr>
            </w:pPr>
            <w:r w:rsidRPr="00B33889">
              <w:rPr>
                <w:rFonts w:ascii="Arial" w:eastAsia="Verdana" w:hAnsi="Arial" w:cs="Arial"/>
                <w:b/>
                <w:color w:val="FFFFFF"/>
                <w:sz w:val="18"/>
              </w:rPr>
              <w:t xml:space="preserve"> </w:t>
            </w:r>
          </w:p>
        </w:tc>
        <w:tc>
          <w:tcPr>
            <w:tcW w:w="1023" w:type="dxa"/>
            <w:shd w:val="clear" w:color="auto" w:fill="004EA8"/>
            <w:vAlign w:val="center"/>
          </w:tcPr>
          <w:p w14:paraId="01426335" w14:textId="77777777" w:rsidR="00D31EA2" w:rsidRDefault="00D31EA2" w:rsidP="00410442">
            <w:pPr>
              <w:rPr>
                <w:rFonts w:ascii="Arial" w:hAnsi="Arial" w:cs="Arial"/>
                <w:b/>
                <w:bCs/>
                <w:color w:val="FFFFFF"/>
                <w:sz w:val="18"/>
                <w:szCs w:val="18"/>
                <w:lang w:eastAsia="en-AU"/>
              </w:rPr>
            </w:pPr>
            <w:r>
              <w:rPr>
                <w:rFonts w:ascii="Arial" w:hAnsi="Arial" w:cs="Arial"/>
                <w:b/>
                <w:bCs/>
                <w:color w:val="FFFFFF"/>
                <w:sz w:val="18"/>
                <w:szCs w:val="18"/>
              </w:rPr>
              <w:t>2015–16</w:t>
            </w:r>
          </w:p>
        </w:tc>
        <w:tc>
          <w:tcPr>
            <w:tcW w:w="1023" w:type="dxa"/>
            <w:shd w:val="clear" w:color="auto" w:fill="004EA8"/>
            <w:vAlign w:val="center"/>
          </w:tcPr>
          <w:p w14:paraId="6AE48819"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2016–17</w:t>
            </w:r>
          </w:p>
        </w:tc>
        <w:tc>
          <w:tcPr>
            <w:tcW w:w="1021" w:type="dxa"/>
            <w:shd w:val="clear" w:color="auto" w:fill="004EA8"/>
            <w:tcMar>
              <w:top w:w="40" w:type="dxa"/>
              <w:left w:w="80" w:type="dxa"/>
              <w:bottom w:w="60" w:type="dxa"/>
              <w:right w:w="40" w:type="dxa"/>
            </w:tcMar>
            <w:vAlign w:val="center"/>
          </w:tcPr>
          <w:p w14:paraId="5C46087D"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2017–18</w:t>
            </w:r>
          </w:p>
        </w:tc>
        <w:tc>
          <w:tcPr>
            <w:tcW w:w="1021" w:type="dxa"/>
            <w:shd w:val="clear" w:color="auto" w:fill="004EA8"/>
            <w:tcMar>
              <w:top w:w="40" w:type="dxa"/>
              <w:left w:w="80" w:type="dxa"/>
              <w:bottom w:w="60" w:type="dxa"/>
              <w:right w:w="40" w:type="dxa"/>
            </w:tcMar>
            <w:vAlign w:val="center"/>
          </w:tcPr>
          <w:p w14:paraId="05C08DE3"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2018–19</w:t>
            </w:r>
          </w:p>
        </w:tc>
        <w:tc>
          <w:tcPr>
            <w:tcW w:w="1021" w:type="dxa"/>
            <w:shd w:val="clear" w:color="auto" w:fill="004EA8"/>
            <w:tcMar>
              <w:top w:w="40" w:type="dxa"/>
              <w:left w:w="79" w:type="dxa"/>
              <w:bottom w:w="62" w:type="dxa"/>
              <w:right w:w="40" w:type="dxa"/>
            </w:tcMar>
            <w:vAlign w:val="center"/>
          </w:tcPr>
          <w:p w14:paraId="470FF536"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2019–20</w:t>
            </w:r>
          </w:p>
        </w:tc>
      </w:tr>
      <w:tr w:rsidR="00D31EA2" w14:paraId="42AE463F" w14:textId="77777777" w:rsidTr="002A5994">
        <w:trPr>
          <w:trHeight w:val="198"/>
        </w:trPr>
        <w:tc>
          <w:tcPr>
            <w:tcW w:w="2237" w:type="dxa"/>
            <w:vMerge w:val="restart"/>
            <w:tcMar>
              <w:top w:w="40" w:type="dxa"/>
              <w:left w:w="120" w:type="dxa"/>
              <w:bottom w:w="40" w:type="dxa"/>
              <w:right w:w="40" w:type="dxa"/>
            </w:tcMar>
          </w:tcPr>
          <w:p w14:paraId="6CB73ADD" w14:textId="216D3B93"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Total output cost</w:t>
            </w:r>
            <w:r w:rsidR="00313C3F">
              <w:rPr>
                <w:rFonts w:ascii="Arial" w:eastAsia="Verdana" w:hAnsi="Arial" w:cs="Arial"/>
                <w:color w:val="000000"/>
                <w:sz w:val="18"/>
                <w:szCs w:val="18"/>
              </w:rPr>
              <w:t xml:space="preserve"> - actual</w:t>
            </w:r>
            <w:r w:rsidRPr="00AA148D">
              <w:rPr>
                <w:rFonts w:ascii="Arial" w:eastAsia="Verdana" w:hAnsi="Arial" w:cs="Arial"/>
                <w:color w:val="000000"/>
                <w:sz w:val="18"/>
                <w:szCs w:val="18"/>
              </w:rPr>
              <w:t xml:space="preserve"> (</w:t>
            </w:r>
            <w:r w:rsidR="00313C3F">
              <w:rPr>
                <w:rFonts w:ascii="Arial" w:eastAsia="Verdana" w:hAnsi="Arial" w:cs="Arial"/>
                <w:color w:val="000000"/>
                <w:sz w:val="18"/>
                <w:szCs w:val="18"/>
              </w:rPr>
              <w:t>as published in Department of Health and Human Services Annual Report</w:t>
            </w:r>
            <w:r w:rsidRPr="00AA148D">
              <w:rPr>
                <w:rFonts w:ascii="Arial" w:eastAsia="Verdana" w:hAnsi="Arial" w:cs="Arial"/>
                <w:color w:val="000000"/>
                <w:sz w:val="18"/>
                <w:szCs w:val="18"/>
              </w:rPr>
              <w:t>) ($ million)</w:t>
            </w:r>
            <w:r w:rsidRPr="00AA148D">
              <w:rPr>
                <w:rFonts w:ascii="Arial" w:eastAsia="Verdana" w:hAnsi="Arial" w:cs="Arial"/>
                <w:color w:val="000000"/>
                <w:sz w:val="18"/>
                <w:szCs w:val="18"/>
                <w:vertAlign w:val="superscript"/>
              </w:rPr>
              <w:t>#</w:t>
            </w:r>
          </w:p>
        </w:tc>
        <w:tc>
          <w:tcPr>
            <w:tcW w:w="2158" w:type="dxa"/>
            <w:tcMar>
              <w:top w:w="40" w:type="dxa"/>
              <w:left w:w="80" w:type="dxa"/>
              <w:bottom w:w="40" w:type="dxa"/>
              <w:right w:w="40" w:type="dxa"/>
            </w:tcMar>
          </w:tcPr>
          <w:p w14:paraId="4C5A13DD"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Clinical mental health</w:t>
            </w:r>
          </w:p>
        </w:tc>
        <w:tc>
          <w:tcPr>
            <w:tcW w:w="1023" w:type="dxa"/>
            <w:tcMar>
              <w:top w:w="43" w:type="dxa"/>
              <w:left w:w="86" w:type="dxa"/>
              <w:bottom w:w="58" w:type="dxa"/>
              <w:right w:w="43" w:type="dxa"/>
            </w:tcMar>
          </w:tcPr>
          <w:p w14:paraId="36B8EE8F" w14:textId="6933B999" w:rsidR="00D31EA2" w:rsidRPr="005D1E8E" w:rsidRDefault="00313C3F" w:rsidP="00410442">
            <w:pPr>
              <w:rPr>
                <w:rFonts w:ascii="Arial" w:hAnsi="Arial" w:cs="Arial"/>
                <w:color w:val="000000"/>
                <w:sz w:val="18"/>
                <w:szCs w:val="18"/>
              </w:rPr>
            </w:pPr>
            <w:r w:rsidRPr="005D1E8E">
              <w:rPr>
                <w:rFonts w:ascii="Arial" w:hAnsi="Arial" w:cs="Arial"/>
                <w:color w:val="000000"/>
                <w:sz w:val="18"/>
                <w:szCs w:val="18"/>
              </w:rPr>
              <w:t>1,141.9</w:t>
            </w:r>
          </w:p>
        </w:tc>
        <w:tc>
          <w:tcPr>
            <w:tcW w:w="1023" w:type="dxa"/>
            <w:tcMar>
              <w:top w:w="43" w:type="dxa"/>
              <w:left w:w="86" w:type="dxa"/>
              <w:bottom w:w="58" w:type="dxa"/>
              <w:right w:w="43" w:type="dxa"/>
            </w:tcMar>
          </w:tcPr>
          <w:p w14:paraId="6FA4C5A7" w14:textId="19B1AC0F" w:rsidR="00D31EA2" w:rsidRPr="005D1E8E" w:rsidRDefault="00D31EA2" w:rsidP="00410442">
            <w:pPr>
              <w:rPr>
                <w:rFonts w:ascii="Arial" w:hAnsi="Arial" w:cs="Arial"/>
                <w:color w:val="000000"/>
                <w:sz w:val="18"/>
                <w:szCs w:val="18"/>
              </w:rPr>
            </w:pPr>
            <w:r w:rsidRPr="005D1E8E">
              <w:rPr>
                <w:rFonts w:ascii="Arial" w:hAnsi="Arial" w:cs="Arial"/>
                <w:color w:val="000000"/>
                <w:sz w:val="18"/>
                <w:szCs w:val="18"/>
              </w:rPr>
              <w:t>1,258.</w:t>
            </w:r>
            <w:r w:rsidR="00313C3F" w:rsidRPr="005D1E8E">
              <w:rPr>
                <w:rFonts w:ascii="Arial" w:hAnsi="Arial" w:cs="Arial"/>
                <w:color w:val="000000"/>
                <w:sz w:val="18"/>
                <w:szCs w:val="18"/>
              </w:rPr>
              <w:t>2</w:t>
            </w:r>
          </w:p>
        </w:tc>
        <w:tc>
          <w:tcPr>
            <w:tcW w:w="1021" w:type="dxa"/>
            <w:tcMar>
              <w:top w:w="40" w:type="dxa"/>
              <w:left w:w="80" w:type="dxa"/>
              <w:bottom w:w="60" w:type="dxa"/>
              <w:right w:w="40" w:type="dxa"/>
            </w:tcMar>
          </w:tcPr>
          <w:p w14:paraId="1F3F927A" w14:textId="096E1483" w:rsidR="00D31EA2" w:rsidRPr="005D1E8E" w:rsidRDefault="00D31EA2" w:rsidP="00410442">
            <w:pPr>
              <w:rPr>
                <w:rFonts w:ascii="Arial" w:hAnsi="Arial" w:cs="Arial"/>
                <w:color w:val="000000"/>
                <w:sz w:val="18"/>
                <w:szCs w:val="18"/>
              </w:rPr>
            </w:pPr>
            <w:r w:rsidRPr="005D1E8E">
              <w:rPr>
                <w:rFonts w:ascii="Arial" w:hAnsi="Arial" w:cs="Arial"/>
                <w:color w:val="000000"/>
                <w:sz w:val="18"/>
                <w:szCs w:val="18"/>
              </w:rPr>
              <w:t>1,3</w:t>
            </w:r>
            <w:r w:rsidR="00313C3F" w:rsidRPr="005D1E8E">
              <w:rPr>
                <w:rFonts w:ascii="Arial" w:hAnsi="Arial" w:cs="Arial"/>
                <w:color w:val="000000"/>
                <w:sz w:val="18"/>
                <w:szCs w:val="18"/>
              </w:rPr>
              <w:t>72.7</w:t>
            </w:r>
          </w:p>
        </w:tc>
        <w:tc>
          <w:tcPr>
            <w:tcW w:w="1021" w:type="dxa"/>
            <w:tcMar>
              <w:top w:w="40" w:type="dxa"/>
              <w:left w:w="80" w:type="dxa"/>
              <w:bottom w:w="60" w:type="dxa"/>
              <w:right w:w="40" w:type="dxa"/>
            </w:tcMar>
          </w:tcPr>
          <w:p w14:paraId="64E32111" w14:textId="7074F3FA" w:rsidR="00D31EA2" w:rsidRPr="005D1E8E" w:rsidRDefault="00D31EA2" w:rsidP="00410442">
            <w:pPr>
              <w:rPr>
                <w:rFonts w:ascii="Arial" w:hAnsi="Arial" w:cs="Arial"/>
                <w:color w:val="000000"/>
                <w:sz w:val="18"/>
                <w:szCs w:val="18"/>
              </w:rPr>
            </w:pPr>
            <w:r w:rsidRPr="005D1E8E">
              <w:rPr>
                <w:rFonts w:ascii="Arial" w:hAnsi="Arial" w:cs="Arial"/>
                <w:color w:val="000000"/>
                <w:sz w:val="18"/>
                <w:szCs w:val="18"/>
              </w:rPr>
              <w:t>1,5</w:t>
            </w:r>
            <w:r w:rsidR="00313C3F" w:rsidRPr="005D1E8E">
              <w:rPr>
                <w:rFonts w:ascii="Arial" w:hAnsi="Arial" w:cs="Arial"/>
                <w:color w:val="000000"/>
                <w:sz w:val="18"/>
                <w:szCs w:val="18"/>
              </w:rPr>
              <w:t>42.1</w:t>
            </w:r>
          </w:p>
        </w:tc>
        <w:tc>
          <w:tcPr>
            <w:tcW w:w="1021" w:type="dxa"/>
            <w:shd w:val="clear" w:color="auto" w:fill="FFFFFF"/>
            <w:tcMar>
              <w:top w:w="40" w:type="dxa"/>
              <w:left w:w="79" w:type="dxa"/>
              <w:bottom w:w="62" w:type="dxa"/>
              <w:right w:w="40" w:type="dxa"/>
            </w:tcMar>
          </w:tcPr>
          <w:p w14:paraId="787885B4" w14:textId="5D319A18" w:rsidR="00D31EA2" w:rsidRPr="005D1E8E" w:rsidRDefault="00D31EA2" w:rsidP="00410442">
            <w:pPr>
              <w:rPr>
                <w:rFonts w:ascii="Arial" w:hAnsi="Arial" w:cs="Arial"/>
                <w:color w:val="000000"/>
                <w:sz w:val="18"/>
                <w:szCs w:val="18"/>
              </w:rPr>
            </w:pPr>
            <w:r w:rsidRPr="005D1E8E">
              <w:rPr>
                <w:rFonts w:ascii="Arial" w:hAnsi="Arial" w:cs="Arial"/>
                <w:color w:val="000000"/>
                <w:sz w:val="18"/>
                <w:szCs w:val="18"/>
              </w:rPr>
              <w:t>1,6</w:t>
            </w:r>
            <w:r w:rsidR="00313C3F" w:rsidRPr="005D1E8E">
              <w:rPr>
                <w:rFonts w:ascii="Arial" w:hAnsi="Arial" w:cs="Arial"/>
                <w:color w:val="000000"/>
                <w:sz w:val="18"/>
                <w:szCs w:val="18"/>
              </w:rPr>
              <w:t>50.0</w:t>
            </w:r>
          </w:p>
        </w:tc>
      </w:tr>
      <w:tr w:rsidR="00D31EA2" w14:paraId="43B5B8CB" w14:textId="77777777" w:rsidTr="002A5994">
        <w:trPr>
          <w:trHeight w:val="198"/>
        </w:trPr>
        <w:tc>
          <w:tcPr>
            <w:tcW w:w="2237" w:type="dxa"/>
            <w:vMerge/>
            <w:tcMar>
              <w:top w:w="40" w:type="dxa"/>
              <w:left w:w="120" w:type="dxa"/>
              <w:bottom w:w="40" w:type="dxa"/>
              <w:right w:w="40" w:type="dxa"/>
            </w:tcMar>
          </w:tcPr>
          <w:p w14:paraId="32C9C278" w14:textId="77777777" w:rsidR="00D31EA2" w:rsidRPr="00AA148D" w:rsidRDefault="00D31EA2" w:rsidP="00410442">
            <w:pPr>
              <w:rPr>
                <w:rFonts w:ascii="Arial" w:hAnsi="Arial" w:cs="Arial"/>
                <w:sz w:val="18"/>
                <w:szCs w:val="18"/>
              </w:rPr>
            </w:pPr>
          </w:p>
        </w:tc>
        <w:tc>
          <w:tcPr>
            <w:tcW w:w="2158" w:type="dxa"/>
            <w:tcMar>
              <w:top w:w="40" w:type="dxa"/>
              <w:left w:w="80" w:type="dxa"/>
              <w:bottom w:w="40" w:type="dxa"/>
              <w:right w:w="40" w:type="dxa"/>
            </w:tcMar>
          </w:tcPr>
          <w:p w14:paraId="0136386F"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Mental health community support services</w:t>
            </w:r>
          </w:p>
        </w:tc>
        <w:tc>
          <w:tcPr>
            <w:tcW w:w="1023" w:type="dxa"/>
            <w:tcMar>
              <w:top w:w="43" w:type="dxa"/>
              <w:left w:w="86" w:type="dxa"/>
              <w:bottom w:w="58" w:type="dxa"/>
              <w:right w:w="43" w:type="dxa"/>
            </w:tcMar>
          </w:tcPr>
          <w:p w14:paraId="181FAEB4" w14:textId="77777777" w:rsidR="00D31EA2" w:rsidRPr="005D1E8E" w:rsidRDefault="00D31EA2" w:rsidP="00410442">
            <w:pPr>
              <w:rPr>
                <w:rFonts w:ascii="Arial" w:hAnsi="Arial" w:cs="Arial"/>
                <w:color w:val="000000"/>
                <w:sz w:val="18"/>
                <w:szCs w:val="18"/>
              </w:rPr>
            </w:pPr>
            <w:r w:rsidRPr="005D1E8E">
              <w:rPr>
                <w:rFonts w:ascii="Arial" w:hAnsi="Arial" w:cs="Arial"/>
                <w:color w:val="000000"/>
                <w:sz w:val="18"/>
                <w:szCs w:val="18"/>
              </w:rPr>
              <w:t>128.1</w:t>
            </w:r>
          </w:p>
        </w:tc>
        <w:tc>
          <w:tcPr>
            <w:tcW w:w="1023" w:type="dxa"/>
            <w:tcMar>
              <w:top w:w="43" w:type="dxa"/>
              <w:left w:w="86" w:type="dxa"/>
              <w:bottom w:w="58" w:type="dxa"/>
              <w:right w:w="43" w:type="dxa"/>
            </w:tcMar>
          </w:tcPr>
          <w:p w14:paraId="127DE199" w14:textId="77777777" w:rsidR="00D31EA2" w:rsidRPr="005D1E8E" w:rsidRDefault="00D31EA2" w:rsidP="00410442">
            <w:pPr>
              <w:rPr>
                <w:rFonts w:ascii="Arial" w:hAnsi="Arial" w:cs="Arial"/>
                <w:color w:val="000000"/>
                <w:sz w:val="18"/>
                <w:szCs w:val="18"/>
              </w:rPr>
            </w:pPr>
            <w:r w:rsidRPr="005D1E8E">
              <w:rPr>
                <w:rFonts w:ascii="Arial" w:hAnsi="Arial" w:cs="Arial"/>
                <w:color w:val="000000"/>
                <w:sz w:val="18"/>
                <w:szCs w:val="18"/>
              </w:rPr>
              <w:t>124.8</w:t>
            </w:r>
          </w:p>
        </w:tc>
        <w:tc>
          <w:tcPr>
            <w:tcW w:w="1021" w:type="dxa"/>
            <w:tcMar>
              <w:top w:w="40" w:type="dxa"/>
              <w:left w:w="80" w:type="dxa"/>
              <w:bottom w:w="60" w:type="dxa"/>
              <w:right w:w="40" w:type="dxa"/>
            </w:tcMar>
          </w:tcPr>
          <w:p w14:paraId="02445E06" w14:textId="30DC1F4F" w:rsidR="00D31EA2" w:rsidRPr="005D1E8E" w:rsidRDefault="00A4430F" w:rsidP="00410442">
            <w:pPr>
              <w:rPr>
                <w:rFonts w:ascii="Arial" w:hAnsi="Arial" w:cs="Arial"/>
                <w:color w:val="000000"/>
                <w:sz w:val="18"/>
                <w:szCs w:val="18"/>
              </w:rPr>
            </w:pPr>
            <w:r w:rsidRPr="005D1E8E">
              <w:rPr>
                <w:rFonts w:ascii="Arial" w:hAnsi="Arial" w:cs="Arial"/>
                <w:color w:val="000000"/>
                <w:sz w:val="18"/>
                <w:szCs w:val="18"/>
              </w:rPr>
              <w:t>120.0</w:t>
            </w:r>
          </w:p>
        </w:tc>
        <w:tc>
          <w:tcPr>
            <w:tcW w:w="1021" w:type="dxa"/>
            <w:tcMar>
              <w:top w:w="40" w:type="dxa"/>
              <w:left w:w="80" w:type="dxa"/>
              <w:bottom w:w="60" w:type="dxa"/>
              <w:right w:w="40" w:type="dxa"/>
            </w:tcMar>
          </w:tcPr>
          <w:p w14:paraId="13D7C730" w14:textId="12D66E95" w:rsidR="00D31EA2" w:rsidRPr="005D1E8E" w:rsidRDefault="00A4430F" w:rsidP="00410442">
            <w:pPr>
              <w:rPr>
                <w:rFonts w:ascii="Arial" w:hAnsi="Arial" w:cs="Arial"/>
                <w:color w:val="000000"/>
                <w:sz w:val="18"/>
                <w:szCs w:val="18"/>
              </w:rPr>
            </w:pPr>
            <w:r w:rsidRPr="005D1E8E">
              <w:rPr>
                <w:rFonts w:ascii="Arial" w:hAnsi="Arial" w:cs="Arial"/>
                <w:color w:val="000000"/>
                <w:sz w:val="18"/>
                <w:szCs w:val="18"/>
              </w:rPr>
              <w:t>118.5</w:t>
            </w:r>
          </w:p>
        </w:tc>
        <w:tc>
          <w:tcPr>
            <w:tcW w:w="1021" w:type="dxa"/>
            <w:shd w:val="clear" w:color="auto" w:fill="FFFFFF"/>
            <w:tcMar>
              <w:top w:w="40" w:type="dxa"/>
              <w:left w:w="79" w:type="dxa"/>
              <w:bottom w:w="62" w:type="dxa"/>
              <w:right w:w="40" w:type="dxa"/>
            </w:tcMar>
          </w:tcPr>
          <w:p w14:paraId="580144B5" w14:textId="39507041" w:rsidR="00D31EA2" w:rsidRPr="005D1E8E" w:rsidRDefault="00D31EA2" w:rsidP="00410442">
            <w:pPr>
              <w:rPr>
                <w:rFonts w:ascii="Arial" w:hAnsi="Arial" w:cs="Arial"/>
                <w:color w:val="000000"/>
                <w:sz w:val="18"/>
                <w:szCs w:val="18"/>
              </w:rPr>
            </w:pPr>
            <w:r w:rsidRPr="005D1E8E">
              <w:rPr>
                <w:rFonts w:ascii="Arial" w:hAnsi="Arial" w:cs="Arial"/>
                <w:color w:val="000000"/>
                <w:sz w:val="18"/>
                <w:szCs w:val="18"/>
              </w:rPr>
              <w:t>11</w:t>
            </w:r>
            <w:r w:rsidR="00A4430F" w:rsidRPr="005D1E8E">
              <w:rPr>
                <w:rFonts w:ascii="Arial" w:hAnsi="Arial" w:cs="Arial"/>
                <w:color w:val="000000"/>
                <w:sz w:val="18"/>
                <w:szCs w:val="18"/>
              </w:rPr>
              <w:t>1.0</w:t>
            </w:r>
          </w:p>
        </w:tc>
      </w:tr>
    </w:tbl>
    <w:p w14:paraId="04746E5A" w14:textId="2D7F2E98" w:rsidR="00D31EA2" w:rsidRDefault="00D31EA2" w:rsidP="00157535">
      <w:pPr>
        <w:pStyle w:val="DHHSbodynospace"/>
      </w:pPr>
    </w:p>
    <w:tbl>
      <w:tblPr>
        <w:tblW w:w="0" w:type="auto"/>
        <w:tblBorders>
          <w:top w:val="single" w:sz="8" w:space="0" w:color="004EA8"/>
          <w:left w:val="single" w:sz="8" w:space="0" w:color="004EA8"/>
          <w:bottom w:val="single" w:sz="8" w:space="0" w:color="004EA8"/>
          <w:right w:val="single" w:sz="8" w:space="0" w:color="004EA8"/>
          <w:insideH w:val="single" w:sz="8" w:space="0" w:color="004EA8"/>
          <w:insideV w:val="single" w:sz="8" w:space="0" w:color="004EA8"/>
        </w:tblBorders>
        <w:tblCellMar>
          <w:left w:w="0" w:type="dxa"/>
          <w:right w:w="0" w:type="dxa"/>
        </w:tblCellMar>
        <w:tblLook w:val="0000" w:firstRow="0" w:lastRow="0" w:firstColumn="0" w:lastColumn="0" w:noHBand="0" w:noVBand="0"/>
      </w:tblPr>
      <w:tblGrid>
        <w:gridCol w:w="2207"/>
        <w:gridCol w:w="2205"/>
        <w:gridCol w:w="963"/>
        <w:gridCol w:w="963"/>
        <w:gridCol w:w="977"/>
        <w:gridCol w:w="986"/>
        <w:gridCol w:w="977"/>
      </w:tblGrid>
      <w:tr w:rsidR="00D31EA2" w14:paraId="2DC2910E" w14:textId="77777777" w:rsidTr="00F5215D">
        <w:trPr>
          <w:trHeight w:val="279"/>
          <w:tblHeader/>
        </w:trPr>
        <w:tc>
          <w:tcPr>
            <w:tcW w:w="2207" w:type="dxa"/>
            <w:shd w:val="clear" w:color="auto" w:fill="004EA8"/>
            <w:tcMar>
              <w:top w:w="40" w:type="dxa"/>
              <w:left w:w="80" w:type="dxa"/>
              <w:bottom w:w="40" w:type="dxa"/>
              <w:right w:w="40" w:type="dxa"/>
            </w:tcMar>
            <w:vAlign w:val="center"/>
          </w:tcPr>
          <w:p w14:paraId="36123D83" w14:textId="77777777" w:rsidR="00D31EA2" w:rsidRPr="00B33889" w:rsidRDefault="00D31EA2" w:rsidP="00410442">
            <w:pPr>
              <w:rPr>
                <w:rFonts w:ascii="Arial" w:hAnsi="Arial" w:cs="Arial"/>
              </w:rPr>
            </w:pPr>
            <w:r w:rsidRPr="00B33889">
              <w:rPr>
                <w:rFonts w:ascii="Arial" w:eastAsia="Verdana" w:hAnsi="Arial" w:cs="Arial"/>
                <w:b/>
                <w:color w:val="FFFFFF"/>
                <w:sz w:val="18"/>
              </w:rPr>
              <w:t>Service Inputs</w:t>
            </w:r>
          </w:p>
        </w:tc>
        <w:tc>
          <w:tcPr>
            <w:tcW w:w="2205" w:type="dxa"/>
            <w:shd w:val="clear" w:color="auto" w:fill="004EA8"/>
            <w:tcMar>
              <w:top w:w="40" w:type="dxa"/>
              <w:left w:w="80" w:type="dxa"/>
              <w:bottom w:w="40" w:type="dxa"/>
              <w:right w:w="40" w:type="dxa"/>
            </w:tcMar>
            <w:vAlign w:val="center"/>
          </w:tcPr>
          <w:p w14:paraId="74CEA028" w14:textId="77777777" w:rsidR="00D31EA2" w:rsidRDefault="00D31EA2" w:rsidP="00410442">
            <w:pPr>
              <w:rPr>
                <w:rFonts w:ascii="Arial" w:hAnsi="Arial" w:cs="Arial"/>
                <w:b/>
                <w:bCs/>
                <w:color w:val="FFFFFF"/>
                <w:sz w:val="18"/>
                <w:szCs w:val="18"/>
                <w:lang w:eastAsia="en-AU"/>
              </w:rPr>
            </w:pPr>
            <w:r>
              <w:rPr>
                <w:rFonts w:ascii="Arial" w:hAnsi="Arial" w:cs="Arial"/>
                <w:b/>
                <w:bCs/>
                <w:color w:val="FFFFFF"/>
                <w:sz w:val="18"/>
                <w:szCs w:val="18"/>
              </w:rPr>
              <w:t xml:space="preserve"> </w:t>
            </w:r>
          </w:p>
        </w:tc>
        <w:tc>
          <w:tcPr>
            <w:tcW w:w="963" w:type="dxa"/>
            <w:shd w:val="clear" w:color="auto" w:fill="004EA8"/>
            <w:vAlign w:val="center"/>
          </w:tcPr>
          <w:p w14:paraId="35E30901"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2015–16</w:t>
            </w:r>
          </w:p>
        </w:tc>
        <w:tc>
          <w:tcPr>
            <w:tcW w:w="963" w:type="dxa"/>
            <w:shd w:val="clear" w:color="auto" w:fill="004EA8"/>
            <w:vAlign w:val="center"/>
          </w:tcPr>
          <w:p w14:paraId="61DD498C"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2016–17</w:t>
            </w:r>
          </w:p>
        </w:tc>
        <w:tc>
          <w:tcPr>
            <w:tcW w:w="977" w:type="dxa"/>
            <w:shd w:val="clear" w:color="auto" w:fill="004EA8"/>
            <w:tcMar>
              <w:top w:w="40" w:type="dxa"/>
              <w:left w:w="80" w:type="dxa"/>
              <w:bottom w:w="60" w:type="dxa"/>
              <w:right w:w="40" w:type="dxa"/>
            </w:tcMar>
            <w:vAlign w:val="center"/>
          </w:tcPr>
          <w:p w14:paraId="015B6611"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2017–18</w:t>
            </w:r>
          </w:p>
        </w:tc>
        <w:tc>
          <w:tcPr>
            <w:tcW w:w="986" w:type="dxa"/>
            <w:shd w:val="clear" w:color="auto" w:fill="004EA8"/>
            <w:tcMar>
              <w:top w:w="40" w:type="dxa"/>
              <w:left w:w="80" w:type="dxa"/>
              <w:bottom w:w="60" w:type="dxa"/>
              <w:right w:w="40" w:type="dxa"/>
            </w:tcMar>
            <w:vAlign w:val="center"/>
          </w:tcPr>
          <w:p w14:paraId="2A67445D"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2018–19</w:t>
            </w:r>
          </w:p>
        </w:tc>
        <w:tc>
          <w:tcPr>
            <w:tcW w:w="977" w:type="dxa"/>
            <w:shd w:val="clear" w:color="auto" w:fill="004EA8"/>
            <w:tcMar>
              <w:top w:w="40" w:type="dxa"/>
              <w:left w:w="80" w:type="dxa"/>
              <w:bottom w:w="60" w:type="dxa"/>
              <w:right w:w="40" w:type="dxa"/>
            </w:tcMar>
            <w:vAlign w:val="center"/>
          </w:tcPr>
          <w:p w14:paraId="56B66160" w14:textId="77777777" w:rsidR="00D31EA2" w:rsidRDefault="00D31EA2" w:rsidP="00410442">
            <w:pPr>
              <w:rPr>
                <w:rFonts w:ascii="Arial" w:hAnsi="Arial" w:cs="Arial"/>
                <w:b/>
                <w:bCs/>
                <w:color w:val="FFFFFF"/>
                <w:sz w:val="18"/>
                <w:szCs w:val="18"/>
              </w:rPr>
            </w:pPr>
            <w:r>
              <w:rPr>
                <w:rFonts w:ascii="Arial" w:hAnsi="Arial" w:cs="Arial"/>
                <w:b/>
                <w:bCs/>
                <w:color w:val="FFFFFF"/>
                <w:sz w:val="18"/>
                <w:szCs w:val="18"/>
              </w:rPr>
              <w:t>2019–20</w:t>
            </w:r>
          </w:p>
        </w:tc>
      </w:tr>
      <w:tr w:rsidR="00D31EA2" w14:paraId="503C2D00" w14:textId="77777777" w:rsidTr="00F5215D">
        <w:trPr>
          <w:trHeight w:val="198"/>
        </w:trPr>
        <w:tc>
          <w:tcPr>
            <w:tcW w:w="2207" w:type="dxa"/>
            <w:vMerge w:val="restart"/>
            <w:tcMar>
              <w:top w:w="40" w:type="dxa"/>
              <w:left w:w="120" w:type="dxa"/>
              <w:bottom w:w="40" w:type="dxa"/>
              <w:right w:w="40" w:type="dxa"/>
            </w:tcMar>
          </w:tcPr>
          <w:p w14:paraId="1C439AE8"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Specialist mental health beds (from policy and funding guidelines)</w:t>
            </w:r>
          </w:p>
        </w:tc>
        <w:tc>
          <w:tcPr>
            <w:tcW w:w="2205" w:type="dxa"/>
            <w:tcMar>
              <w:top w:w="40" w:type="dxa"/>
              <w:left w:w="80" w:type="dxa"/>
              <w:bottom w:w="40" w:type="dxa"/>
              <w:right w:w="40" w:type="dxa"/>
            </w:tcMar>
          </w:tcPr>
          <w:p w14:paraId="689A816F" w14:textId="79C5607D" w:rsidR="00D31EA2" w:rsidRDefault="00D31EA2" w:rsidP="00410442">
            <w:pPr>
              <w:rPr>
                <w:rFonts w:ascii="Arial" w:hAnsi="Arial" w:cs="Arial"/>
                <w:color w:val="000000"/>
                <w:sz w:val="18"/>
                <w:szCs w:val="18"/>
              </w:rPr>
            </w:pPr>
            <w:r>
              <w:rPr>
                <w:rFonts w:ascii="Arial" w:hAnsi="Arial" w:cs="Arial"/>
                <w:color w:val="000000"/>
                <w:sz w:val="18"/>
                <w:szCs w:val="18"/>
              </w:rPr>
              <w:t xml:space="preserve">Admitted – </w:t>
            </w:r>
            <w:r w:rsidR="000A5AD9">
              <w:rPr>
                <w:rFonts w:ascii="Arial" w:hAnsi="Arial" w:cs="Arial"/>
                <w:color w:val="000000"/>
                <w:sz w:val="18"/>
                <w:szCs w:val="18"/>
              </w:rPr>
              <w:t>a</w:t>
            </w:r>
            <w:r>
              <w:rPr>
                <w:rFonts w:ascii="Arial" w:hAnsi="Arial" w:cs="Arial"/>
                <w:color w:val="000000"/>
                <w:sz w:val="18"/>
                <w:szCs w:val="18"/>
              </w:rPr>
              <w:t>cute</w:t>
            </w:r>
          </w:p>
        </w:tc>
        <w:tc>
          <w:tcPr>
            <w:tcW w:w="963" w:type="dxa"/>
            <w:tcMar>
              <w:top w:w="43" w:type="dxa"/>
              <w:left w:w="86" w:type="dxa"/>
              <w:bottom w:w="58" w:type="dxa"/>
              <w:right w:w="43" w:type="dxa"/>
            </w:tcMar>
          </w:tcPr>
          <w:p w14:paraId="0A646049" w14:textId="77777777" w:rsidR="00D31EA2" w:rsidRDefault="00D31EA2" w:rsidP="00410442">
            <w:pPr>
              <w:rPr>
                <w:rFonts w:ascii="Arial" w:hAnsi="Arial" w:cs="Arial"/>
                <w:color w:val="000000"/>
                <w:sz w:val="18"/>
                <w:szCs w:val="18"/>
              </w:rPr>
            </w:pPr>
            <w:r>
              <w:rPr>
                <w:rFonts w:ascii="Arial" w:hAnsi="Arial" w:cs="Arial"/>
                <w:color w:val="000000"/>
                <w:sz w:val="18"/>
                <w:szCs w:val="18"/>
              </w:rPr>
              <w:t>1,098</w:t>
            </w:r>
          </w:p>
        </w:tc>
        <w:tc>
          <w:tcPr>
            <w:tcW w:w="963" w:type="dxa"/>
            <w:tcMar>
              <w:top w:w="43" w:type="dxa"/>
              <w:left w:w="86" w:type="dxa"/>
              <w:bottom w:w="58" w:type="dxa"/>
              <w:right w:w="43" w:type="dxa"/>
            </w:tcMar>
          </w:tcPr>
          <w:p w14:paraId="47CE85A5" w14:textId="77777777" w:rsidR="00D31EA2" w:rsidRDefault="00D31EA2" w:rsidP="00410442">
            <w:pPr>
              <w:rPr>
                <w:rFonts w:ascii="Arial" w:hAnsi="Arial" w:cs="Arial"/>
                <w:color w:val="000000"/>
                <w:sz w:val="18"/>
                <w:szCs w:val="18"/>
              </w:rPr>
            </w:pPr>
            <w:r>
              <w:rPr>
                <w:rFonts w:ascii="Arial" w:hAnsi="Arial" w:cs="Arial"/>
                <w:color w:val="000000"/>
                <w:sz w:val="18"/>
                <w:szCs w:val="18"/>
              </w:rPr>
              <w:t>1,162</w:t>
            </w:r>
          </w:p>
        </w:tc>
        <w:tc>
          <w:tcPr>
            <w:tcW w:w="977" w:type="dxa"/>
            <w:tcMar>
              <w:top w:w="40" w:type="dxa"/>
              <w:left w:w="80" w:type="dxa"/>
              <w:bottom w:w="60" w:type="dxa"/>
              <w:right w:w="40" w:type="dxa"/>
            </w:tcMar>
          </w:tcPr>
          <w:p w14:paraId="58E9DC76" w14:textId="77777777" w:rsidR="00D31EA2" w:rsidRDefault="00D31EA2" w:rsidP="00410442">
            <w:pPr>
              <w:rPr>
                <w:rFonts w:ascii="Arial" w:hAnsi="Arial" w:cs="Arial"/>
                <w:color w:val="000000"/>
                <w:sz w:val="18"/>
                <w:szCs w:val="18"/>
              </w:rPr>
            </w:pPr>
            <w:r>
              <w:rPr>
                <w:rFonts w:ascii="Arial" w:hAnsi="Arial" w:cs="Arial"/>
                <w:color w:val="000000"/>
                <w:sz w:val="18"/>
                <w:szCs w:val="18"/>
              </w:rPr>
              <w:t>1,174</w:t>
            </w:r>
          </w:p>
        </w:tc>
        <w:tc>
          <w:tcPr>
            <w:tcW w:w="986" w:type="dxa"/>
            <w:tcMar>
              <w:top w:w="40" w:type="dxa"/>
              <w:left w:w="80" w:type="dxa"/>
              <w:bottom w:w="60" w:type="dxa"/>
              <w:right w:w="40" w:type="dxa"/>
            </w:tcMar>
          </w:tcPr>
          <w:p w14:paraId="1EBB8CB0" w14:textId="77777777" w:rsidR="00D31EA2" w:rsidRDefault="00D31EA2" w:rsidP="00410442">
            <w:pPr>
              <w:rPr>
                <w:rFonts w:ascii="Arial" w:hAnsi="Arial" w:cs="Arial"/>
                <w:color w:val="000000"/>
                <w:sz w:val="18"/>
                <w:szCs w:val="18"/>
              </w:rPr>
            </w:pPr>
            <w:r>
              <w:rPr>
                <w:rFonts w:ascii="Arial" w:hAnsi="Arial" w:cs="Arial"/>
                <w:color w:val="000000"/>
                <w:sz w:val="18"/>
                <w:szCs w:val="18"/>
              </w:rPr>
              <w:t>1,205</w:t>
            </w:r>
          </w:p>
        </w:tc>
        <w:tc>
          <w:tcPr>
            <w:tcW w:w="977" w:type="dxa"/>
            <w:shd w:val="clear" w:color="auto" w:fill="FFFFFF"/>
            <w:tcMar>
              <w:top w:w="40" w:type="dxa"/>
              <w:left w:w="80" w:type="dxa"/>
              <w:bottom w:w="60" w:type="dxa"/>
              <w:right w:w="40" w:type="dxa"/>
            </w:tcMar>
          </w:tcPr>
          <w:p w14:paraId="1C10EC0B" w14:textId="77777777" w:rsidR="00D31EA2" w:rsidRDefault="00D31EA2" w:rsidP="00410442">
            <w:pPr>
              <w:rPr>
                <w:rFonts w:ascii="Arial" w:hAnsi="Arial" w:cs="Arial"/>
                <w:color w:val="000000"/>
                <w:sz w:val="18"/>
                <w:szCs w:val="18"/>
              </w:rPr>
            </w:pPr>
            <w:r>
              <w:rPr>
                <w:rFonts w:ascii="Arial" w:hAnsi="Arial" w:cs="Arial"/>
                <w:color w:val="000000"/>
                <w:sz w:val="18"/>
                <w:szCs w:val="18"/>
              </w:rPr>
              <w:t>1,211</w:t>
            </w:r>
          </w:p>
        </w:tc>
      </w:tr>
      <w:tr w:rsidR="00D31EA2" w14:paraId="15F53A0B" w14:textId="77777777" w:rsidTr="00F5215D">
        <w:trPr>
          <w:trHeight w:val="198"/>
        </w:trPr>
        <w:tc>
          <w:tcPr>
            <w:tcW w:w="2207" w:type="dxa"/>
            <w:vMerge/>
            <w:tcMar>
              <w:top w:w="40" w:type="dxa"/>
              <w:left w:w="120" w:type="dxa"/>
              <w:bottom w:w="40" w:type="dxa"/>
              <w:right w:w="40" w:type="dxa"/>
            </w:tcMar>
          </w:tcPr>
          <w:p w14:paraId="2F972C06" w14:textId="77777777" w:rsidR="00D31EA2" w:rsidRPr="00AA148D" w:rsidRDefault="00D31EA2" w:rsidP="00410442">
            <w:pPr>
              <w:rPr>
                <w:rFonts w:ascii="Arial" w:hAnsi="Arial" w:cs="Arial"/>
                <w:sz w:val="18"/>
                <w:szCs w:val="18"/>
              </w:rPr>
            </w:pPr>
          </w:p>
        </w:tc>
        <w:tc>
          <w:tcPr>
            <w:tcW w:w="2205" w:type="dxa"/>
            <w:tcMar>
              <w:top w:w="40" w:type="dxa"/>
              <w:left w:w="80" w:type="dxa"/>
              <w:bottom w:w="40" w:type="dxa"/>
              <w:right w:w="40" w:type="dxa"/>
            </w:tcMar>
          </w:tcPr>
          <w:p w14:paraId="55809F8C" w14:textId="77777777" w:rsidR="00D31EA2" w:rsidRDefault="00D31EA2" w:rsidP="00410442">
            <w:pPr>
              <w:rPr>
                <w:rFonts w:ascii="Arial" w:hAnsi="Arial" w:cs="Arial"/>
                <w:color w:val="000000"/>
                <w:sz w:val="18"/>
                <w:szCs w:val="18"/>
              </w:rPr>
            </w:pPr>
            <w:r>
              <w:rPr>
                <w:rFonts w:ascii="Arial" w:hAnsi="Arial" w:cs="Arial"/>
                <w:color w:val="000000"/>
                <w:sz w:val="18"/>
                <w:szCs w:val="18"/>
              </w:rPr>
              <w:t>Admitted – non-acute</w:t>
            </w:r>
          </w:p>
        </w:tc>
        <w:tc>
          <w:tcPr>
            <w:tcW w:w="963" w:type="dxa"/>
            <w:tcMar>
              <w:top w:w="43" w:type="dxa"/>
              <w:left w:w="86" w:type="dxa"/>
              <w:bottom w:w="58" w:type="dxa"/>
              <w:right w:w="43" w:type="dxa"/>
            </w:tcMar>
          </w:tcPr>
          <w:p w14:paraId="42758EA2" w14:textId="77777777" w:rsidR="00D31EA2" w:rsidRDefault="00D31EA2" w:rsidP="00410442">
            <w:pPr>
              <w:rPr>
                <w:rFonts w:ascii="Arial" w:hAnsi="Arial" w:cs="Arial"/>
                <w:color w:val="000000"/>
                <w:sz w:val="18"/>
                <w:szCs w:val="18"/>
              </w:rPr>
            </w:pPr>
            <w:r>
              <w:rPr>
                <w:rFonts w:ascii="Arial" w:hAnsi="Arial" w:cs="Arial"/>
                <w:color w:val="000000"/>
                <w:sz w:val="18"/>
                <w:szCs w:val="18"/>
              </w:rPr>
              <w:t>212</w:t>
            </w:r>
          </w:p>
        </w:tc>
        <w:tc>
          <w:tcPr>
            <w:tcW w:w="963" w:type="dxa"/>
            <w:tcMar>
              <w:top w:w="43" w:type="dxa"/>
              <w:left w:w="86" w:type="dxa"/>
              <w:bottom w:w="58" w:type="dxa"/>
              <w:right w:w="43" w:type="dxa"/>
            </w:tcMar>
          </w:tcPr>
          <w:p w14:paraId="32EDAF59" w14:textId="77777777" w:rsidR="00D31EA2" w:rsidRDefault="00D31EA2" w:rsidP="00410442">
            <w:pPr>
              <w:rPr>
                <w:rFonts w:ascii="Arial" w:hAnsi="Arial" w:cs="Arial"/>
                <w:color w:val="000000"/>
                <w:sz w:val="18"/>
                <w:szCs w:val="18"/>
              </w:rPr>
            </w:pPr>
            <w:r>
              <w:rPr>
                <w:rFonts w:ascii="Arial" w:hAnsi="Arial" w:cs="Arial"/>
                <w:color w:val="000000"/>
                <w:sz w:val="18"/>
                <w:szCs w:val="18"/>
              </w:rPr>
              <w:t>244</w:t>
            </w:r>
          </w:p>
        </w:tc>
        <w:tc>
          <w:tcPr>
            <w:tcW w:w="977" w:type="dxa"/>
            <w:tcMar>
              <w:top w:w="40" w:type="dxa"/>
              <w:left w:w="80" w:type="dxa"/>
              <w:bottom w:w="60" w:type="dxa"/>
              <w:right w:w="40" w:type="dxa"/>
            </w:tcMar>
          </w:tcPr>
          <w:p w14:paraId="636CC2A5" w14:textId="77777777" w:rsidR="00D31EA2" w:rsidRDefault="00D31EA2" w:rsidP="00410442">
            <w:pPr>
              <w:rPr>
                <w:rFonts w:ascii="Arial" w:hAnsi="Arial" w:cs="Arial"/>
                <w:color w:val="000000"/>
                <w:sz w:val="18"/>
                <w:szCs w:val="18"/>
              </w:rPr>
            </w:pPr>
            <w:r>
              <w:rPr>
                <w:rFonts w:ascii="Arial" w:hAnsi="Arial" w:cs="Arial"/>
                <w:color w:val="000000"/>
                <w:sz w:val="18"/>
                <w:szCs w:val="18"/>
              </w:rPr>
              <w:t>244</w:t>
            </w:r>
          </w:p>
        </w:tc>
        <w:tc>
          <w:tcPr>
            <w:tcW w:w="986" w:type="dxa"/>
            <w:tcMar>
              <w:top w:w="40" w:type="dxa"/>
              <w:left w:w="80" w:type="dxa"/>
              <w:bottom w:w="60" w:type="dxa"/>
              <w:right w:w="40" w:type="dxa"/>
            </w:tcMar>
          </w:tcPr>
          <w:p w14:paraId="5E74218F" w14:textId="77777777" w:rsidR="00D31EA2" w:rsidRDefault="00D31EA2" w:rsidP="00410442">
            <w:pPr>
              <w:rPr>
                <w:rFonts w:ascii="Arial" w:hAnsi="Arial" w:cs="Arial"/>
                <w:color w:val="000000"/>
                <w:sz w:val="18"/>
                <w:szCs w:val="18"/>
              </w:rPr>
            </w:pPr>
            <w:r>
              <w:rPr>
                <w:rFonts w:ascii="Arial" w:hAnsi="Arial" w:cs="Arial"/>
                <w:color w:val="000000"/>
                <w:sz w:val="18"/>
                <w:szCs w:val="18"/>
              </w:rPr>
              <w:t>250</w:t>
            </w:r>
          </w:p>
        </w:tc>
        <w:tc>
          <w:tcPr>
            <w:tcW w:w="977" w:type="dxa"/>
            <w:shd w:val="clear" w:color="auto" w:fill="FFFFFF"/>
            <w:tcMar>
              <w:top w:w="40" w:type="dxa"/>
              <w:left w:w="80" w:type="dxa"/>
              <w:bottom w:w="60" w:type="dxa"/>
              <w:right w:w="40" w:type="dxa"/>
            </w:tcMar>
          </w:tcPr>
          <w:p w14:paraId="28386130" w14:textId="77777777" w:rsidR="00D31EA2" w:rsidRDefault="00D31EA2" w:rsidP="00410442">
            <w:pPr>
              <w:rPr>
                <w:rFonts w:ascii="Arial" w:hAnsi="Arial" w:cs="Arial"/>
                <w:color w:val="000000"/>
                <w:sz w:val="18"/>
                <w:szCs w:val="18"/>
              </w:rPr>
            </w:pPr>
            <w:r>
              <w:rPr>
                <w:rFonts w:ascii="Arial" w:hAnsi="Arial" w:cs="Arial"/>
                <w:color w:val="000000"/>
                <w:sz w:val="18"/>
                <w:szCs w:val="18"/>
              </w:rPr>
              <w:t>250</w:t>
            </w:r>
          </w:p>
        </w:tc>
      </w:tr>
      <w:tr w:rsidR="00D31EA2" w14:paraId="1F6BD666" w14:textId="77777777" w:rsidTr="00F5215D">
        <w:trPr>
          <w:trHeight w:val="198"/>
        </w:trPr>
        <w:tc>
          <w:tcPr>
            <w:tcW w:w="2207" w:type="dxa"/>
            <w:vMerge/>
            <w:tcMar>
              <w:top w:w="40" w:type="dxa"/>
              <w:left w:w="120" w:type="dxa"/>
              <w:bottom w:w="40" w:type="dxa"/>
              <w:right w:w="40" w:type="dxa"/>
            </w:tcMar>
          </w:tcPr>
          <w:p w14:paraId="7BC07609" w14:textId="77777777" w:rsidR="00D31EA2" w:rsidRPr="00AA148D" w:rsidRDefault="00D31EA2" w:rsidP="00410442">
            <w:pPr>
              <w:rPr>
                <w:rFonts w:ascii="Arial" w:hAnsi="Arial" w:cs="Arial"/>
                <w:sz w:val="18"/>
                <w:szCs w:val="18"/>
              </w:rPr>
            </w:pPr>
          </w:p>
        </w:tc>
        <w:tc>
          <w:tcPr>
            <w:tcW w:w="2205" w:type="dxa"/>
            <w:tcMar>
              <w:top w:w="40" w:type="dxa"/>
              <w:left w:w="80" w:type="dxa"/>
              <w:bottom w:w="40" w:type="dxa"/>
              <w:right w:w="40" w:type="dxa"/>
            </w:tcMar>
          </w:tcPr>
          <w:p w14:paraId="217D2065" w14:textId="1F9903F5" w:rsidR="00D31EA2" w:rsidRDefault="00D31EA2" w:rsidP="00410442">
            <w:pPr>
              <w:rPr>
                <w:rFonts w:ascii="Arial" w:hAnsi="Arial" w:cs="Arial"/>
                <w:color w:val="000000"/>
                <w:sz w:val="18"/>
                <w:szCs w:val="18"/>
              </w:rPr>
            </w:pPr>
            <w:r>
              <w:rPr>
                <w:rFonts w:ascii="Arial" w:hAnsi="Arial" w:cs="Arial"/>
                <w:color w:val="000000"/>
                <w:sz w:val="18"/>
                <w:szCs w:val="18"/>
              </w:rPr>
              <w:t xml:space="preserve">Admitted </w:t>
            </w:r>
            <w:r w:rsidR="000A5AD9">
              <w:rPr>
                <w:rFonts w:ascii="Arial" w:hAnsi="Arial" w:cs="Arial"/>
                <w:color w:val="000000"/>
                <w:sz w:val="18"/>
                <w:szCs w:val="18"/>
              </w:rPr>
              <w:t>t</w:t>
            </w:r>
            <w:r>
              <w:rPr>
                <w:rFonts w:ascii="Arial" w:hAnsi="Arial" w:cs="Arial"/>
                <w:color w:val="000000"/>
                <w:sz w:val="18"/>
                <w:szCs w:val="18"/>
              </w:rPr>
              <w:t>otal</w:t>
            </w:r>
          </w:p>
        </w:tc>
        <w:tc>
          <w:tcPr>
            <w:tcW w:w="963" w:type="dxa"/>
            <w:tcMar>
              <w:top w:w="43" w:type="dxa"/>
              <w:left w:w="86" w:type="dxa"/>
              <w:bottom w:w="58" w:type="dxa"/>
              <w:right w:w="43" w:type="dxa"/>
            </w:tcMar>
          </w:tcPr>
          <w:p w14:paraId="58509689" w14:textId="77777777" w:rsidR="00D31EA2" w:rsidRDefault="00D31EA2" w:rsidP="00410442">
            <w:pPr>
              <w:rPr>
                <w:rFonts w:ascii="Arial" w:hAnsi="Arial" w:cs="Arial"/>
                <w:color w:val="000000"/>
                <w:sz w:val="18"/>
                <w:szCs w:val="18"/>
              </w:rPr>
            </w:pPr>
            <w:r>
              <w:rPr>
                <w:rFonts w:ascii="Arial" w:hAnsi="Arial" w:cs="Arial"/>
                <w:color w:val="000000"/>
                <w:sz w:val="18"/>
                <w:szCs w:val="18"/>
              </w:rPr>
              <w:t>1,310</w:t>
            </w:r>
          </w:p>
        </w:tc>
        <w:tc>
          <w:tcPr>
            <w:tcW w:w="963" w:type="dxa"/>
            <w:tcMar>
              <w:top w:w="43" w:type="dxa"/>
              <w:left w:w="86" w:type="dxa"/>
              <w:bottom w:w="58" w:type="dxa"/>
              <w:right w:w="43" w:type="dxa"/>
            </w:tcMar>
          </w:tcPr>
          <w:p w14:paraId="26ABE96D" w14:textId="77777777" w:rsidR="00D31EA2" w:rsidRDefault="00D31EA2" w:rsidP="00410442">
            <w:pPr>
              <w:rPr>
                <w:rFonts w:ascii="Arial" w:hAnsi="Arial" w:cs="Arial"/>
                <w:color w:val="000000"/>
                <w:sz w:val="18"/>
                <w:szCs w:val="18"/>
              </w:rPr>
            </w:pPr>
            <w:r>
              <w:rPr>
                <w:rFonts w:ascii="Arial" w:hAnsi="Arial" w:cs="Arial"/>
                <w:color w:val="000000"/>
                <w:sz w:val="18"/>
                <w:szCs w:val="18"/>
              </w:rPr>
              <w:t>1,406</w:t>
            </w:r>
          </w:p>
        </w:tc>
        <w:tc>
          <w:tcPr>
            <w:tcW w:w="977" w:type="dxa"/>
            <w:tcMar>
              <w:top w:w="40" w:type="dxa"/>
              <w:left w:w="80" w:type="dxa"/>
              <w:bottom w:w="60" w:type="dxa"/>
              <w:right w:w="40" w:type="dxa"/>
            </w:tcMar>
          </w:tcPr>
          <w:p w14:paraId="2C26C467" w14:textId="77777777" w:rsidR="00D31EA2" w:rsidRDefault="00D31EA2" w:rsidP="00410442">
            <w:pPr>
              <w:rPr>
                <w:rFonts w:ascii="Arial" w:hAnsi="Arial" w:cs="Arial"/>
                <w:color w:val="000000"/>
                <w:sz w:val="18"/>
                <w:szCs w:val="18"/>
              </w:rPr>
            </w:pPr>
            <w:r>
              <w:rPr>
                <w:rFonts w:ascii="Arial" w:hAnsi="Arial" w:cs="Arial"/>
                <w:color w:val="000000"/>
                <w:sz w:val="18"/>
                <w:szCs w:val="18"/>
              </w:rPr>
              <w:t>1,418</w:t>
            </w:r>
          </w:p>
        </w:tc>
        <w:tc>
          <w:tcPr>
            <w:tcW w:w="986" w:type="dxa"/>
            <w:tcMar>
              <w:top w:w="40" w:type="dxa"/>
              <w:left w:w="80" w:type="dxa"/>
              <w:bottom w:w="60" w:type="dxa"/>
              <w:right w:w="40" w:type="dxa"/>
            </w:tcMar>
          </w:tcPr>
          <w:p w14:paraId="66497A08" w14:textId="77777777" w:rsidR="00D31EA2" w:rsidRDefault="00D31EA2" w:rsidP="00410442">
            <w:pPr>
              <w:rPr>
                <w:rFonts w:ascii="Arial" w:hAnsi="Arial" w:cs="Arial"/>
                <w:color w:val="000000"/>
                <w:sz w:val="18"/>
                <w:szCs w:val="18"/>
              </w:rPr>
            </w:pPr>
            <w:r>
              <w:rPr>
                <w:rFonts w:ascii="Arial" w:hAnsi="Arial" w:cs="Arial"/>
                <w:color w:val="000000"/>
                <w:sz w:val="18"/>
                <w:szCs w:val="18"/>
              </w:rPr>
              <w:t>1,455</w:t>
            </w:r>
          </w:p>
        </w:tc>
        <w:tc>
          <w:tcPr>
            <w:tcW w:w="977" w:type="dxa"/>
            <w:shd w:val="clear" w:color="auto" w:fill="FFFFFF"/>
            <w:tcMar>
              <w:top w:w="40" w:type="dxa"/>
              <w:left w:w="80" w:type="dxa"/>
              <w:bottom w:w="60" w:type="dxa"/>
              <w:right w:w="40" w:type="dxa"/>
            </w:tcMar>
          </w:tcPr>
          <w:p w14:paraId="2BDB8436" w14:textId="77777777" w:rsidR="00D31EA2" w:rsidRDefault="00D31EA2" w:rsidP="00410442">
            <w:pPr>
              <w:rPr>
                <w:rFonts w:ascii="Arial" w:hAnsi="Arial" w:cs="Arial"/>
                <w:color w:val="000000"/>
                <w:sz w:val="18"/>
                <w:szCs w:val="18"/>
              </w:rPr>
            </w:pPr>
            <w:r>
              <w:rPr>
                <w:rFonts w:ascii="Arial" w:hAnsi="Arial" w:cs="Arial"/>
                <w:color w:val="000000"/>
                <w:sz w:val="18"/>
                <w:szCs w:val="18"/>
              </w:rPr>
              <w:t>1,461</w:t>
            </w:r>
          </w:p>
        </w:tc>
      </w:tr>
      <w:tr w:rsidR="00D31EA2" w14:paraId="0A3D74A6" w14:textId="77777777" w:rsidTr="00F5215D">
        <w:trPr>
          <w:trHeight w:val="198"/>
        </w:trPr>
        <w:tc>
          <w:tcPr>
            <w:tcW w:w="2207" w:type="dxa"/>
            <w:vMerge/>
            <w:tcMar>
              <w:top w:w="40" w:type="dxa"/>
              <w:left w:w="120" w:type="dxa"/>
              <w:bottom w:w="40" w:type="dxa"/>
              <w:right w:w="40" w:type="dxa"/>
            </w:tcMar>
          </w:tcPr>
          <w:p w14:paraId="070CC52D" w14:textId="77777777" w:rsidR="00D31EA2" w:rsidRPr="00AA148D" w:rsidRDefault="00D31EA2" w:rsidP="00410442">
            <w:pPr>
              <w:rPr>
                <w:rFonts w:ascii="Arial" w:hAnsi="Arial" w:cs="Arial"/>
                <w:sz w:val="18"/>
                <w:szCs w:val="18"/>
              </w:rPr>
            </w:pPr>
          </w:p>
        </w:tc>
        <w:tc>
          <w:tcPr>
            <w:tcW w:w="2205" w:type="dxa"/>
            <w:tcMar>
              <w:top w:w="40" w:type="dxa"/>
              <w:left w:w="80" w:type="dxa"/>
              <w:bottom w:w="40" w:type="dxa"/>
              <w:right w:w="40" w:type="dxa"/>
            </w:tcMar>
          </w:tcPr>
          <w:p w14:paraId="0FF4F2B8" w14:textId="5A2E038C" w:rsidR="00D31EA2" w:rsidRDefault="00D31EA2" w:rsidP="00410442">
            <w:pPr>
              <w:rPr>
                <w:rFonts w:ascii="Arial" w:hAnsi="Arial" w:cs="Arial"/>
                <w:color w:val="000000"/>
                <w:sz w:val="18"/>
                <w:szCs w:val="18"/>
              </w:rPr>
            </w:pPr>
            <w:r>
              <w:rPr>
                <w:rFonts w:ascii="Arial" w:hAnsi="Arial" w:cs="Arial"/>
                <w:color w:val="000000"/>
                <w:sz w:val="18"/>
                <w:szCs w:val="18"/>
              </w:rPr>
              <w:t xml:space="preserve">Non-admitted – </w:t>
            </w:r>
            <w:r w:rsidR="000A5AD9">
              <w:rPr>
                <w:rFonts w:ascii="Arial" w:hAnsi="Arial" w:cs="Arial"/>
                <w:color w:val="000000"/>
                <w:sz w:val="18"/>
                <w:szCs w:val="18"/>
              </w:rPr>
              <w:t>b</w:t>
            </w:r>
            <w:r>
              <w:rPr>
                <w:rFonts w:ascii="Arial" w:hAnsi="Arial" w:cs="Arial"/>
                <w:color w:val="000000"/>
                <w:sz w:val="18"/>
                <w:szCs w:val="18"/>
              </w:rPr>
              <w:t>ed-based</w:t>
            </w:r>
          </w:p>
        </w:tc>
        <w:tc>
          <w:tcPr>
            <w:tcW w:w="963" w:type="dxa"/>
            <w:tcMar>
              <w:top w:w="43" w:type="dxa"/>
              <w:left w:w="86" w:type="dxa"/>
              <w:bottom w:w="58" w:type="dxa"/>
              <w:right w:w="43" w:type="dxa"/>
            </w:tcMar>
          </w:tcPr>
          <w:p w14:paraId="43102621" w14:textId="77777777" w:rsidR="00D31EA2" w:rsidRDefault="00D31EA2" w:rsidP="00410442">
            <w:pPr>
              <w:rPr>
                <w:rFonts w:ascii="Arial" w:hAnsi="Arial" w:cs="Arial"/>
                <w:color w:val="000000"/>
                <w:sz w:val="18"/>
                <w:szCs w:val="18"/>
              </w:rPr>
            </w:pPr>
            <w:r>
              <w:rPr>
                <w:rFonts w:ascii="Arial" w:hAnsi="Arial" w:cs="Arial"/>
                <w:color w:val="000000"/>
                <w:sz w:val="18"/>
                <w:szCs w:val="18"/>
              </w:rPr>
              <w:t>525</w:t>
            </w:r>
          </w:p>
        </w:tc>
        <w:tc>
          <w:tcPr>
            <w:tcW w:w="963" w:type="dxa"/>
            <w:tcMar>
              <w:top w:w="43" w:type="dxa"/>
              <w:left w:w="86" w:type="dxa"/>
              <w:bottom w:w="58" w:type="dxa"/>
              <w:right w:w="43" w:type="dxa"/>
            </w:tcMar>
          </w:tcPr>
          <w:p w14:paraId="5D939D0C" w14:textId="77777777" w:rsidR="00D31EA2" w:rsidRDefault="00D31EA2" w:rsidP="00410442">
            <w:pPr>
              <w:rPr>
                <w:rFonts w:ascii="Arial" w:hAnsi="Arial" w:cs="Arial"/>
                <w:color w:val="000000"/>
                <w:sz w:val="18"/>
                <w:szCs w:val="18"/>
              </w:rPr>
            </w:pPr>
            <w:r>
              <w:rPr>
                <w:rFonts w:ascii="Arial" w:hAnsi="Arial" w:cs="Arial"/>
                <w:color w:val="000000"/>
                <w:sz w:val="18"/>
                <w:szCs w:val="18"/>
              </w:rPr>
              <w:t>525</w:t>
            </w:r>
          </w:p>
        </w:tc>
        <w:tc>
          <w:tcPr>
            <w:tcW w:w="977" w:type="dxa"/>
            <w:tcMar>
              <w:top w:w="40" w:type="dxa"/>
              <w:left w:w="80" w:type="dxa"/>
              <w:bottom w:w="60" w:type="dxa"/>
              <w:right w:w="40" w:type="dxa"/>
            </w:tcMar>
          </w:tcPr>
          <w:p w14:paraId="02FCC621" w14:textId="77777777" w:rsidR="00D31EA2" w:rsidRDefault="00D31EA2" w:rsidP="00410442">
            <w:pPr>
              <w:rPr>
                <w:rFonts w:ascii="Arial" w:hAnsi="Arial" w:cs="Arial"/>
                <w:color w:val="000000"/>
                <w:sz w:val="18"/>
                <w:szCs w:val="18"/>
              </w:rPr>
            </w:pPr>
            <w:r>
              <w:rPr>
                <w:rFonts w:ascii="Arial" w:hAnsi="Arial" w:cs="Arial"/>
                <w:color w:val="000000"/>
                <w:sz w:val="18"/>
                <w:szCs w:val="18"/>
              </w:rPr>
              <w:t>495</w:t>
            </w:r>
          </w:p>
        </w:tc>
        <w:tc>
          <w:tcPr>
            <w:tcW w:w="986" w:type="dxa"/>
            <w:tcMar>
              <w:top w:w="40" w:type="dxa"/>
              <w:left w:w="80" w:type="dxa"/>
              <w:bottom w:w="60" w:type="dxa"/>
              <w:right w:w="40" w:type="dxa"/>
            </w:tcMar>
          </w:tcPr>
          <w:p w14:paraId="3649A1A0" w14:textId="77777777" w:rsidR="00D31EA2" w:rsidRDefault="00D31EA2" w:rsidP="00410442">
            <w:pPr>
              <w:rPr>
                <w:rFonts w:ascii="Arial" w:hAnsi="Arial" w:cs="Arial"/>
                <w:color w:val="000000"/>
                <w:sz w:val="18"/>
                <w:szCs w:val="18"/>
              </w:rPr>
            </w:pPr>
            <w:r>
              <w:rPr>
                <w:rFonts w:ascii="Arial" w:hAnsi="Arial" w:cs="Arial"/>
                <w:color w:val="000000"/>
                <w:sz w:val="18"/>
                <w:szCs w:val="18"/>
              </w:rPr>
              <w:t>495</w:t>
            </w:r>
          </w:p>
        </w:tc>
        <w:tc>
          <w:tcPr>
            <w:tcW w:w="977" w:type="dxa"/>
            <w:shd w:val="clear" w:color="auto" w:fill="FFFFFF"/>
            <w:tcMar>
              <w:top w:w="40" w:type="dxa"/>
              <w:left w:w="80" w:type="dxa"/>
              <w:bottom w:w="60" w:type="dxa"/>
              <w:right w:w="40" w:type="dxa"/>
            </w:tcMar>
          </w:tcPr>
          <w:p w14:paraId="41CA5576" w14:textId="77777777" w:rsidR="00D31EA2" w:rsidRDefault="00D31EA2" w:rsidP="00410442">
            <w:pPr>
              <w:rPr>
                <w:rFonts w:ascii="Arial" w:hAnsi="Arial" w:cs="Arial"/>
                <w:color w:val="000000"/>
                <w:sz w:val="18"/>
                <w:szCs w:val="18"/>
              </w:rPr>
            </w:pPr>
            <w:r>
              <w:rPr>
                <w:rFonts w:ascii="Arial" w:hAnsi="Arial" w:cs="Arial"/>
                <w:color w:val="000000"/>
                <w:sz w:val="18"/>
                <w:szCs w:val="18"/>
              </w:rPr>
              <w:t>495</w:t>
            </w:r>
          </w:p>
        </w:tc>
      </w:tr>
      <w:tr w:rsidR="00D31EA2" w14:paraId="17ECC82F" w14:textId="77777777" w:rsidTr="00F5215D">
        <w:trPr>
          <w:trHeight w:val="198"/>
        </w:trPr>
        <w:tc>
          <w:tcPr>
            <w:tcW w:w="2207" w:type="dxa"/>
            <w:vMerge/>
            <w:tcMar>
              <w:top w:w="40" w:type="dxa"/>
              <w:left w:w="120" w:type="dxa"/>
              <w:bottom w:w="40" w:type="dxa"/>
              <w:right w:w="40" w:type="dxa"/>
            </w:tcMar>
          </w:tcPr>
          <w:p w14:paraId="72B0C38B" w14:textId="77777777" w:rsidR="00D31EA2" w:rsidRPr="00AA148D" w:rsidRDefault="00D31EA2" w:rsidP="00410442">
            <w:pPr>
              <w:rPr>
                <w:rFonts w:ascii="Arial" w:hAnsi="Arial" w:cs="Arial"/>
                <w:sz w:val="18"/>
                <w:szCs w:val="18"/>
              </w:rPr>
            </w:pPr>
          </w:p>
        </w:tc>
        <w:tc>
          <w:tcPr>
            <w:tcW w:w="2205" w:type="dxa"/>
            <w:tcMar>
              <w:top w:w="40" w:type="dxa"/>
              <w:left w:w="80" w:type="dxa"/>
              <w:bottom w:w="40" w:type="dxa"/>
              <w:right w:w="40" w:type="dxa"/>
            </w:tcMar>
          </w:tcPr>
          <w:p w14:paraId="024A9107" w14:textId="77777777" w:rsidR="00D31EA2" w:rsidRPr="00AA148D" w:rsidRDefault="00D31EA2" w:rsidP="00410442">
            <w:pPr>
              <w:rPr>
                <w:rFonts w:ascii="Arial" w:hAnsi="Arial" w:cs="Arial"/>
                <w:sz w:val="18"/>
                <w:szCs w:val="18"/>
              </w:rPr>
            </w:pPr>
            <w:r>
              <w:rPr>
                <w:rFonts w:ascii="Arial" w:eastAsia="Verdana" w:hAnsi="Arial" w:cs="Arial"/>
                <w:color w:val="000000"/>
                <w:sz w:val="18"/>
                <w:szCs w:val="18"/>
              </w:rPr>
              <w:t>Non-admitted – subacute</w:t>
            </w:r>
            <w:r w:rsidRPr="00AA148D">
              <w:rPr>
                <w:rFonts w:ascii="Arial" w:eastAsia="Verdana" w:hAnsi="Arial" w:cs="Arial"/>
                <w:color w:val="000000"/>
                <w:sz w:val="18"/>
                <w:szCs w:val="18"/>
              </w:rPr>
              <w:t xml:space="preserve"> (CCU)</w:t>
            </w:r>
          </w:p>
        </w:tc>
        <w:tc>
          <w:tcPr>
            <w:tcW w:w="963" w:type="dxa"/>
            <w:tcMar>
              <w:top w:w="43" w:type="dxa"/>
              <w:left w:w="86" w:type="dxa"/>
              <w:bottom w:w="58" w:type="dxa"/>
              <w:right w:w="43" w:type="dxa"/>
            </w:tcMar>
          </w:tcPr>
          <w:p w14:paraId="01AA71D1" w14:textId="77777777" w:rsidR="00D31EA2" w:rsidRDefault="00D31EA2" w:rsidP="00410442">
            <w:pPr>
              <w:rPr>
                <w:rFonts w:ascii="Arial" w:hAnsi="Arial" w:cs="Arial"/>
                <w:color w:val="000000"/>
                <w:sz w:val="18"/>
                <w:szCs w:val="18"/>
                <w:lang w:eastAsia="en-AU"/>
              </w:rPr>
            </w:pPr>
            <w:r>
              <w:rPr>
                <w:rFonts w:ascii="Arial" w:hAnsi="Arial" w:cs="Arial"/>
                <w:color w:val="000000"/>
                <w:sz w:val="18"/>
                <w:szCs w:val="18"/>
              </w:rPr>
              <w:t>358</w:t>
            </w:r>
          </w:p>
        </w:tc>
        <w:tc>
          <w:tcPr>
            <w:tcW w:w="963" w:type="dxa"/>
            <w:tcMar>
              <w:top w:w="43" w:type="dxa"/>
              <w:left w:w="86" w:type="dxa"/>
              <w:bottom w:w="58" w:type="dxa"/>
              <w:right w:w="43" w:type="dxa"/>
            </w:tcMar>
          </w:tcPr>
          <w:p w14:paraId="02DD2238" w14:textId="77777777" w:rsidR="00D31EA2" w:rsidRDefault="00D31EA2" w:rsidP="00410442">
            <w:pPr>
              <w:rPr>
                <w:rFonts w:ascii="Arial" w:hAnsi="Arial" w:cs="Arial"/>
                <w:color w:val="000000"/>
                <w:sz w:val="18"/>
                <w:szCs w:val="18"/>
              </w:rPr>
            </w:pPr>
            <w:r>
              <w:rPr>
                <w:rFonts w:ascii="Arial" w:hAnsi="Arial" w:cs="Arial"/>
                <w:color w:val="000000"/>
                <w:sz w:val="18"/>
                <w:szCs w:val="18"/>
              </w:rPr>
              <w:t>358</w:t>
            </w:r>
          </w:p>
        </w:tc>
        <w:tc>
          <w:tcPr>
            <w:tcW w:w="977" w:type="dxa"/>
            <w:tcMar>
              <w:top w:w="40" w:type="dxa"/>
              <w:left w:w="80" w:type="dxa"/>
              <w:bottom w:w="60" w:type="dxa"/>
              <w:right w:w="40" w:type="dxa"/>
            </w:tcMar>
          </w:tcPr>
          <w:p w14:paraId="787666CC" w14:textId="77777777" w:rsidR="00D31EA2" w:rsidRDefault="00D31EA2" w:rsidP="00410442">
            <w:pPr>
              <w:rPr>
                <w:rFonts w:ascii="Arial" w:hAnsi="Arial" w:cs="Arial"/>
                <w:color w:val="000000"/>
                <w:sz w:val="18"/>
                <w:szCs w:val="18"/>
                <w:lang w:eastAsia="en-AU"/>
              </w:rPr>
            </w:pPr>
            <w:r>
              <w:rPr>
                <w:rFonts w:ascii="Arial" w:hAnsi="Arial" w:cs="Arial"/>
                <w:color w:val="000000"/>
                <w:sz w:val="18"/>
                <w:szCs w:val="18"/>
              </w:rPr>
              <w:t>358</w:t>
            </w:r>
          </w:p>
        </w:tc>
        <w:tc>
          <w:tcPr>
            <w:tcW w:w="986" w:type="dxa"/>
            <w:tcMar>
              <w:top w:w="40" w:type="dxa"/>
              <w:left w:w="80" w:type="dxa"/>
              <w:bottom w:w="60" w:type="dxa"/>
              <w:right w:w="40" w:type="dxa"/>
            </w:tcMar>
          </w:tcPr>
          <w:p w14:paraId="71529BFB" w14:textId="77777777" w:rsidR="00D31EA2" w:rsidRDefault="00D31EA2" w:rsidP="00410442">
            <w:pPr>
              <w:rPr>
                <w:rFonts w:ascii="Arial" w:hAnsi="Arial" w:cs="Arial"/>
                <w:color w:val="000000"/>
                <w:sz w:val="18"/>
                <w:szCs w:val="18"/>
              </w:rPr>
            </w:pPr>
            <w:r>
              <w:rPr>
                <w:rFonts w:ascii="Arial" w:hAnsi="Arial" w:cs="Arial"/>
                <w:color w:val="000000"/>
                <w:sz w:val="18"/>
                <w:szCs w:val="18"/>
              </w:rPr>
              <w:t>348</w:t>
            </w:r>
          </w:p>
        </w:tc>
        <w:tc>
          <w:tcPr>
            <w:tcW w:w="977" w:type="dxa"/>
            <w:shd w:val="clear" w:color="auto" w:fill="FFFFFF"/>
            <w:tcMar>
              <w:top w:w="40" w:type="dxa"/>
              <w:left w:w="80" w:type="dxa"/>
              <w:bottom w:w="60" w:type="dxa"/>
              <w:right w:w="40" w:type="dxa"/>
            </w:tcMar>
          </w:tcPr>
          <w:p w14:paraId="0936D743" w14:textId="77777777" w:rsidR="00D31EA2" w:rsidRDefault="00D31EA2" w:rsidP="00410442">
            <w:pPr>
              <w:rPr>
                <w:rFonts w:ascii="Arial" w:hAnsi="Arial" w:cs="Arial"/>
                <w:color w:val="000000"/>
                <w:sz w:val="18"/>
                <w:szCs w:val="18"/>
              </w:rPr>
            </w:pPr>
            <w:r>
              <w:rPr>
                <w:rFonts w:ascii="Arial" w:hAnsi="Arial" w:cs="Arial"/>
                <w:color w:val="000000"/>
                <w:sz w:val="18"/>
                <w:szCs w:val="18"/>
              </w:rPr>
              <w:t>348</w:t>
            </w:r>
          </w:p>
        </w:tc>
      </w:tr>
      <w:tr w:rsidR="00D31EA2" w14:paraId="2F081410" w14:textId="77777777" w:rsidTr="00F5215D">
        <w:trPr>
          <w:trHeight w:val="198"/>
        </w:trPr>
        <w:tc>
          <w:tcPr>
            <w:tcW w:w="2207" w:type="dxa"/>
            <w:vMerge/>
            <w:tcMar>
              <w:top w:w="40" w:type="dxa"/>
              <w:left w:w="120" w:type="dxa"/>
              <w:bottom w:w="40" w:type="dxa"/>
              <w:right w:w="40" w:type="dxa"/>
            </w:tcMar>
          </w:tcPr>
          <w:p w14:paraId="71C8784E" w14:textId="77777777" w:rsidR="00D31EA2" w:rsidRPr="00AA148D" w:rsidRDefault="00D31EA2" w:rsidP="00410442">
            <w:pPr>
              <w:rPr>
                <w:rFonts w:ascii="Arial" w:hAnsi="Arial" w:cs="Arial"/>
                <w:sz w:val="18"/>
                <w:szCs w:val="18"/>
              </w:rPr>
            </w:pPr>
          </w:p>
        </w:tc>
        <w:tc>
          <w:tcPr>
            <w:tcW w:w="2205" w:type="dxa"/>
            <w:tcMar>
              <w:top w:w="40" w:type="dxa"/>
              <w:left w:w="80" w:type="dxa"/>
              <w:bottom w:w="40" w:type="dxa"/>
              <w:right w:w="40" w:type="dxa"/>
            </w:tcMar>
          </w:tcPr>
          <w:p w14:paraId="32BC423F" w14:textId="77777777" w:rsidR="00D31EA2" w:rsidRPr="00AA148D" w:rsidRDefault="00D31EA2" w:rsidP="00410442">
            <w:pPr>
              <w:rPr>
                <w:rFonts w:ascii="Arial" w:hAnsi="Arial" w:cs="Arial"/>
                <w:sz w:val="18"/>
                <w:szCs w:val="18"/>
              </w:rPr>
            </w:pPr>
            <w:r>
              <w:rPr>
                <w:rFonts w:ascii="Arial" w:eastAsia="Verdana" w:hAnsi="Arial" w:cs="Arial"/>
                <w:color w:val="000000"/>
                <w:sz w:val="18"/>
                <w:szCs w:val="18"/>
              </w:rPr>
              <w:t>Non-admitted – subacute</w:t>
            </w:r>
            <w:r w:rsidRPr="00AA148D">
              <w:rPr>
                <w:rFonts w:ascii="Arial" w:eastAsia="Verdana" w:hAnsi="Arial" w:cs="Arial"/>
                <w:color w:val="000000"/>
                <w:sz w:val="18"/>
                <w:szCs w:val="18"/>
              </w:rPr>
              <w:t xml:space="preserve"> (PARC)</w:t>
            </w:r>
          </w:p>
        </w:tc>
        <w:tc>
          <w:tcPr>
            <w:tcW w:w="963" w:type="dxa"/>
            <w:tcMar>
              <w:top w:w="43" w:type="dxa"/>
              <w:left w:w="86" w:type="dxa"/>
              <w:bottom w:w="58" w:type="dxa"/>
              <w:right w:w="43" w:type="dxa"/>
            </w:tcMar>
          </w:tcPr>
          <w:p w14:paraId="7B4632BD" w14:textId="77777777" w:rsidR="00D31EA2" w:rsidRDefault="00D31EA2" w:rsidP="00410442">
            <w:pPr>
              <w:rPr>
                <w:rFonts w:ascii="Arial" w:hAnsi="Arial" w:cs="Arial"/>
                <w:color w:val="000000"/>
                <w:sz w:val="18"/>
                <w:szCs w:val="18"/>
              </w:rPr>
            </w:pPr>
            <w:r>
              <w:rPr>
                <w:rFonts w:ascii="Arial" w:hAnsi="Arial" w:cs="Arial"/>
                <w:color w:val="000000"/>
                <w:sz w:val="18"/>
                <w:szCs w:val="18"/>
              </w:rPr>
              <w:t>230</w:t>
            </w:r>
          </w:p>
        </w:tc>
        <w:tc>
          <w:tcPr>
            <w:tcW w:w="963" w:type="dxa"/>
            <w:tcMar>
              <w:top w:w="43" w:type="dxa"/>
              <w:left w:w="86" w:type="dxa"/>
              <w:bottom w:w="58" w:type="dxa"/>
              <w:right w:w="43" w:type="dxa"/>
            </w:tcMar>
          </w:tcPr>
          <w:p w14:paraId="4F158448" w14:textId="77777777" w:rsidR="00D31EA2" w:rsidRDefault="00D31EA2" w:rsidP="00410442">
            <w:pPr>
              <w:rPr>
                <w:rFonts w:ascii="Arial" w:hAnsi="Arial" w:cs="Arial"/>
                <w:color w:val="000000"/>
                <w:sz w:val="18"/>
                <w:szCs w:val="18"/>
              </w:rPr>
            </w:pPr>
            <w:r>
              <w:rPr>
                <w:rFonts w:ascii="Arial" w:hAnsi="Arial" w:cs="Arial"/>
                <w:color w:val="000000"/>
                <w:sz w:val="18"/>
                <w:szCs w:val="18"/>
              </w:rPr>
              <w:t>230</w:t>
            </w:r>
          </w:p>
        </w:tc>
        <w:tc>
          <w:tcPr>
            <w:tcW w:w="977" w:type="dxa"/>
            <w:tcMar>
              <w:top w:w="40" w:type="dxa"/>
              <w:left w:w="80" w:type="dxa"/>
              <w:bottom w:w="60" w:type="dxa"/>
              <w:right w:w="40" w:type="dxa"/>
            </w:tcMar>
          </w:tcPr>
          <w:p w14:paraId="07808F4F" w14:textId="77777777" w:rsidR="00D31EA2" w:rsidRDefault="00D31EA2" w:rsidP="00410442">
            <w:pPr>
              <w:rPr>
                <w:rFonts w:ascii="Arial" w:hAnsi="Arial" w:cs="Arial"/>
                <w:color w:val="000000"/>
                <w:sz w:val="18"/>
                <w:szCs w:val="18"/>
              </w:rPr>
            </w:pPr>
            <w:r>
              <w:rPr>
                <w:rFonts w:ascii="Arial" w:hAnsi="Arial" w:cs="Arial"/>
                <w:color w:val="000000"/>
                <w:sz w:val="18"/>
                <w:szCs w:val="18"/>
              </w:rPr>
              <w:t>250</w:t>
            </w:r>
          </w:p>
        </w:tc>
        <w:tc>
          <w:tcPr>
            <w:tcW w:w="986" w:type="dxa"/>
            <w:tcMar>
              <w:top w:w="40" w:type="dxa"/>
              <w:left w:w="80" w:type="dxa"/>
              <w:bottom w:w="60" w:type="dxa"/>
              <w:right w:w="40" w:type="dxa"/>
            </w:tcMar>
          </w:tcPr>
          <w:p w14:paraId="6A06724F" w14:textId="77777777" w:rsidR="00D31EA2" w:rsidRDefault="00D31EA2" w:rsidP="00410442">
            <w:pPr>
              <w:rPr>
                <w:rFonts w:ascii="Arial" w:hAnsi="Arial" w:cs="Arial"/>
                <w:color w:val="000000"/>
                <w:sz w:val="18"/>
                <w:szCs w:val="18"/>
              </w:rPr>
            </w:pPr>
            <w:r>
              <w:rPr>
                <w:rFonts w:ascii="Arial" w:hAnsi="Arial" w:cs="Arial"/>
                <w:color w:val="000000"/>
                <w:sz w:val="18"/>
                <w:szCs w:val="18"/>
              </w:rPr>
              <w:t>250</w:t>
            </w:r>
          </w:p>
        </w:tc>
        <w:tc>
          <w:tcPr>
            <w:tcW w:w="977" w:type="dxa"/>
            <w:shd w:val="clear" w:color="auto" w:fill="FFFFFF"/>
            <w:tcMar>
              <w:top w:w="40" w:type="dxa"/>
              <w:left w:w="80" w:type="dxa"/>
              <w:bottom w:w="60" w:type="dxa"/>
              <w:right w:w="40" w:type="dxa"/>
            </w:tcMar>
          </w:tcPr>
          <w:p w14:paraId="145C2BC6" w14:textId="77777777" w:rsidR="00D31EA2" w:rsidRDefault="00D31EA2" w:rsidP="00410442">
            <w:pPr>
              <w:rPr>
                <w:rFonts w:ascii="Arial" w:hAnsi="Arial" w:cs="Arial"/>
                <w:color w:val="000000"/>
                <w:sz w:val="18"/>
                <w:szCs w:val="18"/>
              </w:rPr>
            </w:pPr>
            <w:r>
              <w:rPr>
                <w:rFonts w:ascii="Arial" w:hAnsi="Arial" w:cs="Arial"/>
                <w:color w:val="000000"/>
                <w:sz w:val="18"/>
                <w:szCs w:val="18"/>
              </w:rPr>
              <w:t>252</w:t>
            </w:r>
          </w:p>
        </w:tc>
      </w:tr>
      <w:tr w:rsidR="00D31EA2" w14:paraId="5261C6C5" w14:textId="77777777" w:rsidTr="00F5215D">
        <w:trPr>
          <w:trHeight w:val="198"/>
        </w:trPr>
        <w:tc>
          <w:tcPr>
            <w:tcW w:w="2207" w:type="dxa"/>
            <w:vMerge/>
            <w:tcMar>
              <w:top w:w="40" w:type="dxa"/>
              <w:left w:w="120" w:type="dxa"/>
              <w:bottom w:w="40" w:type="dxa"/>
              <w:right w:w="40" w:type="dxa"/>
            </w:tcMar>
          </w:tcPr>
          <w:p w14:paraId="63F66813" w14:textId="77777777" w:rsidR="00D31EA2" w:rsidRPr="00AA148D" w:rsidRDefault="00D31EA2" w:rsidP="00410442">
            <w:pPr>
              <w:rPr>
                <w:rFonts w:ascii="Arial" w:hAnsi="Arial" w:cs="Arial"/>
                <w:sz w:val="18"/>
                <w:szCs w:val="18"/>
              </w:rPr>
            </w:pPr>
          </w:p>
        </w:tc>
        <w:tc>
          <w:tcPr>
            <w:tcW w:w="2205" w:type="dxa"/>
            <w:tcMar>
              <w:top w:w="40" w:type="dxa"/>
              <w:left w:w="80" w:type="dxa"/>
              <w:bottom w:w="40" w:type="dxa"/>
              <w:right w:w="40" w:type="dxa"/>
            </w:tcMar>
          </w:tcPr>
          <w:p w14:paraId="7F039EEE" w14:textId="7F15E5A3" w:rsidR="00D31EA2" w:rsidRPr="00AA148D" w:rsidRDefault="00D31EA2" w:rsidP="00410442">
            <w:pPr>
              <w:rPr>
                <w:rFonts w:ascii="Arial" w:hAnsi="Arial" w:cs="Arial"/>
                <w:sz w:val="18"/>
                <w:szCs w:val="18"/>
              </w:rPr>
            </w:pPr>
            <w:r>
              <w:rPr>
                <w:rFonts w:ascii="Arial" w:eastAsia="Verdana" w:hAnsi="Arial" w:cs="Arial"/>
                <w:color w:val="000000"/>
                <w:sz w:val="18"/>
                <w:szCs w:val="18"/>
              </w:rPr>
              <w:t>Non-admitted</w:t>
            </w:r>
            <w:r w:rsidRPr="00AA148D">
              <w:rPr>
                <w:rFonts w:ascii="Arial" w:eastAsia="Verdana" w:hAnsi="Arial" w:cs="Arial"/>
                <w:color w:val="000000"/>
                <w:sz w:val="18"/>
                <w:szCs w:val="18"/>
              </w:rPr>
              <w:t xml:space="preserve"> </w:t>
            </w:r>
            <w:r w:rsidR="000A5AD9">
              <w:rPr>
                <w:rFonts w:ascii="Arial" w:eastAsia="Verdana" w:hAnsi="Arial" w:cs="Arial"/>
                <w:color w:val="000000"/>
                <w:sz w:val="18"/>
                <w:szCs w:val="18"/>
              </w:rPr>
              <w:t>t</w:t>
            </w:r>
            <w:r w:rsidRPr="00AA148D">
              <w:rPr>
                <w:rFonts w:ascii="Arial" w:eastAsia="Verdana" w:hAnsi="Arial" w:cs="Arial"/>
                <w:color w:val="000000"/>
                <w:sz w:val="18"/>
                <w:szCs w:val="18"/>
              </w:rPr>
              <w:t>otal</w:t>
            </w:r>
          </w:p>
        </w:tc>
        <w:tc>
          <w:tcPr>
            <w:tcW w:w="963" w:type="dxa"/>
            <w:tcMar>
              <w:top w:w="43" w:type="dxa"/>
              <w:left w:w="86" w:type="dxa"/>
              <w:bottom w:w="58" w:type="dxa"/>
              <w:right w:w="43" w:type="dxa"/>
            </w:tcMar>
          </w:tcPr>
          <w:p w14:paraId="48F4FE3B" w14:textId="77777777" w:rsidR="00D31EA2" w:rsidRDefault="00D31EA2" w:rsidP="00410442">
            <w:pPr>
              <w:rPr>
                <w:rFonts w:ascii="Arial" w:hAnsi="Arial" w:cs="Arial"/>
                <w:color w:val="000000"/>
                <w:sz w:val="18"/>
                <w:szCs w:val="18"/>
                <w:lang w:eastAsia="en-AU"/>
              </w:rPr>
            </w:pPr>
            <w:r>
              <w:rPr>
                <w:rFonts w:ascii="Arial" w:hAnsi="Arial" w:cs="Arial"/>
                <w:color w:val="000000"/>
                <w:sz w:val="18"/>
                <w:szCs w:val="18"/>
              </w:rPr>
              <w:t>1,113</w:t>
            </w:r>
          </w:p>
        </w:tc>
        <w:tc>
          <w:tcPr>
            <w:tcW w:w="963" w:type="dxa"/>
            <w:tcMar>
              <w:top w:w="43" w:type="dxa"/>
              <w:left w:w="86" w:type="dxa"/>
              <w:bottom w:w="58" w:type="dxa"/>
              <w:right w:w="43" w:type="dxa"/>
            </w:tcMar>
          </w:tcPr>
          <w:p w14:paraId="79C9FB51" w14:textId="77777777" w:rsidR="00D31EA2" w:rsidRDefault="00D31EA2" w:rsidP="00410442">
            <w:pPr>
              <w:rPr>
                <w:rFonts w:ascii="Arial" w:hAnsi="Arial" w:cs="Arial"/>
                <w:color w:val="000000"/>
                <w:sz w:val="18"/>
                <w:szCs w:val="18"/>
              </w:rPr>
            </w:pPr>
            <w:r>
              <w:rPr>
                <w:rFonts w:ascii="Arial" w:hAnsi="Arial" w:cs="Arial"/>
                <w:color w:val="000000"/>
                <w:sz w:val="18"/>
                <w:szCs w:val="18"/>
              </w:rPr>
              <w:t>1,113</w:t>
            </w:r>
          </w:p>
        </w:tc>
        <w:tc>
          <w:tcPr>
            <w:tcW w:w="977" w:type="dxa"/>
            <w:tcMar>
              <w:top w:w="40" w:type="dxa"/>
              <w:left w:w="80" w:type="dxa"/>
              <w:bottom w:w="60" w:type="dxa"/>
              <w:right w:w="40" w:type="dxa"/>
            </w:tcMar>
          </w:tcPr>
          <w:p w14:paraId="54BB431E" w14:textId="77777777" w:rsidR="00D31EA2" w:rsidRDefault="00D31EA2" w:rsidP="00410442">
            <w:pPr>
              <w:rPr>
                <w:rFonts w:ascii="Arial" w:hAnsi="Arial" w:cs="Arial"/>
                <w:color w:val="000000"/>
                <w:sz w:val="18"/>
                <w:szCs w:val="18"/>
              </w:rPr>
            </w:pPr>
            <w:r>
              <w:rPr>
                <w:rFonts w:ascii="Arial" w:hAnsi="Arial" w:cs="Arial"/>
                <w:color w:val="000000"/>
                <w:sz w:val="18"/>
                <w:szCs w:val="18"/>
              </w:rPr>
              <w:t>1,103</w:t>
            </w:r>
          </w:p>
        </w:tc>
        <w:tc>
          <w:tcPr>
            <w:tcW w:w="986" w:type="dxa"/>
            <w:tcMar>
              <w:top w:w="40" w:type="dxa"/>
              <w:left w:w="80" w:type="dxa"/>
              <w:bottom w:w="60" w:type="dxa"/>
              <w:right w:w="40" w:type="dxa"/>
            </w:tcMar>
          </w:tcPr>
          <w:p w14:paraId="2F0AB6EF" w14:textId="77777777" w:rsidR="00D31EA2" w:rsidRDefault="00D31EA2" w:rsidP="00410442">
            <w:pPr>
              <w:rPr>
                <w:rFonts w:ascii="Arial" w:hAnsi="Arial" w:cs="Arial"/>
                <w:color w:val="000000"/>
                <w:sz w:val="18"/>
                <w:szCs w:val="18"/>
              </w:rPr>
            </w:pPr>
            <w:r>
              <w:rPr>
                <w:rFonts w:ascii="Arial" w:hAnsi="Arial" w:cs="Arial"/>
                <w:color w:val="000000"/>
                <w:sz w:val="18"/>
                <w:szCs w:val="18"/>
              </w:rPr>
              <w:t>1,093</w:t>
            </w:r>
          </w:p>
        </w:tc>
        <w:tc>
          <w:tcPr>
            <w:tcW w:w="977" w:type="dxa"/>
            <w:shd w:val="clear" w:color="auto" w:fill="FFFFFF"/>
            <w:tcMar>
              <w:top w:w="40" w:type="dxa"/>
              <w:left w:w="80" w:type="dxa"/>
              <w:bottom w:w="60" w:type="dxa"/>
              <w:right w:w="40" w:type="dxa"/>
            </w:tcMar>
          </w:tcPr>
          <w:p w14:paraId="4918AAEB" w14:textId="77777777" w:rsidR="00D31EA2" w:rsidRDefault="00D31EA2" w:rsidP="00410442">
            <w:pPr>
              <w:rPr>
                <w:rFonts w:ascii="Arial" w:hAnsi="Arial" w:cs="Arial"/>
                <w:color w:val="000000"/>
                <w:sz w:val="18"/>
                <w:szCs w:val="18"/>
              </w:rPr>
            </w:pPr>
            <w:r>
              <w:rPr>
                <w:rFonts w:ascii="Arial" w:hAnsi="Arial" w:cs="Arial"/>
                <w:color w:val="000000"/>
                <w:sz w:val="18"/>
                <w:szCs w:val="18"/>
              </w:rPr>
              <w:t>1,095</w:t>
            </w:r>
          </w:p>
        </w:tc>
      </w:tr>
      <w:tr w:rsidR="00D31EA2" w14:paraId="734F26F1" w14:textId="77777777" w:rsidTr="00F5215D">
        <w:trPr>
          <w:trHeight w:val="240"/>
        </w:trPr>
        <w:tc>
          <w:tcPr>
            <w:tcW w:w="2207" w:type="dxa"/>
            <w:vMerge/>
            <w:tcMar>
              <w:top w:w="40" w:type="dxa"/>
              <w:left w:w="120" w:type="dxa"/>
              <w:bottom w:w="40" w:type="dxa"/>
              <w:right w:w="40" w:type="dxa"/>
            </w:tcMar>
          </w:tcPr>
          <w:p w14:paraId="0C1365C3" w14:textId="77777777" w:rsidR="00D31EA2" w:rsidRPr="00AA148D" w:rsidRDefault="00D31EA2" w:rsidP="00410442">
            <w:pPr>
              <w:rPr>
                <w:rFonts w:ascii="Arial" w:hAnsi="Arial" w:cs="Arial"/>
                <w:sz w:val="18"/>
                <w:szCs w:val="18"/>
              </w:rPr>
            </w:pPr>
          </w:p>
        </w:tc>
        <w:tc>
          <w:tcPr>
            <w:tcW w:w="2205" w:type="dxa"/>
            <w:shd w:val="clear" w:color="auto" w:fill="E0EAF5"/>
            <w:tcMar>
              <w:top w:w="40" w:type="dxa"/>
              <w:left w:w="80" w:type="dxa"/>
              <w:bottom w:w="40" w:type="dxa"/>
              <w:right w:w="40" w:type="dxa"/>
            </w:tcMar>
          </w:tcPr>
          <w:p w14:paraId="5F33966C" w14:textId="77777777" w:rsidR="00D31EA2" w:rsidRPr="00AA148D" w:rsidRDefault="00D31EA2" w:rsidP="00410442">
            <w:pPr>
              <w:rPr>
                <w:rFonts w:ascii="Arial" w:hAnsi="Arial" w:cs="Arial"/>
                <w:b/>
                <w:sz w:val="18"/>
                <w:szCs w:val="18"/>
              </w:rPr>
            </w:pPr>
            <w:r w:rsidRPr="00AA148D">
              <w:rPr>
                <w:rFonts w:ascii="Arial" w:eastAsia="Verdana" w:hAnsi="Arial" w:cs="Arial"/>
                <w:b/>
                <w:color w:val="000000"/>
                <w:sz w:val="18"/>
                <w:szCs w:val="18"/>
              </w:rPr>
              <w:t>Total</w:t>
            </w:r>
          </w:p>
        </w:tc>
        <w:tc>
          <w:tcPr>
            <w:tcW w:w="963" w:type="dxa"/>
            <w:shd w:val="clear" w:color="auto" w:fill="E0EAF5"/>
            <w:tcMar>
              <w:top w:w="43" w:type="dxa"/>
              <w:left w:w="86" w:type="dxa"/>
              <w:bottom w:w="58" w:type="dxa"/>
              <w:right w:w="43" w:type="dxa"/>
            </w:tcMar>
          </w:tcPr>
          <w:p w14:paraId="591E89FF" w14:textId="77777777" w:rsidR="00D31EA2" w:rsidRDefault="00D31EA2" w:rsidP="00410442">
            <w:pPr>
              <w:rPr>
                <w:rFonts w:ascii="Arial" w:hAnsi="Arial" w:cs="Arial"/>
                <w:b/>
                <w:bCs/>
                <w:color w:val="000000"/>
                <w:sz w:val="18"/>
                <w:szCs w:val="18"/>
                <w:lang w:eastAsia="en-AU"/>
              </w:rPr>
            </w:pPr>
            <w:r>
              <w:rPr>
                <w:rFonts w:ascii="Arial" w:hAnsi="Arial" w:cs="Arial"/>
                <w:b/>
                <w:bCs/>
                <w:color w:val="000000"/>
                <w:sz w:val="18"/>
                <w:szCs w:val="18"/>
              </w:rPr>
              <w:t>2,423</w:t>
            </w:r>
          </w:p>
        </w:tc>
        <w:tc>
          <w:tcPr>
            <w:tcW w:w="963" w:type="dxa"/>
            <w:shd w:val="clear" w:color="auto" w:fill="E0EAF5"/>
            <w:tcMar>
              <w:top w:w="43" w:type="dxa"/>
              <w:left w:w="86" w:type="dxa"/>
              <w:bottom w:w="58" w:type="dxa"/>
              <w:right w:w="43" w:type="dxa"/>
            </w:tcMar>
          </w:tcPr>
          <w:p w14:paraId="03A0D089"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2,519</w:t>
            </w:r>
          </w:p>
        </w:tc>
        <w:tc>
          <w:tcPr>
            <w:tcW w:w="977" w:type="dxa"/>
            <w:shd w:val="clear" w:color="auto" w:fill="E0EAF5"/>
            <w:tcMar>
              <w:top w:w="40" w:type="dxa"/>
              <w:left w:w="80" w:type="dxa"/>
              <w:bottom w:w="60" w:type="dxa"/>
              <w:right w:w="40" w:type="dxa"/>
            </w:tcMar>
          </w:tcPr>
          <w:p w14:paraId="4B6CC387"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2,521</w:t>
            </w:r>
          </w:p>
        </w:tc>
        <w:tc>
          <w:tcPr>
            <w:tcW w:w="986" w:type="dxa"/>
            <w:tcBorders>
              <w:bottom w:val="single" w:sz="8" w:space="0" w:color="004EA8"/>
            </w:tcBorders>
            <w:shd w:val="clear" w:color="auto" w:fill="E0EAF5"/>
            <w:tcMar>
              <w:top w:w="40" w:type="dxa"/>
              <w:left w:w="80" w:type="dxa"/>
              <w:bottom w:w="60" w:type="dxa"/>
              <w:right w:w="40" w:type="dxa"/>
            </w:tcMar>
          </w:tcPr>
          <w:p w14:paraId="2695EEE2"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2,548</w:t>
            </w:r>
          </w:p>
        </w:tc>
        <w:tc>
          <w:tcPr>
            <w:tcW w:w="977" w:type="dxa"/>
            <w:shd w:val="clear" w:color="auto" w:fill="E0EAF5"/>
            <w:tcMar>
              <w:top w:w="40" w:type="dxa"/>
              <w:left w:w="80" w:type="dxa"/>
              <w:bottom w:w="60" w:type="dxa"/>
              <w:right w:w="40" w:type="dxa"/>
            </w:tcMar>
          </w:tcPr>
          <w:p w14:paraId="60FA0999" w14:textId="77777777" w:rsidR="00D31EA2" w:rsidRDefault="00D31EA2" w:rsidP="00410442">
            <w:pPr>
              <w:rPr>
                <w:rFonts w:ascii="Arial" w:hAnsi="Arial" w:cs="Arial"/>
                <w:b/>
                <w:bCs/>
                <w:color w:val="000000"/>
                <w:sz w:val="18"/>
                <w:szCs w:val="18"/>
              </w:rPr>
            </w:pPr>
            <w:r>
              <w:rPr>
                <w:rFonts w:ascii="Arial" w:hAnsi="Arial" w:cs="Arial"/>
                <w:b/>
                <w:bCs/>
                <w:color w:val="000000"/>
                <w:sz w:val="18"/>
                <w:szCs w:val="18"/>
              </w:rPr>
              <w:t>2,556</w:t>
            </w:r>
          </w:p>
        </w:tc>
      </w:tr>
      <w:tr w:rsidR="00F5215D" w:rsidRPr="00AA148D" w14:paraId="3B3E78C7" w14:textId="77777777" w:rsidTr="00F5215D">
        <w:trPr>
          <w:trHeight w:val="198"/>
        </w:trPr>
        <w:tc>
          <w:tcPr>
            <w:tcW w:w="2207" w:type="dxa"/>
            <w:vMerge w:val="restart"/>
            <w:tcMar>
              <w:top w:w="40" w:type="dxa"/>
              <w:left w:w="120" w:type="dxa"/>
              <w:bottom w:w="40" w:type="dxa"/>
              <w:right w:w="40" w:type="dxa"/>
            </w:tcMar>
          </w:tcPr>
          <w:p w14:paraId="3E95EF20" w14:textId="77777777" w:rsidR="00F5215D" w:rsidRPr="00AA148D" w:rsidRDefault="00F5215D" w:rsidP="00F5215D">
            <w:pPr>
              <w:rPr>
                <w:rFonts w:ascii="Arial" w:hAnsi="Arial" w:cs="Arial"/>
                <w:sz w:val="18"/>
                <w:szCs w:val="18"/>
              </w:rPr>
            </w:pPr>
            <w:r w:rsidRPr="00AA148D">
              <w:rPr>
                <w:rFonts w:ascii="Arial" w:eastAsia="Verdana" w:hAnsi="Arial" w:cs="Arial"/>
                <w:color w:val="000000"/>
                <w:sz w:val="18"/>
                <w:szCs w:val="18"/>
              </w:rPr>
              <w:t>Full-time equivalent staff by workforce type</w:t>
            </w:r>
            <w:r w:rsidRPr="00AA148D">
              <w:rPr>
                <w:rFonts w:ascii="Arial" w:eastAsia="HelveticaNeueLTStd-Lt" w:hAnsi="Arial" w:cs="Arial"/>
                <w:sz w:val="18"/>
                <w:szCs w:val="18"/>
                <w:vertAlign w:val="superscript"/>
                <w:lang w:eastAsia="en-GB"/>
              </w:rPr>
              <w:t>§</w:t>
            </w:r>
          </w:p>
        </w:tc>
        <w:tc>
          <w:tcPr>
            <w:tcW w:w="2205" w:type="dxa"/>
            <w:tcMar>
              <w:top w:w="40" w:type="dxa"/>
              <w:left w:w="80" w:type="dxa"/>
              <w:bottom w:w="40" w:type="dxa"/>
              <w:right w:w="40" w:type="dxa"/>
            </w:tcMar>
          </w:tcPr>
          <w:p w14:paraId="190376F8" w14:textId="77777777" w:rsidR="00F5215D" w:rsidRPr="00AA148D" w:rsidRDefault="00F5215D" w:rsidP="00F5215D">
            <w:pPr>
              <w:rPr>
                <w:rFonts w:ascii="Arial" w:hAnsi="Arial" w:cs="Arial"/>
                <w:sz w:val="18"/>
                <w:szCs w:val="18"/>
              </w:rPr>
            </w:pPr>
            <w:r w:rsidRPr="00AA148D">
              <w:rPr>
                <w:rFonts w:ascii="Arial" w:eastAsia="Verdana" w:hAnsi="Arial" w:cs="Arial"/>
                <w:color w:val="000000"/>
                <w:sz w:val="18"/>
                <w:szCs w:val="18"/>
              </w:rPr>
              <w:t>Administrative and clerical staff</w:t>
            </w:r>
          </w:p>
        </w:tc>
        <w:tc>
          <w:tcPr>
            <w:tcW w:w="963" w:type="dxa"/>
            <w:shd w:val="clear" w:color="auto" w:fill="auto"/>
            <w:tcMar>
              <w:top w:w="43" w:type="dxa"/>
              <w:left w:w="86" w:type="dxa"/>
              <w:bottom w:w="58" w:type="dxa"/>
              <w:right w:w="43" w:type="dxa"/>
            </w:tcMar>
          </w:tcPr>
          <w:p w14:paraId="34F7C17D" w14:textId="77777777" w:rsidR="00F5215D" w:rsidRDefault="00F5215D" w:rsidP="00F5215D">
            <w:pPr>
              <w:rPr>
                <w:rFonts w:ascii="Arial" w:hAnsi="Arial" w:cs="Arial"/>
                <w:sz w:val="18"/>
                <w:szCs w:val="18"/>
              </w:rPr>
            </w:pPr>
            <w:r>
              <w:rPr>
                <w:rFonts w:ascii="Arial" w:hAnsi="Arial" w:cs="Arial"/>
                <w:sz w:val="18"/>
                <w:szCs w:val="18"/>
              </w:rPr>
              <w:t>566</w:t>
            </w:r>
          </w:p>
        </w:tc>
        <w:tc>
          <w:tcPr>
            <w:tcW w:w="963" w:type="dxa"/>
            <w:shd w:val="clear" w:color="auto" w:fill="auto"/>
            <w:tcMar>
              <w:top w:w="43" w:type="dxa"/>
              <w:left w:w="86" w:type="dxa"/>
              <w:bottom w:w="58" w:type="dxa"/>
              <w:right w:w="43" w:type="dxa"/>
            </w:tcMar>
          </w:tcPr>
          <w:p w14:paraId="1FC6B77F" w14:textId="77777777" w:rsidR="00F5215D" w:rsidRPr="00AA148D" w:rsidRDefault="00F5215D" w:rsidP="00F5215D">
            <w:pPr>
              <w:rPr>
                <w:rFonts w:ascii="Arial" w:hAnsi="Arial" w:cs="Arial"/>
                <w:sz w:val="18"/>
                <w:szCs w:val="18"/>
              </w:rPr>
            </w:pPr>
            <w:r>
              <w:rPr>
                <w:rFonts w:ascii="Arial" w:hAnsi="Arial" w:cs="Arial"/>
                <w:sz w:val="18"/>
                <w:szCs w:val="18"/>
              </w:rPr>
              <w:t>571</w:t>
            </w:r>
          </w:p>
        </w:tc>
        <w:tc>
          <w:tcPr>
            <w:tcW w:w="977" w:type="dxa"/>
            <w:shd w:val="clear" w:color="auto" w:fill="auto"/>
            <w:tcMar>
              <w:top w:w="40" w:type="dxa"/>
              <w:left w:w="80" w:type="dxa"/>
              <w:bottom w:w="60" w:type="dxa"/>
              <w:right w:w="40" w:type="dxa"/>
            </w:tcMar>
          </w:tcPr>
          <w:p w14:paraId="257A49DF" w14:textId="700352A7" w:rsidR="00F5215D" w:rsidRPr="00FE3794" w:rsidRDefault="00F5215D" w:rsidP="00F5215D">
            <w:pPr>
              <w:rPr>
                <w:rFonts w:ascii="Arial" w:hAnsi="Arial" w:cs="Arial"/>
                <w:sz w:val="18"/>
                <w:szCs w:val="18"/>
              </w:rPr>
            </w:pPr>
            <w:r>
              <w:rPr>
                <w:rFonts w:ascii="Arial" w:hAnsi="Arial" w:cs="Arial"/>
                <w:sz w:val="18"/>
                <w:szCs w:val="18"/>
              </w:rPr>
              <w:t>440</w:t>
            </w:r>
          </w:p>
        </w:tc>
        <w:tc>
          <w:tcPr>
            <w:tcW w:w="986" w:type="dxa"/>
            <w:shd w:val="clear" w:color="auto" w:fill="FFFFFF" w:themeFill="background1"/>
            <w:tcMar>
              <w:top w:w="40" w:type="dxa"/>
              <w:left w:w="80" w:type="dxa"/>
              <w:bottom w:w="60" w:type="dxa"/>
              <w:right w:w="40" w:type="dxa"/>
            </w:tcMar>
          </w:tcPr>
          <w:p w14:paraId="5F70B578" w14:textId="670B451D" w:rsidR="00F5215D" w:rsidRPr="00FE3794" w:rsidRDefault="00F5215D" w:rsidP="00F5215D">
            <w:pPr>
              <w:rPr>
                <w:rFonts w:ascii="Arial" w:hAnsi="Arial" w:cs="Arial"/>
                <w:sz w:val="18"/>
                <w:szCs w:val="18"/>
              </w:rPr>
            </w:pPr>
            <w:r w:rsidRPr="00351B82">
              <w:rPr>
                <w:rFonts w:ascii="Arial" w:hAnsi="Arial" w:cs="Arial"/>
                <w:sz w:val="18"/>
                <w:szCs w:val="18"/>
              </w:rPr>
              <w:t>684</w:t>
            </w:r>
          </w:p>
        </w:tc>
        <w:tc>
          <w:tcPr>
            <w:tcW w:w="977" w:type="dxa"/>
            <w:tcMar>
              <w:top w:w="40" w:type="dxa"/>
              <w:left w:w="80" w:type="dxa"/>
              <w:bottom w:w="60" w:type="dxa"/>
              <w:right w:w="40" w:type="dxa"/>
            </w:tcMar>
          </w:tcPr>
          <w:p w14:paraId="01EEA50C" w14:textId="77777777" w:rsidR="00F5215D" w:rsidRPr="00AA148D" w:rsidRDefault="00F5215D" w:rsidP="00F5215D">
            <w:pPr>
              <w:rPr>
                <w:rFonts w:ascii="Arial" w:hAnsi="Arial" w:cs="Arial"/>
                <w:sz w:val="18"/>
                <w:szCs w:val="18"/>
              </w:rPr>
            </w:pPr>
            <w:r w:rsidRPr="00AA148D">
              <w:rPr>
                <w:rFonts w:ascii="Arial" w:eastAsia="Verdana" w:hAnsi="Arial" w:cs="Arial"/>
                <w:color w:val="000000"/>
                <w:sz w:val="18"/>
                <w:szCs w:val="18"/>
              </w:rPr>
              <w:t>n/a</w:t>
            </w:r>
          </w:p>
        </w:tc>
      </w:tr>
      <w:tr w:rsidR="00F5215D" w:rsidRPr="00AA148D" w14:paraId="3AE4B85E" w14:textId="77777777" w:rsidTr="00F5215D">
        <w:trPr>
          <w:trHeight w:val="198"/>
        </w:trPr>
        <w:tc>
          <w:tcPr>
            <w:tcW w:w="2207" w:type="dxa"/>
            <w:vMerge/>
            <w:tcMar>
              <w:top w:w="40" w:type="dxa"/>
              <w:left w:w="120" w:type="dxa"/>
              <w:bottom w:w="40" w:type="dxa"/>
              <w:right w:w="40" w:type="dxa"/>
            </w:tcMar>
          </w:tcPr>
          <w:p w14:paraId="66AC45B5" w14:textId="77777777" w:rsidR="00F5215D" w:rsidRPr="00AA148D" w:rsidRDefault="00F5215D" w:rsidP="00F5215D">
            <w:pPr>
              <w:rPr>
                <w:rFonts w:ascii="Arial" w:hAnsi="Arial" w:cs="Arial"/>
                <w:sz w:val="18"/>
                <w:szCs w:val="18"/>
              </w:rPr>
            </w:pPr>
          </w:p>
        </w:tc>
        <w:tc>
          <w:tcPr>
            <w:tcW w:w="2205" w:type="dxa"/>
            <w:tcMar>
              <w:top w:w="40" w:type="dxa"/>
              <w:left w:w="80" w:type="dxa"/>
              <w:bottom w:w="40" w:type="dxa"/>
              <w:right w:w="40" w:type="dxa"/>
            </w:tcMar>
          </w:tcPr>
          <w:p w14:paraId="79FB124F" w14:textId="77777777" w:rsidR="00F5215D" w:rsidRPr="00AA148D" w:rsidRDefault="00F5215D" w:rsidP="00F5215D">
            <w:pPr>
              <w:rPr>
                <w:rFonts w:ascii="Arial" w:hAnsi="Arial" w:cs="Arial"/>
                <w:sz w:val="18"/>
                <w:szCs w:val="18"/>
              </w:rPr>
            </w:pPr>
            <w:r w:rsidRPr="00AA148D">
              <w:rPr>
                <w:rFonts w:ascii="Arial" w:eastAsia="Verdana" w:hAnsi="Arial" w:cs="Arial"/>
                <w:color w:val="000000"/>
                <w:sz w:val="18"/>
                <w:szCs w:val="18"/>
              </w:rPr>
              <w:t>Allied health and diagnostic professionals</w:t>
            </w:r>
          </w:p>
        </w:tc>
        <w:tc>
          <w:tcPr>
            <w:tcW w:w="963" w:type="dxa"/>
            <w:shd w:val="clear" w:color="auto" w:fill="auto"/>
            <w:tcMar>
              <w:top w:w="43" w:type="dxa"/>
              <w:left w:w="86" w:type="dxa"/>
              <w:bottom w:w="58" w:type="dxa"/>
              <w:right w:w="43" w:type="dxa"/>
            </w:tcMar>
          </w:tcPr>
          <w:p w14:paraId="2FFA4D92" w14:textId="77777777" w:rsidR="00F5215D" w:rsidRDefault="00F5215D" w:rsidP="00F5215D">
            <w:pPr>
              <w:rPr>
                <w:rFonts w:ascii="Arial" w:hAnsi="Arial" w:cs="Arial"/>
                <w:sz w:val="18"/>
                <w:szCs w:val="18"/>
              </w:rPr>
            </w:pPr>
            <w:r>
              <w:rPr>
                <w:rFonts w:ascii="Arial" w:hAnsi="Arial" w:cs="Arial"/>
                <w:sz w:val="18"/>
                <w:szCs w:val="18"/>
              </w:rPr>
              <w:t>1,420</w:t>
            </w:r>
          </w:p>
        </w:tc>
        <w:tc>
          <w:tcPr>
            <w:tcW w:w="963" w:type="dxa"/>
            <w:shd w:val="clear" w:color="auto" w:fill="auto"/>
            <w:tcMar>
              <w:top w:w="43" w:type="dxa"/>
              <w:left w:w="86" w:type="dxa"/>
              <w:bottom w:w="58" w:type="dxa"/>
              <w:right w:w="43" w:type="dxa"/>
            </w:tcMar>
          </w:tcPr>
          <w:p w14:paraId="307EB108" w14:textId="77777777" w:rsidR="00F5215D" w:rsidRPr="00AA148D" w:rsidRDefault="00F5215D" w:rsidP="00F5215D">
            <w:pPr>
              <w:rPr>
                <w:rFonts w:ascii="Arial" w:hAnsi="Arial" w:cs="Arial"/>
                <w:sz w:val="18"/>
                <w:szCs w:val="18"/>
              </w:rPr>
            </w:pPr>
            <w:r>
              <w:rPr>
                <w:rFonts w:ascii="Arial" w:hAnsi="Arial" w:cs="Arial"/>
                <w:sz w:val="18"/>
                <w:szCs w:val="18"/>
              </w:rPr>
              <w:t>1,500</w:t>
            </w:r>
          </w:p>
        </w:tc>
        <w:tc>
          <w:tcPr>
            <w:tcW w:w="977" w:type="dxa"/>
            <w:shd w:val="clear" w:color="auto" w:fill="auto"/>
            <w:tcMar>
              <w:top w:w="40" w:type="dxa"/>
              <w:left w:w="80" w:type="dxa"/>
              <w:bottom w:w="60" w:type="dxa"/>
              <w:right w:w="40" w:type="dxa"/>
            </w:tcMar>
          </w:tcPr>
          <w:p w14:paraId="075A5554" w14:textId="0436EC28" w:rsidR="00F5215D" w:rsidRPr="00FE3794" w:rsidRDefault="00F5215D" w:rsidP="00F5215D">
            <w:pPr>
              <w:rPr>
                <w:rFonts w:ascii="Arial" w:hAnsi="Arial" w:cs="Arial"/>
                <w:sz w:val="18"/>
                <w:szCs w:val="18"/>
              </w:rPr>
            </w:pPr>
            <w:r w:rsidRPr="00FE3794">
              <w:rPr>
                <w:rFonts w:ascii="Arial" w:hAnsi="Arial" w:cs="Arial"/>
                <w:sz w:val="18"/>
                <w:szCs w:val="18"/>
              </w:rPr>
              <w:t>1,</w:t>
            </w:r>
            <w:r>
              <w:rPr>
                <w:rFonts w:ascii="Arial" w:hAnsi="Arial" w:cs="Arial"/>
                <w:sz w:val="18"/>
                <w:szCs w:val="18"/>
              </w:rPr>
              <w:t>590</w:t>
            </w:r>
          </w:p>
        </w:tc>
        <w:tc>
          <w:tcPr>
            <w:tcW w:w="986" w:type="dxa"/>
            <w:shd w:val="clear" w:color="auto" w:fill="FFFFFF" w:themeFill="background1"/>
            <w:tcMar>
              <w:top w:w="40" w:type="dxa"/>
              <w:left w:w="80" w:type="dxa"/>
              <w:bottom w:w="60" w:type="dxa"/>
              <w:right w:w="40" w:type="dxa"/>
            </w:tcMar>
          </w:tcPr>
          <w:p w14:paraId="2F882DB1" w14:textId="366746D2" w:rsidR="00F5215D" w:rsidRPr="00FE3794" w:rsidRDefault="00F5215D" w:rsidP="00F5215D">
            <w:pPr>
              <w:rPr>
                <w:rFonts w:ascii="Arial" w:hAnsi="Arial" w:cs="Arial"/>
                <w:sz w:val="18"/>
                <w:szCs w:val="18"/>
              </w:rPr>
            </w:pPr>
            <w:r w:rsidRPr="00351B82">
              <w:rPr>
                <w:rFonts w:ascii="Arial" w:hAnsi="Arial" w:cs="Arial"/>
                <w:sz w:val="18"/>
                <w:szCs w:val="18"/>
              </w:rPr>
              <w:t>1,753</w:t>
            </w:r>
          </w:p>
        </w:tc>
        <w:tc>
          <w:tcPr>
            <w:tcW w:w="977" w:type="dxa"/>
            <w:tcMar>
              <w:top w:w="40" w:type="dxa"/>
              <w:left w:w="80" w:type="dxa"/>
              <w:bottom w:w="60" w:type="dxa"/>
              <w:right w:w="40" w:type="dxa"/>
            </w:tcMar>
          </w:tcPr>
          <w:p w14:paraId="164D9F4B" w14:textId="77777777" w:rsidR="00F5215D" w:rsidRPr="00AA148D" w:rsidRDefault="00F5215D" w:rsidP="00F5215D">
            <w:pPr>
              <w:rPr>
                <w:rFonts w:ascii="Arial" w:hAnsi="Arial" w:cs="Arial"/>
                <w:sz w:val="18"/>
                <w:szCs w:val="18"/>
              </w:rPr>
            </w:pPr>
            <w:r w:rsidRPr="00AA148D">
              <w:rPr>
                <w:rFonts w:ascii="Arial" w:eastAsia="Verdana" w:hAnsi="Arial" w:cs="Arial"/>
                <w:color w:val="000000"/>
                <w:sz w:val="18"/>
                <w:szCs w:val="18"/>
              </w:rPr>
              <w:t>n/a</w:t>
            </w:r>
          </w:p>
        </w:tc>
      </w:tr>
      <w:tr w:rsidR="00F5215D" w:rsidRPr="00AA148D" w14:paraId="6F0417E7" w14:textId="77777777" w:rsidTr="00F5215D">
        <w:trPr>
          <w:trHeight w:val="198"/>
        </w:trPr>
        <w:tc>
          <w:tcPr>
            <w:tcW w:w="2207" w:type="dxa"/>
            <w:vMerge/>
            <w:tcMar>
              <w:top w:w="40" w:type="dxa"/>
              <w:left w:w="120" w:type="dxa"/>
              <w:bottom w:w="40" w:type="dxa"/>
              <w:right w:w="40" w:type="dxa"/>
            </w:tcMar>
          </w:tcPr>
          <w:p w14:paraId="7381C9DC" w14:textId="77777777" w:rsidR="00F5215D" w:rsidRPr="00AA148D" w:rsidRDefault="00F5215D" w:rsidP="00F5215D">
            <w:pPr>
              <w:rPr>
                <w:rFonts w:ascii="Arial" w:hAnsi="Arial" w:cs="Arial"/>
                <w:sz w:val="18"/>
                <w:szCs w:val="18"/>
              </w:rPr>
            </w:pPr>
          </w:p>
        </w:tc>
        <w:tc>
          <w:tcPr>
            <w:tcW w:w="2205" w:type="dxa"/>
            <w:tcMar>
              <w:top w:w="40" w:type="dxa"/>
              <w:left w:w="80" w:type="dxa"/>
              <w:bottom w:w="40" w:type="dxa"/>
              <w:right w:w="40" w:type="dxa"/>
            </w:tcMar>
          </w:tcPr>
          <w:p w14:paraId="5529E359" w14:textId="77777777" w:rsidR="00F5215D" w:rsidRPr="00AA148D" w:rsidRDefault="00F5215D" w:rsidP="00F5215D">
            <w:pPr>
              <w:rPr>
                <w:rFonts w:ascii="Arial" w:hAnsi="Arial" w:cs="Arial"/>
                <w:sz w:val="18"/>
                <w:szCs w:val="18"/>
              </w:rPr>
            </w:pPr>
            <w:r w:rsidRPr="00AA148D">
              <w:rPr>
                <w:rFonts w:ascii="Arial" w:eastAsia="Verdana" w:hAnsi="Arial" w:cs="Arial"/>
                <w:color w:val="000000"/>
                <w:sz w:val="18"/>
                <w:szCs w:val="18"/>
              </w:rPr>
              <w:t>Carer workers</w:t>
            </w:r>
          </w:p>
        </w:tc>
        <w:tc>
          <w:tcPr>
            <w:tcW w:w="963" w:type="dxa"/>
            <w:shd w:val="clear" w:color="auto" w:fill="auto"/>
            <w:tcMar>
              <w:top w:w="43" w:type="dxa"/>
              <w:left w:w="86" w:type="dxa"/>
              <w:bottom w:w="58" w:type="dxa"/>
              <w:right w:w="43" w:type="dxa"/>
            </w:tcMar>
          </w:tcPr>
          <w:p w14:paraId="4303B2DC" w14:textId="77777777" w:rsidR="00F5215D" w:rsidRDefault="00F5215D" w:rsidP="00F5215D">
            <w:pPr>
              <w:rPr>
                <w:rFonts w:ascii="Arial" w:hAnsi="Arial" w:cs="Arial"/>
                <w:sz w:val="18"/>
                <w:szCs w:val="18"/>
              </w:rPr>
            </w:pPr>
            <w:r>
              <w:rPr>
                <w:rFonts w:ascii="Arial" w:hAnsi="Arial" w:cs="Arial"/>
                <w:sz w:val="18"/>
                <w:szCs w:val="18"/>
              </w:rPr>
              <w:t>17</w:t>
            </w:r>
          </w:p>
        </w:tc>
        <w:tc>
          <w:tcPr>
            <w:tcW w:w="963" w:type="dxa"/>
            <w:shd w:val="clear" w:color="auto" w:fill="auto"/>
            <w:tcMar>
              <w:top w:w="43" w:type="dxa"/>
              <w:left w:w="86" w:type="dxa"/>
              <w:bottom w:w="58" w:type="dxa"/>
              <w:right w:w="43" w:type="dxa"/>
            </w:tcMar>
          </w:tcPr>
          <w:p w14:paraId="7FF1807A" w14:textId="77777777" w:rsidR="00F5215D" w:rsidRPr="00AA148D" w:rsidRDefault="00F5215D" w:rsidP="00F5215D">
            <w:pPr>
              <w:rPr>
                <w:rFonts w:ascii="Arial" w:hAnsi="Arial" w:cs="Arial"/>
                <w:sz w:val="18"/>
                <w:szCs w:val="18"/>
              </w:rPr>
            </w:pPr>
            <w:r>
              <w:rPr>
                <w:rFonts w:ascii="Arial" w:hAnsi="Arial" w:cs="Arial"/>
                <w:sz w:val="18"/>
                <w:szCs w:val="18"/>
              </w:rPr>
              <w:t>18</w:t>
            </w:r>
          </w:p>
        </w:tc>
        <w:tc>
          <w:tcPr>
            <w:tcW w:w="977" w:type="dxa"/>
            <w:shd w:val="clear" w:color="auto" w:fill="auto"/>
            <w:tcMar>
              <w:top w:w="40" w:type="dxa"/>
              <w:left w:w="80" w:type="dxa"/>
              <w:bottom w:w="60" w:type="dxa"/>
              <w:right w:w="40" w:type="dxa"/>
            </w:tcMar>
          </w:tcPr>
          <w:p w14:paraId="6EDAD15D" w14:textId="77777777" w:rsidR="00F5215D" w:rsidRPr="00FE3794" w:rsidRDefault="00F5215D" w:rsidP="00F5215D">
            <w:pPr>
              <w:rPr>
                <w:rFonts w:ascii="Arial" w:hAnsi="Arial" w:cs="Arial"/>
                <w:sz w:val="18"/>
                <w:szCs w:val="18"/>
              </w:rPr>
            </w:pPr>
            <w:r w:rsidRPr="00FE3794">
              <w:rPr>
                <w:rFonts w:ascii="Arial" w:hAnsi="Arial" w:cs="Arial"/>
                <w:sz w:val="18"/>
                <w:szCs w:val="18"/>
              </w:rPr>
              <w:t>35</w:t>
            </w:r>
          </w:p>
        </w:tc>
        <w:tc>
          <w:tcPr>
            <w:tcW w:w="986" w:type="dxa"/>
            <w:shd w:val="clear" w:color="auto" w:fill="FFFFFF" w:themeFill="background1"/>
            <w:tcMar>
              <w:top w:w="40" w:type="dxa"/>
              <w:left w:w="80" w:type="dxa"/>
              <w:bottom w:w="60" w:type="dxa"/>
              <w:right w:w="40" w:type="dxa"/>
            </w:tcMar>
          </w:tcPr>
          <w:p w14:paraId="5B9EBF2A" w14:textId="3314C599" w:rsidR="00F5215D" w:rsidRPr="00FE3794" w:rsidRDefault="00F5215D" w:rsidP="00F5215D">
            <w:pPr>
              <w:rPr>
                <w:rFonts w:ascii="Arial" w:hAnsi="Arial" w:cs="Arial"/>
                <w:sz w:val="18"/>
                <w:szCs w:val="18"/>
              </w:rPr>
            </w:pPr>
            <w:r w:rsidRPr="00351B82">
              <w:rPr>
                <w:rFonts w:ascii="Arial" w:hAnsi="Arial" w:cs="Arial"/>
                <w:sz w:val="18"/>
                <w:szCs w:val="18"/>
              </w:rPr>
              <w:t>31</w:t>
            </w:r>
          </w:p>
        </w:tc>
        <w:tc>
          <w:tcPr>
            <w:tcW w:w="977" w:type="dxa"/>
            <w:tcMar>
              <w:top w:w="40" w:type="dxa"/>
              <w:left w:w="80" w:type="dxa"/>
              <w:bottom w:w="60" w:type="dxa"/>
              <w:right w:w="40" w:type="dxa"/>
            </w:tcMar>
          </w:tcPr>
          <w:p w14:paraId="74189B20" w14:textId="77777777" w:rsidR="00F5215D" w:rsidRPr="00AA148D" w:rsidRDefault="00F5215D" w:rsidP="00F5215D">
            <w:pPr>
              <w:rPr>
                <w:rFonts w:ascii="Arial" w:hAnsi="Arial" w:cs="Arial"/>
                <w:sz w:val="18"/>
                <w:szCs w:val="18"/>
              </w:rPr>
            </w:pPr>
            <w:r w:rsidRPr="00AA148D">
              <w:rPr>
                <w:rFonts w:ascii="Arial" w:eastAsia="Verdana" w:hAnsi="Arial" w:cs="Arial"/>
                <w:color w:val="000000"/>
                <w:sz w:val="18"/>
                <w:szCs w:val="18"/>
              </w:rPr>
              <w:t>n/a</w:t>
            </w:r>
          </w:p>
        </w:tc>
      </w:tr>
      <w:tr w:rsidR="00F5215D" w:rsidRPr="00AA148D" w14:paraId="7AE441F0" w14:textId="77777777" w:rsidTr="00F5215D">
        <w:trPr>
          <w:trHeight w:val="198"/>
        </w:trPr>
        <w:tc>
          <w:tcPr>
            <w:tcW w:w="2207" w:type="dxa"/>
            <w:vMerge/>
            <w:tcMar>
              <w:top w:w="40" w:type="dxa"/>
              <w:left w:w="120" w:type="dxa"/>
              <w:bottom w:w="40" w:type="dxa"/>
              <w:right w:w="40" w:type="dxa"/>
            </w:tcMar>
          </w:tcPr>
          <w:p w14:paraId="0B15EDBC" w14:textId="77777777" w:rsidR="00F5215D" w:rsidRPr="00AA148D" w:rsidRDefault="00F5215D" w:rsidP="00F5215D">
            <w:pPr>
              <w:rPr>
                <w:rFonts w:ascii="Arial" w:hAnsi="Arial" w:cs="Arial"/>
                <w:sz w:val="18"/>
                <w:szCs w:val="18"/>
              </w:rPr>
            </w:pPr>
          </w:p>
        </w:tc>
        <w:tc>
          <w:tcPr>
            <w:tcW w:w="2205" w:type="dxa"/>
            <w:tcMar>
              <w:top w:w="40" w:type="dxa"/>
              <w:left w:w="80" w:type="dxa"/>
              <w:bottom w:w="40" w:type="dxa"/>
              <w:right w:w="40" w:type="dxa"/>
            </w:tcMar>
          </w:tcPr>
          <w:p w14:paraId="634DFFAA" w14:textId="77777777" w:rsidR="00F5215D" w:rsidRPr="00AA148D" w:rsidRDefault="00F5215D" w:rsidP="00F5215D">
            <w:pPr>
              <w:rPr>
                <w:rFonts w:ascii="Arial" w:hAnsi="Arial" w:cs="Arial"/>
                <w:sz w:val="18"/>
                <w:szCs w:val="18"/>
              </w:rPr>
            </w:pPr>
            <w:r w:rsidRPr="00AA148D">
              <w:rPr>
                <w:rFonts w:ascii="Arial" w:eastAsia="Verdana" w:hAnsi="Arial" w:cs="Arial"/>
                <w:color w:val="000000"/>
                <w:sz w:val="18"/>
                <w:szCs w:val="18"/>
              </w:rPr>
              <w:t>Consumer workers</w:t>
            </w:r>
          </w:p>
        </w:tc>
        <w:tc>
          <w:tcPr>
            <w:tcW w:w="963" w:type="dxa"/>
            <w:shd w:val="clear" w:color="auto" w:fill="auto"/>
            <w:tcMar>
              <w:top w:w="43" w:type="dxa"/>
              <w:left w:w="86" w:type="dxa"/>
              <w:bottom w:w="58" w:type="dxa"/>
              <w:right w:w="43" w:type="dxa"/>
            </w:tcMar>
          </w:tcPr>
          <w:p w14:paraId="425609B4" w14:textId="77777777" w:rsidR="00F5215D" w:rsidRDefault="00F5215D" w:rsidP="00F5215D">
            <w:pPr>
              <w:rPr>
                <w:rFonts w:ascii="Arial" w:hAnsi="Arial" w:cs="Arial"/>
                <w:sz w:val="18"/>
                <w:szCs w:val="18"/>
              </w:rPr>
            </w:pPr>
            <w:r>
              <w:rPr>
                <w:rFonts w:ascii="Arial" w:hAnsi="Arial" w:cs="Arial"/>
                <w:sz w:val="18"/>
                <w:szCs w:val="18"/>
              </w:rPr>
              <w:t>18</w:t>
            </w:r>
          </w:p>
        </w:tc>
        <w:tc>
          <w:tcPr>
            <w:tcW w:w="963" w:type="dxa"/>
            <w:shd w:val="clear" w:color="auto" w:fill="auto"/>
            <w:tcMar>
              <w:top w:w="43" w:type="dxa"/>
              <w:left w:w="86" w:type="dxa"/>
              <w:bottom w:w="58" w:type="dxa"/>
              <w:right w:w="43" w:type="dxa"/>
            </w:tcMar>
          </w:tcPr>
          <w:p w14:paraId="79BF1C46" w14:textId="77777777" w:rsidR="00F5215D" w:rsidRPr="00AA148D" w:rsidRDefault="00F5215D" w:rsidP="00F5215D">
            <w:pPr>
              <w:rPr>
                <w:rFonts w:ascii="Arial" w:hAnsi="Arial" w:cs="Arial"/>
                <w:sz w:val="18"/>
                <w:szCs w:val="18"/>
              </w:rPr>
            </w:pPr>
            <w:r>
              <w:rPr>
                <w:rFonts w:ascii="Arial" w:hAnsi="Arial" w:cs="Arial"/>
                <w:sz w:val="18"/>
                <w:szCs w:val="18"/>
              </w:rPr>
              <w:t>18</w:t>
            </w:r>
          </w:p>
        </w:tc>
        <w:tc>
          <w:tcPr>
            <w:tcW w:w="977" w:type="dxa"/>
            <w:shd w:val="clear" w:color="auto" w:fill="auto"/>
            <w:tcMar>
              <w:top w:w="40" w:type="dxa"/>
              <w:left w:w="80" w:type="dxa"/>
              <w:bottom w:w="60" w:type="dxa"/>
              <w:right w:w="40" w:type="dxa"/>
            </w:tcMar>
          </w:tcPr>
          <w:p w14:paraId="33AC9A1F" w14:textId="77777777" w:rsidR="00F5215D" w:rsidRPr="00FE3794" w:rsidRDefault="00F5215D" w:rsidP="00F5215D">
            <w:pPr>
              <w:rPr>
                <w:rFonts w:ascii="Arial" w:hAnsi="Arial" w:cs="Arial"/>
                <w:sz w:val="18"/>
                <w:szCs w:val="18"/>
              </w:rPr>
            </w:pPr>
            <w:r w:rsidRPr="00FE3794">
              <w:rPr>
                <w:rFonts w:ascii="Arial" w:hAnsi="Arial" w:cs="Arial"/>
                <w:sz w:val="18"/>
                <w:szCs w:val="18"/>
              </w:rPr>
              <w:t>42</w:t>
            </w:r>
          </w:p>
        </w:tc>
        <w:tc>
          <w:tcPr>
            <w:tcW w:w="986" w:type="dxa"/>
            <w:shd w:val="clear" w:color="auto" w:fill="FFFFFF" w:themeFill="background1"/>
            <w:tcMar>
              <w:top w:w="40" w:type="dxa"/>
              <w:left w:w="80" w:type="dxa"/>
              <w:bottom w:w="60" w:type="dxa"/>
              <w:right w:w="40" w:type="dxa"/>
            </w:tcMar>
          </w:tcPr>
          <w:p w14:paraId="7FA1784A" w14:textId="3EED5A38" w:rsidR="00F5215D" w:rsidRPr="00FE3794" w:rsidRDefault="00F5215D" w:rsidP="00F5215D">
            <w:pPr>
              <w:rPr>
                <w:rFonts w:ascii="Arial" w:hAnsi="Arial" w:cs="Arial"/>
                <w:sz w:val="18"/>
                <w:szCs w:val="18"/>
              </w:rPr>
            </w:pPr>
            <w:r w:rsidRPr="00351B82">
              <w:rPr>
                <w:rFonts w:ascii="Arial" w:hAnsi="Arial" w:cs="Arial"/>
                <w:sz w:val="18"/>
                <w:szCs w:val="18"/>
              </w:rPr>
              <w:t>39</w:t>
            </w:r>
          </w:p>
        </w:tc>
        <w:tc>
          <w:tcPr>
            <w:tcW w:w="977" w:type="dxa"/>
            <w:tcMar>
              <w:top w:w="40" w:type="dxa"/>
              <w:left w:w="80" w:type="dxa"/>
              <w:bottom w:w="60" w:type="dxa"/>
              <w:right w:w="40" w:type="dxa"/>
            </w:tcMar>
          </w:tcPr>
          <w:p w14:paraId="7090B7B3" w14:textId="77777777" w:rsidR="00F5215D" w:rsidRPr="00AA148D" w:rsidRDefault="00F5215D" w:rsidP="00F5215D">
            <w:pPr>
              <w:rPr>
                <w:rFonts w:ascii="Arial" w:hAnsi="Arial" w:cs="Arial"/>
                <w:sz w:val="18"/>
                <w:szCs w:val="18"/>
              </w:rPr>
            </w:pPr>
            <w:r w:rsidRPr="00AA148D">
              <w:rPr>
                <w:rFonts w:ascii="Arial" w:eastAsia="Verdana" w:hAnsi="Arial" w:cs="Arial"/>
                <w:color w:val="000000"/>
                <w:sz w:val="18"/>
                <w:szCs w:val="18"/>
              </w:rPr>
              <w:t>n/a</w:t>
            </w:r>
          </w:p>
        </w:tc>
      </w:tr>
      <w:tr w:rsidR="00F5215D" w:rsidRPr="00AA148D" w14:paraId="5BC5F5C3" w14:textId="77777777" w:rsidTr="00F5215D">
        <w:trPr>
          <w:trHeight w:val="198"/>
        </w:trPr>
        <w:tc>
          <w:tcPr>
            <w:tcW w:w="2207" w:type="dxa"/>
            <w:vMerge/>
            <w:tcMar>
              <w:top w:w="40" w:type="dxa"/>
              <w:left w:w="120" w:type="dxa"/>
              <w:bottom w:w="40" w:type="dxa"/>
              <w:right w:w="40" w:type="dxa"/>
            </w:tcMar>
          </w:tcPr>
          <w:p w14:paraId="21C29464" w14:textId="77777777" w:rsidR="00F5215D" w:rsidRPr="00AA148D" w:rsidRDefault="00F5215D" w:rsidP="00F5215D">
            <w:pPr>
              <w:rPr>
                <w:rFonts w:ascii="Arial" w:hAnsi="Arial" w:cs="Arial"/>
                <w:sz w:val="18"/>
                <w:szCs w:val="18"/>
              </w:rPr>
            </w:pPr>
          </w:p>
        </w:tc>
        <w:tc>
          <w:tcPr>
            <w:tcW w:w="2205" w:type="dxa"/>
            <w:tcMar>
              <w:top w:w="40" w:type="dxa"/>
              <w:left w:w="80" w:type="dxa"/>
              <w:bottom w:w="40" w:type="dxa"/>
              <w:right w:w="40" w:type="dxa"/>
            </w:tcMar>
          </w:tcPr>
          <w:p w14:paraId="40C39213" w14:textId="77777777" w:rsidR="00F5215D" w:rsidRPr="00AA148D" w:rsidRDefault="00F5215D" w:rsidP="00F5215D">
            <w:pPr>
              <w:rPr>
                <w:rFonts w:ascii="Arial" w:hAnsi="Arial" w:cs="Arial"/>
                <w:sz w:val="18"/>
                <w:szCs w:val="18"/>
              </w:rPr>
            </w:pPr>
            <w:r w:rsidRPr="00AA148D">
              <w:rPr>
                <w:rFonts w:ascii="Arial" w:eastAsia="Verdana" w:hAnsi="Arial" w:cs="Arial"/>
                <w:color w:val="000000"/>
                <w:sz w:val="18"/>
                <w:szCs w:val="18"/>
              </w:rPr>
              <w:t>Domestic staff</w:t>
            </w:r>
          </w:p>
        </w:tc>
        <w:tc>
          <w:tcPr>
            <w:tcW w:w="963" w:type="dxa"/>
            <w:shd w:val="clear" w:color="auto" w:fill="auto"/>
            <w:tcMar>
              <w:top w:w="43" w:type="dxa"/>
              <w:left w:w="86" w:type="dxa"/>
              <w:bottom w:w="58" w:type="dxa"/>
              <w:right w:w="43" w:type="dxa"/>
            </w:tcMar>
          </w:tcPr>
          <w:p w14:paraId="29C7C343" w14:textId="77777777" w:rsidR="00F5215D" w:rsidRDefault="00F5215D" w:rsidP="00F5215D">
            <w:pPr>
              <w:rPr>
                <w:rFonts w:ascii="Arial" w:hAnsi="Arial" w:cs="Arial"/>
                <w:sz w:val="18"/>
                <w:szCs w:val="18"/>
              </w:rPr>
            </w:pPr>
            <w:r>
              <w:rPr>
                <w:rFonts w:ascii="Arial" w:hAnsi="Arial" w:cs="Arial"/>
                <w:sz w:val="18"/>
                <w:szCs w:val="18"/>
              </w:rPr>
              <w:t>153</w:t>
            </w:r>
          </w:p>
        </w:tc>
        <w:tc>
          <w:tcPr>
            <w:tcW w:w="963" w:type="dxa"/>
            <w:shd w:val="clear" w:color="auto" w:fill="auto"/>
            <w:tcMar>
              <w:top w:w="43" w:type="dxa"/>
              <w:left w:w="86" w:type="dxa"/>
              <w:bottom w:w="58" w:type="dxa"/>
              <w:right w:w="43" w:type="dxa"/>
            </w:tcMar>
          </w:tcPr>
          <w:p w14:paraId="6F9AAB71" w14:textId="77777777" w:rsidR="00F5215D" w:rsidRPr="00AA148D" w:rsidRDefault="00F5215D" w:rsidP="00F5215D">
            <w:pPr>
              <w:rPr>
                <w:rFonts w:ascii="Arial" w:hAnsi="Arial" w:cs="Arial"/>
                <w:sz w:val="18"/>
                <w:szCs w:val="18"/>
              </w:rPr>
            </w:pPr>
            <w:r>
              <w:rPr>
                <w:rFonts w:ascii="Arial" w:hAnsi="Arial" w:cs="Arial"/>
                <w:sz w:val="18"/>
                <w:szCs w:val="18"/>
              </w:rPr>
              <w:t>174</w:t>
            </w:r>
          </w:p>
        </w:tc>
        <w:tc>
          <w:tcPr>
            <w:tcW w:w="977" w:type="dxa"/>
            <w:shd w:val="clear" w:color="auto" w:fill="auto"/>
            <w:tcMar>
              <w:top w:w="40" w:type="dxa"/>
              <w:left w:w="80" w:type="dxa"/>
              <w:bottom w:w="60" w:type="dxa"/>
              <w:right w:w="40" w:type="dxa"/>
            </w:tcMar>
          </w:tcPr>
          <w:p w14:paraId="1BB0008B" w14:textId="2A042FF7" w:rsidR="00F5215D" w:rsidRPr="00FE3794" w:rsidRDefault="00F5215D" w:rsidP="00F5215D">
            <w:pPr>
              <w:rPr>
                <w:rFonts w:ascii="Arial" w:hAnsi="Arial" w:cs="Arial"/>
                <w:sz w:val="18"/>
                <w:szCs w:val="18"/>
              </w:rPr>
            </w:pPr>
            <w:r w:rsidRPr="00FE3794">
              <w:rPr>
                <w:rFonts w:ascii="Arial" w:hAnsi="Arial" w:cs="Arial"/>
                <w:sz w:val="18"/>
                <w:szCs w:val="18"/>
              </w:rPr>
              <w:t>1</w:t>
            </w:r>
            <w:r>
              <w:rPr>
                <w:rFonts w:ascii="Arial" w:hAnsi="Arial" w:cs="Arial"/>
                <w:sz w:val="18"/>
                <w:szCs w:val="18"/>
              </w:rPr>
              <w:t>58</w:t>
            </w:r>
          </w:p>
        </w:tc>
        <w:tc>
          <w:tcPr>
            <w:tcW w:w="986" w:type="dxa"/>
            <w:shd w:val="clear" w:color="auto" w:fill="FFFFFF" w:themeFill="background1"/>
            <w:tcMar>
              <w:top w:w="40" w:type="dxa"/>
              <w:left w:w="80" w:type="dxa"/>
              <w:bottom w:w="60" w:type="dxa"/>
              <w:right w:w="40" w:type="dxa"/>
            </w:tcMar>
          </w:tcPr>
          <w:p w14:paraId="4A119CF4" w14:textId="32AAF5CE" w:rsidR="00F5215D" w:rsidRPr="00FE3794" w:rsidRDefault="00F5215D" w:rsidP="00F5215D">
            <w:pPr>
              <w:rPr>
                <w:rFonts w:ascii="Arial" w:hAnsi="Arial" w:cs="Arial"/>
                <w:sz w:val="18"/>
                <w:szCs w:val="18"/>
              </w:rPr>
            </w:pPr>
            <w:r w:rsidRPr="00351B82">
              <w:rPr>
                <w:rFonts w:ascii="Arial" w:hAnsi="Arial" w:cs="Arial"/>
                <w:sz w:val="18"/>
                <w:szCs w:val="18"/>
              </w:rPr>
              <w:t>153</w:t>
            </w:r>
          </w:p>
        </w:tc>
        <w:tc>
          <w:tcPr>
            <w:tcW w:w="977" w:type="dxa"/>
            <w:tcMar>
              <w:top w:w="40" w:type="dxa"/>
              <w:left w:w="80" w:type="dxa"/>
              <w:bottom w:w="60" w:type="dxa"/>
              <w:right w:w="40" w:type="dxa"/>
            </w:tcMar>
          </w:tcPr>
          <w:p w14:paraId="20BF08EB" w14:textId="77777777" w:rsidR="00F5215D" w:rsidRPr="00AA148D" w:rsidRDefault="00F5215D" w:rsidP="00F5215D">
            <w:pPr>
              <w:rPr>
                <w:rFonts w:ascii="Arial" w:hAnsi="Arial" w:cs="Arial"/>
                <w:sz w:val="18"/>
                <w:szCs w:val="18"/>
              </w:rPr>
            </w:pPr>
            <w:r w:rsidRPr="00AA148D">
              <w:rPr>
                <w:rFonts w:ascii="Arial" w:eastAsia="Verdana" w:hAnsi="Arial" w:cs="Arial"/>
                <w:color w:val="000000"/>
                <w:sz w:val="18"/>
                <w:szCs w:val="18"/>
              </w:rPr>
              <w:t>n/a</w:t>
            </w:r>
          </w:p>
        </w:tc>
      </w:tr>
      <w:tr w:rsidR="00F5215D" w:rsidRPr="00AA148D" w14:paraId="7CE6C4AF" w14:textId="77777777" w:rsidTr="00F5215D">
        <w:trPr>
          <w:trHeight w:val="198"/>
        </w:trPr>
        <w:tc>
          <w:tcPr>
            <w:tcW w:w="2207" w:type="dxa"/>
            <w:vMerge/>
            <w:tcMar>
              <w:top w:w="40" w:type="dxa"/>
              <w:left w:w="120" w:type="dxa"/>
              <w:bottom w:w="40" w:type="dxa"/>
              <w:right w:w="40" w:type="dxa"/>
            </w:tcMar>
          </w:tcPr>
          <w:p w14:paraId="5472243D" w14:textId="77777777" w:rsidR="00F5215D" w:rsidRPr="00AA148D" w:rsidRDefault="00F5215D" w:rsidP="00F5215D">
            <w:pPr>
              <w:rPr>
                <w:rFonts w:ascii="Arial" w:hAnsi="Arial" w:cs="Arial"/>
                <w:sz w:val="18"/>
                <w:szCs w:val="18"/>
              </w:rPr>
            </w:pPr>
          </w:p>
        </w:tc>
        <w:tc>
          <w:tcPr>
            <w:tcW w:w="2205" w:type="dxa"/>
            <w:tcMar>
              <w:top w:w="40" w:type="dxa"/>
              <w:left w:w="80" w:type="dxa"/>
              <w:bottom w:w="40" w:type="dxa"/>
              <w:right w:w="40" w:type="dxa"/>
            </w:tcMar>
          </w:tcPr>
          <w:p w14:paraId="39E50F4D" w14:textId="50D7FB34" w:rsidR="00F5215D" w:rsidRPr="00AA148D" w:rsidRDefault="00F5215D" w:rsidP="00F5215D">
            <w:pPr>
              <w:rPr>
                <w:rFonts w:ascii="Arial" w:hAnsi="Arial" w:cs="Arial"/>
                <w:sz w:val="18"/>
                <w:szCs w:val="18"/>
              </w:rPr>
            </w:pPr>
            <w:r w:rsidRPr="00AA148D">
              <w:rPr>
                <w:rFonts w:ascii="Arial" w:eastAsia="Verdana" w:hAnsi="Arial" w:cs="Arial"/>
                <w:color w:val="000000"/>
                <w:sz w:val="18"/>
                <w:szCs w:val="18"/>
              </w:rPr>
              <w:t xml:space="preserve">Medical </w:t>
            </w:r>
            <w:r>
              <w:rPr>
                <w:rFonts w:ascii="Arial" w:eastAsia="Verdana" w:hAnsi="Arial" w:cs="Arial"/>
                <w:color w:val="000000"/>
                <w:sz w:val="18"/>
                <w:szCs w:val="18"/>
              </w:rPr>
              <w:t>o</w:t>
            </w:r>
            <w:r w:rsidRPr="00AA148D">
              <w:rPr>
                <w:rFonts w:ascii="Arial" w:eastAsia="Verdana" w:hAnsi="Arial" w:cs="Arial"/>
                <w:color w:val="000000"/>
                <w:sz w:val="18"/>
                <w:szCs w:val="18"/>
              </w:rPr>
              <w:t>fficers</w:t>
            </w:r>
          </w:p>
        </w:tc>
        <w:tc>
          <w:tcPr>
            <w:tcW w:w="963" w:type="dxa"/>
            <w:shd w:val="clear" w:color="auto" w:fill="auto"/>
            <w:tcMar>
              <w:top w:w="43" w:type="dxa"/>
              <w:left w:w="86" w:type="dxa"/>
              <w:bottom w:w="58" w:type="dxa"/>
              <w:right w:w="43" w:type="dxa"/>
            </w:tcMar>
          </w:tcPr>
          <w:p w14:paraId="2388E054" w14:textId="77777777" w:rsidR="00F5215D" w:rsidRDefault="00F5215D" w:rsidP="00F5215D">
            <w:pPr>
              <w:rPr>
                <w:rFonts w:ascii="Arial" w:hAnsi="Arial" w:cs="Arial"/>
                <w:sz w:val="18"/>
                <w:szCs w:val="18"/>
              </w:rPr>
            </w:pPr>
            <w:r>
              <w:rPr>
                <w:rFonts w:ascii="Arial" w:hAnsi="Arial" w:cs="Arial"/>
                <w:sz w:val="18"/>
                <w:szCs w:val="18"/>
              </w:rPr>
              <w:t>812</w:t>
            </w:r>
          </w:p>
        </w:tc>
        <w:tc>
          <w:tcPr>
            <w:tcW w:w="963" w:type="dxa"/>
            <w:shd w:val="clear" w:color="auto" w:fill="auto"/>
            <w:tcMar>
              <w:top w:w="43" w:type="dxa"/>
              <w:left w:w="86" w:type="dxa"/>
              <w:bottom w:w="58" w:type="dxa"/>
              <w:right w:w="43" w:type="dxa"/>
            </w:tcMar>
          </w:tcPr>
          <w:p w14:paraId="5512CACF" w14:textId="77777777" w:rsidR="00F5215D" w:rsidRPr="00AA148D" w:rsidRDefault="00F5215D" w:rsidP="00F5215D">
            <w:pPr>
              <w:rPr>
                <w:rFonts w:ascii="Arial" w:hAnsi="Arial" w:cs="Arial"/>
                <w:sz w:val="18"/>
                <w:szCs w:val="18"/>
              </w:rPr>
            </w:pPr>
            <w:r>
              <w:rPr>
                <w:rFonts w:ascii="Arial" w:hAnsi="Arial" w:cs="Arial"/>
                <w:sz w:val="18"/>
                <w:szCs w:val="18"/>
              </w:rPr>
              <w:t>848</w:t>
            </w:r>
          </w:p>
        </w:tc>
        <w:tc>
          <w:tcPr>
            <w:tcW w:w="977" w:type="dxa"/>
            <w:shd w:val="clear" w:color="auto" w:fill="auto"/>
            <w:tcMar>
              <w:top w:w="40" w:type="dxa"/>
              <w:left w:w="80" w:type="dxa"/>
              <w:bottom w:w="60" w:type="dxa"/>
              <w:right w:w="40" w:type="dxa"/>
            </w:tcMar>
          </w:tcPr>
          <w:p w14:paraId="4CFB4E4D" w14:textId="4B7553AD" w:rsidR="00F5215D" w:rsidRPr="00FE3794" w:rsidRDefault="00F5215D" w:rsidP="00F5215D">
            <w:pPr>
              <w:rPr>
                <w:rFonts w:ascii="Arial" w:hAnsi="Arial" w:cs="Arial"/>
                <w:sz w:val="18"/>
                <w:szCs w:val="18"/>
              </w:rPr>
            </w:pPr>
            <w:r>
              <w:rPr>
                <w:rFonts w:ascii="Arial" w:hAnsi="Arial" w:cs="Arial"/>
                <w:sz w:val="18"/>
                <w:szCs w:val="18"/>
              </w:rPr>
              <w:t>871</w:t>
            </w:r>
          </w:p>
        </w:tc>
        <w:tc>
          <w:tcPr>
            <w:tcW w:w="986" w:type="dxa"/>
            <w:shd w:val="clear" w:color="auto" w:fill="FFFFFF" w:themeFill="background1"/>
            <w:tcMar>
              <w:top w:w="40" w:type="dxa"/>
              <w:left w:w="80" w:type="dxa"/>
              <w:bottom w:w="60" w:type="dxa"/>
              <w:right w:w="40" w:type="dxa"/>
            </w:tcMar>
          </w:tcPr>
          <w:p w14:paraId="5FF7B76A" w14:textId="63A4A30B" w:rsidR="00F5215D" w:rsidRPr="00FE3794" w:rsidRDefault="00F5215D" w:rsidP="00F5215D">
            <w:pPr>
              <w:rPr>
                <w:rFonts w:ascii="Arial" w:hAnsi="Arial" w:cs="Arial"/>
                <w:sz w:val="18"/>
                <w:szCs w:val="18"/>
              </w:rPr>
            </w:pPr>
            <w:r w:rsidRPr="00351B82">
              <w:rPr>
                <w:rFonts w:ascii="Arial" w:hAnsi="Arial" w:cs="Arial"/>
                <w:sz w:val="18"/>
                <w:szCs w:val="18"/>
              </w:rPr>
              <w:t>956</w:t>
            </w:r>
          </w:p>
        </w:tc>
        <w:tc>
          <w:tcPr>
            <w:tcW w:w="977" w:type="dxa"/>
            <w:tcMar>
              <w:top w:w="40" w:type="dxa"/>
              <w:left w:w="80" w:type="dxa"/>
              <w:bottom w:w="60" w:type="dxa"/>
              <w:right w:w="40" w:type="dxa"/>
            </w:tcMar>
          </w:tcPr>
          <w:p w14:paraId="3D443660" w14:textId="77777777" w:rsidR="00F5215D" w:rsidRPr="00AA148D" w:rsidRDefault="00F5215D" w:rsidP="00F5215D">
            <w:pPr>
              <w:rPr>
                <w:rFonts w:ascii="Arial" w:hAnsi="Arial" w:cs="Arial"/>
                <w:sz w:val="18"/>
                <w:szCs w:val="18"/>
              </w:rPr>
            </w:pPr>
            <w:r w:rsidRPr="00AA148D">
              <w:rPr>
                <w:rFonts w:ascii="Arial" w:eastAsia="Verdana" w:hAnsi="Arial" w:cs="Arial"/>
                <w:color w:val="000000"/>
                <w:sz w:val="18"/>
                <w:szCs w:val="18"/>
              </w:rPr>
              <w:t>n/a</w:t>
            </w:r>
          </w:p>
        </w:tc>
      </w:tr>
      <w:tr w:rsidR="00F5215D" w:rsidRPr="00AA148D" w14:paraId="08F58B29" w14:textId="77777777" w:rsidTr="00F5215D">
        <w:trPr>
          <w:trHeight w:val="198"/>
        </w:trPr>
        <w:tc>
          <w:tcPr>
            <w:tcW w:w="2207" w:type="dxa"/>
            <w:vMerge/>
            <w:tcMar>
              <w:top w:w="40" w:type="dxa"/>
              <w:left w:w="120" w:type="dxa"/>
              <w:bottom w:w="40" w:type="dxa"/>
              <w:right w:w="40" w:type="dxa"/>
            </w:tcMar>
          </w:tcPr>
          <w:p w14:paraId="3C14562D" w14:textId="77777777" w:rsidR="00F5215D" w:rsidRPr="00AA148D" w:rsidRDefault="00F5215D" w:rsidP="00F5215D">
            <w:pPr>
              <w:rPr>
                <w:rFonts w:ascii="Arial" w:hAnsi="Arial" w:cs="Arial"/>
                <w:sz w:val="18"/>
                <w:szCs w:val="18"/>
              </w:rPr>
            </w:pPr>
          </w:p>
        </w:tc>
        <w:tc>
          <w:tcPr>
            <w:tcW w:w="2205" w:type="dxa"/>
            <w:tcMar>
              <w:top w:w="40" w:type="dxa"/>
              <w:left w:w="80" w:type="dxa"/>
              <w:bottom w:w="40" w:type="dxa"/>
              <w:right w:w="40" w:type="dxa"/>
            </w:tcMar>
          </w:tcPr>
          <w:p w14:paraId="733AC5B3" w14:textId="77777777" w:rsidR="00F5215D" w:rsidRPr="00AA148D" w:rsidRDefault="00F5215D" w:rsidP="00F5215D">
            <w:pPr>
              <w:rPr>
                <w:rFonts w:ascii="Arial" w:hAnsi="Arial" w:cs="Arial"/>
                <w:sz w:val="18"/>
                <w:szCs w:val="18"/>
              </w:rPr>
            </w:pPr>
            <w:r w:rsidRPr="00AA148D">
              <w:rPr>
                <w:rFonts w:ascii="Arial" w:eastAsia="Verdana" w:hAnsi="Arial" w:cs="Arial"/>
                <w:color w:val="000000"/>
                <w:sz w:val="18"/>
                <w:szCs w:val="18"/>
              </w:rPr>
              <w:t>Nurses</w:t>
            </w:r>
          </w:p>
        </w:tc>
        <w:tc>
          <w:tcPr>
            <w:tcW w:w="963" w:type="dxa"/>
            <w:shd w:val="clear" w:color="auto" w:fill="auto"/>
            <w:tcMar>
              <w:top w:w="43" w:type="dxa"/>
              <w:left w:w="86" w:type="dxa"/>
              <w:bottom w:w="58" w:type="dxa"/>
              <w:right w:w="43" w:type="dxa"/>
            </w:tcMar>
          </w:tcPr>
          <w:p w14:paraId="30BF5D90" w14:textId="77777777" w:rsidR="00F5215D" w:rsidRDefault="00F5215D" w:rsidP="00F5215D">
            <w:pPr>
              <w:rPr>
                <w:rFonts w:ascii="Arial" w:hAnsi="Arial" w:cs="Arial"/>
                <w:sz w:val="18"/>
                <w:szCs w:val="18"/>
              </w:rPr>
            </w:pPr>
            <w:r>
              <w:rPr>
                <w:rFonts w:ascii="Arial" w:hAnsi="Arial" w:cs="Arial"/>
                <w:sz w:val="18"/>
                <w:szCs w:val="18"/>
              </w:rPr>
              <w:t>3,999</w:t>
            </w:r>
          </w:p>
        </w:tc>
        <w:tc>
          <w:tcPr>
            <w:tcW w:w="963" w:type="dxa"/>
            <w:shd w:val="clear" w:color="auto" w:fill="auto"/>
            <w:tcMar>
              <w:top w:w="43" w:type="dxa"/>
              <w:left w:w="86" w:type="dxa"/>
              <w:bottom w:w="58" w:type="dxa"/>
              <w:right w:w="43" w:type="dxa"/>
            </w:tcMar>
          </w:tcPr>
          <w:p w14:paraId="387528C4" w14:textId="77777777" w:rsidR="00F5215D" w:rsidRPr="00AA148D" w:rsidRDefault="00F5215D" w:rsidP="00F5215D">
            <w:pPr>
              <w:rPr>
                <w:rFonts w:ascii="Arial" w:hAnsi="Arial" w:cs="Arial"/>
                <w:sz w:val="18"/>
                <w:szCs w:val="18"/>
              </w:rPr>
            </w:pPr>
            <w:r>
              <w:rPr>
                <w:rFonts w:ascii="Arial" w:hAnsi="Arial" w:cs="Arial"/>
                <w:sz w:val="18"/>
                <w:szCs w:val="18"/>
              </w:rPr>
              <w:t>4,180</w:t>
            </w:r>
          </w:p>
        </w:tc>
        <w:tc>
          <w:tcPr>
            <w:tcW w:w="977" w:type="dxa"/>
            <w:shd w:val="clear" w:color="auto" w:fill="auto"/>
            <w:tcMar>
              <w:top w:w="40" w:type="dxa"/>
              <w:left w:w="80" w:type="dxa"/>
              <w:bottom w:w="60" w:type="dxa"/>
              <w:right w:w="40" w:type="dxa"/>
            </w:tcMar>
          </w:tcPr>
          <w:p w14:paraId="01A9BDAD" w14:textId="78BBEB11" w:rsidR="00F5215D" w:rsidRPr="00FE3794" w:rsidRDefault="00F5215D" w:rsidP="00F5215D">
            <w:pPr>
              <w:rPr>
                <w:rFonts w:ascii="Arial" w:hAnsi="Arial" w:cs="Arial"/>
                <w:sz w:val="18"/>
                <w:szCs w:val="18"/>
              </w:rPr>
            </w:pPr>
            <w:r w:rsidRPr="00FE3794">
              <w:rPr>
                <w:rFonts w:ascii="Arial" w:hAnsi="Arial" w:cs="Arial"/>
                <w:sz w:val="18"/>
                <w:szCs w:val="18"/>
              </w:rPr>
              <w:t>4,</w:t>
            </w:r>
            <w:r>
              <w:rPr>
                <w:rFonts w:ascii="Arial" w:hAnsi="Arial" w:cs="Arial"/>
                <w:sz w:val="18"/>
                <w:szCs w:val="18"/>
              </w:rPr>
              <w:t>260</w:t>
            </w:r>
          </w:p>
        </w:tc>
        <w:tc>
          <w:tcPr>
            <w:tcW w:w="986" w:type="dxa"/>
            <w:shd w:val="clear" w:color="auto" w:fill="FFFFFF" w:themeFill="background1"/>
            <w:tcMar>
              <w:top w:w="40" w:type="dxa"/>
              <w:left w:w="80" w:type="dxa"/>
              <w:bottom w:w="60" w:type="dxa"/>
              <w:right w:w="40" w:type="dxa"/>
            </w:tcMar>
          </w:tcPr>
          <w:p w14:paraId="67DE3A7C" w14:textId="3E0FDA94" w:rsidR="00F5215D" w:rsidRPr="00FE3794" w:rsidRDefault="00F5215D" w:rsidP="00F5215D">
            <w:pPr>
              <w:rPr>
                <w:rFonts w:ascii="Arial" w:hAnsi="Arial" w:cs="Arial"/>
                <w:sz w:val="18"/>
                <w:szCs w:val="18"/>
              </w:rPr>
            </w:pPr>
            <w:r w:rsidRPr="00351B82">
              <w:rPr>
                <w:rFonts w:ascii="Arial" w:hAnsi="Arial" w:cs="Arial"/>
                <w:sz w:val="18"/>
                <w:szCs w:val="18"/>
              </w:rPr>
              <w:t>4,727</w:t>
            </w:r>
          </w:p>
        </w:tc>
        <w:tc>
          <w:tcPr>
            <w:tcW w:w="977" w:type="dxa"/>
            <w:tcMar>
              <w:top w:w="40" w:type="dxa"/>
              <w:left w:w="80" w:type="dxa"/>
              <w:bottom w:w="60" w:type="dxa"/>
              <w:right w:w="40" w:type="dxa"/>
            </w:tcMar>
          </w:tcPr>
          <w:p w14:paraId="5376A06E" w14:textId="77777777" w:rsidR="00F5215D" w:rsidRPr="00AA148D" w:rsidRDefault="00F5215D" w:rsidP="00F5215D">
            <w:pPr>
              <w:rPr>
                <w:rFonts w:ascii="Arial" w:hAnsi="Arial" w:cs="Arial"/>
                <w:sz w:val="18"/>
                <w:szCs w:val="18"/>
              </w:rPr>
            </w:pPr>
            <w:r w:rsidRPr="00AA148D">
              <w:rPr>
                <w:rFonts w:ascii="Arial" w:eastAsia="Verdana" w:hAnsi="Arial" w:cs="Arial"/>
                <w:color w:val="000000"/>
                <w:sz w:val="18"/>
                <w:szCs w:val="18"/>
              </w:rPr>
              <w:t>n/a</w:t>
            </w:r>
          </w:p>
        </w:tc>
      </w:tr>
      <w:tr w:rsidR="00F5215D" w:rsidRPr="00AA148D" w14:paraId="00C610A0" w14:textId="77777777" w:rsidTr="00F5215D">
        <w:trPr>
          <w:trHeight w:val="198"/>
        </w:trPr>
        <w:tc>
          <w:tcPr>
            <w:tcW w:w="2207" w:type="dxa"/>
            <w:vMerge/>
            <w:tcMar>
              <w:top w:w="40" w:type="dxa"/>
              <w:left w:w="120" w:type="dxa"/>
              <w:bottom w:w="40" w:type="dxa"/>
              <w:right w:w="40" w:type="dxa"/>
            </w:tcMar>
          </w:tcPr>
          <w:p w14:paraId="4EE84649" w14:textId="77777777" w:rsidR="00F5215D" w:rsidRPr="00AA148D" w:rsidRDefault="00F5215D" w:rsidP="00F5215D">
            <w:pPr>
              <w:rPr>
                <w:rFonts w:ascii="Arial" w:hAnsi="Arial" w:cs="Arial"/>
                <w:sz w:val="18"/>
                <w:szCs w:val="18"/>
              </w:rPr>
            </w:pPr>
          </w:p>
        </w:tc>
        <w:tc>
          <w:tcPr>
            <w:tcW w:w="2205" w:type="dxa"/>
            <w:tcMar>
              <w:top w:w="40" w:type="dxa"/>
              <w:left w:w="80" w:type="dxa"/>
              <w:bottom w:w="40" w:type="dxa"/>
              <w:right w:w="40" w:type="dxa"/>
            </w:tcMar>
          </w:tcPr>
          <w:p w14:paraId="3FDD46AC" w14:textId="77777777" w:rsidR="00F5215D" w:rsidRPr="00AA148D" w:rsidRDefault="00F5215D" w:rsidP="00F5215D">
            <w:pPr>
              <w:rPr>
                <w:rFonts w:ascii="Arial" w:hAnsi="Arial" w:cs="Arial"/>
                <w:sz w:val="18"/>
                <w:szCs w:val="18"/>
              </w:rPr>
            </w:pPr>
            <w:r w:rsidRPr="00AA148D">
              <w:rPr>
                <w:rFonts w:ascii="Arial" w:eastAsia="Verdana" w:hAnsi="Arial" w:cs="Arial"/>
                <w:color w:val="000000"/>
                <w:sz w:val="18"/>
                <w:szCs w:val="18"/>
              </w:rPr>
              <w:t>Other personal care staff</w:t>
            </w:r>
          </w:p>
        </w:tc>
        <w:tc>
          <w:tcPr>
            <w:tcW w:w="963" w:type="dxa"/>
            <w:shd w:val="clear" w:color="auto" w:fill="auto"/>
            <w:tcMar>
              <w:top w:w="43" w:type="dxa"/>
              <w:left w:w="86" w:type="dxa"/>
              <w:bottom w:w="58" w:type="dxa"/>
              <w:right w:w="43" w:type="dxa"/>
            </w:tcMar>
          </w:tcPr>
          <w:p w14:paraId="26ECFA65" w14:textId="77777777" w:rsidR="00F5215D" w:rsidRDefault="00F5215D" w:rsidP="00F5215D">
            <w:pPr>
              <w:rPr>
                <w:rFonts w:ascii="Arial" w:hAnsi="Arial" w:cs="Arial"/>
                <w:sz w:val="18"/>
                <w:szCs w:val="18"/>
              </w:rPr>
            </w:pPr>
            <w:r>
              <w:rPr>
                <w:rFonts w:ascii="Arial" w:hAnsi="Arial" w:cs="Arial"/>
                <w:sz w:val="18"/>
                <w:szCs w:val="18"/>
              </w:rPr>
              <w:t>222</w:t>
            </w:r>
          </w:p>
        </w:tc>
        <w:tc>
          <w:tcPr>
            <w:tcW w:w="963" w:type="dxa"/>
            <w:shd w:val="clear" w:color="auto" w:fill="auto"/>
            <w:tcMar>
              <w:top w:w="43" w:type="dxa"/>
              <w:left w:w="86" w:type="dxa"/>
              <w:bottom w:w="58" w:type="dxa"/>
              <w:right w:w="43" w:type="dxa"/>
            </w:tcMar>
          </w:tcPr>
          <w:p w14:paraId="6C4EBA39" w14:textId="77777777" w:rsidR="00F5215D" w:rsidRPr="00AA148D" w:rsidRDefault="00F5215D" w:rsidP="00F5215D">
            <w:pPr>
              <w:rPr>
                <w:rFonts w:ascii="Arial" w:hAnsi="Arial" w:cs="Arial"/>
                <w:sz w:val="18"/>
                <w:szCs w:val="18"/>
              </w:rPr>
            </w:pPr>
            <w:r>
              <w:rPr>
                <w:rFonts w:ascii="Arial" w:hAnsi="Arial" w:cs="Arial"/>
                <w:sz w:val="18"/>
                <w:szCs w:val="18"/>
              </w:rPr>
              <w:t>239</w:t>
            </w:r>
          </w:p>
        </w:tc>
        <w:tc>
          <w:tcPr>
            <w:tcW w:w="977" w:type="dxa"/>
            <w:shd w:val="clear" w:color="auto" w:fill="auto"/>
            <w:tcMar>
              <w:top w:w="40" w:type="dxa"/>
              <w:left w:w="80" w:type="dxa"/>
              <w:bottom w:w="60" w:type="dxa"/>
              <w:right w:w="40" w:type="dxa"/>
            </w:tcMar>
          </w:tcPr>
          <w:p w14:paraId="234B0C21" w14:textId="1489F169" w:rsidR="00F5215D" w:rsidRPr="00FE3794" w:rsidRDefault="00F5215D" w:rsidP="00F5215D">
            <w:pPr>
              <w:rPr>
                <w:rFonts w:ascii="Arial" w:hAnsi="Arial" w:cs="Arial"/>
                <w:sz w:val="18"/>
                <w:szCs w:val="18"/>
              </w:rPr>
            </w:pPr>
            <w:r>
              <w:rPr>
                <w:rFonts w:ascii="Arial" w:hAnsi="Arial" w:cs="Arial"/>
                <w:sz w:val="18"/>
                <w:szCs w:val="18"/>
              </w:rPr>
              <w:t>195</w:t>
            </w:r>
          </w:p>
        </w:tc>
        <w:tc>
          <w:tcPr>
            <w:tcW w:w="986" w:type="dxa"/>
            <w:shd w:val="clear" w:color="auto" w:fill="FFFFFF" w:themeFill="background1"/>
            <w:tcMar>
              <w:top w:w="40" w:type="dxa"/>
              <w:left w:w="80" w:type="dxa"/>
              <w:bottom w:w="60" w:type="dxa"/>
              <w:right w:w="40" w:type="dxa"/>
            </w:tcMar>
          </w:tcPr>
          <w:p w14:paraId="111D055D" w14:textId="014123BB" w:rsidR="00F5215D" w:rsidRPr="00FE3794" w:rsidRDefault="00F5215D" w:rsidP="00F5215D">
            <w:pPr>
              <w:rPr>
                <w:rFonts w:ascii="Arial" w:hAnsi="Arial" w:cs="Arial"/>
                <w:sz w:val="18"/>
                <w:szCs w:val="18"/>
              </w:rPr>
            </w:pPr>
            <w:r w:rsidRPr="00351B82">
              <w:rPr>
                <w:rFonts w:ascii="Arial" w:hAnsi="Arial" w:cs="Arial"/>
                <w:sz w:val="18"/>
                <w:szCs w:val="18"/>
              </w:rPr>
              <w:t>267</w:t>
            </w:r>
          </w:p>
        </w:tc>
        <w:tc>
          <w:tcPr>
            <w:tcW w:w="977" w:type="dxa"/>
            <w:tcMar>
              <w:top w:w="40" w:type="dxa"/>
              <w:left w:w="80" w:type="dxa"/>
              <w:bottom w:w="60" w:type="dxa"/>
              <w:right w:w="40" w:type="dxa"/>
            </w:tcMar>
          </w:tcPr>
          <w:p w14:paraId="21637D2E" w14:textId="77777777" w:rsidR="00F5215D" w:rsidRPr="00AA148D" w:rsidRDefault="00F5215D" w:rsidP="00F5215D">
            <w:pPr>
              <w:rPr>
                <w:rFonts w:ascii="Arial" w:hAnsi="Arial" w:cs="Arial"/>
                <w:sz w:val="18"/>
                <w:szCs w:val="18"/>
              </w:rPr>
            </w:pPr>
            <w:r w:rsidRPr="00AA148D">
              <w:rPr>
                <w:rFonts w:ascii="Arial" w:eastAsia="Verdana" w:hAnsi="Arial" w:cs="Arial"/>
                <w:color w:val="000000"/>
                <w:sz w:val="18"/>
                <w:szCs w:val="18"/>
              </w:rPr>
              <w:t>n/a</w:t>
            </w:r>
          </w:p>
        </w:tc>
      </w:tr>
    </w:tbl>
    <w:p w14:paraId="6CF156C5" w14:textId="05D6D33F" w:rsidR="00D31EA2" w:rsidRPr="00D31EA2" w:rsidRDefault="00D31EA2" w:rsidP="00157535">
      <w:pPr>
        <w:pStyle w:val="DHHStablecaption"/>
      </w:pPr>
      <w:r w:rsidRPr="00D31EA2">
        <w:rPr>
          <w:rFonts w:eastAsia="Verdana"/>
        </w:rPr>
        <w:t>People accessing mental health community support services</w:t>
      </w:r>
    </w:p>
    <w:tbl>
      <w:tblPr>
        <w:tblW w:w="9504" w:type="dxa"/>
        <w:tblBorders>
          <w:top w:val="single" w:sz="8" w:space="0" w:color="004EA8"/>
          <w:left w:val="single" w:sz="8" w:space="0" w:color="004EA8"/>
          <w:bottom w:val="single" w:sz="8" w:space="0" w:color="004EA8"/>
          <w:right w:val="single" w:sz="8" w:space="0" w:color="004EA8"/>
          <w:insideH w:val="single" w:sz="8" w:space="0" w:color="004EA8"/>
          <w:insideV w:val="single" w:sz="8" w:space="0" w:color="004EA8"/>
        </w:tblBorders>
        <w:tblCellMar>
          <w:left w:w="0" w:type="dxa"/>
          <w:right w:w="0" w:type="dxa"/>
        </w:tblCellMar>
        <w:tblLook w:val="0000" w:firstRow="0" w:lastRow="0" w:firstColumn="0" w:lastColumn="0" w:noHBand="0" w:noVBand="0"/>
      </w:tblPr>
      <w:tblGrid>
        <w:gridCol w:w="4437"/>
        <w:gridCol w:w="1006"/>
        <w:gridCol w:w="1006"/>
        <w:gridCol w:w="1018"/>
        <w:gridCol w:w="1018"/>
        <w:gridCol w:w="1019"/>
      </w:tblGrid>
      <w:tr w:rsidR="00D31EA2" w:rsidRPr="00B33889" w14:paraId="2E70BECD" w14:textId="77777777" w:rsidTr="00157B5E">
        <w:trPr>
          <w:trHeight w:val="279"/>
          <w:tblHeader/>
        </w:trPr>
        <w:tc>
          <w:tcPr>
            <w:tcW w:w="4437" w:type="dxa"/>
            <w:shd w:val="clear" w:color="auto" w:fill="004EA8"/>
            <w:tcMar>
              <w:top w:w="40" w:type="dxa"/>
              <w:left w:w="80" w:type="dxa"/>
              <w:bottom w:w="40" w:type="dxa"/>
              <w:right w:w="40" w:type="dxa"/>
            </w:tcMar>
            <w:vAlign w:val="center"/>
          </w:tcPr>
          <w:p w14:paraId="7AB9334D" w14:textId="2A6DC5B6" w:rsidR="00D31EA2" w:rsidRPr="00B33889" w:rsidRDefault="00F2363E" w:rsidP="00410442">
            <w:pPr>
              <w:rPr>
                <w:rFonts w:ascii="Arial" w:hAnsi="Arial" w:cs="Arial"/>
              </w:rPr>
            </w:pPr>
            <w:r>
              <w:rPr>
                <w:rFonts w:ascii="Arial" w:eastAsia="Verdana" w:hAnsi="Arial" w:cs="Arial"/>
                <w:b/>
                <w:color w:val="FFFFFF"/>
                <w:sz w:val="18"/>
              </w:rPr>
              <w:t>Me</w:t>
            </w:r>
            <w:r w:rsidR="001A10D7">
              <w:rPr>
                <w:rFonts w:ascii="Arial" w:eastAsia="Verdana" w:hAnsi="Arial" w:cs="Arial"/>
                <w:b/>
                <w:color w:val="FFFFFF"/>
                <w:sz w:val="18"/>
              </w:rPr>
              <w:t>a</w:t>
            </w:r>
            <w:r>
              <w:rPr>
                <w:rFonts w:ascii="Arial" w:eastAsia="Verdana" w:hAnsi="Arial" w:cs="Arial"/>
                <w:b/>
                <w:color w:val="FFFFFF"/>
                <w:sz w:val="18"/>
              </w:rPr>
              <w:t>sure</w:t>
            </w:r>
          </w:p>
        </w:tc>
        <w:tc>
          <w:tcPr>
            <w:tcW w:w="1006" w:type="dxa"/>
            <w:shd w:val="clear" w:color="auto" w:fill="004EA8"/>
            <w:vAlign w:val="center"/>
          </w:tcPr>
          <w:p w14:paraId="2DF217C5" w14:textId="77777777" w:rsidR="00D31EA2" w:rsidRDefault="00D31EA2" w:rsidP="00410442">
            <w:pPr>
              <w:rPr>
                <w:rFonts w:ascii="Arial" w:eastAsia="Verdana" w:hAnsi="Arial" w:cs="Arial"/>
                <w:b/>
                <w:color w:val="FFFFFF"/>
                <w:sz w:val="18"/>
              </w:rPr>
            </w:pPr>
            <w:r>
              <w:rPr>
                <w:rFonts w:ascii="Arial" w:eastAsia="Verdana" w:hAnsi="Arial" w:cs="Arial"/>
                <w:b/>
                <w:color w:val="FFFFFF"/>
                <w:sz w:val="18"/>
              </w:rPr>
              <w:t>2015–16</w:t>
            </w:r>
          </w:p>
        </w:tc>
        <w:tc>
          <w:tcPr>
            <w:tcW w:w="1006" w:type="dxa"/>
            <w:shd w:val="clear" w:color="auto" w:fill="004EA8"/>
            <w:vAlign w:val="center"/>
          </w:tcPr>
          <w:p w14:paraId="3B86B1B7" w14:textId="77777777" w:rsidR="00D31EA2" w:rsidRPr="00B33889" w:rsidRDefault="00D31EA2" w:rsidP="00410442">
            <w:pPr>
              <w:rPr>
                <w:rFonts w:ascii="Arial" w:hAnsi="Arial" w:cs="Arial"/>
              </w:rPr>
            </w:pPr>
            <w:r>
              <w:rPr>
                <w:rFonts w:ascii="Arial" w:eastAsia="Verdana" w:hAnsi="Arial" w:cs="Arial"/>
                <w:b/>
                <w:color w:val="FFFFFF"/>
                <w:sz w:val="18"/>
              </w:rPr>
              <w:t>2016–17</w:t>
            </w:r>
          </w:p>
        </w:tc>
        <w:tc>
          <w:tcPr>
            <w:tcW w:w="1018" w:type="dxa"/>
            <w:shd w:val="clear" w:color="auto" w:fill="004EA8"/>
            <w:tcMar>
              <w:top w:w="40" w:type="dxa"/>
              <w:left w:w="80" w:type="dxa"/>
              <w:bottom w:w="60" w:type="dxa"/>
              <w:right w:w="40" w:type="dxa"/>
            </w:tcMar>
            <w:vAlign w:val="center"/>
          </w:tcPr>
          <w:p w14:paraId="395C8875" w14:textId="77777777" w:rsidR="00D31EA2" w:rsidRPr="00B33889" w:rsidRDefault="00D31EA2" w:rsidP="00410442">
            <w:pPr>
              <w:rPr>
                <w:rFonts w:ascii="Arial" w:hAnsi="Arial" w:cs="Arial"/>
              </w:rPr>
            </w:pPr>
            <w:r>
              <w:rPr>
                <w:rFonts w:ascii="Arial" w:eastAsia="Verdana" w:hAnsi="Arial" w:cs="Arial"/>
                <w:b/>
                <w:color w:val="FFFFFF"/>
                <w:sz w:val="18"/>
              </w:rPr>
              <w:t>2017–18</w:t>
            </w:r>
          </w:p>
        </w:tc>
        <w:tc>
          <w:tcPr>
            <w:tcW w:w="1018" w:type="dxa"/>
            <w:shd w:val="clear" w:color="auto" w:fill="004EA8"/>
            <w:tcMar>
              <w:top w:w="40" w:type="dxa"/>
              <w:left w:w="80" w:type="dxa"/>
              <w:bottom w:w="60" w:type="dxa"/>
              <w:right w:w="40" w:type="dxa"/>
            </w:tcMar>
            <w:vAlign w:val="center"/>
          </w:tcPr>
          <w:p w14:paraId="2DEBB537" w14:textId="77777777" w:rsidR="00D31EA2" w:rsidRPr="00B33889" w:rsidRDefault="00D31EA2" w:rsidP="00410442">
            <w:pPr>
              <w:rPr>
                <w:rFonts w:ascii="Arial" w:eastAsia="Verdana" w:hAnsi="Arial" w:cs="Arial"/>
                <w:b/>
                <w:color w:val="FFFFFF"/>
                <w:sz w:val="18"/>
              </w:rPr>
            </w:pPr>
            <w:r>
              <w:rPr>
                <w:rFonts w:ascii="Arial" w:eastAsia="Verdana" w:hAnsi="Arial" w:cs="Arial"/>
                <w:b/>
                <w:color w:val="FFFFFF"/>
                <w:sz w:val="18"/>
              </w:rPr>
              <w:t>2018–19</w:t>
            </w:r>
          </w:p>
        </w:tc>
        <w:tc>
          <w:tcPr>
            <w:tcW w:w="1019" w:type="dxa"/>
            <w:shd w:val="clear" w:color="auto" w:fill="004EA8"/>
            <w:tcMar>
              <w:top w:w="40" w:type="dxa"/>
              <w:left w:w="79" w:type="dxa"/>
              <w:bottom w:w="62" w:type="dxa"/>
              <w:right w:w="40" w:type="dxa"/>
            </w:tcMar>
            <w:vAlign w:val="center"/>
          </w:tcPr>
          <w:p w14:paraId="4693C81C" w14:textId="77777777" w:rsidR="00D31EA2" w:rsidRPr="00B33889" w:rsidRDefault="00D31EA2" w:rsidP="00410442">
            <w:pPr>
              <w:rPr>
                <w:rFonts w:ascii="Arial" w:eastAsia="Verdana" w:hAnsi="Arial" w:cs="Arial"/>
                <w:b/>
                <w:color w:val="FFFFFF"/>
                <w:sz w:val="18"/>
              </w:rPr>
            </w:pPr>
            <w:r>
              <w:rPr>
                <w:rFonts w:ascii="Arial" w:eastAsia="Verdana" w:hAnsi="Arial" w:cs="Arial"/>
                <w:b/>
                <w:color w:val="FFFFFF"/>
                <w:sz w:val="18"/>
              </w:rPr>
              <w:t>2019–20</w:t>
            </w:r>
          </w:p>
        </w:tc>
      </w:tr>
      <w:tr w:rsidR="00D31EA2" w:rsidRPr="00C27BC1" w14:paraId="260D23A8" w14:textId="77777777" w:rsidTr="00311585">
        <w:trPr>
          <w:trHeight w:val="240"/>
        </w:trPr>
        <w:tc>
          <w:tcPr>
            <w:tcW w:w="4437" w:type="dxa"/>
            <w:tcMar>
              <w:top w:w="40" w:type="dxa"/>
              <w:left w:w="120" w:type="dxa"/>
              <w:bottom w:w="40" w:type="dxa"/>
              <w:right w:w="40" w:type="dxa"/>
            </w:tcMar>
          </w:tcPr>
          <w:p w14:paraId="36549624" w14:textId="77777777" w:rsidR="00D31EA2" w:rsidRPr="00B33889" w:rsidRDefault="00D31EA2" w:rsidP="00410442">
            <w:pPr>
              <w:rPr>
                <w:rFonts w:ascii="Arial" w:hAnsi="Arial" w:cs="Arial"/>
              </w:rPr>
            </w:pPr>
            <w:r w:rsidRPr="00B33889">
              <w:rPr>
                <w:rFonts w:ascii="Arial" w:eastAsia="Verdana" w:hAnsi="Arial" w:cs="Arial"/>
                <w:color w:val="000000"/>
                <w:sz w:val="18"/>
              </w:rPr>
              <w:t xml:space="preserve">Total </w:t>
            </w:r>
            <w:r>
              <w:rPr>
                <w:rFonts w:ascii="Arial" w:eastAsia="Verdana" w:hAnsi="Arial" w:cs="Arial"/>
                <w:color w:val="000000"/>
                <w:sz w:val="18"/>
              </w:rPr>
              <w:t>consumers</w:t>
            </w:r>
            <w:r w:rsidRPr="00B33889">
              <w:rPr>
                <w:rFonts w:ascii="Arial" w:eastAsia="Verdana" w:hAnsi="Arial" w:cs="Arial"/>
                <w:color w:val="000000"/>
                <w:sz w:val="18"/>
              </w:rPr>
              <w:t xml:space="preserve"> accessing mental health community support services</w:t>
            </w:r>
            <w:r w:rsidRPr="00A21CA4">
              <w:rPr>
                <w:rFonts w:ascii="Arial" w:eastAsia="Verdana" w:hAnsi="Arial" w:cs="Arial"/>
                <w:color w:val="000000"/>
                <w:sz w:val="18"/>
                <w:vertAlign w:val="superscript"/>
              </w:rPr>
              <w:t>#</w:t>
            </w:r>
          </w:p>
        </w:tc>
        <w:tc>
          <w:tcPr>
            <w:tcW w:w="1006" w:type="dxa"/>
            <w:tcMar>
              <w:top w:w="43" w:type="dxa"/>
              <w:left w:w="86" w:type="dxa"/>
              <w:bottom w:w="58" w:type="dxa"/>
              <w:right w:w="43" w:type="dxa"/>
            </w:tcMar>
          </w:tcPr>
          <w:p w14:paraId="6610AA7C" w14:textId="77777777" w:rsidR="00D31EA2" w:rsidRPr="00C27BC1" w:rsidRDefault="00D31EA2" w:rsidP="00410442">
            <w:pPr>
              <w:rPr>
                <w:rFonts w:ascii="Arial" w:eastAsia="Verdana" w:hAnsi="Arial" w:cs="Arial"/>
                <w:color w:val="000000"/>
                <w:sz w:val="18"/>
              </w:rPr>
            </w:pPr>
            <w:r w:rsidRPr="00C27BC1">
              <w:rPr>
                <w:rFonts w:ascii="Arial" w:eastAsia="Verdana" w:hAnsi="Arial" w:cs="Arial"/>
                <w:color w:val="000000"/>
                <w:sz w:val="18"/>
              </w:rPr>
              <w:t>12,354</w:t>
            </w:r>
          </w:p>
        </w:tc>
        <w:tc>
          <w:tcPr>
            <w:tcW w:w="1006" w:type="dxa"/>
            <w:tcMar>
              <w:top w:w="43" w:type="dxa"/>
              <w:left w:w="86" w:type="dxa"/>
              <w:bottom w:w="58" w:type="dxa"/>
              <w:right w:w="43" w:type="dxa"/>
            </w:tcMar>
          </w:tcPr>
          <w:p w14:paraId="286934DC" w14:textId="77777777" w:rsidR="00D31EA2" w:rsidRPr="00C27BC1" w:rsidRDefault="00D31EA2" w:rsidP="00410442">
            <w:pPr>
              <w:rPr>
                <w:rFonts w:ascii="Arial" w:hAnsi="Arial" w:cs="Arial"/>
              </w:rPr>
            </w:pPr>
            <w:r w:rsidRPr="00C27BC1">
              <w:rPr>
                <w:rFonts w:ascii="Arial" w:eastAsia="Verdana" w:hAnsi="Arial" w:cs="Arial"/>
                <w:color w:val="000000"/>
                <w:sz w:val="18"/>
              </w:rPr>
              <w:t>10,051</w:t>
            </w:r>
          </w:p>
        </w:tc>
        <w:tc>
          <w:tcPr>
            <w:tcW w:w="1018" w:type="dxa"/>
            <w:shd w:val="clear" w:color="auto" w:fill="auto"/>
            <w:tcMar>
              <w:top w:w="40" w:type="dxa"/>
              <w:left w:w="80" w:type="dxa"/>
              <w:bottom w:w="60" w:type="dxa"/>
              <w:right w:w="40" w:type="dxa"/>
            </w:tcMar>
          </w:tcPr>
          <w:p w14:paraId="671D9F48" w14:textId="77777777" w:rsidR="00D31EA2" w:rsidRPr="00C27BC1" w:rsidRDefault="00D31EA2" w:rsidP="00410442">
            <w:pPr>
              <w:textAlignment w:val="top"/>
              <w:rPr>
                <w:rFonts w:ascii="Arial" w:hAnsi="Arial" w:cs="Arial"/>
                <w:color w:val="000000"/>
                <w:sz w:val="18"/>
                <w:szCs w:val="18"/>
                <w:lang w:eastAsia="en-AU"/>
              </w:rPr>
            </w:pPr>
            <w:r w:rsidRPr="00C27BC1">
              <w:rPr>
                <w:rFonts w:ascii="Arial" w:hAnsi="Arial" w:cs="Arial"/>
                <w:color w:val="000000"/>
                <w:sz w:val="18"/>
                <w:szCs w:val="18"/>
              </w:rPr>
              <w:t>8,605</w:t>
            </w:r>
          </w:p>
        </w:tc>
        <w:tc>
          <w:tcPr>
            <w:tcW w:w="1018" w:type="dxa"/>
            <w:shd w:val="clear" w:color="auto" w:fill="auto"/>
            <w:tcMar>
              <w:top w:w="40" w:type="dxa"/>
              <w:left w:w="80" w:type="dxa"/>
              <w:bottom w:w="60" w:type="dxa"/>
              <w:right w:w="40" w:type="dxa"/>
            </w:tcMar>
          </w:tcPr>
          <w:p w14:paraId="7674724E" w14:textId="77777777" w:rsidR="00D31EA2" w:rsidRPr="00C27BC1" w:rsidRDefault="00D31EA2" w:rsidP="00410442">
            <w:pPr>
              <w:textAlignment w:val="top"/>
              <w:rPr>
                <w:rFonts w:ascii="Arial" w:hAnsi="Arial" w:cs="Arial"/>
                <w:color w:val="000000"/>
                <w:sz w:val="18"/>
                <w:szCs w:val="18"/>
              </w:rPr>
            </w:pPr>
            <w:r w:rsidRPr="00C27BC1">
              <w:rPr>
                <w:rFonts w:ascii="Arial" w:hAnsi="Arial" w:cs="Arial"/>
                <w:color w:val="000000"/>
                <w:sz w:val="18"/>
                <w:szCs w:val="18"/>
              </w:rPr>
              <w:t>5,732</w:t>
            </w:r>
          </w:p>
        </w:tc>
        <w:tc>
          <w:tcPr>
            <w:tcW w:w="1019" w:type="dxa"/>
            <w:shd w:val="clear" w:color="auto" w:fill="auto"/>
            <w:tcMar>
              <w:top w:w="40" w:type="dxa"/>
              <w:left w:w="79" w:type="dxa"/>
              <w:bottom w:w="62" w:type="dxa"/>
              <w:right w:w="40" w:type="dxa"/>
            </w:tcMar>
          </w:tcPr>
          <w:p w14:paraId="6C5222C7" w14:textId="77777777" w:rsidR="00D31EA2" w:rsidRPr="00C27BC1" w:rsidRDefault="00D31EA2" w:rsidP="00410442">
            <w:pPr>
              <w:textAlignment w:val="top"/>
              <w:rPr>
                <w:rFonts w:ascii="Arial" w:hAnsi="Arial" w:cs="Arial"/>
                <w:color w:val="000000"/>
                <w:sz w:val="18"/>
                <w:szCs w:val="18"/>
              </w:rPr>
            </w:pPr>
            <w:r w:rsidRPr="00C27BC1">
              <w:rPr>
                <w:rFonts w:ascii="Arial" w:hAnsi="Arial" w:cs="Arial"/>
                <w:color w:val="000000"/>
                <w:sz w:val="18"/>
                <w:szCs w:val="18"/>
              </w:rPr>
              <w:t>5,818</w:t>
            </w:r>
          </w:p>
        </w:tc>
      </w:tr>
    </w:tbl>
    <w:p w14:paraId="26896E98" w14:textId="2F0A17E7" w:rsidR="00D31EA2" w:rsidRDefault="00D31EA2" w:rsidP="00157535">
      <w:pPr>
        <w:pStyle w:val="DHHSbodynospace"/>
      </w:pPr>
    </w:p>
    <w:tbl>
      <w:tblPr>
        <w:tblW w:w="0" w:type="auto"/>
        <w:tblBorders>
          <w:top w:val="single" w:sz="8" w:space="0" w:color="004EA8"/>
          <w:left w:val="single" w:sz="8" w:space="0" w:color="004EA8"/>
          <w:bottom w:val="single" w:sz="8" w:space="0" w:color="004EA8"/>
          <w:right w:val="single" w:sz="8" w:space="0" w:color="004EA8"/>
          <w:insideH w:val="single" w:sz="8" w:space="0" w:color="004EA8"/>
          <w:insideV w:val="single" w:sz="8" w:space="0" w:color="004EA8"/>
        </w:tblBorders>
        <w:tblCellMar>
          <w:left w:w="0" w:type="dxa"/>
          <w:right w:w="0" w:type="dxa"/>
        </w:tblCellMar>
        <w:tblLook w:val="0000" w:firstRow="0" w:lastRow="0" w:firstColumn="0" w:lastColumn="0" w:noHBand="0" w:noVBand="0"/>
      </w:tblPr>
      <w:tblGrid>
        <w:gridCol w:w="2993"/>
        <w:gridCol w:w="1455"/>
        <w:gridCol w:w="968"/>
        <w:gridCol w:w="968"/>
        <w:gridCol w:w="965"/>
        <w:gridCol w:w="964"/>
        <w:gridCol w:w="965"/>
      </w:tblGrid>
      <w:tr w:rsidR="00D31EA2" w:rsidRPr="00151F8C" w14:paraId="43CE647C" w14:textId="77777777" w:rsidTr="00157B5E">
        <w:trPr>
          <w:trHeight w:val="279"/>
          <w:tblHeader/>
        </w:trPr>
        <w:tc>
          <w:tcPr>
            <w:tcW w:w="3970" w:type="dxa"/>
            <w:shd w:val="clear" w:color="auto" w:fill="004EA8"/>
            <w:tcMar>
              <w:top w:w="40" w:type="dxa"/>
              <w:left w:w="80" w:type="dxa"/>
              <w:bottom w:w="40" w:type="dxa"/>
              <w:right w:w="40" w:type="dxa"/>
            </w:tcMar>
            <w:vAlign w:val="center"/>
          </w:tcPr>
          <w:p w14:paraId="116C547D" w14:textId="5046AF88" w:rsidR="00D31EA2" w:rsidRPr="00B33889" w:rsidRDefault="00D31EA2" w:rsidP="00410442">
            <w:pPr>
              <w:rPr>
                <w:rFonts w:ascii="Arial" w:hAnsi="Arial" w:cs="Arial"/>
              </w:rPr>
            </w:pPr>
            <w:r>
              <w:rPr>
                <w:rFonts w:ascii="Arial" w:eastAsia="Verdana" w:hAnsi="Arial" w:cs="Arial"/>
                <w:b/>
                <w:color w:val="FFFFFF"/>
                <w:sz w:val="18"/>
              </w:rPr>
              <w:t xml:space="preserve">Consumer </w:t>
            </w:r>
            <w:r w:rsidR="00F2363E">
              <w:rPr>
                <w:rFonts w:ascii="Arial" w:eastAsia="Verdana" w:hAnsi="Arial" w:cs="Arial"/>
                <w:b/>
                <w:color w:val="FFFFFF"/>
                <w:sz w:val="18"/>
              </w:rPr>
              <w:t>d</w:t>
            </w:r>
            <w:r w:rsidRPr="00B33889">
              <w:rPr>
                <w:rFonts w:ascii="Arial" w:eastAsia="Verdana" w:hAnsi="Arial" w:cs="Arial"/>
                <w:b/>
                <w:color w:val="FFFFFF"/>
                <w:sz w:val="18"/>
              </w:rPr>
              <w:t>emographics</w:t>
            </w:r>
          </w:p>
        </w:tc>
        <w:tc>
          <w:tcPr>
            <w:tcW w:w="1522" w:type="dxa"/>
            <w:shd w:val="clear" w:color="auto" w:fill="004EA8"/>
            <w:tcMar>
              <w:top w:w="40" w:type="dxa"/>
              <w:left w:w="80" w:type="dxa"/>
              <w:bottom w:w="40" w:type="dxa"/>
              <w:right w:w="40" w:type="dxa"/>
            </w:tcMar>
            <w:vAlign w:val="center"/>
          </w:tcPr>
          <w:p w14:paraId="03F1FC8E" w14:textId="03FF90D8" w:rsidR="00D31EA2" w:rsidRPr="00B33889" w:rsidRDefault="00F2363E" w:rsidP="00410442">
            <w:pPr>
              <w:rPr>
                <w:rFonts w:ascii="Arial" w:hAnsi="Arial" w:cs="Arial"/>
              </w:rPr>
            </w:pPr>
            <w:r w:rsidRPr="00095B28">
              <w:rPr>
                <w:rFonts w:ascii="Arial" w:eastAsia="Verdana" w:hAnsi="Arial" w:cs="Arial"/>
                <w:b/>
                <w:color w:val="FFFFFF"/>
                <w:sz w:val="18"/>
              </w:rPr>
              <w:t>Description</w:t>
            </w:r>
          </w:p>
        </w:tc>
        <w:tc>
          <w:tcPr>
            <w:tcW w:w="1162" w:type="dxa"/>
            <w:shd w:val="clear" w:color="auto" w:fill="004EA8"/>
            <w:vAlign w:val="center"/>
          </w:tcPr>
          <w:p w14:paraId="75728F73" w14:textId="77777777" w:rsidR="00D31EA2" w:rsidRDefault="00D31EA2" w:rsidP="00410442">
            <w:pPr>
              <w:rPr>
                <w:rFonts w:ascii="Arial" w:eastAsia="Verdana" w:hAnsi="Arial" w:cs="Arial"/>
                <w:b/>
                <w:color w:val="FFFFFF"/>
                <w:sz w:val="18"/>
              </w:rPr>
            </w:pPr>
            <w:r>
              <w:rPr>
                <w:rFonts w:ascii="Arial" w:eastAsia="Verdana" w:hAnsi="Arial" w:cs="Arial"/>
                <w:b/>
                <w:color w:val="FFFFFF"/>
                <w:sz w:val="18"/>
              </w:rPr>
              <w:t>2015–16</w:t>
            </w:r>
          </w:p>
        </w:tc>
        <w:tc>
          <w:tcPr>
            <w:tcW w:w="1162" w:type="dxa"/>
            <w:shd w:val="clear" w:color="auto" w:fill="004EA8"/>
            <w:vAlign w:val="center"/>
          </w:tcPr>
          <w:p w14:paraId="46F63400" w14:textId="77777777" w:rsidR="00D31EA2" w:rsidRPr="00B33889" w:rsidRDefault="00D31EA2" w:rsidP="00410442">
            <w:pPr>
              <w:rPr>
                <w:rFonts w:ascii="Arial" w:hAnsi="Arial" w:cs="Arial"/>
              </w:rPr>
            </w:pPr>
            <w:r>
              <w:rPr>
                <w:rFonts w:ascii="Arial" w:eastAsia="Verdana" w:hAnsi="Arial" w:cs="Arial"/>
                <w:b/>
                <w:color w:val="FFFFFF"/>
                <w:sz w:val="18"/>
              </w:rPr>
              <w:t>2016–17</w:t>
            </w:r>
          </w:p>
        </w:tc>
        <w:tc>
          <w:tcPr>
            <w:tcW w:w="1163" w:type="dxa"/>
            <w:shd w:val="clear" w:color="auto" w:fill="004EA8"/>
            <w:tcMar>
              <w:top w:w="40" w:type="dxa"/>
              <w:left w:w="80" w:type="dxa"/>
              <w:bottom w:w="60" w:type="dxa"/>
              <w:right w:w="40" w:type="dxa"/>
            </w:tcMar>
            <w:vAlign w:val="center"/>
          </w:tcPr>
          <w:p w14:paraId="6E35BC57" w14:textId="77777777" w:rsidR="00D31EA2" w:rsidRPr="00B33889" w:rsidRDefault="00D31EA2" w:rsidP="00410442">
            <w:pPr>
              <w:rPr>
                <w:rFonts w:ascii="Arial" w:hAnsi="Arial" w:cs="Arial"/>
              </w:rPr>
            </w:pPr>
            <w:r>
              <w:rPr>
                <w:rFonts w:ascii="Arial" w:eastAsia="Verdana" w:hAnsi="Arial" w:cs="Arial"/>
                <w:b/>
                <w:color w:val="FFFFFF"/>
                <w:sz w:val="18"/>
              </w:rPr>
              <w:t>2017–18</w:t>
            </w:r>
          </w:p>
        </w:tc>
        <w:tc>
          <w:tcPr>
            <w:tcW w:w="1162" w:type="dxa"/>
            <w:shd w:val="clear" w:color="auto" w:fill="004EA8"/>
            <w:tcMar>
              <w:top w:w="40" w:type="dxa"/>
              <w:left w:w="80" w:type="dxa"/>
              <w:bottom w:w="60" w:type="dxa"/>
              <w:right w:w="40" w:type="dxa"/>
            </w:tcMar>
            <w:vAlign w:val="center"/>
          </w:tcPr>
          <w:p w14:paraId="1E87355E" w14:textId="77777777" w:rsidR="00D31EA2" w:rsidRPr="00B33889" w:rsidRDefault="00D31EA2" w:rsidP="00410442">
            <w:pPr>
              <w:rPr>
                <w:rFonts w:ascii="Arial" w:hAnsi="Arial" w:cs="Arial"/>
              </w:rPr>
            </w:pPr>
            <w:r>
              <w:rPr>
                <w:rFonts w:ascii="Arial" w:eastAsia="Verdana" w:hAnsi="Arial" w:cs="Arial"/>
                <w:b/>
                <w:color w:val="FFFFFF"/>
                <w:sz w:val="18"/>
              </w:rPr>
              <w:t>2018–19</w:t>
            </w:r>
          </w:p>
        </w:tc>
        <w:tc>
          <w:tcPr>
            <w:tcW w:w="1163" w:type="dxa"/>
            <w:shd w:val="clear" w:color="auto" w:fill="004EA8"/>
            <w:tcMar>
              <w:top w:w="40" w:type="dxa"/>
              <w:left w:w="80" w:type="dxa"/>
              <w:bottom w:w="60" w:type="dxa"/>
              <w:right w:w="40" w:type="dxa"/>
            </w:tcMar>
            <w:vAlign w:val="center"/>
          </w:tcPr>
          <w:p w14:paraId="44171005" w14:textId="77777777" w:rsidR="00D31EA2" w:rsidRPr="00151F8C" w:rsidRDefault="00D31EA2" w:rsidP="00410442">
            <w:pPr>
              <w:rPr>
                <w:rFonts w:ascii="Arial" w:hAnsi="Arial" w:cs="Arial"/>
                <w:b/>
                <w:bCs/>
                <w:color w:val="FFFFFF"/>
                <w:sz w:val="18"/>
                <w:szCs w:val="18"/>
              </w:rPr>
            </w:pPr>
            <w:r>
              <w:rPr>
                <w:rFonts w:ascii="Arial" w:hAnsi="Arial" w:cs="Arial"/>
                <w:b/>
                <w:bCs/>
                <w:color w:val="FFFFFF"/>
                <w:sz w:val="18"/>
                <w:szCs w:val="18"/>
              </w:rPr>
              <w:t>2019–20</w:t>
            </w:r>
          </w:p>
        </w:tc>
      </w:tr>
      <w:tr w:rsidR="00D31EA2" w14:paraId="44F7A770" w14:textId="77777777" w:rsidTr="00311585">
        <w:trPr>
          <w:trHeight w:val="240"/>
        </w:trPr>
        <w:tc>
          <w:tcPr>
            <w:tcW w:w="3970" w:type="dxa"/>
            <w:vMerge w:val="restart"/>
            <w:tcMar>
              <w:top w:w="40" w:type="dxa"/>
              <w:left w:w="120" w:type="dxa"/>
              <w:bottom w:w="40" w:type="dxa"/>
              <w:right w:w="40" w:type="dxa"/>
            </w:tcMar>
          </w:tcPr>
          <w:p w14:paraId="5FF1CCA0"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Gender (%)</w:t>
            </w:r>
          </w:p>
        </w:tc>
        <w:tc>
          <w:tcPr>
            <w:tcW w:w="1522" w:type="dxa"/>
            <w:shd w:val="clear" w:color="auto" w:fill="auto"/>
            <w:tcMar>
              <w:top w:w="40" w:type="dxa"/>
              <w:left w:w="80" w:type="dxa"/>
              <w:bottom w:w="40" w:type="dxa"/>
              <w:right w:w="40" w:type="dxa"/>
            </w:tcMar>
          </w:tcPr>
          <w:p w14:paraId="5A43FF53" w14:textId="77777777" w:rsidR="00D31EA2" w:rsidRPr="00EE2B3B" w:rsidRDefault="00D31EA2" w:rsidP="00410442">
            <w:pPr>
              <w:rPr>
                <w:rFonts w:ascii="Arial" w:hAnsi="Arial" w:cs="Arial"/>
                <w:sz w:val="18"/>
                <w:szCs w:val="18"/>
              </w:rPr>
            </w:pPr>
            <w:r w:rsidRPr="00EE2B3B">
              <w:rPr>
                <w:rFonts w:ascii="Arial" w:hAnsi="Arial" w:cs="Arial"/>
                <w:sz w:val="18"/>
                <w:szCs w:val="18"/>
              </w:rPr>
              <w:t>Female</w:t>
            </w:r>
          </w:p>
        </w:tc>
        <w:tc>
          <w:tcPr>
            <w:tcW w:w="1162" w:type="dxa"/>
            <w:tcMar>
              <w:top w:w="43" w:type="dxa"/>
              <w:left w:w="86" w:type="dxa"/>
              <w:bottom w:w="58" w:type="dxa"/>
              <w:right w:w="43" w:type="dxa"/>
            </w:tcMar>
          </w:tcPr>
          <w:p w14:paraId="7DA6EDE3" w14:textId="77777777" w:rsidR="00D31EA2" w:rsidRPr="00EE2B3B" w:rsidRDefault="00D31EA2" w:rsidP="00410442">
            <w:pPr>
              <w:rPr>
                <w:rFonts w:ascii="Arial" w:hAnsi="Arial" w:cs="Arial"/>
                <w:sz w:val="18"/>
                <w:szCs w:val="18"/>
              </w:rPr>
            </w:pPr>
            <w:r>
              <w:rPr>
                <w:rFonts w:ascii="Arial" w:hAnsi="Arial" w:cs="Arial"/>
                <w:sz w:val="18"/>
                <w:szCs w:val="18"/>
              </w:rPr>
              <w:t>55.4%</w:t>
            </w:r>
          </w:p>
        </w:tc>
        <w:tc>
          <w:tcPr>
            <w:tcW w:w="1162" w:type="dxa"/>
            <w:tcMar>
              <w:top w:w="43" w:type="dxa"/>
              <w:left w:w="86" w:type="dxa"/>
              <w:bottom w:w="58" w:type="dxa"/>
              <w:right w:w="43" w:type="dxa"/>
            </w:tcMar>
          </w:tcPr>
          <w:p w14:paraId="08011C66" w14:textId="77777777" w:rsidR="00D31EA2" w:rsidRPr="00EE2B3B" w:rsidRDefault="00D31EA2" w:rsidP="00410442">
            <w:pPr>
              <w:rPr>
                <w:rFonts w:ascii="Arial" w:hAnsi="Arial" w:cs="Arial"/>
                <w:sz w:val="18"/>
                <w:szCs w:val="18"/>
              </w:rPr>
            </w:pPr>
            <w:r w:rsidRPr="00EE2B3B">
              <w:rPr>
                <w:rFonts w:ascii="Arial" w:hAnsi="Arial" w:cs="Arial"/>
                <w:sz w:val="18"/>
                <w:szCs w:val="18"/>
              </w:rPr>
              <w:t>56.2</w:t>
            </w:r>
            <w:r>
              <w:rPr>
                <w:rFonts w:ascii="Arial" w:hAnsi="Arial" w:cs="Arial"/>
                <w:sz w:val="18"/>
                <w:szCs w:val="18"/>
              </w:rPr>
              <w:t>%</w:t>
            </w:r>
          </w:p>
        </w:tc>
        <w:tc>
          <w:tcPr>
            <w:tcW w:w="1163" w:type="dxa"/>
            <w:shd w:val="clear" w:color="auto" w:fill="auto"/>
            <w:tcMar>
              <w:top w:w="40" w:type="dxa"/>
              <w:left w:w="80" w:type="dxa"/>
              <w:bottom w:w="60" w:type="dxa"/>
              <w:right w:w="40" w:type="dxa"/>
            </w:tcMar>
          </w:tcPr>
          <w:p w14:paraId="2DAB1D25" w14:textId="77777777" w:rsidR="00D31EA2" w:rsidRDefault="00D31EA2" w:rsidP="00410442">
            <w:pPr>
              <w:rPr>
                <w:rFonts w:ascii="Arial" w:hAnsi="Arial" w:cs="Arial"/>
                <w:color w:val="000000"/>
                <w:sz w:val="18"/>
                <w:szCs w:val="18"/>
                <w:lang w:eastAsia="en-AU"/>
              </w:rPr>
            </w:pPr>
            <w:r>
              <w:rPr>
                <w:rFonts w:ascii="Arial" w:hAnsi="Arial" w:cs="Arial"/>
                <w:color w:val="000000"/>
                <w:sz w:val="18"/>
                <w:szCs w:val="18"/>
              </w:rPr>
              <w:t>57.3%</w:t>
            </w:r>
          </w:p>
        </w:tc>
        <w:tc>
          <w:tcPr>
            <w:tcW w:w="1162" w:type="dxa"/>
            <w:shd w:val="clear" w:color="auto" w:fill="auto"/>
            <w:tcMar>
              <w:top w:w="40" w:type="dxa"/>
              <w:left w:w="80" w:type="dxa"/>
              <w:bottom w:w="60" w:type="dxa"/>
              <w:right w:w="40" w:type="dxa"/>
            </w:tcMar>
          </w:tcPr>
          <w:p w14:paraId="1889CEBD" w14:textId="77777777" w:rsidR="00D31EA2" w:rsidRDefault="00D31EA2" w:rsidP="00410442">
            <w:pPr>
              <w:rPr>
                <w:rFonts w:ascii="Arial" w:hAnsi="Arial" w:cs="Arial"/>
                <w:color w:val="000000"/>
                <w:sz w:val="18"/>
                <w:szCs w:val="18"/>
              </w:rPr>
            </w:pPr>
            <w:r>
              <w:rPr>
                <w:rFonts w:ascii="Arial" w:hAnsi="Arial" w:cs="Arial"/>
                <w:color w:val="000000"/>
                <w:sz w:val="18"/>
                <w:szCs w:val="18"/>
              </w:rPr>
              <w:t>57.3%</w:t>
            </w:r>
          </w:p>
        </w:tc>
        <w:tc>
          <w:tcPr>
            <w:tcW w:w="1163" w:type="dxa"/>
            <w:shd w:val="clear" w:color="auto" w:fill="auto"/>
            <w:tcMar>
              <w:top w:w="40" w:type="dxa"/>
              <w:left w:w="80" w:type="dxa"/>
              <w:bottom w:w="60" w:type="dxa"/>
              <w:right w:w="40" w:type="dxa"/>
            </w:tcMar>
          </w:tcPr>
          <w:p w14:paraId="79CCE845" w14:textId="77777777" w:rsidR="00D31EA2" w:rsidRDefault="00D31EA2" w:rsidP="00410442">
            <w:pPr>
              <w:rPr>
                <w:rFonts w:ascii="Arial" w:hAnsi="Arial" w:cs="Arial"/>
                <w:color w:val="000000"/>
                <w:sz w:val="18"/>
                <w:szCs w:val="18"/>
              </w:rPr>
            </w:pPr>
            <w:r>
              <w:rPr>
                <w:rFonts w:ascii="Arial" w:hAnsi="Arial" w:cs="Arial"/>
                <w:color w:val="000000"/>
                <w:sz w:val="18"/>
                <w:szCs w:val="18"/>
              </w:rPr>
              <w:t>54.3%</w:t>
            </w:r>
          </w:p>
        </w:tc>
      </w:tr>
      <w:tr w:rsidR="00D31EA2" w14:paraId="6D205BF6" w14:textId="77777777" w:rsidTr="00311585">
        <w:trPr>
          <w:trHeight w:val="240"/>
        </w:trPr>
        <w:tc>
          <w:tcPr>
            <w:tcW w:w="3970" w:type="dxa"/>
            <w:vMerge/>
            <w:tcMar>
              <w:top w:w="40" w:type="dxa"/>
              <w:left w:w="120" w:type="dxa"/>
              <w:bottom w:w="40" w:type="dxa"/>
              <w:right w:w="40" w:type="dxa"/>
            </w:tcMar>
          </w:tcPr>
          <w:p w14:paraId="6BDF3DA4" w14:textId="77777777" w:rsidR="00D31EA2" w:rsidRPr="00AA148D" w:rsidRDefault="00D31EA2" w:rsidP="00410442">
            <w:pPr>
              <w:rPr>
                <w:rFonts w:ascii="Arial" w:hAnsi="Arial" w:cs="Arial"/>
                <w:sz w:val="18"/>
                <w:szCs w:val="18"/>
              </w:rPr>
            </w:pPr>
          </w:p>
        </w:tc>
        <w:tc>
          <w:tcPr>
            <w:tcW w:w="1522" w:type="dxa"/>
            <w:shd w:val="clear" w:color="auto" w:fill="auto"/>
            <w:tcMar>
              <w:top w:w="40" w:type="dxa"/>
              <w:left w:w="80" w:type="dxa"/>
              <w:bottom w:w="40" w:type="dxa"/>
              <w:right w:w="40" w:type="dxa"/>
            </w:tcMar>
          </w:tcPr>
          <w:p w14:paraId="6E4CA121" w14:textId="77777777" w:rsidR="00D31EA2" w:rsidRPr="00EE2B3B" w:rsidRDefault="00D31EA2" w:rsidP="00410442">
            <w:pPr>
              <w:rPr>
                <w:rFonts w:ascii="Arial" w:hAnsi="Arial" w:cs="Arial"/>
                <w:sz w:val="18"/>
                <w:szCs w:val="18"/>
              </w:rPr>
            </w:pPr>
            <w:r w:rsidRPr="00EE2B3B">
              <w:rPr>
                <w:rFonts w:ascii="Arial" w:hAnsi="Arial" w:cs="Arial"/>
                <w:sz w:val="18"/>
                <w:szCs w:val="18"/>
              </w:rPr>
              <w:t>Male</w:t>
            </w:r>
          </w:p>
        </w:tc>
        <w:tc>
          <w:tcPr>
            <w:tcW w:w="1162" w:type="dxa"/>
            <w:tcMar>
              <w:top w:w="43" w:type="dxa"/>
              <w:left w:w="86" w:type="dxa"/>
              <w:bottom w:w="58" w:type="dxa"/>
              <w:right w:w="43" w:type="dxa"/>
            </w:tcMar>
          </w:tcPr>
          <w:p w14:paraId="0CCE6634" w14:textId="77777777" w:rsidR="00D31EA2" w:rsidRPr="00EE2B3B" w:rsidRDefault="00D31EA2" w:rsidP="00410442">
            <w:pPr>
              <w:rPr>
                <w:rFonts w:ascii="Arial" w:hAnsi="Arial" w:cs="Arial"/>
                <w:sz w:val="18"/>
                <w:szCs w:val="18"/>
              </w:rPr>
            </w:pPr>
            <w:r>
              <w:rPr>
                <w:rFonts w:ascii="Arial" w:hAnsi="Arial" w:cs="Arial"/>
                <w:sz w:val="18"/>
                <w:szCs w:val="18"/>
              </w:rPr>
              <w:t>44.0%</w:t>
            </w:r>
          </w:p>
        </w:tc>
        <w:tc>
          <w:tcPr>
            <w:tcW w:w="1162" w:type="dxa"/>
            <w:tcMar>
              <w:top w:w="43" w:type="dxa"/>
              <w:left w:w="86" w:type="dxa"/>
              <w:bottom w:w="58" w:type="dxa"/>
              <w:right w:w="43" w:type="dxa"/>
            </w:tcMar>
          </w:tcPr>
          <w:p w14:paraId="65338C11" w14:textId="77777777" w:rsidR="00D31EA2" w:rsidRPr="00EE2B3B" w:rsidRDefault="00D31EA2" w:rsidP="00410442">
            <w:pPr>
              <w:rPr>
                <w:rFonts w:ascii="Arial" w:hAnsi="Arial" w:cs="Arial"/>
                <w:sz w:val="18"/>
                <w:szCs w:val="18"/>
              </w:rPr>
            </w:pPr>
            <w:r w:rsidRPr="00EE2B3B">
              <w:rPr>
                <w:rFonts w:ascii="Arial" w:hAnsi="Arial" w:cs="Arial"/>
                <w:sz w:val="18"/>
                <w:szCs w:val="18"/>
              </w:rPr>
              <w:t>43.2</w:t>
            </w:r>
            <w:r>
              <w:rPr>
                <w:rFonts w:ascii="Arial" w:hAnsi="Arial" w:cs="Arial"/>
                <w:sz w:val="18"/>
                <w:szCs w:val="18"/>
              </w:rPr>
              <w:t>%</w:t>
            </w:r>
          </w:p>
        </w:tc>
        <w:tc>
          <w:tcPr>
            <w:tcW w:w="1163" w:type="dxa"/>
            <w:shd w:val="clear" w:color="auto" w:fill="auto"/>
            <w:tcMar>
              <w:top w:w="40" w:type="dxa"/>
              <w:left w:w="80" w:type="dxa"/>
              <w:bottom w:w="60" w:type="dxa"/>
              <w:right w:w="40" w:type="dxa"/>
            </w:tcMar>
          </w:tcPr>
          <w:p w14:paraId="05914457" w14:textId="77777777" w:rsidR="00D31EA2" w:rsidRDefault="00D31EA2" w:rsidP="00410442">
            <w:pPr>
              <w:rPr>
                <w:rFonts w:ascii="Arial" w:hAnsi="Arial" w:cs="Arial"/>
                <w:color w:val="000000"/>
                <w:sz w:val="18"/>
                <w:szCs w:val="18"/>
              </w:rPr>
            </w:pPr>
            <w:r>
              <w:rPr>
                <w:rFonts w:ascii="Arial" w:hAnsi="Arial" w:cs="Arial"/>
                <w:color w:val="000000"/>
                <w:sz w:val="18"/>
                <w:szCs w:val="18"/>
              </w:rPr>
              <w:t>41.9%</w:t>
            </w:r>
          </w:p>
        </w:tc>
        <w:tc>
          <w:tcPr>
            <w:tcW w:w="1162" w:type="dxa"/>
            <w:shd w:val="clear" w:color="auto" w:fill="auto"/>
            <w:tcMar>
              <w:top w:w="40" w:type="dxa"/>
              <w:left w:w="80" w:type="dxa"/>
              <w:bottom w:w="60" w:type="dxa"/>
              <w:right w:w="40" w:type="dxa"/>
            </w:tcMar>
          </w:tcPr>
          <w:p w14:paraId="30F7811E" w14:textId="77777777" w:rsidR="00D31EA2" w:rsidRDefault="00D31EA2" w:rsidP="00410442">
            <w:pPr>
              <w:rPr>
                <w:rFonts w:ascii="Arial" w:hAnsi="Arial" w:cs="Arial"/>
                <w:color w:val="000000"/>
                <w:sz w:val="18"/>
                <w:szCs w:val="18"/>
              </w:rPr>
            </w:pPr>
            <w:r>
              <w:rPr>
                <w:rFonts w:ascii="Arial" w:hAnsi="Arial" w:cs="Arial"/>
                <w:color w:val="000000"/>
                <w:sz w:val="18"/>
                <w:szCs w:val="18"/>
              </w:rPr>
              <w:t>41.8%</w:t>
            </w:r>
          </w:p>
        </w:tc>
        <w:tc>
          <w:tcPr>
            <w:tcW w:w="1163" w:type="dxa"/>
            <w:shd w:val="clear" w:color="auto" w:fill="auto"/>
            <w:tcMar>
              <w:top w:w="40" w:type="dxa"/>
              <w:left w:w="80" w:type="dxa"/>
              <w:bottom w:w="60" w:type="dxa"/>
              <w:right w:w="40" w:type="dxa"/>
            </w:tcMar>
          </w:tcPr>
          <w:p w14:paraId="222128A1" w14:textId="77777777" w:rsidR="00D31EA2" w:rsidRDefault="00D31EA2" w:rsidP="00410442">
            <w:pPr>
              <w:rPr>
                <w:rFonts w:ascii="Arial" w:hAnsi="Arial" w:cs="Arial"/>
                <w:color w:val="000000"/>
                <w:sz w:val="18"/>
                <w:szCs w:val="18"/>
              </w:rPr>
            </w:pPr>
            <w:r>
              <w:rPr>
                <w:rFonts w:ascii="Arial" w:hAnsi="Arial" w:cs="Arial"/>
                <w:color w:val="000000"/>
                <w:sz w:val="18"/>
                <w:szCs w:val="18"/>
              </w:rPr>
              <w:t>44.2%</w:t>
            </w:r>
          </w:p>
        </w:tc>
      </w:tr>
      <w:tr w:rsidR="00D31EA2" w14:paraId="35058313" w14:textId="77777777" w:rsidTr="00311585">
        <w:trPr>
          <w:trHeight w:val="240"/>
        </w:trPr>
        <w:tc>
          <w:tcPr>
            <w:tcW w:w="3970" w:type="dxa"/>
            <w:vMerge/>
            <w:tcMar>
              <w:top w:w="40" w:type="dxa"/>
              <w:left w:w="120" w:type="dxa"/>
              <w:bottom w:w="40" w:type="dxa"/>
              <w:right w:w="40" w:type="dxa"/>
            </w:tcMar>
          </w:tcPr>
          <w:p w14:paraId="0D74E468" w14:textId="77777777" w:rsidR="00D31EA2" w:rsidRPr="00AA148D" w:rsidRDefault="00D31EA2" w:rsidP="00410442">
            <w:pPr>
              <w:rPr>
                <w:rFonts w:ascii="Arial" w:hAnsi="Arial" w:cs="Arial"/>
                <w:sz w:val="18"/>
                <w:szCs w:val="18"/>
              </w:rPr>
            </w:pPr>
          </w:p>
        </w:tc>
        <w:tc>
          <w:tcPr>
            <w:tcW w:w="1522" w:type="dxa"/>
            <w:shd w:val="clear" w:color="auto" w:fill="auto"/>
            <w:tcMar>
              <w:top w:w="40" w:type="dxa"/>
              <w:left w:w="80" w:type="dxa"/>
              <w:bottom w:w="40" w:type="dxa"/>
              <w:right w:w="40" w:type="dxa"/>
            </w:tcMar>
          </w:tcPr>
          <w:p w14:paraId="586B1CF5" w14:textId="77777777" w:rsidR="00D31EA2" w:rsidRPr="00EE2B3B" w:rsidRDefault="00D31EA2" w:rsidP="00410442">
            <w:pPr>
              <w:rPr>
                <w:rFonts w:ascii="Arial" w:hAnsi="Arial" w:cs="Arial"/>
                <w:sz w:val="18"/>
                <w:szCs w:val="18"/>
              </w:rPr>
            </w:pPr>
            <w:r w:rsidRPr="00EE2B3B">
              <w:rPr>
                <w:rFonts w:ascii="Arial" w:hAnsi="Arial" w:cs="Arial"/>
                <w:sz w:val="18"/>
                <w:szCs w:val="18"/>
              </w:rPr>
              <w:t>Other/unknown</w:t>
            </w:r>
          </w:p>
        </w:tc>
        <w:tc>
          <w:tcPr>
            <w:tcW w:w="1162" w:type="dxa"/>
            <w:tcMar>
              <w:top w:w="43" w:type="dxa"/>
              <w:left w:w="86" w:type="dxa"/>
              <w:bottom w:w="58" w:type="dxa"/>
              <w:right w:w="43" w:type="dxa"/>
            </w:tcMar>
          </w:tcPr>
          <w:p w14:paraId="2042BF2B" w14:textId="77777777" w:rsidR="00D31EA2" w:rsidRPr="00EE2B3B" w:rsidRDefault="00D31EA2" w:rsidP="00410442">
            <w:pPr>
              <w:rPr>
                <w:rFonts w:ascii="Arial" w:hAnsi="Arial" w:cs="Arial"/>
                <w:sz w:val="18"/>
                <w:szCs w:val="18"/>
              </w:rPr>
            </w:pPr>
            <w:r>
              <w:rPr>
                <w:rFonts w:ascii="Arial" w:hAnsi="Arial" w:cs="Arial"/>
                <w:sz w:val="18"/>
                <w:szCs w:val="18"/>
              </w:rPr>
              <w:t>0.6%</w:t>
            </w:r>
          </w:p>
        </w:tc>
        <w:tc>
          <w:tcPr>
            <w:tcW w:w="1162" w:type="dxa"/>
            <w:tcMar>
              <w:top w:w="43" w:type="dxa"/>
              <w:left w:w="86" w:type="dxa"/>
              <w:bottom w:w="58" w:type="dxa"/>
              <w:right w:w="43" w:type="dxa"/>
            </w:tcMar>
          </w:tcPr>
          <w:p w14:paraId="3BAC9822" w14:textId="77777777" w:rsidR="00D31EA2" w:rsidRPr="00EE2B3B" w:rsidRDefault="00D31EA2" w:rsidP="00410442">
            <w:pPr>
              <w:rPr>
                <w:rFonts w:ascii="Arial" w:hAnsi="Arial" w:cs="Arial"/>
                <w:sz w:val="18"/>
                <w:szCs w:val="18"/>
              </w:rPr>
            </w:pPr>
            <w:r w:rsidRPr="00EE2B3B">
              <w:rPr>
                <w:rFonts w:ascii="Arial" w:hAnsi="Arial" w:cs="Arial"/>
                <w:sz w:val="18"/>
                <w:szCs w:val="18"/>
              </w:rPr>
              <w:t>0.6</w:t>
            </w:r>
            <w:r>
              <w:rPr>
                <w:rFonts w:ascii="Arial" w:hAnsi="Arial" w:cs="Arial"/>
                <w:sz w:val="18"/>
                <w:szCs w:val="18"/>
              </w:rPr>
              <w:t>%</w:t>
            </w:r>
          </w:p>
        </w:tc>
        <w:tc>
          <w:tcPr>
            <w:tcW w:w="1163" w:type="dxa"/>
            <w:shd w:val="clear" w:color="auto" w:fill="auto"/>
            <w:tcMar>
              <w:top w:w="40" w:type="dxa"/>
              <w:left w:w="80" w:type="dxa"/>
              <w:bottom w:w="60" w:type="dxa"/>
              <w:right w:w="40" w:type="dxa"/>
            </w:tcMar>
          </w:tcPr>
          <w:p w14:paraId="67551D13" w14:textId="77777777" w:rsidR="00D31EA2" w:rsidRDefault="00D31EA2" w:rsidP="00410442">
            <w:pPr>
              <w:rPr>
                <w:rFonts w:ascii="Arial" w:hAnsi="Arial" w:cs="Arial"/>
                <w:color w:val="000000"/>
                <w:sz w:val="18"/>
                <w:szCs w:val="18"/>
              </w:rPr>
            </w:pPr>
            <w:r>
              <w:rPr>
                <w:rFonts w:ascii="Arial" w:hAnsi="Arial" w:cs="Arial"/>
                <w:color w:val="000000"/>
                <w:sz w:val="18"/>
                <w:szCs w:val="18"/>
              </w:rPr>
              <w:t>0.7%</w:t>
            </w:r>
          </w:p>
        </w:tc>
        <w:tc>
          <w:tcPr>
            <w:tcW w:w="1162" w:type="dxa"/>
            <w:shd w:val="clear" w:color="auto" w:fill="auto"/>
            <w:tcMar>
              <w:top w:w="40" w:type="dxa"/>
              <w:left w:w="80" w:type="dxa"/>
              <w:bottom w:w="60" w:type="dxa"/>
              <w:right w:w="40" w:type="dxa"/>
            </w:tcMar>
          </w:tcPr>
          <w:p w14:paraId="4749621B" w14:textId="77777777" w:rsidR="00D31EA2" w:rsidRDefault="00D31EA2" w:rsidP="00410442">
            <w:pPr>
              <w:rPr>
                <w:rFonts w:ascii="Arial" w:hAnsi="Arial" w:cs="Arial"/>
                <w:color w:val="000000"/>
                <w:sz w:val="18"/>
                <w:szCs w:val="18"/>
              </w:rPr>
            </w:pPr>
            <w:r>
              <w:rPr>
                <w:rFonts w:ascii="Arial" w:hAnsi="Arial" w:cs="Arial"/>
                <w:color w:val="000000"/>
                <w:sz w:val="18"/>
                <w:szCs w:val="18"/>
              </w:rPr>
              <w:t>0.8%</w:t>
            </w:r>
          </w:p>
        </w:tc>
        <w:tc>
          <w:tcPr>
            <w:tcW w:w="1163" w:type="dxa"/>
            <w:shd w:val="clear" w:color="auto" w:fill="auto"/>
            <w:tcMar>
              <w:top w:w="40" w:type="dxa"/>
              <w:left w:w="80" w:type="dxa"/>
              <w:bottom w:w="60" w:type="dxa"/>
              <w:right w:w="40" w:type="dxa"/>
            </w:tcMar>
          </w:tcPr>
          <w:p w14:paraId="6545777A" w14:textId="77777777" w:rsidR="00D31EA2" w:rsidRDefault="00D31EA2" w:rsidP="00410442">
            <w:pPr>
              <w:rPr>
                <w:rFonts w:ascii="Arial" w:hAnsi="Arial" w:cs="Arial"/>
                <w:color w:val="000000"/>
                <w:sz w:val="18"/>
                <w:szCs w:val="18"/>
              </w:rPr>
            </w:pPr>
            <w:r>
              <w:rPr>
                <w:rFonts w:ascii="Arial" w:hAnsi="Arial" w:cs="Arial"/>
                <w:color w:val="000000"/>
                <w:sz w:val="18"/>
                <w:szCs w:val="18"/>
              </w:rPr>
              <w:t>1.5%</w:t>
            </w:r>
          </w:p>
        </w:tc>
      </w:tr>
      <w:tr w:rsidR="00D31EA2" w14:paraId="4EE428E9" w14:textId="77777777" w:rsidTr="00311585">
        <w:trPr>
          <w:trHeight w:val="240"/>
        </w:trPr>
        <w:tc>
          <w:tcPr>
            <w:tcW w:w="3970" w:type="dxa"/>
            <w:vMerge w:val="restart"/>
            <w:tcMar>
              <w:top w:w="40" w:type="dxa"/>
              <w:left w:w="120" w:type="dxa"/>
              <w:bottom w:w="40" w:type="dxa"/>
              <w:right w:w="40" w:type="dxa"/>
            </w:tcMar>
          </w:tcPr>
          <w:p w14:paraId="2F823E21"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Age group (%)</w:t>
            </w:r>
          </w:p>
        </w:tc>
        <w:tc>
          <w:tcPr>
            <w:tcW w:w="1522" w:type="dxa"/>
            <w:shd w:val="clear" w:color="auto" w:fill="auto"/>
            <w:tcMar>
              <w:top w:w="40" w:type="dxa"/>
              <w:left w:w="80" w:type="dxa"/>
              <w:bottom w:w="40" w:type="dxa"/>
              <w:right w:w="40" w:type="dxa"/>
            </w:tcMar>
          </w:tcPr>
          <w:p w14:paraId="329643BE" w14:textId="6C0CD2CB" w:rsidR="00D31EA2" w:rsidRPr="00EE2B3B" w:rsidRDefault="00D31EA2" w:rsidP="00410442">
            <w:pPr>
              <w:rPr>
                <w:rFonts w:ascii="Arial" w:hAnsi="Arial" w:cs="Arial"/>
                <w:sz w:val="18"/>
                <w:szCs w:val="18"/>
              </w:rPr>
            </w:pPr>
            <w:r w:rsidRPr="00EE2B3B">
              <w:rPr>
                <w:rFonts w:ascii="Arial" w:hAnsi="Arial" w:cs="Arial"/>
                <w:sz w:val="18"/>
                <w:szCs w:val="18"/>
              </w:rPr>
              <w:t>0</w:t>
            </w:r>
            <w:r w:rsidR="000A5AD9">
              <w:rPr>
                <w:rFonts w:ascii="Arial" w:hAnsi="Arial" w:cs="Arial"/>
                <w:sz w:val="18"/>
                <w:szCs w:val="18"/>
              </w:rPr>
              <w:t>–</w:t>
            </w:r>
            <w:r w:rsidRPr="00EE2B3B">
              <w:rPr>
                <w:rFonts w:ascii="Arial" w:hAnsi="Arial" w:cs="Arial"/>
                <w:sz w:val="18"/>
                <w:szCs w:val="18"/>
              </w:rPr>
              <w:t>4</w:t>
            </w:r>
          </w:p>
        </w:tc>
        <w:tc>
          <w:tcPr>
            <w:tcW w:w="1162" w:type="dxa"/>
            <w:tcMar>
              <w:top w:w="43" w:type="dxa"/>
              <w:left w:w="86" w:type="dxa"/>
              <w:bottom w:w="58" w:type="dxa"/>
              <w:right w:w="43" w:type="dxa"/>
            </w:tcMar>
          </w:tcPr>
          <w:p w14:paraId="49B19C00" w14:textId="77777777" w:rsidR="00D31EA2" w:rsidRPr="00EE2B3B" w:rsidRDefault="00D31EA2" w:rsidP="00410442">
            <w:pPr>
              <w:rPr>
                <w:rFonts w:ascii="Arial" w:hAnsi="Arial" w:cs="Arial"/>
                <w:sz w:val="18"/>
                <w:szCs w:val="18"/>
              </w:rPr>
            </w:pPr>
            <w:r>
              <w:rPr>
                <w:rFonts w:ascii="Arial" w:hAnsi="Arial" w:cs="Arial"/>
                <w:sz w:val="18"/>
                <w:szCs w:val="18"/>
              </w:rPr>
              <w:t>0.3%</w:t>
            </w:r>
          </w:p>
        </w:tc>
        <w:tc>
          <w:tcPr>
            <w:tcW w:w="1162" w:type="dxa"/>
            <w:tcMar>
              <w:top w:w="43" w:type="dxa"/>
              <w:left w:w="86" w:type="dxa"/>
              <w:bottom w:w="58" w:type="dxa"/>
              <w:right w:w="43" w:type="dxa"/>
            </w:tcMar>
          </w:tcPr>
          <w:p w14:paraId="3DBA8CE2" w14:textId="77777777" w:rsidR="00D31EA2" w:rsidRPr="00EE2B3B" w:rsidRDefault="00D31EA2" w:rsidP="00410442">
            <w:pPr>
              <w:rPr>
                <w:rFonts w:ascii="Arial" w:hAnsi="Arial" w:cs="Arial"/>
                <w:sz w:val="18"/>
                <w:szCs w:val="18"/>
              </w:rPr>
            </w:pPr>
            <w:r w:rsidRPr="00EE2B3B">
              <w:rPr>
                <w:rFonts w:ascii="Arial" w:hAnsi="Arial" w:cs="Arial"/>
                <w:sz w:val="18"/>
                <w:szCs w:val="18"/>
              </w:rPr>
              <w:t>0.3</w:t>
            </w:r>
            <w:r>
              <w:rPr>
                <w:rFonts w:ascii="Arial" w:hAnsi="Arial" w:cs="Arial"/>
                <w:sz w:val="18"/>
                <w:szCs w:val="18"/>
              </w:rPr>
              <w:t>%</w:t>
            </w:r>
          </w:p>
        </w:tc>
        <w:tc>
          <w:tcPr>
            <w:tcW w:w="1163" w:type="dxa"/>
            <w:shd w:val="clear" w:color="auto" w:fill="auto"/>
            <w:tcMar>
              <w:top w:w="40" w:type="dxa"/>
              <w:left w:w="80" w:type="dxa"/>
              <w:bottom w:w="60" w:type="dxa"/>
              <w:right w:w="40" w:type="dxa"/>
            </w:tcMar>
          </w:tcPr>
          <w:p w14:paraId="38BB8E9F" w14:textId="77777777" w:rsidR="00D31EA2" w:rsidRDefault="00D31EA2" w:rsidP="00410442">
            <w:pPr>
              <w:rPr>
                <w:rFonts w:ascii="Arial" w:hAnsi="Arial" w:cs="Arial"/>
                <w:color w:val="000000"/>
                <w:sz w:val="18"/>
                <w:szCs w:val="18"/>
              </w:rPr>
            </w:pPr>
            <w:r>
              <w:rPr>
                <w:rFonts w:ascii="Arial" w:hAnsi="Arial" w:cs="Arial"/>
                <w:color w:val="000000"/>
                <w:sz w:val="18"/>
                <w:szCs w:val="18"/>
              </w:rPr>
              <w:t>0.3%</w:t>
            </w:r>
          </w:p>
        </w:tc>
        <w:tc>
          <w:tcPr>
            <w:tcW w:w="1162" w:type="dxa"/>
            <w:shd w:val="clear" w:color="auto" w:fill="auto"/>
            <w:tcMar>
              <w:top w:w="40" w:type="dxa"/>
              <w:left w:w="80" w:type="dxa"/>
              <w:bottom w:w="60" w:type="dxa"/>
              <w:right w:w="40" w:type="dxa"/>
            </w:tcMar>
          </w:tcPr>
          <w:p w14:paraId="0E5B3F68" w14:textId="77777777" w:rsidR="00D31EA2" w:rsidRDefault="00D31EA2" w:rsidP="00410442">
            <w:pPr>
              <w:rPr>
                <w:rFonts w:ascii="Arial" w:hAnsi="Arial" w:cs="Arial"/>
                <w:color w:val="000000"/>
                <w:sz w:val="18"/>
                <w:szCs w:val="18"/>
              </w:rPr>
            </w:pPr>
            <w:r>
              <w:rPr>
                <w:rFonts w:ascii="Arial" w:hAnsi="Arial" w:cs="Arial"/>
                <w:color w:val="000000"/>
                <w:sz w:val="18"/>
                <w:szCs w:val="18"/>
              </w:rPr>
              <w:t>0.2%</w:t>
            </w:r>
          </w:p>
        </w:tc>
        <w:tc>
          <w:tcPr>
            <w:tcW w:w="1163" w:type="dxa"/>
            <w:shd w:val="clear" w:color="auto" w:fill="auto"/>
            <w:tcMar>
              <w:top w:w="40" w:type="dxa"/>
              <w:left w:w="80" w:type="dxa"/>
              <w:bottom w:w="60" w:type="dxa"/>
              <w:right w:w="40" w:type="dxa"/>
            </w:tcMar>
          </w:tcPr>
          <w:p w14:paraId="5D9C43DC" w14:textId="77777777" w:rsidR="00D31EA2" w:rsidRDefault="00D31EA2" w:rsidP="00410442">
            <w:pPr>
              <w:rPr>
                <w:rFonts w:ascii="Arial" w:hAnsi="Arial" w:cs="Arial"/>
                <w:color w:val="000000"/>
                <w:sz w:val="18"/>
                <w:szCs w:val="18"/>
              </w:rPr>
            </w:pPr>
            <w:r>
              <w:rPr>
                <w:rFonts w:ascii="Arial" w:hAnsi="Arial" w:cs="Arial"/>
                <w:color w:val="000000"/>
                <w:sz w:val="18"/>
                <w:szCs w:val="18"/>
              </w:rPr>
              <w:t>0.3%</w:t>
            </w:r>
          </w:p>
        </w:tc>
      </w:tr>
      <w:tr w:rsidR="00D31EA2" w14:paraId="0771BAA9" w14:textId="77777777" w:rsidTr="00311585">
        <w:trPr>
          <w:trHeight w:val="240"/>
        </w:trPr>
        <w:tc>
          <w:tcPr>
            <w:tcW w:w="3970" w:type="dxa"/>
            <w:vMerge/>
            <w:tcMar>
              <w:top w:w="40" w:type="dxa"/>
              <w:left w:w="120" w:type="dxa"/>
              <w:bottom w:w="40" w:type="dxa"/>
              <w:right w:w="40" w:type="dxa"/>
            </w:tcMar>
          </w:tcPr>
          <w:p w14:paraId="22025241" w14:textId="77777777" w:rsidR="00D31EA2" w:rsidRPr="00AA148D" w:rsidRDefault="00D31EA2" w:rsidP="00410442">
            <w:pPr>
              <w:rPr>
                <w:rFonts w:ascii="Arial" w:hAnsi="Arial" w:cs="Arial"/>
                <w:sz w:val="18"/>
                <w:szCs w:val="18"/>
              </w:rPr>
            </w:pPr>
          </w:p>
        </w:tc>
        <w:tc>
          <w:tcPr>
            <w:tcW w:w="1522" w:type="dxa"/>
            <w:shd w:val="clear" w:color="auto" w:fill="auto"/>
            <w:tcMar>
              <w:top w:w="40" w:type="dxa"/>
              <w:left w:w="80" w:type="dxa"/>
              <w:bottom w:w="40" w:type="dxa"/>
              <w:right w:w="40" w:type="dxa"/>
            </w:tcMar>
          </w:tcPr>
          <w:p w14:paraId="4E1A58C3" w14:textId="42C8DB22" w:rsidR="00D31EA2" w:rsidRPr="00EE2B3B" w:rsidRDefault="00D31EA2" w:rsidP="00410442">
            <w:pPr>
              <w:rPr>
                <w:rFonts w:ascii="Arial" w:hAnsi="Arial" w:cs="Arial"/>
                <w:sz w:val="18"/>
                <w:szCs w:val="18"/>
              </w:rPr>
            </w:pPr>
            <w:r w:rsidRPr="00EE2B3B">
              <w:rPr>
                <w:rFonts w:ascii="Arial" w:hAnsi="Arial" w:cs="Arial"/>
                <w:sz w:val="18"/>
                <w:szCs w:val="18"/>
              </w:rPr>
              <w:t>5</w:t>
            </w:r>
            <w:r>
              <w:rPr>
                <w:rFonts w:ascii="Arial" w:hAnsi="Arial" w:cs="Arial"/>
                <w:sz w:val="18"/>
                <w:szCs w:val="18"/>
              </w:rPr>
              <w:t>–1</w:t>
            </w:r>
            <w:r w:rsidRPr="00EE2B3B">
              <w:rPr>
                <w:rFonts w:ascii="Arial" w:hAnsi="Arial" w:cs="Arial"/>
                <w:sz w:val="18"/>
                <w:szCs w:val="18"/>
              </w:rPr>
              <w:t>4</w:t>
            </w:r>
          </w:p>
        </w:tc>
        <w:tc>
          <w:tcPr>
            <w:tcW w:w="1162" w:type="dxa"/>
            <w:tcMar>
              <w:top w:w="43" w:type="dxa"/>
              <w:left w:w="86" w:type="dxa"/>
              <w:bottom w:w="58" w:type="dxa"/>
              <w:right w:w="43" w:type="dxa"/>
            </w:tcMar>
          </w:tcPr>
          <w:p w14:paraId="63CBFFD0" w14:textId="77777777" w:rsidR="00D31EA2" w:rsidRPr="00EE2B3B" w:rsidRDefault="00D31EA2" w:rsidP="00410442">
            <w:pPr>
              <w:rPr>
                <w:rFonts w:ascii="Arial" w:hAnsi="Arial" w:cs="Arial"/>
                <w:sz w:val="18"/>
                <w:szCs w:val="18"/>
              </w:rPr>
            </w:pPr>
            <w:r>
              <w:rPr>
                <w:rFonts w:ascii="Arial" w:hAnsi="Arial" w:cs="Arial"/>
                <w:sz w:val="18"/>
                <w:szCs w:val="18"/>
              </w:rPr>
              <w:t>1.6%</w:t>
            </w:r>
          </w:p>
        </w:tc>
        <w:tc>
          <w:tcPr>
            <w:tcW w:w="1162" w:type="dxa"/>
            <w:tcMar>
              <w:top w:w="43" w:type="dxa"/>
              <w:left w:w="86" w:type="dxa"/>
              <w:bottom w:w="58" w:type="dxa"/>
              <w:right w:w="43" w:type="dxa"/>
            </w:tcMar>
          </w:tcPr>
          <w:p w14:paraId="2421B9A3" w14:textId="77777777" w:rsidR="00D31EA2" w:rsidRPr="00EE2B3B" w:rsidRDefault="00D31EA2" w:rsidP="00410442">
            <w:pPr>
              <w:rPr>
                <w:rFonts w:ascii="Arial" w:hAnsi="Arial" w:cs="Arial"/>
                <w:sz w:val="18"/>
                <w:szCs w:val="18"/>
              </w:rPr>
            </w:pPr>
            <w:r w:rsidRPr="00EE2B3B">
              <w:rPr>
                <w:rFonts w:ascii="Arial" w:hAnsi="Arial" w:cs="Arial"/>
                <w:sz w:val="18"/>
                <w:szCs w:val="18"/>
              </w:rPr>
              <w:t>1.7</w:t>
            </w:r>
            <w:r>
              <w:rPr>
                <w:rFonts w:ascii="Arial" w:hAnsi="Arial" w:cs="Arial"/>
                <w:sz w:val="18"/>
                <w:szCs w:val="18"/>
              </w:rPr>
              <w:t>%</w:t>
            </w:r>
          </w:p>
        </w:tc>
        <w:tc>
          <w:tcPr>
            <w:tcW w:w="1163" w:type="dxa"/>
            <w:shd w:val="clear" w:color="auto" w:fill="auto"/>
            <w:tcMar>
              <w:top w:w="40" w:type="dxa"/>
              <w:left w:w="80" w:type="dxa"/>
              <w:bottom w:w="60" w:type="dxa"/>
              <w:right w:w="40" w:type="dxa"/>
            </w:tcMar>
          </w:tcPr>
          <w:p w14:paraId="3CDB6B58" w14:textId="77777777" w:rsidR="00D31EA2" w:rsidRDefault="00D31EA2" w:rsidP="00410442">
            <w:pPr>
              <w:rPr>
                <w:rFonts w:ascii="Arial" w:hAnsi="Arial" w:cs="Arial"/>
                <w:color w:val="000000"/>
                <w:sz w:val="18"/>
                <w:szCs w:val="18"/>
              </w:rPr>
            </w:pPr>
            <w:r>
              <w:rPr>
                <w:rFonts w:ascii="Arial" w:hAnsi="Arial" w:cs="Arial"/>
                <w:color w:val="000000"/>
                <w:sz w:val="18"/>
                <w:szCs w:val="18"/>
              </w:rPr>
              <w:t>2.1%</w:t>
            </w:r>
          </w:p>
        </w:tc>
        <w:tc>
          <w:tcPr>
            <w:tcW w:w="1162" w:type="dxa"/>
            <w:shd w:val="clear" w:color="auto" w:fill="auto"/>
            <w:tcMar>
              <w:top w:w="40" w:type="dxa"/>
              <w:left w:w="80" w:type="dxa"/>
              <w:bottom w:w="60" w:type="dxa"/>
              <w:right w:w="40" w:type="dxa"/>
            </w:tcMar>
          </w:tcPr>
          <w:p w14:paraId="48B1F399" w14:textId="77777777" w:rsidR="00D31EA2" w:rsidRDefault="00D31EA2" w:rsidP="00410442">
            <w:pPr>
              <w:rPr>
                <w:rFonts w:ascii="Arial" w:hAnsi="Arial" w:cs="Arial"/>
                <w:color w:val="000000"/>
                <w:sz w:val="18"/>
                <w:szCs w:val="18"/>
              </w:rPr>
            </w:pPr>
            <w:r>
              <w:rPr>
                <w:rFonts w:ascii="Arial" w:hAnsi="Arial" w:cs="Arial"/>
                <w:color w:val="000000"/>
                <w:sz w:val="18"/>
                <w:szCs w:val="18"/>
              </w:rPr>
              <w:t>3.4%</w:t>
            </w:r>
          </w:p>
        </w:tc>
        <w:tc>
          <w:tcPr>
            <w:tcW w:w="1163" w:type="dxa"/>
            <w:shd w:val="clear" w:color="auto" w:fill="auto"/>
            <w:tcMar>
              <w:top w:w="40" w:type="dxa"/>
              <w:left w:w="80" w:type="dxa"/>
              <w:bottom w:w="60" w:type="dxa"/>
              <w:right w:w="40" w:type="dxa"/>
            </w:tcMar>
          </w:tcPr>
          <w:p w14:paraId="6DDB0C3F" w14:textId="77777777" w:rsidR="00D31EA2" w:rsidRDefault="00D31EA2" w:rsidP="00410442">
            <w:pPr>
              <w:rPr>
                <w:rFonts w:ascii="Arial" w:hAnsi="Arial" w:cs="Arial"/>
                <w:color w:val="000000"/>
                <w:sz w:val="18"/>
                <w:szCs w:val="18"/>
              </w:rPr>
            </w:pPr>
            <w:r>
              <w:rPr>
                <w:rFonts w:ascii="Arial" w:hAnsi="Arial" w:cs="Arial"/>
                <w:color w:val="000000"/>
                <w:sz w:val="18"/>
                <w:szCs w:val="18"/>
              </w:rPr>
              <w:t>6.2%</w:t>
            </w:r>
          </w:p>
        </w:tc>
      </w:tr>
      <w:tr w:rsidR="00D31EA2" w14:paraId="07B86C71" w14:textId="77777777" w:rsidTr="00311585">
        <w:trPr>
          <w:trHeight w:val="240"/>
        </w:trPr>
        <w:tc>
          <w:tcPr>
            <w:tcW w:w="3970" w:type="dxa"/>
            <w:vMerge/>
            <w:tcMar>
              <w:top w:w="40" w:type="dxa"/>
              <w:left w:w="120" w:type="dxa"/>
              <w:bottom w:w="40" w:type="dxa"/>
              <w:right w:w="40" w:type="dxa"/>
            </w:tcMar>
          </w:tcPr>
          <w:p w14:paraId="31129CEB" w14:textId="77777777" w:rsidR="00D31EA2" w:rsidRPr="00AA148D" w:rsidRDefault="00D31EA2" w:rsidP="00410442">
            <w:pPr>
              <w:rPr>
                <w:rFonts w:ascii="Arial" w:hAnsi="Arial" w:cs="Arial"/>
                <w:sz w:val="18"/>
                <w:szCs w:val="18"/>
              </w:rPr>
            </w:pPr>
          </w:p>
        </w:tc>
        <w:tc>
          <w:tcPr>
            <w:tcW w:w="1522" w:type="dxa"/>
            <w:shd w:val="clear" w:color="auto" w:fill="auto"/>
            <w:tcMar>
              <w:top w:w="40" w:type="dxa"/>
              <w:left w:w="80" w:type="dxa"/>
              <w:bottom w:w="40" w:type="dxa"/>
              <w:right w:w="40" w:type="dxa"/>
            </w:tcMar>
          </w:tcPr>
          <w:p w14:paraId="321AADB3" w14:textId="370885E8" w:rsidR="00D31EA2" w:rsidRPr="00EE2B3B" w:rsidRDefault="00D31EA2" w:rsidP="00410442">
            <w:pPr>
              <w:rPr>
                <w:rFonts w:ascii="Arial" w:hAnsi="Arial" w:cs="Arial"/>
                <w:sz w:val="18"/>
                <w:szCs w:val="18"/>
              </w:rPr>
            </w:pPr>
            <w:r w:rsidRPr="00EE2B3B">
              <w:rPr>
                <w:rFonts w:ascii="Arial" w:hAnsi="Arial" w:cs="Arial"/>
                <w:sz w:val="18"/>
                <w:szCs w:val="18"/>
              </w:rPr>
              <w:t>15</w:t>
            </w:r>
            <w:r w:rsidR="000A5AD9">
              <w:rPr>
                <w:rFonts w:ascii="Arial" w:hAnsi="Arial" w:cs="Arial"/>
                <w:sz w:val="18"/>
                <w:szCs w:val="18"/>
              </w:rPr>
              <w:t>–</w:t>
            </w:r>
            <w:r w:rsidRPr="00EE2B3B">
              <w:rPr>
                <w:rFonts w:ascii="Arial" w:hAnsi="Arial" w:cs="Arial"/>
                <w:sz w:val="18"/>
                <w:szCs w:val="18"/>
              </w:rPr>
              <w:t>24</w:t>
            </w:r>
          </w:p>
        </w:tc>
        <w:tc>
          <w:tcPr>
            <w:tcW w:w="1162" w:type="dxa"/>
            <w:tcMar>
              <w:top w:w="43" w:type="dxa"/>
              <w:left w:w="86" w:type="dxa"/>
              <w:bottom w:w="58" w:type="dxa"/>
              <w:right w:w="43" w:type="dxa"/>
            </w:tcMar>
          </w:tcPr>
          <w:p w14:paraId="44868D0F" w14:textId="77777777" w:rsidR="00D31EA2" w:rsidRPr="00EE2B3B" w:rsidRDefault="00D31EA2" w:rsidP="00410442">
            <w:pPr>
              <w:rPr>
                <w:rFonts w:ascii="Arial" w:hAnsi="Arial" w:cs="Arial"/>
                <w:sz w:val="18"/>
                <w:szCs w:val="18"/>
              </w:rPr>
            </w:pPr>
            <w:r>
              <w:rPr>
                <w:rFonts w:ascii="Arial" w:hAnsi="Arial" w:cs="Arial"/>
                <w:sz w:val="18"/>
                <w:szCs w:val="18"/>
              </w:rPr>
              <w:t>13.3%</w:t>
            </w:r>
          </w:p>
        </w:tc>
        <w:tc>
          <w:tcPr>
            <w:tcW w:w="1162" w:type="dxa"/>
            <w:tcMar>
              <w:top w:w="43" w:type="dxa"/>
              <w:left w:w="86" w:type="dxa"/>
              <w:bottom w:w="58" w:type="dxa"/>
              <w:right w:w="43" w:type="dxa"/>
            </w:tcMar>
          </w:tcPr>
          <w:p w14:paraId="78DE5AE7" w14:textId="77777777" w:rsidR="00D31EA2" w:rsidRPr="00EE2B3B" w:rsidRDefault="00D31EA2" w:rsidP="00410442">
            <w:pPr>
              <w:rPr>
                <w:rFonts w:ascii="Arial" w:hAnsi="Arial" w:cs="Arial"/>
                <w:sz w:val="18"/>
                <w:szCs w:val="18"/>
              </w:rPr>
            </w:pPr>
            <w:r w:rsidRPr="00EE2B3B">
              <w:rPr>
                <w:rFonts w:ascii="Arial" w:hAnsi="Arial" w:cs="Arial"/>
                <w:sz w:val="18"/>
                <w:szCs w:val="18"/>
              </w:rPr>
              <w:t>13.6</w:t>
            </w:r>
            <w:r>
              <w:rPr>
                <w:rFonts w:ascii="Arial" w:hAnsi="Arial" w:cs="Arial"/>
                <w:sz w:val="18"/>
                <w:szCs w:val="18"/>
              </w:rPr>
              <w:t>%</w:t>
            </w:r>
          </w:p>
        </w:tc>
        <w:tc>
          <w:tcPr>
            <w:tcW w:w="1163" w:type="dxa"/>
            <w:shd w:val="clear" w:color="auto" w:fill="auto"/>
            <w:tcMar>
              <w:top w:w="40" w:type="dxa"/>
              <w:left w:w="80" w:type="dxa"/>
              <w:bottom w:w="60" w:type="dxa"/>
              <w:right w:w="40" w:type="dxa"/>
            </w:tcMar>
          </w:tcPr>
          <w:p w14:paraId="055243B0" w14:textId="77777777" w:rsidR="00D31EA2" w:rsidRDefault="00D31EA2" w:rsidP="00410442">
            <w:pPr>
              <w:rPr>
                <w:rFonts w:ascii="Arial" w:hAnsi="Arial" w:cs="Arial"/>
                <w:color w:val="000000"/>
                <w:sz w:val="18"/>
                <w:szCs w:val="18"/>
              </w:rPr>
            </w:pPr>
            <w:r>
              <w:rPr>
                <w:rFonts w:ascii="Arial" w:hAnsi="Arial" w:cs="Arial"/>
                <w:color w:val="000000"/>
                <w:sz w:val="18"/>
                <w:szCs w:val="18"/>
              </w:rPr>
              <w:t>13.1%</w:t>
            </w:r>
          </w:p>
        </w:tc>
        <w:tc>
          <w:tcPr>
            <w:tcW w:w="1162" w:type="dxa"/>
            <w:shd w:val="clear" w:color="auto" w:fill="auto"/>
            <w:tcMar>
              <w:top w:w="40" w:type="dxa"/>
              <w:left w:w="80" w:type="dxa"/>
              <w:bottom w:w="60" w:type="dxa"/>
              <w:right w:w="40" w:type="dxa"/>
            </w:tcMar>
          </w:tcPr>
          <w:p w14:paraId="3FFB5C7A" w14:textId="77777777" w:rsidR="00D31EA2" w:rsidRDefault="00D31EA2" w:rsidP="00410442">
            <w:pPr>
              <w:rPr>
                <w:rFonts w:ascii="Arial" w:hAnsi="Arial" w:cs="Arial"/>
                <w:color w:val="000000"/>
                <w:sz w:val="18"/>
                <w:szCs w:val="18"/>
              </w:rPr>
            </w:pPr>
            <w:r>
              <w:rPr>
                <w:rFonts w:ascii="Arial" w:hAnsi="Arial" w:cs="Arial"/>
                <w:color w:val="000000"/>
                <w:sz w:val="18"/>
                <w:szCs w:val="18"/>
              </w:rPr>
              <w:t>13.9%</w:t>
            </w:r>
          </w:p>
        </w:tc>
        <w:tc>
          <w:tcPr>
            <w:tcW w:w="1163" w:type="dxa"/>
            <w:shd w:val="clear" w:color="auto" w:fill="auto"/>
            <w:tcMar>
              <w:top w:w="40" w:type="dxa"/>
              <w:left w:w="80" w:type="dxa"/>
              <w:bottom w:w="60" w:type="dxa"/>
              <w:right w:w="40" w:type="dxa"/>
            </w:tcMar>
          </w:tcPr>
          <w:p w14:paraId="29178E3C" w14:textId="77777777" w:rsidR="00D31EA2" w:rsidRDefault="00D31EA2" w:rsidP="00410442">
            <w:pPr>
              <w:rPr>
                <w:rFonts w:ascii="Arial" w:hAnsi="Arial" w:cs="Arial"/>
                <w:color w:val="000000"/>
                <w:sz w:val="18"/>
                <w:szCs w:val="18"/>
              </w:rPr>
            </w:pPr>
            <w:r>
              <w:rPr>
                <w:rFonts w:ascii="Arial" w:hAnsi="Arial" w:cs="Arial"/>
                <w:color w:val="000000"/>
                <w:sz w:val="18"/>
                <w:szCs w:val="18"/>
              </w:rPr>
              <w:t>19.2%</w:t>
            </w:r>
          </w:p>
        </w:tc>
      </w:tr>
      <w:tr w:rsidR="00D31EA2" w14:paraId="3A65E32C" w14:textId="77777777" w:rsidTr="00311585">
        <w:trPr>
          <w:trHeight w:val="240"/>
        </w:trPr>
        <w:tc>
          <w:tcPr>
            <w:tcW w:w="3970" w:type="dxa"/>
            <w:vMerge/>
            <w:tcMar>
              <w:top w:w="40" w:type="dxa"/>
              <w:left w:w="120" w:type="dxa"/>
              <w:bottom w:w="40" w:type="dxa"/>
              <w:right w:w="40" w:type="dxa"/>
            </w:tcMar>
          </w:tcPr>
          <w:p w14:paraId="4924D9F5" w14:textId="77777777" w:rsidR="00D31EA2" w:rsidRPr="00AA148D" w:rsidRDefault="00D31EA2" w:rsidP="00410442">
            <w:pPr>
              <w:rPr>
                <w:rFonts w:ascii="Arial" w:hAnsi="Arial" w:cs="Arial"/>
                <w:sz w:val="18"/>
                <w:szCs w:val="18"/>
              </w:rPr>
            </w:pPr>
          </w:p>
        </w:tc>
        <w:tc>
          <w:tcPr>
            <w:tcW w:w="1522" w:type="dxa"/>
            <w:shd w:val="clear" w:color="auto" w:fill="auto"/>
            <w:tcMar>
              <w:top w:w="40" w:type="dxa"/>
              <w:left w:w="80" w:type="dxa"/>
              <w:bottom w:w="40" w:type="dxa"/>
              <w:right w:w="40" w:type="dxa"/>
            </w:tcMar>
          </w:tcPr>
          <w:p w14:paraId="25CA5A9B" w14:textId="44A84CFB" w:rsidR="00D31EA2" w:rsidRPr="00EE2B3B" w:rsidRDefault="00D31EA2" w:rsidP="00410442">
            <w:pPr>
              <w:rPr>
                <w:rFonts w:ascii="Arial" w:hAnsi="Arial" w:cs="Arial"/>
                <w:sz w:val="18"/>
                <w:szCs w:val="18"/>
              </w:rPr>
            </w:pPr>
            <w:r w:rsidRPr="00EE2B3B">
              <w:rPr>
                <w:rFonts w:ascii="Arial" w:hAnsi="Arial" w:cs="Arial"/>
                <w:sz w:val="18"/>
                <w:szCs w:val="18"/>
              </w:rPr>
              <w:t>25</w:t>
            </w:r>
            <w:r w:rsidR="000A5AD9">
              <w:rPr>
                <w:rFonts w:ascii="Arial" w:hAnsi="Arial" w:cs="Arial"/>
                <w:sz w:val="18"/>
                <w:szCs w:val="18"/>
              </w:rPr>
              <w:t>–</w:t>
            </w:r>
            <w:r w:rsidRPr="00EE2B3B">
              <w:rPr>
                <w:rFonts w:ascii="Arial" w:hAnsi="Arial" w:cs="Arial"/>
                <w:sz w:val="18"/>
                <w:szCs w:val="18"/>
              </w:rPr>
              <w:t>34</w:t>
            </w:r>
          </w:p>
        </w:tc>
        <w:tc>
          <w:tcPr>
            <w:tcW w:w="1162" w:type="dxa"/>
            <w:tcMar>
              <w:top w:w="43" w:type="dxa"/>
              <w:left w:w="86" w:type="dxa"/>
              <w:bottom w:w="58" w:type="dxa"/>
              <w:right w:w="43" w:type="dxa"/>
            </w:tcMar>
          </w:tcPr>
          <w:p w14:paraId="5F02B48A" w14:textId="77777777" w:rsidR="00D31EA2" w:rsidRPr="00EE2B3B" w:rsidRDefault="00D31EA2" w:rsidP="00410442">
            <w:pPr>
              <w:rPr>
                <w:rFonts w:ascii="Arial" w:hAnsi="Arial" w:cs="Arial"/>
                <w:sz w:val="18"/>
                <w:szCs w:val="18"/>
              </w:rPr>
            </w:pPr>
            <w:r>
              <w:rPr>
                <w:rFonts w:ascii="Arial" w:hAnsi="Arial" w:cs="Arial"/>
                <w:sz w:val="18"/>
                <w:szCs w:val="18"/>
              </w:rPr>
              <w:t>19.1%</w:t>
            </w:r>
          </w:p>
        </w:tc>
        <w:tc>
          <w:tcPr>
            <w:tcW w:w="1162" w:type="dxa"/>
            <w:tcMar>
              <w:top w:w="43" w:type="dxa"/>
              <w:left w:w="86" w:type="dxa"/>
              <w:bottom w:w="58" w:type="dxa"/>
              <w:right w:w="43" w:type="dxa"/>
            </w:tcMar>
          </w:tcPr>
          <w:p w14:paraId="05D4EFDF" w14:textId="77777777" w:rsidR="00D31EA2" w:rsidRPr="00EE2B3B" w:rsidRDefault="00D31EA2" w:rsidP="00410442">
            <w:pPr>
              <w:rPr>
                <w:rFonts w:ascii="Arial" w:hAnsi="Arial" w:cs="Arial"/>
                <w:sz w:val="18"/>
                <w:szCs w:val="18"/>
              </w:rPr>
            </w:pPr>
            <w:r w:rsidRPr="00EE2B3B">
              <w:rPr>
                <w:rFonts w:ascii="Arial" w:hAnsi="Arial" w:cs="Arial"/>
                <w:sz w:val="18"/>
                <w:szCs w:val="18"/>
              </w:rPr>
              <w:t>19.3</w:t>
            </w:r>
            <w:r>
              <w:rPr>
                <w:rFonts w:ascii="Arial" w:hAnsi="Arial" w:cs="Arial"/>
                <w:sz w:val="18"/>
                <w:szCs w:val="18"/>
              </w:rPr>
              <w:t>%</w:t>
            </w:r>
          </w:p>
        </w:tc>
        <w:tc>
          <w:tcPr>
            <w:tcW w:w="1163" w:type="dxa"/>
            <w:shd w:val="clear" w:color="auto" w:fill="auto"/>
            <w:tcMar>
              <w:top w:w="40" w:type="dxa"/>
              <w:left w:w="80" w:type="dxa"/>
              <w:bottom w:w="60" w:type="dxa"/>
              <w:right w:w="40" w:type="dxa"/>
            </w:tcMar>
          </w:tcPr>
          <w:p w14:paraId="5502FA67" w14:textId="77777777" w:rsidR="00D31EA2" w:rsidRDefault="00D31EA2" w:rsidP="00410442">
            <w:pPr>
              <w:rPr>
                <w:rFonts w:ascii="Arial" w:hAnsi="Arial" w:cs="Arial"/>
                <w:color w:val="000000"/>
                <w:sz w:val="18"/>
                <w:szCs w:val="18"/>
              </w:rPr>
            </w:pPr>
            <w:r>
              <w:rPr>
                <w:rFonts w:ascii="Arial" w:hAnsi="Arial" w:cs="Arial"/>
                <w:color w:val="000000"/>
                <w:sz w:val="18"/>
                <w:szCs w:val="18"/>
              </w:rPr>
              <w:t>18.8%</w:t>
            </w:r>
          </w:p>
        </w:tc>
        <w:tc>
          <w:tcPr>
            <w:tcW w:w="1162" w:type="dxa"/>
            <w:shd w:val="clear" w:color="auto" w:fill="auto"/>
            <w:tcMar>
              <w:top w:w="40" w:type="dxa"/>
              <w:left w:w="80" w:type="dxa"/>
              <w:bottom w:w="60" w:type="dxa"/>
              <w:right w:w="40" w:type="dxa"/>
            </w:tcMar>
          </w:tcPr>
          <w:p w14:paraId="6E4D2AB1" w14:textId="77777777" w:rsidR="00D31EA2" w:rsidRDefault="00D31EA2" w:rsidP="00410442">
            <w:pPr>
              <w:rPr>
                <w:rFonts w:ascii="Arial" w:hAnsi="Arial" w:cs="Arial"/>
                <w:color w:val="000000"/>
                <w:sz w:val="18"/>
                <w:szCs w:val="18"/>
              </w:rPr>
            </w:pPr>
            <w:r>
              <w:rPr>
                <w:rFonts w:ascii="Arial" w:hAnsi="Arial" w:cs="Arial"/>
                <w:color w:val="000000"/>
                <w:sz w:val="18"/>
                <w:szCs w:val="18"/>
              </w:rPr>
              <w:t>17.2%</w:t>
            </w:r>
          </w:p>
        </w:tc>
        <w:tc>
          <w:tcPr>
            <w:tcW w:w="1163" w:type="dxa"/>
            <w:shd w:val="clear" w:color="auto" w:fill="auto"/>
            <w:tcMar>
              <w:top w:w="40" w:type="dxa"/>
              <w:left w:w="80" w:type="dxa"/>
              <w:bottom w:w="60" w:type="dxa"/>
              <w:right w:w="40" w:type="dxa"/>
            </w:tcMar>
          </w:tcPr>
          <w:p w14:paraId="216BAA02" w14:textId="77777777" w:rsidR="00D31EA2" w:rsidRDefault="00D31EA2" w:rsidP="00410442">
            <w:pPr>
              <w:rPr>
                <w:rFonts w:ascii="Arial" w:hAnsi="Arial" w:cs="Arial"/>
                <w:color w:val="000000"/>
                <w:sz w:val="18"/>
                <w:szCs w:val="18"/>
              </w:rPr>
            </w:pPr>
            <w:r>
              <w:rPr>
                <w:rFonts w:ascii="Arial" w:hAnsi="Arial" w:cs="Arial"/>
                <w:color w:val="000000"/>
                <w:sz w:val="18"/>
                <w:szCs w:val="18"/>
              </w:rPr>
              <w:t>14.9%</w:t>
            </w:r>
          </w:p>
        </w:tc>
      </w:tr>
      <w:tr w:rsidR="00D31EA2" w14:paraId="7C0B0126" w14:textId="77777777" w:rsidTr="00311585">
        <w:trPr>
          <w:trHeight w:val="240"/>
        </w:trPr>
        <w:tc>
          <w:tcPr>
            <w:tcW w:w="3970" w:type="dxa"/>
            <w:vMerge/>
            <w:tcMar>
              <w:top w:w="40" w:type="dxa"/>
              <w:left w:w="120" w:type="dxa"/>
              <w:bottom w:w="40" w:type="dxa"/>
              <w:right w:w="40" w:type="dxa"/>
            </w:tcMar>
          </w:tcPr>
          <w:p w14:paraId="71C8DDA8" w14:textId="77777777" w:rsidR="00D31EA2" w:rsidRPr="00AA148D" w:rsidRDefault="00D31EA2" w:rsidP="00410442">
            <w:pPr>
              <w:rPr>
                <w:rFonts w:ascii="Arial" w:hAnsi="Arial" w:cs="Arial"/>
                <w:sz w:val="18"/>
                <w:szCs w:val="18"/>
              </w:rPr>
            </w:pPr>
          </w:p>
        </w:tc>
        <w:tc>
          <w:tcPr>
            <w:tcW w:w="1522" w:type="dxa"/>
            <w:shd w:val="clear" w:color="auto" w:fill="auto"/>
            <w:tcMar>
              <w:top w:w="40" w:type="dxa"/>
              <w:left w:w="80" w:type="dxa"/>
              <w:bottom w:w="40" w:type="dxa"/>
              <w:right w:w="40" w:type="dxa"/>
            </w:tcMar>
          </w:tcPr>
          <w:p w14:paraId="41EC6B98" w14:textId="56DF3841" w:rsidR="00D31EA2" w:rsidRPr="00EE2B3B" w:rsidRDefault="00D31EA2" w:rsidP="00410442">
            <w:pPr>
              <w:rPr>
                <w:rFonts w:ascii="Arial" w:hAnsi="Arial" w:cs="Arial"/>
                <w:sz w:val="18"/>
                <w:szCs w:val="18"/>
              </w:rPr>
            </w:pPr>
            <w:r w:rsidRPr="00EE2B3B">
              <w:rPr>
                <w:rFonts w:ascii="Arial" w:hAnsi="Arial" w:cs="Arial"/>
                <w:sz w:val="18"/>
                <w:szCs w:val="18"/>
              </w:rPr>
              <w:t>35</w:t>
            </w:r>
            <w:r w:rsidR="000A5AD9">
              <w:rPr>
                <w:rFonts w:ascii="Arial" w:hAnsi="Arial" w:cs="Arial"/>
                <w:sz w:val="18"/>
                <w:szCs w:val="18"/>
              </w:rPr>
              <w:t>–</w:t>
            </w:r>
            <w:r w:rsidRPr="00EE2B3B">
              <w:rPr>
                <w:rFonts w:ascii="Arial" w:hAnsi="Arial" w:cs="Arial"/>
                <w:sz w:val="18"/>
                <w:szCs w:val="18"/>
              </w:rPr>
              <w:t>44</w:t>
            </w:r>
          </w:p>
        </w:tc>
        <w:tc>
          <w:tcPr>
            <w:tcW w:w="1162" w:type="dxa"/>
            <w:tcMar>
              <w:top w:w="43" w:type="dxa"/>
              <w:left w:w="86" w:type="dxa"/>
              <w:bottom w:w="58" w:type="dxa"/>
              <w:right w:w="43" w:type="dxa"/>
            </w:tcMar>
          </w:tcPr>
          <w:p w14:paraId="25E87FE9" w14:textId="77777777" w:rsidR="00D31EA2" w:rsidRPr="00EE2B3B" w:rsidRDefault="00D31EA2" w:rsidP="00410442">
            <w:pPr>
              <w:rPr>
                <w:rFonts w:ascii="Arial" w:hAnsi="Arial" w:cs="Arial"/>
                <w:sz w:val="18"/>
                <w:szCs w:val="18"/>
              </w:rPr>
            </w:pPr>
            <w:r>
              <w:rPr>
                <w:rFonts w:ascii="Arial" w:hAnsi="Arial" w:cs="Arial"/>
                <w:sz w:val="18"/>
                <w:szCs w:val="18"/>
              </w:rPr>
              <w:t>24.1%</w:t>
            </w:r>
          </w:p>
        </w:tc>
        <w:tc>
          <w:tcPr>
            <w:tcW w:w="1162" w:type="dxa"/>
            <w:tcMar>
              <w:top w:w="43" w:type="dxa"/>
              <w:left w:w="86" w:type="dxa"/>
              <w:bottom w:w="58" w:type="dxa"/>
              <w:right w:w="43" w:type="dxa"/>
            </w:tcMar>
          </w:tcPr>
          <w:p w14:paraId="637FD161" w14:textId="77777777" w:rsidR="00D31EA2" w:rsidRPr="00EE2B3B" w:rsidRDefault="00D31EA2" w:rsidP="00410442">
            <w:pPr>
              <w:rPr>
                <w:rFonts w:ascii="Arial" w:hAnsi="Arial" w:cs="Arial"/>
                <w:sz w:val="18"/>
                <w:szCs w:val="18"/>
              </w:rPr>
            </w:pPr>
            <w:r w:rsidRPr="00EE2B3B">
              <w:rPr>
                <w:rFonts w:ascii="Arial" w:hAnsi="Arial" w:cs="Arial"/>
                <w:sz w:val="18"/>
                <w:szCs w:val="18"/>
              </w:rPr>
              <w:t>23.3</w:t>
            </w:r>
            <w:r>
              <w:rPr>
                <w:rFonts w:ascii="Arial" w:hAnsi="Arial" w:cs="Arial"/>
                <w:sz w:val="18"/>
                <w:szCs w:val="18"/>
              </w:rPr>
              <w:t>%</w:t>
            </w:r>
          </w:p>
        </w:tc>
        <w:tc>
          <w:tcPr>
            <w:tcW w:w="1163" w:type="dxa"/>
            <w:shd w:val="clear" w:color="auto" w:fill="auto"/>
            <w:tcMar>
              <w:top w:w="40" w:type="dxa"/>
              <w:left w:w="80" w:type="dxa"/>
              <w:bottom w:w="60" w:type="dxa"/>
              <w:right w:w="40" w:type="dxa"/>
            </w:tcMar>
          </w:tcPr>
          <w:p w14:paraId="399057DF" w14:textId="77777777" w:rsidR="00D31EA2" w:rsidRDefault="00D31EA2" w:rsidP="00410442">
            <w:pPr>
              <w:rPr>
                <w:rFonts w:ascii="Arial" w:hAnsi="Arial" w:cs="Arial"/>
                <w:color w:val="000000"/>
                <w:sz w:val="18"/>
                <w:szCs w:val="18"/>
              </w:rPr>
            </w:pPr>
            <w:r>
              <w:rPr>
                <w:rFonts w:ascii="Arial" w:hAnsi="Arial" w:cs="Arial"/>
                <w:color w:val="000000"/>
                <w:sz w:val="18"/>
                <w:szCs w:val="18"/>
              </w:rPr>
              <w:t>22.6%</w:t>
            </w:r>
          </w:p>
        </w:tc>
        <w:tc>
          <w:tcPr>
            <w:tcW w:w="1162" w:type="dxa"/>
            <w:shd w:val="clear" w:color="auto" w:fill="auto"/>
            <w:tcMar>
              <w:top w:w="40" w:type="dxa"/>
              <w:left w:w="80" w:type="dxa"/>
              <w:bottom w:w="60" w:type="dxa"/>
              <w:right w:w="40" w:type="dxa"/>
            </w:tcMar>
          </w:tcPr>
          <w:p w14:paraId="7187D37C" w14:textId="77777777" w:rsidR="00D31EA2" w:rsidRDefault="00D31EA2" w:rsidP="00410442">
            <w:pPr>
              <w:rPr>
                <w:rFonts w:ascii="Arial" w:hAnsi="Arial" w:cs="Arial"/>
                <w:color w:val="000000"/>
                <w:sz w:val="18"/>
                <w:szCs w:val="18"/>
              </w:rPr>
            </w:pPr>
            <w:r>
              <w:rPr>
                <w:rFonts w:ascii="Arial" w:hAnsi="Arial" w:cs="Arial"/>
                <w:color w:val="000000"/>
                <w:sz w:val="18"/>
                <w:szCs w:val="18"/>
              </w:rPr>
              <w:t>20.6%</w:t>
            </w:r>
          </w:p>
        </w:tc>
        <w:tc>
          <w:tcPr>
            <w:tcW w:w="1163" w:type="dxa"/>
            <w:shd w:val="clear" w:color="auto" w:fill="auto"/>
            <w:tcMar>
              <w:top w:w="40" w:type="dxa"/>
              <w:left w:w="80" w:type="dxa"/>
              <w:bottom w:w="60" w:type="dxa"/>
              <w:right w:w="40" w:type="dxa"/>
            </w:tcMar>
          </w:tcPr>
          <w:p w14:paraId="02C93536" w14:textId="77777777" w:rsidR="00D31EA2" w:rsidRDefault="00D31EA2" w:rsidP="00410442">
            <w:pPr>
              <w:rPr>
                <w:rFonts w:ascii="Arial" w:hAnsi="Arial" w:cs="Arial"/>
                <w:color w:val="000000"/>
                <w:sz w:val="18"/>
                <w:szCs w:val="18"/>
              </w:rPr>
            </w:pPr>
            <w:r>
              <w:rPr>
                <w:rFonts w:ascii="Arial" w:hAnsi="Arial" w:cs="Arial"/>
                <w:color w:val="000000"/>
                <w:sz w:val="18"/>
                <w:szCs w:val="18"/>
              </w:rPr>
              <w:t>17.7%</w:t>
            </w:r>
          </w:p>
        </w:tc>
      </w:tr>
      <w:tr w:rsidR="00D31EA2" w14:paraId="1CC76F59" w14:textId="77777777" w:rsidTr="00311585">
        <w:trPr>
          <w:trHeight w:val="240"/>
        </w:trPr>
        <w:tc>
          <w:tcPr>
            <w:tcW w:w="3970" w:type="dxa"/>
            <w:vMerge/>
            <w:tcMar>
              <w:top w:w="40" w:type="dxa"/>
              <w:left w:w="120" w:type="dxa"/>
              <w:bottom w:w="40" w:type="dxa"/>
              <w:right w:w="40" w:type="dxa"/>
            </w:tcMar>
          </w:tcPr>
          <w:p w14:paraId="4D381946" w14:textId="77777777" w:rsidR="00D31EA2" w:rsidRPr="00AA148D" w:rsidRDefault="00D31EA2" w:rsidP="00410442">
            <w:pPr>
              <w:rPr>
                <w:rFonts w:ascii="Arial" w:hAnsi="Arial" w:cs="Arial"/>
                <w:sz w:val="18"/>
                <w:szCs w:val="18"/>
              </w:rPr>
            </w:pPr>
          </w:p>
        </w:tc>
        <w:tc>
          <w:tcPr>
            <w:tcW w:w="1522" w:type="dxa"/>
            <w:shd w:val="clear" w:color="auto" w:fill="auto"/>
            <w:tcMar>
              <w:top w:w="40" w:type="dxa"/>
              <w:left w:w="80" w:type="dxa"/>
              <w:bottom w:w="40" w:type="dxa"/>
              <w:right w:w="40" w:type="dxa"/>
            </w:tcMar>
          </w:tcPr>
          <w:p w14:paraId="7C2E76C1" w14:textId="19464510" w:rsidR="00D31EA2" w:rsidRPr="00EE2B3B" w:rsidRDefault="00D31EA2" w:rsidP="00410442">
            <w:pPr>
              <w:rPr>
                <w:rFonts w:ascii="Arial" w:hAnsi="Arial" w:cs="Arial"/>
                <w:sz w:val="18"/>
                <w:szCs w:val="18"/>
              </w:rPr>
            </w:pPr>
            <w:r w:rsidRPr="00EE2B3B">
              <w:rPr>
                <w:rFonts w:ascii="Arial" w:hAnsi="Arial" w:cs="Arial"/>
                <w:sz w:val="18"/>
                <w:szCs w:val="18"/>
              </w:rPr>
              <w:t>45</w:t>
            </w:r>
            <w:r w:rsidR="000A5AD9">
              <w:rPr>
                <w:rFonts w:ascii="Arial" w:hAnsi="Arial" w:cs="Arial"/>
                <w:sz w:val="18"/>
                <w:szCs w:val="18"/>
              </w:rPr>
              <w:t>–</w:t>
            </w:r>
            <w:r w:rsidRPr="00EE2B3B">
              <w:rPr>
                <w:rFonts w:ascii="Arial" w:hAnsi="Arial" w:cs="Arial"/>
                <w:sz w:val="18"/>
                <w:szCs w:val="18"/>
              </w:rPr>
              <w:t>54</w:t>
            </w:r>
          </w:p>
        </w:tc>
        <w:tc>
          <w:tcPr>
            <w:tcW w:w="1162" w:type="dxa"/>
            <w:tcMar>
              <w:top w:w="43" w:type="dxa"/>
              <w:left w:w="86" w:type="dxa"/>
              <w:bottom w:w="58" w:type="dxa"/>
              <w:right w:w="43" w:type="dxa"/>
            </w:tcMar>
          </w:tcPr>
          <w:p w14:paraId="1D8ED2A3" w14:textId="77777777" w:rsidR="00D31EA2" w:rsidRPr="00EE2B3B" w:rsidRDefault="00D31EA2" w:rsidP="00410442">
            <w:pPr>
              <w:rPr>
                <w:rFonts w:ascii="Arial" w:hAnsi="Arial" w:cs="Arial"/>
                <w:sz w:val="18"/>
                <w:szCs w:val="18"/>
              </w:rPr>
            </w:pPr>
            <w:r>
              <w:rPr>
                <w:rFonts w:ascii="Arial" w:hAnsi="Arial" w:cs="Arial"/>
                <w:sz w:val="18"/>
                <w:szCs w:val="18"/>
              </w:rPr>
              <w:t>23.0%</w:t>
            </w:r>
          </w:p>
        </w:tc>
        <w:tc>
          <w:tcPr>
            <w:tcW w:w="1162" w:type="dxa"/>
            <w:tcMar>
              <w:top w:w="43" w:type="dxa"/>
              <w:left w:w="86" w:type="dxa"/>
              <w:bottom w:w="58" w:type="dxa"/>
              <w:right w:w="43" w:type="dxa"/>
            </w:tcMar>
          </w:tcPr>
          <w:p w14:paraId="0B3368E5" w14:textId="77777777" w:rsidR="00D31EA2" w:rsidRPr="00EE2B3B" w:rsidRDefault="00D31EA2" w:rsidP="00410442">
            <w:pPr>
              <w:rPr>
                <w:rFonts w:ascii="Arial" w:hAnsi="Arial" w:cs="Arial"/>
                <w:sz w:val="18"/>
                <w:szCs w:val="18"/>
              </w:rPr>
            </w:pPr>
            <w:r w:rsidRPr="00EE2B3B">
              <w:rPr>
                <w:rFonts w:ascii="Arial" w:hAnsi="Arial" w:cs="Arial"/>
                <w:sz w:val="18"/>
                <w:szCs w:val="18"/>
              </w:rPr>
              <w:t>23.5</w:t>
            </w:r>
            <w:r>
              <w:rPr>
                <w:rFonts w:ascii="Arial" w:hAnsi="Arial" w:cs="Arial"/>
                <w:sz w:val="18"/>
                <w:szCs w:val="18"/>
              </w:rPr>
              <w:t>%</w:t>
            </w:r>
          </w:p>
        </w:tc>
        <w:tc>
          <w:tcPr>
            <w:tcW w:w="1163" w:type="dxa"/>
            <w:shd w:val="clear" w:color="auto" w:fill="auto"/>
            <w:tcMar>
              <w:top w:w="40" w:type="dxa"/>
              <w:left w:w="80" w:type="dxa"/>
              <w:bottom w:w="60" w:type="dxa"/>
              <w:right w:w="40" w:type="dxa"/>
            </w:tcMar>
          </w:tcPr>
          <w:p w14:paraId="4E4BDD13" w14:textId="77777777" w:rsidR="00D31EA2" w:rsidRDefault="00D31EA2" w:rsidP="00410442">
            <w:pPr>
              <w:rPr>
                <w:rFonts w:ascii="Arial" w:hAnsi="Arial" w:cs="Arial"/>
                <w:color w:val="000000"/>
                <w:sz w:val="18"/>
                <w:szCs w:val="18"/>
              </w:rPr>
            </w:pPr>
            <w:r>
              <w:rPr>
                <w:rFonts w:ascii="Arial" w:hAnsi="Arial" w:cs="Arial"/>
                <w:color w:val="000000"/>
                <w:sz w:val="18"/>
                <w:szCs w:val="18"/>
              </w:rPr>
              <w:t>24.7%</w:t>
            </w:r>
          </w:p>
        </w:tc>
        <w:tc>
          <w:tcPr>
            <w:tcW w:w="1162" w:type="dxa"/>
            <w:shd w:val="clear" w:color="auto" w:fill="auto"/>
            <w:tcMar>
              <w:top w:w="40" w:type="dxa"/>
              <w:left w:w="80" w:type="dxa"/>
              <w:bottom w:w="60" w:type="dxa"/>
              <w:right w:w="40" w:type="dxa"/>
            </w:tcMar>
          </w:tcPr>
          <w:p w14:paraId="4F6D1178" w14:textId="77777777" w:rsidR="00D31EA2" w:rsidRDefault="00D31EA2" w:rsidP="00410442">
            <w:pPr>
              <w:rPr>
                <w:rFonts w:ascii="Arial" w:hAnsi="Arial" w:cs="Arial"/>
                <w:color w:val="000000"/>
                <w:sz w:val="18"/>
                <w:szCs w:val="18"/>
              </w:rPr>
            </w:pPr>
            <w:r>
              <w:rPr>
                <w:rFonts w:ascii="Arial" w:hAnsi="Arial" w:cs="Arial"/>
                <w:color w:val="000000"/>
                <w:sz w:val="18"/>
                <w:szCs w:val="18"/>
              </w:rPr>
              <w:t>25.3%</w:t>
            </w:r>
          </w:p>
        </w:tc>
        <w:tc>
          <w:tcPr>
            <w:tcW w:w="1163" w:type="dxa"/>
            <w:shd w:val="clear" w:color="auto" w:fill="auto"/>
            <w:tcMar>
              <w:top w:w="40" w:type="dxa"/>
              <w:left w:w="80" w:type="dxa"/>
              <w:bottom w:w="60" w:type="dxa"/>
              <w:right w:w="40" w:type="dxa"/>
            </w:tcMar>
          </w:tcPr>
          <w:p w14:paraId="26441431" w14:textId="77777777" w:rsidR="00D31EA2" w:rsidRDefault="00D31EA2" w:rsidP="00410442">
            <w:pPr>
              <w:rPr>
                <w:rFonts w:ascii="Arial" w:hAnsi="Arial" w:cs="Arial"/>
                <w:color w:val="000000"/>
                <w:sz w:val="18"/>
                <w:szCs w:val="18"/>
              </w:rPr>
            </w:pPr>
            <w:r>
              <w:rPr>
                <w:rFonts w:ascii="Arial" w:hAnsi="Arial" w:cs="Arial"/>
                <w:color w:val="000000"/>
                <w:sz w:val="18"/>
                <w:szCs w:val="18"/>
              </w:rPr>
              <w:t>20.9%</w:t>
            </w:r>
          </w:p>
        </w:tc>
      </w:tr>
      <w:tr w:rsidR="00D31EA2" w14:paraId="1646B98D" w14:textId="77777777" w:rsidTr="00311585">
        <w:trPr>
          <w:trHeight w:val="240"/>
        </w:trPr>
        <w:tc>
          <w:tcPr>
            <w:tcW w:w="3970" w:type="dxa"/>
            <w:vMerge/>
            <w:tcMar>
              <w:top w:w="40" w:type="dxa"/>
              <w:left w:w="120" w:type="dxa"/>
              <w:bottom w:w="40" w:type="dxa"/>
              <w:right w:w="40" w:type="dxa"/>
            </w:tcMar>
          </w:tcPr>
          <w:p w14:paraId="2A07711D" w14:textId="77777777" w:rsidR="00D31EA2" w:rsidRPr="00AA148D" w:rsidRDefault="00D31EA2" w:rsidP="00410442">
            <w:pPr>
              <w:rPr>
                <w:rFonts w:ascii="Arial" w:hAnsi="Arial" w:cs="Arial"/>
                <w:sz w:val="18"/>
                <w:szCs w:val="18"/>
              </w:rPr>
            </w:pPr>
          </w:p>
        </w:tc>
        <w:tc>
          <w:tcPr>
            <w:tcW w:w="1522" w:type="dxa"/>
            <w:shd w:val="clear" w:color="auto" w:fill="auto"/>
            <w:tcMar>
              <w:top w:w="40" w:type="dxa"/>
              <w:left w:w="80" w:type="dxa"/>
              <w:bottom w:w="40" w:type="dxa"/>
              <w:right w:w="40" w:type="dxa"/>
            </w:tcMar>
          </w:tcPr>
          <w:p w14:paraId="7A8B3FD2" w14:textId="611F4DC9" w:rsidR="00D31EA2" w:rsidRPr="00EE2B3B" w:rsidRDefault="00D31EA2" w:rsidP="00410442">
            <w:pPr>
              <w:rPr>
                <w:rFonts w:ascii="Arial" w:hAnsi="Arial" w:cs="Arial"/>
                <w:sz w:val="18"/>
                <w:szCs w:val="18"/>
              </w:rPr>
            </w:pPr>
            <w:r w:rsidRPr="00EE2B3B">
              <w:rPr>
                <w:rFonts w:ascii="Arial" w:hAnsi="Arial" w:cs="Arial"/>
                <w:sz w:val="18"/>
                <w:szCs w:val="18"/>
              </w:rPr>
              <w:t>55</w:t>
            </w:r>
            <w:r w:rsidR="000A5AD9">
              <w:rPr>
                <w:rFonts w:ascii="Arial" w:hAnsi="Arial" w:cs="Arial"/>
                <w:sz w:val="18"/>
                <w:szCs w:val="18"/>
              </w:rPr>
              <w:t>–</w:t>
            </w:r>
            <w:r w:rsidRPr="00EE2B3B">
              <w:rPr>
                <w:rFonts w:ascii="Arial" w:hAnsi="Arial" w:cs="Arial"/>
                <w:sz w:val="18"/>
                <w:szCs w:val="18"/>
              </w:rPr>
              <w:t>64</w:t>
            </w:r>
          </w:p>
        </w:tc>
        <w:tc>
          <w:tcPr>
            <w:tcW w:w="1162" w:type="dxa"/>
            <w:tcMar>
              <w:top w:w="43" w:type="dxa"/>
              <w:left w:w="86" w:type="dxa"/>
              <w:bottom w:w="58" w:type="dxa"/>
              <w:right w:w="43" w:type="dxa"/>
            </w:tcMar>
          </w:tcPr>
          <w:p w14:paraId="4B1C56C5" w14:textId="77777777" w:rsidR="00D31EA2" w:rsidRPr="00EE2B3B" w:rsidRDefault="00D31EA2" w:rsidP="00410442">
            <w:pPr>
              <w:rPr>
                <w:rFonts w:ascii="Arial" w:hAnsi="Arial" w:cs="Arial"/>
                <w:sz w:val="18"/>
                <w:szCs w:val="18"/>
              </w:rPr>
            </w:pPr>
            <w:r>
              <w:rPr>
                <w:rFonts w:ascii="Arial" w:hAnsi="Arial" w:cs="Arial"/>
                <w:sz w:val="18"/>
                <w:szCs w:val="18"/>
              </w:rPr>
              <w:t>13.4%</w:t>
            </w:r>
          </w:p>
        </w:tc>
        <w:tc>
          <w:tcPr>
            <w:tcW w:w="1162" w:type="dxa"/>
            <w:tcMar>
              <w:top w:w="43" w:type="dxa"/>
              <w:left w:w="86" w:type="dxa"/>
              <w:bottom w:w="58" w:type="dxa"/>
              <w:right w:w="43" w:type="dxa"/>
            </w:tcMar>
          </w:tcPr>
          <w:p w14:paraId="1939AA98" w14:textId="77777777" w:rsidR="00D31EA2" w:rsidRPr="00EE2B3B" w:rsidRDefault="00D31EA2" w:rsidP="00410442">
            <w:pPr>
              <w:rPr>
                <w:rFonts w:ascii="Arial" w:hAnsi="Arial" w:cs="Arial"/>
                <w:sz w:val="18"/>
                <w:szCs w:val="18"/>
              </w:rPr>
            </w:pPr>
            <w:r w:rsidRPr="00EE2B3B">
              <w:rPr>
                <w:rFonts w:ascii="Arial" w:hAnsi="Arial" w:cs="Arial"/>
                <w:sz w:val="18"/>
                <w:szCs w:val="18"/>
              </w:rPr>
              <w:t>14.0</w:t>
            </w:r>
            <w:r>
              <w:rPr>
                <w:rFonts w:ascii="Arial" w:hAnsi="Arial" w:cs="Arial"/>
                <w:sz w:val="18"/>
                <w:szCs w:val="18"/>
              </w:rPr>
              <w:t>%</w:t>
            </w:r>
          </w:p>
        </w:tc>
        <w:tc>
          <w:tcPr>
            <w:tcW w:w="1163" w:type="dxa"/>
            <w:shd w:val="clear" w:color="auto" w:fill="auto"/>
            <w:tcMar>
              <w:top w:w="40" w:type="dxa"/>
              <w:left w:w="80" w:type="dxa"/>
              <w:bottom w:w="60" w:type="dxa"/>
              <w:right w:w="40" w:type="dxa"/>
            </w:tcMar>
          </w:tcPr>
          <w:p w14:paraId="545259B1" w14:textId="77777777" w:rsidR="00D31EA2" w:rsidRDefault="00D31EA2" w:rsidP="00410442">
            <w:pPr>
              <w:rPr>
                <w:rFonts w:ascii="Arial" w:hAnsi="Arial" w:cs="Arial"/>
                <w:color w:val="000000"/>
                <w:sz w:val="18"/>
                <w:szCs w:val="18"/>
              </w:rPr>
            </w:pPr>
            <w:r>
              <w:rPr>
                <w:rFonts w:ascii="Arial" w:hAnsi="Arial" w:cs="Arial"/>
                <w:color w:val="000000"/>
                <w:sz w:val="18"/>
                <w:szCs w:val="18"/>
              </w:rPr>
              <w:t>14.9%</w:t>
            </w:r>
          </w:p>
        </w:tc>
        <w:tc>
          <w:tcPr>
            <w:tcW w:w="1162" w:type="dxa"/>
            <w:shd w:val="clear" w:color="auto" w:fill="auto"/>
            <w:tcMar>
              <w:top w:w="40" w:type="dxa"/>
              <w:left w:w="80" w:type="dxa"/>
              <w:bottom w:w="60" w:type="dxa"/>
              <w:right w:w="40" w:type="dxa"/>
            </w:tcMar>
          </w:tcPr>
          <w:p w14:paraId="7647B849" w14:textId="77777777" w:rsidR="00D31EA2" w:rsidRDefault="00D31EA2" w:rsidP="00410442">
            <w:pPr>
              <w:rPr>
                <w:rFonts w:ascii="Arial" w:hAnsi="Arial" w:cs="Arial"/>
                <w:color w:val="000000"/>
                <w:sz w:val="18"/>
                <w:szCs w:val="18"/>
              </w:rPr>
            </w:pPr>
            <w:r>
              <w:rPr>
                <w:rFonts w:ascii="Arial" w:hAnsi="Arial" w:cs="Arial"/>
                <w:color w:val="000000"/>
                <w:sz w:val="18"/>
                <w:szCs w:val="18"/>
              </w:rPr>
              <w:t>16.3%</w:t>
            </w:r>
          </w:p>
        </w:tc>
        <w:tc>
          <w:tcPr>
            <w:tcW w:w="1163" w:type="dxa"/>
            <w:shd w:val="clear" w:color="auto" w:fill="auto"/>
            <w:tcMar>
              <w:top w:w="40" w:type="dxa"/>
              <w:left w:w="80" w:type="dxa"/>
              <w:bottom w:w="60" w:type="dxa"/>
              <w:right w:w="40" w:type="dxa"/>
            </w:tcMar>
          </w:tcPr>
          <w:p w14:paraId="3875B252" w14:textId="77777777" w:rsidR="00D31EA2" w:rsidRDefault="00D31EA2" w:rsidP="00410442">
            <w:pPr>
              <w:rPr>
                <w:rFonts w:ascii="Arial" w:hAnsi="Arial" w:cs="Arial"/>
                <w:color w:val="000000"/>
                <w:sz w:val="18"/>
                <w:szCs w:val="18"/>
              </w:rPr>
            </w:pPr>
            <w:r>
              <w:rPr>
                <w:rFonts w:ascii="Arial" w:hAnsi="Arial" w:cs="Arial"/>
                <w:color w:val="000000"/>
                <w:sz w:val="18"/>
                <w:szCs w:val="18"/>
              </w:rPr>
              <w:t>15.4%</w:t>
            </w:r>
          </w:p>
        </w:tc>
      </w:tr>
      <w:tr w:rsidR="00D31EA2" w14:paraId="055730A5" w14:textId="77777777" w:rsidTr="00311585">
        <w:trPr>
          <w:trHeight w:val="240"/>
        </w:trPr>
        <w:tc>
          <w:tcPr>
            <w:tcW w:w="3970" w:type="dxa"/>
            <w:vMerge/>
            <w:tcMar>
              <w:top w:w="40" w:type="dxa"/>
              <w:left w:w="120" w:type="dxa"/>
              <w:bottom w:w="40" w:type="dxa"/>
              <w:right w:w="40" w:type="dxa"/>
            </w:tcMar>
          </w:tcPr>
          <w:p w14:paraId="32490DD2" w14:textId="77777777" w:rsidR="00D31EA2" w:rsidRPr="00AA148D" w:rsidRDefault="00D31EA2" w:rsidP="00410442">
            <w:pPr>
              <w:rPr>
                <w:rFonts w:ascii="Arial" w:hAnsi="Arial" w:cs="Arial"/>
                <w:sz w:val="18"/>
                <w:szCs w:val="18"/>
              </w:rPr>
            </w:pPr>
          </w:p>
        </w:tc>
        <w:tc>
          <w:tcPr>
            <w:tcW w:w="1522" w:type="dxa"/>
            <w:shd w:val="clear" w:color="auto" w:fill="auto"/>
            <w:tcMar>
              <w:top w:w="40" w:type="dxa"/>
              <w:left w:w="80" w:type="dxa"/>
              <w:bottom w:w="40" w:type="dxa"/>
              <w:right w:w="40" w:type="dxa"/>
            </w:tcMar>
          </w:tcPr>
          <w:p w14:paraId="37A40296" w14:textId="2EE609FA" w:rsidR="00D31EA2" w:rsidRPr="00EE2B3B" w:rsidRDefault="00D31EA2" w:rsidP="00410442">
            <w:pPr>
              <w:rPr>
                <w:rFonts w:ascii="Arial" w:hAnsi="Arial" w:cs="Arial"/>
                <w:sz w:val="18"/>
                <w:szCs w:val="18"/>
              </w:rPr>
            </w:pPr>
            <w:r w:rsidRPr="00EE2B3B">
              <w:rPr>
                <w:rFonts w:ascii="Arial" w:hAnsi="Arial" w:cs="Arial"/>
                <w:sz w:val="18"/>
                <w:szCs w:val="18"/>
              </w:rPr>
              <w:t>65</w:t>
            </w:r>
            <w:r w:rsidR="000A5AD9">
              <w:rPr>
                <w:rFonts w:ascii="Arial" w:hAnsi="Arial" w:cs="Arial"/>
                <w:sz w:val="18"/>
                <w:szCs w:val="18"/>
              </w:rPr>
              <w:t>–</w:t>
            </w:r>
            <w:r w:rsidRPr="00EE2B3B">
              <w:rPr>
                <w:rFonts w:ascii="Arial" w:hAnsi="Arial" w:cs="Arial"/>
                <w:sz w:val="18"/>
                <w:szCs w:val="18"/>
              </w:rPr>
              <w:t>74</w:t>
            </w:r>
          </w:p>
        </w:tc>
        <w:tc>
          <w:tcPr>
            <w:tcW w:w="1162" w:type="dxa"/>
            <w:tcMar>
              <w:top w:w="43" w:type="dxa"/>
              <w:left w:w="86" w:type="dxa"/>
              <w:bottom w:w="58" w:type="dxa"/>
              <w:right w:w="43" w:type="dxa"/>
            </w:tcMar>
          </w:tcPr>
          <w:p w14:paraId="2A041168" w14:textId="77777777" w:rsidR="00D31EA2" w:rsidRPr="00EE2B3B" w:rsidRDefault="00D31EA2" w:rsidP="00410442">
            <w:pPr>
              <w:rPr>
                <w:rFonts w:ascii="Arial" w:hAnsi="Arial" w:cs="Arial"/>
                <w:sz w:val="18"/>
                <w:szCs w:val="18"/>
              </w:rPr>
            </w:pPr>
            <w:r>
              <w:rPr>
                <w:rFonts w:ascii="Arial" w:hAnsi="Arial" w:cs="Arial"/>
                <w:sz w:val="18"/>
                <w:szCs w:val="18"/>
              </w:rPr>
              <w:t>1.8%</w:t>
            </w:r>
          </w:p>
        </w:tc>
        <w:tc>
          <w:tcPr>
            <w:tcW w:w="1162" w:type="dxa"/>
            <w:tcMar>
              <w:top w:w="43" w:type="dxa"/>
              <w:left w:w="86" w:type="dxa"/>
              <w:bottom w:w="58" w:type="dxa"/>
              <w:right w:w="43" w:type="dxa"/>
            </w:tcMar>
          </w:tcPr>
          <w:p w14:paraId="791C7F3F" w14:textId="77777777" w:rsidR="00D31EA2" w:rsidRPr="00EE2B3B" w:rsidRDefault="00D31EA2" w:rsidP="00410442">
            <w:pPr>
              <w:rPr>
                <w:rFonts w:ascii="Arial" w:hAnsi="Arial" w:cs="Arial"/>
                <w:sz w:val="18"/>
                <w:szCs w:val="18"/>
              </w:rPr>
            </w:pPr>
            <w:r w:rsidRPr="00EE2B3B">
              <w:rPr>
                <w:rFonts w:ascii="Arial" w:hAnsi="Arial" w:cs="Arial"/>
                <w:sz w:val="18"/>
                <w:szCs w:val="18"/>
              </w:rPr>
              <w:t>1.9</w:t>
            </w:r>
            <w:r>
              <w:rPr>
                <w:rFonts w:ascii="Arial" w:hAnsi="Arial" w:cs="Arial"/>
                <w:sz w:val="18"/>
                <w:szCs w:val="18"/>
              </w:rPr>
              <w:t>%</w:t>
            </w:r>
          </w:p>
        </w:tc>
        <w:tc>
          <w:tcPr>
            <w:tcW w:w="1163" w:type="dxa"/>
            <w:shd w:val="clear" w:color="auto" w:fill="auto"/>
            <w:tcMar>
              <w:top w:w="40" w:type="dxa"/>
              <w:left w:w="80" w:type="dxa"/>
              <w:bottom w:w="60" w:type="dxa"/>
              <w:right w:w="40" w:type="dxa"/>
            </w:tcMar>
          </w:tcPr>
          <w:p w14:paraId="554A8421" w14:textId="77777777" w:rsidR="00D31EA2" w:rsidRDefault="00D31EA2" w:rsidP="00410442">
            <w:pPr>
              <w:rPr>
                <w:rFonts w:ascii="Arial" w:hAnsi="Arial" w:cs="Arial"/>
                <w:color w:val="000000"/>
                <w:sz w:val="18"/>
                <w:szCs w:val="18"/>
              </w:rPr>
            </w:pPr>
            <w:r>
              <w:rPr>
                <w:rFonts w:ascii="Arial" w:hAnsi="Arial" w:cs="Arial"/>
                <w:color w:val="000000"/>
                <w:sz w:val="18"/>
                <w:szCs w:val="18"/>
              </w:rPr>
              <w:t>1.9%</w:t>
            </w:r>
          </w:p>
        </w:tc>
        <w:tc>
          <w:tcPr>
            <w:tcW w:w="1162" w:type="dxa"/>
            <w:shd w:val="clear" w:color="auto" w:fill="auto"/>
            <w:tcMar>
              <w:top w:w="40" w:type="dxa"/>
              <w:left w:w="80" w:type="dxa"/>
              <w:bottom w:w="60" w:type="dxa"/>
              <w:right w:w="40" w:type="dxa"/>
            </w:tcMar>
          </w:tcPr>
          <w:p w14:paraId="26BBC3BA" w14:textId="77777777" w:rsidR="00D31EA2" w:rsidRDefault="00D31EA2" w:rsidP="00410442">
            <w:pPr>
              <w:rPr>
                <w:rFonts w:ascii="Arial" w:hAnsi="Arial" w:cs="Arial"/>
                <w:color w:val="000000"/>
                <w:sz w:val="18"/>
                <w:szCs w:val="18"/>
              </w:rPr>
            </w:pPr>
            <w:r>
              <w:rPr>
                <w:rFonts w:ascii="Arial" w:hAnsi="Arial" w:cs="Arial"/>
                <w:color w:val="000000"/>
                <w:sz w:val="18"/>
                <w:szCs w:val="18"/>
              </w:rPr>
              <w:t>2.6%</w:t>
            </w:r>
          </w:p>
        </w:tc>
        <w:tc>
          <w:tcPr>
            <w:tcW w:w="1163" w:type="dxa"/>
            <w:shd w:val="clear" w:color="auto" w:fill="auto"/>
            <w:tcMar>
              <w:top w:w="40" w:type="dxa"/>
              <w:left w:w="80" w:type="dxa"/>
              <w:bottom w:w="60" w:type="dxa"/>
              <w:right w:w="40" w:type="dxa"/>
            </w:tcMar>
          </w:tcPr>
          <w:p w14:paraId="0C5072F7" w14:textId="77777777" w:rsidR="00D31EA2" w:rsidRDefault="00D31EA2" w:rsidP="00410442">
            <w:pPr>
              <w:rPr>
                <w:rFonts w:ascii="Arial" w:hAnsi="Arial" w:cs="Arial"/>
                <w:color w:val="000000"/>
                <w:sz w:val="18"/>
                <w:szCs w:val="18"/>
              </w:rPr>
            </w:pPr>
            <w:r>
              <w:rPr>
                <w:rFonts w:ascii="Arial" w:hAnsi="Arial" w:cs="Arial"/>
                <w:color w:val="000000"/>
                <w:sz w:val="18"/>
                <w:szCs w:val="18"/>
              </w:rPr>
              <w:t>4.5%</w:t>
            </w:r>
          </w:p>
        </w:tc>
      </w:tr>
      <w:tr w:rsidR="00D31EA2" w14:paraId="276FA303" w14:textId="77777777" w:rsidTr="00311585">
        <w:trPr>
          <w:trHeight w:val="240"/>
        </w:trPr>
        <w:tc>
          <w:tcPr>
            <w:tcW w:w="3970" w:type="dxa"/>
            <w:vMerge/>
            <w:tcMar>
              <w:top w:w="40" w:type="dxa"/>
              <w:left w:w="120" w:type="dxa"/>
              <w:bottom w:w="40" w:type="dxa"/>
              <w:right w:w="40" w:type="dxa"/>
            </w:tcMar>
          </w:tcPr>
          <w:p w14:paraId="7CF1E548" w14:textId="77777777" w:rsidR="00D31EA2" w:rsidRPr="00AA148D" w:rsidRDefault="00D31EA2" w:rsidP="00410442">
            <w:pPr>
              <w:rPr>
                <w:rFonts w:ascii="Arial" w:hAnsi="Arial" w:cs="Arial"/>
                <w:sz w:val="18"/>
                <w:szCs w:val="18"/>
              </w:rPr>
            </w:pPr>
          </w:p>
        </w:tc>
        <w:tc>
          <w:tcPr>
            <w:tcW w:w="1522" w:type="dxa"/>
            <w:shd w:val="clear" w:color="auto" w:fill="auto"/>
            <w:tcMar>
              <w:top w:w="40" w:type="dxa"/>
              <w:left w:w="80" w:type="dxa"/>
              <w:bottom w:w="40" w:type="dxa"/>
              <w:right w:w="40" w:type="dxa"/>
            </w:tcMar>
          </w:tcPr>
          <w:p w14:paraId="66F5F5F6" w14:textId="5224EADA" w:rsidR="00D31EA2" w:rsidRPr="00EE2B3B" w:rsidRDefault="00D31EA2" w:rsidP="00410442">
            <w:pPr>
              <w:rPr>
                <w:rFonts w:ascii="Arial" w:hAnsi="Arial" w:cs="Arial"/>
                <w:sz w:val="18"/>
                <w:szCs w:val="18"/>
              </w:rPr>
            </w:pPr>
            <w:r w:rsidRPr="00EE2B3B">
              <w:rPr>
                <w:rFonts w:ascii="Arial" w:hAnsi="Arial" w:cs="Arial"/>
                <w:sz w:val="18"/>
                <w:szCs w:val="18"/>
              </w:rPr>
              <w:t>75</w:t>
            </w:r>
            <w:r w:rsidR="000A5AD9">
              <w:rPr>
                <w:rFonts w:ascii="Arial" w:hAnsi="Arial" w:cs="Arial"/>
                <w:sz w:val="18"/>
                <w:szCs w:val="18"/>
              </w:rPr>
              <w:t>–</w:t>
            </w:r>
            <w:r w:rsidRPr="00EE2B3B">
              <w:rPr>
                <w:rFonts w:ascii="Arial" w:hAnsi="Arial" w:cs="Arial"/>
                <w:sz w:val="18"/>
                <w:szCs w:val="18"/>
              </w:rPr>
              <w:t>84</w:t>
            </w:r>
          </w:p>
        </w:tc>
        <w:tc>
          <w:tcPr>
            <w:tcW w:w="1162" w:type="dxa"/>
            <w:tcMar>
              <w:top w:w="43" w:type="dxa"/>
              <w:left w:w="86" w:type="dxa"/>
              <w:bottom w:w="58" w:type="dxa"/>
              <w:right w:w="43" w:type="dxa"/>
            </w:tcMar>
          </w:tcPr>
          <w:p w14:paraId="04E9D37C" w14:textId="77777777" w:rsidR="00D31EA2" w:rsidRPr="00EE2B3B" w:rsidRDefault="00D31EA2" w:rsidP="00410442">
            <w:pPr>
              <w:rPr>
                <w:rFonts w:ascii="Arial" w:hAnsi="Arial" w:cs="Arial"/>
                <w:sz w:val="18"/>
                <w:szCs w:val="18"/>
              </w:rPr>
            </w:pPr>
            <w:r>
              <w:rPr>
                <w:rFonts w:ascii="Arial" w:hAnsi="Arial" w:cs="Arial"/>
                <w:sz w:val="18"/>
                <w:szCs w:val="18"/>
              </w:rPr>
              <w:t>0.3%</w:t>
            </w:r>
          </w:p>
        </w:tc>
        <w:tc>
          <w:tcPr>
            <w:tcW w:w="1162" w:type="dxa"/>
            <w:tcMar>
              <w:top w:w="43" w:type="dxa"/>
              <w:left w:w="86" w:type="dxa"/>
              <w:bottom w:w="58" w:type="dxa"/>
              <w:right w:w="43" w:type="dxa"/>
            </w:tcMar>
          </w:tcPr>
          <w:p w14:paraId="1962EBDB" w14:textId="77777777" w:rsidR="00D31EA2" w:rsidRPr="00EE2B3B" w:rsidRDefault="00D31EA2" w:rsidP="00410442">
            <w:pPr>
              <w:rPr>
                <w:rFonts w:ascii="Arial" w:hAnsi="Arial" w:cs="Arial"/>
                <w:sz w:val="18"/>
                <w:szCs w:val="18"/>
              </w:rPr>
            </w:pPr>
            <w:r w:rsidRPr="00EE2B3B">
              <w:rPr>
                <w:rFonts w:ascii="Arial" w:hAnsi="Arial" w:cs="Arial"/>
                <w:sz w:val="18"/>
                <w:szCs w:val="18"/>
              </w:rPr>
              <w:t>0.3</w:t>
            </w:r>
            <w:r>
              <w:rPr>
                <w:rFonts w:ascii="Arial" w:hAnsi="Arial" w:cs="Arial"/>
                <w:sz w:val="18"/>
                <w:szCs w:val="18"/>
              </w:rPr>
              <w:t>%</w:t>
            </w:r>
          </w:p>
        </w:tc>
        <w:tc>
          <w:tcPr>
            <w:tcW w:w="1163" w:type="dxa"/>
            <w:shd w:val="clear" w:color="auto" w:fill="auto"/>
            <w:tcMar>
              <w:top w:w="40" w:type="dxa"/>
              <w:left w:w="80" w:type="dxa"/>
              <w:bottom w:w="60" w:type="dxa"/>
              <w:right w:w="40" w:type="dxa"/>
            </w:tcMar>
          </w:tcPr>
          <w:p w14:paraId="02FEDFB1" w14:textId="77777777" w:rsidR="00D31EA2" w:rsidRDefault="00D31EA2" w:rsidP="00410442">
            <w:pPr>
              <w:rPr>
                <w:rFonts w:ascii="Arial" w:hAnsi="Arial" w:cs="Arial"/>
                <w:color w:val="000000"/>
                <w:sz w:val="18"/>
                <w:szCs w:val="18"/>
              </w:rPr>
            </w:pPr>
            <w:r>
              <w:rPr>
                <w:rFonts w:ascii="Arial" w:hAnsi="Arial" w:cs="Arial"/>
                <w:color w:val="000000"/>
                <w:sz w:val="18"/>
                <w:szCs w:val="18"/>
              </w:rPr>
              <w:t>0.3%</w:t>
            </w:r>
          </w:p>
        </w:tc>
        <w:tc>
          <w:tcPr>
            <w:tcW w:w="1162" w:type="dxa"/>
            <w:shd w:val="clear" w:color="auto" w:fill="auto"/>
            <w:tcMar>
              <w:top w:w="40" w:type="dxa"/>
              <w:left w:w="80" w:type="dxa"/>
              <w:bottom w:w="60" w:type="dxa"/>
              <w:right w:w="40" w:type="dxa"/>
            </w:tcMar>
          </w:tcPr>
          <w:p w14:paraId="06D84672" w14:textId="77777777" w:rsidR="00D31EA2" w:rsidRDefault="00D31EA2" w:rsidP="00410442">
            <w:pPr>
              <w:rPr>
                <w:rFonts w:ascii="Arial" w:hAnsi="Arial" w:cs="Arial"/>
                <w:color w:val="000000"/>
                <w:sz w:val="18"/>
                <w:szCs w:val="18"/>
              </w:rPr>
            </w:pPr>
            <w:r>
              <w:rPr>
                <w:rFonts w:ascii="Arial" w:hAnsi="Arial" w:cs="Arial"/>
                <w:color w:val="000000"/>
                <w:sz w:val="18"/>
                <w:szCs w:val="18"/>
              </w:rPr>
              <w:t>0.4%</w:t>
            </w:r>
          </w:p>
        </w:tc>
        <w:tc>
          <w:tcPr>
            <w:tcW w:w="1163" w:type="dxa"/>
            <w:shd w:val="clear" w:color="auto" w:fill="auto"/>
            <w:tcMar>
              <w:top w:w="40" w:type="dxa"/>
              <w:left w:w="80" w:type="dxa"/>
              <w:bottom w:w="60" w:type="dxa"/>
              <w:right w:w="40" w:type="dxa"/>
            </w:tcMar>
          </w:tcPr>
          <w:p w14:paraId="32133F49" w14:textId="77777777" w:rsidR="00D31EA2" w:rsidRDefault="00D31EA2" w:rsidP="00410442">
            <w:pPr>
              <w:rPr>
                <w:rFonts w:ascii="Arial" w:hAnsi="Arial" w:cs="Arial"/>
                <w:color w:val="000000"/>
                <w:sz w:val="18"/>
                <w:szCs w:val="18"/>
              </w:rPr>
            </w:pPr>
            <w:r>
              <w:rPr>
                <w:rFonts w:ascii="Arial" w:hAnsi="Arial" w:cs="Arial"/>
                <w:color w:val="000000"/>
                <w:sz w:val="18"/>
                <w:szCs w:val="18"/>
              </w:rPr>
              <w:t>0.8%</w:t>
            </w:r>
          </w:p>
        </w:tc>
      </w:tr>
      <w:tr w:rsidR="00D31EA2" w14:paraId="0C3C0738" w14:textId="77777777" w:rsidTr="00311585">
        <w:trPr>
          <w:trHeight w:val="240"/>
        </w:trPr>
        <w:tc>
          <w:tcPr>
            <w:tcW w:w="3970" w:type="dxa"/>
            <w:vMerge/>
            <w:tcMar>
              <w:top w:w="40" w:type="dxa"/>
              <w:left w:w="120" w:type="dxa"/>
              <w:bottom w:w="40" w:type="dxa"/>
              <w:right w:w="40" w:type="dxa"/>
            </w:tcMar>
          </w:tcPr>
          <w:p w14:paraId="00CD69F8" w14:textId="77777777" w:rsidR="00D31EA2" w:rsidRPr="00AA148D" w:rsidRDefault="00D31EA2" w:rsidP="00410442">
            <w:pPr>
              <w:rPr>
                <w:rFonts w:ascii="Arial" w:hAnsi="Arial" w:cs="Arial"/>
                <w:sz w:val="18"/>
                <w:szCs w:val="18"/>
              </w:rPr>
            </w:pPr>
          </w:p>
        </w:tc>
        <w:tc>
          <w:tcPr>
            <w:tcW w:w="1522" w:type="dxa"/>
            <w:shd w:val="clear" w:color="auto" w:fill="auto"/>
            <w:tcMar>
              <w:top w:w="40" w:type="dxa"/>
              <w:left w:w="80" w:type="dxa"/>
              <w:bottom w:w="40" w:type="dxa"/>
              <w:right w:w="40" w:type="dxa"/>
            </w:tcMar>
          </w:tcPr>
          <w:p w14:paraId="63670FF1" w14:textId="11DC9867" w:rsidR="00D31EA2" w:rsidRPr="00EE2B3B" w:rsidRDefault="00D31EA2" w:rsidP="00410442">
            <w:pPr>
              <w:rPr>
                <w:rFonts w:ascii="Arial" w:hAnsi="Arial" w:cs="Arial"/>
                <w:sz w:val="18"/>
                <w:szCs w:val="18"/>
              </w:rPr>
            </w:pPr>
            <w:r w:rsidRPr="00EE2B3B">
              <w:rPr>
                <w:rFonts w:ascii="Arial" w:hAnsi="Arial" w:cs="Arial"/>
                <w:sz w:val="18"/>
                <w:szCs w:val="18"/>
              </w:rPr>
              <w:t>85</w:t>
            </w:r>
            <w:r w:rsidR="000A5AD9">
              <w:rPr>
                <w:rFonts w:ascii="Arial" w:hAnsi="Arial" w:cs="Arial"/>
                <w:sz w:val="18"/>
                <w:szCs w:val="18"/>
              </w:rPr>
              <w:t>–</w:t>
            </w:r>
            <w:r w:rsidRPr="00EE2B3B">
              <w:rPr>
                <w:rFonts w:ascii="Arial" w:hAnsi="Arial" w:cs="Arial"/>
                <w:sz w:val="18"/>
                <w:szCs w:val="18"/>
              </w:rPr>
              <w:t>94</w:t>
            </w:r>
          </w:p>
        </w:tc>
        <w:tc>
          <w:tcPr>
            <w:tcW w:w="1162" w:type="dxa"/>
            <w:tcMar>
              <w:top w:w="43" w:type="dxa"/>
              <w:left w:w="86" w:type="dxa"/>
              <w:bottom w:w="58" w:type="dxa"/>
              <w:right w:w="43" w:type="dxa"/>
            </w:tcMar>
          </w:tcPr>
          <w:p w14:paraId="03DB85A2" w14:textId="77777777" w:rsidR="00D31EA2" w:rsidRPr="00EE2B3B" w:rsidRDefault="00D31EA2" w:rsidP="00410442">
            <w:pPr>
              <w:rPr>
                <w:rFonts w:ascii="Arial" w:hAnsi="Arial" w:cs="Arial"/>
                <w:sz w:val="18"/>
                <w:szCs w:val="18"/>
              </w:rPr>
            </w:pPr>
            <w:r>
              <w:rPr>
                <w:rFonts w:ascii="Arial" w:hAnsi="Arial" w:cs="Arial"/>
                <w:sz w:val="18"/>
                <w:szCs w:val="18"/>
              </w:rPr>
              <w:t>0.0%</w:t>
            </w:r>
          </w:p>
        </w:tc>
        <w:tc>
          <w:tcPr>
            <w:tcW w:w="1162" w:type="dxa"/>
            <w:tcMar>
              <w:top w:w="43" w:type="dxa"/>
              <w:left w:w="86" w:type="dxa"/>
              <w:bottom w:w="58" w:type="dxa"/>
              <w:right w:w="43" w:type="dxa"/>
            </w:tcMar>
          </w:tcPr>
          <w:p w14:paraId="17A23C7F" w14:textId="77777777" w:rsidR="00D31EA2" w:rsidRPr="00EE2B3B" w:rsidRDefault="00D31EA2" w:rsidP="00410442">
            <w:pPr>
              <w:rPr>
                <w:rFonts w:ascii="Arial" w:hAnsi="Arial" w:cs="Arial"/>
                <w:sz w:val="18"/>
                <w:szCs w:val="18"/>
              </w:rPr>
            </w:pPr>
            <w:r w:rsidRPr="00EE2B3B">
              <w:rPr>
                <w:rFonts w:ascii="Arial" w:hAnsi="Arial" w:cs="Arial"/>
                <w:sz w:val="18"/>
                <w:szCs w:val="18"/>
              </w:rPr>
              <w:t>0.0</w:t>
            </w:r>
            <w:r>
              <w:rPr>
                <w:rFonts w:ascii="Arial" w:hAnsi="Arial" w:cs="Arial"/>
                <w:sz w:val="18"/>
                <w:szCs w:val="18"/>
              </w:rPr>
              <w:t>%</w:t>
            </w:r>
          </w:p>
        </w:tc>
        <w:tc>
          <w:tcPr>
            <w:tcW w:w="1163" w:type="dxa"/>
            <w:shd w:val="clear" w:color="auto" w:fill="auto"/>
            <w:tcMar>
              <w:top w:w="40" w:type="dxa"/>
              <w:left w:w="80" w:type="dxa"/>
              <w:bottom w:w="60" w:type="dxa"/>
              <w:right w:w="40" w:type="dxa"/>
            </w:tcMar>
          </w:tcPr>
          <w:p w14:paraId="45F780CB" w14:textId="77777777" w:rsidR="00D31EA2" w:rsidRDefault="00D31EA2" w:rsidP="00410442">
            <w:pPr>
              <w:rPr>
                <w:rFonts w:ascii="Arial" w:hAnsi="Arial" w:cs="Arial"/>
                <w:color w:val="000000"/>
                <w:sz w:val="18"/>
                <w:szCs w:val="18"/>
              </w:rPr>
            </w:pPr>
            <w:r>
              <w:rPr>
                <w:rFonts w:ascii="Arial" w:hAnsi="Arial" w:cs="Arial"/>
                <w:color w:val="000000"/>
                <w:sz w:val="18"/>
                <w:szCs w:val="18"/>
              </w:rPr>
              <w:t>0.0%</w:t>
            </w:r>
          </w:p>
        </w:tc>
        <w:tc>
          <w:tcPr>
            <w:tcW w:w="1162" w:type="dxa"/>
            <w:shd w:val="clear" w:color="auto" w:fill="auto"/>
            <w:tcMar>
              <w:top w:w="40" w:type="dxa"/>
              <w:left w:w="80" w:type="dxa"/>
              <w:bottom w:w="60" w:type="dxa"/>
              <w:right w:w="40" w:type="dxa"/>
            </w:tcMar>
          </w:tcPr>
          <w:p w14:paraId="4314CF7A" w14:textId="77777777" w:rsidR="00D31EA2" w:rsidRDefault="00D31EA2" w:rsidP="00410442">
            <w:pPr>
              <w:rPr>
                <w:rFonts w:ascii="Arial" w:hAnsi="Arial" w:cs="Arial"/>
                <w:color w:val="000000"/>
                <w:sz w:val="18"/>
                <w:szCs w:val="18"/>
              </w:rPr>
            </w:pPr>
            <w:r>
              <w:rPr>
                <w:rFonts w:ascii="Arial" w:hAnsi="Arial" w:cs="Arial"/>
                <w:color w:val="000000"/>
                <w:sz w:val="18"/>
                <w:szCs w:val="18"/>
              </w:rPr>
              <w:t>0.0%</w:t>
            </w:r>
          </w:p>
        </w:tc>
        <w:tc>
          <w:tcPr>
            <w:tcW w:w="1163" w:type="dxa"/>
            <w:shd w:val="clear" w:color="auto" w:fill="auto"/>
            <w:tcMar>
              <w:top w:w="40" w:type="dxa"/>
              <w:left w:w="80" w:type="dxa"/>
              <w:bottom w:w="60" w:type="dxa"/>
              <w:right w:w="40" w:type="dxa"/>
            </w:tcMar>
          </w:tcPr>
          <w:p w14:paraId="10684C19" w14:textId="77777777" w:rsidR="00D31EA2" w:rsidRDefault="00D31EA2" w:rsidP="00410442">
            <w:pPr>
              <w:rPr>
                <w:rFonts w:ascii="Arial" w:hAnsi="Arial" w:cs="Arial"/>
                <w:color w:val="000000"/>
                <w:sz w:val="18"/>
                <w:szCs w:val="18"/>
              </w:rPr>
            </w:pPr>
            <w:r>
              <w:rPr>
                <w:rFonts w:ascii="Arial" w:hAnsi="Arial" w:cs="Arial"/>
                <w:color w:val="000000"/>
                <w:sz w:val="18"/>
                <w:szCs w:val="18"/>
              </w:rPr>
              <w:t>0.0%</w:t>
            </w:r>
          </w:p>
        </w:tc>
      </w:tr>
      <w:tr w:rsidR="00D31EA2" w14:paraId="283E7F7C" w14:textId="77777777" w:rsidTr="00311585">
        <w:trPr>
          <w:trHeight w:val="240"/>
        </w:trPr>
        <w:tc>
          <w:tcPr>
            <w:tcW w:w="3970" w:type="dxa"/>
            <w:vMerge/>
            <w:tcMar>
              <w:top w:w="40" w:type="dxa"/>
              <w:left w:w="120" w:type="dxa"/>
              <w:bottom w:w="40" w:type="dxa"/>
              <w:right w:w="40" w:type="dxa"/>
            </w:tcMar>
          </w:tcPr>
          <w:p w14:paraId="75EDA24B" w14:textId="77777777" w:rsidR="00D31EA2" w:rsidRPr="00AA148D" w:rsidRDefault="00D31EA2" w:rsidP="00410442">
            <w:pPr>
              <w:rPr>
                <w:rFonts w:ascii="Arial" w:hAnsi="Arial" w:cs="Arial"/>
                <w:sz w:val="18"/>
                <w:szCs w:val="18"/>
              </w:rPr>
            </w:pPr>
          </w:p>
        </w:tc>
        <w:tc>
          <w:tcPr>
            <w:tcW w:w="1522" w:type="dxa"/>
            <w:shd w:val="clear" w:color="auto" w:fill="auto"/>
            <w:tcMar>
              <w:top w:w="40" w:type="dxa"/>
              <w:left w:w="80" w:type="dxa"/>
              <w:bottom w:w="40" w:type="dxa"/>
              <w:right w:w="40" w:type="dxa"/>
            </w:tcMar>
          </w:tcPr>
          <w:p w14:paraId="387804DE" w14:textId="77777777" w:rsidR="00D31EA2" w:rsidRPr="00EE2B3B" w:rsidRDefault="00D31EA2" w:rsidP="00410442">
            <w:pPr>
              <w:rPr>
                <w:rFonts w:ascii="Arial" w:hAnsi="Arial" w:cs="Arial"/>
                <w:sz w:val="18"/>
                <w:szCs w:val="18"/>
              </w:rPr>
            </w:pPr>
            <w:r w:rsidRPr="00EE2B3B">
              <w:rPr>
                <w:rFonts w:ascii="Arial" w:hAnsi="Arial" w:cs="Arial"/>
                <w:sz w:val="18"/>
                <w:szCs w:val="18"/>
              </w:rPr>
              <w:t>95+</w:t>
            </w:r>
          </w:p>
        </w:tc>
        <w:tc>
          <w:tcPr>
            <w:tcW w:w="1162" w:type="dxa"/>
            <w:tcMar>
              <w:top w:w="43" w:type="dxa"/>
              <w:left w:w="86" w:type="dxa"/>
              <w:bottom w:w="58" w:type="dxa"/>
              <w:right w:w="43" w:type="dxa"/>
            </w:tcMar>
          </w:tcPr>
          <w:p w14:paraId="6F5F8898" w14:textId="77777777" w:rsidR="00D31EA2" w:rsidRPr="00EE2B3B" w:rsidRDefault="00D31EA2" w:rsidP="00410442">
            <w:pPr>
              <w:rPr>
                <w:rFonts w:ascii="Arial" w:hAnsi="Arial" w:cs="Arial"/>
                <w:sz w:val="18"/>
                <w:szCs w:val="18"/>
              </w:rPr>
            </w:pPr>
            <w:r>
              <w:rPr>
                <w:rFonts w:ascii="Arial" w:hAnsi="Arial" w:cs="Arial"/>
                <w:sz w:val="18"/>
                <w:szCs w:val="18"/>
              </w:rPr>
              <w:t>2.5%</w:t>
            </w:r>
          </w:p>
        </w:tc>
        <w:tc>
          <w:tcPr>
            <w:tcW w:w="1162" w:type="dxa"/>
            <w:tcMar>
              <w:top w:w="43" w:type="dxa"/>
              <w:left w:w="86" w:type="dxa"/>
              <w:bottom w:w="58" w:type="dxa"/>
              <w:right w:w="43" w:type="dxa"/>
            </w:tcMar>
          </w:tcPr>
          <w:p w14:paraId="3F082827" w14:textId="77777777" w:rsidR="00D31EA2" w:rsidRPr="00EE2B3B" w:rsidRDefault="00D31EA2" w:rsidP="00410442">
            <w:pPr>
              <w:rPr>
                <w:rFonts w:ascii="Arial" w:hAnsi="Arial" w:cs="Arial"/>
                <w:sz w:val="18"/>
                <w:szCs w:val="18"/>
              </w:rPr>
            </w:pPr>
            <w:r w:rsidRPr="00EE2B3B">
              <w:rPr>
                <w:rFonts w:ascii="Arial" w:hAnsi="Arial" w:cs="Arial"/>
                <w:sz w:val="18"/>
                <w:szCs w:val="18"/>
              </w:rPr>
              <w:t>1.6</w:t>
            </w:r>
            <w:r>
              <w:rPr>
                <w:rFonts w:ascii="Arial" w:hAnsi="Arial" w:cs="Arial"/>
                <w:sz w:val="18"/>
                <w:szCs w:val="18"/>
              </w:rPr>
              <w:t>%</w:t>
            </w:r>
          </w:p>
        </w:tc>
        <w:tc>
          <w:tcPr>
            <w:tcW w:w="1163" w:type="dxa"/>
            <w:shd w:val="clear" w:color="auto" w:fill="auto"/>
            <w:tcMar>
              <w:top w:w="40" w:type="dxa"/>
              <w:left w:w="80" w:type="dxa"/>
              <w:bottom w:w="60" w:type="dxa"/>
              <w:right w:w="40" w:type="dxa"/>
            </w:tcMar>
          </w:tcPr>
          <w:p w14:paraId="36F9409A" w14:textId="77777777" w:rsidR="00D31EA2" w:rsidRDefault="00D31EA2" w:rsidP="00410442">
            <w:pPr>
              <w:rPr>
                <w:rFonts w:ascii="Arial" w:hAnsi="Arial" w:cs="Arial"/>
                <w:color w:val="000000"/>
                <w:sz w:val="18"/>
                <w:szCs w:val="18"/>
              </w:rPr>
            </w:pPr>
            <w:r>
              <w:rPr>
                <w:rFonts w:ascii="Arial" w:hAnsi="Arial" w:cs="Arial"/>
                <w:color w:val="000000"/>
                <w:sz w:val="18"/>
                <w:szCs w:val="18"/>
              </w:rPr>
              <w:t>0.9%</w:t>
            </w:r>
          </w:p>
        </w:tc>
        <w:tc>
          <w:tcPr>
            <w:tcW w:w="1162" w:type="dxa"/>
            <w:shd w:val="clear" w:color="auto" w:fill="auto"/>
            <w:tcMar>
              <w:top w:w="40" w:type="dxa"/>
              <w:left w:w="80" w:type="dxa"/>
              <w:bottom w:w="60" w:type="dxa"/>
              <w:right w:w="40" w:type="dxa"/>
            </w:tcMar>
          </w:tcPr>
          <w:p w14:paraId="13302505" w14:textId="77777777" w:rsidR="00D31EA2" w:rsidRDefault="00D31EA2" w:rsidP="00410442">
            <w:pPr>
              <w:rPr>
                <w:rFonts w:ascii="Arial" w:hAnsi="Arial" w:cs="Arial"/>
                <w:color w:val="000000"/>
                <w:sz w:val="18"/>
                <w:szCs w:val="18"/>
              </w:rPr>
            </w:pPr>
            <w:r>
              <w:rPr>
                <w:rFonts w:ascii="Arial" w:hAnsi="Arial" w:cs="Arial"/>
                <w:color w:val="000000"/>
                <w:sz w:val="18"/>
                <w:szCs w:val="18"/>
              </w:rPr>
              <w:t>0.0%</w:t>
            </w:r>
          </w:p>
        </w:tc>
        <w:tc>
          <w:tcPr>
            <w:tcW w:w="1163" w:type="dxa"/>
            <w:shd w:val="clear" w:color="auto" w:fill="auto"/>
            <w:tcMar>
              <w:top w:w="40" w:type="dxa"/>
              <w:left w:w="80" w:type="dxa"/>
              <w:bottom w:w="60" w:type="dxa"/>
              <w:right w:w="40" w:type="dxa"/>
            </w:tcMar>
          </w:tcPr>
          <w:p w14:paraId="3908F8D3" w14:textId="77777777" w:rsidR="00D31EA2" w:rsidRDefault="00D31EA2" w:rsidP="00410442">
            <w:pPr>
              <w:rPr>
                <w:rFonts w:ascii="Arial" w:hAnsi="Arial" w:cs="Arial"/>
                <w:color w:val="000000"/>
                <w:sz w:val="18"/>
                <w:szCs w:val="18"/>
              </w:rPr>
            </w:pPr>
            <w:r>
              <w:rPr>
                <w:rFonts w:ascii="Arial" w:hAnsi="Arial" w:cs="Arial"/>
                <w:color w:val="000000"/>
                <w:sz w:val="18"/>
                <w:szCs w:val="18"/>
              </w:rPr>
              <w:t>0.1%</w:t>
            </w:r>
          </w:p>
        </w:tc>
      </w:tr>
      <w:tr w:rsidR="00D31EA2" w14:paraId="1B5087A6" w14:textId="77777777" w:rsidTr="00311585">
        <w:trPr>
          <w:trHeight w:val="240"/>
        </w:trPr>
        <w:tc>
          <w:tcPr>
            <w:tcW w:w="3970" w:type="dxa"/>
            <w:vMerge/>
            <w:tcMar>
              <w:top w:w="40" w:type="dxa"/>
              <w:left w:w="120" w:type="dxa"/>
              <w:bottom w:w="40" w:type="dxa"/>
              <w:right w:w="40" w:type="dxa"/>
            </w:tcMar>
          </w:tcPr>
          <w:p w14:paraId="00AD80CE" w14:textId="77777777" w:rsidR="00D31EA2" w:rsidRPr="00AA148D" w:rsidRDefault="00D31EA2" w:rsidP="00410442">
            <w:pPr>
              <w:rPr>
                <w:rFonts w:ascii="Arial" w:hAnsi="Arial" w:cs="Arial"/>
                <w:sz w:val="18"/>
                <w:szCs w:val="18"/>
              </w:rPr>
            </w:pPr>
          </w:p>
        </w:tc>
        <w:tc>
          <w:tcPr>
            <w:tcW w:w="1522" w:type="dxa"/>
            <w:shd w:val="clear" w:color="auto" w:fill="auto"/>
            <w:tcMar>
              <w:top w:w="40" w:type="dxa"/>
              <w:left w:w="80" w:type="dxa"/>
              <w:bottom w:w="40" w:type="dxa"/>
              <w:right w:w="40" w:type="dxa"/>
            </w:tcMar>
          </w:tcPr>
          <w:p w14:paraId="1B3320A0" w14:textId="77777777" w:rsidR="00D31EA2" w:rsidRPr="00EE2B3B" w:rsidRDefault="00D31EA2" w:rsidP="00410442">
            <w:pPr>
              <w:rPr>
                <w:rFonts w:ascii="Arial" w:hAnsi="Arial" w:cs="Arial"/>
                <w:sz w:val="18"/>
                <w:szCs w:val="18"/>
              </w:rPr>
            </w:pPr>
            <w:r w:rsidRPr="00EE2B3B">
              <w:rPr>
                <w:rFonts w:ascii="Arial" w:hAnsi="Arial" w:cs="Arial"/>
                <w:sz w:val="18"/>
                <w:szCs w:val="18"/>
              </w:rPr>
              <w:t>Unknown</w:t>
            </w:r>
          </w:p>
        </w:tc>
        <w:tc>
          <w:tcPr>
            <w:tcW w:w="1162" w:type="dxa"/>
            <w:tcMar>
              <w:top w:w="43" w:type="dxa"/>
              <w:left w:w="86" w:type="dxa"/>
              <w:bottom w:w="58" w:type="dxa"/>
              <w:right w:w="43" w:type="dxa"/>
            </w:tcMar>
          </w:tcPr>
          <w:p w14:paraId="1377600A" w14:textId="77777777" w:rsidR="00D31EA2" w:rsidRPr="00EE2B3B" w:rsidRDefault="00D31EA2" w:rsidP="00410442">
            <w:pPr>
              <w:rPr>
                <w:rFonts w:ascii="Arial" w:hAnsi="Arial" w:cs="Arial"/>
                <w:sz w:val="18"/>
                <w:szCs w:val="18"/>
              </w:rPr>
            </w:pPr>
            <w:r>
              <w:rPr>
                <w:rFonts w:ascii="Arial" w:hAnsi="Arial" w:cs="Arial"/>
                <w:sz w:val="18"/>
                <w:szCs w:val="18"/>
              </w:rPr>
              <w:t>0.6%</w:t>
            </w:r>
          </w:p>
        </w:tc>
        <w:tc>
          <w:tcPr>
            <w:tcW w:w="1162" w:type="dxa"/>
            <w:tcMar>
              <w:top w:w="43" w:type="dxa"/>
              <w:left w:w="86" w:type="dxa"/>
              <w:bottom w:w="58" w:type="dxa"/>
              <w:right w:w="43" w:type="dxa"/>
            </w:tcMar>
          </w:tcPr>
          <w:p w14:paraId="65AC0A4D" w14:textId="77777777" w:rsidR="00D31EA2" w:rsidRPr="00EE2B3B" w:rsidRDefault="00D31EA2" w:rsidP="00410442">
            <w:pPr>
              <w:rPr>
                <w:rFonts w:ascii="Arial" w:hAnsi="Arial" w:cs="Arial"/>
                <w:sz w:val="18"/>
                <w:szCs w:val="18"/>
              </w:rPr>
            </w:pPr>
            <w:r w:rsidRPr="00EE2B3B">
              <w:rPr>
                <w:rFonts w:ascii="Arial" w:hAnsi="Arial" w:cs="Arial"/>
                <w:sz w:val="18"/>
                <w:szCs w:val="18"/>
              </w:rPr>
              <w:t>0.5</w:t>
            </w:r>
            <w:r>
              <w:rPr>
                <w:rFonts w:ascii="Arial" w:hAnsi="Arial" w:cs="Arial"/>
                <w:sz w:val="18"/>
                <w:szCs w:val="18"/>
              </w:rPr>
              <w:t>%</w:t>
            </w:r>
          </w:p>
        </w:tc>
        <w:tc>
          <w:tcPr>
            <w:tcW w:w="1163" w:type="dxa"/>
            <w:shd w:val="clear" w:color="auto" w:fill="auto"/>
            <w:tcMar>
              <w:top w:w="40" w:type="dxa"/>
              <w:left w:w="80" w:type="dxa"/>
              <w:bottom w:w="60" w:type="dxa"/>
              <w:right w:w="40" w:type="dxa"/>
            </w:tcMar>
          </w:tcPr>
          <w:p w14:paraId="14142A0B" w14:textId="77777777" w:rsidR="00D31EA2" w:rsidRDefault="00D31EA2" w:rsidP="00410442">
            <w:pPr>
              <w:rPr>
                <w:rFonts w:ascii="Arial" w:hAnsi="Arial" w:cs="Arial"/>
                <w:color w:val="000000"/>
                <w:sz w:val="18"/>
                <w:szCs w:val="18"/>
              </w:rPr>
            </w:pPr>
            <w:r>
              <w:rPr>
                <w:rFonts w:ascii="Arial" w:hAnsi="Arial" w:cs="Arial"/>
                <w:color w:val="000000"/>
                <w:sz w:val="18"/>
                <w:szCs w:val="18"/>
              </w:rPr>
              <w:t>0.5%</w:t>
            </w:r>
          </w:p>
        </w:tc>
        <w:tc>
          <w:tcPr>
            <w:tcW w:w="1162" w:type="dxa"/>
            <w:shd w:val="clear" w:color="auto" w:fill="auto"/>
            <w:tcMar>
              <w:top w:w="40" w:type="dxa"/>
              <w:left w:w="80" w:type="dxa"/>
              <w:bottom w:w="60" w:type="dxa"/>
              <w:right w:w="40" w:type="dxa"/>
            </w:tcMar>
          </w:tcPr>
          <w:p w14:paraId="649D9FBE" w14:textId="77777777" w:rsidR="00D31EA2" w:rsidRDefault="00D31EA2" w:rsidP="00410442">
            <w:pPr>
              <w:rPr>
                <w:rFonts w:ascii="Arial" w:hAnsi="Arial" w:cs="Arial"/>
                <w:color w:val="000000"/>
                <w:sz w:val="18"/>
                <w:szCs w:val="18"/>
              </w:rPr>
            </w:pPr>
            <w:r>
              <w:rPr>
                <w:rFonts w:ascii="Arial" w:hAnsi="Arial" w:cs="Arial"/>
                <w:color w:val="000000"/>
                <w:sz w:val="18"/>
                <w:szCs w:val="18"/>
              </w:rPr>
              <w:t>0.0%</w:t>
            </w:r>
          </w:p>
        </w:tc>
        <w:tc>
          <w:tcPr>
            <w:tcW w:w="1163" w:type="dxa"/>
            <w:shd w:val="clear" w:color="auto" w:fill="auto"/>
            <w:tcMar>
              <w:top w:w="40" w:type="dxa"/>
              <w:left w:w="80" w:type="dxa"/>
              <w:bottom w:w="60" w:type="dxa"/>
              <w:right w:w="40" w:type="dxa"/>
            </w:tcMar>
          </w:tcPr>
          <w:p w14:paraId="0E061B43" w14:textId="77777777" w:rsidR="00D31EA2" w:rsidRDefault="00D31EA2" w:rsidP="00410442">
            <w:pPr>
              <w:rPr>
                <w:rFonts w:ascii="Arial" w:hAnsi="Arial" w:cs="Arial"/>
                <w:color w:val="000000"/>
                <w:sz w:val="18"/>
                <w:szCs w:val="18"/>
              </w:rPr>
            </w:pPr>
            <w:r>
              <w:rPr>
                <w:rFonts w:ascii="Arial" w:hAnsi="Arial" w:cs="Arial"/>
                <w:color w:val="000000"/>
                <w:sz w:val="18"/>
                <w:szCs w:val="18"/>
              </w:rPr>
              <w:t>0.0%</w:t>
            </w:r>
          </w:p>
        </w:tc>
      </w:tr>
      <w:tr w:rsidR="00D31EA2" w14:paraId="4522BBD1" w14:textId="77777777" w:rsidTr="00311585">
        <w:trPr>
          <w:trHeight w:val="240"/>
        </w:trPr>
        <w:tc>
          <w:tcPr>
            <w:tcW w:w="3970" w:type="dxa"/>
            <w:tcMar>
              <w:top w:w="40" w:type="dxa"/>
              <w:left w:w="120" w:type="dxa"/>
              <w:bottom w:w="40" w:type="dxa"/>
              <w:right w:w="40" w:type="dxa"/>
            </w:tcMar>
          </w:tcPr>
          <w:p w14:paraId="7B70A885"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Aboriginal or Torres Strait Islander (%)</w:t>
            </w:r>
          </w:p>
        </w:tc>
        <w:tc>
          <w:tcPr>
            <w:tcW w:w="1522" w:type="dxa"/>
            <w:shd w:val="clear" w:color="auto" w:fill="auto"/>
            <w:tcMar>
              <w:top w:w="40" w:type="dxa"/>
              <w:left w:w="80" w:type="dxa"/>
              <w:bottom w:w="40" w:type="dxa"/>
              <w:right w:w="40" w:type="dxa"/>
            </w:tcMar>
          </w:tcPr>
          <w:p w14:paraId="2BFDDF84" w14:textId="77777777" w:rsidR="00D31EA2" w:rsidRPr="00EE2B3B" w:rsidRDefault="00D31EA2" w:rsidP="00410442">
            <w:pPr>
              <w:rPr>
                <w:rFonts w:ascii="Arial" w:hAnsi="Arial" w:cs="Arial"/>
                <w:sz w:val="18"/>
                <w:szCs w:val="18"/>
              </w:rPr>
            </w:pPr>
            <w:r w:rsidRPr="00EE2B3B">
              <w:rPr>
                <w:rFonts w:ascii="Arial" w:hAnsi="Arial" w:cs="Arial"/>
                <w:sz w:val="18"/>
                <w:szCs w:val="18"/>
              </w:rPr>
              <w:t>Indigenous</w:t>
            </w:r>
          </w:p>
        </w:tc>
        <w:tc>
          <w:tcPr>
            <w:tcW w:w="1162" w:type="dxa"/>
            <w:tcMar>
              <w:top w:w="43" w:type="dxa"/>
              <w:left w:w="86" w:type="dxa"/>
              <w:bottom w:w="58" w:type="dxa"/>
              <w:right w:w="43" w:type="dxa"/>
            </w:tcMar>
          </w:tcPr>
          <w:p w14:paraId="4574A5B1" w14:textId="77777777" w:rsidR="00D31EA2" w:rsidRPr="00EE2B3B" w:rsidRDefault="00D31EA2" w:rsidP="00410442">
            <w:pPr>
              <w:rPr>
                <w:rFonts w:ascii="Arial" w:hAnsi="Arial" w:cs="Arial"/>
                <w:sz w:val="18"/>
                <w:szCs w:val="18"/>
              </w:rPr>
            </w:pPr>
            <w:r>
              <w:rPr>
                <w:rFonts w:ascii="Arial" w:hAnsi="Arial" w:cs="Arial"/>
                <w:sz w:val="18"/>
                <w:szCs w:val="18"/>
              </w:rPr>
              <w:t>2.2%</w:t>
            </w:r>
          </w:p>
        </w:tc>
        <w:tc>
          <w:tcPr>
            <w:tcW w:w="1162" w:type="dxa"/>
            <w:tcMar>
              <w:top w:w="43" w:type="dxa"/>
              <w:left w:w="86" w:type="dxa"/>
              <w:bottom w:w="58" w:type="dxa"/>
              <w:right w:w="43" w:type="dxa"/>
            </w:tcMar>
          </w:tcPr>
          <w:p w14:paraId="27054FDE" w14:textId="77777777" w:rsidR="00D31EA2" w:rsidRPr="00EE2B3B" w:rsidRDefault="00D31EA2" w:rsidP="00410442">
            <w:pPr>
              <w:rPr>
                <w:rFonts w:ascii="Arial" w:hAnsi="Arial" w:cs="Arial"/>
                <w:sz w:val="18"/>
                <w:szCs w:val="18"/>
              </w:rPr>
            </w:pPr>
            <w:r w:rsidRPr="00EE2B3B">
              <w:rPr>
                <w:rFonts w:ascii="Arial" w:hAnsi="Arial" w:cs="Arial"/>
                <w:sz w:val="18"/>
                <w:szCs w:val="18"/>
              </w:rPr>
              <w:t>2.3</w:t>
            </w:r>
            <w:r>
              <w:rPr>
                <w:rFonts w:ascii="Arial" w:hAnsi="Arial" w:cs="Arial"/>
                <w:sz w:val="18"/>
                <w:szCs w:val="18"/>
              </w:rPr>
              <w:t>%</w:t>
            </w:r>
          </w:p>
        </w:tc>
        <w:tc>
          <w:tcPr>
            <w:tcW w:w="1163" w:type="dxa"/>
            <w:shd w:val="clear" w:color="auto" w:fill="auto"/>
            <w:tcMar>
              <w:top w:w="40" w:type="dxa"/>
              <w:left w:w="80" w:type="dxa"/>
              <w:bottom w:w="60" w:type="dxa"/>
              <w:right w:w="40" w:type="dxa"/>
            </w:tcMar>
          </w:tcPr>
          <w:p w14:paraId="11D5C5F4" w14:textId="77777777" w:rsidR="00D31EA2" w:rsidRDefault="00D31EA2" w:rsidP="00410442">
            <w:pPr>
              <w:rPr>
                <w:rFonts w:ascii="Arial" w:hAnsi="Arial" w:cs="Arial"/>
                <w:color w:val="000000"/>
                <w:sz w:val="18"/>
                <w:szCs w:val="18"/>
              </w:rPr>
            </w:pPr>
            <w:r>
              <w:rPr>
                <w:rFonts w:ascii="Arial" w:hAnsi="Arial" w:cs="Arial"/>
                <w:color w:val="000000"/>
                <w:sz w:val="18"/>
                <w:szCs w:val="18"/>
              </w:rPr>
              <w:t>1.9%</w:t>
            </w:r>
          </w:p>
        </w:tc>
        <w:tc>
          <w:tcPr>
            <w:tcW w:w="1162" w:type="dxa"/>
            <w:shd w:val="clear" w:color="auto" w:fill="auto"/>
            <w:tcMar>
              <w:top w:w="40" w:type="dxa"/>
              <w:left w:w="80" w:type="dxa"/>
              <w:bottom w:w="60" w:type="dxa"/>
              <w:right w:w="40" w:type="dxa"/>
            </w:tcMar>
          </w:tcPr>
          <w:p w14:paraId="5117CDFF" w14:textId="77777777" w:rsidR="00D31EA2" w:rsidRDefault="00D31EA2" w:rsidP="00410442">
            <w:pPr>
              <w:rPr>
                <w:rFonts w:ascii="Arial" w:hAnsi="Arial" w:cs="Arial"/>
                <w:color w:val="000000"/>
                <w:sz w:val="18"/>
                <w:szCs w:val="18"/>
              </w:rPr>
            </w:pPr>
            <w:r>
              <w:rPr>
                <w:rFonts w:ascii="Arial" w:hAnsi="Arial" w:cs="Arial"/>
                <w:color w:val="000000"/>
                <w:sz w:val="18"/>
                <w:szCs w:val="18"/>
              </w:rPr>
              <w:t>2.2%</w:t>
            </w:r>
          </w:p>
        </w:tc>
        <w:tc>
          <w:tcPr>
            <w:tcW w:w="1163" w:type="dxa"/>
            <w:shd w:val="clear" w:color="auto" w:fill="auto"/>
            <w:tcMar>
              <w:top w:w="40" w:type="dxa"/>
              <w:left w:w="80" w:type="dxa"/>
              <w:bottom w:w="60" w:type="dxa"/>
              <w:right w:w="40" w:type="dxa"/>
            </w:tcMar>
          </w:tcPr>
          <w:p w14:paraId="19469DDC" w14:textId="77777777" w:rsidR="00D31EA2" w:rsidRDefault="00D31EA2" w:rsidP="00410442">
            <w:pPr>
              <w:rPr>
                <w:rFonts w:ascii="Arial" w:hAnsi="Arial" w:cs="Arial"/>
                <w:color w:val="000000"/>
                <w:sz w:val="18"/>
                <w:szCs w:val="18"/>
              </w:rPr>
            </w:pPr>
            <w:r>
              <w:rPr>
                <w:rFonts w:ascii="Arial" w:hAnsi="Arial" w:cs="Arial"/>
                <w:color w:val="000000"/>
                <w:sz w:val="18"/>
                <w:szCs w:val="18"/>
              </w:rPr>
              <w:t>2.8%</w:t>
            </w:r>
          </w:p>
        </w:tc>
      </w:tr>
      <w:tr w:rsidR="00D31EA2" w14:paraId="3517FDEE" w14:textId="77777777" w:rsidTr="00311585">
        <w:trPr>
          <w:trHeight w:val="240"/>
        </w:trPr>
        <w:tc>
          <w:tcPr>
            <w:tcW w:w="3970" w:type="dxa"/>
            <w:tcMar>
              <w:top w:w="40" w:type="dxa"/>
              <w:left w:w="120" w:type="dxa"/>
              <w:bottom w:w="40" w:type="dxa"/>
              <w:right w:w="40" w:type="dxa"/>
            </w:tcMar>
          </w:tcPr>
          <w:p w14:paraId="608C11EC" w14:textId="2E8B8251" w:rsidR="00D31EA2" w:rsidRPr="00AA148D" w:rsidRDefault="001A10D7" w:rsidP="00410442">
            <w:pPr>
              <w:rPr>
                <w:rFonts w:ascii="Arial" w:hAnsi="Arial" w:cs="Arial"/>
                <w:sz w:val="18"/>
                <w:szCs w:val="18"/>
              </w:rPr>
            </w:pPr>
            <w:r>
              <w:rPr>
                <w:rFonts w:ascii="Arial" w:eastAsia="Verdana" w:hAnsi="Arial" w:cs="Arial"/>
                <w:color w:val="000000"/>
                <w:sz w:val="18"/>
                <w:szCs w:val="18"/>
              </w:rPr>
              <w:t>C</w:t>
            </w:r>
            <w:r w:rsidRPr="00AA148D">
              <w:rPr>
                <w:rFonts w:ascii="Arial" w:eastAsia="Verdana" w:hAnsi="Arial" w:cs="Arial"/>
                <w:color w:val="000000"/>
                <w:sz w:val="18"/>
                <w:szCs w:val="18"/>
              </w:rPr>
              <w:t xml:space="preserve">ulturally and linguistically diverse </w:t>
            </w:r>
            <w:r w:rsidR="00D31EA2" w:rsidRPr="00AA148D">
              <w:rPr>
                <w:rFonts w:ascii="Arial" w:eastAsia="Verdana" w:hAnsi="Arial" w:cs="Arial"/>
                <w:color w:val="000000"/>
                <w:sz w:val="18"/>
                <w:szCs w:val="18"/>
              </w:rPr>
              <w:t>status (%)</w:t>
            </w:r>
          </w:p>
        </w:tc>
        <w:tc>
          <w:tcPr>
            <w:tcW w:w="1522" w:type="dxa"/>
            <w:shd w:val="clear" w:color="auto" w:fill="auto"/>
            <w:tcMar>
              <w:top w:w="40" w:type="dxa"/>
              <w:left w:w="80" w:type="dxa"/>
              <w:bottom w:w="40" w:type="dxa"/>
              <w:right w:w="40" w:type="dxa"/>
            </w:tcMar>
          </w:tcPr>
          <w:p w14:paraId="78987222" w14:textId="77777777" w:rsidR="00D31EA2" w:rsidRPr="00EE2B3B" w:rsidRDefault="00D31EA2" w:rsidP="00410442">
            <w:pPr>
              <w:rPr>
                <w:rFonts w:ascii="Arial" w:hAnsi="Arial" w:cs="Arial"/>
                <w:sz w:val="18"/>
                <w:szCs w:val="18"/>
              </w:rPr>
            </w:pPr>
            <w:r w:rsidRPr="00EE2B3B">
              <w:rPr>
                <w:rFonts w:ascii="Arial" w:hAnsi="Arial" w:cs="Arial"/>
                <w:sz w:val="18"/>
                <w:szCs w:val="18"/>
              </w:rPr>
              <w:t>Yes</w:t>
            </w:r>
          </w:p>
        </w:tc>
        <w:tc>
          <w:tcPr>
            <w:tcW w:w="1162" w:type="dxa"/>
            <w:tcMar>
              <w:top w:w="43" w:type="dxa"/>
              <w:left w:w="86" w:type="dxa"/>
              <w:bottom w:w="58" w:type="dxa"/>
              <w:right w:w="43" w:type="dxa"/>
            </w:tcMar>
          </w:tcPr>
          <w:p w14:paraId="0B5F75AB" w14:textId="77777777" w:rsidR="00D31EA2" w:rsidRPr="00EE2B3B" w:rsidRDefault="00D31EA2" w:rsidP="00410442">
            <w:pPr>
              <w:rPr>
                <w:rFonts w:ascii="Arial" w:hAnsi="Arial" w:cs="Arial"/>
                <w:sz w:val="18"/>
                <w:szCs w:val="18"/>
              </w:rPr>
            </w:pPr>
            <w:r>
              <w:rPr>
                <w:rFonts w:ascii="Arial" w:hAnsi="Arial" w:cs="Arial"/>
                <w:sz w:val="18"/>
                <w:szCs w:val="18"/>
              </w:rPr>
              <w:t>4.4%</w:t>
            </w:r>
          </w:p>
        </w:tc>
        <w:tc>
          <w:tcPr>
            <w:tcW w:w="1162" w:type="dxa"/>
            <w:tcMar>
              <w:top w:w="43" w:type="dxa"/>
              <w:left w:w="86" w:type="dxa"/>
              <w:bottom w:w="58" w:type="dxa"/>
              <w:right w:w="43" w:type="dxa"/>
            </w:tcMar>
          </w:tcPr>
          <w:p w14:paraId="6831E993" w14:textId="77777777" w:rsidR="00D31EA2" w:rsidRPr="00EE2B3B" w:rsidRDefault="00D31EA2" w:rsidP="00410442">
            <w:pPr>
              <w:rPr>
                <w:rFonts w:ascii="Arial" w:hAnsi="Arial" w:cs="Arial"/>
                <w:sz w:val="18"/>
                <w:szCs w:val="18"/>
              </w:rPr>
            </w:pPr>
            <w:r w:rsidRPr="00EE2B3B">
              <w:rPr>
                <w:rFonts w:ascii="Arial" w:hAnsi="Arial" w:cs="Arial"/>
                <w:sz w:val="18"/>
                <w:szCs w:val="18"/>
              </w:rPr>
              <w:t>4.3</w:t>
            </w:r>
            <w:r>
              <w:rPr>
                <w:rFonts w:ascii="Arial" w:hAnsi="Arial" w:cs="Arial"/>
                <w:sz w:val="18"/>
                <w:szCs w:val="18"/>
              </w:rPr>
              <w:t>%</w:t>
            </w:r>
          </w:p>
        </w:tc>
        <w:tc>
          <w:tcPr>
            <w:tcW w:w="1163" w:type="dxa"/>
            <w:shd w:val="clear" w:color="auto" w:fill="auto"/>
            <w:tcMar>
              <w:top w:w="40" w:type="dxa"/>
              <w:left w:w="80" w:type="dxa"/>
              <w:bottom w:w="60" w:type="dxa"/>
              <w:right w:w="40" w:type="dxa"/>
            </w:tcMar>
          </w:tcPr>
          <w:p w14:paraId="5DDA9F0B" w14:textId="77777777" w:rsidR="00D31EA2" w:rsidRDefault="00D31EA2" w:rsidP="00410442">
            <w:pPr>
              <w:rPr>
                <w:rFonts w:ascii="Arial" w:hAnsi="Arial" w:cs="Arial"/>
                <w:color w:val="000000"/>
                <w:sz w:val="18"/>
                <w:szCs w:val="18"/>
              </w:rPr>
            </w:pPr>
            <w:r>
              <w:rPr>
                <w:rFonts w:ascii="Arial" w:hAnsi="Arial" w:cs="Arial"/>
                <w:color w:val="000000"/>
                <w:sz w:val="18"/>
                <w:szCs w:val="18"/>
              </w:rPr>
              <w:t>3.9%</w:t>
            </w:r>
          </w:p>
        </w:tc>
        <w:tc>
          <w:tcPr>
            <w:tcW w:w="1162" w:type="dxa"/>
            <w:shd w:val="clear" w:color="auto" w:fill="auto"/>
            <w:tcMar>
              <w:top w:w="40" w:type="dxa"/>
              <w:left w:w="80" w:type="dxa"/>
              <w:bottom w:w="60" w:type="dxa"/>
              <w:right w:w="40" w:type="dxa"/>
            </w:tcMar>
          </w:tcPr>
          <w:p w14:paraId="27143F64" w14:textId="77777777" w:rsidR="00D31EA2" w:rsidRDefault="00D31EA2" w:rsidP="00410442">
            <w:pPr>
              <w:rPr>
                <w:rFonts w:ascii="Arial" w:hAnsi="Arial" w:cs="Arial"/>
                <w:color w:val="000000"/>
                <w:sz w:val="18"/>
                <w:szCs w:val="18"/>
              </w:rPr>
            </w:pPr>
            <w:r>
              <w:rPr>
                <w:rFonts w:ascii="Arial" w:hAnsi="Arial" w:cs="Arial"/>
                <w:color w:val="000000"/>
                <w:sz w:val="18"/>
                <w:szCs w:val="18"/>
              </w:rPr>
              <w:t>4.8%</w:t>
            </w:r>
          </w:p>
        </w:tc>
        <w:tc>
          <w:tcPr>
            <w:tcW w:w="1163" w:type="dxa"/>
            <w:shd w:val="clear" w:color="auto" w:fill="auto"/>
            <w:tcMar>
              <w:top w:w="40" w:type="dxa"/>
              <w:left w:w="80" w:type="dxa"/>
              <w:bottom w:w="60" w:type="dxa"/>
              <w:right w:w="40" w:type="dxa"/>
            </w:tcMar>
          </w:tcPr>
          <w:p w14:paraId="4ED0A35D" w14:textId="77777777" w:rsidR="00D31EA2" w:rsidRDefault="00D31EA2" w:rsidP="00410442">
            <w:pPr>
              <w:rPr>
                <w:rFonts w:ascii="Arial" w:hAnsi="Arial" w:cs="Arial"/>
                <w:color w:val="000000"/>
                <w:sz w:val="18"/>
                <w:szCs w:val="18"/>
              </w:rPr>
            </w:pPr>
            <w:r>
              <w:rPr>
                <w:rFonts w:ascii="Arial" w:hAnsi="Arial" w:cs="Arial"/>
                <w:color w:val="000000"/>
                <w:sz w:val="18"/>
                <w:szCs w:val="18"/>
              </w:rPr>
              <w:t>5.4%</w:t>
            </w:r>
          </w:p>
        </w:tc>
      </w:tr>
    </w:tbl>
    <w:p w14:paraId="3143CF16" w14:textId="77777777" w:rsidR="00D31EA2" w:rsidRDefault="00D31EA2" w:rsidP="00157535">
      <w:pPr>
        <w:pStyle w:val="DHHSbodynospace"/>
      </w:pPr>
    </w:p>
    <w:tbl>
      <w:tblPr>
        <w:tblW w:w="0" w:type="auto"/>
        <w:tblBorders>
          <w:top w:val="single" w:sz="8" w:space="0" w:color="004EA8"/>
          <w:left w:val="single" w:sz="8" w:space="0" w:color="004EA8"/>
          <w:bottom w:val="single" w:sz="8" w:space="0" w:color="004EA8"/>
          <w:right w:val="single" w:sz="8" w:space="0" w:color="004EA8"/>
          <w:insideH w:val="single" w:sz="8" w:space="0" w:color="004EA8"/>
          <w:insideV w:val="single" w:sz="8" w:space="0" w:color="004EA8"/>
        </w:tblBorders>
        <w:tblCellMar>
          <w:left w:w="0" w:type="dxa"/>
          <w:right w:w="0" w:type="dxa"/>
        </w:tblCellMar>
        <w:tblLook w:val="0000" w:firstRow="0" w:lastRow="0" w:firstColumn="0" w:lastColumn="0" w:noHBand="0" w:noVBand="0"/>
      </w:tblPr>
      <w:tblGrid>
        <w:gridCol w:w="4140"/>
        <w:gridCol w:w="1029"/>
        <w:gridCol w:w="1030"/>
        <w:gridCol w:w="1026"/>
        <w:gridCol w:w="1027"/>
        <w:gridCol w:w="1026"/>
      </w:tblGrid>
      <w:tr w:rsidR="00311585" w:rsidRPr="00B33889" w14:paraId="6D2AF0C2" w14:textId="77777777" w:rsidTr="002A5994">
        <w:trPr>
          <w:trHeight w:val="279"/>
          <w:tblHeader/>
        </w:trPr>
        <w:tc>
          <w:tcPr>
            <w:tcW w:w="4140" w:type="dxa"/>
            <w:shd w:val="clear" w:color="auto" w:fill="004EA8"/>
            <w:tcMar>
              <w:top w:w="40" w:type="dxa"/>
              <w:left w:w="80" w:type="dxa"/>
              <w:bottom w:w="40" w:type="dxa"/>
              <w:right w:w="40" w:type="dxa"/>
            </w:tcMar>
            <w:vAlign w:val="center"/>
          </w:tcPr>
          <w:p w14:paraId="7CBFA1EC" w14:textId="39132489" w:rsidR="00311585" w:rsidRPr="00B33889" w:rsidRDefault="00311585" w:rsidP="00311585">
            <w:pPr>
              <w:rPr>
                <w:rFonts w:ascii="Arial" w:hAnsi="Arial" w:cs="Arial"/>
              </w:rPr>
            </w:pPr>
            <w:r w:rsidRPr="00B33889">
              <w:rPr>
                <w:rFonts w:ascii="Arial" w:eastAsia="Verdana" w:hAnsi="Arial" w:cs="Arial"/>
                <w:b/>
                <w:color w:val="FFFFFF"/>
                <w:sz w:val="18"/>
              </w:rPr>
              <w:t xml:space="preserve">Service </w:t>
            </w:r>
            <w:r>
              <w:rPr>
                <w:rFonts w:ascii="Arial" w:eastAsia="Verdana" w:hAnsi="Arial" w:cs="Arial"/>
                <w:b/>
                <w:color w:val="FFFFFF"/>
                <w:sz w:val="18"/>
              </w:rPr>
              <w:t>a</w:t>
            </w:r>
            <w:r w:rsidRPr="00B33889">
              <w:rPr>
                <w:rFonts w:ascii="Arial" w:eastAsia="Verdana" w:hAnsi="Arial" w:cs="Arial"/>
                <w:b/>
                <w:color w:val="FFFFFF"/>
                <w:sz w:val="18"/>
              </w:rPr>
              <w:t>ctivity</w:t>
            </w:r>
          </w:p>
        </w:tc>
        <w:tc>
          <w:tcPr>
            <w:tcW w:w="1029" w:type="dxa"/>
            <w:shd w:val="clear" w:color="auto" w:fill="004EA8"/>
            <w:tcMar>
              <w:top w:w="43" w:type="dxa"/>
              <w:left w:w="86" w:type="dxa"/>
              <w:bottom w:w="58" w:type="dxa"/>
              <w:right w:w="43" w:type="dxa"/>
            </w:tcMar>
            <w:vAlign w:val="center"/>
          </w:tcPr>
          <w:p w14:paraId="5EB3DF95" w14:textId="2D50885B" w:rsidR="00311585" w:rsidRDefault="00311585" w:rsidP="00311585">
            <w:pPr>
              <w:rPr>
                <w:rFonts w:ascii="Arial" w:eastAsia="Verdana" w:hAnsi="Arial" w:cs="Arial"/>
                <w:b/>
                <w:color w:val="FFFFFF"/>
                <w:sz w:val="18"/>
              </w:rPr>
            </w:pPr>
            <w:r>
              <w:rPr>
                <w:rFonts w:ascii="Arial" w:eastAsia="Verdana" w:hAnsi="Arial" w:cs="Arial"/>
                <w:b/>
                <w:color w:val="FFFFFF"/>
                <w:sz w:val="18"/>
              </w:rPr>
              <w:t>2015–16</w:t>
            </w:r>
          </w:p>
        </w:tc>
        <w:tc>
          <w:tcPr>
            <w:tcW w:w="1030" w:type="dxa"/>
            <w:shd w:val="clear" w:color="auto" w:fill="004EA8"/>
            <w:tcMar>
              <w:top w:w="43" w:type="dxa"/>
              <w:left w:w="86" w:type="dxa"/>
              <w:bottom w:w="58" w:type="dxa"/>
              <w:right w:w="43" w:type="dxa"/>
            </w:tcMar>
            <w:vAlign w:val="center"/>
          </w:tcPr>
          <w:p w14:paraId="359532EB" w14:textId="5F21A808" w:rsidR="00311585" w:rsidRPr="00B33889" w:rsidRDefault="00311585" w:rsidP="00311585">
            <w:pPr>
              <w:rPr>
                <w:rFonts w:ascii="Arial" w:hAnsi="Arial" w:cs="Arial"/>
              </w:rPr>
            </w:pPr>
            <w:r>
              <w:rPr>
                <w:rFonts w:ascii="Arial" w:eastAsia="Verdana" w:hAnsi="Arial" w:cs="Arial"/>
                <w:b/>
                <w:color w:val="FFFFFF"/>
                <w:sz w:val="18"/>
              </w:rPr>
              <w:t>2016–17</w:t>
            </w:r>
          </w:p>
        </w:tc>
        <w:tc>
          <w:tcPr>
            <w:tcW w:w="1026" w:type="dxa"/>
            <w:shd w:val="clear" w:color="auto" w:fill="004EA8"/>
            <w:tcMar>
              <w:top w:w="40" w:type="dxa"/>
              <w:left w:w="80" w:type="dxa"/>
              <w:bottom w:w="60" w:type="dxa"/>
              <w:right w:w="40" w:type="dxa"/>
            </w:tcMar>
            <w:vAlign w:val="center"/>
          </w:tcPr>
          <w:p w14:paraId="37CF2867" w14:textId="77777777" w:rsidR="00311585" w:rsidRPr="00B33889" w:rsidRDefault="00311585" w:rsidP="00311585">
            <w:pPr>
              <w:rPr>
                <w:rFonts w:ascii="Arial" w:hAnsi="Arial" w:cs="Arial"/>
              </w:rPr>
            </w:pPr>
            <w:r>
              <w:rPr>
                <w:rFonts w:ascii="Arial" w:eastAsia="Verdana" w:hAnsi="Arial" w:cs="Arial"/>
                <w:b/>
                <w:color w:val="FFFFFF"/>
                <w:sz w:val="18"/>
              </w:rPr>
              <w:t>2017–18</w:t>
            </w:r>
          </w:p>
        </w:tc>
        <w:tc>
          <w:tcPr>
            <w:tcW w:w="1027" w:type="dxa"/>
            <w:shd w:val="clear" w:color="auto" w:fill="004EA8"/>
            <w:tcMar>
              <w:top w:w="40" w:type="dxa"/>
              <w:left w:w="80" w:type="dxa"/>
              <w:bottom w:w="60" w:type="dxa"/>
              <w:right w:w="40" w:type="dxa"/>
            </w:tcMar>
            <w:vAlign w:val="center"/>
          </w:tcPr>
          <w:p w14:paraId="214DD8C1" w14:textId="77777777" w:rsidR="00311585" w:rsidRPr="00B33889" w:rsidRDefault="00311585" w:rsidP="00311585">
            <w:pPr>
              <w:rPr>
                <w:rFonts w:ascii="Arial" w:eastAsia="Verdana" w:hAnsi="Arial" w:cs="Arial"/>
                <w:b/>
                <w:color w:val="FFFFFF"/>
                <w:sz w:val="18"/>
              </w:rPr>
            </w:pPr>
            <w:r>
              <w:rPr>
                <w:rFonts w:ascii="Arial" w:eastAsia="Verdana" w:hAnsi="Arial" w:cs="Arial"/>
                <w:b/>
                <w:color w:val="FFFFFF"/>
                <w:sz w:val="18"/>
              </w:rPr>
              <w:t>2018–19</w:t>
            </w:r>
          </w:p>
        </w:tc>
        <w:tc>
          <w:tcPr>
            <w:tcW w:w="1026" w:type="dxa"/>
            <w:shd w:val="clear" w:color="auto" w:fill="004EA8"/>
            <w:tcMar>
              <w:top w:w="40" w:type="dxa"/>
              <w:left w:w="79" w:type="dxa"/>
              <w:bottom w:w="62" w:type="dxa"/>
              <w:right w:w="40" w:type="dxa"/>
            </w:tcMar>
            <w:vAlign w:val="center"/>
          </w:tcPr>
          <w:p w14:paraId="428115B7" w14:textId="77777777" w:rsidR="00311585" w:rsidRPr="00B33889" w:rsidRDefault="00311585" w:rsidP="00311585">
            <w:pPr>
              <w:rPr>
                <w:rFonts w:ascii="Arial" w:eastAsia="Verdana" w:hAnsi="Arial" w:cs="Arial"/>
                <w:b/>
                <w:color w:val="FFFFFF"/>
                <w:sz w:val="18"/>
              </w:rPr>
            </w:pPr>
            <w:r>
              <w:rPr>
                <w:rFonts w:ascii="Arial" w:eastAsia="Verdana" w:hAnsi="Arial" w:cs="Arial"/>
                <w:b/>
                <w:color w:val="FFFFFF"/>
                <w:sz w:val="18"/>
              </w:rPr>
              <w:t>2019–20</w:t>
            </w:r>
          </w:p>
        </w:tc>
      </w:tr>
      <w:tr w:rsidR="00D31EA2" w14:paraId="488E9171" w14:textId="77777777" w:rsidTr="00311585">
        <w:trPr>
          <w:trHeight w:val="240"/>
        </w:trPr>
        <w:tc>
          <w:tcPr>
            <w:tcW w:w="4140" w:type="dxa"/>
            <w:tcMar>
              <w:top w:w="40" w:type="dxa"/>
              <w:left w:w="120" w:type="dxa"/>
              <w:bottom w:w="40" w:type="dxa"/>
              <w:right w:w="40" w:type="dxa"/>
            </w:tcMar>
          </w:tcPr>
          <w:p w14:paraId="2363362B" w14:textId="7B401D3C"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 xml:space="preserve">Community </w:t>
            </w:r>
            <w:r w:rsidR="00F2363E">
              <w:rPr>
                <w:rFonts w:ascii="Arial" w:eastAsia="Verdana" w:hAnsi="Arial" w:cs="Arial"/>
                <w:color w:val="000000"/>
                <w:sz w:val="18"/>
                <w:szCs w:val="18"/>
              </w:rPr>
              <w:t>s</w:t>
            </w:r>
            <w:r w:rsidRPr="00AA148D">
              <w:rPr>
                <w:rFonts w:ascii="Arial" w:eastAsia="Verdana" w:hAnsi="Arial" w:cs="Arial"/>
                <w:color w:val="000000"/>
                <w:sz w:val="18"/>
                <w:szCs w:val="18"/>
              </w:rPr>
              <w:t xml:space="preserve">ervice </w:t>
            </w:r>
            <w:r w:rsidR="00F2363E">
              <w:rPr>
                <w:rFonts w:ascii="Arial" w:eastAsia="Verdana" w:hAnsi="Arial" w:cs="Arial"/>
                <w:color w:val="000000"/>
                <w:sz w:val="18"/>
                <w:szCs w:val="18"/>
              </w:rPr>
              <w:t>u</w:t>
            </w:r>
            <w:r w:rsidRPr="00AA148D">
              <w:rPr>
                <w:rFonts w:ascii="Arial" w:eastAsia="Verdana" w:hAnsi="Arial" w:cs="Arial"/>
                <w:color w:val="000000"/>
                <w:sz w:val="18"/>
                <w:szCs w:val="18"/>
              </w:rPr>
              <w:t>nits</w:t>
            </w:r>
          </w:p>
        </w:tc>
        <w:tc>
          <w:tcPr>
            <w:tcW w:w="1029" w:type="dxa"/>
            <w:tcMar>
              <w:top w:w="43" w:type="dxa"/>
              <w:left w:w="86" w:type="dxa"/>
              <w:bottom w:w="58" w:type="dxa"/>
              <w:right w:w="43" w:type="dxa"/>
            </w:tcMar>
          </w:tcPr>
          <w:p w14:paraId="3021D47B" w14:textId="77777777" w:rsidR="00D31EA2" w:rsidRPr="00EE2B3B" w:rsidRDefault="00D31EA2" w:rsidP="00410442">
            <w:pPr>
              <w:rPr>
                <w:rFonts w:ascii="Arial" w:hAnsi="Arial" w:cs="Arial"/>
                <w:sz w:val="18"/>
                <w:szCs w:val="18"/>
              </w:rPr>
            </w:pPr>
            <w:r>
              <w:rPr>
                <w:rFonts w:ascii="Arial" w:hAnsi="Arial" w:cs="Arial"/>
                <w:sz w:val="18"/>
                <w:szCs w:val="18"/>
              </w:rPr>
              <w:t>790,213</w:t>
            </w:r>
          </w:p>
        </w:tc>
        <w:tc>
          <w:tcPr>
            <w:tcW w:w="1030" w:type="dxa"/>
            <w:tcMar>
              <w:top w:w="43" w:type="dxa"/>
              <w:left w:w="86" w:type="dxa"/>
              <w:bottom w:w="58" w:type="dxa"/>
              <w:right w:w="43" w:type="dxa"/>
            </w:tcMar>
          </w:tcPr>
          <w:p w14:paraId="1CE149C1" w14:textId="77777777" w:rsidR="00D31EA2" w:rsidRPr="00EE2B3B" w:rsidRDefault="00D31EA2" w:rsidP="00410442">
            <w:pPr>
              <w:rPr>
                <w:rFonts w:ascii="Arial" w:hAnsi="Arial" w:cs="Arial"/>
                <w:sz w:val="18"/>
                <w:szCs w:val="18"/>
              </w:rPr>
            </w:pPr>
            <w:r w:rsidRPr="00EE2B3B">
              <w:rPr>
                <w:rFonts w:ascii="Arial" w:hAnsi="Arial" w:cs="Arial"/>
                <w:sz w:val="18"/>
                <w:szCs w:val="18"/>
              </w:rPr>
              <w:t>767,261</w:t>
            </w:r>
          </w:p>
        </w:tc>
        <w:tc>
          <w:tcPr>
            <w:tcW w:w="1026" w:type="dxa"/>
            <w:shd w:val="clear" w:color="auto" w:fill="auto"/>
            <w:tcMar>
              <w:top w:w="40" w:type="dxa"/>
              <w:left w:w="80" w:type="dxa"/>
              <w:bottom w:w="60" w:type="dxa"/>
              <w:right w:w="40" w:type="dxa"/>
            </w:tcMar>
          </w:tcPr>
          <w:p w14:paraId="09D72724" w14:textId="77777777" w:rsidR="00D31EA2" w:rsidRDefault="00D31EA2" w:rsidP="00410442">
            <w:pPr>
              <w:rPr>
                <w:rFonts w:ascii="Arial" w:hAnsi="Arial" w:cs="Arial"/>
                <w:color w:val="000000"/>
                <w:sz w:val="18"/>
                <w:szCs w:val="18"/>
                <w:lang w:eastAsia="en-AU"/>
              </w:rPr>
            </w:pPr>
            <w:r>
              <w:rPr>
                <w:rFonts w:ascii="Arial" w:hAnsi="Arial" w:cs="Arial"/>
                <w:color w:val="000000"/>
                <w:sz w:val="18"/>
                <w:szCs w:val="18"/>
              </w:rPr>
              <w:t>635,040</w:t>
            </w:r>
          </w:p>
        </w:tc>
        <w:tc>
          <w:tcPr>
            <w:tcW w:w="1027" w:type="dxa"/>
            <w:shd w:val="clear" w:color="auto" w:fill="auto"/>
            <w:tcMar>
              <w:top w:w="40" w:type="dxa"/>
              <w:left w:w="80" w:type="dxa"/>
              <w:bottom w:w="60" w:type="dxa"/>
              <w:right w:w="40" w:type="dxa"/>
            </w:tcMar>
          </w:tcPr>
          <w:p w14:paraId="1E054222" w14:textId="77777777" w:rsidR="00D31EA2" w:rsidRDefault="00D31EA2" w:rsidP="00410442">
            <w:pPr>
              <w:rPr>
                <w:rFonts w:ascii="Arial" w:hAnsi="Arial" w:cs="Arial"/>
                <w:color w:val="000000"/>
                <w:sz w:val="18"/>
                <w:szCs w:val="18"/>
              </w:rPr>
            </w:pPr>
            <w:r>
              <w:rPr>
                <w:rFonts w:ascii="Arial" w:hAnsi="Arial" w:cs="Arial"/>
                <w:color w:val="000000"/>
                <w:sz w:val="18"/>
                <w:szCs w:val="18"/>
              </w:rPr>
              <w:t>338,835</w:t>
            </w:r>
          </w:p>
        </w:tc>
        <w:tc>
          <w:tcPr>
            <w:tcW w:w="1026" w:type="dxa"/>
            <w:shd w:val="clear" w:color="auto" w:fill="auto"/>
            <w:tcMar>
              <w:top w:w="40" w:type="dxa"/>
              <w:left w:w="79" w:type="dxa"/>
              <w:bottom w:w="62" w:type="dxa"/>
              <w:right w:w="40" w:type="dxa"/>
            </w:tcMar>
          </w:tcPr>
          <w:p w14:paraId="4AC6D2B7" w14:textId="77777777" w:rsidR="00D31EA2" w:rsidRDefault="00D31EA2" w:rsidP="00410442">
            <w:pPr>
              <w:rPr>
                <w:rFonts w:ascii="Arial" w:hAnsi="Arial" w:cs="Arial"/>
                <w:color w:val="000000"/>
                <w:sz w:val="18"/>
                <w:szCs w:val="18"/>
              </w:rPr>
            </w:pPr>
            <w:r>
              <w:rPr>
                <w:rFonts w:ascii="Arial" w:hAnsi="Arial" w:cs="Arial"/>
                <w:color w:val="000000"/>
                <w:sz w:val="18"/>
                <w:szCs w:val="18"/>
              </w:rPr>
              <w:t>128,007</w:t>
            </w:r>
          </w:p>
        </w:tc>
      </w:tr>
      <w:tr w:rsidR="00D31EA2" w14:paraId="7D1953D9" w14:textId="77777777" w:rsidTr="00311585">
        <w:trPr>
          <w:trHeight w:val="240"/>
        </w:trPr>
        <w:tc>
          <w:tcPr>
            <w:tcW w:w="4140" w:type="dxa"/>
            <w:tcMar>
              <w:top w:w="40" w:type="dxa"/>
              <w:left w:w="120" w:type="dxa"/>
              <w:bottom w:w="40" w:type="dxa"/>
              <w:right w:w="40" w:type="dxa"/>
            </w:tcMar>
          </w:tcPr>
          <w:p w14:paraId="206E8986" w14:textId="0FADE725" w:rsidR="00D31EA2" w:rsidRPr="00AA148D" w:rsidRDefault="00D31EA2" w:rsidP="00410442">
            <w:pPr>
              <w:rPr>
                <w:rFonts w:ascii="Arial" w:hAnsi="Arial" w:cs="Arial"/>
                <w:sz w:val="18"/>
                <w:szCs w:val="18"/>
              </w:rPr>
            </w:pPr>
            <w:r>
              <w:rPr>
                <w:rFonts w:ascii="Arial" w:eastAsia="Verdana" w:hAnsi="Arial" w:cs="Arial"/>
                <w:color w:val="000000"/>
                <w:sz w:val="18"/>
                <w:szCs w:val="18"/>
              </w:rPr>
              <w:t>Bed-based</w:t>
            </w:r>
            <w:r w:rsidRPr="00AA148D">
              <w:rPr>
                <w:rFonts w:ascii="Arial" w:eastAsia="Verdana" w:hAnsi="Arial" w:cs="Arial"/>
                <w:color w:val="000000"/>
                <w:sz w:val="18"/>
                <w:szCs w:val="18"/>
              </w:rPr>
              <w:t xml:space="preserve"> </w:t>
            </w:r>
            <w:r w:rsidR="00F2363E">
              <w:rPr>
                <w:rFonts w:ascii="Arial" w:eastAsia="Verdana" w:hAnsi="Arial" w:cs="Arial"/>
                <w:color w:val="000000"/>
                <w:sz w:val="18"/>
                <w:szCs w:val="18"/>
              </w:rPr>
              <w:t>r</w:t>
            </w:r>
            <w:r w:rsidRPr="00AA148D">
              <w:rPr>
                <w:rFonts w:ascii="Arial" w:eastAsia="Verdana" w:hAnsi="Arial" w:cs="Arial"/>
                <w:color w:val="000000"/>
                <w:sz w:val="18"/>
                <w:szCs w:val="18"/>
              </w:rPr>
              <w:t xml:space="preserve">ehabilitation </w:t>
            </w:r>
            <w:r w:rsidR="00F2363E">
              <w:rPr>
                <w:rFonts w:ascii="Arial" w:eastAsia="Verdana" w:hAnsi="Arial" w:cs="Arial"/>
                <w:color w:val="000000"/>
                <w:sz w:val="18"/>
                <w:szCs w:val="18"/>
              </w:rPr>
              <w:t>b</w:t>
            </w:r>
            <w:r w:rsidRPr="00AA148D">
              <w:rPr>
                <w:rFonts w:ascii="Arial" w:eastAsia="Verdana" w:hAnsi="Arial" w:cs="Arial"/>
                <w:color w:val="000000"/>
                <w:sz w:val="18"/>
                <w:szCs w:val="18"/>
              </w:rPr>
              <w:t xml:space="preserve">ed </w:t>
            </w:r>
            <w:r w:rsidR="00F2363E">
              <w:rPr>
                <w:rFonts w:ascii="Arial" w:eastAsia="Verdana" w:hAnsi="Arial" w:cs="Arial"/>
                <w:color w:val="000000"/>
                <w:sz w:val="18"/>
                <w:szCs w:val="18"/>
              </w:rPr>
              <w:t>d</w:t>
            </w:r>
            <w:r w:rsidRPr="00AA148D">
              <w:rPr>
                <w:rFonts w:ascii="Arial" w:eastAsia="Verdana" w:hAnsi="Arial" w:cs="Arial"/>
                <w:color w:val="000000"/>
                <w:sz w:val="18"/>
                <w:szCs w:val="18"/>
              </w:rPr>
              <w:t>ays</w:t>
            </w:r>
          </w:p>
        </w:tc>
        <w:tc>
          <w:tcPr>
            <w:tcW w:w="1029" w:type="dxa"/>
            <w:tcMar>
              <w:top w:w="43" w:type="dxa"/>
              <w:left w:w="86" w:type="dxa"/>
              <w:bottom w:w="58" w:type="dxa"/>
              <w:right w:w="43" w:type="dxa"/>
            </w:tcMar>
          </w:tcPr>
          <w:p w14:paraId="4B9E9B9E" w14:textId="77777777" w:rsidR="00D31EA2" w:rsidRPr="00EE2B3B" w:rsidRDefault="00D31EA2" w:rsidP="00410442">
            <w:pPr>
              <w:rPr>
                <w:rFonts w:ascii="Arial" w:hAnsi="Arial" w:cs="Arial"/>
                <w:sz w:val="18"/>
                <w:szCs w:val="18"/>
              </w:rPr>
            </w:pPr>
            <w:r>
              <w:rPr>
                <w:rFonts w:ascii="Arial" w:hAnsi="Arial" w:cs="Arial"/>
                <w:sz w:val="18"/>
                <w:szCs w:val="18"/>
              </w:rPr>
              <w:t>78,456</w:t>
            </w:r>
          </w:p>
        </w:tc>
        <w:tc>
          <w:tcPr>
            <w:tcW w:w="1030" w:type="dxa"/>
            <w:tcMar>
              <w:top w:w="43" w:type="dxa"/>
              <w:left w:w="86" w:type="dxa"/>
              <w:bottom w:w="58" w:type="dxa"/>
              <w:right w:w="43" w:type="dxa"/>
            </w:tcMar>
          </w:tcPr>
          <w:p w14:paraId="1EC4D03F" w14:textId="77777777" w:rsidR="00D31EA2" w:rsidRPr="00EE2B3B" w:rsidRDefault="00D31EA2" w:rsidP="00410442">
            <w:pPr>
              <w:rPr>
                <w:rFonts w:ascii="Arial" w:hAnsi="Arial" w:cs="Arial"/>
                <w:sz w:val="18"/>
                <w:szCs w:val="18"/>
              </w:rPr>
            </w:pPr>
            <w:r w:rsidRPr="00EE2B3B">
              <w:rPr>
                <w:rFonts w:ascii="Arial" w:hAnsi="Arial" w:cs="Arial"/>
                <w:sz w:val="18"/>
                <w:szCs w:val="18"/>
              </w:rPr>
              <w:t>82,322</w:t>
            </w:r>
          </w:p>
        </w:tc>
        <w:tc>
          <w:tcPr>
            <w:tcW w:w="1026" w:type="dxa"/>
            <w:shd w:val="clear" w:color="auto" w:fill="auto"/>
            <w:tcMar>
              <w:top w:w="40" w:type="dxa"/>
              <w:left w:w="80" w:type="dxa"/>
              <w:bottom w:w="60" w:type="dxa"/>
              <w:right w:w="40" w:type="dxa"/>
            </w:tcMar>
          </w:tcPr>
          <w:p w14:paraId="7F75BE2D" w14:textId="77777777" w:rsidR="00D31EA2" w:rsidRDefault="00D31EA2" w:rsidP="00410442">
            <w:pPr>
              <w:rPr>
                <w:rFonts w:ascii="Arial" w:hAnsi="Arial" w:cs="Arial"/>
                <w:color w:val="000000"/>
                <w:sz w:val="18"/>
                <w:szCs w:val="18"/>
              </w:rPr>
            </w:pPr>
            <w:r>
              <w:rPr>
                <w:rFonts w:ascii="Arial" w:hAnsi="Arial" w:cs="Arial"/>
                <w:color w:val="000000"/>
                <w:sz w:val="18"/>
                <w:szCs w:val="18"/>
              </w:rPr>
              <w:t>81,435</w:t>
            </w:r>
          </w:p>
        </w:tc>
        <w:tc>
          <w:tcPr>
            <w:tcW w:w="1027" w:type="dxa"/>
            <w:shd w:val="clear" w:color="auto" w:fill="auto"/>
            <w:tcMar>
              <w:top w:w="40" w:type="dxa"/>
              <w:left w:w="80" w:type="dxa"/>
              <w:bottom w:w="60" w:type="dxa"/>
              <w:right w:w="40" w:type="dxa"/>
            </w:tcMar>
          </w:tcPr>
          <w:p w14:paraId="630DB483" w14:textId="77777777" w:rsidR="00D31EA2" w:rsidRDefault="00D31EA2" w:rsidP="00410442">
            <w:pPr>
              <w:rPr>
                <w:rFonts w:ascii="Arial" w:hAnsi="Arial" w:cs="Arial"/>
                <w:color w:val="000000"/>
                <w:sz w:val="18"/>
                <w:szCs w:val="18"/>
              </w:rPr>
            </w:pPr>
            <w:r>
              <w:rPr>
                <w:rFonts w:ascii="Arial" w:hAnsi="Arial" w:cs="Arial"/>
                <w:color w:val="000000"/>
                <w:sz w:val="18"/>
                <w:szCs w:val="18"/>
              </w:rPr>
              <w:t>62,417</w:t>
            </w:r>
          </w:p>
        </w:tc>
        <w:tc>
          <w:tcPr>
            <w:tcW w:w="1026" w:type="dxa"/>
            <w:shd w:val="clear" w:color="auto" w:fill="auto"/>
            <w:tcMar>
              <w:top w:w="40" w:type="dxa"/>
              <w:left w:w="79" w:type="dxa"/>
              <w:bottom w:w="62" w:type="dxa"/>
              <w:right w:w="40" w:type="dxa"/>
            </w:tcMar>
          </w:tcPr>
          <w:p w14:paraId="1FD302A6" w14:textId="77777777" w:rsidR="00D31EA2" w:rsidRDefault="00D31EA2" w:rsidP="00410442">
            <w:pPr>
              <w:rPr>
                <w:rFonts w:ascii="Arial" w:hAnsi="Arial" w:cs="Arial"/>
                <w:color w:val="000000"/>
                <w:sz w:val="18"/>
                <w:szCs w:val="18"/>
              </w:rPr>
            </w:pPr>
            <w:r>
              <w:rPr>
                <w:rFonts w:ascii="Arial" w:hAnsi="Arial" w:cs="Arial"/>
                <w:color w:val="000000"/>
                <w:sz w:val="18"/>
                <w:szCs w:val="18"/>
              </w:rPr>
              <w:t>51,029</w:t>
            </w:r>
          </w:p>
        </w:tc>
      </w:tr>
    </w:tbl>
    <w:p w14:paraId="4955505C" w14:textId="316B5735" w:rsidR="00D31EA2" w:rsidRDefault="00D31EA2" w:rsidP="00157535">
      <w:pPr>
        <w:pStyle w:val="DHHSbodynospace"/>
      </w:pPr>
    </w:p>
    <w:tbl>
      <w:tblPr>
        <w:tblW w:w="0" w:type="auto"/>
        <w:tblBorders>
          <w:top w:val="single" w:sz="8" w:space="0" w:color="004EA8"/>
          <w:left w:val="single" w:sz="8" w:space="0" w:color="004EA8"/>
          <w:bottom w:val="single" w:sz="8" w:space="0" w:color="004EA8"/>
          <w:right w:val="single" w:sz="8" w:space="0" w:color="004EA8"/>
          <w:insideH w:val="single" w:sz="8" w:space="0" w:color="004EA8"/>
          <w:insideV w:val="single" w:sz="8" w:space="0" w:color="004EA8"/>
        </w:tblBorders>
        <w:tblCellMar>
          <w:left w:w="0" w:type="dxa"/>
          <w:right w:w="0" w:type="dxa"/>
        </w:tblCellMar>
        <w:tblLook w:val="0000" w:firstRow="0" w:lastRow="0" w:firstColumn="0" w:lastColumn="0" w:noHBand="0" w:noVBand="0"/>
      </w:tblPr>
      <w:tblGrid>
        <w:gridCol w:w="3107"/>
        <w:gridCol w:w="1305"/>
        <w:gridCol w:w="975"/>
        <w:gridCol w:w="975"/>
        <w:gridCol w:w="972"/>
        <w:gridCol w:w="972"/>
        <w:gridCol w:w="972"/>
      </w:tblGrid>
      <w:tr w:rsidR="00D31EA2" w:rsidRPr="00B33889" w14:paraId="53BE3595" w14:textId="77777777" w:rsidTr="00311585">
        <w:trPr>
          <w:trHeight w:val="279"/>
          <w:tblHeader/>
        </w:trPr>
        <w:tc>
          <w:tcPr>
            <w:tcW w:w="4085" w:type="dxa"/>
            <w:shd w:val="clear" w:color="auto" w:fill="004EA8"/>
            <w:tcMar>
              <w:top w:w="40" w:type="dxa"/>
              <w:left w:w="80" w:type="dxa"/>
              <w:bottom w:w="40" w:type="dxa"/>
              <w:right w:w="40" w:type="dxa"/>
            </w:tcMar>
            <w:vAlign w:val="center"/>
          </w:tcPr>
          <w:p w14:paraId="7918085E" w14:textId="34F9CCF0" w:rsidR="00D31EA2" w:rsidRPr="00B33889" w:rsidRDefault="00D31EA2" w:rsidP="00410442">
            <w:pPr>
              <w:rPr>
                <w:rFonts w:ascii="Arial" w:hAnsi="Arial" w:cs="Arial"/>
              </w:rPr>
            </w:pPr>
            <w:r w:rsidRPr="00B33889">
              <w:rPr>
                <w:rFonts w:ascii="Arial" w:eastAsia="Verdana" w:hAnsi="Arial" w:cs="Arial"/>
                <w:b/>
                <w:color w:val="FFFFFF"/>
                <w:sz w:val="18"/>
              </w:rPr>
              <w:t xml:space="preserve">Service </w:t>
            </w:r>
            <w:r w:rsidR="00F2363E">
              <w:rPr>
                <w:rFonts w:ascii="Arial" w:eastAsia="Verdana" w:hAnsi="Arial" w:cs="Arial"/>
                <w:b/>
                <w:color w:val="FFFFFF"/>
                <w:sz w:val="18"/>
              </w:rPr>
              <w:t>i</w:t>
            </w:r>
            <w:r w:rsidRPr="00B33889">
              <w:rPr>
                <w:rFonts w:ascii="Arial" w:eastAsia="Verdana" w:hAnsi="Arial" w:cs="Arial"/>
                <w:b/>
                <w:color w:val="FFFFFF"/>
                <w:sz w:val="18"/>
              </w:rPr>
              <w:t>nput</w:t>
            </w:r>
          </w:p>
        </w:tc>
        <w:tc>
          <w:tcPr>
            <w:tcW w:w="1434" w:type="dxa"/>
            <w:shd w:val="clear" w:color="auto" w:fill="004EA8"/>
            <w:tcMar>
              <w:top w:w="40" w:type="dxa"/>
              <w:left w:w="80" w:type="dxa"/>
              <w:bottom w:w="40" w:type="dxa"/>
              <w:right w:w="40" w:type="dxa"/>
            </w:tcMar>
            <w:vAlign w:val="center"/>
          </w:tcPr>
          <w:p w14:paraId="2A05F85C" w14:textId="77777777" w:rsidR="00D31EA2" w:rsidRPr="00B33889" w:rsidRDefault="00D31EA2" w:rsidP="00410442">
            <w:pPr>
              <w:rPr>
                <w:rFonts w:ascii="Arial" w:hAnsi="Arial" w:cs="Arial"/>
              </w:rPr>
            </w:pPr>
            <w:r w:rsidRPr="00B33889">
              <w:rPr>
                <w:rFonts w:ascii="Arial" w:eastAsia="Verdana" w:hAnsi="Arial" w:cs="Arial"/>
                <w:b/>
                <w:color w:val="FFFFFF"/>
                <w:sz w:val="18"/>
              </w:rPr>
              <w:t>Population</w:t>
            </w:r>
          </w:p>
        </w:tc>
        <w:tc>
          <w:tcPr>
            <w:tcW w:w="1150" w:type="dxa"/>
            <w:shd w:val="clear" w:color="auto" w:fill="004EA8"/>
            <w:tcMar>
              <w:top w:w="43" w:type="dxa"/>
              <w:left w:w="86" w:type="dxa"/>
              <w:bottom w:w="58" w:type="dxa"/>
              <w:right w:w="43" w:type="dxa"/>
            </w:tcMar>
            <w:vAlign w:val="center"/>
          </w:tcPr>
          <w:p w14:paraId="42159ECA" w14:textId="77777777" w:rsidR="00D31EA2" w:rsidRDefault="00D31EA2" w:rsidP="00410442">
            <w:pPr>
              <w:rPr>
                <w:rFonts w:ascii="Arial" w:eastAsia="Verdana" w:hAnsi="Arial" w:cs="Arial"/>
                <w:b/>
                <w:color w:val="FFFFFF"/>
                <w:sz w:val="18"/>
              </w:rPr>
            </w:pPr>
            <w:r>
              <w:rPr>
                <w:rFonts w:ascii="Arial" w:eastAsia="Verdana" w:hAnsi="Arial" w:cs="Arial"/>
                <w:b/>
                <w:color w:val="FFFFFF"/>
                <w:sz w:val="18"/>
              </w:rPr>
              <w:t>2015–16</w:t>
            </w:r>
          </w:p>
        </w:tc>
        <w:tc>
          <w:tcPr>
            <w:tcW w:w="1151" w:type="dxa"/>
            <w:shd w:val="clear" w:color="auto" w:fill="004EA8"/>
            <w:tcMar>
              <w:top w:w="43" w:type="dxa"/>
              <w:left w:w="86" w:type="dxa"/>
              <w:bottom w:w="58" w:type="dxa"/>
              <w:right w:w="43" w:type="dxa"/>
            </w:tcMar>
            <w:vAlign w:val="center"/>
          </w:tcPr>
          <w:p w14:paraId="52797C28" w14:textId="77777777" w:rsidR="00D31EA2" w:rsidRPr="00B33889" w:rsidRDefault="00D31EA2" w:rsidP="00410442">
            <w:pPr>
              <w:rPr>
                <w:rFonts w:ascii="Arial" w:hAnsi="Arial" w:cs="Arial"/>
              </w:rPr>
            </w:pPr>
            <w:r>
              <w:rPr>
                <w:rFonts w:ascii="Arial" w:eastAsia="Verdana" w:hAnsi="Arial" w:cs="Arial"/>
                <w:b/>
                <w:color w:val="FFFFFF"/>
                <w:sz w:val="18"/>
              </w:rPr>
              <w:t>2016–17</w:t>
            </w:r>
          </w:p>
        </w:tc>
        <w:tc>
          <w:tcPr>
            <w:tcW w:w="1150" w:type="dxa"/>
            <w:shd w:val="clear" w:color="auto" w:fill="004EA8"/>
            <w:tcMar>
              <w:top w:w="40" w:type="dxa"/>
              <w:left w:w="80" w:type="dxa"/>
              <w:bottom w:w="60" w:type="dxa"/>
              <w:right w:w="40" w:type="dxa"/>
            </w:tcMar>
            <w:vAlign w:val="center"/>
          </w:tcPr>
          <w:p w14:paraId="199CDD08" w14:textId="77777777" w:rsidR="00D31EA2" w:rsidRPr="00B33889" w:rsidRDefault="00D31EA2" w:rsidP="00410442">
            <w:pPr>
              <w:rPr>
                <w:rFonts w:ascii="Arial" w:hAnsi="Arial" w:cs="Arial"/>
              </w:rPr>
            </w:pPr>
            <w:r>
              <w:rPr>
                <w:rFonts w:ascii="Arial" w:eastAsia="Verdana" w:hAnsi="Arial" w:cs="Arial"/>
                <w:b/>
                <w:color w:val="FFFFFF"/>
                <w:sz w:val="18"/>
              </w:rPr>
              <w:t>2017–18</w:t>
            </w:r>
          </w:p>
        </w:tc>
        <w:tc>
          <w:tcPr>
            <w:tcW w:w="1151" w:type="dxa"/>
            <w:shd w:val="clear" w:color="auto" w:fill="004EA8"/>
            <w:tcMar>
              <w:top w:w="40" w:type="dxa"/>
              <w:left w:w="80" w:type="dxa"/>
              <w:bottom w:w="60" w:type="dxa"/>
              <w:right w:w="40" w:type="dxa"/>
            </w:tcMar>
            <w:vAlign w:val="center"/>
          </w:tcPr>
          <w:p w14:paraId="31D82EDC" w14:textId="77777777" w:rsidR="00D31EA2" w:rsidRPr="00B33889" w:rsidRDefault="00D31EA2" w:rsidP="00410442">
            <w:pPr>
              <w:rPr>
                <w:rFonts w:ascii="Arial" w:eastAsia="Verdana" w:hAnsi="Arial" w:cs="Arial"/>
                <w:b/>
                <w:color w:val="FFFFFF"/>
                <w:sz w:val="18"/>
              </w:rPr>
            </w:pPr>
            <w:r>
              <w:rPr>
                <w:rFonts w:ascii="Arial" w:eastAsia="Verdana" w:hAnsi="Arial" w:cs="Arial"/>
                <w:b/>
                <w:color w:val="FFFFFF"/>
                <w:sz w:val="18"/>
              </w:rPr>
              <w:t>2018–19</w:t>
            </w:r>
          </w:p>
        </w:tc>
        <w:tc>
          <w:tcPr>
            <w:tcW w:w="1151" w:type="dxa"/>
            <w:shd w:val="clear" w:color="auto" w:fill="004EA8"/>
            <w:tcMar>
              <w:top w:w="40" w:type="dxa"/>
              <w:left w:w="79" w:type="dxa"/>
              <w:bottom w:w="62" w:type="dxa"/>
              <w:right w:w="40" w:type="dxa"/>
            </w:tcMar>
            <w:vAlign w:val="center"/>
          </w:tcPr>
          <w:p w14:paraId="4D8A752E" w14:textId="77777777" w:rsidR="00D31EA2" w:rsidRPr="00B33889" w:rsidRDefault="00D31EA2" w:rsidP="00410442">
            <w:pPr>
              <w:rPr>
                <w:rFonts w:ascii="Arial" w:eastAsia="Verdana" w:hAnsi="Arial" w:cs="Arial"/>
                <w:b/>
                <w:color w:val="FFFFFF"/>
                <w:sz w:val="18"/>
              </w:rPr>
            </w:pPr>
            <w:r>
              <w:rPr>
                <w:rFonts w:ascii="Arial" w:eastAsia="Verdana" w:hAnsi="Arial" w:cs="Arial"/>
                <w:b/>
                <w:color w:val="FFFFFF"/>
                <w:sz w:val="18"/>
              </w:rPr>
              <w:t>2019–20</w:t>
            </w:r>
          </w:p>
        </w:tc>
      </w:tr>
      <w:tr w:rsidR="00D31EA2" w14:paraId="27B5083B" w14:textId="77777777" w:rsidTr="00311585">
        <w:trPr>
          <w:trHeight w:val="240"/>
        </w:trPr>
        <w:tc>
          <w:tcPr>
            <w:tcW w:w="4085" w:type="dxa"/>
            <w:vMerge w:val="restart"/>
            <w:tcMar>
              <w:top w:w="40" w:type="dxa"/>
              <w:left w:w="120" w:type="dxa"/>
              <w:bottom w:w="40" w:type="dxa"/>
              <w:right w:w="40" w:type="dxa"/>
            </w:tcMar>
          </w:tcPr>
          <w:p w14:paraId="431A8718" w14:textId="6F9BD918" w:rsidR="00D31EA2" w:rsidRPr="00AA148D" w:rsidRDefault="00D31EA2" w:rsidP="00410442">
            <w:pPr>
              <w:rPr>
                <w:rFonts w:ascii="Arial" w:hAnsi="Arial" w:cs="Arial"/>
                <w:sz w:val="18"/>
                <w:szCs w:val="18"/>
              </w:rPr>
            </w:pPr>
            <w:r>
              <w:rPr>
                <w:rFonts w:ascii="Arial" w:eastAsia="Verdana" w:hAnsi="Arial" w:cs="Arial"/>
                <w:color w:val="000000"/>
                <w:sz w:val="18"/>
                <w:szCs w:val="18"/>
              </w:rPr>
              <w:t>Bed-based</w:t>
            </w:r>
            <w:r w:rsidRPr="00AA148D">
              <w:rPr>
                <w:rFonts w:ascii="Arial" w:eastAsia="Verdana" w:hAnsi="Arial" w:cs="Arial"/>
                <w:color w:val="000000"/>
                <w:sz w:val="18"/>
                <w:szCs w:val="18"/>
              </w:rPr>
              <w:t xml:space="preserve"> </w:t>
            </w:r>
            <w:r w:rsidR="00F2363E">
              <w:rPr>
                <w:rFonts w:ascii="Arial" w:eastAsia="Verdana" w:hAnsi="Arial" w:cs="Arial"/>
                <w:color w:val="000000"/>
                <w:sz w:val="18"/>
                <w:szCs w:val="18"/>
              </w:rPr>
              <w:t>r</w:t>
            </w:r>
            <w:r w:rsidRPr="00AA148D">
              <w:rPr>
                <w:rFonts w:ascii="Arial" w:eastAsia="Verdana" w:hAnsi="Arial" w:cs="Arial"/>
                <w:color w:val="000000"/>
                <w:sz w:val="18"/>
                <w:szCs w:val="18"/>
              </w:rPr>
              <w:t xml:space="preserve">ehabilitation </w:t>
            </w:r>
            <w:r w:rsidR="00F2363E">
              <w:rPr>
                <w:rFonts w:ascii="Arial" w:eastAsia="Verdana" w:hAnsi="Arial" w:cs="Arial"/>
                <w:color w:val="000000"/>
                <w:sz w:val="18"/>
                <w:szCs w:val="18"/>
              </w:rPr>
              <w:t>b</w:t>
            </w:r>
            <w:r w:rsidRPr="00AA148D">
              <w:rPr>
                <w:rFonts w:ascii="Arial" w:eastAsia="Verdana" w:hAnsi="Arial" w:cs="Arial"/>
                <w:color w:val="000000"/>
                <w:sz w:val="18"/>
                <w:szCs w:val="18"/>
              </w:rPr>
              <w:t>eds</w:t>
            </w:r>
          </w:p>
        </w:tc>
        <w:tc>
          <w:tcPr>
            <w:tcW w:w="1434" w:type="dxa"/>
            <w:tcMar>
              <w:top w:w="40" w:type="dxa"/>
              <w:left w:w="80" w:type="dxa"/>
              <w:bottom w:w="40" w:type="dxa"/>
              <w:right w:w="40" w:type="dxa"/>
            </w:tcMar>
          </w:tcPr>
          <w:p w14:paraId="6BBD881F"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Other</w:t>
            </w:r>
            <w:r>
              <w:rPr>
                <w:rFonts w:ascii="Arial" w:eastAsia="Verdana" w:hAnsi="Arial" w:cs="Arial"/>
                <w:color w:val="000000"/>
                <w:sz w:val="18"/>
                <w:szCs w:val="18"/>
              </w:rPr>
              <w:t>***</w:t>
            </w:r>
          </w:p>
        </w:tc>
        <w:tc>
          <w:tcPr>
            <w:tcW w:w="1150" w:type="dxa"/>
            <w:tcMar>
              <w:top w:w="43" w:type="dxa"/>
              <w:left w:w="86" w:type="dxa"/>
              <w:bottom w:w="58" w:type="dxa"/>
              <w:right w:w="43" w:type="dxa"/>
            </w:tcMar>
          </w:tcPr>
          <w:p w14:paraId="611BF662" w14:textId="77777777" w:rsidR="00D31EA2" w:rsidRPr="00AA148D" w:rsidRDefault="00D31EA2" w:rsidP="00410442">
            <w:pPr>
              <w:rPr>
                <w:rFonts w:ascii="Arial" w:hAnsi="Arial" w:cs="Arial"/>
                <w:sz w:val="18"/>
                <w:szCs w:val="18"/>
              </w:rPr>
            </w:pPr>
            <w:r>
              <w:rPr>
                <w:rFonts w:ascii="Arial" w:hAnsi="Arial" w:cs="Arial"/>
                <w:sz w:val="18"/>
                <w:szCs w:val="18"/>
              </w:rPr>
              <w:t>101</w:t>
            </w:r>
          </w:p>
        </w:tc>
        <w:tc>
          <w:tcPr>
            <w:tcW w:w="1151" w:type="dxa"/>
            <w:tcMar>
              <w:top w:w="43" w:type="dxa"/>
              <w:left w:w="86" w:type="dxa"/>
              <w:bottom w:w="58" w:type="dxa"/>
              <w:right w:w="43" w:type="dxa"/>
            </w:tcMar>
          </w:tcPr>
          <w:p w14:paraId="08C807D0" w14:textId="77777777" w:rsidR="00D31EA2" w:rsidRPr="00AA148D" w:rsidRDefault="00D31EA2" w:rsidP="00410442">
            <w:pPr>
              <w:rPr>
                <w:rFonts w:ascii="Arial" w:hAnsi="Arial" w:cs="Arial"/>
                <w:sz w:val="18"/>
                <w:szCs w:val="18"/>
              </w:rPr>
            </w:pPr>
            <w:r w:rsidRPr="00AA148D">
              <w:rPr>
                <w:rFonts w:ascii="Arial" w:hAnsi="Arial" w:cs="Arial"/>
                <w:sz w:val="18"/>
                <w:szCs w:val="18"/>
              </w:rPr>
              <w:t>101</w:t>
            </w:r>
          </w:p>
        </w:tc>
        <w:tc>
          <w:tcPr>
            <w:tcW w:w="1150" w:type="dxa"/>
            <w:tcMar>
              <w:top w:w="40" w:type="dxa"/>
              <w:left w:w="80" w:type="dxa"/>
              <w:bottom w:w="60" w:type="dxa"/>
              <w:right w:w="40" w:type="dxa"/>
            </w:tcMar>
          </w:tcPr>
          <w:p w14:paraId="7CE073DA" w14:textId="77777777" w:rsidR="00D31EA2" w:rsidRDefault="00D31EA2" w:rsidP="00410442">
            <w:pPr>
              <w:rPr>
                <w:rFonts w:ascii="Arial" w:hAnsi="Arial" w:cs="Arial"/>
                <w:color w:val="000000"/>
                <w:sz w:val="18"/>
                <w:szCs w:val="18"/>
                <w:lang w:eastAsia="en-AU"/>
              </w:rPr>
            </w:pPr>
            <w:r>
              <w:rPr>
                <w:rFonts w:ascii="Arial" w:hAnsi="Arial" w:cs="Arial"/>
                <w:color w:val="000000"/>
                <w:sz w:val="18"/>
                <w:szCs w:val="18"/>
              </w:rPr>
              <w:t>102</w:t>
            </w:r>
          </w:p>
        </w:tc>
        <w:tc>
          <w:tcPr>
            <w:tcW w:w="1151" w:type="dxa"/>
            <w:tcMar>
              <w:top w:w="40" w:type="dxa"/>
              <w:left w:w="80" w:type="dxa"/>
              <w:bottom w:w="60" w:type="dxa"/>
              <w:right w:w="40" w:type="dxa"/>
            </w:tcMar>
          </w:tcPr>
          <w:p w14:paraId="49C9625D" w14:textId="77777777" w:rsidR="00D31EA2" w:rsidRDefault="00D31EA2" w:rsidP="00410442">
            <w:pPr>
              <w:rPr>
                <w:rFonts w:ascii="Arial" w:hAnsi="Arial" w:cs="Arial"/>
                <w:color w:val="000000"/>
                <w:sz w:val="18"/>
                <w:szCs w:val="18"/>
              </w:rPr>
            </w:pPr>
            <w:r>
              <w:rPr>
                <w:rFonts w:ascii="Arial" w:hAnsi="Arial" w:cs="Arial"/>
                <w:color w:val="000000"/>
                <w:sz w:val="18"/>
                <w:szCs w:val="18"/>
              </w:rPr>
              <w:t>22</w:t>
            </w:r>
          </w:p>
        </w:tc>
        <w:tc>
          <w:tcPr>
            <w:tcW w:w="1151" w:type="dxa"/>
            <w:shd w:val="clear" w:color="auto" w:fill="auto"/>
            <w:tcMar>
              <w:top w:w="40" w:type="dxa"/>
              <w:left w:w="79" w:type="dxa"/>
              <w:bottom w:w="62" w:type="dxa"/>
              <w:right w:w="40" w:type="dxa"/>
            </w:tcMar>
          </w:tcPr>
          <w:p w14:paraId="4DCF607A" w14:textId="77777777" w:rsidR="00D31EA2" w:rsidRDefault="00D31EA2" w:rsidP="00410442">
            <w:pPr>
              <w:rPr>
                <w:rFonts w:ascii="Arial" w:hAnsi="Arial" w:cs="Arial"/>
                <w:color w:val="000000"/>
                <w:sz w:val="18"/>
                <w:szCs w:val="18"/>
              </w:rPr>
            </w:pPr>
            <w:r>
              <w:rPr>
                <w:rFonts w:ascii="Arial" w:hAnsi="Arial" w:cs="Arial"/>
                <w:color w:val="000000"/>
                <w:sz w:val="18"/>
                <w:szCs w:val="18"/>
              </w:rPr>
              <w:t>0</w:t>
            </w:r>
          </w:p>
        </w:tc>
      </w:tr>
      <w:tr w:rsidR="00D31EA2" w14:paraId="13FA4535" w14:textId="77777777" w:rsidTr="00311585">
        <w:trPr>
          <w:trHeight w:val="240"/>
        </w:trPr>
        <w:tc>
          <w:tcPr>
            <w:tcW w:w="4085" w:type="dxa"/>
            <w:vMerge/>
            <w:tcMar>
              <w:top w:w="40" w:type="dxa"/>
              <w:left w:w="120" w:type="dxa"/>
              <w:bottom w:w="40" w:type="dxa"/>
              <w:right w:w="40" w:type="dxa"/>
            </w:tcMar>
          </w:tcPr>
          <w:p w14:paraId="67098617" w14:textId="77777777" w:rsidR="00D31EA2" w:rsidRPr="00AA148D" w:rsidRDefault="00D31EA2" w:rsidP="00410442">
            <w:pPr>
              <w:rPr>
                <w:rFonts w:ascii="Arial" w:hAnsi="Arial" w:cs="Arial"/>
                <w:sz w:val="18"/>
                <w:szCs w:val="18"/>
              </w:rPr>
            </w:pPr>
          </w:p>
        </w:tc>
        <w:tc>
          <w:tcPr>
            <w:tcW w:w="1434" w:type="dxa"/>
            <w:tcMar>
              <w:top w:w="40" w:type="dxa"/>
              <w:left w:w="80" w:type="dxa"/>
              <w:bottom w:w="40" w:type="dxa"/>
              <w:right w:w="40" w:type="dxa"/>
            </w:tcMar>
          </w:tcPr>
          <w:p w14:paraId="736A0535"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Youth</w:t>
            </w:r>
          </w:p>
        </w:tc>
        <w:tc>
          <w:tcPr>
            <w:tcW w:w="1150" w:type="dxa"/>
            <w:tcMar>
              <w:top w:w="43" w:type="dxa"/>
              <w:left w:w="86" w:type="dxa"/>
              <w:bottom w:w="58" w:type="dxa"/>
              <w:right w:w="43" w:type="dxa"/>
            </w:tcMar>
          </w:tcPr>
          <w:p w14:paraId="4556AED3" w14:textId="77777777" w:rsidR="00D31EA2" w:rsidRPr="00AA148D" w:rsidRDefault="00D31EA2" w:rsidP="00410442">
            <w:pPr>
              <w:rPr>
                <w:rFonts w:ascii="Arial" w:hAnsi="Arial" w:cs="Arial"/>
                <w:sz w:val="18"/>
                <w:szCs w:val="18"/>
              </w:rPr>
            </w:pPr>
            <w:r>
              <w:rPr>
                <w:rFonts w:ascii="Arial" w:hAnsi="Arial" w:cs="Arial"/>
                <w:sz w:val="18"/>
                <w:szCs w:val="18"/>
              </w:rPr>
              <w:t>159</w:t>
            </w:r>
          </w:p>
        </w:tc>
        <w:tc>
          <w:tcPr>
            <w:tcW w:w="1151" w:type="dxa"/>
            <w:tcMar>
              <w:top w:w="43" w:type="dxa"/>
              <w:left w:w="86" w:type="dxa"/>
              <w:bottom w:w="58" w:type="dxa"/>
              <w:right w:w="43" w:type="dxa"/>
            </w:tcMar>
          </w:tcPr>
          <w:p w14:paraId="297DB623" w14:textId="77777777" w:rsidR="00D31EA2" w:rsidRPr="00AA148D" w:rsidRDefault="00D31EA2" w:rsidP="00410442">
            <w:pPr>
              <w:rPr>
                <w:rFonts w:ascii="Arial" w:hAnsi="Arial" w:cs="Arial"/>
                <w:sz w:val="18"/>
                <w:szCs w:val="18"/>
              </w:rPr>
            </w:pPr>
            <w:r w:rsidRPr="00AA148D">
              <w:rPr>
                <w:rFonts w:ascii="Arial" w:hAnsi="Arial" w:cs="Arial"/>
                <w:sz w:val="18"/>
                <w:szCs w:val="18"/>
              </w:rPr>
              <w:t>159</w:t>
            </w:r>
          </w:p>
        </w:tc>
        <w:tc>
          <w:tcPr>
            <w:tcW w:w="1150" w:type="dxa"/>
            <w:tcMar>
              <w:top w:w="40" w:type="dxa"/>
              <w:left w:w="80" w:type="dxa"/>
              <w:bottom w:w="60" w:type="dxa"/>
              <w:right w:w="40" w:type="dxa"/>
            </w:tcMar>
          </w:tcPr>
          <w:p w14:paraId="56C11C41" w14:textId="77777777" w:rsidR="00D31EA2" w:rsidRDefault="00D31EA2" w:rsidP="00410442">
            <w:pPr>
              <w:rPr>
                <w:rFonts w:ascii="Arial" w:hAnsi="Arial" w:cs="Arial"/>
                <w:color w:val="000000"/>
                <w:sz w:val="18"/>
                <w:szCs w:val="18"/>
              </w:rPr>
            </w:pPr>
            <w:r>
              <w:rPr>
                <w:rFonts w:ascii="Arial" w:hAnsi="Arial" w:cs="Arial"/>
                <w:color w:val="000000"/>
                <w:sz w:val="18"/>
                <w:szCs w:val="18"/>
              </w:rPr>
              <w:t>159</w:t>
            </w:r>
          </w:p>
        </w:tc>
        <w:tc>
          <w:tcPr>
            <w:tcW w:w="1151" w:type="dxa"/>
            <w:tcMar>
              <w:top w:w="40" w:type="dxa"/>
              <w:left w:w="80" w:type="dxa"/>
              <w:bottom w:w="60" w:type="dxa"/>
              <w:right w:w="40" w:type="dxa"/>
            </w:tcMar>
          </w:tcPr>
          <w:p w14:paraId="4965C4A7" w14:textId="77777777" w:rsidR="00D31EA2" w:rsidRDefault="00D31EA2" w:rsidP="00410442">
            <w:pPr>
              <w:rPr>
                <w:rFonts w:ascii="Arial" w:hAnsi="Arial" w:cs="Arial"/>
                <w:color w:val="000000"/>
                <w:sz w:val="18"/>
                <w:szCs w:val="18"/>
              </w:rPr>
            </w:pPr>
            <w:r>
              <w:rPr>
                <w:rFonts w:ascii="Arial" w:hAnsi="Arial" w:cs="Arial"/>
                <w:color w:val="000000"/>
                <w:sz w:val="18"/>
                <w:szCs w:val="18"/>
              </w:rPr>
              <w:t>159</w:t>
            </w:r>
          </w:p>
        </w:tc>
        <w:tc>
          <w:tcPr>
            <w:tcW w:w="1151" w:type="dxa"/>
            <w:shd w:val="clear" w:color="auto" w:fill="auto"/>
            <w:tcMar>
              <w:top w:w="40" w:type="dxa"/>
              <w:left w:w="79" w:type="dxa"/>
              <w:bottom w:w="62" w:type="dxa"/>
              <w:right w:w="40" w:type="dxa"/>
            </w:tcMar>
          </w:tcPr>
          <w:p w14:paraId="603608BE" w14:textId="77777777" w:rsidR="00D31EA2" w:rsidRDefault="00D31EA2" w:rsidP="00410442">
            <w:pPr>
              <w:rPr>
                <w:rFonts w:ascii="Arial" w:hAnsi="Arial" w:cs="Arial"/>
                <w:color w:val="000000"/>
                <w:sz w:val="18"/>
                <w:szCs w:val="18"/>
              </w:rPr>
            </w:pPr>
            <w:r>
              <w:rPr>
                <w:rFonts w:ascii="Arial" w:hAnsi="Arial" w:cs="Arial"/>
                <w:color w:val="000000"/>
                <w:sz w:val="18"/>
                <w:szCs w:val="18"/>
              </w:rPr>
              <w:t>159</w:t>
            </w:r>
          </w:p>
        </w:tc>
      </w:tr>
      <w:tr w:rsidR="00D31EA2" w14:paraId="75803F29" w14:textId="77777777" w:rsidTr="00311585">
        <w:trPr>
          <w:trHeight w:val="240"/>
        </w:trPr>
        <w:tc>
          <w:tcPr>
            <w:tcW w:w="4085" w:type="dxa"/>
            <w:vMerge/>
            <w:tcMar>
              <w:top w:w="40" w:type="dxa"/>
              <w:left w:w="120" w:type="dxa"/>
              <w:bottom w:w="40" w:type="dxa"/>
              <w:right w:w="40" w:type="dxa"/>
            </w:tcMar>
          </w:tcPr>
          <w:p w14:paraId="033DB01D" w14:textId="77777777" w:rsidR="00D31EA2" w:rsidRPr="00AA148D" w:rsidRDefault="00D31EA2" w:rsidP="00410442">
            <w:pPr>
              <w:rPr>
                <w:rFonts w:ascii="Arial" w:hAnsi="Arial" w:cs="Arial"/>
                <w:sz w:val="18"/>
                <w:szCs w:val="18"/>
              </w:rPr>
            </w:pPr>
          </w:p>
        </w:tc>
        <w:tc>
          <w:tcPr>
            <w:tcW w:w="1434" w:type="dxa"/>
            <w:tcMar>
              <w:top w:w="40" w:type="dxa"/>
              <w:left w:w="80" w:type="dxa"/>
              <w:bottom w:w="40" w:type="dxa"/>
              <w:right w:w="40" w:type="dxa"/>
            </w:tcMar>
          </w:tcPr>
          <w:p w14:paraId="709A024D" w14:textId="77777777" w:rsidR="00D31EA2" w:rsidRPr="00AA148D" w:rsidRDefault="00D31EA2" w:rsidP="00410442">
            <w:pPr>
              <w:rPr>
                <w:rFonts w:ascii="Arial" w:hAnsi="Arial" w:cs="Arial"/>
                <w:sz w:val="18"/>
                <w:szCs w:val="18"/>
              </w:rPr>
            </w:pPr>
            <w:r w:rsidRPr="00AA148D">
              <w:rPr>
                <w:rFonts w:ascii="Arial" w:eastAsia="Verdana" w:hAnsi="Arial" w:cs="Arial"/>
                <w:color w:val="000000"/>
                <w:sz w:val="18"/>
                <w:szCs w:val="18"/>
              </w:rPr>
              <w:t>Total</w:t>
            </w:r>
          </w:p>
        </w:tc>
        <w:tc>
          <w:tcPr>
            <w:tcW w:w="1150" w:type="dxa"/>
            <w:tcMar>
              <w:top w:w="43" w:type="dxa"/>
              <w:left w:w="86" w:type="dxa"/>
              <w:bottom w:w="58" w:type="dxa"/>
              <w:right w:w="43" w:type="dxa"/>
            </w:tcMar>
          </w:tcPr>
          <w:p w14:paraId="5F5745E6" w14:textId="77777777" w:rsidR="00D31EA2" w:rsidRPr="00AA148D" w:rsidRDefault="00D31EA2" w:rsidP="00410442">
            <w:pPr>
              <w:rPr>
                <w:rFonts w:ascii="Arial" w:hAnsi="Arial" w:cs="Arial"/>
                <w:sz w:val="18"/>
                <w:szCs w:val="18"/>
              </w:rPr>
            </w:pPr>
            <w:r>
              <w:rPr>
                <w:rFonts w:ascii="Arial" w:hAnsi="Arial" w:cs="Arial"/>
                <w:sz w:val="18"/>
                <w:szCs w:val="18"/>
              </w:rPr>
              <w:t>260</w:t>
            </w:r>
          </w:p>
        </w:tc>
        <w:tc>
          <w:tcPr>
            <w:tcW w:w="1151" w:type="dxa"/>
            <w:tcMar>
              <w:top w:w="43" w:type="dxa"/>
              <w:left w:w="86" w:type="dxa"/>
              <w:bottom w:w="58" w:type="dxa"/>
              <w:right w:w="43" w:type="dxa"/>
            </w:tcMar>
          </w:tcPr>
          <w:p w14:paraId="32217820" w14:textId="77777777" w:rsidR="00D31EA2" w:rsidRPr="00AA148D" w:rsidRDefault="00D31EA2" w:rsidP="00410442">
            <w:pPr>
              <w:rPr>
                <w:rFonts w:ascii="Arial" w:hAnsi="Arial" w:cs="Arial"/>
                <w:sz w:val="18"/>
                <w:szCs w:val="18"/>
              </w:rPr>
            </w:pPr>
            <w:r w:rsidRPr="00AA148D">
              <w:rPr>
                <w:rFonts w:ascii="Arial" w:hAnsi="Arial" w:cs="Arial"/>
                <w:sz w:val="18"/>
                <w:szCs w:val="18"/>
              </w:rPr>
              <w:t>260</w:t>
            </w:r>
          </w:p>
        </w:tc>
        <w:tc>
          <w:tcPr>
            <w:tcW w:w="1150" w:type="dxa"/>
            <w:tcMar>
              <w:top w:w="40" w:type="dxa"/>
              <w:left w:w="80" w:type="dxa"/>
              <w:bottom w:w="60" w:type="dxa"/>
              <w:right w:w="40" w:type="dxa"/>
            </w:tcMar>
          </w:tcPr>
          <w:p w14:paraId="490A28DC" w14:textId="77777777" w:rsidR="00D31EA2" w:rsidRDefault="00D31EA2" w:rsidP="00410442">
            <w:pPr>
              <w:rPr>
                <w:rFonts w:ascii="Arial" w:hAnsi="Arial" w:cs="Arial"/>
                <w:color w:val="000000"/>
                <w:sz w:val="18"/>
                <w:szCs w:val="18"/>
              </w:rPr>
            </w:pPr>
            <w:r>
              <w:rPr>
                <w:rFonts w:ascii="Arial" w:hAnsi="Arial" w:cs="Arial"/>
                <w:color w:val="000000"/>
                <w:sz w:val="18"/>
                <w:szCs w:val="18"/>
              </w:rPr>
              <w:t>261</w:t>
            </w:r>
          </w:p>
        </w:tc>
        <w:tc>
          <w:tcPr>
            <w:tcW w:w="1151" w:type="dxa"/>
            <w:tcMar>
              <w:top w:w="40" w:type="dxa"/>
              <w:left w:w="80" w:type="dxa"/>
              <w:bottom w:w="60" w:type="dxa"/>
              <w:right w:w="40" w:type="dxa"/>
            </w:tcMar>
          </w:tcPr>
          <w:p w14:paraId="25CE5378" w14:textId="77777777" w:rsidR="00D31EA2" w:rsidRDefault="00D31EA2" w:rsidP="00410442">
            <w:pPr>
              <w:rPr>
                <w:rFonts w:ascii="Arial" w:hAnsi="Arial" w:cs="Arial"/>
                <w:color w:val="000000"/>
                <w:sz w:val="18"/>
                <w:szCs w:val="18"/>
              </w:rPr>
            </w:pPr>
            <w:r>
              <w:rPr>
                <w:rFonts w:ascii="Arial" w:hAnsi="Arial" w:cs="Arial"/>
                <w:color w:val="000000"/>
                <w:sz w:val="18"/>
                <w:szCs w:val="18"/>
              </w:rPr>
              <w:t>181</w:t>
            </w:r>
          </w:p>
        </w:tc>
        <w:tc>
          <w:tcPr>
            <w:tcW w:w="1151" w:type="dxa"/>
            <w:shd w:val="clear" w:color="auto" w:fill="auto"/>
            <w:tcMar>
              <w:top w:w="40" w:type="dxa"/>
              <w:left w:w="79" w:type="dxa"/>
              <w:bottom w:w="62" w:type="dxa"/>
              <w:right w:w="40" w:type="dxa"/>
            </w:tcMar>
          </w:tcPr>
          <w:p w14:paraId="7764EA5F" w14:textId="77777777" w:rsidR="00D31EA2" w:rsidRDefault="00D31EA2" w:rsidP="00410442">
            <w:pPr>
              <w:rPr>
                <w:rFonts w:ascii="Arial" w:hAnsi="Arial" w:cs="Arial"/>
                <w:color w:val="000000"/>
                <w:sz w:val="18"/>
                <w:szCs w:val="18"/>
              </w:rPr>
            </w:pPr>
            <w:r>
              <w:rPr>
                <w:rFonts w:ascii="Arial" w:hAnsi="Arial" w:cs="Arial"/>
                <w:color w:val="000000"/>
                <w:sz w:val="18"/>
                <w:szCs w:val="18"/>
              </w:rPr>
              <w:t>159</w:t>
            </w:r>
          </w:p>
        </w:tc>
      </w:tr>
    </w:tbl>
    <w:p w14:paraId="66E5AED8" w14:textId="77777777" w:rsidR="004B6FAA" w:rsidRDefault="004B6FAA" w:rsidP="00A520EE">
      <w:pPr>
        <w:pStyle w:val="DHHSbody"/>
        <w:rPr>
          <w:color w:val="201547"/>
          <w:sz w:val="44"/>
          <w:szCs w:val="44"/>
        </w:rPr>
      </w:pPr>
      <w:r>
        <w:br w:type="page"/>
      </w:r>
    </w:p>
    <w:p w14:paraId="45989CC5" w14:textId="2021179C" w:rsidR="002E37C7" w:rsidRDefault="006C7100" w:rsidP="006C7100">
      <w:pPr>
        <w:pStyle w:val="Heading1"/>
      </w:pPr>
      <w:bookmarkStart w:id="38" w:name="_Toc55379413"/>
      <w:r>
        <w:t xml:space="preserve">Appendix </w:t>
      </w:r>
      <w:r w:rsidR="00A326EE">
        <w:t>3</w:t>
      </w:r>
      <w:r w:rsidR="0054787A">
        <w:t>:</w:t>
      </w:r>
      <w:r w:rsidR="00532F60">
        <w:t xml:space="preserve"> Victoria’s </w:t>
      </w:r>
      <w:r w:rsidR="00C140A3">
        <w:t>p</w:t>
      </w:r>
      <w:r w:rsidR="00532F60">
        <w:t xml:space="preserve">ublic </w:t>
      </w:r>
      <w:r w:rsidR="00C140A3">
        <w:t>mental health system</w:t>
      </w:r>
      <w:bookmarkEnd w:id="38"/>
    </w:p>
    <w:p w14:paraId="366F15F8" w14:textId="6718D47F" w:rsidR="00310E1D" w:rsidRDefault="006158AE" w:rsidP="00F17C22">
      <w:pPr>
        <w:pStyle w:val="Heading2"/>
      </w:pPr>
      <w:bookmarkStart w:id="39" w:name="_Toc23226817"/>
      <w:bookmarkStart w:id="40" w:name="_Toc55379414"/>
      <w:r w:rsidRPr="006158AE">
        <w:t>Area-based clinical services</w:t>
      </w:r>
      <w:r w:rsidR="00310E1D">
        <w:rPr>
          <w:rStyle w:val="FootnoteReference"/>
        </w:rPr>
        <w:footnoteReference w:id="26"/>
      </w:r>
      <w:bookmarkEnd w:id="39"/>
      <w:bookmarkEnd w:id="40"/>
    </w:p>
    <w:p w14:paraId="5EAAA634" w14:textId="77777777" w:rsidR="00310E1D" w:rsidRDefault="00310E1D" w:rsidP="00310E1D">
      <w:pPr>
        <w:pStyle w:val="Heading3"/>
      </w:pPr>
      <w:r w:rsidRPr="00057208">
        <w:t>Child and adolescent services/child and youth services</w:t>
      </w:r>
      <w:r>
        <w:rPr>
          <w:rStyle w:val="FootnoteReference"/>
        </w:rPr>
        <w:footnoteReference w:id="27"/>
      </w:r>
    </w:p>
    <w:p w14:paraId="53B7144C" w14:textId="77777777" w:rsidR="00310E1D" w:rsidRPr="00057208" w:rsidRDefault="00310E1D" w:rsidP="00310E1D">
      <w:pPr>
        <w:pStyle w:val="DHHSbullet1"/>
        <w:numPr>
          <w:ilvl w:val="0"/>
          <w:numId w:val="20"/>
        </w:numPr>
      </w:pPr>
      <w:r w:rsidRPr="00057208">
        <w:t>Acute inpatient services</w:t>
      </w:r>
    </w:p>
    <w:p w14:paraId="319287AB" w14:textId="77777777" w:rsidR="00310E1D" w:rsidRPr="00057208" w:rsidRDefault="00310E1D" w:rsidP="00310E1D">
      <w:pPr>
        <w:pStyle w:val="DHHSbullet1"/>
        <w:numPr>
          <w:ilvl w:val="0"/>
          <w:numId w:val="20"/>
        </w:numPr>
      </w:pPr>
      <w:r w:rsidRPr="00057208">
        <w:t>Autism assessment</w:t>
      </w:r>
    </w:p>
    <w:p w14:paraId="5D6B7FB7" w14:textId="77777777" w:rsidR="00310E1D" w:rsidRPr="00057208" w:rsidRDefault="00310E1D" w:rsidP="00310E1D">
      <w:pPr>
        <w:pStyle w:val="DHHSbullet1"/>
        <w:numPr>
          <w:ilvl w:val="0"/>
          <w:numId w:val="20"/>
        </w:numPr>
      </w:pPr>
      <w:r w:rsidRPr="00057208">
        <w:t>Consultation and liaison psychiatry</w:t>
      </w:r>
    </w:p>
    <w:p w14:paraId="000F6C19" w14:textId="77777777" w:rsidR="00310E1D" w:rsidRPr="00057208" w:rsidRDefault="00310E1D" w:rsidP="00310E1D">
      <w:pPr>
        <w:pStyle w:val="DHHSbullet1"/>
        <w:numPr>
          <w:ilvl w:val="0"/>
          <w:numId w:val="20"/>
        </w:numPr>
      </w:pPr>
      <w:r w:rsidRPr="00057208">
        <w:t>Continuing care</w:t>
      </w:r>
    </w:p>
    <w:p w14:paraId="6AB29BAC" w14:textId="77777777" w:rsidR="00310E1D" w:rsidRPr="00057208" w:rsidRDefault="00310E1D" w:rsidP="00310E1D">
      <w:pPr>
        <w:pStyle w:val="DHHSbullet1"/>
        <w:numPr>
          <w:ilvl w:val="0"/>
          <w:numId w:val="20"/>
        </w:numPr>
      </w:pPr>
      <w:r w:rsidRPr="00057208">
        <w:t>Day programs</w:t>
      </w:r>
    </w:p>
    <w:p w14:paraId="610B1636" w14:textId="77777777" w:rsidR="00310E1D" w:rsidRPr="00057208" w:rsidRDefault="00310E1D" w:rsidP="00310E1D">
      <w:pPr>
        <w:pStyle w:val="DHHSbullet1"/>
        <w:numPr>
          <w:ilvl w:val="0"/>
          <w:numId w:val="20"/>
        </w:numPr>
      </w:pPr>
      <w:r w:rsidRPr="00057208">
        <w:t>Intensive mobile youth outreach services</w:t>
      </w:r>
    </w:p>
    <w:p w14:paraId="015FFF58" w14:textId="77777777" w:rsidR="00310E1D" w:rsidRPr="00057208" w:rsidRDefault="00310E1D" w:rsidP="00310E1D">
      <w:pPr>
        <w:pStyle w:val="DHHSbullet1"/>
        <w:numPr>
          <w:ilvl w:val="0"/>
          <w:numId w:val="20"/>
        </w:numPr>
      </w:pPr>
      <w:r w:rsidRPr="00057208">
        <w:t>School-based early intervention programs</w:t>
      </w:r>
    </w:p>
    <w:p w14:paraId="5AD391C2" w14:textId="77777777" w:rsidR="00310E1D" w:rsidRDefault="00310E1D" w:rsidP="00310E1D">
      <w:pPr>
        <w:pStyle w:val="Heading3"/>
      </w:pPr>
      <w:r w:rsidRPr="00057208">
        <w:t>Adult services</w:t>
      </w:r>
    </w:p>
    <w:p w14:paraId="018BA190" w14:textId="77777777" w:rsidR="00310E1D" w:rsidRPr="00057208" w:rsidRDefault="00310E1D" w:rsidP="00310E1D">
      <w:pPr>
        <w:pStyle w:val="DHHSbullet1"/>
        <w:numPr>
          <w:ilvl w:val="0"/>
          <w:numId w:val="20"/>
        </w:numPr>
      </w:pPr>
      <w:r w:rsidRPr="00057208">
        <w:t>Acute community intervention services</w:t>
      </w:r>
    </w:p>
    <w:p w14:paraId="64C1C755" w14:textId="77777777" w:rsidR="00310E1D" w:rsidRPr="00057208" w:rsidRDefault="00310E1D" w:rsidP="00310E1D">
      <w:pPr>
        <w:pStyle w:val="DHHSbullet1"/>
        <w:numPr>
          <w:ilvl w:val="0"/>
          <w:numId w:val="20"/>
        </w:numPr>
      </w:pPr>
      <w:r w:rsidRPr="00057208">
        <w:t>Acute inpatient services</w:t>
      </w:r>
    </w:p>
    <w:p w14:paraId="790906A8" w14:textId="77777777" w:rsidR="00310E1D" w:rsidRPr="00057208" w:rsidRDefault="00310E1D" w:rsidP="00310E1D">
      <w:pPr>
        <w:pStyle w:val="DHHSbullet1"/>
        <w:numPr>
          <w:ilvl w:val="0"/>
          <w:numId w:val="20"/>
        </w:numPr>
      </w:pPr>
      <w:r w:rsidRPr="00057208">
        <w:t>Psychiatric assessment and planning units</w:t>
      </w:r>
    </w:p>
    <w:p w14:paraId="6A514D38" w14:textId="77777777" w:rsidR="00310E1D" w:rsidRPr="00057208" w:rsidRDefault="00310E1D" w:rsidP="00310E1D">
      <w:pPr>
        <w:pStyle w:val="DHHSbullet1"/>
        <w:numPr>
          <w:ilvl w:val="0"/>
          <w:numId w:val="20"/>
        </w:numPr>
      </w:pPr>
      <w:r w:rsidRPr="00057208">
        <w:t>Secure extended care and inpatient services</w:t>
      </w:r>
    </w:p>
    <w:p w14:paraId="4C0C56A7" w14:textId="77777777" w:rsidR="00310E1D" w:rsidRPr="00057208" w:rsidRDefault="00310E1D" w:rsidP="00310E1D">
      <w:pPr>
        <w:pStyle w:val="DHHSbullet1"/>
        <w:numPr>
          <w:ilvl w:val="0"/>
          <w:numId w:val="20"/>
        </w:numPr>
      </w:pPr>
      <w:r w:rsidRPr="00057208">
        <w:t>Continuing care</w:t>
      </w:r>
    </w:p>
    <w:p w14:paraId="1065216F" w14:textId="77777777" w:rsidR="00310E1D" w:rsidRPr="00057208" w:rsidRDefault="00310E1D" w:rsidP="00310E1D">
      <w:pPr>
        <w:pStyle w:val="DHHSbullet1"/>
        <w:numPr>
          <w:ilvl w:val="0"/>
          <w:numId w:val="20"/>
        </w:numPr>
      </w:pPr>
      <w:r w:rsidRPr="00057208">
        <w:t>Consultation and liaison psychiatry</w:t>
      </w:r>
    </w:p>
    <w:p w14:paraId="12C04DDC" w14:textId="77777777" w:rsidR="00310E1D" w:rsidRPr="00057208" w:rsidRDefault="00310E1D" w:rsidP="00310E1D">
      <w:pPr>
        <w:pStyle w:val="DHHSbullet1"/>
        <w:numPr>
          <w:ilvl w:val="0"/>
          <w:numId w:val="20"/>
        </w:numPr>
      </w:pPr>
      <w:r w:rsidRPr="00057208">
        <w:t>Community care units</w:t>
      </w:r>
    </w:p>
    <w:p w14:paraId="76779CAD" w14:textId="77777777" w:rsidR="00310E1D" w:rsidRPr="00057208" w:rsidRDefault="00310E1D" w:rsidP="00310E1D">
      <w:pPr>
        <w:pStyle w:val="DHHSbullet1"/>
        <w:numPr>
          <w:ilvl w:val="0"/>
          <w:numId w:val="20"/>
        </w:numPr>
      </w:pPr>
      <w:r w:rsidRPr="00057208">
        <w:t>Prevention and recovery care (PARC)</w:t>
      </w:r>
    </w:p>
    <w:p w14:paraId="65C29C0C" w14:textId="77777777" w:rsidR="00310E1D" w:rsidRPr="00057208" w:rsidRDefault="00310E1D" w:rsidP="00310E1D">
      <w:pPr>
        <w:pStyle w:val="DHHSbullet1"/>
        <w:numPr>
          <w:ilvl w:val="0"/>
          <w:numId w:val="20"/>
        </w:numPr>
      </w:pPr>
      <w:r w:rsidRPr="00057208">
        <w:t>Early psychosis (16–25 years)</w:t>
      </w:r>
    </w:p>
    <w:p w14:paraId="75E9544B" w14:textId="77777777" w:rsidR="00310E1D" w:rsidRPr="00057208" w:rsidRDefault="00310E1D" w:rsidP="00310E1D">
      <w:pPr>
        <w:pStyle w:val="DHHSbullet1"/>
        <w:numPr>
          <w:ilvl w:val="0"/>
          <w:numId w:val="20"/>
        </w:numPr>
      </w:pPr>
      <w:r w:rsidRPr="00057208">
        <w:t>Youth PARC (16–25 years)</w:t>
      </w:r>
    </w:p>
    <w:p w14:paraId="1353BC95" w14:textId="77777777" w:rsidR="00310E1D" w:rsidRDefault="00310E1D" w:rsidP="00310E1D">
      <w:pPr>
        <w:pStyle w:val="Heading3"/>
      </w:pPr>
      <w:r w:rsidRPr="00057208">
        <w:t>Aged persons services (65+ years)</w:t>
      </w:r>
    </w:p>
    <w:p w14:paraId="0E765302" w14:textId="77777777" w:rsidR="00310E1D" w:rsidRPr="00057208" w:rsidRDefault="00310E1D" w:rsidP="00310E1D">
      <w:pPr>
        <w:pStyle w:val="DHHSbullet1"/>
        <w:numPr>
          <w:ilvl w:val="0"/>
          <w:numId w:val="20"/>
        </w:numPr>
      </w:pPr>
      <w:r w:rsidRPr="00057208">
        <w:t>Acute inpatient services</w:t>
      </w:r>
    </w:p>
    <w:p w14:paraId="6C5B3403" w14:textId="67D970D4" w:rsidR="00310E1D" w:rsidRPr="00057208" w:rsidRDefault="00310E1D" w:rsidP="00310E1D">
      <w:pPr>
        <w:pStyle w:val="DHHSbullet1"/>
        <w:numPr>
          <w:ilvl w:val="0"/>
          <w:numId w:val="20"/>
        </w:numPr>
      </w:pPr>
      <w:r w:rsidRPr="00057208">
        <w:t xml:space="preserve">Aged persons mental health </w:t>
      </w:r>
      <w:r w:rsidR="00175868">
        <w:t>bed-based</w:t>
      </w:r>
      <w:r w:rsidRPr="00057208">
        <w:t xml:space="preserve"> services</w:t>
      </w:r>
    </w:p>
    <w:p w14:paraId="01E75174" w14:textId="77777777" w:rsidR="00310E1D" w:rsidRPr="00057208" w:rsidRDefault="00310E1D" w:rsidP="00310E1D">
      <w:pPr>
        <w:pStyle w:val="DHHSbullet1"/>
        <w:numPr>
          <w:ilvl w:val="0"/>
          <w:numId w:val="20"/>
        </w:numPr>
      </w:pPr>
      <w:r w:rsidRPr="00057208">
        <w:t>Aged persons mental health community teams</w:t>
      </w:r>
    </w:p>
    <w:p w14:paraId="222C7415" w14:textId="77777777" w:rsidR="00310E1D" w:rsidRPr="00903D88" w:rsidRDefault="00310E1D" w:rsidP="00F17C22">
      <w:pPr>
        <w:pStyle w:val="Heading2"/>
      </w:pPr>
      <w:bookmarkStart w:id="41" w:name="_Toc23226818"/>
      <w:bookmarkStart w:id="42" w:name="_Toc55379415"/>
      <w:r w:rsidRPr="00903D88">
        <w:t>Statewide specialist services</w:t>
      </w:r>
      <w:bookmarkEnd w:id="41"/>
      <w:bookmarkEnd w:id="42"/>
    </w:p>
    <w:p w14:paraId="1E6E122A" w14:textId="77777777" w:rsidR="00310E1D" w:rsidRPr="00057208" w:rsidRDefault="00310E1D" w:rsidP="00310E1D">
      <w:pPr>
        <w:pStyle w:val="DHHSbullet1"/>
        <w:numPr>
          <w:ilvl w:val="0"/>
          <w:numId w:val="20"/>
        </w:numPr>
      </w:pPr>
      <w:r w:rsidRPr="00057208">
        <w:t>Aboriginal services</w:t>
      </w:r>
    </w:p>
    <w:p w14:paraId="7FBB9924" w14:textId="77777777" w:rsidR="00310E1D" w:rsidRPr="00057208" w:rsidRDefault="00310E1D" w:rsidP="00310E1D">
      <w:pPr>
        <w:pStyle w:val="DHHSbullet1"/>
        <w:numPr>
          <w:ilvl w:val="0"/>
          <w:numId w:val="20"/>
        </w:numPr>
      </w:pPr>
      <w:r w:rsidRPr="00057208">
        <w:t>Brain disorder services</w:t>
      </w:r>
    </w:p>
    <w:p w14:paraId="5AEEE9A5" w14:textId="77777777" w:rsidR="00310E1D" w:rsidRPr="00057208" w:rsidRDefault="00310E1D" w:rsidP="00310E1D">
      <w:pPr>
        <w:pStyle w:val="DHHSbullet1"/>
        <w:numPr>
          <w:ilvl w:val="0"/>
          <w:numId w:val="20"/>
        </w:numPr>
      </w:pPr>
      <w:r w:rsidRPr="00057208">
        <w:t>Dual diagnosis services</w:t>
      </w:r>
    </w:p>
    <w:p w14:paraId="1A864A9E" w14:textId="77777777" w:rsidR="00310E1D" w:rsidRPr="00057208" w:rsidRDefault="00310E1D" w:rsidP="00310E1D">
      <w:pPr>
        <w:pStyle w:val="DHHSbullet1"/>
        <w:numPr>
          <w:ilvl w:val="0"/>
          <w:numId w:val="20"/>
        </w:numPr>
      </w:pPr>
      <w:r w:rsidRPr="00057208">
        <w:t>Dual disability services</w:t>
      </w:r>
    </w:p>
    <w:p w14:paraId="2CE9438D" w14:textId="77777777" w:rsidR="00310E1D" w:rsidRPr="00057208" w:rsidRDefault="00310E1D" w:rsidP="00310E1D">
      <w:pPr>
        <w:pStyle w:val="DHHSbullet1"/>
        <w:numPr>
          <w:ilvl w:val="0"/>
          <w:numId w:val="20"/>
        </w:numPr>
      </w:pPr>
      <w:r w:rsidRPr="00057208">
        <w:t>Eating disorder services</w:t>
      </w:r>
    </w:p>
    <w:p w14:paraId="0BD13BE3" w14:textId="77777777" w:rsidR="00310E1D" w:rsidRPr="00057208" w:rsidRDefault="00310E1D" w:rsidP="00310E1D">
      <w:pPr>
        <w:pStyle w:val="DHHSbullet1"/>
        <w:numPr>
          <w:ilvl w:val="0"/>
          <w:numId w:val="20"/>
        </w:numPr>
      </w:pPr>
      <w:r w:rsidRPr="00057208">
        <w:t>Mother and baby services</w:t>
      </w:r>
    </w:p>
    <w:p w14:paraId="74F327C3" w14:textId="77777777" w:rsidR="00310E1D" w:rsidRPr="00057208" w:rsidRDefault="00310E1D" w:rsidP="00310E1D">
      <w:pPr>
        <w:pStyle w:val="DHHSbullet1"/>
        <w:numPr>
          <w:ilvl w:val="0"/>
          <w:numId w:val="20"/>
        </w:numPr>
      </w:pPr>
      <w:r w:rsidRPr="00057208">
        <w:t>Neuropsychiatry</w:t>
      </w:r>
    </w:p>
    <w:p w14:paraId="2F495BCD" w14:textId="77777777" w:rsidR="00310E1D" w:rsidRPr="00057208" w:rsidRDefault="00310E1D" w:rsidP="00310E1D">
      <w:pPr>
        <w:pStyle w:val="DHHSbullet1"/>
        <w:numPr>
          <w:ilvl w:val="0"/>
          <w:numId w:val="20"/>
        </w:numPr>
      </w:pPr>
      <w:r w:rsidRPr="00057208">
        <w:t>Personality disorder services</w:t>
      </w:r>
    </w:p>
    <w:p w14:paraId="2C5399F8" w14:textId="77777777" w:rsidR="00310E1D" w:rsidRPr="00057208" w:rsidRDefault="00310E1D" w:rsidP="00310E1D">
      <w:pPr>
        <w:pStyle w:val="DHHSbullet1"/>
        <w:numPr>
          <w:ilvl w:val="0"/>
          <w:numId w:val="20"/>
        </w:numPr>
      </w:pPr>
      <w:r w:rsidRPr="00057208">
        <w:t>Torture and trauma counselling</w:t>
      </w:r>
    </w:p>
    <w:p w14:paraId="1E469869" w14:textId="77777777" w:rsidR="00310E1D" w:rsidRPr="00057208" w:rsidRDefault="00310E1D" w:rsidP="00310E1D">
      <w:pPr>
        <w:pStyle w:val="DHHSbullet1"/>
        <w:numPr>
          <w:ilvl w:val="0"/>
          <w:numId w:val="20"/>
        </w:numPr>
      </w:pPr>
      <w:r w:rsidRPr="00057208">
        <w:t>Victorian Institute of Forensic Mental Health (Forensicare)</w:t>
      </w:r>
    </w:p>
    <w:p w14:paraId="1551BB67" w14:textId="77777777" w:rsidR="00310E1D" w:rsidRPr="00057208" w:rsidRDefault="00310E1D" w:rsidP="00310E1D">
      <w:pPr>
        <w:pStyle w:val="DHHSbullet1"/>
        <w:numPr>
          <w:ilvl w:val="0"/>
          <w:numId w:val="20"/>
        </w:numPr>
      </w:pPr>
      <w:r w:rsidRPr="00057208">
        <w:t>Victorian Transcultural Mental Health</w:t>
      </w:r>
    </w:p>
    <w:p w14:paraId="7B8F2E4A" w14:textId="77777777" w:rsidR="006D360C" w:rsidRPr="003072C6" w:rsidRDefault="00310E1D" w:rsidP="00C76345">
      <w:pPr>
        <w:pStyle w:val="DHHSbullet1"/>
        <w:numPr>
          <w:ilvl w:val="0"/>
          <w:numId w:val="20"/>
        </w:numPr>
        <w:spacing w:after="120"/>
      </w:pPr>
      <w:r w:rsidRPr="00057208">
        <w:t>Transition support units</w:t>
      </w:r>
    </w:p>
    <w:sectPr w:rsidR="006D360C" w:rsidRPr="003072C6" w:rsidSect="00742D07">
      <w:headerReference w:type="even" r:id="rId20"/>
      <w:headerReference w:type="default" r:id="rId21"/>
      <w:footerReference w:type="even" r:id="rId22"/>
      <w:footerReference w:type="default" r:id="rId23"/>
      <w:footerReference w:type="first" r:id="rId24"/>
      <w:pgSz w:w="11906" w:h="16838" w:code="9"/>
      <w:pgMar w:top="1701" w:right="1304" w:bottom="1418" w:left="1304"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D6AB4" w14:textId="77777777" w:rsidR="00CD1537" w:rsidRDefault="00CD1537">
      <w:r>
        <w:separator/>
      </w:r>
    </w:p>
  </w:endnote>
  <w:endnote w:type="continuationSeparator" w:id="0">
    <w:p w14:paraId="54880ED1" w14:textId="77777777" w:rsidR="00CD1537" w:rsidRDefault="00CD1537">
      <w:r>
        <w:continuationSeparator/>
      </w:r>
    </w:p>
  </w:endnote>
  <w:endnote w:type="continuationNotice" w:id="1">
    <w:p w14:paraId="4D9B1889" w14:textId="77777777" w:rsidR="00CD1537" w:rsidRDefault="00CD1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HelveticaNeueLTStd-L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799C" w14:textId="4D84EB50" w:rsidR="00CD1537" w:rsidRPr="004D5824" w:rsidRDefault="00CD1537">
    <w:pPr>
      <w:pStyle w:val="Footer"/>
      <w:rPr>
        <w:sz w:val="16"/>
        <w:szCs w:val="16"/>
      </w:rPr>
    </w:pPr>
    <w:r>
      <w:rPr>
        <w:noProof/>
      </w:rPr>
      <mc:AlternateContent>
        <mc:Choice Requires="wps">
          <w:drawing>
            <wp:anchor distT="0" distB="0" distL="114300" distR="114300" simplePos="0" relativeHeight="251662336" behindDoc="0" locked="0" layoutInCell="0" allowOverlap="1" wp14:anchorId="7F442C75" wp14:editId="63AEB655">
              <wp:simplePos x="0" y="0"/>
              <wp:positionH relativeFrom="page">
                <wp:posOffset>0</wp:posOffset>
              </wp:positionH>
              <wp:positionV relativeFrom="page">
                <wp:posOffset>10234930</wp:posOffset>
              </wp:positionV>
              <wp:extent cx="7560310" cy="266700"/>
              <wp:effectExtent l="0" t="0" r="0" b="0"/>
              <wp:wrapNone/>
              <wp:docPr id="3" name="MSIPCM214c44189bae08ad89d12e5d"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60B88D" w14:textId="18E5B290" w:rsidR="00CD1537" w:rsidRPr="00260B39" w:rsidRDefault="00CD1537" w:rsidP="00260B39">
                          <w:pPr>
                            <w:jc w:val="center"/>
                            <w:rPr>
                              <w:rFonts w:ascii="Arial Black" w:hAnsi="Arial Black"/>
                              <w:color w:val="000000"/>
                            </w:rPr>
                          </w:pPr>
                          <w:r w:rsidRPr="00260B3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F442C75" id="_x0000_t202" coordsize="21600,21600" o:spt="202" path="m,l,21600r21600,l21600,xe">
              <v:stroke joinstyle="miter"/>
              <v:path gradientshapeok="t" o:connecttype="rect"/>
            </v:shapetype>
            <v:shape id="MSIPCM214c44189bae08ad89d12e5d" o:spid="_x0000_s1026" type="#_x0000_t202" alt="{&quot;HashCode&quot;:904758361,&quot;Height&quot;:841.0,&quot;Width&quot;:595.0,&quot;Placement&quot;:&quot;Footer&quot;,&quot;Index&quot;:&quot;OddAndEven&quot;,&quot;Section&quot;:1,&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Bh8cyPGgMAADgGAAAOAAAAAAAAAAAA&#10;AAAAAC4CAABkcnMvZTJvRG9jLnhtbFBLAQItABQABgAIAAAAIQCDso8r3wAAAAsBAAAPAAAAAAAA&#10;AAAAAAAAAHQFAABkcnMvZG93bnJldi54bWxQSwUGAAAAAAQABADzAAAAgAYAAAAA&#10;" o:allowincell="f" filled="f" stroked="f" strokeweight=".5pt">
              <v:textbox inset=",0,,0">
                <w:txbxContent>
                  <w:p w14:paraId="0960B88D" w14:textId="18E5B290" w:rsidR="00CD1537" w:rsidRPr="00260B39" w:rsidRDefault="00CD1537" w:rsidP="00260B39">
                    <w:pPr>
                      <w:jc w:val="center"/>
                      <w:rPr>
                        <w:rFonts w:ascii="Arial Black" w:hAnsi="Arial Black"/>
                        <w:color w:val="000000"/>
                      </w:rPr>
                    </w:pPr>
                    <w:r w:rsidRPr="00260B39">
                      <w:rPr>
                        <w:rFonts w:ascii="Arial Black" w:hAnsi="Arial Black"/>
                        <w:color w:val="000000"/>
                      </w:rPr>
                      <w:t>OFFICIAL</w:t>
                    </w:r>
                  </w:p>
                </w:txbxContent>
              </v:textbox>
              <w10:wrap anchorx="page" anchory="page"/>
            </v:shape>
          </w:pict>
        </mc:Fallback>
      </mc:AlternateContent>
    </w:r>
    <w:sdt>
      <w:sdtPr>
        <w:id w:val="-1535495001"/>
        <w:docPartObj>
          <w:docPartGallery w:val="Page Numbers (Bottom of Page)"/>
          <w:docPartUnique/>
        </w:docPartObj>
      </w:sdtPr>
      <w:sdtEndPr>
        <w:rPr>
          <w:noProof/>
          <w:sz w:val="16"/>
          <w:szCs w:val="16"/>
        </w:rPr>
      </w:sdtEndPr>
      <w:sdtContent>
        <w:r w:rsidRPr="004D5824">
          <w:rPr>
            <w:sz w:val="16"/>
            <w:szCs w:val="16"/>
          </w:rPr>
          <w:fldChar w:fldCharType="begin"/>
        </w:r>
        <w:r w:rsidRPr="004D5824">
          <w:rPr>
            <w:sz w:val="16"/>
            <w:szCs w:val="16"/>
          </w:rPr>
          <w:instrText xml:space="preserve"> PAGE   \* MERGEFORMAT </w:instrText>
        </w:r>
        <w:r w:rsidRPr="004D5824">
          <w:rPr>
            <w:sz w:val="16"/>
            <w:szCs w:val="16"/>
          </w:rPr>
          <w:fldChar w:fldCharType="separate"/>
        </w:r>
        <w:r w:rsidRPr="004D5824">
          <w:rPr>
            <w:noProof/>
            <w:sz w:val="16"/>
            <w:szCs w:val="16"/>
          </w:rPr>
          <w:t>2</w:t>
        </w:r>
        <w:r w:rsidRPr="004D5824">
          <w:rPr>
            <w:noProof/>
            <w:sz w:val="16"/>
            <w:szCs w:val="16"/>
          </w:rPr>
          <w:fldChar w:fldCharType="end"/>
        </w:r>
      </w:sdtContent>
    </w:sdt>
  </w:p>
  <w:p w14:paraId="01509A67" w14:textId="585C5E7B" w:rsidR="00CD1537" w:rsidRDefault="00CD1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13F12" w14:textId="27F91DD8" w:rsidR="00CD1537" w:rsidRPr="000D515A" w:rsidRDefault="00CD1537">
    <w:pPr>
      <w:pStyle w:val="Footer"/>
      <w:rPr>
        <w:sz w:val="16"/>
        <w:szCs w:val="16"/>
      </w:rPr>
    </w:pPr>
    <w:r>
      <w:rPr>
        <w:noProof/>
      </w:rPr>
      <mc:AlternateContent>
        <mc:Choice Requires="wps">
          <w:drawing>
            <wp:anchor distT="0" distB="0" distL="114300" distR="114300" simplePos="0" relativeHeight="251657216" behindDoc="0" locked="0" layoutInCell="0" allowOverlap="1" wp14:anchorId="1AFAA4D6" wp14:editId="6FF2AAA5">
              <wp:simplePos x="0" y="0"/>
              <wp:positionH relativeFrom="page">
                <wp:posOffset>0</wp:posOffset>
              </wp:positionH>
              <wp:positionV relativeFrom="page">
                <wp:posOffset>10234930</wp:posOffset>
              </wp:positionV>
              <wp:extent cx="7560310" cy="266700"/>
              <wp:effectExtent l="0" t="0" r="0" b="0"/>
              <wp:wrapNone/>
              <wp:docPr id="1" name="MSIPCM5fbe41e68fbc818ef692943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9DDE6B" w14:textId="33DC809A" w:rsidR="00CD1537" w:rsidRPr="00260B39" w:rsidRDefault="00CD1537" w:rsidP="00260B39">
                          <w:pPr>
                            <w:jc w:val="center"/>
                            <w:rPr>
                              <w:rFonts w:ascii="Arial Black" w:hAnsi="Arial Black"/>
                              <w:color w:val="000000"/>
                            </w:rPr>
                          </w:pPr>
                          <w:r w:rsidRPr="00260B3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FAA4D6" id="_x0000_t202" coordsize="21600,21600" o:spt="202" path="m,l,21600r21600,l21600,xe">
              <v:stroke joinstyle="miter"/>
              <v:path gradientshapeok="t" o:connecttype="rect"/>
            </v:shapetype>
            <v:shape id="MSIPCM5fbe41e68fbc818ef692943e" o:spid="_x0000_s1027" type="#_x0000_t202" alt="{&quot;HashCode&quot;:904758361,&quot;Height&quot;:841.0,&quot;Width&quot;:595.0,&quot;Placement&quot;:&quot;Footer&quot;,&quot;Index&quot;:&quot;Primary&quot;,&quot;Section&quot;:1,&quot;Top&quot;:0.0,&quot;Left&quot;:0.0}" style="position:absolute;margin-left:0;margin-top:805.9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" o:allowincell="f" filled="f" stroked="f" strokeweight=".5pt">
              <v:textbox inset=",0,,0">
                <w:txbxContent>
                  <w:p w14:paraId="3A9DDE6B" w14:textId="33DC809A" w:rsidR="00CD1537" w:rsidRPr="00260B39" w:rsidRDefault="00CD1537" w:rsidP="00260B39">
                    <w:pPr>
                      <w:jc w:val="center"/>
                      <w:rPr>
                        <w:rFonts w:ascii="Arial Black" w:hAnsi="Arial Black"/>
                        <w:color w:val="000000"/>
                      </w:rPr>
                    </w:pPr>
                    <w:r w:rsidRPr="00260B39">
                      <w:rPr>
                        <w:rFonts w:ascii="Arial Black" w:hAnsi="Arial Black"/>
                        <w:color w:val="000000"/>
                      </w:rPr>
                      <w:t>OFFICIAL</w:t>
                    </w:r>
                  </w:p>
                </w:txbxContent>
              </v:textbox>
              <w10:wrap anchorx="page" anchory="page"/>
            </v:shape>
          </w:pict>
        </mc:Fallback>
      </mc:AlternateContent>
    </w:r>
    <w:sdt>
      <w:sdtPr>
        <w:id w:val="579645507"/>
        <w:docPartObj>
          <w:docPartGallery w:val="Page Numbers (Bottom of Page)"/>
          <w:docPartUnique/>
        </w:docPartObj>
      </w:sdtPr>
      <w:sdtEndPr>
        <w:rPr>
          <w:noProof/>
          <w:sz w:val="16"/>
          <w:szCs w:val="16"/>
        </w:rPr>
      </w:sdtEndPr>
      <w:sdtContent>
        <w:r w:rsidRPr="000D515A">
          <w:rPr>
            <w:sz w:val="16"/>
            <w:szCs w:val="16"/>
          </w:rPr>
          <w:fldChar w:fldCharType="begin"/>
        </w:r>
        <w:r w:rsidRPr="000D515A">
          <w:rPr>
            <w:sz w:val="16"/>
            <w:szCs w:val="16"/>
          </w:rPr>
          <w:instrText xml:space="preserve"> PAGE   \* MERGEFORMAT </w:instrText>
        </w:r>
        <w:r w:rsidRPr="000D515A">
          <w:rPr>
            <w:sz w:val="16"/>
            <w:szCs w:val="16"/>
          </w:rPr>
          <w:fldChar w:fldCharType="separate"/>
        </w:r>
        <w:r w:rsidRPr="000D515A">
          <w:rPr>
            <w:noProof/>
            <w:sz w:val="16"/>
            <w:szCs w:val="16"/>
          </w:rPr>
          <w:t>2</w:t>
        </w:r>
        <w:r w:rsidRPr="000D515A">
          <w:rPr>
            <w:noProof/>
            <w:sz w:val="16"/>
            <w:szCs w:val="16"/>
          </w:rPr>
          <w:fldChar w:fldCharType="end"/>
        </w:r>
      </w:sdtContent>
    </w:sdt>
  </w:p>
  <w:p w14:paraId="741052A6" w14:textId="2A8B66BE" w:rsidR="00CD1537" w:rsidRDefault="00CD1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F7145" w14:textId="77777777" w:rsidR="000569F8" w:rsidRDefault="000569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5B9F6" w14:textId="2EA838A3" w:rsidR="00CD1537" w:rsidRPr="008114D1" w:rsidRDefault="00CD1537" w:rsidP="00E969B1">
    <w:pPr>
      <w:pStyle w:val="DHHSfooter"/>
    </w:pPr>
    <w:r>
      <w:rPr>
        <w:noProof/>
      </w:rPr>
      <mc:AlternateContent>
        <mc:Choice Requires="wps">
          <w:drawing>
            <wp:anchor distT="0" distB="0" distL="114300" distR="114300" simplePos="0" relativeHeight="251658244" behindDoc="0" locked="0" layoutInCell="0" allowOverlap="1" wp14:anchorId="0BBF727A" wp14:editId="40E6FD0D">
              <wp:simplePos x="0" y="0"/>
              <wp:positionH relativeFrom="page">
                <wp:posOffset>0</wp:posOffset>
              </wp:positionH>
              <wp:positionV relativeFrom="page">
                <wp:posOffset>10234930</wp:posOffset>
              </wp:positionV>
              <wp:extent cx="7560310" cy="266700"/>
              <wp:effectExtent l="0" t="0" r="0" b="0"/>
              <wp:wrapNone/>
              <wp:docPr id="12" name="MSIPCM52dc4ae790f6e06f4fb0a66f"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DF0CAF" w14:textId="41422AD1" w:rsidR="00CD1537" w:rsidRPr="008855D3" w:rsidRDefault="00CD1537" w:rsidP="008855D3">
                          <w:pPr>
                            <w:jc w:val="center"/>
                            <w:rPr>
                              <w:rFonts w:ascii="Arial Black" w:hAnsi="Arial Black"/>
                              <w:color w:val="000000"/>
                            </w:rPr>
                          </w:pPr>
                          <w:r w:rsidRPr="008855D3">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BF727A" id="_x0000_t202" coordsize="21600,21600" o:spt="202" path="m,l,21600r21600,l21600,xe">
              <v:stroke joinstyle="miter"/>
              <v:path gradientshapeok="t" o:connecttype="rect"/>
            </v:shapetype>
            <v:shape id="MSIPCM52dc4ae790f6e06f4fb0a66f" o:spid="_x0000_s1028" type="#_x0000_t202" alt="{&quot;HashCode&quot;:904758361,&quot;Height&quot;:841.0,&quot;Width&quot;:595.0,&quot;Placement&quot;:&quot;Footer&quot;,&quot;Index&quot;:&quot;OddAndEven&quot;,&quot;Section&quot;:3,&quot;Top&quot;:0.0,&quot;Left&quot;:0.0}" style="position:absolute;margin-left:0;margin-top:805.9pt;width:595.3pt;height:21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" o:allowincell="f" filled="f" stroked="f" strokeweight=".5pt">
              <v:textbox inset=",0,,0">
                <w:txbxContent>
                  <w:p w14:paraId="0BDF0CAF" w14:textId="41422AD1" w:rsidR="00804B03" w:rsidRPr="008855D3" w:rsidRDefault="00804B03" w:rsidP="008855D3">
                    <w:pPr>
                      <w:jc w:val="center"/>
                      <w:rPr>
                        <w:rFonts w:ascii="Arial Black" w:hAnsi="Arial Black"/>
                        <w:color w:val="000000"/>
                      </w:rPr>
                    </w:pPr>
                    <w:r w:rsidRPr="008855D3">
                      <w:rPr>
                        <w:rFonts w:ascii="Arial Black" w:hAnsi="Arial Black"/>
                        <w:color w:val="000000"/>
                      </w:rPr>
                      <w:t>OFFICIAL</w:t>
                    </w:r>
                  </w:p>
                </w:txbxContent>
              </v:textbox>
              <w10:wrap anchorx="page" anchory="page"/>
            </v:shape>
          </w:pict>
        </mc:Fallback>
      </mc:AlternateContent>
    </w:r>
    <w:r>
      <w:rPr>
        <w:noProof/>
      </w:rPr>
      <mc:AlternateContent>
        <mc:Choice Requires="wps">
          <w:drawing>
            <wp:anchor distT="0" distB="0" distL="114300" distR="114300" simplePos="0" relativeHeight="251658242" behindDoc="0" locked="0" layoutInCell="0" allowOverlap="1" wp14:anchorId="0F002DCA" wp14:editId="653E117B">
              <wp:simplePos x="0" y="0"/>
              <wp:positionH relativeFrom="page">
                <wp:posOffset>0</wp:posOffset>
              </wp:positionH>
              <wp:positionV relativeFrom="page">
                <wp:posOffset>10234930</wp:posOffset>
              </wp:positionV>
              <wp:extent cx="7560310" cy="266700"/>
              <wp:effectExtent l="0" t="0" r="0" b="0"/>
              <wp:wrapNone/>
              <wp:docPr id="5" name="MSIPCMfb0f4e3e9ef4a6201c92ef19" descr="{&quot;HashCode&quot;:904758361,&quot;Height&quot;:841.0,&quot;Width&quot;:595.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51B03A" w14:textId="39CCA86E" w:rsidR="00CD1537" w:rsidRPr="00260B39" w:rsidRDefault="00CD1537" w:rsidP="00260B39">
                          <w:pPr>
                            <w:jc w:val="center"/>
                            <w:rPr>
                              <w:rFonts w:ascii="Arial Black" w:hAnsi="Arial Black"/>
                              <w:color w:val="000000"/>
                            </w:rPr>
                          </w:pPr>
                          <w:r w:rsidRPr="00260B3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F002DCA" id="MSIPCMfb0f4e3e9ef4a6201c92ef19" o:spid="_x0000_s1029" type="#_x0000_t202" alt="{&quot;HashCode&quot;:904758361,&quot;Height&quot;:841.0,&quot;Width&quot;:595.0,&quot;Placement&quot;:&quot;Footer&quot;,&quot;Index&quot;:&quot;OddAndEven&quot;,&quot;Section&quot;:4,&quot;Top&quot;:0.0,&quot;Left&quot;:0.0}" style="position:absolute;margin-left:0;margin-top:805.9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" o:allowincell="f" filled="f" stroked="f" strokeweight=".5pt">
              <v:textbox inset=",0,,0">
                <w:txbxContent>
                  <w:p w14:paraId="0351B03A" w14:textId="39CCA86E" w:rsidR="00804B03" w:rsidRPr="00260B39" w:rsidRDefault="00804B03" w:rsidP="00260B39">
                    <w:pPr>
                      <w:jc w:val="center"/>
                      <w:rPr>
                        <w:rFonts w:ascii="Arial Black" w:hAnsi="Arial Black"/>
                        <w:color w:val="000000"/>
                      </w:rPr>
                    </w:pPr>
                    <w:r w:rsidRPr="00260B39">
                      <w:rPr>
                        <w:rFonts w:ascii="Arial Black" w:hAnsi="Arial Black"/>
                        <w:color w:val="000000"/>
                      </w:rPr>
                      <w:t>OFFICIAL</w:t>
                    </w:r>
                  </w:p>
                </w:txbxContent>
              </v:textbox>
              <w10:wrap anchorx="page" anchory="page"/>
            </v:shape>
          </w:pict>
        </mc:Fallback>
      </mc:AlternateContent>
    </w:r>
    <w:r>
      <w:t xml:space="preserve">Page </w:t>
    </w:r>
    <w:r w:rsidRPr="005A39EC">
      <w:fldChar w:fldCharType="begin"/>
    </w:r>
    <w:r w:rsidRPr="005A39EC">
      <w:instrText xml:space="preserve"> PAGE </w:instrText>
    </w:r>
    <w:r w:rsidRPr="005A39EC">
      <w:fldChar w:fldCharType="separate"/>
    </w:r>
    <w:r>
      <w:rPr>
        <w:noProof/>
      </w:rPr>
      <w:t>10</w:t>
    </w:r>
    <w:r w:rsidRPr="005A39EC">
      <w:fldChar w:fldCharType="end"/>
    </w:r>
    <w:r>
      <w:ptab w:relativeTo="margin" w:alignment="right" w:leader="none"/>
    </w:r>
    <w:r>
      <w:t>Victoria’s mental health services annual report 2019–20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88FB4" w14:textId="1DA5F39D" w:rsidR="00CD1537" w:rsidRPr="0031753A" w:rsidRDefault="00CD1537" w:rsidP="00E969B1">
    <w:pPr>
      <w:pStyle w:val="DHHSfooter"/>
    </w:pPr>
    <w:r>
      <w:rPr>
        <w:noProof/>
      </w:rPr>
      <mc:AlternateContent>
        <mc:Choice Requires="wps">
          <w:drawing>
            <wp:anchor distT="0" distB="0" distL="114300" distR="114300" simplePos="0" relativeHeight="251658243" behindDoc="0" locked="0" layoutInCell="0" allowOverlap="1" wp14:anchorId="55F26559" wp14:editId="0565A004">
              <wp:simplePos x="0" y="0"/>
              <wp:positionH relativeFrom="page">
                <wp:posOffset>0</wp:posOffset>
              </wp:positionH>
              <wp:positionV relativeFrom="page">
                <wp:posOffset>10234930</wp:posOffset>
              </wp:positionV>
              <wp:extent cx="7560310" cy="266700"/>
              <wp:effectExtent l="0" t="0" r="0" b="0"/>
              <wp:wrapNone/>
              <wp:docPr id="7" name="MSIPCMfd284b4db2219ed895768ddf"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B826F4" w14:textId="58163714" w:rsidR="00CD1537" w:rsidRPr="008855D3" w:rsidRDefault="00CD1537" w:rsidP="008855D3">
                          <w:pPr>
                            <w:jc w:val="center"/>
                            <w:rPr>
                              <w:rFonts w:ascii="Arial Black" w:hAnsi="Arial Black"/>
                              <w:color w:val="000000"/>
                            </w:rPr>
                          </w:pPr>
                          <w:r w:rsidRPr="008855D3">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F26559" id="_x0000_t202" coordsize="21600,21600" o:spt="202" path="m,l,21600r21600,l21600,xe">
              <v:stroke joinstyle="miter"/>
              <v:path gradientshapeok="t" o:connecttype="rect"/>
            </v:shapetype>
            <v:shape id="MSIPCMfd284b4db2219ed895768ddf" o:spid="_x0000_s1030" type="#_x0000_t202" alt="{&quot;HashCode&quot;:904758361,&quot;Height&quot;:841.0,&quot;Width&quot;:595.0,&quot;Placement&quot;:&quot;Footer&quot;,&quot;Index&quot;:&quot;Primary&quot;,&quot;Section&quot;:3,&quot;Top&quot;:0.0,&quot;Left&quot;:0.0}" style="position:absolute;margin-left:0;margin-top:805.9pt;width:595.3pt;height:21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" o:allowincell="f" filled="f" stroked="f" strokeweight=".5pt">
              <v:textbox inset=",0,,0">
                <w:txbxContent>
                  <w:p w14:paraId="0CB826F4" w14:textId="58163714" w:rsidR="00804B03" w:rsidRPr="008855D3" w:rsidRDefault="00804B03" w:rsidP="008855D3">
                    <w:pPr>
                      <w:jc w:val="center"/>
                      <w:rPr>
                        <w:rFonts w:ascii="Arial Black" w:hAnsi="Arial Black"/>
                        <w:color w:val="000000"/>
                      </w:rPr>
                    </w:pPr>
                    <w:r w:rsidRPr="008855D3">
                      <w:rPr>
                        <w:rFonts w:ascii="Arial Black" w:hAnsi="Arial Black"/>
                        <w:color w:val="000000"/>
                      </w:rPr>
                      <w:t>OFFICIAL</w:t>
                    </w:r>
                  </w:p>
                </w:txbxContent>
              </v:textbox>
              <w10:wrap anchorx="page" anchory="page"/>
            </v:shape>
          </w:pict>
        </mc:Fallback>
      </mc:AlternateContent>
    </w:r>
    <w:r>
      <w:rPr>
        <w:noProof/>
      </w:rPr>
      <mc:AlternateContent>
        <mc:Choice Requires="wps">
          <w:drawing>
            <wp:anchor distT="0" distB="0" distL="114300" distR="114300" simplePos="0" relativeHeight="251658241" behindDoc="0" locked="0" layoutInCell="0" allowOverlap="1" wp14:anchorId="70C96E46" wp14:editId="0D9285FC">
              <wp:simplePos x="0" y="0"/>
              <wp:positionH relativeFrom="page">
                <wp:posOffset>0</wp:posOffset>
              </wp:positionH>
              <wp:positionV relativeFrom="page">
                <wp:posOffset>10234930</wp:posOffset>
              </wp:positionV>
              <wp:extent cx="7560310" cy="266700"/>
              <wp:effectExtent l="0" t="0" r="0" b="0"/>
              <wp:wrapNone/>
              <wp:docPr id="4" name="MSIPCMb608416583ef36983d00a921" descr="{&quot;HashCode&quot;:904758361,&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0D628B" w14:textId="48522842" w:rsidR="00CD1537" w:rsidRPr="00260B39" w:rsidRDefault="00CD1537" w:rsidP="00260B39">
                          <w:pPr>
                            <w:jc w:val="center"/>
                            <w:rPr>
                              <w:rFonts w:ascii="Arial Black" w:hAnsi="Arial Black"/>
                              <w:color w:val="000000"/>
                            </w:rPr>
                          </w:pPr>
                          <w:r w:rsidRPr="00260B3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0C96E46" id="MSIPCMb608416583ef36983d00a921" o:spid="_x0000_s1031" type="#_x0000_t202" alt="{&quot;HashCode&quot;:904758361,&quot;Height&quot;:841.0,&quot;Width&quot;:595.0,&quot;Placement&quot;:&quot;Footer&quot;,&quot;Index&quot;:&quot;Primary&quot;,&quot;Section&quot;:4,&quot;Top&quot;:0.0,&quot;Left&quot;:0.0}" style="position:absolute;margin-left:0;margin-top:805.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BQeQ8jGgMAADwGAAAOAAAAAAAAAAAA&#10;AAAAAC4CAABkcnMvZTJvRG9jLnhtbFBLAQItABQABgAIAAAAIQCDso8r3wAAAAsBAAAPAAAAAAAA&#10;AAAAAAAAAHQFAABkcnMvZG93bnJldi54bWxQSwUGAAAAAAQABADzAAAAgAYAAAAA&#10;" o:allowincell="f" filled="f" stroked="f" strokeweight=".5pt">
              <v:textbox inset=",0,,0">
                <w:txbxContent>
                  <w:p w14:paraId="500D628B" w14:textId="48522842" w:rsidR="00804B03" w:rsidRPr="00260B39" w:rsidRDefault="00804B03" w:rsidP="00260B39">
                    <w:pPr>
                      <w:jc w:val="center"/>
                      <w:rPr>
                        <w:rFonts w:ascii="Arial Black" w:hAnsi="Arial Black"/>
                        <w:color w:val="000000"/>
                      </w:rPr>
                    </w:pPr>
                    <w:r w:rsidRPr="00260B39">
                      <w:rPr>
                        <w:rFonts w:ascii="Arial Black" w:hAnsi="Arial Black"/>
                        <w:color w:val="000000"/>
                      </w:rPr>
                      <w:t>OFFICIAL</w:t>
                    </w:r>
                  </w:p>
                </w:txbxContent>
              </v:textbox>
              <w10:wrap anchorx="page" anchory="page"/>
            </v:shape>
          </w:pict>
        </mc:Fallback>
      </mc:AlternateContent>
    </w:r>
    <w:r>
      <w:t>Victoria’s mental health services annual report 2019–20</w:t>
    </w:r>
    <w:r>
      <w:ptab w:relativeTo="margin" w:alignment="right" w:leader="none"/>
    </w:r>
    <w:r w:rsidRPr="0031753A">
      <w:t xml:space="preserve">Page </w:t>
    </w:r>
    <w:r w:rsidRPr="0031753A">
      <w:fldChar w:fldCharType="begin"/>
    </w:r>
    <w:r w:rsidRPr="0031753A">
      <w:instrText xml:space="preserve"> PAGE </w:instrText>
    </w:r>
    <w:r w:rsidRPr="0031753A">
      <w:fldChar w:fldCharType="separate"/>
    </w:r>
    <w:r>
      <w:rPr>
        <w:noProof/>
      </w:rPr>
      <w:t>9</w:t>
    </w:r>
    <w:r w:rsidRPr="0031753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C2472" w14:textId="77777777" w:rsidR="00CD1537" w:rsidRPr="001A7E04" w:rsidRDefault="00CD1537"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5F770" w14:textId="77777777" w:rsidR="00CD1537" w:rsidRDefault="00CD1537">
      <w:r>
        <w:separator/>
      </w:r>
    </w:p>
  </w:footnote>
  <w:footnote w:type="continuationSeparator" w:id="0">
    <w:p w14:paraId="4EA81D1A" w14:textId="77777777" w:rsidR="00CD1537" w:rsidRDefault="00CD1537">
      <w:r>
        <w:continuationSeparator/>
      </w:r>
    </w:p>
  </w:footnote>
  <w:footnote w:type="continuationNotice" w:id="1">
    <w:p w14:paraId="7092974F" w14:textId="77777777" w:rsidR="00CD1537" w:rsidRDefault="00CD1537"/>
  </w:footnote>
  <w:footnote w:id="2">
    <w:p w14:paraId="19CB4736" w14:textId="1AA6D83C" w:rsidR="00CD1537" w:rsidRDefault="00CD1537" w:rsidP="00EF7136">
      <w:pPr>
        <w:pStyle w:val="FootnoteText"/>
      </w:pPr>
      <w:r>
        <w:rPr>
          <w:rStyle w:val="FootnoteReference"/>
        </w:rPr>
        <w:footnoteRef/>
      </w:r>
      <w:r>
        <w:t xml:space="preserve"> </w:t>
      </w:r>
      <w:r w:rsidRPr="00783CB6">
        <w:rPr>
          <w:rStyle w:val="normaltextrun"/>
          <w:shd w:val="clear" w:color="auto" w:fill="FFFFFF"/>
        </w:rPr>
        <w:t xml:space="preserve">It should be noted that the </w:t>
      </w:r>
      <w:r w:rsidRPr="002A5994">
        <w:rPr>
          <w:rStyle w:val="normaltextrun"/>
        </w:rPr>
        <w:t>small</w:t>
      </w:r>
      <w:r w:rsidRPr="00783CB6">
        <w:rPr>
          <w:rStyle w:val="normaltextrun"/>
          <w:shd w:val="clear" w:color="auto" w:fill="FFFFFF"/>
        </w:rPr>
        <w:t xml:space="preserve"> number of Aboriginal children starting school in any one year means that a minor change in the number of children in the high</w:t>
      </w:r>
      <w:r>
        <w:rPr>
          <w:rStyle w:val="normaltextrun"/>
          <w:shd w:val="clear" w:color="auto" w:fill="FFFFFF"/>
        </w:rPr>
        <w:t>-</w:t>
      </w:r>
      <w:r w:rsidRPr="00783CB6">
        <w:rPr>
          <w:rStyle w:val="normaltextrun"/>
          <w:shd w:val="clear" w:color="auto" w:fill="FFFFFF"/>
        </w:rPr>
        <w:t>risk category can affect the proportion. Hence the indicator for Aboriginal children is likely to fluctuate more than the indicator for all children.</w:t>
      </w:r>
    </w:p>
  </w:footnote>
  <w:footnote w:id="3">
    <w:p w14:paraId="0290AB64" w14:textId="249CD943" w:rsidR="00CD1537" w:rsidRDefault="00CD1537" w:rsidP="00F45F8D">
      <w:pPr>
        <w:pStyle w:val="FootnoteText"/>
      </w:pPr>
      <w:r>
        <w:rPr>
          <w:rStyle w:val="FootnoteReference"/>
        </w:rPr>
        <w:footnoteRef/>
      </w:r>
      <w:r>
        <w:t xml:space="preserve"> </w:t>
      </w:r>
      <w:r w:rsidRPr="005D7267">
        <w:rPr>
          <w:rStyle w:val="normaltextrun"/>
          <w:color w:val="000000"/>
          <w:bdr w:val="none" w:sz="0" w:space="0" w:color="auto" w:frame="1"/>
        </w:rPr>
        <w:t>Markwick A</w:t>
      </w:r>
      <w:r>
        <w:rPr>
          <w:rStyle w:val="normaltextrun"/>
          <w:color w:val="000000"/>
          <w:bdr w:val="none" w:sz="0" w:space="0" w:color="auto" w:frame="1"/>
        </w:rPr>
        <w:t>,</w:t>
      </w:r>
      <w:r w:rsidRPr="005D7267">
        <w:rPr>
          <w:rStyle w:val="normaltextrun"/>
          <w:color w:val="000000"/>
          <w:bdr w:val="none" w:sz="0" w:space="0" w:color="auto" w:frame="1"/>
        </w:rPr>
        <w:t xml:space="preserve"> Ansari Z</w:t>
      </w:r>
      <w:r>
        <w:rPr>
          <w:rStyle w:val="normaltextrun"/>
          <w:color w:val="000000"/>
          <w:bdr w:val="none" w:sz="0" w:space="0" w:color="auto" w:frame="1"/>
        </w:rPr>
        <w:t>,</w:t>
      </w:r>
      <w:r w:rsidRPr="005D7267">
        <w:rPr>
          <w:rStyle w:val="normaltextrun"/>
          <w:color w:val="000000"/>
          <w:bdr w:val="none" w:sz="0" w:space="0" w:color="auto" w:frame="1"/>
        </w:rPr>
        <w:t xml:space="preserve"> Clinch D</w:t>
      </w:r>
      <w:r>
        <w:rPr>
          <w:rStyle w:val="normaltextrun"/>
          <w:color w:val="000000"/>
          <w:bdr w:val="none" w:sz="0" w:space="0" w:color="auto" w:frame="1"/>
        </w:rPr>
        <w:t>,</w:t>
      </w:r>
      <w:r w:rsidRPr="005D7267">
        <w:rPr>
          <w:rStyle w:val="normaltextrun"/>
          <w:color w:val="000000"/>
          <w:bdr w:val="none" w:sz="0" w:space="0" w:color="auto" w:frame="1"/>
        </w:rPr>
        <w:t xml:space="preserve"> McNeil J 2019</w:t>
      </w:r>
      <w:r>
        <w:rPr>
          <w:rStyle w:val="normaltextrun"/>
          <w:color w:val="000000"/>
          <w:bdr w:val="none" w:sz="0" w:space="0" w:color="auto" w:frame="1"/>
        </w:rPr>
        <w:t>,</w:t>
      </w:r>
      <w:r w:rsidRPr="005D7267">
        <w:rPr>
          <w:rStyle w:val="normaltextrun"/>
          <w:color w:val="000000"/>
          <w:bdr w:val="none" w:sz="0" w:space="0" w:color="auto" w:frame="1"/>
        </w:rPr>
        <w:t xml:space="preserve"> </w:t>
      </w:r>
      <w:r>
        <w:rPr>
          <w:rStyle w:val="normaltextrun"/>
          <w:color w:val="000000"/>
          <w:bdr w:val="none" w:sz="0" w:space="0" w:color="auto" w:frame="1"/>
        </w:rPr>
        <w:t>‘</w:t>
      </w:r>
      <w:r w:rsidRPr="005D7267">
        <w:rPr>
          <w:rStyle w:val="normaltextrun"/>
          <w:color w:val="000000"/>
          <w:bdr w:val="none" w:sz="0" w:space="0" w:color="auto" w:frame="1"/>
        </w:rPr>
        <w:t xml:space="preserve">Experiences of racism among Aboriginal and Torres Strait Islander </w:t>
      </w:r>
      <w:r>
        <w:rPr>
          <w:rStyle w:val="normaltextrun"/>
          <w:color w:val="000000"/>
          <w:bdr w:val="none" w:sz="0" w:space="0" w:color="auto" w:frame="1"/>
        </w:rPr>
        <w:t>a</w:t>
      </w:r>
      <w:r w:rsidRPr="005D7267">
        <w:rPr>
          <w:rStyle w:val="normaltextrun"/>
          <w:color w:val="000000"/>
          <w:bdr w:val="none" w:sz="0" w:space="0" w:color="auto" w:frame="1"/>
        </w:rPr>
        <w:t>dults living in the Australian state of Victoria: a cross-sectional population-based study</w:t>
      </w:r>
      <w:r>
        <w:rPr>
          <w:rStyle w:val="normaltextrun"/>
          <w:color w:val="000000"/>
          <w:bdr w:val="none" w:sz="0" w:space="0" w:color="auto" w:frame="1"/>
        </w:rPr>
        <w:t>’</w:t>
      </w:r>
      <w:r w:rsidRPr="005D7267">
        <w:rPr>
          <w:rStyle w:val="normaltextrun"/>
          <w:color w:val="000000"/>
          <w:bdr w:val="none" w:sz="0" w:space="0" w:color="auto" w:frame="1"/>
        </w:rPr>
        <w:t xml:space="preserve">, </w:t>
      </w:r>
      <w:r w:rsidRPr="002A5994">
        <w:rPr>
          <w:rStyle w:val="normaltextrun"/>
          <w:i/>
          <w:iCs/>
          <w:color w:val="000000"/>
          <w:bdr w:val="none" w:sz="0" w:space="0" w:color="auto" w:frame="1"/>
        </w:rPr>
        <w:t>BMC Public Health</w:t>
      </w:r>
      <w:r>
        <w:rPr>
          <w:rStyle w:val="normaltextrun"/>
          <w:color w:val="000000"/>
          <w:bdr w:val="none" w:sz="0" w:space="0" w:color="auto" w:frame="1"/>
        </w:rPr>
        <w:t>,</w:t>
      </w:r>
      <w:r w:rsidRPr="005D7267">
        <w:rPr>
          <w:rStyle w:val="normaltextrun"/>
          <w:color w:val="000000"/>
          <w:bdr w:val="none" w:sz="0" w:space="0" w:color="auto" w:frame="1"/>
        </w:rPr>
        <w:t xml:space="preserve"> </w:t>
      </w:r>
      <w:r>
        <w:rPr>
          <w:rStyle w:val="normaltextrun"/>
          <w:color w:val="000000"/>
          <w:bdr w:val="none" w:sz="0" w:space="0" w:color="auto" w:frame="1"/>
        </w:rPr>
        <w:t xml:space="preserve">vol. </w:t>
      </w:r>
      <w:r w:rsidRPr="005D7267">
        <w:rPr>
          <w:rStyle w:val="normaltextrun"/>
          <w:color w:val="000000"/>
          <w:bdr w:val="none" w:sz="0" w:space="0" w:color="auto" w:frame="1"/>
        </w:rPr>
        <w:t>19</w:t>
      </w:r>
      <w:r>
        <w:rPr>
          <w:rStyle w:val="normaltextrun"/>
          <w:color w:val="000000"/>
          <w:bdr w:val="none" w:sz="0" w:space="0" w:color="auto" w:frame="1"/>
        </w:rPr>
        <w:t xml:space="preserve">, no. </w:t>
      </w:r>
      <w:r w:rsidRPr="005D7267">
        <w:rPr>
          <w:rStyle w:val="normaltextrun"/>
          <w:color w:val="000000"/>
          <w:bdr w:val="none" w:sz="0" w:space="0" w:color="auto" w:frame="1"/>
        </w:rPr>
        <w:t>1</w:t>
      </w:r>
      <w:r>
        <w:rPr>
          <w:rStyle w:val="normaltextrun"/>
          <w:color w:val="000000"/>
          <w:bdr w:val="none" w:sz="0" w:space="0" w:color="auto" w:frame="1"/>
        </w:rPr>
        <w:t>, pp.</w:t>
      </w:r>
      <w:r w:rsidRPr="005D7267">
        <w:rPr>
          <w:rStyle w:val="normaltextrun"/>
          <w:color w:val="000000"/>
          <w:bdr w:val="none" w:sz="0" w:space="0" w:color="auto" w:frame="1"/>
        </w:rPr>
        <w:t xml:space="preserve"> 309</w:t>
      </w:r>
      <w:r>
        <w:rPr>
          <w:rStyle w:val="normaltextrun"/>
          <w:color w:val="000000"/>
          <w:bdr w:val="none" w:sz="0" w:space="0" w:color="auto" w:frame="1"/>
        </w:rPr>
        <w:t>.</w:t>
      </w:r>
    </w:p>
  </w:footnote>
  <w:footnote w:id="4">
    <w:p w14:paraId="62E6DE97" w14:textId="769345D3" w:rsidR="00CD1537" w:rsidRDefault="00CD1537">
      <w:pPr>
        <w:pStyle w:val="FootnoteText"/>
      </w:pPr>
      <w:r>
        <w:rPr>
          <w:rStyle w:val="FootnoteReference"/>
        </w:rPr>
        <w:footnoteRef/>
      </w:r>
      <w:r>
        <w:t xml:space="preserve"> </w:t>
      </w:r>
      <w:r w:rsidRPr="00EF7136">
        <w:t xml:space="preserve">Due to a change in sampling methodology to include mobile phone users as well as people with landlines, only four years of data from the Victorian Population Health Survey are available. Direct comparisons of this data with previous years </w:t>
      </w:r>
      <w:r>
        <w:t>cannot be accurately</w:t>
      </w:r>
      <w:r w:rsidRPr="00EF7136">
        <w:t xml:space="preserve"> made.</w:t>
      </w:r>
    </w:p>
  </w:footnote>
  <w:footnote w:id="5">
    <w:p w14:paraId="1B87F601" w14:textId="29BFA5B1" w:rsidR="00CD1537" w:rsidRDefault="00CD1537">
      <w:pPr>
        <w:pStyle w:val="FootnoteText"/>
      </w:pPr>
      <w:r>
        <w:rPr>
          <w:rStyle w:val="FootnoteReference"/>
        </w:rPr>
        <w:footnoteRef/>
      </w:r>
      <w:r>
        <w:t xml:space="preserve"> </w:t>
      </w:r>
      <w:r w:rsidRPr="00EF7136">
        <w:t>The 2015 and 2016 estimates of high or very high psychological distress for Aboriginal Victorians have a relative standard error between 2</w:t>
      </w:r>
      <w:r>
        <w:t xml:space="preserve"> and </w:t>
      </w:r>
      <w:r w:rsidRPr="00EF7136">
        <w:t>50</w:t>
      </w:r>
      <w:r>
        <w:t xml:space="preserve"> per cent</w:t>
      </w:r>
      <w:r w:rsidRPr="00EF7136">
        <w:t xml:space="preserve"> and should be used with caution. The estimates from 2015</w:t>
      </w:r>
      <w:r>
        <w:t xml:space="preserve"> to </w:t>
      </w:r>
      <w:r w:rsidRPr="00EF7136">
        <w:t>2018 are not significantly different from each other, even though the point estimates appear to show large differences. This is because of the small sample size of the Aboriginal population in the statewide surveys in 2015, 2016 and 2018.</w:t>
      </w:r>
    </w:p>
  </w:footnote>
  <w:footnote w:id="6">
    <w:p w14:paraId="1C53EC84" w14:textId="1C041660" w:rsidR="00CD1537" w:rsidRDefault="00CD1537" w:rsidP="009A7238">
      <w:pPr>
        <w:pStyle w:val="FootnoteText"/>
      </w:pPr>
      <w:r>
        <w:rPr>
          <w:rStyle w:val="FootnoteReference"/>
        </w:rPr>
        <w:footnoteRef/>
      </w:r>
      <w:r>
        <w:t xml:space="preserve"> </w:t>
      </w:r>
      <w:hyperlink r:id="rId1" w:history="1">
        <w:r w:rsidRPr="00053DB8">
          <w:rPr>
            <w:rStyle w:val="Hyperlink"/>
          </w:rPr>
          <w:t>National Mental Health Report 2013</w:t>
        </w:r>
      </w:hyperlink>
      <w:r>
        <w:t xml:space="preserve"> &lt;</w:t>
      </w:r>
      <w:r w:rsidRPr="00053DB8">
        <w:t>https://www1.health.gov.au/internet/publications/publishing.nsf/Content/mental-pubs-n-report13-toc~mental-pubs-n-report13-3~mental-pubs-n-report13-3-3~mental-pubs-n-report13-3-3-ind9</w:t>
      </w:r>
      <w:r>
        <w:t>&gt;.</w:t>
      </w:r>
    </w:p>
  </w:footnote>
  <w:footnote w:id="7">
    <w:p w14:paraId="14212F4C" w14:textId="13C845CD" w:rsidR="00CD1537" w:rsidRDefault="00CD1537">
      <w:pPr>
        <w:pStyle w:val="FootnoteText"/>
      </w:pPr>
      <w:r>
        <w:rPr>
          <w:rStyle w:val="FootnoteReference"/>
        </w:rPr>
        <w:footnoteRef/>
      </w:r>
      <w:r>
        <w:t xml:space="preserve"> </w:t>
      </w:r>
      <w:r w:rsidRPr="00D90905">
        <w:t>This is an accumulated figure from annual reporting across the four demonstration project sites since 2017 and reunified data reported by Ballarat and Districts Aboriginal Cooperative.</w:t>
      </w:r>
    </w:p>
  </w:footnote>
  <w:footnote w:id="8">
    <w:p w14:paraId="721CCA41" w14:textId="384443CE" w:rsidR="00CD1537" w:rsidRDefault="00CD1537" w:rsidP="00402D48">
      <w:pPr>
        <w:pStyle w:val="FootnoteText"/>
      </w:pPr>
      <w:r>
        <w:rPr>
          <w:rStyle w:val="FootnoteReference"/>
        </w:rPr>
        <w:footnoteRef/>
      </w:r>
      <w:r>
        <w:t xml:space="preserve"> Department of Health and Human Services 2019, </w:t>
      </w:r>
      <w:r w:rsidRPr="002A5994">
        <w:rPr>
          <w:i/>
          <w:iCs/>
        </w:rPr>
        <w:t>Equally well in Victoria: Physical health framework for specialist mental health services</w:t>
      </w:r>
      <w:r>
        <w:t>, State Government of Victoria, Melbourne.</w:t>
      </w:r>
    </w:p>
  </w:footnote>
  <w:footnote w:id="9">
    <w:p w14:paraId="612BE1C5" w14:textId="2DE9FAC5" w:rsidR="00CD1537" w:rsidRDefault="00CD1537" w:rsidP="00F32E60">
      <w:pPr>
        <w:pStyle w:val="FootnoteText"/>
      </w:pPr>
      <w:r>
        <w:rPr>
          <w:rStyle w:val="FootnoteReference"/>
        </w:rPr>
        <w:footnoteRef/>
      </w:r>
      <w:r>
        <w:t xml:space="preserve"> Australian Housing and Urban Research Institute (AHURI) 2018,</w:t>
      </w:r>
      <w:r w:rsidRPr="002A5994">
        <w:rPr>
          <w:i/>
          <w:iCs/>
        </w:rPr>
        <w:t xml:space="preserve"> Housing, homelessness and mental health: towards system change</w:t>
      </w:r>
      <w:r>
        <w:t>, Nicola Brackertz, Alex Wilkinson and Jim Davison for the National Mental Health Commission.</w:t>
      </w:r>
    </w:p>
  </w:footnote>
  <w:footnote w:id="10">
    <w:p w14:paraId="4C2441A3" w14:textId="0C906D94" w:rsidR="00CD1537" w:rsidRDefault="00CD1537" w:rsidP="008E0251">
      <w:pPr>
        <w:pStyle w:val="FootnoteText"/>
      </w:pPr>
      <w:r>
        <w:rPr>
          <w:rStyle w:val="FootnoteReference"/>
        </w:rPr>
        <w:footnoteRef/>
      </w:r>
      <w:r>
        <w:t xml:space="preserve"> Note that the number of CYMHS consumers reported in </w:t>
      </w:r>
      <w:r>
        <w:rPr>
          <w:i/>
          <w:iCs/>
        </w:rPr>
        <w:t>Victoria’s mental health services annual report 2018–19</w:t>
      </w:r>
      <w:r>
        <w:t xml:space="preserve"> was inflated by the categorisation of a subcentre of one rural area mental health service as a CYMHS, when in fact the services were provided to a non-age specific target population and were predominantly adult services. It should also be noted that this number refers to consumers accessing CYMHS services. Each service is classified based on the service or funded program type and not the age of the consumer.</w:t>
      </w:r>
    </w:p>
  </w:footnote>
  <w:footnote w:id="11">
    <w:p w14:paraId="25F6EF85" w14:textId="77777777" w:rsidR="00CD1537" w:rsidRDefault="00CD1537" w:rsidP="008E0251">
      <w:pPr>
        <w:pStyle w:val="FootnoteText"/>
      </w:pPr>
      <w:r>
        <w:rPr>
          <w:rStyle w:val="FootnoteReference"/>
        </w:rPr>
        <w:footnoteRef/>
      </w:r>
      <w:r>
        <w:t xml:space="preserve"> This number refers to consumers accessing adult services. Each service is classified based on the service or funded program type, and not the age of the consumer.</w:t>
      </w:r>
    </w:p>
    <w:p w14:paraId="0D4F8AF9" w14:textId="77777777" w:rsidR="00CD1537" w:rsidRDefault="00CD1537" w:rsidP="008E0251">
      <w:pPr>
        <w:pStyle w:val="FootnoteText"/>
      </w:pPr>
    </w:p>
  </w:footnote>
  <w:footnote w:id="12">
    <w:p w14:paraId="3F933B23" w14:textId="77777777" w:rsidR="00CD1537" w:rsidRDefault="00CD1537" w:rsidP="008E0251">
      <w:pPr>
        <w:pStyle w:val="FootnoteText"/>
      </w:pPr>
      <w:r>
        <w:rPr>
          <w:rStyle w:val="FootnoteReference"/>
        </w:rPr>
        <w:footnoteRef/>
      </w:r>
      <w:r>
        <w:t xml:space="preserve"> This number refers to consumers accessing aged persons’ services. Each service is classified based on the service or funded program type, and not the age of the consumer.</w:t>
      </w:r>
    </w:p>
  </w:footnote>
  <w:footnote w:id="13">
    <w:p w14:paraId="328B3440" w14:textId="2D39BE3A" w:rsidR="00CD1537" w:rsidRDefault="00CD1537" w:rsidP="00E97007">
      <w:pPr>
        <w:pStyle w:val="FootnoteText"/>
      </w:pPr>
      <w:r>
        <w:rPr>
          <w:rStyle w:val="FootnoteReference"/>
        </w:rPr>
        <w:footnoteRef/>
      </w:r>
      <w:r>
        <w:t xml:space="preserve"> </w:t>
      </w:r>
      <w:r w:rsidRPr="00003BF0">
        <w:t xml:space="preserve">Taylor-Sands </w:t>
      </w:r>
      <w:r>
        <w:t>M,</w:t>
      </w:r>
      <w:r w:rsidRPr="00003BF0">
        <w:t xml:space="preserve"> Nicholson </w:t>
      </w:r>
      <w:r>
        <w:t xml:space="preserve">Z </w:t>
      </w:r>
      <w:r w:rsidRPr="00003BF0">
        <w:t>2020</w:t>
      </w:r>
      <w:r>
        <w:t>,</w:t>
      </w:r>
      <w:r w:rsidRPr="00003BF0">
        <w:t xml:space="preserve"> </w:t>
      </w:r>
      <w:r>
        <w:t>‘</w:t>
      </w:r>
      <w:r w:rsidRPr="00003BF0">
        <w:t>The role of the Mental</w:t>
      </w:r>
      <w:r>
        <w:t xml:space="preserve"> </w:t>
      </w:r>
      <w:r w:rsidRPr="00003BF0">
        <w:t>Health Tribunal in setting duration of compulsory treatment in Victoria</w:t>
      </w:r>
      <w:r>
        <w:t>’</w:t>
      </w:r>
      <w:r w:rsidRPr="00003BF0">
        <w:t xml:space="preserve">, </w:t>
      </w:r>
      <w:r w:rsidRPr="006C5A3D">
        <w:rPr>
          <w:i/>
          <w:iCs/>
        </w:rPr>
        <w:t>Psychiatry, Psychology and Law</w:t>
      </w:r>
      <w:r w:rsidRPr="00003BF0">
        <w:t xml:space="preserve">, </w:t>
      </w:r>
      <w:r>
        <w:t>doi</w:t>
      </w:r>
      <w:r w:rsidRPr="00003BF0">
        <w:t>: 10.1080/13218719.2020.1775153</w:t>
      </w:r>
      <w:r>
        <w:t>.</w:t>
      </w:r>
    </w:p>
  </w:footnote>
  <w:footnote w:id="14">
    <w:p w14:paraId="21605085" w14:textId="1CA1AF1F" w:rsidR="00CD1537" w:rsidRDefault="00CD1537" w:rsidP="008E0251">
      <w:pPr>
        <w:pStyle w:val="FootnoteText"/>
      </w:pPr>
      <w:r>
        <w:rPr>
          <w:rStyle w:val="FootnoteReference"/>
        </w:rPr>
        <w:footnoteRef/>
      </w:r>
      <w:r>
        <w:t xml:space="preserve"> Vine R, Tibble H, Pirkis J, Judd F, Spittal M 2019, ‘Does legislative change affect the use and duration of compulsory treatment orders?’, </w:t>
      </w:r>
      <w:r w:rsidRPr="002A5994">
        <w:rPr>
          <w:i/>
          <w:iCs/>
        </w:rPr>
        <w:t>Australian and New Zealand Journal of Psychiatry</w:t>
      </w:r>
      <w:r>
        <w:t>, vol. 53, no. 5, pp. 433–440.</w:t>
      </w:r>
    </w:p>
  </w:footnote>
  <w:footnote w:id="15">
    <w:p w14:paraId="56B47302" w14:textId="7E6B907E" w:rsidR="00CD1537" w:rsidRDefault="00CD1537">
      <w:pPr>
        <w:pStyle w:val="FootnoteText"/>
      </w:pPr>
      <w:r>
        <w:rPr>
          <w:rStyle w:val="FootnoteReference"/>
        </w:rPr>
        <w:footnoteRef/>
      </w:r>
      <w:r>
        <w:t xml:space="preserve"> </w:t>
      </w:r>
      <w:r w:rsidRPr="001F5824">
        <w:t xml:space="preserve">Due to a change in sampling methodology to include mobile phone users as well as people with landlines, only four years of data from the </w:t>
      </w:r>
      <w:r>
        <w:t>VPHS</w:t>
      </w:r>
      <w:r w:rsidRPr="001F5824">
        <w:t xml:space="preserve"> are available. Direct comparisons of this data with previous years </w:t>
      </w:r>
      <w:r>
        <w:t>cannot accurately</w:t>
      </w:r>
      <w:r w:rsidRPr="001F5824">
        <w:t xml:space="preserve"> be made.</w:t>
      </w:r>
    </w:p>
  </w:footnote>
  <w:footnote w:id="16">
    <w:p w14:paraId="2689DF9C" w14:textId="78D20D69" w:rsidR="00CD1537" w:rsidRDefault="00CD1537">
      <w:pPr>
        <w:pStyle w:val="FootnoteText"/>
      </w:pPr>
      <w:r>
        <w:rPr>
          <w:rStyle w:val="FootnoteReference"/>
        </w:rPr>
        <w:footnoteRef/>
      </w:r>
      <w:r>
        <w:t xml:space="preserve"> </w:t>
      </w:r>
      <w:r w:rsidRPr="001F5824">
        <w:rPr>
          <w:rFonts w:eastAsia="Verdana"/>
          <w:color w:val="000000"/>
        </w:rPr>
        <w:t xml:space="preserve">The Victorian </w:t>
      </w:r>
      <w:r w:rsidRPr="001F5824">
        <w:t>Student Health and Wellbeing Survey is carried out every two years.</w:t>
      </w:r>
    </w:p>
  </w:footnote>
  <w:footnote w:id="17">
    <w:p w14:paraId="3832D1FF" w14:textId="7F933CE9" w:rsidR="00CD1537" w:rsidRDefault="00CD1537" w:rsidP="00E92DF3">
      <w:pPr>
        <w:pStyle w:val="FootnoteText"/>
      </w:pPr>
      <w:r>
        <w:rPr>
          <w:rStyle w:val="FootnoteReference"/>
        </w:rPr>
        <w:footnoteRef/>
      </w:r>
      <w:r>
        <w:t xml:space="preserve"> </w:t>
      </w:r>
      <w:r w:rsidRPr="001F5824">
        <w:t xml:space="preserve">Due to a change in sampling methodology to include mobile phone users as well as people with landlines, only four years of data from the </w:t>
      </w:r>
      <w:r>
        <w:t>VPHS</w:t>
      </w:r>
      <w:r w:rsidRPr="001F5824">
        <w:t xml:space="preserve"> are available. Direct comparisons of this data with previous years </w:t>
      </w:r>
      <w:r>
        <w:t>cannot accurately</w:t>
      </w:r>
      <w:r w:rsidRPr="001F5824">
        <w:t xml:space="preserve"> be made.</w:t>
      </w:r>
    </w:p>
  </w:footnote>
  <w:footnote w:id="18">
    <w:p w14:paraId="4A06E6C8" w14:textId="01C8042B" w:rsidR="00CD1537" w:rsidRDefault="00CD1537" w:rsidP="00CC7040">
      <w:pPr>
        <w:pStyle w:val="FootnoteText"/>
      </w:pPr>
      <w:r>
        <w:rPr>
          <w:rStyle w:val="FootnoteReference"/>
        </w:rPr>
        <w:footnoteRef/>
      </w:r>
      <w:r>
        <w:t xml:space="preserve"> </w:t>
      </w:r>
      <w:r w:rsidRPr="005D7267">
        <w:rPr>
          <w:rStyle w:val="normaltextrun"/>
          <w:color w:val="000000"/>
          <w:shd w:val="clear" w:color="auto" w:fill="FFFFFF"/>
        </w:rPr>
        <w:t>It should be noted that the small number of Aboriginal children starting school in any one year means that a minor change in the number of children in the high</w:t>
      </w:r>
      <w:r>
        <w:rPr>
          <w:rStyle w:val="normaltextrun"/>
          <w:color w:val="000000"/>
          <w:shd w:val="clear" w:color="auto" w:fill="FFFFFF"/>
        </w:rPr>
        <w:t>-</w:t>
      </w:r>
      <w:r w:rsidRPr="005D7267">
        <w:rPr>
          <w:rStyle w:val="normaltextrun"/>
          <w:color w:val="000000"/>
          <w:shd w:val="clear" w:color="auto" w:fill="FFFFFF"/>
        </w:rPr>
        <w:t>risk category can affect the proportion. Hence the indicator for Aboriginal children is likely to fluctuate more than the indicator for all children.</w:t>
      </w:r>
    </w:p>
  </w:footnote>
  <w:footnote w:id="19">
    <w:p w14:paraId="3ACE17D1" w14:textId="4E94C2AF" w:rsidR="00CD1537" w:rsidRDefault="00CD1537">
      <w:pPr>
        <w:pStyle w:val="FootnoteText"/>
      </w:pPr>
      <w:r>
        <w:rPr>
          <w:rStyle w:val="FootnoteReference"/>
        </w:rPr>
        <w:footnoteRef/>
      </w:r>
      <w:r>
        <w:t xml:space="preserve"> </w:t>
      </w:r>
      <w:r w:rsidRPr="001F5824">
        <w:t xml:space="preserve">Due to a change in sampling methodology to include mobile phone users as well as people with landlines, only four years of data from the </w:t>
      </w:r>
      <w:r>
        <w:t>VPHS</w:t>
      </w:r>
      <w:r w:rsidRPr="001F5824">
        <w:t xml:space="preserve"> are available. Direct comparisons of this data with previous years </w:t>
      </w:r>
      <w:r>
        <w:t>cannot accurately</w:t>
      </w:r>
      <w:r w:rsidRPr="001F5824">
        <w:t xml:space="preserve"> be made.</w:t>
      </w:r>
    </w:p>
  </w:footnote>
  <w:footnote w:id="20">
    <w:p w14:paraId="4A72F28B" w14:textId="0BB7C941" w:rsidR="00CD1537" w:rsidRDefault="00CD1537">
      <w:pPr>
        <w:pStyle w:val="FootnoteText"/>
      </w:pPr>
      <w:r>
        <w:rPr>
          <w:rStyle w:val="FootnoteReference"/>
        </w:rPr>
        <w:footnoteRef/>
      </w:r>
      <w:r>
        <w:t xml:space="preserve"> </w:t>
      </w:r>
      <w:r w:rsidRPr="00D75346">
        <w:t>The 2015 and 2016 estimates of high or very high psychological distress for Aboriginal Victorians have a relative standard error between 2</w:t>
      </w:r>
      <w:r>
        <w:t xml:space="preserve"> and </w:t>
      </w:r>
      <w:r w:rsidRPr="00D75346">
        <w:t>50</w:t>
      </w:r>
      <w:r>
        <w:t xml:space="preserve"> per cent</w:t>
      </w:r>
      <w:r w:rsidRPr="00D75346">
        <w:t xml:space="preserve"> and should be used with caution.</w:t>
      </w:r>
      <w:r>
        <w:t xml:space="preserve"> </w:t>
      </w:r>
      <w:r w:rsidRPr="00D75346">
        <w:t>The estimates from 2015</w:t>
      </w:r>
      <w:r>
        <w:t xml:space="preserve"> to </w:t>
      </w:r>
      <w:r w:rsidRPr="00D75346">
        <w:t>2018 are not significantly different from each other, even though the point estimates appear to show large differences.</w:t>
      </w:r>
      <w:r>
        <w:t xml:space="preserve"> </w:t>
      </w:r>
      <w:r w:rsidRPr="00D75346">
        <w:t>This is because of the small sample size of the Aboriginal population in the statewide surveys in 2015, 2016 and 2018.</w:t>
      </w:r>
    </w:p>
  </w:footnote>
  <w:footnote w:id="21">
    <w:p w14:paraId="51387DA1" w14:textId="00C6678B" w:rsidR="00CD1537" w:rsidRDefault="00CD1537">
      <w:pPr>
        <w:pStyle w:val="FootnoteText"/>
      </w:pPr>
      <w:r>
        <w:rPr>
          <w:rStyle w:val="FootnoteReference"/>
        </w:rPr>
        <w:footnoteRef/>
      </w:r>
      <w:r>
        <w:t xml:space="preserve"> </w:t>
      </w:r>
      <w:r w:rsidRPr="0094662B">
        <w:rPr>
          <w:rStyle w:val="normaltextrun"/>
          <w:szCs w:val="18"/>
        </w:rPr>
        <w:t xml:space="preserve">Data is from </w:t>
      </w:r>
      <w:r>
        <w:rPr>
          <w:rStyle w:val="normaltextrun"/>
          <w:szCs w:val="18"/>
        </w:rPr>
        <w:t>2018–19</w:t>
      </w:r>
      <w:r w:rsidRPr="0094662B">
        <w:rPr>
          <w:rStyle w:val="normaltextrun"/>
          <w:szCs w:val="18"/>
        </w:rPr>
        <w:t xml:space="preserve"> </w:t>
      </w:r>
      <w:r>
        <w:rPr>
          <w:rStyle w:val="normaltextrun"/>
          <w:szCs w:val="18"/>
        </w:rPr>
        <w:t>because</w:t>
      </w:r>
      <w:r w:rsidRPr="0094662B">
        <w:rPr>
          <w:rStyle w:val="normaltextrun"/>
          <w:szCs w:val="18"/>
        </w:rPr>
        <w:t xml:space="preserve"> the YES survey was not conducted in early 2020.</w:t>
      </w:r>
    </w:p>
  </w:footnote>
  <w:footnote w:id="22">
    <w:p w14:paraId="4831D17C" w14:textId="1E2B77A9" w:rsidR="00CD1537" w:rsidRPr="00CF4148" w:rsidRDefault="00CD1537" w:rsidP="00CF4148">
      <w:pPr>
        <w:pStyle w:val="DHHStablefigurenote"/>
        <w:rPr>
          <w:rFonts w:cs="Arial"/>
          <w:szCs w:val="18"/>
        </w:rPr>
      </w:pPr>
      <w:r>
        <w:rPr>
          <w:rStyle w:val="FootnoteReference"/>
        </w:rPr>
        <w:footnoteRef/>
      </w:r>
      <w:r>
        <w:t xml:space="preserve"> </w:t>
      </w:r>
      <w:r w:rsidRPr="00CF4148">
        <w:rPr>
          <w:rStyle w:val="FootnoteTextChar"/>
        </w:rPr>
        <w:t>Sample size for forensic and specialist clients is too low for the data to be considered reliable.</w:t>
      </w:r>
      <w:r>
        <w:rPr>
          <w:rStyle w:val="normaltextrun"/>
          <w:rFonts w:cs="Arial"/>
          <w:szCs w:val="18"/>
        </w:rPr>
        <w:t xml:space="preserve"> </w:t>
      </w:r>
    </w:p>
  </w:footnote>
  <w:footnote w:id="23">
    <w:p w14:paraId="0EB8EEE6" w14:textId="0F307423" w:rsidR="00CD1537" w:rsidRPr="00CF4148" w:rsidRDefault="00CD1537" w:rsidP="00CF4148">
      <w:pPr>
        <w:pStyle w:val="FootnoteText"/>
      </w:pPr>
      <w:r>
        <w:rPr>
          <w:rStyle w:val="FootnoteReference"/>
        </w:rPr>
        <w:footnoteRef/>
      </w:r>
      <w:r>
        <w:t xml:space="preserve"> </w:t>
      </w:r>
      <w:r>
        <w:rPr>
          <w:rStyle w:val="normaltextrun"/>
          <w:szCs w:val="18"/>
        </w:rPr>
        <w:t>Data is from 2018–19 because the YES survey was not conducted in early 2020.</w:t>
      </w:r>
    </w:p>
  </w:footnote>
  <w:footnote w:id="24">
    <w:p w14:paraId="0188123D" w14:textId="52123239" w:rsidR="00CD1537" w:rsidRDefault="00CD1537">
      <w:pPr>
        <w:pStyle w:val="FootnoteText"/>
      </w:pPr>
      <w:r>
        <w:rPr>
          <w:rStyle w:val="FootnoteReference"/>
        </w:rPr>
        <w:footnoteRef/>
      </w:r>
      <w:r>
        <w:t xml:space="preserve"> </w:t>
      </w:r>
      <w:r w:rsidRPr="00793C46">
        <w:rPr>
          <w:rStyle w:val="normaltextrun"/>
          <w:szCs w:val="18"/>
        </w:rPr>
        <w:t xml:space="preserve">Data is from </w:t>
      </w:r>
      <w:r>
        <w:rPr>
          <w:rStyle w:val="normaltextrun"/>
          <w:szCs w:val="18"/>
        </w:rPr>
        <w:t>2018–19</w:t>
      </w:r>
      <w:r w:rsidRPr="00793C46">
        <w:rPr>
          <w:rStyle w:val="normaltextrun"/>
          <w:szCs w:val="18"/>
        </w:rPr>
        <w:t xml:space="preserve"> as the YES survey was not conducted in early 2020.</w:t>
      </w:r>
    </w:p>
  </w:footnote>
  <w:footnote w:id="25">
    <w:p w14:paraId="64FC5FEB" w14:textId="6E61A1A0" w:rsidR="00CD1537" w:rsidRDefault="00CD1537">
      <w:pPr>
        <w:pStyle w:val="FootnoteText"/>
      </w:pPr>
      <w:r>
        <w:rPr>
          <w:rStyle w:val="FootnoteReference"/>
        </w:rPr>
        <w:footnoteRef/>
      </w:r>
      <w:r>
        <w:t xml:space="preserve"> </w:t>
      </w:r>
      <w:r w:rsidRPr="001641C7">
        <w:rPr>
          <w:rStyle w:val="normaltextrun"/>
          <w:szCs w:val="18"/>
        </w:rPr>
        <w:t xml:space="preserve">Data is from </w:t>
      </w:r>
      <w:r>
        <w:rPr>
          <w:rStyle w:val="normaltextrun"/>
          <w:szCs w:val="18"/>
        </w:rPr>
        <w:t>2018–19</w:t>
      </w:r>
      <w:r w:rsidRPr="001641C7">
        <w:rPr>
          <w:rStyle w:val="normaltextrun"/>
          <w:szCs w:val="18"/>
        </w:rPr>
        <w:t xml:space="preserve"> </w:t>
      </w:r>
      <w:r>
        <w:rPr>
          <w:rStyle w:val="normaltextrun"/>
          <w:szCs w:val="18"/>
        </w:rPr>
        <w:t>because</w:t>
      </w:r>
      <w:r w:rsidRPr="001641C7">
        <w:rPr>
          <w:rStyle w:val="normaltextrun"/>
          <w:szCs w:val="18"/>
        </w:rPr>
        <w:t xml:space="preserve"> the YES survey was not conducted in early 2020.</w:t>
      </w:r>
    </w:p>
  </w:footnote>
  <w:footnote w:id="26">
    <w:p w14:paraId="3EEFBED9" w14:textId="7154992B" w:rsidR="00CD1537" w:rsidRDefault="00CD1537" w:rsidP="00310E1D">
      <w:pPr>
        <w:pStyle w:val="FootnoteText"/>
      </w:pPr>
      <w:r>
        <w:rPr>
          <w:rStyle w:val="FootnoteReference"/>
        </w:rPr>
        <w:footnoteRef/>
      </w:r>
      <w:r>
        <w:t xml:space="preserve"> </w:t>
      </w:r>
      <w:r w:rsidRPr="009C6DB2">
        <w:t xml:space="preserve">Delivery of activities varies between areas. Some services have separate teams for the various activities; others operate ‘integrated teams’ </w:t>
      </w:r>
      <w:r>
        <w:t xml:space="preserve">that </w:t>
      </w:r>
      <w:r w:rsidRPr="009C6DB2">
        <w:t>perform a number of different functions.</w:t>
      </w:r>
    </w:p>
  </w:footnote>
  <w:footnote w:id="27">
    <w:p w14:paraId="0E796F50" w14:textId="77777777" w:rsidR="00CD1537" w:rsidRDefault="00CD1537" w:rsidP="00310E1D">
      <w:pPr>
        <w:pStyle w:val="FootnoteText"/>
      </w:pPr>
      <w:r>
        <w:rPr>
          <w:rStyle w:val="FootnoteReference"/>
        </w:rPr>
        <w:footnoteRef/>
      </w:r>
      <w:r>
        <w:t xml:space="preserve"> Service models for children and young people vary across the state. Some areas have child and adolescent mental health services (0–18 years); some have child and youth mental health services (0–25 years); and others have specific services for adolescents (12–18 years) or youth (16–24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7812F" w14:textId="77777777" w:rsidR="000569F8" w:rsidRDefault="00056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11CD1" w14:textId="77777777" w:rsidR="000569F8" w:rsidRDefault="00056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ACDFF" w14:textId="77777777" w:rsidR="000569F8" w:rsidRDefault="000569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61285" w14:textId="77777777" w:rsidR="00CD1537" w:rsidRPr="0069374A" w:rsidRDefault="00CD1537" w:rsidP="00E969B1">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00BE" w14:textId="77777777" w:rsidR="00CD1537" w:rsidRDefault="00CD1537"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82B0906"/>
    <w:multiLevelType w:val="hybridMultilevel"/>
    <w:tmpl w:val="6EA8BB5C"/>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3C4307"/>
    <w:multiLevelType w:val="hybridMultilevel"/>
    <w:tmpl w:val="4DAE777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AD2E30"/>
    <w:multiLevelType w:val="hybridMultilevel"/>
    <w:tmpl w:val="E2987502"/>
    <w:styleLink w:val="ZZNumbersloweralpha"/>
    <w:lvl w:ilvl="0" w:tplc="2D14A210">
      <w:start w:val="1"/>
      <w:numFmt w:val="lowerLetter"/>
      <w:pStyle w:val="DHHSnumberloweralpha"/>
      <w:lvlText w:val="(%1)"/>
      <w:lvlJc w:val="left"/>
      <w:pPr>
        <w:tabs>
          <w:tab w:val="num" w:pos="397"/>
        </w:tabs>
        <w:ind w:left="397" w:hanging="397"/>
      </w:pPr>
      <w:rPr>
        <w:rFonts w:hint="default"/>
      </w:rPr>
    </w:lvl>
    <w:lvl w:ilvl="1" w:tplc="B4CA330A">
      <w:start w:val="1"/>
      <w:numFmt w:val="lowerLetter"/>
      <w:pStyle w:val="DHHSnumberloweralphaindent"/>
      <w:lvlText w:val="(%2)"/>
      <w:lvlJc w:val="left"/>
      <w:pPr>
        <w:tabs>
          <w:tab w:val="num" w:pos="794"/>
        </w:tabs>
        <w:ind w:left="794" w:hanging="397"/>
      </w:pPr>
      <w:rPr>
        <w:rFonts w:hint="default"/>
      </w:rPr>
    </w:lvl>
    <w:lvl w:ilvl="2" w:tplc="96B642A0">
      <w:start w:val="1"/>
      <w:numFmt w:val="none"/>
      <w:lvlRestart w:val="0"/>
      <w:lvlText w:val=""/>
      <w:lvlJc w:val="left"/>
      <w:pPr>
        <w:ind w:left="0" w:firstLine="0"/>
      </w:pPr>
      <w:rPr>
        <w:rFonts w:hint="default"/>
      </w:rPr>
    </w:lvl>
    <w:lvl w:ilvl="3" w:tplc="5F9E8DCA">
      <w:start w:val="1"/>
      <w:numFmt w:val="none"/>
      <w:lvlRestart w:val="0"/>
      <w:lvlText w:val=""/>
      <w:lvlJc w:val="left"/>
      <w:pPr>
        <w:ind w:left="0" w:firstLine="0"/>
      </w:pPr>
      <w:rPr>
        <w:rFonts w:hint="default"/>
      </w:rPr>
    </w:lvl>
    <w:lvl w:ilvl="4" w:tplc="0346D8B8">
      <w:start w:val="1"/>
      <w:numFmt w:val="none"/>
      <w:lvlRestart w:val="0"/>
      <w:lvlText w:val=""/>
      <w:lvlJc w:val="left"/>
      <w:pPr>
        <w:ind w:left="0" w:firstLine="0"/>
      </w:pPr>
      <w:rPr>
        <w:rFonts w:hint="default"/>
      </w:rPr>
    </w:lvl>
    <w:lvl w:ilvl="5" w:tplc="97B2278A">
      <w:start w:val="1"/>
      <w:numFmt w:val="none"/>
      <w:lvlRestart w:val="0"/>
      <w:lvlText w:val=""/>
      <w:lvlJc w:val="left"/>
      <w:pPr>
        <w:ind w:left="0" w:firstLine="0"/>
      </w:pPr>
      <w:rPr>
        <w:rFonts w:hint="default"/>
      </w:rPr>
    </w:lvl>
    <w:lvl w:ilvl="6" w:tplc="61D6D1DE">
      <w:start w:val="1"/>
      <w:numFmt w:val="none"/>
      <w:lvlRestart w:val="0"/>
      <w:lvlText w:val=""/>
      <w:lvlJc w:val="left"/>
      <w:pPr>
        <w:ind w:left="0" w:firstLine="0"/>
      </w:pPr>
      <w:rPr>
        <w:rFonts w:hint="default"/>
      </w:rPr>
    </w:lvl>
    <w:lvl w:ilvl="7" w:tplc="B8CE5C4C">
      <w:start w:val="1"/>
      <w:numFmt w:val="none"/>
      <w:lvlRestart w:val="0"/>
      <w:lvlText w:val=""/>
      <w:lvlJc w:val="left"/>
      <w:pPr>
        <w:ind w:left="0" w:firstLine="0"/>
      </w:pPr>
      <w:rPr>
        <w:rFonts w:hint="default"/>
      </w:rPr>
    </w:lvl>
    <w:lvl w:ilvl="8" w:tplc="41A6FA88">
      <w:start w:val="1"/>
      <w:numFmt w:val="none"/>
      <w:lvlRestart w:val="0"/>
      <w:lvlText w:val=""/>
      <w:lvlJc w:val="left"/>
      <w:pPr>
        <w:ind w:left="0" w:firstLine="0"/>
      </w:pPr>
      <w:rPr>
        <w:rFonts w:hint="default"/>
      </w:rPr>
    </w:lvl>
  </w:abstractNum>
  <w:abstractNum w:abstractNumId="4" w15:restartNumberingAfterBreak="0">
    <w:nsid w:val="0BB138F8"/>
    <w:multiLevelType w:val="hybridMultilevel"/>
    <w:tmpl w:val="6B226A2E"/>
    <w:lvl w:ilvl="0" w:tplc="BF42C424">
      <w:start w:val="1"/>
      <w:numFmt w:val="decimal"/>
      <w:lvlText w:val="%1."/>
      <w:lvlJc w:val="left"/>
      <w:pPr>
        <w:ind w:left="720" w:hanging="360"/>
      </w:pPr>
    </w:lvl>
    <w:lvl w:ilvl="1" w:tplc="1A0C8994">
      <w:start w:val="1"/>
      <w:numFmt w:val="lowerLetter"/>
      <w:lvlText w:val="%2."/>
      <w:lvlJc w:val="left"/>
      <w:pPr>
        <w:ind w:left="1440" w:hanging="360"/>
      </w:pPr>
    </w:lvl>
    <w:lvl w:ilvl="2" w:tplc="5308E07A">
      <w:start w:val="1"/>
      <w:numFmt w:val="lowerRoman"/>
      <w:lvlText w:val="%3."/>
      <w:lvlJc w:val="right"/>
      <w:pPr>
        <w:ind w:left="2160" w:hanging="180"/>
      </w:pPr>
    </w:lvl>
    <w:lvl w:ilvl="3" w:tplc="29AC14DA">
      <w:start w:val="1"/>
      <w:numFmt w:val="decimal"/>
      <w:lvlText w:val="%4."/>
      <w:lvlJc w:val="left"/>
      <w:pPr>
        <w:ind w:left="2880" w:hanging="360"/>
      </w:pPr>
    </w:lvl>
    <w:lvl w:ilvl="4" w:tplc="628891B6">
      <w:start w:val="1"/>
      <w:numFmt w:val="lowerLetter"/>
      <w:lvlText w:val="%5."/>
      <w:lvlJc w:val="left"/>
      <w:pPr>
        <w:ind w:left="3600" w:hanging="360"/>
      </w:pPr>
    </w:lvl>
    <w:lvl w:ilvl="5" w:tplc="60A2B9C4">
      <w:start w:val="1"/>
      <w:numFmt w:val="lowerRoman"/>
      <w:lvlText w:val="%6."/>
      <w:lvlJc w:val="right"/>
      <w:pPr>
        <w:ind w:left="4320" w:hanging="180"/>
      </w:pPr>
    </w:lvl>
    <w:lvl w:ilvl="6" w:tplc="36DE59AC">
      <w:start w:val="1"/>
      <w:numFmt w:val="decimal"/>
      <w:lvlText w:val="%7."/>
      <w:lvlJc w:val="left"/>
      <w:pPr>
        <w:ind w:left="5040" w:hanging="360"/>
      </w:pPr>
    </w:lvl>
    <w:lvl w:ilvl="7" w:tplc="92847200">
      <w:start w:val="1"/>
      <w:numFmt w:val="lowerLetter"/>
      <w:lvlText w:val="%8."/>
      <w:lvlJc w:val="left"/>
      <w:pPr>
        <w:ind w:left="5760" w:hanging="360"/>
      </w:pPr>
    </w:lvl>
    <w:lvl w:ilvl="8" w:tplc="083E6C48">
      <w:start w:val="1"/>
      <w:numFmt w:val="lowerRoman"/>
      <w:lvlText w:val="%9."/>
      <w:lvlJc w:val="right"/>
      <w:pPr>
        <w:ind w:left="6480" w:hanging="180"/>
      </w:pPr>
    </w:lvl>
  </w:abstractNum>
  <w:abstractNum w:abstractNumId="5" w15:restartNumberingAfterBreak="0">
    <w:nsid w:val="0E0C1455"/>
    <w:multiLevelType w:val="hybridMultilevel"/>
    <w:tmpl w:val="DCBA7EAC"/>
    <w:lvl w:ilvl="0" w:tplc="56300090">
      <w:numFmt w:val="bullet"/>
      <w:lvlText w:val=""/>
      <w:lvlJc w:val="left"/>
      <w:pPr>
        <w:ind w:left="1069" w:hanging="360"/>
      </w:pPr>
      <w:rPr>
        <w:rFonts w:ascii="Symbol" w:eastAsia="Calibri" w:hAnsi="Symbol" w:cs="Times New Roman"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start w:val="1"/>
      <w:numFmt w:val="bullet"/>
      <w:lvlText w:val="o"/>
      <w:lvlJc w:val="left"/>
      <w:pPr>
        <w:ind w:left="6109" w:hanging="360"/>
      </w:pPr>
      <w:rPr>
        <w:rFonts w:ascii="Courier New" w:hAnsi="Courier New" w:cs="Courier New" w:hint="default"/>
      </w:rPr>
    </w:lvl>
    <w:lvl w:ilvl="8" w:tplc="0C090005">
      <w:start w:val="1"/>
      <w:numFmt w:val="bullet"/>
      <w:lvlText w:val=""/>
      <w:lvlJc w:val="left"/>
      <w:pPr>
        <w:ind w:left="6829" w:hanging="360"/>
      </w:pPr>
      <w:rPr>
        <w:rFonts w:ascii="Wingdings" w:hAnsi="Wingdings" w:hint="default"/>
      </w:rPr>
    </w:lvl>
  </w:abstractNum>
  <w:abstractNum w:abstractNumId="6" w15:restartNumberingAfterBreak="0">
    <w:nsid w:val="0FCD5507"/>
    <w:multiLevelType w:val="hybridMultilevel"/>
    <w:tmpl w:val="6CD215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29B7002"/>
    <w:multiLevelType w:val="hybridMultilevel"/>
    <w:tmpl w:val="C41CFBBE"/>
    <w:lvl w:ilvl="0" w:tplc="CCB48C38">
      <w:start w:val="2019"/>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137F8"/>
    <w:multiLevelType w:val="hybridMultilevel"/>
    <w:tmpl w:val="0FB6FEA6"/>
    <w:lvl w:ilvl="0" w:tplc="35FED892">
      <w:start w:val="1"/>
      <w:numFmt w:val="decimal"/>
      <w:lvlText w:val="%1."/>
      <w:lvlJc w:val="left"/>
      <w:pPr>
        <w:ind w:left="360" w:hanging="360"/>
      </w:pPr>
      <w:rPr>
        <w:rFonts w:hint="default"/>
        <w:b/>
        <w:color w:val="00B0F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3F30F31"/>
    <w:multiLevelType w:val="hybridMultilevel"/>
    <w:tmpl w:val="BD087940"/>
    <w:lvl w:ilvl="0" w:tplc="4E2096D4">
      <w:numFmt w:val="bullet"/>
      <w:lvlText w:val="-"/>
      <w:lvlJc w:val="left"/>
      <w:pPr>
        <w:ind w:left="1080" w:hanging="360"/>
      </w:pPr>
      <w:rPr>
        <w:rFonts w:ascii="Arial" w:eastAsia="Calibri"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0" w15:restartNumberingAfterBreak="0">
    <w:nsid w:val="1B5535FA"/>
    <w:multiLevelType w:val="hybridMultilevel"/>
    <w:tmpl w:val="E146D6E8"/>
    <w:lvl w:ilvl="0" w:tplc="DD28DDA6">
      <w:numFmt w:val="bullet"/>
      <w:lvlText w:val="-"/>
      <w:lvlJc w:val="left"/>
      <w:pPr>
        <w:ind w:left="1080" w:hanging="360"/>
      </w:pPr>
      <w:rPr>
        <w:rFonts w:ascii="Arial" w:eastAsia="Calibri"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15:restartNumberingAfterBreak="0">
    <w:nsid w:val="1C4128F5"/>
    <w:multiLevelType w:val="hybridMultilevel"/>
    <w:tmpl w:val="610468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3D763F"/>
    <w:multiLevelType w:val="hybridMultilevel"/>
    <w:tmpl w:val="AD981402"/>
    <w:lvl w:ilvl="0" w:tplc="C3A63766">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217741F"/>
    <w:multiLevelType w:val="hybridMultilevel"/>
    <w:tmpl w:val="6F6AB8AA"/>
    <w:styleLink w:val="Numbers"/>
    <w:lvl w:ilvl="0" w:tplc="71A2B662">
      <w:start w:val="1"/>
      <w:numFmt w:val="decimal"/>
      <w:lvlText w:val="%1."/>
      <w:lvlJc w:val="left"/>
      <w:pPr>
        <w:ind w:left="357" w:hanging="357"/>
      </w:pPr>
      <w:rPr>
        <w:rFonts w:hint="default"/>
      </w:rPr>
    </w:lvl>
    <w:lvl w:ilvl="1" w:tplc="7EF4BB24">
      <w:start w:val="1"/>
      <w:numFmt w:val="bullet"/>
      <w:lvlText w:val=""/>
      <w:lvlJc w:val="left"/>
      <w:pPr>
        <w:ind w:left="868" w:hanging="358"/>
      </w:pPr>
      <w:rPr>
        <w:rFonts w:ascii="Symbol" w:hAnsi="Symbol" w:hint="default"/>
      </w:rPr>
    </w:lvl>
    <w:lvl w:ilvl="2" w:tplc="F4F4F2E2">
      <w:start w:val="1"/>
      <w:numFmt w:val="lowerRoman"/>
      <w:lvlText w:val="%3."/>
      <w:lvlJc w:val="left"/>
      <w:pPr>
        <w:ind w:left="1378" w:hanging="357"/>
      </w:pPr>
      <w:rPr>
        <w:rFonts w:hint="default"/>
      </w:rPr>
    </w:lvl>
    <w:lvl w:ilvl="3" w:tplc="5DE23E5A">
      <w:start w:val="1"/>
      <w:numFmt w:val="decimal"/>
      <w:lvlText w:val="%4."/>
      <w:lvlJc w:val="left"/>
      <w:pPr>
        <w:ind w:left="1428" w:hanging="357"/>
      </w:pPr>
      <w:rPr>
        <w:rFonts w:hint="default"/>
      </w:rPr>
    </w:lvl>
    <w:lvl w:ilvl="4" w:tplc="6BAAC5D8">
      <w:start w:val="1"/>
      <w:numFmt w:val="lowerLetter"/>
      <w:lvlText w:val="%5."/>
      <w:lvlJc w:val="left"/>
      <w:pPr>
        <w:ind w:left="1785" w:hanging="357"/>
      </w:pPr>
      <w:rPr>
        <w:rFonts w:hint="default"/>
      </w:rPr>
    </w:lvl>
    <w:lvl w:ilvl="5" w:tplc="75C4634E">
      <w:start w:val="1"/>
      <w:numFmt w:val="lowerRoman"/>
      <w:lvlText w:val="%6."/>
      <w:lvlJc w:val="left"/>
      <w:pPr>
        <w:ind w:left="2142" w:hanging="357"/>
      </w:pPr>
      <w:rPr>
        <w:rFonts w:hint="default"/>
      </w:rPr>
    </w:lvl>
    <w:lvl w:ilvl="6" w:tplc="2388A4E6">
      <w:start w:val="1"/>
      <w:numFmt w:val="decimal"/>
      <w:lvlText w:val="%7."/>
      <w:lvlJc w:val="left"/>
      <w:pPr>
        <w:ind w:left="2499" w:hanging="357"/>
      </w:pPr>
      <w:rPr>
        <w:rFonts w:hint="default"/>
      </w:rPr>
    </w:lvl>
    <w:lvl w:ilvl="7" w:tplc="9AFC28CC">
      <w:start w:val="1"/>
      <w:numFmt w:val="lowerLetter"/>
      <w:lvlText w:val="%8."/>
      <w:lvlJc w:val="left"/>
      <w:pPr>
        <w:ind w:left="2856" w:hanging="357"/>
      </w:pPr>
      <w:rPr>
        <w:rFonts w:hint="default"/>
      </w:rPr>
    </w:lvl>
    <w:lvl w:ilvl="8" w:tplc="A3325530">
      <w:start w:val="1"/>
      <w:numFmt w:val="lowerRoman"/>
      <w:lvlText w:val="%9."/>
      <w:lvlJc w:val="left"/>
      <w:pPr>
        <w:ind w:left="3213" w:hanging="357"/>
      </w:pPr>
      <w:rPr>
        <w:rFonts w:hint="default"/>
      </w:rPr>
    </w:lvl>
  </w:abstractNum>
  <w:abstractNum w:abstractNumId="14" w15:restartNumberingAfterBreak="0">
    <w:nsid w:val="282E26E0"/>
    <w:multiLevelType w:val="hybridMultilevel"/>
    <w:tmpl w:val="708AB74E"/>
    <w:lvl w:ilvl="0" w:tplc="3FB8022A">
      <w:start w:val="9"/>
      <w:numFmt w:val="decimal"/>
      <w:pStyle w:val="Subparagraphtext"/>
      <w:lvlText w:val="%1."/>
      <w:lvlJc w:val="left"/>
      <w:pPr>
        <w:ind w:left="502" w:hanging="360"/>
      </w:pPr>
      <w:rPr>
        <w:rFonts w:asciiTheme="minorHAnsi" w:hAnsiTheme="minorHAnsi" w:cstheme="minorHAnsi" w:hint="default"/>
        <w:b w:val="0"/>
        <w:bCs w:val="0"/>
        <w:i w:val="0"/>
        <w:iCs w:val="0"/>
        <w:sz w:val="24"/>
        <w:szCs w:val="24"/>
      </w:rPr>
    </w:lvl>
    <w:lvl w:ilvl="1" w:tplc="FD2413F2">
      <w:start w:val="1"/>
      <w:numFmt w:val="lowerLetter"/>
      <w:lvlText w:val="%2."/>
      <w:lvlJc w:val="left"/>
      <w:pPr>
        <w:ind w:left="514" w:hanging="360"/>
      </w:pPr>
      <w:rPr>
        <w:rFonts w:asciiTheme="minorHAnsi" w:hAnsiTheme="minorHAnsi" w:cstheme="minorHAnsi" w:hint="default"/>
        <w:b w:val="0"/>
        <w:bCs/>
        <w:i w:val="0"/>
        <w:iCs/>
        <w:sz w:val="24"/>
        <w:szCs w:val="24"/>
      </w:rPr>
    </w:lvl>
    <w:lvl w:ilvl="2" w:tplc="0C09001B">
      <w:start w:val="1"/>
      <w:numFmt w:val="lowerRoman"/>
      <w:lvlText w:val="%3."/>
      <w:lvlJc w:val="right"/>
      <w:pPr>
        <w:ind w:left="1234" w:hanging="180"/>
      </w:pPr>
    </w:lvl>
    <w:lvl w:ilvl="3" w:tplc="0C090001">
      <w:start w:val="1"/>
      <w:numFmt w:val="bullet"/>
      <w:lvlText w:val=""/>
      <w:lvlJc w:val="left"/>
      <w:pPr>
        <w:ind w:left="1954" w:hanging="360"/>
      </w:pPr>
      <w:rPr>
        <w:rFonts w:ascii="Symbol" w:hAnsi="Symbol" w:hint="default"/>
      </w:rPr>
    </w:lvl>
    <w:lvl w:ilvl="4" w:tplc="0C090019" w:tentative="1">
      <w:start w:val="1"/>
      <w:numFmt w:val="lowerLetter"/>
      <w:lvlText w:val="%5."/>
      <w:lvlJc w:val="left"/>
      <w:pPr>
        <w:ind w:left="2674" w:hanging="360"/>
      </w:pPr>
    </w:lvl>
    <w:lvl w:ilvl="5" w:tplc="0C09001B" w:tentative="1">
      <w:start w:val="1"/>
      <w:numFmt w:val="lowerRoman"/>
      <w:lvlText w:val="%6."/>
      <w:lvlJc w:val="right"/>
      <w:pPr>
        <w:ind w:left="3394" w:hanging="180"/>
      </w:pPr>
    </w:lvl>
    <w:lvl w:ilvl="6" w:tplc="0C09000F" w:tentative="1">
      <w:start w:val="1"/>
      <w:numFmt w:val="decimal"/>
      <w:lvlText w:val="%7."/>
      <w:lvlJc w:val="left"/>
      <w:pPr>
        <w:ind w:left="4114" w:hanging="360"/>
      </w:pPr>
    </w:lvl>
    <w:lvl w:ilvl="7" w:tplc="0C090019" w:tentative="1">
      <w:start w:val="1"/>
      <w:numFmt w:val="lowerLetter"/>
      <w:lvlText w:val="%8."/>
      <w:lvlJc w:val="left"/>
      <w:pPr>
        <w:ind w:left="4834" w:hanging="360"/>
      </w:pPr>
    </w:lvl>
    <w:lvl w:ilvl="8" w:tplc="0C09001B" w:tentative="1">
      <w:start w:val="1"/>
      <w:numFmt w:val="lowerRoman"/>
      <w:lvlText w:val="%9."/>
      <w:lvlJc w:val="right"/>
      <w:pPr>
        <w:ind w:left="5554" w:hanging="180"/>
      </w:pPr>
    </w:lvl>
  </w:abstractNum>
  <w:abstractNum w:abstractNumId="15" w15:restartNumberingAfterBreak="0">
    <w:nsid w:val="28D36404"/>
    <w:multiLevelType w:val="hybridMultilevel"/>
    <w:tmpl w:val="513857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0E3C79"/>
    <w:multiLevelType w:val="hybridMultilevel"/>
    <w:tmpl w:val="95FE99B8"/>
    <w:lvl w:ilvl="0" w:tplc="7956616A">
      <w:start w:val="7"/>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99036B"/>
    <w:multiLevelType w:val="hybridMultilevel"/>
    <w:tmpl w:val="8A9E707C"/>
    <w:lvl w:ilvl="0" w:tplc="1B70144E">
      <w:start w:val="1"/>
      <w:numFmt w:val="bullet"/>
      <w:lvlText w:val=""/>
      <w:lvlJc w:val="left"/>
      <w:pPr>
        <w:tabs>
          <w:tab w:val="num" w:pos="720"/>
        </w:tabs>
        <w:ind w:left="720" w:hanging="360"/>
      </w:pPr>
      <w:rPr>
        <w:rFonts w:ascii="Symbol" w:hAnsi="Symbol" w:hint="default"/>
        <w:sz w:val="20"/>
      </w:rPr>
    </w:lvl>
    <w:lvl w:ilvl="1" w:tplc="3EC6BA3C" w:tentative="1">
      <w:start w:val="1"/>
      <w:numFmt w:val="bullet"/>
      <w:lvlText w:val=""/>
      <w:lvlJc w:val="left"/>
      <w:pPr>
        <w:tabs>
          <w:tab w:val="num" w:pos="1440"/>
        </w:tabs>
        <w:ind w:left="1440" w:hanging="360"/>
      </w:pPr>
      <w:rPr>
        <w:rFonts w:ascii="Symbol" w:hAnsi="Symbol" w:hint="default"/>
        <w:sz w:val="20"/>
      </w:rPr>
    </w:lvl>
    <w:lvl w:ilvl="2" w:tplc="2F369FB4" w:tentative="1">
      <w:start w:val="1"/>
      <w:numFmt w:val="bullet"/>
      <w:lvlText w:val=""/>
      <w:lvlJc w:val="left"/>
      <w:pPr>
        <w:tabs>
          <w:tab w:val="num" w:pos="2160"/>
        </w:tabs>
        <w:ind w:left="2160" w:hanging="360"/>
      </w:pPr>
      <w:rPr>
        <w:rFonts w:ascii="Symbol" w:hAnsi="Symbol" w:hint="default"/>
        <w:sz w:val="20"/>
      </w:rPr>
    </w:lvl>
    <w:lvl w:ilvl="3" w:tplc="37DAF57A" w:tentative="1">
      <w:start w:val="1"/>
      <w:numFmt w:val="bullet"/>
      <w:lvlText w:val=""/>
      <w:lvlJc w:val="left"/>
      <w:pPr>
        <w:tabs>
          <w:tab w:val="num" w:pos="2880"/>
        </w:tabs>
        <w:ind w:left="2880" w:hanging="360"/>
      </w:pPr>
      <w:rPr>
        <w:rFonts w:ascii="Symbol" w:hAnsi="Symbol" w:hint="default"/>
        <w:sz w:val="20"/>
      </w:rPr>
    </w:lvl>
    <w:lvl w:ilvl="4" w:tplc="F52C2206" w:tentative="1">
      <w:start w:val="1"/>
      <w:numFmt w:val="bullet"/>
      <w:lvlText w:val=""/>
      <w:lvlJc w:val="left"/>
      <w:pPr>
        <w:tabs>
          <w:tab w:val="num" w:pos="3600"/>
        </w:tabs>
        <w:ind w:left="3600" w:hanging="360"/>
      </w:pPr>
      <w:rPr>
        <w:rFonts w:ascii="Symbol" w:hAnsi="Symbol" w:hint="default"/>
        <w:sz w:val="20"/>
      </w:rPr>
    </w:lvl>
    <w:lvl w:ilvl="5" w:tplc="836C2E4C" w:tentative="1">
      <w:start w:val="1"/>
      <w:numFmt w:val="bullet"/>
      <w:lvlText w:val=""/>
      <w:lvlJc w:val="left"/>
      <w:pPr>
        <w:tabs>
          <w:tab w:val="num" w:pos="4320"/>
        </w:tabs>
        <w:ind w:left="4320" w:hanging="360"/>
      </w:pPr>
      <w:rPr>
        <w:rFonts w:ascii="Symbol" w:hAnsi="Symbol" w:hint="default"/>
        <w:sz w:val="20"/>
      </w:rPr>
    </w:lvl>
    <w:lvl w:ilvl="6" w:tplc="6BB20460" w:tentative="1">
      <w:start w:val="1"/>
      <w:numFmt w:val="bullet"/>
      <w:lvlText w:val=""/>
      <w:lvlJc w:val="left"/>
      <w:pPr>
        <w:tabs>
          <w:tab w:val="num" w:pos="5040"/>
        </w:tabs>
        <w:ind w:left="5040" w:hanging="360"/>
      </w:pPr>
      <w:rPr>
        <w:rFonts w:ascii="Symbol" w:hAnsi="Symbol" w:hint="default"/>
        <w:sz w:val="20"/>
      </w:rPr>
    </w:lvl>
    <w:lvl w:ilvl="7" w:tplc="27C4EA6C" w:tentative="1">
      <w:start w:val="1"/>
      <w:numFmt w:val="bullet"/>
      <w:lvlText w:val=""/>
      <w:lvlJc w:val="left"/>
      <w:pPr>
        <w:tabs>
          <w:tab w:val="num" w:pos="5760"/>
        </w:tabs>
        <w:ind w:left="5760" w:hanging="360"/>
      </w:pPr>
      <w:rPr>
        <w:rFonts w:ascii="Symbol" w:hAnsi="Symbol" w:hint="default"/>
        <w:sz w:val="20"/>
      </w:rPr>
    </w:lvl>
    <w:lvl w:ilvl="8" w:tplc="EBDA8D76"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EF3D1C"/>
    <w:multiLevelType w:val="hybridMultilevel"/>
    <w:tmpl w:val="16D8DB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A90B3E"/>
    <w:multiLevelType w:val="hybridMultilevel"/>
    <w:tmpl w:val="D5E087F8"/>
    <w:lvl w:ilvl="0" w:tplc="F2BE2712">
      <w:start w:val="1"/>
      <w:numFmt w:val="bullet"/>
      <w:lvlText w:val=""/>
      <w:lvlJc w:val="left"/>
      <w:pPr>
        <w:tabs>
          <w:tab w:val="num" w:pos="720"/>
        </w:tabs>
        <w:ind w:left="720" w:hanging="360"/>
      </w:pPr>
      <w:rPr>
        <w:rFonts w:ascii="Symbol" w:hAnsi="Symbol" w:hint="default"/>
        <w:sz w:val="20"/>
      </w:rPr>
    </w:lvl>
    <w:lvl w:ilvl="1" w:tplc="45C2933A" w:tentative="1">
      <w:start w:val="1"/>
      <w:numFmt w:val="bullet"/>
      <w:lvlText w:val=""/>
      <w:lvlJc w:val="left"/>
      <w:pPr>
        <w:tabs>
          <w:tab w:val="num" w:pos="1440"/>
        </w:tabs>
        <w:ind w:left="1440" w:hanging="360"/>
      </w:pPr>
      <w:rPr>
        <w:rFonts w:ascii="Symbol" w:hAnsi="Symbol" w:hint="default"/>
        <w:sz w:val="20"/>
      </w:rPr>
    </w:lvl>
    <w:lvl w:ilvl="2" w:tplc="9F2E413E" w:tentative="1">
      <w:start w:val="1"/>
      <w:numFmt w:val="bullet"/>
      <w:lvlText w:val=""/>
      <w:lvlJc w:val="left"/>
      <w:pPr>
        <w:tabs>
          <w:tab w:val="num" w:pos="2160"/>
        </w:tabs>
        <w:ind w:left="2160" w:hanging="360"/>
      </w:pPr>
      <w:rPr>
        <w:rFonts w:ascii="Symbol" w:hAnsi="Symbol" w:hint="default"/>
        <w:sz w:val="20"/>
      </w:rPr>
    </w:lvl>
    <w:lvl w:ilvl="3" w:tplc="3328F602" w:tentative="1">
      <w:start w:val="1"/>
      <w:numFmt w:val="bullet"/>
      <w:lvlText w:val=""/>
      <w:lvlJc w:val="left"/>
      <w:pPr>
        <w:tabs>
          <w:tab w:val="num" w:pos="2880"/>
        </w:tabs>
        <w:ind w:left="2880" w:hanging="360"/>
      </w:pPr>
      <w:rPr>
        <w:rFonts w:ascii="Symbol" w:hAnsi="Symbol" w:hint="default"/>
        <w:sz w:val="20"/>
      </w:rPr>
    </w:lvl>
    <w:lvl w:ilvl="4" w:tplc="76ECA968" w:tentative="1">
      <w:start w:val="1"/>
      <w:numFmt w:val="bullet"/>
      <w:lvlText w:val=""/>
      <w:lvlJc w:val="left"/>
      <w:pPr>
        <w:tabs>
          <w:tab w:val="num" w:pos="3600"/>
        </w:tabs>
        <w:ind w:left="3600" w:hanging="360"/>
      </w:pPr>
      <w:rPr>
        <w:rFonts w:ascii="Symbol" w:hAnsi="Symbol" w:hint="default"/>
        <w:sz w:val="20"/>
      </w:rPr>
    </w:lvl>
    <w:lvl w:ilvl="5" w:tplc="6D90AF98" w:tentative="1">
      <w:start w:val="1"/>
      <w:numFmt w:val="bullet"/>
      <w:lvlText w:val=""/>
      <w:lvlJc w:val="left"/>
      <w:pPr>
        <w:tabs>
          <w:tab w:val="num" w:pos="4320"/>
        </w:tabs>
        <w:ind w:left="4320" w:hanging="360"/>
      </w:pPr>
      <w:rPr>
        <w:rFonts w:ascii="Symbol" w:hAnsi="Symbol" w:hint="default"/>
        <w:sz w:val="20"/>
      </w:rPr>
    </w:lvl>
    <w:lvl w:ilvl="6" w:tplc="00FACB78" w:tentative="1">
      <w:start w:val="1"/>
      <w:numFmt w:val="bullet"/>
      <w:lvlText w:val=""/>
      <w:lvlJc w:val="left"/>
      <w:pPr>
        <w:tabs>
          <w:tab w:val="num" w:pos="5040"/>
        </w:tabs>
        <w:ind w:left="5040" w:hanging="360"/>
      </w:pPr>
      <w:rPr>
        <w:rFonts w:ascii="Symbol" w:hAnsi="Symbol" w:hint="default"/>
        <w:sz w:val="20"/>
      </w:rPr>
    </w:lvl>
    <w:lvl w:ilvl="7" w:tplc="4C9C8B42" w:tentative="1">
      <w:start w:val="1"/>
      <w:numFmt w:val="bullet"/>
      <w:lvlText w:val=""/>
      <w:lvlJc w:val="left"/>
      <w:pPr>
        <w:tabs>
          <w:tab w:val="num" w:pos="5760"/>
        </w:tabs>
        <w:ind w:left="5760" w:hanging="360"/>
      </w:pPr>
      <w:rPr>
        <w:rFonts w:ascii="Symbol" w:hAnsi="Symbol" w:hint="default"/>
        <w:sz w:val="20"/>
      </w:rPr>
    </w:lvl>
    <w:lvl w:ilvl="8" w:tplc="F5AED2FE"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6127F1"/>
    <w:multiLevelType w:val="hybridMultilevel"/>
    <w:tmpl w:val="02E8D6B2"/>
    <w:lvl w:ilvl="0" w:tplc="043A70F8">
      <w:start w:val="2019"/>
      <w:numFmt w:val="bullet"/>
      <w:lvlText w:val=""/>
      <w:lvlJc w:val="left"/>
      <w:pPr>
        <w:ind w:left="360" w:hanging="360"/>
      </w:pPr>
      <w:rPr>
        <w:rFonts w:ascii="Symbol" w:eastAsia="Arial"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9B92890"/>
    <w:multiLevelType w:val="hybridMultilevel"/>
    <w:tmpl w:val="A6AEFC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B835A43"/>
    <w:multiLevelType w:val="hybridMultilevel"/>
    <w:tmpl w:val="18EC666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D3738C7"/>
    <w:multiLevelType w:val="hybridMultilevel"/>
    <w:tmpl w:val="BD840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6C68D4"/>
    <w:multiLevelType w:val="hybridMultilevel"/>
    <w:tmpl w:val="C024C04A"/>
    <w:styleLink w:val="ZZNumbersdigit"/>
    <w:lvl w:ilvl="0" w:tplc="C55CE5EA">
      <w:start w:val="1"/>
      <w:numFmt w:val="decimal"/>
      <w:pStyle w:val="DHHSnumberdigit"/>
      <w:lvlText w:val="%1."/>
      <w:lvlJc w:val="left"/>
      <w:pPr>
        <w:tabs>
          <w:tab w:val="num" w:pos="397"/>
        </w:tabs>
        <w:ind w:left="397" w:hanging="397"/>
      </w:pPr>
      <w:rPr>
        <w:rFonts w:hint="default"/>
      </w:rPr>
    </w:lvl>
    <w:lvl w:ilvl="1" w:tplc="083C24DE">
      <w:start w:val="1"/>
      <w:numFmt w:val="decimal"/>
      <w:pStyle w:val="DHHSnumberdigitindent"/>
      <w:lvlText w:val="%2."/>
      <w:lvlJc w:val="left"/>
      <w:pPr>
        <w:tabs>
          <w:tab w:val="num" w:pos="794"/>
        </w:tabs>
        <w:ind w:left="794" w:hanging="397"/>
      </w:pPr>
      <w:rPr>
        <w:rFonts w:hint="default"/>
      </w:rPr>
    </w:lvl>
    <w:lvl w:ilvl="2" w:tplc="A1E8D672">
      <w:start w:val="1"/>
      <w:numFmt w:val="bullet"/>
      <w:lvlRestart w:val="0"/>
      <w:pStyle w:val="DHHSbulletafternumbers1"/>
      <w:lvlText w:val="•"/>
      <w:lvlJc w:val="left"/>
      <w:pPr>
        <w:ind w:left="794" w:hanging="397"/>
      </w:pPr>
      <w:rPr>
        <w:rFonts w:ascii="Calibri" w:hAnsi="Calibri" w:hint="default"/>
        <w:color w:val="auto"/>
      </w:rPr>
    </w:lvl>
    <w:lvl w:ilvl="3" w:tplc="796CC860">
      <w:start w:val="1"/>
      <w:numFmt w:val="bullet"/>
      <w:lvlRestart w:val="0"/>
      <w:pStyle w:val="DHHSbulletafternumbers2"/>
      <w:lvlText w:val="–"/>
      <w:lvlJc w:val="left"/>
      <w:pPr>
        <w:ind w:left="1191" w:hanging="397"/>
      </w:pPr>
      <w:rPr>
        <w:rFonts w:ascii="Calibri" w:hAnsi="Calibri" w:hint="default"/>
      </w:rPr>
    </w:lvl>
    <w:lvl w:ilvl="4" w:tplc="829AF68A">
      <w:start w:val="1"/>
      <w:numFmt w:val="none"/>
      <w:lvlRestart w:val="0"/>
      <w:lvlText w:val=""/>
      <w:lvlJc w:val="left"/>
      <w:pPr>
        <w:ind w:left="0" w:firstLine="0"/>
      </w:pPr>
      <w:rPr>
        <w:rFonts w:hint="default"/>
      </w:rPr>
    </w:lvl>
    <w:lvl w:ilvl="5" w:tplc="A616025C">
      <w:start w:val="1"/>
      <w:numFmt w:val="none"/>
      <w:lvlRestart w:val="0"/>
      <w:lvlText w:val=""/>
      <w:lvlJc w:val="left"/>
      <w:pPr>
        <w:tabs>
          <w:tab w:val="num" w:pos="0"/>
        </w:tabs>
        <w:ind w:left="0" w:firstLine="0"/>
      </w:pPr>
      <w:rPr>
        <w:rFonts w:hint="default"/>
      </w:rPr>
    </w:lvl>
    <w:lvl w:ilvl="6" w:tplc="FF66943C">
      <w:start w:val="1"/>
      <w:numFmt w:val="none"/>
      <w:lvlRestart w:val="0"/>
      <w:lvlText w:val=""/>
      <w:lvlJc w:val="left"/>
      <w:pPr>
        <w:ind w:left="0" w:firstLine="0"/>
      </w:pPr>
      <w:rPr>
        <w:rFonts w:hint="default"/>
      </w:rPr>
    </w:lvl>
    <w:lvl w:ilvl="7" w:tplc="3A9A7C94">
      <w:start w:val="1"/>
      <w:numFmt w:val="none"/>
      <w:lvlRestart w:val="0"/>
      <w:lvlText w:val=""/>
      <w:lvlJc w:val="left"/>
      <w:pPr>
        <w:ind w:left="0" w:firstLine="0"/>
      </w:pPr>
      <w:rPr>
        <w:rFonts w:hint="default"/>
      </w:rPr>
    </w:lvl>
    <w:lvl w:ilvl="8" w:tplc="AFC488A6">
      <w:start w:val="1"/>
      <w:numFmt w:val="none"/>
      <w:lvlRestart w:val="0"/>
      <w:lvlText w:val=""/>
      <w:lvlJc w:val="right"/>
      <w:pPr>
        <w:ind w:left="0" w:firstLine="0"/>
      </w:pPr>
      <w:rPr>
        <w:rFonts w:hint="default"/>
      </w:rPr>
    </w:lvl>
  </w:abstractNum>
  <w:abstractNum w:abstractNumId="25" w15:restartNumberingAfterBreak="0">
    <w:nsid w:val="3EC54A41"/>
    <w:multiLevelType w:val="hybridMultilevel"/>
    <w:tmpl w:val="F3828B86"/>
    <w:styleLink w:val="ZZNumberslowerroman"/>
    <w:lvl w:ilvl="0" w:tplc="1144B276">
      <w:start w:val="1"/>
      <w:numFmt w:val="lowerRoman"/>
      <w:pStyle w:val="DHHSnumberlowerroman"/>
      <w:lvlText w:val="(%1)"/>
      <w:lvlJc w:val="left"/>
      <w:pPr>
        <w:tabs>
          <w:tab w:val="num" w:pos="397"/>
        </w:tabs>
        <w:ind w:left="397" w:hanging="397"/>
      </w:pPr>
      <w:rPr>
        <w:rFonts w:hint="default"/>
      </w:rPr>
    </w:lvl>
    <w:lvl w:ilvl="1" w:tplc="D68C678E">
      <w:start w:val="1"/>
      <w:numFmt w:val="lowerRoman"/>
      <w:pStyle w:val="DHHSnumberlowerromanindent"/>
      <w:lvlText w:val="(%2)"/>
      <w:lvlJc w:val="left"/>
      <w:pPr>
        <w:tabs>
          <w:tab w:val="num" w:pos="794"/>
        </w:tabs>
        <w:ind w:left="794" w:hanging="397"/>
      </w:pPr>
      <w:rPr>
        <w:rFonts w:hint="default"/>
      </w:rPr>
    </w:lvl>
    <w:lvl w:ilvl="2" w:tplc="286E7A90">
      <w:start w:val="1"/>
      <w:numFmt w:val="none"/>
      <w:lvlRestart w:val="0"/>
      <w:lvlText w:val=""/>
      <w:lvlJc w:val="left"/>
      <w:pPr>
        <w:ind w:left="0" w:firstLine="0"/>
      </w:pPr>
      <w:rPr>
        <w:rFonts w:hint="default"/>
      </w:rPr>
    </w:lvl>
    <w:lvl w:ilvl="3" w:tplc="572E0A16">
      <w:start w:val="1"/>
      <w:numFmt w:val="none"/>
      <w:lvlRestart w:val="0"/>
      <w:lvlText w:val=""/>
      <w:lvlJc w:val="left"/>
      <w:pPr>
        <w:ind w:left="0" w:firstLine="0"/>
      </w:pPr>
      <w:rPr>
        <w:rFonts w:hint="default"/>
      </w:rPr>
    </w:lvl>
    <w:lvl w:ilvl="4" w:tplc="4CC6B86C">
      <w:start w:val="1"/>
      <w:numFmt w:val="none"/>
      <w:lvlRestart w:val="0"/>
      <w:lvlText w:val=""/>
      <w:lvlJc w:val="left"/>
      <w:pPr>
        <w:ind w:left="0" w:firstLine="0"/>
      </w:pPr>
      <w:rPr>
        <w:rFonts w:hint="default"/>
      </w:rPr>
    </w:lvl>
    <w:lvl w:ilvl="5" w:tplc="B39A9CDE">
      <w:start w:val="1"/>
      <w:numFmt w:val="none"/>
      <w:lvlRestart w:val="0"/>
      <w:lvlText w:val=""/>
      <w:lvlJc w:val="left"/>
      <w:pPr>
        <w:ind w:left="0" w:firstLine="0"/>
      </w:pPr>
      <w:rPr>
        <w:rFonts w:hint="default"/>
      </w:rPr>
    </w:lvl>
    <w:lvl w:ilvl="6" w:tplc="768A07EC">
      <w:start w:val="1"/>
      <w:numFmt w:val="none"/>
      <w:lvlRestart w:val="0"/>
      <w:lvlText w:val=""/>
      <w:lvlJc w:val="left"/>
      <w:pPr>
        <w:ind w:left="0" w:firstLine="0"/>
      </w:pPr>
      <w:rPr>
        <w:rFonts w:hint="default"/>
      </w:rPr>
    </w:lvl>
    <w:lvl w:ilvl="7" w:tplc="41BE7830">
      <w:start w:val="1"/>
      <w:numFmt w:val="none"/>
      <w:lvlRestart w:val="0"/>
      <w:lvlText w:val=""/>
      <w:lvlJc w:val="left"/>
      <w:pPr>
        <w:ind w:left="0" w:firstLine="0"/>
      </w:pPr>
      <w:rPr>
        <w:rFonts w:hint="default"/>
      </w:rPr>
    </w:lvl>
    <w:lvl w:ilvl="8" w:tplc="2F74C1FA">
      <w:start w:val="1"/>
      <w:numFmt w:val="none"/>
      <w:lvlRestart w:val="0"/>
      <w:lvlText w:val=""/>
      <w:lvlJc w:val="left"/>
      <w:pPr>
        <w:ind w:left="0" w:firstLine="0"/>
      </w:pPr>
      <w:rPr>
        <w:rFonts w:hint="default"/>
      </w:rPr>
    </w:lvl>
  </w:abstractNum>
  <w:abstractNum w:abstractNumId="26" w15:restartNumberingAfterBreak="0">
    <w:nsid w:val="40D44793"/>
    <w:multiLevelType w:val="hybridMultilevel"/>
    <w:tmpl w:val="09A6A5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4F011D5E"/>
    <w:multiLevelType w:val="hybridMultilevel"/>
    <w:tmpl w:val="87D0A668"/>
    <w:lvl w:ilvl="0" w:tplc="9360518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1611C2"/>
    <w:multiLevelType w:val="hybridMultilevel"/>
    <w:tmpl w:val="9A2640A4"/>
    <w:styleLink w:val="ZZTablebullets"/>
    <w:lvl w:ilvl="0" w:tplc="A96C25A4">
      <w:start w:val="1"/>
      <w:numFmt w:val="bullet"/>
      <w:pStyle w:val="DHHStablebullet1"/>
      <w:lvlText w:val="•"/>
      <w:lvlJc w:val="left"/>
      <w:pPr>
        <w:ind w:left="227" w:hanging="227"/>
      </w:pPr>
      <w:rPr>
        <w:rFonts w:ascii="Calibri" w:hAnsi="Calibri" w:hint="default"/>
      </w:rPr>
    </w:lvl>
    <w:lvl w:ilvl="1" w:tplc="91863738">
      <w:start w:val="1"/>
      <w:numFmt w:val="bullet"/>
      <w:lvlRestart w:val="0"/>
      <w:pStyle w:val="DHHStablebullet2"/>
      <w:lvlText w:val="–"/>
      <w:lvlJc w:val="left"/>
      <w:pPr>
        <w:tabs>
          <w:tab w:val="num" w:pos="227"/>
        </w:tabs>
        <w:ind w:left="454" w:hanging="227"/>
      </w:pPr>
      <w:rPr>
        <w:rFonts w:ascii="Calibri" w:hAnsi="Calibri" w:hint="default"/>
      </w:rPr>
    </w:lvl>
    <w:lvl w:ilvl="2" w:tplc="E3D4DCF2">
      <w:start w:val="1"/>
      <w:numFmt w:val="none"/>
      <w:lvlRestart w:val="0"/>
      <w:lvlText w:val=""/>
      <w:lvlJc w:val="left"/>
      <w:pPr>
        <w:ind w:left="0" w:firstLine="0"/>
      </w:pPr>
      <w:rPr>
        <w:rFonts w:hint="default"/>
      </w:rPr>
    </w:lvl>
    <w:lvl w:ilvl="3" w:tplc="B6764968">
      <w:start w:val="1"/>
      <w:numFmt w:val="none"/>
      <w:lvlRestart w:val="0"/>
      <w:lvlText w:val=""/>
      <w:lvlJc w:val="left"/>
      <w:pPr>
        <w:ind w:left="0" w:firstLine="0"/>
      </w:pPr>
      <w:rPr>
        <w:rFonts w:hint="default"/>
      </w:rPr>
    </w:lvl>
    <w:lvl w:ilvl="4" w:tplc="9A205E78">
      <w:start w:val="1"/>
      <w:numFmt w:val="none"/>
      <w:lvlRestart w:val="0"/>
      <w:lvlText w:val=""/>
      <w:lvlJc w:val="left"/>
      <w:pPr>
        <w:ind w:left="0" w:firstLine="0"/>
      </w:pPr>
      <w:rPr>
        <w:rFonts w:hint="default"/>
      </w:rPr>
    </w:lvl>
    <w:lvl w:ilvl="5" w:tplc="881050B0">
      <w:start w:val="1"/>
      <w:numFmt w:val="none"/>
      <w:lvlRestart w:val="0"/>
      <w:lvlText w:val=""/>
      <w:lvlJc w:val="left"/>
      <w:pPr>
        <w:ind w:left="0" w:firstLine="0"/>
      </w:pPr>
      <w:rPr>
        <w:rFonts w:hint="default"/>
      </w:rPr>
    </w:lvl>
    <w:lvl w:ilvl="6" w:tplc="D5E2F61E">
      <w:start w:val="1"/>
      <w:numFmt w:val="none"/>
      <w:lvlRestart w:val="0"/>
      <w:lvlText w:val=""/>
      <w:lvlJc w:val="left"/>
      <w:pPr>
        <w:ind w:left="0" w:firstLine="0"/>
      </w:pPr>
      <w:rPr>
        <w:rFonts w:hint="default"/>
      </w:rPr>
    </w:lvl>
    <w:lvl w:ilvl="7" w:tplc="A058D574">
      <w:start w:val="1"/>
      <w:numFmt w:val="none"/>
      <w:lvlRestart w:val="0"/>
      <w:lvlText w:val=""/>
      <w:lvlJc w:val="left"/>
      <w:pPr>
        <w:ind w:left="0" w:firstLine="0"/>
      </w:pPr>
      <w:rPr>
        <w:rFonts w:hint="default"/>
      </w:rPr>
    </w:lvl>
    <w:lvl w:ilvl="8" w:tplc="3BFEDD7A">
      <w:start w:val="1"/>
      <w:numFmt w:val="none"/>
      <w:lvlRestart w:val="0"/>
      <w:lvlText w:val=""/>
      <w:lvlJc w:val="left"/>
      <w:pPr>
        <w:ind w:left="0" w:firstLine="0"/>
      </w:pPr>
      <w:rPr>
        <w:rFonts w:hint="default"/>
      </w:rPr>
    </w:lvl>
  </w:abstractNum>
  <w:abstractNum w:abstractNumId="29" w15:restartNumberingAfterBreak="0">
    <w:nsid w:val="544807A3"/>
    <w:multiLevelType w:val="hybridMultilevel"/>
    <w:tmpl w:val="9348DFB6"/>
    <w:lvl w:ilvl="0" w:tplc="0C090001">
      <w:start w:val="1"/>
      <w:numFmt w:val="bullet"/>
      <w:lvlText w:val=""/>
      <w:lvlJc w:val="left"/>
      <w:pPr>
        <w:ind w:left="720" w:hanging="360"/>
      </w:pPr>
      <w:rPr>
        <w:rFonts w:ascii="Symbol" w:hAnsi="Symbol" w:hint="default"/>
      </w:rPr>
    </w:lvl>
    <w:lvl w:ilvl="1" w:tplc="B5F400A0">
      <w:numFmt w:val="bullet"/>
      <w:lvlText w:val="·"/>
      <w:lvlJc w:val="left"/>
      <w:pPr>
        <w:ind w:left="1440" w:hanging="360"/>
      </w:pPr>
      <w:rPr>
        <w:rFonts w:ascii="Arial" w:eastAsia="Times New Roman" w:hAnsi="Arial" w:cs="Arial" w:hint="default"/>
      </w:rPr>
    </w:lvl>
    <w:lvl w:ilvl="2" w:tplc="F30EEB6E">
      <w:numFmt w:val="bullet"/>
      <w:lvlText w:val="-"/>
      <w:lvlJc w:val="left"/>
      <w:pPr>
        <w:ind w:left="2160" w:hanging="360"/>
      </w:pPr>
      <w:rPr>
        <w:rFonts w:ascii="Arial" w:eastAsia="Arial" w:hAnsi="Arial" w:cs="Arial" w:hint="default"/>
        <w:b w:val="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BA1E5A"/>
    <w:multiLevelType w:val="hybridMultilevel"/>
    <w:tmpl w:val="1E32BE08"/>
    <w:styleLink w:val="ZZBullets"/>
    <w:lvl w:ilvl="0" w:tplc="D9D45902">
      <w:start w:val="1"/>
      <w:numFmt w:val="bullet"/>
      <w:pStyle w:val="DHHSbullet1"/>
      <w:lvlText w:val="•"/>
      <w:lvlJc w:val="left"/>
      <w:pPr>
        <w:ind w:left="284" w:hanging="284"/>
      </w:pPr>
      <w:rPr>
        <w:rFonts w:ascii="Calibri" w:hAnsi="Calibri" w:hint="default"/>
      </w:rPr>
    </w:lvl>
    <w:lvl w:ilvl="1" w:tplc="000636FE">
      <w:start w:val="1"/>
      <w:numFmt w:val="bullet"/>
      <w:lvlRestart w:val="0"/>
      <w:pStyle w:val="DHHSbullet2"/>
      <w:lvlText w:val="–"/>
      <w:lvlJc w:val="left"/>
      <w:pPr>
        <w:ind w:left="567" w:hanging="283"/>
      </w:pPr>
      <w:rPr>
        <w:rFonts w:ascii="Calibri" w:hAnsi="Calibri" w:hint="default"/>
      </w:rPr>
    </w:lvl>
    <w:lvl w:ilvl="2" w:tplc="13389EAC">
      <w:start w:val="1"/>
      <w:numFmt w:val="none"/>
      <w:lvlRestart w:val="0"/>
      <w:lvlText w:val=""/>
      <w:lvlJc w:val="left"/>
      <w:pPr>
        <w:ind w:left="0" w:firstLine="0"/>
      </w:pPr>
      <w:rPr>
        <w:rFonts w:hint="default"/>
      </w:rPr>
    </w:lvl>
    <w:lvl w:ilvl="3" w:tplc="DAC085F8">
      <w:start w:val="1"/>
      <w:numFmt w:val="none"/>
      <w:lvlRestart w:val="0"/>
      <w:lvlText w:val=""/>
      <w:lvlJc w:val="left"/>
      <w:pPr>
        <w:ind w:left="0" w:firstLine="0"/>
      </w:pPr>
      <w:rPr>
        <w:rFonts w:hint="default"/>
      </w:rPr>
    </w:lvl>
    <w:lvl w:ilvl="4" w:tplc="0A20EF5E">
      <w:start w:val="1"/>
      <w:numFmt w:val="none"/>
      <w:lvlRestart w:val="0"/>
      <w:lvlText w:val=""/>
      <w:lvlJc w:val="left"/>
      <w:pPr>
        <w:ind w:left="0" w:firstLine="0"/>
      </w:pPr>
      <w:rPr>
        <w:rFonts w:hint="default"/>
      </w:rPr>
    </w:lvl>
    <w:lvl w:ilvl="5" w:tplc="B1824062">
      <w:start w:val="1"/>
      <w:numFmt w:val="none"/>
      <w:lvlRestart w:val="0"/>
      <w:lvlText w:val=""/>
      <w:lvlJc w:val="left"/>
      <w:pPr>
        <w:ind w:left="0" w:firstLine="0"/>
      </w:pPr>
      <w:rPr>
        <w:rFonts w:hint="default"/>
      </w:rPr>
    </w:lvl>
    <w:lvl w:ilvl="6" w:tplc="4D82DE42">
      <w:start w:val="1"/>
      <w:numFmt w:val="none"/>
      <w:lvlRestart w:val="0"/>
      <w:lvlText w:val=""/>
      <w:lvlJc w:val="left"/>
      <w:pPr>
        <w:ind w:left="0" w:firstLine="0"/>
      </w:pPr>
      <w:rPr>
        <w:rFonts w:hint="default"/>
      </w:rPr>
    </w:lvl>
    <w:lvl w:ilvl="7" w:tplc="29725AD6">
      <w:start w:val="1"/>
      <w:numFmt w:val="none"/>
      <w:lvlRestart w:val="0"/>
      <w:lvlText w:val=""/>
      <w:lvlJc w:val="left"/>
      <w:pPr>
        <w:ind w:left="0" w:firstLine="0"/>
      </w:pPr>
      <w:rPr>
        <w:rFonts w:hint="default"/>
      </w:rPr>
    </w:lvl>
    <w:lvl w:ilvl="8" w:tplc="364207A4">
      <w:start w:val="1"/>
      <w:numFmt w:val="none"/>
      <w:lvlRestart w:val="0"/>
      <w:lvlText w:val=""/>
      <w:lvlJc w:val="left"/>
      <w:pPr>
        <w:ind w:left="0" w:firstLine="0"/>
      </w:pPr>
      <w:rPr>
        <w:rFonts w:hint="default"/>
      </w:rPr>
    </w:lvl>
  </w:abstractNum>
  <w:abstractNum w:abstractNumId="31" w15:restartNumberingAfterBreak="0">
    <w:nsid w:val="55444CC5"/>
    <w:multiLevelType w:val="hybridMultilevel"/>
    <w:tmpl w:val="D26873CC"/>
    <w:lvl w:ilvl="0" w:tplc="BB705178">
      <w:start w:val="1"/>
      <w:numFmt w:val="bullet"/>
      <w:lvlText w:val=""/>
      <w:lvlJc w:val="left"/>
      <w:pPr>
        <w:tabs>
          <w:tab w:val="num" w:pos="720"/>
        </w:tabs>
        <w:ind w:left="720" w:hanging="360"/>
      </w:pPr>
      <w:rPr>
        <w:rFonts w:ascii="Symbol" w:hAnsi="Symbol" w:hint="default"/>
        <w:sz w:val="20"/>
      </w:rPr>
    </w:lvl>
    <w:lvl w:ilvl="1" w:tplc="C6C4F562" w:tentative="1">
      <w:start w:val="1"/>
      <w:numFmt w:val="bullet"/>
      <w:lvlText w:val=""/>
      <w:lvlJc w:val="left"/>
      <w:pPr>
        <w:tabs>
          <w:tab w:val="num" w:pos="1440"/>
        </w:tabs>
        <w:ind w:left="1440" w:hanging="360"/>
      </w:pPr>
      <w:rPr>
        <w:rFonts w:ascii="Symbol" w:hAnsi="Symbol" w:hint="default"/>
        <w:sz w:val="20"/>
      </w:rPr>
    </w:lvl>
    <w:lvl w:ilvl="2" w:tplc="70249AC4" w:tentative="1">
      <w:start w:val="1"/>
      <w:numFmt w:val="bullet"/>
      <w:lvlText w:val=""/>
      <w:lvlJc w:val="left"/>
      <w:pPr>
        <w:tabs>
          <w:tab w:val="num" w:pos="2160"/>
        </w:tabs>
        <w:ind w:left="2160" w:hanging="360"/>
      </w:pPr>
      <w:rPr>
        <w:rFonts w:ascii="Symbol" w:hAnsi="Symbol" w:hint="default"/>
        <w:sz w:val="20"/>
      </w:rPr>
    </w:lvl>
    <w:lvl w:ilvl="3" w:tplc="E64EFB90" w:tentative="1">
      <w:start w:val="1"/>
      <w:numFmt w:val="bullet"/>
      <w:lvlText w:val=""/>
      <w:lvlJc w:val="left"/>
      <w:pPr>
        <w:tabs>
          <w:tab w:val="num" w:pos="2880"/>
        </w:tabs>
        <w:ind w:left="2880" w:hanging="360"/>
      </w:pPr>
      <w:rPr>
        <w:rFonts w:ascii="Symbol" w:hAnsi="Symbol" w:hint="default"/>
        <w:sz w:val="20"/>
      </w:rPr>
    </w:lvl>
    <w:lvl w:ilvl="4" w:tplc="4D6C90D6" w:tentative="1">
      <w:start w:val="1"/>
      <w:numFmt w:val="bullet"/>
      <w:lvlText w:val=""/>
      <w:lvlJc w:val="left"/>
      <w:pPr>
        <w:tabs>
          <w:tab w:val="num" w:pos="3600"/>
        </w:tabs>
        <w:ind w:left="3600" w:hanging="360"/>
      </w:pPr>
      <w:rPr>
        <w:rFonts w:ascii="Symbol" w:hAnsi="Symbol" w:hint="default"/>
        <w:sz w:val="20"/>
      </w:rPr>
    </w:lvl>
    <w:lvl w:ilvl="5" w:tplc="EC2E5400" w:tentative="1">
      <w:start w:val="1"/>
      <w:numFmt w:val="bullet"/>
      <w:lvlText w:val=""/>
      <w:lvlJc w:val="left"/>
      <w:pPr>
        <w:tabs>
          <w:tab w:val="num" w:pos="4320"/>
        </w:tabs>
        <w:ind w:left="4320" w:hanging="360"/>
      </w:pPr>
      <w:rPr>
        <w:rFonts w:ascii="Symbol" w:hAnsi="Symbol" w:hint="default"/>
        <w:sz w:val="20"/>
      </w:rPr>
    </w:lvl>
    <w:lvl w:ilvl="6" w:tplc="0AD29924" w:tentative="1">
      <w:start w:val="1"/>
      <w:numFmt w:val="bullet"/>
      <w:lvlText w:val=""/>
      <w:lvlJc w:val="left"/>
      <w:pPr>
        <w:tabs>
          <w:tab w:val="num" w:pos="5040"/>
        </w:tabs>
        <w:ind w:left="5040" w:hanging="360"/>
      </w:pPr>
      <w:rPr>
        <w:rFonts w:ascii="Symbol" w:hAnsi="Symbol" w:hint="default"/>
        <w:sz w:val="20"/>
      </w:rPr>
    </w:lvl>
    <w:lvl w:ilvl="7" w:tplc="7C5429AA" w:tentative="1">
      <w:start w:val="1"/>
      <w:numFmt w:val="bullet"/>
      <w:lvlText w:val=""/>
      <w:lvlJc w:val="left"/>
      <w:pPr>
        <w:tabs>
          <w:tab w:val="num" w:pos="5760"/>
        </w:tabs>
        <w:ind w:left="5760" w:hanging="360"/>
      </w:pPr>
      <w:rPr>
        <w:rFonts w:ascii="Symbol" w:hAnsi="Symbol" w:hint="default"/>
        <w:sz w:val="20"/>
      </w:rPr>
    </w:lvl>
    <w:lvl w:ilvl="8" w:tplc="A90E055C"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E45E00"/>
    <w:multiLevelType w:val="hybridMultilevel"/>
    <w:tmpl w:val="B832C72A"/>
    <w:lvl w:ilvl="0" w:tplc="F4C6EB7C">
      <w:start w:val="2019"/>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09259F"/>
    <w:multiLevelType w:val="hybridMultilevel"/>
    <w:tmpl w:val="08AAA4FA"/>
    <w:styleLink w:val="ZZQuotebullets"/>
    <w:lvl w:ilvl="0" w:tplc="22F4686C">
      <w:start w:val="1"/>
      <w:numFmt w:val="bullet"/>
      <w:pStyle w:val="DHHSquotebullet1"/>
      <w:lvlText w:val="•"/>
      <w:lvlJc w:val="left"/>
      <w:pPr>
        <w:ind w:left="680" w:hanging="283"/>
      </w:pPr>
      <w:rPr>
        <w:rFonts w:ascii="Calibri" w:hAnsi="Calibri" w:hint="default"/>
        <w:color w:val="auto"/>
      </w:rPr>
    </w:lvl>
    <w:lvl w:ilvl="1" w:tplc="6598F85C">
      <w:start w:val="1"/>
      <w:numFmt w:val="bullet"/>
      <w:lvlRestart w:val="0"/>
      <w:pStyle w:val="DHHSquotebullet2"/>
      <w:lvlText w:val="–"/>
      <w:lvlJc w:val="left"/>
      <w:pPr>
        <w:ind w:left="964" w:hanging="284"/>
      </w:pPr>
      <w:rPr>
        <w:rFonts w:ascii="Calibri" w:hAnsi="Calibri" w:hint="default"/>
        <w:color w:val="auto"/>
      </w:rPr>
    </w:lvl>
    <w:lvl w:ilvl="2" w:tplc="A1FCF292">
      <w:start w:val="1"/>
      <w:numFmt w:val="none"/>
      <w:lvlRestart w:val="0"/>
      <w:lvlText w:val=""/>
      <w:lvlJc w:val="left"/>
      <w:pPr>
        <w:ind w:left="0" w:firstLine="0"/>
      </w:pPr>
      <w:rPr>
        <w:rFonts w:hint="default"/>
      </w:rPr>
    </w:lvl>
    <w:lvl w:ilvl="3" w:tplc="75026526">
      <w:start w:val="1"/>
      <w:numFmt w:val="none"/>
      <w:lvlRestart w:val="0"/>
      <w:lvlText w:val=""/>
      <w:lvlJc w:val="left"/>
      <w:pPr>
        <w:ind w:left="0" w:firstLine="0"/>
      </w:pPr>
      <w:rPr>
        <w:rFonts w:hint="default"/>
      </w:rPr>
    </w:lvl>
    <w:lvl w:ilvl="4" w:tplc="D73EE754">
      <w:start w:val="1"/>
      <w:numFmt w:val="none"/>
      <w:lvlRestart w:val="0"/>
      <w:lvlText w:val=""/>
      <w:lvlJc w:val="left"/>
      <w:pPr>
        <w:ind w:left="0" w:firstLine="0"/>
      </w:pPr>
      <w:rPr>
        <w:rFonts w:hint="default"/>
      </w:rPr>
    </w:lvl>
    <w:lvl w:ilvl="5" w:tplc="1CBE1056">
      <w:start w:val="1"/>
      <w:numFmt w:val="none"/>
      <w:lvlRestart w:val="0"/>
      <w:lvlText w:val=""/>
      <w:lvlJc w:val="left"/>
      <w:pPr>
        <w:ind w:left="0" w:firstLine="0"/>
      </w:pPr>
      <w:rPr>
        <w:rFonts w:hint="default"/>
      </w:rPr>
    </w:lvl>
    <w:lvl w:ilvl="6" w:tplc="2D1021D2">
      <w:start w:val="1"/>
      <w:numFmt w:val="none"/>
      <w:lvlRestart w:val="0"/>
      <w:lvlText w:val=""/>
      <w:lvlJc w:val="left"/>
      <w:pPr>
        <w:ind w:left="0" w:firstLine="0"/>
      </w:pPr>
      <w:rPr>
        <w:rFonts w:hint="default"/>
      </w:rPr>
    </w:lvl>
    <w:lvl w:ilvl="7" w:tplc="D598DC4E">
      <w:start w:val="1"/>
      <w:numFmt w:val="none"/>
      <w:lvlRestart w:val="0"/>
      <w:lvlText w:val=""/>
      <w:lvlJc w:val="left"/>
      <w:pPr>
        <w:ind w:left="0" w:firstLine="0"/>
      </w:pPr>
      <w:rPr>
        <w:rFonts w:hint="default"/>
      </w:rPr>
    </w:lvl>
    <w:lvl w:ilvl="8" w:tplc="4B6AB6D2">
      <w:start w:val="1"/>
      <w:numFmt w:val="none"/>
      <w:lvlRestart w:val="0"/>
      <w:lvlText w:val=""/>
      <w:lvlJc w:val="left"/>
      <w:pPr>
        <w:ind w:left="0" w:firstLine="0"/>
      </w:pPr>
      <w:rPr>
        <w:rFonts w:hint="default"/>
      </w:rPr>
    </w:lvl>
  </w:abstractNum>
  <w:abstractNum w:abstractNumId="34" w15:restartNumberingAfterBreak="0">
    <w:nsid w:val="6A377C35"/>
    <w:multiLevelType w:val="hybridMultilevel"/>
    <w:tmpl w:val="6796539A"/>
    <w:lvl w:ilvl="0" w:tplc="10143778">
      <w:start w:val="99"/>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3406F8"/>
    <w:multiLevelType w:val="hybridMultilevel"/>
    <w:tmpl w:val="EB6AC666"/>
    <w:lvl w:ilvl="0" w:tplc="0C090019">
      <w:start w:val="1"/>
      <w:numFmt w:val="lowerLetter"/>
      <w:lvlText w:val="%1."/>
      <w:lvlJc w:val="lef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77B81459"/>
    <w:multiLevelType w:val="hybridMultilevel"/>
    <w:tmpl w:val="B0ECD562"/>
    <w:lvl w:ilvl="0" w:tplc="AE24485A">
      <w:start w:val="1"/>
      <w:numFmt w:val="bullet"/>
      <w:lvlText w:val=""/>
      <w:lvlJc w:val="left"/>
      <w:pPr>
        <w:tabs>
          <w:tab w:val="num" w:pos="720"/>
        </w:tabs>
        <w:ind w:left="720" w:hanging="360"/>
      </w:pPr>
      <w:rPr>
        <w:rFonts w:ascii="Symbol" w:hAnsi="Symbol" w:hint="default"/>
        <w:sz w:val="20"/>
      </w:rPr>
    </w:lvl>
    <w:lvl w:ilvl="1" w:tplc="F560FE44" w:tentative="1">
      <w:start w:val="1"/>
      <w:numFmt w:val="bullet"/>
      <w:lvlText w:val=""/>
      <w:lvlJc w:val="left"/>
      <w:pPr>
        <w:tabs>
          <w:tab w:val="num" w:pos="1440"/>
        </w:tabs>
        <w:ind w:left="1440" w:hanging="360"/>
      </w:pPr>
      <w:rPr>
        <w:rFonts w:ascii="Symbol" w:hAnsi="Symbol" w:hint="default"/>
        <w:sz w:val="20"/>
      </w:rPr>
    </w:lvl>
    <w:lvl w:ilvl="2" w:tplc="0E4A71CA" w:tentative="1">
      <w:start w:val="1"/>
      <w:numFmt w:val="bullet"/>
      <w:lvlText w:val=""/>
      <w:lvlJc w:val="left"/>
      <w:pPr>
        <w:tabs>
          <w:tab w:val="num" w:pos="2160"/>
        </w:tabs>
        <w:ind w:left="2160" w:hanging="360"/>
      </w:pPr>
      <w:rPr>
        <w:rFonts w:ascii="Symbol" w:hAnsi="Symbol" w:hint="default"/>
        <w:sz w:val="20"/>
      </w:rPr>
    </w:lvl>
    <w:lvl w:ilvl="3" w:tplc="C6A8C09A" w:tentative="1">
      <w:start w:val="1"/>
      <w:numFmt w:val="bullet"/>
      <w:lvlText w:val=""/>
      <w:lvlJc w:val="left"/>
      <w:pPr>
        <w:tabs>
          <w:tab w:val="num" w:pos="2880"/>
        </w:tabs>
        <w:ind w:left="2880" w:hanging="360"/>
      </w:pPr>
      <w:rPr>
        <w:rFonts w:ascii="Symbol" w:hAnsi="Symbol" w:hint="default"/>
        <w:sz w:val="20"/>
      </w:rPr>
    </w:lvl>
    <w:lvl w:ilvl="4" w:tplc="6AACB35C" w:tentative="1">
      <w:start w:val="1"/>
      <w:numFmt w:val="bullet"/>
      <w:lvlText w:val=""/>
      <w:lvlJc w:val="left"/>
      <w:pPr>
        <w:tabs>
          <w:tab w:val="num" w:pos="3600"/>
        </w:tabs>
        <w:ind w:left="3600" w:hanging="360"/>
      </w:pPr>
      <w:rPr>
        <w:rFonts w:ascii="Symbol" w:hAnsi="Symbol" w:hint="default"/>
        <w:sz w:val="20"/>
      </w:rPr>
    </w:lvl>
    <w:lvl w:ilvl="5" w:tplc="883609E2" w:tentative="1">
      <w:start w:val="1"/>
      <w:numFmt w:val="bullet"/>
      <w:lvlText w:val=""/>
      <w:lvlJc w:val="left"/>
      <w:pPr>
        <w:tabs>
          <w:tab w:val="num" w:pos="4320"/>
        </w:tabs>
        <w:ind w:left="4320" w:hanging="360"/>
      </w:pPr>
      <w:rPr>
        <w:rFonts w:ascii="Symbol" w:hAnsi="Symbol" w:hint="default"/>
        <w:sz w:val="20"/>
      </w:rPr>
    </w:lvl>
    <w:lvl w:ilvl="6" w:tplc="71ECF9C2" w:tentative="1">
      <w:start w:val="1"/>
      <w:numFmt w:val="bullet"/>
      <w:lvlText w:val=""/>
      <w:lvlJc w:val="left"/>
      <w:pPr>
        <w:tabs>
          <w:tab w:val="num" w:pos="5040"/>
        </w:tabs>
        <w:ind w:left="5040" w:hanging="360"/>
      </w:pPr>
      <w:rPr>
        <w:rFonts w:ascii="Symbol" w:hAnsi="Symbol" w:hint="default"/>
        <w:sz w:val="20"/>
      </w:rPr>
    </w:lvl>
    <w:lvl w:ilvl="7" w:tplc="2BEA277A" w:tentative="1">
      <w:start w:val="1"/>
      <w:numFmt w:val="bullet"/>
      <w:lvlText w:val=""/>
      <w:lvlJc w:val="left"/>
      <w:pPr>
        <w:tabs>
          <w:tab w:val="num" w:pos="5760"/>
        </w:tabs>
        <w:ind w:left="5760" w:hanging="360"/>
      </w:pPr>
      <w:rPr>
        <w:rFonts w:ascii="Symbol" w:hAnsi="Symbol" w:hint="default"/>
        <w:sz w:val="20"/>
      </w:rPr>
    </w:lvl>
    <w:lvl w:ilvl="8" w:tplc="D28AB72C"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423B96"/>
    <w:multiLevelType w:val="hybridMultilevel"/>
    <w:tmpl w:val="FFFFFFFF"/>
    <w:lvl w:ilvl="0" w:tplc="3DD46A92">
      <w:start w:val="1"/>
      <w:numFmt w:val="decimal"/>
      <w:lvlText w:val="%1."/>
      <w:lvlJc w:val="left"/>
      <w:pPr>
        <w:ind w:left="720" w:hanging="360"/>
      </w:pPr>
    </w:lvl>
    <w:lvl w:ilvl="1" w:tplc="FF700E06">
      <w:start w:val="1"/>
      <w:numFmt w:val="lowerLetter"/>
      <w:lvlText w:val="%2."/>
      <w:lvlJc w:val="left"/>
      <w:pPr>
        <w:ind w:left="1440" w:hanging="360"/>
      </w:pPr>
    </w:lvl>
    <w:lvl w:ilvl="2" w:tplc="451A82E0">
      <w:start w:val="1"/>
      <w:numFmt w:val="lowerRoman"/>
      <w:lvlText w:val="%3."/>
      <w:lvlJc w:val="right"/>
      <w:pPr>
        <w:ind w:left="2160" w:hanging="180"/>
      </w:pPr>
    </w:lvl>
    <w:lvl w:ilvl="3" w:tplc="3ADEC256">
      <w:start w:val="1"/>
      <w:numFmt w:val="decimal"/>
      <w:lvlText w:val="%4."/>
      <w:lvlJc w:val="left"/>
      <w:pPr>
        <w:ind w:left="2880" w:hanging="360"/>
      </w:pPr>
    </w:lvl>
    <w:lvl w:ilvl="4" w:tplc="DFBA989A">
      <w:start w:val="1"/>
      <w:numFmt w:val="lowerLetter"/>
      <w:lvlText w:val="%5."/>
      <w:lvlJc w:val="left"/>
      <w:pPr>
        <w:ind w:left="3600" w:hanging="360"/>
      </w:pPr>
    </w:lvl>
    <w:lvl w:ilvl="5" w:tplc="DC789324">
      <w:start w:val="1"/>
      <w:numFmt w:val="lowerRoman"/>
      <w:lvlText w:val="%6."/>
      <w:lvlJc w:val="right"/>
      <w:pPr>
        <w:ind w:left="4320" w:hanging="180"/>
      </w:pPr>
    </w:lvl>
    <w:lvl w:ilvl="6" w:tplc="65FCFF76">
      <w:start w:val="1"/>
      <w:numFmt w:val="decimal"/>
      <w:lvlText w:val="%7."/>
      <w:lvlJc w:val="left"/>
      <w:pPr>
        <w:ind w:left="5040" w:hanging="360"/>
      </w:pPr>
    </w:lvl>
    <w:lvl w:ilvl="7" w:tplc="03D8D574">
      <w:start w:val="1"/>
      <w:numFmt w:val="lowerLetter"/>
      <w:lvlText w:val="%8."/>
      <w:lvlJc w:val="left"/>
      <w:pPr>
        <w:ind w:left="5760" w:hanging="360"/>
      </w:pPr>
    </w:lvl>
    <w:lvl w:ilvl="8" w:tplc="6F52046E">
      <w:start w:val="1"/>
      <w:numFmt w:val="lowerRoman"/>
      <w:lvlText w:val="%9."/>
      <w:lvlJc w:val="right"/>
      <w:pPr>
        <w:ind w:left="6480" w:hanging="180"/>
      </w:pPr>
    </w:lvl>
  </w:abstractNum>
  <w:abstractNum w:abstractNumId="38" w15:restartNumberingAfterBreak="0">
    <w:nsid w:val="7C274150"/>
    <w:multiLevelType w:val="hybridMultilevel"/>
    <w:tmpl w:val="9BFC8B86"/>
    <w:lvl w:ilvl="0" w:tplc="E1307CF8">
      <w:numFmt w:val="bullet"/>
      <w:lvlText w:val="-"/>
      <w:lvlJc w:val="left"/>
      <w:pPr>
        <w:ind w:left="1080" w:hanging="360"/>
      </w:pPr>
      <w:rPr>
        <w:rFonts w:ascii="Arial" w:eastAsia="MS PMincho"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9" w15:restartNumberingAfterBreak="0">
    <w:nsid w:val="7CFF1DA2"/>
    <w:multiLevelType w:val="hybridMultilevel"/>
    <w:tmpl w:val="E7BCCD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E0965B1"/>
    <w:multiLevelType w:val="hybridMultilevel"/>
    <w:tmpl w:val="EAC2B8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FC9181B"/>
    <w:multiLevelType w:val="hybridMultilevel"/>
    <w:tmpl w:val="AFFE54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D44514"/>
    <w:multiLevelType w:val="multilevel"/>
    <w:tmpl w:val="F4ACF2E4"/>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4"/>
  </w:num>
  <w:num w:numId="2">
    <w:abstractNumId w:val="30"/>
    <w:lvlOverride w:ilvl="0">
      <w:lvl w:ilvl="0" w:tplc="D9D45902">
        <w:start w:val="1"/>
        <w:numFmt w:val="bullet"/>
        <w:pStyle w:val="DHHSbullet1"/>
        <w:lvlText w:val="•"/>
        <w:lvlJc w:val="left"/>
        <w:pPr>
          <w:ind w:left="284" w:hanging="284"/>
        </w:pPr>
        <w:rPr>
          <w:rFonts w:ascii="Calibri" w:hAnsi="Calibri" w:hint="default"/>
        </w:rPr>
      </w:lvl>
    </w:lvlOverride>
    <w:lvlOverride w:ilvl="1">
      <w:lvl w:ilvl="1" w:tplc="000636FE">
        <w:start w:val="1"/>
        <w:numFmt w:val="bullet"/>
        <w:lvlRestart w:val="0"/>
        <w:pStyle w:val="DHHSbullet2"/>
        <w:lvlText w:val="–"/>
        <w:lvlJc w:val="left"/>
        <w:pPr>
          <w:ind w:left="567" w:hanging="283"/>
        </w:pPr>
        <w:rPr>
          <w:rFonts w:ascii="Calibri" w:hAnsi="Calibri" w:hint="default"/>
        </w:rPr>
      </w:lvl>
    </w:lvlOverride>
  </w:num>
  <w:num w:numId="3">
    <w:abstractNumId w:val="24"/>
  </w:num>
  <w:num w:numId="4">
    <w:abstractNumId w:val="3"/>
  </w:num>
  <w:num w:numId="5">
    <w:abstractNumId w:val="25"/>
  </w:num>
  <w:num w:numId="6">
    <w:abstractNumId w:val="33"/>
  </w:num>
  <w:num w:numId="7">
    <w:abstractNumId w:val="28"/>
  </w:num>
  <w:num w:numId="8">
    <w:abstractNumId w:val="31"/>
  </w:num>
  <w:num w:numId="9">
    <w:abstractNumId w:val="18"/>
  </w:num>
  <w:num w:numId="10">
    <w:abstractNumId w:val="12"/>
  </w:num>
  <w:num w:numId="11">
    <w:abstractNumId w:val="41"/>
  </w:num>
  <w:num w:numId="12">
    <w:abstractNumId w:val="36"/>
  </w:num>
  <w:num w:numId="13">
    <w:abstractNumId w:val="19"/>
  </w:num>
  <w:num w:numId="14">
    <w:abstractNumId w:val="17"/>
  </w:num>
  <w:num w:numId="15">
    <w:abstractNumId w:val="27"/>
  </w:num>
  <w:num w:numId="16">
    <w:abstractNumId w:val="42"/>
  </w:num>
  <w:num w:numId="17">
    <w:abstractNumId w:val="1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0"/>
  </w:num>
  <w:num w:numId="21">
    <w:abstractNumId w:val="40"/>
  </w:num>
  <w:num w:numId="22">
    <w:abstractNumId w:val="22"/>
  </w:num>
  <w:num w:numId="23">
    <w:abstractNumId w:val="34"/>
  </w:num>
  <w:num w:numId="24">
    <w:abstractNumId w:val="5"/>
  </w:num>
  <w:num w:numId="25">
    <w:abstractNumId w:val="5"/>
  </w:num>
  <w:num w:numId="26">
    <w:abstractNumId w:val="32"/>
  </w:num>
  <w:num w:numId="27">
    <w:abstractNumId w:val="20"/>
  </w:num>
  <w:num w:numId="28">
    <w:abstractNumId w:val="6"/>
  </w:num>
  <w:num w:numId="29">
    <w:abstractNumId w:val="14"/>
  </w:num>
  <w:num w:numId="30">
    <w:abstractNumId w:val="35"/>
  </w:num>
  <w:num w:numId="31">
    <w:abstractNumId w:val="7"/>
  </w:num>
  <w:num w:numId="32">
    <w:abstractNumId w:val="1"/>
  </w:num>
  <w:num w:numId="33">
    <w:abstractNumId w:val="29"/>
  </w:num>
  <w:num w:numId="34">
    <w:abstractNumId w:val="13"/>
  </w:num>
  <w:num w:numId="35">
    <w:abstractNumId w:val="8"/>
  </w:num>
  <w:num w:numId="36">
    <w:abstractNumId w:val="21"/>
  </w:num>
  <w:num w:numId="37">
    <w:abstractNumId w:val="23"/>
  </w:num>
  <w:num w:numId="38">
    <w:abstractNumId w:val="16"/>
  </w:num>
  <w:num w:numId="39">
    <w:abstractNumId w:val="0"/>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0"/>
  </w:num>
  <w:num w:numId="43">
    <w:abstractNumId w:val="9"/>
  </w:num>
  <w:num w:numId="44">
    <w:abstractNumId w:val="38"/>
  </w:num>
  <w:num w:numId="45">
    <w:abstractNumId w:val="10"/>
  </w:num>
  <w:num w:numId="46">
    <w:abstractNumId w:val="9"/>
  </w:num>
  <w:num w:numId="47">
    <w:abstractNumId w:val="2"/>
  </w:num>
  <w:num w:numId="48">
    <w:abstractNumId w:val="39"/>
  </w:num>
  <w:num w:numId="49">
    <w:abstractNumId w:val="37"/>
  </w:num>
  <w:num w:numId="50">
    <w:abstractNumId w:val="30"/>
    <w:lvlOverride w:ilvl="0">
      <w:lvl w:ilvl="0" w:tplc="D9D45902">
        <w:start w:val="1"/>
        <w:numFmt w:val="bullet"/>
        <w:pStyle w:val="DHHSbullet1"/>
        <w:lvlText w:val="•"/>
        <w:lvlJc w:val="left"/>
        <w:pPr>
          <w:ind w:left="284" w:hanging="284"/>
        </w:pPr>
        <w:rPr>
          <w:rFonts w:ascii="Calibri" w:hAnsi="Calibri" w:hint="default"/>
        </w:rPr>
      </w:lvl>
    </w:lvlOverride>
    <w:lvlOverride w:ilvl="1">
      <w:lvl w:ilvl="1" w:tplc="000636FE">
        <w:start w:val="1"/>
        <w:numFmt w:val="bullet"/>
        <w:lvlRestart w:val="0"/>
        <w:pStyle w:val="DHHSbullet2"/>
        <w:lvlText w:val="–"/>
        <w:lvlJc w:val="left"/>
        <w:pPr>
          <w:ind w:left="567" w:hanging="283"/>
        </w:pPr>
        <w:rPr>
          <w:rFonts w:ascii="Calibri" w:hAnsi="Calibri"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100"/>
    <w:rsid w:val="0000015D"/>
    <w:rsid w:val="0000019B"/>
    <w:rsid w:val="00000421"/>
    <w:rsid w:val="00000884"/>
    <w:rsid w:val="00000C8E"/>
    <w:rsid w:val="00000C9E"/>
    <w:rsid w:val="000011D5"/>
    <w:rsid w:val="000012D1"/>
    <w:rsid w:val="00001B72"/>
    <w:rsid w:val="00001CE9"/>
    <w:rsid w:val="00002752"/>
    <w:rsid w:val="00002990"/>
    <w:rsid w:val="000029D2"/>
    <w:rsid w:val="000032BE"/>
    <w:rsid w:val="00003615"/>
    <w:rsid w:val="00004552"/>
    <w:rsid w:val="000048A0"/>
    <w:rsid w:val="000048AC"/>
    <w:rsid w:val="000048E7"/>
    <w:rsid w:val="00005FBF"/>
    <w:rsid w:val="000062E2"/>
    <w:rsid w:val="00006DD9"/>
    <w:rsid w:val="00010005"/>
    <w:rsid w:val="000106BD"/>
    <w:rsid w:val="0001079D"/>
    <w:rsid w:val="000113B1"/>
    <w:rsid w:val="00011E02"/>
    <w:rsid w:val="00012164"/>
    <w:rsid w:val="000122DD"/>
    <w:rsid w:val="000124B0"/>
    <w:rsid w:val="0001293C"/>
    <w:rsid w:val="00012953"/>
    <w:rsid w:val="000135F8"/>
    <w:rsid w:val="00013C63"/>
    <w:rsid w:val="00014367"/>
    <w:rsid w:val="000145D1"/>
    <w:rsid w:val="000148AE"/>
    <w:rsid w:val="000149B5"/>
    <w:rsid w:val="00014FC4"/>
    <w:rsid w:val="0001523F"/>
    <w:rsid w:val="000159C3"/>
    <w:rsid w:val="00015C63"/>
    <w:rsid w:val="00015CD2"/>
    <w:rsid w:val="00015D97"/>
    <w:rsid w:val="000166AC"/>
    <w:rsid w:val="00016A9C"/>
    <w:rsid w:val="00017000"/>
    <w:rsid w:val="00017FC6"/>
    <w:rsid w:val="000204DF"/>
    <w:rsid w:val="000207C0"/>
    <w:rsid w:val="00020AAB"/>
    <w:rsid w:val="00020BD7"/>
    <w:rsid w:val="00020FCF"/>
    <w:rsid w:val="00021D0A"/>
    <w:rsid w:val="0002228E"/>
    <w:rsid w:val="0002230B"/>
    <w:rsid w:val="000223A4"/>
    <w:rsid w:val="000224E2"/>
    <w:rsid w:val="000229A9"/>
    <w:rsid w:val="00022DC5"/>
    <w:rsid w:val="00022E60"/>
    <w:rsid w:val="000232DE"/>
    <w:rsid w:val="00023B64"/>
    <w:rsid w:val="00023D90"/>
    <w:rsid w:val="000245D3"/>
    <w:rsid w:val="000246A3"/>
    <w:rsid w:val="0002541F"/>
    <w:rsid w:val="00025BA6"/>
    <w:rsid w:val="00025DCF"/>
    <w:rsid w:val="000267AC"/>
    <w:rsid w:val="0002691A"/>
    <w:rsid w:val="00026BA7"/>
    <w:rsid w:val="00026C17"/>
    <w:rsid w:val="00026C19"/>
    <w:rsid w:val="0002728E"/>
    <w:rsid w:val="00027593"/>
    <w:rsid w:val="00027E30"/>
    <w:rsid w:val="00030571"/>
    <w:rsid w:val="0003064E"/>
    <w:rsid w:val="00030EFF"/>
    <w:rsid w:val="00031263"/>
    <w:rsid w:val="000313D8"/>
    <w:rsid w:val="00031DA8"/>
    <w:rsid w:val="00032C6E"/>
    <w:rsid w:val="00032DD0"/>
    <w:rsid w:val="000332A1"/>
    <w:rsid w:val="0003357F"/>
    <w:rsid w:val="00033A02"/>
    <w:rsid w:val="00033E2A"/>
    <w:rsid w:val="0003457A"/>
    <w:rsid w:val="0003467F"/>
    <w:rsid w:val="00034A46"/>
    <w:rsid w:val="000356C8"/>
    <w:rsid w:val="00035A70"/>
    <w:rsid w:val="00035BE0"/>
    <w:rsid w:val="00035ED6"/>
    <w:rsid w:val="00035EE4"/>
    <w:rsid w:val="00035F25"/>
    <w:rsid w:val="00035F29"/>
    <w:rsid w:val="000362D6"/>
    <w:rsid w:val="00036D39"/>
    <w:rsid w:val="000372A3"/>
    <w:rsid w:val="000406C1"/>
    <w:rsid w:val="00040A61"/>
    <w:rsid w:val="000410D9"/>
    <w:rsid w:val="000413ED"/>
    <w:rsid w:val="00041823"/>
    <w:rsid w:val="00041FBF"/>
    <w:rsid w:val="000424CD"/>
    <w:rsid w:val="0004264E"/>
    <w:rsid w:val="0004308C"/>
    <w:rsid w:val="000432C8"/>
    <w:rsid w:val="00043BBA"/>
    <w:rsid w:val="000445C9"/>
    <w:rsid w:val="00044722"/>
    <w:rsid w:val="00044FE7"/>
    <w:rsid w:val="0004559C"/>
    <w:rsid w:val="00045A8F"/>
    <w:rsid w:val="000469EE"/>
    <w:rsid w:val="00046C58"/>
    <w:rsid w:val="000471FD"/>
    <w:rsid w:val="00047561"/>
    <w:rsid w:val="00047F60"/>
    <w:rsid w:val="00050333"/>
    <w:rsid w:val="000506EA"/>
    <w:rsid w:val="00050A55"/>
    <w:rsid w:val="000510B2"/>
    <w:rsid w:val="00051FDD"/>
    <w:rsid w:val="000521EC"/>
    <w:rsid w:val="000525F7"/>
    <w:rsid w:val="00053240"/>
    <w:rsid w:val="00053576"/>
    <w:rsid w:val="00053809"/>
    <w:rsid w:val="00053DB8"/>
    <w:rsid w:val="000541B2"/>
    <w:rsid w:val="000544D4"/>
    <w:rsid w:val="000552F6"/>
    <w:rsid w:val="0005587D"/>
    <w:rsid w:val="00056507"/>
    <w:rsid w:val="000566BE"/>
    <w:rsid w:val="000569E6"/>
    <w:rsid w:val="000569F8"/>
    <w:rsid w:val="00056C2C"/>
    <w:rsid w:val="00057E51"/>
    <w:rsid w:val="00057F0F"/>
    <w:rsid w:val="00060862"/>
    <w:rsid w:val="00060E93"/>
    <w:rsid w:val="00061802"/>
    <w:rsid w:val="000619C1"/>
    <w:rsid w:val="00061A4A"/>
    <w:rsid w:val="00061E4A"/>
    <w:rsid w:val="00063077"/>
    <w:rsid w:val="000631C7"/>
    <w:rsid w:val="000634AA"/>
    <w:rsid w:val="0006360B"/>
    <w:rsid w:val="0006454E"/>
    <w:rsid w:val="00064936"/>
    <w:rsid w:val="00065605"/>
    <w:rsid w:val="000658E8"/>
    <w:rsid w:val="00066C2A"/>
    <w:rsid w:val="0006710E"/>
    <w:rsid w:val="0006771A"/>
    <w:rsid w:val="00067B93"/>
    <w:rsid w:val="00067BAD"/>
    <w:rsid w:val="00067C72"/>
    <w:rsid w:val="00067DD5"/>
    <w:rsid w:val="000700FD"/>
    <w:rsid w:val="0007035B"/>
    <w:rsid w:val="000703F6"/>
    <w:rsid w:val="0007050D"/>
    <w:rsid w:val="00070E50"/>
    <w:rsid w:val="00070E93"/>
    <w:rsid w:val="000715BB"/>
    <w:rsid w:val="000716BA"/>
    <w:rsid w:val="00071D3A"/>
    <w:rsid w:val="000721ED"/>
    <w:rsid w:val="000728DD"/>
    <w:rsid w:val="00072C99"/>
    <w:rsid w:val="0007336D"/>
    <w:rsid w:val="000734F8"/>
    <w:rsid w:val="000736B8"/>
    <w:rsid w:val="00073747"/>
    <w:rsid w:val="00073E4F"/>
    <w:rsid w:val="00073F5E"/>
    <w:rsid w:val="0007493B"/>
    <w:rsid w:val="000755DF"/>
    <w:rsid w:val="00075853"/>
    <w:rsid w:val="0007599B"/>
    <w:rsid w:val="000759C5"/>
    <w:rsid w:val="00076DF3"/>
    <w:rsid w:val="00077675"/>
    <w:rsid w:val="000779EB"/>
    <w:rsid w:val="00077DA8"/>
    <w:rsid w:val="00077E0B"/>
    <w:rsid w:val="00077FF5"/>
    <w:rsid w:val="00080360"/>
    <w:rsid w:val="00080368"/>
    <w:rsid w:val="00080A14"/>
    <w:rsid w:val="00080EDC"/>
    <w:rsid w:val="00080F70"/>
    <w:rsid w:val="000812EA"/>
    <w:rsid w:val="000817CB"/>
    <w:rsid w:val="00081D10"/>
    <w:rsid w:val="000821E4"/>
    <w:rsid w:val="00082CEA"/>
    <w:rsid w:val="00082E25"/>
    <w:rsid w:val="00083276"/>
    <w:rsid w:val="00083471"/>
    <w:rsid w:val="00083FB7"/>
    <w:rsid w:val="000840A9"/>
    <w:rsid w:val="0008471C"/>
    <w:rsid w:val="000849BA"/>
    <w:rsid w:val="00084A35"/>
    <w:rsid w:val="00084D27"/>
    <w:rsid w:val="00084D75"/>
    <w:rsid w:val="00084E1E"/>
    <w:rsid w:val="00085459"/>
    <w:rsid w:val="000863BD"/>
    <w:rsid w:val="000866E8"/>
    <w:rsid w:val="00086B0F"/>
    <w:rsid w:val="000873EF"/>
    <w:rsid w:val="00087604"/>
    <w:rsid w:val="00087717"/>
    <w:rsid w:val="00087940"/>
    <w:rsid w:val="00087BAB"/>
    <w:rsid w:val="00087BB9"/>
    <w:rsid w:val="00090370"/>
    <w:rsid w:val="0009043A"/>
    <w:rsid w:val="0009125E"/>
    <w:rsid w:val="00091AE4"/>
    <w:rsid w:val="00091D2F"/>
    <w:rsid w:val="00091D6B"/>
    <w:rsid w:val="00092663"/>
    <w:rsid w:val="0009286A"/>
    <w:rsid w:val="0009338A"/>
    <w:rsid w:val="0009399F"/>
    <w:rsid w:val="00093AFC"/>
    <w:rsid w:val="00093FEF"/>
    <w:rsid w:val="00094124"/>
    <w:rsid w:val="000941EA"/>
    <w:rsid w:val="00094342"/>
    <w:rsid w:val="00094C38"/>
    <w:rsid w:val="00095B28"/>
    <w:rsid w:val="00096289"/>
    <w:rsid w:val="00096523"/>
    <w:rsid w:val="0009762F"/>
    <w:rsid w:val="00097B2E"/>
    <w:rsid w:val="00097D27"/>
    <w:rsid w:val="000A0271"/>
    <w:rsid w:val="000A02FA"/>
    <w:rsid w:val="000A0B11"/>
    <w:rsid w:val="000A0EEF"/>
    <w:rsid w:val="000A0F9A"/>
    <w:rsid w:val="000A1282"/>
    <w:rsid w:val="000A25DF"/>
    <w:rsid w:val="000A2766"/>
    <w:rsid w:val="000A2CFA"/>
    <w:rsid w:val="000A3597"/>
    <w:rsid w:val="000A4D40"/>
    <w:rsid w:val="000A5AD9"/>
    <w:rsid w:val="000A5C88"/>
    <w:rsid w:val="000A60BE"/>
    <w:rsid w:val="000A61E2"/>
    <w:rsid w:val="000A6E7B"/>
    <w:rsid w:val="000A70AF"/>
    <w:rsid w:val="000A78DD"/>
    <w:rsid w:val="000B0D30"/>
    <w:rsid w:val="000B11DE"/>
    <w:rsid w:val="000B1307"/>
    <w:rsid w:val="000B19A2"/>
    <w:rsid w:val="000B1D12"/>
    <w:rsid w:val="000B259B"/>
    <w:rsid w:val="000B29FB"/>
    <w:rsid w:val="000B2D2F"/>
    <w:rsid w:val="000B306F"/>
    <w:rsid w:val="000B3792"/>
    <w:rsid w:val="000B3DCC"/>
    <w:rsid w:val="000B3FD9"/>
    <w:rsid w:val="000B424A"/>
    <w:rsid w:val="000B4524"/>
    <w:rsid w:val="000B48A1"/>
    <w:rsid w:val="000B4C51"/>
    <w:rsid w:val="000B4D81"/>
    <w:rsid w:val="000B4F80"/>
    <w:rsid w:val="000B5004"/>
    <w:rsid w:val="000B512A"/>
    <w:rsid w:val="000B5573"/>
    <w:rsid w:val="000B5827"/>
    <w:rsid w:val="000B5FDC"/>
    <w:rsid w:val="000B731A"/>
    <w:rsid w:val="000B7DF4"/>
    <w:rsid w:val="000B7F88"/>
    <w:rsid w:val="000C005E"/>
    <w:rsid w:val="000C070E"/>
    <w:rsid w:val="000C1712"/>
    <w:rsid w:val="000C1AE9"/>
    <w:rsid w:val="000C1B32"/>
    <w:rsid w:val="000C1C83"/>
    <w:rsid w:val="000C1ECA"/>
    <w:rsid w:val="000C2461"/>
    <w:rsid w:val="000C2701"/>
    <w:rsid w:val="000C2EC2"/>
    <w:rsid w:val="000C2FDB"/>
    <w:rsid w:val="000C3071"/>
    <w:rsid w:val="000C321C"/>
    <w:rsid w:val="000C3339"/>
    <w:rsid w:val="000C3632"/>
    <w:rsid w:val="000C3B74"/>
    <w:rsid w:val="000C3FF8"/>
    <w:rsid w:val="000C4241"/>
    <w:rsid w:val="000C494D"/>
    <w:rsid w:val="000C4DAD"/>
    <w:rsid w:val="000C567E"/>
    <w:rsid w:val="000C60BE"/>
    <w:rsid w:val="000C6242"/>
    <w:rsid w:val="000C63DC"/>
    <w:rsid w:val="000C68DB"/>
    <w:rsid w:val="000C6EA2"/>
    <w:rsid w:val="000C7B1E"/>
    <w:rsid w:val="000D013E"/>
    <w:rsid w:val="000D01E9"/>
    <w:rsid w:val="000D05ED"/>
    <w:rsid w:val="000D0651"/>
    <w:rsid w:val="000D06CB"/>
    <w:rsid w:val="000D0FFA"/>
    <w:rsid w:val="000D15B9"/>
    <w:rsid w:val="000D20F2"/>
    <w:rsid w:val="000D2C32"/>
    <w:rsid w:val="000D2EF4"/>
    <w:rsid w:val="000D32C3"/>
    <w:rsid w:val="000D34DA"/>
    <w:rsid w:val="000D370A"/>
    <w:rsid w:val="000D3F78"/>
    <w:rsid w:val="000D43B7"/>
    <w:rsid w:val="000D47B8"/>
    <w:rsid w:val="000D4BA0"/>
    <w:rsid w:val="000D4D22"/>
    <w:rsid w:val="000D515A"/>
    <w:rsid w:val="000D59C2"/>
    <w:rsid w:val="000D5B42"/>
    <w:rsid w:val="000D5D2F"/>
    <w:rsid w:val="000D5EC5"/>
    <w:rsid w:val="000D654A"/>
    <w:rsid w:val="000D66F0"/>
    <w:rsid w:val="000D695B"/>
    <w:rsid w:val="000D6D00"/>
    <w:rsid w:val="000D6E03"/>
    <w:rsid w:val="000D705B"/>
    <w:rsid w:val="000D72F8"/>
    <w:rsid w:val="000D77DF"/>
    <w:rsid w:val="000D7946"/>
    <w:rsid w:val="000DABD0"/>
    <w:rsid w:val="000E0BB7"/>
    <w:rsid w:val="000E11A6"/>
    <w:rsid w:val="000E1211"/>
    <w:rsid w:val="000E1481"/>
    <w:rsid w:val="000E185A"/>
    <w:rsid w:val="000E1877"/>
    <w:rsid w:val="000E25D8"/>
    <w:rsid w:val="000E288F"/>
    <w:rsid w:val="000E2F20"/>
    <w:rsid w:val="000E30B1"/>
    <w:rsid w:val="000E385F"/>
    <w:rsid w:val="000E3E7C"/>
    <w:rsid w:val="000E4000"/>
    <w:rsid w:val="000E40B2"/>
    <w:rsid w:val="000E441C"/>
    <w:rsid w:val="000E458F"/>
    <w:rsid w:val="000E470C"/>
    <w:rsid w:val="000E4A2E"/>
    <w:rsid w:val="000E4B05"/>
    <w:rsid w:val="000E4C84"/>
    <w:rsid w:val="000E4D38"/>
    <w:rsid w:val="000E60B2"/>
    <w:rsid w:val="000E64B1"/>
    <w:rsid w:val="000E6E40"/>
    <w:rsid w:val="000E6EF3"/>
    <w:rsid w:val="000E6F72"/>
    <w:rsid w:val="000F0478"/>
    <w:rsid w:val="000F09EC"/>
    <w:rsid w:val="000F0A50"/>
    <w:rsid w:val="000F0DBB"/>
    <w:rsid w:val="000F0EB2"/>
    <w:rsid w:val="000F1073"/>
    <w:rsid w:val="000F1342"/>
    <w:rsid w:val="000F145B"/>
    <w:rsid w:val="000F21EF"/>
    <w:rsid w:val="000F2C70"/>
    <w:rsid w:val="000F3318"/>
    <w:rsid w:val="000F3DD1"/>
    <w:rsid w:val="000F3E68"/>
    <w:rsid w:val="000F404D"/>
    <w:rsid w:val="000F4129"/>
    <w:rsid w:val="000F419D"/>
    <w:rsid w:val="000F4E17"/>
    <w:rsid w:val="000F5DC6"/>
    <w:rsid w:val="000F5F4D"/>
    <w:rsid w:val="000F6058"/>
    <w:rsid w:val="000F6687"/>
    <w:rsid w:val="000F6C71"/>
    <w:rsid w:val="000F6CC7"/>
    <w:rsid w:val="000F6CC9"/>
    <w:rsid w:val="000F6E27"/>
    <w:rsid w:val="000F792A"/>
    <w:rsid w:val="000F7B17"/>
    <w:rsid w:val="001007E5"/>
    <w:rsid w:val="00100E4D"/>
    <w:rsid w:val="001017FA"/>
    <w:rsid w:val="0010182F"/>
    <w:rsid w:val="00101BB5"/>
    <w:rsid w:val="00101D57"/>
    <w:rsid w:val="00101F7A"/>
    <w:rsid w:val="00102581"/>
    <w:rsid w:val="00102CF4"/>
    <w:rsid w:val="00102FDF"/>
    <w:rsid w:val="0010306D"/>
    <w:rsid w:val="00103CFC"/>
    <w:rsid w:val="00103D01"/>
    <w:rsid w:val="00103D5E"/>
    <w:rsid w:val="00104EA7"/>
    <w:rsid w:val="0010500F"/>
    <w:rsid w:val="001051D9"/>
    <w:rsid w:val="00105660"/>
    <w:rsid w:val="00105FAD"/>
    <w:rsid w:val="00106123"/>
    <w:rsid w:val="001069AC"/>
    <w:rsid w:val="00106D8F"/>
    <w:rsid w:val="0010750F"/>
    <w:rsid w:val="00107C1C"/>
    <w:rsid w:val="00107DEE"/>
    <w:rsid w:val="00107E38"/>
    <w:rsid w:val="00110C22"/>
    <w:rsid w:val="00110C99"/>
    <w:rsid w:val="00110D7C"/>
    <w:rsid w:val="0011155B"/>
    <w:rsid w:val="001116F8"/>
    <w:rsid w:val="0011187F"/>
    <w:rsid w:val="00111A6A"/>
    <w:rsid w:val="00112CC0"/>
    <w:rsid w:val="001133B0"/>
    <w:rsid w:val="00113574"/>
    <w:rsid w:val="001149C7"/>
    <w:rsid w:val="00115F1F"/>
    <w:rsid w:val="00115F97"/>
    <w:rsid w:val="001162AC"/>
    <w:rsid w:val="00116A6E"/>
    <w:rsid w:val="00116E99"/>
    <w:rsid w:val="00116FA3"/>
    <w:rsid w:val="00116FC3"/>
    <w:rsid w:val="00117260"/>
    <w:rsid w:val="0011749B"/>
    <w:rsid w:val="001175F7"/>
    <w:rsid w:val="00117804"/>
    <w:rsid w:val="00117C31"/>
    <w:rsid w:val="00117D55"/>
    <w:rsid w:val="00120C69"/>
    <w:rsid w:val="00120E0E"/>
    <w:rsid w:val="00120F70"/>
    <w:rsid w:val="00121BF1"/>
    <w:rsid w:val="00121E50"/>
    <w:rsid w:val="00122011"/>
    <w:rsid w:val="0012201D"/>
    <w:rsid w:val="00122B6D"/>
    <w:rsid w:val="00123F4F"/>
    <w:rsid w:val="00124205"/>
    <w:rsid w:val="0012505A"/>
    <w:rsid w:val="001259F8"/>
    <w:rsid w:val="00125CF5"/>
    <w:rsid w:val="00126488"/>
    <w:rsid w:val="001267EE"/>
    <w:rsid w:val="00127A8B"/>
    <w:rsid w:val="00127DC1"/>
    <w:rsid w:val="0013068E"/>
    <w:rsid w:val="00130823"/>
    <w:rsid w:val="00131F90"/>
    <w:rsid w:val="00132041"/>
    <w:rsid w:val="0013264E"/>
    <w:rsid w:val="0013388F"/>
    <w:rsid w:val="00133934"/>
    <w:rsid w:val="001340E3"/>
    <w:rsid w:val="001344B4"/>
    <w:rsid w:val="00134841"/>
    <w:rsid w:val="00134B7E"/>
    <w:rsid w:val="00134BE5"/>
    <w:rsid w:val="001368DB"/>
    <w:rsid w:val="00136E03"/>
    <w:rsid w:val="001374F2"/>
    <w:rsid w:val="0013750D"/>
    <w:rsid w:val="00137784"/>
    <w:rsid w:val="00137D31"/>
    <w:rsid w:val="00137DD2"/>
    <w:rsid w:val="00140093"/>
    <w:rsid w:val="00140268"/>
    <w:rsid w:val="001402FC"/>
    <w:rsid w:val="00140633"/>
    <w:rsid w:val="0014074C"/>
    <w:rsid w:val="001407A7"/>
    <w:rsid w:val="001407C9"/>
    <w:rsid w:val="001407D7"/>
    <w:rsid w:val="001410E9"/>
    <w:rsid w:val="001412D1"/>
    <w:rsid w:val="0014173B"/>
    <w:rsid w:val="00141C95"/>
    <w:rsid w:val="00141CE5"/>
    <w:rsid w:val="00141DDD"/>
    <w:rsid w:val="00142041"/>
    <w:rsid w:val="00142089"/>
    <w:rsid w:val="00142142"/>
    <w:rsid w:val="0014217A"/>
    <w:rsid w:val="001423E3"/>
    <w:rsid w:val="00142F4B"/>
    <w:rsid w:val="001431F6"/>
    <w:rsid w:val="00143559"/>
    <w:rsid w:val="0014367E"/>
    <w:rsid w:val="00143A62"/>
    <w:rsid w:val="00143FA7"/>
    <w:rsid w:val="0014429C"/>
    <w:rsid w:val="00144478"/>
    <w:rsid w:val="0014481F"/>
    <w:rsid w:val="00144AF6"/>
    <w:rsid w:val="00144B42"/>
    <w:rsid w:val="00144CC3"/>
    <w:rsid w:val="00145106"/>
    <w:rsid w:val="00145673"/>
    <w:rsid w:val="001457B0"/>
    <w:rsid w:val="001469B3"/>
    <w:rsid w:val="00146A67"/>
    <w:rsid w:val="00146FC2"/>
    <w:rsid w:val="001475EA"/>
    <w:rsid w:val="00147756"/>
    <w:rsid w:val="00147772"/>
    <w:rsid w:val="00150450"/>
    <w:rsid w:val="001504F5"/>
    <w:rsid w:val="00150796"/>
    <w:rsid w:val="00150C77"/>
    <w:rsid w:val="001510F1"/>
    <w:rsid w:val="0015121C"/>
    <w:rsid w:val="001515A0"/>
    <w:rsid w:val="001517BD"/>
    <w:rsid w:val="0015194C"/>
    <w:rsid w:val="00152153"/>
    <w:rsid w:val="00152CF2"/>
    <w:rsid w:val="00152F69"/>
    <w:rsid w:val="001535B0"/>
    <w:rsid w:val="001540C3"/>
    <w:rsid w:val="00154668"/>
    <w:rsid w:val="00154B21"/>
    <w:rsid w:val="00154BCD"/>
    <w:rsid w:val="00155458"/>
    <w:rsid w:val="001554B3"/>
    <w:rsid w:val="001560BE"/>
    <w:rsid w:val="0015622C"/>
    <w:rsid w:val="00156682"/>
    <w:rsid w:val="00156A17"/>
    <w:rsid w:val="00156EB2"/>
    <w:rsid w:val="001570E2"/>
    <w:rsid w:val="00157535"/>
    <w:rsid w:val="0015770D"/>
    <w:rsid w:val="0015791F"/>
    <w:rsid w:val="00157AC7"/>
    <w:rsid w:val="00157B5E"/>
    <w:rsid w:val="0016003B"/>
    <w:rsid w:val="00160F78"/>
    <w:rsid w:val="001615ED"/>
    <w:rsid w:val="00161BD9"/>
    <w:rsid w:val="00161D84"/>
    <w:rsid w:val="00162897"/>
    <w:rsid w:val="001628C8"/>
    <w:rsid w:val="00163652"/>
    <w:rsid w:val="00163A0D"/>
    <w:rsid w:val="001641C7"/>
    <w:rsid w:val="0016471E"/>
    <w:rsid w:val="001647F7"/>
    <w:rsid w:val="00164C0E"/>
    <w:rsid w:val="00164C25"/>
    <w:rsid w:val="001651A8"/>
    <w:rsid w:val="0016523E"/>
    <w:rsid w:val="00165BD7"/>
    <w:rsid w:val="00165BED"/>
    <w:rsid w:val="0016654D"/>
    <w:rsid w:val="00166783"/>
    <w:rsid w:val="00166848"/>
    <w:rsid w:val="00166F88"/>
    <w:rsid w:val="0016702B"/>
    <w:rsid w:val="001677C3"/>
    <w:rsid w:val="00167A3A"/>
    <w:rsid w:val="00167ECA"/>
    <w:rsid w:val="0017072F"/>
    <w:rsid w:val="001713ED"/>
    <w:rsid w:val="0017153B"/>
    <w:rsid w:val="00171BCC"/>
    <w:rsid w:val="00171F1F"/>
    <w:rsid w:val="00172156"/>
    <w:rsid w:val="00172420"/>
    <w:rsid w:val="0017248D"/>
    <w:rsid w:val="0017254F"/>
    <w:rsid w:val="001726B8"/>
    <w:rsid w:val="00172E2E"/>
    <w:rsid w:val="001730BA"/>
    <w:rsid w:val="00173336"/>
    <w:rsid w:val="00173626"/>
    <w:rsid w:val="00173877"/>
    <w:rsid w:val="00173AE9"/>
    <w:rsid w:val="00173D83"/>
    <w:rsid w:val="00173EFD"/>
    <w:rsid w:val="001740F4"/>
    <w:rsid w:val="00174123"/>
    <w:rsid w:val="001743CD"/>
    <w:rsid w:val="001743D2"/>
    <w:rsid w:val="0017571A"/>
    <w:rsid w:val="00175868"/>
    <w:rsid w:val="00175E9A"/>
    <w:rsid w:val="00175EAF"/>
    <w:rsid w:val="0017614A"/>
    <w:rsid w:val="001764BA"/>
    <w:rsid w:val="00176CDE"/>
    <w:rsid w:val="001773F3"/>
    <w:rsid w:val="001774B1"/>
    <w:rsid w:val="00177530"/>
    <w:rsid w:val="0017772A"/>
    <w:rsid w:val="00177BC5"/>
    <w:rsid w:val="00177E80"/>
    <w:rsid w:val="00177EBE"/>
    <w:rsid w:val="00177F6F"/>
    <w:rsid w:val="00180347"/>
    <w:rsid w:val="00180D1F"/>
    <w:rsid w:val="00180EDC"/>
    <w:rsid w:val="0018143B"/>
    <w:rsid w:val="0018164E"/>
    <w:rsid w:val="0018177B"/>
    <w:rsid w:val="001817CD"/>
    <w:rsid w:val="0018235E"/>
    <w:rsid w:val="00182D4C"/>
    <w:rsid w:val="001834B7"/>
    <w:rsid w:val="00184711"/>
    <w:rsid w:val="00184D18"/>
    <w:rsid w:val="0018592D"/>
    <w:rsid w:val="0018595F"/>
    <w:rsid w:val="00185B6A"/>
    <w:rsid w:val="00185CAA"/>
    <w:rsid w:val="001861ED"/>
    <w:rsid w:val="001862D1"/>
    <w:rsid w:val="00186556"/>
    <w:rsid w:val="001866AE"/>
    <w:rsid w:val="00186BF7"/>
    <w:rsid w:val="0018768C"/>
    <w:rsid w:val="00187885"/>
    <w:rsid w:val="0019033C"/>
    <w:rsid w:val="001903D1"/>
    <w:rsid w:val="0019069F"/>
    <w:rsid w:val="00190DF1"/>
    <w:rsid w:val="00190EE2"/>
    <w:rsid w:val="00190FF4"/>
    <w:rsid w:val="00191310"/>
    <w:rsid w:val="00191410"/>
    <w:rsid w:val="0019145D"/>
    <w:rsid w:val="00191D51"/>
    <w:rsid w:val="00191DC5"/>
    <w:rsid w:val="00191F77"/>
    <w:rsid w:val="00192162"/>
    <w:rsid w:val="00192457"/>
    <w:rsid w:val="00192BA0"/>
    <w:rsid w:val="00193479"/>
    <w:rsid w:val="00193484"/>
    <w:rsid w:val="00193837"/>
    <w:rsid w:val="00193E76"/>
    <w:rsid w:val="0019418F"/>
    <w:rsid w:val="00194C4B"/>
    <w:rsid w:val="00194ED5"/>
    <w:rsid w:val="001956E8"/>
    <w:rsid w:val="001958EC"/>
    <w:rsid w:val="00195B45"/>
    <w:rsid w:val="00195BB6"/>
    <w:rsid w:val="00195BE0"/>
    <w:rsid w:val="00195F63"/>
    <w:rsid w:val="001960A3"/>
    <w:rsid w:val="001962B2"/>
    <w:rsid w:val="00196548"/>
    <w:rsid w:val="00197059"/>
    <w:rsid w:val="00197303"/>
    <w:rsid w:val="0019756A"/>
    <w:rsid w:val="00197782"/>
    <w:rsid w:val="00197A47"/>
    <w:rsid w:val="00197DEA"/>
    <w:rsid w:val="00197DF8"/>
    <w:rsid w:val="00197F21"/>
    <w:rsid w:val="001A0C0D"/>
    <w:rsid w:val="001A0E36"/>
    <w:rsid w:val="001A10D7"/>
    <w:rsid w:val="001A129A"/>
    <w:rsid w:val="001A17EA"/>
    <w:rsid w:val="001A1B80"/>
    <w:rsid w:val="001A1C78"/>
    <w:rsid w:val="001A1D17"/>
    <w:rsid w:val="001A2198"/>
    <w:rsid w:val="001A22AA"/>
    <w:rsid w:val="001A2800"/>
    <w:rsid w:val="001A2DD0"/>
    <w:rsid w:val="001A3B86"/>
    <w:rsid w:val="001A3E0D"/>
    <w:rsid w:val="001A3EDE"/>
    <w:rsid w:val="001A4DEA"/>
    <w:rsid w:val="001A4EB3"/>
    <w:rsid w:val="001A5863"/>
    <w:rsid w:val="001A5D05"/>
    <w:rsid w:val="001A5DFD"/>
    <w:rsid w:val="001A6495"/>
    <w:rsid w:val="001A6691"/>
    <w:rsid w:val="001A7721"/>
    <w:rsid w:val="001A790B"/>
    <w:rsid w:val="001A7A18"/>
    <w:rsid w:val="001A7B59"/>
    <w:rsid w:val="001A7EC3"/>
    <w:rsid w:val="001A7FE0"/>
    <w:rsid w:val="001B028A"/>
    <w:rsid w:val="001B08AD"/>
    <w:rsid w:val="001B0C9F"/>
    <w:rsid w:val="001B109A"/>
    <w:rsid w:val="001B1565"/>
    <w:rsid w:val="001B166D"/>
    <w:rsid w:val="001B16D4"/>
    <w:rsid w:val="001B199A"/>
    <w:rsid w:val="001B19A1"/>
    <w:rsid w:val="001B1BEE"/>
    <w:rsid w:val="001B28B5"/>
    <w:rsid w:val="001B2975"/>
    <w:rsid w:val="001B2A1E"/>
    <w:rsid w:val="001B2FC2"/>
    <w:rsid w:val="001B3306"/>
    <w:rsid w:val="001B33F8"/>
    <w:rsid w:val="001B355A"/>
    <w:rsid w:val="001B39E0"/>
    <w:rsid w:val="001B3BBD"/>
    <w:rsid w:val="001B3BCD"/>
    <w:rsid w:val="001B3CC0"/>
    <w:rsid w:val="001B4249"/>
    <w:rsid w:val="001B43AD"/>
    <w:rsid w:val="001B476D"/>
    <w:rsid w:val="001B4C32"/>
    <w:rsid w:val="001B4D19"/>
    <w:rsid w:val="001B5008"/>
    <w:rsid w:val="001B5812"/>
    <w:rsid w:val="001B5BA7"/>
    <w:rsid w:val="001C08A9"/>
    <w:rsid w:val="001C0E60"/>
    <w:rsid w:val="001C1128"/>
    <w:rsid w:val="001C122D"/>
    <w:rsid w:val="001C15FC"/>
    <w:rsid w:val="001C17E1"/>
    <w:rsid w:val="001C17F0"/>
    <w:rsid w:val="001C1859"/>
    <w:rsid w:val="001C281E"/>
    <w:rsid w:val="001C2915"/>
    <w:rsid w:val="001C3112"/>
    <w:rsid w:val="001C3768"/>
    <w:rsid w:val="001C453A"/>
    <w:rsid w:val="001C46C3"/>
    <w:rsid w:val="001C48C9"/>
    <w:rsid w:val="001C4CDB"/>
    <w:rsid w:val="001C4D6A"/>
    <w:rsid w:val="001C518D"/>
    <w:rsid w:val="001C5400"/>
    <w:rsid w:val="001C5562"/>
    <w:rsid w:val="001C5A6B"/>
    <w:rsid w:val="001C645B"/>
    <w:rsid w:val="001C6510"/>
    <w:rsid w:val="001C6675"/>
    <w:rsid w:val="001C6A8A"/>
    <w:rsid w:val="001C6B12"/>
    <w:rsid w:val="001C7745"/>
    <w:rsid w:val="001C7DEF"/>
    <w:rsid w:val="001C7F05"/>
    <w:rsid w:val="001CF05B"/>
    <w:rsid w:val="001D0F61"/>
    <w:rsid w:val="001D0FAC"/>
    <w:rsid w:val="001D1874"/>
    <w:rsid w:val="001D18FF"/>
    <w:rsid w:val="001D1AE5"/>
    <w:rsid w:val="001D1DD0"/>
    <w:rsid w:val="001D22D4"/>
    <w:rsid w:val="001D2594"/>
    <w:rsid w:val="001D262C"/>
    <w:rsid w:val="001D26E3"/>
    <w:rsid w:val="001D2A2A"/>
    <w:rsid w:val="001D2A82"/>
    <w:rsid w:val="001D30ED"/>
    <w:rsid w:val="001D3346"/>
    <w:rsid w:val="001D3F8A"/>
    <w:rsid w:val="001D412B"/>
    <w:rsid w:val="001D42B5"/>
    <w:rsid w:val="001D4436"/>
    <w:rsid w:val="001D4558"/>
    <w:rsid w:val="001D4714"/>
    <w:rsid w:val="001D49F3"/>
    <w:rsid w:val="001D4E29"/>
    <w:rsid w:val="001D5620"/>
    <w:rsid w:val="001D569B"/>
    <w:rsid w:val="001D5B6A"/>
    <w:rsid w:val="001D5E12"/>
    <w:rsid w:val="001D6FA2"/>
    <w:rsid w:val="001D70A3"/>
    <w:rsid w:val="001D73C5"/>
    <w:rsid w:val="001D75E3"/>
    <w:rsid w:val="001D79CC"/>
    <w:rsid w:val="001D7ED1"/>
    <w:rsid w:val="001E0307"/>
    <w:rsid w:val="001E0A21"/>
    <w:rsid w:val="001E0EA3"/>
    <w:rsid w:val="001E1380"/>
    <w:rsid w:val="001E1742"/>
    <w:rsid w:val="001E191B"/>
    <w:rsid w:val="001E1A1B"/>
    <w:rsid w:val="001E1E78"/>
    <w:rsid w:val="001E20D2"/>
    <w:rsid w:val="001E307C"/>
    <w:rsid w:val="001E35E0"/>
    <w:rsid w:val="001E3813"/>
    <w:rsid w:val="001E3AAC"/>
    <w:rsid w:val="001E3B52"/>
    <w:rsid w:val="001E3D2A"/>
    <w:rsid w:val="001E3F3D"/>
    <w:rsid w:val="001E3F80"/>
    <w:rsid w:val="001E3FD8"/>
    <w:rsid w:val="001E40E8"/>
    <w:rsid w:val="001E43AD"/>
    <w:rsid w:val="001E4995"/>
    <w:rsid w:val="001E4C89"/>
    <w:rsid w:val="001E633A"/>
    <w:rsid w:val="001E6A51"/>
    <w:rsid w:val="001E7191"/>
    <w:rsid w:val="001E784F"/>
    <w:rsid w:val="001E7857"/>
    <w:rsid w:val="001E78CD"/>
    <w:rsid w:val="001E7A42"/>
    <w:rsid w:val="001E7B72"/>
    <w:rsid w:val="001F09DC"/>
    <w:rsid w:val="001F120B"/>
    <w:rsid w:val="001F1283"/>
    <w:rsid w:val="001F16D5"/>
    <w:rsid w:val="001F210C"/>
    <w:rsid w:val="001F2D5D"/>
    <w:rsid w:val="001F2F99"/>
    <w:rsid w:val="001F3520"/>
    <w:rsid w:val="001F38EA"/>
    <w:rsid w:val="001F3A2D"/>
    <w:rsid w:val="001F3B6D"/>
    <w:rsid w:val="001F3DF0"/>
    <w:rsid w:val="001F3E6E"/>
    <w:rsid w:val="001F3FE2"/>
    <w:rsid w:val="001F43E6"/>
    <w:rsid w:val="001F486E"/>
    <w:rsid w:val="001F4E45"/>
    <w:rsid w:val="001F5824"/>
    <w:rsid w:val="001F5972"/>
    <w:rsid w:val="001F60FB"/>
    <w:rsid w:val="001F618E"/>
    <w:rsid w:val="001F6AC0"/>
    <w:rsid w:val="001F6DDC"/>
    <w:rsid w:val="001F6E4E"/>
    <w:rsid w:val="001F74B7"/>
    <w:rsid w:val="001F7F65"/>
    <w:rsid w:val="00200228"/>
    <w:rsid w:val="00200265"/>
    <w:rsid w:val="002008C3"/>
    <w:rsid w:val="00200EBC"/>
    <w:rsid w:val="00201195"/>
    <w:rsid w:val="0020143F"/>
    <w:rsid w:val="00201D5E"/>
    <w:rsid w:val="002022D5"/>
    <w:rsid w:val="002024DF"/>
    <w:rsid w:val="00202850"/>
    <w:rsid w:val="00202BE3"/>
    <w:rsid w:val="002031F0"/>
    <w:rsid w:val="00203622"/>
    <w:rsid w:val="0020382A"/>
    <w:rsid w:val="00203882"/>
    <w:rsid w:val="00204C59"/>
    <w:rsid w:val="0020515A"/>
    <w:rsid w:val="00205EC7"/>
    <w:rsid w:val="00205FB2"/>
    <w:rsid w:val="00210515"/>
    <w:rsid w:val="00210518"/>
    <w:rsid w:val="00211018"/>
    <w:rsid w:val="00211D1E"/>
    <w:rsid w:val="00211EBB"/>
    <w:rsid w:val="00212312"/>
    <w:rsid w:val="00212328"/>
    <w:rsid w:val="00212C41"/>
    <w:rsid w:val="00212EC7"/>
    <w:rsid w:val="00212FA9"/>
    <w:rsid w:val="00213772"/>
    <w:rsid w:val="00213EA0"/>
    <w:rsid w:val="0021496E"/>
    <w:rsid w:val="002150C9"/>
    <w:rsid w:val="0021544C"/>
    <w:rsid w:val="00215D68"/>
    <w:rsid w:val="00215ECD"/>
    <w:rsid w:val="00215FFD"/>
    <w:rsid w:val="002163FD"/>
    <w:rsid w:val="0021647A"/>
    <w:rsid w:val="002166F2"/>
    <w:rsid w:val="0021757F"/>
    <w:rsid w:val="00220749"/>
    <w:rsid w:val="00221111"/>
    <w:rsid w:val="002211E5"/>
    <w:rsid w:val="00221336"/>
    <w:rsid w:val="002213BF"/>
    <w:rsid w:val="00221D5A"/>
    <w:rsid w:val="00221E0F"/>
    <w:rsid w:val="00221F17"/>
    <w:rsid w:val="00222581"/>
    <w:rsid w:val="00222B91"/>
    <w:rsid w:val="00222E07"/>
    <w:rsid w:val="00222F0B"/>
    <w:rsid w:val="002230BA"/>
    <w:rsid w:val="0022422C"/>
    <w:rsid w:val="00224231"/>
    <w:rsid w:val="002246A5"/>
    <w:rsid w:val="0022488A"/>
    <w:rsid w:val="00224D13"/>
    <w:rsid w:val="00225347"/>
    <w:rsid w:val="00225723"/>
    <w:rsid w:val="00225783"/>
    <w:rsid w:val="002259E4"/>
    <w:rsid w:val="00226405"/>
    <w:rsid w:val="00226B6B"/>
    <w:rsid w:val="00226C48"/>
    <w:rsid w:val="0022724E"/>
    <w:rsid w:val="00227499"/>
    <w:rsid w:val="00227C31"/>
    <w:rsid w:val="00227D0E"/>
    <w:rsid w:val="00227FDC"/>
    <w:rsid w:val="00230666"/>
    <w:rsid w:val="00231153"/>
    <w:rsid w:val="00231A02"/>
    <w:rsid w:val="00231A8A"/>
    <w:rsid w:val="00231EB4"/>
    <w:rsid w:val="002323CC"/>
    <w:rsid w:val="00232513"/>
    <w:rsid w:val="0023252E"/>
    <w:rsid w:val="00232BB8"/>
    <w:rsid w:val="00233033"/>
    <w:rsid w:val="002330CD"/>
    <w:rsid w:val="0023370B"/>
    <w:rsid w:val="002338FD"/>
    <w:rsid w:val="00234108"/>
    <w:rsid w:val="00235590"/>
    <w:rsid w:val="00235DFD"/>
    <w:rsid w:val="00236064"/>
    <w:rsid w:val="002360DF"/>
    <w:rsid w:val="00236463"/>
    <w:rsid w:val="00237319"/>
    <w:rsid w:val="0023797B"/>
    <w:rsid w:val="0024002D"/>
    <w:rsid w:val="00240058"/>
    <w:rsid w:val="002406CC"/>
    <w:rsid w:val="00240CB8"/>
    <w:rsid w:val="00240DB3"/>
    <w:rsid w:val="002410E5"/>
    <w:rsid w:val="0024138E"/>
    <w:rsid w:val="002413AE"/>
    <w:rsid w:val="00241552"/>
    <w:rsid w:val="0024186B"/>
    <w:rsid w:val="00241976"/>
    <w:rsid w:val="00241A97"/>
    <w:rsid w:val="00241C31"/>
    <w:rsid w:val="002421D8"/>
    <w:rsid w:val="002427C6"/>
    <w:rsid w:val="00242FFD"/>
    <w:rsid w:val="00243164"/>
    <w:rsid w:val="00243A1E"/>
    <w:rsid w:val="0024566A"/>
    <w:rsid w:val="00245D2B"/>
    <w:rsid w:val="00246FE8"/>
    <w:rsid w:val="0024729E"/>
    <w:rsid w:val="0024767F"/>
    <w:rsid w:val="00247A62"/>
    <w:rsid w:val="00247C88"/>
    <w:rsid w:val="00247F8A"/>
    <w:rsid w:val="0025007C"/>
    <w:rsid w:val="00250198"/>
    <w:rsid w:val="00250A9D"/>
    <w:rsid w:val="00250E12"/>
    <w:rsid w:val="002513C0"/>
    <w:rsid w:val="00251491"/>
    <w:rsid w:val="0025190E"/>
    <w:rsid w:val="0025280B"/>
    <w:rsid w:val="00252DC8"/>
    <w:rsid w:val="00253211"/>
    <w:rsid w:val="00253A30"/>
    <w:rsid w:val="00253E41"/>
    <w:rsid w:val="00254E90"/>
    <w:rsid w:val="002557B7"/>
    <w:rsid w:val="00255CDE"/>
    <w:rsid w:val="00255FC0"/>
    <w:rsid w:val="002560D6"/>
    <w:rsid w:val="00256764"/>
    <w:rsid w:val="00256882"/>
    <w:rsid w:val="00256A5A"/>
    <w:rsid w:val="00256C2F"/>
    <w:rsid w:val="00256CAC"/>
    <w:rsid w:val="00256E7C"/>
    <w:rsid w:val="002578BA"/>
    <w:rsid w:val="00257F57"/>
    <w:rsid w:val="00260167"/>
    <w:rsid w:val="00260416"/>
    <w:rsid w:val="00260862"/>
    <w:rsid w:val="00260B39"/>
    <w:rsid w:val="00261348"/>
    <w:rsid w:val="00261A65"/>
    <w:rsid w:val="00261DE0"/>
    <w:rsid w:val="0026225A"/>
    <w:rsid w:val="00262CD5"/>
    <w:rsid w:val="00262E18"/>
    <w:rsid w:val="002637CA"/>
    <w:rsid w:val="0026392F"/>
    <w:rsid w:val="002639BD"/>
    <w:rsid w:val="00263F9F"/>
    <w:rsid w:val="00264337"/>
    <w:rsid w:val="0026440F"/>
    <w:rsid w:val="00264C24"/>
    <w:rsid w:val="00264C69"/>
    <w:rsid w:val="00264C89"/>
    <w:rsid w:val="00264D7F"/>
    <w:rsid w:val="00265030"/>
    <w:rsid w:val="00265C34"/>
    <w:rsid w:val="00265C7F"/>
    <w:rsid w:val="00266366"/>
    <w:rsid w:val="0026674A"/>
    <w:rsid w:val="00266880"/>
    <w:rsid w:val="002669EA"/>
    <w:rsid w:val="002679D5"/>
    <w:rsid w:val="0027019C"/>
    <w:rsid w:val="00270ED6"/>
    <w:rsid w:val="0027149E"/>
    <w:rsid w:val="002714FD"/>
    <w:rsid w:val="0027164B"/>
    <w:rsid w:val="00271C53"/>
    <w:rsid w:val="00271F24"/>
    <w:rsid w:val="002723A9"/>
    <w:rsid w:val="002726FC"/>
    <w:rsid w:val="002727B7"/>
    <w:rsid w:val="00272DC6"/>
    <w:rsid w:val="00272FBA"/>
    <w:rsid w:val="002731E0"/>
    <w:rsid w:val="00273812"/>
    <w:rsid w:val="00273B03"/>
    <w:rsid w:val="00273F4B"/>
    <w:rsid w:val="00274257"/>
    <w:rsid w:val="00274BD3"/>
    <w:rsid w:val="00274D1D"/>
    <w:rsid w:val="002750EF"/>
    <w:rsid w:val="002752EB"/>
    <w:rsid w:val="002758FA"/>
    <w:rsid w:val="00275F14"/>
    <w:rsid w:val="00275F94"/>
    <w:rsid w:val="00276337"/>
    <w:rsid w:val="00276376"/>
    <w:rsid w:val="00276DB3"/>
    <w:rsid w:val="00277080"/>
    <w:rsid w:val="002778D7"/>
    <w:rsid w:val="00277D12"/>
    <w:rsid w:val="00277EB5"/>
    <w:rsid w:val="00280069"/>
    <w:rsid w:val="0028038B"/>
    <w:rsid w:val="0028076B"/>
    <w:rsid w:val="00280B7F"/>
    <w:rsid w:val="00280D85"/>
    <w:rsid w:val="00281B9C"/>
    <w:rsid w:val="00282122"/>
    <w:rsid w:val="002826DC"/>
    <w:rsid w:val="002827B5"/>
    <w:rsid w:val="00282DF3"/>
    <w:rsid w:val="00282FF0"/>
    <w:rsid w:val="00283E82"/>
    <w:rsid w:val="00283F32"/>
    <w:rsid w:val="002841BD"/>
    <w:rsid w:val="00284C9B"/>
    <w:rsid w:val="002854FB"/>
    <w:rsid w:val="002855B4"/>
    <w:rsid w:val="00285BE4"/>
    <w:rsid w:val="00285D5B"/>
    <w:rsid w:val="00285FE1"/>
    <w:rsid w:val="002862F7"/>
    <w:rsid w:val="002865D8"/>
    <w:rsid w:val="00286678"/>
    <w:rsid w:val="00286691"/>
    <w:rsid w:val="002867CC"/>
    <w:rsid w:val="00286D1D"/>
    <w:rsid w:val="00286E37"/>
    <w:rsid w:val="002876A8"/>
    <w:rsid w:val="0028787B"/>
    <w:rsid w:val="0029014C"/>
    <w:rsid w:val="00290723"/>
    <w:rsid w:val="0029174F"/>
    <w:rsid w:val="00291D81"/>
    <w:rsid w:val="00292649"/>
    <w:rsid w:val="002926F4"/>
    <w:rsid w:val="002928BF"/>
    <w:rsid w:val="00292E5E"/>
    <w:rsid w:val="0029350E"/>
    <w:rsid w:val="0029378F"/>
    <w:rsid w:val="002940A9"/>
    <w:rsid w:val="002942A5"/>
    <w:rsid w:val="00294317"/>
    <w:rsid w:val="00294D1D"/>
    <w:rsid w:val="00294D43"/>
    <w:rsid w:val="00295760"/>
    <w:rsid w:val="00295C09"/>
    <w:rsid w:val="00295D33"/>
    <w:rsid w:val="00295F4D"/>
    <w:rsid w:val="00295FA2"/>
    <w:rsid w:val="002970AB"/>
    <w:rsid w:val="0029771B"/>
    <w:rsid w:val="0029786D"/>
    <w:rsid w:val="002985DF"/>
    <w:rsid w:val="002A01CC"/>
    <w:rsid w:val="002A0488"/>
    <w:rsid w:val="002A0787"/>
    <w:rsid w:val="002A0CBF"/>
    <w:rsid w:val="002A0DEC"/>
    <w:rsid w:val="002A0E7F"/>
    <w:rsid w:val="002A141B"/>
    <w:rsid w:val="002A1595"/>
    <w:rsid w:val="002A1EA0"/>
    <w:rsid w:val="002A26B6"/>
    <w:rsid w:val="002A2FEA"/>
    <w:rsid w:val="002A34A6"/>
    <w:rsid w:val="002A34C9"/>
    <w:rsid w:val="002A358C"/>
    <w:rsid w:val="002A44ED"/>
    <w:rsid w:val="002A459D"/>
    <w:rsid w:val="002A51EC"/>
    <w:rsid w:val="002A541B"/>
    <w:rsid w:val="002A5994"/>
    <w:rsid w:val="002A5D7B"/>
    <w:rsid w:val="002A605E"/>
    <w:rsid w:val="002A649A"/>
    <w:rsid w:val="002A6A4E"/>
    <w:rsid w:val="002A6A68"/>
    <w:rsid w:val="002A6BE3"/>
    <w:rsid w:val="002A78C6"/>
    <w:rsid w:val="002A7981"/>
    <w:rsid w:val="002A7C08"/>
    <w:rsid w:val="002B0386"/>
    <w:rsid w:val="002B11D4"/>
    <w:rsid w:val="002B174B"/>
    <w:rsid w:val="002B1A48"/>
    <w:rsid w:val="002B1DDC"/>
    <w:rsid w:val="002B24F8"/>
    <w:rsid w:val="002B2A57"/>
    <w:rsid w:val="002B3A3A"/>
    <w:rsid w:val="002B3B97"/>
    <w:rsid w:val="002B3C7F"/>
    <w:rsid w:val="002B400F"/>
    <w:rsid w:val="002B484E"/>
    <w:rsid w:val="002B4A63"/>
    <w:rsid w:val="002B511D"/>
    <w:rsid w:val="002B54B7"/>
    <w:rsid w:val="002B5635"/>
    <w:rsid w:val="002B56C5"/>
    <w:rsid w:val="002B5A7D"/>
    <w:rsid w:val="002B5A85"/>
    <w:rsid w:val="002B5BAF"/>
    <w:rsid w:val="002B5BBE"/>
    <w:rsid w:val="002B63A7"/>
    <w:rsid w:val="002B6D87"/>
    <w:rsid w:val="002B7581"/>
    <w:rsid w:val="002B7782"/>
    <w:rsid w:val="002B78E6"/>
    <w:rsid w:val="002B7AAD"/>
    <w:rsid w:val="002B7BF6"/>
    <w:rsid w:val="002B7D73"/>
    <w:rsid w:val="002C030B"/>
    <w:rsid w:val="002C06A0"/>
    <w:rsid w:val="002C13C9"/>
    <w:rsid w:val="002C1720"/>
    <w:rsid w:val="002C1750"/>
    <w:rsid w:val="002C1E3C"/>
    <w:rsid w:val="002C1EE8"/>
    <w:rsid w:val="002C256B"/>
    <w:rsid w:val="002C359E"/>
    <w:rsid w:val="002C35B0"/>
    <w:rsid w:val="002C367E"/>
    <w:rsid w:val="002C38F7"/>
    <w:rsid w:val="002C3D41"/>
    <w:rsid w:val="002C45C4"/>
    <w:rsid w:val="002C4767"/>
    <w:rsid w:val="002C4EE6"/>
    <w:rsid w:val="002C5185"/>
    <w:rsid w:val="002C5543"/>
    <w:rsid w:val="002C5B2A"/>
    <w:rsid w:val="002C63FB"/>
    <w:rsid w:val="002C6791"/>
    <w:rsid w:val="002C6B05"/>
    <w:rsid w:val="002C6F8B"/>
    <w:rsid w:val="002C7045"/>
    <w:rsid w:val="002D001B"/>
    <w:rsid w:val="002D0233"/>
    <w:rsid w:val="002D02D4"/>
    <w:rsid w:val="002D0BE1"/>
    <w:rsid w:val="002D0F7F"/>
    <w:rsid w:val="002D1A52"/>
    <w:rsid w:val="002D1FBE"/>
    <w:rsid w:val="002D210C"/>
    <w:rsid w:val="002D284B"/>
    <w:rsid w:val="002D313A"/>
    <w:rsid w:val="002D3349"/>
    <w:rsid w:val="002D387F"/>
    <w:rsid w:val="002D39E0"/>
    <w:rsid w:val="002D3B3E"/>
    <w:rsid w:val="002D424B"/>
    <w:rsid w:val="002D45CA"/>
    <w:rsid w:val="002D4878"/>
    <w:rsid w:val="002D5415"/>
    <w:rsid w:val="002D5424"/>
    <w:rsid w:val="002D559A"/>
    <w:rsid w:val="002D55A6"/>
    <w:rsid w:val="002D5687"/>
    <w:rsid w:val="002D5805"/>
    <w:rsid w:val="002D5BB0"/>
    <w:rsid w:val="002D5F38"/>
    <w:rsid w:val="002D69B0"/>
    <w:rsid w:val="002D73EE"/>
    <w:rsid w:val="002D779A"/>
    <w:rsid w:val="002D7C0E"/>
    <w:rsid w:val="002D7FFD"/>
    <w:rsid w:val="002E0198"/>
    <w:rsid w:val="002E057A"/>
    <w:rsid w:val="002E0924"/>
    <w:rsid w:val="002E0CCC"/>
    <w:rsid w:val="002E0D13"/>
    <w:rsid w:val="002E0E3E"/>
    <w:rsid w:val="002E1B1D"/>
    <w:rsid w:val="002E1CE7"/>
    <w:rsid w:val="002E1D7C"/>
    <w:rsid w:val="002E286B"/>
    <w:rsid w:val="002E2939"/>
    <w:rsid w:val="002E2ADD"/>
    <w:rsid w:val="002E2E6F"/>
    <w:rsid w:val="002E2F1A"/>
    <w:rsid w:val="002E378C"/>
    <w:rsid w:val="002E37C7"/>
    <w:rsid w:val="002E380D"/>
    <w:rsid w:val="002E3BD6"/>
    <w:rsid w:val="002E3C10"/>
    <w:rsid w:val="002E40D1"/>
    <w:rsid w:val="002E520F"/>
    <w:rsid w:val="002E5893"/>
    <w:rsid w:val="002E58A6"/>
    <w:rsid w:val="002E5E21"/>
    <w:rsid w:val="002E5E40"/>
    <w:rsid w:val="002E6311"/>
    <w:rsid w:val="002E6686"/>
    <w:rsid w:val="002E6BAC"/>
    <w:rsid w:val="002E7A0D"/>
    <w:rsid w:val="002E7B50"/>
    <w:rsid w:val="002E7C9E"/>
    <w:rsid w:val="002E7DF7"/>
    <w:rsid w:val="002F043B"/>
    <w:rsid w:val="002F0602"/>
    <w:rsid w:val="002F0EBD"/>
    <w:rsid w:val="002F0F3E"/>
    <w:rsid w:val="002F127E"/>
    <w:rsid w:val="002F1768"/>
    <w:rsid w:val="002F1842"/>
    <w:rsid w:val="002F1996"/>
    <w:rsid w:val="002F1E6B"/>
    <w:rsid w:val="002F1FBE"/>
    <w:rsid w:val="002F22C3"/>
    <w:rsid w:val="002F3288"/>
    <w:rsid w:val="002F32AB"/>
    <w:rsid w:val="002F3AF9"/>
    <w:rsid w:val="002F3C06"/>
    <w:rsid w:val="002F3F11"/>
    <w:rsid w:val="002F422B"/>
    <w:rsid w:val="002F449B"/>
    <w:rsid w:val="002F4B8E"/>
    <w:rsid w:val="002F4CAF"/>
    <w:rsid w:val="002F4D86"/>
    <w:rsid w:val="002F50C7"/>
    <w:rsid w:val="002F51BE"/>
    <w:rsid w:val="002F51E8"/>
    <w:rsid w:val="002F5D69"/>
    <w:rsid w:val="002F5F5B"/>
    <w:rsid w:val="002F63AB"/>
    <w:rsid w:val="002F719B"/>
    <w:rsid w:val="002F7C77"/>
    <w:rsid w:val="002F7EDF"/>
    <w:rsid w:val="00300198"/>
    <w:rsid w:val="00300CB3"/>
    <w:rsid w:val="0030105D"/>
    <w:rsid w:val="0030173D"/>
    <w:rsid w:val="003019FE"/>
    <w:rsid w:val="00302793"/>
    <w:rsid w:val="00302E34"/>
    <w:rsid w:val="00303274"/>
    <w:rsid w:val="003032F6"/>
    <w:rsid w:val="00303438"/>
    <w:rsid w:val="0030379B"/>
    <w:rsid w:val="00303846"/>
    <w:rsid w:val="0030394B"/>
    <w:rsid w:val="00303D78"/>
    <w:rsid w:val="003042EE"/>
    <w:rsid w:val="003044AD"/>
    <w:rsid w:val="00304965"/>
    <w:rsid w:val="00304D27"/>
    <w:rsid w:val="00304EE8"/>
    <w:rsid w:val="00305ECA"/>
    <w:rsid w:val="00305FD1"/>
    <w:rsid w:val="003064F0"/>
    <w:rsid w:val="00306959"/>
    <w:rsid w:val="00306CED"/>
    <w:rsid w:val="00306EE3"/>
    <w:rsid w:val="0030705E"/>
    <w:rsid w:val="0030709F"/>
    <w:rsid w:val="003072C6"/>
    <w:rsid w:val="00307616"/>
    <w:rsid w:val="0031020E"/>
    <w:rsid w:val="00310D8E"/>
    <w:rsid w:val="00310E1D"/>
    <w:rsid w:val="00310EE1"/>
    <w:rsid w:val="00311039"/>
    <w:rsid w:val="0031107C"/>
    <w:rsid w:val="00311086"/>
    <w:rsid w:val="00311584"/>
    <w:rsid w:val="00311585"/>
    <w:rsid w:val="00311E7E"/>
    <w:rsid w:val="0031225C"/>
    <w:rsid w:val="00312596"/>
    <w:rsid w:val="00312E79"/>
    <w:rsid w:val="003130F8"/>
    <w:rsid w:val="003131A3"/>
    <w:rsid w:val="003132E5"/>
    <w:rsid w:val="00313BBD"/>
    <w:rsid w:val="00313BE6"/>
    <w:rsid w:val="00313BF5"/>
    <w:rsid w:val="00313C3F"/>
    <w:rsid w:val="00313DD2"/>
    <w:rsid w:val="00313DD3"/>
    <w:rsid w:val="003141C6"/>
    <w:rsid w:val="003144C7"/>
    <w:rsid w:val="003147F0"/>
    <w:rsid w:val="00314ADD"/>
    <w:rsid w:val="00314E81"/>
    <w:rsid w:val="0031514E"/>
    <w:rsid w:val="003152CD"/>
    <w:rsid w:val="00315BBD"/>
    <w:rsid w:val="00315DE4"/>
    <w:rsid w:val="00316019"/>
    <w:rsid w:val="00316047"/>
    <w:rsid w:val="00316055"/>
    <w:rsid w:val="0031629F"/>
    <w:rsid w:val="00316E9C"/>
    <w:rsid w:val="00316FAF"/>
    <w:rsid w:val="0031753A"/>
    <w:rsid w:val="003176A7"/>
    <w:rsid w:val="00317825"/>
    <w:rsid w:val="00317A47"/>
    <w:rsid w:val="00317B40"/>
    <w:rsid w:val="00320293"/>
    <w:rsid w:val="00320CD2"/>
    <w:rsid w:val="00321736"/>
    <w:rsid w:val="00321953"/>
    <w:rsid w:val="00322165"/>
    <w:rsid w:val="0032230B"/>
    <w:rsid w:val="003224D8"/>
    <w:rsid w:val="003227AF"/>
    <w:rsid w:val="00322CC2"/>
    <w:rsid w:val="00322CD0"/>
    <w:rsid w:val="00323185"/>
    <w:rsid w:val="003237DB"/>
    <w:rsid w:val="003237FA"/>
    <w:rsid w:val="00323CCA"/>
    <w:rsid w:val="00324770"/>
    <w:rsid w:val="00324842"/>
    <w:rsid w:val="00324BF1"/>
    <w:rsid w:val="00324FE6"/>
    <w:rsid w:val="003250AD"/>
    <w:rsid w:val="003254E0"/>
    <w:rsid w:val="00325B99"/>
    <w:rsid w:val="00326CDE"/>
    <w:rsid w:val="003271DC"/>
    <w:rsid w:val="00327266"/>
    <w:rsid w:val="0032771C"/>
    <w:rsid w:val="00327975"/>
    <w:rsid w:val="00327A53"/>
    <w:rsid w:val="00327AC5"/>
    <w:rsid w:val="00327B1F"/>
    <w:rsid w:val="00327EBE"/>
    <w:rsid w:val="00330C0A"/>
    <w:rsid w:val="00330D58"/>
    <w:rsid w:val="00330D81"/>
    <w:rsid w:val="00330E5F"/>
    <w:rsid w:val="003312AF"/>
    <w:rsid w:val="00331357"/>
    <w:rsid w:val="00331483"/>
    <w:rsid w:val="00331F6D"/>
    <w:rsid w:val="00332118"/>
    <w:rsid w:val="00332234"/>
    <w:rsid w:val="003324CD"/>
    <w:rsid w:val="00332FA0"/>
    <w:rsid w:val="00333023"/>
    <w:rsid w:val="003332BD"/>
    <w:rsid w:val="0033330F"/>
    <w:rsid w:val="00333701"/>
    <w:rsid w:val="00333952"/>
    <w:rsid w:val="00333C35"/>
    <w:rsid w:val="00334B54"/>
    <w:rsid w:val="00334CC8"/>
    <w:rsid w:val="00335200"/>
    <w:rsid w:val="00336464"/>
    <w:rsid w:val="0033693E"/>
    <w:rsid w:val="0033739E"/>
    <w:rsid w:val="003373E6"/>
    <w:rsid w:val="003374F3"/>
    <w:rsid w:val="00337B98"/>
    <w:rsid w:val="00337C50"/>
    <w:rsid w:val="0034003D"/>
    <w:rsid w:val="00340100"/>
    <w:rsid w:val="003401B7"/>
    <w:rsid w:val="003401DB"/>
    <w:rsid w:val="003406BF"/>
    <w:rsid w:val="003407B0"/>
    <w:rsid w:val="003412B9"/>
    <w:rsid w:val="003416CF"/>
    <w:rsid w:val="00341740"/>
    <w:rsid w:val="003417B8"/>
    <w:rsid w:val="00341F99"/>
    <w:rsid w:val="0034212B"/>
    <w:rsid w:val="00342243"/>
    <w:rsid w:val="0034352D"/>
    <w:rsid w:val="00343733"/>
    <w:rsid w:val="0034377C"/>
    <w:rsid w:val="003449B2"/>
    <w:rsid w:val="003450AA"/>
    <w:rsid w:val="00345121"/>
    <w:rsid w:val="003454D8"/>
    <w:rsid w:val="0034593B"/>
    <w:rsid w:val="00345B2F"/>
    <w:rsid w:val="00346336"/>
    <w:rsid w:val="0034634C"/>
    <w:rsid w:val="0034649D"/>
    <w:rsid w:val="0034650B"/>
    <w:rsid w:val="003469A2"/>
    <w:rsid w:val="00346EBC"/>
    <w:rsid w:val="00346F0E"/>
    <w:rsid w:val="00346F9B"/>
    <w:rsid w:val="0034743A"/>
    <w:rsid w:val="00347B42"/>
    <w:rsid w:val="003511FC"/>
    <w:rsid w:val="0035138E"/>
    <w:rsid w:val="00351961"/>
    <w:rsid w:val="003527AA"/>
    <w:rsid w:val="003536D2"/>
    <w:rsid w:val="0035379A"/>
    <w:rsid w:val="0035393D"/>
    <w:rsid w:val="00353A00"/>
    <w:rsid w:val="003543F9"/>
    <w:rsid w:val="00354759"/>
    <w:rsid w:val="003547AB"/>
    <w:rsid w:val="0035492C"/>
    <w:rsid w:val="00354967"/>
    <w:rsid w:val="00354DAC"/>
    <w:rsid w:val="00354DD0"/>
    <w:rsid w:val="003553AE"/>
    <w:rsid w:val="00355798"/>
    <w:rsid w:val="00355886"/>
    <w:rsid w:val="003565E9"/>
    <w:rsid w:val="00356814"/>
    <w:rsid w:val="003568ED"/>
    <w:rsid w:val="003569D5"/>
    <w:rsid w:val="00360173"/>
    <w:rsid w:val="00360F2F"/>
    <w:rsid w:val="00360F80"/>
    <w:rsid w:val="00360FCE"/>
    <w:rsid w:val="003612D2"/>
    <w:rsid w:val="00361783"/>
    <w:rsid w:val="0036219B"/>
    <w:rsid w:val="00362B62"/>
    <w:rsid w:val="00362BB7"/>
    <w:rsid w:val="00362C76"/>
    <w:rsid w:val="0036365A"/>
    <w:rsid w:val="00363F3E"/>
    <w:rsid w:val="0036464F"/>
    <w:rsid w:val="003647B7"/>
    <w:rsid w:val="00364EF5"/>
    <w:rsid w:val="0036526A"/>
    <w:rsid w:val="0036583C"/>
    <w:rsid w:val="0036590E"/>
    <w:rsid w:val="00365CAF"/>
    <w:rsid w:val="00365D9F"/>
    <w:rsid w:val="00366C02"/>
    <w:rsid w:val="00366D1B"/>
    <w:rsid w:val="0036736C"/>
    <w:rsid w:val="0036755F"/>
    <w:rsid w:val="00367D09"/>
    <w:rsid w:val="00367D99"/>
    <w:rsid w:val="00367FCA"/>
    <w:rsid w:val="0037100A"/>
    <w:rsid w:val="003717CE"/>
    <w:rsid w:val="003718E2"/>
    <w:rsid w:val="00371AFA"/>
    <w:rsid w:val="00371DF9"/>
    <w:rsid w:val="00371E0A"/>
    <w:rsid w:val="00372287"/>
    <w:rsid w:val="0037315E"/>
    <w:rsid w:val="0037348F"/>
    <w:rsid w:val="00373F0E"/>
    <w:rsid w:val="003741AD"/>
    <w:rsid w:val="003742A8"/>
    <w:rsid w:val="0037494A"/>
    <w:rsid w:val="003751FD"/>
    <w:rsid w:val="00375260"/>
    <w:rsid w:val="00375344"/>
    <w:rsid w:val="0037545D"/>
    <w:rsid w:val="00375568"/>
    <w:rsid w:val="00375F26"/>
    <w:rsid w:val="00376698"/>
    <w:rsid w:val="00376A97"/>
    <w:rsid w:val="00376B3B"/>
    <w:rsid w:val="00376B4C"/>
    <w:rsid w:val="00377102"/>
    <w:rsid w:val="003771EC"/>
    <w:rsid w:val="00377712"/>
    <w:rsid w:val="003778B7"/>
    <w:rsid w:val="003779F7"/>
    <w:rsid w:val="00377B58"/>
    <w:rsid w:val="0038019F"/>
    <w:rsid w:val="0038048F"/>
    <w:rsid w:val="0038070C"/>
    <w:rsid w:val="00380764"/>
    <w:rsid w:val="00381D34"/>
    <w:rsid w:val="00382071"/>
    <w:rsid w:val="00382D3F"/>
    <w:rsid w:val="00382EE7"/>
    <w:rsid w:val="003831F3"/>
    <w:rsid w:val="00383265"/>
    <w:rsid w:val="003838FF"/>
    <w:rsid w:val="00383A7F"/>
    <w:rsid w:val="00383AA6"/>
    <w:rsid w:val="00384643"/>
    <w:rsid w:val="00385384"/>
    <w:rsid w:val="003859F8"/>
    <w:rsid w:val="00385B7B"/>
    <w:rsid w:val="00385CA1"/>
    <w:rsid w:val="00385E88"/>
    <w:rsid w:val="0038609C"/>
    <w:rsid w:val="00386371"/>
    <w:rsid w:val="003863E8"/>
    <w:rsid w:val="00386777"/>
    <w:rsid w:val="0038717B"/>
    <w:rsid w:val="003871A7"/>
    <w:rsid w:val="003872D9"/>
    <w:rsid w:val="00387322"/>
    <w:rsid w:val="00387412"/>
    <w:rsid w:val="00387937"/>
    <w:rsid w:val="00387B76"/>
    <w:rsid w:val="00390616"/>
    <w:rsid w:val="003908C4"/>
    <w:rsid w:val="00390B88"/>
    <w:rsid w:val="0039154B"/>
    <w:rsid w:val="00391F7F"/>
    <w:rsid w:val="00392132"/>
    <w:rsid w:val="00392A5A"/>
    <w:rsid w:val="00392BFF"/>
    <w:rsid w:val="00392D2A"/>
    <w:rsid w:val="0039349B"/>
    <w:rsid w:val="00393783"/>
    <w:rsid w:val="00393A1D"/>
    <w:rsid w:val="00393D28"/>
    <w:rsid w:val="0039509D"/>
    <w:rsid w:val="0039540F"/>
    <w:rsid w:val="00395D50"/>
    <w:rsid w:val="00395EFB"/>
    <w:rsid w:val="0039633C"/>
    <w:rsid w:val="00396E9D"/>
    <w:rsid w:val="00396F40"/>
    <w:rsid w:val="00396FEC"/>
    <w:rsid w:val="00397AED"/>
    <w:rsid w:val="003A02C8"/>
    <w:rsid w:val="003A080C"/>
    <w:rsid w:val="003A1F73"/>
    <w:rsid w:val="003A29CB"/>
    <w:rsid w:val="003A2F25"/>
    <w:rsid w:val="003A2FC6"/>
    <w:rsid w:val="003A3174"/>
    <w:rsid w:val="003A3C4A"/>
    <w:rsid w:val="003A4121"/>
    <w:rsid w:val="003A4B86"/>
    <w:rsid w:val="003A5031"/>
    <w:rsid w:val="003A51C1"/>
    <w:rsid w:val="003A5B9F"/>
    <w:rsid w:val="003A5F0E"/>
    <w:rsid w:val="003A6070"/>
    <w:rsid w:val="003A760C"/>
    <w:rsid w:val="003B03EB"/>
    <w:rsid w:val="003B0B25"/>
    <w:rsid w:val="003B0C41"/>
    <w:rsid w:val="003B187C"/>
    <w:rsid w:val="003B1896"/>
    <w:rsid w:val="003B1917"/>
    <w:rsid w:val="003B1D33"/>
    <w:rsid w:val="003B1F3B"/>
    <w:rsid w:val="003B2275"/>
    <w:rsid w:val="003B2807"/>
    <w:rsid w:val="003B2BED"/>
    <w:rsid w:val="003B2D53"/>
    <w:rsid w:val="003B40F1"/>
    <w:rsid w:val="003B4153"/>
    <w:rsid w:val="003B44D7"/>
    <w:rsid w:val="003B4D5D"/>
    <w:rsid w:val="003B51E7"/>
    <w:rsid w:val="003B5294"/>
    <w:rsid w:val="003B5BC2"/>
    <w:rsid w:val="003B5E6E"/>
    <w:rsid w:val="003B6290"/>
    <w:rsid w:val="003B6470"/>
    <w:rsid w:val="003B68C8"/>
    <w:rsid w:val="003B6CB1"/>
    <w:rsid w:val="003C0C5B"/>
    <w:rsid w:val="003C0D03"/>
    <w:rsid w:val="003C0FE5"/>
    <w:rsid w:val="003C1109"/>
    <w:rsid w:val="003C1A21"/>
    <w:rsid w:val="003C1B62"/>
    <w:rsid w:val="003C1E97"/>
    <w:rsid w:val="003C20A9"/>
    <w:rsid w:val="003C213C"/>
    <w:rsid w:val="003C243D"/>
    <w:rsid w:val="003C2860"/>
    <w:rsid w:val="003C2E91"/>
    <w:rsid w:val="003C3E89"/>
    <w:rsid w:val="003C4BF0"/>
    <w:rsid w:val="003C4D28"/>
    <w:rsid w:val="003C5904"/>
    <w:rsid w:val="003C68E6"/>
    <w:rsid w:val="003C68F2"/>
    <w:rsid w:val="003D0A38"/>
    <w:rsid w:val="003D0AD1"/>
    <w:rsid w:val="003D0D40"/>
    <w:rsid w:val="003D12A2"/>
    <w:rsid w:val="003D1B47"/>
    <w:rsid w:val="003D2AF0"/>
    <w:rsid w:val="003D3169"/>
    <w:rsid w:val="003D3E34"/>
    <w:rsid w:val="003D49C2"/>
    <w:rsid w:val="003D509E"/>
    <w:rsid w:val="003D5387"/>
    <w:rsid w:val="003D539D"/>
    <w:rsid w:val="003D55EA"/>
    <w:rsid w:val="003D58B8"/>
    <w:rsid w:val="003D5964"/>
    <w:rsid w:val="003D59AB"/>
    <w:rsid w:val="003D5CFB"/>
    <w:rsid w:val="003D7511"/>
    <w:rsid w:val="003D76E6"/>
    <w:rsid w:val="003D777A"/>
    <w:rsid w:val="003D7EA2"/>
    <w:rsid w:val="003E03DA"/>
    <w:rsid w:val="003E049F"/>
    <w:rsid w:val="003E05C8"/>
    <w:rsid w:val="003E0F19"/>
    <w:rsid w:val="003E1D76"/>
    <w:rsid w:val="003E2435"/>
    <w:rsid w:val="003E2636"/>
    <w:rsid w:val="003E2685"/>
    <w:rsid w:val="003E2749"/>
    <w:rsid w:val="003E2E12"/>
    <w:rsid w:val="003E3088"/>
    <w:rsid w:val="003E3400"/>
    <w:rsid w:val="003E34BD"/>
    <w:rsid w:val="003E36A2"/>
    <w:rsid w:val="003E382E"/>
    <w:rsid w:val="003E3E22"/>
    <w:rsid w:val="003E3E28"/>
    <w:rsid w:val="003E4276"/>
    <w:rsid w:val="003E45C9"/>
    <w:rsid w:val="003E47CD"/>
    <w:rsid w:val="003E47FD"/>
    <w:rsid w:val="003E4EFA"/>
    <w:rsid w:val="003E5309"/>
    <w:rsid w:val="003E5802"/>
    <w:rsid w:val="003E594A"/>
    <w:rsid w:val="003E6151"/>
    <w:rsid w:val="003E6A0E"/>
    <w:rsid w:val="003E6ED8"/>
    <w:rsid w:val="003E7092"/>
    <w:rsid w:val="003E769A"/>
    <w:rsid w:val="003E78A3"/>
    <w:rsid w:val="003E7902"/>
    <w:rsid w:val="003E79D2"/>
    <w:rsid w:val="003E7D79"/>
    <w:rsid w:val="003F00C2"/>
    <w:rsid w:val="003F09F3"/>
    <w:rsid w:val="003F15E8"/>
    <w:rsid w:val="003F18AE"/>
    <w:rsid w:val="003F1A93"/>
    <w:rsid w:val="003F1CA7"/>
    <w:rsid w:val="003F2D41"/>
    <w:rsid w:val="003F39CE"/>
    <w:rsid w:val="003F4591"/>
    <w:rsid w:val="003F4615"/>
    <w:rsid w:val="003F4BE8"/>
    <w:rsid w:val="003F5CE4"/>
    <w:rsid w:val="003F6C6C"/>
    <w:rsid w:val="003F7857"/>
    <w:rsid w:val="003F796B"/>
    <w:rsid w:val="003F7E3E"/>
    <w:rsid w:val="003F7FC8"/>
    <w:rsid w:val="00400CC4"/>
    <w:rsid w:val="00400F1A"/>
    <w:rsid w:val="00401108"/>
    <w:rsid w:val="00401382"/>
    <w:rsid w:val="00401486"/>
    <w:rsid w:val="004017F3"/>
    <w:rsid w:val="00401E48"/>
    <w:rsid w:val="00401E5D"/>
    <w:rsid w:val="0040246A"/>
    <w:rsid w:val="0040250E"/>
    <w:rsid w:val="004026ED"/>
    <w:rsid w:val="004027BD"/>
    <w:rsid w:val="00402927"/>
    <w:rsid w:val="00402A6B"/>
    <w:rsid w:val="00402D48"/>
    <w:rsid w:val="0040305A"/>
    <w:rsid w:val="0040310D"/>
    <w:rsid w:val="004037FA"/>
    <w:rsid w:val="004038A0"/>
    <w:rsid w:val="00404889"/>
    <w:rsid w:val="004050FA"/>
    <w:rsid w:val="004051AF"/>
    <w:rsid w:val="00405752"/>
    <w:rsid w:val="0040575C"/>
    <w:rsid w:val="0040578C"/>
    <w:rsid w:val="00405987"/>
    <w:rsid w:val="00405B1F"/>
    <w:rsid w:val="00406580"/>
    <w:rsid w:val="00406952"/>
    <w:rsid w:val="00407608"/>
    <w:rsid w:val="00407993"/>
    <w:rsid w:val="00407C77"/>
    <w:rsid w:val="00410272"/>
    <w:rsid w:val="00410442"/>
    <w:rsid w:val="00410AC0"/>
    <w:rsid w:val="00410AFD"/>
    <w:rsid w:val="00410E62"/>
    <w:rsid w:val="00411833"/>
    <w:rsid w:val="00412341"/>
    <w:rsid w:val="00412F64"/>
    <w:rsid w:val="00413141"/>
    <w:rsid w:val="0041355A"/>
    <w:rsid w:val="00413A7D"/>
    <w:rsid w:val="00413E16"/>
    <w:rsid w:val="00414B3B"/>
    <w:rsid w:val="004157CF"/>
    <w:rsid w:val="004159E3"/>
    <w:rsid w:val="00415C09"/>
    <w:rsid w:val="00415EFF"/>
    <w:rsid w:val="00415F68"/>
    <w:rsid w:val="0041606D"/>
    <w:rsid w:val="00416100"/>
    <w:rsid w:val="004169E6"/>
    <w:rsid w:val="00416CFD"/>
    <w:rsid w:val="00417BEB"/>
    <w:rsid w:val="00417CC6"/>
    <w:rsid w:val="004202B5"/>
    <w:rsid w:val="004203C3"/>
    <w:rsid w:val="004210E7"/>
    <w:rsid w:val="004220D6"/>
    <w:rsid w:val="00422490"/>
    <w:rsid w:val="00422BFE"/>
    <w:rsid w:val="004235C0"/>
    <w:rsid w:val="00424127"/>
    <w:rsid w:val="00424381"/>
    <w:rsid w:val="00424652"/>
    <w:rsid w:val="004247F2"/>
    <w:rsid w:val="00424EAF"/>
    <w:rsid w:val="00425155"/>
    <w:rsid w:val="004258A1"/>
    <w:rsid w:val="00425C07"/>
    <w:rsid w:val="00426A99"/>
    <w:rsid w:val="00426AA7"/>
    <w:rsid w:val="004301AE"/>
    <w:rsid w:val="00430680"/>
    <w:rsid w:val="00430AA7"/>
    <w:rsid w:val="00430B20"/>
    <w:rsid w:val="00431343"/>
    <w:rsid w:val="00431616"/>
    <w:rsid w:val="00431C91"/>
    <w:rsid w:val="00431D54"/>
    <w:rsid w:val="00432272"/>
    <w:rsid w:val="004322F4"/>
    <w:rsid w:val="004324FF"/>
    <w:rsid w:val="00432727"/>
    <w:rsid w:val="0043283B"/>
    <w:rsid w:val="00432A55"/>
    <w:rsid w:val="00432E29"/>
    <w:rsid w:val="00433123"/>
    <w:rsid w:val="004334C7"/>
    <w:rsid w:val="00433E68"/>
    <w:rsid w:val="0043450F"/>
    <w:rsid w:val="004345C0"/>
    <w:rsid w:val="00434EBF"/>
    <w:rsid w:val="00434FA6"/>
    <w:rsid w:val="0043546C"/>
    <w:rsid w:val="00435850"/>
    <w:rsid w:val="004359E6"/>
    <w:rsid w:val="00436A7C"/>
    <w:rsid w:val="004372B7"/>
    <w:rsid w:val="00437607"/>
    <w:rsid w:val="00437823"/>
    <w:rsid w:val="004379E5"/>
    <w:rsid w:val="00437A9E"/>
    <w:rsid w:val="00437CF4"/>
    <w:rsid w:val="00437F9D"/>
    <w:rsid w:val="00440978"/>
    <w:rsid w:val="00440999"/>
    <w:rsid w:val="00440B5C"/>
    <w:rsid w:val="004412DF"/>
    <w:rsid w:val="0044180C"/>
    <w:rsid w:val="004421E5"/>
    <w:rsid w:val="0044238F"/>
    <w:rsid w:val="0044260A"/>
    <w:rsid w:val="004433C1"/>
    <w:rsid w:val="004439B0"/>
    <w:rsid w:val="00443A08"/>
    <w:rsid w:val="00443DBD"/>
    <w:rsid w:val="004441A1"/>
    <w:rsid w:val="004449BF"/>
    <w:rsid w:val="00444D82"/>
    <w:rsid w:val="00444F77"/>
    <w:rsid w:val="00445283"/>
    <w:rsid w:val="00445903"/>
    <w:rsid w:val="00446633"/>
    <w:rsid w:val="0044680F"/>
    <w:rsid w:val="00446FEB"/>
    <w:rsid w:val="00447105"/>
    <w:rsid w:val="0044726D"/>
    <w:rsid w:val="00447459"/>
    <w:rsid w:val="004476F8"/>
    <w:rsid w:val="004477B3"/>
    <w:rsid w:val="00447E30"/>
    <w:rsid w:val="00450D25"/>
    <w:rsid w:val="004510DD"/>
    <w:rsid w:val="00451113"/>
    <w:rsid w:val="00451378"/>
    <w:rsid w:val="00451AC5"/>
    <w:rsid w:val="00451B64"/>
    <w:rsid w:val="00451C89"/>
    <w:rsid w:val="00452058"/>
    <w:rsid w:val="00452084"/>
    <w:rsid w:val="004522BF"/>
    <w:rsid w:val="00452353"/>
    <w:rsid w:val="00453176"/>
    <w:rsid w:val="004538E7"/>
    <w:rsid w:val="0045399E"/>
    <w:rsid w:val="00453AE5"/>
    <w:rsid w:val="00453EFC"/>
    <w:rsid w:val="00454388"/>
    <w:rsid w:val="004548C9"/>
    <w:rsid w:val="00454DC8"/>
    <w:rsid w:val="00454E6A"/>
    <w:rsid w:val="004558DE"/>
    <w:rsid w:val="00456125"/>
    <w:rsid w:val="004564C6"/>
    <w:rsid w:val="004564F9"/>
    <w:rsid w:val="0045657B"/>
    <w:rsid w:val="004566D3"/>
    <w:rsid w:val="00456F63"/>
    <w:rsid w:val="00457520"/>
    <w:rsid w:val="00457985"/>
    <w:rsid w:val="00457A19"/>
    <w:rsid w:val="00457BDD"/>
    <w:rsid w:val="0046013E"/>
    <w:rsid w:val="00460485"/>
    <w:rsid w:val="0046105C"/>
    <w:rsid w:val="004610CC"/>
    <w:rsid w:val="004611B6"/>
    <w:rsid w:val="004618B6"/>
    <w:rsid w:val="00461B56"/>
    <w:rsid w:val="00461B6F"/>
    <w:rsid w:val="00461B9D"/>
    <w:rsid w:val="00461C45"/>
    <w:rsid w:val="004620B7"/>
    <w:rsid w:val="004621F3"/>
    <w:rsid w:val="0046292F"/>
    <w:rsid w:val="00462DE9"/>
    <w:rsid w:val="00462F49"/>
    <w:rsid w:val="00462FF8"/>
    <w:rsid w:val="00463141"/>
    <w:rsid w:val="004632FE"/>
    <w:rsid w:val="0046360A"/>
    <w:rsid w:val="004644EE"/>
    <w:rsid w:val="0046455F"/>
    <w:rsid w:val="00464B2A"/>
    <w:rsid w:val="00464B99"/>
    <w:rsid w:val="00465464"/>
    <w:rsid w:val="00465B30"/>
    <w:rsid w:val="00465E87"/>
    <w:rsid w:val="00465FD6"/>
    <w:rsid w:val="00466E86"/>
    <w:rsid w:val="00467108"/>
    <w:rsid w:val="0046790A"/>
    <w:rsid w:val="00467DD2"/>
    <w:rsid w:val="00470839"/>
    <w:rsid w:val="004708C0"/>
    <w:rsid w:val="00471183"/>
    <w:rsid w:val="0047170D"/>
    <w:rsid w:val="00471AC6"/>
    <w:rsid w:val="00471E29"/>
    <w:rsid w:val="00471ED6"/>
    <w:rsid w:val="00472236"/>
    <w:rsid w:val="00472996"/>
    <w:rsid w:val="004740A6"/>
    <w:rsid w:val="00474542"/>
    <w:rsid w:val="00474731"/>
    <w:rsid w:val="004747B6"/>
    <w:rsid w:val="00474F35"/>
    <w:rsid w:val="00475842"/>
    <w:rsid w:val="00476236"/>
    <w:rsid w:val="0047651E"/>
    <w:rsid w:val="00476F2C"/>
    <w:rsid w:val="00476F7D"/>
    <w:rsid w:val="004776BB"/>
    <w:rsid w:val="0047786A"/>
    <w:rsid w:val="00477A65"/>
    <w:rsid w:val="0048015D"/>
    <w:rsid w:val="0048050A"/>
    <w:rsid w:val="0048067E"/>
    <w:rsid w:val="004807F9"/>
    <w:rsid w:val="00481686"/>
    <w:rsid w:val="00481BB1"/>
    <w:rsid w:val="00481E6A"/>
    <w:rsid w:val="00481F2D"/>
    <w:rsid w:val="004820AA"/>
    <w:rsid w:val="004828AD"/>
    <w:rsid w:val="00482B65"/>
    <w:rsid w:val="00482DB3"/>
    <w:rsid w:val="00483647"/>
    <w:rsid w:val="00483942"/>
    <w:rsid w:val="00483A55"/>
    <w:rsid w:val="00484AAA"/>
    <w:rsid w:val="00484F46"/>
    <w:rsid w:val="004861D7"/>
    <w:rsid w:val="00486228"/>
    <w:rsid w:val="004862F0"/>
    <w:rsid w:val="004867F5"/>
    <w:rsid w:val="00486AFF"/>
    <w:rsid w:val="004878EC"/>
    <w:rsid w:val="00490726"/>
    <w:rsid w:val="00491683"/>
    <w:rsid w:val="00491D90"/>
    <w:rsid w:val="004925B7"/>
    <w:rsid w:val="00492910"/>
    <w:rsid w:val="00492BF4"/>
    <w:rsid w:val="00492D83"/>
    <w:rsid w:val="00493FCE"/>
    <w:rsid w:val="00493FE2"/>
    <w:rsid w:val="0049451A"/>
    <w:rsid w:val="00494CF9"/>
    <w:rsid w:val="004959BE"/>
    <w:rsid w:val="004963C8"/>
    <w:rsid w:val="0049649D"/>
    <w:rsid w:val="004972C3"/>
    <w:rsid w:val="00497463"/>
    <w:rsid w:val="004974D8"/>
    <w:rsid w:val="00497B2D"/>
    <w:rsid w:val="004A0236"/>
    <w:rsid w:val="004A05EF"/>
    <w:rsid w:val="004A0BBB"/>
    <w:rsid w:val="004A0D3E"/>
    <w:rsid w:val="004A0E1C"/>
    <w:rsid w:val="004A0E82"/>
    <w:rsid w:val="004A131E"/>
    <w:rsid w:val="004A1A7B"/>
    <w:rsid w:val="004A1C85"/>
    <w:rsid w:val="004A246A"/>
    <w:rsid w:val="004A26FB"/>
    <w:rsid w:val="004A2861"/>
    <w:rsid w:val="004A2B5C"/>
    <w:rsid w:val="004A302C"/>
    <w:rsid w:val="004A350B"/>
    <w:rsid w:val="004A35B9"/>
    <w:rsid w:val="004A369A"/>
    <w:rsid w:val="004A3797"/>
    <w:rsid w:val="004A3B3E"/>
    <w:rsid w:val="004A40E8"/>
    <w:rsid w:val="004A428E"/>
    <w:rsid w:val="004A45E9"/>
    <w:rsid w:val="004A4DD5"/>
    <w:rsid w:val="004A4E87"/>
    <w:rsid w:val="004A5A52"/>
    <w:rsid w:val="004A5AD7"/>
    <w:rsid w:val="004A5DBC"/>
    <w:rsid w:val="004A6E56"/>
    <w:rsid w:val="004A78DF"/>
    <w:rsid w:val="004A7DD9"/>
    <w:rsid w:val="004B0065"/>
    <w:rsid w:val="004B07B0"/>
    <w:rsid w:val="004B10F2"/>
    <w:rsid w:val="004B14C5"/>
    <w:rsid w:val="004B15A0"/>
    <w:rsid w:val="004B2EED"/>
    <w:rsid w:val="004B312A"/>
    <w:rsid w:val="004B388D"/>
    <w:rsid w:val="004B4432"/>
    <w:rsid w:val="004B4902"/>
    <w:rsid w:val="004B4AF5"/>
    <w:rsid w:val="004B562C"/>
    <w:rsid w:val="004B5953"/>
    <w:rsid w:val="004B6709"/>
    <w:rsid w:val="004B6857"/>
    <w:rsid w:val="004B6CF4"/>
    <w:rsid w:val="004B6E9E"/>
    <w:rsid w:val="004B6FAA"/>
    <w:rsid w:val="004B70EE"/>
    <w:rsid w:val="004B7284"/>
    <w:rsid w:val="004B74B0"/>
    <w:rsid w:val="004B772F"/>
    <w:rsid w:val="004C0092"/>
    <w:rsid w:val="004C06FD"/>
    <w:rsid w:val="004C07D6"/>
    <w:rsid w:val="004C1372"/>
    <w:rsid w:val="004C1B00"/>
    <w:rsid w:val="004C1CC7"/>
    <w:rsid w:val="004C240C"/>
    <w:rsid w:val="004C2947"/>
    <w:rsid w:val="004C313E"/>
    <w:rsid w:val="004C3400"/>
    <w:rsid w:val="004C3F8D"/>
    <w:rsid w:val="004C458B"/>
    <w:rsid w:val="004C4C02"/>
    <w:rsid w:val="004C4E6E"/>
    <w:rsid w:val="004C502B"/>
    <w:rsid w:val="004C54D2"/>
    <w:rsid w:val="004C5649"/>
    <w:rsid w:val="004C5777"/>
    <w:rsid w:val="004C605D"/>
    <w:rsid w:val="004C6B9E"/>
    <w:rsid w:val="004C79AD"/>
    <w:rsid w:val="004C7D31"/>
    <w:rsid w:val="004D0173"/>
    <w:rsid w:val="004D1056"/>
    <w:rsid w:val="004D129C"/>
    <w:rsid w:val="004D142C"/>
    <w:rsid w:val="004D1CC9"/>
    <w:rsid w:val="004D1EC6"/>
    <w:rsid w:val="004D2668"/>
    <w:rsid w:val="004D27B9"/>
    <w:rsid w:val="004D2A35"/>
    <w:rsid w:val="004D2B7B"/>
    <w:rsid w:val="004D2CC1"/>
    <w:rsid w:val="004D308E"/>
    <w:rsid w:val="004D328E"/>
    <w:rsid w:val="004D3577"/>
    <w:rsid w:val="004D3787"/>
    <w:rsid w:val="004D385F"/>
    <w:rsid w:val="004D3BEB"/>
    <w:rsid w:val="004D3C2E"/>
    <w:rsid w:val="004D3C8A"/>
    <w:rsid w:val="004D3D90"/>
    <w:rsid w:val="004D407C"/>
    <w:rsid w:val="004D4A11"/>
    <w:rsid w:val="004D4D86"/>
    <w:rsid w:val="004D4F8D"/>
    <w:rsid w:val="004D5824"/>
    <w:rsid w:val="004D5996"/>
    <w:rsid w:val="004D5A3B"/>
    <w:rsid w:val="004D5D28"/>
    <w:rsid w:val="004D5F20"/>
    <w:rsid w:val="004D613B"/>
    <w:rsid w:val="004D68B4"/>
    <w:rsid w:val="004D68F6"/>
    <w:rsid w:val="004D69BE"/>
    <w:rsid w:val="004D6BAE"/>
    <w:rsid w:val="004D7591"/>
    <w:rsid w:val="004D7688"/>
    <w:rsid w:val="004D7889"/>
    <w:rsid w:val="004D7BCD"/>
    <w:rsid w:val="004E0374"/>
    <w:rsid w:val="004E11A1"/>
    <w:rsid w:val="004E1287"/>
    <w:rsid w:val="004E12A3"/>
    <w:rsid w:val="004E12B5"/>
    <w:rsid w:val="004E12BC"/>
    <w:rsid w:val="004E1362"/>
    <w:rsid w:val="004E144D"/>
    <w:rsid w:val="004E1506"/>
    <w:rsid w:val="004E187D"/>
    <w:rsid w:val="004E18AF"/>
    <w:rsid w:val="004E19FA"/>
    <w:rsid w:val="004E1EDE"/>
    <w:rsid w:val="004E21E2"/>
    <w:rsid w:val="004E293F"/>
    <w:rsid w:val="004E2D1E"/>
    <w:rsid w:val="004E2EAC"/>
    <w:rsid w:val="004E2EFB"/>
    <w:rsid w:val="004E33AF"/>
    <w:rsid w:val="004E37EF"/>
    <w:rsid w:val="004E380D"/>
    <w:rsid w:val="004E3D2E"/>
    <w:rsid w:val="004E42F9"/>
    <w:rsid w:val="004E433E"/>
    <w:rsid w:val="004E445F"/>
    <w:rsid w:val="004E4D47"/>
    <w:rsid w:val="004E4DBC"/>
    <w:rsid w:val="004E5034"/>
    <w:rsid w:val="004E5425"/>
    <w:rsid w:val="004E5FF4"/>
    <w:rsid w:val="004E610E"/>
    <w:rsid w:val="004E6550"/>
    <w:rsid w:val="004E6ADF"/>
    <w:rsid w:val="004E6BB3"/>
    <w:rsid w:val="004E71D1"/>
    <w:rsid w:val="004E75AE"/>
    <w:rsid w:val="004E7922"/>
    <w:rsid w:val="004E7B66"/>
    <w:rsid w:val="004E7BFD"/>
    <w:rsid w:val="004F008E"/>
    <w:rsid w:val="004F0DFC"/>
    <w:rsid w:val="004F105D"/>
    <w:rsid w:val="004F13C2"/>
    <w:rsid w:val="004F14DA"/>
    <w:rsid w:val="004F1C0B"/>
    <w:rsid w:val="004F1C34"/>
    <w:rsid w:val="004F1DE2"/>
    <w:rsid w:val="004F2265"/>
    <w:rsid w:val="004F280A"/>
    <w:rsid w:val="004F2DC3"/>
    <w:rsid w:val="004F2F65"/>
    <w:rsid w:val="004F3441"/>
    <w:rsid w:val="004F3C8F"/>
    <w:rsid w:val="004F3E9B"/>
    <w:rsid w:val="004F41B2"/>
    <w:rsid w:val="004F4926"/>
    <w:rsid w:val="004F4AD0"/>
    <w:rsid w:val="004F4AFC"/>
    <w:rsid w:val="004F5135"/>
    <w:rsid w:val="004F52A5"/>
    <w:rsid w:val="004F56B3"/>
    <w:rsid w:val="004F5907"/>
    <w:rsid w:val="004F5A2C"/>
    <w:rsid w:val="004F5DD1"/>
    <w:rsid w:val="004F68EB"/>
    <w:rsid w:val="004F6FBF"/>
    <w:rsid w:val="004F728E"/>
    <w:rsid w:val="004F7336"/>
    <w:rsid w:val="004F7559"/>
    <w:rsid w:val="004F789A"/>
    <w:rsid w:val="004F78E1"/>
    <w:rsid w:val="004F7EDA"/>
    <w:rsid w:val="004F7FB8"/>
    <w:rsid w:val="005006C9"/>
    <w:rsid w:val="00500C8C"/>
    <w:rsid w:val="0050102F"/>
    <w:rsid w:val="00501375"/>
    <w:rsid w:val="00501833"/>
    <w:rsid w:val="00501D33"/>
    <w:rsid w:val="00501D3B"/>
    <w:rsid w:val="00501DB7"/>
    <w:rsid w:val="005022C9"/>
    <w:rsid w:val="005029C1"/>
    <w:rsid w:val="00502B8F"/>
    <w:rsid w:val="00503F5F"/>
    <w:rsid w:val="00504DAD"/>
    <w:rsid w:val="005055E0"/>
    <w:rsid w:val="00505977"/>
    <w:rsid w:val="00505F42"/>
    <w:rsid w:val="00505F7A"/>
    <w:rsid w:val="00507108"/>
    <w:rsid w:val="0050713C"/>
    <w:rsid w:val="0050779D"/>
    <w:rsid w:val="0050789B"/>
    <w:rsid w:val="00507FA3"/>
    <w:rsid w:val="00510624"/>
    <w:rsid w:val="005113E6"/>
    <w:rsid w:val="005116C6"/>
    <w:rsid w:val="005119A0"/>
    <w:rsid w:val="00511AD6"/>
    <w:rsid w:val="00511EF4"/>
    <w:rsid w:val="00512925"/>
    <w:rsid w:val="0051374D"/>
    <w:rsid w:val="005137EA"/>
    <w:rsid w:val="005139EA"/>
    <w:rsid w:val="0051439D"/>
    <w:rsid w:val="005143B2"/>
    <w:rsid w:val="00514674"/>
    <w:rsid w:val="00514EF3"/>
    <w:rsid w:val="0051535C"/>
    <w:rsid w:val="005161AB"/>
    <w:rsid w:val="00516E52"/>
    <w:rsid w:val="00517360"/>
    <w:rsid w:val="00517952"/>
    <w:rsid w:val="00517A10"/>
    <w:rsid w:val="00520054"/>
    <w:rsid w:val="00520911"/>
    <w:rsid w:val="00520BB8"/>
    <w:rsid w:val="00520BBB"/>
    <w:rsid w:val="00520C44"/>
    <w:rsid w:val="005216C8"/>
    <w:rsid w:val="00521A04"/>
    <w:rsid w:val="005221F1"/>
    <w:rsid w:val="00522377"/>
    <w:rsid w:val="00522BBA"/>
    <w:rsid w:val="005230DF"/>
    <w:rsid w:val="00523333"/>
    <w:rsid w:val="005237EC"/>
    <w:rsid w:val="00523891"/>
    <w:rsid w:val="00523934"/>
    <w:rsid w:val="0052396A"/>
    <w:rsid w:val="00523997"/>
    <w:rsid w:val="00524310"/>
    <w:rsid w:val="00524A3F"/>
    <w:rsid w:val="00524AEB"/>
    <w:rsid w:val="00524B38"/>
    <w:rsid w:val="00524CB8"/>
    <w:rsid w:val="005250D7"/>
    <w:rsid w:val="00525456"/>
    <w:rsid w:val="00526095"/>
    <w:rsid w:val="00526599"/>
    <w:rsid w:val="0052660E"/>
    <w:rsid w:val="00526729"/>
    <w:rsid w:val="005269CB"/>
    <w:rsid w:val="00526BF3"/>
    <w:rsid w:val="00527131"/>
    <w:rsid w:val="005275AC"/>
    <w:rsid w:val="00527725"/>
    <w:rsid w:val="0052779A"/>
    <w:rsid w:val="00527A0D"/>
    <w:rsid w:val="00527A80"/>
    <w:rsid w:val="00527B12"/>
    <w:rsid w:val="0053020A"/>
    <w:rsid w:val="00530452"/>
    <w:rsid w:val="0053084A"/>
    <w:rsid w:val="00532236"/>
    <w:rsid w:val="0053240F"/>
    <w:rsid w:val="00532836"/>
    <w:rsid w:val="00532F60"/>
    <w:rsid w:val="00533568"/>
    <w:rsid w:val="005338EA"/>
    <w:rsid w:val="00533900"/>
    <w:rsid w:val="00533CA0"/>
    <w:rsid w:val="0053403D"/>
    <w:rsid w:val="005347F2"/>
    <w:rsid w:val="00534BF9"/>
    <w:rsid w:val="00534D9E"/>
    <w:rsid w:val="005350C5"/>
    <w:rsid w:val="00535572"/>
    <w:rsid w:val="00535899"/>
    <w:rsid w:val="005377B6"/>
    <w:rsid w:val="00537947"/>
    <w:rsid w:val="00537995"/>
    <w:rsid w:val="00537A7D"/>
    <w:rsid w:val="0054031C"/>
    <w:rsid w:val="005409A0"/>
    <w:rsid w:val="00540B6A"/>
    <w:rsid w:val="00540D30"/>
    <w:rsid w:val="00540D52"/>
    <w:rsid w:val="0054161A"/>
    <w:rsid w:val="00541DFE"/>
    <w:rsid w:val="00542049"/>
    <w:rsid w:val="00542219"/>
    <w:rsid w:val="0054292B"/>
    <w:rsid w:val="0054336C"/>
    <w:rsid w:val="005438B6"/>
    <w:rsid w:val="0054395C"/>
    <w:rsid w:val="00543D5F"/>
    <w:rsid w:val="00543E6C"/>
    <w:rsid w:val="00544184"/>
    <w:rsid w:val="0054449B"/>
    <w:rsid w:val="005445B0"/>
    <w:rsid w:val="00544E6C"/>
    <w:rsid w:val="005452A5"/>
    <w:rsid w:val="00545769"/>
    <w:rsid w:val="00545DA6"/>
    <w:rsid w:val="00545EB4"/>
    <w:rsid w:val="005468D2"/>
    <w:rsid w:val="00546EA3"/>
    <w:rsid w:val="00546EF4"/>
    <w:rsid w:val="005472EA"/>
    <w:rsid w:val="00547372"/>
    <w:rsid w:val="0054787A"/>
    <w:rsid w:val="00550CB4"/>
    <w:rsid w:val="00550D54"/>
    <w:rsid w:val="00550D72"/>
    <w:rsid w:val="00550E9E"/>
    <w:rsid w:val="00551372"/>
    <w:rsid w:val="00551789"/>
    <w:rsid w:val="005524F1"/>
    <w:rsid w:val="00552DD0"/>
    <w:rsid w:val="00553032"/>
    <w:rsid w:val="00553B4D"/>
    <w:rsid w:val="00553F68"/>
    <w:rsid w:val="00554E65"/>
    <w:rsid w:val="005551B6"/>
    <w:rsid w:val="005552FD"/>
    <w:rsid w:val="00556849"/>
    <w:rsid w:val="00556B15"/>
    <w:rsid w:val="00556D3B"/>
    <w:rsid w:val="00557C08"/>
    <w:rsid w:val="005600E5"/>
    <w:rsid w:val="0056019C"/>
    <w:rsid w:val="00560BA1"/>
    <w:rsid w:val="00561E55"/>
    <w:rsid w:val="0056205B"/>
    <w:rsid w:val="00562B0A"/>
    <w:rsid w:val="00562CA3"/>
    <w:rsid w:val="00562FCC"/>
    <w:rsid w:val="00562FE5"/>
    <w:rsid w:val="00564027"/>
    <w:rsid w:val="005644A3"/>
    <w:rsid w:val="00564878"/>
    <w:rsid w:val="005649E0"/>
    <w:rsid w:val="00564E8F"/>
    <w:rsid w:val="00564E9F"/>
    <w:rsid w:val="00564F4C"/>
    <w:rsid w:val="0056543D"/>
    <w:rsid w:val="005677D7"/>
    <w:rsid w:val="00567999"/>
    <w:rsid w:val="00567C8E"/>
    <w:rsid w:val="00567F1A"/>
    <w:rsid w:val="00570733"/>
    <w:rsid w:val="00570C2F"/>
    <w:rsid w:val="00571140"/>
    <w:rsid w:val="0057146C"/>
    <w:rsid w:val="00571A71"/>
    <w:rsid w:val="00571B11"/>
    <w:rsid w:val="00571B20"/>
    <w:rsid w:val="005728A4"/>
    <w:rsid w:val="005728D9"/>
    <w:rsid w:val="005729EB"/>
    <w:rsid w:val="00572D9F"/>
    <w:rsid w:val="00573689"/>
    <w:rsid w:val="005740EC"/>
    <w:rsid w:val="00575616"/>
    <w:rsid w:val="00575B19"/>
    <w:rsid w:val="005763FC"/>
    <w:rsid w:val="00576E50"/>
    <w:rsid w:val="00576EB4"/>
    <w:rsid w:val="005773C2"/>
    <w:rsid w:val="005779F4"/>
    <w:rsid w:val="00577AA0"/>
    <w:rsid w:val="00577B30"/>
    <w:rsid w:val="00577DB8"/>
    <w:rsid w:val="0058057C"/>
    <w:rsid w:val="00580E34"/>
    <w:rsid w:val="00581074"/>
    <w:rsid w:val="00581D35"/>
    <w:rsid w:val="00581EBC"/>
    <w:rsid w:val="00581F9C"/>
    <w:rsid w:val="00582462"/>
    <w:rsid w:val="00582768"/>
    <w:rsid w:val="00582966"/>
    <w:rsid w:val="00582C6B"/>
    <w:rsid w:val="00582EBF"/>
    <w:rsid w:val="00583294"/>
    <w:rsid w:val="00583461"/>
    <w:rsid w:val="00583505"/>
    <w:rsid w:val="005836E0"/>
    <w:rsid w:val="005841BB"/>
    <w:rsid w:val="005846F7"/>
    <w:rsid w:val="00584CFC"/>
    <w:rsid w:val="005856A4"/>
    <w:rsid w:val="00585C19"/>
    <w:rsid w:val="00586AC5"/>
    <w:rsid w:val="00586CB8"/>
    <w:rsid w:val="0058702A"/>
    <w:rsid w:val="005872C4"/>
    <w:rsid w:val="00590730"/>
    <w:rsid w:val="00590E5A"/>
    <w:rsid w:val="005910D6"/>
    <w:rsid w:val="00591309"/>
    <w:rsid w:val="00592455"/>
    <w:rsid w:val="005929E1"/>
    <w:rsid w:val="00593223"/>
    <w:rsid w:val="0059346A"/>
    <w:rsid w:val="005934C9"/>
    <w:rsid w:val="00593B78"/>
    <w:rsid w:val="00593C35"/>
    <w:rsid w:val="0059410D"/>
    <w:rsid w:val="005948E7"/>
    <w:rsid w:val="0059509C"/>
    <w:rsid w:val="00595687"/>
    <w:rsid w:val="005956FD"/>
    <w:rsid w:val="00595EE7"/>
    <w:rsid w:val="0059660B"/>
    <w:rsid w:val="00596771"/>
    <w:rsid w:val="005967E4"/>
    <w:rsid w:val="005969EF"/>
    <w:rsid w:val="00596DB3"/>
    <w:rsid w:val="005975FF"/>
    <w:rsid w:val="0059774E"/>
    <w:rsid w:val="00597972"/>
    <w:rsid w:val="005A090C"/>
    <w:rsid w:val="005A1881"/>
    <w:rsid w:val="005A1DF3"/>
    <w:rsid w:val="005A2ACD"/>
    <w:rsid w:val="005A2CA9"/>
    <w:rsid w:val="005A2E60"/>
    <w:rsid w:val="005A3051"/>
    <w:rsid w:val="005A3A98"/>
    <w:rsid w:val="005A3BD8"/>
    <w:rsid w:val="005A3C62"/>
    <w:rsid w:val="005A4D7E"/>
    <w:rsid w:val="005A4EE5"/>
    <w:rsid w:val="005A4FDD"/>
    <w:rsid w:val="005A53FE"/>
    <w:rsid w:val="005A5432"/>
    <w:rsid w:val="005A55FE"/>
    <w:rsid w:val="005A5619"/>
    <w:rsid w:val="005A59B1"/>
    <w:rsid w:val="005A64DC"/>
    <w:rsid w:val="005A699A"/>
    <w:rsid w:val="005A6C69"/>
    <w:rsid w:val="005A6D96"/>
    <w:rsid w:val="005A709D"/>
    <w:rsid w:val="005A70E1"/>
    <w:rsid w:val="005A7687"/>
    <w:rsid w:val="005A79F6"/>
    <w:rsid w:val="005A7A19"/>
    <w:rsid w:val="005A7CC5"/>
    <w:rsid w:val="005B0CBA"/>
    <w:rsid w:val="005B0D5C"/>
    <w:rsid w:val="005B1C63"/>
    <w:rsid w:val="005B1F0D"/>
    <w:rsid w:val="005B2644"/>
    <w:rsid w:val="005B2A27"/>
    <w:rsid w:val="005B2AC3"/>
    <w:rsid w:val="005B2C2F"/>
    <w:rsid w:val="005B3DDD"/>
    <w:rsid w:val="005B3E75"/>
    <w:rsid w:val="005B3F18"/>
    <w:rsid w:val="005B469F"/>
    <w:rsid w:val="005B4C74"/>
    <w:rsid w:val="005B4DA5"/>
    <w:rsid w:val="005B5F14"/>
    <w:rsid w:val="005B651E"/>
    <w:rsid w:val="005B6673"/>
    <w:rsid w:val="005B66EA"/>
    <w:rsid w:val="005B6755"/>
    <w:rsid w:val="005B71E4"/>
    <w:rsid w:val="005B71F3"/>
    <w:rsid w:val="005B74F7"/>
    <w:rsid w:val="005B771A"/>
    <w:rsid w:val="005B7D22"/>
    <w:rsid w:val="005C0134"/>
    <w:rsid w:val="005C029E"/>
    <w:rsid w:val="005C0445"/>
    <w:rsid w:val="005C0C5F"/>
    <w:rsid w:val="005C0F83"/>
    <w:rsid w:val="005C19BF"/>
    <w:rsid w:val="005C1D81"/>
    <w:rsid w:val="005C2773"/>
    <w:rsid w:val="005C3F41"/>
    <w:rsid w:val="005C3FD2"/>
    <w:rsid w:val="005C418E"/>
    <w:rsid w:val="005C4675"/>
    <w:rsid w:val="005C5165"/>
    <w:rsid w:val="005C58B8"/>
    <w:rsid w:val="005C59C0"/>
    <w:rsid w:val="005C5AAB"/>
    <w:rsid w:val="005C5AC0"/>
    <w:rsid w:val="005C604A"/>
    <w:rsid w:val="005C6418"/>
    <w:rsid w:val="005C6775"/>
    <w:rsid w:val="005C6A46"/>
    <w:rsid w:val="005C724F"/>
    <w:rsid w:val="005C74F1"/>
    <w:rsid w:val="005C7739"/>
    <w:rsid w:val="005C7AAB"/>
    <w:rsid w:val="005C7D5A"/>
    <w:rsid w:val="005D0C0C"/>
    <w:rsid w:val="005D125A"/>
    <w:rsid w:val="005D142A"/>
    <w:rsid w:val="005D166B"/>
    <w:rsid w:val="005D1863"/>
    <w:rsid w:val="005D1E8E"/>
    <w:rsid w:val="005D207B"/>
    <w:rsid w:val="005D2218"/>
    <w:rsid w:val="005D22A5"/>
    <w:rsid w:val="005D2800"/>
    <w:rsid w:val="005D36EB"/>
    <w:rsid w:val="005D3F48"/>
    <w:rsid w:val="005D461E"/>
    <w:rsid w:val="005D4683"/>
    <w:rsid w:val="005D4695"/>
    <w:rsid w:val="005D4B45"/>
    <w:rsid w:val="005D549C"/>
    <w:rsid w:val="005D59D7"/>
    <w:rsid w:val="005D5AEE"/>
    <w:rsid w:val="005D645A"/>
    <w:rsid w:val="005D67F9"/>
    <w:rsid w:val="005D6ADD"/>
    <w:rsid w:val="005D6B8C"/>
    <w:rsid w:val="005D6E7B"/>
    <w:rsid w:val="005D7267"/>
    <w:rsid w:val="005D7F18"/>
    <w:rsid w:val="005E01D6"/>
    <w:rsid w:val="005E07E3"/>
    <w:rsid w:val="005E080A"/>
    <w:rsid w:val="005E085D"/>
    <w:rsid w:val="005E0D07"/>
    <w:rsid w:val="005E0FE9"/>
    <w:rsid w:val="005E1229"/>
    <w:rsid w:val="005E187B"/>
    <w:rsid w:val="005E27BC"/>
    <w:rsid w:val="005E29F9"/>
    <w:rsid w:val="005E2FDB"/>
    <w:rsid w:val="005E32C2"/>
    <w:rsid w:val="005E3FA7"/>
    <w:rsid w:val="005E3FD3"/>
    <w:rsid w:val="005E40BC"/>
    <w:rsid w:val="005E433B"/>
    <w:rsid w:val="005E49D1"/>
    <w:rsid w:val="005E4EAA"/>
    <w:rsid w:val="005E4F66"/>
    <w:rsid w:val="005E53E7"/>
    <w:rsid w:val="005E5A8D"/>
    <w:rsid w:val="005E5E8F"/>
    <w:rsid w:val="005E60D2"/>
    <w:rsid w:val="005E6C6C"/>
    <w:rsid w:val="005E7578"/>
    <w:rsid w:val="005E7608"/>
    <w:rsid w:val="005E7963"/>
    <w:rsid w:val="005E7B24"/>
    <w:rsid w:val="005F009E"/>
    <w:rsid w:val="005F0102"/>
    <w:rsid w:val="005F0BFF"/>
    <w:rsid w:val="005F10D8"/>
    <w:rsid w:val="005F218C"/>
    <w:rsid w:val="005F2945"/>
    <w:rsid w:val="005F2EF6"/>
    <w:rsid w:val="005F33A6"/>
    <w:rsid w:val="005F3785"/>
    <w:rsid w:val="005F3A26"/>
    <w:rsid w:val="005F3AC8"/>
    <w:rsid w:val="005F401F"/>
    <w:rsid w:val="005F4396"/>
    <w:rsid w:val="005F4523"/>
    <w:rsid w:val="005F46EB"/>
    <w:rsid w:val="005F4DC2"/>
    <w:rsid w:val="005F4DF8"/>
    <w:rsid w:val="005F5BD9"/>
    <w:rsid w:val="005F5F13"/>
    <w:rsid w:val="005F6216"/>
    <w:rsid w:val="005F631B"/>
    <w:rsid w:val="005F69B0"/>
    <w:rsid w:val="005F6E20"/>
    <w:rsid w:val="005F74DD"/>
    <w:rsid w:val="005F75EF"/>
    <w:rsid w:val="005F7BE6"/>
    <w:rsid w:val="005F7DDE"/>
    <w:rsid w:val="005F7FF1"/>
    <w:rsid w:val="00600433"/>
    <w:rsid w:val="006004D0"/>
    <w:rsid w:val="00600D5D"/>
    <w:rsid w:val="0060184B"/>
    <w:rsid w:val="00601980"/>
    <w:rsid w:val="00601991"/>
    <w:rsid w:val="00601A87"/>
    <w:rsid w:val="00601C8E"/>
    <w:rsid w:val="00601D4D"/>
    <w:rsid w:val="006021B4"/>
    <w:rsid w:val="00602250"/>
    <w:rsid w:val="00602984"/>
    <w:rsid w:val="00603B20"/>
    <w:rsid w:val="00604473"/>
    <w:rsid w:val="00604DDF"/>
    <w:rsid w:val="00604EDD"/>
    <w:rsid w:val="00605125"/>
    <w:rsid w:val="00605670"/>
    <w:rsid w:val="00605B5B"/>
    <w:rsid w:val="00605DB4"/>
    <w:rsid w:val="0060609D"/>
    <w:rsid w:val="006062D8"/>
    <w:rsid w:val="00606827"/>
    <w:rsid w:val="00606C23"/>
    <w:rsid w:val="00606D13"/>
    <w:rsid w:val="00607593"/>
    <w:rsid w:val="006075FB"/>
    <w:rsid w:val="006077D8"/>
    <w:rsid w:val="006079B2"/>
    <w:rsid w:val="0061015B"/>
    <w:rsid w:val="0061046C"/>
    <w:rsid w:val="00610593"/>
    <w:rsid w:val="00610E7B"/>
    <w:rsid w:val="00610F7F"/>
    <w:rsid w:val="00611E40"/>
    <w:rsid w:val="00611FEE"/>
    <w:rsid w:val="00612012"/>
    <w:rsid w:val="006121C8"/>
    <w:rsid w:val="00612269"/>
    <w:rsid w:val="00612CCB"/>
    <w:rsid w:val="00613105"/>
    <w:rsid w:val="0061397F"/>
    <w:rsid w:val="006141AF"/>
    <w:rsid w:val="00615422"/>
    <w:rsid w:val="00615561"/>
    <w:rsid w:val="006155D9"/>
    <w:rsid w:val="006157B0"/>
    <w:rsid w:val="006158AE"/>
    <w:rsid w:val="00615CB6"/>
    <w:rsid w:val="00615F2D"/>
    <w:rsid w:val="00616358"/>
    <w:rsid w:val="00617570"/>
    <w:rsid w:val="0061761C"/>
    <w:rsid w:val="00617DE9"/>
    <w:rsid w:val="00620262"/>
    <w:rsid w:val="00620ACE"/>
    <w:rsid w:val="00620DD0"/>
    <w:rsid w:val="00620E14"/>
    <w:rsid w:val="00620FB4"/>
    <w:rsid w:val="006215FB"/>
    <w:rsid w:val="0062179E"/>
    <w:rsid w:val="00621B4C"/>
    <w:rsid w:val="00621FD1"/>
    <w:rsid w:val="00622A0E"/>
    <w:rsid w:val="00623065"/>
    <w:rsid w:val="006236B6"/>
    <w:rsid w:val="006237A5"/>
    <w:rsid w:val="00624791"/>
    <w:rsid w:val="00624BBB"/>
    <w:rsid w:val="006252F4"/>
    <w:rsid w:val="0062534E"/>
    <w:rsid w:val="00625CB6"/>
    <w:rsid w:val="00625DC5"/>
    <w:rsid w:val="00625E04"/>
    <w:rsid w:val="0062664B"/>
    <w:rsid w:val="0062665A"/>
    <w:rsid w:val="00626AEC"/>
    <w:rsid w:val="00626BC7"/>
    <w:rsid w:val="00627104"/>
    <w:rsid w:val="00627C52"/>
    <w:rsid w:val="00630937"/>
    <w:rsid w:val="006316AA"/>
    <w:rsid w:val="0063233A"/>
    <w:rsid w:val="00632564"/>
    <w:rsid w:val="006325BC"/>
    <w:rsid w:val="00632CAE"/>
    <w:rsid w:val="00632EBA"/>
    <w:rsid w:val="00633373"/>
    <w:rsid w:val="00633A2C"/>
    <w:rsid w:val="00633A31"/>
    <w:rsid w:val="00633AD2"/>
    <w:rsid w:val="006341B1"/>
    <w:rsid w:val="0063444E"/>
    <w:rsid w:val="0063473A"/>
    <w:rsid w:val="006352E2"/>
    <w:rsid w:val="00635B2F"/>
    <w:rsid w:val="00635CBC"/>
    <w:rsid w:val="00635CEE"/>
    <w:rsid w:val="006361BC"/>
    <w:rsid w:val="00636226"/>
    <w:rsid w:val="006365E9"/>
    <w:rsid w:val="006369E5"/>
    <w:rsid w:val="00636E50"/>
    <w:rsid w:val="00636EB3"/>
    <w:rsid w:val="006412DD"/>
    <w:rsid w:val="006415C9"/>
    <w:rsid w:val="006417EF"/>
    <w:rsid w:val="0064187C"/>
    <w:rsid w:val="0064217B"/>
    <w:rsid w:val="00642B71"/>
    <w:rsid w:val="00642C22"/>
    <w:rsid w:val="00642E4A"/>
    <w:rsid w:val="0064303E"/>
    <w:rsid w:val="006433FC"/>
    <w:rsid w:val="006434DD"/>
    <w:rsid w:val="00643B4E"/>
    <w:rsid w:val="00644EB4"/>
    <w:rsid w:val="00644F88"/>
    <w:rsid w:val="00645611"/>
    <w:rsid w:val="00646189"/>
    <w:rsid w:val="00646351"/>
    <w:rsid w:val="00646357"/>
    <w:rsid w:val="00646597"/>
    <w:rsid w:val="006466E2"/>
    <w:rsid w:val="00646E5A"/>
    <w:rsid w:val="006476A7"/>
    <w:rsid w:val="0064786A"/>
    <w:rsid w:val="006479E5"/>
    <w:rsid w:val="00650659"/>
    <w:rsid w:val="00650CD5"/>
    <w:rsid w:val="00651B24"/>
    <w:rsid w:val="006520C5"/>
    <w:rsid w:val="00652BC7"/>
    <w:rsid w:val="006532D2"/>
    <w:rsid w:val="00653A90"/>
    <w:rsid w:val="00653B84"/>
    <w:rsid w:val="00653E0D"/>
    <w:rsid w:val="00653EE7"/>
    <w:rsid w:val="00654240"/>
    <w:rsid w:val="006543AB"/>
    <w:rsid w:val="0065440D"/>
    <w:rsid w:val="0065560E"/>
    <w:rsid w:val="00655E5D"/>
    <w:rsid w:val="006562A8"/>
    <w:rsid w:val="006565D1"/>
    <w:rsid w:val="00656882"/>
    <w:rsid w:val="00656991"/>
    <w:rsid w:val="00656BFD"/>
    <w:rsid w:val="006574B7"/>
    <w:rsid w:val="00657641"/>
    <w:rsid w:val="00657A65"/>
    <w:rsid w:val="00657B87"/>
    <w:rsid w:val="00657CC9"/>
    <w:rsid w:val="00657F0A"/>
    <w:rsid w:val="006604CD"/>
    <w:rsid w:val="006605DE"/>
    <w:rsid w:val="00660618"/>
    <w:rsid w:val="00660B2E"/>
    <w:rsid w:val="00660D2F"/>
    <w:rsid w:val="00661021"/>
    <w:rsid w:val="00661A02"/>
    <w:rsid w:val="00662605"/>
    <w:rsid w:val="006626DA"/>
    <w:rsid w:val="006627E7"/>
    <w:rsid w:val="0066298E"/>
    <w:rsid w:val="006629F2"/>
    <w:rsid w:val="00662E36"/>
    <w:rsid w:val="006632E5"/>
    <w:rsid w:val="00663335"/>
    <w:rsid w:val="00663977"/>
    <w:rsid w:val="00663C06"/>
    <w:rsid w:val="00663D01"/>
    <w:rsid w:val="00663ED8"/>
    <w:rsid w:val="006641A4"/>
    <w:rsid w:val="0066455D"/>
    <w:rsid w:val="00664AF9"/>
    <w:rsid w:val="00664C16"/>
    <w:rsid w:val="006652D6"/>
    <w:rsid w:val="00665B21"/>
    <w:rsid w:val="006663CC"/>
    <w:rsid w:val="006666E2"/>
    <w:rsid w:val="006675D5"/>
    <w:rsid w:val="0066782B"/>
    <w:rsid w:val="00667BC3"/>
    <w:rsid w:val="0067000C"/>
    <w:rsid w:val="00670BA9"/>
    <w:rsid w:val="00671140"/>
    <w:rsid w:val="00671332"/>
    <w:rsid w:val="00671802"/>
    <w:rsid w:val="00671C69"/>
    <w:rsid w:val="006724C7"/>
    <w:rsid w:val="00672ECE"/>
    <w:rsid w:val="006738F1"/>
    <w:rsid w:val="0067422D"/>
    <w:rsid w:val="0067474B"/>
    <w:rsid w:val="00674BDF"/>
    <w:rsid w:val="00674CD1"/>
    <w:rsid w:val="00674CD3"/>
    <w:rsid w:val="00675759"/>
    <w:rsid w:val="00675797"/>
    <w:rsid w:val="006758F9"/>
    <w:rsid w:val="00675C65"/>
    <w:rsid w:val="0067605C"/>
    <w:rsid w:val="006763B1"/>
    <w:rsid w:val="00676608"/>
    <w:rsid w:val="0067671B"/>
    <w:rsid w:val="00676F00"/>
    <w:rsid w:val="00677B4C"/>
    <w:rsid w:val="00680B10"/>
    <w:rsid w:val="00680BC4"/>
    <w:rsid w:val="00680F0A"/>
    <w:rsid w:val="00681104"/>
    <w:rsid w:val="00681E18"/>
    <w:rsid w:val="006820F8"/>
    <w:rsid w:val="00682BA7"/>
    <w:rsid w:val="00682DF5"/>
    <w:rsid w:val="006836B2"/>
    <w:rsid w:val="00683932"/>
    <w:rsid w:val="00683D09"/>
    <w:rsid w:val="00683F30"/>
    <w:rsid w:val="00684318"/>
    <w:rsid w:val="006850C5"/>
    <w:rsid w:val="00686333"/>
    <w:rsid w:val="006865C8"/>
    <w:rsid w:val="00686B48"/>
    <w:rsid w:val="00686E74"/>
    <w:rsid w:val="00687038"/>
    <w:rsid w:val="0068714E"/>
    <w:rsid w:val="006872F5"/>
    <w:rsid w:val="006873EA"/>
    <w:rsid w:val="006874F8"/>
    <w:rsid w:val="0068780B"/>
    <w:rsid w:val="00690CFD"/>
    <w:rsid w:val="006917A0"/>
    <w:rsid w:val="006919BA"/>
    <w:rsid w:val="00691BCF"/>
    <w:rsid w:val="0069228A"/>
    <w:rsid w:val="006929F7"/>
    <w:rsid w:val="00693408"/>
    <w:rsid w:val="00693684"/>
    <w:rsid w:val="0069374A"/>
    <w:rsid w:val="00693833"/>
    <w:rsid w:val="00693E69"/>
    <w:rsid w:val="006942BA"/>
    <w:rsid w:val="00694AB8"/>
    <w:rsid w:val="00695508"/>
    <w:rsid w:val="006956EA"/>
    <w:rsid w:val="0069571E"/>
    <w:rsid w:val="00695C79"/>
    <w:rsid w:val="00695EF7"/>
    <w:rsid w:val="006960F2"/>
    <w:rsid w:val="00696785"/>
    <w:rsid w:val="0069699D"/>
    <w:rsid w:val="00696A4D"/>
    <w:rsid w:val="0069704F"/>
    <w:rsid w:val="006972B3"/>
    <w:rsid w:val="006973AC"/>
    <w:rsid w:val="006975C1"/>
    <w:rsid w:val="006977BF"/>
    <w:rsid w:val="00697B81"/>
    <w:rsid w:val="00697BB5"/>
    <w:rsid w:val="006A030A"/>
    <w:rsid w:val="006A03B4"/>
    <w:rsid w:val="006A05AA"/>
    <w:rsid w:val="006A0A35"/>
    <w:rsid w:val="006A18B6"/>
    <w:rsid w:val="006A1AE6"/>
    <w:rsid w:val="006A24B5"/>
    <w:rsid w:val="006A2774"/>
    <w:rsid w:val="006A296D"/>
    <w:rsid w:val="006A2E27"/>
    <w:rsid w:val="006A2E3F"/>
    <w:rsid w:val="006A2EA1"/>
    <w:rsid w:val="006A3963"/>
    <w:rsid w:val="006A3E3D"/>
    <w:rsid w:val="006A3E4A"/>
    <w:rsid w:val="006A4067"/>
    <w:rsid w:val="006A4166"/>
    <w:rsid w:val="006A4190"/>
    <w:rsid w:val="006A51F8"/>
    <w:rsid w:val="006A55E7"/>
    <w:rsid w:val="006A583F"/>
    <w:rsid w:val="006A5F4C"/>
    <w:rsid w:val="006A62E4"/>
    <w:rsid w:val="006A6A06"/>
    <w:rsid w:val="006A6D63"/>
    <w:rsid w:val="006A6E76"/>
    <w:rsid w:val="006B00FA"/>
    <w:rsid w:val="006B0521"/>
    <w:rsid w:val="006B0527"/>
    <w:rsid w:val="006B09FF"/>
    <w:rsid w:val="006B0DCD"/>
    <w:rsid w:val="006B0F41"/>
    <w:rsid w:val="006B1461"/>
    <w:rsid w:val="006B1DDC"/>
    <w:rsid w:val="006B2830"/>
    <w:rsid w:val="006B2C27"/>
    <w:rsid w:val="006B2C51"/>
    <w:rsid w:val="006B2FBF"/>
    <w:rsid w:val="006B3662"/>
    <w:rsid w:val="006B38F8"/>
    <w:rsid w:val="006B3E96"/>
    <w:rsid w:val="006B3FA6"/>
    <w:rsid w:val="006B4101"/>
    <w:rsid w:val="006B4509"/>
    <w:rsid w:val="006B4CD5"/>
    <w:rsid w:val="006B4D19"/>
    <w:rsid w:val="006B4D6B"/>
    <w:rsid w:val="006B4F85"/>
    <w:rsid w:val="006B53F1"/>
    <w:rsid w:val="006B5774"/>
    <w:rsid w:val="006B579F"/>
    <w:rsid w:val="006B5E3F"/>
    <w:rsid w:val="006B6331"/>
    <w:rsid w:val="006B6361"/>
    <w:rsid w:val="006B6EB3"/>
    <w:rsid w:val="006B716B"/>
    <w:rsid w:val="006B7747"/>
    <w:rsid w:val="006B77EB"/>
    <w:rsid w:val="006B7C58"/>
    <w:rsid w:val="006C0660"/>
    <w:rsid w:val="006C09D0"/>
    <w:rsid w:val="006C0CD6"/>
    <w:rsid w:val="006C12B5"/>
    <w:rsid w:val="006C146D"/>
    <w:rsid w:val="006C1FE4"/>
    <w:rsid w:val="006C21D1"/>
    <w:rsid w:val="006C224E"/>
    <w:rsid w:val="006C22F0"/>
    <w:rsid w:val="006C308C"/>
    <w:rsid w:val="006C39CE"/>
    <w:rsid w:val="006C3C8D"/>
    <w:rsid w:val="006C49B9"/>
    <w:rsid w:val="006C4E87"/>
    <w:rsid w:val="006C51E3"/>
    <w:rsid w:val="006C5222"/>
    <w:rsid w:val="006C55E8"/>
    <w:rsid w:val="006C5A32"/>
    <w:rsid w:val="006C5A3D"/>
    <w:rsid w:val="006C673B"/>
    <w:rsid w:val="006C6AC3"/>
    <w:rsid w:val="006C7100"/>
    <w:rsid w:val="006C7E61"/>
    <w:rsid w:val="006D04EC"/>
    <w:rsid w:val="006D0721"/>
    <w:rsid w:val="006D0A5F"/>
    <w:rsid w:val="006D134C"/>
    <w:rsid w:val="006D17E2"/>
    <w:rsid w:val="006D230F"/>
    <w:rsid w:val="006D24CE"/>
    <w:rsid w:val="006D2573"/>
    <w:rsid w:val="006D2A24"/>
    <w:rsid w:val="006D2D7E"/>
    <w:rsid w:val="006D360C"/>
    <w:rsid w:val="006D412E"/>
    <w:rsid w:val="006D5168"/>
    <w:rsid w:val="006D51F1"/>
    <w:rsid w:val="006D5259"/>
    <w:rsid w:val="006D5AC9"/>
    <w:rsid w:val="006D5C4D"/>
    <w:rsid w:val="006D61F9"/>
    <w:rsid w:val="006D66ED"/>
    <w:rsid w:val="006D6B3B"/>
    <w:rsid w:val="006D79FE"/>
    <w:rsid w:val="006D7E15"/>
    <w:rsid w:val="006E01DB"/>
    <w:rsid w:val="006E07BE"/>
    <w:rsid w:val="006E0881"/>
    <w:rsid w:val="006E0AE7"/>
    <w:rsid w:val="006E0CC4"/>
    <w:rsid w:val="006E0E10"/>
    <w:rsid w:val="006E1408"/>
    <w:rsid w:val="006E185D"/>
    <w:rsid w:val="006E1E2A"/>
    <w:rsid w:val="006E3E09"/>
    <w:rsid w:val="006E450D"/>
    <w:rsid w:val="006E4670"/>
    <w:rsid w:val="006E49D3"/>
    <w:rsid w:val="006E4DDA"/>
    <w:rsid w:val="006E5106"/>
    <w:rsid w:val="006E58D5"/>
    <w:rsid w:val="006E5922"/>
    <w:rsid w:val="006E7271"/>
    <w:rsid w:val="006E731C"/>
    <w:rsid w:val="006E786B"/>
    <w:rsid w:val="006E78E2"/>
    <w:rsid w:val="006F0060"/>
    <w:rsid w:val="006F00D6"/>
    <w:rsid w:val="006F0F24"/>
    <w:rsid w:val="006F14EF"/>
    <w:rsid w:val="006F1557"/>
    <w:rsid w:val="006F1AB0"/>
    <w:rsid w:val="006F21A1"/>
    <w:rsid w:val="006F25AE"/>
    <w:rsid w:val="006F2974"/>
    <w:rsid w:val="006F2C6B"/>
    <w:rsid w:val="006F2E56"/>
    <w:rsid w:val="006F3132"/>
    <w:rsid w:val="006F389C"/>
    <w:rsid w:val="006F3C1D"/>
    <w:rsid w:val="006F3DF8"/>
    <w:rsid w:val="006F3E0E"/>
    <w:rsid w:val="006F439B"/>
    <w:rsid w:val="006F4416"/>
    <w:rsid w:val="006F4EB4"/>
    <w:rsid w:val="006F511B"/>
    <w:rsid w:val="006F5348"/>
    <w:rsid w:val="006F59F5"/>
    <w:rsid w:val="006F5E5F"/>
    <w:rsid w:val="006F68DB"/>
    <w:rsid w:val="006F6DDA"/>
    <w:rsid w:val="006F7070"/>
    <w:rsid w:val="006F75E2"/>
    <w:rsid w:val="006F7616"/>
    <w:rsid w:val="006F781D"/>
    <w:rsid w:val="006F7A1F"/>
    <w:rsid w:val="007002B1"/>
    <w:rsid w:val="007004AE"/>
    <w:rsid w:val="007006A2"/>
    <w:rsid w:val="00700954"/>
    <w:rsid w:val="00700AA1"/>
    <w:rsid w:val="00700F51"/>
    <w:rsid w:val="00700F55"/>
    <w:rsid w:val="007013B9"/>
    <w:rsid w:val="00701D3F"/>
    <w:rsid w:val="007028C4"/>
    <w:rsid w:val="007029EA"/>
    <w:rsid w:val="00703059"/>
    <w:rsid w:val="00703293"/>
    <w:rsid w:val="0070342F"/>
    <w:rsid w:val="00703AF9"/>
    <w:rsid w:val="00703D96"/>
    <w:rsid w:val="0070420E"/>
    <w:rsid w:val="00704852"/>
    <w:rsid w:val="00704EB7"/>
    <w:rsid w:val="00705543"/>
    <w:rsid w:val="007056C2"/>
    <w:rsid w:val="00705742"/>
    <w:rsid w:val="00705AE6"/>
    <w:rsid w:val="00705E32"/>
    <w:rsid w:val="00706240"/>
    <w:rsid w:val="00706747"/>
    <w:rsid w:val="007070AB"/>
    <w:rsid w:val="007074E5"/>
    <w:rsid w:val="00707CA9"/>
    <w:rsid w:val="007104AD"/>
    <w:rsid w:val="007104FE"/>
    <w:rsid w:val="00710809"/>
    <w:rsid w:val="00710A89"/>
    <w:rsid w:val="00711228"/>
    <w:rsid w:val="00711A59"/>
    <w:rsid w:val="00711B0C"/>
    <w:rsid w:val="00711D6B"/>
    <w:rsid w:val="00711E4F"/>
    <w:rsid w:val="007121A2"/>
    <w:rsid w:val="00712505"/>
    <w:rsid w:val="00713415"/>
    <w:rsid w:val="007135AC"/>
    <w:rsid w:val="00713981"/>
    <w:rsid w:val="00714A39"/>
    <w:rsid w:val="00714C56"/>
    <w:rsid w:val="00715149"/>
    <w:rsid w:val="007154EB"/>
    <w:rsid w:val="007155BD"/>
    <w:rsid w:val="00716358"/>
    <w:rsid w:val="0071648D"/>
    <w:rsid w:val="00716B86"/>
    <w:rsid w:val="007172B5"/>
    <w:rsid w:val="007173B0"/>
    <w:rsid w:val="007176D6"/>
    <w:rsid w:val="00717716"/>
    <w:rsid w:val="00717C4C"/>
    <w:rsid w:val="007202B2"/>
    <w:rsid w:val="00720368"/>
    <w:rsid w:val="00720445"/>
    <w:rsid w:val="00720639"/>
    <w:rsid w:val="00720664"/>
    <w:rsid w:val="00720A34"/>
    <w:rsid w:val="00720C43"/>
    <w:rsid w:val="00721007"/>
    <w:rsid w:val="00721589"/>
    <w:rsid w:val="00721A46"/>
    <w:rsid w:val="007225D7"/>
    <w:rsid w:val="007227E9"/>
    <w:rsid w:val="007229CA"/>
    <w:rsid w:val="00722A81"/>
    <w:rsid w:val="00723005"/>
    <w:rsid w:val="00723125"/>
    <w:rsid w:val="007231B6"/>
    <w:rsid w:val="00723314"/>
    <w:rsid w:val="0072344A"/>
    <w:rsid w:val="007237AF"/>
    <w:rsid w:val="00723A74"/>
    <w:rsid w:val="00724245"/>
    <w:rsid w:val="00724264"/>
    <w:rsid w:val="007242F0"/>
    <w:rsid w:val="007248A0"/>
    <w:rsid w:val="007253C9"/>
    <w:rsid w:val="00726396"/>
    <w:rsid w:val="00727123"/>
    <w:rsid w:val="0072773A"/>
    <w:rsid w:val="00727D54"/>
    <w:rsid w:val="00727FB0"/>
    <w:rsid w:val="00730052"/>
    <w:rsid w:val="00730C23"/>
    <w:rsid w:val="00730C6A"/>
    <w:rsid w:val="00730CB8"/>
    <w:rsid w:val="007311E3"/>
    <w:rsid w:val="00731EF2"/>
    <w:rsid w:val="00731F1F"/>
    <w:rsid w:val="007324BC"/>
    <w:rsid w:val="00733032"/>
    <w:rsid w:val="0073332A"/>
    <w:rsid w:val="00733C57"/>
    <w:rsid w:val="00733D61"/>
    <w:rsid w:val="007342E5"/>
    <w:rsid w:val="007344C5"/>
    <w:rsid w:val="00734959"/>
    <w:rsid w:val="00735137"/>
    <w:rsid w:val="0073520D"/>
    <w:rsid w:val="007358AF"/>
    <w:rsid w:val="00735934"/>
    <w:rsid w:val="00735DA6"/>
    <w:rsid w:val="00735E86"/>
    <w:rsid w:val="0073664C"/>
    <w:rsid w:val="00736D72"/>
    <w:rsid w:val="007378B0"/>
    <w:rsid w:val="00740ED4"/>
    <w:rsid w:val="007411A6"/>
    <w:rsid w:val="007417FE"/>
    <w:rsid w:val="00741B07"/>
    <w:rsid w:val="00741B40"/>
    <w:rsid w:val="00741B78"/>
    <w:rsid w:val="00741ECD"/>
    <w:rsid w:val="00741F36"/>
    <w:rsid w:val="007428AB"/>
    <w:rsid w:val="00742C96"/>
    <w:rsid w:val="00742D07"/>
    <w:rsid w:val="00743709"/>
    <w:rsid w:val="007437FD"/>
    <w:rsid w:val="00743972"/>
    <w:rsid w:val="007439A3"/>
    <w:rsid w:val="00743D11"/>
    <w:rsid w:val="007441DD"/>
    <w:rsid w:val="007445C6"/>
    <w:rsid w:val="00744808"/>
    <w:rsid w:val="0074499D"/>
    <w:rsid w:val="00744A43"/>
    <w:rsid w:val="00744B70"/>
    <w:rsid w:val="00746678"/>
    <w:rsid w:val="00746E08"/>
    <w:rsid w:val="00747189"/>
    <w:rsid w:val="00747289"/>
    <w:rsid w:val="007501E5"/>
    <w:rsid w:val="0075152A"/>
    <w:rsid w:val="00752167"/>
    <w:rsid w:val="00752288"/>
    <w:rsid w:val="00752D5C"/>
    <w:rsid w:val="00752F20"/>
    <w:rsid w:val="00752F78"/>
    <w:rsid w:val="00753852"/>
    <w:rsid w:val="00753C94"/>
    <w:rsid w:val="00753D43"/>
    <w:rsid w:val="00753E68"/>
    <w:rsid w:val="00754B48"/>
    <w:rsid w:val="00754C09"/>
    <w:rsid w:val="00754E86"/>
    <w:rsid w:val="007552D6"/>
    <w:rsid w:val="0075551E"/>
    <w:rsid w:val="0075604F"/>
    <w:rsid w:val="00756056"/>
    <w:rsid w:val="007563CC"/>
    <w:rsid w:val="00756B48"/>
    <w:rsid w:val="00756C03"/>
    <w:rsid w:val="0075716C"/>
    <w:rsid w:val="007579E9"/>
    <w:rsid w:val="00757BA0"/>
    <w:rsid w:val="00757D4E"/>
    <w:rsid w:val="00757D70"/>
    <w:rsid w:val="0076061B"/>
    <w:rsid w:val="00760640"/>
    <w:rsid w:val="00760841"/>
    <w:rsid w:val="00760943"/>
    <w:rsid w:val="00760A5F"/>
    <w:rsid w:val="00760C07"/>
    <w:rsid w:val="0076131A"/>
    <w:rsid w:val="0076135E"/>
    <w:rsid w:val="007614B2"/>
    <w:rsid w:val="007620DA"/>
    <w:rsid w:val="00762512"/>
    <w:rsid w:val="0076257F"/>
    <w:rsid w:val="00762EAC"/>
    <w:rsid w:val="0076304C"/>
    <w:rsid w:val="00764396"/>
    <w:rsid w:val="00764833"/>
    <w:rsid w:val="00764BFF"/>
    <w:rsid w:val="00764C33"/>
    <w:rsid w:val="007654CA"/>
    <w:rsid w:val="00765806"/>
    <w:rsid w:val="00766573"/>
    <w:rsid w:val="007665FF"/>
    <w:rsid w:val="00766AA3"/>
    <w:rsid w:val="00766F1A"/>
    <w:rsid w:val="00767215"/>
    <w:rsid w:val="00767930"/>
    <w:rsid w:val="00767B29"/>
    <w:rsid w:val="0077007C"/>
    <w:rsid w:val="00770A28"/>
    <w:rsid w:val="007716F2"/>
    <w:rsid w:val="007717F0"/>
    <w:rsid w:val="00771B1C"/>
    <w:rsid w:val="00772394"/>
    <w:rsid w:val="007723C0"/>
    <w:rsid w:val="0077254B"/>
    <w:rsid w:val="00772617"/>
    <w:rsid w:val="00773A8A"/>
    <w:rsid w:val="00773DAF"/>
    <w:rsid w:val="0077424C"/>
    <w:rsid w:val="007749A7"/>
    <w:rsid w:val="007751FA"/>
    <w:rsid w:val="00775549"/>
    <w:rsid w:val="00775653"/>
    <w:rsid w:val="00775694"/>
    <w:rsid w:val="00775B55"/>
    <w:rsid w:val="00775FDE"/>
    <w:rsid w:val="007764D9"/>
    <w:rsid w:val="00776F01"/>
    <w:rsid w:val="00776F97"/>
    <w:rsid w:val="007772BA"/>
    <w:rsid w:val="0077752E"/>
    <w:rsid w:val="00777CA5"/>
    <w:rsid w:val="007800AB"/>
    <w:rsid w:val="00780226"/>
    <w:rsid w:val="00780A0F"/>
    <w:rsid w:val="00780C01"/>
    <w:rsid w:val="00780FF2"/>
    <w:rsid w:val="00781168"/>
    <w:rsid w:val="007811B2"/>
    <w:rsid w:val="007811EF"/>
    <w:rsid w:val="007813C6"/>
    <w:rsid w:val="0078141E"/>
    <w:rsid w:val="0078175C"/>
    <w:rsid w:val="00781AB4"/>
    <w:rsid w:val="00782059"/>
    <w:rsid w:val="00782142"/>
    <w:rsid w:val="0078254C"/>
    <w:rsid w:val="0078275C"/>
    <w:rsid w:val="00782777"/>
    <w:rsid w:val="0078292E"/>
    <w:rsid w:val="00783A07"/>
    <w:rsid w:val="00783BE8"/>
    <w:rsid w:val="00783CB6"/>
    <w:rsid w:val="007841BF"/>
    <w:rsid w:val="00784688"/>
    <w:rsid w:val="0078474F"/>
    <w:rsid w:val="00784BA0"/>
    <w:rsid w:val="00785E15"/>
    <w:rsid w:val="00786D32"/>
    <w:rsid w:val="00786DBF"/>
    <w:rsid w:val="007872CC"/>
    <w:rsid w:val="0079025B"/>
    <w:rsid w:val="00790C9F"/>
    <w:rsid w:val="00790FEC"/>
    <w:rsid w:val="00791453"/>
    <w:rsid w:val="00791AC3"/>
    <w:rsid w:val="00791FB0"/>
    <w:rsid w:val="007922E1"/>
    <w:rsid w:val="0079237B"/>
    <w:rsid w:val="007923B7"/>
    <w:rsid w:val="00792616"/>
    <w:rsid w:val="007926BB"/>
    <w:rsid w:val="0079293D"/>
    <w:rsid w:val="0079294A"/>
    <w:rsid w:val="007932D6"/>
    <w:rsid w:val="0079344C"/>
    <w:rsid w:val="00793C46"/>
    <w:rsid w:val="00793DAE"/>
    <w:rsid w:val="00793EC1"/>
    <w:rsid w:val="007940A1"/>
    <w:rsid w:val="00794253"/>
    <w:rsid w:val="00794662"/>
    <w:rsid w:val="007946D2"/>
    <w:rsid w:val="00794788"/>
    <w:rsid w:val="007947EF"/>
    <w:rsid w:val="00794A6C"/>
    <w:rsid w:val="00795629"/>
    <w:rsid w:val="007968AE"/>
    <w:rsid w:val="00796C95"/>
    <w:rsid w:val="00796D3C"/>
    <w:rsid w:val="00796DF7"/>
    <w:rsid w:val="007974D2"/>
    <w:rsid w:val="007979EC"/>
    <w:rsid w:val="007A0283"/>
    <w:rsid w:val="007A094C"/>
    <w:rsid w:val="007A1227"/>
    <w:rsid w:val="007A1CB3"/>
    <w:rsid w:val="007A25BC"/>
    <w:rsid w:val="007A287C"/>
    <w:rsid w:val="007A28CA"/>
    <w:rsid w:val="007A393D"/>
    <w:rsid w:val="007A3B2C"/>
    <w:rsid w:val="007A4672"/>
    <w:rsid w:val="007A517A"/>
    <w:rsid w:val="007A560A"/>
    <w:rsid w:val="007A5D82"/>
    <w:rsid w:val="007A63ED"/>
    <w:rsid w:val="007A7238"/>
    <w:rsid w:val="007A7358"/>
    <w:rsid w:val="007B027F"/>
    <w:rsid w:val="007B056E"/>
    <w:rsid w:val="007B0DED"/>
    <w:rsid w:val="007B182F"/>
    <w:rsid w:val="007B1B00"/>
    <w:rsid w:val="007B23B3"/>
    <w:rsid w:val="007B3705"/>
    <w:rsid w:val="007B3732"/>
    <w:rsid w:val="007B3B22"/>
    <w:rsid w:val="007B3D79"/>
    <w:rsid w:val="007B42C5"/>
    <w:rsid w:val="007B4561"/>
    <w:rsid w:val="007B48FE"/>
    <w:rsid w:val="007B4D6D"/>
    <w:rsid w:val="007B4E14"/>
    <w:rsid w:val="007B55E8"/>
    <w:rsid w:val="007B5D16"/>
    <w:rsid w:val="007B6BBC"/>
    <w:rsid w:val="007B7D82"/>
    <w:rsid w:val="007C006E"/>
    <w:rsid w:val="007C02C7"/>
    <w:rsid w:val="007C02F4"/>
    <w:rsid w:val="007C06EC"/>
    <w:rsid w:val="007C0AC0"/>
    <w:rsid w:val="007C0D88"/>
    <w:rsid w:val="007C1471"/>
    <w:rsid w:val="007C16DA"/>
    <w:rsid w:val="007C17B9"/>
    <w:rsid w:val="007C186C"/>
    <w:rsid w:val="007C1878"/>
    <w:rsid w:val="007C1CAD"/>
    <w:rsid w:val="007C1E52"/>
    <w:rsid w:val="007C21EE"/>
    <w:rsid w:val="007C2D58"/>
    <w:rsid w:val="007C2F4E"/>
    <w:rsid w:val="007C2F71"/>
    <w:rsid w:val="007C3124"/>
    <w:rsid w:val="007C32BD"/>
    <w:rsid w:val="007C37B8"/>
    <w:rsid w:val="007C3AD6"/>
    <w:rsid w:val="007C49B5"/>
    <w:rsid w:val="007C5464"/>
    <w:rsid w:val="007C5698"/>
    <w:rsid w:val="007C59FA"/>
    <w:rsid w:val="007C5BBD"/>
    <w:rsid w:val="007C5FDA"/>
    <w:rsid w:val="007C635C"/>
    <w:rsid w:val="007C6FE9"/>
    <w:rsid w:val="007C745D"/>
    <w:rsid w:val="007C7836"/>
    <w:rsid w:val="007D0568"/>
    <w:rsid w:val="007D0610"/>
    <w:rsid w:val="007D12D7"/>
    <w:rsid w:val="007D1C3A"/>
    <w:rsid w:val="007D1C50"/>
    <w:rsid w:val="007D1FF6"/>
    <w:rsid w:val="007D308E"/>
    <w:rsid w:val="007D33D5"/>
    <w:rsid w:val="007D3806"/>
    <w:rsid w:val="007D3A2E"/>
    <w:rsid w:val="007D3EC0"/>
    <w:rsid w:val="007D3EEC"/>
    <w:rsid w:val="007D423F"/>
    <w:rsid w:val="007D51C7"/>
    <w:rsid w:val="007D5391"/>
    <w:rsid w:val="007D5E2C"/>
    <w:rsid w:val="007D5E5C"/>
    <w:rsid w:val="007D6652"/>
    <w:rsid w:val="007D6C6E"/>
    <w:rsid w:val="007D6C7B"/>
    <w:rsid w:val="007D7487"/>
    <w:rsid w:val="007E01B5"/>
    <w:rsid w:val="007E086C"/>
    <w:rsid w:val="007E0B35"/>
    <w:rsid w:val="007E0B80"/>
    <w:rsid w:val="007E0EF8"/>
    <w:rsid w:val="007E0F5D"/>
    <w:rsid w:val="007E10F2"/>
    <w:rsid w:val="007E2BFF"/>
    <w:rsid w:val="007E31F0"/>
    <w:rsid w:val="007E3328"/>
    <w:rsid w:val="007E343D"/>
    <w:rsid w:val="007E37F9"/>
    <w:rsid w:val="007E387B"/>
    <w:rsid w:val="007E40E7"/>
    <w:rsid w:val="007E4823"/>
    <w:rsid w:val="007E55FC"/>
    <w:rsid w:val="007E5AA2"/>
    <w:rsid w:val="007E5E3E"/>
    <w:rsid w:val="007E6198"/>
    <w:rsid w:val="007E6276"/>
    <w:rsid w:val="007E731F"/>
    <w:rsid w:val="007E772D"/>
    <w:rsid w:val="007E79F4"/>
    <w:rsid w:val="007E7B1E"/>
    <w:rsid w:val="007F0637"/>
    <w:rsid w:val="007F09E0"/>
    <w:rsid w:val="007F0C2C"/>
    <w:rsid w:val="007F0CC1"/>
    <w:rsid w:val="007F11A2"/>
    <w:rsid w:val="007F13B5"/>
    <w:rsid w:val="007F1FF3"/>
    <w:rsid w:val="007F2211"/>
    <w:rsid w:val="007F265B"/>
    <w:rsid w:val="007F2A6E"/>
    <w:rsid w:val="007F2EC3"/>
    <w:rsid w:val="007F2F90"/>
    <w:rsid w:val="007F3342"/>
    <w:rsid w:val="007F3497"/>
    <w:rsid w:val="007F3763"/>
    <w:rsid w:val="007F3F95"/>
    <w:rsid w:val="007F4383"/>
    <w:rsid w:val="007F4F1C"/>
    <w:rsid w:val="007F522C"/>
    <w:rsid w:val="007F5858"/>
    <w:rsid w:val="007F5A4A"/>
    <w:rsid w:val="007F5DD1"/>
    <w:rsid w:val="007F5FA5"/>
    <w:rsid w:val="007F6862"/>
    <w:rsid w:val="007F7088"/>
    <w:rsid w:val="007F7C50"/>
    <w:rsid w:val="007F7F41"/>
    <w:rsid w:val="008005B6"/>
    <w:rsid w:val="008007C9"/>
    <w:rsid w:val="00800D14"/>
    <w:rsid w:val="00801601"/>
    <w:rsid w:val="0080169A"/>
    <w:rsid w:val="00801CDB"/>
    <w:rsid w:val="00801D5F"/>
    <w:rsid w:val="00801FE9"/>
    <w:rsid w:val="008022DB"/>
    <w:rsid w:val="008027B0"/>
    <w:rsid w:val="00802C74"/>
    <w:rsid w:val="00802DEA"/>
    <w:rsid w:val="00802EF0"/>
    <w:rsid w:val="0080310E"/>
    <w:rsid w:val="0080314A"/>
    <w:rsid w:val="00803192"/>
    <w:rsid w:val="008031AF"/>
    <w:rsid w:val="008035D2"/>
    <w:rsid w:val="008036A7"/>
    <w:rsid w:val="008038B7"/>
    <w:rsid w:val="00803BCD"/>
    <w:rsid w:val="0080449A"/>
    <w:rsid w:val="008046BC"/>
    <w:rsid w:val="008048EA"/>
    <w:rsid w:val="00804A7C"/>
    <w:rsid w:val="00804B03"/>
    <w:rsid w:val="00805970"/>
    <w:rsid w:val="00805BA7"/>
    <w:rsid w:val="00805CA7"/>
    <w:rsid w:val="00805CB8"/>
    <w:rsid w:val="0080638F"/>
    <w:rsid w:val="00806677"/>
    <w:rsid w:val="00806F80"/>
    <w:rsid w:val="0080713F"/>
    <w:rsid w:val="00810991"/>
    <w:rsid w:val="0081137F"/>
    <w:rsid w:val="00811468"/>
    <w:rsid w:val="00811F64"/>
    <w:rsid w:val="00812656"/>
    <w:rsid w:val="00812A13"/>
    <w:rsid w:val="0081323D"/>
    <w:rsid w:val="008133C8"/>
    <w:rsid w:val="0081343A"/>
    <w:rsid w:val="00813953"/>
    <w:rsid w:val="00814A9B"/>
    <w:rsid w:val="00814D6A"/>
    <w:rsid w:val="00814F66"/>
    <w:rsid w:val="008153AD"/>
    <w:rsid w:val="00815864"/>
    <w:rsid w:val="00815C85"/>
    <w:rsid w:val="0081712D"/>
    <w:rsid w:val="00817C9E"/>
    <w:rsid w:val="00817F01"/>
    <w:rsid w:val="008205AF"/>
    <w:rsid w:val="008206CF"/>
    <w:rsid w:val="00820F50"/>
    <w:rsid w:val="00821162"/>
    <w:rsid w:val="008214DD"/>
    <w:rsid w:val="00821C9C"/>
    <w:rsid w:val="00822043"/>
    <w:rsid w:val="008225E5"/>
    <w:rsid w:val="008228B1"/>
    <w:rsid w:val="00822F3B"/>
    <w:rsid w:val="00823012"/>
    <w:rsid w:val="00823BA7"/>
    <w:rsid w:val="00823C23"/>
    <w:rsid w:val="00824CD5"/>
    <w:rsid w:val="00824D20"/>
    <w:rsid w:val="00825504"/>
    <w:rsid w:val="0082580F"/>
    <w:rsid w:val="00825D5E"/>
    <w:rsid w:val="008262E4"/>
    <w:rsid w:val="00826BCE"/>
    <w:rsid w:val="00826E80"/>
    <w:rsid w:val="00827624"/>
    <w:rsid w:val="0082797B"/>
    <w:rsid w:val="00827F98"/>
    <w:rsid w:val="00830086"/>
    <w:rsid w:val="0083053B"/>
    <w:rsid w:val="0083096D"/>
    <w:rsid w:val="00831053"/>
    <w:rsid w:val="008314D2"/>
    <w:rsid w:val="00831E13"/>
    <w:rsid w:val="008324AE"/>
    <w:rsid w:val="0083254D"/>
    <w:rsid w:val="008327DD"/>
    <w:rsid w:val="00832DC8"/>
    <w:rsid w:val="00832DF7"/>
    <w:rsid w:val="00832E72"/>
    <w:rsid w:val="008331C8"/>
    <w:rsid w:val="00833A55"/>
    <w:rsid w:val="00833B4A"/>
    <w:rsid w:val="00833E34"/>
    <w:rsid w:val="00833F61"/>
    <w:rsid w:val="00834074"/>
    <w:rsid w:val="0083516C"/>
    <w:rsid w:val="008355FF"/>
    <w:rsid w:val="00835C31"/>
    <w:rsid w:val="00835F92"/>
    <w:rsid w:val="00836123"/>
    <w:rsid w:val="00836249"/>
    <w:rsid w:val="0083635A"/>
    <w:rsid w:val="008369B9"/>
    <w:rsid w:val="00836E3A"/>
    <w:rsid w:val="00836F00"/>
    <w:rsid w:val="00837099"/>
    <w:rsid w:val="00837217"/>
    <w:rsid w:val="0083770A"/>
    <w:rsid w:val="00837C29"/>
    <w:rsid w:val="008400AF"/>
    <w:rsid w:val="008409C4"/>
    <w:rsid w:val="00840AB3"/>
    <w:rsid w:val="00840C8D"/>
    <w:rsid w:val="0084110F"/>
    <w:rsid w:val="00842BF7"/>
    <w:rsid w:val="00842FA6"/>
    <w:rsid w:val="00843343"/>
    <w:rsid w:val="00843528"/>
    <w:rsid w:val="0084352B"/>
    <w:rsid w:val="00843609"/>
    <w:rsid w:val="008439F0"/>
    <w:rsid w:val="00843C14"/>
    <w:rsid w:val="00843D8A"/>
    <w:rsid w:val="0084432E"/>
    <w:rsid w:val="008444DB"/>
    <w:rsid w:val="008449D1"/>
    <w:rsid w:val="00844B69"/>
    <w:rsid w:val="00844C1C"/>
    <w:rsid w:val="00844CF1"/>
    <w:rsid w:val="00845164"/>
    <w:rsid w:val="008453E2"/>
    <w:rsid w:val="00845B2A"/>
    <w:rsid w:val="00845B69"/>
    <w:rsid w:val="00846081"/>
    <w:rsid w:val="00846192"/>
    <w:rsid w:val="00846753"/>
    <w:rsid w:val="00846E8B"/>
    <w:rsid w:val="00847093"/>
    <w:rsid w:val="00847157"/>
    <w:rsid w:val="00847B09"/>
    <w:rsid w:val="00847D07"/>
    <w:rsid w:val="008500FC"/>
    <w:rsid w:val="00850806"/>
    <w:rsid w:val="00850C18"/>
    <w:rsid w:val="0085180B"/>
    <w:rsid w:val="00852284"/>
    <w:rsid w:val="008525DF"/>
    <w:rsid w:val="0085275C"/>
    <w:rsid w:val="0085281D"/>
    <w:rsid w:val="00852891"/>
    <w:rsid w:val="0085331C"/>
    <w:rsid w:val="00853B18"/>
    <w:rsid w:val="00854576"/>
    <w:rsid w:val="008546A6"/>
    <w:rsid w:val="008548F5"/>
    <w:rsid w:val="00854E47"/>
    <w:rsid w:val="00854F0C"/>
    <w:rsid w:val="008550D1"/>
    <w:rsid w:val="00855AD3"/>
    <w:rsid w:val="00855B1D"/>
    <w:rsid w:val="00856141"/>
    <w:rsid w:val="00856853"/>
    <w:rsid w:val="00856A1B"/>
    <w:rsid w:val="0085703B"/>
    <w:rsid w:val="00857A0C"/>
    <w:rsid w:val="00857D93"/>
    <w:rsid w:val="00857DF8"/>
    <w:rsid w:val="008603D0"/>
    <w:rsid w:val="008611E2"/>
    <w:rsid w:val="00861417"/>
    <w:rsid w:val="00861665"/>
    <w:rsid w:val="00861915"/>
    <w:rsid w:val="008621C3"/>
    <w:rsid w:val="008623D5"/>
    <w:rsid w:val="00862515"/>
    <w:rsid w:val="008627FD"/>
    <w:rsid w:val="008638EB"/>
    <w:rsid w:val="008639F6"/>
    <w:rsid w:val="00863DA0"/>
    <w:rsid w:val="008646CE"/>
    <w:rsid w:val="00865117"/>
    <w:rsid w:val="00865128"/>
    <w:rsid w:val="008653B8"/>
    <w:rsid w:val="00865486"/>
    <w:rsid w:val="0086577C"/>
    <w:rsid w:val="00865B25"/>
    <w:rsid w:val="00866151"/>
    <w:rsid w:val="008664FA"/>
    <w:rsid w:val="008669BE"/>
    <w:rsid w:val="0086719F"/>
    <w:rsid w:val="008671C5"/>
    <w:rsid w:val="0086752D"/>
    <w:rsid w:val="00867A41"/>
    <w:rsid w:val="00867C4D"/>
    <w:rsid w:val="008707D2"/>
    <w:rsid w:val="008709D4"/>
    <w:rsid w:val="00870A32"/>
    <w:rsid w:val="00870C54"/>
    <w:rsid w:val="00870CFE"/>
    <w:rsid w:val="00870EB8"/>
    <w:rsid w:val="00870F9F"/>
    <w:rsid w:val="0087128C"/>
    <w:rsid w:val="008713DA"/>
    <w:rsid w:val="008714A7"/>
    <w:rsid w:val="008723B8"/>
    <w:rsid w:val="00872D7A"/>
    <w:rsid w:val="00872ED1"/>
    <w:rsid w:val="00873886"/>
    <w:rsid w:val="0087388C"/>
    <w:rsid w:val="00873EF9"/>
    <w:rsid w:val="00874135"/>
    <w:rsid w:val="00874161"/>
    <w:rsid w:val="0087466F"/>
    <w:rsid w:val="008753EB"/>
    <w:rsid w:val="00875514"/>
    <w:rsid w:val="0087579E"/>
    <w:rsid w:val="00875A0F"/>
    <w:rsid w:val="00876275"/>
    <w:rsid w:val="00876703"/>
    <w:rsid w:val="00876CEB"/>
    <w:rsid w:val="00876E64"/>
    <w:rsid w:val="00877495"/>
    <w:rsid w:val="00877FDD"/>
    <w:rsid w:val="0088044B"/>
    <w:rsid w:val="00880B8D"/>
    <w:rsid w:val="00880F40"/>
    <w:rsid w:val="0088106A"/>
    <w:rsid w:val="00881E35"/>
    <w:rsid w:val="008825C7"/>
    <w:rsid w:val="00882A7F"/>
    <w:rsid w:val="00882B99"/>
    <w:rsid w:val="00882CE7"/>
    <w:rsid w:val="00882D69"/>
    <w:rsid w:val="00884390"/>
    <w:rsid w:val="00885158"/>
    <w:rsid w:val="008852EE"/>
    <w:rsid w:val="008855D3"/>
    <w:rsid w:val="008857F3"/>
    <w:rsid w:val="00886121"/>
    <w:rsid w:val="00886819"/>
    <w:rsid w:val="00886AA7"/>
    <w:rsid w:val="00886AE5"/>
    <w:rsid w:val="00886C54"/>
    <w:rsid w:val="00886D70"/>
    <w:rsid w:val="00887238"/>
    <w:rsid w:val="008874DF"/>
    <w:rsid w:val="00887702"/>
    <w:rsid w:val="0088781B"/>
    <w:rsid w:val="00887F5F"/>
    <w:rsid w:val="00890303"/>
    <w:rsid w:val="00890CC3"/>
    <w:rsid w:val="00890D7A"/>
    <w:rsid w:val="00890DE2"/>
    <w:rsid w:val="008915C1"/>
    <w:rsid w:val="00891E80"/>
    <w:rsid w:val="008922C3"/>
    <w:rsid w:val="008922EB"/>
    <w:rsid w:val="008923C5"/>
    <w:rsid w:val="0089249F"/>
    <w:rsid w:val="008932E6"/>
    <w:rsid w:val="0089341A"/>
    <w:rsid w:val="008938A5"/>
    <w:rsid w:val="00893CE4"/>
    <w:rsid w:val="00893D21"/>
    <w:rsid w:val="00894677"/>
    <w:rsid w:val="00894D3B"/>
    <w:rsid w:val="00894D88"/>
    <w:rsid w:val="00895EA1"/>
    <w:rsid w:val="00895F46"/>
    <w:rsid w:val="00896C97"/>
    <w:rsid w:val="00897B88"/>
    <w:rsid w:val="008A0148"/>
    <w:rsid w:val="008A086F"/>
    <w:rsid w:val="008A0BCD"/>
    <w:rsid w:val="008A1063"/>
    <w:rsid w:val="008A1A6D"/>
    <w:rsid w:val="008A2087"/>
    <w:rsid w:val="008A295B"/>
    <w:rsid w:val="008A2AE7"/>
    <w:rsid w:val="008A2F76"/>
    <w:rsid w:val="008A30DD"/>
    <w:rsid w:val="008A3418"/>
    <w:rsid w:val="008A3D55"/>
    <w:rsid w:val="008A41D7"/>
    <w:rsid w:val="008A4459"/>
    <w:rsid w:val="008A469E"/>
    <w:rsid w:val="008A4F48"/>
    <w:rsid w:val="008A5477"/>
    <w:rsid w:val="008A5486"/>
    <w:rsid w:val="008A5B97"/>
    <w:rsid w:val="008A6363"/>
    <w:rsid w:val="008A6604"/>
    <w:rsid w:val="008A747B"/>
    <w:rsid w:val="008B0B22"/>
    <w:rsid w:val="008B0C22"/>
    <w:rsid w:val="008B1C73"/>
    <w:rsid w:val="008B29D3"/>
    <w:rsid w:val="008B2E17"/>
    <w:rsid w:val="008B32DD"/>
    <w:rsid w:val="008B3837"/>
    <w:rsid w:val="008B3A96"/>
    <w:rsid w:val="008B3D96"/>
    <w:rsid w:val="008B4113"/>
    <w:rsid w:val="008B42E5"/>
    <w:rsid w:val="008B4718"/>
    <w:rsid w:val="008B4C70"/>
    <w:rsid w:val="008B5482"/>
    <w:rsid w:val="008B6BF8"/>
    <w:rsid w:val="008B6E41"/>
    <w:rsid w:val="008B6EC5"/>
    <w:rsid w:val="008B7F7F"/>
    <w:rsid w:val="008B7FA4"/>
    <w:rsid w:val="008C0685"/>
    <w:rsid w:val="008C0956"/>
    <w:rsid w:val="008C0B4E"/>
    <w:rsid w:val="008C0FF8"/>
    <w:rsid w:val="008C11F4"/>
    <w:rsid w:val="008C1403"/>
    <w:rsid w:val="008C211B"/>
    <w:rsid w:val="008C29BE"/>
    <w:rsid w:val="008C2BEC"/>
    <w:rsid w:val="008C32CC"/>
    <w:rsid w:val="008C346F"/>
    <w:rsid w:val="008C3753"/>
    <w:rsid w:val="008C4CEB"/>
    <w:rsid w:val="008C4D93"/>
    <w:rsid w:val="008C4FA0"/>
    <w:rsid w:val="008C5404"/>
    <w:rsid w:val="008C54C2"/>
    <w:rsid w:val="008C5A23"/>
    <w:rsid w:val="008C6523"/>
    <w:rsid w:val="008C68D6"/>
    <w:rsid w:val="008C6D0E"/>
    <w:rsid w:val="008C6D60"/>
    <w:rsid w:val="008C6F40"/>
    <w:rsid w:val="008D08BC"/>
    <w:rsid w:val="008D09D2"/>
    <w:rsid w:val="008D1122"/>
    <w:rsid w:val="008D1153"/>
    <w:rsid w:val="008D13B1"/>
    <w:rsid w:val="008D15CF"/>
    <w:rsid w:val="008D1BAE"/>
    <w:rsid w:val="008D1EF7"/>
    <w:rsid w:val="008D1F8C"/>
    <w:rsid w:val="008D2284"/>
    <w:rsid w:val="008D2694"/>
    <w:rsid w:val="008D2708"/>
    <w:rsid w:val="008D28E9"/>
    <w:rsid w:val="008D2AC6"/>
    <w:rsid w:val="008D2C05"/>
    <w:rsid w:val="008D3228"/>
    <w:rsid w:val="008D346C"/>
    <w:rsid w:val="008D39C5"/>
    <w:rsid w:val="008D3DAC"/>
    <w:rsid w:val="008D404F"/>
    <w:rsid w:val="008D45B6"/>
    <w:rsid w:val="008D5C15"/>
    <w:rsid w:val="008D5F6F"/>
    <w:rsid w:val="008D6A05"/>
    <w:rsid w:val="008D6A0E"/>
    <w:rsid w:val="008D6A1F"/>
    <w:rsid w:val="008D6A85"/>
    <w:rsid w:val="008D6B90"/>
    <w:rsid w:val="008D6EFC"/>
    <w:rsid w:val="008D7242"/>
    <w:rsid w:val="008D7359"/>
    <w:rsid w:val="008D7B92"/>
    <w:rsid w:val="008D7CA6"/>
    <w:rsid w:val="008D7E2B"/>
    <w:rsid w:val="008E0251"/>
    <w:rsid w:val="008E0A4F"/>
    <w:rsid w:val="008E18B3"/>
    <w:rsid w:val="008E1C7D"/>
    <w:rsid w:val="008E1D89"/>
    <w:rsid w:val="008E2B80"/>
    <w:rsid w:val="008E2C97"/>
    <w:rsid w:val="008E2FCE"/>
    <w:rsid w:val="008E3255"/>
    <w:rsid w:val="008E3663"/>
    <w:rsid w:val="008E3729"/>
    <w:rsid w:val="008E3A0D"/>
    <w:rsid w:val="008E3B8E"/>
    <w:rsid w:val="008E3E3E"/>
    <w:rsid w:val="008E46AD"/>
    <w:rsid w:val="008E493A"/>
    <w:rsid w:val="008E4B91"/>
    <w:rsid w:val="008E57C0"/>
    <w:rsid w:val="008E5EBB"/>
    <w:rsid w:val="008E5F39"/>
    <w:rsid w:val="008E6250"/>
    <w:rsid w:val="008E680C"/>
    <w:rsid w:val="008E682D"/>
    <w:rsid w:val="008E6AC1"/>
    <w:rsid w:val="008E6CE4"/>
    <w:rsid w:val="008E77D7"/>
    <w:rsid w:val="008F0172"/>
    <w:rsid w:val="008F0DF5"/>
    <w:rsid w:val="008F1511"/>
    <w:rsid w:val="008F22D5"/>
    <w:rsid w:val="008F2BB9"/>
    <w:rsid w:val="008F2DDE"/>
    <w:rsid w:val="008F3289"/>
    <w:rsid w:val="008F3948"/>
    <w:rsid w:val="008F39BB"/>
    <w:rsid w:val="008F3FE2"/>
    <w:rsid w:val="008F4164"/>
    <w:rsid w:val="008F4CB5"/>
    <w:rsid w:val="008F54A1"/>
    <w:rsid w:val="008F58C5"/>
    <w:rsid w:val="008F5A0F"/>
    <w:rsid w:val="008F5ACE"/>
    <w:rsid w:val="008F5D7A"/>
    <w:rsid w:val="008F5F87"/>
    <w:rsid w:val="008F6B50"/>
    <w:rsid w:val="008F70D9"/>
    <w:rsid w:val="008F77AB"/>
    <w:rsid w:val="008F7C69"/>
    <w:rsid w:val="00900A34"/>
    <w:rsid w:val="00900D42"/>
    <w:rsid w:val="00900F32"/>
    <w:rsid w:val="009011A9"/>
    <w:rsid w:val="0090126C"/>
    <w:rsid w:val="0090184D"/>
    <w:rsid w:val="009018EA"/>
    <w:rsid w:val="00901CCD"/>
    <w:rsid w:val="00902C9C"/>
    <w:rsid w:val="00902FFC"/>
    <w:rsid w:val="00903D88"/>
    <w:rsid w:val="0090413B"/>
    <w:rsid w:val="00904822"/>
    <w:rsid w:val="009048CC"/>
    <w:rsid w:val="00904B6F"/>
    <w:rsid w:val="009052E6"/>
    <w:rsid w:val="00906132"/>
    <w:rsid w:val="00907073"/>
    <w:rsid w:val="0090795B"/>
    <w:rsid w:val="00907A97"/>
    <w:rsid w:val="00907C72"/>
    <w:rsid w:val="009102C2"/>
    <w:rsid w:val="00910A5F"/>
    <w:rsid w:val="00910ADB"/>
    <w:rsid w:val="009122AF"/>
    <w:rsid w:val="009126FB"/>
    <w:rsid w:val="0091288E"/>
    <w:rsid w:val="00912C19"/>
    <w:rsid w:val="00912E3E"/>
    <w:rsid w:val="00912EDC"/>
    <w:rsid w:val="00912F14"/>
    <w:rsid w:val="00913257"/>
    <w:rsid w:val="009138FC"/>
    <w:rsid w:val="00913A27"/>
    <w:rsid w:val="0091428F"/>
    <w:rsid w:val="00914547"/>
    <w:rsid w:val="009146EE"/>
    <w:rsid w:val="00914FC6"/>
    <w:rsid w:val="009153E4"/>
    <w:rsid w:val="00915853"/>
    <w:rsid w:val="00915C94"/>
    <w:rsid w:val="00915DA9"/>
    <w:rsid w:val="00915E5D"/>
    <w:rsid w:val="00916A3A"/>
    <w:rsid w:val="00916CE0"/>
    <w:rsid w:val="0091773D"/>
    <w:rsid w:val="0091793B"/>
    <w:rsid w:val="00920572"/>
    <w:rsid w:val="009208F5"/>
    <w:rsid w:val="00920BA8"/>
    <w:rsid w:val="00920D39"/>
    <w:rsid w:val="00921426"/>
    <w:rsid w:val="00921483"/>
    <w:rsid w:val="009224DB"/>
    <w:rsid w:val="00922C30"/>
    <w:rsid w:val="0092330E"/>
    <w:rsid w:val="00923D3A"/>
    <w:rsid w:val="00923F98"/>
    <w:rsid w:val="009240B0"/>
    <w:rsid w:val="00924146"/>
    <w:rsid w:val="00924676"/>
    <w:rsid w:val="009249E7"/>
    <w:rsid w:val="0092569F"/>
    <w:rsid w:val="009259F7"/>
    <w:rsid w:val="00925F39"/>
    <w:rsid w:val="009262DE"/>
    <w:rsid w:val="00926B5C"/>
    <w:rsid w:val="00927513"/>
    <w:rsid w:val="0092784A"/>
    <w:rsid w:val="00927D51"/>
    <w:rsid w:val="00927ED4"/>
    <w:rsid w:val="00930C8B"/>
    <w:rsid w:val="009312E5"/>
    <w:rsid w:val="009319D6"/>
    <w:rsid w:val="00931CD8"/>
    <w:rsid w:val="00932272"/>
    <w:rsid w:val="00932368"/>
    <w:rsid w:val="009327EB"/>
    <w:rsid w:val="00932862"/>
    <w:rsid w:val="00932CF4"/>
    <w:rsid w:val="00933137"/>
    <w:rsid w:val="00933B84"/>
    <w:rsid w:val="0093413C"/>
    <w:rsid w:val="00934961"/>
    <w:rsid w:val="00934BAA"/>
    <w:rsid w:val="00934F0A"/>
    <w:rsid w:val="00935121"/>
    <w:rsid w:val="009354E4"/>
    <w:rsid w:val="00935850"/>
    <w:rsid w:val="00935D60"/>
    <w:rsid w:val="0093611D"/>
    <w:rsid w:val="00936D48"/>
    <w:rsid w:val="00936DF7"/>
    <w:rsid w:val="00936F59"/>
    <w:rsid w:val="00937C3C"/>
    <w:rsid w:val="00940550"/>
    <w:rsid w:val="00940E79"/>
    <w:rsid w:val="00940FB6"/>
    <w:rsid w:val="00941395"/>
    <w:rsid w:val="00941A43"/>
    <w:rsid w:val="00941B21"/>
    <w:rsid w:val="00941D2B"/>
    <w:rsid w:val="00942643"/>
    <w:rsid w:val="009426A7"/>
    <w:rsid w:val="00942F77"/>
    <w:rsid w:val="00943560"/>
    <w:rsid w:val="00943FEB"/>
    <w:rsid w:val="0094453E"/>
    <w:rsid w:val="009446E1"/>
    <w:rsid w:val="009447BB"/>
    <w:rsid w:val="009447CB"/>
    <w:rsid w:val="0094491B"/>
    <w:rsid w:val="00944C48"/>
    <w:rsid w:val="00944F84"/>
    <w:rsid w:val="009456D3"/>
    <w:rsid w:val="00945C7D"/>
    <w:rsid w:val="00945D48"/>
    <w:rsid w:val="00946174"/>
    <w:rsid w:val="00946335"/>
    <w:rsid w:val="0094662B"/>
    <w:rsid w:val="00947336"/>
    <w:rsid w:val="00947384"/>
    <w:rsid w:val="00947BAD"/>
    <w:rsid w:val="00951058"/>
    <w:rsid w:val="009510D8"/>
    <w:rsid w:val="00951258"/>
    <w:rsid w:val="00951280"/>
    <w:rsid w:val="009513C4"/>
    <w:rsid w:val="00951817"/>
    <w:rsid w:val="00951E1C"/>
    <w:rsid w:val="00952561"/>
    <w:rsid w:val="009526CB"/>
    <w:rsid w:val="00952914"/>
    <w:rsid w:val="009529A9"/>
    <w:rsid w:val="00952A83"/>
    <w:rsid w:val="00952F62"/>
    <w:rsid w:val="0095389D"/>
    <w:rsid w:val="0095392C"/>
    <w:rsid w:val="00953A14"/>
    <w:rsid w:val="00953B82"/>
    <w:rsid w:val="00953CE8"/>
    <w:rsid w:val="00953E6D"/>
    <w:rsid w:val="00954348"/>
    <w:rsid w:val="009546C6"/>
    <w:rsid w:val="00954F66"/>
    <w:rsid w:val="009551DA"/>
    <w:rsid w:val="00955E55"/>
    <w:rsid w:val="00956F0B"/>
    <w:rsid w:val="00957EB5"/>
    <w:rsid w:val="0096022F"/>
    <w:rsid w:val="00960429"/>
    <w:rsid w:val="00960720"/>
    <w:rsid w:val="009612C4"/>
    <w:rsid w:val="00961603"/>
    <w:rsid w:val="009617B2"/>
    <w:rsid w:val="00961F30"/>
    <w:rsid w:val="00962200"/>
    <w:rsid w:val="00962427"/>
    <w:rsid w:val="0096256D"/>
    <w:rsid w:val="00962586"/>
    <w:rsid w:val="00962A50"/>
    <w:rsid w:val="00963820"/>
    <w:rsid w:val="00963B56"/>
    <w:rsid w:val="00964188"/>
    <w:rsid w:val="00964272"/>
    <w:rsid w:val="00964495"/>
    <w:rsid w:val="00964980"/>
    <w:rsid w:val="00964F8A"/>
    <w:rsid w:val="0096567D"/>
    <w:rsid w:val="009657F4"/>
    <w:rsid w:val="00965CF3"/>
    <w:rsid w:val="00966F54"/>
    <w:rsid w:val="009670D0"/>
    <w:rsid w:val="009671EB"/>
    <w:rsid w:val="00967DEF"/>
    <w:rsid w:val="00970966"/>
    <w:rsid w:val="00970CC8"/>
    <w:rsid w:val="00970FF3"/>
    <w:rsid w:val="009716DB"/>
    <w:rsid w:val="00973163"/>
    <w:rsid w:val="00973321"/>
    <w:rsid w:val="00973DCB"/>
    <w:rsid w:val="00975250"/>
    <w:rsid w:val="00975422"/>
    <w:rsid w:val="00975E61"/>
    <w:rsid w:val="00975EC0"/>
    <w:rsid w:val="00976055"/>
    <w:rsid w:val="00976388"/>
    <w:rsid w:val="00976CCF"/>
    <w:rsid w:val="00976E31"/>
    <w:rsid w:val="00977C63"/>
    <w:rsid w:val="00980087"/>
    <w:rsid w:val="00980312"/>
    <w:rsid w:val="00980C0B"/>
    <w:rsid w:val="00980D73"/>
    <w:rsid w:val="009812BF"/>
    <w:rsid w:val="00981809"/>
    <w:rsid w:val="00983524"/>
    <w:rsid w:val="0098374D"/>
    <w:rsid w:val="00983BFF"/>
    <w:rsid w:val="00983F2A"/>
    <w:rsid w:val="00984514"/>
    <w:rsid w:val="00984B28"/>
    <w:rsid w:val="00984C9F"/>
    <w:rsid w:val="009850FF"/>
    <w:rsid w:val="0098524F"/>
    <w:rsid w:val="00985596"/>
    <w:rsid w:val="00985C47"/>
    <w:rsid w:val="00985C79"/>
    <w:rsid w:val="00986222"/>
    <w:rsid w:val="009863E6"/>
    <w:rsid w:val="0098683A"/>
    <w:rsid w:val="00987ABE"/>
    <w:rsid w:val="009906C7"/>
    <w:rsid w:val="00990BA3"/>
    <w:rsid w:val="00990EF2"/>
    <w:rsid w:val="00991B30"/>
    <w:rsid w:val="00991C28"/>
    <w:rsid w:val="00992830"/>
    <w:rsid w:val="00992F6E"/>
    <w:rsid w:val="009939E8"/>
    <w:rsid w:val="0099409A"/>
    <w:rsid w:val="009943B5"/>
    <w:rsid w:val="00994A0C"/>
    <w:rsid w:val="00994E67"/>
    <w:rsid w:val="00995057"/>
    <w:rsid w:val="00995A44"/>
    <w:rsid w:val="00995F55"/>
    <w:rsid w:val="00995FD6"/>
    <w:rsid w:val="009963CD"/>
    <w:rsid w:val="00996435"/>
    <w:rsid w:val="009964B6"/>
    <w:rsid w:val="00996696"/>
    <w:rsid w:val="00996A69"/>
    <w:rsid w:val="00996B78"/>
    <w:rsid w:val="00997C4E"/>
    <w:rsid w:val="00997EC2"/>
    <w:rsid w:val="009A0241"/>
    <w:rsid w:val="009A055A"/>
    <w:rsid w:val="009A17E0"/>
    <w:rsid w:val="009A1A5D"/>
    <w:rsid w:val="009A1F5E"/>
    <w:rsid w:val="009A2101"/>
    <w:rsid w:val="009A2B58"/>
    <w:rsid w:val="009A2B87"/>
    <w:rsid w:val="009A3241"/>
    <w:rsid w:val="009A3405"/>
    <w:rsid w:val="009A3575"/>
    <w:rsid w:val="009A363F"/>
    <w:rsid w:val="009A3D66"/>
    <w:rsid w:val="009A3DEA"/>
    <w:rsid w:val="009A4081"/>
    <w:rsid w:val="009A43BC"/>
    <w:rsid w:val="009A471E"/>
    <w:rsid w:val="009A48BD"/>
    <w:rsid w:val="009A4B11"/>
    <w:rsid w:val="009A5898"/>
    <w:rsid w:val="009A632B"/>
    <w:rsid w:val="009A6C2F"/>
    <w:rsid w:val="009A6E3C"/>
    <w:rsid w:val="009A706C"/>
    <w:rsid w:val="009A7238"/>
    <w:rsid w:val="009A7266"/>
    <w:rsid w:val="009A7396"/>
    <w:rsid w:val="009A7778"/>
    <w:rsid w:val="009A781A"/>
    <w:rsid w:val="009B0109"/>
    <w:rsid w:val="009B08A8"/>
    <w:rsid w:val="009B0DD3"/>
    <w:rsid w:val="009B13CD"/>
    <w:rsid w:val="009B1750"/>
    <w:rsid w:val="009B266D"/>
    <w:rsid w:val="009B29B2"/>
    <w:rsid w:val="009B2D15"/>
    <w:rsid w:val="009B2E98"/>
    <w:rsid w:val="009B2EFA"/>
    <w:rsid w:val="009B4CF9"/>
    <w:rsid w:val="009B4E08"/>
    <w:rsid w:val="009B5A58"/>
    <w:rsid w:val="009B5ADD"/>
    <w:rsid w:val="009B5B81"/>
    <w:rsid w:val="009B5CBF"/>
    <w:rsid w:val="009B5E94"/>
    <w:rsid w:val="009B627B"/>
    <w:rsid w:val="009B644F"/>
    <w:rsid w:val="009B6CDA"/>
    <w:rsid w:val="009B726F"/>
    <w:rsid w:val="009B73AA"/>
    <w:rsid w:val="009B7BE8"/>
    <w:rsid w:val="009C0062"/>
    <w:rsid w:val="009C056D"/>
    <w:rsid w:val="009C092B"/>
    <w:rsid w:val="009C0D8A"/>
    <w:rsid w:val="009C1216"/>
    <w:rsid w:val="009C15FE"/>
    <w:rsid w:val="009C184A"/>
    <w:rsid w:val="009C1F4A"/>
    <w:rsid w:val="009C22CC"/>
    <w:rsid w:val="009C2CA5"/>
    <w:rsid w:val="009C344D"/>
    <w:rsid w:val="009C39BD"/>
    <w:rsid w:val="009C401F"/>
    <w:rsid w:val="009C4607"/>
    <w:rsid w:val="009C4821"/>
    <w:rsid w:val="009C4C9A"/>
    <w:rsid w:val="009C50F0"/>
    <w:rsid w:val="009C55C3"/>
    <w:rsid w:val="009C5832"/>
    <w:rsid w:val="009C5899"/>
    <w:rsid w:val="009C5DA8"/>
    <w:rsid w:val="009C6413"/>
    <w:rsid w:val="009C694A"/>
    <w:rsid w:val="009C6CC3"/>
    <w:rsid w:val="009C7175"/>
    <w:rsid w:val="009C7D99"/>
    <w:rsid w:val="009D0A74"/>
    <w:rsid w:val="009D0AD9"/>
    <w:rsid w:val="009D1AE3"/>
    <w:rsid w:val="009D20C7"/>
    <w:rsid w:val="009D26ED"/>
    <w:rsid w:val="009D2C8D"/>
    <w:rsid w:val="009D3875"/>
    <w:rsid w:val="009D3E45"/>
    <w:rsid w:val="009D446F"/>
    <w:rsid w:val="009D482F"/>
    <w:rsid w:val="009D4AA8"/>
    <w:rsid w:val="009D503B"/>
    <w:rsid w:val="009D52BE"/>
    <w:rsid w:val="009D6177"/>
    <w:rsid w:val="009D6220"/>
    <w:rsid w:val="009D6B68"/>
    <w:rsid w:val="009D6CF3"/>
    <w:rsid w:val="009D6D60"/>
    <w:rsid w:val="009D741D"/>
    <w:rsid w:val="009D77F2"/>
    <w:rsid w:val="009D7AFC"/>
    <w:rsid w:val="009E02C3"/>
    <w:rsid w:val="009E0992"/>
    <w:rsid w:val="009E1379"/>
    <w:rsid w:val="009E1CA0"/>
    <w:rsid w:val="009E1D65"/>
    <w:rsid w:val="009E21F0"/>
    <w:rsid w:val="009E2883"/>
    <w:rsid w:val="009E2C40"/>
    <w:rsid w:val="009E370B"/>
    <w:rsid w:val="009E370E"/>
    <w:rsid w:val="009E4235"/>
    <w:rsid w:val="009E43BB"/>
    <w:rsid w:val="009E4589"/>
    <w:rsid w:val="009E46F0"/>
    <w:rsid w:val="009E4B6A"/>
    <w:rsid w:val="009E5795"/>
    <w:rsid w:val="009E5918"/>
    <w:rsid w:val="009E5A66"/>
    <w:rsid w:val="009E5A87"/>
    <w:rsid w:val="009E5B51"/>
    <w:rsid w:val="009E647A"/>
    <w:rsid w:val="009E6B36"/>
    <w:rsid w:val="009E7AF1"/>
    <w:rsid w:val="009F0140"/>
    <w:rsid w:val="009F088B"/>
    <w:rsid w:val="009F0A51"/>
    <w:rsid w:val="009F185E"/>
    <w:rsid w:val="009F1AEB"/>
    <w:rsid w:val="009F2095"/>
    <w:rsid w:val="009F2760"/>
    <w:rsid w:val="009F2A9E"/>
    <w:rsid w:val="009F2C11"/>
    <w:rsid w:val="009F2CB5"/>
    <w:rsid w:val="009F2DB1"/>
    <w:rsid w:val="009F2DDF"/>
    <w:rsid w:val="009F2EA2"/>
    <w:rsid w:val="009F3045"/>
    <w:rsid w:val="009F33F8"/>
    <w:rsid w:val="009F342E"/>
    <w:rsid w:val="009F351F"/>
    <w:rsid w:val="009F39C5"/>
    <w:rsid w:val="009F3B04"/>
    <w:rsid w:val="009F3F89"/>
    <w:rsid w:val="009F480E"/>
    <w:rsid w:val="009F48C2"/>
    <w:rsid w:val="009F4AF8"/>
    <w:rsid w:val="009F53B2"/>
    <w:rsid w:val="009F5650"/>
    <w:rsid w:val="009F57A3"/>
    <w:rsid w:val="009F5AD7"/>
    <w:rsid w:val="009F5EF2"/>
    <w:rsid w:val="009F64FE"/>
    <w:rsid w:val="009F65A3"/>
    <w:rsid w:val="009F6699"/>
    <w:rsid w:val="00A00591"/>
    <w:rsid w:val="00A00EFA"/>
    <w:rsid w:val="00A010E2"/>
    <w:rsid w:val="00A016EB"/>
    <w:rsid w:val="00A01FCD"/>
    <w:rsid w:val="00A022A2"/>
    <w:rsid w:val="00A02525"/>
    <w:rsid w:val="00A02D15"/>
    <w:rsid w:val="00A035B0"/>
    <w:rsid w:val="00A039D3"/>
    <w:rsid w:val="00A04110"/>
    <w:rsid w:val="00A0425F"/>
    <w:rsid w:val="00A043F7"/>
    <w:rsid w:val="00A0440A"/>
    <w:rsid w:val="00A0442B"/>
    <w:rsid w:val="00A04442"/>
    <w:rsid w:val="00A04583"/>
    <w:rsid w:val="00A04A97"/>
    <w:rsid w:val="00A04D71"/>
    <w:rsid w:val="00A073B6"/>
    <w:rsid w:val="00A0746B"/>
    <w:rsid w:val="00A07643"/>
    <w:rsid w:val="00A077E5"/>
    <w:rsid w:val="00A077FD"/>
    <w:rsid w:val="00A07EAC"/>
    <w:rsid w:val="00A07F49"/>
    <w:rsid w:val="00A10C8F"/>
    <w:rsid w:val="00A10D36"/>
    <w:rsid w:val="00A11403"/>
    <w:rsid w:val="00A117E6"/>
    <w:rsid w:val="00A11EE1"/>
    <w:rsid w:val="00A1226D"/>
    <w:rsid w:val="00A12966"/>
    <w:rsid w:val="00A12DFF"/>
    <w:rsid w:val="00A134E9"/>
    <w:rsid w:val="00A1423D"/>
    <w:rsid w:val="00A144AD"/>
    <w:rsid w:val="00A14748"/>
    <w:rsid w:val="00A14B64"/>
    <w:rsid w:val="00A14FFF"/>
    <w:rsid w:val="00A155B3"/>
    <w:rsid w:val="00A15960"/>
    <w:rsid w:val="00A15D8F"/>
    <w:rsid w:val="00A16047"/>
    <w:rsid w:val="00A16437"/>
    <w:rsid w:val="00A16D34"/>
    <w:rsid w:val="00A17411"/>
    <w:rsid w:val="00A1741B"/>
    <w:rsid w:val="00A174D1"/>
    <w:rsid w:val="00A17FA0"/>
    <w:rsid w:val="00A20155"/>
    <w:rsid w:val="00A2026E"/>
    <w:rsid w:val="00A20286"/>
    <w:rsid w:val="00A204ED"/>
    <w:rsid w:val="00A218E0"/>
    <w:rsid w:val="00A21955"/>
    <w:rsid w:val="00A2273F"/>
    <w:rsid w:val="00A22F4B"/>
    <w:rsid w:val="00A236A2"/>
    <w:rsid w:val="00A24148"/>
    <w:rsid w:val="00A24B95"/>
    <w:rsid w:val="00A24F85"/>
    <w:rsid w:val="00A258EF"/>
    <w:rsid w:val="00A2627E"/>
    <w:rsid w:val="00A265E3"/>
    <w:rsid w:val="00A2664A"/>
    <w:rsid w:val="00A26A12"/>
    <w:rsid w:val="00A26B0D"/>
    <w:rsid w:val="00A2735E"/>
    <w:rsid w:val="00A27B4B"/>
    <w:rsid w:val="00A27B66"/>
    <w:rsid w:val="00A30569"/>
    <w:rsid w:val="00A305EF"/>
    <w:rsid w:val="00A3101E"/>
    <w:rsid w:val="00A31248"/>
    <w:rsid w:val="00A31308"/>
    <w:rsid w:val="00A31896"/>
    <w:rsid w:val="00A31B38"/>
    <w:rsid w:val="00A31F64"/>
    <w:rsid w:val="00A326DA"/>
    <w:rsid w:val="00A326EE"/>
    <w:rsid w:val="00A3279F"/>
    <w:rsid w:val="00A32B12"/>
    <w:rsid w:val="00A32BF0"/>
    <w:rsid w:val="00A33161"/>
    <w:rsid w:val="00A33365"/>
    <w:rsid w:val="00A333D2"/>
    <w:rsid w:val="00A3377F"/>
    <w:rsid w:val="00A339E4"/>
    <w:rsid w:val="00A33B9F"/>
    <w:rsid w:val="00A33F0F"/>
    <w:rsid w:val="00A345BA"/>
    <w:rsid w:val="00A348EB"/>
    <w:rsid w:val="00A34C9B"/>
    <w:rsid w:val="00A35272"/>
    <w:rsid w:val="00A356CF"/>
    <w:rsid w:val="00A35DFF"/>
    <w:rsid w:val="00A363A7"/>
    <w:rsid w:val="00A363BA"/>
    <w:rsid w:val="00A3735A"/>
    <w:rsid w:val="00A37DBB"/>
    <w:rsid w:val="00A402BC"/>
    <w:rsid w:val="00A41310"/>
    <w:rsid w:val="00A41A1D"/>
    <w:rsid w:val="00A42F1B"/>
    <w:rsid w:val="00A4390C"/>
    <w:rsid w:val="00A43DDF"/>
    <w:rsid w:val="00A4430F"/>
    <w:rsid w:val="00A448A2"/>
    <w:rsid w:val="00A44AE8"/>
    <w:rsid w:val="00A44EBE"/>
    <w:rsid w:val="00A455AE"/>
    <w:rsid w:val="00A45846"/>
    <w:rsid w:val="00A45DE3"/>
    <w:rsid w:val="00A4605C"/>
    <w:rsid w:val="00A462A2"/>
    <w:rsid w:val="00A46B9B"/>
    <w:rsid w:val="00A47687"/>
    <w:rsid w:val="00A47853"/>
    <w:rsid w:val="00A4798E"/>
    <w:rsid w:val="00A50182"/>
    <w:rsid w:val="00A50728"/>
    <w:rsid w:val="00A509AF"/>
    <w:rsid w:val="00A50D08"/>
    <w:rsid w:val="00A50FFE"/>
    <w:rsid w:val="00A510C9"/>
    <w:rsid w:val="00A511AC"/>
    <w:rsid w:val="00A51CA3"/>
    <w:rsid w:val="00A51E51"/>
    <w:rsid w:val="00A51E6E"/>
    <w:rsid w:val="00A520EE"/>
    <w:rsid w:val="00A521FC"/>
    <w:rsid w:val="00A5356B"/>
    <w:rsid w:val="00A53E74"/>
    <w:rsid w:val="00A5438E"/>
    <w:rsid w:val="00A544BD"/>
    <w:rsid w:val="00A54546"/>
    <w:rsid w:val="00A546BC"/>
    <w:rsid w:val="00A54F57"/>
    <w:rsid w:val="00A55989"/>
    <w:rsid w:val="00A5601B"/>
    <w:rsid w:val="00A56021"/>
    <w:rsid w:val="00A5681D"/>
    <w:rsid w:val="00A5694A"/>
    <w:rsid w:val="00A57023"/>
    <w:rsid w:val="00A572D6"/>
    <w:rsid w:val="00A578C8"/>
    <w:rsid w:val="00A57C31"/>
    <w:rsid w:val="00A60AE3"/>
    <w:rsid w:val="00A60DFB"/>
    <w:rsid w:val="00A60F5E"/>
    <w:rsid w:val="00A619B7"/>
    <w:rsid w:val="00A61EC0"/>
    <w:rsid w:val="00A62128"/>
    <w:rsid w:val="00A621D6"/>
    <w:rsid w:val="00A623FB"/>
    <w:rsid w:val="00A62471"/>
    <w:rsid w:val="00A62B29"/>
    <w:rsid w:val="00A62B9B"/>
    <w:rsid w:val="00A6341F"/>
    <w:rsid w:val="00A63917"/>
    <w:rsid w:val="00A63DA4"/>
    <w:rsid w:val="00A6406C"/>
    <w:rsid w:val="00A640A9"/>
    <w:rsid w:val="00A6426E"/>
    <w:rsid w:val="00A644EA"/>
    <w:rsid w:val="00A64772"/>
    <w:rsid w:val="00A6655A"/>
    <w:rsid w:val="00A66C1E"/>
    <w:rsid w:val="00A66D33"/>
    <w:rsid w:val="00A66DC1"/>
    <w:rsid w:val="00A66EDF"/>
    <w:rsid w:val="00A71881"/>
    <w:rsid w:val="00A719B1"/>
    <w:rsid w:val="00A723BB"/>
    <w:rsid w:val="00A72F74"/>
    <w:rsid w:val="00A73038"/>
    <w:rsid w:val="00A732A6"/>
    <w:rsid w:val="00A7342C"/>
    <w:rsid w:val="00A7349C"/>
    <w:rsid w:val="00A73A66"/>
    <w:rsid w:val="00A74EA6"/>
    <w:rsid w:val="00A74F1F"/>
    <w:rsid w:val="00A75CD5"/>
    <w:rsid w:val="00A75D84"/>
    <w:rsid w:val="00A763D5"/>
    <w:rsid w:val="00A767CC"/>
    <w:rsid w:val="00A7713A"/>
    <w:rsid w:val="00A777BD"/>
    <w:rsid w:val="00A804BC"/>
    <w:rsid w:val="00A814CF"/>
    <w:rsid w:val="00A81990"/>
    <w:rsid w:val="00A81A14"/>
    <w:rsid w:val="00A820F2"/>
    <w:rsid w:val="00A8246E"/>
    <w:rsid w:val="00A8284C"/>
    <w:rsid w:val="00A82984"/>
    <w:rsid w:val="00A82B72"/>
    <w:rsid w:val="00A82C9A"/>
    <w:rsid w:val="00A83248"/>
    <w:rsid w:val="00A834EE"/>
    <w:rsid w:val="00A83505"/>
    <w:rsid w:val="00A83875"/>
    <w:rsid w:val="00A83D14"/>
    <w:rsid w:val="00A83DF3"/>
    <w:rsid w:val="00A844A4"/>
    <w:rsid w:val="00A84D63"/>
    <w:rsid w:val="00A8577F"/>
    <w:rsid w:val="00A8584C"/>
    <w:rsid w:val="00A85915"/>
    <w:rsid w:val="00A85B7B"/>
    <w:rsid w:val="00A8617A"/>
    <w:rsid w:val="00A86270"/>
    <w:rsid w:val="00A865A9"/>
    <w:rsid w:val="00A86899"/>
    <w:rsid w:val="00A86B0C"/>
    <w:rsid w:val="00A86D78"/>
    <w:rsid w:val="00A872E0"/>
    <w:rsid w:val="00A877BF"/>
    <w:rsid w:val="00A90905"/>
    <w:rsid w:val="00A90ADB"/>
    <w:rsid w:val="00A919D1"/>
    <w:rsid w:val="00A91E7B"/>
    <w:rsid w:val="00A9204E"/>
    <w:rsid w:val="00A924C6"/>
    <w:rsid w:val="00A934D0"/>
    <w:rsid w:val="00A9352E"/>
    <w:rsid w:val="00A94D93"/>
    <w:rsid w:val="00A950AC"/>
    <w:rsid w:val="00A951F9"/>
    <w:rsid w:val="00A952AB"/>
    <w:rsid w:val="00A957A0"/>
    <w:rsid w:val="00A95C5E"/>
    <w:rsid w:val="00A96205"/>
    <w:rsid w:val="00A96769"/>
    <w:rsid w:val="00A96863"/>
    <w:rsid w:val="00A96E27"/>
    <w:rsid w:val="00A97405"/>
    <w:rsid w:val="00A97696"/>
    <w:rsid w:val="00A97802"/>
    <w:rsid w:val="00A9783D"/>
    <w:rsid w:val="00A9786D"/>
    <w:rsid w:val="00A97B4C"/>
    <w:rsid w:val="00AA049C"/>
    <w:rsid w:val="00AA04DB"/>
    <w:rsid w:val="00AA0942"/>
    <w:rsid w:val="00AA0B97"/>
    <w:rsid w:val="00AA1A64"/>
    <w:rsid w:val="00AA1B3C"/>
    <w:rsid w:val="00AA1DD4"/>
    <w:rsid w:val="00AA230A"/>
    <w:rsid w:val="00AA24EF"/>
    <w:rsid w:val="00AA26F1"/>
    <w:rsid w:val="00AA29AE"/>
    <w:rsid w:val="00AA2C61"/>
    <w:rsid w:val="00AA3E44"/>
    <w:rsid w:val="00AA4278"/>
    <w:rsid w:val="00AA44E0"/>
    <w:rsid w:val="00AA45E6"/>
    <w:rsid w:val="00AA5A37"/>
    <w:rsid w:val="00AA5CD7"/>
    <w:rsid w:val="00AA5CE6"/>
    <w:rsid w:val="00AA5F44"/>
    <w:rsid w:val="00AA61E3"/>
    <w:rsid w:val="00AA7110"/>
    <w:rsid w:val="00AA75CF"/>
    <w:rsid w:val="00AA7B83"/>
    <w:rsid w:val="00AB0218"/>
    <w:rsid w:val="00AB1459"/>
    <w:rsid w:val="00AB14C7"/>
    <w:rsid w:val="00AB151A"/>
    <w:rsid w:val="00AB1ABE"/>
    <w:rsid w:val="00AB2773"/>
    <w:rsid w:val="00AB2C74"/>
    <w:rsid w:val="00AB2E97"/>
    <w:rsid w:val="00AB357E"/>
    <w:rsid w:val="00AB3866"/>
    <w:rsid w:val="00AB3BDF"/>
    <w:rsid w:val="00AB4485"/>
    <w:rsid w:val="00AB4575"/>
    <w:rsid w:val="00AB489C"/>
    <w:rsid w:val="00AB50C1"/>
    <w:rsid w:val="00AB53AF"/>
    <w:rsid w:val="00AB58C7"/>
    <w:rsid w:val="00AB65C3"/>
    <w:rsid w:val="00AB6936"/>
    <w:rsid w:val="00AB7E3C"/>
    <w:rsid w:val="00AB7EA9"/>
    <w:rsid w:val="00AC06EF"/>
    <w:rsid w:val="00AC0840"/>
    <w:rsid w:val="00AC0A96"/>
    <w:rsid w:val="00AC0C3B"/>
    <w:rsid w:val="00AC0C7B"/>
    <w:rsid w:val="00AC24CB"/>
    <w:rsid w:val="00AC2906"/>
    <w:rsid w:val="00AC29CB"/>
    <w:rsid w:val="00AC2B58"/>
    <w:rsid w:val="00AC2D63"/>
    <w:rsid w:val="00AC3200"/>
    <w:rsid w:val="00AC32E1"/>
    <w:rsid w:val="00AC346C"/>
    <w:rsid w:val="00AC3555"/>
    <w:rsid w:val="00AC37B3"/>
    <w:rsid w:val="00AC433C"/>
    <w:rsid w:val="00AC4CD0"/>
    <w:rsid w:val="00AC4E06"/>
    <w:rsid w:val="00AC5CDB"/>
    <w:rsid w:val="00AC65D5"/>
    <w:rsid w:val="00AC66D2"/>
    <w:rsid w:val="00AC6FDA"/>
    <w:rsid w:val="00AC721F"/>
    <w:rsid w:val="00AC7273"/>
    <w:rsid w:val="00AC7548"/>
    <w:rsid w:val="00AC770E"/>
    <w:rsid w:val="00AC7AC5"/>
    <w:rsid w:val="00AD03D8"/>
    <w:rsid w:val="00AD0711"/>
    <w:rsid w:val="00AD16D2"/>
    <w:rsid w:val="00AD1772"/>
    <w:rsid w:val="00AD1B7B"/>
    <w:rsid w:val="00AD1DB7"/>
    <w:rsid w:val="00AD1F3B"/>
    <w:rsid w:val="00AD2207"/>
    <w:rsid w:val="00AD2C90"/>
    <w:rsid w:val="00AD2D31"/>
    <w:rsid w:val="00AD2FE2"/>
    <w:rsid w:val="00AD30F5"/>
    <w:rsid w:val="00AD3445"/>
    <w:rsid w:val="00AD3B8B"/>
    <w:rsid w:val="00AD43E5"/>
    <w:rsid w:val="00AD4552"/>
    <w:rsid w:val="00AD4B5E"/>
    <w:rsid w:val="00AD4DC3"/>
    <w:rsid w:val="00AD4E92"/>
    <w:rsid w:val="00AD4F94"/>
    <w:rsid w:val="00AD5F5F"/>
    <w:rsid w:val="00AD628C"/>
    <w:rsid w:val="00AD69AD"/>
    <w:rsid w:val="00AD6D26"/>
    <w:rsid w:val="00AD6F21"/>
    <w:rsid w:val="00AD704E"/>
    <w:rsid w:val="00AD7D26"/>
    <w:rsid w:val="00AE0022"/>
    <w:rsid w:val="00AE0418"/>
    <w:rsid w:val="00AE215D"/>
    <w:rsid w:val="00AE22F9"/>
    <w:rsid w:val="00AE248F"/>
    <w:rsid w:val="00AE290F"/>
    <w:rsid w:val="00AE2C53"/>
    <w:rsid w:val="00AE2FC8"/>
    <w:rsid w:val="00AE33BB"/>
    <w:rsid w:val="00AE3432"/>
    <w:rsid w:val="00AE3560"/>
    <w:rsid w:val="00AE376D"/>
    <w:rsid w:val="00AE39AC"/>
    <w:rsid w:val="00AE3E63"/>
    <w:rsid w:val="00AE3F49"/>
    <w:rsid w:val="00AE4175"/>
    <w:rsid w:val="00AE481C"/>
    <w:rsid w:val="00AE49D1"/>
    <w:rsid w:val="00AE4CC4"/>
    <w:rsid w:val="00AE510C"/>
    <w:rsid w:val="00AE55C7"/>
    <w:rsid w:val="00AE5E75"/>
    <w:rsid w:val="00AE5FE0"/>
    <w:rsid w:val="00AE60B7"/>
    <w:rsid w:val="00AE60CC"/>
    <w:rsid w:val="00AF0280"/>
    <w:rsid w:val="00AF05C4"/>
    <w:rsid w:val="00AF07AD"/>
    <w:rsid w:val="00AF07E5"/>
    <w:rsid w:val="00AF0801"/>
    <w:rsid w:val="00AF1214"/>
    <w:rsid w:val="00AF196B"/>
    <w:rsid w:val="00AF1D3F"/>
    <w:rsid w:val="00AF213F"/>
    <w:rsid w:val="00AF2378"/>
    <w:rsid w:val="00AF2AB7"/>
    <w:rsid w:val="00AF2B1C"/>
    <w:rsid w:val="00AF2C8C"/>
    <w:rsid w:val="00AF31C3"/>
    <w:rsid w:val="00AF34DE"/>
    <w:rsid w:val="00AF3A5E"/>
    <w:rsid w:val="00AF3B27"/>
    <w:rsid w:val="00AF3C64"/>
    <w:rsid w:val="00AF4419"/>
    <w:rsid w:val="00AF4B47"/>
    <w:rsid w:val="00AF4D3F"/>
    <w:rsid w:val="00AF513A"/>
    <w:rsid w:val="00AF532F"/>
    <w:rsid w:val="00AF5417"/>
    <w:rsid w:val="00AF547E"/>
    <w:rsid w:val="00AF5AEA"/>
    <w:rsid w:val="00AF5CC5"/>
    <w:rsid w:val="00AF63D6"/>
    <w:rsid w:val="00AF645B"/>
    <w:rsid w:val="00AF661A"/>
    <w:rsid w:val="00AF6B0F"/>
    <w:rsid w:val="00AF6D44"/>
    <w:rsid w:val="00AF757E"/>
    <w:rsid w:val="00B001C9"/>
    <w:rsid w:val="00B006EE"/>
    <w:rsid w:val="00B00943"/>
    <w:rsid w:val="00B00BBE"/>
    <w:rsid w:val="00B0136D"/>
    <w:rsid w:val="00B01833"/>
    <w:rsid w:val="00B0245B"/>
    <w:rsid w:val="00B0300B"/>
    <w:rsid w:val="00B03297"/>
    <w:rsid w:val="00B03403"/>
    <w:rsid w:val="00B03D58"/>
    <w:rsid w:val="00B040E6"/>
    <w:rsid w:val="00B0426A"/>
    <w:rsid w:val="00B04860"/>
    <w:rsid w:val="00B05457"/>
    <w:rsid w:val="00B05459"/>
    <w:rsid w:val="00B057F5"/>
    <w:rsid w:val="00B06480"/>
    <w:rsid w:val="00B06677"/>
    <w:rsid w:val="00B067CD"/>
    <w:rsid w:val="00B06BAF"/>
    <w:rsid w:val="00B07859"/>
    <w:rsid w:val="00B07F67"/>
    <w:rsid w:val="00B10011"/>
    <w:rsid w:val="00B10518"/>
    <w:rsid w:val="00B1058C"/>
    <w:rsid w:val="00B109F8"/>
    <w:rsid w:val="00B10CDA"/>
    <w:rsid w:val="00B10F60"/>
    <w:rsid w:val="00B110F5"/>
    <w:rsid w:val="00B117D8"/>
    <w:rsid w:val="00B121D3"/>
    <w:rsid w:val="00B126CB"/>
    <w:rsid w:val="00B128A0"/>
    <w:rsid w:val="00B12A20"/>
    <w:rsid w:val="00B12C86"/>
    <w:rsid w:val="00B12E11"/>
    <w:rsid w:val="00B1311D"/>
    <w:rsid w:val="00B136A9"/>
    <w:rsid w:val="00B13CB1"/>
    <w:rsid w:val="00B13E9A"/>
    <w:rsid w:val="00B13F25"/>
    <w:rsid w:val="00B1414E"/>
    <w:rsid w:val="00B142A4"/>
    <w:rsid w:val="00B146F5"/>
    <w:rsid w:val="00B148DD"/>
    <w:rsid w:val="00B14DD2"/>
    <w:rsid w:val="00B14F29"/>
    <w:rsid w:val="00B15106"/>
    <w:rsid w:val="00B15F33"/>
    <w:rsid w:val="00B15F69"/>
    <w:rsid w:val="00B1605B"/>
    <w:rsid w:val="00B16150"/>
    <w:rsid w:val="00B168E8"/>
    <w:rsid w:val="00B16BCF"/>
    <w:rsid w:val="00B17A65"/>
    <w:rsid w:val="00B17CF0"/>
    <w:rsid w:val="00B17E19"/>
    <w:rsid w:val="00B200CC"/>
    <w:rsid w:val="00B20240"/>
    <w:rsid w:val="00B202CE"/>
    <w:rsid w:val="00B2136E"/>
    <w:rsid w:val="00B216CC"/>
    <w:rsid w:val="00B21C44"/>
    <w:rsid w:val="00B22317"/>
    <w:rsid w:val="00B22BF8"/>
    <w:rsid w:val="00B22E37"/>
    <w:rsid w:val="00B23281"/>
    <w:rsid w:val="00B234C7"/>
    <w:rsid w:val="00B23A4E"/>
    <w:rsid w:val="00B23D5F"/>
    <w:rsid w:val="00B24BF9"/>
    <w:rsid w:val="00B24E19"/>
    <w:rsid w:val="00B250B7"/>
    <w:rsid w:val="00B251CB"/>
    <w:rsid w:val="00B267A4"/>
    <w:rsid w:val="00B267D2"/>
    <w:rsid w:val="00B26BCF"/>
    <w:rsid w:val="00B27518"/>
    <w:rsid w:val="00B27571"/>
    <w:rsid w:val="00B27703"/>
    <w:rsid w:val="00B3038E"/>
    <w:rsid w:val="00B30399"/>
    <w:rsid w:val="00B303BF"/>
    <w:rsid w:val="00B31082"/>
    <w:rsid w:val="00B313FB"/>
    <w:rsid w:val="00B3189E"/>
    <w:rsid w:val="00B31FA0"/>
    <w:rsid w:val="00B3200E"/>
    <w:rsid w:val="00B32269"/>
    <w:rsid w:val="00B32978"/>
    <w:rsid w:val="00B32B91"/>
    <w:rsid w:val="00B32CDF"/>
    <w:rsid w:val="00B33930"/>
    <w:rsid w:val="00B339E9"/>
    <w:rsid w:val="00B33A62"/>
    <w:rsid w:val="00B33D11"/>
    <w:rsid w:val="00B34C6E"/>
    <w:rsid w:val="00B352A6"/>
    <w:rsid w:val="00B35473"/>
    <w:rsid w:val="00B355CF"/>
    <w:rsid w:val="00B35FEE"/>
    <w:rsid w:val="00B36401"/>
    <w:rsid w:val="00B37065"/>
    <w:rsid w:val="00B371FF"/>
    <w:rsid w:val="00B37840"/>
    <w:rsid w:val="00B4164B"/>
    <w:rsid w:val="00B4196C"/>
    <w:rsid w:val="00B41A8A"/>
    <w:rsid w:val="00B41E4A"/>
    <w:rsid w:val="00B426A6"/>
    <w:rsid w:val="00B43216"/>
    <w:rsid w:val="00B43F5C"/>
    <w:rsid w:val="00B440D1"/>
    <w:rsid w:val="00B4417B"/>
    <w:rsid w:val="00B44F04"/>
    <w:rsid w:val="00B45319"/>
    <w:rsid w:val="00B45406"/>
    <w:rsid w:val="00B45595"/>
    <w:rsid w:val="00B45A44"/>
    <w:rsid w:val="00B45E97"/>
    <w:rsid w:val="00B46255"/>
    <w:rsid w:val="00B4625E"/>
    <w:rsid w:val="00B46409"/>
    <w:rsid w:val="00B46441"/>
    <w:rsid w:val="00B46468"/>
    <w:rsid w:val="00B46483"/>
    <w:rsid w:val="00B4678F"/>
    <w:rsid w:val="00B47000"/>
    <w:rsid w:val="00B47686"/>
    <w:rsid w:val="00B477ED"/>
    <w:rsid w:val="00B47822"/>
    <w:rsid w:val="00B50543"/>
    <w:rsid w:val="00B505DB"/>
    <w:rsid w:val="00B50B7B"/>
    <w:rsid w:val="00B5124E"/>
    <w:rsid w:val="00B51869"/>
    <w:rsid w:val="00B51ED8"/>
    <w:rsid w:val="00B520BA"/>
    <w:rsid w:val="00B52485"/>
    <w:rsid w:val="00B52868"/>
    <w:rsid w:val="00B52C07"/>
    <w:rsid w:val="00B52CFA"/>
    <w:rsid w:val="00B5338F"/>
    <w:rsid w:val="00B53A5A"/>
    <w:rsid w:val="00B53AFD"/>
    <w:rsid w:val="00B5409A"/>
    <w:rsid w:val="00B545EF"/>
    <w:rsid w:val="00B5510A"/>
    <w:rsid w:val="00B55338"/>
    <w:rsid w:val="00B553EE"/>
    <w:rsid w:val="00B55574"/>
    <w:rsid w:val="00B55DA5"/>
    <w:rsid w:val="00B55E24"/>
    <w:rsid w:val="00B5656E"/>
    <w:rsid w:val="00B56619"/>
    <w:rsid w:val="00B56989"/>
    <w:rsid w:val="00B56A46"/>
    <w:rsid w:val="00B57568"/>
    <w:rsid w:val="00B575D9"/>
    <w:rsid w:val="00B5786F"/>
    <w:rsid w:val="00B578E9"/>
    <w:rsid w:val="00B579D9"/>
    <w:rsid w:val="00B60858"/>
    <w:rsid w:val="00B60ADD"/>
    <w:rsid w:val="00B619D4"/>
    <w:rsid w:val="00B61BB7"/>
    <w:rsid w:val="00B6223A"/>
    <w:rsid w:val="00B62E47"/>
    <w:rsid w:val="00B63253"/>
    <w:rsid w:val="00B63862"/>
    <w:rsid w:val="00B63A3E"/>
    <w:rsid w:val="00B6401F"/>
    <w:rsid w:val="00B641A4"/>
    <w:rsid w:val="00B643EF"/>
    <w:rsid w:val="00B64737"/>
    <w:rsid w:val="00B64D90"/>
    <w:rsid w:val="00B6506D"/>
    <w:rsid w:val="00B6525D"/>
    <w:rsid w:val="00B65391"/>
    <w:rsid w:val="00B658D0"/>
    <w:rsid w:val="00B65ABA"/>
    <w:rsid w:val="00B65C80"/>
    <w:rsid w:val="00B66A0F"/>
    <w:rsid w:val="00B67097"/>
    <w:rsid w:val="00B67328"/>
    <w:rsid w:val="00B677CB"/>
    <w:rsid w:val="00B67866"/>
    <w:rsid w:val="00B678C4"/>
    <w:rsid w:val="00B6790F"/>
    <w:rsid w:val="00B67FB4"/>
    <w:rsid w:val="00B7021C"/>
    <w:rsid w:val="00B7075F"/>
    <w:rsid w:val="00B7098B"/>
    <w:rsid w:val="00B711F3"/>
    <w:rsid w:val="00B71AA7"/>
    <w:rsid w:val="00B71B3B"/>
    <w:rsid w:val="00B71ED9"/>
    <w:rsid w:val="00B71EEC"/>
    <w:rsid w:val="00B72B94"/>
    <w:rsid w:val="00B736DC"/>
    <w:rsid w:val="00B73ACB"/>
    <w:rsid w:val="00B74E6A"/>
    <w:rsid w:val="00B751F5"/>
    <w:rsid w:val="00B7558A"/>
    <w:rsid w:val="00B75749"/>
    <w:rsid w:val="00B75D25"/>
    <w:rsid w:val="00B75FFC"/>
    <w:rsid w:val="00B76426"/>
    <w:rsid w:val="00B765E2"/>
    <w:rsid w:val="00B768CB"/>
    <w:rsid w:val="00B77066"/>
    <w:rsid w:val="00B77A60"/>
    <w:rsid w:val="00B77A7C"/>
    <w:rsid w:val="00B80139"/>
    <w:rsid w:val="00B808D7"/>
    <w:rsid w:val="00B80958"/>
    <w:rsid w:val="00B80BFE"/>
    <w:rsid w:val="00B81BA1"/>
    <w:rsid w:val="00B81D64"/>
    <w:rsid w:val="00B821DE"/>
    <w:rsid w:val="00B82606"/>
    <w:rsid w:val="00B82645"/>
    <w:rsid w:val="00B82AAA"/>
    <w:rsid w:val="00B82C45"/>
    <w:rsid w:val="00B8337C"/>
    <w:rsid w:val="00B833AF"/>
    <w:rsid w:val="00B83637"/>
    <w:rsid w:val="00B8398D"/>
    <w:rsid w:val="00B83AED"/>
    <w:rsid w:val="00B83E7F"/>
    <w:rsid w:val="00B853DB"/>
    <w:rsid w:val="00B85613"/>
    <w:rsid w:val="00B857D0"/>
    <w:rsid w:val="00B8588D"/>
    <w:rsid w:val="00B861E9"/>
    <w:rsid w:val="00B862ED"/>
    <w:rsid w:val="00B86493"/>
    <w:rsid w:val="00B8683C"/>
    <w:rsid w:val="00B86CE2"/>
    <w:rsid w:val="00B86EA0"/>
    <w:rsid w:val="00B87340"/>
    <w:rsid w:val="00B87376"/>
    <w:rsid w:val="00B875B6"/>
    <w:rsid w:val="00B87A57"/>
    <w:rsid w:val="00B87C9E"/>
    <w:rsid w:val="00B87D61"/>
    <w:rsid w:val="00B90DE0"/>
    <w:rsid w:val="00B9104A"/>
    <w:rsid w:val="00B917F0"/>
    <w:rsid w:val="00B91F74"/>
    <w:rsid w:val="00B923BD"/>
    <w:rsid w:val="00B9264A"/>
    <w:rsid w:val="00B9278A"/>
    <w:rsid w:val="00B929CE"/>
    <w:rsid w:val="00B92BA1"/>
    <w:rsid w:val="00B92C06"/>
    <w:rsid w:val="00B9311D"/>
    <w:rsid w:val="00B93615"/>
    <w:rsid w:val="00B93713"/>
    <w:rsid w:val="00B93948"/>
    <w:rsid w:val="00B944A9"/>
    <w:rsid w:val="00B947A1"/>
    <w:rsid w:val="00B95147"/>
    <w:rsid w:val="00B9557E"/>
    <w:rsid w:val="00B95DCA"/>
    <w:rsid w:val="00B961A1"/>
    <w:rsid w:val="00B96642"/>
    <w:rsid w:val="00B96DA0"/>
    <w:rsid w:val="00B97C81"/>
    <w:rsid w:val="00BA04F6"/>
    <w:rsid w:val="00BA0E08"/>
    <w:rsid w:val="00BA14D6"/>
    <w:rsid w:val="00BA19FD"/>
    <w:rsid w:val="00BA1E2C"/>
    <w:rsid w:val="00BA208E"/>
    <w:rsid w:val="00BA20FC"/>
    <w:rsid w:val="00BA262C"/>
    <w:rsid w:val="00BA2A28"/>
    <w:rsid w:val="00BA3065"/>
    <w:rsid w:val="00BA364F"/>
    <w:rsid w:val="00BA3EEC"/>
    <w:rsid w:val="00BA41FE"/>
    <w:rsid w:val="00BA48A0"/>
    <w:rsid w:val="00BA4BC7"/>
    <w:rsid w:val="00BA4E71"/>
    <w:rsid w:val="00BA502B"/>
    <w:rsid w:val="00BA5314"/>
    <w:rsid w:val="00BA55A1"/>
    <w:rsid w:val="00BA55B7"/>
    <w:rsid w:val="00BA5857"/>
    <w:rsid w:val="00BA59F8"/>
    <w:rsid w:val="00BA5D1A"/>
    <w:rsid w:val="00BA5E47"/>
    <w:rsid w:val="00BA5E4C"/>
    <w:rsid w:val="00BA6339"/>
    <w:rsid w:val="00BA6455"/>
    <w:rsid w:val="00BA6AC1"/>
    <w:rsid w:val="00BA725C"/>
    <w:rsid w:val="00BA7D57"/>
    <w:rsid w:val="00BB09AD"/>
    <w:rsid w:val="00BB156E"/>
    <w:rsid w:val="00BB208B"/>
    <w:rsid w:val="00BB2C78"/>
    <w:rsid w:val="00BB315C"/>
    <w:rsid w:val="00BB3330"/>
    <w:rsid w:val="00BB3F63"/>
    <w:rsid w:val="00BB40F1"/>
    <w:rsid w:val="00BB4472"/>
    <w:rsid w:val="00BB4719"/>
    <w:rsid w:val="00BB47D7"/>
    <w:rsid w:val="00BB497A"/>
    <w:rsid w:val="00BB4A62"/>
    <w:rsid w:val="00BB4D08"/>
    <w:rsid w:val="00BB570F"/>
    <w:rsid w:val="00BB586F"/>
    <w:rsid w:val="00BB5B02"/>
    <w:rsid w:val="00BB5DFB"/>
    <w:rsid w:val="00BB6F5E"/>
    <w:rsid w:val="00BB77FC"/>
    <w:rsid w:val="00BB7D7F"/>
    <w:rsid w:val="00BB7E81"/>
    <w:rsid w:val="00BC01C1"/>
    <w:rsid w:val="00BC0659"/>
    <w:rsid w:val="00BC1729"/>
    <w:rsid w:val="00BC1A58"/>
    <w:rsid w:val="00BC1E82"/>
    <w:rsid w:val="00BC1F9B"/>
    <w:rsid w:val="00BC25D5"/>
    <w:rsid w:val="00BC276D"/>
    <w:rsid w:val="00BC28C5"/>
    <w:rsid w:val="00BC2C66"/>
    <w:rsid w:val="00BC3347"/>
    <w:rsid w:val="00BC340B"/>
    <w:rsid w:val="00BC3468"/>
    <w:rsid w:val="00BC3630"/>
    <w:rsid w:val="00BC37AE"/>
    <w:rsid w:val="00BC383E"/>
    <w:rsid w:val="00BC43F9"/>
    <w:rsid w:val="00BC45A1"/>
    <w:rsid w:val="00BC4967"/>
    <w:rsid w:val="00BC539D"/>
    <w:rsid w:val="00BC557D"/>
    <w:rsid w:val="00BC59AA"/>
    <w:rsid w:val="00BC5A34"/>
    <w:rsid w:val="00BC5C7F"/>
    <w:rsid w:val="00BC6282"/>
    <w:rsid w:val="00BC6360"/>
    <w:rsid w:val="00BC6681"/>
    <w:rsid w:val="00BC6C21"/>
    <w:rsid w:val="00BC6D34"/>
    <w:rsid w:val="00BC711D"/>
    <w:rsid w:val="00BD0111"/>
    <w:rsid w:val="00BD08C1"/>
    <w:rsid w:val="00BD14F0"/>
    <w:rsid w:val="00BD17F5"/>
    <w:rsid w:val="00BD184A"/>
    <w:rsid w:val="00BD18CA"/>
    <w:rsid w:val="00BD1957"/>
    <w:rsid w:val="00BD2388"/>
    <w:rsid w:val="00BD266E"/>
    <w:rsid w:val="00BD2CCA"/>
    <w:rsid w:val="00BD369F"/>
    <w:rsid w:val="00BD3E48"/>
    <w:rsid w:val="00BD45F9"/>
    <w:rsid w:val="00BD4A64"/>
    <w:rsid w:val="00BD52BD"/>
    <w:rsid w:val="00BD54D9"/>
    <w:rsid w:val="00BD5DE2"/>
    <w:rsid w:val="00BD60B5"/>
    <w:rsid w:val="00BD6293"/>
    <w:rsid w:val="00BD67B9"/>
    <w:rsid w:val="00BD68F1"/>
    <w:rsid w:val="00BD6A07"/>
    <w:rsid w:val="00BD6E05"/>
    <w:rsid w:val="00BD7C03"/>
    <w:rsid w:val="00BD7F61"/>
    <w:rsid w:val="00BD7FE1"/>
    <w:rsid w:val="00BE0204"/>
    <w:rsid w:val="00BE049A"/>
    <w:rsid w:val="00BE0EA4"/>
    <w:rsid w:val="00BE1026"/>
    <w:rsid w:val="00BE1047"/>
    <w:rsid w:val="00BE1161"/>
    <w:rsid w:val="00BE1D6B"/>
    <w:rsid w:val="00BE2DD9"/>
    <w:rsid w:val="00BE319E"/>
    <w:rsid w:val="00BE31F8"/>
    <w:rsid w:val="00BE3D27"/>
    <w:rsid w:val="00BE41BA"/>
    <w:rsid w:val="00BE4BDF"/>
    <w:rsid w:val="00BE4EDF"/>
    <w:rsid w:val="00BE54D0"/>
    <w:rsid w:val="00BE5995"/>
    <w:rsid w:val="00BE5EDF"/>
    <w:rsid w:val="00BE6376"/>
    <w:rsid w:val="00BE656E"/>
    <w:rsid w:val="00BE69A7"/>
    <w:rsid w:val="00BE733F"/>
    <w:rsid w:val="00BE7396"/>
    <w:rsid w:val="00BE7523"/>
    <w:rsid w:val="00BE780A"/>
    <w:rsid w:val="00BF0324"/>
    <w:rsid w:val="00BF1037"/>
    <w:rsid w:val="00BF1D6C"/>
    <w:rsid w:val="00BF2263"/>
    <w:rsid w:val="00BF27C6"/>
    <w:rsid w:val="00BF301F"/>
    <w:rsid w:val="00BF3254"/>
    <w:rsid w:val="00BF358A"/>
    <w:rsid w:val="00BF3613"/>
    <w:rsid w:val="00BF3FC1"/>
    <w:rsid w:val="00BF4A24"/>
    <w:rsid w:val="00BF51C4"/>
    <w:rsid w:val="00BF5363"/>
    <w:rsid w:val="00BF54B5"/>
    <w:rsid w:val="00BF5622"/>
    <w:rsid w:val="00BF5AF6"/>
    <w:rsid w:val="00BF5B6D"/>
    <w:rsid w:val="00BF5CEB"/>
    <w:rsid w:val="00BF6591"/>
    <w:rsid w:val="00BF6B6C"/>
    <w:rsid w:val="00BF7251"/>
    <w:rsid w:val="00BF7C5E"/>
    <w:rsid w:val="00BF7D10"/>
    <w:rsid w:val="00BF7F28"/>
    <w:rsid w:val="00C00690"/>
    <w:rsid w:val="00C00FF6"/>
    <w:rsid w:val="00C0140F"/>
    <w:rsid w:val="00C01909"/>
    <w:rsid w:val="00C0255D"/>
    <w:rsid w:val="00C028E8"/>
    <w:rsid w:val="00C02C6C"/>
    <w:rsid w:val="00C03146"/>
    <w:rsid w:val="00C03CBF"/>
    <w:rsid w:val="00C03DF6"/>
    <w:rsid w:val="00C044D9"/>
    <w:rsid w:val="00C04D1B"/>
    <w:rsid w:val="00C04DCC"/>
    <w:rsid w:val="00C04E9C"/>
    <w:rsid w:val="00C05787"/>
    <w:rsid w:val="00C05C43"/>
    <w:rsid w:val="00C06365"/>
    <w:rsid w:val="00C0643D"/>
    <w:rsid w:val="00C069DC"/>
    <w:rsid w:val="00C072DC"/>
    <w:rsid w:val="00C103EC"/>
    <w:rsid w:val="00C10445"/>
    <w:rsid w:val="00C104FB"/>
    <w:rsid w:val="00C10526"/>
    <w:rsid w:val="00C10BF2"/>
    <w:rsid w:val="00C115C6"/>
    <w:rsid w:val="00C11871"/>
    <w:rsid w:val="00C118CC"/>
    <w:rsid w:val="00C11B52"/>
    <w:rsid w:val="00C11C20"/>
    <w:rsid w:val="00C11DB1"/>
    <w:rsid w:val="00C11EB8"/>
    <w:rsid w:val="00C12020"/>
    <w:rsid w:val="00C120E9"/>
    <w:rsid w:val="00C13059"/>
    <w:rsid w:val="00C1305F"/>
    <w:rsid w:val="00C13601"/>
    <w:rsid w:val="00C1374A"/>
    <w:rsid w:val="00C13953"/>
    <w:rsid w:val="00C140A3"/>
    <w:rsid w:val="00C141D9"/>
    <w:rsid w:val="00C141EC"/>
    <w:rsid w:val="00C14995"/>
    <w:rsid w:val="00C14E82"/>
    <w:rsid w:val="00C156D4"/>
    <w:rsid w:val="00C15A70"/>
    <w:rsid w:val="00C15BD5"/>
    <w:rsid w:val="00C160CF"/>
    <w:rsid w:val="00C16561"/>
    <w:rsid w:val="00C167A3"/>
    <w:rsid w:val="00C167B9"/>
    <w:rsid w:val="00C1684F"/>
    <w:rsid w:val="00C16BA6"/>
    <w:rsid w:val="00C16E54"/>
    <w:rsid w:val="00C170E4"/>
    <w:rsid w:val="00C17205"/>
    <w:rsid w:val="00C17399"/>
    <w:rsid w:val="00C17AA4"/>
    <w:rsid w:val="00C17EA5"/>
    <w:rsid w:val="00C20D3C"/>
    <w:rsid w:val="00C2181C"/>
    <w:rsid w:val="00C218A3"/>
    <w:rsid w:val="00C21CD0"/>
    <w:rsid w:val="00C21D99"/>
    <w:rsid w:val="00C2227F"/>
    <w:rsid w:val="00C23A7A"/>
    <w:rsid w:val="00C2472F"/>
    <w:rsid w:val="00C24740"/>
    <w:rsid w:val="00C24C3B"/>
    <w:rsid w:val="00C24DEF"/>
    <w:rsid w:val="00C24E2F"/>
    <w:rsid w:val="00C255B1"/>
    <w:rsid w:val="00C25984"/>
    <w:rsid w:val="00C25C4A"/>
    <w:rsid w:val="00C2657D"/>
    <w:rsid w:val="00C26868"/>
    <w:rsid w:val="00C26A87"/>
    <w:rsid w:val="00C27A50"/>
    <w:rsid w:val="00C27CFF"/>
    <w:rsid w:val="00C27E60"/>
    <w:rsid w:val="00C31784"/>
    <w:rsid w:val="00C319E0"/>
    <w:rsid w:val="00C3235D"/>
    <w:rsid w:val="00C334CC"/>
    <w:rsid w:val="00C33A03"/>
    <w:rsid w:val="00C33A83"/>
    <w:rsid w:val="00C3451C"/>
    <w:rsid w:val="00C34565"/>
    <w:rsid w:val="00C34972"/>
    <w:rsid w:val="00C35044"/>
    <w:rsid w:val="00C35345"/>
    <w:rsid w:val="00C35AA1"/>
    <w:rsid w:val="00C36235"/>
    <w:rsid w:val="00C36E33"/>
    <w:rsid w:val="00C36F69"/>
    <w:rsid w:val="00C370B4"/>
    <w:rsid w:val="00C3745D"/>
    <w:rsid w:val="00C374D0"/>
    <w:rsid w:val="00C4013A"/>
    <w:rsid w:val="00C40260"/>
    <w:rsid w:val="00C416E1"/>
    <w:rsid w:val="00C41FF2"/>
    <w:rsid w:val="00C4249E"/>
    <w:rsid w:val="00C42DC9"/>
    <w:rsid w:val="00C42FA2"/>
    <w:rsid w:val="00C43450"/>
    <w:rsid w:val="00C43D1B"/>
    <w:rsid w:val="00C449D7"/>
    <w:rsid w:val="00C44C95"/>
    <w:rsid w:val="00C45107"/>
    <w:rsid w:val="00C452BC"/>
    <w:rsid w:val="00C4539E"/>
    <w:rsid w:val="00C45579"/>
    <w:rsid w:val="00C45B85"/>
    <w:rsid w:val="00C45B8A"/>
    <w:rsid w:val="00C45DAD"/>
    <w:rsid w:val="00C46856"/>
    <w:rsid w:val="00C46B91"/>
    <w:rsid w:val="00C47A82"/>
    <w:rsid w:val="00C47BF8"/>
    <w:rsid w:val="00C47DBF"/>
    <w:rsid w:val="00C501BB"/>
    <w:rsid w:val="00C503F3"/>
    <w:rsid w:val="00C50AB1"/>
    <w:rsid w:val="00C51245"/>
    <w:rsid w:val="00C5125D"/>
    <w:rsid w:val="00C512AE"/>
    <w:rsid w:val="00C513A2"/>
    <w:rsid w:val="00C5154A"/>
    <w:rsid w:val="00C51B1C"/>
    <w:rsid w:val="00C5204A"/>
    <w:rsid w:val="00C5232B"/>
    <w:rsid w:val="00C52347"/>
    <w:rsid w:val="00C5258C"/>
    <w:rsid w:val="00C535AA"/>
    <w:rsid w:val="00C53788"/>
    <w:rsid w:val="00C538E5"/>
    <w:rsid w:val="00C53A1C"/>
    <w:rsid w:val="00C53DCE"/>
    <w:rsid w:val="00C54290"/>
    <w:rsid w:val="00C54453"/>
    <w:rsid w:val="00C55308"/>
    <w:rsid w:val="00C5597F"/>
    <w:rsid w:val="00C55DA4"/>
    <w:rsid w:val="00C570F2"/>
    <w:rsid w:val="00C5736D"/>
    <w:rsid w:val="00C57686"/>
    <w:rsid w:val="00C57937"/>
    <w:rsid w:val="00C57F93"/>
    <w:rsid w:val="00C60E67"/>
    <w:rsid w:val="00C60F50"/>
    <w:rsid w:val="00C61535"/>
    <w:rsid w:val="00C61556"/>
    <w:rsid w:val="00C61BD4"/>
    <w:rsid w:val="00C61DEA"/>
    <w:rsid w:val="00C61F76"/>
    <w:rsid w:val="00C620E0"/>
    <w:rsid w:val="00C621AD"/>
    <w:rsid w:val="00C621C1"/>
    <w:rsid w:val="00C62431"/>
    <w:rsid w:val="00C6258F"/>
    <w:rsid w:val="00C62617"/>
    <w:rsid w:val="00C63336"/>
    <w:rsid w:val="00C63B09"/>
    <w:rsid w:val="00C63D00"/>
    <w:rsid w:val="00C65508"/>
    <w:rsid w:val="00C655F2"/>
    <w:rsid w:val="00C65708"/>
    <w:rsid w:val="00C65B4C"/>
    <w:rsid w:val="00C65B61"/>
    <w:rsid w:val="00C65C75"/>
    <w:rsid w:val="00C6606A"/>
    <w:rsid w:val="00C66118"/>
    <w:rsid w:val="00C66163"/>
    <w:rsid w:val="00C6650C"/>
    <w:rsid w:val="00C66970"/>
    <w:rsid w:val="00C66A6E"/>
    <w:rsid w:val="00C66F6A"/>
    <w:rsid w:val="00C67095"/>
    <w:rsid w:val="00C67BCC"/>
    <w:rsid w:val="00C70E53"/>
    <w:rsid w:val="00C7105B"/>
    <w:rsid w:val="00C7107B"/>
    <w:rsid w:val="00C717CD"/>
    <w:rsid w:val="00C71F4E"/>
    <w:rsid w:val="00C720C1"/>
    <w:rsid w:val="00C72438"/>
    <w:rsid w:val="00C724C5"/>
    <w:rsid w:val="00C72979"/>
    <w:rsid w:val="00C72F02"/>
    <w:rsid w:val="00C72F19"/>
    <w:rsid w:val="00C730DE"/>
    <w:rsid w:val="00C73969"/>
    <w:rsid w:val="00C754A6"/>
    <w:rsid w:val="00C75780"/>
    <w:rsid w:val="00C759C8"/>
    <w:rsid w:val="00C75CA2"/>
    <w:rsid w:val="00C75F01"/>
    <w:rsid w:val="00C75FDF"/>
    <w:rsid w:val="00C760F0"/>
    <w:rsid w:val="00C76345"/>
    <w:rsid w:val="00C76945"/>
    <w:rsid w:val="00C76BA2"/>
    <w:rsid w:val="00C76BF8"/>
    <w:rsid w:val="00C76D9A"/>
    <w:rsid w:val="00C771EE"/>
    <w:rsid w:val="00C7792B"/>
    <w:rsid w:val="00C77DAD"/>
    <w:rsid w:val="00C77F51"/>
    <w:rsid w:val="00C80005"/>
    <w:rsid w:val="00C802FF"/>
    <w:rsid w:val="00C80D21"/>
    <w:rsid w:val="00C80D4B"/>
    <w:rsid w:val="00C80DC4"/>
    <w:rsid w:val="00C80FE7"/>
    <w:rsid w:val="00C8138C"/>
    <w:rsid w:val="00C81529"/>
    <w:rsid w:val="00C815F2"/>
    <w:rsid w:val="00C81A0F"/>
    <w:rsid w:val="00C81BA6"/>
    <w:rsid w:val="00C82449"/>
    <w:rsid w:val="00C827B8"/>
    <w:rsid w:val="00C82AAD"/>
    <w:rsid w:val="00C82CA6"/>
    <w:rsid w:val="00C836E6"/>
    <w:rsid w:val="00C8377C"/>
    <w:rsid w:val="00C843D8"/>
    <w:rsid w:val="00C84B40"/>
    <w:rsid w:val="00C84C81"/>
    <w:rsid w:val="00C84EFB"/>
    <w:rsid w:val="00C8589C"/>
    <w:rsid w:val="00C85C8E"/>
    <w:rsid w:val="00C85DFB"/>
    <w:rsid w:val="00C861EE"/>
    <w:rsid w:val="00C86A4C"/>
    <w:rsid w:val="00C87222"/>
    <w:rsid w:val="00C872D6"/>
    <w:rsid w:val="00C877CD"/>
    <w:rsid w:val="00C87B1C"/>
    <w:rsid w:val="00C87BEB"/>
    <w:rsid w:val="00C901D7"/>
    <w:rsid w:val="00C902E9"/>
    <w:rsid w:val="00C90858"/>
    <w:rsid w:val="00C908AA"/>
    <w:rsid w:val="00C908B7"/>
    <w:rsid w:val="00C90AFF"/>
    <w:rsid w:val="00C90C6F"/>
    <w:rsid w:val="00C9193B"/>
    <w:rsid w:val="00C91D81"/>
    <w:rsid w:val="00C91DD2"/>
    <w:rsid w:val="00C927D3"/>
    <w:rsid w:val="00C92A42"/>
    <w:rsid w:val="00C92FBA"/>
    <w:rsid w:val="00C93203"/>
    <w:rsid w:val="00C949DF"/>
    <w:rsid w:val="00C94A84"/>
    <w:rsid w:val="00C94AE0"/>
    <w:rsid w:val="00C94BE3"/>
    <w:rsid w:val="00C94FA7"/>
    <w:rsid w:val="00C95288"/>
    <w:rsid w:val="00C95326"/>
    <w:rsid w:val="00C959F2"/>
    <w:rsid w:val="00C95A24"/>
    <w:rsid w:val="00C95E32"/>
    <w:rsid w:val="00C95E68"/>
    <w:rsid w:val="00C966EC"/>
    <w:rsid w:val="00C96EFD"/>
    <w:rsid w:val="00C970F7"/>
    <w:rsid w:val="00C973F1"/>
    <w:rsid w:val="00C97703"/>
    <w:rsid w:val="00C978C7"/>
    <w:rsid w:val="00C97EC9"/>
    <w:rsid w:val="00C97F5A"/>
    <w:rsid w:val="00C97FAB"/>
    <w:rsid w:val="00CA0BFE"/>
    <w:rsid w:val="00CA0C3F"/>
    <w:rsid w:val="00CA15A8"/>
    <w:rsid w:val="00CA16E1"/>
    <w:rsid w:val="00CA18F2"/>
    <w:rsid w:val="00CA1B7F"/>
    <w:rsid w:val="00CA27AB"/>
    <w:rsid w:val="00CA2BFF"/>
    <w:rsid w:val="00CA3C32"/>
    <w:rsid w:val="00CA43D7"/>
    <w:rsid w:val="00CA4871"/>
    <w:rsid w:val="00CA4873"/>
    <w:rsid w:val="00CA4AC4"/>
    <w:rsid w:val="00CA517F"/>
    <w:rsid w:val="00CA6281"/>
    <w:rsid w:val="00CA6722"/>
    <w:rsid w:val="00CA6D4E"/>
    <w:rsid w:val="00CA6FEA"/>
    <w:rsid w:val="00CA7455"/>
    <w:rsid w:val="00CA7B2D"/>
    <w:rsid w:val="00CA7B4B"/>
    <w:rsid w:val="00CB0403"/>
    <w:rsid w:val="00CB0935"/>
    <w:rsid w:val="00CB0DFC"/>
    <w:rsid w:val="00CB15C7"/>
    <w:rsid w:val="00CB1E81"/>
    <w:rsid w:val="00CB1E91"/>
    <w:rsid w:val="00CB27DC"/>
    <w:rsid w:val="00CB2E34"/>
    <w:rsid w:val="00CB36A8"/>
    <w:rsid w:val="00CB37AB"/>
    <w:rsid w:val="00CB39A8"/>
    <w:rsid w:val="00CB3C90"/>
    <w:rsid w:val="00CB3F64"/>
    <w:rsid w:val="00CB44D9"/>
    <w:rsid w:val="00CB46AA"/>
    <w:rsid w:val="00CB4FC7"/>
    <w:rsid w:val="00CB50ED"/>
    <w:rsid w:val="00CB55B5"/>
    <w:rsid w:val="00CB59F1"/>
    <w:rsid w:val="00CB5EF3"/>
    <w:rsid w:val="00CB6247"/>
    <w:rsid w:val="00CB6894"/>
    <w:rsid w:val="00CB6B70"/>
    <w:rsid w:val="00CB6D01"/>
    <w:rsid w:val="00CB74F4"/>
    <w:rsid w:val="00CB7BF2"/>
    <w:rsid w:val="00CC0589"/>
    <w:rsid w:val="00CC0B5D"/>
    <w:rsid w:val="00CC0E70"/>
    <w:rsid w:val="00CC1222"/>
    <w:rsid w:val="00CC139A"/>
    <w:rsid w:val="00CC162A"/>
    <w:rsid w:val="00CC1E7A"/>
    <w:rsid w:val="00CC1F0C"/>
    <w:rsid w:val="00CC1F6B"/>
    <w:rsid w:val="00CC241B"/>
    <w:rsid w:val="00CC2F81"/>
    <w:rsid w:val="00CC373D"/>
    <w:rsid w:val="00CC3F19"/>
    <w:rsid w:val="00CC422A"/>
    <w:rsid w:val="00CC4330"/>
    <w:rsid w:val="00CC47DC"/>
    <w:rsid w:val="00CC4B6A"/>
    <w:rsid w:val="00CC4F64"/>
    <w:rsid w:val="00CC57C2"/>
    <w:rsid w:val="00CC58BF"/>
    <w:rsid w:val="00CC662F"/>
    <w:rsid w:val="00CC6BCE"/>
    <w:rsid w:val="00CC6C2D"/>
    <w:rsid w:val="00CC7040"/>
    <w:rsid w:val="00CC72E9"/>
    <w:rsid w:val="00CC75FF"/>
    <w:rsid w:val="00CC781B"/>
    <w:rsid w:val="00CC78EF"/>
    <w:rsid w:val="00CC7C59"/>
    <w:rsid w:val="00CC7DB6"/>
    <w:rsid w:val="00CD058C"/>
    <w:rsid w:val="00CD0E7F"/>
    <w:rsid w:val="00CD1072"/>
    <w:rsid w:val="00CD1422"/>
    <w:rsid w:val="00CD1537"/>
    <w:rsid w:val="00CD1972"/>
    <w:rsid w:val="00CD1A8A"/>
    <w:rsid w:val="00CD1BF1"/>
    <w:rsid w:val="00CD29CD"/>
    <w:rsid w:val="00CD2CAC"/>
    <w:rsid w:val="00CD2F71"/>
    <w:rsid w:val="00CD342F"/>
    <w:rsid w:val="00CD358C"/>
    <w:rsid w:val="00CD3B98"/>
    <w:rsid w:val="00CD3F13"/>
    <w:rsid w:val="00CD4216"/>
    <w:rsid w:val="00CD42C7"/>
    <w:rsid w:val="00CD43D1"/>
    <w:rsid w:val="00CD44BB"/>
    <w:rsid w:val="00CD518C"/>
    <w:rsid w:val="00CD5D27"/>
    <w:rsid w:val="00CD629B"/>
    <w:rsid w:val="00CD63CC"/>
    <w:rsid w:val="00CD6403"/>
    <w:rsid w:val="00CD691B"/>
    <w:rsid w:val="00CD69BD"/>
    <w:rsid w:val="00CD7097"/>
    <w:rsid w:val="00CD7212"/>
    <w:rsid w:val="00CD733F"/>
    <w:rsid w:val="00CD7825"/>
    <w:rsid w:val="00CD7C65"/>
    <w:rsid w:val="00CE07D8"/>
    <w:rsid w:val="00CE0942"/>
    <w:rsid w:val="00CE12A2"/>
    <w:rsid w:val="00CE235C"/>
    <w:rsid w:val="00CE256B"/>
    <w:rsid w:val="00CE2A32"/>
    <w:rsid w:val="00CE31D9"/>
    <w:rsid w:val="00CE40D6"/>
    <w:rsid w:val="00CE462E"/>
    <w:rsid w:val="00CE4AC9"/>
    <w:rsid w:val="00CE4C2F"/>
    <w:rsid w:val="00CE4C7D"/>
    <w:rsid w:val="00CE4FE8"/>
    <w:rsid w:val="00CE522A"/>
    <w:rsid w:val="00CE58AB"/>
    <w:rsid w:val="00CE5DA1"/>
    <w:rsid w:val="00CE5FF1"/>
    <w:rsid w:val="00CE6410"/>
    <w:rsid w:val="00CE6A0D"/>
    <w:rsid w:val="00CE6FDF"/>
    <w:rsid w:val="00CE774A"/>
    <w:rsid w:val="00CE77CD"/>
    <w:rsid w:val="00CE7CA5"/>
    <w:rsid w:val="00CF0619"/>
    <w:rsid w:val="00CF0B9D"/>
    <w:rsid w:val="00CF1B98"/>
    <w:rsid w:val="00CF1D81"/>
    <w:rsid w:val="00CF2C60"/>
    <w:rsid w:val="00CF2DC9"/>
    <w:rsid w:val="00CF2E54"/>
    <w:rsid w:val="00CF3408"/>
    <w:rsid w:val="00CF3910"/>
    <w:rsid w:val="00CF398A"/>
    <w:rsid w:val="00CF4148"/>
    <w:rsid w:val="00CF41DE"/>
    <w:rsid w:val="00CF4887"/>
    <w:rsid w:val="00CF5FC4"/>
    <w:rsid w:val="00CF6486"/>
    <w:rsid w:val="00CF6677"/>
    <w:rsid w:val="00CF78E3"/>
    <w:rsid w:val="00CF7B60"/>
    <w:rsid w:val="00CF7CB6"/>
    <w:rsid w:val="00D007E7"/>
    <w:rsid w:val="00D0128E"/>
    <w:rsid w:val="00D016DD"/>
    <w:rsid w:val="00D01DF4"/>
    <w:rsid w:val="00D028B6"/>
    <w:rsid w:val="00D02F19"/>
    <w:rsid w:val="00D0309A"/>
    <w:rsid w:val="00D0309C"/>
    <w:rsid w:val="00D030E8"/>
    <w:rsid w:val="00D03AF6"/>
    <w:rsid w:val="00D04148"/>
    <w:rsid w:val="00D04A4F"/>
    <w:rsid w:val="00D04DFA"/>
    <w:rsid w:val="00D054D2"/>
    <w:rsid w:val="00D055EE"/>
    <w:rsid w:val="00D05620"/>
    <w:rsid w:val="00D05D82"/>
    <w:rsid w:val="00D063F3"/>
    <w:rsid w:val="00D066CF"/>
    <w:rsid w:val="00D06842"/>
    <w:rsid w:val="00D0691B"/>
    <w:rsid w:val="00D1022D"/>
    <w:rsid w:val="00D10B20"/>
    <w:rsid w:val="00D10D5B"/>
    <w:rsid w:val="00D10FEB"/>
    <w:rsid w:val="00D11385"/>
    <w:rsid w:val="00D113EA"/>
    <w:rsid w:val="00D123D8"/>
    <w:rsid w:val="00D127CB"/>
    <w:rsid w:val="00D12A6C"/>
    <w:rsid w:val="00D12D45"/>
    <w:rsid w:val="00D13939"/>
    <w:rsid w:val="00D13AD1"/>
    <w:rsid w:val="00D145E9"/>
    <w:rsid w:val="00D14DE4"/>
    <w:rsid w:val="00D154B5"/>
    <w:rsid w:val="00D155DC"/>
    <w:rsid w:val="00D157FA"/>
    <w:rsid w:val="00D158B9"/>
    <w:rsid w:val="00D175F4"/>
    <w:rsid w:val="00D177CC"/>
    <w:rsid w:val="00D17DDC"/>
    <w:rsid w:val="00D17F36"/>
    <w:rsid w:val="00D20E99"/>
    <w:rsid w:val="00D21702"/>
    <w:rsid w:val="00D227A3"/>
    <w:rsid w:val="00D22E97"/>
    <w:rsid w:val="00D23004"/>
    <w:rsid w:val="00D23534"/>
    <w:rsid w:val="00D23BF1"/>
    <w:rsid w:val="00D2463F"/>
    <w:rsid w:val="00D24C3C"/>
    <w:rsid w:val="00D250E9"/>
    <w:rsid w:val="00D25E32"/>
    <w:rsid w:val="00D26923"/>
    <w:rsid w:val="00D26C6D"/>
    <w:rsid w:val="00D26ED9"/>
    <w:rsid w:val="00D26F19"/>
    <w:rsid w:val="00D2768D"/>
    <w:rsid w:val="00D30A60"/>
    <w:rsid w:val="00D30B5F"/>
    <w:rsid w:val="00D30C45"/>
    <w:rsid w:val="00D311AB"/>
    <w:rsid w:val="00D31510"/>
    <w:rsid w:val="00D31656"/>
    <w:rsid w:val="00D31684"/>
    <w:rsid w:val="00D31EA2"/>
    <w:rsid w:val="00D32290"/>
    <w:rsid w:val="00D325A8"/>
    <w:rsid w:val="00D3352B"/>
    <w:rsid w:val="00D336AC"/>
    <w:rsid w:val="00D33A80"/>
    <w:rsid w:val="00D33CCA"/>
    <w:rsid w:val="00D33DF8"/>
    <w:rsid w:val="00D3427C"/>
    <w:rsid w:val="00D34379"/>
    <w:rsid w:val="00D34914"/>
    <w:rsid w:val="00D34D0A"/>
    <w:rsid w:val="00D34E20"/>
    <w:rsid w:val="00D34ED8"/>
    <w:rsid w:val="00D35D53"/>
    <w:rsid w:val="00D36601"/>
    <w:rsid w:val="00D369A4"/>
    <w:rsid w:val="00D37509"/>
    <w:rsid w:val="00D376D7"/>
    <w:rsid w:val="00D37755"/>
    <w:rsid w:val="00D40436"/>
    <w:rsid w:val="00D4067F"/>
    <w:rsid w:val="00D40DD9"/>
    <w:rsid w:val="00D40FBD"/>
    <w:rsid w:val="00D410CB"/>
    <w:rsid w:val="00D41110"/>
    <w:rsid w:val="00D4222E"/>
    <w:rsid w:val="00D42EF4"/>
    <w:rsid w:val="00D44217"/>
    <w:rsid w:val="00D442AD"/>
    <w:rsid w:val="00D4472A"/>
    <w:rsid w:val="00D455D7"/>
    <w:rsid w:val="00D455E3"/>
    <w:rsid w:val="00D4586F"/>
    <w:rsid w:val="00D46A76"/>
    <w:rsid w:val="00D46C01"/>
    <w:rsid w:val="00D46D96"/>
    <w:rsid w:val="00D47FC6"/>
    <w:rsid w:val="00D50B59"/>
    <w:rsid w:val="00D50C8B"/>
    <w:rsid w:val="00D513E1"/>
    <w:rsid w:val="00D51AA4"/>
    <w:rsid w:val="00D51D9C"/>
    <w:rsid w:val="00D51EB4"/>
    <w:rsid w:val="00D5208B"/>
    <w:rsid w:val="00D5270D"/>
    <w:rsid w:val="00D52DCD"/>
    <w:rsid w:val="00D534F8"/>
    <w:rsid w:val="00D53862"/>
    <w:rsid w:val="00D54135"/>
    <w:rsid w:val="00D54297"/>
    <w:rsid w:val="00D54801"/>
    <w:rsid w:val="00D550D1"/>
    <w:rsid w:val="00D55CF3"/>
    <w:rsid w:val="00D56024"/>
    <w:rsid w:val="00D56165"/>
    <w:rsid w:val="00D5618A"/>
    <w:rsid w:val="00D56A80"/>
    <w:rsid w:val="00D56A82"/>
    <w:rsid w:val="00D56EC0"/>
    <w:rsid w:val="00D5704A"/>
    <w:rsid w:val="00D575BB"/>
    <w:rsid w:val="00D576AB"/>
    <w:rsid w:val="00D57700"/>
    <w:rsid w:val="00D5784B"/>
    <w:rsid w:val="00D601CB"/>
    <w:rsid w:val="00D60E03"/>
    <w:rsid w:val="00D61633"/>
    <w:rsid w:val="00D61E2E"/>
    <w:rsid w:val="00D620C2"/>
    <w:rsid w:val="00D629FA"/>
    <w:rsid w:val="00D62BE9"/>
    <w:rsid w:val="00D62F6A"/>
    <w:rsid w:val="00D634FE"/>
    <w:rsid w:val="00D63DAA"/>
    <w:rsid w:val="00D63EFB"/>
    <w:rsid w:val="00D64413"/>
    <w:rsid w:val="00D645BE"/>
    <w:rsid w:val="00D64C81"/>
    <w:rsid w:val="00D64ED0"/>
    <w:rsid w:val="00D64EE8"/>
    <w:rsid w:val="00D65302"/>
    <w:rsid w:val="00D658AF"/>
    <w:rsid w:val="00D65908"/>
    <w:rsid w:val="00D66C11"/>
    <w:rsid w:val="00D66E5B"/>
    <w:rsid w:val="00D67321"/>
    <w:rsid w:val="00D67DBF"/>
    <w:rsid w:val="00D70148"/>
    <w:rsid w:val="00D70868"/>
    <w:rsid w:val="00D70A79"/>
    <w:rsid w:val="00D717E1"/>
    <w:rsid w:val="00D71AEE"/>
    <w:rsid w:val="00D71BF2"/>
    <w:rsid w:val="00D7240B"/>
    <w:rsid w:val="00D72461"/>
    <w:rsid w:val="00D72AFA"/>
    <w:rsid w:val="00D72B9A"/>
    <w:rsid w:val="00D73736"/>
    <w:rsid w:val="00D73AF5"/>
    <w:rsid w:val="00D73EB5"/>
    <w:rsid w:val="00D73F54"/>
    <w:rsid w:val="00D74849"/>
    <w:rsid w:val="00D74C9C"/>
    <w:rsid w:val="00D75346"/>
    <w:rsid w:val="00D75A25"/>
    <w:rsid w:val="00D75BB5"/>
    <w:rsid w:val="00D75EB9"/>
    <w:rsid w:val="00D76340"/>
    <w:rsid w:val="00D76767"/>
    <w:rsid w:val="00D76C93"/>
    <w:rsid w:val="00D805F8"/>
    <w:rsid w:val="00D80B7A"/>
    <w:rsid w:val="00D80E56"/>
    <w:rsid w:val="00D80ED9"/>
    <w:rsid w:val="00D81F50"/>
    <w:rsid w:val="00D822B7"/>
    <w:rsid w:val="00D82486"/>
    <w:rsid w:val="00D826CE"/>
    <w:rsid w:val="00D8296B"/>
    <w:rsid w:val="00D82A92"/>
    <w:rsid w:val="00D82AE8"/>
    <w:rsid w:val="00D8305D"/>
    <w:rsid w:val="00D830B4"/>
    <w:rsid w:val="00D83DE9"/>
    <w:rsid w:val="00D83EC5"/>
    <w:rsid w:val="00D8450D"/>
    <w:rsid w:val="00D84E81"/>
    <w:rsid w:val="00D85404"/>
    <w:rsid w:val="00D85A5B"/>
    <w:rsid w:val="00D86EE8"/>
    <w:rsid w:val="00D87017"/>
    <w:rsid w:val="00D87109"/>
    <w:rsid w:val="00D87CBE"/>
    <w:rsid w:val="00D87CFB"/>
    <w:rsid w:val="00D90646"/>
    <w:rsid w:val="00D90903"/>
    <w:rsid w:val="00D90905"/>
    <w:rsid w:val="00D90BE5"/>
    <w:rsid w:val="00D90C54"/>
    <w:rsid w:val="00D90D8A"/>
    <w:rsid w:val="00D9104C"/>
    <w:rsid w:val="00D910C0"/>
    <w:rsid w:val="00D917CF"/>
    <w:rsid w:val="00D91FFB"/>
    <w:rsid w:val="00D92CBC"/>
    <w:rsid w:val="00D9314D"/>
    <w:rsid w:val="00D9342A"/>
    <w:rsid w:val="00D93766"/>
    <w:rsid w:val="00D9398B"/>
    <w:rsid w:val="00D94051"/>
    <w:rsid w:val="00D94234"/>
    <w:rsid w:val="00D94730"/>
    <w:rsid w:val="00D94819"/>
    <w:rsid w:val="00D95376"/>
    <w:rsid w:val="00D9550C"/>
    <w:rsid w:val="00D95AF9"/>
    <w:rsid w:val="00D95C33"/>
    <w:rsid w:val="00D96CD8"/>
    <w:rsid w:val="00D97838"/>
    <w:rsid w:val="00DA0624"/>
    <w:rsid w:val="00DA0691"/>
    <w:rsid w:val="00DA09C9"/>
    <w:rsid w:val="00DA0DB1"/>
    <w:rsid w:val="00DA0E26"/>
    <w:rsid w:val="00DA1046"/>
    <w:rsid w:val="00DA1822"/>
    <w:rsid w:val="00DA19EE"/>
    <w:rsid w:val="00DA1A7A"/>
    <w:rsid w:val="00DA1C3C"/>
    <w:rsid w:val="00DA1DE5"/>
    <w:rsid w:val="00DA2915"/>
    <w:rsid w:val="00DA2CAD"/>
    <w:rsid w:val="00DA313E"/>
    <w:rsid w:val="00DA32B2"/>
    <w:rsid w:val="00DA33EA"/>
    <w:rsid w:val="00DA3E8D"/>
    <w:rsid w:val="00DA43F2"/>
    <w:rsid w:val="00DA474F"/>
    <w:rsid w:val="00DA47E3"/>
    <w:rsid w:val="00DA4F19"/>
    <w:rsid w:val="00DA51D6"/>
    <w:rsid w:val="00DA5EE3"/>
    <w:rsid w:val="00DA6854"/>
    <w:rsid w:val="00DA6935"/>
    <w:rsid w:val="00DA722F"/>
    <w:rsid w:val="00DA72BB"/>
    <w:rsid w:val="00DA75FD"/>
    <w:rsid w:val="00DA78EB"/>
    <w:rsid w:val="00DA7F1F"/>
    <w:rsid w:val="00DB07AA"/>
    <w:rsid w:val="00DB0DC3"/>
    <w:rsid w:val="00DB2262"/>
    <w:rsid w:val="00DB2B19"/>
    <w:rsid w:val="00DB2F04"/>
    <w:rsid w:val="00DB3369"/>
    <w:rsid w:val="00DB38C6"/>
    <w:rsid w:val="00DB3D3E"/>
    <w:rsid w:val="00DB48A4"/>
    <w:rsid w:val="00DB494F"/>
    <w:rsid w:val="00DB4D3A"/>
    <w:rsid w:val="00DB4DA3"/>
    <w:rsid w:val="00DB55CE"/>
    <w:rsid w:val="00DB5840"/>
    <w:rsid w:val="00DB5E1F"/>
    <w:rsid w:val="00DB7764"/>
    <w:rsid w:val="00DB78C7"/>
    <w:rsid w:val="00DB7ABD"/>
    <w:rsid w:val="00DB7C21"/>
    <w:rsid w:val="00DB7C2F"/>
    <w:rsid w:val="00DC01FF"/>
    <w:rsid w:val="00DC0371"/>
    <w:rsid w:val="00DC05D6"/>
    <w:rsid w:val="00DC0B56"/>
    <w:rsid w:val="00DC0E84"/>
    <w:rsid w:val="00DC186C"/>
    <w:rsid w:val="00DC19D8"/>
    <w:rsid w:val="00DC1FAD"/>
    <w:rsid w:val="00DC2613"/>
    <w:rsid w:val="00DC2B26"/>
    <w:rsid w:val="00DC39E2"/>
    <w:rsid w:val="00DC417B"/>
    <w:rsid w:val="00DC42E9"/>
    <w:rsid w:val="00DC4512"/>
    <w:rsid w:val="00DC4B3E"/>
    <w:rsid w:val="00DC518E"/>
    <w:rsid w:val="00DC5532"/>
    <w:rsid w:val="00DC5A9D"/>
    <w:rsid w:val="00DC6279"/>
    <w:rsid w:val="00DC6342"/>
    <w:rsid w:val="00DC64CB"/>
    <w:rsid w:val="00DC6A59"/>
    <w:rsid w:val="00DC780D"/>
    <w:rsid w:val="00DC7A2D"/>
    <w:rsid w:val="00DC7D76"/>
    <w:rsid w:val="00DC7EF4"/>
    <w:rsid w:val="00DD04F6"/>
    <w:rsid w:val="00DD091F"/>
    <w:rsid w:val="00DD14EA"/>
    <w:rsid w:val="00DD1E39"/>
    <w:rsid w:val="00DD2999"/>
    <w:rsid w:val="00DD3691"/>
    <w:rsid w:val="00DD36CF"/>
    <w:rsid w:val="00DD3AA6"/>
    <w:rsid w:val="00DD3E47"/>
    <w:rsid w:val="00DD401D"/>
    <w:rsid w:val="00DD4161"/>
    <w:rsid w:val="00DD4467"/>
    <w:rsid w:val="00DD4B55"/>
    <w:rsid w:val="00DD5212"/>
    <w:rsid w:val="00DD534A"/>
    <w:rsid w:val="00DD5971"/>
    <w:rsid w:val="00DD5992"/>
    <w:rsid w:val="00DD5F24"/>
    <w:rsid w:val="00DD6BDE"/>
    <w:rsid w:val="00DD7334"/>
    <w:rsid w:val="00DD7846"/>
    <w:rsid w:val="00DD7BEA"/>
    <w:rsid w:val="00DD7FCE"/>
    <w:rsid w:val="00DE03C2"/>
    <w:rsid w:val="00DE084A"/>
    <w:rsid w:val="00DE11CF"/>
    <w:rsid w:val="00DE1555"/>
    <w:rsid w:val="00DE17BA"/>
    <w:rsid w:val="00DE1E90"/>
    <w:rsid w:val="00DE2105"/>
    <w:rsid w:val="00DE22B2"/>
    <w:rsid w:val="00DE24D3"/>
    <w:rsid w:val="00DE24E6"/>
    <w:rsid w:val="00DE2EF6"/>
    <w:rsid w:val="00DE307F"/>
    <w:rsid w:val="00DE4052"/>
    <w:rsid w:val="00DE4795"/>
    <w:rsid w:val="00DE48D7"/>
    <w:rsid w:val="00DE5C8A"/>
    <w:rsid w:val="00DE5FA9"/>
    <w:rsid w:val="00DE6B6F"/>
    <w:rsid w:val="00DE7B07"/>
    <w:rsid w:val="00DE7FD1"/>
    <w:rsid w:val="00DF03BE"/>
    <w:rsid w:val="00DF03D2"/>
    <w:rsid w:val="00DF0679"/>
    <w:rsid w:val="00DF07AD"/>
    <w:rsid w:val="00DF07DC"/>
    <w:rsid w:val="00DF080C"/>
    <w:rsid w:val="00DF0FC7"/>
    <w:rsid w:val="00DF2083"/>
    <w:rsid w:val="00DF26AE"/>
    <w:rsid w:val="00DF2A67"/>
    <w:rsid w:val="00DF2C05"/>
    <w:rsid w:val="00DF2E08"/>
    <w:rsid w:val="00DF3364"/>
    <w:rsid w:val="00DF35E8"/>
    <w:rsid w:val="00DF3EB3"/>
    <w:rsid w:val="00DF4BEF"/>
    <w:rsid w:val="00DF5239"/>
    <w:rsid w:val="00DF5388"/>
    <w:rsid w:val="00DF5BE0"/>
    <w:rsid w:val="00DF600E"/>
    <w:rsid w:val="00DF6120"/>
    <w:rsid w:val="00DF6D5B"/>
    <w:rsid w:val="00DF75D5"/>
    <w:rsid w:val="00E0013E"/>
    <w:rsid w:val="00E003BF"/>
    <w:rsid w:val="00E00820"/>
    <w:rsid w:val="00E0107E"/>
    <w:rsid w:val="00E01C01"/>
    <w:rsid w:val="00E01D46"/>
    <w:rsid w:val="00E01EC5"/>
    <w:rsid w:val="00E02097"/>
    <w:rsid w:val="00E021E0"/>
    <w:rsid w:val="00E02771"/>
    <w:rsid w:val="00E02C66"/>
    <w:rsid w:val="00E03179"/>
    <w:rsid w:val="00E032EF"/>
    <w:rsid w:val="00E03309"/>
    <w:rsid w:val="00E0373C"/>
    <w:rsid w:val="00E0374E"/>
    <w:rsid w:val="00E04A85"/>
    <w:rsid w:val="00E055BB"/>
    <w:rsid w:val="00E05DBF"/>
    <w:rsid w:val="00E05FA5"/>
    <w:rsid w:val="00E06100"/>
    <w:rsid w:val="00E06286"/>
    <w:rsid w:val="00E06628"/>
    <w:rsid w:val="00E06AA4"/>
    <w:rsid w:val="00E102DE"/>
    <w:rsid w:val="00E10F32"/>
    <w:rsid w:val="00E11988"/>
    <w:rsid w:val="00E11A2F"/>
    <w:rsid w:val="00E11C50"/>
    <w:rsid w:val="00E12643"/>
    <w:rsid w:val="00E128B1"/>
    <w:rsid w:val="00E13317"/>
    <w:rsid w:val="00E1363B"/>
    <w:rsid w:val="00E1448A"/>
    <w:rsid w:val="00E1464C"/>
    <w:rsid w:val="00E155BD"/>
    <w:rsid w:val="00E15DA9"/>
    <w:rsid w:val="00E16580"/>
    <w:rsid w:val="00E16849"/>
    <w:rsid w:val="00E16ABB"/>
    <w:rsid w:val="00E16C12"/>
    <w:rsid w:val="00E1700A"/>
    <w:rsid w:val="00E17139"/>
    <w:rsid w:val="00E175C9"/>
    <w:rsid w:val="00E17AB6"/>
    <w:rsid w:val="00E203A6"/>
    <w:rsid w:val="00E2086E"/>
    <w:rsid w:val="00E208CD"/>
    <w:rsid w:val="00E2095D"/>
    <w:rsid w:val="00E21E0C"/>
    <w:rsid w:val="00E2260A"/>
    <w:rsid w:val="00E22C85"/>
    <w:rsid w:val="00E232A5"/>
    <w:rsid w:val="00E234D8"/>
    <w:rsid w:val="00E23A38"/>
    <w:rsid w:val="00E23DAF"/>
    <w:rsid w:val="00E23E65"/>
    <w:rsid w:val="00E23EC1"/>
    <w:rsid w:val="00E2495A"/>
    <w:rsid w:val="00E24F79"/>
    <w:rsid w:val="00E25064"/>
    <w:rsid w:val="00E256C2"/>
    <w:rsid w:val="00E25C9B"/>
    <w:rsid w:val="00E269E4"/>
    <w:rsid w:val="00E26CE4"/>
    <w:rsid w:val="00E26E15"/>
    <w:rsid w:val="00E26F8A"/>
    <w:rsid w:val="00E270C2"/>
    <w:rsid w:val="00E27345"/>
    <w:rsid w:val="00E27E45"/>
    <w:rsid w:val="00E27FDA"/>
    <w:rsid w:val="00E30414"/>
    <w:rsid w:val="00E30528"/>
    <w:rsid w:val="00E30A1B"/>
    <w:rsid w:val="00E32055"/>
    <w:rsid w:val="00E3289D"/>
    <w:rsid w:val="00E33A75"/>
    <w:rsid w:val="00E340CB"/>
    <w:rsid w:val="00E341BE"/>
    <w:rsid w:val="00E3447E"/>
    <w:rsid w:val="00E346D3"/>
    <w:rsid w:val="00E34D4E"/>
    <w:rsid w:val="00E34EF7"/>
    <w:rsid w:val="00E35FCD"/>
    <w:rsid w:val="00E36282"/>
    <w:rsid w:val="00E3698C"/>
    <w:rsid w:val="00E36CA7"/>
    <w:rsid w:val="00E3717A"/>
    <w:rsid w:val="00E37A0B"/>
    <w:rsid w:val="00E406A1"/>
    <w:rsid w:val="00E40769"/>
    <w:rsid w:val="00E4077A"/>
    <w:rsid w:val="00E4080D"/>
    <w:rsid w:val="00E41472"/>
    <w:rsid w:val="00E4183A"/>
    <w:rsid w:val="00E42455"/>
    <w:rsid w:val="00E429DD"/>
    <w:rsid w:val="00E42E8B"/>
    <w:rsid w:val="00E4339C"/>
    <w:rsid w:val="00E43835"/>
    <w:rsid w:val="00E43F06"/>
    <w:rsid w:val="00E44E0D"/>
    <w:rsid w:val="00E44E67"/>
    <w:rsid w:val="00E44FB0"/>
    <w:rsid w:val="00E4539D"/>
    <w:rsid w:val="00E45E48"/>
    <w:rsid w:val="00E45FBB"/>
    <w:rsid w:val="00E46128"/>
    <w:rsid w:val="00E4623C"/>
    <w:rsid w:val="00E46F64"/>
    <w:rsid w:val="00E47220"/>
    <w:rsid w:val="00E475A7"/>
    <w:rsid w:val="00E47CB5"/>
    <w:rsid w:val="00E50158"/>
    <w:rsid w:val="00E504BD"/>
    <w:rsid w:val="00E50FDF"/>
    <w:rsid w:val="00E51317"/>
    <w:rsid w:val="00E51A51"/>
    <w:rsid w:val="00E51AF8"/>
    <w:rsid w:val="00E51F81"/>
    <w:rsid w:val="00E51FFC"/>
    <w:rsid w:val="00E52623"/>
    <w:rsid w:val="00E52D33"/>
    <w:rsid w:val="00E53193"/>
    <w:rsid w:val="00E539B3"/>
    <w:rsid w:val="00E53D2F"/>
    <w:rsid w:val="00E5443E"/>
    <w:rsid w:val="00E5472B"/>
    <w:rsid w:val="00E55405"/>
    <w:rsid w:val="00E55456"/>
    <w:rsid w:val="00E55525"/>
    <w:rsid w:val="00E557A8"/>
    <w:rsid w:val="00E557E9"/>
    <w:rsid w:val="00E55974"/>
    <w:rsid w:val="00E559FE"/>
    <w:rsid w:val="00E55A85"/>
    <w:rsid w:val="00E55ED0"/>
    <w:rsid w:val="00E55ED4"/>
    <w:rsid w:val="00E56104"/>
    <w:rsid w:val="00E56159"/>
    <w:rsid w:val="00E56873"/>
    <w:rsid w:val="00E569DF"/>
    <w:rsid w:val="00E5710C"/>
    <w:rsid w:val="00E5737C"/>
    <w:rsid w:val="00E6022B"/>
    <w:rsid w:val="00E603EF"/>
    <w:rsid w:val="00E60C8B"/>
    <w:rsid w:val="00E60F12"/>
    <w:rsid w:val="00E60FAC"/>
    <w:rsid w:val="00E612E3"/>
    <w:rsid w:val="00E6154F"/>
    <w:rsid w:val="00E61FC1"/>
    <w:rsid w:val="00E62555"/>
    <w:rsid w:val="00E626C3"/>
    <w:rsid w:val="00E627E0"/>
    <w:rsid w:val="00E62B57"/>
    <w:rsid w:val="00E62E18"/>
    <w:rsid w:val="00E645ED"/>
    <w:rsid w:val="00E6512D"/>
    <w:rsid w:val="00E651D8"/>
    <w:rsid w:val="00E652FB"/>
    <w:rsid w:val="00E658CE"/>
    <w:rsid w:val="00E65D86"/>
    <w:rsid w:val="00E65EA7"/>
    <w:rsid w:val="00E6645A"/>
    <w:rsid w:val="00E66BBC"/>
    <w:rsid w:val="00E66C20"/>
    <w:rsid w:val="00E67085"/>
    <w:rsid w:val="00E6743C"/>
    <w:rsid w:val="00E6773A"/>
    <w:rsid w:val="00E70870"/>
    <w:rsid w:val="00E708E3"/>
    <w:rsid w:val="00E70AE6"/>
    <w:rsid w:val="00E70CD6"/>
    <w:rsid w:val="00E7114F"/>
    <w:rsid w:val="00E71C46"/>
    <w:rsid w:val="00E721B7"/>
    <w:rsid w:val="00E7305C"/>
    <w:rsid w:val="00E731B7"/>
    <w:rsid w:val="00E74976"/>
    <w:rsid w:val="00E74F68"/>
    <w:rsid w:val="00E750B6"/>
    <w:rsid w:val="00E752F3"/>
    <w:rsid w:val="00E7546C"/>
    <w:rsid w:val="00E75521"/>
    <w:rsid w:val="00E757B0"/>
    <w:rsid w:val="00E759DA"/>
    <w:rsid w:val="00E75DC6"/>
    <w:rsid w:val="00E75ED2"/>
    <w:rsid w:val="00E75F69"/>
    <w:rsid w:val="00E76B59"/>
    <w:rsid w:val="00E77359"/>
    <w:rsid w:val="00E777E6"/>
    <w:rsid w:val="00E77983"/>
    <w:rsid w:val="00E779A5"/>
    <w:rsid w:val="00E77F7A"/>
    <w:rsid w:val="00E805A1"/>
    <w:rsid w:val="00E8070F"/>
    <w:rsid w:val="00E8093C"/>
    <w:rsid w:val="00E80BAF"/>
    <w:rsid w:val="00E81298"/>
    <w:rsid w:val="00E8156F"/>
    <w:rsid w:val="00E818BE"/>
    <w:rsid w:val="00E81ADD"/>
    <w:rsid w:val="00E821DD"/>
    <w:rsid w:val="00E824DF"/>
    <w:rsid w:val="00E8280C"/>
    <w:rsid w:val="00E8296B"/>
    <w:rsid w:val="00E82FF2"/>
    <w:rsid w:val="00E8399C"/>
    <w:rsid w:val="00E83CFE"/>
    <w:rsid w:val="00E83D8B"/>
    <w:rsid w:val="00E83E4C"/>
    <w:rsid w:val="00E84054"/>
    <w:rsid w:val="00E844AB"/>
    <w:rsid w:val="00E84902"/>
    <w:rsid w:val="00E84A70"/>
    <w:rsid w:val="00E84D1F"/>
    <w:rsid w:val="00E84D5B"/>
    <w:rsid w:val="00E854E9"/>
    <w:rsid w:val="00E855AE"/>
    <w:rsid w:val="00E85769"/>
    <w:rsid w:val="00E866CD"/>
    <w:rsid w:val="00E867C4"/>
    <w:rsid w:val="00E900C4"/>
    <w:rsid w:val="00E90324"/>
    <w:rsid w:val="00E90C81"/>
    <w:rsid w:val="00E91098"/>
    <w:rsid w:val="00E91933"/>
    <w:rsid w:val="00E920ED"/>
    <w:rsid w:val="00E921D7"/>
    <w:rsid w:val="00E924CF"/>
    <w:rsid w:val="00E92A81"/>
    <w:rsid w:val="00E92D78"/>
    <w:rsid w:val="00E92DF3"/>
    <w:rsid w:val="00E92FE4"/>
    <w:rsid w:val="00E932CF"/>
    <w:rsid w:val="00E93BC8"/>
    <w:rsid w:val="00E93DC4"/>
    <w:rsid w:val="00E941EE"/>
    <w:rsid w:val="00E94893"/>
    <w:rsid w:val="00E94B85"/>
    <w:rsid w:val="00E94C3A"/>
    <w:rsid w:val="00E94F02"/>
    <w:rsid w:val="00E95270"/>
    <w:rsid w:val="00E95803"/>
    <w:rsid w:val="00E958FB"/>
    <w:rsid w:val="00E95A16"/>
    <w:rsid w:val="00E96816"/>
    <w:rsid w:val="00E969B1"/>
    <w:rsid w:val="00E96DE2"/>
    <w:rsid w:val="00E96F8A"/>
    <w:rsid w:val="00E97007"/>
    <w:rsid w:val="00E970C5"/>
    <w:rsid w:val="00E973FC"/>
    <w:rsid w:val="00E97F03"/>
    <w:rsid w:val="00EA018C"/>
    <w:rsid w:val="00EA0279"/>
    <w:rsid w:val="00EA0531"/>
    <w:rsid w:val="00EA0590"/>
    <w:rsid w:val="00EA0629"/>
    <w:rsid w:val="00EA06F2"/>
    <w:rsid w:val="00EA0832"/>
    <w:rsid w:val="00EA0852"/>
    <w:rsid w:val="00EA0EBA"/>
    <w:rsid w:val="00EA12C0"/>
    <w:rsid w:val="00EA1302"/>
    <w:rsid w:val="00EA190C"/>
    <w:rsid w:val="00EA1F0C"/>
    <w:rsid w:val="00EA1F37"/>
    <w:rsid w:val="00EA2326"/>
    <w:rsid w:val="00EA27DA"/>
    <w:rsid w:val="00EA35B3"/>
    <w:rsid w:val="00EA3AB9"/>
    <w:rsid w:val="00EA3CF1"/>
    <w:rsid w:val="00EA3D11"/>
    <w:rsid w:val="00EA3FCB"/>
    <w:rsid w:val="00EA3FED"/>
    <w:rsid w:val="00EA43F9"/>
    <w:rsid w:val="00EA44EB"/>
    <w:rsid w:val="00EA456F"/>
    <w:rsid w:val="00EA4C66"/>
    <w:rsid w:val="00EA5143"/>
    <w:rsid w:val="00EA5160"/>
    <w:rsid w:val="00EA5ED7"/>
    <w:rsid w:val="00EA7768"/>
    <w:rsid w:val="00EA7966"/>
    <w:rsid w:val="00EA79A9"/>
    <w:rsid w:val="00EB00FC"/>
    <w:rsid w:val="00EB044C"/>
    <w:rsid w:val="00EB08BC"/>
    <w:rsid w:val="00EB09C9"/>
    <w:rsid w:val="00EB43DF"/>
    <w:rsid w:val="00EB44A3"/>
    <w:rsid w:val="00EB4657"/>
    <w:rsid w:val="00EB4E21"/>
    <w:rsid w:val="00EB4F03"/>
    <w:rsid w:val="00EB514C"/>
    <w:rsid w:val="00EB56FD"/>
    <w:rsid w:val="00EB5B83"/>
    <w:rsid w:val="00EB5C4E"/>
    <w:rsid w:val="00EB6552"/>
    <w:rsid w:val="00EB6560"/>
    <w:rsid w:val="00EB68EF"/>
    <w:rsid w:val="00EB6968"/>
    <w:rsid w:val="00EB7287"/>
    <w:rsid w:val="00EB7303"/>
    <w:rsid w:val="00EB764F"/>
    <w:rsid w:val="00EB7F13"/>
    <w:rsid w:val="00EC0A96"/>
    <w:rsid w:val="00EC0C68"/>
    <w:rsid w:val="00EC116D"/>
    <w:rsid w:val="00EC18E6"/>
    <w:rsid w:val="00EC1984"/>
    <w:rsid w:val="00EC1D10"/>
    <w:rsid w:val="00EC2315"/>
    <w:rsid w:val="00EC234C"/>
    <w:rsid w:val="00EC2833"/>
    <w:rsid w:val="00EC2ACA"/>
    <w:rsid w:val="00EC329F"/>
    <w:rsid w:val="00EC4029"/>
    <w:rsid w:val="00EC433A"/>
    <w:rsid w:val="00EC472F"/>
    <w:rsid w:val="00EC68DF"/>
    <w:rsid w:val="00EC6AF7"/>
    <w:rsid w:val="00EC7543"/>
    <w:rsid w:val="00EC764D"/>
    <w:rsid w:val="00EC778B"/>
    <w:rsid w:val="00EC7A4C"/>
    <w:rsid w:val="00ED0450"/>
    <w:rsid w:val="00ED0FD9"/>
    <w:rsid w:val="00ED10A8"/>
    <w:rsid w:val="00ED12C3"/>
    <w:rsid w:val="00ED1CF2"/>
    <w:rsid w:val="00ED2CEB"/>
    <w:rsid w:val="00ED32FF"/>
    <w:rsid w:val="00ED3529"/>
    <w:rsid w:val="00ED3BBF"/>
    <w:rsid w:val="00ED4138"/>
    <w:rsid w:val="00ED4536"/>
    <w:rsid w:val="00ED4908"/>
    <w:rsid w:val="00ED4D17"/>
    <w:rsid w:val="00ED53F9"/>
    <w:rsid w:val="00ED6005"/>
    <w:rsid w:val="00ED60B7"/>
    <w:rsid w:val="00ED7A6E"/>
    <w:rsid w:val="00ED7D07"/>
    <w:rsid w:val="00ED7EA4"/>
    <w:rsid w:val="00EE02FC"/>
    <w:rsid w:val="00EE0B64"/>
    <w:rsid w:val="00EE12BC"/>
    <w:rsid w:val="00EE140B"/>
    <w:rsid w:val="00EE213D"/>
    <w:rsid w:val="00EE3633"/>
    <w:rsid w:val="00EE39FE"/>
    <w:rsid w:val="00EE4217"/>
    <w:rsid w:val="00EE42BB"/>
    <w:rsid w:val="00EE461D"/>
    <w:rsid w:val="00EE4E45"/>
    <w:rsid w:val="00EE594C"/>
    <w:rsid w:val="00EE5ED9"/>
    <w:rsid w:val="00EE60DC"/>
    <w:rsid w:val="00EE6720"/>
    <w:rsid w:val="00EE6CD3"/>
    <w:rsid w:val="00EE6EC2"/>
    <w:rsid w:val="00EE73B1"/>
    <w:rsid w:val="00EE74E2"/>
    <w:rsid w:val="00EE7A77"/>
    <w:rsid w:val="00EF00CF"/>
    <w:rsid w:val="00EF0B3F"/>
    <w:rsid w:val="00EF0F26"/>
    <w:rsid w:val="00EF1224"/>
    <w:rsid w:val="00EF14F6"/>
    <w:rsid w:val="00EF2079"/>
    <w:rsid w:val="00EF20D7"/>
    <w:rsid w:val="00EF291D"/>
    <w:rsid w:val="00EF2BA8"/>
    <w:rsid w:val="00EF2F6A"/>
    <w:rsid w:val="00EF3419"/>
    <w:rsid w:val="00EF39C2"/>
    <w:rsid w:val="00EF477E"/>
    <w:rsid w:val="00EF4BB8"/>
    <w:rsid w:val="00EF56C4"/>
    <w:rsid w:val="00EF5834"/>
    <w:rsid w:val="00EF7136"/>
    <w:rsid w:val="00EF7547"/>
    <w:rsid w:val="00EF7E25"/>
    <w:rsid w:val="00EF7FF8"/>
    <w:rsid w:val="00F003BE"/>
    <w:rsid w:val="00F0059A"/>
    <w:rsid w:val="00F00967"/>
    <w:rsid w:val="00F00B9C"/>
    <w:rsid w:val="00F01121"/>
    <w:rsid w:val="00F0119C"/>
    <w:rsid w:val="00F012F1"/>
    <w:rsid w:val="00F01454"/>
    <w:rsid w:val="00F017F1"/>
    <w:rsid w:val="00F01ADE"/>
    <w:rsid w:val="00F01D05"/>
    <w:rsid w:val="00F01EE6"/>
    <w:rsid w:val="00F021E3"/>
    <w:rsid w:val="00F026DA"/>
    <w:rsid w:val="00F02970"/>
    <w:rsid w:val="00F02BDB"/>
    <w:rsid w:val="00F02CFB"/>
    <w:rsid w:val="00F02D18"/>
    <w:rsid w:val="00F02F43"/>
    <w:rsid w:val="00F030A9"/>
    <w:rsid w:val="00F03E1F"/>
    <w:rsid w:val="00F0441B"/>
    <w:rsid w:val="00F04574"/>
    <w:rsid w:val="00F04ACB"/>
    <w:rsid w:val="00F04D77"/>
    <w:rsid w:val="00F05094"/>
    <w:rsid w:val="00F05A3A"/>
    <w:rsid w:val="00F05EC3"/>
    <w:rsid w:val="00F060CF"/>
    <w:rsid w:val="00F067E9"/>
    <w:rsid w:val="00F06A99"/>
    <w:rsid w:val="00F06F12"/>
    <w:rsid w:val="00F07623"/>
    <w:rsid w:val="00F0798C"/>
    <w:rsid w:val="00F079FB"/>
    <w:rsid w:val="00F07D0B"/>
    <w:rsid w:val="00F07D59"/>
    <w:rsid w:val="00F07D95"/>
    <w:rsid w:val="00F07E08"/>
    <w:rsid w:val="00F10173"/>
    <w:rsid w:val="00F1145E"/>
    <w:rsid w:val="00F11613"/>
    <w:rsid w:val="00F11DF0"/>
    <w:rsid w:val="00F11F28"/>
    <w:rsid w:val="00F123BA"/>
    <w:rsid w:val="00F1264A"/>
    <w:rsid w:val="00F128D7"/>
    <w:rsid w:val="00F12B9E"/>
    <w:rsid w:val="00F12F02"/>
    <w:rsid w:val="00F137CB"/>
    <w:rsid w:val="00F13A54"/>
    <w:rsid w:val="00F14467"/>
    <w:rsid w:val="00F146FF"/>
    <w:rsid w:val="00F14ADB"/>
    <w:rsid w:val="00F15046"/>
    <w:rsid w:val="00F15374"/>
    <w:rsid w:val="00F15D69"/>
    <w:rsid w:val="00F15E3E"/>
    <w:rsid w:val="00F16E06"/>
    <w:rsid w:val="00F179DC"/>
    <w:rsid w:val="00F17C22"/>
    <w:rsid w:val="00F2012F"/>
    <w:rsid w:val="00F204AB"/>
    <w:rsid w:val="00F2073E"/>
    <w:rsid w:val="00F22D98"/>
    <w:rsid w:val="00F2304C"/>
    <w:rsid w:val="00F2363E"/>
    <w:rsid w:val="00F236F1"/>
    <w:rsid w:val="00F23D57"/>
    <w:rsid w:val="00F248C6"/>
    <w:rsid w:val="00F24B79"/>
    <w:rsid w:val="00F24C8F"/>
    <w:rsid w:val="00F24E7E"/>
    <w:rsid w:val="00F24E81"/>
    <w:rsid w:val="00F2525D"/>
    <w:rsid w:val="00F253C1"/>
    <w:rsid w:val="00F25CC1"/>
    <w:rsid w:val="00F25D02"/>
    <w:rsid w:val="00F25FB1"/>
    <w:rsid w:val="00F26C58"/>
    <w:rsid w:val="00F26D2D"/>
    <w:rsid w:val="00F26FF6"/>
    <w:rsid w:val="00F2701B"/>
    <w:rsid w:val="00F27344"/>
    <w:rsid w:val="00F30037"/>
    <w:rsid w:val="00F306E5"/>
    <w:rsid w:val="00F30E96"/>
    <w:rsid w:val="00F3136B"/>
    <w:rsid w:val="00F314F1"/>
    <w:rsid w:val="00F31B0C"/>
    <w:rsid w:val="00F31E7A"/>
    <w:rsid w:val="00F32041"/>
    <w:rsid w:val="00F3236C"/>
    <w:rsid w:val="00F3249B"/>
    <w:rsid w:val="00F32519"/>
    <w:rsid w:val="00F32604"/>
    <w:rsid w:val="00F327EA"/>
    <w:rsid w:val="00F32885"/>
    <w:rsid w:val="00F32B68"/>
    <w:rsid w:val="00F32D54"/>
    <w:rsid w:val="00F32D6F"/>
    <w:rsid w:val="00F32E60"/>
    <w:rsid w:val="00F32FAC"/>
    <w:rsid w:val="00F331D4"/>
    <w:rsid w:val="00F33641"/>
    <w:rsid w:val="00F3390C"/>
    <w:rsid w:val="00F33F41"/>
    <w:rsid w:val="00F33FD1"/>
    <w:rsid w:val="00F34041"/>
    <w:rsid w:val="00F3411B"/>
    <w:rsid w:val="00F34480"/>
    <w:rsid w:val="00F34675"/>
    <w:rsid w:val="00F34A51"/>
    <w:rsid w:val="00F34B9B"/>
    <w:rsid w:val="00F34CD7"/>
    <w:rsid w:val="00F34EEA"/>
    <w:rsid w:val="00F35211"/>
    <w:rsid w:val="00F355D2"/>
    <w:rsid w:val="00F355EE"/>
    <w:rsid w:val="00F35939"/>
    <w:rsid w:val="00F35A24"/>
    <w:rsid w:val="00F35E36"/>
    <w:rsid w:val="00F36CC0"/>
    <w:rsid w:val="00F36D35"/>
    <w:rsid w:val="00F36F95"/>
    <w:rsid w:val="00F372BE"/>
    <w:rsid w:val="00F374C2"/>
    <w:rsid w:val="00F37A74"/>
    <w:rsid w:val="00F37F4B"/>
    <w:rsid w:val="00F406FF"/>
    <w:rsid w:val="00F41785"/>
    <w:rsid w:val="00F41BCB"/>
    <w:rsid w:val="00F42195"/>
    <w:rsid w:val="00F4259D"/>
    <w:rsid w:val="00F42842"/>
    <w:rsid w:val="00F4325D"/>
    <w:rsid w:val="00F433D1"/>
    <w:rsid w:val="00F43485"/>
    <w:rsid w:val="00F43AD5"/>
    <w:rsid w:val="00F43CFF"/>
    <w:rsid w:val="00F43EE0"/>
    <w:rsid w:val="00F446AF"/>
    <w:rsid w:val="00F45135"/>
    <w:rsid w:val="00F45214"/>
    <w:rsid w:val="00F45518"/>
    <w:rsid w:val="00F45754"/>
    <w:rsid w:val="00F45F38"/>
    <w:rsid w:val="00F45F8D"/>
    <w:rsid w:val="00F461B7"/>
    <w:rsid w:val="00F4679B"/>
    <w:rsid w:val="00F469E0"/>
    <w:rsid w:val="00F46E40"/>
    <w:rsid w:val="00F47109"/>
    <w:rsid w:val="00F471C2"/>
    <w:rsid w:val="00F4760A"/>
    <w:rsid w:val="00F50133"/>
    <w:rsid w:val="00F5126F"/>
    <w:rsid w:val="00F515D8"/>
    <w:rsid w:val="00F51C8E"/>
    <w:rsid w:val="00F5215D"/>
    <w:rsid w:val="00F526AA"/>
    <w:rsid w:val="00F52857"/>
    <w:rsid w:val="00F529FE"/>
    <w:rsid w:val="00F52B8E"/>
    <w:rsid w:val="00F5323E"/>
    <w:rsid w:val="00F53379"/>
    <w:rsid w:val="00F53CFD"/>
    <w:rsid w:val="00F53D1F"/>
    <w:rsid w:val="00F53E16"/>
    <w:rsid w:val="00F54AF5"/>
    <w:rsid w:val="00F54BB0"/>
    <w:rsid w:val="00F5524A"/>
    <w:rsid w:val="00F55324"/>
    <w:rsid w:val="00F554DA"/>
    <w:rsid w:val="00F557E3"/>
    <w:rsid w:val="00F558D9"/>
    <w:rsid w:val="00F56383"/>
    <w:rsid w:val="00F563B4"/>
    <w:rsid w:val="00F56757"/>
    <w:rsid w:val="00F568D9"/>
    <w:rsid w:val="00F57303"/>
    <w:rsid w:val="00F57720"/>
    <w:rsid w:val="00F57CFF"/>
    <w:rsid w:val="00F57D4E"/>
    <w:rsid w:val="00F6038C"/>
    <w:rsid w:val="00F606D8"/>
    <w:rsid w:val="00F60AAA"/>
    <w:rsid w:val="00F61125"/>
    <w:rsid w:val="00F612EF"/>
    <w:rsid w:val="00F61568"/>
    <w:rsid w:val="00F61BCF"/>
    <w:rsid w:val="00F61D2D"/>
    <w:rsid w:val="00F61E78"/>
    <w:rsid w:val="00F62482"/>
    <w:rsid w:val="00F62DFD"/>
    <w:rsid w:val="00F62FBC"/>
    <w:rsid w:val="00F633D5"/>
    <w:rsid w:val="00F635C5"/>
    <w:rsid w:val="00F63637"/>
    <w:rsid w:val="00F64405"/>
    <w:rsid w:val="00F64DED"/>
    <w:rsid w:val="00F650F6"/>
    <w:rsid w:val="00F6576A"/>
    <w:rsid w:val="00F6579C"/>
    <w:rsid w:val="00F6580D"/>
    <w:rsid w:val="00F65B16"/>
    <w:rsid w:val="00F660C4"/>
    <w:rsid w:val="00F6651C"/>
    <w:rsid w:val="00F6651E"/>
    <w:rsid w:val="00F668E9"/>
    <w:rsid w:val="00F67045"/>
    <w:rsid w:val="00F678E9"/>
    <w:rsid w:val="00F67E4F"/>
    <w:rsid w:val="00F70374"/>
    <w:rsid w:val="00F70493"/>
    <w:rsid w:val="00F7079B"/>
    <w:rsid w:val="00F70935"/>
    <w:rsid w:val="00F709C8"/>
    <w:rsid w:val="00F70AB1"/>
    <w:rsid w:val="00F70C9F"/>
    <w:rsid w:val="00F70D39"/>
    <w:rsid w:val="00F70EC9"/>
    <w:rsid w:val="00F71368"/>
    <w:rsid w:val="00F72042"/>
    <w:rsid w:val="00F721CE"/>
    <w:rsid w:val="00F727A2"/>
    <w:rsid w:val="00F73175"/>
    <w:rsid w:val="00F736E3"/>
    <w:rsid w:val="00F73DC1"/>
    <w:rsid w:val="00F73EE0"/>
    <w:rsid w:val="00F744E4"/>
    <w:rsid w:val="00F74580"/>
    <w:rsid w:val="00F7480F"/>
    <w:rsid w:val="00F75C4E"/>
    <w:rsid w:val="00F75DAD"/>
    <w:rsid w:val="00F7617C"/>
    <w:rsid w:val="00F767E8"/>
    <w:rsid w:val="00F7696D"/>
    <w:rsid w:val="00F76AF5"/>
    <w:rsid w:val="00F76BB3"/>
    <w:rsid w:val="00F76C16"/>
    <w:rsid w:val="00F76F29"/>
    <w:rsid w:val="00F77374"/>
    <w:rsid w:val="00F801B3"/>
    <w:rsid w:val="00F80210"/>
    <w:rsid w:val="00F8031B"/>
    <w:rsid w:val="00F80587"/>
    <w:rsid w:val="00F8075A"/>
    <w:rsid w:val="00F8095B"/>
    <w:rsid w:val="00F811E3"/>
    <w:rsid w:val="00F811E5"/>
    <w:rsid w:val="00F8131E"/>
    <w:rsid w:val="00F8222B"/>
    <w:rsid w:val="00F827EB"/>
    <w:rsid w:val="00F82A79"/>
    <w:rsid w:val="00F83228"/>
    <w:rsid w:val="00F8376D"/>
    <w:rsid w:val="00F84171"/>
    <w:rsid w:val="00F84400"/>
    <w:rsid w:val="00F84824"/>
    <w:rsid w:val="00F855CD"/>
    <w:rsid w:val="00F85860"/>
    <w:rsid w:val="00F859DA"/>
    <w:rsid w:val="00F86358"/>
    <w:rsid w:val="00F863BC"/>
    <w:rsid w:val="00F86908"/>
    <w:rsid w:val="00F86A39"/>
    <w:rsid w:val="00F86A3F"/>
    <w:rsid w:val="00F86C9F"/>
    <w:rsid w:val="00F8752C"/>
    <w:rsid w:val="00F87C8A"/>
    <w:rsid w:val="00F87D4A"/>
    <w:rsid w:val="00F9079E"/>
    <w:rsid w:val="00F907D1"/>
    <w:rsid w:val="00F90818"/>
    <w:rsid w:val="00F90BF4"/>
    <w:rsid w:val="00F9102F"/>
    <w:rsid w:val="00F91297"/>
    <w:rsid w:val="00F9133B"/>
    <w:rsid w:val="00F91924"/>
    <w:rsid w:val="00F91D62"/>
    <w:rsid w:val="00F92475"/>
    <w:rsid w:val="00F925CC"/>
    <w:rsid w:val="00F9278A"/>
    <w:rsid w:val="00F9311F"/>
    <w:rsid w:val="00F93207"/>
    <w:rsid w:val="00F93794"/>
    <w:rsid w:val="00F93FDA"/>
    <w:rsid w:val="00F94FAF"/>
    <w:rsid w:val="00F955C1"/>
    <w:rsid w:val="00F964D2"/>
    <w:rsid w:val="00F96856"/>
    <w:rsid w:val="00F96A0A"/>
    <w:rsid w:val="00F96CC7"/>
    <w:rsid w:val="00F975AF"/>
    <w:rsid w:val="00F97730"/>
    <w:rsid w:val="00FA0ECD"/>
    <w:rsid w:val="00FA103B"/>
    <w:rsid w:val="00FA1A47"/>
    <w:rsid w:val="00FA2266"/>
    <w:rsid w:val="00FA3B08"/>
    <w:rsid w:val="00FA3BF9"/>
    <w:rsid w:val="00FA3C27"/>
    <w:rsid w:val="00FA4077"/>
    <w:rsid w:val="00FA45F3"/>
    <w:rsid w:val="00FA4727"/>
    <w:rsid w:val="00FA4897"/>
    <w:rsid w:val="00FA5580"/>
    <w:rsid w:val="00FA5FFF"/>
    <w:rsid w:val="00FA619C"/>
    <w:rsid w:val="00FA65B8"/>
    <w:rsid w:val="00FA6744"/>
    <w:rsid w:val="00FA6996"/>
    <w:rsid w:val="00FA71A5"/>
    <w:rsid w:val="00FA7345"/>
    <w:rsid w:val="00FA77DA"/>
    <w:rsid w:val="00FA7AF2"/>
    <w:rsid w:val="00FA7E17"/>
    <w:rsid w:val="00FB028D"/>
    <w:rsid w:val="00FB0294"/>
    <w:rsid w:val="00FB0697"/>
    <w:rsid w:val="00FB0757"/>
    <w:rsid w:val="00FB0F10"/>
    <w:rsid w:val="00FB166D"/>
    <w:rsid w:val="00FB2417"/>
    <w:rsid w:val="00FB2AFF"/>
    <w:rsid w:val="00FB2D8A"/>
    <w:rsid w:val="00FB30A8"/>
    <w:rsid w:val="00FB32A4"/>
    <w:rsid w:val="00FB45C7"/>
    <w:rsid w:val="00FB4AB2"/>
    <w:rsid w:val="00FB4EBE"/>
    <w:rsid w:val="00FB51DA"/>
    <w:rsid w:val="00FB5465"/>
    <w:rsid w:val="00FB57DF"/>
    <w:rsid w:val="00FB5936"/>
    <w:rsid w:val="00FB594D"/>
    <w:rsid w:val="00FB5D0C"/>
    <w:rsid w:val="00FB66E2"/>
    <w:rsid w:val="00FB6B48"/>
    <w:rsid w:val="00FB6F56"/>
    <w:rsid w:val="00FB7249"/>
    <w:rsid w:val="00FB7263"/>
    <w:rsid w:val="00FB7AD5"/>
    <w:rsid w:val="00FB7B2F"/>
    <w:rsid w:val="00FB7B4E"/>
    <w:rsid w:val="00FB7DC4"/>
    <w:rsid w:val="00FC0021"/>
    <w:rsid w:val="00FC0324"/>
    <w:rsid w:val="00FC047E"/>
    <w:rsid w:val="00FC1027"/>
    <w:rsid w:val="00FC253F"/>
    <w:rsid w:val="00FC270B"/>
    <w:rsid w:val="00FC2B64"/>
    <w:rsid w:val="00FC30D5"/>
    <w:rsid w:val="00FC39FB"/>
    <w:rsid w:val="00FC3AF3"/>
    <w:rsid w:val="00FC422F"/>
    <w:rsid w:val="00FC4779"/>
    <w:rsid w:val="00FC4923"/>
    <w:rsid w:val="00FC49BB"/>
    <w:rsid w:val="00FC4A0C"/>
    <w:rsid w:val="00FC4F18"/>
    <w:rsid w:val="00FC58C7"/>
    <w:rsid w:val="00FC60C7"/>
    <w:rsid w:val="00FC69F7"/>
    <w:rsid w:val="00FC7546"/>
    <w:rsid w:val="00FC7E75"/>
    <w:rsid w:val="00FD04BF"/>
    <w:rsid w:val="00FD130B"/>
    <w:rsid w:val="00FD13C5"/>
    <w:rsid w:val="00FD294D"/>
    <w:rsid w:val="00FD2C6D"/>
    <w:rsid w:val="00FD2D7A"/>
    <w:rsid w:val="00FD30E7"/>
    <w:rsid w:val="00FD338E"/>
    <w:rsid w:val="00FD3402"/>
    <w:rsid w:val="00FD3406"/>
    <w:rsid w:val="00FD377F"/>
    <w:rsid w:val="00FD4478"/>
    <w:rsid w:val="00FD4B63"/>
    <w:rsid w:val="00FD4F88"/>
    <w:rsid w:val="00FD52BD"/>
    <w:rsid w:val="00FD5418"/>
    <w:rsid w:val="00FD5A1A"/>
    <w:rsid w:val="00FD616B"/>
    <w:rsid w:val="00FD6867"/>
    <w:rsid w:val="00FD78C6"/>
    <w:rsid w:val="00FD7D05"/>
    <w:rsid w:val="00FE07A2"/>
    <w:rsid w:val="00FE1BAC"/>
    <w:rsid w:val="00FE1F94"/>
    <w:rsid w:val="00FE2212"/>
    <w:rsid w:val="00FE2A95"/>
    <w:rsid w:val="00FE2DB2"/>
    <w:rsid w:val="00FE341D"/>
    <w:rsid w:val="00FE367F"/>
    <w:rsid w:val="00FE45EF"/>
    <w:rsid w:val="00FE47A1"/>
    <w:rsid w:val="00FE4BA2"/>
    <w:rsid w:val="00FE5A48"/>
    <w:rsid w:val="00FE5F49"/>
    <w:rsid w:val="00FE5FFF"/>
    <w:rsid w:val="00FE6991"/>
    <w:rsid w:val="00FE6BF5"/>
    <w:rsid w:val="00FE6FE2"/>
    <w:rsid w:val="00FE715B"/>
    <w:rsid w:val="00FE76E6"/>
    <w:rsid w:val="00FE781A"/>
    <w:rsid w:val="00FE7E09"/>
    <w:rsid w:val="00FE7FAA"/>
    <w:rsid w:val="00FF011C"/>
    <w:rsid w:val="00FF0421"/>
    <w:rsid w:val="00FF0AC7"/>
    <w:rsid w:val="00FF2133"/>
    <w:rsid w:val="00FF27CA"/>
    <w:rsid w:val="00FF29DC"/>
    <w:rsid w:val="00FF3377"/>
    <w:rsid w:val="00FF34A6"/>
    <w:rsid w:val="00FF39FD"/>
    <w:rsid w:val="00FF43F8"/>
    <w:rsid w:val="00FF4A57"/>
    <w:rsid w:val="00FF4DC7"/>
    <w:rsid w:val="00FF5E07"/>
    <w:rsid w:val="00FF5FFE"/>
    <w:rsid w:val="00FF620C"/>
    <w:rsid w:val="00FF65CE"/>
    <w:rsid w:val="00FF65E2"/>
    <w:rsid w:val="00FF6B93"/>
    <w:rsid w:val="011F50DA"/>
    <w:rsid w:val="0135CBF3"/>
    <w:rsid w:val="01576B1D"/>
    <w:rsid w:val="0174A770"/>
    <w:rsid w:val="01CF4AEA"/>
    <w:rsid w:val="01D807CB"/>
    <w:rsid w:val="0201CF93"/>
    <w:rsid w:val="02D579FA"/>
    <w:rsid w:val="038062FD"/>
    <w:rsid w:val="04391623"/>
    <w:rsid w:val="04474F42"/>
    <w:rsid w:val="0448D5A5"/>
    <w:rsid w:val="04E7D8BF"/>
    <w:rsid w:val="04F48BA2"/>
    <w:rsid w:val="04FC83C0"/>
    <w:rsid w:val="054075CB"/>
    <w:rsid w:val="05537A10"/>
    <w:rsid w:val="0559CD30"/>
    <w:rsid w:val="058A9C59"/>
    <w:rsid w:val="05AFB172"/>
    <w:rsid w:val="05D8C2F8"/>
    <w:rsid w:val="060E6579"/>
    <w:rsid w:val="066B2DAB"/>
    <w:rsid w:val="06FC91C3"/>
    <w:rsid w:val="0704D1FA"/>
    <w:rsid w:val="07E59746"/>
    <w:rsid w:val="08387189"/>
    <w:rsid w:val="08D1B5AF"/>
    <w:rsid w:val="08E3666F"/>
    <w:rsid w:val="08EF80CC"/>
    <w:rsid w:val="0955A3AD"/>
    <w:rsid w:val="09BDFE63"/>
    <w:rsid w:val="09EEF239"/>
    <w:rsid w:val="0A46A1BB"/>
    <w:rsid w:val="0A7CB27E"/>
    <w:rsid w:val="0A903D36"/>
    <w:rsid w:val="0AA04E93"/>
    <w:rsid w:val="0B056408"/>
    <w:rsid w:val="0B3EE20A"/>
    <w:rsid w:val="0B9A6A97"/>
    <w:rsid w:val="0BB67058"/>
    <w:rsid w:val="0C751831"/>
    <w:rsid w:val="0D71E388"/>
    <w:rsid w:val="0DC8BFDD"/>
    <w:rsid w:val="0E76C3EC"/>
    <w:rsid w:val="0EBCB733"/>
    <w:rsid w:val="0ED26A64"/>
    <w:rsid w:val="0EFC1CEA"/>
    <w:rsid w:val="0F31236D"/>
    <w:rsid w:val="0F62C909"/>
    <w:rsid w:val="0F7B5BDF"/>
    <w:rsid w:val="0FFE065E"/>
    <w:rsid w:val="109E6F17"/>
    <w:rsid w:val="1115858E"/>
    <w:rsid w:val="111BA1FD"/>
    <w:rsid w:val="11465FF0"/>
    <w:rsid w:val="1160E1D7"/>
    <w:rsid w:val="11960541"/>
    <w:rsid w:val="11B3FCA4"/>
    <w:rsid w:val="12176E21"/>
    <w:rsid w:val="128DEE4C"/>
    <w:rsid w:val="130626D8"/>
    <w:rsid w:val="13780BA9"/>
    <w:rsid w:val="142D413C"/>
    <w:rsid w:val="152575F8"/>
    <w:rsid w:val="15A6D74E"/>
    <w:rsid w:val="15F60D5A"/>
    <w:rsid w:val="1622EBDE"/>
    <w:rsid w:val="1687FA9B"/>
    <w:rsid w:val="1693A6C7"/>
    <w:rsid w:val="16990E34"/>
    <w:rsid w:val="172E4BCE"/>
    <w:rsid w:val="17965149"/>
    <w:rsid w:val="17C25839"/>
    <w:rsid w:val="17FB0D86"/>
    <w:rsid w:val="1841DC27"/>
    <w:rsid w:val="18AA6ADB"/>
    <w:rsid w:val="199726CA"/>
    <w:rsid w:val="19ABE722"/>
    <w:rsid w:val="1B036ACD"/>
    <w:rsid w:val="1B409855"/>
    <w:rsid w:val="1B9DBD25"/>
    <w:rsid w:val="1BBBED74"/>
    <w:rsid w:val="1BCA6BD2"/>
    <w:rsid w:val="1BF4AA93"/>
    <w:rsid w:val="1D63CBC3"/>
    <w:rsid w:val="1DDD1F1A"/>
    <w:rsid w:val="1E74E675"/>
    <w:rsid w:val="1E9BC354"/>
    <w:rsid w:val="1EA8F717"/>
    <w:rsid w:val="1F30A7D2"/>
    <w:rsid w:val="1F32961E"/>
    <w:rsid w:val="1F4CE17B"/>
    <w:rsid w:val="2011FBD8"/>
    <w:rsid w:val="201ED0FA"/>
    <w:rsid w:val="2059C135"/>
    <w:rsid w:val="20FEC75C"/>
    <w:rsid w:val="212407A7"/>
    <w:rsid w:val="216A1518"/>
    <w:rsid w:val="21ACF259"/>
    <w:rsid w:val="21F411CC"/>
    <w:rsid w:val="2224D42A"/>
    <w:rsid w:val="22366BC2"/>
    <w:rsid w:val="22B91749"/>
    <w:rsid w:val="22EE4461"/>
    <w:rsid w:val="23A2FAB7"/>
    <w:rsid w:val="23B4F5AF"/>
    <w:rsid w:val="23F9C2F1"/>
    <w:rsid w:val="24077DFF"/>
    <w:rsid w:val="24527D64"/>
    <w:rsid w:val="24D811DA"/>
    <w:rsid w:val="25EE5642"/>
    <w:rsid w:val="2681926C"/>
    <w:rsid w:val="2725AF5E"/>
    <w:rsid w:val="276E1A8C"/>
    <w:rsid w:val="28330F86"/>
    <w:rsid w:val="283DC6BE"/>
    <w:rsid w:val="286E18BA"/>
    <w:rsid w:val="28A280C7"/>
    <w:rsid w:val="2A36F822"/>
    <w:rsid w:val="2AEB30F4"/>
    <w:rsid w:val="2B97AD38"/>
    <w:rsid w:val="2B983416"/>
    <w:rsid w:val="2BC953FC"/>
    <w:rsid w:val="2BE78008"/>
    <w:rsid w:val="2C5813B3"/>
    <w:rsid w:val="2C6397A6"/>
    <w:rsid w:val="2C67C8B2"/>
    <w:rsid w:val="2C87A0EB"/>
    <w:rsid w:val="2CE0ECCC"/>
    <w:rsid w:val="2D363A1E"/>
    <w:rsid w:val="2D7CE9AC"/>
    <w:rsid w:val="2D996824"/>
    <w:rsid w:val="2DB49849"/>
    <w:rsid w:val="2E288F64"/>
    <w:rsid w:val="2F777D9F"/>
    <w:rsid w:val="2FC7E180"/>
    <w:rsid w:val="3000FB5C"/>
    <w:rsid w:val="30161E87"/>
    <w:rsid w:val="303B8A79"/>
    <w:rsid w:val="304A7E16"/>
    <w:rsid w:val="30E45840"/>
    <w:rsid w:val="30FA1F28"/>
    <w:rsid w:val="31160DFC"/>
    <w:rsid w:val="3160FDB2"/>
    <w:rsid w:val="31CD964B"/>
    <w:rsid w:val="31E68E57"/>
    <w:rsid w:val="325A8ACA"/>
    <w:rsid w:val="32D7582F"/>
    <w:rsid w:val="338D45C7"/>
    <w:rsid w:val="3400C0A4"/>
    <w:rsid w:val="34A5E5E5"/>
    <w:rsid w:val="350994D7"/>
    <w:rsid w:val="35103F00"/>
    <w:rsid w:val="355FC74D"/>
    <w:rsid w:val="356CB5EE"/>
    <w:rsid w:val="35795E39"/>
    <w:rsid w:val="35A0701C"/>
    <w:rsid w:val="36000D6D"/>
    <w:rsid w:val="3618511F"/>
    <w:rsid w:val="367A761F"/>
    <w:rsid w:val="36CD422B"/>
    <w:rsid w:val="37799B04"/>
    <w:rsid w:val="379B6DAF"/>
    <w:rsid w:val="3895AB8F"/>
    <w:rsid w:val="38F7D0FB"/>
    <w:rsid w:val="393CB246"/>
    <w:rsid w:val="395880DC"/>
    <w:rsid w:val="39A37D68"/>
    <w:rsid w:val="39AF3C20"/>
    <w:rsid w:val="39D256E8"/>
    <w:rsid w:val="39E93978"/>
    <w:rsid w:val="3A0EE3BC"/>
    <w:rsid w:val="3A68C3DD"/>
    <w:rsid w:val="3ACCA4C5"/>
    <w:rsid w:val="3AF152CF"/>
    <w:rsid w:val="3AF7FEA1"/>
    <w:rsid w:val="3B584FC0"/>
    <w:rsid w:val="3B9EDFC1"/>
    <w:rsid w:val="3BBE3C89"/>
    <w:rsid w:val="3BCE836F"/>
    <w:rsid w:val="3C467478"/>
    <w:rsid w:val="3CF5DE56"/>
    <w:rsid w:val="3D5BFFFC"/>
    <w:rsid w:val="3E52AD67"/>
    <w:rsid w:val="3E96B695"/>
    <w:rsid w:val="3F2E2A8C"/>
    <w:rsid w:val="3F3FAF53"/>
    <w:rsid w:val="3F59366B"/>
    <w:rsid w:val="3F60C4AA"/>
    <w:rsid w:val="3F649D98"/>
    <w:rsid w:val="3F9F2486"/>
    <w:rsid w:val="40006ABB"/>
    <w:rsid w:val="404F4673"/>
    <w:rsid w:val="407E679C"/>
    <w:rsid w:val="4086F8E5"/>
    <w:rsid w:val="40E3552F"/>
    <w:rsid w:val="4104B467"/>
    <w:rsid w:val="41188EC9"/>
    <w:rsid w:val="4139249D"/>
    <w:rsid w:val="41E500B5"/>
    <w:rsid w:val="4243EE7B"/>
    <w:rsid w:val="428144FD"/>
    <w:rsid w:val="42A3036B"/>
    <w:rsid w:val="42A534F5"/>
    <w:rsid w:val="4314BCE4"/>
    <w:rsid w:val="432CDAA9"/>
    <w:rsid w:val="43A68FD7"/>
    <w:rsid w:val="43D16DCA"/>
    <w:rsid w:val="450481EE"/>
    <w:rsid w:val="451904A3"/>
    <w:rsid w:val="462E248D"/>
    <w:rsid w:val="46791A47"/>
    <w:rsid w:val="46EC8293"/>
    <w:rsid w:val="477CC965"/>
    <w:rsid w:val="47C79D64"/>
    <w:rsid w:val="47D039B0"/>
    <w:rsid w:val="47D21979"/>
    <w:rsid w:val="47D941E1"/>
    <w:rsid w:val="4803E7FD"/>
    <w:rsid w:val="48E6D8CB"/>
    <w:rsid w:val="494A49E4"/>
    <w:rsid w:val="495E81E8"/>
    <w:rsid w:val="496D0630"/>
    <w:rsid w:val="49839DCB"/>
    <w:rsid w:val="4A0C06A8"/>
    <w:rsid w:val="4A5747F5"/>
    <w:rsid w:val="4A6C7569"/>
    <w:rsid w:val="4A8AFD69"/>
    <w:rsid w:val="4AB25851"/>
    <w:rsid w:val="4AFBA611"/>
    <w:rsid w:val="4B522292"/>
    <w:rsid w:val="4BA666B2"/>
    <w:rsid w:val="4C3232C7"/>
    <w:rsid w:val="4C572379"/>
    <w:rsid w:val="4C7218BE"/>
    <w:rsid w:val="4D2AF5E1"/>
    <w:rsid w:val="4D338AAA"/>
    <w:rsid w:val="4D6E6B47"/>
    <w:rsid w:val="4E1207F6"/>
    <w:rsid w:val="4ED49C82"/>
    <w:rsid w:val="4EE17FEB"/>
    <w:rsid w:val="4F222A1E"/>
    <w:rsid w:val="4F2C4CAF"/>
    <w:rsid w:val="4F3C25C5"/>
    <w:rsid w:val="4F5226F4"/>
    <w:rsid w:val="4F7F94B0"/>
    <w:rsid w:val="4F9353AA"/>
    <w:rsid w:val="5032C3E3"/>
    <w:rsid w:val="504862A3"/>
    <w:rsid w:val="50881E4F"/>
    <w:rsid w:val="50C02F8A"/>
    <w:rsid w:val="50D5A860"/>
    <w:rsid w:val="510E78CD"/>
    <w:rsid w:val="5121F70E"/>
    <w:rsid w:val="512B057B"/>
    <w:rsid w:val="513CC1FA"/>
    <w:rsid w:val="518B4C65"/>
    <w:rsid w:val="51EABA6C"/>
    <w:rsid w:val="527117B9"/>
    <w:rsid w:val="52E4F71C"/>
    <w:rsid w:val="53F3B797"/>
    <w:rsid w:val="5403582F"/>
    <w:rsid w:val="5425009F"/>
    <w:rsid w:val="5449B893"/>
    <w:rsid w:val="545CD758"/>
    <w:rsid w:val="546CED3A"/>
    <w:rsid w:val="5552304B"/>
    <w:rsid w:val="5563B814"/>
    <w:rsid w:val="562258A5"/>
    <w:rsid w:val="570591DE"/>
    <w:rsid w:val="57249C93"/>
    <w:rsid w:val="573F02F9"/>
    <w:rsid w:val="5770E3AF"/>
    <w:rsid w:val="57EE1723"/>
    <w:rsid w:val="58039EA0"/>
    <w:rsid w:val="58BE29E5"/>
    <w:rsid w:val="59333CEE"/>
    <w:rsid w:val="5A176BCF"/>
    <w:rsid w:val="5A4996AB"/>
    <w:rsid w:val="5ABF4DA0"/>
    <w:rsid w:val="5AC03F75"/>
    <w:rsid w:val="5AEC0DD7"/>
    <w:rsid w:val="5B0A2C0B"/>
    <w:rsid w:val="5B20283F"/>
    <w:rsid w:val="5B2DD741"/>
    <w:rsid w:val="5B954E76"/>
    <w:rsid w:val="5BE682CB"/>
    <w:rsid w:val="5C62E998"/>
    <w:rsid w:val="5CDD1820"/>
    <w:rsid w:val="5D158EFD"/>
    <w:rsid w:val="5D203209"/>
    <w:rsid w:val="5DA8DD2D"/>
    <w:rsid w:val="5E4065B1"/>
    <w:rsid w:val="5E7B4661"/>
    <w:rsid w:val="5EA4B2C9"/>
    <w:rsid w:val="5EC9F043"/>
    <w:rsid w:val="5F33EA06"/>
    <w:rsid w:val="5F459BAE"/>
    <w:rsid w:val="60610A69"/>
    <w:rsid w:val="60987EEF"/>
    <w:rsid w:val="60A38F9C"/>
    <w:rsid w:val="61094470"/>
    <w:rsid w:val="61292F51"/>
    <w:rsid w:val="61A023E8"/>
    <w:rsid w:val="61BFCBDC"/>
    <w:rsid w:val="623721DE"/>
    <w:rsid w:val="624F3F78"/>
    <w:rsid w:val="62922D51"/>
    <w:rsid w:val="62A29F54"/>
    <w:rsid w:val="63E61A50"/>
    <w:rsid w:val="640DC597"/>
    <w:rsid w:val="646B7C6A"/>
    <w:rsid w:val="6513F992"/>
    <w:rsid w:val="654C7652"/>
    <w:rsid w:val="65C6E8E3"/>
    <w:rsid w:val="665915E5"/>
    <w:rsid w:val="6683D0EA"/>
    <w:rsid w:val="67C4774D"/>
    <w:rsid w:val="67E17016"/>
    <w:rsid w:val="6823E50E"/>
    <w:rsid w:val="68513518"/>
    <w:rsid w:val="6855E173"/>
    <w:rsid w:val="6895A4AC"/>
    <w:rsid w:val="68E98C7B"/>
    <w:rsid w:val="693B1C59"/>
    <w:rsid w:val="699345EA"/>
    <w:rsid w:val="69F5E67D"/>
    <w:rsid w:val="6A2A53D2"/>
    <w:rsid w:val="6A5B4B7A"/>
    <w:rsid w:val="6AA121E2"/>
    <w:rsid w:val="6B05E032"/>
    <w:rsid w:val="6B2A7E3D"/>
    <w:rsid w:val="6B47C449"/>
    <w:rsid w:val="6BBD38A8"/>
    <w:rsid w:val="6C11EE51"/>
    <w:rsid w:val="6C1AE34F"/>
    <w:rsid w:val="6CA4FDD1"/>
    <w:rsid w:val="6D535655"/>
    <w:rsid w:val="6D68304B"/>
    <w:rsid w:val="6DE83865"/>
    <w:rsid w:val="6E45D367"/>
    <w:rsid w:val="6E9A5374"/>
    <w:rsid w:val="6F0E7DA9"/>
    <w:rsid w:val="6F274B3B"/>
    <w:rsid w:val="6F7A7B68"/>
    <w:rsid w:val="6FA1B917"/>
    <w:rsid w:val="6FB60D44"/>
    <w:rsid w:val="702C6B30"/>
    <w:rsid w:val="7066B820"/>
    <w:rsid w:val="707F1634"/>
    <w:rsid w:val="709F0A8A"/>
    <w:rsid w:val="70BA1CC7"/>
    <w:rsid w:val="70FB8F09"/>
    <w:rsid w:val="713A68C5"/>
    <w:rsid w:val="723E1B2A"/>
    <w:rsid w:val="7292672A"/>
    <w:rsid w:val="72A141D4"/>
    <w:rsid w:val="72B5A67D"/>
    <w:rsid w:val="72BBA988"/>
    <w:rsid w:val="73A84A50"/>
    <w:rsid w:val="73B1BEC8"/>
    <w:rsid w:val="74069A60"/>
    <w:rsid w:val="7410BD8D"/>
    <w:rsid w:val="7435B0E3"/>
    <w:rsid w:val="74DEBDFF"/>
    <w:rsid w:val="751A9770"/>
    <w:rsid w:val="751E131A"/>
    <w:rsid w:val="751E9969"/>
    <w:rsid w:val="7532804E"/>
    <w:rsid w:val="7575D1E6"/>
    <w:rsid w:val="77080DFC"/>
    <w:rsid w:val="772730F7"/>
    <w:rsid w:val="7736C9FF"/>
    <w:rsid w:val="78A5B7F3"/>
    <w:rsid w:val="79256BC8"/>
    <w:rsid w:val="792721CE"/>
    <w:rsid w:val="795F903F"/>
    <w:rsid w:val="79BC1A8C"/>
    <w:rsid w:val="7A3342D5"/>
    <w:rsid w:val="7A5652F0"/>
    <w:rsid w:val="7A87C675"/>
    <w:rsid w:val="7AFC679F"/>
    <w:rsid w:val="7AFEF4E1"/>
    <w:rsid w:val="7B86895E"/>
    <w:rsid w:val="7B872D60"/>
    <w:rsid w:val="7C11C915"/>
    <w:rsid w:val="7C1C8E28"/>
    <w:rsid w:val="7CEEC4B2"/>
    <w:rsid w:val="7D3D6DB2"/>
    <w:rsid w:val="7D4E7C22"/>
    <w:rsid w:val="7D547DC1"/>
    <w:rsid w:val="7D576E74"/>
    <w:rsid w:val="7DAD49D5"/>
    <w:rsid w:val="7DDCBF7F"/>
    <w:rsid w:val="7E44C0F3"/>
    <w:rsid w:val="7E49EDB1"/>
    <w:rsid w:val="7E7057F7"/>
    <w:rsid w:val="7EC2D129"/>
    <w:rsid w:val="7F3D4755"/>
    <w:rsid w:val="7F678E55"/>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5E430C0"/>
  <w15:docId w15:val="{49F78D15-688C-4F01-AE75-31597C52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uiPriority="1" w:qFormat="1"/>
    <w:lsdException w:name="heading 3" w:uiPriority="9"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850FF"/>
    <w:rPr>
      <w:rFonts w:ascii="Cambria" w:hAnsi="Cambria"/>
      <w:lang w:eastAsia="en-US"/>
    </w:rPr>
  </w:style>
  <w:style w:type="paragraph" w:styleId="Heading1">
    <w:name w:val="heading 1"/>
    <w:next w:val="DHHSbody"/>
    <w:link w:val="Heading1Char"/>
    <w:uiPriority w:val="9"/>
    <w:qFormat/>
    <w:rsid w:val="005C4675"/>
    <w:pPr>
      <w:keepNext/>
      <w:keepLines/>
      <w:spacing w:before="520" w:after="440" w:line="440" w:lineRule="atLeast"/>
      <w:outlineLvl w:val="0"/>
    </w:pPr>
    <w:rPr>
      <w:rFonts w:ascii="Arial" w:hAnsi="Arial"/>
      <w:bCs/>
      <w:color w:val="201547"/>
      <w:sz w:val="44"/>
      <w:szCs w:val="44"/>
      <w:lang w:eastAsia="en-US"/>
    </w:rPr>
  </w:style>
  <w:style w:type="paragraph" w:styleId="Heading2">
    <w:name w:val="heading 2"/>
    <w:next w:val="DHHSbody"/>
    <w:link w:val="Heading2Char"/>
    <w:uiPriority w:val="1"/>
    <w:qFormat/>
    <w:rsid w:val="005C4675"/>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9"/>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aliases w:val="MHAR title 2"/>
    <w:next w:val="DHHSbody"/>
    <w:link w:val="Heading4Char"/>
    <w:uiPriority w:val="1"/>
    <w:qFormat/>
    <w:rsid w:val="0020515A"/>
    <w:pPr>
      <w:keepNext/>
      <w:keepLines/>
      <w:spacing w:before="240" w:after="120" w:line="240" w:lineRule="atLeast"/>
      <w:outlineLvl w:val="3"/>
    </w:pPr>
    <w:rPr>
      <w:rFonts w:ascii="Arial" w:eastAsia="MS Mincho" w:hAnsi="Arial"/>
      <w:b/>
      <w:bCs/>
      <w:color w:val="201547"/>
      <w:sz w:val="22"/>
      <w:lang w:eastAsia="en-US"/>
    </w:rPr>
  </w:style>
  <w:style w:type="paragraph" w:styleId="Heading5">
    <w:name w:val="heading 5"/>
    <w:next w:val="DHHSbody"/>
    <w:link w:val="Heading5Char"/>
    <w:uiPriority w:val="9"/>
    <w:qFormat/>
    <w:rsid w:val="00EE3633"/>
    <w:pPr>
      <w:keepNext/>
      <w:keepLines/>
      <w:suppressAutoHyphens/>
      <w:spacing w:before="240" w:after="120" w:line="240" w:lineRule="atLeast"/>
      <w:outlineLvl w:val="4"/>
    </w:pPr>
    <w:rPr>
      <w:rFonts w:ascii="Arial" w:eastAsia="MS Mincho"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4675"/>
    <w:rPr>
      <w:rFonts w:ascii="Arial" w:hAnsi="Arial"/>
      <w:bCs/>
      <w:color w:val="201547"/>
      <w:sz w:val="44"/>
      <w:szCs w:val="44"/>
      <w:lang w:eastAsia="en-US"/>
    </w:rPr>
  </w:style>
  <w:style w:type="character" w:customStyle="1" w:styleId="Heading2Char">
    <w:name w:val="Heading 2 Char"/>
    <w:link w:val="Heading2"/>
    <w:uiPriority w:val="1"/>
    <w:rsid w:val="005C4675"/>
    <w:rPr>
      <w:rFonts w:ascii="Arial" w:hAnsi="Arial"/>
      <w:b/>
      <w:color w:val="201547"/>
      <w:sz w:val="28"/>
      <w:szCs w:val="28"/>
      <w:lang w:eastAsia="en-US"/>
    </w:rPr>
  </w:style>
  <w:style w:type="character" w:customStyle="1" w:styleId="Heading3Char">
    <w:name w:val="Heading 3 Char"/>
    <w:link w:val="Heading3"/>
    <w:uiPriority w:val="9"/>
    <w:rsid w:val="00FB594D"/>
    <w:rPr>
      <w:rFonts w:ascii="Arial" w:eastAsia="MS Gothic" w:hAnsi="Arial" w:cs="Times New Roman"/>
      <w:b/>
      <w:bCs/>
      <w:sz w:val="24"/>
      <w:szCs w:val="26"/>
    </w:rPr>
  </w:style>
  <w:style w:type="character" w:customStyle="1" w:styleId="Heading4Char">
    <w:name w:val="Heading 4 Char"/>
    <w:aliases w:val="MHAR title 2 Char"/>
    <w:link w:val="Heading4"/>
    <w:uiPriority w:val="1"/>
    <w:rsid w:val="0020515A"/>
    <w:rPr>
      <w:rFonts w:ascii="Arial" w:eastAsia="MS Mincho" w:hAnsi="Arial"/>
      <w:b/>
      <w:bCs/>
      <w:color w:val="201547"/>
      <w:sz w:val="22"/>
      <w:lang w:eastAsia="en-U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7F6862"/>
    <w:rPr>
      <w:color w:val="87189D"/>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uiPriority w:val="99"/>
    <w:semiHidden/>
    <w:rsid w:val="00EA6F2B"/>
    <w:rPr>
      <w:sz w:val="24"/>
      <w:szCs w:val="24"/>
    </w:rPr>
  </w:style>
  <w:style w:type="character" w:styleId="EndnoteReference">
    <w:name w:val="endnote reference"/>
    <w:aliases w:val="Endnote Text Char"/>
    <w:uiPriority w:val="99"/>
    <w:semiHidden/>
    <w:rsid w:val="00923608"/>
    <w:rPr>
      <w:rFonts w:ascii="Arial" w:hAnsi="Arial"/>
      <w:sz w:val="20"/>
      <w:vertAlign w:val="superscript"/>
    </w:rPr>
  </w:style>
  <w:style w:type="table" w:styleId="TableGrid">
    <w:name w:val="Table Grid"/>
    <w:basedOn w:val="TableNormal"/>
    <w:uiPriority w:val="59"/>
    <w:rsid w:val="00DE7B0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A18B6"/>
    <w:pPr>
      <w:spacing w:after="120" w:line="380" w:lineRule="atLeast"/>
      <w:ind w:left="1701"/>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5C4675"/>
    <w:pPr>
      <w:keepLines/>
      <w:spacing w:before="3500" w:after="240" w:line="580" w:lineRule="atLeast"/>
      <w:ind w:left="1701"/>
    </w:pPr>
    <w:rPr>
      <w:rFonts w:ascii="Arial" w:hAnsi="Arial"/>
      <w:color w:val="201547"/>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DE7B07"/>
    <w:pPr>
      <w:keepNext/>
      <w:keepLines/>
      <w:tabs>
        <w:tab w:val="right" w:leader="dot" w:pos="9299"/>
      </w:tabs>
      <w:spacing w:before="160" w:after="60" w:line="270" w:lineRule="atLeast"/>
    </w:pPr>
    <w:rPr>
      <w:rFonts w:ascii="Arial" w:hAnsi="Arial"/>
      <w:b/>
      <w:noProof/>
    </w:rPr>
  </w:style>
  <w:style w:type="paragraph" w:styleId="TOC2">
    <w:name w:val="toc 2"/>
    <w:basedOn w:val="Normal"/>
    <w:next w:val="Normal"/>
    <w:uiPriority w:val="39"/>
    <w:rsid w:val="000C3632"/>
    <w:pPr>
      <w:keepLines/>
      <w:tabs>
        <w:tab w:val="right" w:leader="dot" w:pos="9299"/>
      </w:tabs>
      <w:spacing w:after="60" w:line="270" w:lineRule="atLeast"/>
    </w:pPr>
    <w:rPr>
      <w:rFonts w:ascii="Arial" w:hAnsi="Arial"/>
      <w:noProof/>
    </w:rPr>
  </w:style>
  <w:style w:type="paragraph" w:styleId="TOC3">
    <w:name w:val="toc 3"/>
    <w:basedOn w:val="Normal"/>
    <w:next w:val="Normal"/>
    <w:uiPriority w:val="39"/>
    <w:rsid w:val="00DE7B07"/>
    <w:pPr>
      <w:keepLines/>
      <w:tabs>
        <w:tab w:val="right" w:leader="dot" w:pos="9299"/>
      </w:tabs>
      <w:spacing w:after="60" w:line="270" w:lineRule="atLeast"/>
      <w:ind w:left="284"/>
    </w:pPr>
    <w:rPr>
      <w:rFonts w:ascii="Arial" w:hAnsi="Arial" w:cs="Arial"/>
    </w:rPr>
  </w:style>
  <w:style w:type="paragraph" w:styleId="TOC4">
    <w:name w:val="toc 4"/>
    <w:basedOn w:val="TOC3"/>
    <w:uiPriority w:val="39"/>
    <w:rsid w:val="00B126CB"/>
    <w:pPr>
      <w:ind w:left="567"/>
    </w:pPr>
  </w:style>
  <w:style w:type="paragraph" w:styleId="TOC5">
    <w:name w:val="toc 5"/>
    <w:basedOn w:val="TOC4"/>
    <w:rsid w:val="00B126CB"/>
    <w:pPr>
      <w:ind w:left="851"/>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A94D93"/>
    <w:pPr>
      <w:keepLines/>
      <w:spacing w:after="240" w:line="580" w:lineRule="atLeast"/>
    </w:pPr>
    <w:rPr>
      <w:rFonts w:ascii="Arial" w:hAnsi="Arial"/>
      <w:bCs/>
      <w:color w:val="FFFFFF"/>
      <w:sz w:val="50"/>
      <w:szCs w:val="50"/>
      <w:lang w:eastAsia="en-US"/>
    </w:rPr>
  </w:style>
  <w:style w:type="paragraph" w:customStyle="1" w:styleId="DHHSreportsubtitlecover">
    <w:name w:val="DHHS report subtitle cover"/>
    <w:uiPriority w:val="4"/>
    <w:rsid w:val="00A94D93"/>
    <w:pPr>
      <w:spacing w:after="120" w:line="380" w:lineRule="atLeast"/>
    </w:pPr>
    <w:rPr>
      <w:rFonts w:ascii="Arial" w:hAnsi="Arial"/>
      <w:bCs/>
      <w:color w:val="FFFFFF"/>
      <w:sz w:val="30"/>
      <w:szCs w:val="30"/>
      <w:lang w:eastAsia="en-US"/>
    </w:rPr>
  </w:style>
  <w:style w:type="character" w:customStyle="1" w:styleId="Heading5Char">
    <w:name w:val="Heading 5 Char"/>
    <w:link w:val="Heading5"/>
    <w:uiPriority w:val="9"/>
    <w:rsid w:val="00EE3633"/>
    <w:rPr>
      <w:rFonts w:ascii="Arial" w:eastAsia="MS Mincho" w:hAnsi="Arial"/>
      <w:b/>
      <w:bCs/>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7F6862"/>
    <w:rPr>
      <w:color w:val="0072CE"/>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9850FF"/>
    <w:pPr>
      <w:numPr>
        <w:numId w:val="2"/>
      </w:numPr>
      <w:spacing w:after="40"/>
    </w:pPr>
  </w:style>
  <w:style w:type="paragraph" w:customStyle="1" w:styleId="DHHSnumberloweralpha">
    <w:name w:val="DHHS number lower alpha"/>
    <w:basedOn w:val="DHHSbody"/>
    <w:uiPriority w:val="3"/>
    <w:rsid w:val="009850FF"/>
    <w:pPr>
      <w:numPr>
        <w:numId w:val="4"/>
      </w:numPr>
    </w:pPr>
  </w:style>
  <w:style w:type="paragraph" w:customStyle="1" w:styleId="DHHSnumberloweralphaindent">
    <w:name w:val="DHHS number lower alpha indent"/>
    <w:basedOn w:val="DHHSbody"/>
    <w:uiPriority w:val="3"/>
    <w:rsid w:val="009850FF"/>
    <w:pPr>
      <w:numPr>
        <w:ilvl w:val="1"/>
        <w:numId w:val="4"/>
      </w:numPr>
    </w:pPr>
  </w:style>
  <w:style w:type="paragraph" w:customStyle="1" w:styleId="DHHStablefigurenote">
    <w:name w:val="DHHS table/figure note"/>
    <w:uiPriority w:val="4"/>
    <w:rsid w:val="008A5B97"/>
    <w:pPr>
      <w:spacing w:before="60" w:after="60" w:line="240" w:lineRule="exact"/>
    </w:pPr>
    <w:rPr>
      <w:rFonts w:ascii="Arial" w:hAnsi="Arial"/>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9850FF"/>
    <w:pPr>
      <w:numPr>
        <w:ilvl w:val="1"/>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9850FF"/>
    <w:pPr>
      <w:numPr>
        <w:numId w:val="3"/>
      </w:numPr>
    </w:pPr>
  </w:style>
  <w:style w:type="paragraph" w:customStyle="1" w:styleId="DHHStablecolhead">
    <w:name w:val="DHHS table col head"/>
    <w:uiPriority w:val="3"/>
    <w:qFormat/>
    <w:rsid w:val="00B24E19"/>
    <w:pPr>
      <w:spacing w:before="80" w:after="60"/>
    </w:pPr>
    <w:rPr>
      <w:rFonts w:ascii="Arial" w:hAnsi="Arial"/>
      <w:b/>
      <w:color w:val="FFFFFF" w:themeColor="background1"/>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TOCheadingreport">
    <w:name w:val="DHHS TOC heading report"/>
    <w:basedOn w:val="Heading1"/>
    <w:link w:val="DHHSTOCheadingreportChar"/>
    <w:uiPriority w:val="5"/>
    <w:rsid w:val="00E0374E"/>
    <w:pPr>
      <w:spacing w:before="0"/>
      <w:outlineLvl w:val="9"/>
    </w:pPr>
  </w:style>
  <w:style w:type="character" w:customStyle="1" w:styleId="DHHSTOCheadingreportChar">
    <w:name w:val="DHHS TOC heading report Char"/>
    <w:link w:val="DHHSTOCheadingreport"/>
    <w:uiPriority w:val="5"/>
    <w:rsid w:val="00E0374E"/>
    <w:rPr>
      <w:rFonts w:ascii="Arial" w:hAnsi="Arial"/>
      <w:bCs/>
      <w:color w:val="C5511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9850FF"/>
    <w:pPr>
      <w:numPr>
        <w:numId w:val="20"/>
      </w:numPr>
    </w:pPr>
  </w:style>
  <w:style w:type="paragraph" w:customStyle="1" w:styleId="DHHSnumberlowerroman">
    <w:name w:val="DHHS number lower roman"/>
    <w:basedOn w:val="DHHSbody"/>
    <w:uiPriority w:val="3"/>
    <w:rsid w:val="009850FF"/>
    <w:pPr>
      <w:numPr>
        <w:numId w:val="5"/>
      </w:numPr>
    </w:pPr>
  </w:style>
  <w:style w:type="paragraph" w:customStyle="1" w:styleId="DHHSnumberlowerromanindent">
    <w:name w:val="DHHS number lower roman indent"/>
    <w:basedOn w:val="DHHSbody"/>
    <w:uiPriority w:val="3"/>
    <w:rsid w:val="009850FF"/>
    <w:pPr>
      <w:numPr>
        <w:ilvl w:val="1"/>
        <w:numId w:val="5"/>
      </w:numPr>
    </w:pPr>
  </w:style>
  <w:style w:type="paragraph" w:customStyle="1" w:styleId="DHHSnumberdigitindent">
    <w:name w:val="DHHS number digit indent"/>
    <w:basedOn w:val="DHHSnumberloweralphaindent"/>
    <w:uiPriority w:val="3"/>
    <w:rsid w:val="009850FF"/>
    <w:pPr>
      <w:numPr>
        <w:numId w:val="3"/>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DHHSbodyafterbullets">
    <w:name w:val="DHHS body after bullets"/>
    <w:basedOn w:val="DHHSbody"/>
    <w:uiPriority w:val="11"/>
    <w:rsid w:val="008669BE"/>
    <w:pPr>
      <w:spacing w:before="120"/>
    </w:pPr>
  </w:style>
  <w:style w:type="paragraph" w:customStyle="1" w:styleId="DHHSbulletafternumbers1">
    <w:name w:val="DHHS bullet after numbers 1"/>
    <w:basedOn w:val="DHHSbody"/>
    <w:uiPriority w:val="4"/>
    <w:rsid w:val="009850FF"/>
    <w:pPr>
      <w:numPr>
        <w:ilvl w:val="2"/>
        <w:numId w:val="3"/>
      </w:numPr>
    </w:pPr>
  </w:style>
  <w:style w:type="paragraph" w:customStyle="1" w:styleId="DHHSbulletafternumbers2">
    <w:name w:val="DHHS bullet after numbers 2"/>
    <w:basedOn w:val="DHHSbody"/>
    <w:rsid w:val="009850FF"/>
    <w:pPr>
      <w:numPr>
        <w:ilvl w:val="3"/>
        <w:numId w:val="3"/>
      </w:numPr>
    </w:pPr>
  </w:style>
  <w:style w:type="paragraph" w:customStyle="1" w:styleId="DHHSquotebullet1">
    <w:name w:val="DHHS quote bullet 1"/>
    <w:basedOn w:val="DHHSquote"/>
    <w:rsid w:val="009850FF"/>
    <w:pPr>
      <w:numPr>
        <w:numId w:val="6"/>
      </w:numPr>
    </w:pPr>
  </w:style>
  <w:style w:type="paragraph" w:customStyle="1" w:styleId="DHHSquotebullet2">
    <w:name w:val="DHHS quote bullet 2"/>
    <w:basedOn w:val="DHHSquote"/>
    <w:rsid w:val="009850FF"/>
    <w:pPr>
      <w:numPr>
        <w:ilvl w:val="1"/>
        <w:numId w:val="6"/>
      </w:numPr>
    </w:pPr>
  </w:style>
  <w:style w:type="paragraph" w:customStyle="1" w:styleId="DHHStablebullet1">
    <w:name w:val="DHHS table bullet 1"/>
    <w:basedOn w:val="DHHStabletext"/>
    <w:uiPriority w:val="3"/>
    <w:qFormat/>
    <w:rsid w:val="009850FF"/>
    <w:pPr>
      <w:numPr>
        <w:numId w:val="7"/>
      </w:numPr>
    </w:pPr>
  </w:style>
  <w:style w:type="paragraph" w:customStyle="1" w:styleId="DHHStablebullet2">
    <w:name w:val="DHHS table bullet 2"/>
    <w:basedOn w:val="DHHStabletext"/>
    <w:uiPriority w:val="11"/>
    <w:rsid w:val="009850FF"/>
    <w:pPr>
      <w:numPr>
        <w:ilvl w:val="1"/>
        <w:numId w:val="7"/>
      </w:numPr>
    </w:pPr>
  </w:style>
  <w:style w:type="numbering" w:customStyle="1" w:styleId="ZZNumbersdigit">
    <w:name w:val="ZZ Numbers digit"/>
    <w:rsid w:val="009850FF"/>
    <w:pPr>
      <w:numPr>
        <w:numId w:val="3"/>
      </w:numPr>
    </w:pPr>
  </w:style>
  <w:style w:type="numbering" w:customStyle="1" w:styleId="ZZNumbersloweralpha">
    <w:name w:val="ZZ Numbers lower alpha"/>
    <w:basedOn w:val="NoList"/>
    <w:rsid w:val="009850FF"/>
    <w:pPr>
      <w:numPr>
        <w:numId w:val="4"/>
      </w:numPr>
    </w:pPr>
  </w:style>
  <w:style w:type="numbering" w:customStyle="1" w:styleId="ZZQuotebullets">
    <w:name w:val="ZZ Quote bullets"/>
    <w:basedOn w:val="ZZNumbersdigit"/>
    <w:rsid w:val="009850FF"/>
    <w:pPr>
      <w:numPr>
        <w:numId w:val="6"/>
      </w:numPr>
    </w:pPr>
  </w:style>
  <w:style w:type="numbering" w:customStyle="1" w:styleId="ZZNumberslowerroman">
    <w:name w:val="ZZ Numbers lower roman"/>
    <w:basedOn w:val="ZZQuotebullets"/>
    <w:rsid w:val="009850FF"/>
    <w:pPr>
      <w:numPr>
        <w:numId w:val="5"/>
      </w:numPr>
    </w:pPr>
  </w:style>
  <w:style w:type="numbering" w:customStyle="1" w:styleId="ZZTablebullets">
    <w:name w:val="ZZ Table bullets"/>
    <w:basedOn w:val="NoList"/>
    <w:rsid w:val="009850FF"/>
    <w:pPr>
      <w:numPr>
        <w:numId w:val="7"/>
      </w:numPr>
    </w:pPr>
  </w:style>
  <w:style w:type="character" w:customStyle="1" w:styleId="DHHSbodyChar">
    <w:name w:val="DHHS body Char"/>
    <w:basedOn w:val="DefaultParagraphFont"/>
    <w:link w:val="DHHSbody"/>
    <w:rsid w:val="006A18B6"/>
    <w:rPr>
      <w:rFonts w:ascii="Arial" w:eastAsia="Times" w:hAnsi="Arial"/>
      <w:lang w:eastAsia="en-US"/>
    </w:rPr>
  </w:style>
  <w:style w:type="paragraph" w:customStyle="1" w:styleId="paragraph">
    <w:name w:val="paragraph"/>
    <w:basedOn w:val="Normal"/>
    <w:rsid w:val="00E06100"/>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E06100"/>
  </w:style>
  <w:style w:type="character" w:customStyle="1" w:styleId="eop">
    <w:name w:val="eop"/>
    <w:basedOn w:val="DefaultParagraphFont"/>
    <w:rsid w:val="00E06100"/>
  </w:style>
  <w:style w:type="character" w:customStyle="1" w:styleId="scxw239273124">
    <w:name w:val="scxw239273124"/>
    <w:basedOn w:val="DefaultParagraphFont"/>
    <w:rsid w:val="00E06100"/>
  </w:style>
  <w:style w:type="paragraph" w:customStyle="1" w:styleId="ydpc3a7bb26yiv6509361865msonormal">
    <w:name w:val="ydpc3a7bb26yiv6509361865msonormal"/>
    <w:basedOn w:val="Normal"/>
    <w:rsid w:val="002D73EE"/>
    <w:pPr>
      <w:spacing w:before="100" w:beforeAutospacing="1" w:after="100" w:afterAutospacing="1"/>
    </w:pPr>
    <w:rPr>
      <w:rFonts w:ascii="Calibri" w:eastAsiaTheme="minorHAnsi" w:hAnsi="Calibri" w:cs="Calibri"/>
      <w:sz w:val="22"/>
      <w:szCs w:val="22"/>
      <w:lang w:eastAsia="en-AU"/>
    </w:rPr>
  </w:style>
  <w:style w:type="paragraph" w:customStyle="1" w:styleId="ydpe98e683yiv6166016951ydpc3a7bb26yiv6509361865msonormal">
    <w:name w:val="ydpe98e683yiv6166016951ydpc3a7bb26yiv6509361865msonormal"/>
    <w:basedOn w:val="Normal"/>
    <w:rsid w:val="00BA41FE"/>
    <w:pPr>
      <w:spacing w:before="100" w:beforeAutospacing="1" w:after="100" w:afterAutospacing="1"/>
    </w:pPr>
    <w:rPr>
      <w:rFonts w:ascii="Calibri" w:eastAsiaTheme="minorHAnsi" w:hAnsi="Calibri" w:cs="Calibri"/>
      <w:sz w:val="22"/>
      <w:szCs w:val="22"/>
      <w:lang w:eastAsia="en-AU"/>
    </w:rPr>
  </w:style>
  <w:style w:type="paragraph" w:styleId="BalloonText">
    <w:name w:val="Balloon Text"/>
    <w:basedOn w:val="Normal"/>
    <w:link w:val="BalloonTextChar"/>
    <w:uiPriority w:val="99"/>
    <w:semiHidden/>
    <w:unhideWhenUsed/>
    <w:rsid w:val="009D4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82F"/>
    <w:rPr>
      <w:rFonts w:ascii="Segoe UI" w:hAnsi="Segoe UI" w:cs="Segoe UI"/>
      <w:sz w:val="18"/>
      <w:szCs w:val="18"/>
      <w:lang w:eastAsia="en-US"/>
    </w:rPr>
  </w:style>
  <w:style w:type="paragraph" w:styleId="NormalWeb">
    <w:name w:val="Normal (Web)"/>
    <w:basedOn w:val="Normal"/>
    <w:uiPriority w:val="99"/>
    <w:semiHidden/>
    <w:unhideWhenUsed/>
    <w:rsid w:val="003E05C8"/>
    <w:rPr>
      <w:rFonts w:ascii="Calibri" w:eastAsiaTheme="minorHAnsi" w:hAnsi="Calibri" w:cs="Calibri"/>
      <w:sz w:val="22"/>
      <w:szCs w:val="22"/>
      <w:lang w:eastAsia="en-AU"/>
    </w:rPr>
  </w:style>
  <w:style w:type="character" w:styleId="Emphasis">
    <w:name w:val="Emphasis"/>
    <w:basedOn w:val="DefaultParagraphFont"/>
    <w:uiPriority w:val="20"/>
    <w:qFormat/>
    <w:rsid w:val="003E05C8"/>
    <w:rPr>
      <w:i/>
      <w:iCs/>
    </w:rPr>
  </w:style>
  <w:style w:type="character" w:styleId="CommentReference">
    <w:name w:val="annotation reference"/>
    <w:basedOn w:val="DefaultParagraphFont"/>
    <w:uiPriority w:val="99"/>
    <w:semiHidden/>
    <w:unhideWhenUsed/>
    <w:rsid w:val="003E05C8"/>
    <w:rPr>
      <w:sz w:val="16"/>
      <w:szCs w:val="16"/>
    </w:rPr>
  </w:style>
  <w:style w:type="paragraph" w:styleId="CommentText">
    <w:name w:val="annotation text"/>
    <w:basedOn w:val="Normal"/>
    <w:link w:val="CommentTextChar"/>
    <w:uiPriority w:val="99"/>
    <w:unhideWhenUsed/>
    <w:rsid w:val="003E05C8"/>
  </w:style>
  <w:style w:type="character" w:customStyle="1" w:styleId="CommentTextChar">
    <w:name w:val="Comment Text Char"/>
    <w:basedOn w:val="DefaultParagraphFont"/>
    <w:link w:val="CommentText"/>
    <w:uiPriority w:val="99"/>
    <w:rsid w:val="003E05C8"/>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3E05C8"/>
    <w:rPr>
      <w:b/>
      <w:bCs/>
    </w:rPr>
  </w:style>
  <w:style w:type="character" w:customStyle="1" w:styleId="CommentSubjectChar">
    <w:name w:val="Comment Subject Char"/>
    <w:basedOn w:val="CommentTextChar"/>
    <w:link w:val="CommentSubject"/>
    <w:uiPriority w:val="99"/>
    <w:semiHidden/>
    <w:rsid w:val="003E05C8"/>
    <w:rPr>
      <w:rFonts w:ascii="Cambria" w:hAnsi="Cambria"/>
      <w:b/>
      <w:bCs/>
      <w:lang w:eastAsia="en-US"/>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D575BB"/>
    <w:pPr>
      <w:ind w:left="720"/>
      <w:contextualSpacing/>
    </w:p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locked/>
    <w:rsid w:val="00691BCF"/>
    <w:rPr>
      <w:rFonts w:ascii="Cambria" w:hAnsi="Cambria"/>
      <w:lang w:eastAsia="en-US"/>
    </w:rPr>
  </w:style>
  <w:style w:type="paragraph" w:customStyle="1" w:styleId="MHRCbody">
    <w:name w:val="MHRC body"/>
    <w:qFormat/>
    <w:rsid w:val="00F8095B"/>
    <w:pPr>
      <w:spacing w:after="120" w:line="270" w:lineRule="atLeast"/>
    </w:pPr>
    <w:rPr>
      <w:rFonts w:ascii="Arial" w:eastAsia="Times" w:hAnsi="Arial"/>
      <w:lang w:eastAsia="en-US"/>
    </w:rPr>
  </w:style>
  <w:style w:type="paragraph" w:customStyle="1" w:styleId="MHRCbullet1">
    <w:name w:val="MHRC bullet 1"/>
    <w:basedOn w:val="MHRCbody"/>
    <w:qFormat/>
    <w:rsid w:val="00AC0C7B"/>
    <w:pPr>
      <w:spacing w:after="40"/>
      <w:ind w:left="568" w:hanging="284"/>
    </w:pPr>
  </w:style>
  <w:style w:type="paragraph" w:customStyle="1" w:styleId="MHRCbullet2">
    <w:name w:val="MHRC bullet 2"/>
    <w:basedOn w:val="MHRCbody"/>
    <w:uiPriority w:val="2"/>
    <w:qFormat/>
    <w:rsid w:val="00AC0C7B"/>
    <w:pPr>
      <w:spacing w:after="40"/>
      <w:ind w:left="851" w:hanging="283"/>
    </w:pPr>
  </w:style>
  <w:style w:type="character" w:customStyle="1" w:styleId="HeaderChar">
    <w:name w:val="Header Char"/>
    <w:basedOn w:val="DefaultParagraphFont"/>
    <w:link w:val="Header"/>
    <w:uiPriority w:val="99"/>
    <w:rsid w:val="0034743A"/>
    <w:rPr>
      <w:rFonts w:ascii="Arial" w:hAnsi="Arial" w:cs="Arial"/>
      <w:sz w:val="18"/>
      <w:szCs w:val="18"/>
      <w:lang w:eastAsia="en-US"/>
    </w:rPr>
  </w:style>
  <w:style w:type="character" w:customStyle="1" w:styleId="FooterChar">
    <w:name w:val="Footer Char"/>
    <w:basedOn w:val="DefaultParagraphFont"/>
    <w:link w:val="Footer"/>
    <w:uiPriority w:val="99"/>
    <w:rsid w:val="0034743A"/>
    <w:rPr>
      <w:rFonts w:ascii="Arial" w:hAnsi="Arial" w:cs="Arial"/>
      <w:sz w:val="18"/>
      <w:szCs w:val="18"/>
      <w:lang w:eastAsia="en-US"/>
    </w:rPr>
  </w:style>
  <w:style w:type="paragraph" w:customStyle="1" w:styleId="DHHSbullet1lastline">
    <w:name w:val="DHHS bullet 1 last line"/>
    <w:basedOn w:val="DHHSbullet1"/>
    <w:qFormat/>
    <w:rsid w:val="00387B76"/>
    <w:pPr>
      <w:numPr>
        <w:numId w:val="0"/>
      </w:numPr>
      <w:spacing w:after="120"/>
      <w:ind w:left="284" w:hanging="284"/>
    </w:pPr>
  </w:style>
  <w:style w:type="paragraph" w:customStyle="1" w:styleId="DHHSbullet2lastline">
    <w:name w:val="DHHS bullet 2 last line"/>
    <w:basedOn w:val="DHHSbullet2"/>
    <w:uiPriority w:val="2"/>
    <w:qFormat/>
    <w:rsid w:val="003568ED"/>
    <w:pPr>
      <w:numPr>
        <w:ilvl w:val="0"/>
        <w:numId w:val="0"/>
      </w:numPr>
      <w:spacing w:after="120"/>
      <w:ind w:left="567" w:hanging="283"/>
    </w:pPr>
  </w:style>
  <w:style w:type="paragraph" w:customStyle="1" w:styleId="DHHStablebullet">
    <w:name w:val="DHHS table bullet"/>
    <w:basedOn w:val="DHHStabletext"/>
    <w:uiPriority w:val="3"/>
    <w:qFormat/>
    <w:rsid w:val="003568ED"/>
    <w:pPr>
      <w:ind w:left="227" w:hanging="227"/>
    </w:pPr>
  </w:style>
  <w:style w:type="paragraph" w:customStyle="1" w:styleId="DHHSbulletindent">
    <w:name w:val="DHHS bullet indent"/>
    <w:basedOn w:val="DHHSbody"/>
    <w:uiPriority w:val="4"/>
    <w:rsid w:val="003568ED"/>
    <w:pPr>
      <w:spacing w:after="40"/>
      <w:ind w:left="680" w:hanging="283"/>
    </w:pPr>
  </w:style>
  <w:style w:type="paragraph" w:customStyle="1" w:styleId="DHHSbulletindentlastline">
    <w:name w:val="DHHS bullet indent last line"/>
    <w:basedOn w:val="DHHSbody"/>
    <w:uiPriority w:val="4"/>
    <w:rsid w:val="003568ED"/>
    <w:pPr>
      <w:ind w:left="680" w:hanging="283"/>
    </w:pPr>
  </w:style>
  <w:style w:type="paragraph" w:customStyle="1" w:styleId="Heading1numbered">
    <w:name w:val="Heading 1 numbered"/>
    <w:basedOn w:val="Heading1"/>
    <w:next w:val="NormalIndent"/>
    <w:uiPriority w:val="8"/>
    <w:qFormat/>
    <w:rsid w:val="003568ED"/>
    <w:pPr>
      <w:numPr>
        <w:ilvl w:val="2"/>
        <w:numId w:val="16"/>
      </w:numPr>
      <w:tabs>
        <w:tab w:val="clear" w:pos="792"/>
        <w:tab w:val="num" w:pos="397"/>
      </w:tabs>
      <w:spacing w:before="600" w:after="240" w:line="264" w:lineRule="auto"/>
    </w:pPr>
    <w:rPr>
      <w:rFonts w:eastAsia="MS PGothic" w:cs="Arial"/>
      <w:b/>
      <w:spacing w:val="-1"/>
      <w:sz w:val="36"/>
      <w:szCs w:val="28"/>
      <w:lang w:eastAsia="en-AU"/>
    </w:rPr>
  </w:style>
  <w:style w:type="paragraph" w:customStyle="1" w:styleId="Heading2numbered">
    <w:name w:val="Heading 2 numbered"/>
    <w:basedOn w:val="Heading2"/>
    <w:next w:val="NormalIndent"/>
    <w:uiPriority w:val="8"/>
    <w:qFormat/>
    <w:rsid w:val="003568ED"/>
    <w:pPr>
      <w:keepNext w:val="0"/>
      <w:keepLines w:val="0"/>
      <w:numPr>
        <w:ilvl w:val="3"/>
        <w:numId w:val="16"/>
      </w:numPr>
      <w:tabs>
        <w:tab w:val="clear" w:pos="792"/>
      </w:tabs>
      <w:spacing w:before="280" w:after="240" w:line="264" w:lineRule="auto"/>
    </w:pPr>
    <w:rPr>
      <w:rFonts w:eastAsia="Arial" w:cs="Arial"/>
      <w:color w:val="365F91"/>
      <w:spacing w:val="2"/>
      <w:szCs w:val="22"/>
      <w:lang w:eastAsia="en-AU"/>
    </w:rPr>
  </w:style>
  <w:style w:type="paragraph" w:customStyle="1" w:styleId="Heading3numbered">
    <w:name w:val="Heading 3 numbered"/>
    <w:basedOn w:val="Heading3"/>
    <w:next w:val="NormalIndent"/>
    <w:uiPriority w:val="8"/>
    <w:qFormat/>
    <w:rsid w:val="003568ED"/>
    <w:pPr>
      <w:numPr>
        <w:ilvl w:val="4"/>
        <w:numId w:val="16"/>
      </w:numPr>
      <w:tabs>
        <w:tab w:val="clear" w:pos="792"/>
        <w:tab w:val="num" w:pos="397"/>
      </w:tabs>
      <w:spacing w:before="240" w:line="264" w:lineRule="auto"/>
    </w:pPr>
    <w:rPr>
      <w:rFonts w:eastAsia="MS PGothic" w:cs="Arial"/>
      <w:color w:val="4F81BD"/>
      <w:spacing w:val="2"/>
      <w:sz w:val="20"/>
      <w:szCs w:val="22"/>
      <w:lang w:eastAsia="en-AU"/>
    </w:rPr>
  </w:style>
  <w:style w:type="paragraph" w:customStyle="1" w:styleId="Heading4numbered">
    <w:name w:val="Heading 4 numbered"/>
    <w:basedOn w:val="Heading4"/>
    <w:next w:val="NormalIndent"/>
    <w:uiPriority w:val="8"/>
    <w:qFormat/>
    <w:rsid w:val="003568ED"/>
    <w:pPr>
      <w:numPr>
        <w:ilvl w:val="5"/>
        <w:numId w:val="16"/>
      </w:numPr>
      <w:tabs>
        <w:tab w:val="clear" w:pos="792"/>
      </w:tabs>
      <w:spacing w:before="200" w:after="240" w:line="264" w:lineRule="auto"/>
    </w:pPr>
    <w:rPr>
      <w:rFonts w:eastAsia="MS PGothic" w:cs="Arial"/>
      <w:i/>
      <w:iCs/>
      <w:color w:val="53565A"/>
      <w:spacing w:val="2"/>
      <w:lang w:eastAsia="en-AU"/>
    </w:rPr>
  </w:style>
  <w:style w:type="paragraph" w:customStyle="1" w:styleId="Listnumindent2">
    <w:name w:val="List num indent 2"/>
    <w:basedOn w:val="Normal"/>
    <w:uiPriority w:val="9"/>
    <w:rsid w:val="003568ED"/>
    <w:pPr>
      <w:numPr>
        <w:ilvl w:val="7"/>
        <w:numId w:val="16"/>
      </w:numPr>
      <w:tabs>
        <w:tab w:val="clear" w:pos="1800"/>
      </w:tabs>
      <w:spacing w:before="100" w:after="100" w:line="264" w:lineRule="auto"/>
      <w:contextualSpacing/>
    </w:pPr>
    <w:rPr>
      <w:rFonts w:ascii="Arial" w:eastAsia="MS PGothic" w:hAnsi="Arial" w:cs="Arial"/>
      <w:spacing w:val="2"/>
      <w:lang w:eastAsia="en-AU"/>
    </w:rPr>
  </w:style>
  <w:style w:type="paragraph" w:customStyle="1" w:styleId="Listnumindent">
    <w:name w:val="List num indent"/>
    <w:basedOn w:val="Normal"/>
    <w:uiPriority w:val="9"/>
    <w:qFormat/>
    <w:rsid w:val="003568ED"/>
    <w:pPr>
      <w:numPr>
        <w:ilvl w:val="6"/>
        <w:numId w:val="16"/>
      </w:numPr>
      <w:tabs>
        <w:tab w:val="clear" w:pos="1296"/>
      </w:tabs>
      <w:spacing w:before="100" w:after="100" w:line="264" w:lineRule="auto"/>
    </w:pPr>
    <w:rPr>
      <w:rFonts w:ascii="Arial" w:eastAsia="MS PGothic" w:hAnsi="Arial" w:cs="Arial"/>
      <w:spacing w:val="2"/>
      <w:lang w:eastAsia="en-AU"/>
    </w:rPr>
  </w:style>
  <w:style w:type="paragraph" w:customStyle="1" w:styleId="Listnum">
    <w:name w:val="List num"/>
    <w:basedOn w:val="Normal"/>
    <w:uiPriority w:val="1"/>
    <w:qFormat/>
    <w:rsid w:val="00387B76"/>
    <w:pPr>
      <w:numPr>
        <w:numId w:val="16"/>
      </w:numPr>
      <w:tabs>
        <w:tab w:val="clear" w:pos="360"/>
        <w:tab w:val="num" w:pos="397"/>
      </w:tabs>
      <w:spacing w:before="160" w:after="100" w:line="264" w:lineRule="auto"/>
    </w:pPr>
    <w:rPr>
      <w:rFonts w:ascii="Arial" w:eastAsia="MS PGothic" w:hAnsi="Arial" w:cs="Arial"/>
      <w:spacing w:val="2"/>
      <w:lang w:eastAsia="en-AU"/>
    </w:rPr>
  </w:style>
  <w:style w:type="paragraph" w:customStyle="1" w:styleId="Listnum2">
    <w:name w:val="List num 2"/>
    <w:basedOn w:val="Normal"/>
    <w:uiPriority w:val="1"/>
    <w:qFormat/>
    <w:rsid w:val="003568ED"/>
    <w:pPr>
      <w:numPr>
        <w:ilvl w:val="1"/>
        <w:numId w:val="16"/>
      </w:numPr>
      <w:tabs>
        <w:tab w:val="clear" w:pos="864"/>
        <w:tab w:val="num" w:pos="794"/>
      </w:tabs>
      <w:spacing w:before="160" w:after="100" w:line="264" w:lineRule="auto"/>
    </w:pPr>
    <w:rPr>
      <w:rFonts w:ascii="Arial" w:eastAsia="MS PGothic" w:hAnsi="Arial" w:cs="Arial"/>
      <w:spacing w:val="2"/>
      <w:lang w:eastAsia="en-AU"/>
    </w:rPr>
  </w:style>
  <w:style w:type="paragraph" w:customStyle="1" w:styleId="Numparaindent">
    <w:name w:val="Num para indent"/>
    <w:basedOn w:val="Normal"/>
    <w:uiPriority w:val="9"/>
    <w:rsid w:val="003568ED"/>
    <w:pPr>
      <w:numPr>
        <w:ilvl w:val="8"/>
        <w:numId w:val="16"/>
      </w:numPr>
      <w:tabs>
        <w:tab w:val="clear" w:pos="1296"/>
      </w:tabs>
      <w:spacing w:before="160" w:after="100" w:line="264" w:lineRule="auto"/>
      <w:contextualSpacing/>
    </w:pPr>
    <w:rPr>
      <w:rFonts w:ascii="Arial" w:eastAsia="MS PGothic" w:hAnsi="Arial" w:cs="Arial"/>
      <w:spacing w:val="2"/>
      <w:lang w:eastAsia="en-AU"/>
    </w:rPr>
  </w:style>
  <w:style w:type="paragraph" w:styleId="NormalIndent">
    <w:name w:val="Normal Indent"/>
    <w:basedOn w:val="Normal"/>
    <w:uiPriority w:val="99"/>
    <w:semiHidden/>
    <w:unhideWhenUsed/>
    <w:rsid w:val="003568ED"/>
    <w:pPr>
      <w:ind w:left="720"/>
    </w:pPr>
  </w:style>
  <w:style w:type="character" w:customStyle="1" w:styleId="Purple">
    <w:name w:val="Purple"/>
    <w:basedOn w:val="DefaultParagraphFont"/>
    <w:rsid w:val="002F32AB"/>
    <w:rPr>
      <w:color w:val="990099"/>
    </w:rPr>
  </w:style>
  <w:style w:type="paragraph" w:styleId="Revision">
    <w:name w:val="Revision"/>
    <w:hidden/>
    <w:uiPriority w:val="99"/>
    <w:rsid w:val="00683F30"/>
    <w:rPr>
      <w:rFonts w:ascii="Cambria" w:hAnsi="Cambria"/>
      <w:lang w:eastAsia="en-US"/>
    </w:rPr>
  </w:style>
  <w:style w:type="character" w:customStyle="1" w:styleId="FootnoteTextChar">
    <w:name w:val="Footnote Text Char"/>
    <w:link w:val="FootnoteText"/>
    <w:uiPriority w:val="99"/>
    <w:rsid w:val="00310E1D"/>
    <w:rPr>
      <w:rFonts w:ascii="Arial" w:eastAsia="MS Gothic" w:hAnsi="Arial" w:cs="Arial"/>
      <w:sz w:val="16"/>
      <w:szCs w:val="16"/>
      <w:lang w:eastAsia="en-US"/>
    </w:rPr>
  </w:style>
  <w:style w:type="character" w:styleId="UnresolvedMention">
    <w:name w:val="Unresolved Mention"/>
    <w:basedOn w:val="DefaultParagraphFont"/>
    <w:uiPriority w:val="99"/>
    <w:unhideWhenUsed/>
    <w:rsid w:val="00A2273F"/>
    <w:rPr>
      <w:color w:val="605E5C"/>
      <w:shd w:val="clear" w:color="auto" w:fill="E1DFDD"/>
    </w:rPr>
  </w:style>
  <w:style w:type="character" w:customStyle="1" w:styleId="normaltextrun1">
    <w:name w:val="normaltextrun1"/>
    <w:basedOn w:val="DefaultParagraphFont"/>
    <w:rsid w:val="002B3A3A"/>
  </w:style>
  <w:style w:type="paragraph" w:customStyle="1" w:styleId="Subparagraphtext">
    <w:name w:val="Sub paragraph text"/>
    <w:basedOn w:val="ListParagraph"/>
    <w:link w:val="SubparagraphtextChar"/>
    <w:qFormat/>
    <w:rsid w:val="001A2DD0"/>
    <w:pPr>
      <w:numPr>
        <w:numId w:val="29"/>
      </w:numPr>
      <w:overflowPunct w:val="0"/>
      <w:autoSpaceDE w:val="0"/>
      <w:autoSpaceDN w:val="0"/>
      <w:adjustRightInd w:val="0"/>
      <w:spacing w:after="120"/>
      <w:contextualSpacing w:val="0"/>
      <w:jc w:val="both"/>
      <w:textAlignment w:val="baseline"/>
    </w:pPr>
    <w:rPr>
      <w:rFonts w:asciiTheme="minorHAnsi" w:hAnsiTheme="minorHAnsi" w:cstheme="minorBidi"/>
      <w:sz w:val="24"/>
      <w:szCs w:val="24"/>
    </w:rPr>
  </w:style>
  <w:style w:type="character" w:customStyle="1" w:styleId="SubparagraphtextChar">
    <w:name w:val="Sub paragraph text Char"/>
    <w:basedOn w:val="DefaultParagraphFont"/>
    <w:link w:val="Subparagraphtext"/>
    <w:rsid w:val="001A2DD0"/>
    <w:rPr>
      <w:rFonts w:asciiTheme="minorHAnsi" w:hAnsiTheme="minorHAnsi" w:cstheme="minorBidi"/>
      <w:sz w:val="24"/>
      <w:szCs w:val="24"/>
      <w:lang w:eastAsia="en-US"/>
    </w:rPr>
  </w:style>
  <w:style w:type="table" w:customStyle="1" w:styleId="DTFtexttable1">
    <w:name w:val="DTF text table1"/>
    <w:basedOn w:val="TableGrid"/>
    <w:uiPriority w:val="99"/>
    <w:rsid w:val="00AB3BDF"/>
    <w:pPr>
      <w:spacing w:before="30" w:after="30" w:line="264" w:lineRule="auto"/>
    </w:pPr>
    <w:rPr>
      <w:rFonts w:eastAsia="Arial"/>
      <w:spacing w:val="2"/>
      <w:sz w:val="17"/>
      <w:szCs w:val="21"/>
      <w:lang w:eastAsia="en-US"/>
    </w:rPr>
    <w:tblPr>
      <w:tblStyleRowBandSize w:val="1"/>
      <w:tblStyleColBandSize w:val="1"/>
      <w:tblBorders>
        <w:top w:val="none" w:sz="0" w:space="0" w:color="auto"/>
        <w:left w:val="none" w:sz="0" w:space="0" w:color="auto"/>
        <w:bottom w:val="single" w:sz="12" w:space="0" w:color="0063A6"/>
        <w:right w:val="none" w:sz="0" w:space="0" w:color="auto"/>
        <w:insideH w:val="none" w:sz="0" w:space="0" w:color="auto"/>
        <w:insideV w:val="none" w:sz="0" w:space="0" w:color="auto"/>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FFFFFF"/>
      </w:rPr>
      <w:tblPr/>
      <w:tcPr>
        <w:shd w:val="clear" w:color="auto" w:fill="0063A6"/>
        <w:vAlign w:val="bottom"/>
      </w:tcPr>
    </w:tblStylePr>
    <w:tblStylePr w:type="lastRow">
      <w:rPr>
        <w:b/>
      </w:rPr>
      <w:tblPr/>
      <w:tcPr>
        <w:tcBorders>
          <w:top w:val="single" w:sz="6" w:space="0" w:color="0063A6"/>
          <w:left w:val="nil"/>
          <w:bottom w:val="single" w:sz="12" w:space="0" w:color="0063A6"/>
          <w:right w:val="nil"/>
          <w:insideV w:val="nil"/>
        </w:tcBorders>
      </w:tcPr>
    </w:tblStylePr>
    <w:tblStylePr w:type="firstCol">
      <w:pPr>
        <w:jc w:val="left"/>
      </w:pPr>
      <w:tblPr/>
      <w:tcPr>
        <w:shd w:val="clear" w:color="auto" w:fill="E3EBF4"/>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xmsonormal">
    <w:name w:val="x_msonormal"/>
    <w:basedOn w:val="Normal"/>
    <w:rsid w:val="00A820F2"/>
    <w:rPr>
      <w:rFonts w:ascii="Calibri" w:eastAsiaTheme="minorHAnsi" w:hAnsi="Calibri" w:cs="Calibri"/>
      <w:sz w:val="22"/>
      <w:szCs w:val="22"/>
      <w:lang w:eastAsia="en-AU"/>
    </w:rPr>
  </w:style>
  <w:style w:type="paragraph" w:customStyle="1" w:styleId="EmptyLayoutCell">
    <w:name w:val="EmptyLayoutCell"/>
    <w:basedOn w:val="Normal"/>
    <w:rsid w:val="00A820F2"/>
    <w:rPr>
      <w:rFonts w:ascii="Times New Roman" w:hAnsi="Times New Roman"/>
      <w:sz w:val="2"/>
      <w:lang w:val="en-US"/>
    </w:rPr>
  </w:style>
  <w:style w:type="character" w:customStyle="1" w:styleId="superscript">
    <w:name w:val="superscript"/>
    <w:basedOn w:val="DefaultParagraphFont"/>
    <w:rsid w:val="00A820F2"/>
  </w:style>
  <w:style w:type="character" w:styleId="Mention">
    <w:name w:val="Mention"/>
    <w:basedOn w:val="DefaultParagraphFont"/>
    <w:uiPriority w:val="99"/>
    <w:unhideWhenUsed/>
    <w:rsid w:val="00E44E67"/>
    <w:rPr>
      <w:color w:val="2B579A"/>
      <w:shd w:val="clear" w:color="auto" w:fill="E1DFDD"/>
    </w:rPr>
  </w:style>
  <w:style w:type="numbering" w:customStyle="1" w:styleId="Numbers">
    <w:name w:val="Numbers"/>
    <w:basedOn w:val="NoList"/>
    <w:uiPriority w:val="99"/>
    <w:rsid w:val="00D8296B"/>
    <w:pPr>
      <w:numPr>
        <w:numId w:val="34"/>
      </w:numPr>
    </w:pPr>
  </w:style>
  <w:style w:type="paragraph" w:styleId="Caption">
    <w:name w:val="caption"/>
    <w:basedOn w:val="Normal"/>
    <w:next w:val="Normal"/>
    <w:uiPriority w:val="35"/>
    <w:unhideWhenUsed/>
    <w:qFormat/>
    <w:rsid w:val="001960A3"/>
    <w:pPr>
      <w:spacing w:after="200"/>
    </w:pPr>
    <w:rPr>
      <w:i/>
      <w:iCs/>
      <w:color w:val="44546A" w:themeColor="text2"/>
      <w:sz w:val="18"/>
      <w:szCs w:val="18"/>
    </w:rPr>
  </w:style>
  <w:style w:type="table" w:styleId="TableGridLight">
    <w:name w:val="Grid Table Light"/>
    <w:basedOn w:val="TableNormal"/>
    <w:uiPriority w:val="40"/>
    <w:rsid w:val="00A016E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MentalhealthARtablestyle">
    <w:name w:val="Mental health AR table style"/>
    <w:basedOn w:val="TableNormal"/>
    <w:uiPriority w:val="99"/>
    <w:rsid w:val="0073664C"/>
    <w:rPr>
      <w:rFonts w:ascii="Arial" w:hAnsi="Arial"/>
    </w:rPr>
    <w:tblPr>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Pr>
    <w:tcPr>
      <w:vAlign w:val="center"/>
    </w:tcPr>
    <w:tblStylePr w:type="firstRow">
      <w:rPr>
        <w:rFonts w:ascii="Arial" w:hAnsi="Arial"/>
        <w:b/>
        <w:color w:val="FFFFFF" w:themeColor="background1"/>
        <w:sz w:val="20"/>
      </w:rPr>
      <w:tblPr/>
      <w:tcPr>
        <w:tcBorders>
          <w:top w:val="single" w:sz="4" w:space="0" w:color="004EA8"/>
          <w:left w:val="single" w:sz="4" w:space="0" w:color="004EA8"/>
          <w:bottom w:val="single" w:sz="4" w:space="0" w:color="004EA8"/>
          <w:right w:val="single" w:sz="4" w:space="0" w:color="004EA8"/>
          <w:insideH w:val="single" w:sz="4" w:space="0" w:color="004EA8"/>
          <w:insideV w:val="single" w:sz="4" w:space="0" w:color="004EA8"/>
        </w:tcBorders>
        <w:shd w:val="clear" w:color="auto" w:fill="004EA8"/>
      </w:tcPr>
    </w:tblStylePr>
  </w:style>
  <w:style w:type="paragraph" w:customStyle="1" w:styleId="Heading6MHAR">
    <w:name w:val="Heading 6 MHAR"/>
    <w:basedOn w:val="Heading4"/>
    <w:link w:val="Heading6MHARChar"/>
    <w:qFormat/>
    <w:rsid w:val="00C00690"/>
    <w:rPr>
      <w:i/>
      <w:iCs/>
      <w:color w:val="000000" w:themeColor="text1"/>
      <w:sz w:val="20"/>
    </w:rPr>
  </w:style>
  <w:style w:type="character" w:customStyle="1" w:styleId="Heading6MHARChar">
    <w:name w:val="Heading 6 MHAR Char"/>
    <w:basedOn w:val="Heading4Char"/>
    <w:link w:val="Heading6MHAR"/>
    <w:rsid w:val="00C00690"/>
    <w:rPr>
      <w:rFonts w:ascii="Arial" w:eastAsia="MS Mincho" w:hAnsi="Arial"/>
      <w:b/>
      <w:bCs/>
      <w:i/>
      <w:iCs/>
      <w:color w:val="000000" w:themeColor="text1"/>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0945">
      <w:bodyDiv w:val="1"/>
      <w:marLeft w:val="0"/>
      <w:marRight w:val="0"/>
      <w:marTop w:val="0"/>
      <w:marBottom w:val="0"/>
      <w:divBdr>
        <w:top w:val="none" w:sz="0" w:space="0" w:color="auto"/>
        <w:left w:val="none" w:sz="0" w:space="0" w:color="auto"/>
        <w:bottom w:val="none" w:sz="0" w:space="0" w:color="auto"/>
        <w:right w:val="none" w:sz="0" w:space="0" w:color="auto"/>
      </w:divBdr>
    </w:div>
    <w:div w:id="32006406">
      <w:bodyDiv w:val="1"/>
      <w:marLeft w:val="0"/>
      <w:marRight w:val="0"/>
      <w:marTop w:val="0"/>
      <w:marBottom w:val="0"/>
      <w:divBdr>
        <w:top w:val="none" w:sz="0" w:space="0" w:color="auto"/>
        <w:left w:val="none" w:sz="0" w:space="0" w:color="auto"/>
        <w:bottom w:val="none" w:sz="0" w:space="0" w:color="auto"/>
        <w:right w:val="none" w:sz="0" w:space="0" w:color="auto"/>
      </w:divBdr>
    </w:div>
    <w:div w:id="34737150">
      <w:bodyDiv w:val="1"/>
      <w:marLeft w:val="0"/>
      <w:marRight w:val="0"/>
      <w:marTop w:val="0"/>
      <w:marBottom w:val="0"/>
      <w:divBdr>
        <w:top w:val="none" w:sz="0" w:space="0" w:color="auto"/>
        <w:left w:val="none" w:sz="0" w:space="0" w:color="auto"/>
        <w:bottom w:val="none" w:sz="0" w:space="0" w:color="auto"/>
        <w:right w:val="none" w:sz="0" w:space="0" w:color="auto"/>
      </w:divBdr>
    </w:div>
    <w:div w:id="43137273">
      <w:bodyDiv w:val="1"/>
      <w:marLeft w:val="0"/>
      <w:marRight w:val="0"/>
      <w:marTop w:val="0"/>
      <w:marBottom w:val="0"/>
      <w:divBdr>
        <w:top w:val="none" w:sz="0" w:space="0" w:color="auto"/>
        <w:left w:val="none" w:sz="0" w:space="0" w:color="auto"/>
        <w:bottom w:val="none" w:sz="0" w:space="0" w:color="auto"/>
        <w:right w:val="none" w:sz="0" w:space="0" w:color="auto"/>
      </w:divBdr>
    </w:div>
    <w:div w:id="59521303">
      <w:bodyDiv w:val="1"/>
      <w:marLeft w:val="0"/>
      <w:marRight w:val="0"/>
      <w:marTop w:val="0"/>
      <w:marBottom w:val="0"/>
      <w:divBdr>
        <w:top w:val="none" w:sz="0" w:space="0" w:color="auto"/>
        <w:left w:val="none" w:sz="0" w:space="0" w:color="auto"/>
        <w:bottom w:val="none" w:sz="0" w:space="0" w:color="auto"/>
        <w:right w:val="none" w:sz="0" w:space="0" w:color="auto"/>
      </w:divBdr>
    </w:div>
    <w:div w:id="130444121">
      <w:bodyDiv w:val="1"/>
      <w:marLeft w:val="0"/>
      <w:marRight w:val="0"/>
      <w:marTop w:val="0"/>
      <w:marBottom w:val="0"/>
      <w:divBdr>
        <w:top w:val="none" w:sz="0" w:space="0" w:color="auto"/>
        <w:left w:val="none" w:sz="0" w:space="0" w:color="auto"/>
        <w:bottom w:val="none" w:sz="0" w:space="0" w:color="auto"/>
        <w:right w:val="none" w:sz="0" w:space="0" w:color="auto"/>
      </w:divBdr>
    </w:div>
    <w:div w:id="216090018">
      <w:bodyDiv w:val="1"/>
      <w:marLeft w:val="0"/>
      <w:marRight w:val="0"/>
      <w:marTop w:val="0"/>
      <w:marBottom w:val="0"/>
      <w:divBdr>
        <w:top w:val="none" w:sz="0" w:space="0" w:color="auto"/>
        <w:left w:val="none" w:sz="0" w:space="0" w:color="auto"/>
        <w:bottom w:val="none" w:sz="0" w:space="0" w:color="auto"/>
        <w:right w:val="none" w:sz="0" w:space="0" w:color="auto"/>
      </w:divBdr>
    </w:div>
    <w:div w:id="230697264">
      <w:bodyDiv w:val="1"/>
      <w:marLeft w:val="0"/>
      <w:marRight w:val="0"/>
      <w:marTop w:val="0"/>
      <w:marBottom w:val="0"/>
      <w:divBdr>
        <w:top w:val="none" w:sz="0" w:space="0" w:color="auto"/>
        <w:left w:val="none" w:sz="0" w:space="0" w:color="auto"/>
        <w:bottom w:val="none" w:sz="0" w:space="0" w:color="auto"/>
        <w:right w:val="none" w:sz="0" w:space="0" w:color="auto"/>
      </w:divBdr>
    </w:div>
    <w:div w:id="307365200">
      <w:bodyDiv w:val="1"/>
      <w:marLeft w:val="0"/>
      <w:marRight w:val="0"/>
      <w:marTop w:val="0"/>
      <w:marBottom w:val="0"/>
      <w:divBdr>
        <w:top w:val="none" w:sz="0" w:space="0" w:color="auto"/>
        <w:left w:val="none" w:sz="0" w:space="0" w:color="auto"/>
        <w:bottom w:val="none" w:sz="0" w:space="0" w:color="auto"/>
        <w:right w:val="none" w:sz="0" w:space="0" w:color="auto"/>
      </w:divBdr>
    </w:div>
    <w:div w:id="323440510">
      <w:bodyDiv w:val="1"/>
      <w:marLeft w:val="0"/>
      <w:marRight w:val="0"/>
      <w:marTop w:val="0"/>
      <w:marBottom w:val="0"/>
      <w:divBdr>
        <w:top w:val="none" w:sz="0" w:space="0" w:color="auto"/>
        <w:left w:val="none" w:sz="0" w:space="0" w:color="auto"/>
        <w:bottom w:val="none" w:sz="0" w:space="0" w:color="auto"/>
        <w:right w:val="none" w:sz="0" w:space="0" w:color="auto"/>
      </w:divBdr>
    </w:div>
    <w:div w:id="375204326">
      <w:bodyDiv w:val="1"/>
      <w:marLeft w:val="0"/>
      <w:marRight w:val="0"/>
      <w:marTop w:val="0"/>
      <w:marBottom w:val="0"/>
      <w:divBdr>
        <w:top w:val="none" w:sz="0" w:space="0" w:color="auto"/>
        <w:left w:val="none" w:sz="0" w:space="0" w:color="auto"/>
        <w:bottom w:val="none" w:sz="0" w:space="0" w:color="auto"/>
        <w:right w:val="none" w:sz="0" w:space="0" w:color="auto"/>
      </w:divBdr>
    </w:div>
    <w:div w:id="376011885">
      <w:bodyDiv w:val="1"/>
      <w:marLeft w:val="0"/>
      <w:marRight w:val="0"/>
      <w:marTop w:val="0"/>
      <w:marBottom w:val="0"/>
      <w:divBdr>
        <w:top w:val="none" w:sz="0" w:space="0" w:color="auto"/>
        <w:left w:val="none" w:sz="0" w:space="0" w:color="auto"/>
        <w:bottom w:val="none" w:sz="0" w:space="0" w:color="auto"/>
        <w:right w:val="none" w:sz="0" w:space="0" w:color="auto"/>
      </w:divBdr>
    </w:div>
    <w:div w:id="432827089">
      <w:bodyDiv w:val="1"/>
      <w:marLeft w:val="0"/>
      <w:marRight w:val="0"/>
      <w:marTop w:val="0"/>
      <w:marBottom w:val="0"/>
      <w:divBdr>
        <w:top w:val="none" w:sz="0" w:space="0" w:color="auto"/>
        <w:left w:val="none" w:sz="0" w:space="0" w:color="auto"/>
        <w:bottom w:val="none" w:sz="0" w:space="0" w:color="auto"/>
        <w:right w:val="none" w:sz="0" w:space="0" w:color="auto"/>
      </w:divBdr>
    </w:div>
    <w:div w:id="469788722">
      <w:bodyDiv w:val="1"/>
      <w:marLeft w:val="0"/>
      <w:marRight w:val="0"/>
      <w:marTop w:val="0"/>
      <w:marBottom w:val="0"/>
      <w:divBdr>
        <w:top w:val="none" w:sz="0" w:space="0" w:color="auto"/>
        <w:left w:val="none" w:sz="0" w:space="0" w:color="auto"/>
        <w:bottom w:val="none" w:sz="0" w:space="0" w:color="auto"/>
        <w:right w:val="none" w:sz="0" w:space="0" w:color="auto"/>
      </w:divBdr>
    </w:div>
    <w:div w:id="558324755">
      <w:bodyDiv w:val="1"/>
      <w:marLeft w:val="0"/>
      <w:marRight w:val="0"/>
      <w:marTop w:val="0"/>
      <w:marBottom w:val="0"/>
      <w:divBdr>
        <w:top w:val="none" w:sz="0" w:space="0" w:color="auto"/>
        <w:left w:val="none" w:sz="0" w:space="0" w:color="auto"/>
        <w:bottom w:val="none" w:sz="0" w:space="0" w:color="auto"/>
        <w:right w:val="none" w:sz="0" w:space="0" w:color="auto"/>
      </w:divBdr>
    </w:div>
    <w:div w:id="634919633">
      <w:bodyDiv w:val="1"/>
      <w:marLeft w:val="0"/>
      <w:marRight w:val="0"/>
      <w:marTop w:val="0"/>
      <w:marBottom w:val="0"/>
      <w:divBdr>
        <w:top w:val="none" w:sz="0" w:space="0" w:color="auto"/>
        <w:left w:val="none" w:sz="0" w:space="0" w:color="auto"/>
        <w:bottom w:val="none" w:sz="0" w:space="0" w:color="auto"/>
        <w:right w:val="none" w:sz="0" w:space="0" w:color="auto"/>
      </w:divBdr>
    </w:div>
    <w:div w:id="701049934">
      <w:bodyDiv w:val="1"/>
      <w:marLeft w:val="0"/>
      <w:marRight w:val="0"/>
      <w:marTop w:val="0"/>
      <w:marBottom w:val="0"/>
      <w:divBdr>
        <w:top w:val="none" w:sz="0" w:space="0" w:color="auto"/>
        <w:left w:val="none" w:sz="0" w:space="0" w:color="auto"/>
        <w:bottom w:val="none" w:sz="0" w:space="0" w:color="auto"/>
        <w:right w:val="none" w:sz="0" w:space="0" w:color="auto"/>
      </w:divBdr>
    </w:div>
    <w:div w:id="816995347">
      <w:bodyDiv w:val="1"/>
      <w:marLeft w:val="0"/>
      <w:marRight w:val="0"/>
      <w:marTop w:val="0"/>
      <w:marBottom w:val="0"/>
      <w:divBdr>
        <w:top w:val="none" w:sz="0" w:space="0" w:color="auto"/>
        <w:left w:val="none" w:sz="0" w:space="0" w:color="auto"/>
        <w:bottom w:val="none" w:sz="0" w:space="0" w:color="auto"/>
        <w:right w:val="none" w:sz="0" w:space="0" w:color="auto"/>
      </w:divBdr>
    </w:div>
    <w:div w:id="859126098">
      <w:bodyDiv w:val="1"/>
      <w:marLeft w:val="0"/>
      <w:marRight w:val="0"/>
      <w:marTop w:val="0"/>
      <w:marBottom w:val="0"/>
      <w:divBdr>
        <w:top w:val="none" w:sz="0" w:space="0" w:color="auto"/>
        <w:left w:val="none" w:sz="0" w:space="0" w:color="auto"/>
        <w:bottom w:val="none" w:sz="0" w:space="0" w:color="auto"/>
        <w:right w:val="none" w:sz="0" w:space="0" w:color="auto"/>
      </w:divBdr>
    </w:div>
    <w:div w:id="913122948">
      <w:bodyDiv w:val="1"/>
      <w:marLeft w:val="0"/>
      <w:marRight w:val="0"/>
      <w:marTop w:val="0"/>
      <w:marBottom w:val="0"/>
      <w:divBdr>
        <w:top w:val="none" w:sz="0" w:space="0" w:color="auto"/>
        <w:left w:val="none" w:sz="0" w:space="0" w:color="auto"/>
        <w:bottom w:val="none" w:sz="0" w:space="0" w:color="auto"/>
        <w:right w:val="none" w:sz="0" w:space="0" w:color="auto"/>
      </w:divBdr>
    </w:div>
    <w:div w:id="971401192">
      <w:bodyDiv w:val="1"/>
      <w:marLeft w:val="0"/>
      <w:marRight w:val="0"/>
      <w:marTop w:val="0"/>
      <w:marBottom w:val="0"/>
      <w:divBdr>
        <w:top w:val="none" w:sz="0" w:space="0" w:color="auto"/>
        <w:left w:val="none" w:sz="0" w:space="0" w:color="auto"/>
        <w:bottom w:val="none" w:sz="0" w:space="0" w:color="auto"/>
        <w:right w:val="none" w:sz="0" w:space="0" w:color="auto"/>
      </w:divBdr>
      <w:divsChild>
        <w:div w:id="112752487">
          <w:marLeft w:val="0"/>
          <w:marRight w:val="0"/>
          <w:marTop w:val="0"/>
          <w:marBottom w:val="0"/>
          <w:divBdr>
            <w:top w:val="none" w:sz="0" w:space="0" w:color="auto"/>
            <w:left w:val="none" w:sz="0" w:space="0" w:color="auto"/>
            <w:bottom w:val="none" w:sz="0" w:space="0" w:color="auto"/>
            <w:right w:val="none" w:sz="0" w:space="0" w:color="auto"/>
          </w:divBdr>
        </w:div>
        <w:div w:id="262812367">
          <w:marLeft w:val="0"/>
          <w:marRight w:val="0"/>
          <w:marTop w:val="0"/>
          <w:marBottom w:val="0"/>
          <w:divBdr>
            <w:top w:val="none" w:sz="0" w:space="0" w:color="auto"/>
            <w:left w:val="none" w:sz="0" w:space="0" w:color="auto"/>
            <w:bottom w:val="none" w:sz="0" w:space="0" w:color="auto"/>
            <w:right w:val="none" w:sz="0" w:space="0" w:color="auto"/>
          </w:divBdr>
        </w:div>
        <w:div w:id="281694693">
          <w:marLeft w:val="0"/>
          <w:marRight w:val="0"/>
          <w:marTop w:val="0"/>
          <w:marBottom w:val="0"/>
          <w:divBdr>
            <w:top w:val="none" w:sz="0" w:space="0" w:color="auto"/>
            <w:left w:val="none" w:sz="0" w:space="0" w:color="auto"/>
            <w:bottom w:val="none" w:sz="0" w:space="0" w:color="auto"/>
            <w:right w:val="none" w:sz="0" w:space="0" w:color="auto"/>
          </w:divBdr>
        </w:div>
        <w:div w:id="337734969">
          <w:marLeft w:val="0"/>
          <w:marRight w:val="0"/>
          <w:marTop w:val="0"/>
          <w:marBottom w:val="0"/>
          <w:divBdr>
            <w:top w:val="none" w:sz="0" w:space="0" w:color="auto"/>
            <w:left w:val="none" w:sz="0" w:space="0" w:color="auto"/>
            <w:bottom w:val="none" w:sz="0" w:space="0" w:color="auto"/>
            <w:right w:val="none" w:sz="0" w:space="0" w:color="auto"/>
          </w:divBdr>
        </w:div>
        <w:div w:id="454450103">
          <w:marLeft w:val="0"/>
          <w:marRight w:val="0"/>
          <w:marTop w:val="0"/>
          <w:marBottom w:val="0"/>
          <w:divBdr>
            <w:top w:val="none" w:sz="0" w:space="0" w:color="auto"/>
            <w:left w:val="none" w:sz="0" w:space="0" w:color="auto"/>
            <w:bottom w:val="none" w:sz="0" w:space="0" w:color="auto"/>
            <w:right w:val="none" w:sz="0" w:space="0" w:color="auto"/>
          </w:divBdr>
        </w:div>
        <w:div w:id="854658943">
          <w:marLeft w:val="0"/>
          <w:marRight w:val="0"/>
          <w:marTop w:val="0"/>
          <w:marBottom w:val="0"/>
          <w:divBdr>
            <w:top w:val="none" w:sz="0" w:space="0" w:color="auto"/>
            <w:left w:val="none" w:sz="0" w:space="0" w:color="auto"/>
            <w:bottom w:val="none" w:sz="0" w:space="0" w:color="auto"/>
            <w:right w:val="none" w:sz="0" w:space="0" w:color="auto"/>
          </w:divBdr>
        </w:div>
        <w:div w:id="1132943099">
          <w:marLeft w:val="0"/>
          <w:marRight w:val="0"/>
          <w:marTop w:val="0"/>
          <w:marBottom w:val="0"/>
          <w:divBdr>
            <w:top w:val="none" w:sz="0" w:space="0" w:color="auto"/>
            <w:left w:val="none" w:sz="0" w:space="0" w:color="auto"/>
            <w:bottom w:val="none" w:sz="0" w:space="0" w:color="auto"/>
            <w:right w:val="none" w:sz="0" w:space="0" w:color="auto"/>
          </w:divBdr>
        </w:div>
        <w:div w:id="1340347266">
          <w:marLeft w:val="0"/>
          <w:marRight w:val="0"/>
          <w:marTop w:val="0"/>
          <w:marBottom w:val="0"/>
          <w:divBdr>
            <w:top w:val="none" w:sz="0" w:space="0" w:color="auto"/>
            <w:left w:val="none" w:sz="0" w:space="0" w:color="auto"/>
            <w:bottom w:val="none" w:sz="0" w:space="0" w:color="auto"/>
            <w:right w:val="none" w:sz="0" w:space="0" w:color="auto"/>
          </w:divBdr>
        </w:div>
        <w:div w:id="1382632043">
          <w:marLeft w:val="0"/>
          <w:marRight w:val="0"/>
          <w:marTop w:val="0"/>
          <w:marBottom w:val="0"/>
          <w:divBdr>
            <w:top w:val="none" w:sz="0" w:space="0" w:color="auto"/>
            <w:left w:val="none" w:sz="0" w:space="0" w:color="auto"/>
            <w:bottom w:val="none" w:sz="0" w:space="0" w:color="auto"/>
            <w:right w:val="none" w:sz="0" w:space="0" w:color="auto"/>
          </w:divBdr>
        </w:div>
        <w:div w:id="1567301871">
          <w:marLeft w:val="0"/>
          <w:marRight w:val="0"/>
          <w:marTop w:val="0"/>
          <w:marBottom w:val="0"/>
          <w:divBdr>
            <w:top w:val="none" w:sz="0" w:space="0" w:color="auto"/>
            <w:left w:val="none" w:sz="0" w:space="0" w:color="auto"/>
            <w:bottom w:val="none" w:sz="0" w:space="0" w:color="auto"/>
            <w:right w:val="none" w:sz="0" w:space="0" w:color="auto"/>
          </w:divBdr>
        </w:div>
        <w:div w:id="1689328557">
          <w:marLeft w:val="0"/>
          <w:marRight w:val="0"/>
          <w:marTop w:val="0"/>
          <w:marBottom w:val="0"/>
          <w:divBdr>
            <w:top w:val="none" w:sz="0" w:space="0" w:color="auto"/>
            <w:left w:val="none" w:sz="0" w:space="0" w:color="auto"/>
            <w:bottom w:val="none" w:sz="0" w:space="0" w:color="auto"/>
            <w:right w:val="none" w:sz="0" w:space="0" w:color="auto"/>
          </w:divBdr>
        </w:div>
        <w:div w:id="1783915084">
          <w:marLeft w:val="0"/>
          <w:marRight w:val="0"/>
          <w:marTop w:val="0"/>
          <w:marBottom w:val="0"/>
          <w:divBdr>
            <w:top w:val="none" w:sz="0" w:space="0" w:color="auto"/>
            <w:left w:val="none" w:sz="0" w:space="0" w:color="auto"/>
            <w:bottom w:val="none" w:sz="0" w:space="0" w:color="auto"/>
            <w:right w:val="none" w:sz="0" w:space="0" w:color="auto"/>
          </w:divBdr>
        </w:div>
        <w:div w:id="2143420615">
          <w:marLeft w:val="0"/>
          <w:marRight w:val="0"/>
          <w:marTop w:val="0"/>
          <w:marBottom w:val="0"/>
          <w:divBdr>
            <w:top w:val="none" w:sz="0" w:space="0" w:color="auto"/>
            <w:left w:val="none" w:sz="0" w:space="0" w:color="auto"/>
            <w:bottom w:val="none" w:sz="0" w:space="0" w:color="auto"/>
            <w:right w:val="none" w:sz="0" w:space="0" w:color="auto"/>
          </w:divBdr>
        </w:div>
      </w:divsChild>
    </w:div>
    <w:div w:id="1002780025">
      <w:bodyDiv w:val="1"/>
      <w:marLeft w:val="0"/>
      <w:marRight w:val="0"/>
      <w:marTop w:val="0"/>
      <w:marBottom w:val="0"/>
      <w:divBdr>
        <w:top w:val="none" w:sz="0" w:space="0" w:color="auto"/>
        <w:left w:val="none" w:sz="0" w:space="0" w:color="auto"/>
        <w:bottom w:val="none" w:sz="0" w:space="0" w:color="auto"/>
        <w:right w:val="none" w:sz="0" w:space="0" w:color="auto"/>
      </w:divBdr>
    </w:div>
    <w:div w:id="1002857175">
      <w:bodyDiv w:val="1"/>
      <w:marLeft w:val="0"/>
      <w:marRight w:val="0"/>
      <w:marTop w:val="0"/>
      <w:marBottom w:val="0"/>
      <w:divBdr>
        <w:top w:val="none" w:sz="0" w:space="0" w:color="auto"/>
        <w:left w:val="none" w:sz="0" w:space="0" w:color="auto"/>
        <w:bottom w:val="none" w:sz="0" w:space="0" w:color="auto"/>
        <w:right w:val="none" w:sz="0" w:space="0" w:color="auto"/>
      </w:divBdr>
    </w:div>
    <w:div w:id="1031566424">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083726104">
      <w:bodyDiv w:val="1"/>
      <w:marLeft w:val="0"/>
      <w:marRight w:val="0"/>
      <w:marTop w:val="0"/>
      <w:marBottom w:val="0"/>
      <w:divBdr>
        <w:top w:val="none" w:sz="0" w:space="0" w:color="auto"/>
        <w:left w:val="none" w:sz="0" w:space="0" w:color="auto"/>
        <w:bottom w:val="none" w:sz="0" w:space="0" w:color="auto"/>
        <w:right w:val="none" w:sz="0" w:space="0" w:color="auto"/>
      </w:divBdr>
    </w:div>
    <w:div w:id="1123696863">
      <w:bodyDiv w:val="1"/>
      <w:marLeft w:val="0"/>
      <w:marRight w:val="0"/>
      <w:marTop w:val="0"/>
      <w:marBottom w:val="0"/>
      <w:divBdr>
        <w:top w:val="none" w:sz="0" w:space="0" w:color="auto"/>
        <w:left w:val="none" w:sz="0" w:space="0" w:color="auto"/>
        <w:bottom w:val="none" w:sz="0" w:space="0" w:color="auto"/>
        <w:right w:val="none" w:sz="0" w:space="0" w:color="auto"/>
      </w:divBdr>
    </w:div>
    <w:div w:id="1140417845">
      <w:bodyDiv w:val="1"/>
      <w:marLeft w:val="0"/>
      <w:marRight w:val="0"/>
      <w:marTop w:val="0"/>
      <w:marBottom w:val="0"/>
      <w:divBdr>
        <w:top w:val="none" w:sz="0" w:space="0" w:color="auto"/>
        <w:left w:val="none" w:sz="0" w:space="0" w:color="auto"/>
        <w:bottom w:val="none" w:sz="0" w:space="0" w:color="auto"/>
        <w:right w:val="none" w:sz="0" w:space="0" w:color="auto"/>
      </w:divBdr>
    </w:div>
    <w:div w:id="1244337249">
      <w:bodyDiv w:val="1"/>
      <w:marLeft w:val="0"/>
      <w:marRight w:val="0"/>
      <w:marTop w:val="0"/>
      <w:marBottom w:val="0"/>
      <w:divBdr>
        <w:top w:val="none" w:sz="0" w:space="0" w:color="auto"/>
        <w:left w:val="none" w:sz="0" w:space="0" w:color="auto"/>
        <w:bottom w:val="none" w:sz="0" w:space="0" w:color="auto"/>
        <w:right w:val="none" w:sz="0" w:space="0" w:color="auto"/>
      </w:divBdr>
    </w:div>
    <w:div w:id="1254584068">
      <w:bodyDiv w:val="1"/>
      <w:marLeft w:val="0"/>
      <w:marRight w:val="0"/>
      <w:marTop w:val="0"/>
      <w:marBottom w:val="0"/>
      <w:divBdr>
        <w:top w:val="none" w:sz="0" w:space="0" w:color="auto"/>
        <w:left w:val="none" w:sz="0" w:space="0" w:color="auto"/>
        <w:bottom w:val="none" w:sz="0" w:space="0" w:color="auto"/>
        <w:right w:val="none" w:sz="0" w:space="0" w:color="auto"/>
      </w:divBdr>
    </w:div>
    <w:div w:id="1320309090">
      <w:bodyDiv w:val="1"/>
      <w:marLeft w:val="0"/>
      <w:marRight w:val="0"/>
      <w:marTop w:val="0"/>
      <w:marBottom w:val="0"/>
      <w:divBdr>
        <w:top w:val="none" w:sz="0" w:space="0" w:color="auto"/>
        <w:left w:val="none" w:sz="0" w:space="0" w:color="auto"/>
        <w:bottom w:val="none" w:sz="0" w:space="0" w:color="auto"/>
        <w:right w:val="none" w:sz="0" w:space="0" w:color="auto"/>
      </w:divBdr>
    </w:div>
    <w:div w:id="1354376674">
      <w:bodyDiv w:val="1"/>
      <w:marLeft w:val="0"/>
      <w:marRight w:val="0"/>
      <w:marTop w:val="0"/>
      <w:marBottom w:val="0"/>
      <w:divBdr>
        <w:top w:val="none" w:sz="0" w:space="0" w:color="auto"/>
        <w:left w:val="none" w:sz="0" w:space="0" w:color="auto"/>
        <w:bottom w:val="none" w:sz="0" w:space="0" w:color="auto"/>
        <w:right w:val="none" w:sz="0" w:space="0" w:color="auto"/>
      </w:divBdr>
    </w:div>
    <w:div w:id="1367024515">
      <w:bodyDiv w:val="1"/>
      <w:marLeft w:val="0"/>
      <w:marRight w:val="0"/>
      <w:marTop w:val="0"/>
      <w:marBottom w:val="0"/>
      <w:divBdr>
        <w:top w:val="none" w:sz="0" w:space="0" w:color="auto"/>
        <w:left w:val="none" w:sz="0" w:space="0" w:color="auto"/>
        <w:bottom w:val="none" w:sz="0" w:space="0" w:color="auto"/>
        <w:right w:val="none" w:sz="0" w:space="0" w:color="auto"/>
      </w:divBdr>
    </w:div>
    <w:div w:id="1368795248">
      <w:bodyDiv w:val="1"/>
      <w:marLeft w:val="0"/>
      <w:marRight w:val="0"/>
      <w:marTop w:val="0"/>
      <w:marBottom w:val="0"/>
      <w:divBdr>
        <w:top w:val="none" w:sz="0" w:space="0" w:color="auto"/>
        <w:left w:val="none" w:sz="0" w:space="0" w:color="auto"/>
        <w:bottom w:val="none" w:sz="0" w:space="0" w:color="auto"/>
        <w:right w:val="none" w:sz="0" w:space="0" w:color="auto"/>
      </w:divBdr>
    </w:div>
    <w:div w:id="1383673530">
      <w:bodyDiv w:val="1"/>
      <w:marLeft w:val="0"/>
      <w:marRight w:val="0"/>
      <w:marTop w:val="0"/>
      <w:marBottom w:val="0"/>
      <w:divBdr>
        <w:top w:val="none" w:sz="0" w:space="0" w:color="auto"/>
        <w:left w:val="none" w:sz="0" w:space="0" w:color="auto"/>
        <w:bottom w:val="none" w:sz="0" w:space="0" w:color="auto"/>
        <w:right w:val="none" w:sz="0" w:space="0" w:color="auto"/>
      </w:divBdr>
    </w:div>
    <w:div w:id="1387148043">
      <w:bodyDiv w:val="1"/>
      <w:marLeft w:val="0"/>
      <w:marRight w:val="0"/>
      <w:marTop w:val="0"/>
      <w:marBottom w:val="0"/>
      <w:divBdr>
        <w:top w:val="none" w:sz="0" w:space="0" w:color="auto"/>
        <w:left w:val="none" w:sz="0" w:space="0" w:color="auto"/>
        <w:bottom w:val="none" w:sz="0" w:space="0" w:color="auto"/>
        <w:right w:val="none" w:sz="0" w:space="0" w:color="auto"/>
      </w:divBdr>
    </w:div>
    <w:div w:id="1478494712">
      <w:bodyDiv w:val="1"/>
      <w:marLeft w:val="0"/>
      <w:marRight w:val="0"/>
      <w:marTop w:val="0"/>
      <w:marBottom w:val="0"/>
      <w:divBdr>
        <w:top w:val="none" w:sz="0" w:space="0" w:color="auto"/>
        <w:left w:val="none" w:sz="0" w:space="0" w:color="auto"/>
        <w:bottom w:val="none" w:sz="0" w:space="0" w:color="auto"/>
        <w:right w:val="none" w:sz="0" w:space="0" w:color="auto"/>
      </w:divBdr>
    </w:div>
    <w:div w:id="1702363178">
      <w:bodyDiv w:val="1"/>
      <w:marLeft w:val="0"/>
      <w:marRight w:val="0"/>
      <w:marTop w:val="0"/>
      <w:marBottom w:val="0"/>
      <w:divBdr>
        <w:top w:val="none" w:sz="0" w:space="0" w:color="auto"/>
        <w:left w:val="none" w:sz="0" w:space="0" w:color="auto"/>
        <w:bottom w:val="none" w:sz="0" w:space="0" w:color="auto"/>
        <w:right w:val="none" w:sz="0" w:space="0" w:color="auto"/>
      </w:divBdr>
    </w:div>
    <w:div w:id="1751154270">
      <w:bodyDiv w:val="1"/>
      <w:marLeft w:val="0"/>
      <w:marRight w:val="0"/>
      <w:marTop w:val="0"/>
      <w:marBottom w:val="0"/>
      <w:divBdr>
        <w:top w:val="none" w:sz="0" w:space="0" w:color="auto"/>
        <w:left w:val="none" w:sz="0" w:space="0" w:color="auto"/>
        <w:bottom w:val="none" w:sz="0" w:space="0" w:color="auto"/>
        <w:right w:val="none" w:sz="0" w:space="0" w:color="auto"/>
      </w:divBdr>
    </w:div>
    <w:div w:id="1759670891">
      <w:bodyDiv w:val="1"/>
      <w:marLeft w:val="0"/>
      <w:marRight w:val="0"/>
      <w:marTop w:val="0"/>
      <w:marBottom w:val="0"/>
      <w:divBdr>
        <w:top w:val="none" w:sz="0" w:space="0" w:color="auto"/>
        <w:left w:val="none" w:sz="0" w:space="0" w:color="auto"/>
        <w:bottom w:val="none" w:sz="0" w:space="0" w:color="auto"/>
        <w:right w:val="none" w:sz="0" w:space="0" w:color="auto"/>
      </w:divBdr>
    </w:div>
    <w:div w:id="1779517981">
      <w:bodyDiv w:val="1"/>
      <w:marLeft w:val="0"/>
      <w:marRight w:val="0"/>
      <w:marTop w:val="0"/>
      <w:marBottom w:val="0"/>
      <w:divBdr>
        <w:top w:val="none" w:sz="0" w:space="0" w:color="auto"/>
        <w:left w:val="none" w:sz="0" w:space="0" w:color="auto"/>
        <w:bottom w:val="none" w:sz="0" w:space="0" w:color="auto"/>
        <w:right w:val="none" w:sz="0" w:space="0" w:color="auto"/>
      </w:divBdr>
    </w:div>
    <w:div w:id="1786777779">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35029756">
      <w:bodyDiv w:val="1"/>
      <w:marLeft w:val="0"/>
      <w:marRight w:val="0"/>
      <w:marTop w:val="0"/>
      <w:marBottom w:val="0"/>
      <w:divBdr>
        <w:top w:val="none" w:sz="0" w:space="0" w:color="auto"/>
        <w:left w:val="none" w:sz="0" w:space="0" w:color="auto"/>
        <w:bottom w:val="none" w:sz="0" w:space="0" w:color="auto"/>
        <w:right w:val="none" w:sz="0" w:space="0" w:color="auto"/>
      </w:divBdr>
    </w:div>
    <w:div w:id="1908611971">
      <w:bodyDiv w:val="1"/>
      <w:marLeft w:val="0"/>
      <w:marRight w:val="0"/>
      <w:marTop w:val="0"/>
      <w:marBottom w:val="0"/>
      <w:divBdr>
        <w:top w:val="none" w:sz="0" w:space="0" w:color="auto"/>
        <w:left w:val="none" w:sz="0" w:space="0" w:color="auto"/>
        <w:bottom w:val="none" w:sz="0" w:space="0" w:color="auto"/>
        <w:right w:val="none" w:sz="0" w:space="0" w:color="auto"/>
      </w:divBdr>
    </w:div>
    <w:div w:id="2016613848">
      <w:bodyDiv w:val="1"/>
      <w:marLeft w:val="0"/>
      <w:marRight w:val="0"/>
      <w:marTop w:val="0"/>
      <w:marBottom w:val="0"/>
      <w:divBdr>
        <w:top w:val="none" w:sz="0" w:space="0" w:color="auto"/>
        <w:left w:val="none" w:sz="0" w:space="0" w:color="auto"/>
        <w:bottom w:val="none" w:sz="0" w:space="0" w:color="auto"/>
        <w:right w:val="none" w:sz="0" w:space="0" w:color="auto"/>
      </w:divBdr>
    </w:div>
    <w:div w:id="2101563911">
      <w:bodyDiv w:val="1"/>
      <w:marLeft w:val="0"/>
      <w:marRight w:val="0"/>
      <w:marTop w:val="0"/>
      <w:marBottom w:val="0"/>
      <w:divBdr>
        <w:top w:val="none" w:sz="0" w:space="0" w:color="auto"/>
        <w:left w:val="none" w:sz="0" w:space="0" w:color="auto"/>
        <w:bottom w:val="none" w:sz="0" w:space="0" w:color="auto"/>
        <w:right w:val="none" w:sz="0" w:space="0" w:color="auto"/>
      </w:divBdr>
    </w:div>
    <w:div w:id="212207128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mhs.annualreport@dhhs.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2.health.vic.gov.au/mental-health/priorities-and-transformation/mental-health-annual-re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1.health.gov.au/internet/publications/publishing.nsf/Content/mental-pubs-n-report13-toc~mental-pubs-n-report13-3~mental-pubs-n-report13-3-3~mental-pubs-n-report13-3-3-in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8C8D19B4A51447970EC6B76FFD98E5" ma:contentTypeVersion="11" ma:contentTypeDescription="Create a new document." ma:contentTypeScope="" ma:versionID="5e2cbe3e2fd465208dae68357dda8e47">
  <xsd:schema xmlns:xsd="http://www.w3.org/2001/XMLSchema" xmlns:xs="http://www.w3.org/2001/XMLSchema" xmlns:p="http://schemas.microsoft.com/office/2006/metadata/properties" xmlns:ns2="4bf72945-a83a-4791-9905-e59dd5575cb0" xmlns:ns3="d394be72-db9c-422b-8e82-000ff01b6ff6" targetNamespace="http://schemas.microsoft.com/office/2006/metadata/properties" ma:root="true" ma:fieldsID="edcabee8822baeb1984469c80de86ecb" ns2:_="" ns3:_="">
    <xsd:import namespace="4bf72945-a83a-4791-9905-e59dd5575cb0"/>
    <xsd:import namespace="d394be72-db9c-422b-8e82-000ff01b6f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72945-a83a-4791-9905-e59dd5575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94be72-db9c-422b-8e82-000ff01b6f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07D8-D506-4D01-859E-DF581BE7A69A}">
  <ds:schemaRefs>
    <ds:schemaRef ds:uri="http://schemas.microsoft.com/sharepoint/v3/contenttype/forms"/>
  </ds:schemaRefs>
</ds:datastoreItem>
</file>

<file path=customXml/itemProps2.xml><?xml version="1.0" encoding="utf-8"?>
<ds:datastoreItem xmlns:ds="http://schemas.openxmlformats.org/officeDocument/2006/customXml" ds:itemID="{05763B96-AAEA-41C8-A03C-DEA1E8C2B921}">
  <ds:schemaRefs>
    <ds:schemaRef ds:uri="http://schemas.microsoft.com/office/2006/documentManagement/types"/>
    <ds:schemaRef ds:uri="http://schemas.openxmlformats.org/package/2006/metadata/core-properties"/>
    <ds:schemaRef ds:uri="http://purl.org/dc/dcmitype/"/>
    <ds:schemaRef ds:uri="http://purl.org/dc/elements/1.1/"/>
    <ds:schemaRef ds:uri="d394be72-db9c-422b-8e82-000ff01b6ff6"/>
    <ds:schemaRef ds:uri="4bf72945-a83a-4791-9905-e59dd5575cb0"/>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4B3E600-0485-400F-95B4-905B54986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72945-a83a-4791-9905-e59dd5575cb0"/>
    <ds:schemaRef ds:uri="d394be72-db9c-422b-8e82-000ff01b6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EE0B88-D6DD-4C04-A886-7D27DA6F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24847</Words>
  <Characters>141630</Characters>
  <Application>Microsoft Office Word</Application>
  <DocSecurity>2</DocSecurity>
  <Lines>1180</Lines>
  <Paragraphs>332</Paragraphs>
  <ScaleCrop>false</ScaleCrop>
  <HeadingPairs>
    <vt:vector size="2" baseType="variant">
      <vt:variant>
        <vt:lpstr>Title</vt:lpstr>
      </vt:variant>
      <vt:variant>
        <vt:i4>1</vt:i4>
      </vt:variant>
    </vt:vector>
  </HeadingPairs>
  <TitlesOfParts>
    <vt:vector size="1" baseType="lpstr">
      <vt:lpstr>Victoria’s mental health services annual report 2019–20</vt:lpstr>
    </vt:vector>
  </TitlesOfParts>
  <Company>Department of Health and Human Services</Company>
  <LinksUpToDate>false</LinksUpToDate>
  <CharactersWithSpaces>166145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Victoria’s mental health services annual report 2019–20</dc:title>
  <dc:subject>Victoria’s mental health services annual report 2019–20</dc:subject>
  <dc:creator>Mental Health Branch</dc:creator>
  <cp:keywords>Victoria, mental health, annual report, 2019–20</cp:keywords>
  <cp:lastModifiedBy>Leonie Tonkin (DHHS)</cp:lastModifiedBy>
  <cp:revision>4</cp:revision>
  <cp:lastPrinted>2017-07-08T10:32:00Z</cp:lastPrinted>
  <dcterms:created xsi:type="dcterms:W3CDTF">2020-11-17T03:23:00Z</dcterms:created>
  <dcterms:modified xsi:type="dcterms:W3CDTF">2020-12-02T23:32:00Z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iteId">
    <vt:lpwstr>c0e0601f-0fac-449c-9c88-a104c4eb9f28</vt:lpwstr>
  </property>
  <property fmtid="{D5CDD505-2E9C-101B-9397-08002B2CF9AE}" pid="5" name="MSIP_Label_43e64453-338c-4f93-8a4d-0039a0a41f2a_SetDate">
    <vt:lpwstr>2020-08-06T04:31:52.8485839Z</vt:lpwstr>
  </property>
  <property fmtid="{D5CDD505-2E9C-101B-9397-08002B2CF9AE}" pid="6" name="MSIP_Label_43e64453-338c-4f93-8a4d-0039a0a41f2a_Name">
    <vt:lpwstr>OFFICIAL</vt:lpwstr>
  </property>
  <property fmtid="{D5CDD505-2E9C-101B-9397-08002B2CF9AE}" pid="7" name="MSIP_Label_43e64453-338c-4f93-8a4d-0039a0a41f2a_ActionId">
    <vt:lpwstr>f9065a6b-02e6-4da6-9da9-48a08d9a7cd9</vt:lpwstr>
  </property>
  <property fmtid="{D5CDD505-2E9C-101B-9397-08002B2CF9AE}" pid="8" name="MSIP_Label_43e64453-338c-4f93-8a4d-0039a0a41f2a_Extended_MSFT_Method">
    <vt:lpwstr>Manual</vt:lpwstr>
  </property>
  <property fmtid="{D5CDD505-2E9C-101B-9397-08002B2CF9AE}" pid="9" name="Sensitivity">
    <vt:lpwstr>OFFICIAL</vt:lpwstr>
  </property>
  <property fmtid="{D5CDD505-2E9C-101B-9397-08002B2CF9AE}" pid="10" name="ContentTypeId">
    <vt:lpwstr>0x0101000B8C8D19B4A51447970EC6B76FFD98E5</vt:lpwstr>
  </property>
</Properties>
</file>