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BF" w:firstRow="1" w:lastRow="0" w:firstColumn="1" w:lastColumn="0" w:noHBand="0" w:noVBand="0"/>
      </w:tblPr>
      <w:tblGrid>
        <w:gridCol w:w="11910"/>
      </w:tblGrid>
      <w:tr w:rsidR="005F6937">
        <w:tc>
          <w:tcPr>
            <w:tcW w:w="11910" w:type="dxa"/>
          </w:tcPr>
          <w:p w:rsidR="008205FB" w:rsidRPr="00022B1B" w:rsidRDefault="00F552FA" w:rsidP="00277B76">
            <w:pPr>
              <w:pStyle w:val="Bannertablecell"/>
            </w:pPr>
            <w:r>
              <w:rPr>
                <w:noProof/>
                <w:lang w:eastAsia="en-AU"/>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228600</wp:posOffset>
                      </wp:positionV>
                      <wp:extent cx="4319905" cy="128524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42" w:rsidRPr="006054E3" w:rsidRDefault="00845EEC" w:rsidP="00845EEC">
                                  <w:pPr>
                                    <w:pStyle w:val="Healthmainheading"/>
                                    <w:spacing w:after="240"/>
                                    <w:rPr>
                                      <w:sz w:val="40"/>
                                      <w:szCs w:val="40"/>
                                    </w:rPr>
                                  </w:pPr>
                                  <w:r w:rsidRPr="006054E3">
                                    <w:rPr>
                                      <w:sz w:val="40"/>
                                      <w:szCs w:val="40"/>
                                    </w:rPr>
                                    <w:t>Alcohol and drug treatment</w:t>
                                  </w:r>
                                  <w:r w:rsidR="006054E3" w:rsidRPr="006054E3">
                                    <w:rPr>
                                      <w:sz w:val="40"/>
                                      <w:szCs w:val="40"/>
                                    </w:rPr>
                                    <w:t xml:space="preserve"> services</w:t>
                                  </w:r>
                                </w:p>
                                <w:p w:rsidR="00845EEC" w:rsidRPr="006054E3" w:rsidRDefault="00845EEC" w:rsidP="00845EEC">
                                  <w:pPr>
                                    <w:pStyle w:val="Healthmainheading"/>
                                    <w:spacing w:after="240"/>
                                    <w:rPr>
                                      <w:sz w:val="40"/>
                                      <w:szCs w:val="40"/>
                                    </w:rPr>
                                  </w:pPr>
                                  <w:r w:rsidRPr="006054E3">
                                    <w:rPr>
                                      <w:sz w:val="40"/>
                                      <w:szCs w:val="40"/>
                                    </w:rPr>
                                    <w:t>Fact sheet: Bed vacancy register</w:t>
                                  </w:r>
                                </w:p>
                                <w:p w:rsidR="00845EEC" w:rsidRPr="006054E3" w:rsidRDefault="00845EEC" w:rsidP="00845EEC">
                                  <w:pPr>
                                    <w:pStyle w:val="Healthmainheading"/>
                                    <w:spacing w:after="240"/>
                                    <w:rPr>
                                      <w:sz w:val="40"/>
                                      <w:szCs w:val="40"/>
                                    </w:rPr>
                                  </w:pPr>
                                  <w:r w:rsidRPr="006054E3">
                                    <w:rPr>
                                      <w:sz w:val="40"/>
                                      <w:szCs w:val="4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7pt;margin-top:18pt;width:340.15pt;height:10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qfrw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" filled="f" stroked="f">
                      <v:textbox inset="0,0,0,0">
                        <w:txbxContent>
                          <w:p w:rsidR="00880442" w:rsidRPr="006054E3" w:rsidRDefault="00845EEC" w:rsidP="00845EEC">
                            <w:pPr>
                              <w:pStyle w:val="Healthmainheading"/>
                              <w:spacing w:after="240"/>
                              <w:rPr>
                                <w:sz w:val="40"/>
                                <w:szCs w:val="40"/>
                              </w:rPr>
                            </w:pPr>
                            <w:r w:rsidRPr="006054E3">
                              <w:rPr>
                                <w:sz w:val="40"/>
                                <w:szCs w:val="40"/>
                              </w:rPr>
                              <w:t>Alcohol and drug treatment</w:t>
                            </w:r>
                            <w:r w:rsidR="006054E3" w:rsidRPr="006054E3">
                              <w:rPr>
                                <w:sz w:val="40"/>
                                <w:szCs w:val="40"/>
                              </w:rPr>
                              <w:t xml:space="preserve"> services</w:t>
                            </w:r>
                          </w:p>
                          <w:p w:rsidR="00845EEC" w:rsidRPr="006054E3" w:rsidRDefault="00845EEC" w:rsidP="00845EEC">
                            <w:pPr>
                              <w:pStyle w:val="Healthmainheading"/>
                              <w:spacing w:after="240"/>
                              <w:rPr>
                                <w:sz w:val="40"/>
                                <w:szCs w:val="40"/>
                              </w:rPr>
                            </w:pPr>
                            <w:r w:rsidRPr="006054E3">
                              <w:rPr>
                                <w:sz w:val="40"/>
                                <w:szCs w:val="40"/>
                              </w:rPr>
                              <w:t>Fact sheet: Bed vacancy register</w:t>
                            </w:r>
                          </w:p>
                          <w:p w:rsidR="00845EEC" w:rsidRPr="006054E3" w:rsidRDefault="00845EEC" w:rsidP="00845EEC">
                            <w:pPr>
                              <w:pStyle w:val="Healthmainheading"/>
                              <w:spacing w:after="240"/>
                              <w:rPr>
                                <w:sz w:val="40"/>
                                <w:szCs w:val="40"/>
                              </w:rPr>
                            </w:pPr>
                            <w:r w:rsidRPr="006054E3">
                              <w:rPr>
                                <w:sz w:val="40"/>
                                <w:szCs w:val="40"/>
                              </w:rPr>
                              <w:t>July 2014</w:t>
                            </w:r>
                          </w:p>
                        </w:txbxContent>
                      </v:textbox>
                      <w10:wrap anchorx="page" anchory="page"/>
                    </v:shape>
                  </w:pict>
                </mc:Fallback>
              </mc:AlternateContent>
            </w:r>
            <w:r>
              <w:rPr>
                <w:noProof/>
                <w:szCs w:val="20"/>
                <w:lang w:eastAsia="en-AU"/>
              </w:rPr>
              <w:drawing>
                <wp:anchor distT="0" distB="0" distL="114300" distR="114300" simplePos="0" relativeHeight="251658752" behindDoc="0" locked="1" layoutInCell="1" allowOverlap="1">
                  <wp:simplePos x="0" y="0"/>
                  <wp:positionH relativeFrom="page">
                    <wp:posOffset>6320790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1782445</wp:posOffset>
                      </wp:positionV>
                      <wp:extent cx="4319905" cy="288290"/>
                      <wp:effectExtent l="0" t="127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42" w:rsidRPr="0041787B" w:rsidRDefault="00845EEC" w:rsidP="005F6937">
                                  <w:pPr>
                                    <w:pStyle w:val="Healthmainsubheading"/>
                                  </w:pPr>
                                  <w:r>
                                    <w:t>Information for service 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7pt;margin-top:140.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n/s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" filled="f" stroked="f">
                      <v:textbox inset="0,0,0,0">
                        <w:txbxContent>
                          <w:p w:rsidR="00880442" w:rsidRPr="0041787B" w:rsidRDefault="00845EEC" w:rsidP="005F6937">
                            <w:pPr>
                              <w:pStyle w:val="Healthmainsubheading"/>
                            </w:pPr>
                            <w:r>
                              <w:t>Information for service providers</w:t>
                            </w:r>
                          </w:p>
                        </w:txbxContent>
                      </v:textbox>
                      <w10:wrap anchorx="page" anchory="page"/>
                    </v:shape>
                  </w:pict>
                </mc:Fallback>
              </mc:AlternateContent>
            </w:r>
            <w:r>
              <w:rPr>
                <w:noProof/>
                <w:lang w:eastAsia="en-AU"/>
              </w:rPr>
              <w:drawing>
                <wp:inline distT="0" distB="0" distL="0" distR="0">
                  <wp:extent cx="7553325" cy="2085975"/>
                  <wp:effectExtent l="0" t="0" r="9525" b="9525"/>
                  <wp:docPr id="1" name="Picture 1" descr="Green range colou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range colour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85975"/>
                          </a:xfrm>
                          <a:prstGeom prst="rect">
                            <a:avLst/>
                          </a:prstGeom>
                          <a:noFill/>
                          <a:ln>
                            <a:noFill/>
                          </a:ln>
                        </pic:spPr>
                      </pic:pic>
                    </a:graphicData>
                  </a:graphic>
                </wp:inline>
              </w:drawing>
            </w:r>
          </w:p>
        </w:tc>
      </w:tr>
    </w:tbl>
    <w:p w:rsidR="005F6937" w:rsidRDefault="005F6937" w:rsidP="002B5D2D">
      <w:pPr>
        <w:pStyle w:val="Healthbody"/>
        <w:sectPr w:rsidR="005F6937" w:rsidSect="005F6937">
          <w:footerReference w:type="default" r:id="rId10"/>
          <w:type w:val="continuous"/>
          <w:pgSz w:w="11899" w:h="16838"/>
          <w:pgMar w:top="0" w:right="851" w:bottom="1418" w:left="1134" w:header="0" w:footer="567" w:gutter="0"/>
          <w:cols w:space="708"/>
        </w:sectPr>
      </w:pPr>
    </w:p>
    <w:p w:rsidR="006054E3" w:rsidRPr="00F552FA" w:rsidRDefault="006054E3" w:rsidP="00845EEC">
      <w:pPr>
        <w:spacing w:line="360" w:lineRule="auto"/>
        <w:ind w:left="0" w:right="101" w:firstLine="0"/>
        <w:rPr>
          <w:sz w:val="20"/>
          <w:szCs w:val="20"/>
        </w:rPr>
      </w:pPr>
    </w:p>
    <w:p w:rsidR="00845EEC" w:rsidRPr="00F552FA" w:rsidRDefault="00845EEC" w:rsidP="00845EEC">
      <w:pPr>
        <w:spacing w:line="360" w:lineRule="auto"/>
        <w:ind w:left="0" w:right="101" w:firstLine="0"/>
        <w:rPr>
          <w:sz w:val="20"/>
          <w:szCs w:val="20"/>
        </w:rPr>
      </w:pPr>
      <w:r w:rsidRPr="00F552FA">
        <w:rPr>
          <w:sz w:val="20"/>
          <w:szCs w:val="20"/>
        </w:rPr>
        <w:t>This fact sheet provides information on a new Bed Vacancy Register</w:t>
      </w:r>
      <w:r w:rsidRPr="00F552FA">
        <w:rPr>
          <w:sz w:val="20"/>
          <w:szCs w:val="20"/>
        </w:rPr>
        <w:t xml:space="preserve"> (BVR), </w:t>
      </w:r>
      <w:r w:rsidRPr="00F552FA">
        <w:rPr>
          <w:sz w:val="20"/>
          <w:szCs w:val="20"/>
        </w:rPr>
        <w:t xml:space="preserve">which will support client pathways to residential alcohol and drug (AOD) services in Victoria. This information is directed to </w:t>
      </w:r>
      <w:r w:rsidRPr="00F552FA">
        <w:rPr>
          <w:sz w:val="20"/>
          <w:szCs w:val="20"/>
        </w:rPr>
        <w:t>c</w:t>
      </w:r>
      <w:r w:rsidR="006054E3" w:rsidRPr="00F552FA">
        <w:rPr>
          <w:sz w:val="20"/>
          <w:szCs w:val="20"/>
        </w:rPr>
        <w:t>atchment-</w:t>
      </w:r>
      <w:r w:rsidRPr="00F552FA">
        <w:rPr>
          <w:sz w:val="20"/>
          <w:szCs w:val="20"/>
        </w:rPr>
        <w:t>b</w:t>
      </w:r>
      <w:r w:rsidRPr="00F552FA">
        <w:rPr>
          <w:sz w:val="20"/>
          <w:szCs w:val="20"/>
        </w:rPr>
        <w:t xml:space="preserve">ased </w:t>
      </w:r>
      <w:r w:rsidRPr="00F552FA">
        <w:rPr>
          <w:sz w:val="20"/>
          <w:szCs w:val="20"/>
        </w:rPr>
        <w:t>i</w:t>
      </w:r>
      <w:r w:rsidRPr="00F552FA">
        <w:rPr>
          <w:sz w:val="20"/>
          <w:szCs w:val="20"/>
        </w:rPr>
        <w:t xml:space="preserve">ntake and </w:t>
      </w:r>
      <w:r w:rsidRPr="00F552FA">
        <w:rPr>
          <w:sz w:val="20"/>
          <w:szCs w:val="20"/>
        </w:rPr>
        <w:t>a</w:t>
      </w:r>
      <w:r w:rsidRPr="00F552FA">
        <w:rPr>
          <w:sz w:val="20"/>
          <w:szCs w:val="20"/>
        </w:rPr>
        <w:t xml:space="preserve">ssessment providers, the </w:t>
      </w:r>
      <w:r w:rsidRPr="00F552FA">
        <w:rPr>
          <w:sz w:val="20"/>
          <w:szCs w:val="20"/>
        </w:rPr>
        <w:t>c</w:t>
      </w:r>
      <w:r w:rsidRPr="00F552FA">
        <w:rPr>
          <w:sz w:val="20"/>
          <w:szCs w:val="20"/>
        </w:rPr>
        <w:t xml:space="preserve">are and </w:t>
      </w:r>
      <w:r w:rsidRPr="00F552FA">
        <w:rPr>
          <w:sz w:val="20"/>
          <w:szCs w:val="20"/>
        </w:rPr>
        <w:t>r</w:t>
      </w:r>
      <w:r w:rsidRPr="00F552FA">
        <w:rPr>
          <w:sz w:val="20"/>
          <w:szCs w:val="20"/>
        </w:rPr>
        <w:t xml:space="preserve">ecovery </w:t>
      </w:r>
      <w:r w:rsidRPr="00F552FA">
        <w:rPr>
          <w:sz w:val="20"/>
          <w:szCs w:val="20"/>
        </w:rPr>
        <w:t>c</w:t>
      </w:r>
      <w:r w:rsidRPr="00F552FA">
        <w:rPr>
          <w:sz w:val="20"/>
          <w:szCs w:val="20"/>
        </w:rPr>
        <w:t xml:space="preserve">oordination </w:t>
      </w:r>
      <w:r w:rsidR="006054E3" w:rsidRPr="00F552FA">
        <w:rPr>
          <w:sz w:val="20"/>
          <w:szCs w:val="20"/>
        </w:rPr>
        <w:t xml:space="preserve">(CRC) </w:t>
      </w:r>
      <w:r w:rsidRPr="00F552FA">
        <w:rPr>
          <w:sz w:val="20"/>
          <w:szCs w:val="20"/>
        </w:rPr>
        <w:t xml:space="preserve">function and Community Offenders and Advice and Treatment Service </w:t>
      </w:r>
      <w:r w:rsidRPr="00F552FA">
        <w:rPr>
          <w:sz w:val="20"/>
          <w:szCs w:val="20"/>
        </w:rPr>
        <w:t>(</w:t>
      </w:r>
      <w:r w:rsidRPr="00F552FA">
        <w:rPr>
          <w:sz w:val="20"/>
          <w:szCs w:val="20"/>
        </w:rPr>
        <w:t>COATS</w:t>
      </w:r>
      <w:r w:rsidRPr="00F552FA">
        <w:rPr>
          <w:sz w:val="20"/>
          <w:szCs w:val="20"/>
        </w:rPr>
        <w:t>)</w:t>
      </w:r>
      <w:r w:rsidRPr="00F552FA">
        <w:rPr>
          <w:sz w:val="20"/>
          <w:szCs w:val="20"/>
        </w:rPr>
        <w:t>.</w:t>
      </w:r>
    </w:p>
    <w:p w:rsidR="00845EEC" w:rsidRDefault="00845EEC" w:rsidP="00845EEC">
      <w:pPr>
        <w:pStyle w:val="Heading2"/>
      </w:pPr>
      <w:r>
        <w:t>Bed vacancy register</w:t>
      </w:r>
    </w:p>
    <w:p w:rsidR="00845EEC" w:rsidRPr="00F552FA" w:rsidRDefault="00845EEC" w:rsidP="00845EEC">
      <w:pPr>
        <w:spacing w:line="360" w:lineRule="auto"/>
        <w:ind w:left="0" w:right="101" w:firstLine="0"/>
        <w:rPr>
          <w:color w:val="auto"/>
          <w:sz w:val="20"/>
          <w:szCs w:val="20"/>
        </w:rPr>
      </w:pPr>
      <w:r w:rsidRPr="00F552FA">
        <w:rPr>
          <w:color w:val="auto"/>
          <w:sz w:val="20"/>
          <w:szCs w:val="20"/>
        </w:rPr>
        <w:t>Residential treatment is an essential component of an effective and integrated AOD treatment system providing a diverse range of functions including assessment, stabilisation, detoxification and rehabilitation. As Victoria moves to an integrated model, it is essential that there is greater equity of access to residential treatment and that state</w:t>
      </w:r>
      <w:r w:rsidRPr="00F552FA">
        <w:rPr>
          <w:color w:val="auto"/>
          <w:sz w:val="20"/>
          <w:szCs w:val="20"/>
        </w:rPr>
        <w:t>-</w:t>
      </w:r>
      <w:r w:rsidRPr="00F552FA">
        <w:rPr>
          <w:color w:val="auto"/>
          <w:sz w:val="20"/>
          <w:szCs w:val="20"/>
        </w:rPr>
        <w:t>wide access to a limited resource is transparent and consistent for those most in need.</w:t>
      </w:r>
    </w:p>
    <w:p w:rsidR="00845EEC" w:rsidRPr="00F552FA" w:rsidRDefault="00845EEC" w:rsidP="00845EEC">
      <w:pPr>
        <w:spacing w:line="360" w:lineRule="auto"/>
        <w:ind w:left="0" w:right="101" w:firstLine="0"/>
        <w:rPr>
          <w:color w:val="auto"/>
          <w:sz w:val="20"/>
          <w:szCs w:val="20"/>
        </w:rPr>
      </w:pPr>
      <w:r w:rsidRPr="00F552FA">
        <w:rPr>
          <w:i/>
          <w:color w:val="auto"/>
          <w:sz w:val="20"/>
          <w:szCs w:val="20"/>
        </w:rPr>
        <w:t>The Bed Vacancy Register (BVR) is an online resource that provides agencies who want to refer clients to any of the 14 specialist residential treatment agencies in Victoria with up</w:t>
      </w:r>
      <w:r w:rsidRPr="00F552FA">
        <w:rPr>
          <w:i/>
          <w:color w:val="auto"/>
          <w:sz w:val="20"/>
          <w:szCs w:val="20"/>
        </w:rPr>
        <w:t>-</w:t>
      </w:r>
      <w:r w:rsidRPr="00F552FA">
        <w:rPr>
          <w:i/>
          <w:color w:val="auto"/>
          <w:sz w:val="20"/>
          <w:szCs w:val="20"/>
        </w:rPr>
        <w:t>to</w:t>
      </w:r>
      <w:r w:rsidRPr="00F552FA">
        <w:rPr>
          <w:i/>
          <w:color w:val="auto"/>
          <w:sz w:val="20"/>
          <w:szCs w:val="20"/>
        </w:rPr>
        <w:t>-</w:t>
      </w:r>
      <w:r w:rsidRPr="00F552FA">
        <w:rPr>
          <w:i/>
          <w:color w:val="auto"/>
          <w:sz w:val="20"/>
          <w:szCs w:val="20"/>
        </w:rPr>
        <w:t>date information about current and projected vacancies</w:t>
      </w:r>
      <w:r w:rsidRPr="00F552FA">
        <w:rPr>
          <w:color w:val="auto"/>
          <w:sz w:val="20"/>
          <w:szCs w:val="20"/>
        </w:rPr>
        <w:t xml:space="preserve">. </w:t>
      </w:r>
    </w:p>
    <w:p w:rsidR="00845EEC" w:rsidRDefault="00845EEC" w:rsidP="00845EEC">
      <w:pPr>
        <w:pStyle w:val="Heading3"/>
      </w:pPr>
      <w:r w:rsidRPr="0062683C">
        <w:t xml:space="preserve">Who </w:t>
      </w:r>
      <w:r>
        <w:t xml:space="preserve">runs it, how does it work and who </w:t>
      </w:r>
      <w:r w:rsidRPr="0062683C">
        <w:t xml:space="preserve">is it for? </w:t>
      </w:r>
    </w:p>
    <w:p w:rsidR="00845EEC" w:rsidRPr="00F552FA" w:rsidRDefault="00845EEC" w:rsidP="00845EEC">
      <w:pPr>
        <w:pStyle w:val="Healthbody"/>
        <w:spacing w:line="360" w:lineRule="auto"/>
        <w:rPr>
          <w:szCs w:val="20"/>
        </w:rPr>
      </w:pPr>
      <w:r w:rsidRPr="00F552FA">
        <w:rPr>
          <w:szCs w:val="20"/>
        </w:rPr>
        <w:t>The BVR is a partnership between the Department of Health, Turning Point and all specialist AOD residential providers in Victoria. It was developed through a working group chaired by Turning Point</w:t>
      </w:r>
      <w:r w:rsidRPr="00F552FA">
        <w:rPr>
          <w:szCs w:val="20"/>
        </w:rPr>
        <w:t xml:space="preserve">, </w:t>
      </w:r>
      <w:r w:rsidRPr="00F552FA">
        <w:rPr>
          <w:szCs w:val="20"/>
        </w:rPr>
        <w:t xml:space="preserve">involving all specialist residential providers. Three phases of piloting were undertaken – the first involving paper and pencil completion and the subsequent two pilot </w:t>
      </w:r>
      <w:r w:rsidR="006054E3" w:rsidRPr="00F552FA">
        <w:rPr>
          <w:szCs w:val="20"/>
        </w:rPr>
        <w:t>phases</w:t>
      </w:r>
      <w:r w:rsidRPr="00F552FA">
        <w:rPr>
          <w:szCs w:val="20"/>
        </w:rPr>
        <w:t xml:space="preserve"> based on online completion. </w:t>
      </w:r>
    </w:p>
    <w:p w:rsidR="00845EEC" w:rsidRPr="00F552FA" w:rsidRDefault="00845EEC" w:rsidP="00845EEC">
      <w:pPr>
        <w:pStyle w:val="Healthbody"/>
        <w:spacing w:line="360" w:lineRule="auto"/>
        <w:rPr>
          <w:szCs w:val="20"/>
        </w:rPr>
      </w:pPr>
      <w:r w:rsidRPr="00F552FA">
        <w:rPr>
          <w:szCs w:val="20"/>
        </w:rPr>
        <w:t>Each residential service provides the following information for the BVR:</w:t>
      </w:r>
    </w:p>
    <w:p w:rsidR="00845EEC" w:rsidRPr="00F552FA" w:rsidRDefault="00845EEC" w:rsidP="006054E3">
      <w:pPr>
        <w:pStyle w:val="Healthbody"/>
        <w:numPr>
          <w:ilvl w:val="0"/>
          <w:numId w:val="11"/>
        </w:numPr>
        <w:spacing w:line="360" w:lineRule="auto"/>
        <w:ind w:left="284" w:hanging="284"/>
        <w:rPr>
          <w:szCs w:val="20"/>
        </w:rPr>
      </w:pPr>
      <w:r w:rsidRPr="00F552FA">
        <w:rPr>
          <w:szCs w:val="20"/>
        </w:rPr>
        <w:t xml:space="preserve">Background information: Outline of agency profile and the client group they serve – this part does not </w:t>
      </w:r>
      <w:bookmarkStart w:id="0" w:name="_GoBack"/>
      <w:bookmarkEnd w:id="0"/>
      <w:r w:rsidRPr="00F552FA">
        <w:rPr>
          <w:szCs w:val="20"/>
        </w:rPr>
        <w:t>change regularly and provides some background information about the agency. Only residential provider agencies will be able to edit information on the site.</w:t>
      </w:r>
    </w:p>
    <w:p w:rsidR="00845EEC" w:rsidRPr="00F552FA" w:rsidRDefault="00845EEC" w:rsidP="006054E3">
      <w:pPr>
        <w:pStyle w:val="Healthbody"/>
        <w:numPr>
          <w:ilvl w:val="0"/>
          <w:numId w:val="11"/>
        </w:numPr>
        <w:spacing w:line="360" w:lineRule="auto"/>
        <w:ind w:left="284" w:hanging="284"/>
        <w:rPr>
          <w:szCs w:val="20"/>
        </w:rPr>
      </w:pPr>
      <w:r w:rsidRPr="00F552FA">
        <w:rPr>
          <w:szCs w:val="20"/>
        </w:rPr>
        <w:t>Current vacancies: Each weekday a member of staff from the residential agency updates information about the number of current vacancies and the number of vacancies they expect to have in the coming days. Where possible and appropriate, additional information will be provided about who that vacancy is suitable for e.g. men or women, parents with children, or clients from the criminal justice system.</w:t>
      </w:r>
    </w:p>
    <w:p w:rsidR="00845EEC" w:rsidRPr="00F552FA" w:rsidRDefault="00845EEC" w:rsidP="00845EEC">
      <w:pPr>
        <w:pStyle w:val="Healthbody"/>
        <w:spacing w:line="360" w:lineRule="auto"/>
        <w:rPr>
          <w:szCs w:val="20"/>
        </w:rPr>
      </w:pPr>
      <w:r w:rsidRPr="00F552FA">
        <w:rPr>
          <w:szCs w:val="20"/>
        </w:rPr>
        <w:t xml:space="preserve">The information provided will offer a ‘live’ update on all of the beds across AOD services in Victoria and contact information about how clients can be referred to the most appropriate service. </w:t>
      </w:r>
    </w:p>
    <w:p w:rsidR="00845EEC" w:rsidRPr="00F552FA" w:rsidRDefault="00845EEC" w:rsidP="00845EEC">
      <w:pPr>
        <w:pStyle w:val="Healthbody"/>
        <w:spacing w:line="360" w:lineRule="auto"/>
        <w:rPr>
          <w:szCs w:val="20"/>
        </w:rPr>
      </w:pPr>
      <w:r w:rsidRPr="00F552FA">
        <w:rPr>
          <w:szCs w:val="20"/>
        </w:rPr>
        <w:t>The role of Turning Point will focus on</w:t>
      </w:r>
      <w:r w:rsidR="006054E3" w:rsidRPr="00F552FA">
        <w:rPr>
          <w:szCs w:val="20"/>
        </w:rPr>
        <w:t xml:space="preserve"> </w:t>
      </w:r>
      <w:r w:rsidRPr="00F552FA">
        <w:rPr>
          <w:szCs w:val="20"/>
        </w:rPr>
        <w:t>management of the BVR site, delivery of support to agencies to provide accurate information, and the provision of feedback around ongoing refinement of the register. Turning Point will continue to chair the working group tasked to enhance the BVR process.</w:t>
      </w:r>
    </w:p>
    <w:p w:rsidR="00845EEC" w:rsidRPr="00F552FA" w:rsidRDefault="00845EEC" w:rsidP="00845EEC">
      <w:pPr>
        <w:pStyle w:val="Healthbody"/>
        <w:spacing w:line="360" w:lineRule="auto"/>
        <w:rPr>
          <w:szCs w:val="20"/>
        </w:rPr>
      </w:pPr>
      <w:r w:rsidRPr="00F552FA">
        <w:rPr>
          <w:szCs w:val="20"/>
        </w:rPr>
        <w:t xml:space="preserve">The intended audience for the BVR site are catchment based intake and assessment services, the </w:t>
      </w:r>
      <w:r w:rsidR="005642F1">
        <w:rPr>
          <w:szCs w:val="20"/>
        </w:rPr>
        <w:t>CO</w:t>
      </w:r>
      <w:r w:rsidRPr="00F552FA">
        <w:rPr>
          <w:szCs w:val="20"/>
        </w:rPr>
        <w:t xml:space="preserve">ATS), and providers of the </w:t>
      </w:r>
      <w:r w:rsidR="006054E3" w:rsidRPr="00F552FA">
        <w:rPr>
          <w:szCs w:val="20"/>
        </w:rPr>
        <w:t>CRC</w:t>
      </w:r>
      <w:r w:rsidRPr="00F552FA">
        <w:rPr>
          <w:szCs w:val="20"/>
        </w:rPr>
        <w:t xml:space="preserve"> function who wish to refer their clients to residential treatment. These services will be able to view the BVR site to make referrals. Catchment based intake and assessment services will also facilitate access to BVR information for AOD services in their catchment seeking residential treatment for existing clients. </w:t>
      </w:r>
    </w:p>
    <w:p w:rsidR="00845EEC" w:rsidRPr="00F552FA" w:rsidRDefault="00845EEC" w:rsidP="00845EEC">
      <w:pPr>
        <w:pStyle w:val="Healthbody"/>
        <w:spacing w:line="360" w:lineRule="auto"/>
        <w:rPr>
          <w:szCs w:val="20"/>
        </w:rPr>
      </w:pPr>
      <w:r w:rsidRPr="00F552FA">
        <w:rPr>
          <w:szCs w:val="20"/>
        </w:rPr>
        <w:t xml:space="preserve">The </w:t>
      </w:r>
      <w:r w:rsidR="006054E3" w:rsidRPr="00F552FA">
        <w:rPr>
          <w:szCs w:val="20"/>
        </w:rPr>
        <w:t>BVR</w:t>
      </w:r>
      <w:r w:rsidRPr="00F552FA">
        <w:rPr>
          <w:szCs w:val="20"/>
        </w:rPr>
        <w:t xml:space="preserve"> will be accessible to intake and assessment services, COATS and CRC providers via the </w:t>
      </w:r>
      <w:proofErr w:type="spellStart"/>
      <w:r w:rsidRPr="00F552FA">
        <w:rPr>
          <w:szCs w:val="20"/>
        </w:rPr>
        <w:t>DirectLine</w:t>
      </w:r>
      <w:proofErr w:type="spellEnd"/>
      <w:r w:rsidRPr="00F552FA">
        <w:rPr>
          <w:szCs w:val="20"/>
        </w:rPr>
        <w:t xml:space="preserve"> website from 1 September 2014.</w:t>
      </w:r>
    </w:p>
    <w:p w:rsidR="00845EEC" w:rsidRDefault="00845EEC" w:rsidP="00845EEC">
      <w:pPr>
        <w:pStyle w:val="Heading3"/>
      </w:pPr>
      <w:r w:rsidRPr="00F80A42">
        <w:t>How will th</w:t>
      </w:r>
      <w:r>
        <w:t>e BVR</w:t>
      </w:r>
      <w:r w:rsidRPr="00F80A42">
        <w:t xml:space="preserve"> work?</w:t>
      </w:r>
    </w:p>
    <w:p w:rsidR="00845EEC" w:rsidRPr="00F552FA" w:rsidRDefault="00845EEC" w:rsidP="006054E3">
      <w:pPr>
        <w:pStyle w:val="Healthbody"/>
        <w:numPr>
          <w:ilvl w:val="0"/>
          <w:numId w:val="12"/>
        </w:numPr>
        <w:spacing w:line="360" w:lineRule="auto"/>
        <w:ind w:left="284" w:hanging="284"/>
        <w:rPr>
          <w:szCs w:val="20"/>
        </w:rPr>
      </w:pPr>
      <w:r w:rsidRPr="00F552FA">
        <w:rPr>
          <w:szCs w:val="20"/>
        </w:rPr>
        <w:t>Catchment intake and assessment services, COATS and CRC (the referrer) will identify a client’s need for residential treatment from AOD screening, assessment or review and will specify key client factors (e.g. gender, client only or with child, voluntary or forensic, location preference etc.)</w:t>
      </w:r>
      <w:r w:rsidR="006054E3" w:rsidRPr="00F552FA">
        <w:rPr>
          <w:szCs w:val="20"/>
        </w:rPr>
        <w:t xml:space="preserve"> and treatment type factors (in</w:t>
      </w:r>
      <w:r w:rsidRPr="00F552FA">
        <w:rPr>
          <w:szCs w:val="20"/>
        </w:rPr>
        <w:t>patient withdrawal or residential rehabilitation; planned or immediate admission).</w:t>
      </w:r>
    </w:p>
    <w:p w:rsidR="00845EEC" w:rsidRPr="00F552FA" w:rsidRDefault="00845EEC" w:rsidP="006054E3">
      <w:pPr>
        <w:pStyle w:val="Healthbody"/>
        <w:numPr>
          <w:ilvl w:val="0"/>
          <w:numId w:val="12"/>
        </w:numPr>
        <w:spacing w:line="360" w:lineRule="auto"/>
        <w:ind w:left="284" w:hanging="284"/>
        <w:rPr>
          <w:szCs w:val="20"/>
        </w:rPr>
      </w:pPr>
      <w:r w:rsidRPr="00F552FA">
        <w:rPr>
          <w:szCs w:val="20"/>
        </w:rPr>
        <w:t xml:space="preserve">The referrer will go on to the </w:t>
      </w:r>
      <w:proofErr w:type="spellStart"/>
      <w:r w:rsidRPr="00F552FA">
        <w:rPr>
          <w:szCs w:val="20"/>
        </w:rPr>
        <w:t>DirectLine</w:t>
      </w:r>
      <w:proofErr w:type="spellEnd"/>
      <w:r w:rsidRPr="00F552FA">
        <w:rPr>
          <w:szCs w:val="20"/>
        </w:rPr>
        <w:t xml:space="preserve"> website and access the BVR via the ‘For Health Professionals’ page. </w:t>
      </w:r>
    </w:p>
    <w:p w:rsidR="00845EEC" w:rsidRPr="00F552FA" w:rsidRDefault="00845EEC" w:rsidP="006054E3">
      <w:pPr>
        <w:pStyle w:val="Healthbody"/>
        <w:numPr>
          <w:ilvl w:val="0"/>
          <w:numId w:val="12"/>
        </w:numPr>
        <w:spacing w:line="360" w:lineRule="auto"/>
        <w:ind w:left="284" w:hanging="284"/>
        <w:rPr>
          <w:szCs w:val="20"/>
        </w:rPr>
      </w:pPr>
      <w:r w:rsidRPr="00F552FA">
        <w:rPr>
          <w:szCs w:val="20"/>
        </w:rPr>
        <w:t>Referrers will log on to view the BVR and search for vacancies (Turning Point will provide log-in details, information and support</w:t>
      </w:r>
      <w:r w:rsidR="006054E3" w:rsidRPr="00F552FA">
        <w:rPr>
          <w:szCs w:val="20"/>
        </w:rPr>
        <w:t xml:space="preserve"> prior to</w:t>
      </w:r>
      <w:r w:rsidRPr="00F552FA">
        <w:rPr>
          <w:szCs w:val="20"/>
        </w:rPr>
        <w:t xml:space="preserve"> 1 September 2014).</w:t>
      </w:r>
    </w:p>
    <w:p w:rsidR="00845EEC" w:rsidRPr="00F552FA" w:rsidRDefault="00845EEC" w:rsidP="006054E3">
      <w:pPr>
        <w:pStyle w:val="Healthbody"/>
        <w:numPr>
          <w:ilvl w:val="0"/>
          <w:numId w:val="12"/>
        </w:numPr>
        <w:spacing w:line="360" w:lineRule="auto"/>
        <w:ind w:left="284" w:hanging="284"/>
        <w:rPr>
          <w:szCs w:val="20"/>
        </w:rPr>
      </w:pPr>
      <w:r w:rsidRPr="00F552FA">
        <w:rPr>
          <w:szCs w:val="20"/>
        </w:rPr>
        <w:t>Referrers will identify the residential provider who has the most appropriate vacancy or projected vacancy that matches the client and treatment need.</w:t>
      </w:r>
    </w:p>
    <w:p w:rsidR="00845EEC" w:rsidRPr="00F552FA" w:rsidRDefault="00845EEC" w:rsidP="006054E3">
      <w:pPr>
        <w:pStyle w:val="Healthbody"/>
        <w:numPr>
          <w:ilvl w:val="0"/>
          <w:numId w:val="12"/>
        </w:numPr>
        <w:spacing w:line="360" w:lineRule="auto"/>
        <w:ind w:left="284" w:hanging="284"/>
        <w:rPr>
          <w:szCs w:val="20"/>
        </w:rPr>
      </w:pPr>
      <w:r w:rsidRPr="00F552FA">
        <w:rPr>
          <w:szCs w:val="20"/>
        </w:rPr>
        <w:t xml:space="preserve">Referrers will contact the residential service to discuss referral and admission. </w:t>
      </w:r>
    </w:p>
    <w:p w:rsidR="00845EEC" w:rsidRDefault="00845EEC" w:rsidP="00845EEC">
      <w:pPr>
        <w:pStyle w:val="Heading3"/>
      </w:pPr>
      <w:r w:rsidRPr="005E545B">
        <w:t xml:space="preserve">Where to from here? </w:t>
      </w:r>
    </w:p>
    <w:p w:rsidR="00845EEC" w:rsidRPr="00F552FA" w:rsidRDefault="00845EEC" w:rsidP="00845EEC">
      <w:pPr>
        <w:pStyle w:val="Healthbody"/>
        <w:spacing w:line="360" w:lineRule="auto"/>
        <w:rPr>
          <w:szCs w:val="20"/>
        </w:rPr>
      </w:pPr>
      <w:r w:rsidRPr="00F552FA">
        <w:rPr>
          <w:szCs w:val="20"/>
        </w:rPr>
        <w:t>BVR enhancements in 2014</w:t>
      </w:r>
      <w:r w:rsidR="006054E3" w:rsidRPr="00F552FA">
        <w:rPr>
          <w:szCs w:val="20"/>
        </w:rPr>
        <w:t>–</w:t>
      </w:r>
      <w:r w:rsidRPr="00F552FA">
        <w:rPr>
          <w:szCs w:val="20"/>
        </w:rPr>
        <w:t>15 will entail working closely with residential providers to identify a consistent process for prioritising clients based on their individual needs.</w:t>
      </w:r>
    </w:p>
    <w:p w:rsidR="00845EEC" w:rsidRPr="00E31AC1" w:rsidRDefault="006054E3" w:rsidP="00845EEC">
      <w:pPr>
        <w:pStyle w:val="Heading2"/>
      </w:pPr>
      <w:r>
        <w:t xml:space="preserve">More </w:t>
      </w:r>
      <w:r w:rsidR="00845EEC" w:rsidRPr="00E31AC1">
        <w:t>i</w:t>
      </w:r>
      <w:r w:rsidR="00845EEC">
        <w:t>nformation</w:t>
      </w:r>
      <w:r w:rsidR="00845EEC" w:rsidRPr="00E31AC1">
        <w:t xml:space="preserve"> </w:t>
      </w:r>
    </w:p>
    <w:p w:rsidR="00845EEC" w:rsidRPr="00F552FA" w:rsidRDefault="00F552FA" w:rsidP="00845EEC">
      <w:pPr>
        <w:rPr>
          <w:sz w:val="20"/>
          <w:szCs w:val="20"/>
        </w:rPr>
      </w:pPr>
      <w:r>
        <w:rPr>
          <w:sz w:val="20"/>
          <w:szCs w:val="20"/>
        </w:rPr>
        <w:t>For further information, please c</w:t>
      </w:r>
      <w:r w:rsidR="00845EEC" w:rsidRPr="00F552FA">
        <w:rPr>
          <w:sz w:val="20"/>
          <w:szCs w:val="20"/>
        </w:rPr>
        <w:t>ontact Amy Swan at</w:t>
      </w:r>
      <w:r w:rsidR="00845EEC" w:rsidRPr="00F552FA">
        <w:rPr>
          <w:sz w:val="20"/>
          <w:szCs w:val="20"/>
        </w:rPr>
        <w:t xml:space="preserve"> the Department of Health on 9096 5235 or </w:t>
      </w:r>
      <w:hyperlink r:id="rId11" w:history="1">
        <w:r w:rsidR="00845EEC" w:rsidRPr="00F552FA">
          <w:rPr>
            <w:color w:val="0000FF"/>
            <w:sz w:val="20"/>
            <w:szCs w:val="20"/>
            <w:u w:val="single"/>
          </w:rPr>
          <w:t>amy.swan@health.vic.gov.au</w:t>
        </w:r>
      </w:hyperlink>
      <w:r w:rsidR="006054E3" w:rsidRPr="00F552FA">
        <w:rPr>
          <w:color w:val="0000FF"/>
          <w:sz w:val="20"/>
          <w:szCs w:val="20"/>
          <w:u w:val="single"/>
        </w:rPr>
        <w:t>.</w:t>
      </w:r>
    </w:p>
    <w:p w:rsidR="00845EEC" w:rsidRDefault="00845EEC" w:rsidP="00845EEC">
      <w:pPr>
        <w:rPr>
          <w:rStyle w:val="Hyperlink"/>
          <w:sz w:val="20"/>
          <w:szCs w:val="20"/>
        </w:rPr>
      </w:pPr>
      <w:r w:rsidRPr="00F552FA">
        <w:rPr>
          <w:sz w:val="20"/>
          <w:szCs w:val="20"/>
        </w:rPr>
        <w:t xml:space="preserve">For information about </w:t>
      </w:r>
      <w:r w:rsidR="006054E3" w:rsidRPr="00F552FA">
        <w:rPr>
          <w:sz w:val="20"/>
          <w:szCs w:val="20"/>
        </w:rPr>
        <w:t xml:space="preserve">BVR </w:t>
      </w:r>
      <w:r w:rsidRPr="00F552FA">
        <w:rPr>
          <w:sz w:val="20"/>
          <w:szCs w:val="20"/>
        </w:rPr>
        <w:t>log-in access</w:t>
      </w:r>
      <w:r w:rsidR="006054E3" w:rsidRPr="00F552FA">
        <w:rPr>
          <w:sz w:val="20"/>
          <w:szCs w:val="20"/>
        </w:rPr>
        <w:t xml:space="preserve"> </w:t>
      </w:r>
      <w:r w:rsidRPr="00F552FA">
        <w:rPr>
          <w:sz w:val="20"/>
          <w:szCs w:val="20"/>
        </w:rPr>
        <w:t xml:space="preserve">for </w:t>
      </w:r>
      <w:r w:rsidRPr="00F552FA">
        <w:rPr>
          <w:sz w:val="20"/>
          <w:szCs w:val="20"/>
        </w:rPr>
        <w:t>catchment-b</w:t>
      </w:r>
      <w:r w:rsidRPr="00F552FA">
        <w:rPr>
          <w:sz w:val="20"/>
          <w:szCs w:val="20"/>
        </w:rPr>
        <w:t xml:space="preserve">ased </w:t>
      </w:r>
      <w:r w:rsidRPr="00F552FA">
        <w:rPr>
          <w:sz w:val="20"/>
          <w:szCs w:val="20"/>
        </w:rPr>
        <w:t>i</w:t>
      </w:r>
      <w:r w:rsidRPr="00F552FA">
        <w:rPr>
          <w:sz w:val="20"/>
          <w:szCs w:val="20"/>
        </w:rPr>
        <w:t xml:space="preserve">ntake and </w:t>
      </w:r>
      <w:r w:rsidRPr="00F552FA">
        <w:rPr>
          <w:sz w:val="20"/>
          <w:szCs w:val="20"/>
        </w:rPr>
        <w:t>a</w:t>
      </w:r>
      <w:r w:rsidRPr="00F552FA">
        <w:rPr>
          <w:sz w:val="20"/>
          <w:szCs w:val="20"/>
        </w:rPr>
        <w:t>ssessment providers</w:t>
      </w:r>
      <w:r w:rsidR="006054E3" w:rsidRPr="00F552FA">
        <w:rPr>
          <w:sz w:val="20"/>
          <w:szCs w:val="20"/>
        </w:rPr>
        <w:t xml:space="preserve">, </w:t>
      </w:r>
      <w:r w:rsidR="00F552FA">
        <w:rPr>
          <w:sz w:val="20"/>
          <w:szCs w:val="20"/>
        </w:rPr>
        <w:t xml:space="preserve">please </w:t>
      </w:r>
      <w:r w:rsidRPr="00F552FA">
        <w:rPr>
          <w:sz w:val="20"/>
          <w:szCs w:val="20"/>
        </w:rPr>
        <w:t xml:space="preserve">contact Rick Loos at Turning Point on 9418 1008 or </w:t>
      </w:r>
      <w:hyperlink r:id="rId12" w:history="1">
        <w:r w:rsidRPr="00F552FA">
          <w:rPr>
            <w:rStyle w:val="Hyperlink"/>
            <w:sz w:val="20"/>
            <w:szCs w:val="20"/>
          </w:rPr>
          <w:t>rickl@turningpoint.org.au</w:t>
        </w:r>
      </w:hyperlink>
      <w:r w:rsidRPr="00F552FA">
        <w:rPr>
          <w:rStyle w:val="Hyperlink"/>
          <w:sz w:val="20"/>
          <w:szCs w:val="20"/>
        </w:rPr>
        <w:t>.</w:t>
      </w:r>
    </w:p>
    <w:p w:rsidR="00F552FA" w:rsidRDefault="00F552FA" w:rsidP="00845EEC">
      <w:pPr>
        <w:rPr>
          <w:sz w:val="20"/>
          <w:szCs w:val="20"/>
        </w:rPr>
      </w:pPr>
    </w:p>
    <w:p w:rsidR="00F552FA" w:rsidRDefault="00F552FA" w:rsidP="00845EEC">
      <w:pPr>
        <w:rPr>
          <w:sz w:val="20"/>
          <w:szCs w:val="20"/>
        </w:rPr>
      </w:pPr>
    </w:p>
    <w:p w:rsidR="00F552FA" w:rsidRPr="00F552FA" w:rsidRDefault="00F552FA" w:rsidP="00845EEC">
      <w:pPr>
        <w:rPr>
          <w:sz w:val="20"/>
          <w:szCs w:val="20"/>
        </w:rPr>
      </w:pPr>
    </w:p>
    <w:p w:rsidR="005F6937" w:rsidRPr="00F552FA" w:rsidRDefault="00845EEC" w:rsidP="00845EEC">
      <w:pPr>
        <w:pStyle w:val="Healthbody"/>
        <w:pBdr>
          <w:top w:val="single" w:sz="4" w:space="1" w:color="auto"/>
          <w:left w:val="single" w:sz="4" w:space="4" w:color="auto"/>
          <w:bottom w:val="single" w:sz="4" w:space="1" w:color="auto"/>
          <w:right w:val="single" w:sz="4" w:space="4" w:color="auto"/>
        </w:pBdr>
        <w:rPr>
          <w:rFonts w:cs="Arial"/>
          <w:szCs w:val="20"/>
        </w:rPr>
      </w:pPr>
      <w:r w:rsidRPr="00F552FA">
        <w:rPr>
          <w:rFonts w:cs="Arial"/>
          <w:szCs w:val="20"/>
        </w:rPr>
        <w:t xml:space="preserve">To receive this publication in an accessible format, email </w:t>
      </w:r>
      <w:hyperlink r:id="rId13" w:history="1">
        <w:r w:rsidRPr="00F552FA">
          <w:rPr>
            <w:rStyle w:val="Hyperlink"/>
            <w:rFonts w:cs="Arial"/>
            <w:szCs w:val="20"/>
          </w:rPr>
          <w:t>aodreform@health.vic.gov.au</w:t>
        </w:r>
      </w:hyperlink>
      <w:r w:rsidRPr="00F552FA">
        <w:rPr>
          <w:rFonts w:cs="Arial"/>
          <w:szCs w:val="20"/>
        </w:rPr>
        <w:t xml:space="preserve">. Authorised and published by the Victorian Government, 1 Treasury Place, Melbourne. </w:t>
      </w:r>
    </w:p>
    <w:sectPr w:rsidR="005F6937" w:rsidRPr="00F552FA" w:rsidSect="005F6937">
      <w:headerReference w:type="default" r:id="rId14"/>
      <w:footerReference w:type="default" r:id="rId15"/>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EC" w:rsidRDefault="00845EEC">
      <w:r>
        <w:separator/>
      </w:r>
    </w:p>
  </w:endnote>
  <w:endnote w:type="continuationSeparator" w:id="0">
    <w:p w:rsidR="00845EEC" w:rsidRDefault="0084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Pr="00B43637" w:rsidRDefault="00880442" w:rsidP="00B43637">
    <w:pPr>
      <w:pStyle w:val="Healthfooter"/>
    </w:pPr>
    <w:r w:rsidRPr="00B43637">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Pr="00B43637" w:rsidRDefault="00880442" w:rsidP="00B43637">
    <w:pPr>
      <w:pStyle w:val="Healthfooter"/>
    </w:pPr>
    <w:r w:rsidRPr="00B43637">
      <w:t>Department of Health</w:t>
    </w:r>
    <w:r>
      <w:tab/>
    </w: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C02D13">
      <w:rPr>
        <w:rStyle w:val="PageNumber"/>
        <w:noProof/>
      </w:rPr>
      <w:t>2</w:t>
    </w:r>
    <w:r w:rsidRPr="00B43637">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EC" w:rsidRDefault="00845EEC">
      <w:r>
        <w:separator/>
      </w:r>
    </w:p>
  </w:footnote>
  <w:footnote w:type="continuationSeparator" w:id="0">
    <w:p w:rsidR="00845EEC" w:rsidRDefault="0084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Default="00880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1A17C8"/>
    <w:multiLevelType w:val="hybridMultilevel"/>
    <w:tmpl w:val="1A489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2F73F2"/>
    <w:multiLevelType w:val="hybridMultilevel"/>
    <w:tmpl w:val="08040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FB7851"/>
    <w:multiLevelType w:val="hybridMultilevel"/>
    <w:tmpl w:val="5E4635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0674A5"/>
    <w:multiLevelType w:val="multilevel"/>
    <w:tmpl w:val="0ED07E0E"/>
    <w:lvl w:ilvl="0">
      <w:start w:val="1"/>
      <w:numFmt w:val="bullet"/>
      <w:lvlText w:val="•"/>
      <w:lvlJc w:val="left"/>
      <w:pPr>
        <w:tabs>
          <w:tab w:val="num" w:pos="-32767"/>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F3500"/>
    <w:multiLevelType w:val="hybridMultilevel"/>
    <w:tmpl w:val="FCBC80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10"/>
  </w:num>
  <w:num w:numId="5">
    <w:abstractNumId w:val="4"/>
  </w:num>
  <w:num w:numId="6">
    <w:abstractNumId w:val="9"/>
  </w:num>
  <w:num w:numId="7">
    <w:abstractNumId w:val="7"/>
  </w:num>
  <w:num w:numId="8">
    <w:abstractNumId w:val="8"/>
  </w:num>
  <w:num w:numId="9">
    <w:abstractNumId w:val="5"/>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sDel="0" w:formatting="0" w:inkAnnotations="0"/>
  <w:defaultTabStop w:val="284"/>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37CBD"/>
    <w:rsid w:val="000627D6"/>
    <w:rsid w:val="0018345F"/>
    <w:rsid w:val="0024263F"/>
    <w:rsid w:val="002677F8"/>
    <w:rsid w:val="00277B76"/>
    <w:rsid w:val="002921F9"/>
    <w:rsid w:val="002A6394"/>
    <w:rsid w:val="00312CF7"/>
    <w:rsid w:val="00333562"/>
    <w:rsid w:val="003A40F7"/>
    <w:rsid w:val="003B2BAF"/>
    <w:rsid w:val="003C101D"/>
    <w:rsid w:val="003C2E3B"/>
    <w:rsid w:val="003E3BC9"/>
    <w:rsid w:val="003E7325"/>
    <w:rsid w:val="00414E36"/>
    <w:rsid w:val="00481823"/>
    <w:rsid w:val="004B05BF"/>
    <w:rsid w:val="005642F1"/>
    <w:rsid w:val="005A1A45"/>
    <w:rsid w:val="005F67A5"/>
    <w:rsid w:val="005F6937"/>
    <w:rsid w:val="006054E3"/>
    <w:rsid w:val="00646C6C"/>
    <w:rsid w:val="006C5161"/>
    <w:rsid w:val="00726005"/>
    <w:rsid w:val="00764A6C"/>
    <w:rsid w:val="007F4393"/>
    <w:rsid w:val="00806FD6"/>
    <w:rsid w:val="008205FB"/>
    <w:rsid w:val="00845EEC"/>
    <w:rsid w:val="00880442"/>
    <w:rsid w:val="00887764"/>
    <w:rsid w:val="008A31EB"/>
    <w:rsid w:val="008D06BB"/>
    <w:rsid w:val="008D128F"/>
    <w:rsid w:val="0090421D"/>
    <w:rsid w:val="00915914"/>
    <w:rsid w:val="009C3CEC"/>
    <w:rsid w:val="009C5D5F"/>
    <w:rsid w:val="00A604B8"/>
    <w:rsid w:val="00AD6B79"/>
    <w:rsid w:val="00B4386F"/>
    <w:rsid w:val="00C02D13"/>
    <w:rsid w:val="00CB1C3F"/>
    <w:rsid w:val="00D927C7"/>
    <w:rsid w:val="00DC76BF"/>
    <w:rsid w:val="00E41E7F"/>
    <w:rsid w:val="00F02414"/>
    <w:rsid w:val="00F06D8E"/>
    <w:rsid w:val="00F436EE"/>
    <w:rsid w:val="00F552FA"/>
    <w:rsid w:val="00FA1C77"/>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5EEC"/>
    <w:pPr>
      <w:spacing w:after="200" w:line="311" w:lineRule="auto"/>
      <w:ind w:left="10" w:hanging="10"/>
    </w:pPr>
    <w:rPr>
      <w:rFonts w:ascii="Arial" w:eastAsia="Arial" w:hAnsi="Arial" w:cs="Arial"/>
      <w:color w:val="444444"/>
      <w:sz w:val="18"/>
      <w:szCs w:val="22"/>
      <w:lang w:eastAsia="en-US"/>
    </w:rPr>
  </w:style>
  <w:style w:type="paragraph" w:styleId="Heading1">
    <w:name w:val="heading 1"/>
    <w:next w:val="Healthbody"/>
    <w:link w:val="Heading1Char"/>
    <w:qFormat/>
    <w:rsid w:val="00277B76"/>
    <w:pPr>
      <w:keepNext/>
      <w:keepLines/>
      <w:spacing w:before="400" w:after="160" w:line="440" w:lineRule="atLeast"/>
      <w:outlineLvl w:val="0"/>
    </w:pPr>
    <w:rPr>
      <w:rFonts w:ascii="Arial" w:hAnsi="Arial"/>
      <w:bCs/>
      <w:color w:val="00A88F"/>
      <w:sz w:val="44"/>
      <w:szCs w:val="44"/>
      <w:lang w:eastAsia="en-US"/>
    </w:rPr>
  </w:style>
  <w:style w:type="paragraph" w:styleId="Heading2">
    <w:name w:val="heading 2"/>
    <w:next w:val="Healthbody"/>
    <w:link w:val="Heading2Char"/>
    <w:qFormat/>
    <w:rsid w:val="00277B76"/>
    <w:pPr>
      <w:keepNext/>
      <w:keepLines/>
      <w:spacing w:before="280" w:after="120" w:line="320" w:lineRule="atLeast"/>
      <w:outlineLvl w:val="1"/>
    </w:pPr>
    <w:rPr>
      <w:rFonts w:ascii="Arial" w:hAnsi="Arial"/>
      <w:b/>
      <w:color w:val="00A88F"/>
      <w:sz w:val="28"/>
      <w:szCs w:val="28"/>
      <w:lang w:eastAsia="en-US"/>
    </w:rPr>
  </w:style>
  <w:style w:type="paragraph" w:styleId="Heading3">
    <w:name w:val="heading 3"/>
    <w:next w:val="Normal"/>
    <w:link w:val="Heading3Char"/>
    <w:uiPriority w:val="9"/>
    <w:qFormat/>
    <w:rsid w:val="003E732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Healthbody"/>
    <w:link w:val="Heading4Char"/>
    <w:uiPriority w:val="9"/>
    <w:qFormat/>
    <w:rsid w:val="00646C6C"/>
    <w:pPr>
      <w:keepNext/>
      <w:keepLines/>
      <w:spacing w:before="240" w:after="80" w:line="240" w:lineRule="atLeast"/>
      <w:outlineLvl w:val="3"/>
    </w:pPr>
    <w:rPr>
      <w:rFonts w:ascii="Arial" w:eastAsia="MS Mincho" w:hAnsi="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character" w:customStyle="1" w:styleId="Heading1Char">
    <w:name w:val="Heading 1 Char"/>
    <w:link w:val="Heading1"/>
    <w:rsid w:val="00277B76"/>
    <w:rPr>
      <w:rFonts w:ascii="Arial" w:hAnsi="Arial"/>
      <w:bCs/>
      <w:color w:val="00A88F"/>
      <w:sz w:val="44"/>
      <w:szCs w:val="44"/>
    </w:rPr>
  </w:style>
  <w:style w:type="character" w:customStyle="1" w:styleId="Heading2Char">
    <w:name w:val="Heading 2 Char"/>
    <w:link w:val="Heading2"/>
    <w:rsid w:val="00277B76"/>
    <w:rPr>
      <w:rFonts w:ascii="Arial" w:hAnsi="Arial"/>
      <w:b/>
      <w:color w:val="00A88F"/>
      <w:sz w:val="28"/>
      <w:szCs w:val="28"/>
    </w:rPr>
  </w:style>
  <w:style w:type="character" w:customStyle="1" w:styleId="Heading3Char">
    <w:name w:val="Heading 3 Char"/>
    <w:link w:val="Heading3"/>
    <w:uiPriority w:val="9"/>
    <w:rsid w:val="003E7325"/>
    <w:rPr>
      <w:rFonts w:ascii="Arial" w:eastAsia="MS Gothic" w:hAnsi="Arial"/>
      <w:b/>
      <w:bCs/>
      <w:sz w:val="24"/>
      <w:szCs w:val="26"/>
    </w:rPr>
  </w:style>
  <w:style w:type="character" w:customStyle="1" w:styleId="Heading4Char">
    <w:name w:val="Heading 4 Char"/>
    <w:link w:val="Heading4"/>
    <w:uiPriority w:val="9"/>
    <w:rsid w:val="00646C6C"/>
    <w:rPr>
      <w:rFonts w:ascii="Arial" w:eastAsia="MS Mincho" w:hAnsi="Arial"/>
      <w:b/>
      <w:bCs/>
    </w:rPr>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styleId="Header">
    <w:name w:val="header"/>
    <w:basedOn w:val="Normal"/>
    <w:rsid w:val="00B43637"/>
    <w:pPr>
      <w:tabs>
        <w:tab w:val="center" w:pos="4320"/>
        <w:tab w:val="right" w:pos="8640"/>
      </w:tabs>
    </w:p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2"/>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unhideWhenUsed/>
    <w:rsid w:val="00A604B8"/>
    <w:rPr>
      <w:rFonts w:ascii="Lucida Grande" w:hAnsi="Lucida Grande" w:cs="Lucida Grande"/>
    </w:rPr>
  </w:style>
  <w:style w:type="character" w:customStyle="1" w:styleId="DocumentMapChar">
    <w:name w:val="Document Map Char"/>
    <w:link w:val="DocumentMap"/>
    <w:uiPriority w:val="99"/>
    <w:semiHidden/>
    <w:rsid w:val="00A604B8"/>
    <w:rPr>
      <w:rFonts w:ascii="Lucida Grande" w:eastAsia="Cambria" w:hAnsi="Lucida Grande" w:cs="Lucida Grande"/>
      <w:sz w:val="24"/>
      <w:szCs w:val="24"/>
      <w:lang w:val="en-US"/>
    </w:rPr>
  </w:style>
  <w:style w:type="character" w:customStyle="1" w:styleId="HealthbodyChar">
    <w:name w:val="Health body Char"/>
    <w:link w:val="Healthbody"/>
    <w:locked/>
    <w:rsid w:val="00845EEC"/>
    <w:rPr>
      <w:rFonts w:ascii="Arial" w:eastAsia="MS Mincho" w:hAnsi="Arial"/>
      <w:szCs w:val="24"/>
      <w:lang w:eastAsia="en-US"/>
    </w:rPr>
  </w:style>
  <w:style w:type="character" w:styleId="Hyperlink">
    <w:name w:val="Hyperlink"/>
    <w:uiPriority w:val="99"/>
    <w:unhideWhenUsed/>
    <w:rsid w:val="00845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5EEC"/>
    <w:pPr>
      <w:spacing w:after="200" w:line="311" w:lineRule="auto"/>
      <w:ind w:left="10" w:hanging="10"/>
    </w:pPr>
    <w:rPr>
      <w:rFonts w:ascii="Arial" w:eastAsia="Arial" w:hAnsi="Arial" w:cs="Arial"/>
      <w:color w:val="444444"/>
      <w:sz w:val="18"/>
      <w:szCs w:val="22"/>
      <w:lang w:eastAsia="en-US"/>
    </w:rPr>
  </w:style>
  <w:style w:type="paragraph" w:styleId="Heading1">
    <w:name w:val="heading 1"/>
    <w:next w:val="Healthbody"/>
    <w:link w:val="Heading1Char"/>
    <w:qFormat/>
    <w:rsid w:val="00277B76"/>
    <w:pPr>
      <w:keepNext/>
      <w:keepLines/>
      <w:spacing w:before="400" w:after="160" w:line="440" w:lineRule="atLeast"/>
      <w:outlineLvl w:val="0"/>
    </w:pPr>
    <w:rPr>
      <w:rFonts w:ascii="Arial" w:hAnsi="Arial"/>
      <w:bCs/>
      <w:color w:val="00A88F"/>
      <w:sz w:val="44"/>
      <w:szCs w:val="44"/>
      <w:lang w:eastAsia="en-US"/>
    </w:rPr>
  </w:style>
  <w:style w:type="paragraph" w:styleId="Heading2">
    <w:name w:val="heading 2"/>
    <w:next w:val="Healthbody"/>
    <w:link w:val="Heading2Char"/>
    <w:qFormat/>
    <w:rsid w:val="00277B76"/>
    <w:pPr>
      <w:keepNext/>
      <w:keepLines/>
      <w:spacing w:before="280" w:after="120" w:line="320" w:lineRule="atLeast"/>
      <w:outlineLvl w:val="1"/>
    </w:pPr>
    <w:rPr>
      <w:rFonts w:ascii="Arial" w:hAnsi="Arial"/>
      <w:b/>
      <w:color w:val="00A88F"/>
      <w:sz w:val="28"/>
      <w:szCs w:val="28"/>
      <w:lang w:eastAsia="en-US"/>
    </w:rPr>
  </w:style>
  <w:style w:type="paragraph" w:styleId="Heading3">
    <w:name w:val="heading 3"/>
    <w:next w:val="Normal"/>
    <w:link w:val="Heading3Char"/>
    <w:uiPriority w:val="9"/>
    <w:qFormat/>
    <w:rsid w:val="003E732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Healthbody"/>
    <w:link w:val="Heading4Char"/>
    <w:uiPriority w:val="9"/>
    <w:qFormat/>
    <w:rsid w:val="00646C6C"/>
    <w:pPr>
      <w:keepNext/>
      <w:keepLines/>
      <w:spacing w:before="240" w:after="80" w:line="240" w:lineRule="atLeast"/>
      <w:outlineLvl w:val="3"/>
    </w:pPr>
    <w:rPr>
      <w:rFonts w:ascii="Arial" w:eastAsia="MS Mincho" w:hAnsi="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character" w:customStyle="1" w:styleId="Heading1Char">
    <w:name w:val="Heading 1 Char"/>
    <w:link w:val="Heading1"/>
    <w:rsid w:val="00277B76"/>
    <w:rPr>
      <w:rFonts w:ascii="Arial" w:hAnsi="Arial"/>
      <w:bCs/>
      <w:color w:val="00A88F"/>
      <w:sz w:val="44"/>
      <w:szCs w:val="44"/>
    </w:rPr>
  </w:style>
  <w:style w:type="character" w:customStyle="1" w:styleId="Heading2Char">
    <w:name w:val="Heading 2 Char"/>
    <w:link w:val="Heading2"/>
    <w:rsid w:val="00277B76"/>
    <w:rPr>
      <w:rFonts w:ascii="Arial" w:hAnsi="Arial"/>
      <w:b/>
      <w:color w:val="00A88F"/>
      <w:sz w:val="28"/>
      <w:szCs w:val="28"/>
    </w:rPr>
  </w:style>
  <w:style w:type="character" w:customStyle="1" w:styleId="Heading3Char">
    <w:name w:val="Heading 3 Char"/>
    <w:link w:val="Heading3"/>
    <w:uiPriority w:val="9"/>
    <w:rsid w:val="003E7325"/>
    <w:rPr>
      <w:rFonts w:ascii="Arial" w:eastAsia="MS Gothic" w:hAnsi="Arial"/>
      <w:b/>
      <w:bCs/>
      <w:sz w:val="24"/>
      <w:szCs w:val="26"/>
    </w:rPr>
  </w:style>
  <w:style w:type="character" w:customStyle="1" w:styleId="Heading4Char">
    <w:name w:val="Heading 4 Char"/>
    <w:link w:val="Heading4"/>
    <w:uiPriority w:val="9"/>
    <w:rsid w:val="00646C6C"/>
    <w:rPr>
      <w:rFonts w:ascii="Arial" w:eastAsia="MS Mincho" w:hAnsi="Arial"/>
      <w:b/>
      <w:bCs/>
    </w:rPr>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styleId="Header">
    <w:name w:val="header"/>
    <w:basedOn w:val="Normal"/>
    <w:rsid w:val="00B43637"/>
    <w:pPr>
      <w:tabs>
        <w:tab w:val="center" w:pos="4320"/>
        <w:tab w:val="right" w:pos="8640"/>
      </w:tabs>
    </w:p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2"/>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unhideWhenUsed/>
    <w:rsid w:val="00A604B8"/>
    <w:rPr>
      <w:rFonts w:ascii="Lucida Grande" w:hAnsi="Lucida Grande" w:cs="Lucida Grande"/>
    </w:rPr>
  </w:style>
  <w:style w:type="character" w:customStyle="1" w:styleId="DocumentMapChar">
    <w:name w:val="Document Map Char"/>
    <w:link w:val="DocumentMap"/>
    <w:uiPriority w:val="99"/>
    <w:semiHidden/>
    <w:rsid w:val="00A604B8"/>
    <w:rPr>
      <w:rFonts w:ascii="Lucida Grande" w:eastAsia="Cambria" w:hAnsi="Lucida Grande" w:cs="Lucida Grande"/>
      <w:sz w:val="24"/>
      <w:szCs w:val="24"/>
      <w:lang w:val="en-US"/>
    </w:rPr>
  </w:style>
  <w:style w:type="character" w:customStyle="1" w:styleId="HealthbodyChar">
    <w:name w:val="Health body Char"/>
    <w:link w:val="Healthbody"/>
    <w:locked/>
    <w:rsid w:val="00845EEC"/>
    <w:rPr>
      <w:rFonts w:ascii="Arial" w:eastAsia="MS Mincho" w:hAnsi="Arial"/>
      <w:szCs w:val="24"/>
      <w:lang w:eastAsia="en-US"/>
    </w:rPr>
  </w:style>
  <w:style w:type="character" w:styleId="Hyperlink">
    <w:name w:val="Hyperlink"/>
    <w:uiPriority w:val="99"/>
    <w:unhideWhenUsed/>
    <w:rsid w:val="00845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odreform@health.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ckl@turningpoint.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y.swan@health.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DH%20Specific\Newsletters\Portrait\Green%20colou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 colour 5.dot</Template>
  <TotalTime>117</TotalTime>
  <Pages>2</Pages>
  <Words>747</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Bed vacancy register</vt:lpstr>
      <vt:lpstr>        Who runs it, how does it work and who is it for? </vt:lpstr>
      <vt:lpstr>        How will the BVR work?</vt:lpstr>
      <vt:lpstr>        Where to from here? </vt:lpstr>
      <vt:lpstr>    More information </vt:lpstr>
    </vt:vector>
  </TitlesOfParts>
  <Manager/>
  <Company>Department of Health, Victoria</Company>
  <LinksUpToDate>false</LinksUpToDate>
  <CharactersWithSpaces>5093</CharactersWithSpaces>
  <SharedDoc>false</SharedDoc>
  <HyperlinkBase/>
  <HLinks>
    <vt:vector size="18" baseType="variant">
      <vt:variant>
        <vt:i4>5636175</vt:i4>
      </vt:variant>
      <vt:variant>
        <vt:i4>2051</vt:i4>
      </vt:variant>
      <vt:variant>
        <vt:i4>1026</vt:i4>
      </vt:variant>
      <vt:variant>
        <vt:i4>1</vt:i4>
      </vt:variant>
      <vt:variant>
        <vt:lpwstr>Green range colour 5</vt:lpwstr>
      </vt:variant>
      <vt:variant>
        <vt:lpwstr/>
      </vt:variant>
      <vt:variant>
        <vt:i4>1114185</vt:i4>
      </vt:variant>
      <vt:variant>
        <vt:i4>5582</vt:i4>
      </vt:variant>
      <vt:variant>
        <vt:i4>1025</vt:i4>
      </vt:variant>
      <vt:variant>
        <vt:i4>1</vt:i4>
      </vt:variant>
      <vt:variant>
        <vt:lpwstr>Gray box</vt:lpwstr>
      </vt:variant>
      <vt:variant>
        <vt:lpwstr/>
      </vt:variant>
      <vt:variant>
        <vt:i4>7733268</vt:i4>
      </vt:variant>
      <vt:variant>
        <vt:i4>-1</vt:i4>
      </vt:variant>
      <vt:variant>
        <vt:i4>1038</vt:i4>
      </vt:variant>
      <vt:variant>
        <vt:i4>1</vt:i4>
      </vt:variant>
      <vt:variant>
        <vt:lpwstr>SGV 541 as RGB - 2cm wide at 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mcar2107</dc:creator>
  <cp:keywords/>
  <dc:description/>
  <cp:lastModifiedBy>mcar2107</cp:lastModifiedBy>
  <cp:revision>2</cp:revision>
  <dcterms:created xsi:type="dcterms:W3CDTF">2014-07-31T02:17:00Z</dcterms:created>
  <dcterms:modified xsi:type="dcterms:W3CDTF">2014-07-31T04:15:00Z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