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E5F" w:rsidRPr="004946F4" w:rsidRDefault="0013521C" w:rsidP="00DE6028">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63485" cy="2066290"/>
            <wp:effectExtent l="0" t="0" r="0" b="0"/>
            <wp:wrapNone/>
            <wp:docPr id="19" name="Picture 19" descr="Factsheet Banner 06 Teal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actsheet Banner 06 Teal 3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20662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10137"/>
      </w:tblGrid>
      <w:tr w:rsidR="00EF36AF" w:rsidTr="00166579">
        <w:trPr>
          <w:trHeight w:val="1276"/>
        </w:trPr>
        <w:tc>
          <w:tcPr>
            <w:tcW w:w="10137" w:type="dxa"/>
            <w:shd w:val="clear" w:color="auto" w:fill="auto"/>
            <w:vAlign w:val="bottom"/>
          </w:tcPr>
          <w:p w:rsidR="004946F4" w:rsidRPr="00161AA0" w:rsidRDefault="0013521C" w:rsidP="00166579">
            <w:pPr>
              <w:pStyle w:val="DHHSmainheading"/>
              <w:jc w:val="center"/>
            </w:pPr>
            <w:r>
              <w:t>Guide to the Drugs Poisons and Controlled Substances</w:t>
            </w:r>
            <w:r w:rsidR="00166579">
              <w:t xml:space="preserve"> Regulations 2006</w:t>
            </w:r>
          </w:p>
        </w:tc>
      </w:tr>
      <w:tr w:rsidR="005D6597" w:rsidTr="00166579">
        <w:trPr>
          <w:trHeight w:val="494"/>
        </w:trPr>
        <w:tc>
          <w:tcPr>
            <w:tcW w:w="10137" w:type="dxa"/>
            <w:shd w:val="clear" w:color="auto" w:fill="auto"/>
            <w:tcMar>
              <w:top w:w="510" w:type="dxa"/>
            </w:tcMar>
          </w:tcPr>
          <w:p w:rsidR="005D6597" w:rsidRDefault="005D6597" w:rsidP="004F6936">
            <w:pPr>
              <w:pStyle w:val="DHHSmainsubheading"/>
            </w:pPr>
          </w:p>
        </w:tc>
      </w:tr>
    </w:tbl>
    <w:p w:rsidR="0013521C" w:rsidRDefault="0013521C" w:rsidP="0013521C">
      <w:pPr>
        <w:pStyle w:val="DHbody"/>
        <w:rPr>
          <w:rStyle w:val="DHbodyChar"/>
        </w:rPr>
      </w:pPr>
    </w:p>
    <w:p w:rsidR="0013521C" w:rsidRPr="00497C1B" w:rsidRDefault="0013521C" w:rsidP="0013521C">
      <w:pPr>
        <w:pStyle w:val="DHbody"/>
        <w:rPr>
          <w:lang w:eastAsia="en-AU"/>
        </w:rPr>
      </w:pPr>
      <w:r>
        <w:rPr>
          <w:noProof/>
          <w:lang w:eastAsia="en-AU"/>
        </w:rPr>
        <mc:AlternateContent>
          <mc:Choice Requires="wps">
            <w:drawing>
              <wp:anchor distT="0" distB="0" distL="114300" distR="114300" simplePos="0" relativeHeight="251659776" behindDoc="0" locked="1" layoutInCell="1" allowOverlap="0">
                <wp:simplePos x="0" y="0"/>
                <wp:positionH relativeFrom="margin">
                  <wp:posOffset>50165</wp:posOffset>
                </wp:positionH>
                <wp:positionV relativeFrom="page">
                  <wp:posOffset>344805</wp:posOffset>
                </wp:positionV>
                <wp:extent cx="4252595" cy="122555"/>
                <wp:effectExtent l="0" t="127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59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13521C" w:rsidRPr="004D1F81" w:rsidRDefault="0013521C" w:rsidP="0013521C">
                            <w:pPr>
                              <w:pStyle w:val="DHMainheading"/>
                              <w:rPr>
                                <w:lang w:eastAsia="en-AU"/>
                              </w:rPr>
                            </w:pPr>
                            <w:r w:rsidRPr="004D1F81">
                              <w:rPr>
                                <w:lang w:eastAsia="en-AU"/>
                              </w:rPr>
                              <w:t>Guide to the Drugs Poisons and Controlled Substances Regulations 2006</w:t>
                            </w:r>
                          </w:p>
                          <w:p w:rsidR="0013521C" w:rsidRPr="004D1F81" w:rsidRDefault="0013521C" w:rsidP="0013521C">
                            <w:pPr>
                              <w:rPr>
                                <w:color w:val="FFFF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95pt;margin-top:27.15pt;width:334.85pt;height:9.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" o:allowoverlap="f" filled="f" stroked="f" strokecolor="white">
                <v:textbox inset="0,0,0,0">
                  <w:txbxContent>
                    <w:p w:rsidR="0013521C" w:rsidRPr="004D1F81" w:rsidRDefault="0013521C" w:rsidP="0013521C">
                      <w:pPr>
                        <w:pStyle w:val="DHMainheading"/>
                        <w:rPr>
                          <w:lang w:eastAsia="en-AU"/>
                        </w:rPr>
                      </w:pPr>
                      <w:r w:rsidRPr="004D1F81">
                        <w:rPr>
                          <w:lang w:eastAsia="en-AU"/>
                        </w:rPr>
                        <w:t>Guide to the Drugs Poisons and Controlled Substances Regulations 2006</w:t>
                      </w:r>
                    </w:p>
                    <w:p w:rsidR="0013521C" w:rsidRPr="004D1F81" w:rsidRDefault="0013521C" w:rsidP="0013521C">
                      <w:pPr>
                        <w:rPr>
                          <w:color w:val="FFFFFF"/>
                        </w:rPr>
                      </w:pPr>
                    </w:p>
                  </w:txbxContent>
                </v:textbox>
                <w10:wrap anchorx="margin" anchory="page"/>
                <w10:anchorlock/>
              </v:shape>
            </w:pict>
          </mc:Fallback>
        </mc:AlternateContent>
      </w:r>
      <w:r w:rsidRPr="00E324CD">
        <w:rPr>
          <w:rStyle w:val="DHbodyChar"/>
        </w:rPr>
        <w:t xml:space="preserve">This guide has been prepared </w:t>
      </w:r>
      <w:r>
        <w:rPr>
          <w:rStyle w:val="DHbodyChar"/>
        </w:rPr>
        <w:t xml:space="preserve">by Drugs and Poisons Regulation </w:t>
      </w:r>
      <w:r w:rsidRPr="00E324CD">
        <w:rPr>
          <w:rStyle w:val="DHbodyChar"/>
        </w:rPr>
        <w:t xml:space="preserve">to assist health </w:t>
      </w:r>
      <w:r>
        <w:rPr>
          <w:rStyle w:val="DHbodyChar"/>
        </w:rPr>
        <w:t>practitioners</w:t>
      </w:r>
      <w:r w:rsidRPr="00E324CD">
        <w:rPr>
          <w:rStyle w:val="DHbodyChar"/>
        </w:rPr>
        <w:t xml:space="preserve"> who are</w:t>
      </w:r>
      <w:r w:rsidRPr="00497C1B">
        <w:rPr>
          <w:lang w:eastAsia="en-AU"/>
        </w:rPr>
        <w:t xml:space="preserve"> regulated by the </w:t>
      </w:r>
      <w:r w:rsidRPr="00497C1B">
        <w:rPr>
          <w:i/>
          <w:iCs/>
          <w:lang w:eastAsia="en-AU"/>
        </w:rPr>
        <w:t xml:space="preserve">Drugs, Poisons and Controlled Substances Act 1981 </w:t>
      </w:r>
      <w:r w:rsidRPr="00497C1B">
        <w:rPr>
          <w:lang w:eastAsia="en-AU"/>
        </w:rPr>
        <w:t>(the Act) and the Drugs, Poisons and Controlled Substances Regulations 2006 (the Regulations).</w:t>
      </w:r>
    </w:p>
    <w:p w:rsidR="0013521C" w:rsidRPr="00497C1B" w:rsidRDefault="0013521C" w:rsidP="0013521C">
      <w:pPr>
        <w:pStyle w:val="DHbody"/>
        <w:rPr>
          <w:lang w:eastAsia="en-AU"/>
        </w:rPr>
      </w:pPr>
      <w:r w:rsidRPr="00497C1B">
        <w:rPr>
          <w:lang w:eastAsia="en-AU"/>
        </w:rPr>
        <w:t>It is intended to explain aspects of the regulations, to assist in achieving compliance and to provide,</w:t>
      </w:r>
      <w:r>
        <w:rPr>
          <w:lang w:eastAsia="en-AU"/>
        </w:rPr>
        <w:t xml:space="preserve"> </w:t>
      </w:r>
      <w:r w:rsidRPr="00497C1B">
        <w:rPr>
          <w:lang w:eastAsia="en-AU"/>
        </w:rPr>
        <w:t xml:space="preserve">in some areas, one, though not necessarily the only, means of compliance. </w:t>
      </w:r>
      <w:r>
        <w:rPr>
          <w:lang w:eastAsia="en-AU"/>
        </w:rPr>
        <w:t xml:space="preserve"> </w:t>
      </w:r>
      <w:r w:rsidRPr="00497C1B">
        <w:rPr>
          <w:lang w:eastAsia="en-AU"/>
        </w:rPr>
        <w:t>It is not intended to</w:t>
      </w:r>
      <w:r>
        <w:rPr>
          <w:lang w:eastAsia="en-AU"/>
        </w:rPr>
        <w:t xml:space="preserve"> </w:t>
      </w:r>
      <w:r w:rsidRPr="00497C1B">
        <w:rPr>
          <w:lang w:eastAsia="en-AU"/>
        </w:rPr>
        <w:t>reiterate requirements or attempt to provide a legal or exhaustive interpretation.</w:t>
      </w:r>
      <w:r>
        <w:rPr>
          <w:lang w:eastAsia="en-AU"/>
        </w:rPr>
        <w:t xml:space="preserve">  As</w:t>
      </w:r>
      <w:r w:rsidRPr="00497C1B">
        <w:rPr>
          <w:lang w:eastAsia="en-AU"/>
        </w:rPr>
        <w:t xml:space="preserve"> the Regulations may be amended from time to time, this guide must be a dynamic one, so</w:t>
      </w:r>
      <w:r>
        <w:rPr>
          <w:lang w:eastAsia="en-AU"/>
        </w:rPr>
        <w:t xml:space="preserve"> </w:t>
      </w:r>
      <w:r w:rsidRPr="00497C1B">
        <w:rPr>
          <w:lang w:eastAsia="en-AU"/>
        </w:rPr>
        <w:t>care should be taken to refer to the current version.</w:t>
      </w:r>
    </w:p>
    <w:p w:rsidR="0013521C" w:rsidRPr="00497C1B" w:rsidRDefault="0013521C" w:rsidP="0013521C">
      <w:pPr>
        <w:pStyle w:val="DHbody"/>
        <w:rPr>
          <w:lang w:eastAsia="en-AU"/>
        </w:rPr>
      </w:pPr>
      <w:r w:rsidRPr="00497C1B">
        <w:rPr>
          <w:lang w:eastAsia="en-AU"/>
        </w:rPr>
        <w:t>This guide does not include guidance for those regulations or sections of the regulations that appear</w:t>
      </w:r>
      <w:r>
        <w:rPr>
          <w:lang w:eastAsia="en-AU"/>
        </w:rPr>
        <w:t xml:space="preserve"> </w:t>
      </w:r>
      <w:r w:rsidRPr="00497C1B">
        <w:rPr>
          <w:lang w:eastAsia="en-AU"/>
        </w:rPr>
        <w:t>to be self-explanatory.</w:t>
      </w:r>
      <w:r>
        <w:rPr>
          <w:lang w:eastAsia="en-AU"/>
        </w:rPr>
        <w:t xml:space="preserve">  </w:t>
      </w:r>
      <w:r w:rsidRPr="00497C1B">
        <w:rPr>
          <w:lang w:eastAsia="en-AU"/>
        </w:rPr>
        <w:t>Contents of the guide are presented in the numerical order of the regulations to which they relate.</w:t>
      </w:r>
    </w:p>
    <w:p w:rsidR="0013521C" w:rsidRPr="00497C1B" w:rsidRDefault="0013521C" w:rsidP="0013521C">
      <w:pPr>
        <w:pStyle w:val="DHbody"/>
        <w:rPr>
          <w:lang w:eastAsia="en-AU"/>
        </w:rPr>
      </w:pPr>
      <w:r w:rsidRPr="00497C1B">
        <w:rPr>
          <w:lang w:eastAsia="en-AU"/>
        </w:rPr>
        <w:t>Should further explanation or clarification of any aspect of the Regulations be needed, officers of the</w:t>
      </w:r>
      <w:r>
        <w:rPr>
          <w:lang w:eastAsia="en-AU"/>
        </w:rPr>
        <w:t xml:space="preserve"> </w:t>
      </w:r>
      <w:r w:rsidRPr="00497C1B">
        <w:rPr>
          <w:lang w:eastAsia="en-AU"/>
        </w:rPr>
        <w:t xml:space="preserve">Department of </w:t>
      </w:r>
      <w:r>
        <w:rPr>
          <w:lang w:eastAsia="en-AU"/>
        </w:rPr>
        <w:t>Health</w:t>
      </w:r>
      <w:r w:rsidRPr="00497C1B">
        <w:rPr>
          <w:lang w:eastAsia="en-AU"/>
        </w:rPr>
        <w:t xml:space="preserve"> </w:t>
      </w:r>
      <w:r>
        <w:rPr>
          <w:lang w:eastAsia="en-AU"/>
        </w:rPr>
        <w:t xml:space="preserve">&amp; Human Services </w:t>
      </w:r>
      <w:r w:rsidRPr="00497C1B">
        <w:rPr>
          <w:lang w:eastAsia="en-AU"/>
        </w:rPr>
        <w:t>can be contacted on telephone 1300 364 545.</w:t>
      </w:r>
    </w:p>
    <w:p w:rsidR="0013521C" w:rsidRPr="00497C1B" w:rsidRDefault="0013521C" w:rsidP="0013521C">
      <w:pPr>
        <w:pStyle w:val="DHheading2"/>
        <w:rPr>
          <w:lang w:eastAsia="en-AU"/>
        </w:rPr>
      </w:pPr>
      <w:r>
        <w:rPr>
          <w:lang w:eastAsia="en-AU"/>
        </w:rPr>
        <w:t xml:space="preserve">“Approved by the </w:t>
      </w:r>
      <w:r w:rsidRPr="00497C1B">
        <w:rPr>
          <w:lang w:eastAsia="en-AU"/>
        </w:rPr>
        <w:t>Secretary</w:t>
      </w:r>
      <w:r>
        <w:rPr>
          <w:lang w:eastAsia="en-AU"/>
        </w:rPr>
        <w:t>”</w:t>
      </w:r>
    </w:p>
    <w:p w:rsidR="0013521C" w:rsidRPr="00497C1B" w:rsidRDefault="0013521C" w:rsidP="0013521C">
      <w:pPr>
        <w:pStyle w:val="DHbody"/>
        <w:rPr>
          <w:lang w:eastAsia="en-AU"/>
        </w:rPr>
      </w:pPr>
      <w:r w:rsidRPr="00497C1B">
        <w:rPr>
          <w:lang w:eastAsia="en-AU"/>
        </w:rPr>
        <w:t xml:space="preserve">Some regulations allow for the Secretary </w:t>
      </w:r>
      <w:r>
        <w:rPr>
          <w:lang w:eastAsia="en-AU"/>
        </w:rPr>
        <w:t xml:space="preserve">of the Department of Health &amp; Human Services </w:t>
      </w:r>
      <w:r w:rsidRPr="00497C1B">
        <w:rPr>
          <w:lang w:eastAsia="en-AU"/>
        </w:rPr>
        <w:t>to approve details that are not contained within the</w:t>
      </w:r>
      <w:r>
        <w:rPr>
          <w:lang w:eastAsia="en-AU"/>
        </w:rPr>
        <w:t xml:space="preserve"> </w:t>
      </w:r>
      <w:r w:rsidRPr="00497C1B">
        <w:rPr>
          <w:lang w:eastAsia="en-AU"/>
        </w:rPr>
        <w:t>Regulations, e</w:t>
      </w:r>
      <w:r>
        <w:rPr>
          <w:lang w:eastAsia="en-AU"/>
        </w:rPr>
        <w:t>.</w:t>
      </w:r>
      <w:r w:rsidRPr="00497C1B">
        <w:rPr>
          <w:lang w:eastAsia="en-AU"/>
        </w:rPr>
        <w:t xml:space="preserve">g. </w:t>
      </w:r>
      <w:r w:rsidRPr="00BF3383">
        <w:rPr>
          <w:i/>
          <w:lang w:eastAsia="en-AU"/>
        </w:rPr>
        <w:t>Criteria for computer-generated prescriptions</w:t>
      </w:r>
      <w:r>
        <w:rPr>
          <w:lang w:eastAsia="en-AU"/>
        </w:rPr>
        <w:t xml:space="preserve"> and</w:t>
      </w:r>
      <w:r w:rsidRPr="00497C1B">
        <w:rPr>
          <w:lang w:eastAsia="en-AU"/>
        </w:rPr>
        <w:t xml:space="preserve"> the poisons or classes of poisons</w:t>
      </w:r>
      <w:r>
        <w:rPr>
          <w:lang w:eastAsia="en-AU"/>
        </w:rPr>
        <w:t xml:space="preserve"> </w:t>
      </w:r>
      <w:r w:rsidRPr="00497C1B">
        <w:rPr>
          <w:lang w:eastAsia="en-AU"/>
        </w:rPr>
        <w:t>that may be possessed by the categories of person that are listed in regulation 5.</w:t>
      </w:r>
    </w:p>
    <w:p w:rsidR="0013521C" w:rsidRPr="00497C1B" w:rsidRDefault="0013521C" w:rsidP="0013521C">
      <w:pPr>
        <w:pStyle w:val="DHbody"/>
        <w:rPr>
          <w:lang w:eastAsia="en-AU"/>
        </w:rPr>
      </w:pPr>
      <w:r w:rsidRPr="00497C1B">
        <w:rPr>
          <w:lang w:eastAsia="en-AU"/>
        </w:rPr>
        <w:t xml:space="preserve">Details of matters “Approved by the Secretary” are separately listed on </w:t>
      </w:r>
      <w:r>
        <w:rPr>
          <w:lang w:eastAsia="en-AU"/>
        </w:rPr>
        <w:t>the Drugs and Poisons</w:t>
      </w:r>
      <w:r w:rsidRPr="00497C1B">
        <w:rPr>
          <w:lang w:eastAsia="en-AU"/>
        </w:rPr>
        <w:t xml:space="preserve"> website</w:t>
      </w:r>
      <w:r>
        <w:rPr>
          <w:lang w:eastAsia="en-AU"/>
        </w:rPr>
        <w:t xml:space="preserve"> </w:t>
      </w:r>
      <w:hyperlink r:id="rId9" w:history="1">
        <w:r w:rsidRPr="0013521C">
          <w:rPr>
            <w:rStyle w:val="Hyperlink"/>
            <w:color w:val="0000FF"/>
            <w:lang w:eastAsia="en-AU"/>
          </w:rPr>
          <w:t>http://www.health.vic.gov.au/dpcs/approve.htm</w:t>
        </w:r>
      </w:hyperlink>
      <w:r>
        <w:rPr>
          <w:lang w:eastAsia="en-AU"/>
        </w:rPr>
        <w:t xml:space="preserve"> </w:t>
      </w:r>
      <w:r w:rsidRPr="00497C1B">
        <w:rPr>
          <w:lang w:eastAsia="en-AU"/>
        </w:rPr>
        <w:t>to assist those</w:t>
      </w:r>
      <w:r>
        <w:rPr>
          <w:lang w:eastAsia="en-AU"/>
        </w:rPr>
        <w:t xml:space="preserve"> </w:t>
      </w:r>
      <w:r w:rsidRPr="00497C1B">
        <w:rPr>
          <w:lang w:eastAsia="en-AU"/>
        </w:rPr>
        <w:t>persons who are affected by the approvals.</w:t>
      </w:r>
    </w:p>
    <w:p w:rsidR="0013521C" w:rsidRPr="00497C1B" w:rsidRDefault="0013521C" w:rsidP="0013521C">
      <w:pPr>
        <w:pStyle w:val="DHbody"/>
        <w:rPr>
          <w:lang w:eastAsia="en-AU"/>
        </w:rPr>
      </w:pPr>
      <w:r w:rsidRPr="00497C1B">
        <w:rPr>
          <w:lang w:eastAsia="en-AU"/>
        </w:rPr>
        <w:t>Details of matters “Approved by the Secretary” may change from time to time, so care should be</w:t>
      </w:r>
      <w:r>
        <w:rPr>
          <w:lang w:eastAsia="en-AU"/>
        </w:rPr>
        <w:t xml:space="preserve"> </w:t>
      </w:r>
      <w:r w:rsidRPr="00497C1B">
        <w:rPr>
          <w:lang w:eastAsia="en-AU"/>
        </w:rPr>
        <w:t>taken to refer to the current version.</w:t>
      </w:r>
    </w:p>
    <w:p w:rsidR="0013521C" w:rsidRDefault="0013521C" w:rsidP="0013521C">
      <w:pPr>
        <w:pStyle w:val="DHheading2"/>
        <w:rPr>
          <w:lang w:eastAsia="en-AU"/>
        </w:rPr>
      </w:pPr>
      <w:r>
        <w:rPr>
          <w:lang w:eastAsia="en-AU"/>
        </w:rPr>
        <w:t>Regulation 4 - Definitions</w:t>
      </w:r>
    </w:p>
    <w:p w:rsidR="0013521C" w:rsidRDefault="0013521C" w:rsidP="0013521C">
      <w:pPr>
        <w:pStyle w:val="DHbody"/>
        <w:rPr>
          <w:lang w:eastAsia="en-AU"/>
        </w:rPr>
      </w:pPr>
      <w:r>
        <w:rPr>
          <w:lang w:eastAsia="en-AU"/>
        </w:rPr>
        <w:t xml:space="preserve">From 1 July 2010, the date on which the Australian Health Practitioner Regulation Agency (AHPRA) became the authority responsible for registration of most health practitioners in Australia, the definitions of corresponding practitioners </w:t>
      </w:r>
      <w:r w:rsidRPr="00B9549E">
        <w:rPr>
          <w:lang w:eastAsia="en-AU"/>
        </w:rPr>
        <w:t>were</w:t>
      </w:r>
      <w:r>
        <w:rPr>
          <w:lang w:eastAsia="en-AU"/>
        </w:rPr>
        <w:t xml:space="preserve"> amended to indicate that the </w:t>
      </w:r>
      <w:r w:rsidRPr="00BC129C">
        <w:t xml:space="preserve">person </w:t>
      </w:r>
      <w:r>
        <w:t xml:space="preserve">must be </w:t>
      </w:r>
      <w:r w:rsidRPr="00BC129C">
        <w:t>registered under the Health Practitioner Regulation National Law</w:t>
      </w:r>
      <w:r>
        <w:rPr>
          <w:lang w:eastAsia="en-AU"/>
        </w:rPr>
        <w:t>.</w:t>
      </w:r>
    </w:p>
    <w:p w:rsidR="0013521C" w:rsidRDefault="0013521C" w:rsidP="0013521C">
      <w:pPr>
        <w:pStyle w:val="DHbody"/>
        <w:rPr>
          <w:lang w:eastAsia="en-AU"/>
        </w:rPr>
      </w:pPr>
      <w:r>
        <w:rPr>
          <w:lang w:eastAsia="en-AU"/>
        </w:rPr>
        <w:t xml:space="preserve">Regulation 4 defines those health practitioners endorsed under section 94 of the </w:t>
      </w:r>
      <w:r w:rsidRPr="00BC129C">
        <w:t>Health Practitioner Regulation National Law</w:t>
      </w:r>
      <w:r>
        <w:rPr>
          <w:lang w:eastAsia="en-AU"/>
        </w:rPr>
        <w:t>.</w:t>
      </w:r>
    </w:p>
    <w:p w:rsidR="0013521C" w:rsidRDefault="0013521C" w:rsidP="0013521C">
      <w:pPr>
        <w:pStyle w:val="DHbody"/>
        <w:rPr>
          <w:lang w:eastAsia="en-AU"/>
        </w:rPr>
      </w:pPr>
      <w:r>
        <w:rPr>
          <w:lang w:eastAsia="en-AU"/>
        </w:rPr>
        <w:t xml:space="preserve">Regulation 4 also defines the terms ovulatory stimulant, prostaglandin, retinoid plus thalidomide and thalidomide-like substance (i.e. </w:t>
      </w:r>
      <w:proofErr w:type="spellStart"/>
      <w:r>
        <w:rPr>
          <w:lang w:eastAsia="en-AU"/>
        </w:rPr>
        <w:t>lenalidomide</w:t>
      </w:r>
      <w:proofErr w:type="spellEnd"/>
      <w:r>
        <w:rPr>
          <w:lang w:eastAsia="en-AU"/>
        </w:rPr>
        <w:t xml:space="preserve">) by reference to the Poisons Code, which is available </w:t>
      </w:r>
      <w:r w:rsidRPr="00B9549E">
        <w:rPr>
          <w:lang w:eastAsia="en-AU"/>
        </w:rPr>
        <w:t>on</w:t>
      </w:r>
      <w:r>
        <w:rPr>
          <w:lang w:eastAsia="en-AU"/>
        </w:rPr>
        <w:t xml:space="preserve"> the Drugs and Poisons website (</w:t>
      </w:r>
      <w:hyperlink r:id="rId10" w:history="1">
        <w:r w:rsidRPr="0013521C">
          <w:rPr>
            <w:rStyle w:val="Hyperlink"/>
            <w:color w:val="0000FF"/>
            <w:lang w:eastAsia="en-AU"/>
          </w:rPr>
          <w:t>http://www.health.vic.gov.au/dpcs/poicode.htm</w:t>
        </w:r>
      </w:hyperlink>
      <w:r>
        <w:rPr>
          <w:lang w:eastAsia="en-AU"/>
        </w:rPr>
        <w:t>).</w:t>
      </w:r>
    </w:p>
    <w:p w:rsidR="0013521C" w:rsidRPr="00497C1B" w:rsidRDefault="0013521C" w:rsidP="0013521C">
      <w:pPr>
        <w:pStyle w:val="DHheading2"/>
        <w:rPr>
          <w:lang w:eastAsia="en-AU"/>
        </w:rPr>
      </w:pPr>
      <w:r w:rsidRPr="00497C1B">
        <w:rPr>
          <w:lang w:eastAsia="en-AU"/>
        </w:rPr>
        <w:t>R</w:t>
      </w:r>
      <w:r>
        <w:rPr>
          <w:lang w:eastAsia="en-AU"/>
        </w:rPr>
        <w:t>egulations</w:t>
      </w:r>
      <w:r w:rsidRPr="00497C1B">
        <w:rPr>
          <w:lang w:eastAsia="en-AU"/>
        </w:rPr>
        <w:t xml:space="preserve"> 8</w:t>
      </w:r>
      <w:r>
        <w:rPr>
          <w:lang w:eastAsia="en-AU"/>
        </w:rPr>
        <w:t xml:space="preserve"> to </w:t>
      </w:r>
      <w:r w:rsidRPr="00497C1B">
        <w:rPr>
          <w:lang w:eastAsia="en-AU"/>
        </w:rPr>
        <w:t>13</w:t>
      </w:r>
      <w:r>
        <w:rPr>
          <w:lang w:eastAsia="en-AU"/>
        </w:rPr>
        <w:t xml:space="preserve"> -</w:t>
      </w:r>
      <w:r w:rsidRPr="00497C1B">
        <w:rPr>
          <w:lang w:eastAsia="en-AU"/>
        </w:rPr>
        <w:t xml:space="preserve"> “all reasonable steps”</w:t>
      </w:r>
    </w:p>
    <w:p w:rsidR="0013521C" w:rsidRDefault="0013521C" w:rsidP="0013521C">
      <w:pPr>
        <w:pStyle w:val="DHbody"/>
        <w:rPr>
          <w:lang w:eastAsia="en-AU"/>
        </w:rPr>
      </w:pPr>
      <w:r w:rsidRPr="00B9549E">
        <w:rPr>
          <w:lang w:eastAsia="en-AU"/>
        </w:rPr>
        <w:t>Regulations 8(1)(b), 8(1)(c), 8(2)(b), 9(1)(b), 9(1)(c), 9(2)(b),  9A(1)(b), 9A(1)(c), 9A(2)(b), 9B(1)(b), 9B(1)(c), 9B(3)(b), 10(1)(b), 10(1)(c), 10(2)(b), 11(b), 11A(b), 12(1)(a), 12(1)(b), 12(2) and 13(b) require practitioners to take "all reasonable steps" in certain circumstances.</w:t>
      </w:r>
      <w:r>
        <w:rPr>
          <w:lang w:eastAsia="en-AU"/>
        </w:rPr>
        <w:t xml:space="preserve"> </w:t>
      </w:r>
    </w:p>
    <w:p w:rsidR="0013521C" w:rsidRPr="00497C1B" w:rsidRDefault="0013521C" w:rsidP="0013521C">
      <w:pPr>
        <w:pStyle w:val="DHbody"/>
        <w:rPr>
          <w:lang w:eastAsia="en-AU"/>
        </w:rPr>
      </w:pPr>
      <w:r>
        <w:rPr>
          <w:lang w:eastAsia="en-AU"/>
        </w:rPr>
        <w:t>T</w:t>
      </w:r>
      <w:r w:rsidRPr="00497C1B">
        <w:rPr>
          <w:lang w:eastAsia="en-AU"/>
        </w:rPr>
        <w:t xml:space="preserve">he </w:t>
      </w:r>
      <w:r w:rsidRPr="00B9549E">
        <w:rPr>
          <w:lang w:eastAsia="en-AU"/>
        </w:rPr>
        <w:t>phrase "all reasonable steps" is</w:t>
      </w:r>
      <w:r w:rsidRPr="00497C1B">
        <w:rPr>
          <w:lang w:eastAsia="en-AU"/>
        </w:rPr>
        <w:t xml:space="preserve"> used to provide flexibility</w:t>
      </w:r>
      <w:r>
        <w:rPr>
          <w:lang w:eastAsia="en-AU"/>
        </w:rPr>
        <w:t xml:space="preserve"> </w:t>
      </w:r>
      <w:r w:rsidRPr="00497C1B">
        <w:rPr>
          <w:lang w:eastAsia="en-AU"/>
        </w:rPr>
        <w:t>of approach according to the circumstances.  An objective test must be applied to the</w:t>
      </w:r>
      <w:r>
        <w:rPr>
          <w:lang w:eastAsia="en-AU"/>
        </w:rPr>
        <w:t xml:space="preserve"> </w:t>
      </w:r>
      <w:r w:rsidRPr="00497C1B">
        <w:rPr>
          <w:lang w:eastAsia="en-AU"/>
        </w:rPr>
        <w:t>particular circumstances as to whether or not the steps taken were sufficient.</w:t>
      </w:r>
      <w:r>
        <w:rPr>
          <w:lang w:eastAsia="en-AU"/>
        </w:rPr>
        <w:t xml:space="preserve"> </w:t>
      </w:r>
      <w:r w:rsidRPr="00497C1B">
        <w:rPr>
          <w:lang w:eastAsia="en-AU"/>
        </w:rPr>
        <w:t xml:space="preserve"> </w:t>
      </w:r>
      <w:r w:rsidRPr="00497C1B">
        <w:rPr>
          <w:lang w:eastAsia="en-AU"/>
        </w:rPr>
        <w:lastRenderedPageBreak/>
        <w:t>Such a</w:t>
      </w:r>
      <w:r>
        <w:rPr>
          <w:lang w:eastAsia="en-AU"/>
        </w:rPr>
        <w:t xml:space="preserve"> </w:t>
      </w:r>
      <w:r w:rsidRPr="00497C1B">
        <w:rPr>
          <w:lang w:eastAsia="en-AU"/>
        </w:rPr>
        <w:t>test would involve considering if the steps taken would be in accordance with those an</w:t>
      </w:r>
      <w:r>
        <w:rPr>
          <w:lang w:eastAsia="en-AU"/>
        </w:rPr>
        <w:t xml:space="preserve"> </w:t>
      </w:r>
      <w:r w:rsidRPr="00497C1B">
        <w:rPr>
          <w:lang w:eastAsia="en-AU"/>
        </w:rPr>
        <w:t>ordinary competent</w:t>
      </w:r>
      <w:r>
        <w:rPr>
          <w:lang w:eastAsia="en-AU"/>
        </w:rPr>
        <w:t xml:space="preserve"> </w:t>
      </w:r>
      <w:r w:rsidRPr="00497C1B">
        <w:rPr>
          <w:lang w:eastAsia="en-AU"/>
        </w:rPr>
        <w:t>person, or member of the profession, would take if put in that</w:t>
      </w:r>
      <w:r>
        <w:rPr>
          <w:lang w:eastAsia="en-AU"/>
        </w:rPr>
        <w:t xml:space="preserve"> </w:t>
      </w:r>
      <w:r w:rsidRPr="00497C1B">
        <w:rPr>
          <w:lang w:eastAsia="en-AU"/>
        </w:rPr>
        <w:t>situation.</w:t>
      </w:r>
    </w:p>
    <w:p w:rsidR="0013521C" w:rsidRPr="00B9549E" w:rsidRDefault="0013521C" w:rsidP="0013521C">
      <w:pPr>
        <w:pStyle w:val="DHbody"/>
        <w:rPr>
          <w:lang w:eastAsia="en-AU"/>
        </w:rPr>
      </w:pPr>
      <w:r w:rsidRPr="00B9549E">
        <w:rPr>
          <w:lang w:eastAsia="en-AU"/>
        </w:rPr>
        <w:t>When required to take "all reasonable steps" to ascertain the identity of a person, if a patient is not already known to the practitioner, this could include asking for photo identification, such as a Driver's Licence.</w:t>
      </w:r>
    </w:p>
    <w:p w:rsidR="0013521C" w:rsidRPr="00B9549E" w:rsidRDefault="0013521C" w:rsidP="0013521C">
      <w:pPr>
        <w:pStyle w:val="DHbody"/>
        <w:rPr>
          <w:lang w:eastAsia="en-AU"/>
        </w:rPr>
      </w:pPr>
      <w:r w:rsidRPr="00B9549E">
        <w:rPr>
          <w:lang w:eastAsia="en-AU"/>
        </w:rPr>
        <w:t xml:space="preserve">When required to take “all reasonable steps” to ensure a therapeutic need exists, the following would need to be taken into account: </w:t>
      </w:r>
    </w:p>
    <w:p w:rsidR="0013521C" w:rsidRPr="00497C1B" w:rsidRDefault="0013521C" w:rsidP="0013521C">
      <w:pPr>
        <w:pStyle w:val="DHbody"/>
        <w:rPr>
          <w:lang w:eastAsia="en-AU"/>
        </w:rPr>
      </w:pPr>
      <w:r w:rsidRPr="00B9549E">
        <w:rPr>
          <w:lang w:eastAsia="en-AU"/>
        </w:rPr>
        <w:t>With respect to the person who requests the supply or the person (or animal) for whom it is proposed to</w:t>
      </w:r>
      <w:r w:rsidRPr="00497C1B">
        <w:rPr>
          <w:lang w:eastAsia="en-AU"/>
        </w:rPr>
        <w:t xml:space="preserve"> prescribe or supply the substance -</w:t>
      </w:r>
    </w:p>
    <w:p w:rsidR="0013521C" w:rsidRDefault="0013521C" w:rsidP="0013521C">
      <w:pPr>
        <w:pStyle w:val="DHbullet"/>
        <w:rPr>
          <w:lang w:eastAsia="en-AU"/>
        </w:rPr>
      </w:pPr>
      <w:r w:rsidRPr="00497C1B">
        <w:rPr>
          <w:lang w:eastAsia="en-AU"/>
        </w:rPr>
        <w:t>Th</w:t>
      </w:r>
      <w:r>
        <w:rPr>
          <w:lang w:eastAsia="en-AU"/>
        </w:rPr>
        <w:t>e medical history</w:t>
      </w:r>
    </w:p>
    <w:p w:rsidR="0013521C" w:rsidRPr="00497C1B" w:rsidRDefault="0013521C" w:rsidP="0013521C">
      <w:pPr>
        <w:pStyle w:val="DHbullet"/>
        <w:rPr>
          <w:lang w:eastAsia="en-AU"/>
        </w:rPr>
      </w:pPr>
      <w:r>
        <w:rPr>
          <w:lang w:eastAsia="en-AU"/>
        </w:rPr>
        <w:t>The medication history</w:t>
      </w:r>
    </w:p>
    <w:p w:rsidR="0013521C" w:rsidRPr="00497C1B" w:rsidRDefault="0013521C" w:rsidP="0013521C">
      <w:pPr>
        <w:pStyle w:val="DHbullet"/>
        <w:rPr>
          <w:lang w:eastAsia="en-AU"/>
        </w:rPr>
      </w:pPr>
      <w:r w:rsidRPr="00497C1B">
        <w:rPr>
          <w:lang w:eastAsia="en-AU"/>
        </w:rPr>
        <w:t xml:space="preserve">The presenting </w:t>
      </w:r>
      <w:r>
        <w:rPr>
          <w:lang w:eastAsia="en-AU"/>
        </w:rPr>
        <w:t>symptoms or described condition</w:t>
      </w:r>
    </w:p>
    <w:p w:rsidR="0013521C" w:rsidRPr="00B9549E" w:rsidRDefault="0013521C" w:rsidP="0013521C">
      <w:pPr>
        <w:pStyle w:val="DHbullet"/>
        <w:rPr>
          <w:lang w:eastAsia="en-AU"/>
        </w:rPr>
      </w:pPr>
      <w:r w:rsidRPr="00B9549E">
        <w:rPr>
          <w:lang w:eastAsia="en-AU"/>
        </w:rPr>
        <w:t>Any signs of misuse or abuse of medicines or illicit drugs</w:t>
      </w:r>
      <w:r>
        <w:rPr>
          <w:lang w:eastAsia="en-AU"/>
        </w:rPr>
        <w:t>.</w:t>
      </w:r>
    </w:p>
    <w:p w:rsidR="0013521C" w:rsidRPr="00497C1B" w:rsidRDefault="0013521C" w:rsidP="0013521C">
      <w:pPr>
        <w:pStyle w:val="DHbody"/>
        <w:rPr>
          <w:lang w:eastAsia="en-AU"/>
        </w:rPr>
      </w:pPr>
      <w:r w:rsidRPr="00497C1B">
        <w:rPr>
          <w:lang w:eastAsia="en-AU"/>
        </w:rPr>
        <w:t>With respect to the substance requested or proposed to be prescribed or supplied –</w:t>
      </w:r>
    </w:p>
    <w:p w:rsidR="0013521C" w:rsidRPr="00497C1B" w:rsidRDefault="0013521C" w:rsidP="0013521C">
      <w:pPr>
        <w:pStyle w:val="DHbullet"/>
        <w:rPr>
          <w:lang w:eastAsia="en-AU"/>
        </w:rPr>
      </w:pPr>
      <w:r w:rsidRPr="00497C1B">
        <w:rPr>
          <w:lang w:eastAsia="en-AU"/>
        </w:rPr>
        <w:t>Its suitability for the treatment of the presenting symptoms or described</w:t>
      </w:r>
      <w:r>
        <w:rPr>
          <w:lang w:eastAsia="en-AU"/>
        </w:rPr>
        <w:t xml:space="preserve"> condition</w:t>
      </w:r>
    </w:p>
    <w:p w:rsidR="0013521C" w:rsidRPr="00497C1B" w:rsidRDefault="0013521C" w:rsidP="0013521C">
      <w:pPr>
        <w:pStyle w:val="DHbullet"/>
        <w:rPr>
          <w:lang w:eastAsia="en-AU"/>
        </w:rPr>
      </w:pPr>
      <w:proofErr w:type="gramStart"/>
      <w:r w:rsidRPr="00497C1B">
        <w:rPr>
          <w:lang w:eastAsia="en-AU"/>
        </w:rPr>
        <w:t>It</w:t>
      </w:r>
      <w:r>
        <w:rPr>
          <w:lang w:eastAsia="en-AU"/>
        </w:rPr>
        <w:t>s</w:t>
      </w:r>
      <w:proofErr w:type="gramEnd"/>
      <w:r>
        <w:rPr>
          <w:lang w:eastAsia="en-AU"/>
        </w:rPr>
        <w:t xml:space="preserve"> potential for misuse or abuse.</w:t>
      </w:r>
    </w:p>
    <w:p w:rsidR="0013521C" w:rsidRPr="00497C1B" w:rsidRDefault="0013521C" w:rsidP="0013521C">
      <w:pPr>
        <w:pStyle w:val="DHbody"/>
        <w:rPr>
          <w:lang w:eastAsia="en-AU"/>
        </w:rPr>
      </w:pPr>
      <w:r w:rsidRPr="00497C1B">
        <w:rPr>
          <w:lang w:eastAsia="en-AU"/>
        </w:rPr>
        <w:t>When a person is well known to the practitioner and the therapeutic need has been</w:t>
      </w:r>
      <w:r>
        <w:rPr>
          <w:lang w:eastAsia="en-AU"/>
        </w:rPr>
        <w:t xml:space="preserve"> </w:t>
      </w:r>
      <w:r w:rsidRPr="00497C1B">
        <w:rPr>
          <w:lang w:eastAsia="en-AU"/>
        </w:rPr>
        <w:t xml:space="preserve">previously established, very little effort may be required in taking </w:t>
      </w:r>
      <w:r>
        <w:rPr>
          <w:lang w:eastAsia="en-AU"/>
        </w:rPr>
        <w:t>“</w:t>
      </w:r>
      <w:r w:rsidRPr="00497C1B">
        <w:rPr>
          <w:lang w:eastAsia="en-AU"/>
        </w:rPr>
        <w:t>all reasonable steps</w:t>
      </w:r>
      <w:r>
        <w:rPr>
          <w:lang w:eastAsia="en-AU"/>
        </w:rPr>
        <w:t xml:space="preserve">” </w:t>
      </w:r>
      <w:r w:rsidRPr="00497C1B">
        <w:rPr>
          <w:lang w:eastAsia="en-AU"/>
        </w:rPr>
        <w:t>to ensure a therapeutic need exists.</w:t>
      </w:r>
    </w:p>
    <w:p w:rsidR="0013521C" w:rsidRPr="00497C1B" w:rsidRDefault="0013521C" w:rsidP="0013521C">
      <w:pPr>
        <w:pStyle w:val="DHbody"/>
        <w:rPr>
          <w:lang w:eastAsia="en-AU"/>
        </w:rPr>
      </w:pPr>
      <w:r w:rsidRPr="00497C1B">
        <w:rPr>
          <w:lang w:eastAsia="en-AU"/>
        </w:rPr>
        <w:t>However, for a new patient, a more thorough effort might be required to satisfy this</w:t>
      </w:r>
      <w:r>
        <w:rPr>
          <w:lang w:eastAsia="en-AU"/>
        </w:rPr>
        <w:t xml:space="preserve"> </w:t>
      </w:r>
      <w:r w:rsidRPr="00497C1B">
        <w:rPr>
          <w:lang w:eastAsia="en-AU"/>
        </w:rPr>
        <w:t>requirement, especially where there is cause to suspect abuse or misuse</w:t>
      </w:r>
      <w:r>
        <w:rPr>
          <w:lang w:eastAsia="en-AU"/>
        </w:rPr>
        <w:t xml:space="preserve"> of medicines or illicit </w:t>
      </w:r>
      <w:r w:rsidRPr="00FA3581">
        <w:rPr>
          <w:lang w:eastAsia="en-AU"/>
        </w:rPr>
        <w:t>drugs</w:t>
      </w:r>
      <w:r>
        <w:rPr>
          <w:lang w:eastAsia="en-AU"/>
        </w:rPr>
        <w:t>.</w:t>
      </w:r>
    </w:p>
    <w:p w:rsidR="0013521C" w:rsidRDefault="0013521C" w:rsidP="0013521C">
      <w:pPr>
        <w:pStyle w:val="DHbody"/>
        <w:rPr>
          <w:lang w:eastAsia="en-AU"/>
        </w:rPr>
      </w:pPr>
      <w:r w:rsidRPr="00497C1B">
        <w:rPr>
          <w:lang w:eastAsia="en-AU"/>
        </w:rPr>
        <w:t xml:space="preserve">In such circumstances, "all reasonable steps" might include </w:t>
      </w:r>
      <w:r>
        <w:rPr>
          <w:lang w:eastAsia="en-AU"/>
        </w:rPr>
        <w:t>examining the patient</w:t>
      </w:r>
      <w:r w:rsidRPr="00497C1B">
        <w:rPr>
          <w:lang w:eastAsia="en-AU"/>
        </w:rPr>
        <w:t xml:space="preserve"> and</w:t>
      </w:r>
      <w:r>
        <w:rPr>
          <w:lang w:eastAsia="en-AU"/>
        </w:rPr>
        <w:t xml:space="preserve"> c</w:t>
      </w:r>
      <w:r w:rsidRPr="00497C1B">
        <w:rPr>
          <w:lang w:eastAsia="en-AU"/>
        </w:rPr>
        <w:t xml:space="preserve">onfirming the patient's </w:t>
      </w:r>
      <w:r>
        <w:rPr>
          <w:lang w:eastAsia="en-AU"/>
        </w:rPr>
        <w:t>claims</w:t>
      </w:r>
      <w:r w:rsidRPr="00497C1B">
        <w:rPr>
          <w:lang w:eastAsia="en-AU"/>
        </w:rPr>
        <w:t xml:space="preserve"> by contacting purported previous prescribers or</w:t>
      </w:r>
      <w:r>
        <w:rPr>
          <w:lang w:eastAsia="en-AU"/>
        </w:rPr>
        <w:t xml:space="preserve"> </w:t>
      </w:r>
      <w:r w:rsidRPr="00497C1B">
        <w:rPr>
          <w:lang w:eastAsia="en-AU"/>
        </w:rPr>
        <w:t>suppliers.</w:t>
      </w:r>
    </w:p>
    <w:p w:rsidR="0013521C" w:rsidRPr="00755961" w:rsidRDefault="0013521C" w:rsidP="0013521C">
      <w:pPr>
        <w:pStyle w:val="DHheading4"/>
      </w:pPr>
      <w:r w:rsidRPr="00755961">
        <w:t xml:space="preserve">Patient delivered partner therapy (PDPT) </w:t>
      </w:r>
    </w:p>
    <w:p w:rsidR="0013521C" w:rsidRPr="00755961" w:rsidRDefault="0013521C" w:rsidP="0013521C">
      <w:pPr>
        <w:pStyle w:val="DHbody"/>
        <w:rPr>
          <w:rFonts w:cs="Arial"/>
          <w:b/>
        </w:rPr>
      </w:pPr>
      <w:r w:rsidRPr="00755961">
        <w:rPr>
          <w:rFonts w:cs="Arial"/>
          <w:lang w:eastAsia="en-AU"/>
        </w:rPr>
        <w:t xml:space="preserve">A practitioner who prescribes or supplies </w:t>
      </w:r>
      <w:r w:rsidRPr="00755961">
        <w:rPr>
          <w:rFonts w:cs="Arial"/>
          <w:color w:val="000000"/>
        </w:rPr>
        <w:t xml:space="preserve">azithromycin, </w:t>
      </w:r>
      <w:r w:rsidRPr="00755961">
        <w:rPr>
          <w:rFonts w:cs="Arial"/>
          <w:lang w:eastAsia="en-AU"/>
        </w:rPr>
        <w:t>a Schedule 4 poison,</w:t>
      </w:r>
      <w:r w:rsidRPr="00755961">
        <w:rPr>
          <w:rFonts w:cs="Arial"/>
          <w:color w:val="000000"/>
        </w:rPr>
        <w:t xml:space="preserve"> to provide</w:t>
      </w:r>
      <w:r w:rsidRPr="00755961">
        <w:rPr>
          <w:rFonts w:cs="Arial"/>
          <w:lang w:eastAsia="en-AU"/>
        </w:rPr>
        <w:t xml:space="preserve"> </w:t>
      </w:r>
      <w:r w:rsidRPr="00755961">
        <w:rPr>
          <w:rFonts w:cs="Arial"/>
        </w:rPr>
        <w:t>patient delivered partner therapy for a microbiologically confirmed chlamydia infection</w:t>
      </w:r>
      <w:r>
        <w:rPr>
          <w:rFonts w:cs="Arial"/>
        </w:rPr>
        <w:t xml:space="preserve"> generally </w:t>
      </w:r>
      <w:r w:rsidRPr="00755961">
        <w:rPr>
          <w:rFonts w:cs="Arial"/>
        </w:rPr>
        <w:t>will be considered to have satisfied the requirement</w:t>
      </w:r>
      <w:r>
        <w:rPr>
          <w:rFonts w:cs="Arial"/>
        </w:rPr>
        <w:t>s of regulation 8(2) or 9(2) if they provide therapy in accordance with the Patient Delivered Partner Therapy Clinical Guidelines.</w:t>
      </w:r>
      <w:r w:rsidRPr="00755961">
        <w:rPr>
          <w:rFonts w:cs="Arial"/>
        </w:rPr>
        <w:t xml:space="preserve"> </w:t>
      </w:r>
    </w:p>
    <w:p w:rsidR="0013521C" w:rsidRDefault="0013521C" w:rsidP="0013521C">
      <w:pPr>
        <w:pStyle w:val="DHbody"/>
        <w:rPr>
          <w:lang w:eastAsia="en-AU"/>
        </w:rPr>
      </w:pPr>
      <w:r>
        <w:rPr>
          <w:lang w:eastAsia="en-AU"/>
        </w:rPr>
        <w:t>T</w:t>
      </w:r>
      <w:r w:rsidRPr="00FA6E6C">
        <w:rPr>
          <w:lang w:eastAsia="en-AU"/>
        </w:rPr>
        <w:t xml:space="preserve">he Patient Delivered Partner Therapy Clinical Guidelines </w:t>
      </w:r>
      <w:r w:rsidRPr="00755961">
        <w:rPr>
          <w:lang w:eastAsia="en-AU"/>
        </w:rPr>
        <w:t>may change from time to time, so care should be taken to refer to the current version.</w:t>
      </w:r>
    </w:p>
    <w:p w:rsidR="0013521C" w:rsidRPr="00B9549E" w:rsidRDefault="0013521C" w:rsidP="0013521C">
      <w:pPr>
        <w:pStyle w:val="DHheading2"/>
        <w:rPr>
          <w:lang w:eastAsia="en-AU"/>
        </w:rPr>
      </w:pPr>
      <w:r w:rsidRPr="00B9549E">
        <w:rPr>
          <w:lang w:eastAsia="en-AU"/>
        </w:rPr>
        <w:t>Regulation 12</w:t>
      </w:r>
    </w:p>
    <w:p w:rsidR="0013521C" w:rsidRPr="00497C1B" w:rsidRDefault="0013521C" w:rsidP="0013521C">
      <w:pPr>
        <w:pStyle w:val="DHbody"/>
        <w:rPr>
          <w:lang w:eastAsia="en-AU"/>
        </w:rPr>
      </w:pPr>
      <w:r w:rsidRPr="00B9549E">
        <w:rPr>
          <w:lang w:eastAsia="en-AU"/>
        </w:rPr>
        <w:t>Regulation 12 refers only to a pharmacist supplying a drug of dependence other than by wholesale or on the prescription of an appropriately registered health practitioner.  Therefore, this regulation will apply only to those</w:t>
      </w:r>
      <w:r w:rsidRPr="00497C1B">
        <w:rPr>
          <w:lang w:eastAsia="en-AU"/>
        </w:rPr>
        <w:t xml:space="preserve"> substances in Schedule 11 (of the Act)</w:t>
      </w:r>
      <w:r>
        <w:rPr>
          <w:lang w:eastAsia="en-AU"/>
        </w:rPr>
        <w:t xml:space="preserve"> </w:t>
      </w:r>
      <w:r w:rsidRPr="00497C1B">
        <w:rPr>
          <w:lang w:eastAsia="en-AU"/>
        </w:rPr>
        <w:t>that a pharmacist can legally supply to a member of the public, i.e., Schedule 2 or</w:t>
      </w:r>
      <w:r>
        <w:rPr>
          <w:lang w:eastAsia="en-AU"/>
        </w:rPr>
        <w:t xml:space="preserve"> </w:t>
      </w:r>
      <w:r w:rsidRPr="00497C1B">
        <w:rPr>
          <w:lang w:eastAsia="en-AU"/>
        </w:rPr>
        <w:t>Schedule 3 poisons or, in the case of emergency supply under regulation 15(2)</w:t>
      </w:r>
      <w:r>
        <w:rPr>
          <w:lang w:eastAsia="en-AU"/>
        </w:rPr>
        <w:t xml:space="preserve"> or continuity of </w:t>
      </w:r>
      <w:proofErr w:type="gramStart"/>
      <w:r>
        <w:rPr>
          <w:lang w:eastAsia="en-AU"/>
        </w:rPr>
        <w:t>supply</w:t>
      </w:r>
      <w:proofErr w:type="gramEnd"/>
      <w:r>
        <w:rPr>
          <w:lang w:eastAsia="en-AU"/>
        </w:rPr>
        <w:t xml:space="preserve"> under regulation 15(3)</w:t>
      </w:r>
      <w:r w:rsidRPr="00497C1B">
        <w:rPr>
          <w:lang w:eastAsia="en-AU"/>
        </w:rPr>
        <w:t>,</w:t>
      </w:r>
      <w:r>
        <w:rPr>
          <w:lang w:eastAsia="en-AU"/>
        </w:rPr>
        <w:t xml:space="preserve"> </w:t>
      </w:r>
      <w:r w:rsidRPr="00497C1B">
        <w:rPr>
          <w:lang w:eastAsia="en-AU"/>
        </w:rPr>
        <w:t>Schedule 4 poisons.</w:t>
      </w:r>
    </w:p>
    <w:p w:rsidR="0013521C" w:rsidRPr="00497C1B" w:rsidRDefault="0013521C" w:rsidP="0013521C">
      <w:pPr>
        <w:pStyle w:val="DHheading2"/>
        <w:rPr>
          <w:lang w:eastAsia="en-AU"/>
        </w:rPr>
      </w:pPr>
      <w:r w:rsidRPr="00436267">
        <w:rPr>
          <w:lang w:eastAsia="en-AU"/>
        </w:rPr>
        <w:t>Regulation 16</w:t>
      </w:r>
    </w:p>
    <w:p w:rsidR="0013521C" w:rsidRPr="002779FD" w:rsidRDefault="0013521C" w:rsidP="0013521C">
      <w:pPr>
        <w:pStyle w:val="DHbody"/>
        <w:rPr>
          <w:rFonts w:cs="Arial"/>
          <w:lang w:eastAsia="en-AU"/>
        </w:rPr>
      </w:pPr>
      <w:r w:rsidRPr="002779FD">
        <w:rPr>
          <w:rFonts w:cs="Arial"/>
          <w:lang w:eastAsia="en-AU"/>
        </w:rPr>
        <w:t>In regulation 16(2), examples of satisfactory certification by the pharmacist who received the original prescription, or has supplied the substance previously include:</w:t>
      </w:r>
    </w:p>
    <w:p w:rsidR="0013521C" w:rsidRPr="002779FD" w:rsidRDefault="0013521C" w:rsidP="0013521C">
      <w:pPr>
        <w:pStyle w:val="DHbullet"/>
        <w:rPr>
          <w:lang w:eastAsia="en-AU"/>
        </w:rPr>
      </w:pPr>
      <w:r w:rsidRPr="002779FD">
        <w:rPr>
          <w:lang w:eastAsia="en-AU"/>
        </w:rPr>
        <w:t>the imprint of a pharmacy stamp and annotation as to the item(s) supplied, or</w:t>
      </w:r>
    </w:p>
    <w:p w:rsidR="0013521C" w:rsidRPr="002779FD" w:rsidRDefault="0013521C" w:rsidP="0013521C">
      <w:pPr>
        <w:pStyle w:val="DHbullet"/>
        <w:rPr>
          <w:lang w:eastAsia="en-AU"/>
        </w:rPr>
      </w:pPr>
      <w:r w:rsidRPr="002779FD">
        <w:rPr>
          <w:lang w:eastAsia="en-AU"/>
        </w:rPr>
        <w:t>the durable attachment of an adhesive sticker which identifies the pharmacist and item supplied, or</w:t>
      </w:r>
    </w:p>
    <w:p w:rsidR="0013521C" w:rsidRDefault="0013521C" w:rsidP="0013521C">
      <w:pPr>
        <w:pStyle w:val="DHbullet"/>
        <w:rPr>
          <w:lang w:eastAsia="en-AU"/>
        </w:rPr>
      </w:pPr>
      <w:proofErr w:type="gramStart"/>
      <w:r w:rsidRPr="002779FD">
        <w:rPr>
          <w:lang w:eastAsia="en-AU"/>
        </w:rPr>
        <w:t>the</w:t>
      </w:r>
      <w:proofErr w:type="gramEnd"/>
      <w:r w:rsidRPr="002779FD">
        <w:rPr>
          <w:lang w:eastAsia="en-AU"/>
        </w:rPr>
        <w:t xml:space="preserve"> attachment of a completed PBS Repeat Authorisat</w:t>
      </w:r>
      <w:r>
        <w:rPr>
          <w:lang w:eastAsia="en-AU"/>
        </w:rPr>
        <w:t>ion.</w:t>
      </w:r>
    </w:p>
    <w:p w:rsidR="00166579" w:rsidRPr="002779FD" w:rsidRDefault="00166579" w:rsidP="00166579">
      <w:pPr>
        <w:pStyle w:val="DHbullet"/>
        <w:numPr>
          <w:ilvl w:val="0"/>
          <w:numId w:val="0"/>
        </w:numPr>
        <w:rPr>
          <w:lang w:eastAsia="en-AU"/>
        </w:rPr>
      </w:pPr>
    </w:p>
    <w:p w:rsidR="0013521C" w:rsidRPr="002779FD" w:rsidRDefault="0013521C" w:rsidP="0013521C">
      <w:pPr>
        <w:pStyle w:val="DHheading2"/>
        <w:rPr>
          <w:lang w:eastAsia="en-AU"/>
        </w:rPr>
      </w:pPr>
      <w:r w:rsidRPr="002779FD">
        <w:rPr>
          <w:lang w:eastAsia="en-AU"/>
        </w:rPr>
        <w:lastRenderedPageBreak/>
        <w:t>Regulation 26</w:t>
      </w:r>
    </w:p>
    <w:p w:rsidR="0013521C" w:rsidRPr="002779FD" w:rsidRDefault="0013521C" w:rsidP="0013521C">
      <w:pPr>
        <w:pStyle w:val="DHbody"/>
        <w:rPr>
          <w:rFonts w:cs="Arial"/>
          <w:lang w:eastAsia="en-AU"/>
        </w:rPr>
      </w:pPr>
      <w:r w:rsidRPr="002779FD">
        <w:rPr>
          <w:rFonts w:cs="Arial"/>
          <w:lang w:eastAsia="en-AU"/>
        </w:rPr>
        <w:t>The Secretary has given approval in general for a person referred to in regulation 25 to issue computer-generated prescriptions under circumstances that satisfy the criteria set out in “Approved by the Secretary”.</w:t>
      </w:r>
    </w:p>
    <w:p w:rsidR="0013521C" w:rsidRDefault="0013521C" w:rsidP="0013521C">
      <w:pPr>
        <w:pStyle w:val="DHbody"/>
        <w:rPr>
          <w:rFonts w:cs="Arial"/>
          <w:lang w:eastAsia="en-AU"/>
        </w:rPr>
      </w:pPr>
      <w:r w:rsidRPr="002779FD">
        <w:rPr>
          <w:rFonts w:cs="Arial"/>
          <w:lang w:eastAsia="en-AU"/>
        </w:rPr>
        <w:t>As the criteria for computer-generated prescriptions may vary in different states, medical practitioners and other authorised prescribers are strongly advised to seek, prior to purchase, verification from the software supplier that their software enables compliance with the specified criteria.</w:t>
      </w:r>
    </w:p>
    <w:p w:rsidR="0013521C" w:rsidRPr="002779FD" w:rsidRDefault="0013521C" w:rsidP="0013521C">
      <w:pPr>
        <w:pStyle w:val="DHheading2"/>
        <w:rPr>
          <w:lang w:eastAsia="en-AU"/>
        </w:rPr>
      </w:pPr>
      <w:r w:rsidRPr="002779FD">
        <w:rPr>
          <w:lang w:eastAsia="en-AU"/>
        </w:rPr>
        <w:t>Regulation 27</w:t>
      </w:r>
    </w:p>
    <w:p w:rsidR="0013521C" w:rsidRPr="002779FD" w:rsidRDefault="0013521C" w:rsidP="0013521C">
      <w:pPr>
        <w:pStyle w:val="DHbody"/>
        <w:rPr>
          <w:rFonts w:cs="Arial"/>
          <w:lang w:eastAsia="en-AU"/>
        </w:rPr>
      </w:pPr>
      <w:r w:rsidRPr="002779FD">
        <w:rPr>
          <w:rFonts w:cs="Arial"/>
          <w:lang w:eastAsia="en-AU"/>
        </w:rPr>
        <w:t xml:space="preserve">The phrase "as soon as practicable" is used to allow some flexibility according to the circumstances.  The dictionary defines "practicable" as "capable of being done", "feasible".  Accordingly, in </w:t>
      </w:r>
      <w:r>
        <w:rPr>
          <w:rFonts w:cs="Arial"/>
          <w:lang w:eastAsia="en-AU"/>
        </w:rPr>
        <w:t>regulation 27(4)</w:t>
      </w:r>
      <w:r w:rsidRPr="002779FD">
        <w:rPr>
          <w:rFonts w:cs="Arial"/>
          <w:lang w:eastAsia="en-AU"/>
        </w:rPr>
        <w:t xml:space="preserve"> some circumstances will demand a rapid provision of the </w:t>
      </w:r>
      <w:r>
        <w:rPr>
          <w:rFonts w:cs="Arial"/>
          <w:lang w:eastAsia="en-AU"/>
        </w:rPr>
        <w:t>prescription</w:t>
      </w:r>
      <w:r w:rsidRPr="002779FD">
        <w:rPr>
          <w:rFonts w:cs="Arial"/>
          <w:lang w:eastAsia="en-AU"/>
        </w:rPr>
        <w:t xml:space="preserve"> while in others a less speedy response may be acceptable.</w:t>
      </w:r>
      <w:r>
        <w:rPr>
          <w:rFonts w:cs="Arial"/>
          <w:lang w:eastAsia="en-AU"/>
        </w:rPr>
        <w:t xml:space="preserve">  </w:t>
      </w:r>
      <w:r w:rsidRPr="002779FD">
        <w:rPr>
          <w:rFonts w:cs="Arial"/>
          <w:lang w:eastAsia="en-AU"/>
        </w:rPr>
        <w:t>For example, in situations where a prescription is to be forwarded to the pharmacist by post, it would be considered sufficient compliance with this regulation if the prescription is written and posted so that it can arrive with the next mail delivery.</w:t>
      </w:r>
    </w:p>
    <w:p w:rsidR="0013521C" w:rsidRPr="002779FD" w:rsidRDefault="0013521C" w:rsidP="0013521C">
      <w:pPr>
        <w:pStyle w:val="DHheading2"/>
        <w:rPr>
          <w:lang w:eastAsia="en-AU"/>
        </w:rPr>
      </w:pPr>
      <w:r w:rsidRPr="002779FD">
        <w:rPr>
          <w:lang w:eastAsia="en-AU"/>
        </w:rPr>
        <w:t>Regulation</w:t>
      </w:r>
      <w:r>
        <w:rPr>
          <w:lang w:eastAsia="en-AU"/>
        </w:rPr>
        <w:t>s</w:t>
      </w:r>
      <w:r w:rsidRPr="002779FD">
        <w:rPr>
          <w:lang w:eastAsia="en-AU"/>
        </w:rPr>
        <w:t xml:space="preserve"> 29</w:t>
      </w:r>
      <w:r>
        <w:rPr>
          <w:lang w:eastAsia="en-AU"/>
        </w:rPr>
        <w:t>, 30 and 30A</w:t>
      </w:r>
    </w:p>
    <w:p w:rsidR="0013521C" w:rsidRPr="002779FD" w:rsidRDefault="0013521C" w:rsidP="0013521C">
      <w:pPr>
        <w:pStyle w:val="DHbody"/>
        <w:rPr>
          <w:rFonts w:cs="Arial"/>
          <w:lang w:eastAsia="en-AU"/>
        </w:rPr>
      </w:pPr>
      <w:r w:rsidRPr="002779FD">
        <w:rPr>
          <w:rFonts w:cs="Arial"/>
          <w:lang w:eastAsia="en-AU"/>
        </w:rPr>
        <w:t>The "date of recording" refers to the date on which the prescription</w:t>
      </w:r>
      <w:r>
        <w:rPr>
          <w:rFonts w:cs="Arial"/>
          <w:lang w:eastAsia="en-AU"/>
        </w:rPr>
        <w:t>/residential medication chart</w:t>
      </w:r>
      <w:r w:rsidRPr="002779FD">
        <w:rPr>
          <w:rFonts w:cs="Arial"/>
          <w:lang w:eastAsia="en-AU"/>
        </w:rPr>
        <w:t xml:space="preserve"> is processed.  It is recognised that the date of supply may be different from the date of processing a prescription.</w:t>
      </w:r>
    </w:p>
    <w:p w:rsidR="0013521C" w:rsidRPr="002779FD" w:rsidRDefault="0013521C" w:rsidP="0013521C">
      <w:pPr>
        <w:pStyle w:val="DHheading2"/>
        <w:rPr>
          <w:lang w:eastAsia="en-AU"/>
        </w:rPr>
      </w:pPr>
      <w:r w:rsidRPr="002779FD">
        <w:rPr>
          <w:lang w:eastAsia="en-AU"/>
        </w:rPr>
        <w:t>Regulation 32</w:t>
      </w:r>
    </w:p>
    <w:p w:rsidR="0013521C" w:rsidRPr="002779FD" w:rsidRDefault="0013521C" w:rsidP="0013521C">
      <w:pPr>
        <w:pStyle w:val="DHbody"/>
        <w:rPr>
          <w:rFonts w:cs="Arial"/>
          <w:lang w:eastAsia="en-AU"/>
        </w:rPr>
      </w:pPr>
      <w:r w:rsidRPr="002779FD">
        <w:rPr>
          <w:rFonts w:cs="Arial"/>
          <w:lang w:eastAsia="en-AU"/>
        </w:rPr>
        <w:t>A pharmacist may have reason to believe that a prescriber is already aware of a previous supply or prescription in cases such as the following:</w:t>
      </w:r>
    </w:p>
    <w:p w:rsidR="0013521C" w:rsidRPr="00B9549E" w:rsidRDefault="0013521C" w:rsidP="0013521C">
      <w:pPr>
        <w:pStyle w:val="DHbullet"/>
        <w:rPr>
          <w:lang w:eastAsia="en-AU"/>
        </w:rPr>
      </w:pPr>
      <w:r w:rsidRPr="00B9549E">
        <w:rPr>
          <w:lang w:eastAsia="en-AU"/>
        </w:rPr>
        <w:t>Where there is an established general practitioner/specialist relationship</w:t>
      </w:r>
    </w:p>
    <w:p w:rsidR="0013521C" w:rsidRPr="00B9549E" w:rsidRDefault="0013521C" w:rsidP="0013521C">
      <w:pPr>
        <w:pStyle w:val="DHbullet"/>
        <w:rPr>
          <w:lang w:eastAsia="en-AU"/>
        </w:rPr>
      </w:pPr>
      <w:r w:rsidRPr="00B9549E">
        <w:rPr>
          <w:lang w:eastAsia="en-AU"/>
        </w:rPr>
        <w:t>Where prescribers are practising in the same clinic and have access to the same clinical records</w:t>
      </w:r>
    </w:p>
    <w:p w:rsidR="0013521C" w:rsidRPr="00B9549E" w:rsidRDefault="0013521C" w:rsidP="0013521C">
      <w:pPr>
        <w:pStyle w:val="DHbullet"/>
        <w:rPr>
          <w:lang w:eastAsia="en-AU"/>
        </w:rPr>
      </w:pPr>
      <w:r w:rsidRPr="00B9549E">
        <w:rPr>
          <w:lang w:eastAsia="en-AU"/>
        </w:rPr>
        <w:t>Where a locum is working at the practice of the patient's usual prescriber</w:t>
      </w:r>
    </w:p>
    <w:p w:rsidR="0013521C" w:rsidRDefault="0013521C" w:rsidP="0013521C">
      <w:pPr>
        <w:pStyle w:val="DHbody"/>
        <w:rPr>
          <w:rFonts w:cs="Arial"/>
          <w:lang w:eastAsia="en-AU"/>
        </w:rPr>
      </w:pPr>
      <w:r w:rsidRPr="0013041B">
        <w:rPr>
          <w:rFonts w:cs="Arial"/>
          <w:lang w:eastAsia="en-AU"/>
        </w:rPr>
        <w:t xml:space="preserve">The phrase "as soon as practicable" is used to allow some flexibility according to the circumstances.  The dictionary defines "practicable" as "capable of being done", "feasible".  </w:t>
      </w:r>
    </w:p>
    <w:p w:rsidR="0013521C" w:rsidRPr="002779FD" w:rsidRDefault="0013521C" w:rsidP="0013521C">
      <w:pPr>
        <w:pStyle w:val="DHheading2"/>
        <w:rPr>
          <w:lang w:eastAsia="en-AU"/>
        </w:rPr>
      </w:pPr>
      <w:r>
        <w:rPr>
          <w:lang w:eastAsia="en-AU"/>
        </w:rPr>
        <w:t>Division 4 - S</w:t>
      </w:r>
      <w:r w:rsidRPr="002779FD">
        <w:rPr>
          <w:lang w:eastAsia="en-AU"/>
        </w:rPr>
        <w:t>torage</w:t>
      </w:r>
    </w:p>
    <w:p w:rsidR="0013521C" w:rsidRPr="002779FD" w:rsidRDefault="0013521C" w:rsidP="0013521C">
      <w:pPr>
        <w:pStyle w:val="DHbody"/>
        <w:rPr>
          <w:rFonts w:cs="Arial"/>
          <w:lang w:eastAsia="en-AU"/>
        </w:rPr>
      </w:pPr>
      <w:r w:rsidRPr="002779FD">
        <w:rPr>
          <w:rFonts w:cs="Arial"/>
          <w:lang w:eastAsia="en-AU"/>
        </w:rPr>
        <w:t xml:space="preserve">Division </w:t>
      </w:r>
      <w:r>
        <w:rPr>
          <w:rFonts w:cs="Arial"/>
          <w:lang w:eastAsia="en-AU"/>
        </w:rPr>
        <w:t xml:space="preserve">4 </w:t>
      </w:r>
      <w:r w:rsidRPr="002779FD">
        <w:rPr>
          <w:rFonts w:cs="Arial"/>
          <w:lang w:eastAsia="en-AU"/>
        </w:rPr>
        <w:t>specifies minimum standards for drug storage while giving the Secretary flexibility to set tighter security requirements when it is appropriate to do so.</w:t>
      </w:r>
    </w:p>
    <w:p w:rsidR="0013521C" w:rsidRPr="002779FD" w:rsidRDefault="0013521C" w:rsidP="0013521C">
      <w:pPr>
        <w:pStyle w:val="DHheading2"/>
        <w:rPr>
          <w:lang w:eastAsia="en-AU"/>
        </w:rPr>
      </w:pPr>
      <w:r>
        <w:rPr>
          <w:lang w:eastAsia="en-AU"/>
        </w:rPr>
        <w:t>Regulation</w:t>
      </w:r>
      <w:r w:rsidRPr="002779FD">
        <w:rPr>
          <w:lang w:eastAsia="en-AU"/>
        </w:rPr>
        <w:t xml:space="preserve"> 35(1</w:t>
      </w:r>
      <w:proofErr w:type="gramStart"/>
      <w:r w:rsidRPr="002779FD">
        <w:rPr>
          <w:lang w:eastAsia="en-AU"/>
        </w:rPr>
        <w:t>)(</w:t>
      </w:r>
      <w:proofErr w:type="gramEnd"/>
      <w:r w:rsidRPr="002779FD">
        <w:rPr>
          <w:lang w:eastAsia="en-AU"/>
        </w:rPr>
        <w:t>f)</w:t>
      </w:r>
    </w:p>
    <w:p w:rsidR="0013521C" w:rsidRPr="002779FD" w:rsidRDefault="0013521C" w:rsidP="0013521C">
      <w:pPr>
        <w:pStyle w:val="DHbody"/>
        <w:rPr>
          <w:rFonts w:cs="Arial"/>
          <w:lang w:eastAsia="en-AU"/>
        </w:rPr>
      </w:pPr>
      <w:r w:rsidRPr="002779FD">
        <w:rPr>
          <w:rFonts w:cs="Arial"/>
          <w:lang w:eastAsia="en-AU"/>
        </w:rPr>
        <w:t xml:space="preserve">Expert advice received by the </w:t>
      </w:r>
      <w:r>
        <w:rPr>
          <w:rFonts w:cs="Arial"/>
          <w:lang w:eastAsia="en-AU"/>
        </w:rPr>
        <w:t>d</w:t>
      </w:r>
      <w:r w:rsidRPr="002779FD">
        <w:rPr>
          <w:rFonts w:cs="Arial"/>
          <w:lang w:eastAsia="en-AU"/>
        </w:rPr>
        <w:t>epartment indicates that the requirement to be securely attached is satisfied by -</w:t>
      </w:r>
    </w:p>
    <w:p w:rsidR="0013521C" w:rsidRPr="002779FD" w:rsidRDefault="0013521C" w:rsidP="0013521C">
      <w:pPr>
        <w:pStyle w:val="DHbullet"/>
        <w:rPr>
          <w:lang w:eastAsia="en-AU"/>
        </w:rPr>
      </w:pPr>
      <w:r w:rsidRPr="002779FD">
        <w:rPr>
          <w:lang w:eastAsia="en-AU"/>
        </w:rPr>
        <w:t xml:space="preserve">HARD CORE WALL: The cabinet to be secured by use of four (4) </w:t>
      </w:r>
      <w:proofErr w:type="spellStart"/>
      <w:r w:rsidRPr="002779FD">
        <w:rPr>
          <w:lang w:eastAsia="en-AU"/>
        </w:rPr>
        <w:t>Loxin</w:t>
      </w:r>
      <w:proofErr w:type="spellEnd"/>
      <w:r w:rsidRPr="002779FD">
        <w:rPr>
          <w:lang w:eastAsia="en-AU"/>
        </w:rPr>
        <w:t xml:space="preserve"> or </w:t>
      </w:r>
      <w:proofErr w:type="spellStart"/>
      <w:r w:rsidRPr="002779FD">
        <w:rPr>
          <w:lang w:eastAsia="en-AU"/>
        </w:rPr>
        <w:t>Dyna</w:t>
      </w:r>
      <w:proofErr w:type="spellEnd"/>
      <w:r w:rsidRPr="002779FD">
        <w:rPr>
          <w:lang w:eastAsia="en-AU"/>
        </w:rPr>
        <w:t xml:space="preserve"> Bolts, each 10mm by 50mm minimum.</w:t>
      </w:r>
    </w:p>
    <w:p w:rsidR="0013521C" w:rsidRPr="002779FD" w:rsidRDefault="0013521C" w:rsidP="0013521C">
      <w:pPr>
        <w:pStyle w:val="DHbullet"/>
        <w:rPr>
          <w:lang w:eastAsia="en-AU"/>
        </w:rPr>
      </w:pPr>
      <w:r w:rsidRPr="002779FD">
        <w:rPr>
          <w:lang w:eastAsia="en-AU"/>
        </w:rPr>
        <w:t>STUD AND PLASTER OR HOLLOW BLOCK: The cabinet to be secured by use of four (4) 10mm coach bolts through wall and through 3mm mild steel backing plate.  This backing plate must, at minimum, be the same size as the back of the drug cabinet.</w:t>
      </w:r>
    </w:p>
    <w:p w:rsidR="0013521C" w:rsidRPr="002779FD" w:rsidRDefault="0013521C" w:rsidP="0013521C">
      <w:pPr>
        <w:pStyle w:val="DHheading2"/>
        <w:rPr>
          <w:lang w:eastAsia="en-AU"/>
        </w:rPr>
      </w:pPr>
      <w:r>
        <w:rPr>
          <w:lang w:eastAsia="en-AU"/>
        </w:rPr>
        <w:t>Division 5 - R</w:t>
      </w:r>
      <w:r w:rsidRPr="002779FD">
        <w:rPr>
          <w:lang w:eastAsia="en-AU"/>
        </w:rPr>
        <w:t>ecords</w:t>
      </w:r>
    </w:p>
    <w:p w:rsidR="0013521C" w:rsidRPr="002779FD" w:rsidRDefault="0013521C" w:rsidP="0013521C">
      <w:pPr>
        <w:pStyle w:val="DHbody"/>
        <w:rPr>
          <w:rFonts w:cs="Arial"/>
          <w:lang w:eastAsia="en-AU"/>
        </w:rPr>
      </w:pPr>
      <w:r w:rsidRPr="002779FD">
        <w:rPr>
          <w:rFonts w:cs="Arial"/>
          <w:lang w:eastAsia="en-AU"/>
        </w:rPr>
        <w:t xml:space="preserve">Division </w:t>
      </w:r>
      <w:r>
        <w:rPr>
          <w:rFonts w:cs="Arial"/>
          <w:lang w:eastAsia="en-AU"/>
        </w:rPr>
        <w:t xml:space="preserve">5 </w:t>
      </w:r>
      <w:r w:rsidRPr="002779FD">
        <w:rPr>
          <w:rFonts w:cs="Arial"/>
          <w:lang w:eastAsia="en-AU"/>
        </w:rPr>
        <w:t>seeks to ensure that adequate records are kept without restricting the method of keeping records.</w:t>
      </w:r>
    </w:p>
    <w:p w:rsidR="0013521C" w:rsidRPr="002779FD" w:rsidRDefault="0013521C" w:rsidP="0013521C">
      <w:pPr>
        <w:pStyle w:val="DHheading2"/>
        <w:rPr>
          <w:lang w:eastAsia="en-AU"/>
        </w:rPr>
      </w:pPr>
      <w:r w:rsidRPr="002779FD">
        <w:rPr>
          <w:lang w:eastAsia="en-AU"/>
        </w:rPr>
        <w:t>Regulation 38</w:t>
      </w:r>
    </w:p>
    <w:p w:rsidR="0013521C" w:rsidRDefault="0013521C" w:rsidP="0013521C">
      <w:pPr>
        <w:pStyle w:val="DHbody"/>
        <w:rPr>
          <w:rFonts w:cs="Arial"/>
          <w:lang w:eastAsia="en-AU"/>
        </w:rPr>
      </w:pPr>
      <w:r>
        <w:rPr>
          <w:rFonts w:cs="Arial"/>
          <w:lang w:eastAsia="en-AU"/>
        </w:rPr>
        <w:t>R</w:t>
      </w:r>
      <w:r w:rsidRPr="002779FD">
        <w:rPr>
          <w:rFonts w:cs="Arial"/>
          <w:lang w:eastAsia="en-AU"/>
        </w:rPr>
        <w:t xml:space="preserve">egulation </w:t>
      </w:r>
      <w:r>
        <w:rPr>
          <w:rFonts w:cs="Arial"/>
          <w:lang w:eastAsia="en-AU"/>
        </w:rPr>
        <w:t xml:space="preserve">38 </w:t>
      </w:r>
      <w:r w:rsidRPr="002779FD">
        <w:rPr>
          <w:rFonts w:cs="Arial"/>
          <w:lang w:eastAsia="en-AU"/>
        </w:rPr>
        <w:t>defines the "transactions" for which records are to be kept.</w:t>
      </w:r>
    </w:p>
    <w:p w:rsidR="00166579" w:rsidRPr="002779FD" w:rsidRDefault="00166579" w:rsidP="0013521C">
      <w:pPr>
        <w:pStyle w:val="DHbody"/>
        <w:rPr>
          <w:rFonts w:cs="Arial"/>
          <w:lang w:eastAsia="en-AU"/>
        </w:rPr>
      </w:pPr>
    </w:p>
    <w:p w:rsidR="0013521C" w:rsidRPr="002779FD" w:rsidRDefault="0013521C" w:rsidP="0013521C">
      <w:pPr>
        <w:pStyle w:val="DHheading2"/>
        <w:rPr>
          <w:lang w:eastAsia="en-AU"/>
        </w:rPr>
      </w:pPr>
      <w:r w:rsidRPr="002779FD">
        <w:rPr>
          <w:lang w:eastAsia="en-AU"/>
        </w:rPr>
        <w:lastRenderedPageBreak/>
        <w:t>Regulation 39</w:t>
      </w:r>
    </w:p>
    <w:p w:rsidR="0013521C" w:rsidRPr="002779FD" w:rsidRDefault="0013521C" w:rsidP="0013521C">
      <w:pPr>
        <w:pStyle w:val="DHbody"/>
        <w:rPr>
          <w:rFonts w:cs="Arial"/>
          <w:lang w:eastAsia="en-AU"/>
        </w:rPr>
      </w:pPr>
      <w:r>
        <w:rPr>
          <w:rFonts w:cs="Arial"/>
          <w:lang w:eastAsia="en-AU"/>
        </w:rPr>
        <w:t>R</w:t>
      </w:r>
      <w:r w:rsidRPr="002779FD">
        <w:rPr>
          <w:rFonts w:cs="Arial"/>
          <w:lang w:eastAsia="en-AU"/>
        </w:rPr>
        <w:t xml:space="preserve">egulation </w:t>
      </w:r>
      <w:r>
        <w:rPr>
          <w:rFonts w:cs="Arial"/>
          <w:lang w:eastAsia="en-AU"/>
        </w:rPr>
        <w:t xml:space="preserve">39 </w:t>
      </w:r>
      <w:r w:rsidRPr="002779FD">
        <w:rPr>
          <w:rFonts w:cs="Arial"/>
          <w:lang w:eastAsia="en-AU"/>
        </w:rPr>
        <w:t xml:space="preserve">specifies the persons who must keep true and accurate records.  </w:t>
      </w:r>
      <w:r w:rsidRPr="002779FD">
        <w:rPr>
          <w:rFonts w:cs="Arial"/>
          <w:b/>
          <w:bCs/>
          <w:lang w:eastAsia="en-AU"/>
        </w:rPr>
        <w:t>Note</w:t>
      </w:r>
      <w:r w:rsidRPr="002779FD">
        <w:rPr>
          <w:rFonts w:cs="Arial"/>
          <w:lang w:eastAsia="en-AU"/>
        </w:rPr>
        <w:t>: This regulation does not require patients and their agents (e.g. family members or others acting on their behalf), carriers</w:t>
      </w:r>
      <w:r>
        <w:rPr>
          <w:rFonts w:cs="Arial"/>
          <w:lang w:eastAsia="en-AU"/>
        </w:rPr>
        <w:t xml:space="preserve">, carrier’s employees </w:t>
      </w:r>
      <w:r w:rsidRPr="002779FD">
        <w:rPr>
          <w:rFonts w:cs="Arial"/>
          <w:lang w:eastAsia="en-AU"/>
        </w:rPr>
        <w:t xml:space="preserve">and messengers </w:t>
      </w:r>
      <w:r>
        <w:rPr>
          <w:rFonts w:cs="Arial"/>
          <w:lang w:eastAsia="en-AU"/>
        </w:rPr>
        <w:t xml:space="preserve">and owners or </w:t>
      </w:r>
      <w:proofErr w:type="gramStart"/>
      <w:r>
        <w:rPr>
          <w:rFonts w:cs="Arial"/>
          <w:lang w:eastAsia="en-AU"/>
        </w:rPr>
        <w:t>persons having</w:t>
      </w:r>
      <w:proofErr w:type="gramEnd"/>
      <w:r>
        <w:rPr>
          <w:rFonts w:cs="Arial"/>
          <w:lang w:eastAsia="en-AU"/>
        </w:rPr>
        <w:t xml:space="preserve"> custody of animals </w:t>
      </w:r>
      <w:r w:rsidRPr="002779FD">
        <w:rPr>
          <w:rFonts w:cs="Arial"/>
          <w:lang w:eastAsia="en-AU"/>
        </w:rPr>
        <w:t>to keep records.</w:t>
      </w:r>
    </w:p>
    <w:p w:rsidR="0013521C" w:rsidRPr="002779FD" w:rsidRDefault="0013521C" w:rsidP="0013521C">
      <w:pPr>
        <w:pStyle w:val="DHbody"/>
        <w:rPr>
          <w:rFonts w:cs="Arial"/>
          <w:lang w:eastAsia="en-AU"/>
        </w:rPr>
      </w:pPr>
      <w:r w:rsidRPr="002779FD">
        <w:rPr>
          <w:rFonts w:cs="Arial"/>
          <w:lang w:eastAsia="en-AU"/>
        </w:rPr>
        <w:t>To satisfy this regulation, transaction records should include the following:</w:t>
      </w:r>
    </w:p>
    <w:p w:rsidR="0013521C" w:rsidRPr="002779FD" w:rsidRDefault="0013521C" w:rsidP="0013521C">
      <w:pPr>
        <w:pStyle w:val="DHbody"/>
        <w:numPr>
          <w:ilvl w:val="0"/>
          <w:numId w:val="49"/>
        </w:numPr>
        <w:rPr>
          <w:rFonts w:cs="Arial"/>
          <w:lang w:eastAsia="en-AU"/>
        </w:rPr>
      </w:pPr>
      <w:r w:rsidRPr="002779FD">
        <w:rPr>
          <w:rFonts w:cs="Arial"/>
          <w:lang w:eastAsia="en-AU"/>
        </w:rPr>
        <w:t>Medical practitioners, nurse practitioners, pharmacists, veterinary practitioners, dentists</w:t>
      </w:r>
      <w:r>
        <w:rPr>
          <w:rFonts w:cs="Arial"/>
          <w:lang w:eastAsia="en-AU"/>
        </w:rPr>
        <w:t>,</w:t>
      </w:r>
      <w:r w:rsidRPr="002779FD">
        <w:rPr>
          <w:rFonts w:cs="Arial"/>
          <w:lang w:eastAsia="en-AU"/>
        </w:rPr>
        <w:t xml:space="preserve"> endorsed optometrists</w:t>
      </w:r>
      <w:r>
        <w:rPr>
          <w:rFonts w:cs="Arial"/>
          <w:lang w:eastAsia="en-AU"/>
        </w:rPr>
        <w:t xml:space="preserve"> and endorsed podiatrists</w:t>
      </w:r>
      <w:r w:rsidRPr="002779FD">
        <w:rPr>
          <w:rFonts w:cs="Arial"/>
          <w:lang w:eastAsia="en-AU"/>
        </w:rPr>
        <w:t>:</w:t>
      </w:r>
    </w:p>
    <w:p w:rsidR="0013521C" w:rsidRPr="002779FD" w:rsidRDefault="0013521C" w:rsidP="0013521C">
      <w:pPr>
        <w:pStyle w:val="DHbody"/>
        <w:numPr>
          <w:ilvl w:val="1"/>
          <w:numId w:val="49"/>
        </w:numPr>
        <w:rPr>
          <w:rFonts w:cs="Arial"/>
          <w:lang w:eastAsia="en-AU"/>
        </w:rPr>
      </w:pPr>
      <w:r w:rsidRPr="002779FD">
        <w:rPr>
          <w:rFonts w:cs="Arial"/>
          <w:lang w:eastAsia="en-AU"/>
        </w:rPr>
        <w:t>Records of administration and supply</w:t>
      </w:r>
    </w:p>
    <w:p w:rsidR="0013521C" w:rsidRPr="002779FD" w:rsidRDefault="0013521C" w:rsidP="0013521C">
      <w:pPr>
        <w:pStyle w:val="DHbody"/>
        <w:numPr>
          <w:ilvl w:val="1"/>
          <w:numId w:val="49"/>
        </w:numPr>
        <w:rPr>
          <w:rFonts w:cs="Arial"/>
          <w:lang w:eastAsia="en-AU"/>
        </w:rPr>
      </w:pPr>
      <w:r w:rsidRPr="002779FD">
        <w:rPr>
          <w:rFonts w:cs="Arial"/>
          <w:lang w:eastAsia="en-AU"/>
        </w:rPr>
        <w:t>Records of destruction or disposal</w:t>
      </w:r>
    </w:p>
    <w:p w:rsidR="0013521C" w:rsidRPr="002779FD" w:rsidRDefault="0013521C" w:rsidP="0013521C">
      <w:pPr>
        <w:pStyle w:val="DHbody"/>
        <w:numPr>
          <w:ilvl w:val="0"/>
          <w:numId w:val="49"/>
        </w:numPr>
        <w:rPr>
          <w:rFonts w:cs="Arial"/>
          <w:lang w:eastAsia="en-AU"/>
        </w:rPr>
      </w:pPr>
      <w:r w:rsidRPr="002779FD">
        <w:rPr>
          <w:rFonts w:cs="Arial"/>
          <w:lang w:eastAsia="en-AU"/>
        </w:rPr>
        <w:t>Hospitals, aged care services with high care residents, bush nursing centres and other Health service providers:</w:t>
      </w:r>
    </w:p>
    <w:p w:rsidR="0013521C" w:rsidRPr="002779FD" w:rsidRDefault="0013521C" w:rsidP="0013521C">
      <w:pPr>
        <w:pStyle w:val="DHbody"/>
        <w:numPr>
          <w:ilvl w:val="1"/>
          <w:numId w:val="49"/>
        </w:numPr>
        <w:rPr>
          <w:rFonts w:cs="Arial"/>
          <w:lang w:eastAsia="en-AU"/>
        </w:rPr>
      </w:pPr>
      <w:r w:rsidRPr="002779FD">
        <w:rPr>
          <w:rFonts w:cs="Arial"/>
          <w:lang w:eastAsia="en-AU"/>
        </w:rPr>
        <w:t>Records of administration and supply</w:t>
      </w:r>
    </w:p>
    <w:p w:rsidR="0013521C" w:rsidRPr="002779FD" w:rsidRDefault="0013521C" w:rsidP="0013521C">
      <w:pPr>
        <w:pStyle w:val="DHbody"/>
        <w:numPr>
          <w:ilvl w:val="1"/>
          <w:numId w:val="49"/>
        </w:numPr>
        <w:rPr>
          <w:rFonts w:cs="Arial"/>
          <w:lang w:eastAsia="en-AU"/>
        </w:rPr>
      </w:pPr>
      <w:r w:rsidRPr="002779FD">
        <w:rPr>
          <w:rFonts w:cs="Arial"/>
          <w:lang w:eastAsia="en-AU"/>
        </w:rPr>
        <w:t>Records of transfers between different storage locations</w:t>
      </w:r>
    </w:p>
    <w:p w:rsidR="0013521C" w:rsidRPr="002779FD" w:rsidRDefault="0013521C" w:rsidP="0013521C">
      <w:pPr>
        <w:pStyle w:val="DHbody"/>
        <w:numPr>
          <w:ilvl w:val="1"/>
          <w:numId w:val="49"/>
        </w:numPr>
        <w:rPr>
          <w:rFonts w:cs="Arial"/>
          <w:lang w:eastAsia="en-AU"/>
        </w:rPr>
      </w:pPr>
      <w:r w:rsidRPr="002779FD">
        <w:rPr>
          <w:rFonts w:cs="Arial"/>
          <w:lang w:eastAsia="en-AU"/>
        </w:rPr>
        <w:t>Records of destruction or disposal</w:t>
      </w:r>
    </w:p>
    <w:p w:rsidR="0013521C" w:rsidRPr="002779FD" w:rsidRDefault="0013521C" w:rsidP="0013521C">
      <w:pPr>
        <w:pStyle w:val="DHbody"/>
        <w:numPr>
          <w:ilvl w:val="0"/>
          <w:numId w:val="49"/>
        </w:numPr>
        <w:rPr>
          <w:rFonts w:cs="Arial"/>
          <w:lang w:eastAsia="en-AU"/>
        </w:rPr>
      </w:pPr>
      <w:r w:rsidRPr="002779FD">
        <w:rPr>
          <w:rFonts w:cs="Arial"/>
          <w:lang w:eastAsia="en-AU"/>
        </w:rPr>
        <w:t>Licence and permit holders:</w:t>
      </w:r>
    </w:p>
    <w:p w:rsidR="0013521C" w:rsidRPr="002779FD" w:rsidRDefault="0013521C" w:rsidP="0013521C">
      <w:pPr>
        <w:pStyle w:val="DHbody"/>
        <w:numPr>
          <w:ilvl w:val="1"/>
          <w:numId w:val="49"/>
        </w:numPr>
        <w:rPr>
          <w:rFonts w:cs="Arial"/>
          <w:lang w:eastAsia="en-AU"/>
        </w:rPr>
      </w:pPr>
      <w:r w:rsidRPr="002779FD">
        <w:rPr>
          <w:rFonts w:cs="Arial"/>
          <w:lang w:eastAsia="en-AU"/>
        </w:rPr>
        <w:t>Records of supply</w:t>
      </w:r>
    </w:p>
    <w:p w:rsidR="0013521C" w:rsidRPr="002779FD" w:rsidRDefault="0013521C" w:rsidP="0013521C">
      <w:pPr>
        <w:pStyle w:val="DHbody"/>
        <w:numPr>
          <w:ilvl w:val="1"/>
          <w:numId w:val="49"/>
        </w:numPr>
        <w:rPr>
          <w:rFonts w:cs="Arial"/>
          <w:lang w:eastAsia="en-AU"/>
        </w:rPr>
      </w:pPr>
      <w:r w:rsidRPr="002779FD">
        <w:rPr>
          <w:rFonts w:cs="Arial"/>
          <w:lang w:eastAsia="en-AU"/>
        </w:rPr>
        <w:t>Records of use - e.g., in manufacturing operations; in laboratory quality control work or as laboratory standards; administration to laboratory and other experimental animals.</w:t>
      </w:r>
    </w:p>
    <w:p w:rsidR="0013521C" w:rsidRPr="002779FD" w:rsidRDefault="0013521C" w:rsidP="0013521C">
      <w:pPr>
        <w:pStyle w:val="DHbody"/>
        <w:numPr>
          <w:ilvl w:val="1"/>
          <w:numId w:val="49"/>
        </w:numPr>
        <w:rPr>
          <w:rFonts w:cs="Arial"/>
          <w:lang w:eastAsia="en-AU"/>
        </w:rPr>
      </w:pPr>
      <w:r w:rsidRPr="002779FD">
        <w:rPr>
          <w:rFonts w:cs="Arial"/>
          <w:lang w:eastAsia="en-AU"/>
        </w:rPr>
        <w:t>Records of transfers between different storage locations - e.g., records of retention samples</w:t>
      </w:r>
    </w:p>
    <w:p w:rsidR="0013521C" w:rsidRPr="002779FD" w:rsidRDefault="0013521C" w:rsidP="0013521C">
      <w:pPr>
        <w:pStyle w:val="DHbody"/>
        <w:numPr>
          <w:ilvl w:val="1"/>
          <w:numId w:val="49"/>
        </w:numPr>
        <w:rPr>
          <w:rFonts w:cs="Arial"/>
          <w:lang w:eastAsia="en-AU"/>
        </w:rPr>
      </w:pPr>
      <w:r w:rsidRPr="002779FD">
        <w:rPr>
          <w:rFonts w:cs="Arial"/>
          <w:lang w:eastAsia="en-AU"/>
        </w:rPr>
        <w:t>Records of destruction or disposal</w:t>
      </w:r>
    </w:p>
    <w:p w:rsidR="0013521C" w:rsidRPr="002779FD" w:rsidRDefault="0013521C" w:rsidP="0013521C">
      <w:pPr>
        <w:pStyle w:val="DHbody"/>
        <w:numPr>
          <w:ilvl w:val="0"/>
          <w:numId w:val="49"/>
        </w:numPr>
        <w:rPr>
          <w:rFonts w:cs="Arial"/>
          <w:lang w:eastAsia="en-AU"/>
        </w:rPr>
      </w:pPr>
      <w:r w:rsidRPr="002779FD">
        <w:rPr>
          <w:rFonts w:cs="Arial"/>
          <w:lang w:eastAsia="en-AU"/>
        </w:rPr>
        <w:t>Other approved persons (regulation 5):</w:t>
      </w:r>
    </w:p>
    <w:p w:rsidR="0013521C" w:rsidRPr="002779FD" w:rsidRDefault="0013521C" w:rsidP="0013521C">
      <w:pPr>
        <w:pStyle w:val="DHbody"/>
        <w:numPr>
          <w:ilvl w:val="1"/>
          <w:numId w:val="49"/>
        </w:numPr>
        <w:rPr>
          <w:rFonts w:cs="Arial"/>
          <w:lang w:eastAsia="en-AU"/>
        </w:rPr>
      </w:pPr>
      <w:r w:rsidRPr="002779FD">
        <w:rPr>
          <w:rFonts w:cs="Arial"/>
          <w:lang w:eastAsia="en-AU"/>
        </w:rPr>
        <w:t>Records of administration</w:t>
      </w:r>
    </w:p>
    <w:p w:rsidR="0013521C" w:rsidRPr="002779FD" w:rsidRDefault="0013521C" w:rsidP="0013521C">
      <w:pPr>
        <w:pStyle w:val="DHbody"/>
        <w:numPr>
          <w:ilvl w:val="1"/>
          <w:numId w:val="49"/>
        </w:numPr>
        <w:rPr>
          <w:rFonts w:cs="Arial"/>
          <w:lang w:eastAsia="en-AU"/>
        </w:rPr>
      </w:pPr>
      <w:r w:rsidRPr="002779FD">
        <w:rPr>
          <w:rFonts w:cs="Arial"/>
          <w:lang w:eastAsia="en-AU"/>
        </w:rPr>
        <w:t>Records of transfers between different storage locations</w:t>
      </w:r>
    </w:p>
    <w:p w:rsidR="0013521C" w:rsidRPr="002779FD" w:rsidRDefault="0013521C" w:rsidP="0013521C">
      <w:pPr>
        <w:pStyle w:val="DHbody"/>
        <w:numPr>
          <w:ilvl w:val="1"/>
          <w:numId w:val="49"/>
        </w:numPr>
        <w:rPr>
          <w:rFonts w:cs="Arial"/>
          <w:lang w:eastAsia="en-AU"/>
        </w:rPr>
      </w:pPr>
      <w:r w:rsidRPr="002779FD">
        <w:rPr>
          <w:rFonts w:cs="Arial"/>
          <w:lang w:eastAsia="en-AU"/>
        </w:rPr>
        <w:t>Records of destruction or disposal</w:t>
      </w:r>
    </w:p>
    <w:p w:rsidR="0013521C" w:rsidRDefault="0013521C" w:rsidP="0013521C">
      <w:pPr>
        <w:pStyle w:val="DHbody"/>
        <w:rPr>
          <w:rFonts w:cs="Arial"/>
          <w:lang w:eastAsia="en-AU"/>
        </w:rPr>
      </w:pPr>
      <w:r w:rsidRPr="002779FD">
        <w:rPr>
          <w:rFonts w:cs="Arial"/>
          <w:b/>
          <w:lang w:eastAsia="en-AU"/>
        </w:rPr>
        <w:t>Note</w:t>
      </w:r>
      <w:r w:rsidRPr="002779FD">
        <w:rPr>
          <w:rFonts w:cs="Arial"/>
          <w:lang w:eastAsia="en-AU"/>
        </w:rPr>
        <w:t>: Regulations 50 and 51 identify the persons who may destroy Schedule 8 poisons.</w:t>
      </w:r>
    </w:p>
    <w:p w:rsidR="0013521C" w:rsidRPr="002779FD" w:rsidRDefault="0013521C" w:rsidP="0013521C">
      <w:pPr>
        <w:pStyle w:val="DHheading2"/>
        <w:rPr>
          <w:lang w:eastAsia="en-AU"/>
        </w:rPr>
      </w:pPr>
      <w:r w:rsidRPr="002779FD">
        <w:rPr>
          <w:lang w:eastAsia="en-AU"/>
        </w:rPr>
        <w:t>Regulation 40</w:t>
      </w:r>
    </w:p>
    <w:p w:rsidR="0013521C" w:rsidRDefault="0013521C" w:rsidP="0013521C">
      <w:pPr>
        <w:pStyle w:val="DHbody"/>
        <w:rPr>
          <w:rFonts w:cs="Arial"/>
          <w:lang w:eastAsia="en-AU"/>
        </w:rPr>
      </w:pPr>
      <w:r w:rsidRPr="002779FD">
        <w:rPr>
          <w:rFonts w:cs="Arial"/>
          <w:lang w:eastAsia="en-AU"/>
        </w:rPr>
        <w:t>Regulation 40 specifies the details of transactions that must be recorded.</w:t>
      </w:r>
    </w:p>
    <w:p w:rsidR="0013521C" w:rsidRPr="002779FD" w:rsidRDefault="0013521C" w:rsidP="0013521C">
      <w:pPr>
        <w:pStyle w:val="DHbody"/>
        <w:rPr>
          <w:rFonts w:cs="Arial"/>
          <w:lang w:eastAsia="en-AU"/>
        </w:rPr>
      </w:pPr>
      <w:r w:rsidRPr="0013041B">
        <w:rPr>
          <w:rFonts w:cs="Arial"/>
          <w:lang w:eastAsia="en-AU"/>
        </w:rPr>
        <w:t xml:space="preserve">The phrase "as soon as practicable" </w:t>
      </w:r>
      <w:r>
        <w:rPr>
          <w:rFonts w:cs="Arial"/>
          <w:lang w:eastAsia="en-AU"/>
        </w:rPr>
        <w:t xml:space="preserve">in regulation 40(1) </w:t>
      </w:r>
      <w:r w:rsidRPr="0013041B">
        <w:rPr>
          <w:rFonts w:cs="Arial"/>
          <w:lang w:eastAsia="en-AU"/>
        </w:rPr>
        <w:t xml:space="preserve">is used to allow some flexibility according to the circumstances.  The dictionary defines "practicable" as "capable of being done", "feasible".  </w:t>
      </w:r>
    </w:p>
    <w:p w:rsidR="0013521C" w:rsidRPr="002779FD" w:rsidRDefault="0013521C" w:rsidP="0013521C">
      <w:pPr>
        <w:pStyle w:val="DHbody"/>
        <w:rPr>
          <w:rFonts w:cs="Arial"/>
          <w:lang w:eastAsia="en-AU"/>
        </w:rPr>
      </w:pPr>
      <w:r w:rsidRPr="002779FD">
        <w:rPr>
          <w:rFonts w:cs="Arial"/>
          <w:lang w:eastAsia="en-AU"/>
        </w:rPr>
        <w:t>Regulation 40(1)(c) and (</w:t>
      </w:r>
      <w:proofErr w:type="spellStart"/>
      <w:r w:rsidRPr="002779FD">
        <w:rPr>
          <w:rFonts w:cs="Arial"/>
          <w:lang w:eastAsia="en-AU"/>
        </w:rPr>
        <w:t>i</w:t>
      </w:r>
      <w:proofErr w:type="spellEnd"/>
      <w:r w:rsidRPr="002779FD">
        <w:rPr>
          <w:rFonts w:cs="Arial"/>
          <w:lang w:eastAsia="en-AU"/>
        </w:rPr>
        <w:t>): In the case of Schedule 4 or Schedule 8 poisons supplied or administered to an individual and specific person, the name of the prescriber and the</w:t>
      </w:r>
      <w:r>
        <w:rPr>
          <w:rFonts w:cs="Arial"/>
          <w:lang w:eastAsia="en-AU"/>
        </w:rPr>
        <w:t xml:space="preserve"> </w:t>
      </w:r>
      <w:r w:rsidRPr="002779FD">
        <w:rPr>
          <w:rFonts w:cs="Arial"/>
          <w:lang w:eastAsia="en-AU"/>
        </w:rPr>
        <w:t>name of the person carrying out the transaction must be entered in the record.  However, it would be acceptable for the names to be entered in the form of a code (e.g. initials), provided the record makes provision for identifying the person to whom the code refers.</w:t>
      </w:r>
    </w:p>
    <w:p w:rsidR="0013521C" w:rsidRPr="002779FD" w:rsidRDefault="0013521C" w:rsidP="0013521C">
      <w:pPr>
        <w:pStyle w:val="DHheading2"/>
        <w:rPr>
          <w:lang w:eastAsia="en-AU"/>
        </w:rPr>
      </w:pPr>
      <w:r w:rsidRPr="002779FD">
        <w:rPr>
          <w:lang w:eastAsia="en-AU"/>
        </w:rPr>
        <w:t>Regulation 41</w:t>
      </w:r>
    </w:p>
    <w:p w:rsidR="0013521C" w:rsidRDefault="0013521C" w:rsidP="0013521C">
      <w:pPr>
        <w:pStyle w:val="DHbody"/>
        <w:rPr>
          <w:rFonts w:cs="Arial"/>
          <w:lang w:eastAsia="en-AU"/>
        </w:rPr>
      </w:pPr>
      <w:r w:rsidRPr="002779FD">
        <w:rPr>
          <w:rFonts w:cs="Arial"/>
          <w:lang w:eastAsia="en-AU"/>
        </w:rPr>
        <w:t>Regulation 41 sets out the criteria by which the records are to be retained and retrieved.  It does not limit the way the records are to be kept other than they must be true, accurate and readily retrievable.</w:t>
      </w:r>
      <w:r>
        <w:rPr>
          <w:rFonts w:cs="Arial"/>
          <w:lang w:eastAsia="en-AU"/>
        </w:rPr>
        <w:t xml:space="preserve">  </w:t>
      </w:r>
      <w:r w:rsidRPr="00F83287">
        <w:rPr>
          <w:rFonts w:cs="Arial"/>
          <w:lang w:eastAsia="en-AU"/>
        </w:rPr>
        <w:t xml:space="preserve">Therefore, it allows records to be kept </w:t>
      </w:r>
      <w:r>
        <w:rPr>
          <w:rFonts w:cs="Arial"/>
          <w:lang w:eastAsia="en-AU"/>
        </w:rPr>
        <w:t xml:space="preserve">manually or electronically </w:t>
      </w:r>
      <w:r w:rsidRPr="00F83287">
        <w:rPr>
          <w:rFonts w:cs="Arial"/>
          <w:lang w:eastAsia="en-AU"/>
        </w:rPr>
        <w:t xml:space="preserve">provided that </w:t>
      </w:r>
      <w:r w:rsidRPr="00F83287">
        <w:rPr>
          <w:rFonts w:cs="Arial"/>
          <w:bCs/>
          <w:lang w:eastAsia="en-AU"/>
        </w:rPr>
        <w:t xml:space="preserve">regulation 41(5) </w:t>
      </w:r>
      <w:r w:rsidRPr="00F83287">
        <w:rPr>
          <w:rFonts w:cs="Arial"/>
          <w:lang w:eastAsia="en-AU"/>
        </w:rPr>
        <w:t>is satisfied in</w:t>
      </w:r>
      <w:r w:rsidRPr="002779FD">
        <w:rPr>
          <w:rFonts w:cs="Arial"/>
          <w:lang w:eastAsia="en-AU"/>
        </w:rPr>
        <w:t xml:space="preserve"> that, in the case of Schedule 8 or 9 poisons, the records cannot be altered, obliterated, deleted or removed without detection.</w:t>
      </w:r>
      <w:r>
        <w:rPr>
          <w:rFonts w:cs="Arial"/>
          <w:lang w:eastAsia="en-AU"/>
        </w:rPr>
        <w:t xml:space="preserve"> </w:t>
      </w:r>
    </w:p>
    <w:p w:rsidR="00166579" w:rsidRPr="002779FD" w:rsidRDefault="00166579" w:rsidP="0013521C">
      <w:pPr>
        <w:pStyle w:val="DHbody"/>
        <w:rPr>
          <w:rFonts w:cs="Arial"/>
          <w:lang w:eastAsia="en-AU"/>
        </w:rPr>
      </w:pPr>
    </w:p>
    <w:p w:rsidR="0013521C" w:rsidRPr="002779FD" w:rsidRDefault="0013521C" w:rsidP="0013521C">
      <w:pPr>
        <w:pStyle w:val="DHbody"/>
        <w:rPr>
          <w:rFonts w:cs="Arial"/>
          <w:lang w:eastAsia="en-AU"/>
        </w:rPr>
      </w:pPr>
      <w:r w:rsidRPr="002779FD">
        <w:rPr>
          <w:rFonts w:cs="Arial"/>
          <w:lang w:eastAsia="en-AU"/>
        </w:rPr>
        <w:lastRenderedPageBreak/>
        <w:t>Records concerning Schedule 8 and Schedule 9 poisons have additional requirements, contained in Regulation 41(1), which specify that they:</w:t>
      </w:r>
    </w:p>
    <w:p w:rsidR="0013521C" w:rsidRPr="002779FD" w:rsidRDefault="0013521C" w:rsidP="0013521C">
      <w:pPr>
        <w:pStyle w:val="DHbullet"/>
        <w:rPr>
          <w:lang w:eastAsia="en-AU"/>
        </w:rPr>
      </w:pPr>
      <w:r w:rsidRPr="002779FD">
        <w:rPr>
          <w:lang w:eastAsia="en-AU"/>
        </w:rPr>
        <w:t>are able to be readily sorted by poison; and</w:t>
      </w:r>
    </w:p>
    <w:p w:rsidR="0013521C" w:rsidRPr="002779FD" w:rsidRDefault="0013521C" w:rsidP="0013521C">
      <w:pPr>
        <w:pStyle w:val="DHbullet"/>
        <w:rPr>
          <w:lang w:eastAsia="en-AU"/>
        </w:rPr>
      </w:pPr>
      <w:r w:rsidRPr="002779FD">
        <w:rPr>
          <w:lang w:eastAsia="en-AU"/>
        </w:rPr>
        <w:t>show a true and accurate balance of each poison; and</w:t>
      </w:r>
    </w:p>
    <w:p w:rsidR="0013521C" w:rsidRPr="002779FD" w:rsidRDefault="0013521C" w:rsidP="0013521C">
      <w:pPr>
        <w:pStyle w:val="DHbullet"/>
        <w:rPr>
          <w:lang w:eastAsia="en-AU"/>
        </w:rPr>
      </w:pPr>
      <w:r w:rsidRPr="002779FD">
        <w:rPr>
          <w:lang w:eastAsia="en-AU"/>
        </w:rPr>
        <w:t>show the name of the person carrying out the transact</w:t>
      </w:r>
      <w:r>
        <w:rPr>
          <w:lang w:eastAsia="en-AU"/>
        </w:rPr>
        <w:t>ion</w:t>
      </w:r>
    </w:p>
    <w:p w:rsidR="0013521C" w:rsidRPr="002779FD" w:rsidRDefault="0013521C" w:rsidP="0013521C">
      <w:pPr>
        <w:pStyle w:val="DHbody"/>
        <w:rPr>
          <w:rFonts w:cs="Arial"/>
          <w:lang w:eastAsia="en-AU"/>
        </w:rPr>
      </w:pPr>
      <w:r w:rsidRPr="002779FD">
        <w:rPr>
          <w:rFonts w:cs="Arial"/>
          <w:lang w:eastAsia="en-AU"/>
        </w:rPr>
        <w:t xml:space="preserve">Compliance with the requirements of regulation 41 for Schedule 8 and Schedule 9 poisons can be achieved by using a </w:t>
      </w:r>
      <w:r w:rsidRPr="002779FD">
        <w:rPr>
          <w:rFonts w:cs="Arial"/>
          <w:i/>
          <w:iCs/>
          <w:lang w:eastAsia="en-AU"/>
        </w:rPr>
        <w:t xml:space="preserve">Drug register </w:t>
      </w:r>
      <w:r w:rsidRPr="002779FD">
        <w:rPr>
          <w:rFonts w:cs="Arial"/>
          <w:lang w:eastAsia="en-AU"/>
        </w:rPr>
        <w:t xml:space="preserve">or a </w:t>
      </w:r>
      <w:r w:rsidRPr="002779FD">
        <w:rPr>
          <w:rFonts w:cs="Arial"/>
          <w:i/>
          <w:iCs/>
          <w:lang w:eastAsia="en-AU"/>
        </w:rPr>
        <w:t xml:space="preserve">Drug administration book, </w:t>
      </w:r>
      <w:r w:rsidRPr="002779FD">
        <w:rPr>
          <w:rFonts w:cs="Arial"/>
          <w:lang w:eastAsia="en-AU"/>
        </w:rPr>
        <w:t xml:space="preserve">which is in the form of a bound volume with consecutively numbered pages and which can commonly be obtained from wholesale suppliers of Schedule 8 poisons.  </w:t>
      </w:r>
    </w:p>
    <w:p w:rsidR="0013521C" w:rsidRPr="002779FD" w:rsidRDefault="0013521C" w:rsidP="0013521C">
      <w:pPr>
        <w:pStyle w:val="DHbody"/>
        <w:rPr>
          <w:rFonts w:cs="Arial"/>
          <w:lang w:eastAsia="en-AU"/>
        </w:rPr>
      </w:pPr>
      <w:r w:rsidRPr="002779FD">
        <w:rPr>
          <w:rFonts w:cs="Arial"/>
          <w:lang w:eastAsia="en-AU"/>
        </w:rPr>
        <w:t>Before introducing an alternative form of records</w:t>
      </w:r>
      <w:r>
        <w:rPr>
          <w:rFonts w:cs="Arial"/>
          <w:lang w:eastAsia="en-AU"/>
        </w:rPr>
        <w:t>,</w:t>
      </w:r>
      <w:r w:rsidRPr="002779FD">
        <w:rPr>
          <w:rFonts w:cs="Arial"/>
          <w:lang w:eastAsia="en-AU"/>
        </w:rPr>
        <w:t xml:space="preserve"> a person must ensure that the alternative form of records will comply with the requirements of regulation 41(1).</w:t>
      </w:r>
    </w:p>
    <w:p w:rsidR="0013521C" w:rsidRPr="00B9549E" w:rsidRDefault="0013521C" w:rsidP="0013521C">
      <w:pPr>
        <w:pStyle w:val="DHheading2"/>
        <w:rPr>
          <w:b w:val="0"/>
          <w:lang w:eastAsia="en-AU"/>
        </w:rPr>
      </w:pPr>
      <w:r w:rsidRPr="00B9549E">
        <w:rPr>
          <w:rStyle w:val="DHheading4Char"/>
          <w:rFonts w:eastAsia="Times"/>
          <w:szCs w:val="28"/>
        </w:rPr>
        <w:t>Regulation 41(1</w:t>
      </w:r>
      <w:proofErr w:type="gramStart"/>
      <w:r w:rsidRPr="00B9549E">
        <w:rPr>
          <w:rStyle w:val="DHheading4Char"/>
          <w:rFonts w:eastAsia="Times"/>
          <w:szCs w:val="28"/>
        </w:rPr>
        <w:t>)(</w:t>
      </w:r>
      <w:proofErr w:type="gramEnd"/>
      <w:r w:rsidRPr="00B9549E">
        <w:rPr>
          <w:rStyle w:val="DHheading4Char"/>
          <w:rFonts w:eastAsia="Times"/>
          <w:szCs w:val="28"/>
        </w:rPr>
        <w:t>b)</w:t>
      </w:r>
      <w:r w:rsidRPr="00B9549E">
        <w:rPr>
          <w:lang w:eastAsia="en-AU"/>
        </w:rPr>
        <w:t xml:space="preserve"> -</w:t>
      </w:r>
      <w:r w:rsidRPr="00B9549E">
        <w:rPr>
          <w:b w:val="0"/>
          <w:lang w:eastAsia="en-AU"/>
        </w:rPr>
        <w:t xml:space="preserve"> </w:t>
      </w:r>
      <w:r w:rsidRPr="00B9549E">
        <w:rPr>
          <w:lang w:eastAsia="en-AU"/>
        </w:rPr>
        <w:t>“true and accurate balance”</w:t>
      </w:r>
    </w:p>
    <w:p w:rsidR="0013521C" w:rsidRPr="002779FD" w:rsidRDefault="0013521C" w:rsidP="0013521C">
      <w:pPr>
        <w:pStyle w:val="DHbody"/>
        <w:rPr>
          <w:rFonts w:cs="Arial"/>
          <w:lang w:eastAsia="en-AU"/>
        </w:rPr>
      </w:pPr>
      <w:r w:rsidRPr="00F816B3">
        <w:rPr>
          <w:rFonts w:cs="Arial"/>
          <w:bCs/>
          <w:lang w:eastAsia="en-AU"/>
        </w:rPr>
        <w:t>Regulation 41(1</w:t>
      </w:r>
      <w:proofErr w:type="gramStart"/>
      <w:r w:rsidRPr="00F816B3">
        <w:rPr>
          <w:rFonts w:cs="Arial"/>
          <w:bCs/>
          <w:lang w:eastAsia="en-AU"/>
        </w:rPr>
        <w:t>)(</w:t>
      </w:r>
      <w:proofErr w:type="gramEnd"/>
      <w:r w:rsidRPr="00F816B3">
        <w:rPr>
          <w:rFonts w:cs="Arial"/>
          <w:bCs/>
          <w:lang w:eastAsia="en-AU"/>
        </w:rPr>
        <w:t xml:space="preserve">b) </w:t>
      </w:r>
      <w:r w:rsidRPr="00F816B3">
        <w:rPr>
          <w:rFonts w:cs="Arial"/>
          <w:lang w:eastAsia="en-AU"/>
        </w:rPr>
        <w:t>requires</w:t>
      </w:r>
      <w:r w:rsidRPr="00B9549E">
        <w:rPr>
          <w:rFonts w:cs="Arial"/>
          <w:lang w:eastAsia="en-AU"/>
        </w:rPr>
        <w:t xml:space="preserve"> that a </w:t>
      </w:r>
      <w:r w:rsidRPr="00B9549E">
        <w:rPr>
          <w:rFonts w:cs="Arial"/>
          <w:i/>
          <w:iCs/>
          <w:lang w:eastAsia="en-AU"/>
        </w:rPr>
        <w:t xml:space="preserve">true and accurate balance </w:t>
      </w:r>
      <w:r w:rsidRPr="00B9549E">
        <w:rPr>
          <w:rFonts w:cs="Arial"/>
          <w:lang w:eastAsia="en-AU"/>
        </w:rPr>
        <w:t>be recorded in the transaction records for</w:t>
      </w:r>
      <w:r w:rsidRPr="002779FD">
        <w:rPr>
          <w:rFonts w:cs="Arial"/>
          <w:lang w:eastAsia="en-AU"/>
        </w:rPr>
        <w:t xml:space="preserve"> Schedule 8 and 9 poisons.  This might not be achieved if a calculated balance rather than an actual balance is recorded.</w:t>
      </w:r>
    </w:p>
    <w:p w:rsidR="0013521C" w:rsidRPr="002779FD" w:rsidRDefault="0013521C" w:rsidP="0013521C">
      <w:pPr>
        <w:pStyle w:val="DHbody"/>
        <w:rPr>
          <w:rFonts w:cs="Arial"/>
          <w:lang w:eastAsia="en-AU"/>
        </w:rPr>
      </w:pPr>
      <w:r w:rsidRPr="002779FD">
        <w:rPr>
          <w:rFonts w:cs="Arial"/>
          <w:lang w:eastAsia="en-AU"/>
        </w:rPr>
        <w:t xml:space="preserve">To ensure a true and accurate balance is recorded, it may be necessary to confirm the stock on hand at the completion of a transaction.  Frequent stock checks are recommended, especially where more than one person has access to the Schedule 8 or 9 poisons, e.g. in hospitals and in residential aged care services that </w:t>
      </w:r>
      <w:r>
        <w:rPr>
          <w:rFonts w:cs="Arial"/>
          <w:lang w:eastAsia="en-AU"/>
        </w:rPr>
        <w:t xml:space="preserve">are either required or </w:t>
      </w:r>
      <w:r w:rsidRPr="002779FD">
        <w:rPr>
          <w:rFonts w:cs="Arial"/>
          <w:lang w:eastAsia="en-AU"/>
        </w:rPr>
        <w:t>opt to maintain a Schedule 8 and 9 poison drug register.</w:t>
      </w:r>
    </w:p>
    <w:p w:rsidR="0013521C" w:rsidRPr="002779FD" w:rsidRDefault="0013521C" w:rsidP="0013521C">
      <w:pPr>
        <w:pStyle w:val="DHheading2"/>
        <w:rPr>
          <w:lang w:eastAsia="en-AU"/>
        </w:rPr>
      </w:pPr>
      <w:r w:rsidRPr="002779FD">
        <w:rPr>
          <w:lang w:eastAsia="en-AU"/>
        </w:rPr>
        <w:t>Regulation 46</w:t>
      </w:r>
    </w:p>
    <w:p w:rsidR="0013521C" w:rsidRPr="002779FD" w:rsidRDefault="0013521C" w:rsidP="0013521C">
      <w:pPr>
        <w:pStyle w:val="DHbody"/>
        <w:rPr>
          <w:rFonts w:cs="Arial"/>
          <w:lang w:eastAsia="en-AU"/>
        </w:rPr>
      </w:pPr>
      <w:r>
        <w:rPr>
          <w:rFonts w:cs="Arial"/>
          <w:lang w:eastAsia="en-AU"/>
        </w:rPr>
        <w:t>Regulation 46 s</w:t>
      </w:r>
      <w:r w:rsidRPr="002779FD">
        <w:rPr>
          <w:rFonts w:cs="Arial"/>
          <w:lang w:eastAsia="en-AU"/>
        </w:rPr>
        <w:t>ub-regulation (1), (2) and (3): The phrase "in writing in a legible and durable form” allows for other than handwritten orders, e.g. computer-generated medication charts.  The phrase “confirm ... with his or her signature" allows for other than handwritten signatures (such as would apply with electronically transmitted orders).</w:t>
      </w:r>
    </w:p>
    <w:p w:rsidR="0013521C" w:rsidRPr="002779FD" w:rsidRDefault="0013521C" w:rsidP="0013521C">
      <w:pPr>
        <w:pStyle w:val="DHheading2"/>
        <w:rPr>
          <w:lang w:eastAsia="en-AU"/>
        </w:rPr>
      </w:pPr>
      <w:r w:rsidRPr="002779FD">
        <w:rPr>
          <w:lang w:eastAsia="en-AU"/>
        </w:rPr>
        <w:t>Regulation 47</w:t>
      </w:r>
    </w:p>
    <w:p w:rsidR="0013521C" w:rsidRPr="00F83287" w:rsidRDefault="0013521C" w:rsidP="0013521C">
      <w:pPr>
        <w:pStyle w:val="DHbody"/>
        <w:rPr>
          <w:rFonts w:cs="Arial"/>
          <w:lang w:eastAsia="en-AU"/>
        </w:rPr>
      </w:pPr>
      <w:r w:rsidRPr="00F83287">
        <w:rPr>
          <w:rFonts w:cs="Arial"/>
          <w:lang w:eastAsia="en-AU"/>
        </w:rPr>
        <w:t xml:space="preserve">The phrase "as soon as practicable" is used </w:t>
      </w:r>
      <w:r>
        <w:rPr>
          <w:rFonts w:cs="Arial"/>
          <w:lang w:eastAsia="en-AU"/>
        </w:rPr>
        <w:t xml:space="preserve">in regulation 47(4) </w:t>
      </w:r>
      <w:r w:rsidRPr="00F83287">
        <w:rPr>
          <w:rFonts w:cs="Arial"/>
          <w:lang w:eastAsia="en-AU"/>
        </w:rPr>
        <w:t xml:space="preserve">to allow some flexibility according to the circumstances.  The dictionary defines "practicable" as "capable of being done", "feasible".  Accordingly, in this case some circumstances will demand a rapid provision of the </w:t>
      </w:r>
      <w:r>
        <w:rPr>
          <w:rFonts w:cs="Arial"/>
          <w:lang w:eastAsia="en-AU"/>
        </w:rPr>
        <w:t>written instruction</w:t>
      </w:r>
      <w:r w:rsidRPr="00F83287">
        <w:rPr>
          <w:rFonts w:cs="Arial"/>
          <w:lang w:eastAsia="en-AU"/>
        </w:rPr>
        <w:t xml:space="preserve"> while in others a less speedy response may be acceptable.</w:t>
      </w:r>
    </w:p>
    <w:p w:rsidR="0013521C" w:rsidRPr="002779FD" w:rsidRDefault="0013521C" w:rsidP="0013521C">
      <w:pPr>
        <w:pStyle w:val="DHbody"/>
        <w:rPr>
          <w:rFonts w:cs="Arial"/>
          <w:lang w:eastAsia="en-AU"/>
        </w:rPr>
      </w:pPr>
      <w:r w:rsidRPr="00B9549E">
        <w:rPr>
          <w:rFonts w:cs="Arial"/>
          <w:lang w:eastAsia="en-AU"/>
        </w:rPr>
        <w:t>For example, in situations where oral instructions to a nurse are to be confirmed in writing, it would be considered sufficient compliance with this regulation if the confirmation were transmitted promptly in the form of a facsimile or posted so that it can arrive with the next mail delivery.</w:t>
      </w:r>
      <w:r>
        <w:rPr>
          <w:rFonts w:cs="Arial"/>
          <w:lang w:eastAsia="en-AU"/>
        </w:rPr>
        <w:t xml:space="preserve"> </w:t>
      </w:r>
    </w:p>
    <w:p w:rsidR="0013521C" w:rsidRPr="002779FD" w:rsidRDefault="0013521C" w:rsidP="0013521C">
      <w:pPr>
        <w:pStyle w:val="DHheading2"/>
        <w:rPr>
          <w:lang w:eastAsia="en-AU"/>
        </w:rPr>
      </w:pPr>
      <w:r>
        <w:rPr>
          <w:lang w:eastAsia="en-AU"/>
        </w:rPr>
        <w:t>Regulations</w:t>
      </w:r>
      <w:r w:rsidRPr="002779FD">
        <w:rPr>
          <w:lang w:eastAsia="en-AU"/>
        </w:rPr>
        <w:t xml:space="preserve"> 53 and 54 </w:t>
      </w:r>
    </w:p>
    <w:p w:rsidR="0013521C" w:rsidRPr="002779FD" w:rsidRDefault="0013521C" w:rsidP="0013521C">
      <w:pPr>
        <w:pStyle w:val="DHbody"/>
        <w:rPr>
          <w:rFonts w:cs="Arial"/>
          <w:lang w:eastAsia="en-AU"/>
        </w:rPr>
      </w:pPr>
      <w:r>
        <w:rPr>
          <w:rFonts w:cs="Arial"/>
          <w:lang w:eastAsia="en-AU"/>
        </w:rPr>
        <w:t>R</w:t>
      </w:r>
      <w:r w:rsidRPr="002779FD">
        <w:rPr>
          <w:rFonts w:cs="Arial"/>
          <w:lang w:eastAsia="en-AU"/>
        </w:rPr>
        <w:t xml:space="preserve">egulations </w:t>
      </w:r>
      <w:r>
        <w:rPr>
          <w:rFonts w:cs="Arial"/>
          <w:lang w:eastAsia="en-AU"/>
        </w:rPr>
        <w:t xml:space="preserve">53 and 54 </w:t>
      </w:r>
      <w:r w:rsidRPr="002779FD">
        <w:rPr>
          <w:rFonts w:cs="Arial"/>
          <w:lang w:eastAsia="en-AU"/>
        </w:rPr>
        <w:t xml:space="preserve">relate </w:t>
      </w:r>
      <w:r>
        <w:rPr>
          <w:rFonts w:cs="Arial"/>
          <w:lang w:eastAsia="en-AU"/>
        </w:rPr>
        <w:t xml:space="preserve">only </w:t>
      </w:r>
      <w:r w:rsidRPr="002779FD">
        <w:rPr>
          <w:rFonts w:cs="Arial"/>
          <w:lang w:eastAsia="en-AU"/>
        </w:rPr>
        <w:t xml:space="preserve">to ovulatory stimulants, prostaglandins, </w:t>
      </w:r>
      <w:proofErr w:type="spellStart"/>
      <w:r w:rsidRPr="002779FD">
        <w:rPr>
          <w:rFonts w:cs="Arial"/>
          <w:lang w:eastAsia="en-AU"/>
        </w:rPr>
        <w:t>retinoids</w:t>
      </w:r>
      <w:proofErr w:type="spellEnd"/>
      <w:r w:rsidRPr="002779FD">
        <w:rPr>
          <w:rFonts w:cs="Arial"/>
          <w:lang w:eastAsia="en-AU"/>
        </w:rPr>
        <w:t xml:space="preserve"> and thalidomide</w:t>
      </w:r>
      <w:r>
        <w:rPr>
          <w:rFonts w:cs="Arial"/>
          <w:lang w:eastAsia="en-AU"/>
        </w:rPr>
        <w:t>, as defined in regulation 4,</w:t>
      </w:r>
      <w:r w:rsidRPr="002779FD">
        <w:rPr>
          <w:rFonts w:cs="Arial"/>
          <w:lang w:eastAsia="en-AU"/>
        </w:rPr>
        <w:t xml:space="preserve"> when they are for human use.  When they are for animal use, the substances are subject to the same controls as for other Schedule 4 poisons.</w:t>
      </w:r>
    </w:p>
    <w:p w:rsidR="0013521C" w:rsidRPr="002779FD" w:rsidRDefault="0013521C" w:rsidP="0013521C">
      <w:pPr>
        <w:pStyle w:val="DHheading2"/>
        <w:rPr>
          <w:lang w:eastAsia="en-AU"/>
        </w:rPr>
      </w:pPr>
      <w:r>
        <w:rPr>
          <w:lang w:eastAsia="en-AU"/>
        </w:rPr>
        <w:t>Part 4 - S</w:t>
      </w:r>
      <w:r w:rsidRPr="002779FD">
        <w:rPr>
          <w:lang w:eastAsia="en-AU"/>
        </w:rPr>
        <w:t>chedule 3 poisons</w:t>
      </w:r>
    </w:p>
    <w:p w:rsidR="0013521C" w:rsidRDefault="0013521C" w:rsidP="0013521C">
      <w:pPr>
        <w:pStyle w:val="DHbody"/>
        <w:rPr>
          <w:rFonts w:cs="Arial"/>
          <w:lang w:eastAsia="en-AU"/>
        </w:rPr>
      </w:pPr>
      <w:r w:rsidRPr="002779FD">
        <w:rPr>
          <w:rFonts w:cs="Arial"/>
          <w:lang w:eastAsia="en-AU"/>
        </w:rPr>
        <w:t>The regulations for Schedule 3 poisons place similar requirements on all persons authorised under Section 13(1) of the Act (i.e., medical practitioners, nurse practitioners, pharmacists, veterinary practitioners</w:t>
      </w:r>
      <w:r>
        <w:rPr>
          <w:rFonts w:cs="Arial"/>
          <w:lang w:eastAsia="en-AU"/>
        </w:rPr>
        <w:t xml:space="preserve">, </w:t>
      </w:r>
      <w:r w:rsidRPr="002779FD">
        <w:rPr>
          <w:rFonts w:cs="Arial"/>
          <w:lang w:eastAsia="en-AU"/>
        </w:rPr>
        <w:t>dentists</w:t>
      </w:r>
      <w:r>
        <w:rPr>
          <w:rFonts w:cs="Arial"/>
          <w:lang w:eastAsia="en-AU"/>
        </w:rPr>
        <w:t>, authorised registered nurses, authorised registered midwives, authorised optometrists and authorised podiatrists</w:t>
      </w:r>
      <w:r w:rsidRPr="002779FD">
        <w:rPr>
          <w:rFonts w:cs="Arial"/>
          <w:lang w:eastAsia="en-AU"/>
        </w:rPr>
        <w:t>) who may administer, prescribe or supply Schedule 3 poisons.</w:t>
      </w:r>
      <w:r>
        <w:rPr>
          <w:rFonts w:cs="Arial"/>
          <w:lang w:eastAsia="en-AU"/>
        </w:rPr>
        <w:t xml:space="preserve">  </w:t>
      </w:r>
    </w:p>
    <w:p w:rsidR="0013521C" w:rsidRDefault="0013521C" w:rsidP="0013521C">
      <w:pPr>
        <w:pStyle w:val="DHbody"/>
        <w:rPr>
          <w:rFonts w:cs="Arial"/>
          <w:lang w:eastAsia="en-AU"/>
        </w:rPr>
      </w:pPr>
    </w:p>
    <w:p w:rsidR="00166579" w:rsidRDefault="00166579" w:rsidP="0013521C">
      <w:pPr>
        <w:pStyle w:val="DHbody"/>
        <w:rPr>
          <w:rFonts w:cs="Arial"/>
          <w:lang w:eastAsia="en-AU"/>
        </w:rPr>
      </w:pPr>
    </w:p>
    <w:p w:rsidR="00166579" w:rsidRDefault="00166579" w:rsidP="0013521C">
      <w:pPr>
        <w:pStyle w:val="DHbody"/>
        <w:rPr>
          <w:rFonts w:cs="Arial"/>
          <w:lang w:eastAsia="en-AU"/>
        </w:rPr>
      </w:pPr>
    </w:p>
    <w:p w:rsidR="0013521C" w:rsidRPr="005A3430" w:rsidRDefault="0013521C" w:rsidP="0013521C">
      <w:pPr>
        <w:pStyle w:val="DHheading2"/>
        <w:rPr>
          <w:lang w:eastAsia="en-AU"/>
        </w:rPr>
      </w:pPr>
      <w:r w:rsidRPr="005A3430">
        <w:rPr>
          <w:lang w:eastAsia="en-AU"/>
        </w:rPr>
        <w:lastRenderedPageBreak/>
        <w:t>Regulations 57 to 61 - “all reasonable steps”</w:t>
      </w:r>
    </w:p>
    <w:p w:rsidR="0013521C" w:rsidRPr="005A3430" w:rsidRDefault="0013521C" w:rsidP="0013521C">
      <w:pPr>
        <w:pStyle w:val="DHbody"/>
        <w:rPr>
          <w:rFonts w:cs="Arial"/>
          <w:lang w:eastAsia="en-AU"/>
        </w:rPr>
      </w:pPr>
      <w:r w:rsidRPr="005A3430">
        <w:rPr>
          <w:rFonts w:cs="Arial"/>
          <w:lang w:eastAsia="en-AU"/>
        </w:rPr>
        <w:t>Refer to Regulations 8 to 13 – “all reasonable steps”.</w:t>
      </w:r>
    </w:p>
    <w:p w:rsidR="0013521C" w:rsidRPr="005A3430" w:rsidRDefault="0013521C" w:rsidP="0013521C">
      <w:pPr>
        <w:pStyle w:val="DHbody"/>
        <w:rPr>
          <w:rFonts w:cs="Arial"/>
          <w:lang w:eastAsia="en-AU"/>
        </w:rPr>
      </w:pPr>
      <w:r w:rsidRPr="005A3430">
        <w:rPr>
          <w:rFonts w:cs="Arial"/>
          <w:lang w:eastAsia="en-AU"/>
        </w:rPr>
        <w:t>The requirement for a practitioner or a pharmacist to take “all reasonable steps” to ensure there is a therapeutic need before supplying a Schedule 3 poison is unlikely to be achieved unless the practitioner or pharmacist is able to personally examine and/or communicate with the person seeking to obtain the medication.</w:t>
      </w:r>
    </w:p>
    <w:p w:rsidR="0013521C" w:rsidRPr="002779FD" w:rsidRDefault="0013521C" w:rsidP="0013521C">
      <w:pPr>
        <w:pStyle w:val="DHbody"/>
        <w:rPr>
          <w:rFonts w:cs="Arial"/>
          <w:lang w:eastAsia="en-AU"/>
        </w:rPr>
      </w:pPr>
      <w:r w:rsidRPr="005A3430">
        <w:rPr>
          <w:rFonts w:cs="Arial"/>
          <w:lang w:eastAsia="en-AU"/>
        </w:rPr>
        <w:t>Therefore, unless the practitioner or pharmacist knows the person and has already taken the necessary steps to ensure a therapeutic need exists, Schedule 3 poisons must not be supplied in response to requests forwarded by correspondence or via the internet.</w:t>
      </w:r>
    </w:p>
    <w:p w:rsidR="0013521C" w:rsidRDefault="0013521C" w:rsidP="0013521C">
      <w:pPr>
        <w:pStyle w:val="DHbody"/>
        <w:rPr>
          <w:rFonts w:cs="Arial"/>
          <w:lang w:eastAsia="en-AU"/>
        </w:rPr>
      </w:pPr>
      <w:r w:rsidRPr="002779FD">
        <w:rPr>
          <w:rFonts w:cs="Arial"/>
          <w:b/>
          <w:bCs/>
          <w:lang w:eastAsia="en-AU"/>
        </w:rPr>
        <w:t xml:space="preserve">Note: </w:t>
      </w:r>
      <w:r w:rsidRPr="002779FD">
        <w:rPr>
          <w:rFonts w:cs="Arial"/>
          <w:lang w:eastAsia="en-AU"/>
        </w:rPr>
        <w:t>This Part does not preclude the supply of a Schedule 3 poison</w:t>
      </w:r>
      <w:r>
        <w:rPr>
          <w:rFonts w:cs="Arial"/>
          <w:lang w:eastAsia="en-AU"/>
        </w:rPr>
        <w:t>, by a pharmacist,</w:t>
      </w:r>
      <w:r w:rsidRPr="002779FD">
        <w:rPr>
          <w:rFonts w:cs="Arial"/>
          <w:lang w:eastAsia="en-AU"/>
        </w:rPr>
        <w:t xml:space="preserve"> for in</w:t>
      </w:r>
      <w:r>
        <w:rPr>
          <w:rFonts w:cs="Arial"/>
          <w:lang w:eastAsia="en-AU"/>
        </w:rPr>
        <w:t>clusion in first aid kits, e.g.</w:t>
      </w:r>
      <w:r w:rsidRPr="002779FD">
        <w:rPr>
          <w:rFonts w:cs="Arial"/>
          <w:lang w:eastAsia="en-AU"/>
        </w:rPr>
        <w:t xml:space="preserve"> in a school or workplace or for a first aid service such as St John Ambulance.</w:t>
      </w:r>
    </w:p>
    <w:p w:rsidR="0013521C" w:rsidRPr="00012364" w:rsidRDefault="0013521C" w:rsidP="0013521C">
      <w:pPr>
        <w:pStyle w:val="DHbody"/>
        <w:rPr>
          <w:rFonts w:cs="Arial"/>
          <w:b/>
          <w:sz w:val="24"/>
          <w:szCs w:val="24"/>
          <w:lang w:eastAsia="en-AU"/>
        </w:rPr>
      </w:pPr>
      <w:r w:rsidRPr="00012364">
        <w:rPr>
          <w:rFonts w:cs="Arial"/>
          <w:b/>
          <w:sz w:val="24"/>
          <w:szCs w:val="24"/>
          <w:lang w:eastAsia="en-AU"/>
        </w:rPr>
        <w:t xml:space="preserve">Recording </w:t>
      </w:r>
      <w:r>
        <w:rPr>
          <w:rFonts w:cs="Arial"/>
          <w:b/>
          <w:sz w:val="24"/>
          <w:szCs w:val="24"/>
          <w:lang w:eastAsia="en-AU"/>
        </w:rPr>
        <w:t xml:space="preserve">supplies of Schedule 3 poisons </w:t>
      </w:r>
    </w:p>
    <w:p w:rsidR="0013521C" w:rsidRDefault="0013521C" w:rsidP="0013521C">
      <w:pPr>
        <w:pStyle w:val="DHbody"/>
        <w:rPr>
          <w:lang w:eastAsia="en-AU"/>
        </w:rPr>
      </w:pPr>
      <w:r>
        <w:rPr>
          <w:rFonts w:cs="Arial"/>
          <w:lang w:eastAsia="en-AU"/>
        </w:rPr>
        <w:t>W</w:t>
      </w:r>
      <w:r w:rsidRPr="002779FD">
        <w:rPr>
          <w:rFonts w:cs="Arial"/>
          <w:lang w:eastAsia="en-AU"/>
        </w:rPr>
        <w:t>here there is reason to believe a Schedule 3 poison might be</w:t>
      </w:r>
      <w:r>
        <w:rPr>
          <w:rFonts w:cs="Arial"/>
          <w:lang w:eastAsia="en-AU"/>
        </w:rPr>
        <w:t xml:space="preserve"> misused, </w:t>
      </w:r>
      <w:r w:rsidRPr="002779FD">
        <w:rPr>
          <w:rFonts w:cs="Arial"/>
          <w:lang w:eastAsia="en-AU"/>
        </w:rPr>
        <w:t xml:space="preserve">abused </w:t>
      </w:r>
      <w:r>
        <w:rPr>
          <w:rFonts w:cs="Arial"/>
          <w:lang w:eastAsia="en-AU"/>
        </w:rPr>
        <w:t xml:space="preserve">or </w:t>
      </w:r>
      <w:r w:rsidRPr="002779FD">
        <w:rPr>
          <w:rFonts w:cs="Arial"/>
          <w:lang w:eastAsia="en-AU"/>
        </w:rPr>
        <w:t xml:space="preserve">used </w:t>
      </w:r>
      <w:r>
        <w:rPr>
          <w:rFonts w:cs="Arial"/>
          <w:lang w:eastAsia="en-AU"/>
        </w:rPr>
        <w:t>excessively</w:t>
      </w:r>
      <w:r w:rsidRPr="002779FD">
        <w:rPr>
          <w:rFonts w:cs="Arial"/>
          <w:lang w:eastAsia="en-AU"/>
        </w:rPr>
        <w:t>, a person supplying the Schedule 3 poison should</w:t>
      </w:r>
      <w:r>
        <w:rPr>
          <w:rFonts w:cs="Arial"/>
          <w:lang w:eastAsia="en-AU"/>
        </w:rPr>
        <w:t xml:space="preserve"> </w:t>
      </w:r>
      <w:r w:rsidRPr="002779FD">
        <w:rPr>
          <w:lang w:eastAsia="en-AU"/>
        </w:rPr>
        <w:t>make a record, similar to the record required for Schedule 4 poisons, of the details of the supply so that reference can be made to</w:t>
      </w:r>
      <w:r>
        <w:rPr>
          <w:lang w:eastAsia="en-AU"/>
        </w:rPr>
        <w:t xml:space="preserve"> it</w:t>
      </w:r>
      <w:r>
        <w:rPr>
          <w:rFonts w:cs="Arial"/>
          <w:lang w:eastAsia="en-AU"/>
        </w:rPr>
        <w:t xml:space="preserve">, </w:t>
      </w:r>
      <w:r w:rsidRPr="002779FD">
        <w:rPr>
          <w:lang w:eastAsia="en-AU"/>
        </w:rPr>
        <w:t xml:space="preserve">in order to take </w:t>
      </w:r>
      <w:r>
        <w:rPr>
          <w:lang w:eastAsia="en-AU"/>
        </w:rPr>
        <w:t>“</w:t>
      </w:r>
      <w:r w:rsidRPr="002779FD">
        <w:rPr>
          <w:lang w:eastAsia="en-AU"/>
        </w:rPr>
        <w:t>all reasonable steps</w:t>
      </w:r>
      <w:r>
        <w:rPr>
          <w:lang w:eastAsia="en-AU"/>
        </w:rPr>
        <w:t>”</w:t>
      </w:r>
      <w:r w:rsidRPr="002779FD">
        <w:rPr>
          <w:lang w:eastAsia="en-AU"/>
        </w:rPr>
        <w:t xml:space="preserve"> to ensure a therapeutic need exists, if further supplies are sought</w:t>
      </w:r>
      <w:r>
        <w:rPr>
          <w:lang w:eastAsia="en-AU"/>
        </w:rPr>
        <w:t>.</w:t>
      </w:r>
    </w:p>
    <w:p w:rsidR="0013521C" w:rsidRDefault="0013521C" w:rsidP="0013521C">
      <w:pPr>
        <w:pStyle w:val="DHbody"/>
        <w:rPr>
          <w:b/>
          <w:sz w:val="28"/>
          <w:szCs w:val="28"/>
          <w:lang w:eastAsia="en-AU"/>
        </w:rPr>
      </w:pPr>
      <w:r w:rsidRPr="00012364">
        <w:rPr>
          <w:b/>
          <w:sz w:val="28"/>
          <w:szCs w:val="28"/>
          <w:lang w:eastAsia="en-AU"/>
        </w:rPr>
        <w:t xml:space="preserve">Regulation </w:t>
      </w:r>
      <w:r>
        <w:rPr>
          <w:b/>
          <w:sz w:val="28"/>
          <w:szCs w:val="28"/>
          <w:lang w:eastAsia="en-AU"/>
        </w:rPr>
        <w:t>63</w:t>
      </w:r>
      <w:r w:rsidRPr="00012364">
        <w:rPr>
          <w:b/>
          <w:sz w:val="28"/>
          <w:szCs w:val="28"/>
          <w:lang w:eastAsia="en-AU"/>
        </w:rPr>
        <w:t xml:space="preserve"> </w:t>
      </w:r>
      <w:r>
        <w:rPr>
          <w:b/>
          <w:sz w:val="28"/>
          <w:szCs w:val="28"/>
          <w:lang w:eastAsia="en-AU"/>
        </w:rPr>
        <w:t xml:space="preserve">- labelling the container </w:t>
      </w:r>
    </w:p>
    <w:p w:rsidR="0013521C" w:rsidRDefault="0013521C" w:rsidP="0013521C">
      <w:pPr>
        <w:pStyle w:val="DHbullet"/>
        <w:numPr>
          <w:ilvl w:val="0"/>
          <w:numId w:val="0"/>
        </w:numPr>
        <w:rPr>
          <w:lang w:eastAsia="en-AU"/>
        </w:rPr>
      </w:pPr>
      <w:r>
        <w:rPr>
          <w:lang w:eastAsia="en-AU"/>
        </w:rPr>
        <w:t xml:space="preserve">To ensure a person has a clear understanding of </w:t>
      </w:r>
      <w:r w:rsidRPr="002779FD">
        <w:rPr>
          <w:lang w:eastAsia="en-AU"/>
        </w:rPr>
        <w:t>verbal directions</w:t>
      </w:r>
      <w:r>
        <w:rPr>
          <w:lang w:eastAsia="en-AU"/>
        </w:rPr>
        <w:t xml:space="preserve"> for the use of a Schedule 3 poison,</w:t>
      </w:r>
      <w:r w:rsidRPr="002779FD">
        <w:rPr>
          <w:lang w:eastAsia="en-AU"/>
        </w:rPr>
        <w:t xml:space="preserve"> </w:t>
      </w:r>
      <w:r>
        <w:rPr>
          <w:lang w:eastAsia="en-AU"/>
        </w:rPr>
        <w:t xml:space="preserve">it might be necessary to affix </w:t>
      </w:r>
      <w:r w:rsidRPr="002779FD">
        <w:rPr>
          <w:lang w:eastAsia="en-AU"/>
        </w:rPr>
        <w:t>a dispensing label</w:t>
      </w:r>
      <w:r>
        <w:rPr>
          <w:lang w:eastAsia="en-AU"/>
        </w:rPr>
        <w:t>, similar to that used to label a Schedule 4 poison. In doing so, the requirement to uniquely identify the supplier should also be achieved.</w:t>
      </w:r>
    </w:p>
    <w:p w:rsidR="0013521C" w:rsidRPr="002779FD" w:rsidRDefault="0013521C" w:rsidP="0013521C">
      <w:pPr>
        <w:pStyle w:val="DHheading2"/>
        <w:rPr>
          <w:lang w:eastAsia="en-AU"/>
        </w:rPr>
      </w:pPr>
      <w:r>
        <w:rPr>
          <w:lang w:eastAsia="en-AU"/>
        </w:rPr>
        <w:t>Part 6 – General requirements</w:t>
      </w:r>
    </w:p>
    <w:p w:rsidR="0013521C" w:rsidRPr="002779FD" w:rsidRDefault="0013521C" w:rsidP="0013521C">
      <w:pPr>
        <w:pStyle w:val="DHheading2"/>
        <w:rPr>
          <w:lang w:eastAsia="en-AU"/>
        </w:rPr>
      </w:pPr>
      <w:r w:rsidRPr="002779FD">
        <w:rPr>
          <w:lang w:eastAsia="en-AU"/>
        </w:rPr>
        <w:t>Regulation 69</w:t>
      </w:r>
    </w:p>
    <w:p w:rsidR="0013521C" w:rsidRPr="002779FD" w:rsidRDefault="0013521C" w:rsidP="0013521C">
      <w:pPr>
        <w:pStyle w:val="DHbody"/>
        <w:rPr>
          <w:rFonts w:cs="Arial"/>
        </w:rPr>
      </w:pPr>
      <w:r>
        <w:rPr>
          <w:rFonts w:cs="Arial"/>
          <w:lang w:eastAsia="en-AU"/>
        </w:rPr>
        <w:t>R</w:t>
      </w:r>
      <w:r w:rsidRPr="002779FD">
        <w:rPr>
          <w:rFonts w:cs="Arial"/>
          <w:lang w:eastAsia="en-AU"/>
        </w:rPr>
        <w:t xml:space="preserve">egulation </w:t>
      </w:r>
      <w:r>
        <w:rPr>
          <w:rFonts w:cs="Arial"/>
          <w:lang w:eastAsia="en-AU"/>
        </w:rPr>
        <w:t xml:space="preserve">69 </w:t>
      </w:r>
      <w:r w:rsidRPr="002779FD">
        <w:rPr>
          <w:rFonts w:cs="Arial"/>
          <w:lang w:eastAsia="en-AU"/>
        </w:rPr>
        <w:t>does not preclude the filling of dose administration containers from the original containers in which poisons or controlled substances were supplied, provided the dose administration container is labelled so its contents can be identified (i.e. with the names, strengths and doses of all medications).</w:t>
      </w:r>
    </w:p>
    <w:p w:rsidR="0013521C" w:rsidRDefault="0013521C" w:rsidP="0013521C">
      <w:pPr>
        <w:pStyle w:val="DHheading2"/>
      </w:pPr>
    </w:p>
    <w:p w:rsidR="0013521C" w:rsidRPr="00241474" w:rsidRDefault="0013521C" w:rsidP="0013521C">
      <w:pPr>
        <w:pStyle w:val="DHheading2"/>
      </w:pPr>
      <w:r w:rsidRPr="00241474">
        <w:t>For further information</w:t>
      </w:r>
    </w:p>
    <w:p w:rsidR="0013521C" w:rsidRPr="00241474" w:rsidRDefault="0013521C" w:rsidP="0013521C">
      <w:pPr>
        <w:pStyle w:val="DHHeading3"/>
      </w:pPr>
      <w:r w:rsidRPr="00241474">
        <w:t xml:space="preserve">Department of Health </w:t>
      </w:r>
      <w:r>
        <w:t xml:space="preserve">&amp; Human Services </w:t>
      </w:r>
      <w:r w:rsidRPr="00241474">
        <w:t>(DH</w:t>
      </w:r>
      <w:r>
        <w:t>HS</w:t>
      </w:r>
      <w:r w:rsidRPr="00241474">
        <w:t xml:space="preserve">)  </w:t>
      </w:r>
    </w:p>
    <w:p w:rsidR="0013521C" w:rsidRPr="00241474" w:rsidRDefault="0013521C" w:rsidP="0013521C">
      <w:pPr>
        <w:pStyle w:val="DHbodynospace"/>
      </w:pPr>
      <w:r w:rsidRPr="00241474">
        <w:t xml:space="preserve">Drugs and Poisons Regulation, </w:t>
      </w:r>
    </w:p>
    <w:p w:rsidR="0013521C" w:rsidRPr="00241474" w:rsidRDefault="0013521C" w:rsidP="0013521C">
      <w:pPr>
        <w:pStyle w:val="DHbodynospace"/>
      </w:pPr>
      <w:r w:rsidRPr="00241474">
        <w:t>GPO Box 4541</w:t>
      </w:r>
    </w:p>
    <w:p w:rsidR="0013521C" w:rsidRPr="00241474" w:rsidRDefault="0013521C" w:rsidP="0013521C">
      <w:pPr>
        <w:pStyle w:val="DHbodynospace"/>
      </w:pPr>
      <w:r w:rsidRPr="00241474">
        <w:t>Melbourne 3001</w:t>
      </w:r>
    </w:p>
    <w:p w:rsidR="0013521C" w:rsidRPr="00241474" w:rsidRDefault="0013521C" w:rsidP="0013521C">
      <w:pPr>
        <w:pStyle w:val="DHbodynospace"/>
      </w:pPr>
      <w:r w:rsidRPr="00241474">
        <w:t>Tel: 1300 364 545</w:t>
      </w:r>
      <w:r w:rsidRPr="00241474">
        <w:tab/>
        <w:t xml:space="preserve"> </w:t>
      </w:r>
    </w:p>
    <w:p w:rsidR="0013521C" w:rsidRPr="00241474" w:rsidRDefault="0013521C" w:rsidP="0013521C">
      <w:pPr>
        <w:pStyle w:val="DHbodynospace"/>
      </w:pPr>
      <w:r w:rsidRPr="00241474">
        <w:t>Fax: 1300 360 830</w:t>
      </w:r>
    </w:p>
    <w:p w:rsidR="0013521C" w:rsidRPr="00241474" w:rsidRDefault="0013521C" w:rsidP="0013521C">
      <w:pPr>
        <w:pStyle w:val="DHbodynospace"/>
      </w:pPr>
      <w:r w:rsidRPr="00241474">
        <w:t xml:space="preserve">Email: </w:t>
      </w:r>
      <w:r w:rsidRPr="00241474">
        <w:tab/>
      </w:r>
      <w:hyperlink r:id="rId11" w:history="1">
        <w:r w:rsidRPr="0013521C">
          <w:rPr>
            <w:rStyle w:val="Hyperlink"/>
            <w:b/>
            <w:color w:val="0000FF"/>
          </w:rPr>
          <w:t>dpcs@</w:t>
        </w:r>
        <w:r w:rsidR="00166579">
          <w:rPr>
            <w:rStyle w:val="Hyperlink"/>
            <w:b/>
            <w:color w:val="0000FF"/>
          </w:rPr>
          <w:t>dhhs</w:t>
        </w:r>
        <w:bookmarkStart w:id="0" w:name="_GoBack"/>
        <w:bookmarkEnd w:id="0"/>
        <w:r w:rsidRPr="0013521C">
          <w:rPr>
            <w:rStyle w:val="Hyperlink"/>
            <w:b/>
            <w:color w:val="0000FF"/>
          </w:rPr>
          <w:t>.vic.gov.au</w:t>
        </w:r>
      </w:hyperlink>
    </w:p>
    <w:p w:rsidR="0013521C" w:rsidRDefault="0013521C" w:rsidP="0013521C">
      <w:pPr>
        <w:pStyle w:val="DHbody"/>
        <w:rPr>
          <w:rStyle w:val="Hyperlink"/>
          <w:b/>
          <w:szCs w:val="19"/>
        </w:rPr>
      </w:pPr>
      <w:r w:rsidRPr="00241474">
        <w:t xml:space="preserve">Web: </w:t>
      </w:r>
      <w:r w:rsidRPr="00241474">
        <w:tab/>
      </w:r>
      <w:hyperlink r:id="rId12" w:history="1">
        <w:r w:rsidRPr="0013521C">
          <w:rPr>
            <w:rStyle w:val="Hyperlink"/>
            <w:b/>
            <w:color w:val="0000FF"/>
            <w:szCs w:val="19"/>
          </w:rPr>
          <w:t>www.health.vic.gov.au/dpcs</w:t>
        </w:r>
      </w:hyperlink>
    </w:p>
    <w:p w:rsidR="0013521C" w:rsidRPr="00241474" w:rsidRDefault="0013521C" w:rsidP="0013521C">
      <w:pPr>
        <w:pStyle w:val="DHbody"/>
        <w:rPr>
          <w:rStyle w:val="Hyperlink"/>
          <w:b/>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13521C" w:rsidTr="0014449A">
        <w:tc>
          <w:tcPr>
            <w:tcW w:w="10137" w:type="dxa"/>
            <w:shd w:val="clear" w:color="auto" w:fill="auto"/>
          </w:tcPr>
          <w:p w:rsidR="0013521C" w:rsidRPr="008C1DA7" w:rsidRDefault="0013521C" w:rsidP="0014449A">
            <w:pPr>
              <w:autoSpaceDE w:val="0"/>
              <w:autoSpaceDN w:val="0"/>
              <w:adjustRightInd w:val="0"/>
              <w:rPr>
                <w:rFonts w:ascii="Arial" w:hAnsi="Arial" w:cs="Arial"/>
              </w:rPr>
            </w:pPr>
            <w:r w:rsidRPr="008C1DA7">
              <w:rPr>
                <w:rFonts w:ascii="Arial" w:hAnsi="Arial" w:cs="Arial"/>
              </w:rPr>
              <w:t>Authorised and published by the Victorian Government, 50 Lonsdale St, Melbourne.</w:t>
            </w:r>
          </w:p>
          <w:p w:rsidR="0013521C" w:rsidRPr="008C1DA7" w:rsidRDefault="0013521C" w:rsidP="0014449A">
            <w:pPr>
              <w:pStyle w:val="DHbodynospace"/>
              <w:rPr>
                <w:rFonts w:cs="Arial"/>
              </w:rPr>
            </w:pPr>
            <w:r w:rsidRPr="008C1DA7">
              <w:rPr>
                <w:rFonts w:cs="Arial"/>
              </w:rPr>
              <w:t xml:space="preserve">To receive this publication in an accessible format phone Drugs and Poisons Regulation on 1300 364 545 or forward an Email to </w:t>
            </w:r>
            <w:hyperlink r:id="rId13" w:history="1">
              <w:r w:rsidR="00166579" w:rsidRPr="005E368F">
                <w:rPr>
                  <w:rStyle w:val="Hyperlink"/>
                  <w:rFonts w:cs="Arial"/>
                </w:rPr>
                <w:t>dpcs@dhhs.vic.gov.au</w:t>
              </w:r>
            </w:hyperlink>
          </w:p>
          <w:p w:rsidR="0013521C" w:rsidRPr="00C47B0B" w:rsidRDefault="0013521C" w:rsidP="0014449A">
            <w:pPr>
              <w:pStyle w:val="DHbodynospace"/>
              <w:jc w:val="right"/>
            </w:pPr>
            <w:r>
              <w:t>July</w:t>
            </w:r>
            <w:r w:rsidRPr="008C1DA7">
              <w:t xml:space="preserve"> 2015</w:t>
            </w:r>
          </w:p>
        </w:tc>
      </w:tr>
    </w:tbl>
    <w:p w:rsidR="0074696E" w:rsidRPr="004C6EEE" w:rsidRDefault="0074696E" w:rsidP="004C6EEE">
      <w:pPr>
        <w:pStyle w:val="Sectionbreakfirstpage"/>
      </w:pPr>
    </w:p>
    <w:p w:rsidR="00A62D44" w:rsidRPr="004C6EEE" w:rsidRDefault="00A62D44" w:rsidP="004C6EEE">
      <w:pPr>
        <w:pStyle w:val="Sectionbreakfirstpage"/>
        <w:sectPr w:rsidR="00A62D44" w:rsidRPr="004C6EEE" w:rsidSect="00D33E72">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1418" w:left="851" w:header="510" w:footer="510" w:gutter="0"/>
          <w:cols w:space="708"/>
          <w:docGrid w:linePitch="360"/>
        </w:sectPr>
      </w:pPr>
    </w:p>
    <w:p w:rsidR="00B2752E" w:rsidRPr="00906490" w:rsidRDefault="00B2752E" w:rsidP="0013521C">
      <w:pPr>
        <w:pStyle w:val="Heading1"/>
      </w:pPr>
    </w:p>
    <w:sectPr w:rsidR="00B2752E" w:rsidRPr="00906490" w:rsidSect="00060959">
      <w:headerReference w:type="default" r:id="rId20"/>
      <w:footerReference w:type="default" r:id="rId21"/>
      <w:type w:val="continuous"/>
      <w:pgSz w:w="11906" w:h="16838"/>
      <w:pgMar w:top="1418" w:right="851" w:bottom="1134" w:left="851" w:header="567" w:footer="510" w:gutter="0"/>
      <w:cols w:num="2"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BE6" w:rsidRDefault="00731BE6">
      <w:r>
        <w:separator/>
      </w:r>
    </w:p>
  </w:endnote>
  <w:endnote w:type="continuationSeparator" w:id="0">
    <w:p w:rsidR="00731BE6" w:rsidRDefault="0073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BD9" w:rsidRDefault="00937B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13521C" w:rsidP="00F65AA9">
    <w:pPr>
      <w:pStyle w:val="Footerfirstpage"/>
    </w:pPr>
    <w:r>
      <w:rPr>
        <w:lang w:val="en-AU" w:eastAsia="en-AU"/>
      </w:rPr>
      <w:drawing>
        <wp:anchor distT="0" distB="0" distL="114300" distR="114300" simplePos="0" relativeHeight="251657728" behindDoc="0" locked="1" layoutInCell="1" allowOverlap="1">
          <wp:simplePos x="0" y="0"/>
          <wp:positionH relativeFrom="page">
            <wp:posOffset>0</wp:posOffset>
          </wp:positionH>
          <wp:positionV relativeFrom="page">
            <wp:posOffset>9901555</wp:posOffset>
          </wp:positionV>
          <wp:extent cx="7559675" cy="796925"/>
          <wp:effectExtent l="0" t="0" r="3175" b="3175"/>
          <wp:wrapNone/>
          <wp:docPr id="7" name="Picture 7" descr="Department of Health &amp; Human Services - State Governmen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artment of Health &amp; Human Services - State Government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69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32720B" w:rsidRDefault="009D70A4" w:rsidP="00C33388">
    <w:pPr>
      <w:pStyle w:val="Footerfirstpage"/>
    </w:pPr>
    <w:r w:rsidRPr="008F0962">
      <w:t>Department of Human Service</w:t>
    </w:r>
    <w:r>
      <w:t>s</w:t>
    </w:r>
    <w:r>
      <w:tab/>
    </w:r>
    <w:r w:rsidR="0013521C">
      <w:rPr>
        <w:lang w:val="en-AU" w:eastAsia="en-AU"/>
      </w:rPr>
      <w:drawing>
        <wp:inline distT="0" distB="0" distL="0" distR="0">
          <wp:extent cx="914400" cy="518160"/>
          <wp:effectExtent l="0" t="0" r="0" b="0"/>
          <wp:docPr id="1" name="Picture 1" descr="Victorian Government 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n Government 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18160"/>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9D70A4" w:rsidP="00A11421">
    <w:pPr>
      <w:pStyle w:val="Footer"/>
    </w:pPr>
    <w:r w:rsidRPr="00A11421">
      <w:t>Name of document</w:t>
    </w:r>
    <w:r w:rsidRPr="00A11421">
      <w:tab/>
    </w:r>
    <w:r w:rsidRPr="00A11421">
      <w:fldChar w:fldCharType="begin"/>
    </w:r>
    <w:r w:rsidRPr="00A11421">
      <w:instrText xml:space="preserve"> PAGE </w:instrText>
    </w:r>
    <w:r w:rsidRPr="00A11421">
      <w:fldChar w:fldCharType="separate"/>
    </w:r>
    <w:r w:rsidR="0013521C">
      <w:rPr>
        <w:noProof/>
      </w:rPr>
      <w:t>8</w:t>
    </w:r>
    <w:r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BE6" w:rsidRDefault="00731BE6" w:rsidP="002862F1">
      <w:pPr>
        <w:spacing w:before="120"/>
      </w:pPr>
      <w:r>
        <w:separator/>
      </w:r>
    </w:p>
  </w:footnote>
  <w:footnote w:type="continuationSeparator" w:id="0">
    <w:p w:rsidR="00731BE6" w:rsidRDefault="00731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BD9" w:rsidRDefault="00937B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BD9" w:rsidRDefault="00937B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BD9" w:rsidRDefault="00937B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Default="009D70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856F3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ED2A094"/>
    <w:lvl w:ilvl="0">
      <w:start w:val="1"/>
      <w:numFmt w:val="decimal"/>
      <w:lvlText w:val="%1."/>
      <w:lvlJc w:val="left"/>
      <w:pPr>
        <w:tabs>
          <w:tab w:val="num" w:pos="1492"/>
        </w:tabs>
        <w:ind w:left="1492" w:hanging="360"/>
      </w:pPr>
    </w:lvl>
  </w:abstractNum>
  <w:abstractNum w:abstractNumId="2">
    <w:nsid w:val="FFFFFF7D"/>
    <w:multiLevelType w:val="singleLevel"/>
    <w:tmpl w:val="3FB0C588"/>
    <w:lvl w:ilvl="0">
      <w:start w:val="1"/>
      <w:numFmt w:val="decimal"/>
      <w:lvlText w:val="%1."/>
      <w:lvlJc w:val="left"/>
      <w:pPr>
        <w:tabs>
          <w:tab w:val="num" w:pos="1209"/>
        </w:tabs>
        <w:ind w:left="1209" w:hanging="360"/>
      </w:pPr>
    </w:lvl>
  </w:abstractNum>
  <w:abstractNum w:abstractNumId="3">
    <w:nsid w:val="FFFFFF7E"/>
    <w:multiLevelType w:val="singleLevel"/>
    <w:tmpl w:val="7ACA1FB8"/>
    <w:lvl w:ilvl="0">
      <w:start w:val="1"/>
      <w:numFmt w:val="decimal"/>
      <w:lvlText w:val="%1."/>
      <w:lvlJc w:val="left"/>
      <w:pPr>
        <w:tabs>
          <w:tab w:val="num" w:pos="926"/>
        </w:tabs>
        <w:ind w:left="926" w:hanging="360"/>
      </w:pPr>
    </w:lvl>
  </w:abstractNum>
  <w:abstractNum w:abstractNumId="4">
    <w:nsid w:val="FFFFFF7F"/>
    <w:multiLevelType w:val="singleLevel"/>
    <w:tmpl w:val="9F2E0E86"/>
    <w:lvl w:ilvl="0">
      <w:start w:val="1"/>
      <w:numFmt w:val="decimal"/>
      <w:lvlText w:val="%1."/>
      <w:lvlJc w:val="left"/>
      <w:pPr>
        <w:tabs>
          <w:tab w:val="num" w:pos="643"/>
        </w:tabs>
        <w:ind w:left="643" w:hanging="360"/>
      </w:pPr>
    </w:lvl>
  </w:abstractNum>
  <w:abstractNum w:abstractNumId="5">
    <w:nsid w:val="FFFFFF80"/>
    <w:multiLevelType w:val="singleLevel"/>
    <w:tmpl w:val="DC00867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4406D7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A7C27C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082763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18C0FB2"/>
    <w:lvl w:ilvl="0">
      <w:start w:val="1"/>
      <w:numFmt w:val="decimal"/>
      <w:lvlText w:val="%1."/>
      <w:lvlJc w:val="left"/>
      <w:pPr>
        <w:tabs>
          <w:tab w:val="num" w:pos="360"/>
        </w:tabs>
        <w:ind w:left="360" w:hanging="360"/>
      </w:pPr>
    </w:lvl>
  </w:abstractNum>
  <w:abstractNum w:abstractNumId="10">
    <w:nsid w:val="FFFFFF89"/>
    <w:multiLevelType w:val="singleLevel"/>
    <w:tmpl w:val="224283AE"/>
    <w:lvl w:ilvl="0">
      <w:start w:val="1"/>
      <w:numFmt w:val="bullet"/>
      <w:lvlText w:val=""/>
      <w:lvlJc w:val="left"/>
      <w:pPr>
        <w:tabs>
          <w:tab w:val="num" w:pos="360"/>
        </w:tabs>
        <w:ind w:left="360" w:hanging="360"/>
      </w:pPr>
      <w:rPr>
        <w:rFonts w:ascii="Symbol" w:hAnsi="Symbol" w:hint="default"/>
      </w:rPr>
    </w:lvl>
  </w:abstractNum>
  <w:abstractNum w:abstractNumId="11">
    <w:nsid w:val="07543EF1"/>
    <w:multiLevelType w:val="multilevel"/>
    <w:tmpl w:val="17069600"/>
    <w:lvl w:ilvl="0">
      <w:start w:val="1"/>
      <w:numFmt w:val="decimal"/>
      <w:lvlText w:val="%1."/>
      <w:lvlJc w:val="left"/>
      <w:pPr>
        <w:ind w:left="39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BA07594"/>
    <w:multiLevelType w:val="hybridMultilevel"/>
    <w:tmpl w:val="9222949E"/>
    <w:lvl w:ilvl="0" w:tplc="A9745EEC">
      <w:start w:val="1"/>
      <w:numFmt w:val="bullet"/>
      <w:lvlText w:val="–"/>
      <w:lvlJc w:val="left"/>
      <w:pPr>
        <w:ind w:left="284" w:firstLine="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1941BB"/>
    <w:multiLevelType w:val="multilevel"/>
    <w:tmpl w:val="17069600"/>
    <w:lvl w:ilvl="0">
      <w:start w:val="1"/>
      <w:numFmt w:val="decimal"/>
      <w:lvlText w:val="%1."/>
      <w:lvlJc w:val="left"/>
      <w:pPr>
        <w:ind w:left="39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EBB0287"/>
    <w:multiLevelType w:val="hybridMultilevel"/>
    <w:tmpl w:val="9D624718"/>
    <w:lvl w:ilvl="0" w:tplc="F856B3C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086C39"/>
    <w:multiLevelType w:val="multilevel"/>
    <w:tmpl w:val="13285BF0"/>
    <w:lvl w:ilvl="0">
      <w:start w:val="1"/>
      <w:numFmt w:val="decimal"/>
      <w:lvlText w:val="%1."/>
      <w:lvlJc w:val="left"/>
      <w:pPr>
        <w:ind w:left="39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2D70CCF"/>
    <w:multiLevelType w:val="hybridMultilevel"/>
    <w:tmpl w:val="1FBE3CE4"/>
    <w:lvl w:ilvl="0" w:tplc="86E81CBE">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4157FA"/>
    <w:multiLevelType w:val="multilevel"/>
    <w:tmpl w:val="971A6432"/>
    <w:lvl w:ilvl="0">
      <w:start w:val="1"/>
      <w:numFmt w:val="bullet"/>
      <w:lvlText w:val=""/>
      <w:lvlJc w:val="left"/>
      <w:pPr>
        <w:ind w:left="680"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356652FA"/>
    <w:multiLevelType w:val="multilevel"/>
    <w:tmpl w:val="577C881E"/>
    <w:numStyleLink w:val="Numbers"/>
  </w:abstractNum>
  <w:abstractNum w:abstractNumId="19">
    <w:nsid w:val="372E11A2"/>
    <w:multiLevelType w:val="hybridMultilevel"/>
    <w:tmpl w:val="3D52DEA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B0D316C"/>
    <w:multiLevelType w:val="hybridMultilevel"/>
    <w:tmpl w:val="508C7D92"/>
    <w:lvl w:ilvl="0" w:tplc="B94068B2">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7A4F55"/>
    <w:multiLevelType w:val="multilevel"/>
    <w:tmpl w:val="577C881E"/>
    <w:numStyleLink w:val="Numbers"/>
  </w:abstractNum>
  <w:abstractNum w:abstractNumId="22">
    <w:nsid w:val="3E0B696C"/>
    <w:multiLevelType w:val="multilevel"/>
    <w:tmpl w:val="DF5C4BC2"/>
    <w:lvl w:ilvl="0">
      <w:start w:val="1"/>
      <w:numFmt w:val="bullet"/>
      <w:lvlText w:val=""/>
      <w:lvlJc w:val="left"/>
      <w:pPr>
        <w:ind w:left="283"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45DC5D7D"/>
    <w:multiLevelType w:val="hybridMultilevel"/>
    <w:tmpl w:val="E5FED512"/>
    <w:lvl w:ilvl="0" w:tplc="6CEAE4AC">
      <w:start w:val="1"/>
      <w:numFmt w:val="bullet"/>
      <w:lvlText w:val=""/>
      <w:lvlJc w:val="left"/>
      <w:pPr>
        <w:tabs>
          <w:tab w:val="num" w:pos="360"/>
        </w:tabs>
        <w:ind w:left="142" w:hanging="14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1D7C48"/>
    <w:multiLevelType w:val="multilevel"/>
    <w:tmpl w:val="8E6405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A4215FA"/>
    <w:multiLevelType w:val="hybridMultilevel"/>
    <w:tmpl w:val="F6501466"/>
    <w:lvl w:ilvl="0" w:tplc="B226E274">
      <w:start w:val="1"/>
      <w:numFmt w:val="bullet"/>
      <w:lvlText w:val=""/>
      <w:lvlJc w:val="left"/>
      <w:pPr>
        <w:ind w:left="283"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nsid w:val="5606792D"/>
    <w:multiLevelType w:val="hybridMultilevel"/>
    <w:tmpl w:val="8E64055C"/>
    <w:lvl w:ilvl="0" w:tplc="FFFFFFFF">
      <w:start w:val="1"/>
      <w:numFmt w:val="bullet"/>
      <w:pStyle w:val="DH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8B31838"/>
    <w:multiLevelType w:val="multilevel"/>
    <w:tmpl w:val="A196A26C"/>
    <w:lvl w:ilvl="0">
      <w:start w:val="1"/>
      <w:numFmt w:val="decimal"/>
      <w:lvlText w:val="%1"/>
      <w:lvlJc w:val="left"/>
      <w:pPr>
        <w:tabs>
          <w:tab w:val="num" w:pos="567"/>
        </w:tabs>
        <w:ind w:left="567" w:hanging="567"/>
      </w:pPr>
      <w:rPr>
        <w:rFonts w:hint="default"/>
      </w:rPr>
    </w:lvl>
    <w:lvl w:ilvl="1">
      <w:start w:val="1"/>
      <w:numFmt w:val="decimal"/>
      <w:lvlText w:val="%2.%1"/>
      <w:lvlJc w:val="left"/>
      <w:pPr>
        <w:tabs>
          <w:tab w:val="num" w:pos="1418"/>
        </w:tabs>
        <w:ind w:left="1418" w:hanging="851"/>
      </w:pPr>
      <w:rPr>
        <w:rFonts w:hint="default"/>
      </w:rPr>
    </w:lvl>
    <w:lvl w:ilvl="2">
      <w:start w:val="1"/>
      <w:numFmt w:val="decimal"/>
      <w:lvlRestart w:val="1"/>
      <w:lvlText w:val="%3.%2.1"/>
      <w:lvlJc w:val="left"/>
      <w:pPr>
        <w:tabs>
          <w:tab w:val="num" w:pos="2552"/>
        </w:tabs>
        <w:ind w:left="2552" w:hanging="1134"/>
      </w:pPr>
      <w:rPr>
        <w:rFonts w:hint="default"/>
      </w:rPr>
    </w:lvl>
    <w:lvl w:ilvl="3">
      <w:start w:val="1"/>
      <w:numFmt w:val="none"/>
      <w:lvlRestart w:val="1"/>
      <w:lvlText w:val="1.1.1.1"/>
      <w:lvlJc w:val="left"/>
      <w:pPr>
        <w:tabs>
          <w:tab w:val="num" w:pos="3686"/>
        </w:tabs>
        <w:ind w:left="3686" w:hanging="1134"/>
      </w:pPr>
      <w:rPr>
        <w:rFonts w:hint="default"/>
      </w:rPr>
    </w:lvl>
    <w:lvl w:ilvl="4">
      <w:start w:val="1"/>
      <w:numFmt w:val="none"/>
      <w:lvlRestart w:val="1"/>
      <w:lvlText w:val="1.1.1.1.1"/>
      <w:lvlJc w:val="left"/>
      <w:pPr>
        <w:tabs>
          <w:tab w:val="num" w:pos="7088"/>
        </w:tabs>
        <w:ind w:left="7088" w:hanging="2552"/>
      </w:pPr>
      <w:rPr>
        <w:rFonts w:hint="default"/>
      </w:rPr>
    </w:lvl>
    <w:lvl w:ilvl="5">
      <w:start w:val="1"/>
      <w:numFmt w:val="none"/>
      <w:lvlText w:val=""/>
      <w:lvlJc w:val="left"/>
      <w:pPr>
        <w:tabs>
          <w:tab w:val="num" w:pos="7164"/>
        </w:tabs>
        <w:ind w:left="7088" w:hanging="284"/>
      </w:pPr>
      <w:rPr>
        <w:rFonts w:hint="default"/>
      </w:rPr>
    </w:lvl>
    <w:lvl w:ilvl="6">
      <w:start w:val="1"/>
      <w:numFmt w:val="none"/>
      <w:lvlText w:val=""/>
      <w:lvlJc w:val="left"/>
      <w:pPr>
        <w:tabs>
          <w:tab w:val="num" w:pos="7164"/>
        </w:tabs>
        <w:ind w:left="7088" w:hanging="284"/>
      </w:pPr>
      <w:rPr>
        <w:rFonts w:hint="default"/>
      </w:rPr>
    </w:lvl>
    <w:lvl w:ilvl="7">
      <w:start w:val="1"/>
      <w:numFmt w:val="none"/>
      <w:lvlText w:val=""/>
      <w:lvlJc w:val="left"/>
      <w:pPr>
        <w:tabs>
          <w:tab w:val="num" w:pos="7164"/>
        </w:tabs>
        <w:ind w:left="7088" w:hanging="284"/>
      </w:pPr>
      <w:rPr>
        <w:rFonts w:hint="default"/>
      </w:rPr>
    </w:lvl>
    <w:lvl w:ilvl="8">
      <w:start w:val="1"/>
      <w:numFmt w:val="none"/>
      <w:lvlText w:val=""/>
      <w:lvlJc w:val="left"/>
      <w:pPr>
        <w:tabs>
          <w:tab w:val="num" w:pos="7164"/>
        </w:tabs>
        <w:ind w:left="7088" w:hanging="284"/>
      </w:pPr>
      <w:rPr>
        <w:rFonts w:hint="default"/>
      </w:rPr>
    </w:lvl>
  </w:abstractNum>
  <w:abstractNum w:abstractNumId="29">
    <w:nsid w:val="5A4D150E"/>
    <w:multiLevelType w:val="multilevel"/>
    <w:tmpl w:val="A1DAC29E"/>
    <w:lvl w:ilvl="0">
      <w:start w:val="1"/>
      <w:numFmt w:val="bullet"/>
      <w:lvlText w:val="–"/>
      <w:lvlJc w:val="left"/>
      <w:pPr>
        <w:ind w:left="284" w:firstLine="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5F190F92"/>
    <w:multiLevelType w:val="hybridMultilevel"/>
    <w:tmpl w:val="C8F28CEA"/>
    <w:lvl w:ilvl="0" w:tplc="158ABA46">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0267B5"/>
    <w:multiLevelType w:val="hybridMultilevel"/>
    <w:tmpl w:val="BFB6384A"/>
    <w:lvl w:ilvl="0" w:tplc="040A67C6">
      <w:start w:val="1"/>
      <w:numFmt w:val="bullet"/>
      <w:lvlText w:val="–"/>
      <w:lvlJc w:val="left"/>
      <w:pPr>
        <w:tabs>
          <w:tab w:val="num" w:pos="567"/>
        </w:tabs>
        <w:ind w:left="567" w:hanging="283"/>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F30FD1"/>
    <w:multiLevelType w:val="multilevel"/>
    <w:tmpl w:val="577C881E"/>
    <w:styleLink w:val="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num w:numId="1">
    <w:abstractNumId w:val="23"/>
  </w:num>
  <w:num w:numId="2">
    <w:abstractNumId w:val="28"/>
  </w:num>
  <w:num w:numId="3">
    <w:abstractNumId w:val="27"/>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24"/>
  </w:num>
  <w:num w:numId="16">
    <w:abstractNumId w:val="14"/>
  </w:num>
  <w:num w:numId="17">
    <w:abstractNumId w:val="20"/>
  </w:num>
  <w:num w:numId="18">
    <w:abstractNumId w:val="12"/>
  </w:num>
  <w:num w:numId="19">
    <w:abstractNumId w:val="16"/>
  </w:num>
  <w:num w:numId="20">
    <w:abstractNumId w:val="30"/>
  </w:num>
  <w:num w:numId="21">
    <w:abstractNumId w:val="29"/>
  </w:num>
  <w:num w:numId="22">
    <w:abstractNumId w:val="31"/>
  </w:num>
  <w:num w:numId="23">
    <w:abstractNumId w:val="30"/>
  </w:num>
  <w:num w:numId="24">
    <w:abstractNumId w:val="11"/>
  </w:num>
  <w:num w:numId="25">
    <w:abstractNumId w:val="13"/>
  </w:num>
  <w:num w:numId="26">
    <w:abstractNumId w:val="25"/>
  </w:num>
  <w:num w:numId="27">
    <w:abstractNumId w:val="17"/>
  </w:num>
  <w:num w:numId="28">
    <w:abstractNumId w:val="25"/>
    <w:lvlOverride w:ilvl="0">
      <w:startOverride w:val="1"/>
    </w:lvlOverride>
  </w:num>
  <w:num w:numId="29">
    <w:abstractNumId w:val="22"/>
  </w:num>
  <w:num w:numId="30">
    <w:abstractNumId w:val="26"/>
  </w:num>
  <w:num w:numId="31">
    <w:abstractNumId w:val="15"/>
  </w:num>
  <w:num w:numId="32">
    <w:abstractNumId w:val="32"/>
  </w:num>
  <w:num w:numId="33">
    <w:abstractNumId w:val="18"/>
  </w:num>
  <w:num w:numId="34">
    <w:abstractNumId w:val="26"/>
  </w:num>
  <w:num w:numId="35">
    <w:abstractNumId w:val="26"/>
  </w:num>
  <w:num w:numId="36">
    <w:abstractNumId w:val="26"/>
  </w:num>
  <w:num w:numId="37">
    <w:abstractNumId w:val="32"/>
  </w:num>
  <w:num w:numId="38">
    <w:abstractNumId w:val="32"/>
  </w:num>
  <w:num w:numId="39">
    <w:abstractNumId w:val="32"/>
  </w:num>
  <w:num w:numId="40">
    <w:abstractNumId w:val="32"/>
  </w:num>
  <w:num w:numId="41">
    <w:abstractNumId w:val="32"/>
  </w:num>
  <w:num w:numId="42">
    <w:abstractNumId w:val="32"/>
  </w:num>
  <w:num w:numId="43">
    <w:abstractNumId w:val="26"/>
  </w:num>
  <w:num w:numId="44">
    <w:abstractNumId w:val="32"/>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enforcement="1" w:cryptProviderType="rsaFull" w:cryptAlgorithmClass="hash" w:cryptAlgorithmType="typeAny" w:cryptAlgorithmSid="4" w:cryptSpinCount="100000" w:hash="Gm+I1MOZC/rIdxQeRXxtxsXXLt8=" w:salt="UkCzNveBxpxxmp7jqReXCA=="/>
  <w:defaultTabStop w:val="720"/>
  <w:defaultTableStyle w:val="TableGrid"/>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5C"/>
    <w:rsid w:val="000072B6"/>
    <w:rsid w:val="0001021B"/>
    <w:rsid w:val="00011D89"/>
    <w:rsid w:val="00024D89"/>
    <w:rsid w:val="00033D81"/>
    <w:rsid w:val="00041BF0"/>
    <w:rsid w:val="0004536B"/>
    <w:rsid w:val="00046B68"/>
    <w:rsid w:val="000527DD"/>
    <w:rsid w:val="000578B2"/>
    <w:rsid w:val="00060959"/>
    <w:rsid w:val="00074219"/>
    <w:rsid w:val="00074ED5"/>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FE3"/>
    <w:rsid w:val="00120BD3"/>
    <w:rsid w:val="00122FEA"/>
    <w:rsid w:val="001232BD"/>
    <w:rsid w:val="00124ED5"/>
    <w:rsid w:val="0013521C"/>
    <w:rsid w:val="001447B3"/>
    <w:rsid w:val="00161939"/>
    <w:rsid w:val="00161AA0"/>
    <w:rsid w:val="00162093"/>
    <w:rsid w:val="00166579"/>
    <w:rsid w:val="001771DD"/>
    <w:rsid w:val="00177995"/>
    <w:rsid w:val="00177A8C"/>
    <w:rsid w:val="00186B33"/>
    <w:rsid w:val="00192F9D"/>
    <w:rsid w:val="00196EB8"/>
    <w:rsid w:val="001979FF"/>
    <w:rsid w:val="00197B17"/>
    <w:rsid w:val="001A3ACE"/>
    <w:rsid w:val="001C2A72"/>
    <w:rsid w:val="001D0B75"/>
    <w:rsid w:val="001D3C09"/>
    <w:rsid w:val="001D44E8"/>
    <w:rsid w:val="001D60EC"/>
    <w:rsid w:val="001E44DF"/>
    <w:rsid w:val="001E68A5"/>
    <w:rsid w:val="001F6E46"/>
    <w:rsid w:val="001F7C91"/>
    <w:rsid w:val="00206463"/>
    <w:rsid w:val="00206F2F"/>
    <w:rsid w:val="0021053D"/>
    <w:rsid w:val="00210A92"/>
    <w:rsid w:val="00216C03"/>
    <w:rsid w:val="00220C04"/>
    <w:rsid w:val="0022701F"/>
    <w:rsid w:val="002333F5"/>
    <w:rsid w:val="00246C5E"/>
    <w:rsid w:val="00251343"/>
    <w:rsid w:val="002620BC"/>
    <w:rsid w:val="00263A90"/>
    <w:rsid w:val="0026408B"/>
    <w:rsid w:val="00267C3E"/>
    <w:rsid w:val="002709BB"/>
    <w:rsid w:val="002802E3"/>
    <w:rsid w:val="0028213D"/>
    <w:rsid w:val="002862F1"/>
    <w:rsid w:val="00291373"/>
    <w:rsid w:val="0029597D"/>
    <w:rsid w:val="002962C3"/>
    <w:rsid w:val="002A483C"/>
    <w:rsid w:val="002B1729"/>
    <w:rsid w:val="002B4DD4"/>
    <w:rsid w:val="002B5277"/>
    <w:rsid w:val="002B77C1"/>
    <w:rsid w:val="002C2728"/>
    <w:rsid w:val="002C7B94"/>
    <w:rsid w:val="002E01D0"/>
    <w:rsid w:val="002E161D"/>
    <w:rsid w:val="002E6C95"/>
    <w:rsid w:val="002E7C36"/>
    <w:rsid w:val="002F5F31"/>
    <w:rsid w:val="00302216"/>
    <w:rsid w:val="00303E53"/>
    <w:rsid w:val="00306E5F"/>
    <w:rsid w:val="00307E14"/>
    <w:rsid w:val="00314054"/>
    <w:rsid w:val="00316F27"/>
    <w:rsid w:val="00327870"/>
    <w:rsid w:val="0033259D"/>
    <w:rsid w:val="003406C6"/>
    <w:rsid w:val="003418CC"/>
    <w:rsid w:val="003459BD"/>
    <w:rsid w:val="00350D38"/>
    <w:rsid w:val="003744CF"/>
    <w:rsid w:val="00374717"/>
    <w:rsid w:val="0037676C"/>
    <w:rsid w:val="003829E5"/>
    <w:rsid w:val="003956CC"/>
    <w:rsid w:val="00395C9A"/>
    <w:rsid w:val="003A6B67"/>
    <w:rsid w:val="003B15E6"/>
    <w:rsid w:val="003C2045"/>
    <w:rsid w:val="003C43A1"/>
    <w:rsid w:val="003C55F4"/>
    <w:rsid w:val="003C7A3F"/>
    <w:rsid w:val="003D3E8F"/>
    <w:rsid w:val="003D6475"/>
    <w:rsid w:val="003E375C"/>
    <w:rsid w:val="003F0445"/>
    <w:rsid w:val="003F0CF0"/>
    <w:rsid w:val="003F3289"/>
    <w:rsid w:val="00401FCF"/>
    <w:rsid w:val="004148F9"/>
    <w:rsid w:val="0042084E"/>
    <w:rsid w:val="00424D65"/>
    <w:rsid w:val="00442C6C"/>
    <w:rsid w:val="00443CBE"/>
    <w:rsid w:val="00443E8A"/>
    <w:rsid w:val="004441BC"/>
    <w:rsid w:val="0045230A"/>
    <w:rsid w:val="00457337"/>
    <w:rsid w:val="0047372D"/>
    <w:rsid w:val="004743DD"/>
    <w:rsid w:val="00474CEA"/>
    <w:rsid w:val="00483968"/>
    <w:rsid w:val="00484F86"/>
    <w:rsid w:val="00490746"/>
    <w:rsid w:val="00490852"/>
    <w:rsid w:val="004946F4"/>
    <w:rsid w:val="0049487E"/>
    <w:rsid w:val="004A3E81"/>
    <w:rsid w:val="004A5C62"/>
    <w:rsid w:val="004A707D"/>
    <w:rsid w:val="004C6EEE"/>
    <w:rsid w:val="004C702B"/>
    <w:rsid w:val="004D016B"/>
    <w:rsid w:val="004D1B22"/>
    <w:rsid w:val="004D36F2"/>
    <w:rsid w:val="004E4649"/>
    <w:rsid w:val="004E5C2B"/>
    <w:rsid w:val="004F00DD"/>
    <w:rsid w:val="004F2133"/>
    <w:rsid w:val="004F55F1"/>
    <w:rsid w:val="004F6936"/>
    <w:rsid w:val="00503DC6"/>
    <w:rsid w:val="00506F5D"/>
    <w:rsid w:val="005126D0"/>
    <w:rsid w:val="00536499"/>
    <w:rsid w:val="00543903"/>
    <w:rsid w:val="00547A95"/>
    <w:rsid w:val="00572031"/>
    <w:rsid w:val="00576E84"/>
    <w:rsid w:val="0058757E"/>
    <w:rsid w:val="00596A4B"/>
    <w:rsid w:val="00597507"/>
    <w:rsid w:val="005B21B6"/>
    <w:rsid w:val="005B7A63"/>
    <w:rsid w:val="005C49DA"/>
    <w:rsid w:val="005C50F3"/>
    <w:rsid w:val="005C5D91"/>
    <w:rsid w:val="005D07B8"/>
    <w:rsid w:val="005D6597"/>
    <w:rsid w:val="005E14E7"/>
    <w:rsid w:val="005E447E"/>
    <w:rsid w:val="005F0775"/>
    <w:rsid w:val="005F08B6"/>
    <w:rsid w:val="005F0CF5"/>
    <w:rsid w:val="005F21EB"/>
    <w:rsid w:val="00605908"/>
    <w:rsid w:val="00610D7C"/>
    <w:rsid w:val="00613414"/>
    <w:rsid w:val="0062408D"/>
    <w:rsid w:val="006240CC"/>
    <w:rsid w:val="00627DA7"/>
    <w:rsid w:val="006358B4"/>
    <w:rsid w:val="006419AA"/>
    <w:rsid w:val="00644B7E"/>
    <w:rsid w:val="00646A68"/>
    <w:rsid w:val="0065092E"/>
    <w:rsid w:val="006557A7"/>
    <w:rsid w:val="00656290"/>
    <w:rsid w:val="006621D7"/>
    <w:rsid w:val="0066302A"/>
    <w:rsid w:val="00670597"/>
    <w:rsid w:val="00677574"/>
    <w:rsid w:val="0068454C"/>
    <w:rsid w:val="00691B62"/>
    <w:rsid w:val="006A18C2"/>
    <w:rsid w:val="006B077C"/>
    <w:rsid w:val="006D2A3F"/>
    <w:rsid w:val="006E0127"/>
    <w:rsid w:val="006E138B"/>
    <w:rsid w:val="006F1FDC"/>
    <w:rsid w:val="007013EF"/>
    <w:rsid w:val="007216AA"/>
    <w:rsid w:val="00721AB5"/>
    <w:rsid w:val="00721DEF"/>
    <w:rsid w:val="00724A43"/>
    <w:rsid w:val="00731BE6"/>
    <w:rsid w:val="007346E4"/>
    <w:rsid w:val="00740F22"/>
    <w:rsid w:val="00741F1A"/>
    <w:rsid w:val="007450F8"/>
    <w:rsid w:val="0074696E"/>
    <w:rsid w:val="00750135"/>
    <w:rsid w:val="00754E36"/>
    <w:rsid w:val="00763139"/>
    <w:rsid w:val="00772D5E"/>
    <w:rsid w:val="00776928"/>
    <w:rsid w:val="00786F16"/>
    <w:rsid w:val="00796E20"/>
    <w:rsid w:val="00797C32"/>
    <w:rsid w:val="007B0914"/>
    <w:rsid w:val="007B1374"/>
    <w:rsid w:val="007B589F"/>
    <w:rsid w:val="007B6186"/>
    <w:rsid w:val="007C7301"/>
    <w:rsid w:val="007C7859"/>
    <w:rsid w:val="007D2BDE"/>
    <w:rsid w:val="007D2FB6"/>
    <w:rsid w:val="007E0DE2"/>
    <w:rsid w:val="007F31B6"/>
    <w:rsid w:val="007F546C"/>
    <w:rsid w:val="007F665E"/>
    <w:rsid w:val="00800412"/>
    <w:rsid w:val="0080587B"/>
    <w:rsid w:val="00806468"/>
    <w:rsid w:val="00816735"/>
    <w:rsid w:val="00820141"/>
    <w:rsid w:val="00820E0C"/>
    <w:rsid w:val="00853EE4"/>
    <w:rsid w:val="00855535"/>
    <w:rsid w:val="008633F0"/>
    <w:rsid w:val="00867D9D"/>
    <w:rsid w:val="00872E0A"/>
    <w:rsid w:val="00875285"/>
    <w:rsid w:val="00884B62"/>
    <w:rsid w:val="0088529C"/>
    <w:rsid w:val="0089270A"/>
    <w:rsid w:val="00893AF6"/>
    <w:rsid w:val="00894BC4"/>
    <w:rsid w:val="008B2EE4"/>
    <w:rsid w:val="008B4D3D"/>
    <w:rsid w:val="008B57C7"/>
    <w:rsid w:val="008C2F92"/>
    <w:rsid w:val="008D4236"/>
    <w:rsid w:val="008D462F"/>
    <w:rsid w:val="008E4376"/>
    <w:rsid w:val="00900719"/>
    <w:rsid w:val="00906490"/>
    <w:rsid w:val="009111B2"/>
    <w:rsid w:val="00924AE1"/>
    <w:rsid w:val="009269B1"/>
    <w:rsid w:val="00937BD9"/>
    <w:rsid w:val="00950E2C"/>
    <w:rsid w:val="00951D50"/>
    <w:rsid w:val="009525EB"/>
    <w:rsid w:val="00961400"/>
    <w:rsid w:val="00963646"/>
    <w:rsid w:val="009853E1"/>
    <w:rsid w:val="00986E6B"/>
    <w:rsid w:val="00991769"/>
    <w:rsid w:val="00994386"/>
    <w:rsid w:val="009A279E"/>
    <w:rsid w:val="009B0A6F"/>
    <w:rsid w:val="009B59E9"/>
    <w:rsid w:val="009C7A7E"/>
    <w:rsid w:val="009D02E8"/>
    <w:rsid w:val="009D51D0"/>
    <w:rsid w:val="009D70A4"/>
    <w:rsid w:val="009E08D1"/>
    <w:rsid w:val="009E1B95"/>
    <w:rsid w:val="009E496F"/>
    <w:rsid w:val="009E4B0D"/>
    <w:rsid w:val="009E7F92"/>
    <w:rsid w:val="009F02A3"/>
    <w:rsid w:val="009F2F27"/>
    <w:rsid w:val="009F6BCB"/>
    <w:rsid w:val="009F7B78"/>
    <w:rsid w:val="00A0057A"/>
    <w:rsid w:val="00A11421"/>
    <w:rsid w:val="00A157B1"/>
    <w:rsid w:val="00A22229"/>
    <w:rsid w:val="00A44882"/>
    <w:rsid w:val="00A54715"/>
    <w:rsid w:val="00A6061C"/>
    <w:rsid w:val="00A62D44"/>
    <w:rsid w:val="00A7161C"/>
    <w:rsid w:val="00A77AA3"/>
    <w:rsid w:val="00A872E5"/>
    <w:rsid w:val="00A96E65"/>
    <w:rsid w:val="00A97C72"/>
    <w:rsid w:val="00AA63D4"/>
    <w:rsid w:val="00AB06E8"/>
    <w:rsid w:val="00AB1CD3"/>
    <w:rsid w:val="00AB352F"/>
    <w:rsid w:val="00AC0295"/>
    <w:rsid w:val="00AC274B"/>
    <w:rsid w:val="00AC6D36"/>
    <w:rsid w:val="00AD0CBA"/>
    <w:rsid w:val="00AD26E2"/>
    <w:rsid w:val="00AE126A"/>
    <w:rsid w:val="00AE3005"/>
    <w:rsid w:val="00AE59A0"/>
    <w:rsid w:val="00AF0C57"/>
    <w:rsid w:val="00AF26F3"/>
    <w:rsid w:val="00B00672"/>
    <w:rsid w:val="00B01B4D"/>
    <w:rsid w:val="00B06571"/>
    <w:rsid w:val="00B068BA"/>
    <w:rsid w:val="00B13851"/>
    <w:rsid w:val="00B13B1C"/>
    <w:rsid w:val="00B22291"/>
    <w:rsid w:val="00B2417B"/>
    <w:rsid w:val="00B24E6F"/>
    <w:rsid w:val="00B26CB5"/>
    <w:rsid w:val="00B2752E"/>
    <w:rsid w:val="00B307CC"/>
    <w:rsid w:val="00B45141"/>
    <w:rsid w:val="00B5273A"/>
    <w:rsid w:val="00B62B50"/>
    <w:rsid w:val="00B635B7"/>
    <w:rsid w:val="00B65950"/>
    <w:rsid w:val="00B672C0"/>
    <w:rsid w:val="00B75646"/>
    <w:rsid w:val="00B90729"/>
    <w:rsid w:val="00B907DA"/>
    <w:rsid w:val="00B950BC"/>
    <w:rsid w:val="00B9714C"/>
    <w:rsid w:val="00BB7A10"/>
    <w:rsid w:val="00BC7D4F"/>
    <w:rsid w:val="00BC7ED7"/>
    <w:rsid w:val="00BD2850"/>
    <w:rsid w:val="00BE28D2"/>
    <w:rsid w:val="00BF7F58"/>
    <w:rsid w:val="00C01381"/>
    <w:rsid w:val="00C079B8"/>
    <w:rsid w:val="00C123EA"/>
    <w:rsid w:val="00C12A49"/>
    <w:rsid w:val="00C133EE"/>
    <w:rsid w:val="00C27DE9"/>
    <w:rsid w:val="00C33388"/>
    <w:rsid w:val="00C4173A"/>
    <w:rsid w:val="00C602FF"/>
    <w:rsid w:val="00C61174"/>
    <w:rsid w:val="00C6148F"/>
    <w:rsid w:val="00C62F7A"/>
    <w:rsid w:val="00C63B9C"/>
    <w:rsid w:val="00C6682F"/>
    <w:rsid w:val="00C7275E"/>
    <w:rsid w:val="00C74C5D"/>
    <w:rsid w:val="00C863C4"/>
    <w:rsid w:val="00C93317"/>
    <w:rsid w:val="00C93C3E"/>
    <w:rsid w:val="00CA12E3"/>
    <w:rsid w:val="00CA6611"/>
    <w:rsid w:val="00CC2BFD"/>
    <w:rsid w:val="00CD3476"/>
    <w:rsid w:val="00CD64DF"/>
    <w:rsid w:val="00CF2F50"/>
    <w:rsid w:val="00D02919"/>
    <w:rsid w:val="00D04C61"/>
    <w:rsid w:val="00D05B8D"/>
    <w:rsid w:val="00D07F00"/>
    <w:rsid w:val="00D33E72"/>
    <w:rsid w:val="00D35BD6"/>
    <w:rsid w:val="00D361B5"/>
    <w:rsid w:val="00D411A2"/>
    <w:rsid w:val="00D50B9C"/>
    <w:rsid w:val="00D52D73"/>
    <w:rsid w:val="00D52E58"/>
    <w:rsid w:val="00D714CC"/>
    <w:rsid w:val="00D75EA7"/>
    <w:rsid w:val="00D81F21"/>
    <w:rsid w:val="00D95470"/>
    <w:rsid w:val="00DA2619"/>
    <w:rsid w:val="00DA4239"/>
    <w:rsid w:val="00DB0B61"/>
    <w:rsid w:val="00DC090B"/>
    <w:rsid w:val="00DC2CF1"/>
    <w:rsid w:val="00DC4FCF"/>
    <w:rsid w:val="00DC50E0"/>
    <w:rsid w:val="00DC6386"/>
    <w:rsid w:val="00DD1130"/>
    <w:rsid w:val="00DD1951"/>
    <w:rsid w:val="00DD6628"/>
    <w:rsid w:val="00DE3250"/>
    <w:rsid w:val="00DE6028"/>
    <w:rsid w:val="00DE78A3"/>
    <w:rsid w:val="00DF1A71"/>
    <w:rsid w:val="00DF68C7"/>
    <w:rsid w:val="00E170DC"/>
    <w:rsid w:val="00E26818"/>
    <w:rsid w:val="00E27FFC"/>
    <w:rsid w:val="00E30B15"/>
    <w:rsid w:val="00E40181"/>
    <w:rsid w:val="00E629A1"/>
    <w:rsid w:val="00E82C55"/>
    <w:rsid w:val="00E92AC3"/>
    <w:rsid w:val="00EB00E0"/>
    <w:rsid w:val="00EC059F"/>
    <w:rsid w:val="00EC1F24"/>
    <w:rsid w:val="00ED5B9B"/>
    <w:rsid w:val="00ED6BAD"/>
    <w:rsid w:val="00ED7447"/>
    <w:rsid w:val="00EE1488"/>
    <w:rsid w:val="00EE4D5D"/>
    <w:rsid w:val="00EF109B"/>
    <w:rsid w:val="00EF36AF"/>
    <w:rsid w:val="00F00F9C"/>
    <w:rsid w:val="00F02ABA"/>
    <w:rsid w:val="00F0437A"/>
    <w:rsid w:val="00F11037"/>
    <w:rsid w:val="00F250A9"/>
    <w:rsid w:val="00F30FF4"/>
    <w:rsid w:val="00F331AD"/>
    <w:rsid w:val="00F43A37"/>
    <w:rsid w:val="00F4641B"/>
    <w:rsid w:val="00F46EB8"/>
    <w:rsid w:val="00F511E4"/>
    <w:rsid w:val="00F52D09"/>
    <w:rsid w:val="00F52E08"/>
    <w:rsid w:val="00F55B21"/>
    <w:rsid w:val="00F56EF6"/>
    <w:rsid w:val="00F64696"/>
    <w:rsid w:val="00F65AA9"/>
    <w:rsid w:val="00F6768F"/>
    <w:rsid w:val="00F72C2C"/>
    <w:rsid w:val="00F76CAB"/>
    <w:rsid w:val="00F772C6"/>
    <w:rsid w:val="00F85195"/>
    <w:rsid w:val="00F938BA"/>
    <w:rsid w:val="00FA2C46"/>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4148F9"/>
    <w:rPr>
      <w:rFonts w:ascii="Cambria" w:hAnsi="Cambria"/>
      <w:lang w:eastAsia="en-US"/>
    </w:rPr>
  </w:style>
  <w:style w:type="paragraph" w:styleId="Heading1">
    <w:name w:val="heading 1"/>
    <w:next w:val="DHHSbody"/>
    <w:link w:val="Heading1Char"/>
    <w:uiPriority w:val="1"/>
    <w:qFormat/>
    <w:rsid w:val="00AC0295"/>
    <w:pPr>
      <w:keepNext/>
      <w:keepLines/>
      <w:spacing w:before="400" w:after="280" w:line="480" w:lineRule="atLeast"/>
      <w:outlineLvl w:val="0"/>
    </w:pPr>
    <w:rPr>
      <w:rFonts w:ascii="Arial" w:eastAsia="MS Gothic" w:hAnsi="Arial" w:cs="Arial"/>
      <w:bCs/>
      <w:color w:val="00866F"/>
      <w:kern w:val="32"/>
      <w:sz w:val="40"/>
      <w:szCs w:val="32"/>
      <w:lang w:eastAsia="en-US"/>
    </w:rPr>
  </w:style>
  <w:style w:type="paragraph" w:styleId="Heading2">
    <w:name w:val="heading 2"/>
    <w:next w:val="DHHSbody"/>
    <w:link w:val="Heading2Char"/>
    <w:uiPriority w:val="1"/>
    <w:qFormat/>
    <w:rsid w:val="006240CC"/>
    <w:pPr>
      <w:keepNext/>
      <w:keepLines/>
      <w:spacing w:before="280" w:after="120" w:line="320" w:lineRule="atLeast"/>
      <w:outlineLvl w:val="1"/>
    </w:pPr>
    <w:rPr>
      <w:rFonts w:ascii="Arial" w:eastAsia="MS Gothic" w:hAnsi="Arial"/>
      <w:b/>
      <w:bCs/>
      <w:iCs/>
      <w:color w:val="00866F"/>
      <w:sz w:val="28"/>
      <w:szCs w:val="28"/>
      <w:lang w:eastAsia="en-US"/>
    </w:rPr>
  </w:style>
  <w:style w:type="paragraph" w:styleId="Heading3">
    <w:name w:val="heading 3"/>
    <w:next w:val="DHHSbody"/>
    <w:link w:val="Heading3Char"/>
    <w:uiPriority w:val="1"/>
    <w:qFormat/>
    <w:rsid w:val="0047372D"/>
    <w:pPr>
      <w:keepNext/>
      <w:keepLines/>
      <w:spacing w:before="240" w:after="80" w:line="280" w:lineRule="atLeast"/>
      <w:outlineLvl w:val="2"/>
    </w:pPr>
    <w:rPr>
      <w:rFonts w:ascii="Arial" w:eastAsia="MS Gothic" w:hAnsi="Arial"/>
      <w:b/>
      <w:bCs/>
      <w:sz w:val="24"/>
      <w:szCs w:val="24"/>
      <w:lang w:eastAsia="en-US"/>
    </w:rPr>
  </w:style>
  <w:style w:type="paragraph" w:styleId="Heading4">
    <w:name w:val="heading 4"/>
    <w:next w:val="Normal"/>
    <w:link w:val="Heading4Char"/>
    <w:uiPriority w:val="1"/>
    <w:qFormat/>
    <w:rsid w:val="00DA2619"/>
    <w:pPr>
      <w:keepNext/>
      <w:keepLines/>
      <w:spacing w:before="160" w:after="60" w:line="240" w:lineRule="atLeast"/>
      <w:outlineLvl w:val="3"/>
    </w:pPr>
    <w:rPr>
      <w:rFonts w:ascii="Arial" w:eastAsia="MS Mincho" w:hAnsi="Arial"/>
      <w:b/>
      <w:bCs/>
      <w:szCs w:val="28"/>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AC0295"/>
    <w:rPr>
      <w:rFonts w:ascii="Arial" w:eastAsia="MS Gothic" w:hAnsi="Arial" w:cs="Arial"/>
      <w:bCs/>
      <w:color w:val="00866F"/>
      <w:kern w:val="32"/>
      <w:sz w:val="40"/>
      <w:szCs w:val="32"/>
      <w:lang w:eastAsia="en-US"/>
    </w:rPr>
  </w:style>
  <w:style w:type="character" w:customStyle="1" w:styleId="Heading2Char">
    <w:name w:val="Heading 2 Char"/>
    <w:link w:val="Heading2"/>
    <w:uiPriority w:val="1"/>
    <w:rsid w:val="006240CC"/>
    <w:rPr>
      <w:rFonts w:ascii="Arial" w:eastAsia="MS Gothic" w:hAnsi="Arial"/>
      <w:b/>
      <w:bCs/>
      <w:iCs/>
      <w:color w:val="00866F"/>
      <w:sz w:val="28"/>
      <w:szCs w:val="28"/>
      <w:lang w:eastAsia="en-US"/>
    </w:rPr>
  </w:style>
  <w:style w:type="character" w:customStyle="1" w:styleId="Heading3Char">
    <w:name w:val="Heading 3 Char"/>
    <w:link w:val="Heading3"/>
    <w:uiPriority w:val="1"/>
    <w:rsid w:val="0047372D"/>
    <w:rPr>
      <w:rFonts w:ascii="Arial" w:eastAsia="MS Gothic" w:hAnsi="Arial"/>
      <w:b/>
      <w:bCs/>
      <w:sz w:val="24"/>
      <w:szCs w:val="24"/>
    </w:rPr>
  </w:style>
  <w:style w:type="character" w:customStyle="1" w:styleId="Heading4Char">
    <w:name w:val="Heading 4 Char"/>
    <w:link w:val="Heading4"/>
    <w:uiPriority w:val="1"/>
    <w:semiHidden/>
    <w:rsid w:val="000A0EB9"/>
    <w:rPr>
      <w:rFonts w:ascii="Arial" w:eastAsia="MS Mincho" w:hAnsi="Arial"/>
      <w:b/>
      <w:bCs/>
      <w:szCs w:val="28"/>
      <w:lang w:eastAsia="en-US"/>
    </w:rPr>
  </w:style>
  <w:style w:type="paragraph" w:styleId="Header">
    <w:name w:val="header"/>
    <w:basedOn w:val="Normal"/>
    <w:uiPriority w:val="10"/>
    <w:rsid w:val="002962C3"/>
    <w:pPr>
      <w:tabs>
        <w:tab w:val="center" w:pos="4153"/>
        <w:tab w:val="right" w:pos="8306"/>
      </w:tabs>
    </w:pPr>
    <w:rPr>
      <w:rFonts w:ascii="Arial" w:hAnsi="Arial" w:cs="Arial"/>
      <w:sz w:val="18"/>
    </w:rPr>
  </w:style>
  <w:style w:type="paragraph" w:styleId="Footer">
    <w:name w:val="footer"/>
    <w:basedOn w:val="Normal"/>
    <w:uiPriority w:val="8"/>
    <w:rsid w:val="00C27DE9"/>
    <w:pPr>
      <w:tabs>
        <w:tab w:val="right" w:pos="10206"/>
      </w:tabs>
    </w:pPr>
    <w:rPr>
      <w:rFonts w:ascii="Arial" w:hAnsi="Arial"/>
      <w:sz w:val="18"/>
      <w:szCs w:val="18"/>
    </w:rPr>
  </w:style>
  <w:style w:type="character" w:styleId="FollowedHyperlink">
    <w:name w:val="FollowedHyperlink"/>
    <w:uiPriority w:val="99"/>
    <w:rsid w:val="00B2752E"/>
    <w:rPr>
      <w:color w:val="9933CC"/>
      <w:u w:val="dotted"/>
    </w:r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FD3766"/>
    <w:pPr>
      <w:numPr>
        <w:numId w:val="4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paragraph" w:customStyle="1" w:styleId="Footerfirstpage">
    <w:name w:val="Footer first page"/>
    <w:basedOn w:val="Footer"/>
    <w:uiPriority w:val="8"/>
    <w:rsid w:val="00F65AA9"/>
    <w:pPr>
      <w:tabs>
        <w:tab w:val="right" w:pos="9923"/>
      </w:tabs>
      <w:spacing w:line="240" w:lineRule="atLeast"/>
    </w:pPr>
    <w:rPr>
      <w:noProof/>
      <w:sz w:val="20"/>
      <w:lang w:val="en-US"/>
    </w:rPr>
  </w:style>
  <w:style w:type="paragraph" w:customStyle="1" w:styleId="DHHSTOCheadingfactsheet">
    <w:name w:val="DHHS TOC heading fact sheet"/>
    <w:basedOn w:val="Heading2"/>
    <w:next w:val="DHHSbody"/>
    <w:link w:val="DHHSTOCheadingfactsheetChar"/>
    <w:uiPriority w:val="4"/>
    <w:rsid w:val="006240CC"/>
    <w:pPr>
      <w:spacing w:after="200"/>
      <w:outlineLvl w:val="9"/>
    </w:pPr>
  </w:style>
  <w:style w:type="character" w:customStyle="1" w:styleId="DHHSTOCheadingfactsheetChar">
    <w:name w:val="DHHS TOC heading fact sheet Char"/>
    <w:link w:val="DHHSTOCheadingfactsheet"/>
    <w:uiPriority w:val="4"/>
    <w:rsid w:val="006240CC"/>
    <w:rPr>
      <w:rFonts w:ascii="Arial" w:eastAsia="MS Gothic" w:hAnsi="Arial"/>
      <w:b/>
      <w:bCs/>
      <w:iCs/>
      <w:color w:val="00866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uiPriority w:val="3"/>
    <w:qFormat/>
    <w:rsid w:val="009C7A7E"/>
    <w:pPr>
      <w:keepNext/>
      <w:keepLines/>
      <w:spacing w:before="240" w:after="120" w:line="270" w:lineRule="exac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footnote">
    <w:name w:val="DHHS footnote"/>
    <w:link w:val="DHHSfootnoteChar"/>
    <w:uiPriority w:val="4"/>
    <w:rsid w:val="001D44E8"/>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1D44E8"/>
    <w:rPr>
      <w:rFonts w:ascii="Arial" w:hAnsi="Arial"/>
      <w:sz w:val="16"/>
      <w:szCs w:val="16"/>
    </w:rPr>
  </w:style>
  <w:style w:type="paragraph" w:customStyle="1" w:styleId="DHHSbullet2">
    <w:name w:val="DHHS bullet 2"/>
    <w:basedOn w:val="DHHSbody"/>
    <w:uiPriority w:val="2"/>
    <w:qFormat/>
    <w:rsid w:val="00FD3766"/>
    <w:pPr>
      <w:numPr>
        <w:ilvl w:val="2"/>
        <w:numId w:val="43"/>
      </w:numPr>
      <w:spacing w:after="40"/>
    </w:pPr>
  </w:style>
  <w:style w:type="paragraph" w:customStyle="1" w:styleId="DHHSfigurecaption">
    <w:name w:val="DHHS figure caption"/>
    <w:next w:val="DHHSbody"/>
    <w:link w:val="DHHSfigurecaptionChar"/>
    <w:uiPriority w:val="4"/>
    <w:rsid w:val="009C7A7E"/>
    <w:pPr>
      <w:keepNext/>
      <w:keepLines/>
      <w:spacing w:before="240" w:after="120"/>
    </w:pPr>
    <w:rPr>
      <w:rFonts w:ascii="Arial" w:hAnsi="Arial"/>
      <w:b/>
      <w:lang w:eastAsia="en-US"/>
    </w:rPr>
  </w:style>
  <w:style w:type="character" w:customStyle="1" w:styleId="DHHSfigurecaptionChar">
    <w:name w:val="DHHS figure caption Char"/>
    <w:link w:val="DHHSfigurecaption"/>
    <w:uiPriority w:val="4"/>
    <w:rsid w:val="00670597"/>
    <w:rPr>
      <w:rFonts w:ascii="Arial" w:hAnsi="Arial"/>
      <w:b/>
      <w:lang w:eastAsia="en-US"/>
    </w:rPr>
  </w:style>
  <w:style w:type="paragraph" w:customStyle="1" w:styleId="DHHStablebullet">
    <w:name w:val="DHHS table bullet"/>
    <w:basedOn w:val="DHHStabletext"/>
    <w:uiPriority w:val="3"/>
    <w:qFormat/>
    <w:rsid w:val="00FD3766"/>
    <w:pPr>
      <w:numPr>
        <w:ilvl w:val="6"/>
        <w:numId w:val="43"/>
      </w:numPr>
    </w:pPr>
  </w:style>
  <w:style w:type="paragraph" w:customStyle="1" w:styleId="DHHSaccessibilitypara">
    <w:name w:val="DHHS accessibility para"/>
    <w:basedOn w:val="Normal"/>
    <w:link w:val="DHHSaccessibilityparaChar"/>
    <w:uiPriority w:val="6"/>
    <w:rsid w:val="000C42EA"/>
    <w:pPr>
      <w:spacing w:after="120" w:line="300" w:lineRule="exact"/>
    </w:pPr>
    <w:rPr>
      <w:rFonts w:ascii="Arial" w:hAnsi="Arial"/>
      <w:sz w:val="24"/>
      <w:szCs w:val="24"/>
    </w:rPr>
  </w:style>
  <w:style w:type="character" w:customStyle="1" w:styleId="DHHSaccessibilityparaChar">
    <w:name w:val="DHHS accessibility para Char"/>
    <w:link w:val="DHHSaccessibilitypara"/>
    <w:uiPriority w:val="6"/>
    <w:rsid w:val="00670597"/>
    <w:rPr>
      <w:rFonts w:ascii="Arial" w:hAnsi="Arial"/>
      <w:sz w:val="24"/>
      <w:szCs w:val="24"/>
      <w:lang w:eastAsia="en-US"/>
    </w:rPr>
  </w:style>
  <w:style w:type="paragraph" w:customStyle="1" w:styleId="DHHStablecolhead">
    <w:name w:val="DHHS table col head"/>
    <w:uiPriority w:val="3"/>
    <w:qFormat/>
    <w:rsid w:val="006240CC"/>
    <w:pPr>
      <w:spacing w:before="80" w:after="60"/>
    </w:pPr>
    <w:rPr>
      <w:rFonts w:ascii="Arial" w:hAnsi="Arial"/>
      <w:b/>
      <w:color w:val="00866F"/>
      <w:lang w:eastAsia="en-US"/>
    </w:rPr>
  </w:style>
  <w:style w:type="paragraph" w:customStyle="1" w:styleId="DHHSbulletindent">
    <w:name w:val="DHHS bullet indent"/>
    <w:basedOn w:val="DHHSbody"/>
    <w:rsid w:val="00596A4B"/>
    <w:pPr>
      <w:numPr>
        <w:ilvl w:val="4"/>
        <w:numId w:val="43"/>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FD3766"/>
    <w:pPr>
      <w:numPr>
        <w:ilvl w:val="1"/>
      </w:numPr>
      <w:spacing w:after="120"/>
    </w:pPr>
  </w:style>
  <w:style w:type="paragraph" w:customStyle="1" w:styleId="DHHSbullet2lastline">
    <w:name w:val="DHHS bullet 2 last line"/>
    <w:basedOn w:val="DHHSbullet2"/>
    <w:uiPriority w:val="2"/>
    <w:rsid w:val="00FD3766"/>
    <w:pPr>
      <w:numPr>
        <w:ilvl w:val="3"/>
      </w:numPr>
      <w:spacing w:after="120"/>
    </w:p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iPriority w:val="99"/>
    <w:unhideWhenUsed/>
    <w:rsid w:val="003F0445"/>
    <w:rPr>
      <w:sz w:val="24"/>
      <w:szCs w:val="24"/>
    </w:rPr>
  </w:style>
  <w:style w:type="character" w:customStyle="1" w:styleId="FootnoteTextChar">
    <w:name w:val="Footnote Text Char"/>
    <w:link w:val="FootnoteText"/>
    <w:uiPriority w:val="99"/>
    <w:rsid w:val="003F0445"/>
    <w:rPr>
      <w:rFonts w:ascii="Cambria" w:hAnsi="Cambria"/>
      <w:sz w:val="24"/>
      <w:szCs w:val="24"/>
    </w:rPr>
  </w:style>
  <w:style w:type="paragraph" w:customStyle="1" w:styleId="Healthbody">
    <w:name w:val="Health body"/>
    <w:semiHidden/>
    <w:rsid w:val="007B0914"/>
    <w:pPr>
      <w:spacing w:after="120" w:line="270" w:lineRule="atLeast"/>
    </w:pPr>
    <w:rPr>
      <w:rFonts w:ascii="Arial" w:eastAsia="MS Mincho" w:hAnsi="Arial"/>
      <w:szCs w:val="24"/>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numbering" w:customStyle="1" w:styleId="Bullets">
    <w:name w:val="Bullets"/>
    <w:rsid w:val="00596A4B"/>
    <w:pPr>
      <w:numPr>
        <w:numId w:val="30"/>
      </w:numPr>
    </w:pPr>
  </w:style>
  <w:style w:type="numbering" w:customStyle="1" w:styleId="Numbers">
    <w:name w:val="Numbers"/>
    <w:rsid w:val="00596A4B"/>
    <w:pPr>
      <w:numPr>
        <w:numId w:val="32"/>
      </w:numPr>
    </w:pPr>
  </w:style>
  <w:style w:type="paragraph" w:customStyle="1" w:styleId="DHHSbulletindentlastline">
    <w:name w:val="DHHS bullet indent last line"/>
    <w:basedOn w:val="DHHSbody"/>
    <w:rsid w:val="00596A4B"/>
    <w:pPr>
      <w:numPr>
        <w:ilvl w:val="5"/>
        <w:numId w:val="43"/>
      </w:numPr>
    </w:pPr>
  </w:style>
  <w:style w:type="paragraph" w:customStyle="1" w:styleId="DHHSnumberdigit">
    <w:name w:val="DHHS number digit"/>
    <w:basedOn w:val="DHHSbody"/>
    <w:uiPriority w:val="4"/>
    <w:rsid w:val="00596A4B"/>
    <w:pPr>
      <w:numPr>
        <w:numId w:val="44"/>
      </w:numPr>
    </w:pPr>
  </w:style>
  <w:style w:type="paragraph" w:customStyle="1" w:styleId="DHHSnumberloweralphaindent">
    <w:name w:val="DHHS number lower alpha indent"/>
    <w:basedOn w:val="DHHSbody"/>
    <w:uiPriority w:val="4"/>
    <w:qFormat/>
    <w:rsid w:val="00596A4B"/>
    <w:pPr>
      <w:numPr>
        <w:ilvl w:val="3"/>
        <w:numId w:val="44"/>
      </w:numPr>
    </w:pPr>
  </w:style>
  <w:style w:type="paragraph" w:customStyle="1" w:styleId="DHHSnumberdigitindent">
    <w:name w:val="DHHS number digit indent"/>
    <w:basedOn w:val="DHHSnumberloweralphaindent"/>
    <w:uiPriority w:val="4"/>
    <w:qFormat/>
    <w:rsid w:val="00596A4B"/>
    <w:pPr>
      <w:numPr>
        <w:ilvl w:val="1"/>
      </w:numPr>
    </w:pPr>
  </w:style>
  <w:style w:type="paragraph" w:customStyle="1" w:styleId="DHHSnumberloweralpha">
    <w:name w:val="DHHS number lower alpha"/>
    <w:basedOn w:val="DHHSbody"/>
    <w:uiPriority w:val="4"/>
    <w:qFormat/>
    <w:rsid w:val="00596A4B"/>
    <w:pPr>
      <w:numPr>
        <w:ilvl w:val="2"/>
        <w:numId w:val="44"/>
      </w:numPr>
    </w:pPr>
  </w:style>
  <w:style w:type="paragraph" w:customStyle="1" w:styleId="DHHSnumberlowerroman">
    <w:name w:val="DHHS number lower roman"/>
    <w:basedOn w:val="DHHSbody"/>
    <w:uiPriority w:val="4"/>
    <w:qFormat/>
    <w:rsid w:val="00596A4B"/>
    <w:pPr>
      <w:numPr>
        <w:ilvl w:val="4"/>
        <w:numId w:val="44"/>
      </w:numPr>
    </w:pPr>
  </w:style>
  <w:style w:type="paragraph" w:customStyle="1" w:styleId="DHHSnumberlowerromanindent">
    <w:name w:val="DHHS number lower roman indent"/>
    <w:basedOn w:val="DHHSbody"/>
    <w:uiPriority w:val="4"/>
    <w:qFormat/>
    <w:rsid w:val="00596A4B"/>
    <w:pPr>
      <w:numPr>
        <w:ilvl w:val="5"/>
        <w:numId w:val="44"/>
      </w:numPr>
    </w:pPr>
  </w:style>
  <w:style w:type="paragraph" w:customStyle="1" w:styleId="DHHSquote">
    <w:name w:val="DHHS quote"/>
    <w:basedOn w:val="DHHSbody"/>
    <w:uiPriority w:val="3"/>
    <w:qFormat/>
    <w:rsid w:val="00596A4B"/>
    <w:pPr>
      <w:ind w:left="397"/>
    </w:pPr>
    <w:rPr>
      <w:szCs w:val="18"/>
      <w:lang w:val="fr-FR"/>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Normal"/>
    <w:uiPriority w:val="1"/>
    <w:rsid w:val="00951D50"/>
    <w:pPr>
      <w:spacing w:before="240" w:after="120" w:line="270" w:lineRule="atLeast"/>
    </w:pPr>
    <w:rPr>
      <w:rFonts w:ascii="Arial" w:eastAsia="Times" w:hAnsi="Arial"/>
    </w:rPr>
  </w:style>
  <w:style w:type="paragraph" w:customStyle="1" w:styleId="DHbody">
    <w:name w:val="DH body"/>
    <w:link w:val="DHbodyChar"/>
    <w:rsid w:val="0013521C"/>
    <w:pPr>
      <w:spacing w:after="120" w:line="270" w:lineRule="exact"/>
    </w:pPr>
    <w:rPr>
      <w:rFonts w:ascii="Arial" w:eastAsia="Times" w:hAnsi="Arial"/>
      <w:lang w:eastAsia="en-US"/>
    </w:rPr>
  </w:style>
  <w:style w:type="paragraph" w:customStyle="1" w:styleId="DHbodynospace">
    <w:name w:val="DH body no space"/>
    <w:basedOn w:val="DHbody"/>
    <w:rsid w:val="0013521C"/>
    <w:pPr>
      <w:spacing w:after="0"/>
    </w:pPr>
  </w:style>
  <w:style w:type="paragraph" w:customStyle="1" w:styleId="DHbullet">
    <w:name w:val="DH bullet"/>
    <w:basedOn w:val="DHbody"/>
    <w:rsid w:val="0013521C"/>
    <w:pPr>
      <w:numPr>
        <w:numId w:val="3"/>
      </w:numPr>
      <w:tabs>
        <w:tab w:val="clear" w:pos="720"/>
        <w:tab w:val="num" w:pos="287"/>
      </w:tabs>
      <w:ind w:left="289" w:hanging="289"/>
    </w:pPr>
  </w:style>
  <w:style w:type="paragraph" w:customStyle="1" w:styleId="DHheading2">
    <w:name w:val="DH heading 2"/>
    <w:next w:val="DHbody"/>
    <w:link w:val="DHheading2Char"/>
    <w:rsid w:val="0013521C"/>
    <w:pPr>
      <w:spacing w:before="240" w:after="90" w:line="320" w:lineRule="exact"/>
    </w:pPr>
    <w:rPr>
      <w:rFonts w:ascii="Arial" w:hAnsi="Arial"/>
      <w:b/>
      <w:bCs/>
      <w:sz w:val="28"/>
      <w:szCs w:val="24"/>
      <w:lang w:eastAsia="en-US"/>
    </w:rPr>
  </w:style>
  <w:style w:type="paragraph" w:customStyle="1" w:styleId="DHheading4">
    <w:name w:val="DH heading 4"/>
    <w:next w:val="DHbody"/>
    <w:link w:val="DHheading4Char"/>
    <w:rsid w:val="0013521C"/>
    <w:pPr>
      <w:spacing w:before="120" w:after="120" w:line="240" w:lineRule="exact"/>
    </w:pPr>
    <w:rPr>
      <w:rFonts w:ascii="Arial" w:hAnsi="Arial"/>
      <w:b/>
      <w:bCs/>
      <w:lang w:eastAsia="en-US"/>
    </w:rPr>
  </w:style>
  <w:style w:type="paragraph" w:customStyle="1" w:styleId="DHHeading3">
    <w:name w:val="DH Heading 3"/>
    <w:basedOn w:val="Normal"/>
    <w:link w:val="DHHeading3Char"/>
    <w:rsid w:val="0013521C"/>
    <w:pPr>
      <w:spacing w:before="280" w:after="120" w:line="270" w:lineRule="exact"/>
    </w:pPr>
    <w:rPr>
      <w:rFonts w:ascii="Arial" w:hAnsi="Arial"/>
      <w:b/>
      <w:bCs/>
      <w:sz w:val="24"/>
      <w:szCs w:val="24"/>
      <w:lang w:val="it-IT"/>
    </w:rPr>
  </w:style>
  <w:style w:type="paragraph" w:customStyle="1" w:styleId="DHMainheading">
    <w:name w:val="DH Main heading"/>
    <w:basedOn w:val="Normal"/>
    <w:rsid w:val="0013521C"/>
    <w:pPr>
      <w:spacing w:before="360"/>
    </w:pPr>
    <w:rPr>
      <w:rFonts w:ascii="Arial" w:hAnsi="Arial"/>
      <w:bCs/>
      <w:color w:val="FFFFFF"/>
      <w:sz w:val="44"/>
      <w:szCs w:val="44"/>
    </w:rPr>
  </w:style>
  <w:style w:type="character" w:customStyle="1" w:styleId="DHheading2Char">
    <w:name w:val="DH heading 2 Char"/>
    <w:link w:val="DHheading2"/>
    <w:rsid w:val="0013521C"/>
    <w:rPr>
      <w:rFonts w:ascii="Arial" w:hAnsi="Arial"/>
      <w:b/>
      <w:bCs/>
      <w:sz w:val="28"/>
      <w:szCs w:val="24"/>
      <w:lang w:eastAsia="en-US"/>
    </w:rPr>
  </w:style>
  <w:style w:type="character" w:customStyle="1" w:styleId="DHheading4Char">
    <w:name w:val="DH heading 4 Char"/>
    <w:link w:val="DHheading4"/>
    <w:rsid w:val="0013521C"/>
    <w:rPr>
      <w:rFonts w:ascii="Arial" w:hAnsi="Arial"/>
      <w:b/>
      <w:bCs/>
      <w:lang w:eastAsia="en-US"/>
    </w:rPr>
  </w:style>
  <w:style w:type="character" w:customStyle="1" w:styleId="DHHeading3Char">
    <w:name w:val="DH Heading 3 Char"/>
    <w:link w:val="DHHeading3"/>
    <w:rsid w:val="0013521C"/>
    <w:rPr>
      <w:rFonts w:ascii="Arial" w:hAnsi="Arial"/>
      <w:b/>
      <w:bCs/>
      <w:sz w:val="24"/>
      <w:szCs w:val="24"/>
      <w:lang w:val="it-IT" w:eastAsia="en-US"/>
    </w:rPr>
  </w:style>
  <w:style w:type="character" w:customStyle="1" w:styleId="DHbodyChar">
    <w:name w:val="DH body Char"/>
    <w:link w:val="DHbody"/>
    <w:rsid w:val="0013521C"/>
    <w:rPr>
      <w:rFonts w:ascii="Arial" w:eastAsia="Times"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4148F9"/>
    <w:rPr>
      <w:rFonts w:ascii="Cambria" w:hAnsi="Cambria"/>
      <w:lang w:eastAsia="en-US"/>
    </w:rPr>
  </w:style>
  <w:style w:type="paragraph" w:styleId="Heading1">
    <w:name w:val="heading 1"/>
    <w:next w:val="DHHSbody"/>
    <w:link w:val="Heading1Char"/>
    <w:uiPriority w:val="1"/>
    <w:qFormat/>
    <w:rsid w:val="00AC0295"/>
    <w:pPr>
      <w:keepNext/>
      <w:keepLines/>
      <w:spacing w:before="400" w:after="280" w:line="480" w:lineRule="atLeast"/>
      <w:outlineLvl w:val="0"/>
    </w:pPr>
    <w:rPr>
      <w:rFonts w:ascii="Arial" w:eastAsia="MS Gothic" w:hAnsi="Arial" w:cs="Arial"/>
      <w:bCs/>
      <w:color w:val="00866F"/>
      <w:kern w:val="32"/>
      <w:sz w:val="40"/>
      <w:szCs w:val="32"/>
      <w:lang w:eastAsia="en-US"/>
    </w:rPr>
  </w:style>
  <w:style w:type="paragraph" w:styleId="Heading2">
    <w:name w:val="heading 2"/>
    <w:next w:val="DHHSbody"/>
    <w:link w:val="Heading2Char"/>
    <w:uiPriority w:val="1"/>
    <w:qFormat/>
    <w:rsid w:val="006240CC"/>
    <w:pPr>
      <w:keepNext/>
      <w:keepLines/>
      <w:spacing w:before="280" w:after="120" w:line="320" w:lineRule="atLeast"/>
      <w:outlineLvl w:val="1"/>
    </w:pPr>
    <w:rPr>
      <w:rFonts w:ascii="Arial" w:eastAsia="MS Gothic" w:hAnsi="Arial"/>
      <w:b/>
      <w:bCs/>
      <w:iCs/>
      <w:color w:val="00866F"/>
      <w:sz w:val="28"/>
      <w:szCs w:val="28"/>
      <w:lang w:eastAsia="en-US"/>
    </w:rPr>
  </w:style>
  <w:style w:type="paragraph" w:styleId="Heading3">
    <w:name w:val="heading 3"/>
    <w:next w:val="DHHSbody"/>
    <w:link w:val="Heading3Char"/>
    <w:uiPriority w:val="1"/>
    <w:qFormat/>
    <w:rsid w:val="0047372D"/>
    <w:pPr>
      <w:keepNext/>
      <w:keepLines/>
      <w:spacing w:before="240" w:after="80" w:line="280" w:lineRule="atLeast"/>
      <w:outlineLvl w:val="2"/>
    </w:pPr>
    <w:rPr>
      <w:rFonts w:ascii="Arial" w:eastAsia="MS Gothic" w:hAnsi="Arial"/>
      <w:b/>
      <w:bCs/>
      <w:sz w:val="24"/>
      <w:szCs w:val="24"/>
      <w:lang w:eastAsia="en-US"/>
    </w:rPr>
  </w:style>
  <w:style w:type="paragraph" w:styleId="Heading4">
    <w:name w:val="heading 4"/>
    <w:next w:val="Normal"/>
    <w:link w:val="Heading4Char"/>
    <w:uiPriority w:val="1"/>
    <w:qFormat/>
    <w:rsid w:val="00DA2619"/>
    <w:pPr>
      <w:keepNext/>
      <w:keepLines/>
      <w:spacing w:before="160" w:after="60" w:line="240" w:lineRule="atLeast"/>
      <w:outlineLvl w:val="3"/>
    </w:pPr>
    <w:rPr>
      <w:rFonts w:ascii="Arial" w:eastAsia="MS Mincho" w:hAnsi="Arial"/>
      <w:b/>
      <w:bCs/>
      <w:szCs w:val="28"/>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AC0295"/>
    <w:rPr>
      <w:rFonts w:ascii="Arial" w:eastAsia="MS Gothic" w:hAnsi="Arial" w:cs="Arial"/>
      <w:bCs/>
      <w:color w:val="00866F"/>
      <w:kern w:val="32"/>
      <w:sz w:val="40"/>
      <w:szCs w:val="32"/>
      <w:lang w:eastAsia="en-US"/>
    </w:rPr>
  </w:style>
  <w:style w:type="character" w:customStyle="1" w:styleId="Heading2Char">
    <w:name w:val="Heading 2 Char"/>
    <w:link w:val="Heading2"/>
    <w:uiPriority w:val="1"/>
    <w:rsid w:val="006240CC"/>
    <w:rPr>
      <w:rFonts w:ascii="Arial" w:eastAsia="MS Gothic" w:hAnsi="Arial"/>
      <w:b/>
      <w:bCs/>
      <w:iCs/>
      <w:color w:val="00866F"/>
      <w:sz w:val="28"/>
      <w:szCs w:val="28"/>
      <w:lang w:eastAsia="en-US"/>
    </w:rPr>
  </w:style>
  <w:style w:type="character" w:customStyle="1" w:styleId="Heading3Char">
    <w:name w:val="Heading 3 Char"/>
    <w:link w:val="Heading3"/>
    <w:uiPriority w:val="1"/>
    <w:rsid w:val="0047372D"/>
    <w:rPr>
      <w:rFonts w:ascii="Arial" w:eastAsia="MS Gothic" w:hAnsi="Arial"/>
      <w:b/>
      <w:bCs/>
      <w:sz w:val="24"/>
      <w:szCs w:val="24"/>
    </w:rPr>
  </w:style>
  <w:style w:type="character" w:customStyle="1" w:styleId="Heading4Char">
    <w:name w:val="Heading 4 Char"/>
    <w:link w:val="Heading4"/>
    <w:uiPriority w:val="1"/>
    <w:semiHidden/>
    <w:rsid w:val="000A0EB9"/>
    <w:rPr>
      <w:rFonts w:ascii="Arial" w:eastAsia="MS Mincho" w:hAnsi="Arial"/>
      <w:b/>
      <w:bCs/>
      <w:szCs w:val="28"/>
      <w:lang w:eastAsia="en-US"/>
    </w:rPr>
  </w:style>
  <w:style w:type="paragraph" w:styleId="Header">
    <w:name w:val="header"/>
    <w:basedOn w:val="Normal"/>
    <w:uiPriority w:val="10"/>
    <w:rsid w:val="002962C3"/>
    <w:pPr>
      <w:tabs>
        <w:tab w:val="center" w:pos="4153"/>
        <w:tab w:val="right" w:pos="8306"/>
      </w:tabs>
    </w:pPr>
    <w:rPr>
      <w:rFonts w:ascii="Arial" w:hAnsi="Arial" w:cs="Arial"/>
      <w:sz w:val="18"/>
    </w:rPr>
  </w:style>
  <w:style w:type="paragraph" w:styleId="Footer">
    <w:name w:val="footer"/>
    <w:basedOn w:val="Normal"/>
    <w:uiPriority w:val="8"/>
    <w:rsid w:val="00C27DE9"/>
    <w:pPr>
      <w:tabs>
        <w:tab w:val="right" w:pos="10206"/>
      </w:tabs>
    </w:pPr>
    <w:rPr>
      <w:rFonts w:ascii="Arial" w:hAnsi="Arial"/>
      <w:sz w:val="18"/>
      <w:szCs w:val="18"/>
    </w:rPr>
  </w:style>
  <w:style w:type="character" w:styleId="FollowedHyperlink">
    <w:name w:val="FollowedHyperlink"/>
    <w:uiPriority w:val="99"/>
    <w:rsid w:val="00B2752E"/>
    <w:rPr>
      <w:color w:val="9933CC"/>
      <w:u w:val="dotted"/>
    </w:r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FD3766"/>
    <w:pPr>
      <w:numPr>
        <w:numId w:val="4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paragraph" w:customStyle="1" w:styleId="Footerfirstpage">
    <w:name w:val="Footer first page"/>
    <w:basedOn w:val="Footer"/>
    <w:uiPriority w:val="8"/>
    <w:rsid w:val="00F65AA9"/>
    <w:pPr>
      <w:tabs>
        <w:tab w:val="right" w:pos="9923"/>
      </w:tabs>
      <w:spacing w:line="240" w:lineRule="atLeast"/>
    </w:pPr>
    <w:rPr>
      <w:noProof/>
      <w:sz w:val="20"/>
      <w:lang w:val="en-US"/>
    </w:rPr>
  </w:style>
  <w:style w:type="paragraph" w:customStyle="1" w:styleId="DHHSTOCheadingfactsheet">
    <w:name w:val="DHHS TOC heading fact sheet"/>
    <w:basedOn w:val="Heading2"/>
    <w:next w:val="DHHSbody"/>
    <w:link w:val="DHHSTOCheadingfactsheetChar"/>
    <w:uiPriority w:val="4"/>
    <w:rsid w:val="006240CC"/>
    <w:pPr>
      <w:spacing w:after="200"/>
      <w:outlineLvl w:val="9"/>
    </w:pPr>
  </w:style>
  <w:style w:type="character" w:customStyle="1" w:styleId="DHHSTOCheadingfactsheetChar">
    <w:name w:val="DHHS TOC heading fact sheet Char"/>
    <w:link w:val="DHHSTOCheadingfactsheet"/>
    <w:uiPriority w:val="4"/>
    <w:rsid w:val="006240CC"/>
    <w:rPr>
      <w:rFonts w:ascii="Arial" w:eastAsia="MS Gothic" w:hAnsi="Arial"/>
      <w:b/>
      <w:bCs/>
      <w:iCs/>
      <w:color w:val="00866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uiPriority w:val="3"/>
    <w:qFormat/>
    <w:rsid w:val="009C7A7E"/>
    <w:pPr>
      <w:keepNext/>
      <w:keepLines/>
      <w:spacing w:before="240" w:after="120" w:line="270" w:lineRule="exac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footnote">
    <w:name w:val="DHHS footnote"/>
    <w:link w:val="DHHSfootnoteChar"/>
    <w:uiPriority w:val="4"/>
    <w:rsid w:val="001D44E8"/>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1D44E8"/>
    <w:rPr>
      <w:rFonts w:ascii="Arial" w:hAnsi="Arial"/>
      <w:sz w:val="16"/>
      <w:szCs w:val="16"/>
    </w:rPr>
  </w:style>
  <w:style w:type="paragraph" w:customStyle="1" w:styleId="DHHSbullet2">
    <w:name w:val="DHHS bullet 2"/>
    <w:basedOn w:val="DHHSbody"/>
    <w:uiPriority w:val="2"/>
    <w:qFormat/>
    <w:rsid w:val="00FD3766"/>
    <w:pPr>
      <w:numPr>
        <w:ilvl w:val="2"/>
        <w:numId w:val="43"/>
      </w:numPr>
      <w:spacing w:after="40"/>
    </w:pPr>
  </w:style>
  <w:style w:type="paragraph" w:customStyle="1" w:styleId="DHHSfigurecaption">
    <w:name w:val="DHHS figure caption"/>
    <w:next w:val="DHHSbody"/>
    <w:link w:val="DHHSfigurecaptionChar"/>
    <w:uiPriority w:val="4"/>
    <w:rsid w:val="009C7A7E"/>
    <w:pPr>
      <w:keepNext/>
      <w:keepLines/>
      <w:spacing w:before="240" w:after="120"/>
    </w:pPr>
    <w:rPr>
      <w:rFonts w:ascii="Arial" w:hAnsi="Arial"/>
      <w:b/>
      <w:lang w:eastAsia="en-US"/>
    </w:rPr>
  </w:style>
  <w:style w:type="character" w:customStyle="1" w:styleId="DHHSfigurecaptionChar">
    <w:name w:val="DHHS figure caption Char"/>
    <w:link w:val="DHHSfigurecaption"/>
    <w:uiPriority w:val="4"/>
    <w:rsid w:val="00670597"/>
    <w:rPr>
      <w:rFonts w:ascii="Arial" w:hAnsi="Arial"/>
      <w:b/>
      <w:lang w:eastAsia="en-US"/>
    </w:rPr>
  </w:style>
  <w:style w:type="paragraph" w:customStyle="1" w:styleId="DHHStablebullet">
    <w:name w:val="DHHS table bullet"/>
    <w:basedOn w:val="DHHStabletext"/>
    <w:uiPriority w:val="3"/>
    <w:qFormat/>
    <w:rsid w:val="00FD3766"/>
    <w:pPr>
      <w:numPr>
        <w:ilvl w:val="6"/>
        <w:numId w:val="43"/>
      </w:numPr>
    </w:pPr>
  </w:style>
  <w:style w:type="paragraph" w:customStyle="1" w:styleId="DHHSaccessibilitypara">
    <w:name w:val="DHHS accessibility para"/>
    <w:basedOn w:val="Normal"/>
    <w:link w:val="DHHSaccessibilityparaChar"/>
    <w:uiPriority w:val="6"/>
    <w:rsid w:val="000C42EA"/>
    <w:pPr>
      <w:spacing w:after="120" w:line="300" w:lineRule="exact"/>
    </w:pPr>
    <w:rPr>
      <w:rFonts w:ascii="Arial" w:hAnsi="Arial"/>
      <w:sz w:val="24"/>
      <w:szCs w:val="24"/>
    </w:rPr>
  </w:style>
  <w:style w:type="character" w:customStyle="1" w:styleId="DHHSaccessibilityparaChar">
    <w:name w:val="DHHS accessibility para Char"/>
    <w:link w:val="DHHSaccessibilitypara"/>
    <w:uiPriority w:val="6"/>
    <w:rsid w:val="00670597"/>
    <w:rPr>
      <w:rFonts w:ascii="Arial" w:hAnsi="Arial"/>
      <w:sz w:val="24"/>
      <w:szCs w:val="24"/>
      <w:lang w:eastAsia="en-US"/>
    </w:rPr>
  </w:style>
  <w:style w:type="paragraph" w:customStyle="1" w:styleId="DHHStablecolhead">
    <w:name w:val="DHHS table col head"/>
    <w:uiPriority w:val="3"/>
    <w:qFormat/>
    <w:rsid w:val="006240CC"/>
    <w:pPr>
      <w:spacing w:before="80" w:after="60"/>
    </w:pPr>
    <w:rPr>
      <w:rFonts w:ascii="Arial" w:hAnsi="Arial"/>
      <w:b/>
      <w:color w:val="00866F"/>
      <w:lang w:eastAsia="en-US"/>
    </w:rPr>
  </w:style>
  <w:style w:type="paragraph" w:customStyle="1" w:styleId="DHHSbulletindent">
    <w:name w:val="DHHS bullet indent"/>
    <w:basedOn w:val="DHHSbody"/>
    <w:rsid w:val="00596A4B"/>
    <w:pPr>
      <w:numPr>
        <w:ilvl w:val="4"/>
        <w:numId w:val="43"/>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FD3766"/>
    <w:pPr>
      <w:numPr>
        <w:ilvl w:val="1"/>
      </w:numPr>
      <w:spacing w:after="120"/>
    </w:pPr>
  </w:style>
  <w:style w:type="paragraph" w:customStyle="1" w:styleId="DHHSbullet2lastline">
    <w:name w:val="DHHS bullet 2 last line"/>
    <w:basedOn w:val="DHHSbullet2"/>
    <w:uiPriority w:val="2"/>
    <w:rsid w:val="00FD3766"/>
    <w:pPr>
      <w:numPr>
        <w:ilvl w:val="3"/>
      </w:numPr>
      <w:spacing w:after="120"/>
    </w:p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iPriority w:val="99"/>
    <w:unhideWhenUsed/>
    <w:rsid w:val="003F0445"/>
    <w:rPr>
      <w:sz w:val="24"/>
      <w:szCs w:val="24"/>
    </w:rPr>
  </w:style>
  <w:style w:type="character" w:customStyle="1" w:styleId="FootnoteTextChar">
    <w:name w:val="Footnote Text Char"/>
    <w:link w:val="FootnoteText"/>
    <w:uiPriority w:val="99"/>
    <w:rsid w:val="003F0445"/>
    <w:rPr>
      <w:rFonts w:ascii="Cambria" w:hAnsi="Cambria"/>
      <w:sz w:val="24"/>
      <w:szCs w:val="24"/>
    </w:rPr>
  </w:style>
  <w:style w:type="paragraph" w:customStyle="1" w:styleId="Healthbody">
    <w:name w:val="Health body"/>
    <w:semiHidden/>
    <w:rsid w:val="007B0914"/>
    <w:pPr>
      <w:spacing w:after="120" w:line="270" w:lineRule="atLeast"/>
    </w:pPr>
    <w:rPr>
      <w:rFonts w:ascii="Arial" w:eastAsia="MS Mincho" w:hAnsi="Arial"/>
      <w:szCs w:val="24"/>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numbering" w:customStyle="1" w:styleId="Bullets">
    <w:name w:val="Bullets"/>
    <w:rsid w:val="00596A4B"/>
    <w:pPr>
      <w:numPr>
        <w:numId w:val="30"/>
      </w:numPr>
    </w:pPr>
  </w:style>
  <w:style w:type="numbering" w:customStyle="1" w:styleId="Numbers">
    <w:name w:val="Numbers"/>
    <w:rsid w:val="00596A4B"/>
    <w:pPr>
      <w:numPr>
        <w:numId w:val="32"/>
      </w:numPr>
    </w:pPr>
  </w:style>
  <w:style w:type="paragraph" w:customStyle="1" w:styleId="DHHSbulletindentlastline">
    <w:name w:val="DHHS bullet indent last line"/>
    <w:basedOn w:val="DHHSbody"/>
    <w:rsid w:val="00596A4B"/>
    <w:pPr>
      <w:numPr>
        <w:ilvl w:val="5"/>
        <w:numId w:val="43"/>
      </w:numPr>
    </w:pPr>
  </w:style>
  <w:style w:type="paragraph" w:customStyle="1" w:styleId="DHHSnumberdigit">
    <w:name w:val="DHHS number digit"/>
    <w:basedOn w:val="DHHSbody"/>
    <w:uiPriority w:val="4"/>
    <w:rsid w:val="00596A4B"/>
    <w:pPr>
      <w:numPr>
        <w:numId w:val="44"/>
      </w:numPr>
    </w:pPr>
  </w:style>
  <w:style w:type="paragraph" w:customStyle="1" w:styleId="DHHSnumberloweralphaindent">
    <w:name w:val="DHHS number lower alpha indent"/>
    <w:basedOn w:val="DHHSbody"/>
    <w:uiPriority w:val="4"/>
    <w:qFormat/>
    <w:rsid w:val="00596A4B"/>
    <w:pPr>
      <w:numPr>
        <w:ilvl w:val="3"/>
        <w:numId w:val="44"/>
      </w:numPr>
    </w:pPr>
  </w:style>
  <w:style w:type="paragraph" w:customStyle="1" w:styleId="DHHSnumberdigitindent">
    <w:name w:val="DHHS number digit indent"/>
    <w:basedOn w:val="DHHSnumberloweralphaindent"/>
    <w:uiPriority w:val="4"/>
    <w:qFormat/>
    <w:rsid w:val="00596A4B"/>
    <w:pPr>
      <w:numPr>
        <w:ilvl w:val="1"/>
      </w:numPr>
    </w:pPr>
  </w:style>
  <w:style w:type="paragraph" w:customStyle="1" w:styleId="DHHSnumberloweralpha">
    <w:name w:val="DHHS number lower alpha"/>
    <w:basedOn w:val="DHHSbody"/>
    <w:uiPriority w:val="4"/>
    <w:qFormat/>
    <w:rsid w:val="00596A4B"/>
    <w:pPr>
      <w:numPr>
        <w:ilvl w:val="2"/>
        <w:numId w:val="44"/>
      </w:numPr>
    </w:pPr>
  </w:style>
  <w:style w:type="paragraph" w:customStyle="1" w:styleId="DHHSnumberlowerroman">
    <w:name w:val="DHHS number lower roman"/>
    <w:basedOn w:val="DHHSbody"/>
    <w:uiPriority w:val="4"/>
    <w:qFormat/>
    <w:rsid w:val="00596A4B"/>
    <w:pPr>
      <w:numPr>
        <w:ilvl w:val="4"/>
        <w:numId w:val="44"/>
      </w:numPr>
    </w:pPr>
  </w:style>
  <w:style w:type="paragraph" w:customStyle="1" w:styleId="DHHSnumberlowerromanindent">
    <w:name w:val="DHHS number lower roman indent"/>
    <w:basedOn w:val="DHHSbody"/>
    <w:uiPriority w:val="4"/>
    <w:qFormat/>
    <w:rsid w:val="00596A4B"/>
    <w:pPr>
      <w:numPr>
        <w:ilvl w:val="5"/>
        <w:numId w:val="44"/>
      </w:numPr>
    </w:pPr>
  </w:style>
  <w:style w:type="paragraph" w:customStyle="1" w:styleId="DHHSquote">
    <w:name w:val="DHHS quote"/>
    <w:basedOn w:val="DHHSbody"/>
    <w:uiPriority w:val="3"/>
    <w:qFormat/>
    <w:rsid w:val="00596A4B"/>
    <w:pPr>
      <w:ind w:left="397"/>
    </w:pPr>
    <w:rPr>
      <w:szCs w:val="18"/>
      <w:lang w:val="fr-FR"/>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Normal"/>
    <w:uiPriority w:val="1"/>
    <w:rsid w:val="00951D50"/>
    <w:pPr>
      <w:spacing w:before="240" w:after="120" w:line="270" w:lineRule="atLeast"/>
    </w:pPr>
    <w:rPr>
      <w:rFonts w:ascii="Arial" w:eastAsia="Times" w:hAnsi="Arial"/>
    </w:rPr>
  </w:style>
  <w:style w:type="paragraph" w:customStyle="1" w:styleId="DHbody">
    <w:name w:val="DH body"/>
    <w:link w:val="DHbodyChar"/>
    <w:rsid w:val="0013521C"/>
    <w:pPr>
      <w:spacing w:after="120" w:line="270" w:lineRule="exact"/>
    </w:pPr>
    <w:rPr>
      <w:rFonts w:ascii="Arial" w:eastAsia="Times" w:hAnsi="Arial"/>
      <w:lang w:eastAsia="en-US"/>
    </w:rPr>
  </w:style>
  <w:style w:type="paragraph" w:customStyle="1" w:styleId="DHbodynospace">
    <w:name w:val="DH body no space"/>
    <w:basedOn w:val="DHbody"/>
    <w:rsid w:val="0013521C"/>
    <w:pPr>
      <w:spacing w:after="0"/>
    </w:pPr>
  </w:style>
  <w:style w:type="paragraph" w:customStyle="1" w:styleId="DHbullet">
    <w:name w:val="DH bullet"/>
    <w:basedOn w:val="DHbody"/>
    <w:rsid w:val="0013521C"/>
    <w:pPr>
      <w:numPr>
        <w:numId w:val="3"/>
      </w:numPr>
      <w:tabs>
        <w:tab w:val="clear" w:pos="720"/>
        <w:tab w:val="num" w:pos="287"/>
      </w:tabs>
      <w:ind w:left="289" w:hanging="289"/>
    </w:pPr>
  </w:style>
  <w:style w:type="paragraph" w:customStyle="1" w:styleId="DHheading2">
    <w:name w:val="DH heading 2"/>
    <w:next w:val="DHbody"/>
    <w:link w:val="DHheading2Char"/>
    <w:rsid w:val="0013521C"/>
    <w:pPr>
      <w:spacing w:before="240" w:after="90" w:line="320" w:lineRule="exact"/>
    </w:pPr>
    <w:rPr>
      <w:rFonts w:ascii="Arial" w:hAnsi="Arial"/>
      <w:b/>
      <w:bCs/>
      <w:sz w:val="28"/>
      <w:szCs w:val="24"/>
      <w:lang w:eastAsia="en-US"/>
    </w:rPr>
  </w:style>
  <w:style w:type="paragraph" w:customStyle="1" w:styleId="DHheading4">
    <w:name w:val="DH heading 4"/>
    <w:next w:val="DHbody"/>
    <w:link w:val="DHheading4Char"/>
    <w:rsid w:val="0013521C"/>
    <w:pPr>
      <w:spacing w:before="120" w:after="120" w:line="240" w:lineRule="exact"/>
    </w:pPr>
    <w:rPr>
      <w:rFonts w:ascii="Arial" w:hAnsi="Arial"/>
      <w:b/>
      <w:bCs/>
      <w:lang w:eastAsia="en-US"/>
    </w:rPr>
  </w:style>
  <w:style w:type="paragraph" w:customStyle="1" w:styleId="DHHeading3">
    <w:name w:val="DH Heading 3"/>
    <w:basedOn w:val="Normal"/>
    <w:link w:val="DHHeading3Char"/>
    <w:rsid w:val="0013521C"/>
    <w:pPr>
      <w:spacing w:before="280" w:after="120" w:line="270" w:lineRule="exact"/>
    </w:pPr>
    <w:rPr>
      <w:rFonts w:ascii="Arial" w:hAnsi="Arial"/>
      <w:b/>
      <w:bCs/>
      <w:sz w:val="24"/>
      <w:szCs w:val="24"/>
      <w:lang w:val="it-IT"/>
    </w:rPr>
  </w:style>
  <w:style w:type="paragraph" w:customStyle="1" w:styleId="DHMainheading">
    <w:name w:val="DH Main heading"/>
    <w:basedOn w:val="Normal"/>
    <w:rsid w:val="0013521C"/>
    <w:pPr>
      <w:spacing w:before="360"/>
    </w:pPr>
    <w:rPr>
      <w:rFonts w:ascii="Arial" w:hAnsi="Arial"/>
      <w:bCs/>
      <w:color w:val="FFFFFF"/>
      <w:sz w:val="44"/>
      <w:szCs w:val="44"/>
    </w:rPr>
  </w:style>
  <w:style w:type="character" w:customStyle="1" w:styleId="DHheading2Char">
    <w:name w:val="DH heading 2 Char"/>
    <w:link w:val="DHheading2"/>
    <w:rsid w:val="0013521C"/>
    <w:rPr>
      <w:rFonts w:ascii="Arial" w:hAnsi="Arial"/>
      <w:b/>
      <w:bCs/>
      <w:sz w:val="28"/>
      <w:szCs w:val="24"/>
      <w:lang w:eastAsia="en-US"/>
    </w:rPr>
  </w:style>
  <w:style w:type="character" w:customStyle="1" w:styleId="DHheading4Char">
    <w:name w:val="DH heading 4 Char"/>
    <w:link w:val="DHheading4"/>
    <w:rsid w:val="0013521C"/>
    <w:rPr>
      <w:rFonts w:ascii="Arial" w:hAnsi="Arial"/>
      <w:b/>
      <w:bCs/>
      <w:lang w:eastAsia="en-US"/>
    </w:rPr>
  </w:style>
  <w:style w:type="character" w:customStyle="1" w:styleId="DHHeading3Char">
    <w:name w:val="DH Heading 3 Char"/>
    <w:link w:val="DHHeading3"/>
    <w:rsid w:val="0013521C"/>
    <w:rPr>
      <w:rFonts w:ascii="Arial" w:hAnsi="Arial"/>
      <w:b/>
      <w:bCs/>
      <w:sz w:val="24"/>
      <w:szCs w:val="24"/>
      <w:lang w:val="it-IT" w:eastAsia="en-US"/>
    </w:rPr>
  </w:style>
  <w:style w:type="character" w:customStyle="1" w:styleId="DHbodyChar">
    <w:name w:val="DH body Char"/>
    <w:link w:val="DHbody"/>
    <w:rsid w:val="0013521C"/>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pcs@dhhs.vic.gov.au"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health.vic.gov.au/dp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pcs@health.vic.gov.au"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health.vic.gov.au/dpcs/poicode.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health.vic.gov.au/dpcs/approve.htm" TargetMode="External"/><Relationship Id="rId14" Type="http://schemas.openxmlformats.org/officeDocument/2006/relationships/header" Target="head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2707</Words>
  <Characters>15059</Characters>
  <Application>Microsoft Office Word</Application>
  <DocSecurity>8</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Health &amp; Human Services</Company>
  <LinksUpToDate>false</LinksUpToDate>
  <CharactersWithSpaces>17731</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George Papazoglou</cp:lastModifiedBy>
  <cp:revision>3</cp:revision>
  <cp:lastPrinted>2015-01-28T03:08:00Z</cp:lastPrinted>
  <dcterms:created xsi:type="dcterms:W3CDTF">2015-08-03T01:46:00Z</dcterms:created>
  <dcterms:modified xsi:type="dcterms:W3CDTF">2015-08-05T05:53:00Z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