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2B09" w14:textId="77777777" w:rsidR="00056EC4" w:rsidRDefault="005860C6" w:rsidP="00056EC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364F2DC0" wp14:editId="169ADD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152000"/>
            <wp:effectExtent l="0" t="0" r="3175" b="1905"/>
            <wp:wrapNone/>
            <wp:docPr id="2" name="Picture 2" descr="Victoria State Government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ctoria State Government Department of Health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75C7468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6BFC3CC" w14:textId="583A348C" w:rsidR="00AD784C" w:rsidRPr="00431F42" w:rsidRDefault="000C5C60" w:rsidP="00431F42">
            <w:pPr>
              <w:pStyle w:val="Documenttitle"/>
            </w:pPr>
            <w:r>
              <w:t>Long-acting injectable buprenorphine</w:t>
            </w:r>
          </w:p>
        </w:tc>
      </w:tr>
      <w:tr w:rsidR="00AD784C" w14:paraId="4B365F91" w14:textId="77777777" w:rsidTr="00431F42">
        <w:trPr>
          <w:cantSplit/>
        </w:trPr>
        <w:tc>
          <w:tcPr>
            <w:tcW w:w="0" w:type="auto"/>
          </w:tcPr>
          <w:p w14:paraId="78EA2FBD" w14:textId="56889242" w:rsidR="00386109" w:rsidRPr="00A1389F" w:rsidRDefault="000C5C60" w:rsidP="009315BE">
            <w:pPr>
              <w:pStyle w:val="Documentsubtitle"/>
            </w:pPr>
            <w:r>
              <w:t>Brief clinical guidelines for use in the treatment of opioid dependence</w:t>
            </w:r>
          </w:p>
        </w:tc>
      </w:tr>
      <w:tr w:rsidR="00430393" w14:paraId="2E89D173" w14:textId="77777777" w:rsidTr="00431F42">
        <w:trPr>
          <w:cantSplit/>
        </w:trPr>
        <w:tc>
          <w:tcPr>
            <w:tcW w:w="0" w:type="auto"/>
          </w:tcPr>
          <w:p w14:paraId="7FFD2BE4" w14:textId="77777777" w:rsidR="00430393" w:rsidRDefault="00B53FBA" w:rsidP="00430393">
            <w:pPr>
              <w:pStyle w:val="Bannermarking"/>
            </w:pPr>
            <w:fldSimple w:instr=" FILLIN  &quot;Type the protective marking&quot; \d OFFICIAL \o  \* MERGEFORMAT ">
              <w:r w:rsidR="000C5C60">
                <w:t>OFFICIAL</w:t>
              </w:r>
            </w:fldSimple>
          </w:p>
        </w:tc>
      </w:tr>
    </w:tbl>
    <w:p w14:paraId="7834F9EC" w14:textId="77777777" w:rsidR="00FE4081" w:rsidRDefault="00FE4081" w:rsidP="00FE4081">
      <w:pPr>
        <w:pStyle w:val="Body"/>
      </w:pPr>
    </w:p>
    <w:p w14:paraId="2364C813" w14:textId="77777777" w:rsidR="00FE4081" w:rsidRPr="00FE4081" w:rsidRDefault="00FE4081" w:rsidP="00FE4081">
      <w:pPr>
        <w:pStyle w:val="Body"/>
        <w:sectPr w:rsidR="00FE4081" w:rsidRPr="00FE4081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6C5C45C2" w14:textId="736B162E" w:rsidR="00431F42" w:rsidRDefault="00431F42" w:rsidP="00431F42">
      <w:pPr>
        <w:pStyle w:val="Body"/>
      </w:pPr>
    </w:p>
    <w:p w14:paraId="34695895" w14:textId="1F574E7F" w:rsidR="000D2ABA" w:rsidRDefault="000D2ABA" w:rsidP="00431F42">
      <w:pPr>
        <w:pStyle w:val="Body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88"/>
      </w:tblGrid>
      <w:tr w:rsidR="009F2182" w14:paraId="71E01D5E" w14:textId="77777777" w:rsidTr="38559B8E">
        <w:trPr>
          <w:cantSplit/>
          <w:trHeight w:val="5103"/>
        </w:trPr>
        <w:tc>
          <w:tcPr>
            <w:tcW w:w="9288" w:type="dxa"/>
            <w:vAlign w:val="bottom"/>
          </w:tcPr>
          <w:p w14:paraId="0917010D" w14:textId="77777777" w:rsidR="009F2182" w:rsidRPr="0055119B" w:rsidRDefault="009F2182" w:rsidP="009F2182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2900598" w14:textId="61741416" w:rsidR="009F2182" w:rsidRPr="0055119B" w:rsidRDefault="009F2182" w:rsidP="009F2182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46848">
              <w:t>Health</w:t>
            </w:r>
            <w:r w:rsidRPr="0055119B">
              <w:t xml:space="preserve">, </w:t>
            </w:r>
            <w:r w:rsidR="006A1B43">
              <w:t>March 2021</w:t>
            </w:r>
            <w:r w:rsidRPr="0055119B">
              <w:t>.</w:t>
            </w:r>
          </w:p>
          <w:p w14:paraId="66102A28" w14:textId="2A9B395C" w:rsidR="009F2182" w:rsidRPr="0055119B" w:rsidRDefault="009F2182" w:rsidP="009F2182">
            <w:pPr>
              <w:pStyle w:val="Imprint"/>
            </w:pPr>
            <w:bookmarkStart w:id="0" w:name="_Hlk62746129"/>
            <w:r w:rsidRPr="0055119B">
              <w:t xml:space="preserve">ISBN </w:t>
            </w:r>
            <w:r w:rsidR="006A1B43">
              <w:rPr>
                <w:rFonts w:cs="Arial"/>
                <w:color w:val="000000"/>
              </w:rPr>
              <w:t>978-1-76096-196-1</w:t>
            </w:r>
            <w:r w:rsidRPr="00E33237">
              <w:rPr>
                <w:color w:val="004C97"/>
              </w:rPr>
              <w:t xml:space="preserve"> </w:t>
            </w:r>
            <w:r w:rsidRPr="0055119B">
              <w:t>(</w:t>
            </w:r>
            <w:r w:rsidR="00D17A15">
              <w:t>pdf/online/MS word</w:t>
            </w:r>
            <w:r w:rsidRPr="0055119B">
              <w:t>)</w:t>
            </w:r>
          </w:p>
          <w:p w14:paraId="152E3C04" w14:textId="1035064C" w:rsidR="009F2182" w:rsidRPr="0055119B" w:rsidRDefault="009F2182" w:rsidP="009F2182">
            <w:pPr>
              <w:pStyle w:val="Imprint"/>
            </w:pPr>
            <w:r>
              <w:t>Available at</w:t>
            </w:r>
            <w:r w:rsidR="1AFA186D">
              <w:t xml:space="preserve"> Pharmacotherapy policy in Victoria</w:t>
            </w:r>
            <w:r>
              <w:t xml:space="preserve"> &lt;</w:t>
            </w:r>
            <w:r w:rsidR="0088037E" w:rsidRPr="38559B8E">
              <w:rPr>
                <w:color w:val="004C97"/>
              </w:rPr>
              <w:t>https://www2.health.vic.gov.au/public-health/drugs-and-poisons/pharmacotherapy/pharmacotherapy-policy-in-victoria</w:t>
            </w:r>
            <w:r>
              <w:t>&gt;</w:t>
            </w:r>
          </w:p>
          <w:bookmarkEnd w:id="0"/>
          <w:p w14:paraId="29C1261E" w14:textId="2EE33BBD" w:rsidR="009F2182" w:rsidRDefault="000C5C60" w:rsidP="009F2182">
            <w:pPr>
              <w:pStyle w:val="Body"/>
            </w:pPr>
            <w:r>
              <w:t xml:space="preserve">Adapted from: </w:t>
            </w:r>
            <w:r w:rsidRPr="00022DAC">
              <w:t>Lintzeris N, Dunlop A, Masters D 2019</w:t>
            </w:r>
            <w:r>
              <w:t>,</w:t>
            </w:r>
            <w:r w:rsidRPr="00022DAC">
              <w:t xml:space="preserve"> </w:t>
            </w:r>
            <w:r w:rsidRPr="003A6367">
              <w:rPr>
                <w:i/>
                <w:iCs/>
              </w:rPr>
              <w:t>Clinical guidelines for use of depot buprenorphine (Buvidal</w:t>
            </w:r>
            <w:r w:rsidRPr="002215DD">
              <w:rPr>
                <w:i/>
                <w:iCs/>
              </w:rPr>
              <w:t>®</w:t>
            </w:r>
            <w:r w:rsidRPr="003A6367">
              <w:rPr>
                <w:i/>
                <w:iCs/>
              </w:rPr>
              <w:t xml:space="preserve"> and Sublocade</w:t>
            </w:r>
            <w:r w:rsidRPr="004A340F">
              <w:rPr>
                <w:b/>
                <w:bCs/>
                <w:vertAlign w:val="superscript"/>
              </w:rPr>
              <w:t>®</w:t>
            </w:r>
            <w:r w:rsidRPr="003A6367">
              <w:rPr>
                <w:i/>
                <w:iCs/>
              </w:rPr>
              <w:t>) in the treatment of opioid dependence</w:t>
            </w:r>
            <w:r>
              <w:rPr>
                <w:i/>
                <w:iCs/>
              </w:rPr>
              <w:t>,</w:t>
            </w:r>
            <w:r w:rsidRPr="00022DAC">
              <w:t xml:space="preserve"> N</w:t>
            </w:r>
            <w:r>
              <w:t xml:space="preserve">ew </w:t>
            </w:r>
            <w:r w:rsidRPr="00022DAC">
              <w:t>S</w:t>
            </w:r>
            <w:r>
              <w:t xml:space="preserve">outh </w:t>
            </w:r>
            <w:r w:rsidRPr="00022DAC">
              <w:t>W</w:t>
            </w:r>
            <w:r>
              <w:t>ales</w:t>
            </w:r>
            <w:r w:rsidRPr="00022DAC">
              <w:t xml:space="preserve"> Ministry of Health, Sydney</w:t>
            </w:r>
            <w:r>
              <w:t>.</w:t>
            </w:r>
          </w:p>
        </w:tc>
      </w:tr>
      <w:tr w:rsidR="0008204A" w14:paraId="7B0DCC02" w14:textId="77777777" w:rsidTr="38559B8E">
        <w:trPr>
          <w:cantSplit/>
        </w:trPr>
        <w:tc>
          <w:tcPr>
            <w:tcW w:w="9288" w:type="dxa"/>
          </w:tcPr>
          <w:p w14:paraId="3DD3A280" w14:textId="77777777" w:rsidR="0008204A" w:rsidRPr="0055119B" w:rsidRDefault="0008204A" w:rsidP="0008204A">
            <w:pPr>
              <w:pStyle w:val="Body"/>
            </w:pPr>
          </w:p>
        </w:tc>
      </w:tr>
    </w:tbl>
    <w:p w14:paraId="5B585BD1" w14:textId="77777777" w:rsidR="0008204A" w:rsidRPr="0008204A" w:rsidRDefault="0008204A" w:rsidP="0008204A">
      <w:pPr>
        <w:pStyle w:val="Body"/>
      </w:pPr>
      <w:r w:rsidRPr="0008204A">
        <w:br w:type="page"/>
      </w:r>
    </w:p>
    <w:p w14:paraId="67C73AC3" w14:textId="77777777" w:rsidR="00AD784C" w:rsidRPr="00B57329" w:rsidRDefault="00AD784C" w:rsidP="002365B4">
      <w:pPr>
        <w:pStyle w:val="TOCheadingreport"/>
      </w:pPr>
      <w:r w:rsidRPr="00B57329">
        <w:lastRenderedPageBreak/>
        <w:t>Contents</w:t>
      </w:r>
    </w:p>
    <w:p w14:paraId="41787F1A" w14:textId="70F1B69C" w:rsidR="00B53FBA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7561464" w:history="1">
        <w:r w:rsidR="00B53FBA" w:rsidRPr="00DB011D">
          <w:rPr>
            <w:rStyle w:val="Hyperlink"/>
          </w:rPr>
          <w:t>Members of Expert Advisory Committee on Medical Issues Related to Drugs of Dependence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_Toc67561464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 w:rsidR="00D17A15">
          <w:rPr>
            <w:webHidden/>
          </w:rPr>
          <w:t>4</w:t>
        </w:r>
        <w:r w:rsidR="00B53FBA">
          <w:rPr>
            <w:webHidden/>
          </w:rPr>
          <w:fldChar w:fldCharType="end"/>
        </w:r>
      </w:hyperlink>
    </w:p>
    <w:p w14:paraId="46B0E7AE" w14:textId="60C4449D" w:rsidR="00B53FBA" w:rsidRDefault="00D17A1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7561465" w:history="1">
        <w:r w:rsidR="00B53FBA" w:rsidRPr="00DB011D">
          <w:rPr>
            <w:rStyle w:val="Hyperlink"/>
          </w:rPr>
          <w:t>Acknowledgements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_Toc67561465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4</w:t>
        </w:r>
        <w:r w:rsidR="00B53FBA">
          <w:rPr>
            <w:webHidden/>
          </w:rPr>
          <w:fldChar w:fldCharType="end"/>
        </w:r>
      </w:hyperlink>
    </w:p>
    <w:p w14:paraId="0BB4D2E2" w14:textId="79D02898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66" w:history="1">
        <w:r w:rsidR="00B53FBA" w:rsidRPr="00DB011D">
          <w:rPr>
            <w:rStyle w:val="Hyperlink"/>
          </w:rPr>
          <w:t>Introduction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_Toc67561466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5</w:t>
        </w:r>
        <w:r w:rsidR="00B53FBA">
          <w:rPr>
            <w:webHidden/>
          </w:rPr>
          <w:fldChar w:fldCharType="end"/>
        </w:r>
      </w:hyperlink>
    </w:p>
    <w:p w14:paraId="330AE552" w14:textId="7235E19D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67" w:history="1">
        <w:r w:rsidR="00B53FBA" w:rsidRPr="00DB011D">
          <w:rPr>
            <w:rStyle w:val="Hyperlink"/>
          </w:rPr>
          <w:t>Abbreviations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_Toc67561467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5</w:t>
        </w:r>
        <w:r w:rsidR="00B53FBA">
          <w:rPr>
            <w:webHidden/>
          </w:rPr>
          <w:fldChar w:fldCharType="end"/>
        </w:r>
      </w:hyperlink>
    </w:p>
    <w:p w14:paraId="440C3DA0" w14:textId="35540F65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68" w:history="1">
        <w:r w:rsidR="00B53FBA" w:rsidRPr="00DB011D">
          <w:rPr>
            <w:rStyle w:val="Hyperlink"/>
          </w:rPr>
          <w:t>About long-acting injectable buprenorphine products: Buvidal</w:t>
        </w:r>
        <w:r w:rsidR="00B53FBA" w:rsidRPr="00DB011D">
          <w:rPr>
            <w:rStyle w:val="Hyperlink"/>
            <w:vertAlign w:val="superscript"/>
          </w:rPr>
          <w:t>®</w:t>
        </w:r>
        <w:r w:rsidR="00B53FBA" w:rsidRPr="00DB011D">
          <w:rPr>
            <w:rStyle w:val="Hyperlink"/>
          </w:rPr>
          <w:t xml:space="preserve"> and Sublocade</w:t>
        </w:r>
        <w:r w:rsidR="00B53FBA" w:rsidRPr="00DB011D">
          <w:rPr>
            <w:rStyle w:val="Hyperlink"/>
            <w:vertAlign w:val="superscript"/>
          </w:rPr>
          <w:t>®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_Toc67561468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6</w:t>
        </w:r>
        <w:r w:rsidR="00B53FBA">
          <w:rPr>
            <w:webHidden/>
          </w:rPr>
          <w:fldChar w:fldCharType="end"/>
        </w:r>
      </w:hyperlink>
    </w:p>
    <w:p w14:paraId="24A4FDDD" w14:textId="3884C013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69" w:history="1">
        <w:r w:rsidR="00B53FBA" w:rsidRPr="00DB011D">
          <w:rPr>
            <w:rStyle w:val="Hyperlink"/>
            <w:lang w:eastAsia="en-AU"/>
          </w:rPr>
          <w:t>Framework for treatment with long-acting injectable buprenorphine products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_Toc67561469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7</w:t>
        </w:r>
        <w:r w:rsidR="00B53FBA">
          <w:rPr>
            <w:webHidden/>
          </w:rPr>
          <w:fldChar w:fldCharType="end"/>
        </w:r>
      </w:hyperlink>
    </w:p>
    <w:p w14:paraId="68ABDFD9" w14:textId="63DC905F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70" w:history="1">
        <w:r w:rsidR="00B53FBA" w:rsidRPr="00DB011D">
          <w:rPr>
            <w:rStyle w:val="Hyperlink"/>
          </w:rPr>
          <w:t>Delivering treatment with long-acting injectable buprenorphine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_Toc67561470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8</w:t>
        </w:r>
        <w:r w:rsidR="00B53FBA">
          <w:rPr>
            <w:webHidden/>
          </w:rPr>
          <w:fldChar w:fldCharType="end"/>
        </w:r>
      </w:hyperlink>
    </w:p>
    <w:p w14:paraId="24B77C7F" w14:textId="278FDDEC" w:rsidR="00B53FBA" w:rsidRDefault="00D17A1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7561471" w:history="1">
        <w:r w:rsidR="00B53FBA" w:rsidRPr="00DB011D">
          <w:rPr>
            <w:rStyle w:val="Hyperlink"/>
          </w:rPr>
          <w:t>Dosing recommendations for Buvidal</w:t>
        </w:r>
        <w:r w:rsidR="00B53FBA" w:rsidRPr="00DB011D">
          <w:rPr>
            <w:rStyle w:val="Hyperlink"/>
            <w:vertAlign w:val="superscript"/>
          </w:rPr>
          <w:t>®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_Toc67561471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8</w:t>
        </w:r>
        <w:r w:rsidR="00B53FBA">
          <w:rPr>
            <w:webHidden/>
          </w:rPr>
          <w:fldChar w:fldCharType="end"/>
        </w:r>
      </w:hyperlink>
    </w:p>
    <w:p w14:paraId="2E2FE6DC" w14:textId="48C6C8ED" w:rsidR="00B53FBA" w:rsidRDefault="00D17A1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7561472" w:history="1">
        <w:r w:rsidR="00B53FBA" w:rsidRPr="00DB011D">
          <w:rPr>
            <w:rStyle w:val="Hyperlink"/>
          </w:rPr>
          <w:t>Dosing recommendations for Sublocade</w:t>
        </w:r>
        <w:r w:rsidR="00B53FBA" w:rsidRPr="00DB011D">
          <w:rPr>
            <w:rStyle w:val="Hyperlink"/>
            <w:vertAlign w:val="superscript"/>
          </w:rPr>
          <w:t>®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_Toc67561472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11</w:t>
        </w:r>
        <w:r w:rsidR="00B53FBA">
          <w:rPr>
            <w:webHidden/>
          </w:rPr>
          <w:fldChar w:fldCharType="end"/>
        </w:r>
      </w:hyperlink>
    </w:p>
    <w:p w14:paraId="7EB84DC6" w14:textId="45C4AB73" w:rsidR="00B53FBA" w:rsidRDefault="00D17A1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7561473" w:history="1">
        <w:r w:rsidR="00B53FBA" w:rsidRPr="00DB011D">
          <w:rPr>
            <w:rStyle w:val="Hyperlink"/>
          </w:rPr>
          <w:t>Safety issues regarding use of long-acting injectable products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_Toc67561473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13</w:t>
        </w:r>
        <w:r w:rsidR="00B53FBA">
          <w:rPr>
            <w:webHidden/>
          </w:rPr>
          <w:fldChar w:fldCharType="end"/>
        </w:r>
      </w:hyperlink>
    </w:p>
    <w:p w14:paraId="7F8CAC8C" w14:textId="78893DB5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74" w:history="1">
        <w:r w:rsidR="00B53FBA" w:rsidRPr="00DB011D">
          <w:rPr>
            <w:rStyle w:val="Hyperlink"/>
          </w:rPr>
          <w:t>Summary of buprenorphine products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_Toc67561474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15</w:t>
        </w:r>
        <w:r w:rsidR="00B53FBA">
          <w:rPr>
            <w:webHidden/>
          </w:rPr>
          <w:fldChar w:fldCharType="end"/>
        </w:r>
      </w:hyperlink>
    </w:p>
    <w:p w14:paraId="52C46E5F" w14:textId="66D528FD" w:rsidR="00B53FBA" w:rsidRDefault="00D17A1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1475" w:history="1">
        <w:r w:rsidR="00B53FBA" w:rsidRPr="00DB011D">
          <w:rPr>
            <w:rStyle w:val="Hyperlink"/>
          </w:rPr>
          <w:t>Getting support and more information</w:t>
        </w:r>
        <w:r w:rsidR="00B53FBA">
          <w:rPr>
            <w:webHidden/>
          </w:rPr>
          <w:tab/>
        </w:r>
        <w:r w:rsidR="00B53FBA">
          <w:rPr>
            <w:webHidden/>
          </w:rPr>
          <w:fldChar w:fldCharType="begin"/>
        </w:r>
        <w:r w:rsidR="00B53FBA">
          <w:rPr>
            <w:webHidden/>
          </w:rPr>
          <w:instrText xml:space="preserve"> PAGEREF _Toc67561475 \h </w:instrText>
        </w:r>
        <w:r w:rsidR="00B53FBA">
          <w:rPr>
            <w:webHidden/>
          </w:rPr>
        </w:r>
        <w:r w:rsidR="00B53FBA">
          <w:rPr>
            <w:webHidden/>
          </w:rPr>
          <w:fldChar w:fldCharType="separate"/>
        </w:r>
        <w:r>
          <w:rPr>
            <w:webHidden/>
          </w:rPr>
          <w:t>18</w:t>
        </w:r>
        <w:r w:rsidR="00B53FBA">
          <w:rPr>
            <w:webHidden/>
          </w:rPr>
          <w:fldChar w:fldCharType="end"/>
        </w:r>
      </w:hyperlink>
    </w:p>
    <w:p w14:paraId="65DB0562" w14:textId="54CB018F" w:rsidR="00FB1F6E" w:rsidRDefault="00AD784C" w:rsidP="00D079AA">
      <w:pPr>
        <w:pStyle w:val="Body"/>
      </w:pPr>
      <w:r>
        <w:fldChar w:fldCharType="end"/>
      </w:r>
    </w:p>
    <w:p w14:paraId="1E6A7B90" w14:textId="77777777" w:rsidR="00FB1F6E" w:rsidRDefault="00FB1F6E">
      <w:pPr>
        <w:spacing w:after="0" w:line="240" w:lineRule="auto"/>
        <w:rPr>
          <w:rFonts w:eastAsia="Times"/>
        </w:rPr>
      </w:pPr>
      <w:r>
        <w:br w:type="page"/>
      </w:r>
    </w:p>
    <w:p w14:paraId="50FCD045" w14:textId="77777777" w:rsidR="00580394" w:rsidRPr="00B519CD" w:rsidRDefault="00580394" w:rsidP="007173CA">
      <w:pPr>
        <w:pStyle w:val="Body"/>
        <w:sectPr w:rsidR="00580394" w:rsidRPr="00B519CD" w:rsidSect="002C5B7C">
          <w:footerReference w:type="default" r:id="rId18"/>
          <w:pgSz w:w="11906" w:h="16838" w:code="9"/>
          <w:pgMar w:top="1701" w:right="1304" w:bottom="1418" w:left="1304" w:header="680" w:footer="851" w:gutter="0"/>
          <w:cols w:space="340"/>
          <w:docGrid w:linePitch="360"/>
        </w:sectPr>
      </w:pPr>
    </w:p>
    <w:p w14:paraId="770F4B32" w14:textId="77777777" w:rsidR="000C5C60" w:rsidRPr="00022DAC" w:rsidRDefault="000C5C60" w:rsidP="000C5C60">
      <w:pPr>
        <w:pStyle w:val="Heading1"/>
      </w:pPr>
      <w:bookmarkStart w:id="1" w:name="_Toc67561464"/>
      <w:bookmarkStart w:id="2" w:name="_Toc64039089"/>
      <w:r w:rsidRPr="00022DAC">
        <w:lastRenderedPageBreak/>
        <w:t>Members of Expert Advisory</w:t>
      </w:r>
      <w:r>
        <w:t xml:space="preserve"> Committee on Medical Issues Related to Drugs of Dependence</w:t>
      </w:r>
      <w:bookmarkEnd w:id="1"/>
    </w:p>
    <w:p w14:paraId="20C4A7DD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 xml:space="preserve">Dr Paul Grinzi, General Practitioner, Member of Royal Australian College of General Practitioners Victorian Drug and Alcohol Committee; </w:t>
      </w:r>
    </w:p>
    <w:p w14:paraId="336895F0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Ms Edita Kennedy, Project Worker, Association of Participating Service Users, Self Help Addiction Resource Centre</w:t>
      </w:r>
    </w:p>
    <w:p w14:paraId="4E4CEB0F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 xml:space="preserve">Ms Sarah Lord, Program Manager, Pharmacotherapy, Advocacy, Mediation and Support Service (PAMS), Harm Reduction Victoria </w:t>
      </w:r>
    </w:p>
    <w:p w14:paraId="77E2743D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 xml:space="preserve">Dr Paul MacCartney, General Practitioner, cohealth - Fitzroy, Primary Care Connect – Shepparton </w:t>
      </w:r>
    </w:p>
    <w:p w14:paraId="4592478A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Professor Dan Lubman, Eastern Health Clinical School, Monash University; Executive Clinical Director, Turning Point Alcohol and Drug Centre</w:t>
      </w:r>
    </w:p>
    <w:p w14:paraId="17CF4AE2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Clayton Thomas, Pain Management Specialist, Melbourne Pain Group</w:t>
      </w:r>
    </w:p>
    <w:p w14:paraId="06787A1A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David Jacka, Addiction Medicine Specialist, Monash Health</w:t>
      </w:r>
    </w:p>
    <w:p w14:paraId="56F0DB2F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Leanne Beagley, Chief Executive Officer, Western Victoria Primary Health Network</w:t>
      </w:r>
    </w:p>
    <w:p w14:paraId="71158C90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Associate Professor Malcolm Hogg, Head of Pain Services, Royal Melbourne Hospital</w:t>
      </w:r>
    </w:p>
    <w:p w14:paraId="62BE5F21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Ms Marina Hanna, Professional Practice Pharmacist, Pharmaceutical Society of Australia</w:t>
      </w:r>
    </w:p>
    <w:p w14:paraId="3C5467B4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 xml:space="preserve">Ms Rose McCrohan, Manager/AODMH Nurse Practitioner, Uniting ReGen, </w:t>
      </w:r>
    </w:p>
    <w:p w14:paraId="0D1B41C1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Rob Phair, Rural GP Anaesthetist, Central Gippsland Health Service; Vice President, Rural Doctors Association of Victoria</w:t>
      </w:r>
    </w:p>
    <w:p w14:paraId="69B64906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Associate Professor Nico Clark, Addiction Medicine Specialist, Royal Melbourne Hospital; Medical Director of Medically Supervised Injecting Room, North Richmond Community Health</w:t>
      </w:r>
    </w:p>
    <w:p w14:paraId="111C6910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Ohnmar John, General Practitioner, CoHealth Health Services, Collingwood</w:t>
      </w:r>
    </w:p>
    <w:p w14:paraId="09F74449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 xml:space="preserve">Mr Angelo Pricolo, Community Pharmacist </w:t>
      </w:r>
    </w:p>
    <w:p w14:paraId="6E036435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Shalini Arunogiri, Addiction Psychiatrist, Turning Point Alcohol and Drug Centre; Senior Lecturer, Eastern Health Clinical School, Monash University</w:t>
      </w:r>
    </w:p>
    <w:p w14:paraId="13282E3B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Mr Tim Griffiths, Hume Area Pharmacotherapy Network Manager; Primary Care Connect, Shepparton</w:t>
      </w:r>
    </w:p>
    <w:p w14:paraId="07825358" w14:textId="77777777" w:rsidR="000C5C60" w:rsidRPr="001F0CCA" w:rsidRDefault="000C5C60" w:rsidP="000C5C60">
      <w:pPr>
        <w:pStyle w:val="Heading2"/>
      </w:pPr>
      <w:bookmarkStart w:id="3" w:name="_Toc67561465"/>
      <w:r w:rsidRPr="00022DAC">
        <w:t>Acknowledgements</w:t>
      </w:r>
      <w:bookmarkEnd w:id="3"/>
    </w:p>
    <w:p w14:paraId="2DC41C81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Associate Professor Yvonne Bonomo, Director, Department of Addiction Medicine, St Vincent’s Hospital; Melbourne and Women’s Alcohol and Drug Service, Royal Women’s Hospital, Melbourne</w:t>
      </w:r>
    </w:p>
    <w:p w14:paraId="578649EB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Martyn Lloyd-Jones, Addiction Specialist, Department of Addiction Medicine, St Vincent’s Hospital; Melbourne and Alfred Hospital, Melbourne</w:t>
      </w:r>
    </w:p>
    <w:p w14:paraId="55CE9A08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Professor Edward Ogden, Addiction Specialist, Department of Addiction Medicine, St Vincent’s Hospital; Melbourne and Goulburn Valley Health</w:t>
      </w:r>
    </w:p>
    <w:p w14:paraId="71F800B1" w14:textId="0280A845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Adam Pastor, Addiction Physician, Department of Addiction Medicine, St Vincent’s Hospital, Melbourne</w:t>
      </w:r>
    </w:p>
    <w:p w14:paraId="2647EFDB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Greta Moon, Addiction Psychiatrist, Department of Addiction Medicine, St Vincent’s Hospital, Melbourne</w:t>
      </w:r>
    </w:p>
    <w:p w14:paraId="30C97ACD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Dr Adam Straub, Department of Addiction Medicine, St Vincent’s Hospital, Melbourne</w:t>
      </w:r>
    </w:p>
    <w:p w14:paraId="3C78E6EF" w14:textId="77777777" w:rsidR="000C5C60" w:rsidRPr="0045698D" w:rsidRDefault="000C5C60" w:rsidP="0045698D">
      <w:pPr>
        <w:pStyle w:val="DHHSbody"/>
        <w:spacing w:after="40"/>
        <w:rPr>
          <w:sz w:val="18"/>
          <w:szCs w:val="18"/>
        </w:rPr>
      </w:pPr>
      <w:r w:rsidRPr="0045698D">
        <w:rPr>
          <w:sz w:val="18"/>
          <w:szCs w:val="18"/>
        </w:rPr>
        <w:t>Ms Helen O’Neill, Drug and Alcohol Nurse, Department of Addiction Medicine, St Vincent’s Hospital, Melbourne</w:t>
      </w:r>
    </w:p>
    <w:p w14:paraId="05403E36" w14:textId="77777777" w:rsidR="000C5C60" w:rsidRPr="0045698D" w:rsidRDefault="000C5C60" w:rsidP="000C5C60">
      <w:pPr>
        <w:pStyle w:val="DHHSbody"/>
        <w:rPr>
          <w:sz w:val="18"/>
          <w:szCs w:val="18"/>
        </w:rPr>
      </w:pPr>
      <w:r w:rsidRPr="0045698D">
        <w:rPr>
          <w:sz w:val="18"/>
          <w:szCs w:val="18"/>
        </w:rPr>
        <w:t>Ms Amanda Norman, Senior Project Officer, Department of Addiction Medicine, St Vincent’s Hospital, Melbourne</w:t>
      </w:r>
    </w:p>
    <w:p w14:paraId="1CC40030" w14:textId="256D7AF3" w:rsidR="000C5C60" w:rsidRDefault="000C5C60" w:rsidP="000C5C60">
      <w:pPr>
        <w:pStyle w:val="DHHSbody"/>
      </w:pPr>
    </w:p>
    <w:p w14:paraId="06F37BA3" w14:textId="77777777" w:rsidR="0096420C" w:rsidRPr="001F0CCA" w:rsidRDefault="0096420C" w:rsidP="0096420C">
      <w:pPr>
        <w:pStyle w:val="Heading1"/>
      </w:pPr>
      <w:bookmarkStart w:id="4" w:name="_Toc67561466"/>
      <w:r>
        <w:lastRenderedPageBreak/>
        <w:t>Introduction</w:t>
      </w:r>
      <w:bookmarkEnd w:id="4"/>
    </w:p>
    <w:p w14:paraId="45DAC98C" w14:textId="36317750" w:rsidR="0096420C" w:rsidRPr="00022DAC" w:rsidRDefault="0096420C" w:rsidP="0096420C">
      <w:pPr>
        <w:pStyle w:val="DHHSbody"/>
      </w:pPr>
      <w:r w:rsidRPr="00022DAC">
        <w:t>This guideline is to be used in conjunction with the full version of the</w:t>
      </w:r>
      <w:r>
        <w:t xml:space="preserve"> Victorian</w:t>
      </w:r>
      <w:r w:rsidRPr="00022DAC">
        <w:t xml:space="preserve"> </w:t>
      </w:r>
      <w:r w:rsidRPr="00BE169A">
        <w:rPr>
          <w:i/>
          <w:iCs/>
        </w:rPr>
        <w:t>Policy for maintenance pharmacotherapy for opioid dependence</w:t>
      </w:r>
      <w:r w:rsidRPr="00022DAC">
        <w:t xml:space="preserve"> and the </w:t>
      </w:r>
      <w:r w:rsidRPr="00BE169A">
        <w:rPr>
          <w:i/>
          <w:iCs/>
        </w:rPr>
        <w:t>National guidelines for medication-assisted treatment of opioid dependence</w:t>
      </w:r>
      <w:r w:rsidRPr="00022DAC">
        <w:t xml:space="preserve"> 2014. </w:t>
      </w:r>
    </w:p>
    <w:p w14:paraId="7572D593" w14:textId="77777777" w:rsidR="0096420C" w:rsidRDefault="0096420C" w:rsidP="0096420C">
      <w:pPr>
        <w:spacing w:line="259" w:lineRule="auto"/>
      </w:pPr>
    </w:p>
    <w:p w14:paraId="517860D0" w14:textId="77777777" w:rsidR="0096420C" w:rsidRPr="001F0CCA" w:rsidRDefault="0096420C" w:rsidP="0096420C">
      <w:pPr>
        <w:pStyle w:val="Heading1"/>
      </w:pPr>
      <w:bookmarkStart w:id="5" w:name="_Toc67561467"/>
      <w:r>
        <w:t>Abbreviations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3885"/>
      </w:tblGrid>
      <w:tr w:rsidR="0096420C" w14:paraId="1247336F" w14:textId="77777777" w:rsidTr="0096420C">
        <w:trPr>
          <w:trHeight w:val="377"/>
        </w:trPr>
        <w:tc>
          <w:tcPr>
            <w:tcW w:w="1635" w:type="dxa"/>
          </w:tcPr>
          <w:p w14:paraId="1226E182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BPN</w:t>
            </w:r>
          </w:p>
        </w:tc>
        <w:tc>
          <w:tcPr>
            <w:tcW w:w="3885" w:type="dxa"/>
          </w:tcPr>
          <w:p w14:paraId="78A5F8D0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Buprenorphine</w:t>
            </w:r>
          </w:p>
        </w:tc>
      </w:tr>
      <w:tr w:rsidR="0096420C" w14:paraId="0858CC1F" w14:textId="77777777" w:rsidTr="0096420C">
        <w:trPr>
          <w:trHeight w:val="377"/>
        </w:trPr>
        <w:tc>
          <w:tcPr>
            <w:tcW w:w="1635" w:type="dxa"/>
          </w:tcPr>
          <w:p w14:paraId="508CE424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BPN+NX</w:t>
            </w:r>
          </w:p>
        </w:tc>
        <w:tc>
          <w:tcPr>
            <w:tcW w:w="3885" w:type="dxa"/>
          </w:tcPr>
          <w:p w14:paraId="48192978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Buprenorphine/Naloxone</w:t>
            </w:r>
          </w:p>
        </w:tc>
      </w:tr>
      <w:tr w:rsidR="0096420C" w14:paraId="3966879F" w14:textId="77777777" w:rsidTr="0096420C">
        <w:trPr>
          <w:trHeight w:val="377"/>
        </w:trPr>
        <w:tc>
          <w:tcPr>
            <w:tcW w:w="1635" w:type="dxa"/>
          </w:tcPr>
          <w:p w14:paraId="519B6779" w14:textId="77777777" w:rsidR="0096420C" w:rsidRDefault="0096420C" w:rsidP="00B844F1">
            <w:pPr>
              <w:pStyle w:val="DHHStabletext"/>
              <w:spacing w:line="360" w:lineRule="auto"/>
            </w:pPr>
            <w:r>
              <w:t>COWS</w:t>
            </w:r>
          </w:p>
        </w:tc>
        <w:tc>
          <w:tcPr>
            <w:tcW w:w="3885" w:type="dxa"/>
          </w:tcPr>
          <w:p w14:paraId="51DD7F39" w14:textId="77777777" w:rsidR="0096420C" w:rsidRDefault="0096420C" w:rsidP="00B844F1">
            <w:pPr>
              <w:pStyle w:val="DHHStabletext"/>
              <w:spacing w:line="360" w:lineRule="auto"/>
            </w:pPr>
            <w:r>
              <w:t>Clinical Opiate Withdrawal Scale</w:t>
            </w:r>
          </w:p>
        </w:tc>
      </w:tr>
      <w:tr w:rsidR="0096420C" w14:paraId="5AC39189" w14:textId="77777777" w:rsidTr="0096420C">
        <w:trPr>
          <w:trHeight w:val="377"/>
        </w:trPr>
        <w:tc>
          <w:tcPr>
            <w:tcW w:w="1635" w:type="dxa"/>
          </w:tcPr>
          <w:p w14:paraId="2D6DB767" w14:textId="77777777" w:rsidR="0096420C" w:rsidRDefault="0096420C" w:rsidP="00B844F1">
            <w:pPr>
              <w:pStyle w:val="DHHStabletext"/>
              <w:spacing w:line="360" w:lineRule="auto"/>
            </w:pPr>
            <w:r>
              <w:t>CS</w:t>
            </w:r>
          </w:p>
        </w:tc>
        <w:tc>
          <w:tcPr>
            <w:tcW w:w="3885" w:type="dxa"/>
          </w:tcPr>
          <w:p w14:paraId="6521BFAF" w14:textId="77777777" w:rsidR="0096420C" w:rsidRDefault="0096420C" w:rsidP="00B844F1">
            <w:pPr>
              <w:pStyle w:val="DHHStabletext"/>
              <w:spacing w:line="360" w:lineRule="auto"/>
            </w:pPr>
            <w:r>
              <w:t>Consensus Statement</w:t>
            </w:r>
          </w:p>
        </w:tc>
      </w:tr>
      <w:tr w:rsidR="0096420C" w14:paraId="0BC8C513" w14:textId="77777777" w:rsidTr="0096420C">
        <w:trPr>
          <w:trHeight w:val="377"/>
        </w:trPr>
        <w:tc>
          <w:tcPr>
            <w:tcW w:w="1635" w:type="dxa"/>
          </w:tcPr>
          <w:p w14:paraId="1BB3235E" w14:textId="77777777" w:rsidR="0096420C" w:rsidRDefault="0096420C" w:rsidP="00B844F1">
            <w:pPr>
              <w:pStyle w:val="DHHStabletext"/>
              <w:spacing w:line="360" w:lineRule="auto"/>
            </w:pPr>
            <w:r>
              <w:t>CYP450</w:t>
            </w:r>
          </w:p>
        </w:tc>
        <w:tc>
          <w:tcPr>
            <w:tcW w:w="3885" w:type="dxa"/>
          </w:tcPr>
          <w:p w14:paraId="42608485" w14:textId="77777777" w:rsidR="0096420C" w:rsidRDefault="0096420C" w:rsidP="00B844F1">
            <w:pPr>
              <w:pStyle w:val="DHHStabletext"/>
              <w:spacing w:line="360" w:lineRule="auto"/>
            </w:pPr>
            <w:r>
              <w:t>Cytochrome P450 enzyme</w:t>
            </w:r>
          </w:p>
        </w:tc>
      </w:tr>
      <w:tr w:rsidR="0096420C" w14:paraId="61897082" w14:textId="77777777" w:rsidTr="0096420C">
        <w:trPr>
          <w:trHeight w:val="377"/>
        </w:trPr>
        <w:tc>
          <w:tcPr>
            <w:tcW w:w="1635" w:type="dxa"/>
          </w:tcPr>
          <w:p w14:paraId="303D2CD1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DDI</w:t>
            </w:r>
          </w:p>
        </w:tc>
        <w:tc>
          <w:tcPr>
            <w:tcW w:w="3885" w:type="dxa"/>
          </w:tcPr>
          <w:p w14:paraId="35ED0945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Drug</w:t>
            </w:r>
            <w:r>
              <w:t>–D</w:t>
            </w:r>
            <w:r w:rsidRPr="001F0CCA">
              <w:t xml:space="preserve">rug </w:t>
            </w:r>
            <w:r>
              <w:t>I</w:t>
            </w:r>
            <w:r w:rsidRPr="001F0CCA">
              <w:t>nteraction</w:t>
            </w:r>
          </w:p>
        </w:tc>
      </w:tr>
      <w:tr w:rsidR="0096420C" w14:paraId="42BB3A9B" w14:textId="77777777" w:rsidTr="0096420C">
        <w:trPr>
          <w:trHeight w:val="377"/>
        </w:trPr>
        <w:tc>
          <w:tcPr>
            <w:tcW w:w="1635" w:type="dxa"/>
          </w:tcPr>
          <w:p w14:paraId="70AE2043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LAIB</w:t>
            </w:r>
          </w:p>
        </w:tc>
        <w:tc>
          <w:tcPr>
            <w:tcW w:w="3885" w:type="dxa"/>
          </w:tcPr>
          <w:p w14:paraId="63189FE7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Long-Acting Injectable Buprenorphine</w:t>
            </w:r>
          </w:p>
        </w:tc>
      </w:tr>
      <w:tr w:rsidR="0096420C" w14:paraId="690A50FB" w14:textId="77777777" w:rsidTr="0096420C">
        <w:trPr>
          <w:trHeight w:val="377"/>
        </w:trPr>
        <w:tc>
          <w:tcPr>
            <w:tcW w:w="1635" w:type="dxa"/>
          </w:tcPr>
          <w:p w14:paraId="23C43669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MAOI</w:t>
            </w:r>
          </w:p>
        </w:tc>
        <w:tc>
          <w:tcPr>
            <w:tcW w:w="3885" w:type="dxa"/>
          </w:tcPr>
          <w:p w14:paraId="3968156A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Monoamine Oxidase Inhibitor</w:t>
            </w:r>
          </w:p>
        </w:tc>
      </w:tr>
      <w:tr w:rsidR="0096420C" w14:paraId="7879E4E1" w14:textId="77777777" w:rsidTr="0096420C">
        <w:trPr>
          <w:trHeight w:val="377"/>
        </w:trPr>
        <w:tc>
          <w:tcPr>
            <w:tcW w:w="1635" w:type="dxa"/>
          </w:tcPr>
          <w:p w14:paraId="4BD1A658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SC</w:t>
            </w:r>
          </w:p>
        </w:tc>
        <w:tc>
          <w:tcPr>
            <w:tcW w:w="3885" w:type="dxa"/>
          </w:tcPr>
          <w:p w14:paraId="44E74CCB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Subcutaneous</w:t>
            </w:r>
          </w:p>
        </w:tc>
      </w:tr>
      <w:tr w:rsidR="0096420C" w14:paraId="70915C44" w14:textId="77777777" w:rsidTr="0096420C">
        <w:trPr>
          <w:trHeight w:val="377"/>
        </w:trPr>
        <w:tc>
          <w:tcPr>
            <w:tcW w:w="1635" w:type="dxa"/>
          </w:tcPr>
          <w:p w14:paraId="774E8378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SL</w:t>
            </w:r>
          </w:p>
        </w:tc>
        <w:tc>
          <w:tcPr>
            <w:tcW w:w="3885" w:type="dxa"/>
          </w:tcPr>
          <w:p w14:paraId="1A169CFD" w14:textId="77777777" w:rsidR="0096420C" w:rsidRPr="001F0CCA" w:rsidRDefault="0096420C" w:rsidP="00B844F1">
            <w:pPr>
              <w:pStyle w:val="DHHStabletext"/>
              <w:spacing w:line="360" w:lineRule="auto"/>
            </w:pPr>
            <w:r w:rsidRPr="001F0CCA">
              <w:t>Sublingual</w:t>
            </w:r>
          </w:p>
        </w:tc>
      </w:tr>
      <w:tr w:rsidR="0096420C" w14:paraId="6A16B55F" w14:textId="77777777" w:rsidTr="00B844F1">
        <w:trPr>
          <w:trHeight w:val="435"/>
        </w:trPr>
        <w:tc>
          <w:tcPr>
            <w:tcW w:w="1635" w:type="dxa"/>
          </w:tcPr>
          <w:p w14:paraId="138D8C0D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SL BPN</w:t>
            </w:r>
          </w:p>
        </w:tc>
        <w:tc>
          <w:tcPr>
            <w:tcW w:w="3885" w:type="dxa"/>
          </w:tcPr>
          <w:p w14:paraId="38427F34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Sublingual Buprenorphine</w:t>
            </w:r>
          </w:p>
        </w:tc>
      </w:tr>
      <w:tr w:rsidR="0096420C" w14:paraId="6FC17892" w14:textId="77777777" w:rsidTr="00B844F1">
        <w:trPr>
          <w:trHeight w:val="414"/>
        </w:trPr>
        <w:tc>
          <w:tcPr>
            <w:tcW w:w="1635" w:type="dxa"/>
          </w:tcPr>
          <w:p w14:paraId="0438E24B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SSRI</w:t>
            </w:r>
          </w:p>
        </w:tc>
        <w:tc>
          <w:tcPr>
            <w:tcW w:w="3885" w:type="dxa"/>
          </w:tcPr>
          <w:p w14:paraId="154E167D" w14:textId="77777777" w:rsidR="0096420C" w:rsidRPr="001F0CCA" w:rsidRDefault="0096420C" w:rsidP="00B844F1">
            <w:pPr>
              <w:pStyle w:val="DHHStabletext"/>
              <w:spacing w:line="360" w:lineRule="auto"/>
            </w:pPr>
            <w:r>
              <w:t>Selective Serotonin Reuptake Inhibitor</w:t>
            </w:r>
          </w:p>
        </w:tc>
      </w:tr>
      <w:tr w:rsidR="0096420C" w14:paraId="07A5537C" w14:textId="77777777" w:rsidTr="0096420C">
        <w:trPr>
          <w:trHeight w:val="377"/>
        </w:trPr>
        <w:tc>
          <w:tcPr>
            <w:tcW w:w="1635" w:type="dxa"/>
          </w:tcPr>
          <w:p w14:paraId="6C3B7DF6" w14:textId="77777777" w:rsidR="0096420C" w:rsidRDefault="0096420C" w:rsidP="00B844F1">
            <w:pPr>
              <w:pStyle w:val="DHHStabletext"/>
              <w:spacing w:line="360" w:lineRule="auto"/>
            </w:pPr>
            <w:r>
              <w:t>TCA</w:t>
            </w:r>
          </w:p>
        </w:tc>
        <w:tc>
          <w:tcPr>
            <w:tcW w:w="3885" w:type="dxa"/>
          </w:tcPr>
          <w:p w14:paraId="415C2933" w14:textId="77777777" w:rsidR="0096420C" w:rsidRDefault="0096420C" w:rsidP="00B844F1">
            <w:pPr>
              <w:pStyle w:val="DHHStabletext"/>
              <w:spacing w:line="360" w:lineRule="auto"/>
            </w:pPr>
            <w:r>
              <w:t>Tricyclic Antidepressant</w:t>
            </w:r>
          </w:p>
        </w:tc>
      </w:tr>
    </w:tbl>
    <w:p w14:paraId="74128E8C" w14:textId="247FE37C" w:rsidR="0045698D" w:rsidRDefault="0045698D" w:rsidP="000C5C60">
      <w:pPr>
        <w:pStyle w:val="DHHSbody"/>
      </w:pPr>
    </w:p>
    <w:p w14:paraId="5946D2B4" w14:textId="77777777" w:rsidR="0045698D" w:rsidRDefault="0045698D">
      <w:pPr>
        <w:spacing w:after="0" w:line="240" w:lineRule="auto"/>
        <w:rPr>
          <w:rFonts w:eastAsia="Times"/>
          <w:sz w:val="20"/>
        </w:rPr>
      </w:pPr>
      <w:r>
        <w:br w:type="page"/>
      </w:r>
    </w:p>
    <w:p w14:paraId="234B1738" w14:textId="77777777" w:rsidR="0096420C" w:rsidRPr="00DD44A0" w:rsidRDefault="0096420C" w:rsidP="0096420C">
      <w:pPr>
        <w:pStyle w:val="Heading1"/>
      </w:pPr>
      <w:bookmarkStart w:id="6" w:name="_Toc67561468"/>
      <w:r>
        <w:lastRenderedPageBreak/>
        <w:t xml:space="preserve">About long-acting injectable </w:t>
      </w:r>
      <w:r w:rsidRPr="001F0CCA">
        <w:t>buprenorphine</w:t>
      </w:r>
      <w:r>
        <w:t xml:space="preserve"> products: Buvidal</w:t>
      </w:r>
      <w:r w:rsidRPr="00BE169A">
        <w:rPr>
          <w:vertAlign w:val="superscript"/>
        </w:rPr>
        <w:t>®</w:t>
      </w:r>
      <w:r>
        <w:t xml:space="preserve"> and Sublocade</w:t>
      </w:r>
      <w:r w:rsidRPr="00BE169A">
        <w:rPr>
          <w:vertAlign w:val="superscript"/>
        </w:rPr>
        <w:t>®</w:t>
      </w:r>
      <w:bookmarkEnd w:id="6"/>
    </w:p>
    <w:p w14:paraId="12C67EA9" w14:textId="77777777" w:rsidR="0096420C" w:rsidRDefault="0096420C" w:rsidP="0096420C">
      <w:pPr>
        <w:pStyle w:val="DHHSbody"/>
      </w:pPr>
      <w:r>
        <w:t xml:space="preserve">This brief clinical guideline will help clinicians and patients make decisions about using the following long-acting injectable buprenorphine (LAIB) </w:t>
      </w:r>
      <w:r w:rsidRPr="00A057CC">
        <w:t xml:space="preserve">products.  </w:t>
      </w:r>
    </w:p>
    <w:p w14:paraId="63F5DF87" w14:textId="77777777" w:rsidR="0096420C" w:rsidRPr="00022DAC" w:rsidRDefault="0096420C" w:rsidP="0096420C">
      <w:pPr>
        <w:pStyle w:val="DHHSbody"/>
      </w:pPr>
      <w:r w:rsidRPr="00245A9C">
        <w:t>Note: although these products have been introduced at similar times, they differ in formulations, administration and pharmacology.  Differences are highlighted in these brief clinical guidelines and in the addendum to the</w:t>
      </w:r>
      <w:r>
        <w:t xml:space="preserve"> Victorian</w:t>
      </w:r>
      <w:r w:rsidRPr="00245A9C">
        <w:t xml:space="preserve"> </w:t>
      </w:r>
      <w:r w:rsidRPr="00245A9C">
        <w:rPr>
          <w:i/>
          <w:iCs/>
        </w:rPr>
        <w:t>Policy for maintenance pharmacotherapy for opioid dependence</w:t>
      </w:r>
      <w:r>
        <w:t>.</w:t>
      </w:r>
    </w:p>
    <w:p w14:paraId="6A8D187B" w14:textId="77777777" w:rsidR="0096420C" w:rsidRPr="0054378B" w:rsidRDefault="0096420C" w:rsidP="0096420C">
      <w:pPr>
        <w:pStyle w:val="CommentText"/>
        <w:rPr>
          <w:rFonts w:eastAsia="Times"/>
        </w:rPr>
      </w:pPr>
      <w:r w:rsidRPr="33AE4E4D">
        <w:rPr>
          <w:rFonts w:eastAsia="Times"/>
          <w:b/>
          <w:bCs/>
        </w:rPr>
        <w:t>Buvidal</w:t>
      </w:r>
      <w:bookmarkStart w:id="7" w:name="_Hlk40869313"/>
      <w:r w:rsidRPr="004A340F">
        <w:rPr>
          <w:rFonts w:eastAsia="Times"/>
          <w:b/>
          <w:bCs/>
          <w:vertAlign w:val="superscript"/>
        </w:rPr>
        <w:t>®</w:t>
      </w:r>
      <w:bookmarkEnd w:id="7"/>
      <w:r w:rsidRPr="33AE4E4D">
        <w:rPr>
          <w:rFonts w:eastAsia="Times"/>
        </w:rPr>
        <w:t xml:space="preserve"> is an extended-release formulation of </w:t>
      </w:r>
      <w:r>
        <w:rPr>
          <w:rFonts w:eastAsia="Times"/>
        </w:rPr>
        <w:t>buprenorphine (</w:t>
      </w:r>
      <w:r w:rsidRPr="33AE4E4D">
        <w:rPr>
          <w:rFonts w:eastAsia="Times"/>
        </w:rPr>
        <w:t>BPN</w:t>
      </w:r>
      <w:r>
        <w:rPr>
          <w:rFonts w:eastAsia="Times"/>
        </w:rPr>
        <w:t>)</w:t>
      </w:r>
      <w:r w:rsidRPr="33AE4E4D">
        <w:rPr>
          <w:rFonts w:eastAsia="Times"/>
        </w:rPr>
        <w:t>, administered weekly or monthly by subcutaneous (SC) injection and provides sustained plasma levels of BPN over the dosing interval. Buvidal</w:t>
      </w:r>
      <w:r w:rsidRPr="004A340F">
        <w:rPr>
          <w:rFonts w:eastAsia="Times"/>
          <w:b/>
          <w:bCs/>
          <w:vertAlign w:val="superscript"/>
        </w:rPr>
        <w:t>®</w:t>
      </w:r>
      <w:r w:rsidRPr="33AE4E4D">
        <w:rPr>
          <w:rFonts w:eastAsia="Times"/>
        </w:rPr>
        <w:t xml:space="preserve"> is designed to be administered once a week (Buvidal</w:t>
      </w:r>
      <w:r w:rsidRPr="004A340F">
        <w:rPr>
          <w:rFonts w:eastAsia="Times"/>
          <w:vertAlign w:val="superscript"/>
        </w:rPr>
        <w:t>®</w:t>
      </w:r>
      <w:r w:rsidRPr="33AE4E4D">
        <w:rPr>
          <w:rFonts w:eastAsia="Times"/>
        </w:rPr>
        <w:t xml:space="preserve"> Weekly) or once a month (Buvidal</w:t>
      </w:r>
      <w:r w:rsidRPr="004A340F">
        <w:rPr>
          <w:rFonts w:eastAsia="Times"/>
          <w:b/>
          <w:bCs/>
          <w:vertAlign w:val="superscript"/>
        </w:rPr>
        <w:t>®</w:t>
      </w:r>
      <w:r w:rsidRPr="33AE4E4D">
        <w:rPr>
          <w:rFonts w:eastAsia="Times"/>
        </w:rPr>
        <w:t xml:space="preserve"> Monthly). </w:t>
      </w:r>
    </w:p>
    <w:p w14:paraId="41F109BD" w14:textId="77777777" w:rsidR="0096420C" w:rsidRDefault="0096420C" w:rsidP="0045698D">
      <w:pPr>
        <w:pStyle w:val="Bullet1"/>
      </w:pPr>
      <w:r>
        <w:t>Buvidal® Weekly is available in four dose strengths in prefilled syringes with a 23-gauge needle</w:t>
      </w:r>
    </w:p>
    <w:p w14:paraId="570F7672" w14:textId="77777777" w:rsidR="0096420C" w:rsidRDefault="0096420C" w:rsidP="0096420C">
      <w:pPr>
        <w:pStyle w:val="DHHSbullet2"/>
        <w:numPr>
          <w:ilvl w:val="2"/>
          <w:numId w:val="7"/>
        </w:numPr>
        <w:ind w:left="567" w:hanging="283"/>
      </w:pPr>
      <w:r>
        <w:t>8mg/0.16 mL, 16 mg/0.32 mL, 24 mg/0.48 mL or 32 mg/0.64 mL</w:t>
      </w:r>
    </w:p>
    <w:p w14:paraId="073FC4A4" w14:textId="77777777" w:rsidR="0096420C" w:rsidRDefault="0096420C" w:rsidP="00B844F1">
      <w:pPr>
        <w:pStyle w:val="Bullet1"/>
      </w:pPr>
      <w:r w:rsidRPr="00823C69">
        <w:t>Buvidal</w:t>
      </w:r>
      <w:r w:rsidRPr="004A340F">
        <w:rPr>
          <w:b/>
          <w:bCs/>
          <w:vertAlign w:val="superscript"/>
        </w:rPr>
        <w:t>®</w:t>
      </w:r>
      <w:r w:rsidRPr="00823C69">
        <w:t xml:space="preserve"> Monthly is </w:t>
      </w:r>
      <w:r w:rsidRPr="001F0CCA">
        <w:t>available</w:t>
      </w:r>
      <w:r w:rsidRPr="00823C69">
        <w:t xml:space="preserve"> in three dose strengths in prefilled syringes with a 23-gauge needle</w:t>
      </w:r>
    </w:p>
    <w:p w14:paraId="34677729" w14:textId="77777777" w:rsidR="0096420C" w:rsidRPr="000A4E95" w:rsidRDefault="0096420C" w:rsidP="0096420C">
      <w:pPr>
        <w:pStyle w:val="DHHSbullet2"/>
        <w:numPr>
          <w:ilvl w:val="2"/>
          <w:numId w:val="7"/>
        </w:numPr>
        <w:ind w:left="567" w:hanging="283"/>
      </w:pPr>
      <w:r w:rsidRPr="00823C69">
        <w:t>64 mg/0.18 mL, 96 mg/0.27 mL or 128 mg/0.36 mL</w:t>
      </w:r>
    </w:p>
    <w:p w14:paraId="0053207D" w14:textId="77777777" w:rsidR="0096420C" w:rsidRDefault="0096420C" w:rsidP="0096420C">
      <w:pPr>
        <w:pStyle w:val="DHHSbody"/>
      </w:pPr>
      <w:r w:rsidRPr="33AE4E4D">
        <w:rPr>
          <w:b/>
          <w:bCs/>
        </w:rPr>
        <w:t>Sublocade®</w:t>
      </w:r>
      <w:r>
        <w:t xml:space="preserve"> is an extended-release formulation of BPN, administered monthly by SC injection and provides sustained plasma levels of BPN over the monthly dosing interval.</w:t>
      </w:r>
    </w:p>
    <w:p w14:paraId="1011FE8E" w14:textId="77777777" w:rsidR="0096420C" w:rsidRDefault="0096420C" w:rsidP="0045698D">
      <w:pPr>
        <w:pStyle w:val="Bullet1"/>
      </w:pPr>
      <w:r w:rsidRPr="00823C69">
        <w:t>Sublocade</w:t>
      </w:r>
      <w:r w:rsidRPr="004A340F">
        <w:rPr>
          <w:b/>
          <w:bCs/>
          <w:vertAlign w:val="superscript"/>
        </w:rPr>
        <w:t>®</w:t>
      </w:r>
      <w:r w:rsidRPr="00823C69">
        <w:t xml:space="preserve"> is available in two dose strengths in prefilled syringe</w:t>
      </w:r>
      <w:r>
        <w:t>s</w:t>
      </w:r>
      <w:r w:rsidRPr="00823C69">
        <w:t xml:space="preserve"> with a 19</w:t>
      </w:r>
      <w:r>
        <w:t>-g</w:t>
      </w:r>
      <w:r w:rsidRPr="00823C69">
        <w:t>auge needle</w:t>
      </w:r>
    </w:p>
    <w:p w14:paraId="1D5F4855" w14:textId="77777777" w:rsidR="0096420C" w:rsidRDefault="0096420C" w:rsidP="0096420C">
      <w:pPr>
        <w:pStyle w:val="DHHSbullet2"/>
        <w:numPr>
          <w:ilvl w:val="2"/>
          <w:numId w:val="7"/>
        </w:numPr>
        <w:ind w:left="567" w:hanging="283"/>
      </w:pPr>
      <w:r w:rsidRPr="00823C69">
        <w:t>100 mg/0.5 mL and 300 mg/1.5 mL</w:t>
      </w:r>
    </w:p>
    <w:p w14:paraId="6B66B64E" w14:textId="77777777" w:rsidR="0096420C" w:rsidRPr="00F831CB" w:rsidRDefault="0096420C" w:rsidP="0096420C">
      <w:pPr>
        <w:rPr>
          <w:rFonts w:eastAsia="Times"/>
        </w:rPr>
      </w:pPr>
      <w:r>
        <w:br w:type="page"/>
      </w:r>
    </w:p>
    <w:p w14:paraId="10798BAE" w14:textId="77777777" w:rsidR="0096420C" w:rsidRPr="00DD44A0" w:rsidRDefault="0096420C" w:rsidP="0096420C">
      <w:pPr>
        <w:pStyle w:val="Heading1"/>
        <w:rPr>
          <w:lang w:eastAsia="en-AU"/>
        </w:rPr>
      </w:pPr>
      <w:bookmarkStart w:id="8" w:name="_Toc67561469"/>
      <w:r w:rsidRPr="00DD44A0">
        <w:rPr>
          <w:lang w:eastAsia="en-AU"/>
        </w:rPr>
        <w:lastRenderedPageBreak/>
        <w:t xml:space="preserve">Framework for treatment with </w:t>
      </w:r>
      <w:r>
        <w:rPr>
          <w:lang w:eastAsia="en-AU"/>
        </w:rPr>
        <w:t>long-acting injectable</w:t>
      </w:r>
      <w:r w:rsidRPr="00DD44A0">
        <w:rPr>
          <w:lang w:eastAsia="en-AU"/>
        </w:rPr>
        <w:t xml:space="preserve"> </w:t>
      </w:r>
      <w:r>
        <w:rPr>
          <w:lang w:eastAsia="en-AU"/>
        </w:rPr>
        <w:t xml:space="preserve">buprenorphine </w:t>
      </w:r>
      <w:r w:rsidRPr="00DD44A0">
        <w:rPr>
          <w:lang w:eastAsia="en-AU"/>
        </w:rPr>
        <w:t>products</w:t>
      </w:r>
      <w:bookmarkEnd w:id="8"/>
    </w:p>
    <w:p w14:paraId="21F03B80" w14:textId="77777777" w:rsidR="0096420C" w:rsidRDefault="0096420C" w:rsidP="0096420C">
      <w:pPr>
        <w:pStyle w:val="DHHSbody"/>
      </w:pPr>
      <w:r w:rsidRPr="00022DAC">
        <w:t>The key elements of safe and effective BPN treatment for opioid dependence are</w:t>
      </w:r>
      <w:r>
        <w:t>:</w:t>
      </w:r>
    </w:p>
    <w:p w14:paraId="18275433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>safe and effective use of medicine</w:t>
      </w:r>
    </w:p>
    <w:p w14:paraId="37D5F2EF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>regular clinical reviews and monitoring</w:t>
      </w:r>
    </w:p>
    <w:p w14:paraId="25D57C77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 xml:space="preserve">participation in psychosocial interventions </w:t>
      </w:r>
    </w:p>
    <w:p w14:paraId="0A149935" w14:textId="77777777" w:rsidR="0096420C" w:rsidRPr="008E3097" w:rsidRDefault="0096420C" w:rsidP="00B844F1">
      <w:pPr>
        <w:pStyle w:val="Bullet1"/>
        <w:spacing w:after="120"/>
        <w:rPr>
          <w:sz w:val="20"/>
        </w:rPr>
      </w:pPr>
      <w:r w:rsidRPr="008E3097">
        <w:rPr>
          <w:sz w:val="20"/>
        </w:rPr>
        <w:t>addressing physical health, mental health and social comorbidities.</w:t>
      </w:r>
    </w:p>
    <w:p w14:paraId="53462DAA" w14:textId="77777777" w:rsidR="0096420C" w:rsidRPr="008E3097" w:rsidRDefault="0096420C" w:rsidP="0096420C">
      <w:pPr>
        <w:pStyle w:val="DHHSbody"/>
      </w:pPr>
      <w:r w:rsidRPr="008E3097">
        <w:t xml:space="preserve">Patients need accurate information and options regarding their medication and treatment, as part of informed decision making and consent. Once-a-week and once-a-month long-acting injections reduce the need for daily supervised and/or take-away doses of sublingual (SL) BPN formulations. </w:t>
      </w:r>
    </w:p>
    <w:p w14:paraId="4652C16D" w14:textId="77777777" w:rsidR="0096420C" w:rsidRPr="008E3097" w:rsidRDefault="0096420C" w:rsidP="0096420C">
      <w:pPr>
        <w:pStyle w:val="DHHSbody"/>
      </w:pPr>
      <w:r w:rsidRPr="008E3097">
        <w:t>Potential benefits of LAIB treatment include:</w:t>
      </w:r>
    </w:p>
    <w:p w14:paraId="6FD3574C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>greater convenience for patients in that they will not have to attend dosing sites (pharmacies, clinics) on a frequent basis for supervised dosing</w:t>
      </w:r>
    </w:p>
    <w:p w14:paraId="19C9039C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>reduced treatment costs</w:t>
      </w:r>
    </w:p>
    <w:p w14:paraId="4F9C3B08" w14:textId="77777777" w:rsidR="0096420C" w:rsidRPr="008E3097" w:rsidRDefault="0096420C" w:rsidP="0045698D">
      <w:pPr>
        <w:pStyle w:val="Bullet1"/>
        <w:rPr>
          <w:sz w:val="20"/>
        </w:rPr>
      </w:pPr>
      <w:r w:rsidRPr="008E3097">
        <w:rPr>
          <w:sz w:val="20"/>
        </w:rPr>
        <w:t>greater medication adherence, retention in treatment, and enhanced treatment outcomes for some patients who struggle to attend regularly for dosing with SL BPN</w:t>
      </w:r>
    </w:p>
    <w:p w14:paraId="3791870F" w14:textId="77777777" w:rsidR="0096420C" w:rsidRPr="008E3097" w:rsidRDefault="0096420C" w:rsidP="00B844F1">
      <w:pPr>
        <w:pStyle w:val="Bullet1"/>
        <w:spacing w:after="120"/>
        <w:rPr>
          <w:sz w:val="20"/>
        </w:rPr>
      </w:pPr>
      <w:r w:rsidRPr="008E3097">
        <w:rPr>
          <w:sz w:val="20"/>
        </w:rPr>
        <w:t>less risk of diversion and non-medical use of the medication, enhancing community safety.</w:t>
      </w:r>
    </w:p>
    <w:p w14:paraId="64F72C87" w14:textId="4353EA7F" w:rsidR="0096420C" w:rsidRPr="00022DAC" w:rsidRDefault="0096420C" w:rsidP="0096420C">
      <w:pPr>
        <w:pStyle w:val="DHHSbody"/>
      </w:pPr>
      <w:r w:rsidRPr="00022DAC">
        <w:t>However,</w:t>
      </w:r>
      <w:r>
        <w:t xml:space="preserve"> LAIB</w:t>
      </w:r>
      <w:r w:rsidRPr="00022DAC">
        <w:t xml:space="preserve"> formulations may not suit all patients, and some will prefer SL BPN or methadone treatment, and these options should be </w:t>
      </w:r>
      <w:r w:rsidRPr="001F0CCA">
        <w:t>available</w:t>
      </w:r>
      <w:r w:rsidRPr="00022DAC">
        <w:t>.</w:t>
      </w:r>
    </w:p>
    <w:p w14:paraId="79742E53" w14:textId="77777777" w:rsidR="0096420C" w:rsidRDefault="0096420C" w:rsidP="0096420C">
      <w:pPr>
        <w:pStyle w:val="DHHSbody"/>
        <w:rPr>
          <w:b/>
          <w:bCs/>
        </w:rPr>
      </w:pPr>
      <w:r w:rsidRPr="00BE169A">
        <w:rPr>
          <w:b/>
          <w:bCs/>
        </w:rPr>
        <w:t>Buvidal</w:t>
      </w:r>
      <w:r w:rsidRPr="004A340F">
        <w:rPr>
          <w:b/>
          <w:bCs/>
          <w:vertAlign w:val="superscript"/>
        </w:rPr>
        <w:t>®</w:t>
      </w:r>
      <w:r w:rsidRPr="00BE169A">
        <w:rPr>
          <w:b/>
          <w:bCs/>
        </w:rPr>
        <w:t xml:space="preserve"> and Sublocade</w:t>
      </w:r>
      <w:r w:rsidRPr="004A340F">
        <w:rPr>
          <w:b/>
          <w:bCs/>
          <w:vertAlign w:val="superscript"/>
        </w:rPr>
        <w:t>®</w:t>
      </w:r>
      <w:r w:rsidRPr="00BE169A">
        <w:rPr>
          <w:b/>
          <w:bCs/>
        </w:rPr>
        <w:t xml:space="preserve"> </w:t>
      </w:r>
      <w:r>
        <w:rPr>
          <w:b/>
          <w:bCs/>
        </w:rPr>
        <w:t>must</w:t>
      </w:r>
      <w:r w:rsidRPr="00BE169A">
        <w:rPr>
          <w:b/>
          <w:bCs/>
        </w:rPr>
        <w:t xml:space="preserve"> be administered by registered health</w:t>
      </w:r>
      <w:r>
        <w:rPr>
          <w:b/>
          <w:bCs/>
        </w:rPr>
        <w:t xml:space="preserve"> professional</w:t>
      </w:r>
      <w:r w:rsidRPr="00BE169A">
        <w:rPr>
          <w:b/>
          <w:bCs/>
        </w:rPr>
        <w:t>. Buvidal</w:t>
      </w:r>
      <w:r w:rsidRPr="004A340F">
        <w:rPr>
          <w:b/>
          <w:bCs/>
          <w:vertAlign w:val="superscript"/>
        </w:rPr>
        <w:t>®</w:t>
      </w:r>
      <w:r w:rsidRPr="00BE169A">
        <w:rPr>
          <w:b/>
          <w:bCs/>
        </w:rPr>
        <w:t xml:space="preserve"> and Sublocade</w:t>
      </w:r>
      <w:r w:rsidRPr="004A340F">
        <w:rPr>
          <w:b/>
          <w:bCs/>
          <w:vertAlign w:val="superscript"/>
        </w:rPr>
        <w:t>®</w:t>
      </w:r>
      <w:r w:rsidRPr="00BE169A">
        <w:rPr>
          <w:b/>
          <w:bCs/>
        </w:rPr>
        <w:t xml:space="preserve"> medications should not be handled by, or dispensed to, patients or carers.</w:t>
      </w:r>
    </w:p>
    <w:p w14:paraId="79222CF2" w14:textId="77777777" w:rsidR="0096420C" w:rsidRPr="00F831CB" w:rsidRDefault="0096420C" w:rsidP="0096420C">
      <w:pPr>
        <w:rPr>
          <w:rFonts w:eastAsia="Times"/>
          <w:b/>
          <w:bCs/>
        </w:rPr>
      </w:pPr>
      <w:r>
        <w:rPr>
          <w:b/>
          <w:bCs/>
        </w:rPr>
        <w:br w:type="page"/>
      </w:r>
    </w:p>
    <w:p w14:paraId="13480846" w14:textId="77777777" w:rsidR="0096420C" w:rsidRDefault="0096420C" w:rsidP="0096420C">
      <w:pPr>
        <w:pStyle w:val="Heading1"/>
      </w:pPr>
      <w:bookmarkStart w:id="9" w:name="_Toc67561470"/>
      <w:r>
        <w:lastRenderedPageBreak/>
        <w:t>Delivering treatment with long-acting injectable buprenorphine</w:t>
      </w:r>
      <w:bookmarkEnd w:id="9"/>
      <w:r>
        <w:t xml:space="preserve"> </w:t>
      </w:r>
    </w:p>
    <w:p w14:paraId="4D7224D2" w14:textId="77777777" w:rsidR="0096420C" w:rsidRDefault="0096420C" w:rsidP="0096420C">
      <w:pPr>
        <w:pStyle w:val="DHHSbody"/>
      </w:pPr>
      <w:r w:rsidRPr="00022DAC">
        <w:t xml:space="preserve">Specific recommendations regarding medication regimens for each product are described below. </w:t>
      </w:r>
    </w:p>
    <w:p w14:paraId="2EFB5964" w14:textId="0C93F47F" w:rsidR="0096420C" w:rsidRPr="00A057CC" w:rsidRDefault="00187A8A" w:rsidP="0096420C">
      <w:pPr>
        <w:pStyle w:val="DHHSbody"/>
      </w:pPr>
      <w:r>
        <w:t xml:space="preserve">Refer to </w:t>
      </w:r>
      <w:r w:rsidR="0096420C" w:rsidRPr="00A057CC">
        <w:t>product information for a</w:t>
      </w:r>
      <w:r>
        <w:t>dditional information on</w:t>
      </w:r>
      <w:r w:rsidR="0096420C" w:rsidRPr="00A057CC">
        <w:t xml:space="preserve"> the clinical pharmacology, evidence of safety and efficacy of these products, and issues regarding special populations. </w:t>
      </w:r>
    </w:p>
    <w:p w14:paraId="7BA127A4" w14:textId="77777777" w:rsidR="0096420C" w:rsidRDefault="0096420C" w:rsidP="0096420C">
      <w:pPr>
        <w:pStyle w:val="DHHSbody"/>
      </w:pPr>
      <w:r w:rsidRPr="00245A9C">
        <w:t>Currently, there is a lack of research regarding LAIB for patients with chronic pain who are dependent on pharmaceutical opioids.</w:t>
      </w:r>
      <w:r>
        <w:t xml:space="preserve"> </w:t>
      </w:r>
    </w:p>
    <w:p w14:paraId="707AC85E" w14:textId="77777777" w:rsidR="0096420C" w:rsidRDefault="0096420C" w:rsidP="0096420C">
      <w:pPr>
        <w:pStyle w:val="DHHSbody"/>
      </w:pPr>
      <w:r w:rsidRPr="00022DAC">
        <w:t>There is no evidence directly comparing the safety or efficacy of Buvidal</w:t>
      </w:r>
      <w:r w:rsidRPr="004A340F">
        <w:rPr>
          <w:b/>
          <w:bCs/>
          <w:vertAlign w:val="superscript"/>
        </w:rPr>
        <w:t>®</w:t>
      </w:r>
      <w:r w:rsidRPr="00022DAC">
        <w:t xml:space="preserve"> and Sublocade</w:t>
      </w:r>
      <w:r w:rsidRPr="004A340F">
        <w:rPr>
          <w:b/>
          <w:bCs/>
          <w:vertAlign w:val="superscript"/>
        </w:rPr>
        <w:t>®</w:t>
      </w:r>
      <w:r w:rsidRPr="00022DAC">
        <w:t xml:space="preserve"> products.</w:t>
      </w:r>
    </w:p>
    <w:p w14:paraId="3165BFDA" w14:textId="77777777" w:rsidR="0096420C" w:rsidRDefault="0096420C" w:rsidP="0096420C">
      <w:pPr>
        <w:pStyle w:val="DHHSbody"/>
      </w:pPr>
      <w:r>
        <w:t>Neither Buvidal</w:t>
      </w:r>
      <w:r w:rsidRPr="004A340F">
        <w:rPr>
          <w:b/>
          <w:bCs/>
          <w:vertAlign w:val="superscript"/>
        </w:rPr>
        <w:t>®</w:t>
      </w:r>
      <w:r>
        <w:t xml:space="preserve"> nor Sublocade</w:t>
      </w:r>
      <w:r w:rsidRPr="004A340F">
        <w:rPr>
          <w:b/>
          <w:bCs/>
          <w:vertAlign w:val="superscript"/>
        </w:rPr>
        <w:t>®</w:t>
      </w:r>
      <w:r>
        <w:t xml:space="preserve"> have standard regimens for patients treated with SL BPN doses greater than 24mg/day. </w:t>
      </w:r>
    </w:p>
    <w:p w14:paraId="2B0BA77F" w14:textId="77777777" w:rsidR="0096420C" w:rsidRDefault="0096420C" w:rsidP="0096420C">
      <w:pPr>
        <w:pStyle w:val="Heading2"/>
      </w:pPr>
      <w:bookmarkStart w:id="10" w:name="_Toc67561471"/>
      <w:r>
        <w:t xml:space="preserve">Dosing </w:t>
      </w:r>
      <w:r w:rsidRPr="001F0CCA">
        <w:t>recommendation</w:t>
      </w:r>
      <w:r>
        <w:t>s for Buvidal</w:t>
      </w:r>
      <w:r w:rsidRPr="00BE6F55">
        <w:rPr>
          <w:vertAlign w:val="superscript"/>
        </w:rPr>
        <w:t>®</w:t>
      </w:r>
      <w:bookmarkEnd w:id="10"/>
    </w:p>
    <w:p w14:paraId="072509EE" w14:textId="611CA213" w:rsidR="0045698D" w:rsidRPr="0020336E" w:rsidRDefault="0096420C" w:rsidP="0096420C">
      <w:pPr>
        <w:pStyle w:val="DHHSbody"/>
        <w:rPr>
          <w:b/>
          <w:bCs/>
          <w:sz w:val="30"/>
          <w:szCs w:val="30"/>
        </w:rPr>
      </w:pPr>
      <w:r w:rsidRPr="0020336E">
        <w:rPr>
          <w:rStyle w:val="Heading4Char"/>
          <w:b w:val="0"/>
          <w:bCs w:val="0"/>
          <w:sz w:val="30"/>
          <w:szCs w:val="30"/>
        </w:rPr>
        <w:t xml:space="preserve">Transferring from </w:t>
      </w:r>
      <w:r w:rsidR="0045698D" w:rsidRPr="0020336E">
        <w:rPr>
          <w:rStyle w:val="Heading4Char"/>
          <w:b w:val="0"/>
          <w:bCs w:val="0"/>
          <w:sz w:val="30"/>
          <w:szCs w:val="30"/>
        </w:rPr>
        <w:t>sublingual buprenorphine</w:t>
      </w:r>
      <w:r w:rsidRPr="0020336E">
        <w:rPr>
          <w:b/>
          <w:bCs/>
          <w:sz w:val="30"/>
          <w:szCs w:val="30"/>
        </w:rPr>
        <w:t xml:space="preserve"> </w:t>
      </w:r>
    </w:p>
    <w:p w14:paraId="79256E7A" w14:textId="29F599F1" w:rsidR="0096420C" w:rsidRDefault="0096420C" w:rsidP="0096420C">
      <w:pPr>
        <w:pStyle w:val="DHHSbody"/>
      </w:pPr>
      <w:r>
        <w:t>Patients should be treated with seven or more days of continuous SL BPN prior to transferring to Buvidal</w:t>
      </w:r>
      <w:r w:rsidRPr="004A340F">
        <w:rPr>
          <w:b/>
          <w:bCs/>
          <w:vertAlign w:val="superscript"/>
        </w:rPr>
        <w:t>®</w:t>
      </w:r>
      <w:r>
        <w:t>, with either Buvidal</w:t>
      </w:r>
      <w:r w:rsidRPr="004A340F">
        <w:rPr>
          <w:b/>
          <w:bCs/>
          <w:vertAlign w:val="superscript"/>
        </w:rPr>
        <w:t>®</w:t>
      </w:r>
      <w:r>
        <w:t xml:space="preserve"> Weekly or Buvidal</w:t>
      </w:r>
      <w:r w:rsidRPr="004A340F">
        <w:rPr>
          <w:b/>
          <w:bCs/>
          <w:vertAlign w:val="superscript"/>
        </w:rPr>
        <w:t>®</w:t>
      </w:r>
      <w:r w:rsidRPr="33AE4E4D">
        <w:rPr>
          <w:rFonts w:cs="Calibri Light"/>
        </w:rPr>
        <w:t xml:space="preserve"> </w:t>
      </w:r>
      <w:r>
        <w:t>Monthly starting on the day after the last daily SL dose. Buvidal</w:t>
      </w:r>
      <w:r w:rsidRPr="004A340F">
        <w:rPr>
          <w:b/>
          <w:bCs/>
          <w:vertAlign w:val="superscript"/>
        </w:rPr>
        <w:t>®</w:t>
      </w:r>
      <w:r>
        <w:t xml:space="preserve"> doses are ‘matched’ to SL BPN doses as shown in </w:t>
      </w:r>
      <w:r>
        <w:fldChar w:fldCharType="begin"/>
      </w:r>
      <w:r>
        <w:instrText xml:space="preserve"> REF _Ref8718898 \h </w:instrText>
      </w:r>
      <w:r>
        <w:fldChar w:fldCharType="separate"/>
      </w:r>
      <w:r w:rsidR="00D17A15">
        <w:t xml:space="preserve">Table </w:t>
      </w:r>
      <w:r>
        <w:fldChar w:fldCharType="end"/>
      </w:r>
      <w:r>
        <w:t>1.</w:t>
      </w:r>
    </w:p>
    <w:p w14:paraId="2C0C3921" w14:textId="77777777" w:rsidR="0096420C" w:rsidRDefault="0096420C" w:rsidP="0096420C">
      <w:pPr>
        <w:pStyle w:val="DHHStablecaption"/>
      </w:pPr>
      <w:bookmarkStart w:id="11" w:name="_Ref8718898"/>
      <w:bookmarkStart w:id="12" w:name="_Ref8718886"/>
      <w:r>
        <w:t xml:space="preserve">Table </w:t>
      </w:r>
      <w:bookmarkEnd w:id="11"/>
      <w:r>
        <w:rPr>
          <w:noProof/>
        </w:rPr>
        <w:t>1:</w:t>
      </w:r>
      <w:r>
        <w:t xml:space="preserve"> </w:t>
      </w:r>
      <w:r w:rsidRPr="00CF0C56">
        <w:t xml:space="preserve">Dose conversions between </w:t>
      </w:r>
      <w:r>
        <w:t>SL</w:t>
      </w:r>
      <w:r w:rsidRPr="00CF0C56">
        <w:t xml:space="preserve"> BPN</w:t>
      </w:r>
      <w:r>
        <w:t>,</w:t>
      </w:r>
      <w:r w:rsidRPr="00CF0C56">
        <w:t xml:space="preserve"> Buvidal</w:t>
      </w:r>
      <w:r w:rsidRPr="00883F16">
        <w:rPr>
          <w:vertAlign w:val="superscript"/>
        </w:rPr>
        <w:t>®</w:t>
      </w:r>
      <w:r>
        <w:t xml:space="preserve"> </w:t>
      </w:r>
      <w:r w:rsidRPr="00CF0C56">
        <w:t xml:space="preserve">Weekly and </w:t>
      </w:r>
      <w:r>
        <w:t>Buvidal</w:t>
      </w:r>
      <w:r w:rsidRPr="004A340F">
        <w:rPr>
          <w:rFonts w:eastAsia="Times"/>
          <w:b w:val="0"/>
          <w:bCs/>
          <w:vertAlign w:val="superscript"/>
        </w:rPr>
        <w:t>®</w:t>
      </w:r>
      <w:r>
        <w:t xml:space="preserve"> </w:t>
      </w:r>
      <w:r w:rsidRPr="00CF0C56">
        <w:t>Monthly doses</w:t>
      </w:r>
      <w:bookmarkEnd w:id="12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3744"/>
        <w:gridCol w:w="3806"/>
      </w:tblGrid>
      <w:tr w:rsidR="0096420C" w14:paraId="4D50C179" w14:textId="77777777" w:rsidTr="0096420C">
        <w:trPr>
          <w:jc w:val="center"/>
        </w:trPr>
        <w:tc>
          <w:tcPr>
            <w:tcW w:w="0" w:type="auto"/>
          </w:tcPr>
          <w:p w14:paraId="6BF875BC" w14:textId="77777777" w:rsidR="0096420C" w:rsidRPr="0045698D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45698D">
              <w:rPr>
                <w:color w:val="404040" w:themeColor="text1" w:themeTint="BF"/>
              </w:rPr>
              <w:t>Daily SL BPN dose</w:t>
            </w:r>
          </w:p>
        </w:tc>
        <w:tc>
          <w:tcPr>
            <w:tcW w:w="0" w:type="auto"/>
          </w:tcPr>
          <w:p w14:paraId="35C9A9D4" w14:textId="77777777" w:rsidR="0096420C" w:rsidRPr="0045698D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45698D">
              <w:rPr>
                <w:color w:val="404040" w:themeColor="text1" w:themeTint="BF"/>
              </w:rPr>
              <w:t>Buvidal</w:t>
            </w:r>
            <w:r w:rsidRPr="0045698D">
              <w:rPr>
                <w:rFonts w:eastAsia="Times"/>
                <w:b w:val="0"/>
                <w:bCs/>
                <w:color w:val="404040" w:themeColor="text1" w:themeTint="BF"/>
                <w:vertAlign w:val="superscript"/>
              </w:rPr>
              <w:t>®</w:t>
            </w:r>
            <w:r w:rsidRPr="0045698D">
              <w:rPr>
                <w:color w:val="404040" w:themeColor="text1" w:themeTint="BF"/>
              </w:rPr>
              <w:t xml:space="preserve"> Weekly long-acting injectable dose</w:t>
            </w:r>
          </w:p>
        </w:tc>
        <w:tc>
          <w:tcPr>
            <w:tcW w:w="0" w:type="auto"/>
          </w:tcPr>
          <w:p w14:paraId="1484FFA9" w14:textId="77777777" w:rsidR="0096420C" w:rsidRPr="0045698D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45698D">
              <w:rPr>
                <w:color w:val="404040" w:themeColor="text1" w:themeTint="BF"/>
              </w:rPr>
              <w:t>Buvidal</w:t>
            </w:r>
            <w:r w:rsidRPr="0045698D">
              <w:rPr>
                <w:rFonts w:eastAsia="Times"/>
                <w:b w:val="0"/>
                <w:bCs/>
                <w:color w:val="404040" w:themeColor="text1" w:themeTint="BF"/>
                <w:vertAlign w:val="superscript"/>
              </w:rPr>
              <w:t>®</w:t>
            </w:r>
            <w:r w:rsidRPr="0045698D">
              <w:rPr>
                <w:color w:val="404040" w:themeColor="text1" w:themeTint="BF"/>
              </w:rPr>
              <w:t xml:space="preserve"> Monthly long-acting injectable dose</w:t>
            </w:r>
          </w:p>
        </w:tc>
      </w:tr>
      <w:tr w:rsidR="0096420C" w14:paraId="6ED0B7FD" w14:textId="77777777" w:rsidTr="0096420C">
        <w:trPr>
          <w:jc w:val="center"/>
        </w:trPr>
        <w:tc>
          <w:tcPr>
            <w:tcW w:w="0" w:type="auto"/>
          </w:tcPr>
          <w:p w14:paraId="2E1B18F3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rPr>
                <w:rFonts w:ascii="Symbol" w:eastAsia="Symbol" w:hAnsi="Symbol" w:cs="Symbol"/>
              </w:rPr>
              <w:t></w:t>
            </w:r>
            <w:r w:rsidRPr="001F0CCA">
              <w:t xml:space="preserve"> 6mg</w:t>
            </w:r>
          </w:p>
        </w:tc>
        <w:tc>
          <w:tcPr>
            <w:tcW w:w="0" w:type="auto"/>
          </w:tcPr>
          <w:p w14:paraId="6098DB85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8 mg</w:t>
            </w:r>
          </w:p>
        </w:tc>
        <w:tc>
          <w:tcPr>
            <w:tcW w:w="0" w:type="auto"/>
          </w:tcPr>
          <w:p w14:paraId="632A74D3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No monthly equivalent</w:t>
            </w:r>
          </w:p>
        </w:tc>
      </w:tr>
      <w:tr w:rsidR="0096420C" w14:paraId="1535EDE1" w14:textId="77777777" w:rsidTr="0096420C">
        <w:trPr>
          <w:jc w:val="center"/>
        </w:trPr>
        <w:tc>
          <w:tcPr>
            <w:tcW w:w="0" w:type="auto"/>
          </w:tcPr>
          <w:p w14:paraId="582F4FFB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8</w:t>
            </w:r>
            <w:r>
              <w:t>–</w:t>
            </w:r>
            <w:r w:rsidRPr="001F0CCA">
              <w:t>10 mg</w:t>
            </w:r>
          </w:p>
        </w:tc>
        <w:tc>
          <w:tcPr>
            <w:tcW w:w="0" w:type="auto"/>
          </w:tcPr>
          <w:p w14:paraId="2A1C3FC1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16 mg</w:t>
            </w:r>
          </w:p>
        </w:tc>
        <w:tc>
          <w:tcPr>
            <w:tcW w:w="0" w:type="auto"/>
          </w:tcPr>
          <w:p w14:paraId="18C6945A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64 mg</w:t>
            </w:r>
          </w:p>
        </w:tc>
      </w:tr>
      <w:tr w:rsidR="0096420C" w14:paraId="3557AFA0" w14:textId="77777777" w:rsidTr="0096420C">
        <w:trPr>
          <w:jc w:val="center"/>
        </w:trPr>
        <w:tc>
          <w:tcPr>
            <w:tcW w:w="0" w:type="auto"/>
          </w:tcPr>
          <w:p w14:paraId="50F39885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12</w:t>
            </w:r>
            <w:r>
              <w:t>–</w:t>
            </w:r>
            <w:r w:rsidRPr="001F0CCA">
              <w:t>16 mg</w:t>
            </w:r>
          </w:p>
        </w:tc>
        <w:tc>
          <w:tcPr>
            <w:tcW w:w="0" w:type="auto"/>
          </w:tcPr>
          <w:p w14:paraId="2C2F009B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24 mg</w:t>
            </w:r>
          </w:p>
        </w:tc>
        <w:tc>
          <w:tcPr>
            <w:tcW w:w="0" w:type="auto"/>
          </w:tcPr>
          <w:p w14:paraId="22370F6E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96 mg</w:t>
            </w:r>
          </w:p>
        </w:tc>
      </w:tr>
      <w:tr w:rsidR="0096420C" w14:paraId="03D1ECF4" w14:textId="77777777" w:rsidTr="0096420C">
        <w:trPr>
          <w:jc w:val="center"/>
        </w:trPr>
        <w:tc>
          <w:tcPr>
            <w:tcW w:w="0" w:type="auto"/>
          </w:tcPr>
          <w:p w14:paraId="7FF95D98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18</w:t>
            </w:r>
            <w:r>
              <w:t>–</w:t>
            </w:r>
            <w:r w:rsidRPr="0054378B">
              <w:t xml:space="preserve">24 </w:t>
            </w:r>
            <w:r w:rsidRPr="001F0CCA">
              <w:t>mg</w:t>
            </w:r>
          </w:p>
        </w:tc>
        <w:tc>
          <w:tcPr>
            <w:tcW w:w="0" w:type="auto"/>
          </w:tcPr>
          <w:p w14:paraId="1C889392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32 mg</w:t>
            </w:r>
          </w:p>
        </w:tc>
        <w:tc>
          <w:tcPr>
            <w:tcW w:w="0" w:type="auto"/>
          </w:tcPr>
          <w:p w14:paraId="3E920B8D" w14:textId="77777777" w:rsidR="0096420C" w:rsidRPr="001F0CCA" w:rsidRDefault="0096420C" w:rsidP="0096420C">
            <w:pPr>
              <w:pStyle w:val="DHHStabletext"/>
              <w:jc w:val="center"/>
            </w:pPr>
            <w:r w:rsidRPr="001F0CCA">
              <w:t>128 mg</w:t>
            </w:r>
          </w:p>
        </w:tc>
      </w:tr>
    </w:tbl>
    <w:p w14:paraId="277C001E" w14:textId="77777777" w:rsidR="0096420C" w:rsidRDefault="0096420C" w:rsidP="0096420C">
      <w:pPr>
        <w:pStyle w:val="DHHSbodyaftertablefigure"/>
      </w:pPr>
      <w:r>
        <w:t xml:space="preserve">Patients should be reviewed prior to the next scheduled dose and assessed for adverse events, withdrawal, cravings, substance use and patient’s rating of dose adequacy. </w:t>
      </w:r>
    </w:p>
    <w:p w14:paraId="5B1D5092" w14:textId="77777777" w:rsidR="0096420C" w:rsidRDefault="0096420C" w:rsidP="0096420C">
      <w:pPr>
        <w:pStyle w:val="DHHSbodyaftertablefigure"/>
      </w:pPr>
      <w:r w:rsidRPr="001F0CCA">
        <w:t>Titrate</w:t>
      </w:r>
      <w:r>
        <w:t xml:space="preserve"> doses upwards or downwards accordingly. Steady-state equilibrium is usually achieved after three to four doses.</w:t>
      </w:r>
    </w:p>
    <w:p w14:paraId="0EA8CA6F" w14:textId="77777777" w:rsidR="0096420C" w:rsidRPr="001F0CCA" w:rsidRDefault="0096420C" w:rsidP="0096420C">
      <w:pPr>
        <w:pStyle w:val="Heading3"/>
      </w:pPr>
      <w:r w:rsidRPr="00BE169A">
        <w:t>Commencing BPN treatment with Buvidal</w:t>
      </w:r>
      <w:r w:rsidRPr="004A340F">
        <w:rPr>
          <w:rFonts w:eastAsia="Times"/>
          <w:bCs w:val="0"/>
          <w:vertAlign w:val="superscript"/>
        </w:rPr>
        <w:t>®</w:t>
      </w:r>
    </w:p>
    <w:p w14:paraId="7C6AAC2F" w14:textId="77777777" w:rsidR="0096420C" w:rsidRDefault="0096420C" w:rsidP="0096420C">
      <w:pPr>
        <w:pStyle w:val="DHHSbody"/>
      </w:pPr>
      <w:r>
        <w:t xml:space="preserve">While not </w:t>
      </w:r>
      <w:r w:rsidRPr="001F0CCA">
        <w:t>recommended</w:t>
      </w:r>
      <w:r>
        <w:t xml:space="preserve"> as routine practice, Buvidal</w:t>
      </w:r>
      <w:r w:rsidRPr="004A340F">
        <w:rPr>
          <w:b/>
          <w:bCs/>
          <w:vertAlign w:val="superscript"/>
        </w:rPr>
        <w:t>®</w:t>
      </w:r>
      <w:r>
        <w:t xml:space="preserve"> Weekly or Monthly can be initiated directly from short-acting opioids (such as heroin) or after fewer than seven days of SL BPN treatment (for example, if the patient unable to access dosing sites for daily SL dosing</w:t>
      </w:r>
      <w:r w:rsidRPr="00A057CC">
        <w:t xml:space="preserve">). </w:t>
      </w:r>
      <w:r w:rsidRPr="00245A9C">
        <w:t>In some circumstances, where stabilising on SL BPN is difficult, commencement directly onto LAIB may be possible, although this is not the standard practice recommended at present.</w:t>
      </w:r>
      <w:r>
        <w:t xml:space="preserve">  </w:t>
      </w:r>
    </w:p>
    <w:p w14:paraId="235C7931" w14:textId="77777777" w:rsidR="0096420C" w:rsidRPr="00BE169A" w:rsidRDefault="0096420C" w:rsidP="0096420C">
      <w:pPr>
        <w:pStyle w:val="Heading3"/>
      </w:pPr>
      <w:r w:rsidRPr="00593F28">
        <w:lastRenderedPageBreak/>
        <w:t>Buvidal</w:t>
      </w:r>
      <w:r w:rsidRPr="004A340F">
        <w:rPr>
          <w:rFonts w:eastAsia="Times"/>
          <w:bCs w:val="0"/>
          <w:vertAlign w:val="superscript"/>
        </w:rPr>
        <w:t>®</w:t>
      </w:r>
      <w:r w:rsidRPr="00593F28">
        <w:t xml:space="preserve"> flexible </w:t>
      </w:r>
      <w:r w:rsidRPr="00BE169A">
        <w:t>dosing schedule</w:t>
      </w:r>
    </w:p>
    <w:p w14:paraId="2DA218DB" w14:textId="0D57C473" w:rsidR="0096420C" w:rsidRDefault="0096420C" w:rsidP="0096420C">
      <w:pPr>
        <w:pStyle w:val="DHHSbody"/>
      </w:pPr>
      <w:r w:rsidRPr="003763BA">
        <w:t xml:space="preserve">Patients may switch </w:t>
      </w:r>
      <w:r>
        <w:t>between Buvidal</w:t>
      </w:r>
      <w:r w:rsidRPr="004A340F">
        <w:rPr>
          <w:b/>
          <w:bCs/>
          <w:vertAlign w:val="superscript"/>
        </w:rPr>
        <w:t>®</w:t>
      </w:r>
      <w:r>
        <w:t xml:space="preserve"> Weekly and Buvidal</w:t>
      </w:r>
      <w:r w:rsidRPr="004A340F">
        <w:rPr>
          <w:b/>
          <w:bCs/>
          <w:vertAlign w:val="superscript"/>
        </w:rPr>
        <w:t>®</w:t>
      </w:r>
      <w:r>
        <w:t xml:space="preserve"> Monthly (see </w:t>
      </w:r>
      <w:r>
        <w:fldChar w:fldCharType="begin"/>
      </w:r>
      <w:r>
        <w:instrText xml:space="preserve"> REF _Ref8718898 \h </w:instrText>
      </w:r>
      <w:r>
        <w:fldChar w:fldCharType="separate"/>
      </w:r>
      <w:r w:rsidR="00D17A15">
        <w:t xml:space="preserve">Table </w:t>
      </w:r>
      <w:r>
        <w:fldChar w:fldCharType="end"/>
      </w:r>
      <w:r w:rsidRPr="00C63601">
        <w:t>1</w:t>
      </w:r>
      <w:r>
        <w:t>). Individual dose adjustment may be required.</w:t>
      </w:r>
    </w:p>
    <w:p w14:paraId="3EA04B0C" w14:textId="77777777" w:rsidR="0096420C" w:rsidRPr="001F0CCA" w:rsidRDefault="0096420C" w:rsidP="0045698D">
      <w:pPr>
        <w:pStyle w:val="Bullet1"/>
      </w:pPr>
      <w:r w:rsidRPr="001F0CCA">
        <w:t>Buvidal</w:t>
      </w:r>
      <w:r w:rsidRPr="004A340F">
        <w:rPr>
          <w:b/>
          <w:bCs/>
          <w:vertAlign w:val="superscript"/>
        </w:rPr>
        <w:t>®</w:t>
      </w:r>
      <w:r w:rsidRPr="001F0CCA">
        <w:t xml:space="preserve"> Weekly doses may be given up to </w:t>
      </w:r>
      <w:r>
        <w:t>two</w:t>
      </w:r>
      <w:r w:rsidRPr="001F0CCA">
        <w:t xml:space="preserve"> days before or after the weekly time point (days </w:t>
      </w:r>
      <w:r>
        <w:t>five to nine</w:t>
      </w:r>
      <w:r w:rsidRPr="001F0CCA">
        <w:t>)</w:t>
      </w:r>
    </w:p>
    <w:p w14:paraId="266BDBC2" w14:textId="77777777" w:rsidR="0096420C" w:rsidRPr="001F0CCA" w:rsidRDefault="0096420C" w:rsidP="0045698D">
      <w:pPr>
        <w:pStyle w:val="Bullet1"/>
      </w:pPr>
      <w:r w:rsidRPr="001F0CCA">
        <w:t>Buvidal</w:t>
      </w:r>
      <w:r w:rsidRPr="004A340F">
        <w:rPr>
          <w:b/>
          <w:bCs/>
          <w:vertAlign w:val="superscript"/>
        </w:rPr>
        <w:t>®</w:t>
      </w:r>
      <w:r w:rsidRPr="001F0CCA">
        <w:t xml:space="preserve"> Monthly may be given up to </w:t>
      </w:r>
      <w:r>
        <w:t>one</w:t>
      </w:r>
      <w:r w:rsidRPr="001F0CCA">
        <w:t xml:space="preserve"> week before or after the monthly time point (weeks </w:t>
      </w:r>
      <w:r>
        <w:t>three to five</w:t>
      </w:r>
      <w:r w:rsidRPr="001F0CCA">
        <w:t>).</w:t>
      </w:r>
    </w:p>
    <w:p w14:paraId="12DA777F" w14:textId="46231A05" w:rsidR="0096420C" w:rsidRDefault="0096420C" w:rsidP="0096420C">
      <w:pPr>
        <w:pStyle w:val="DHHSbody"/>
      </w:pPr>
      <w:r w:rsidRPr="003763BA">
        <w:t xml:space="preserve">If a dose is missed, the next dose should be administered as soon as possible. </w:t>
      </w:r>
      <w:r>
        <w:t>Re-induction may be required if more than</w:t>
      </w:r>
      <w:r w:rsidR="00B66FCB">
        <w:t xml:space="preserve"> 10 to</w:t>
      </w:r>
      <w:r>
        <w:t> 14 days have elapsed between Buvidal</w:t>
      </w:r>
      <w:r w:rsidRPr="004A340F">
        <w:rPr>
          <w:b/>
          <w:bCs/>
          <w:vertAlign w:val="superscript"/>
        </w:rPr>
        <w:t>®</w:t>
      </w:r>
      <w:r>
        <w:t xml:space="preserve"> Weekly</w:t>
      </w:r>
      <w:r w:rsidRPr="00F229DC">
        <w:t xml:space="preserve"> </w:t>
      </w:r>
      <w:r>
        <w:t>doses, or more than eight weeks between monthly doses.</w:t>
      </w:r>
    </w:p>
    <w:p w14:paraId="366B0C19" w14:textId="77777777" w:rsidR="0096420C" w:rsidRPr="001F0CCA" w:rsidRDefault="0096420C" w:rsidP="0096420C">
      <w:pPr>
        <w:pStyle w:val="Heading3"/>
      </w:pPr>
      <w:r w:rsidRPr="00BE169A">
        <w:t xml:space="preserve">Supplemental </w:t>
      </w:r>
      <w:r w:rsidRPr="00593F28">
        <w:t xml:space="preserve">or ‘top-up’ </w:t>
      </w:r>
      <w:r w:rsidRPr="00BE169A">
        <w:t>BPN doses</w:t>
      </w:r>
      <w:r w:rsidRPr="001F0CCA">
        <w:t xml:space="preserve"> </w:t>
      </w:r>
    </w:p>
    <w:p w14:paraId="43BBDA19" w14:textId="77777777" w:rsidR="0096420C" w:rsidRDefault="0096420C" w:rsidP="0096420C">
      <w:pPr>
        <w:pStyle w:val="DHHSbody"/>
      </w:pPr>
      <w:r w:rsidRPr="001F0CCA">
        <w:t>Supplemental</w:t>
      </w:r>
      <w:r>
        <w:t xml:space="preserve"> Buvidal</w:t>
      </w:r>
      <w:r w:rsidRPr="004A340F">
        <w:rPr>
          <w:b/>
          <w:bCs/>
          <w:vertAlign w:val="superscript"/>
        </w:rPr>
        <w:t>®</w:t>
      </w:r>
      <w:r>
        <w:t xml:space="preserve"> injections may be used if clinically indicated (patient experiencing opioid withdrawal, cravings or persistent unsanctioned opioid use).</w:t>
      </w:r>
      <w:r w:rsidRPr="001F644F">
        <w:t xml:space="preserve"> </w:t>
      </w:r>
    </w:p>
    <w:p w14:paraId="18AAC1B5" w14:textId="77777777" w:rsidR="0096420C" w:rsidRDefault="0096420C" w:rsidP="0096420C">
      <w:pPr>
        <w:pStyle w:val="DHHSbody"/>
      </w:pPr>
      <w:r>
        <w:t>P</w:t>
      </w:r>
      <w:r w:rsidRPr="001F644F">
        <w:t xml:space="preserve">atients may receive additional 8 mg </w:t>
      </w:r>
      <w:r>
        <w:t>Buvidal</w:t>
      </w:r>
      <w:r w:rsidRPr="004A340F">
        <w:rPr>
          <w:b/>
          <w:bCs/>
          <w:vertAlign w:val="superscript"/>
        </w:rPr>
        <w:t>®</w:t>
      </w:r>
      <w:r>
        <w:t xml:space="preserve"> Weekly </w:t>
      </w:r>
      <w:r w:rsidRPr="001F644F">
        <w:t>injections</w:t>
      </w:r>
      <w:r>
        <w:t xml:space="preserve"> at least 24 hours apart, to a </w:t>
      </w:r>
      <w:r w:rsidRPr="001F644F">
        <w:t xml:space="preserve">maximum </w:t>
      </w:r>
      <w:r>
        <w:t xml:space="preserve">total weekly </w:t>
      </w:r>
      <w:r w:rsidRPr="001F644F">
        <w:t>dose of 32 mg</w:t>
      </w:r>
      <w:r>
        <w:t>, and maximum total monthly dose of 128 mg.</w:t>
      </w:r>
      <w:r w:rsidRPr="001F644F">
        <w:t xml:space="preserve"> </w:t>
      </w:r>
    </w:p>
    <w:p w14:paraId="69D60150" w14:textId="3FA172FC" w:rsidR="0096420C" w:rsidRDefault="0096420C" w:rsidP="0096420C">
      <w:pPr>
        <w:pStyle w:val="DHHSbody"/>
      </w:pPr>
      <w:r>
        <w:t>If supplemental Buvidal</w:t>
      </w:r>
      <w:r w:rsidRPr="004A340F">
        <w:rPr>
          <w:b/>
          <w:bCs/>
          <w:vertAlign w:val="superscript"/>
        </w:rPr>
        <w:t>®</w:t>
      </w:r>
      <w:r>
        <w:t xml:space="preserve"> Weekly doses cannot be administered, supplemental doses of SL BPN (≤ 8 mg daily) may be used for a limited time until the next long-acting injection can be organised.</w:t>
      </w:r>
    </w:p>
    <w:p w14:paraId="60BFBAB8" w14:textId="5F7B3EFC" w:rsidR="0096420C" w:rsidRPr="0096420C" w:rsidRDefault="0096420C" w:rsidP="0096420C">
      <w:pPr>
        <w:spacing w:after="0" w:line="240" w:lineRule="auto"/>
        <w:rPr>
          <w:rFonts w:eastAsia="Times"/>
          <w:sz w:val="20"/>
        </w:rPr>
      </w:pPr>
      <w:r>
        <w:br w:type="page"/>
      </w:r>
    </w:p>
    <w:p w14:paraId="76E5D31C" w14:textId="77777777" w:rsidR="0096420C" w:rsidRDefault="0096420C" w:rsidP="0096420C">
      <w:pPr>
        <w:pStyle w:val="DHHSfigurecaption"/>
        <w:sectPr w:rsidR="0096420C" w:rsidSect="002C5B7C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code="9"/>
          <w:pgMar w:top="1701" w:right="1304" w:bottom="1418" w:left="1304" w:header="680" w:footer="851" w:gutter="0"/>
          <w:cols w:space="340"/>
          <w:docGrid w:linePitch="360"/>
        </w:sectPr>
      </w:pPr>
    </w:p>
    <w:p w14:paraId="2D6AD177" w14:textId="77777777" w:rsidR="0069077D" w:rsidRDefault="0069077D" w:rsidP="0096420C">
      <w:pPr>
        <w:pStyle w:val="DHHSfigurecaption"/>
      </w:pPr>
    </w:p>
    <w:p w14:paraId="18E2A21E" w14:textId="0CA7D08E" w:rsidR="0096420C" w:rsidRDefault="0096420C" w:rsidP="0096420C">
      <w:pPr>
        <w:pStyle w:val="DHHSfigurecaption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D17A15"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</w:t>
      </w:r>
      <w:r>
        <w:t xml:space="preserve"> Overview of dosing </w:t>
      </w:r>
      <w:r w:rsidRPr="001F0CCA">
        <w:t>with</w:t>
      </w:r>
      <w:r>
        <w:t xml:space="preserve"> Buvidal</w:t>
      </w:r>
      <w:r w:rsidRPr="004A340F">
        <w:rPr>
          <w:rFonts w:eastAsia="Times"/>
          <w:b w:val="0"/>
          <w:bCs/>
          <w:vertAlign w:val="superscript"/>
        </w:rPr>
        <w:t>®</w:t>
      </w:r>
    </w:p>
    <w:p w14:paraId="2644ED4F" w14:textId="781519B6" w:rsidR="0096420C" w:rsidRDefault="0096420C" w:rsidP="0096420C">
      <w:pPr>
        <w:pStyle w:val="DHHSbody"/>
      </w:pPr>
      <w:r>
        <w:rPr>
          <w:noProof/>
        </w:rPr>
        <w:drawing>
          <wp:inline distT="0" distB="0" distL="0" distR="0" wp14:anchorId="188AD13A" wp14:editId="38559B8E">
            <wp:extent cx="10061674" cy="4654552"/>
            <wp:effectExtent l="0" t="0" r="0" b="0"/>
            <wp:docPr id="224134860" name="Picture 28" descr="A flowchard showing the overview of dosing with Buvidal described in the 'Dosing recommendations for Buvidal' section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674" cy="4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84B6F" w14:textId="77777777" w:rsidR="0096420C" w:rsidRDefault="0096420C">
      <w:pPr>
        <w:spacing w:after="0" w:line="240" w:lineRule="auto"/>
        <w:rPr>
          <w:rFonts w:eastAsia="Times"/>
          <w:sz w:val="20"/>
        </w:rPr>
      </w:pPr>
      <w:r>
        <w:br w:type="page"/>
      </w:r>
    </w:p>
    <w:p w14:paraId="6FC1237C" w14:textId="77777777" w:rsidR="0096420C" w:rsidRDefault="0096420C" w:rsidP="0096420C">
      <w:pPr>
        <w:pStyle w:val="DHHSbody"/>
        <w:sectPr w:rsidR="0096420C" w:rsidSect="00B66FCB">
          <w:pgSz w:w="16838" w:h="11906" w:orient="landscape" w:code="9"/>
          <w:pgMar w:top="1021" w:right="1021" w:bottom="1021" w:left="567" w:header="680" w:footer="851" w:gutter="0"/>
          <w:cols w:space="340"/>
          <w:docGrid w:linePitch="360"/>
        </w:sectPr>
      </w:pPr>
    </w:p>
    <w:p w14:paraId="72905BA5" w14:textId="2DB4C153" w:rsidR="0096420C" w:rsidRDefault="0096420C" w:rsidP="0096420C">
      <w:pPr>
        <w:pStyle w:val="Heading2"/>
      </w:pPr>
      <w:bookmarkStart w:id="13" w:name="_Toc67561472"/>
      <w:r>
        <w:lastRenderedPageBreak/>
        <w:t xml:space="preserve">Dosing recommendations </w:t>
      </w:r>
      <w:r w:rsidR="00B66FCB">
        <w:t>for</w:t>
      </w:r>
      <w:r>
        <w:t xml:space="preserve"> Sublocade</w:t>
      </w:r>
      <w:r w:rsidRPr="002215DD">
        <w:rPr>
          <w:vertAlign w:val="superscript"/>
        </w:rPr>
        <w:t>®</w:t>
      </w:r>
      <w:bookmarkEnd w:id="13"/>
    </w:p>
    <w:p w14:paraId="3BB8D29D" w14:textId="3DF8867A" w:rsidR="0020336E" w:rsidRPr="0020336E" w:rsidRDefault="0096420C" w:rsidP="0096420C">
      <w:pPr>
        <w:pStyle w:val="DHHSbody"/>
        <w:rPr>
          <w:b/>
          <w:bCs/>
          <w:sz w:val="30"/>
          <w:szCs w:val="30"/>
        </w:rPr>
      </w:pPr>
      <w:r w:rsidRPr="0020336E">
        <w:rPr>
          <w:rStyle w:val="Heading4Char"/>
          <w:b w:val="0"/>
          <w:bCs w:val="0"/>
          <w:sz w:val="30"/>
          <w:szCs w:val="30"/>
        </w:rPr>
        <w:t xml:space="preserve">Transferring from </w:t>
      </w:r>
      <w:r w:rsidR="0020336E" w:rsidRPr="0020336E">
        <w:rPr>
          <w:rStyle w:val="Heading4Char"/>
          <w:b w:val="0"/>
          <w:bCs w:val="0"/>
          <w:sz w:val="30"/>
          <w:szCs w:val="30"/>
        </w:rPr>
        <w:t>sublingual buprenorphine</w:t>
      </w:r>
      <w:r w:rsidRPr="0020336E">
        <w:rPr>
          <w:b/>
          <w:bCs/>
          <w:sz w:val="30"/>
          <w:szCs w:val="30"/>
        </w:rPr>
        <w:t xml:space="preserve"> </w:t>
      </w:r>
    </w:p>
    <w:p w14:paraId="2718C267" w14:textId="3C664D86" w:rsidR="0096420C" w:rsidRPr="004D5F2F" w:rsidRDefault="0096420C" w:rsidP="0096420C">
      <w:pPr>
        <w:pStyle w:val="DHHSbody"/>
      </w:pPr>
      <w:r>
        <w:t>Patients should be treated with seven or more days of continuous SL BPN prior to transferring to Sublocade</w:t>
      </w:r>
      <w:r w:rsidRPr="004A340F">
        <w:rPr>
          <w:b/>
          <w:bCs/>
          <w:vertAlign w:val="superscript"/>
        </w:rPr>
        <w:t>®</w:t>
      </w:r>
      <w:r>
        <w:t xml:space="preserve"> treatment, preferably achieving SL doses ≥ 8mg daily.</w:t>
      </w:r>
    </w:p>
    <w:p w14:paraId="7BE6ADD3" w14:textId="77777777" w:rsidR="0096420C" w:rsidRPr="00022DAC" w:rsidRDefault="0096420C" w:rsidP="0096420C">
      <w:pPr>
        <w:pStyle w:val="DHHSbody"/>
      </w:pPr>
      <w:r w:rsidRPr="00022DAC">
        <w:t>Sublocade</w:t>
      </w:r>
      <w:r w:rsidRPr="004A340F">
        <w:rPr>
          <w:b/>
          <w:bCs/>
          <w:vertAlign w:val="superscript"/>
        </w:rPr>
        <w:t>®</w:t>
      </w:r>
      <w:r w:rsidRPr="00022DAC">
        <w:t xml:space="preserve"> is generally not recommended for patients on daily SL BPN doses &lt;</w:t>
      </w:r>
      <w:r>
        <w:t> </w:t>
      </w:r>
      <w:r w:rsidRPr="00022DAC">
        <w:t>8mg.</w:t>
      </w:r>
    </w:p>
    <w:p w14:paraId="5BA771A2" w14:textId="77777777" w:rsidR="0096420C" w:rsidRDefault="0096420C" w:rsidP="0096420C">
      <w:pPr>
        <w:pStyle w:val="DHHSbody"/>
      </w:pPr>
      <w:r w:rsidRPr="00022DAC">
        <w:t>The first Sublocade</w:t>
      </w:r>
      <w:r w:rsidRPr="004A340F">
        <w:rPr>
          <w:b/>
          <w:bCs/>
          <w:vertAlign w:val="superscript"/>
        </w:rPr>
        <w:t>®</w:t>
      </w:r>
      <w:r w:rsidRPr="00022DAC">
        <w:t xml:space="preserve"> dose should be administered approximately 24 hours after the last SL BPN dose. </w:t>
      </w:r>
    </w:p>
    <w:p w14:paraId="41BF48F7" w14:textId="77777777" w:rsidR="0096420C" w:rsidRDefault="0096420C" w:rsidP="0096420C">
      <w:pPr>
        <w:pStyle w:val="DHHSbody"/>
      </w:pPr>
      <w:r w:rsidRPr="00022DAC">
        <w:t>For most patients, commence 300</w:t>
      </w:r>
      <w:r>
        <w:t> </w:t>
      </w:r>
      <w:r w:rsidRPr="00022DAC">
        <w:t xml:space="preserve">mg doses for the first </w:t>
      </w:r>
      <w:r>
        <w:t>two</w:t>
      </w:r>
      <w:r w:rsidRPr="00022DAC">
        <w:t xml:space="preserve"> months (</w:t>
      </w:r>
      <w:r>
        <w:t>two</w:t>
      </w:r>
      <w:r w:rsidRPr="00022DAC">
        <w:t xml:space="preserve"> x monthly doses), reflecting ‘loading’ doses that elevate plasma BPN levels more rapidly. </w:t>
      </w:r>
    </w:p>
    <w:p w14:paraId="625F01E5" w14:textId="77777777" w:rsidR="0096420C" w:rsidRPr="00022DAC" w:rsidRDefault="0096420C" w:rsidP="0096420C">
      <w:pPr>
        <w:pStyle w:val="DHHSbody"/>
      </w:pPr>
      <w:r w:rsidRPr="00022DAC">
        <w:t>Sublocade</w:t>
      </w:r>
      <w:r w:rsidRPr="004A340F">
        <w:rPr>
          <w:b/>
          <w:bCs/>
          <w:vertAlign w:val="superscript"/>
        </w:rPr>
        <w:t>®</w:t>
      </w:r>
      <w:r w:rsidRPr="00022DAC">
        <w:t xml:space="preserve"> may be initiated with 100</w:t>
      </w:r>
      <w:r>
        <w:t> </w:t>
      </w:r>
      <w:r w:rsidRPr="00022DAC">
        <w:t xml:space="preserve">mg doses where there may be safety concerns of high BPN plasma levels (e.g. </w:t>
      </w:r>
      <w:r>
        <w:t>mild hepatic disease, low weight, uncertain opioid tolerance levels, drug-drug interactions</w:t>
      </w:r>
      <w:r w:rsidRPr="00022DAC">
        <w:t>).</w:t>
      </w:r>
    </w:p>
    <w:p w14:paraId="71D8AA0C" w14:textId="77777777" w:rsidR="0096420C" w:rsidRDefault="0096420C" w:rsidP="0096420C">
      <w:pPr>
        <w:pStyle w:val="DHHSbody"/>
      </w:pPr>
      <w:r w:rsidRPr="00022DAC">
        <w:t>After the initial two monthly Sublocade</w:t>
      </w:r>
      <w:r w:rsidRPr="004A340F">
        <w:rPr>
          <w:b/>
          <w:bCs/>
          <w:vertAlign w:val="superscript"/>
        </w:rPr>
        <w:t>®</w:t>
      </w:r>
      <w:r w:rsidRPr="00022DAC">
        <w:t xml:space="preserve"> doses, select </w:t>
      </w:r>
      <w:r>
        <w:t>a maintenance dose of either</w:t>
      </w:r>
      <w:r w:rsidRPr="00022DAC">
        <w:t xml:space="preserve"> </w:t>
      </w:r>
      <w:r w:rsidRPr="001F0CCA">
        <w:t>100</w:t>
      </w:r>
      <w:r>
        <w:t> </w:t>
      </w:r>
      <w:r w:rsidRPr="001F0CCA">
        <w:t>mg</w:t>
      </w:r>
      <w:r w:rsidRPr="00022DAC">
        <w:t xml:space="preserve"> or 300</w:t>
      </w:r>
      <w:r>
        <w:t> </w:t>
      </w:r>
      <w:r w:rsidRPr="00022DAC">
        <w:t xml:space="preserve">mg </w:t>
      </w:r>
      <w:r>
        <w:t xml:space="preserve">every four </w:t>
      </w:r>
      <w:r w:rsidRPr="00022DAC">
        <w:t>week</w:t>
      </w:r>
      <w:r>
        <w:t>s</w:t>
      </w:r>
      <w:r w:rsidRPr="00022DAC">
        <w:t xml:space="preserve">. </w:t>
      </w:r>
    </w:p>
    <w:p w14:paraId="200071DE" w14:textId="40117D73" w:rsidR="0096420C" w:rsidRDefault="0096420C" w:rsidP="0096420C">
      <w:pPr>
        <w:pStyle w:val="DHHSbody"/>
      </w:pPr>
      <w:r w:rsidRPr="00022DAC">
        <w:t>For most patients, 100</w:t>
      </w:r>
      <w:r>
        <w:t> </w:t>
      </w:r>
      <w:r w:rsidRPr="00022DAC">
        <w:t xml:space="preserve">mg </w:t>
      </w:r>
      <w:r w:rsidR="00B66FCB">
        <w:t>monthly</w:t>
      </w:r>
      <w:r w:rsidRPr="00022DAC">
        <w:t xml:space="preserve"> Sublocade</w:t>
      </w:r>
      <w:r w:rsidRPr="004A340F">
        <w:rPr>
          <w:b/>
          <w:bCs/>
          <w:vertAlign w:val="superscript"/>
        </w:rPr>
        <w:t>®</w:t>
      </w:r>
      <w:r w:rsidRPr="00022DAC">
        <w:t xml:space="preserve"> doses will be adequate, maintaining plasma levels (at steady state equilibrium) achieved with the first two 300</w:t>
      </w:r>
      <w:r>
        <w:t> </w:t>
      </w:r>
      <w:r w:rsidRPr="00022DAC">
        <w:t xml:space="preserve">mg ‘loading’ doses. </w:t>
      </w:r>
    </w:p>
    <w:p w14:paraId="4C1D0D84" w14:textId="6DDAAA9E" w:rsidR="0096420C" w:rsidRPr="00487E04" w:rsidRDefault="0096420C" w:rsidP="0096420C">
      <w:pPr>
        <w:pStyle w:val="DHHSbody"/>
      </w:pPr>
      <w:r w:rsidRPr="00022DAC">
        <w:t>Maintenance 300</w:t>
      </w:r>
      <w:r>
        <w:t> </w:t>
      </w:r>
      <w:r w:rsidRPr="00022DAC">
        <w:t>mg doses should be considered for those patients who had previously stabilised on high</w:t>
      </w:r>
      <w:r>
        <w:t>-</w:t>
      </w:r>
      <w:r w:rsidRPr="00022DAC">
        <w:t>dose SL BPN (e.g. 24 to 32</w:t>
      </w:r>
      <w:r>
        <w:t> </w:t>
      </w:r>
      <w:r w:rsidRPr="00022DAC">
        <w:t>mg daily), or continue to experience cravings, withdrawal or unsanctioned opioid</w:t>
      </w:r>
      <w:r w:rsidR="00B66FCB">
        <w:t xml:space="preserve"> use</w:t>
      </w:r>
      <w:r w:rsidRPr="00022DAC">
        <w:t>.</w:t>
      </w:r>
    </w:p>
    <w:p w14:paraId="119C5FD1" w14:textId="77777777" w:rsidR="0096420C" w:rsidRPr="0020336E" w:rsidRDefault="0096420C" w:rsidP="0096420C">
      <w:pPr>
        <w:pStyle w:val="Heading3"/>
        <w:rPr>
          <w:szCs w:val="30"/>
        </w:rPr>
      </w:pPr>
      <w:r w:rsidRPr="0020336E">
        <w:rPr>
          <w:rStyle w:val="Heading4Char"/>
          <w:b w:val="0"/>
          <w:bCs/>
          <w:sz w:val="30"/>
          <w:szCs w:val="30"/>
        </w:rPr>
        <w:t>Commencing BPN treatment with Sublocade</w:t>
      </w:r>
      <w:r w:rsidRPr="0020336E">
        <w:rPr>
          <w:rFonts w:eastAsia="Times"/>
          <w:bCs w:val="0"/>
          <w:szCs w:val="30"/>
          <w:vertAlign w:val="superscript"/>
        </w:rPr>
        <w:t>®</w:t>
      </w:r>
    </w:p>
    <w:p w14:paraId="371486C1" w14:textId="77777777" w:rsidR="0096420C" w:rsidRPr="004D5F2F" w:rsidRDefault="0096420C" w:rsidP="0096420C">
      <w:pPr>
        <w:pStyle w:val="DHHSbody"/>
      </w:pPr>
      <w:r w:rsidRPr="004D5F2F">
        <w:t>Initiating buprenorphine treatment with Sublocade</w:t>
      </w:r>
      <w:r w:rsidRPr="004A340F">
        <w:rPr>
          <w:b/>
          <w:bCs/>
          <w:vertAlign w:val="superscript"/>
        </w:rPr>
        <w:t>®</w:t>
      </w:r>
      <w:r w:rsidRPr="004D5F2F">
        <w:t xml:space="preserve"> has not been studied. As such, it is not recommended at this time. Current recommendations are based on an initiation and stabilisation phase with SL BPN for ≥ seven days prior to the first injection of Sublocade</w:t>
      </w:r>
      <w:r w:rsidRPr="004A340F">
        <w:rPr>
          <w:b/>
          <w:bCs/>
          <w:vertAlign w:val="superscript"/>
        </w:rPr>
        <w:t>®</w:t>
      </w:r>
      <w:r w:rsidRPr="004D5F2F">
        <w:t>.</w:t>
      </w:r>
    </w:p>
    <w:p w14:paraId="29826BF0" w14:textId="77777777" w:rsidR="0096420C" w:rsidRPr="0020336E" w:rsidRDefault="0096420C" w:rsidP="0096420C">
      <w:pPr>
        <w:pStyle w:val="Heading3"/>
        <w:rPr>
          <w:szCs w:val="30"/>
        </w:rPr>
      </w:pPr>
      <w:r w:rsidRPr="0020336E">
        <w:rPr>
          <w:rStyle w:val="Heading4Char"/>
          <w:b w:val="0"/>
          <w:bCs/>
          <w:sz w:val="30"/>
          <w:szCs w:val="30"/>
        </w:rPr>
        <w:t>Sublocade</w:t>
      </w:r>
      <w:r w:rsidRPr="0020336E">
        <w:rPr>
          <w:rFonts w:eastAsia="Times"/>
          <w:bCs w:val="0"/>
          <w:szCs w:val="30"/>
          <w:vertAlign w:val="superscript"/>
        </w:rPr>
        <w:t>®</w:t>
      </w:r>
      <w:r w:rsidRPr="0020336E">
        <w:rPr>
          <w:rStyle w:val="Heading4Char"/>
          <w:b w:val="0"/>
          <w:bCs/>
          <w:sz w:val="30"/>
          <w:szCs w:val="30"/>
        </w:rPr>
        <w:t xml:space="preserve"> flexible dosing schedule</w:t>
      </w:r>
    </w:p>
    <w:p w14:paraId="0B739727" w14:textId="77777777" w:rsidR="0096420C" w:rsidRPr="00022DAC" w:rsidRDefault="0096420C" w:rsidP="0096420C">
      <w:pPr>
        <w:pStyle w:val="DHHSbody"/>
      </w:pPr>
      <w:r w:rsidRPr="00022DAC">
        <w:t>Sublocade</w:t>
      </w:r>
      <w:r w:rsidRPr="004A340F">
        <w:rPr>
          <w:b/>
          <w:bCs/>
          <w:vertAlign w:val="superscript"/>
        </w:rPr>
        <w:t>®</w:t>
      </w:r>
      <w:r w:rsidRPr="00022DAC">
        <w:t xml:space="preserve"> doses can be administered up to </w:t>
      </w:r>
      <w:r>
        <w:t>two</w:t>
      </w:r>
      <w:r w:rsidRPr="00022DAC">
        <w:t xml:space="preserve"> days </w:t>
      </w:r>
      <w:r>
        <w:t xml:space="preserve">before </w:t>
      </w:r>
      <w:r w:rsidRPr="00022DAC">
        <w:t xml:space="preserve">or up to </w:t>
      </w:r>
      <w:r>
        <w:t>fourteen</w:t>
      </w:r>
      <w:r w:rsidRPr="00022DAC">
        <w:t xml:space="preserve"> days after the 28</w:t>
      </w:r>
      <w:r>
        <w:t>-</w:t>
      </w:r>
      <w:r w:rsidRPr="00022DAC">
        <w:t>day interval (</w:t>
      </w:r>
      <w:r>
        <w:t>days 26 to 42)</w:t>
      </w:r>
      <w:r w:rsidRPr="00022DAC">
        <w:t xml:space="preserve"> without dose adjustments.</w:t>
      </w:r>
    </w:p>
    <w:p w14:paraId="6C7A7926" w14:textId="77777777" w:rsidR="0096420C" w:rsidRDefault="0096420C" w:rsidP="0096420C">
      <w:pPr>
        <w:pStyle w:val="DHHSbody"/>
      </w:pPr>
      <w:r w:rsidRPr="33AE4E4D">
        <w:rPr>
          <w:rFonts w:cs="Calibri Light"/>
        </w:rPr>
        <w:t xml:space="preserve">If a dose is missed, </w:t>
      </w:r>
      <w:r>
        <w:t>the next Sublocade</w:t>
      </w:r>
      <w:r w:rsidRPr="004A340F">
        <w:rPr>
          <w:b/>
          <w:bCs/>
          <w:vertAlign w:val="superscript"/>
        </w:rPr>
        <w:t>®</w:t>
      </w:r>
      <w:r>
        <w:t xml:space="preserve"> dose should be administered as soon as practicably possible. Re-induction may be required if more than eight weeks between Sublocade</w:t>
      </w:r>
      <w:r w:rsidRPr="004A340F">
        <w:rPr>
          <w:b/>
          <w:bCs/>
          <w:vertAlign w:val="superscript"/>
        </w:rPr>
        <w:t>®</w:t>
      </w:r>
      <w:r>
        <w:t xml:space="preserve"> doses has elapsed.</w:t>
      </w:r>
    </w:p>
    <w:p w14:paraId="318699AC" w14:textId="77777777" w:rsidR="0096420C" w:rsidRPr="0020336E" w:rsidRDefault="0096420C" w:rsidP="0096420C">
      <w:pPr>
        <w:pStyle w:val="Heading3"/>
        <w:rPr>
          <w:szCs w:val="30"/>
        </w:rPr>
      </w:pPr>
      <w:r w:rsidRPr="0020336E">
        <w:rPr>
          <w:rStyle w:val="Heading4Char"/>
          <w:b w:val="0"/>
          <w:bCs/>
          <w:sz w:val="30"/>
          <w:szCs w:val="30"/>
        </w:rPr>
        <w:t>Supplemental or ‘top up’ BPN doses</w:t>
      </w:r>
    </w:p>
    <w:p w14:paraId="13C2207F" w14:textId="77777777" w:rsidR="0096420C" w:rsidRDefault="0096420C" w:rsidP="0096420C">
      <w:pPr>
        <w:pStyle w:val="DHHSbody"/>
      </w:pPr>
      <w:r>
        <w:t xml:space="preserve">Supplemental SL BPN doses may be given if </w:t>
      </w:r>
      <w:r w:rsidRPr="001F0CCA">
        <w:t>clinically</w:t>
      </w:r>
      <w:r>
        <w:t xml:space="preserve"> indicated (patient experiencing opioid withdrawal, cravings or persistent unsanctioned opioid use).</w:t>
      </w:r>
      <w:r w:rsidRPr="001F644F">
        <w:t xml:space="preserve"> </w:t>
      </w:r>
    </w:p>
    <w:p w14:paraId="196566C8" w14:textId="77777777" w:rsidR="0096420C" w:rsidRDefault="0096420C" w:rsidP="0096420C">
      <w:pPr>
        <w:pStyle w:val="DHHSbody"/>
      </w:pPr>
      <w:r>
        <w:t>Additional SL BPN (≤ 8 mg daily) may be used for a limited time until the next long-acting injection can be organised.</w:t>
      </w:r>
    </w:p>
    <w:p w14:paraId="46099139" w14:textId="69E0CA63" w:rsidR="0096420C" w:rsidRPr="0096420C" w:rsidRDefault="0096420C" w:rsidP="0096420C">
      <w:pPr>
        <w:pStyle w:val="DHHSbody"/>
        <w:rPr>
          <w:b/>
          <w:bCs/>
        </w:rPr>
      </w:pPr>
    </w:p>
    <w:p w14:paraId="39DE46C4" w14:textId="77777777" w:rsidR="0096420C" w:rsidRDefault="0096420C" w:rsidP="0096420C">
      <w:pPr>
        <w:pStyle w:val="DHHSbody"/>
      </w:pPr>
    </w:p>
    <w:p w14:paraId="5CAAE61F" w14:textId="79AD9EDA" w:rsidR="0096420C" w:rsidRDefault="0096420C" w:rsidP="000C5C60">
      <w:pPr>
        <w:pStyle w:val="DHHSbody"/>
      </w:pPr>
    </w:p>
    <w:p w14:paraId="14B4026A" w14:textId="58CD61AA" w:rsidR="0096420C" w:rsidRDefault="0096420C" w:rsidP="000C5C60">
      <w:pPr>
        <w:pStyle w:val="DHHSbody"/>
      </w:pPr>
    </w:p>
    <w:p w14:paraId="5CBC17DC" w14:textId="77777777" w:rsidR="0096420C" w:rsidRDefault="0096420C" w:rsidP="0096420C">
      <w:pPr>
        <w:pStyle w:val="DHHSfigurecaption"/>
        <w:sectPr w:rsidR="0096420C" w:rsidSect="002C5B7C">
          <w:pgSz w:w="11906" w:h="16838" w:code="9"/>
          <w:pgMar w:top="1701" w:right="1304" w:bottom="1418" w:left="1304" w:header="680" w:footer="851" w:gutter="0"/>
          <w:cols w:space="340"/>
          <w:docGrid w:linePitch="360"/>
        </w:sectPr>
      </w:pPr>
    </w:p>
    <w:p w14:paraId="1F1B1073" w14:textId="77777777" w:rsidR="0069077D" w:rsidRDefault="0069077D" w:rsidP="0096420C">
      <w:pPr>
        <w:pStyle w:val="DHHSfigurecaption"/>
      </w:pPr>
    </w:p>
    <w:p w14:paraId="74E78A83" w14:textId="043AABA7" w:rsidR="0096420C" w:rsidRDefault="0096420C" w:rsidP="0096420C">
      <w:pPr>
        <w:pStyle w:val="DHHSfigurecaption"/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D17A15"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>.</w:t>
      </w:r>
      <w:r>
        <w:t xml:space="preserve"> Overview of dosing with Sublocade</w:t>
      </w:r>
      <w:r w:rsidRPr="004A340F">
        <w:rPr>
          <w:rFonts w:eastAsia="Times"/>
          <w:b w:val="0"/>
          <w:bCs/>
          <w:vertAlign w:val="superscript"/>
        </w:rPr>
        <w:t>®</w:t>
      </w:r>
    </w:p>
    <w:p w14:paraId="3FBA9B60" w14:textId="6F8FC379" w:rsidR="0096420C" w:rsidRPr="001F0CCA" w:rsidRDefault="0096420C" w:rsidP="000C5C60">
      <w:pPr>
        <w:pStyle w:val="DHHSbody"/>
      </w:pPr>
      <w:r>
        <w:rPr>
          <w:noProof/>
        </w:rPr>
        <w:drawing>
          <wp:inline distT="0" distB="0" distL="0" distR="0" wp14:anchorId="794AFB1B" wp14:editId="5CE41501">
            <wp:extent cx="9979309" cy="4616449"/>
            <wp:effectExtent l="0" t="0" r="3175" b="0"/>
            <wp:docPr id="1257311002" name="Picture 23" descr="Flow chart showing the dosing overview described in the 'Dosing recommendations with Sublocade' sec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309" cy="46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629BF" w14:textId="77777777" w:rsidR="0096420C" w:rsidRDefault="0096420C" w:rsidP="00562811">
      <w:pPr>
        <w:pStyle w:val="Heading1"/>
        <w:spacing w:before="0"/>
        <w:sectPr w:rsidR="0096420C" w:rsidSect="00B66FCB">
          <w:pgSz w:w="16838" w:h="11906" w:orient="landscape" w:code="9"/>
          <w:pgMar w:top="1021" w:right="1021" w:bottom="1021" w:left="567" w:header="680" w:footer="851" w:gutter="0"/>
          <w:cols w:space="340"/>
          <w:docGrid w:linePitch="360"/>
        </w:sectPr>
      </w:pPr>
    </w:p>
    <w:p w14:paraId="10F51EAC" w14:textId="77777777" w:rsidR="0096420C" w:rsidRDefault="0096420C" w:rsidP="0096420C">
      <w:pPr>
        <w:pStyle w:val="Heading2"/>
      </w:pPr>
      <w:bookmarkStart w:id="14" w:name="_Toc67561473"/>
      <w:r>
        <w:lastRenderedPageBreak/>
        <w:t>Safety issues regarding use of long-acting injectable products</w:t>
      </w:r>
      <w:bookmarkEnd w:id="14"/>
    </w:p>
    <w:p w14:paraId="26A660A3" w14:textId="77777777" w:rsidR="0096420C" w:rsidRPr="001F0CCA" w:rsidRDefault="0096420C" w:rsidP="0096420C">
      <w:pPr>
        <w:pStyle w:val="Heading3"/>
      </w:pPr>
      <w:r w:rsidRPr="00BE169A">
        <w:t>Precautions and contraindications</w:t>
      </w:r>
    </w:p>
    <w:p w14:paraId="57D610E0" w14:textId="77777777" w:rsidR="0096420C" w:rsidRDefault="0096420C" w:rsidP="0096420C">
      <w:pPr>
        <w:pStyle w:val="DHHSbody"/>
      </w:pPr>
      <w:r>
        <w:t xml:space="preserve">LAIB </w:t>
      </w:r>
      <w:r w:rsidRPr="005038F9">
        <w:t xml:space="preserve">products should not be </w:t>
      </w:r>
      <w:r w:rsidRPr="001F0CCA">
        <w:t>administered</w:t>
      </w:r>
      <w:r w:rsidRPr="005038F9">
        <w:t xml:space="preserve"> to anyone hypersensitive to BPN or any of the excipients of Buvidal</w:t>
      </w:r>
      <w:r w:rsidRPr="004A340F">
        <w:rPr>
          <w:b/>
          <w:bCs/>
          <w:vertAlign w:val="superscript"/>
        </w:rPr>
        <w:t>®</w:t>
      </w:r>
      <w:r w:rsidRPr="005038F9">
        <w:t xml:space="preserve"> or Sublocade</w:t>
      </w:r>
      <w:r w:rsidRPr="004A340F">
        <w:rPr>
          <w:b/>
          <w:bCs/>
          <w:vertAlign w:val="superscript"/>
        </w:rPr>
        <w:t>®</w:t>
      </w:r>
      <w:r w:rsidRPr="005038F9">
        <w:t xml:space="preserve"> (see </w:t>
      </w:r>
      <w:r>
        <w:t>p</w:t>
      </w:r>
      <w:r w:rsidRPr="005038F9">
        <w:t xml:space="preserve">roduct </w:t>
      </w:r>
      <w:r>
        <w:t>i</w:t>
      </w:r>
      <w:r w:rsidRPr="005038F9">
        <w:t xml:space="preserve">nformation for details). </w:t>
      </w:r>
    </w:p>
    <w:p w14:paraId="4A523C0A" w14:textId="77777777" w:rsidR="0096420C" w:rsidRDefault="0096420C" w:rsidP="0096420C">
      <w:pPr>
        <w:pStyle w:val="DHHSbody"/>
      </w:pPr>
      <w:r>
        <w:t>Precautions regarding the use of Buvidal</w:t>
      </w:r>
      <w:r w:rsidRPr="004A340F">
        <w:rPr>
          <w:b/>
          <w:bCs/>
          <w:vertAlign w:val="superscript"/>
        </w:rPr>
        <w:t>®</w:t>
      </w:r>
      <w:r>
        <w:t xml:space="preserve"> and Sublocade</w:t>
      </w:r>
      <w:r w:rsidRPr="004A340F">
        <w:rPr>
          <w:b/>
          <w:bCs/>
          <w:vertAlign w:val="superscript"/>
        </w:rPr>
        <w:t>®</w:t>
      </w:r>
      <w:r>
        <w:t xml:space="preserve"> are similar to treatment with SL BPN and include patients with high-risk sedative use (for example, alcohol, benzodiazepines), severe hepatic disease, cardiac arrhythmias and respiratory insufficiency (see product information for details).</w:t>
      </w:r>
    </w:p>
    <w:p w14:paraId="4FD61D3B" w14:textId="77777777" w:rsidR="0096420C" w:rsidRPr="00B66FCB" w:rsidRDefault="0096420C" w:rsidP="0096420C">
      <w:pPr>
        <w:pStyle w:val="Heading3"/>
        <w:rPr>
          <w:szCs w:val="30"/>
        </w:rPr>
      </w:pPr>
      <w:r w:rsidRPr="00B66FCB">
        <w:rPr>
          <w:rStyle w:val="Heading4Char"/>
          <w:b w:val="0"/>
          <w:bCs/>
          <w:sz w:val="30"/>
          <w:szCs w:val="30"/>
        </w:rPr>
        <w:t>Adverse events</w:t>
      </w:r>
    </w:p>
    <w:p w14:paraId="642C32DA" w14:textId="77777777" w:rsidR="0096420C" w:rsidRDefault="0096420C" w:rsidP="0096420C">
      <w:pPr>
        <w:pStyle w:val="DHHSbody"/>
      </w:pPr>
      <w:r>
        <w:t xml:space="preserve">Both LAIB products can be </w:t>
      </w:r>
      <w:r w:rsidRPr="001F0CCA">
        <w:t>associated</w:t>
      </w:r>
      <w:r>
        <w:t xml:space="preserve"> with l</w:t>
      </w:r>
      <w:r w:rsidRPr="005038F9">
        <w:t>ocal injection</w:t>
      </w:r>
      <w:r>
        <w:t>-</w:t>
      </w:r>
      <w:r w:rsidRPr="005038F9">
        <w:t xml:space="preserve">site </w:t>
      </w:r>
      <w:r>
        <w:t>adverse event</w:t>
      </w:r>
      <w:r w:rsidRPr="005038F9">
        <w:t xml:space="preserve">s </w:t>
      </w:r>
      <w:r>
        <w:t>–</w:t>
      </w:r>
      <w:r w:rsidRPr="005038F9">
        <w:t xml:space="preserve"> redness, pain, tenderness and swelling in 5</w:t>
      </w:r>
      <w:r>
        <w:t>–</w:t>
      </w:r>
      <w:r w:rsidRPr="005038F9">
        <w:t>10</w:t>
      </w:r>
      <w:r>
        <w:t xml:space="preserve"> per cent of</w:t>
      </w:r>
      <w:r w:rsidRPr="005038F9">
        <w:t xml:space="preserve"> patients. </w:t>
      </w:r>
    </w:p>
    <w:p w14:paraId="0EA7CDE8" w14:textId="77777777" w:rsidR="0096420C" w:rsidRDefault="0096420C" w:rsidP="0096420C">
      <w:pPr>
        <w:pStyle w:val="DHHSbody"/>
      </w:pPr>
      <w:r w:rsidRPr="005038F9">
        <w:t xml:space="preserve">These are usually </w:t>
      </w:r>
      <w:r w:rsidRPr="00273438">
        <w:t>mild</w:t>
      </w:r>
      <w:r>
        <w:t>,</w:t>
      </w:r>
      <w:r w:rsidRPr="00273438">
        <w:t xml:space="preserve"> transient and resolve spontaneously</w:t>
      </w:r>
      <w:r>
        <w:t xml:space="preserve">. </w:t>
      </w:r>
    </w:p>
    <w:p w14:paraId="569308A8" w14:textId="77777777" w:rsidR="0096420C" w:rsidRDefault="0096420C" w:rsidP="0096420C">
      <w:pPr>
        <w:pStyle w:val="DHHSbody"/>
      </w:pPr>
      <w:r>
        <w:t>Sublocade</w:t>
      </w:r>
      <w:r w:rsidRPr="004A340F">
        <w:rPr>
          <w:b/>
          <w:bCs/>
          <w:vertAlign w:val="superscript"/>
        </w:rPr>
        <w:t>®</w:t>
      </w:r>
      <w:r>
        <w:t xml:space="preserve"> doses appear to be more commonly associated with a palpable lump at the injection site, which resolves with time. </w:t>
      </w:r>
    </w:p>
    <w:p w14:paraId="61C00AE4" w14:textId="77777777" w:rsidR="0096420C" w:rsidRDefault="0096420C" w:rsidP="0096420C">
      <w:pPr>
        <w:pStyle w:val="DHHSbody"/>
      </w:pPr>
      <w:r>
        <w:t>Systemic adverse events as per SL BPN (for example, nausea, headache, constipation).</w:t>
      </w:r>
    </w:p>
    <w:p w14:paraId="1F6EC251" w14:textId="77777777" w:rsidR="0096420C" w:rsidRPr="00B66FCB" w:rsidRDefault="0096420C" w:rsidP="0096420C">
      <w:pPr>
        <w:pStyle w:val="Heading3"/>
        <w:rPr>
          <w:szCs w:val="30"/>
        </w:rPr>
      </w:pPr>
      <w:r w:rsidRPr="00B66FCB">
        <w:rPr>
          <w:rStyle w:val="Heading4Char"/>
          <w:b w:val="0"/>
          <w:bCs/>
          <w:sz w:val="30"/>
          <w:szCs w:val="30"/>
        </w:rPr>
        <w:t>Drug–drug interactions (DDI)</w:t>
      </w:r>
    </w:p>
    <w:p w14:paraId="77217012" w14:textId="77777777" w:rsidR="0096420C" w:rsidRDefault="0096420C" w:rsidP="0096420C">
      <w:pPr>
        <w:pStyle w:val="DHHSbody"/>
      </w:pPr>
      <w:r>
        <w:t>DDIs are expected to be the same as for SL BPN, however the l</w:t>
      </w:r>
      <w:r w:rsidRPr="00273438">
        <w:t xml:space="preserve">ong duration of </w:t>
      </w:r>
      <w:r>
        <w:t>LAIB</w:t>
      </w:r>
      <w:r w:rsidRPr="00273438">
        <w:t xml:space="preserve"> effects may result in </w:t>
      </w:r>
      <w:r>
        <w:t>prolonged</w:t>
      </w:r>
      <w:r w:rsidRPr="00273438">
        <w:t xml:space="preserve"> DDI.</w:t>
      </w:r>
      <w:r>
        <w:t xml:space="preserve"> </w:t>
      </w:r>
    </w:p>
    <w:p w14:paraId="58D549CA" w14:textId="1349A350" w:rsidR="0096420C" w:rsidRDefault="0096420C" w:rsidP="0096420C">
      <w:pPr>
        <w:pStyle w:val="DHHSbody"/>
      </w:pPr>
      <w:r>
        <w:t>If there are concerns, stabilise the p</w:t>
      </w:r>
      <w:r w:rsidR="00D24A8B">
        <w:t>atient</w:t>
      </w:r>
      <w:r>
        <w:t xml:space="preserve"> on SL BPN and </w:t>
      </w:r>
      <w:r w:rsidRPr="001F0CCA">
        <w:t>monitor</w:t>
      </w:r>
      <w:r>
        <w:t xml:space="preserve"> DDI before transferring to LAIB products.</w:t>
      </w:r>
    </w:p>
    <w:p w14:paraId="097CAFEA" w14:textId="77777777" w:rsidR="0096420C" w:rsidRPr="001F0CCA" w:rsidRDefault="0096420C" w:rsidP="0096420C">
      <w:pPr>
        <w:pStyle w:val="Heading3"/>
      </w:pPr>
      <w:r w:rsidRPr="00BE169A">
        <w:t>Pregnancy and breastfeeding</w:t>
      </w:r>
    </w:p>
    <w:p w14:paraId="0F755C35" w14:textId="77777777" w:rsidR="0096420C" w:rsidRDefault="0096420C" w:rsidP="0096420C">
      <w:pPr>
        <w:pStyle w:val="DHHSbody"/>
        <w:rPr>
          <w:iCs/>
        </w:rPr>
      </w:pPr>
      <w:r>
        <w:rPr>
          <w:iCs/>
        </w:rPr>
        <w:t xml:space="preserve">SL BPN has an acceptable safety profile and is effective in </w:t>
      </w:r>
      <w:r w:rsidRPr="001F0CCA">
        <w:t>pregnancy</w:t>
      </w:r>
      <w:r>
        <w:rPr>
          <w:iCs/>
        </w:rPr>
        <w:t xml:space="preserve">. </w:t>
      </w:r>
    </w:p>
    <w:p w14:paraId="245F1993" w14:textId="77777777" w:rsidR="0096420C" w:rsidRDefault="0096420C" w:rsidP="0096420C">
      <w:pPr>
        <w:pStyle w:val="DHHSbody"/>
      </w:pPr>
      <w:r>
        <w:t>T</w:t>
      </w:r>
      <w:r w:rsidRPr="00A06669">
        <w:t xml:space="preserve">here is a lack of research data on </w:t>
      </w:r>
      <w:r w:rsidRPr="00A057CC">
        <w:t xml:space="preserve">the safety and effectiveness of </w:t>
      </w:r>
      <w:r>
        <w:t>LAIB</w:t>
      </w:r>
      <w:r w:rsidRPr="00A057CC">
        <w:t xml:space="preserve"> formulations in pregnancy and breastfeeding</w:t>
      </w:r>
      <w:r w:rsidRPr="00245A9C">
        <w:t>. LAIB may be considered in situations in which the potential benefits justify potential (as yet unknown) risks to mother and baby.</w:t>
      </w:r>
      <w:r w:rsidRPr="00A057CC">
        <w:t xml:space="preserve">  Consultation with an Addiction Medicine </w:t>
      </w:r>
      <w:r>
        <w:t>S</w:t>
      </w:r>
      <w:r w:rsidRPr="00A057CC">
        <w:t>pecialist is recommended in this situation.</w:t>
      </w:r>
    </w:p>
    <w:p w14:paraId="6F64D858" w14:textId="77777777" w:rsidR="0096420C" w:rsidRDefault="0096420C" w:rsidP="0096420C">
      <w:pPr>
        <w:pStyle w:val="DHHSbody"/>
      </w:pPr>
      <w:r>
        <w:t>A neonatal opioid withdrawal syndrome may occur.</w:t>
      </w:r>
    </w:p>
    <w:p w14:paraId="0ACC8DCD" w14:textId="77777777" w:rsidR="0096420C" w:rsidRPr="001F0CCA" w:rsidRDefault="0096420C" w:rsidP="0096420C">
      <w:pPr>
        <w:pStyle w:val="Heading3"/>
      </w:pPr>
      <w:r w:rsidRPr="00BE169A">
        <w:t>Driving, operating machinery</w:t>
      </w:r>
    </w:p>
    <w:p w14:paraId="64689F40" w14:textId="77777777" w:rsidR="0096420C" w:rsidRDefault="0096420C" w:rsidP="0096420C">
      <w:pPr>
        <w:pStyle w:val="DHHSbody"/>
      </w:pPr>
      <w:r>
        <w:t>B</w:t>
      </w:r>
      <w:r w:rsidRPr="00CB0C00">
        <w:t xml:space="preserve">PN may </w:t>
      </w:r>
      <w:r w:rsidRPr="00022DAC">
        <w:rPr>
          <w:rFonts w:cs="Calibri Light"/>
        </w:rPr>
        <w:t>impair</w:t>
      </w:r>
      <w:r w:rsidRPr="00CB0C00">
        <w:t xml:space="preserve"> the mental or physical abilities required for the performance of potentially dangerous tasks such as driving a car or </w:t>
      </w:r>
      <w:r w:rsidRPr="001F0CCA">
        <w:t>operating</w:t>
      </w:r>
      <w:r w:rsidRPr="00CB0C00">
        <w:t xml:space="preserve"> machinery. </w:t>
      </w:r>
    </w:p>
    <w:p w14:paraId="1CB259C8" w14:textId="4088D323" w:rsidR="0096420C" w:rsidRPr="00543ABE" w:rsidRDefault="0096420C" w:rsidP="0096420C">
      <w:pPr>
        <w:pStyle w:val="DHHSbody"/>
        <w:rPr>
          <w:color w:val="C00000"/>
        </w:rPr>
      </w:pPr>
      <w:r w:rsidRPr="00245A9C">
        <w:t xml:space="preserve">Once patients have been stabilised, opioids have little evidence to suggest impairment of mental or physical abilities required for performing potentially dangerous tasks such as driving a car or operating machinery. This is due to rapid establishment of </w:t>
      </w:r>
      <w:r w:rsidR="00D24A8B" w:rsidRPr="00245A9C">
        <w:t>neuroadaptation</w:t>
      </w:r>
      <w:r w:rsidRPr="00245A9C">
        <w:t xml:space="preserve">. </w:t>
      </w:r>
      <w:r w:rsidRPr="00245A9C">
        <w:rPr>
          <w:b/>
        </w:rPr>
        <w:t>Note:</w:t>
      </w:r>
      <w:r w:rsidRPr="00245A9C">
        <w:t xml:space="preserve"> performance can be impaired in the </w:t>
      </w:r>
      <w:r w:rsidRPr="00245A9C">
        <w:rPr>
          <w:b/>
        </w:rPr>
        <w:t>initial</w:t>
      </w:r>
      <w:r w:rsidRPr="00245A9C">
        <w:t xml:space="preserve"> treatment phase and patients should be cautioned about driving or operating hazardous machinery for several weeks, particularly at commencement of LAIB treatment.  </w:t>
      </w:r>
      <w:r>
        <w:t>Clinician</w:t>
      </w:r>
      <w:r w:rsidRPr="00245A9C">
        <w:t xml:space="preserve">s and patients need to be particularly aware of </w:t>
      </w:r>
      <w:r>
        <w:t>DDI</w:t>
      </w:r>
      <w:r w:rsidRPr="00245A9C">
        <w:t xml:space="preserve">s such as LAIB and other sedating medications (eg benzodiazepines) or substances (eg alcohol).   Refer to AustRoads guidelines for further information </w:t>
      </w:r>
      <w:r w:rsidRPr="005418C8">
        <w:t>(</w:t>
      </w:r>
      <w:hyperlink r:id="rId25" w:history="1">
        <w:r w:rsidRPr="00EB02BA">
          <w:rPr>
            <w:rStyle w:val="Hyperlink"/>
          </w:rPr>
          <w:t>https://austroads.com.au</w:t>
        </w:r>
      </w:hyperlink>
      <w:r>
        <w:t>)</w:t>
      </w:r>
    </w:p>
    <w:p w14:paraId="012B06FB" w14:textId="77777777" w:rsidR="0096420C" w:rsidRPr="001F0CCA" w:rsidRDefault="0096420C" w:rsidP="0096420C">
      <w:pPr>
        <w:pStyle w:val="Heading3"/>
      </w:pPr>
      <w:r w:rsidRPr="00BE169A">
        <w:lastRenderedPageBreak/>
        <w:t xml:space="preserve">Withdrawal from </w:t>
      </w:r>
      <w:r>
        <w:t>long-acting injectable buprenorphine</w:t>
      </w:r>
      <w:r w:rsidRPr="00BE169A">
        <w:t xml:space="preserve"> products</w:t>
      </w:r>
    </w:p>
    <w:p w14:paraId="6AB77CEF" w14:textId="77777777" w:rsidR="0096420C" w:rsidRPr="00B35F79" w:rsidRDefault="0096420C" w:rsidP="0096420C">
      <w:pPr>
        <w:pStyle w:val="DHHSbody"/>
      </w:pPr>
      <w:r w:rsidRPr="00B35F79">
        <w:t xml:space="preserve">The prolonged duration of action of the LAIB products means that withdrawal symptoms are likely to emerge long after the last injected dose. </w:t>
      </w:r>
    </w:p>
    <w:p w14:paraId="1C40CE0B" w14:textId="16DFCBB2" w:rsidR="0096420C" w:rsidRPr="00B35F79" w:rsidRDefault="0096420C" w:rsidP="0096420C">
      <w:pPr>
        <w:pStyle w:val="DHHSbody"/>
        <w:rPr>
          <w:lang w:val="en-US"/>
        </w:rPr>
      </w:pPr>
      <w:r w:rsidRPr="00B35F79">
        <w:rPr>
          <w:lang w:val="en-US"/>
        </w:rPr>
        <w:t xml:space="preserve">Withdrawal features may emerge four to 12 weeks after </w:t>
      </w:r>
      <w:r w:rsidR="00D24A8B" w:rsidRPr="00B35F79">
        <w:rPr>
          <w:lang w:val="en-US"/>
        </w:rPr>
        <w:t xml:space="preserve">the </w:t>
      </w:r>
      <w:r w:rsidRPr="00B35F79">
        <w:rPr>
          <w:lang w:val="en-US"/>
        </w:rPr>
        <w:t>last Buvidal</w:t>
      </w:r>
      <w:r w:rsidRPr="00B35F79">
        <w:rPr>
          <w:b/>
          <w:bCs/>
          <w:vertAlign w:val="superscript"/>
        </w:rPr>
        <w:t>®</w:t>
      </w:r>
      <w:r w:rsidRPr="00B35F79">
        <w:rPr>
          <w:lang w:val="en-US"/>
        </w:rPr>
        <w:t xml:space="preserve"> Monthly dose, or one to four weeks after the last Buvidal</w:t>
      </w:r>
      <w:r w:rsidRPr="00B35F79">
        <w:rPr>
          <w:b/>
          <w:bCs/>
          <w:vertAlign w:val="superscript"/>
        </w:rPr>
        <w:t>®</w:t>
      </w:r>
      <w:r w:rsidRPr="00B35F79">
        <w:rPr>
          <w:lang w:val="en-US"/>
        </w:rPr>
        <w:t xml:space="preserve"> Weekly dose. </w:t>
      </w:r>
    </w:p>
    <w:p w14:paraId="7D2D4C8A" w14:textId="666868D1" w:rsidR="0096420C" w:rsidRPr="00B35F79" w:rsidRDefault="0096420C" w:rsidP="0096420C">
      <w:pPr>
        <w:pStyle w:val="DHHSbody"/>
        <w:rPr>
          <w:rFonts w:cs="Calibri Light"/>
        </w:rPr>
      </w:pPr>
      <w:r w:rsidRPr="00B35F79">
        <w:rPr>
          <w:rFonts w:cs="Calibri Light"/>
        </w:rPr>
        <w:t>Peak withdrawal features may emerge four to 24 weeks after</w:t>
      </w:r>
      <w:r w:rsidR="00D24A8B" w:rsidRPr="00B35F79">
        <w:rPr>
          <w:rFonts w:cs="Calibri Light"/>
        </w:rPr>
        <w:t xml:space="preserve"> </w:t>
      </w:r>
      <w:r w:rsidRPr="00B35F79">
        <w:rPr>
          <w:rFonts w:cs="Calibri Light"/>
        </w:rPr>
        <w:t>last Sublocade</w:t>
      </w:r>
      <w:r w:rsidRPr="00B35F79">
        <w:rPr>
          <w:b/>
          <w:bCs/>
          <w:vertAlign w:val="superscript"/>
        </w:rPr>
        <w:t>®</w:t>
      </w:r>
      <w:r w:rsidRPr="00B35F79">
        <w:rPr>
          <w:rFonts w:cs="Calibri Light"/>
        </w:rPr>
        <w:t xml:space="preserve"> 300 mg dose or four to 12 weeks after last 100 mg dose. </w:t>
      </w:r>
    </w:p>
    <w:p w14:paraId="4DDE5473" w14:textId="77777777" w:rsidR="0096420C" w:rsidRPr="00B35F79" w:rsidRDefault="0096420C" w:rsidP="0096420C">
      <w:pPr>
        <w:pStyle w:val="DHHSbody"/>
        <w:rPr>
          <w:rFonts w:cs="Calibri Light"/>
        </w:rPr>
      </w:pPr>
      <w:r w:rsidRPr="00B35F79">
        <w:rPr>
          <w:rFonts w:cs="Calibri Light"/>
        </w:rPr>
        <w:t xml:space="preserve">Withdrawal symptoms may persist for weeks (or months) and are expected to be less severe than withdrawal from shorter-acting opioids. </w:t>
      </w:r>
    </w:p>
    <w:p w14:paraId="655AA59A" w14:textId="77777777" w:rsidR="0096420C" w:rsidRPr="00B35F79" w:rsidRDefault="0096420C" w:rsidP="0096420C">
      <w:pPr>
        <w:pStyle w:val="DHHSbody"/>
        <w:rPr>
          <w:rFonts w:cs="Calibri Light"/>
        </w:rPr>
      </w:pPr>
      <w:r w:rsidRPr="00B35F79">
        <w:rPr>
          <w:rFonts w:cs="Calibri Light"/>
        </w:rPr>
        <w:t xml:space="preserve">However, there is little documented experience of withdrawal from </w:t>
      </w:r>
      <w:r w:rsidRPr="00B35F79">
        <w:t>LAIB</w:t>
      </w:r>
      <w:r w:rsidRPr="00B35F79">
        <w:rPr>
          <w:rFonts w:cs="Calibri Light"/>
        </w:rPr>
        <w:t xml:space="preserve"> products. </w:t>
      </w:r>
    </w:p>
    <w:p w14:paraId="618FFF60" w14:textId="029F5C50" w:rsidR="0096420C" w:rsidRPr="00B35F79" w:rsidRDefault="0096420C" w:rsidP="0096420C">
      <w:pPr>
        <w:pStyle w:val="DHHSbody"/>
        <w:rPr>
          <w:rFonts w:cs="Calibri Light"/>
        </w:rPr>
      </w:pPr>
      <w:r w:rsidRPr="00B35F79">
        <w:rPr>
          <w:rFonts w:cs="Calibri Light"/>
        </w:rPr>
        <w:t xml:space="preserve">It is generally recommended to taper to the lowest possible </w:t>
      </w:r>
      <w:r w:rsidRPr="00B35F79">
        <w:t xml:space="preserve">long-acting injectable </w:t>
      </w:r>
      <w:r w:rsidRPr="00B35F79">
        <w:rPr>
          <w:rFonts w:cs="Calibri Light"/>
        </w:rPr>
        <w:t>dose before discontinuing treatment, and to review the patient at regular intervals.</w:t>
      </w:r>
    </w:p>
    <w:p w14:paraId="6C44FE6F" w14:textId="77777777" w:rsidR="0096420C" w:rsidRPr="00B35F79" w:rsidRDefault="0096420C" w:rsidP="0096420C">
      <w:pPr>
        <w:pStyle w:val="DHHSbody"/>
      </w:pPr>
      <w:r w:rsidRPr="00B35F79">
        <w:rPr>
          <w:rFonts w:cs="Calibri Light"/>
        </w:rPr>
        <w:t xml:space="preserve">Practitioners can also consider bridging with SL BPN to minimise withdrawal symptoms as the long-acting preparation dissipates. </w:t>
      </w:r>
    </w:p>
    <w:p w14:paraId="2DE1CC21" w14:textId="77777777" w:rsidR="0096420C" w:rsidRPr="001F0CCA" w:rsidRDefault="0096420C" w:rsidP="0096420C">
      <w:pPr>
        <w:pStyle w:val="Heading3"/>
      </w:pPr>
      <w:r w:rsidRPr="00BE169A">
        <w:t>Administration of</w:t>
      </w:r>
      <w:r w:rsidRPr="00883F16">
        <w:rPr>
          <w:rFonts w:cs="Calibri Light"/>
          <w:szCs w:val="24"/>
        </w:rPr>
        <w:t xml:space="preserve"> </w:t>
      </w:r>
      <w:r w:rsidRPr="00883F16">
        <w:rPr>
          <w:szCs w:val="24"/>
        </w:rPr>
        <w:t>long</w:t>
      </w:r>
      <w:r>
        <w:rPr>
          <w:szCs w:val="24"/>
        </w:rPr>
        <w:t>-</w:t>
      </w:r>
      <w:r w:rsidRPr="00883F16">
        <w:rPr>
          <w:szCs w:val="24"/>
        </w:rPr>
        <w:t>acting injectable</w:t>
      </w:r>
      <w:r>
        <w:t xml:space="preserve"> </w:t>
      </w:r>
      <w:r w:rsidRPr="00BE169A">
        <w:t>products by other routes</w:t>
      </w:r>
      <w:r w:rsidRPr="001F0CCA">
        <w:t xml:space="preserve"> </w:t>
      </w:r>
    </w:p>
    <w:p w14:paraId="4A60E5BB" w14:textId="77777777" w:rsidR="0096420C" w:rsidRDefault="0096420C" w:rsidP="0096420C">
      <w:pPr>
        <w:pStyle w:val="DHHSbody"/>
      </w:pPr>
      <w:r w:rsidRPr="008A3AE5">
        <w:t>Both</w:t>
      </w:r>
      <w:r w:rsidRPr="00883F16">
        <w:rPr>
          <w:rFonts w:cs="Calibri Light"/>
        </w:rPr>
        <w:t xml:space="preserve"> </w:t>
      </w:r>
      <w:r w:rsidRPr="00883F16">
        <w:t>long</w:t>
      </w:r>
      <w:r>
        <w:t>-</w:t>
      </w:r>
      <w:r w:rsidRPr="00883F16">
        <w:t>acting injectable</w:t>
      </w:r>
      <w:r>
        <w:t xml:space="preserve"> products are intended for subcutaneous administration and </w:t>
      </w:r>
      <w:r w:rsidRPr="00BE169A">
        <w:rPr>
          <w:b/>
          <w:bCs/>
        </w:rPr>
        <w:t>should never be injected intramuscularly, intra-dermally, intravenously or intra-arterially</w:t>
      </w:r>
      <w:r w:rsidRPr="001F0CCA">
        <w:t xml:space="preserve">. </w:t>
      </w:r>
    </w:p>
    <w:p w14:paraId="025A0550" w14:textId="5C6DE4CC" w:rsidR="0096420C" w:rsidRDefault="0096420C" w:rsidP="0096420C">
      <w:pPr>
        <w:pStyle w:val="DHHSbody"/>
      </w:pPr>
      <w:r w:rsidRPr="008A3AE5">
        <w:t xml:space="preserve">For this reason, </w:t>
      </w:r>
      <w:r w:rsidRPr="00883F16">
        <w:t>long</w:t>
      </w:r>
      <w:r>
        <w:t>-</w:t>
      </w:r>
      <w:r w:rsidRPr="00883F16">
        <w:t>acting injectable</w:t>
      </w:r>
      <w:r w:rsidRPr="008A3AE5">
        <w:t xml:space="preserve"> formulations</w:t>
      </w:r>
      <w:r>
        <w:t xml:space="preserve"> must be administered by a </w:t>
      </w:r>
      <w:r w:rsidR="00D24A8B">
        <w:t>registered</w:t>
      </w:r>
      <w:r>
        <w:t xml:space="preserve"> health professional, and never be </w:t>
      </w:r>
      <w:r w:rsidRPr="001F0CCA">
        <w:t>dispensed</w:t>
      </w:r>
      <w:r>
        <w:t xml:space="preserve"> or supplied directly to the patient or carer.</w:t>
      </w:r>
    </w:p>
    <w:p w14:paraId="528A8163" w14:textId="77777777" w:rsidR="0096420C" w:rsidRPr="001F0CCA" w:rsidRDefault="0096420C" w:rsidP="0096420C">
      <w:pPr>
        <w:pStyle w:val="Heading3"/>
      </w:pPr>
      <w:r w:rsidRPr="00BE169A">
        <w:t>Transfer from methadone</w:t>
      </w:r>
    </w:p>
    <w:p w14:paraId="26929D11" w14:textId="0002C76B" w:rsidR="0096420C" w:rsidRDefault="0096420C" w:rsidP="0096420C">
      <w:pPr>
        <w:pStyle w:val="DHHSbody"/>
      </w:pPr>
      <w:r>
        <w:t xml:space="preserve">There is </w:t>
      </w:r>
      <w:r w:rsidRPr="008A3AE5">
        <w:t>limited experience and no documented evidence regarding transferring patients from methadone directly to</w:t>
      </w:r>
      <w:r w:rsidRPr="00883F16">
        <w:rPr>
          <w:rFonts w:cs="Calibri Light"/>
        </w:rPr>
        <w:t xml:space="preserve"> </w:t>
      </w:r>
      <w:r>
        <w:t xml:space="preserve">LAIB products. Transfer to SL BPN is recommended </w:t>
      </w:r>
      <w:r w:rsidRPr="008A3AE5">
        <w:t xml:space="preserve">for at least seven to 14 days prior to commencing </w:t>
      </w:r>
      <w:r>
        <w:rPr>
          <w:rFonts w:cs="Calibri Light"/>
        </w:rPr>
        <w:t>on</w:t>
      </w:r>
      <w:r w:rsidRPr="00883F16">
        <w:rPr>
          <w:rFonts w:cs="Calibri Light"/>
        </w:rPr>
        <w:t xml:space="preserve"> </w:t>
      </w:r>
      <w:r w:rsidRPr="00883F16">
        <w:t>long</w:t>
      </w:r>
      <w:r>
        <w:t>-</w:t>
      </w:r>
      <w:r w:rsidRPr="00883F16">
        <w:t>acting injectable</w:t>
      </w:r>
      <w:r w:rsidRPr="008A3AE5">
        <w:t xml:space="preserve"> treatment.</w:t>
      </w:r>
    </w:p>
    <w:p w14:paraId="79388432" w14:textId="77777777" w:rsidR="0069077D" w:rsidRDefault="0069077D" w:rsidP="0096420C">
      <w:pPr>
        <w:pStyle w:val="DHHSbody"/>
        <w:rPr>
          <w:rFonts w:cs="Calibri Light"/>
        </w:rPr>
        <w:sectPr w:rsidR="0069077D" w:rsidSect="0069077D">
          <w:pgSz w:w="11906" w:h="16838"/>
          <w:pgMar w:top="1440" w:right="992" w:bottom="1440" w:left="992" w:header="709" w:footer="709" w:gutter="0"/>
          <w:cols w:space="708"/>
          <w:docGrid w:linePitch="360"/>
        </w:sectPr>
      </w:pPr>
    </w:p>
    <w:p w14:paraId="61A06772" w14:textId="6BECDF1E" w:rsidR="0096420C" w:rsidRPr="00022DAC" w:rsidRDefault="0096420C" w:rsidP="0096420C">
      <w:pPr>
        <w:pStyle w:val="DHHSbody"/>
        <w:rPr>
          <w:rFonts w:cs="Calibri Light"/>
        </w:rPr>
      </w:pPr>
    </w:p>
    <w:p w14:paraId="531B8A14" w14:textId="77777777" w:rsidR="0096420C" w:rsidRDefault="0096420C" w:rsidP="0020336E">
      <w:pPr>
        <w:pStyle w:val="Heading1"/>
        <w:spacing w:before="0"/>
      </w:pPr>
      <w:bookmarkStart w:id="15" w:name="_Toc67561474"/>
      <w:bookmarkStart w:id="16" w:name="_Ref11750728"/>
      <w:r>
        <w:t>Summary of buprenorphine products</w:t>
      </w:r>
      <w:bookmarkEnd w:id="15"/>
    </w:p>
    <w:p w14:paraId="628D145B" w14:textId="4AB5EE56" w:rsidR="0096420C" w:rsidRDefault="0096420C" w:rsidP="0096420C">
      <w:pPr>
        <w:pStyle w:val="DHHStablecaption"/>
      </w:pPr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D17A15"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>:</w:t>
      </w:r>
      <w:r>
        <w:t xml:space="preserve"> Summary of buprenorphine products available for treatment </w:t>
      </w:r>
      <w:r w:rsidRPr="001F0CCA">
        <w:t>of</w:t>
      </w:r>
      <w:r>
        <w:t xml:space="preserve"> opioid use disorder in Australia</w:t>
      </w:r>
      <w:bookmarkEnd w:id="16"/>
    </w:p>
    <w:tbl>
      <w:tblPr>
        <w:tblStyle w:val="TableGrid"/>
        <w:tblW w:w="15031" w:type="dxa"/>
        <w:tblInd w:w="-572" w:type="dxa"/>
        <w:tblLook w:val="04A0" w:firstRow="1" w:lastRow="0" w:firstColumn="1" w:lastColumn="0" w:noHBand="0" w:noVBand="1"/>
      </w:tblPr>
      <w:tblGrid>
        <w:gridCol w:w="2171"/>
        <w:gridCol w:w="3641"/>
        <w:gridCol w:w="4678"/>
        <w:gridCol w:w="4541"/>
      </w:tblGrid>
      <w:tr w:rsidR="0096420C" w:rsidRPr="00273438" w14:paraId="78405478" w14:textId="77777777" w:rsidTr="0096420C">
        <w:trPr>
          <w:cantSplit/>
          <w:tblHeader/>
        </w:trPr>
        <w:tc>
          <w:tcPr>
            <w:tcW w:w="2171" w:type="dxa"/>
          </w:tcPr>
          <w:p w14:paraId="5952C0E5" w14:textId="77777777" w:rsidR="0096420C" w:rsidRPr="00273438" w:rsidRDefault="0096420C" w:rsidP="0096420C">
            <w:pPr>
              <w:rPr>
                <w:szCs w:val="21"/>
              </w:rPr>
            </w:pPr>
          </w:p>
        </w:tc>
        <w:tc>
          <w:tcPr>
            <w:tcW w:w="3641" w:type="dxa"/>
          </w:tcPr>
          <w:p w14:paraId="56BF093A" w14:textId="77777777" w:rsidR="0096420C" w:rsidRPr="0020336E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20336E">
              <w:rPr>
                <w:color w:val="404040" w:themeColor="text1" w:themeTint="BF"/>
              </w:rPr>
              <w:t>SL Suboxone</w:t>
            </w:r>
            <w:r w:rsidRPr="0020336E">
              <w:rPr>
                <w:color w:val="404040" w:themeColor="text1" w:themeTint="BF"/>
                <w:vertAlign w:val="superscript"/>
              </w:rPr>
              <w:t>®</w:t>
            </w:r>
            <w:r w:rsidRPr="0020336E">
              <w:rPr>
                <w:color w:val="404040" w:themeColor="text1" w:themeTint="BF"/>
              </w:rPr>
              <w:t xml:space="preserve"> and Subutex</w:t>
            </w:r>
            <w:r w:rsidRPr="0020336E">
              <w:rPr>
                <w:color w:val="404040" w:themeColor="text1" w:themeTint="BF"/>
                <w:vertAlign w:val="superscript"/>
              </w:rPr>
              <w:t xml:space="preserve"> ®</w:t>
            </w:r>
          </w:p>
        </w:tc>
        <w:tc>
          <w:tcPr>
            <w:tcW w:w="4678" w:type="dxa"/>
          </w:tcPr>
          <w:p w14:paraId="79D1CF75" w14:textId="77777777" w:rsidR="0096420C" w:rsidRPr="0020336E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20336E">
              <w:rPr>
                <w:color w:val="404040" w:themeColor="text1" w:themeTint="BF"/>
              </w:rPr>
              <w:t>Buvidal</w:t>
            </w:r>
            <w:r w:rsidRPr="0020336E">
              <w:rPr>
                <w:color w:val="404040" w:themeColor="text1" w:themeTint="BF"/>
                <w:vertAlign w:val="superscript"/>
              </w:rPr>
              <w:t xml:space="preserve"> ®</w:t>
            </w:r>
            <w:r w:rsidRPr="0020336E">
              <w:rPr>
                <w:color w:val="404040" w:themeColor="text1" w:themeTint="BF"/>
              </w:rPr>
              <w:t xml:space="preserve"> Weekly and Monthly</w:t>
            </w:r>
          </w:p>
        </w:tc>
        <w:tc>
          <w:tcPr>
            <w:tcW w:w="4541" w:type="dxa"/>
          </w:tcPr>
          <w:p w14:paraId="0110B019" w14:textId="77777777" w:rsidR="0096420C" w:rsidRPr="0020336E" w:rsidRDefault="0096420C" w:rsidP="0096420C">
            <w:pPr>
              <w:pStyle w:val="DHHStablecolhead"/>
              <w:rPr>
                <w:color w:val="404040" w:themeColor="text1" w:themeTint="BF"/>
              </w:rPr>
            </w:pPr>
            <w:r w:rsidRPr="0020336E">
              <w:rPr>
                <w:color w:val="404040" w:themeColor="text1" w:themeTint="BF"/>
              </w:rPr>
              <w:t>Sublocade</w:t>
            </w:r>
            <w:r w:rsidRPr="0020336E">
              <w:rPr>
                <w:color w:val="404040" w:themeColor="text1" w:themeTint="BF"/>
                <w:vertAlign w:val="superscript"/>
              </w:rPr>
              <w:t xml:space="preserve"> ®</w:t>
            </w:r>
          </w:p>
        </w:tc>
      </w:tr>
      <w:tr w:rsidR="0096420C" w:rsidRPr="00273438" w14:paraId="536481F2" w14:textId="77777777" w:rsidTr="0096420C">
        <w:trPr>
          <w:cantSplit/>
        </w:trPr>
        <w:tc>
          <w:tcPr>
            <w:tcW w:w="2171" w:type="dxa"/>
          </w:tcPr>
          <w:p w14:paraId="56F571EF" w14:textId="77777777" w:rsidR="0096420C" w:rsidRPr="004C6719" w:rsidRDefault="0096420C" w:rsidP="0096420C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</w:rPr>
              <w:t>Formulations</w:t>
            </w:r>
          </w:p>
        </w:tc>
        <w:tc>
          <w:tcPr>
            <w:tcW w:w="3641" w:type="dxa"/>
          </w:tcPr>
          <w:p w14:paraId="2120CA3F" w14:textId="77777777" w:rsidR="0096420C" w:rsidRPr="00273438" w:rsidRDefault="0096420C" w:rsidP="0096420C">
            <w:pPr>
              <w:pStyle w:val="DHHStabletext"/>
            </w:pPr>
            <w:r w:rsidRPr="00273438">
              <w:t>Suboxone</w:t>
            </w:r>
            <w:r w:rsidRPr="001728EF">
              <w:rPr>
                <w:vertAlign w:val="superscript"/>
              </w:rPr>
              <w:t>®</w:t>
            </w:r>
            <w:r w:rsidRPr="00273438">
              <w:t xml:space="preserve"> contains</w:t>
            </w:r>
            <w:r>
              <w:t xml:space="preserve"> BPN</w:t>
            </w:r>
            <w:r w:rsidRPr="00273438">
              <w:t xml:space="preserve"> and naloxone in 4:1 ratio</w:t>
            </w:r>
          </w:p>
          <w:p w14:paraId="01FBA65C" w14:textId="77777777" w:rsidR="0096420C" w:rsidRPr="00273438" w:rsidRDefault="0096420C" w:rsidP="0096420C">
            <w:pPr>
              <w:pStyle w:val="DHHStabletext"/>
            </w:pPr>
            <w:r w:rsidRPr="00273438">
              <w:t>2/0.5</w:t>
            </w:r>
            <w:r>
              <w:t> </w:t>
            </w:r>
            <w:r w:rsidRPr="00273438">
              <w:t>mg and 8/2</w:t>
            </w:r>
            <w:r>
              <w:t> </w:t>
            </w:r>
            <w:r w:rsidRPr="00273438">
              <w:t xml:space="preserve">mg </w:t>
            </w:r>
            <w:r>
              <w:t>SL</w:t>
            </w:r>
            <w:r w:rsidRPr="00273438">
              <w:t xml:space="preserve"> film</w:t>
            </w:r>
          </w:p>
          <w:p w14:paraId="2E29D83C" w14:textId="77777777" w:rsidR="0096420C" w:rsidRPr="00273438" w:rsidRDefault="0096420C" w:rsidP="0096420C">
            <w:pPr>
              <w:pStyle w:val="DHHStabletext"/>
            </w:pPr>
          </w:p>
          <w:p w14:paraId="16595436" w14:textId="77777777" w:rsidR="0096420C" w:rsidRPr="00273438" w:rsidRDefault="0096420C" w:rsidP="0096420C">
            <w:pPr>
              <w:pStyle w:val="DHHStabletext"/>
            </w:pPr>
            <w:r w:rsidRPr="00273438">
              <w:t>Subutex</w:t>
            </w:r>
            <w:r w:rsidRPr="001728EF">
              <w:rPr>
                <w:vertAlign w:val="superscript"/>
              </w:rPr>
              <w:t>®</w:t>
            </w:r>
            <w:r w:rsidRPr="00273438">
              <w:t xml:space="preserve"> contains </w:t>
            </w:r>
            <w:r>
              <w:t>BPN</w:t>
            </w:r>
            <w:r w:rsidRPr="00273438">
              <w:t xml:space="preserve"> in 0.4</w:t>
            </w:r>
            <w:r>
              <w:t> mg</w:t>
            </w:r>
            <w:r w:rsidRPr="00273438">
              <w:t>, 2</w:t>
            </w:r>
            <w:r>
              <w:t> mg</w:t>
            </w:r>
            <w:r w:rsidRPr="00273438">
              <w:t xml:space="preserve"> and 8</w:t>
            </w:r>
            <w:r>
              <w:t> </w:t>
            </w:r>
            <w:r w:rsidRPr="00273438">
              <w:t xml:space="preserve">mg </w:t>
            </w:r>
            <w:r>
              <w:t>SL</w:t>
            </w:r>
            <w:r w:rsidRPr="00273438">
              <w:t xml:space="preserve"> tablets</w:t>
            </w:r>
            <w:r>
              <w:t>.</w:t>
            </w:r>
          </w:p>
          <w:p w14:paraId="7C0060FF" w14:textId="77777777" w:rsidR="0096420C" w:rsidRPr="00273438" w:rsidRDefault="0096420C" w:rsidP="0096420C">
            <w:pPr>
              <w:pStyle w:val="DHHStabletext"/>
            </w:pPr>
          </w:p>
        </w:tc>
        <w:tc>
          <w:tcPr>
            <w:tcW w:w="4678" w:type="dxa"/>
          </w:tcPr>
          <w:p w14:paraId="35961E7C" w14:textId="23036FDE" w:rsidR="0096420C" w:rsidRPr="00273438" w:rsidRDefault="0096420C" w:rsidP="0096420C">
            <w:pPr>
              <w:pStyle w:val="DHHStabletext"/>
            </w:pPr>
            <w:r w:rsidRPr="00273438"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273438">
              <w:t xml:space="preserve"> </w:t>
            </w:r>
            <w:r>
              <w:t>Weekly</w:t>
            </w:r>
            <w:r w:rsidRPr="00273438">
              <w:t xml:space="preserve"> </w:t>
            </w:r>
            <w:r>
              <w:t>and Monthly</w:t>
            </w:r>
            <w:r w:rsidRPr="00273438">
              <w:t xml:space="preserve"> contain BPN in FluidCrystal</w:t>
            </w:r>
            <w:r w:rsidRPr="001728EF">
              <w:rPr>
                <w:vertAlign w:val="superscript"/>
              </w:rPr>
              <w:t>®</w:t>
            </w:r>
            <w:r w:rsidRPr="00273438">
              <w:t xml:space="preserve"> injection </w:t>
            </w:r>
            <w:r w:rsidRPr="00565492">
              <w:rPr>
                <w:rFonts w:cs="Calibri Light"/>
                <w:sz w:val="21"/>
                <w:szCs w:val="21"/>
              </w:rPr>
              <w:t xml:space="preserve">from </w:t>
            </w:r>
            <w:r w:rsidRPr="00883F16">
              <w:t>long</w:t>
            </w:r>
            <w:r>
              <w:t>-</w:t>
            </w:r>
            <w:r w:rsidRPr="00883F16">
              <w:t>acting injectable</w:t>
            </w:r>
            <w:r w:rsidRPr="00022DAC">
              <w:rPr>
                <w:rFonts w:cs="Calibri Light"/>
                <w:sz w:val="21"/>
                <w:szCs w:val="21"/>
              </w:rPr>
              <w:t xml:space="preserve"> </w:t>
            </w:r>
            <w:r w:rsidRPr="00273438">
              <w:t>technology</w:t>
            </w:r>
            <w:r w:rsidR="00280C0B">
              <w:t>.</w:t>
            </w:r>
          </w:p>
          <w:p w14:paraId="5B1C3AA9" w14:textId="55E7638D" w:rsidR="0096420C" w:rsidRPr="00273438" w:rsidRDefault="0096420C" w:rsidP="0096420C">
            <w:pPr>
              <w:pStyle w:val="DHHStabletext"/>
            </w:pPr>
            <w:r w:rsidRPr="00273438">
              <w:t>SC injections</w:t>
            </w:r>
            <w:r w:rsidRPr="00022DAC">
              <w:rPr>
                <w:rFonts w:cs="Calibri Light"/>
              </w:rPr>
              <w:t xml:space="preserve"> in prefilled syringes with </w:t>
            </w:r>
            <w:r w:rsidRPr="00273438">
              <w:t>23</w:t>
            </w:r>
            <w:r>
              <w:t>-</w:t>
            </w:r>
            <w:r w:rsidRPr="00273438">
              <w:t>gauge needle</w:t>
            </w:r>
            <w:r>
              <w:t>. Administration via</w:t>
            </w:r>
            <w:r w:rsidRPr="00273438">
              <w:t xml:space="preserve"> upper a</w:t>
            </w:r>
            <w:r>
              <w:t>rm, thigh, abdomen or buttocks</w:t>
            </w:r>
            <w:r w:rsidR="00280C0B">
              <w:t>.</w:t>
            </w:r>
          </w:p>
          <w:p w14:paraId="65034766" w14:textId="77777777" w:rsidR="0096420C" w:rsidRPr="00273438" w:rsidRDefault="0096420C" w:rsidP="0096420C">
            <w:pPr>
              <w:pStyle w:val="DHHStabletext"/>
            </w:pPr>
            <w:r w:rsidRPr="00022DAC">
              <w:rPr>
                <w:rFonts w:cs="Calibri Light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022DAC">
              <w:rPr>
                <w:rFonts w:cs="Calibri Light"/>
              </w:rPr>
              <w:t xml:space="preserve"> Weekly: 8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mg/0.16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 xml:space="preserve">mL, </w:t>
            </w:r>
            <w:r w:rsidRPr="00273438">
              <w:t>16</w:t>
            </w:r>
            <w:r>
              <w:t> </w:t>
            </w:r>
            <w:r w:rsidRPr="00273438">
              <w:t>mg/0.32</w:t>
            </w:r>
            <w:r>
              <w:t> </w:t>
            </w:r>
            <w:r w:rsidRPr="00273438">
              <w:t xml:space="preserve">mL, </w:t>
            </w:r>
            <w:r>
              <w:t>24 </w:t>
            </w:r>
            <w:r w:rsidRPr="00273438">
              <w:t>mg/0.48</w:t>
            </w:r>
            <w:r>
              <w:t> </w:t>
            </w:r>
            <w:r w:rsidRPr="00273438">
              <w:t xml:space="preserve">mL; </w:t>
            </w:r>
            <w:r>
              <w:t>32 </w:t>
            </w:r>
            <w:r w:rsidRPr="00273438">
              <w:t>mg/0.64</w:t>
            </w:r>
            <w:r>
              <w:t> </w:t>
            </w:r>
            <w:r w:rsidRPr="00273438">
              <w:t>mL</w:t>
            </w:r>
          </w:p>
          <w:p w14:paraId="49D7045F" w14:textId="77777777" w:rsidR="0096420C" w:rsidRPr="00273438" w:rsidRDefault="0096420C" w:rsidP="0096420C">
            <w:pPr>
              <w:pStyle w:val="DHHStabletext"/>
            </w:pPr>
            <w: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>
              <w:t xml:space="preserve"> Monthly</w:t>
            </w:r>
            <w:r w:rsidRPr="00273438">
              <w:t xml:space="preserve">: </w:t>
            </w:r>
            <w:r w:rsidRPr="00022DAC">
              <w:rPr>
                <w:rFonts w:cs="Calibri Light"/>
              </w:rPr>
              <w:t>64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mg/0.18 mL, 96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mg/0.27 mL; 128</w:t>
            </w:r>
            <w:r>
              <w:rPr>
                <w:rFonts w:cs="Calibri Light"/>
              </w:rPr>
              <w:t xml:space="preserve"> mg</w:t>
            </w:r>
            <w:r w:rsidRPr="00022DAC">
              <w:rPr>
                <w:rFonts w:cs="Calibri Light"/>
              </w:rPr>
              <w:t>/0.36 mL</w:t>
            </w:r>
          </w:p>
        </w:tc>
        <w:tc>
          <w:tcPr>
            <w:tcW w:w="4541" w:type="dxa"/>
          </w:tcPr>
          <w:p w14:paraId="58CF9510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022DAC">
              <w:rPr>
                <w:rFonts w:cs="Calibri Light"/>
              </w:rPr>
              <w:t>Sublocade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022DAC">
              <w:rPr>
                <w:rFonts w:cs="Calibri Light"/>
              </w:rPr>
              <w:t xml:space="preserve"> contains BPN in the ATRIGEL</w:t>
            </w:r>
            <w:r w:rsidRPr="001728EF">
              <w:rPr>
                <w:rFonts w:cs="Calibri Light"/>
                <w:vertAlign w:val="superscript"/>
              </w:rPr>
              <w:t xml:space="preserve">® </w:t>
            </w:r>
            <w:r w:rsidRPr="00022DAC">
              <w:rPr>
                <w:rFonts w:cs="Calibri Light"/>
              </w:rPr>
              <w:t>delivery system</w:t>
            </w:r>
          </w:p>
          <w:p w14:paraId="2E967DE0" w14:textId="77777777" w:rsidR="0096420C" w:rsidRPr="00273438" w:rsidRDefault="0096420C" w:rsidP="0096420C">
            <w:pPr>
              <w:pStyle w:val="DHHStabletext"/>
            </w:pPr>
          </w:p>
          <w:p w14:paraId="5E67C5E7" w14:textId="77777777" w:rsidR="0096420C" w:rsidRPr="00273438" w:rsidRDefault="0096420C" w:rsidP="0096420C">
            <w:pPr>
              <w:pStyle w:val="DHHStabletext"/>
            </w:pPr>
            <w:r w:rsidRPr="00273438">
              <w:t>SC injections</w:t>
            </w:r>
            <w:r w:rsidRPr="00022DAC">
              <w:rPr>
                <w:rFonts w:cs="Calibri Light"/>
              </w:rPr>
              <w:t xml:space="preserve"> in prefilled syringes with 19</w:t>
            </w:r>
            <w:r>
              <w:rPr>
                <w:rFonts w:cs="Calibri Light"/>
              </w:rPr>
              <w:t>-</w:t>
            </w:r>
            <w:r w:rsidRPr="00022DAC">
              <w:rPr>
                <w:rFonts w:cs="Calibri Light"/>
              </w:rPr>
              <w:t>gauge needle</w:t>
            </w:r>
            <w:r>
              <w:rPr>
                <w:rFonts w:cs="Calibri Light"/>
              </w:rPr>
              <w:t>.</w:t>
            </w:r>
            <w:r w:rsidRPr="00022DAC">
              <w:rPr>
                <w:rFonts w:cs="Calibri Light"/>
              </w:rPr>
              <w:t xml:space="preserve"> </w:t>
            </w:r>
            <w:r>
              <w:rPr>
                <w:rFonts w:cs="Calibri Light"/>
              </w:rPr>
              <w:t>A</w:t>
            </w:r>
            <w:r w:rsidRPr="00022DAC">
              <w:rPr>
                <w:rFonts w:cs="Calibri Light"/>
              </w:rPr>
              <w:t>dminist</w:t>
            </w:r>
            <w:r>
              <w:rPr>
                <w:rFonts w:cs="Calibri Light"/>
              </w:rPr>
              <w:t>ration</w:t>
            </w:r>
            <w:r w:rsidRPr="00022DAC">
              <w:rPr>
                <w:rFonts w:cs="Calibri Light"/>
              </w:rPr>
              <w:t xml:space="preserve"> </w:t>
            </w:r>
            <w:r>
              <w:rPr>
                <w:rFonts w:cs="Calibri Light"/>
              </w:rPr>
              <w:t>via</w:t>
            </w:r>
            <w:r w:rsidRPr="00022DAC">
              <w:rPr>
                <w:rFonts w:cs="Calibri Light"/>
              </w:rPr>
              <w:t xml:space="preserve"> abdomen</w:t>
            </w:r>
            <w:r>
              <w:rPr>
                <w:rFonts w:cs="Calibri Light"/>
              </w:rPr>
              <w:t>.</w:t>
            </w:r>
          </w:p>
          <w:p w14:paraId="4E200C5A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</w:p>
          <w:p w14:paraId="3E86C5F1" w14:textId="77777777" w:rsidR="0096420C" w:rsidRPr="00273438" w:rsidRDefault="0096420C" w:rsidP="0096420C">
            <w:pPr>
              <w:pStyle w:val="DHHStabletext"/>
            </w:pPr>
            <w:r w:rsidRPr="00022DAC">
              <w:rPr>
                <w:rFonts w:cs="Calibri Light"/>
              </w:rPr>
              <w:t>Monthly doses: 100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mg/0.5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mL or 300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mg/1.5</w:t>
            </w:r>
            <w:r>
              <w:rPr>
                <w:rFonts w:cs="Calibri Light"/>
              </w:rPr>
              <w:t> </w:t>
            </w:r>
            <w:r w:rsidRPr="00022DAC">
              <w:rPr>
                <w:rFonts w:cs="Calibri Light"/>
              </w:rPr>
              <w:t>mL</w:t>
            </w:r>
          </w:p>
        </w:tc>
      </w:tr>
      <w:tr w:rsidR="0096420C" w:rsidRPr="00273438" w14:paraId="3271183B" w14:textId="77777777" w:rsidTr="0096420C">
        <w:trPr>
          <w:cantSplit/>
        </w:trPr>
        <w:tc>
          <w:tcPr>
            <w:tcW w:w="2171" w:type="dxa"/>
          </w:tcPr>
          <w:p w14:paraId="51DA011F" w14:textId="77777777" w:rsidR="0096420C" w:rsidRPr="004C6719" w:rsidRDefault="0096420C" w:rsidP="0096420C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</w:rPr>
              <w:t>Storage requirements</w:t>
            </w:r>
          </w:p>
        </w:tc>
        <w:tc>
          <w:tcPr>
            <w:tcW w:w="3641" w:type="dxa"/>
          </w:tcPr>
          <w:p w14:paraId="3369E4CB" w14:textId="77777777" w:rsidR="0096420C" w:rsidRPr="00273438" w:rsidRDefault="0096420C" w:rsidP="0096420C">
            <w:pPr>
              <w:pStyle w:val="DHHStabletext"/>
            </w:pPr>
            <w:r w:rsidRPr="00273438">
              <w:t>Store at room temperature</w:t>
            </w:r>
            <w:r>
              <w:t xml:space="preserve"> (below 30</w:t>
            </w:r>
            <w:r w:rsidRPr="00E54375">
              <w:rPr>
                <w:vertAlign w:val="superscript"/>
              </w:rPr>
              <w:t>o</w:t>
            </w:r>
            <w:r>
              <w:rPr>
                <w:vertAlign w:val="superscript"/>
              </w:rPr>
              <w:t> </w:t>
            </w:r>
            <w:r>
              <w:t>C)</w:t>
            </w:r>
          </w:p>
        </w:tc>
        <w:tc>
          <w:tcPr>
            <w:tcW w:w="4678" w:type="dxa"/>
          </w:tcPr>
          <w:p w14:paraId="007B141F" w14:textId="77777777" w:rsidR="0096420C" w:rsidRDefault="0096420C" w:rsidP="0096420C">
            <w:pPr>
              <w:pStyle w:val="DHHStabletext"/>
            </w:pPr>
            <w:r w:rsidRPr="00273438">
              <w:t>Store at room temperature</w:t>
            </w:r>
            <w:r>
              <w:t xml:space="preserve"> (below 25</w:t>
            </w:r>
            <w:r w:rsidRPr="00E54375">
              <w:rPr>
                <w:vertAlign w:val="superscript"/>
              </w:rPr>
              <w:t>o</w:t>
            </w:r>
            <w:r>
              <w:rPr>
                <w:vertAlign w:val="superscript"/>
              </w:rPr>
              <w:t> </w:t>
            </w:r>
            <w:r>
              <w:t>C)</w:t>
            </w:r>
          </w:p>
          <w:p w14:paraId="0CBF8A9C" w14:textId="77777777" w:rsidR="0096420C" w:rsidRPr="00273438" w:rsidRDefault="0096420C" w:rsidP="0096420C">
            <w:pPr>
              <w:pStyle w:val="DHHStabletext"/>
            </w:pPr>
            <w:r>
              <w:t>Do not refrigerate or freeze.</w:t>
            </w:r>
          </w:p>
        </w:tc>
        <w:tc>
          <w:tcPr>
            <w:tcW w:w="4541" w:type="dxa"/>
          </w:tcPr>
          <w:p w14:paraId="2570015B" w14:textId="77777777" w:rsidR="00280C0B" w:rsidRDefault="0096420C" w:rsidP="0096420C">
            <w:pPr>
              <w:pStyle w:val="DHHStabletext"/>
            </w:pPr>
            <w:r w:rsidRPr="00273438">
              <w:t>Cold storage requirements (2</w:t>
            </w:r>
            <w:r>
              <w:t>–</w:t>
            </w:r>
            <w:r w:rsidRPr="00273438">
              <w:t>8</w:t>
            </w:r>
            <w:r w:rsidRPr="00273438">
              <w:rPr>
                <w:vertAlign w:val="superscript"/>
              </w:rPr>
              <w:t>o</w:t>
            </w:r>
            <w:r w:rsidRPr="00E54375">
              <w:t>C</w:t>
            </w:r>
            <w:r w:rsidRPr="00273438">
              <w:t xml:space="preserve">). </w:t>
            </w:r>
          </w:p>
          <w:p w14:paraId="2CA924FE" w14:textId="77777777" w:rsidR="00280C0B" w:rsidRDefault="0096420C" w:rsidP="0096420C">
            <w:pPr>
              <w:pStyle w:val="DHHStabletext"/>
            </w:pPr>
            <w:r w:rsidRPr="00273438">
              <w:t xml:space="preserve">May be stored at room temperature (below </w:t>
            </w:r>
            <w:r>
              <w:t>25</w:t>
            </w:r>
            <w:r w:rsidRPr="00273438">
              <w:rPr>
                <w:vertAlign w:val="superscript"/>
              </w:rPr>
              <w:t>o</w:t>
            </w:r>
            <w:r w:rsidRPr="00273438">
              <w:t>C)</w:t>
            </w:r>
            <w:r>
              <w:t xml:space="preserve"> for up to </w:t>
            </w:r>
            <w:r w:rsidR="00280C0B">
              <w:t xml:space="preserve">either </w:t>
            </w:r>
            <w:r>
              <w:t xml:space="preserve">7 </w:t>
            </w:r>
            <w:r w:rsidR="00280C0B">
              <w:t xml:space="preserve">or 28 </w:t>
            </w:r>
            <w:r>
              <w:t>days before use</w:t>
            </w:r>
            <w:r w:rsidR="00280C0B">
              <w:t xml:space="preserve"> (check individual package for details)</w:t>
            </w:r>
            <w:r>
              <w:t xml:space="preserve">. </w:t>
            </w:r>
          </w:p>
          <w:p w14:paraId="2B352FA2" w14:textId="6FE12DDB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273438">
              <w:t>Remove from cold storage for at least 1</w:t>
            </w:r>
            <w:r>
              <w:t>5 minutes prior to SC injection.</w:t>
            </w:r>
          </w:p>
        </w:tc>
      </w:tr>
      <w:tr w:rsidR="0096420C" w:rsidRPr="00273438" w14:paraId="5838D2ED" w14:textId="77777777" w:rsidTr="0096420C">
        <w:trPr>
          <w:cantSplit/>
        </w:trPr>
        <w:tc>
          <w:tcPr>
            <w:tcW w:w="2171" w:type="dxa"/>
          </w:tcPr>
          <w:p w14:paraId="37BB5E5F" w14:textId="77777777" w:rsidR="0096420C" w:rsidRPr="004C6719" w:rsidRDefault="0096420C" w:rsidP="0096420C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</w:rPr>
              <w:t xml:space="preserve">Clinical pharmacology </w:t>
            </w:r>
          </w:p>
        </w:tc>
        <w:tc>
          <w:tcPr>
            <w:tcW w:w="3641" w:type="dxa"/>
          </w:tcPr>
          <w:p w14:paraId="2A2036EC" w14:textId="77777777" w:rsidR="0096420C" w:rsidRPr="00273438" w:rsidRDefault="0096420C" w:rsidP="0096420C">
            <w:pPr>
              <w:pStyle w:val="DHHStabletext"/>
            </w:pPr>
            <w:r w:rsidRPr="00273438">
              <w:t>Bioavailability 10</w:t>
            </w:r>
            <w:r>
              <w:t>–</w:t>
            </w:r>
            <w:r w:rsidRPr="00273438">
              <w:t>30%</w:t>
            </w:r>
          </w:p>
          <w:p w14:paraId="30E7B3C8" w14:textId="77777777" w:rsidR="0096420C" w:rsidRPr="00273438" w:rsidRDefault="0096420C" w:rsidP="0096420C">
            <w:pPr>
              <w:pStyle w:val="DHHStabletext"/>
            </w:pPr>
          </w:p>
          <w:p w14:paraId="43E8D466" w14:textId="77777777" w:rsidR="0096420C" w:rsidRPr="00273438" w:rsidRDefault="0096420C" w:rsidP="0096420C">
            <w:pPr>
              <w:pStyle w:val="DHHStabletext"/>
            </w:pPr>
            <w:r w:rsidRPr="00273438">
              <w:t>Onset effects within 1 hour, with pea</w:t>
            </w:r>
            <w:r>
              <w:t>k effects 2-4 hours after dose.</w:t>
            </w:r>
          </w:p>
          <w:p w14:paraId="5629379A" w14:textId="77777777" w:rsidR="0096420C" w:rsidRPr="00273438" w:rsidRDefault="0096420C" w:rsidP="0096420C">
            <w:pPr>
              <w:pStyle w:val="DHHStabletext"/>
            </w:pPr>
          </w:p>
          <w:p w14:paraId="0646F407" w14:textId="77777777" w:rsidR="0096420C" w:rsidRPr="00273438" w:rsidRDefault="0096420C" w:rsidP="0096420C">
            <w:pPr>
              <w:pStyle w:val="DHHStabletext"/>
            </w:pPr>
            <w:r w:rsidRPr="00273438">
              <w:t>Duration effects usually 24 hours but dose dependent and</w:t>
            </w:r>
            <w:r>
              <w:t xml:space="preserve"> can vary from 8 to 72 hours.</w:t>
            </w:r>
          </w:p>
        </w:tc>
        <w:tc>
          <w:tcPr>
            <w:tcW w:w="4678" w:type="dxa"/>
          </w:tcPr>
          <w:p w14:paraId="6B0C654A" w14:textId="77777777" w:rsidR="0096420C" w:rsidRPr="00273438" w:rsidRDefault="0096420C" w:rsidP="0096420C">
            <w:pPr>
              <w:pStyle w:val="DHHStabletext"/>
              <w:rPr>
                <w:lang w:val="en-US"/>
              </w:rPr>
            </w:pPr>
            <w:r w:rsidRPr="00273438">
              <w:rPr>
                <w:lang w:val="en-US"/>
              </w:rPr>
              <w:t>Bioavailability = 100%</w:t>
            </w:r>
          </w:p>
          <w:p w14:paraId="5596C34A" w14:textId="77777777" w:rsidR="0096420C" w:rsidRPr="00273438" w:rsidRDefault="0096420C" w:rsidP="0096420C">
            <w:pPr>
              <w:pStyle w:val="DHHStabletext"/>
              <w:rPr>
                <w:lang w:val="en-US"/>
              </w:rPr>
            </w:pPr>
            <w:r w:rsidRPr="00273438">
              <w:rPr>
                <w:lang w:val="en-US"/>
              </w:rPr>
              <w:t>Time to peak plasma level (t</w:t>
            </w:r>
            <w:r w:rsidRPr="00F03AA4">
              <w:rPr>
                <w:position w:val="-2"/>
                <w:vertAlign w:val="subscript"/>
                <w:lang w:val="en-US"/>
              </w:rPr>
              <w:t>max</w:t>
            </w:r>
            <w:r w:rsidRPr="00273438">
              <w:rPr>
                <w:lang w:val="en-US"/>
              </w:rPr>
              <w:t>)</w:t>
            </w:r>
          </w:p>
          <w:p w14:paraId="13CECE05" w14:textId="77777777" w:rsidR="0096420C" w:rsidRPr="00F03AA4" w:rsidRDefault="0096420C" w:rsidP="0096420C">
            <w:pPr>
              <w:pStyle w:val="DHHStabletext"/>
              <w:ind w:left="284"/>
              <w:rPr>
                <w:lang w:val="en-US"/>
              </w:rPr>
            </w:pPr>
            <w:r w:rsidRPr="00F03AA4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F03AA4">
              <w:rPr>
                <w:lang w:val="en-US"/>
              </w:rPr>
              <w:t xml:space="preserve"> Weekly = 24hrs</w:t>
            </w:r>
          </w:p>
          <w:p w14:paraId="7FC24B03" w14:textId="77777777" w:rsidR="0096420C" w:rsidRPr="00F03AA4" w:rsidRDefault="0096420C" w:rsidP="0096420C">
            <w:pPr>
              <w:pStyle w:val="DHHStabletext"/>
              <w:ind w:left="284"/>
              <w:rPr>
                <w:lang w:val="en-US"/>
              </w:rPr>
            </w:pPr>
            <w:r w:rsidRPr="00F03AA4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F03AA4">
              <w:rPr>
                <w:lang w:val="en-US"/>
              </w:rPr>
              <w:t xml:space="preserve"> Monthly = 6</w:t>
            </w:r>
            <w:r>
              <w:rPr>
                <w:lang w:val="en-US"/>
              </w:rPr>
              <w:t>–</w:t>
            </w:r>
            <w:r w:rsidRPr="00F03AA4">
              <w:rPr>
                <w:lang w:val="en-US"/>
              </w:rPr>
              <w:t>10 hrs</w:t>
            </w:r>
          </w:p>
          <w:p w14:paraId="5BC4B0F1" w14:textId="77777777" w:rsidR="0096420C" w:rsidRDefault="0096420C" w:rsidP="0096420C">
            <w:pPr>
              <w:pStyle w:val="DHHStabletext"/>
              <w:rPr>
                <w:lang w:val="en-US"/>
              </w:rPr>
            </w:pPr>
            <w:r>
              <w:rPr>
                <w:lang w:val="en-US"/>
              </w:rPr>
              <w:t>Half life</w:t>
            </w:r>
          </w:p>
          <w:p w14:paraId="23C4FB53" w14:textId="77777777" w:rsidR="0096420C" w:rsidRPr="00F03AA4" w:rsidRDefault="0096420C" w:rsidP="0096420C">
            <w:pPr>
              <w:pStyle w:val="DHHStabletext"/>
              <w:ind w:left="284"/>
              <w:rPr>
                <w:lang w:val="en-US"/>
              </w:rPr>
            </w:pPr>
            <w:r w:rsidRPr="00F03AA4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F03AA4">
              <w:rPr>
                <w:lang w:val="en-US"/>
              </w:rPr>
              <w:t xml:space="preserve"> Weekly = 3</w:t>
            </w:r>
            <w:r>
              <w:rPr>
                <w:lang w:val="en-US"/>
              </w:rPr>
              <w:t>–</w:t>
            </w:r>
            <w:r w:rsidRPr="00F03AA4">
              <w:rPr>
                <w:lang w:val="en-US"/>
              </w:rPr>
              <w:t>5 days</w:t>
            </w:r>
          </w:p>
          <w:p w14:paraId="56EA5699" w14:textId="77777777" w:rsidR="0096420C" w:rsidRPr="00F03AA4" w:rsidRDefault="0096420C" w:rsidP="0096420C">
            <w:pPr>
              <w:pStyle w:val="DHHStabletext"/>
              <w:ind w:left="284"/>
              <w:rPr>
                <w:lang w:val="en-US"/>
              </w:rPr>
            </w:pPr>
            <w:r w:rsidRPr="00F03AA4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F03AA4">
              <w:rPr>
                <w:lang w:val="en-US"/>
              </w:rPr>
              <w:t xml:space="preserve"> Monthly = 19</w:t>
            </w:r>
            <w:r>
              <w:rPr>
                <w:lang w:val="en-US"/>
              </w:rPr>
              <w:t>–</w:t>
            </w:r>
            <w:r w:rsidRPr="00F03AA4">
              <w:rPr>
                <w:lang w:val="en-US"/>
              </w:rPr>
              <w:t>25 days</w:t>
            </w:r>
          </w:p>
          <w:p w14:paraId="7709154E" w14:textId="77777777" w:rsidR="0096420C" w:rsidRPr="00273438" w:rsidRDefault="0096420C" w:rsidP="0096420C">
            <w:pPr>
              <w:pStyle w:val="DHHStabletext"/>
              <w:rPr>
                <w:lang w:val="en-US"/>
              </w:rPr>
            </w:pPr>
            <w:r w:rsidRPr="00273438">
              <w:rPr>
                <w:lang w:val="en-US"/>
              </w:rPr>
              <w:t xml:space="preserve">Steady-state equilibrium by </w:t>
            </w:r>
            <w:r>
              <w:rPr>
                <w:lang w:val="en-US"/>
              </w:rPr>
              <w:t>4</w:t>
            </w:r>
            <w:r w:rsidRPr="00F03AA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dose</w:t>
            </w:r>
          </w:p>
        </w:tc>
        <w:tc>
          <w:tcPr>
            <w:tcW w:w="4541" w:type="dxa"/>
          </w:tcPr>
          <w:p w14:paraId="3283367E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022DAC">
              <w:rPr>
                <w:rFonts w:cs="Calibri Light"/>
              </w:rPr>
              <w:t>Bioavailability = 100%</w:t>
            </w:r>
          </w:p>
          <w:p w14:paraId="6ECE3BA3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022DAC">
              <w:rPr>
                <w:rFonts w:cs="Calibri Light"/>
              </w:rPr>
              <w:t>Time to peak plasma levels (</w:t>
            </w:r>
            <w:r w:rsidRPr="00273438">
              <w:rPr>
                <w:lang w:val="en-US"/>
              </w:rPr>
              <w:t>(t</w:t>
            </w:r>
            <w:r w:rsidRPr="00F03AA4">
              <w:rPr>
                <w:position w:val="-2"/>
                <w:vertAlign w:val="subscript"/>
                <w:lang w:val="en-US"/>
              </w:rPr>
              <w:t>max</w:t>
            </w:r>
            <w:r w:rsidRPr="00022DAC">
              <w:rPr>
                <w:rFonts w:cs="Calibri Light"/>
              </w:rPr>
              <w:t>) = 24hrs</w:t>
            </w:r>
          </w:p>
          <w:p w14:paraId="78D2E16F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022DAC">
              <w:rPr>
                <w:rFonts w:cs="Calibri Light"/>
              </w:rPr>
              <w:t xml:space="preserve">Half-life = </w:t>
            </w:r>
            <w:r>
              <w:t>43 to 60 days</w:t>
            </w:r>
          </w:p>
          <w:p w14:paraId="4D1F5E07" w14:textId="77777777" w:rsidR="0096420C" w:rsidRDefault="0096420C" w:rsidP="0096420C">
            <w:pPr>
              <w:pStyle w:val="DHHStabletext"/>
            </w:pPr>
          </w:p>
          <w:p w14:paraId="47671260" w14:textId="77777777" w:rsidR="0096420C" w:rsidRPr="00273438" w:rsidRDefault="0096420C" w:rsidP="0096420C">
            <w:pPr>
              <w:pStyle w:val="DHHStabletext"/>
            </w:pPr>
            <w:r w:rsidRPr="00FB73F3">
              <w:t>Steady</w:t>
            </w:r>
            <w:r w:rsidRPr="00FB73F3">
              <w:rPr>
                <w:rFonts w:ascii="Cambria Math" w:hAnsi="Cambria Math" w:cs="Cambria Math"/>
              </w:rPr>
              <w:t>‐</w:t>
            </w:r>
            <w:r w:rsidRPr="00FB73F3">
              <w:t xml:space="preserve">state </w:t>
            </w:r>
            <w:r w:rsidRPr="00FB73F3">
              <w:rPr>
                <w:lang w:val="en-US"/>
              </w:rPr>
              <w:t xml:space="preserve">equilibrium </w:t>
            </w:r>
            <w:r w:rsidRPr="00FB73F3">
              <w:t>by 4</w:t>
            </w:r>
            <w:r w:rsidRPr="00FB73F3">
              <w:rPr>
                <w:vertAlign w:val="superscript"/>
              </w:rPr>
              <w:t>th</w:t>
            </w:r>
            <w:r w:rsidRPr="00FB73F3">
              <w:t xml:space="preserve"> </w:t>
            </w:r>
            <w:r>
              <w:t xml:space="preserve">(300/100 mg) </w:t>
            </w:r>
            <w:r w:rsidRPr="00FB73F3">
              <w:t>to 6</w:t>
            </w:r>
            <w:r w:rsidRPr="00FB73F3">
              <w:rPr>
                <w:vertAlign w:val="superscript"/>
              </w:rPr>
              <w:t>th</w:t>
            </w:r>
            <w:r w:rsidRPr="00FB73F3">
              <w:t xml:space="preserve"> dose</w:t>
            </w:r>
            <w:r>
              <w:t xml:space="preserve"> (300/300 mg)</w:t>
            </w:r>
          </w:p>
        </w:tc>
      </w:tr>
      <w:tr w:rsidR="0096420C" w:rsidRPr="00273438" w14:paraId="11660DE3" w14:textId="77777777" w:rsidTr="0096420C">
        <w:tc>
          <w:tcPr>
            <w:tcW w:w="2171" w:type="dxa"/>
          </w:tcPr>
          <w:p w14:paraId="1700B713" w14:textId="77777777" w:rsidR="0096420C" w:rsidRPr="004C6719" w:rsidRDefault="0096420C" w:rsidP="0096420C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</w:rPr>
              <w:lastRenderedPageBreak/>
              <w:t>Frequency of dosing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117C19BD" w14:textId="77777777" w:rsidR="0096420C" w:rsidRPr="00273438" w:rsidRDefault="0096420C" w:rsidP="0096420C">
            <w:pPr>
              <w:pStyle w:val="DHHStabletext"/>
            </w:pPr>
            <w:r>
              <w:t>Daily, two or three day doses</w:t>
            </w:r>
          </w:p>
          <w:p w14:paraId="60F42639" w14:textId="77777777" w:rsidR="0096420C" w:rsidRPr="00273438" w:rsidRDefault="0096420C" w:rsidP="0096420C">
            <w:pPr>
              <w:pStyle w:val="DHHStabletext"/>
            </w:pPr>
            <w:r w:rsidRPr="00273438">
              <w:t>Take-aways and unsupervised dosing available for low risk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6B4C40" w14:textId="77777777" w:rsidR="0096420C" w:rsidRPr="00273438" w:rsidRDefault="0096420C" w:rsidP="0096420C">
            <w:pPr>
              <w:pStyle w:val="DHHStabletext"/>
              <w:rPr>
                <w:lang w:val="en-US"/>
              </w:rPr>
            </w:pPr>
            <w:r w:rsidRPr="00273438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273438">
              <w:rPr>
                <w:lang w:val="en-US"/>
              </w:rPr>
              <w:t xml:space="preserve"> </w:t>
            </w:r>
            <w:r>
              <w:rPr>
                <w:lang w:val="en-US"/>
              </w:rPr>
              <w:t>Weekly dose</w:t>
            </w:r>
            <w:r w:rsidRPr="00273438">
              <w:rPr>
                <w:lang w:val="en-US"/>
              </w:rPr>
              <w:t xml:space="preserve"> can be </w:t>
            </w:r>
            <w:r>
              <w:rPr>
                <w:lang w:val="en-US"/>
              </w:rPr>
              <w:t xml:space="preserve">administered </w:t>
            </w:r>
            <w:r w:rsidRPr="00273438">
              <w:rPr>
                <w:lang w:val="en-US"/>
              </w:rPr>
              <w:t>every 7±2 days (5</w:t>
            </w:r>
            <w:r>
              <w:rPr>
                <w:lang w:val="en-US"/>
              </w:rPr>
              <w:t>–</w:t>
            </w:r>
            <w:r w:rsidRPr="00273438">
              <w:rPr>
                <w:lang w:val="en-US"/>
              </w:rPr>
              <w:t>9 day schedule)</w:t>
            </w:r>
          </w:p>
          <w:p w14:paraId="5C58EA2C" w14:textId="77777777" w:rsidR="0096420C" w:rsidRPr="00273438" w:rsidRDefault="0096420C" w:rsidP="0096420C">
            <w:pPr>
              <w:pStyle w:val="DHHStabletext"/>
              <w:rPr>
                <w:lang w:val="en-US"/>
              </w:rPr>
            </w:pPr>
            <w:r w:rsidRPr="00273438">
              <w:rPr>
                <w:lang w:val="en-US"/>
              </w:rP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273438">
              <w:rPr>
                <w:lang w:val="en-US"/>
              </w:rPr>
              <w:t xml:space="preserve"> </w:t>
            </w:r>
            <w:r>
              <w:rPr>
                <w:lang w:val="en-US"/>
              </w:rPr>
              <w:t>Monthly</w:t>
            </w:r>
            <w:r w:rsidRPr="0027343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dose </w:t>
            </w:r>
            <w:r w:rsidRPr="00273438">
              <w:rPr>
                <w:lang w:val="en-US"/>
              </w:rPr>
              <w:t xml:space="preserve">can be </w:t>
            </w:r>
            <w:r>
              <w:rPr>
                <w:lang w:val="en-US"/>
              </w:rPr>
              <w:t xml:space="preserve">administered </w:t>
            </w:r>
            <w:r w:rsidRPr="00273438">
              <w:rPr>
                <w:lang w:val="en-US"/>
              </w:rPr>
              <w:t>every 4±1 weeks (3</w:t>
            </w:r>
            <w:r>
              <w:rPr>
                <w:lang w:val="en-US"/>
              </w:rPr>
              <w:t>–</w:t>
            </w:r>
            <w:r w:rsidRPr="00273438">
              <w:rPr>
                <w:lang w:val="en-US"/>
              </w:rPr>
              <w:t>5 week schedule)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A1C794B" w14:textId="77777777" w:rsidR="0096420C" w:rsidRPr="00022DAC" w:rsidRDefault="0096420C" w:rsidP="0096420C">
            <w:pPr>
              <w:pStyle w:val="DHHStabletext"/>
              <w:rPr>
                <w:rFonts w:cs="Calibri Light"/>
              </w:rPr>
            </w:pPr>
            <w:r w:rsidRPr="00022DAC">
              <w:rPr>
                <w:rFonts w:cs="Calibri Light"/>
              </w:rPr>
              <w:t>Sublocade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022DAC">
              <w:rPr>
                <w:rFonts w:cs="Calibri Light"/>
              </w:rPr>
              <w:t xml:space="preserve"> dosed every 4</w:t>
            </w:r>
            <w:r w:rsidRPr="00F80241">
              <w:rPr>
                <w:lang w:val="en-US"/>
              </w:rPr>
              <w:t xml:space="preserve"> </w:t>
            </w:r>
            <w:r w:rsidRPr="00022DAC">
              <w:rPr>
                <w:rFonts w:cs="Calibri Light"/>
              </w:rPr>
              <w:t>weeks (26</w:t>
            </w:r>
            <w:r>
              <w:rPr>
                <w:rFonts w:cs="Calibri Light"/>
              </w:rPr>
              <w:t>–</w:t>
            </w:r>
            <w:r w:rsidRPr="00022DAC">
              <w:rPr>
                <w:rFonts w:cs="Calibri Light"/>
              </w:rPr>
              <w:t>42 day schedule)</w:t>
            </w:r>
          </w:p>
        </w:tc>
      </w:tr>
      <w:tr w:rsidR="0096420C" w:rsidRPr="00273438" w14:paraId="25A6E504" w14:textId="77777777" w:rsidTr="0096420C">
        <w:tc>
          <w:tcPr>
            <w:tcW w:w="2171" w:type="dxa"/>
          </w:tcPr>
          <w:p w14:paraId="132F7690" w14:textId="77777777" w:rsidR="0096420C" w:rsidRPr="004C6719" w:rsidRDefault="0096420C" w:rsidP="0096420C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  <w:sz w:val="21"/>
                <w:szCs w:val="21"/>
              </w:rPr>
              <w:t>Key drug–drug interactions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1EE43587" w14:textId="77777777" w:rsidR="0096420C" w:rsidRPr="00273438" w:rsidRDefault="0096420C" w:rsidP="0096420C">
            <w:pPr>
              <w:pStyle w:val="DHHStabletext"/>
            </w:pPr>
            <w:r w:rsidRPr="00273438">
              <w:t xml:space="preserve">Systemic BPN DDI include: </w:t>
            </w:r>
          </w:p>
          <w:p w14:paraId="33E62CE6" w14:textId="77777777" w:rsidR="0096420C" w:rsidRPr="00273438" w:rsidRDefault="0096420C" w:rsidP="0096420C">
            <w:pPr>
              <w:pStyle w:val="DHHStabletext"/>
            </w:pPr>
            <w:r w:rsidRPr="00273438">
              <w:t>Opioids agonists: can reduce effects other opioids (blockade); BPN may precipitate withdrawal on induction</w:t>
            </w:r>
            <w:r>
              <w:t>.</w:t>
            </w:r>
            <w:r w:rsidRPr="00273438">
              <w:t xml:space="preserve"> </w:t>
            </w:r>
          </w:p>
          <w:p w14:paraId="20553784" w14:textId="77777777" w:rsidR="0096420C" w:rsidRPr="00273438" w:rsidRDefault="0096420C" w:rsidP="0096420C">
            <w:pPr>
              <w:pStyle w:val="DHHStabletext"/>
            </w:pPr>
            <w:r w:rsidRPr="00273438">
              <w:t>Sedatives (e.g. benzodiazepines, alcohol, TCAs, antipsychotics</w:t>
            </w:r>
            <w:r>
              <w:t>, gabapentinoids</w:t>
            </w:r>
            <w:r w:rsidRPr="00273438">
              <w:t>): sedation, respiratory depression, overdose</w:t>
            </w:r>
            <w:r>
              <w:t>.</w:t>
            </w:r>
          </w:p>
          <w:p w14:paraId="003F9321" w14:textId="77777777" w:rsidR="0096420C" w:rsidRDefault="0096420C" w:rsidP="0096420C">
            <w:pPr>
              <w:pStyle w:val="DHHStabletext"/>
            </w:pPr>
            <w:r w:rsidRPr="00234990">
              <w:t xml:space="preserve">A number of potential DDI can occur but </w:t>
            </w:r>
            <w:r>
              <w:t xml:space="preserve">are rarely </w:t>
            </w:r>
            <w:r w:rsidRPr="00234990">
              <w:t xml:space="preserve">of clinical </w:t>
            </w:r>
            <w:r w:rsidRPr="006F757C">
              <w:t>significance</w:t>
            </w:r>
            <w:r>
              <w:t xml:space="preserve"> (e.g. medications that </w:t>
            </w:r>
            <w:r w:rsidRPr="00234990">
              <w:t>induce or inhibit CYP450</w:t>
            </w:r>
            <w:r w:rsidRPr="00D9650B">
              <w:t xml:space="preserve"> </w:t>
            </w:r>
            <w:r>
              <w:t xml:space="preserve">and </w:t>
            </w:r>
            <w:r w:rsidRPr="00D9650B">
              <w:t>can lower or increase BPN plasma levels</w:t>
            </w:r>
            <w:r w:rsidRPr="00234990">
              <w:t>);</w:t>
            </w:r>
            <w:r>
              <w:t xml:space="preserve"> or are rare (e.g. </w:t>
            </w:r>
            <w:r w:rsidRPr="006F757C">
              <w:t>serotonergic syndrome</w:t>
            </w:r>
            <w:r>
              <w:t xml:space="preserve"> in</w:t>
            </w:r>
            <w:r w:rsidRPr="006F757C">
              <w:t xml:space="preserve"> combin</w:t>
            </w:r>
            <w:r>
              <w:t xml:space="preserve">ation </w:t>
            </w:r>
            <w:r w:rsidRPr="006F757C">
              <w:t xml:space="preserve">with medication such as SSRIs, </w:t>
            </w:r>
            <w:r>
              <w:t xml:space="preserve">MAOIs, </w:t>
            </w:r>
            <w:r w:rsidRPr="006F757C">
              <w:t xml:space="preserve">tramadol; </w:t>
            </w:r>
            <w:r w:rsidRPr="00234990">
              <w:t>or medications that can cause QT prolongation and increase risk of cardia arrhythmias</w:t>
            </w:r>
            <w:r>
              <w:t>).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FC1A1A" w14:textId="77777777" w:rsidR="0096420C" w:rsidRDefault="0096420C" w:rsidP="0096420C">
            <w:pPr>
              <w:pStyle w:val="DHHStabletext"/>
              <w:rPr>
                <w:rFonts w:eastAsia="Times"/>
                <w:b/>
                <w:bCs/>
                <w:vertAlign w:val="superscript"/>
              </w:rPr>
            </w:pPr>
            <w:r>
              <w:rPr>
                <w:lang w:val="en-US"/>
              </w:rPr>
              <w:t>As for SL Suboxone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>
              <w:rPr>
                <w:lang w:val="en-US"/>
              </w:rPr>
              <w:t xml:space="preserve"> and Subutex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</w:p>
          <w:p w14:paraId="30C245A2" w14:textId="77777777" w:rsidR="00280C0B" w:rsidRDefault="0096420C" w:rsidP="0096420C">
            <w:pPr>
              <w:pStyle w:val="DHHStabletext"/>
            </w:pPr>
            <w:r w:rsidRPr="008A3AE5">
              <w:t xml:space="preserve">Long duration of effects of </w:t>
            </w:r>
            <w:r w:rsidRPr="00883F16">
              <w:rPr>
                <w:rFonts w:cs="Calibri Light"/>
              </w:rPr>
              <w:t xml:space="preserve">from </w:t>
            </w:r>
            <w:r>
              <w:t>LAIB</w:t>
            </w:r>
            <w:r w:rsidRPr="008A3AE5">
              <w:t xml:space="preserve"> products precludes timely dose adjustment</w:t>
            </w:r>
            <w:r>
              <w:t xml:space="preserve"> for </w:t>
            </w:r>
            <w:r w:rsidRPr="00273438">
              <w:t xml:space="preserve">DDI. </w:t>
            </w:r>
          </w:p>
          <w:p w14:paraId="5F822B5D" w14:textId="20351DBB" w:rsidR="0096420C" w:rsidRPr="004C6719" w:rsidRDefault="0096420C" w:rsidP="0096420C">
            <w:pPr>
              <w:pStyle w:val="DHHStabletext"/>
              <w:rPr>
                <w:lang w:val="en-US"/>
              </w:rPr>
            </w:pPr>
            <w:r w:rsidRPr="00273438">
              <w:t xml:space="preserve">If concerned re: potential DDI – initiate treatment with ‘short acting’ SL BPN for 1-4 weeks, monitor DDI and adjust medications accordingly, prior to transfer to </w:t>
            </w:r>
            <w:r w:rsidRPr="00565492">
              <w:t>lo</w:t>
            </w:r>
            <w:r>
              <w:t>ng-acting</w:t>
            </w:r>
            <w:r w:rsidRPr="00273438">
              <w:t xml:space="preserve"> injection.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1FC687CC" w14:textId="77777777" w:rsidR="0096420C" w:rsidRDefault="0096420C" w:rsidP="0096420C">
            <w:pPr>
              <w:pStyle w:val="DHHStabletext"/>
              <w:rPr>
                <w:rFonts w:eastAsia="Times"/>
                <w:b/>
                <w:bCs/>
                <w:vertAlign w:val="superscript"/>
              </w:rPr>
            </w:pPr>
            <w:r>
              <w:rPr>
                <w:lang w:val="en-US"/>
              </w:rPr>
              <w:t>As for SL Suboxone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>
              <w:rPr>
                <w:lang w:val="en-US"/>
              </w:rPr>
              <w:t xml:space="preserve"> and Subutex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</w:p>
          <w:p w14:paraId="568DFD23" w14:textId="77777777" w:rsidR="00280C0B" w:rsidRDefault="0096420C" w:rsidP="0096420C">
            <w:pPr>
              <w:pStyle w:val="DHHStabletext"/>
            </w:pPr>
            <w:r w:rsidRPr="008A3AE5">
              <w:t xml:space="preserve">Long duration of effects of </w:t>
            </w:r>
            <w:r w:rsidRPr="00883F16">
              <w:rPr>
                <w:rFonts w:cs="Calibri Light"/>
              </w:rPr>
              <w:t xml:space="preserve">from </w:t>
            </w:r>
            <w:r>
              <w:t>LAIB</w:t>
            </w:r>
            <w:r w:rsidRPr="008A3AE5">
              <w:t xml:space="preserve"> products precludes timely dose adjustment</w:t>
            </w:r>
            <w:r>
              <w:t xml:space="preserve"> for </w:t>
            </w:r>
            <w:r w:rsidRPr="00273438">
              <w:t xml:space="preserve">DDI. </w:t>
            </w:r>
          </w:p>
          <w:p w14:paraId="1E545E00" w14:textId="6FFCF69E" w:rsidR="0096420C" w:rsidRPr="004C6719" w:rsidRDefault="0096420C" w:rsidP="0096420C">
            <w:pPr>
              <w:pStyle w:val="DHHStabletext"/>
              <w:rPr>
                <w:rFonts w:cs="Calibri Light"/>
              </w:rPr>
            </w:pPr>
            <w:r w:rsidRPr="00273438">
              <w:t xml:space="preserve">If concerned re: potential DDI – initiate treatment with ‘short acting’ SL BPN for 1-4 weeks, monitor DDI and adjust medications accordingly, prior to transfer to </w:t>
            </w:r>
            <w:r w:rsidRPr="00565492">
              <w:t>lo</w:t>
            </w:r>
            <w:r>
              <w:t>ng-acting</w:t>
            </w:r>
            <w:r w:rsidRPr="00273438">
              <w:t xml:space="preserve"> injection.</w:t>
            </w:r>
          </w:p>
        </w:tc>
      </w:tr>
      <w:tr w:rsidR="009D0F54" w:rsidRPr="00273438" w14:paraId="0C90EF82" w14:textId="77777777" w:rsidTr="008B134B">
        <w:tc>
          <w:tcPr>
            <w:tcW w:w="2171" w:type="dxa"/>
          </w:tcPr>
          <w:p w14:paraId="4A710AD0" w14:textId="50E53297" w:rsidR="009D0F54" w:rsidRPr="004C6719" w:rsidRDefault="009D0F54" w:rsidP="009D0F54">
            <w:pPr>
              <w:pStyle w:val="DHHStabletext"/>
              <w:rPr>
                <w:b/>
                <w:bCs/>
                <w:sz w:val="21"/>
                <w:szCs w:val="21"/>
              </w:rPr>
            </w:pPr>
            <w:r w:rsidRPr="00E708CE">
              <w:rPr>
                <w:b/>
                <w:bCs/>
                <w:sz w:val="21"/>
                <w:szCs w:val="21"/>
              </w:rPr>
              <w:t>Key adverse events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03D2A6F2" w14:textId="77777777" w:rsidR="009D0F54" w:rsidRDefault="009D0F54" w:rsidP="009D0F54">
            <w:pPr>
              <w:pStyle w:val="DHHStabletext"/>
              <w:rPr>
                <w:sz w:val="21"/>
                <w:szCs w:val="21"/>
              </w:rPr>
            </w:pPr>
            <w:r w:rsidRPr="00273438">
              <w:rPr>
                <w:sz w:val="21"/>
                <w:szCs w:val="21"/>
              </w:rPr>
              <w:t xml:space="preserve">Systemic BPN </w:t>
            </w:r>
            <w:r>
              <w:rPr>
                <w:sz w:val="21"/>
                <w:szCs w:val="21"/>
              </w:rPr>
              <w:t>adverse events</w:t>
            </w:r>
          </w:p>
          <w:p w14:paraId="6DB8BBC8" w14:textId="435B4E75" w:rsidR="009D0F54" w:rsidRPr="00273438" w:rsidRDefault="009D0F54" w:rsidP="009D0F54">
            <w:pPr>
              <w:pStyle w:val="DHHStabletext"/>
            </w:pPr>
            <w:r>
              <w:rPr>
                <w:sz w:val="21"/>
                <w:szCs w:val="21"/>
              </w:rPr>
              <w:t>For example: nausea and vomiting, constipation, drowsiness, dizziness and headache.</w:t>
            </w:r>
          </w:p>
        </w:tc>
        <w:tc>
          <w:tcPr>
            <w:tcW w:w="9219" w:type="dxa"/>
            <w:gridSpan w:val="2"/>
            <w:tcBorders>
              <w:bottom w:val="single" w:sz="4" w:space="0" w:color="auto"/>
            </w:tcBorders>
          </w:tcPr>
          <w:p w14:paraId="14CD631F" w14:textId="77777777" w:rsidR="009D0F54" w:rsidRPr="003830B4" w:rsidRDefault="009D0F54" w:rsidP="009D0F54">
            <w:pPr>
              <w:pStyle w:val="DHHStabletext"/>
            </w:pPr>
            <w:r>
              <w:t>As for s</w:t>
            </w:r>
            <w:r w:rsidRPr="003830B4">
              <w:t>ystemic BPN adverse events</w:t>
            </w:r>
          </w:p>
          <w:p w14:paraId="266047CC" w14:textId="77777777" w:rsidR="009D0F54" w:rsidRPr="003830B4" w:rsidRDefault="009D0F54" w:rsidP="009D0F54">
            <w:pPr>
              <w:pStyle w:val="DHHStabletext"/>
            </w:pPr>
            <w:r w:rsidRPr="003830B4">
              <w:t>Local injection site</w:t>
            </w:r>
            <w:r>
              <w:t>:</w:t>
            </w:r>
          </w:p>
          <w:p w14:paraId="56AF250A" w14:textId="77777777" w:rsidR="009D0F54" w:rsidRPr="003830B4" w:rsidRDefault="009D0F54" w:rsidP="009D0F54">
            <w:pPr>
              <w:pStyle w:val="DHHStablebullet"/>
              <w:numPr>
                <w:ilvl w:val="0"/>
                <w:numId w:val="44"/>
              </w:numPr>
            </w:pPr>
            <w:r w:rsidRPr="003830B4">
              <w:t>Redness, pain, tenderness, swelling in approximately 5</w:t>
            </w:r>
            <w:r>
              <w:t>–</w:t>
            </w:r>
            <w:r w:rsidRPr="003830B4">
              <w:t>10% patients.</w:t>
            </w:r>
          </w:p>
          <w:p w14:paraId="63108A27" w14:textId="182CD8DC" w:rsidR="009D0F54" w:rsidRDefault="009D0F54" w:rsidP="009D0F54">
            <w:pPr>
              <w:pStyle w:val="DHHStabletext"/>
              <w:numPr>
                <w:ilvl w:val="0"/>
                <w:numId w:val="44"/>
              </w:numPr>
              <w:rPr>
                <w:lang w:val="en-US"/>
              </w:rPr>
            </w:pPr>
            <w:r w:rsidRPr="003830B4">
              <w:t>Usually mild and transient and resolves spontaneously</w:t>
            </w:r>
          </w:p>
        </w:tc>
      </w:tr>
    </w:tbl>
    <w:p w14:paraId="0334D8FD" w14:textId="1D750DF8" w:rsidR="009D0F54" w:rsidRDefault="009D0F54"/>
    <w:p w14:paraId="2EA5B572" w14:textId="262E926F" w:rsidR="009D0F54" w:rsidRDefault="009D0F54"/>
    <w:p w14:paraId="63B472C1" w14:textId="2DBCB226" w:rsidR="009D0F54" w:rsidRDefault="009D0F54"/>
    <w:p w14:paraId="3B0B2DDA" w14:textId="77777777" w:rsidR="009D0F54" w:rsidRDefault="009D0F54"/>
    <w:p w14:paraId="3FB7C42B" w14:textId="77777777" w:rsidR="009D0F54" w:rsidRDefault="009D0F54"/>
    <w:tbl>
      <w:tblPr>
        <w:tblStyle w:val="TableGrid"/>
        <w:tblW w:w="15031" w:type="dxa"/>
        <w:tblInd w:w="-572" w:type="dxa"/>
        <w:tblLook w:val="04A0" w:firstRow="1" w:lastRow="0" w:firstColumn="1" w:lastColumn="0" w:noHBand="0" w:noVBand="1"/>
      </w:tblPr>
      <w:tblGrid>
        <w:gridCol w:w="2171"/>
        <w:gridCol w:w="3641"/>
        <w:gridCol w:w="4678"/>
        <w:gridCol w:w="4541"/>
      </w:tblGrid>
      <w:tr w:rsidR="009D0F54" w:rsidRPr="00273438" w14:paraId="43CBF30F" w14:textId="77777777" w:rsidTr="0096420C">
        <w:tc>
          <w:tcPr>
            <w:tcW w:w="2171" w:type="dxa"/>
            <w:tcBorders>
              <w:bottom w:val="single" w:sz="4" w:space="0" w:color="auto"/>
            </w:tcBorders>
          </w:tcPr>
          <w:p w14:paraId="02DAE80E" w14:textId="77777777" w:rsidR="009D0F54" w:rsidRDefault="009D0F54" w:rsidP="009D0F54">
            <w:pPr>
              <w:pStyle w:val="DHHStabletext"/>
              <w:rPr>
                <w:b/>
                <w:bCs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23052379" w14:textId="3265C783" w:rsidR="009D0F54" w:rsidRPr="009D0F54" w:rsidRDefault="009D0F54" w:rsidP="009D0F54">
            <w:pPr>
              <w:pStyle w:val="DHHStabletext"/>
              <w:rPr>
                <w:b/>
                <w:bCs/>
              </w:rPr>
            </w:pPr>
            <w:r w:rsidRPr="009D0F54">
              <w:rPr>
                <w:b/>
                <w:bCs/>
                <w:color w:val="404040" w:themeColor="text1" w:themeTint="BF"/>
              </w:rPr>
              <w:t>SL Suboxone</w:t>
            </w:r>
            <w:r w:rsidRPr="009D0F54">
              <w:rPr>
                <w:b/>
                <w:bCs/>
                <w:color w:val="404040" w:themeColor="text1" w:themeTint="BF"/>
                <w:vertAlign w:val="superscript"/>
              </w:rPr>
              <w:t>®</w:t>
            </w:r>
            <w:r w:rsidRPr="009D0F54">
              <w:rPr>
                <w:b/>
                <w:bCs/>
                <w:color w:val="404040" w:themeColor="text1" w:themeTint="BF"/>
              </w:rPr>
              <w:t xml:space="preserve"> and Subutex</w:t>
            </w:r>
            <w:r w:rsidRPr="009D0F54">
              <w:rPr>
                <w:b/>
                <w:bCs/>
                <w:color w:val="404040" w:themeColor="text1" w:themeTint="BF"/>
                <w:vertAlign w:val="superscript"/>
              </w:rPr>
              <w:t xml:space="preserve"> ®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72EB041" w14:textId="05A3C72F" w:rsidR="009D0F54" w:rsidRPr="009D0F54" w:rsidRDefault="009D0F54" w:rsidP="009D0F54">
            <w:pPr>
              <w:pStyle w:val="DHHStabletext"/>
              <w:rPr>
                <w:b/>
                <w:bCs/>
              </w:rPr>
            </w:pPr>
            <w:r w:rsidRPr="009D0F54">
              <w:rPr>
                <w:b/>
                <w:bCs/>
                <w:color w:val="404040" w:themeColor="text1" w:themeTint="BF"/>
              </w:rPr>
              <w:t>Buvidal</w:t>
            </w:r>
            <w:r w:rsidRPr="009D0F54">
              <w:rPr>
                <w:b/>
                <w:bCs/>
                <w:color w:val="404040" w:themeColor="text1" w:themeTint="BF"/>
                <w:vertAlign w:val="superscript"/>
              </w:rPr>
              <w:t xml:space="preserve"> ®</w:t>
            </w:r>
            <w:r w:rsidRPr="009D0F54">
              <w:rPr>
                <w:b/>
                <w:bCs/>
                <w:color w:val="404040" w:themeColor="text1" w:themeTint="BF"/>
              </w:rPr>
              <w:t xml:space="preserve"> Weekly and Monthly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52C692E" w14:textId="771CFA56" w:rsidR="009D0F54" w:rsidRPr="009D0F54" w:rsidRDefault="009D0F54" w:rsidP="009D0F54">
            <w:pPr>
              <w:pStyle w:val="DHHStabletext"/>
              <w:rPr>
                <w:b/>
                <w:bCs/>
              </w:rPr>
            </w:pPr>
            <w:r w:rsidRPr="009D0F54">
              <w:rPr>
                <w:b/>
                <w:bCs/>
                <w:color w:val="404040" w:themeColor="text1" w:themeTint="BF"/>
              </w:rPr>
              <w:t>Sublocade</w:t>
            </w:r>
            <w:r w:rsidRPr="009D0F54">
              <w:rPr>
                <w:b/>
                <w:bCs/>
                <w:color w:val="404040" w:themeColor="text1" w:themeTint="BF"/>
                <w:vertAlign w:val="superscript"/>
              </w:rPr>
              <w:t xml:space="preserve"> ®</w:t>
            </w:r>
          </w:p>
        </w:tc>
      </w:tr>
      <w:tr w:rsidR="009D0F54" w:rsidRPr="00273438" w14:paraId="5D53FA78" w14:textId="77777777" w:rsidTr="0096420C">
        <w:tc>
          <w:tcPr>
            <w:tcW w:w="2171" w:type="dxa"/>
            <w:tcBorders>
              <w:bottom w:val="single" w:sz="4" w:space="0" w:color="auto"/>
            </w:tcBorders>
          </w:tcPr>
          <w:p w14:paraId="0EAC9B14" w14:textId="2881911F" w:rsidR="009D0F54" w:rsidRPr="004C6719" w:rsidRDefault="009D0F54" w:rsidP="009D0F54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4C6719">
              <w:rPr>
                <w:b/>
                <w:bCs/>
              </w:rPr>
              <w:t>osing regimen</w:t>
            </w:r>
            <w:r>
              <w:rPr>
                <w:b/>
                <w:bCs/>
              </w:rPr>
              <w:t>:</w:t>
            </w:r>
          </w:p>
          <w:p w14:paraId="0EC612D4" w14:textId="77777777" w:rsidR="009D0F54" w:rsidRPr="003830B4" w:rsidRDefault="009D0F54" w:rsidP="009D0F54">
            <w:pPr>
              <w:pStyle w:val="DHHStabletext"/>
            </w:pPr>
            <w:r w:rsidRPr="004C6719">
              <w:rPr>
                <w:b/>
                <w:bCs/>
              </w:rPr>
              <w:t>Commencing treatment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5FCD0A35" w14:textId="77777777" w:rsidR="009D0F54" w:rsidRPr="003830B4" w:rsidRDefault="009D0F54" w:rsidP="009D0F54">
            <w:pPr>
              <w:pStyle w:val="DHHStabletext"/>
            </w:pPr>
            <w:r w:rsidRPr="003830B4">
              <w:t xml:space="preserve">From heroin, morphine: </w:t>
            </w:r>
          </w:p>
          <w:p w14:paraId="580D8020" w14:textId="77777777" w:rsidR="009D0F54" w:rsidRPr="003830B4" w:rsidRDefault="009D0F54" w:rsidP="009D0F54">
            <w:pPr>
              <w:pStyle w:val="DHHStabletext"/>
            </w:pPr>
            <w:r w:rsidRPr="003830B4">
              <w:t>Commence 8</w:t>
            </w:r>
            <w:r>
              <w:t> </w:t>
            </w:r>
            <w:r w:rsidRPr="003830B4">
              <w:t>mg Day 1 when patient in early / mild opioid withdrawal (usually &gt;</w:t>
            </w:r>
            <w:r>
              <w:t> </w:t>
            </w:r>
            <w:r w:rsidRPr="003830B4">
              <w:t>8</w:t>
            </w:r>
            <w:r>
              <w:t>–</w:t>
            </w:r>
            <w:r w:rsidRPr="003830B4">
              <w:t>12</w:t>
            </w:r>
            <w:r>
              <w:t> </w:t>
            </w:r>
            <w:r w:rsidRPr="003830B4">
              <w:t>hrs after last dose or use).</w:t>
            </w:r>
          </w:p>
          <w:p w14:paraId="18F9228B" w14:textId="77777777" w:rsidR="009D0F54" w:rsidRPr="003830B4" w:rsidRDefault="009D0F54" w:rsidP="009D0F54">
            <w:pPr>
              <w:pStyle w:val="DHHStabletext"/>
            </w:pPr>
            <w:r w:rsidRPr="003830B4">
              <w:t>Titrate upwards on daily basis as required.</w:t>
            </w:r>
          </w:p>
          <w:p w14:paraId="28AEFCF3" w14:textId="77777777" w:rsidR="009D0F54" w:rsidRPr="003830B4" w:rsidRDefault="009D0F54" w:rsidP="009D0F54">
            <w:pPr>
              <w:pStyle w:val="DHHStabletext"/>
            </w:pPr>
            <w:r w:rsidRPr="003830B4">
              <w:t>From methadone:</w:t>
            </w:r>
          </w:p>
          <w:p w14:paraId="5C2AB092" w14:textId="2061BF0F" w:rsidR="009D0F54" w:rsidRPr="003830B4" w:rsidRDefault="009D0F54" w:rsidP="009D0F54">
            <w:pPr>
              <w:pStyle w:val="DHHStabletext"/>
            </w:pPr>
            <w:r w:rsidRPr="003830B4">
              <w:t>Initiate BPN when patient in moderately severe withdrawal (e.g. COWS</w:t>
            </w:r>
            <w:r>
              <w:t> </w:t>
            </w:r>
            <w:r w:rsidRPr="003830B4">
              <w:t>≥</w:t>
            </w:r>
            <w:r>
              <w:t> </w:t>
            </w:r>
            <w:r w:rsidRPr="003830B4">
              <w:t>12) (e.g. 1</w:t>
            </w:r>
            <w:r>
              <w:t>–</w:t>
            </w:r>
            <w:r w:rsidRPr="003830B4">
              <w:t>2 days after last methadone dose)</w:t>
            </w:r>
            <w:r>
              <w:t>.</w:t>
            </w:r>
            <w:r w:rsidRPr="003830B4">
              <w:t xml:space="preserve"> </w:t>
            </w:r>
          </w:p>
          <w:p w14:paraId="6CC4B704" w14:textId="77777777" w:rsidR="009D0F54" w:rsidRPr="003830B4" w:rsidRDefault="009D0F54" w:rsidP="009D0F54">
            <w:pPr>
              <w:pStyle w:val="DHHStabletext"/>
            </w:pPr>
            <w:r w:rsidRPr="003830B4">
              <w:t>Day 1: 2</w:t>
            </w:r>
            <w:r>
              <w:t> </w:t>
            </w:r>
            <w:r w:rsidRPr="003830B4">
              <w:t>mg + 6</w:t>
            </w:r>
            <w:r>
              <w:t> </w:t>
            </w:r>
            <w:r w:rsidRPr="003830B4">
              <w:t>mg after 1</w:t>
            </w:r>
            <w:r>
              <w:t>–</w:t>
            </w:r>
            <w:r w:rsidRPr="003830B4">
              <w:t>2 hrs, with additional 2</w:t>
            </w:r>
            <w:r>
              <w:t>–</w:t>
            </w:r>
            <w:r w:rsidRPr="003830B4">
              <w:t>8</w:t>
            </w:r>
            <w:r>
              <w:t> </w:t>
            </w:r>
            <w:r w:rsidRPr="003830B4">
              <w:t>mg doses every 2</w:t>
            </w:r>
            <w:r>
              <w:t>–</w:t>
            </w:r>
            <w:r w:rsidRPr="003830B4">
              <w:t>4 hrs as required to alleviate opioid withdrawal</w:t>
            </w:r>
          </w:p>
          <w:p w14:paraId="51ADF675" w14:textId="77777777" w:rsidR="009D0F54" w:rsidRPr="003830B4" w:rsidRDefault="009D0F54" w:rsidP="009D0F54">
            <w:pPr>
              <w:pStyle w:val="DHHStabletext"/>
            </w:pPr>
            <w:r w:rsidRPr="003830B4">
              <w:t>Day 2 onwards: titrate BPN dose daily as required.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9D4D6D3" w14:textId="6BBF5D5E" w:rsidR="009D0F54" w:rsidRPr="00BE169A" w:rsidRDefault="009D0F54" w:rsidP="009D0F54">
            <w:pPr>
              <w:pStyle w:val="DHHStabletext"/>
            </w:pPr>
            <w:r w:rsidRPr="00BE169A"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BE169A">
              <w:t xml:space="preserve"> dose should be determined according to patient’s SL BPN dose (see </w:t>
            </w:r>
            <w:r w:rsidRPr="00BE169A">
              <w:fldChar w:fldCharType="begin"/>
            </w:r>
            <w:r w:rsidRPr="00BE169A">
              <w:instrText xml:space="preserve"> REF _Ref8718886 \h </w:instrText>
            </w:r>
            <w:r w:rsidRPr="003830B4">
              <w:instrText xml:space="preserve"> \* MERGEFORMAT </w:instrText>
            </w:r>
            <w:r w:rsidRPr="00BE169A">
              <w:fldChar w:fldCharType="separate"/>
            </w:r>
            <w:r w:rsidR="00D17A15">
              <w:t>Table 1</w:t>
            </w:r>
            <w:r w:rsidR="00D17A15">
              <w:rPr>
                <w:noProof/>
              </w:rPr>
              <w:t>:</w:t>
            </w:r>
            <w:r w:rsidR="00D17A15">
              <w:t xml:space="preserve"> </w:t>
            </w:r>
            <w:r w:rsidR="00D17A15" w:rsidRPr="00CF0C56">
              <w:t xml:space="preserve">Dose conversions between </w:t>
            </w:r>
            <w:r w:rsidR="00D17A15">
              <w:t>SL</w:t>
            </w:r>
            <w:r w:rsidR="00D17A15" w:rsidRPr="00CF0C56">
              <w:t xml:space="preserve"> BPN</w:t>
            </w:r>
            <w:r w:rsidR="00D17A15">
              <w:t>,</w:t>
            </w:r>
            <w:r w:rsidR="00D17A15" w:rsidRPr="00CF0C56">
              <w:t xml:space="preserve"> Buvidal</w:t>
            </w:r>
            <w:r w:rsidR="00D17A15" w:rsidRPr="00D17A15">
              <w:t>®</w:t>
            </w:r>
            <w:r w:rsidR="00D17A15" w:rsidRPr="00D17A15">
              <w:rPr>
                <w:rFonts w:eastAsia="Times"/>
                <w:b/>
                <w:bCs/>
                <w:vertAlign w:val="superscript"/>
              </w:rPr>
              <w:t xml:space="preserve"> </w:t>
            </w:r>
            <w:r w:rsidR="00D17A15" w:rsidRPr="00CF0C56">
              <w:t xml:space="preserve">Weekly and </w:t>
            </w:r>
            <w:r w:rsidR="00D17A15">
              <w:t>Buvidal</w:t>
            </w:r>
            <w:r w:rsidR="00D17A15" w:rsidRPr="00D17A15">
              <w:t>®</w:t>
            </w:r>
            <w:r w:rsidR="00D17A15" w:rsidRPr="00D17A15">
              <w:rPr>
                <w:rFonts w:eastAsia="Times"/>
                <w:b/>
                <w:bCs/>
                <w:vertAlign w:val="superscript"/>
              </w:rPr>
              <w:t xml:space="preserve"> </w:t>
            </w:r>
            <w:r w:rsidR="00D17A15" w:rsidRPr="00CF0C56">
              <w:t>Monthly doses</w:t>
            </w:r>
            <w:r w:rsidRPr="00BE169A">
              <w:fldChar w:fldCharType="end"/>
            </w:r>
            <w:r w:rsidRPr="00BE169A">
              <w:t>).</w:t>
            </w:r>
          </w:p>
          <w:p w14:paraId="15421AD9" w14:textId="77777777" w:rsidR="009D0F54" w:rsidRPr="00BE169A" w:rsidRDefault="009D0F54" w:rsidP="009D0F54">
            <w:pPr>
              <w:pStyle w:val="DHHStabletext"/>
            </w:pPr>
            <w:r w:rsidRPr="00BE169A">
              <w:t>Titrate subsequent doses after clinical review.</w:t>
            </w:r>
          </w:p>
          <w:p w14:paraId="240CA12B" w14:textId="419F3C00" w:rsidR="009D0F54" w:rsidRPr="00BE169A" w:rsidRDefault="009D0F54" w:rsidP="009D0F54">
            <w:pPr>
              <w:pStyle w:val="DHHStabletext"/>
            </w:pPr>
            <w:r w:rsidRPr="00BE169A">
              <w:t>Note increasing effects during first few doses (accumulation to steady state after about 4 doses)</w:t>
            </w:r>
          </w:p>
          <w:p w14:paraId="138FBA27" w14:textId="77777777" w:rsidR="009D0F54" w:rsidRPr="00BE169A" w:rsidRDefault="009D0F54" w:rsidP="009D0F54">
            <w:pPr>
              <w:pStyle w:val="DHHStabletext"/>
            </w:pPr>
            <w:r>
              <w:t>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>
              <w:t xml:space="preserve"> may be initiated directly (without transition via SL BPN) if required. Initiate 24 mg 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>
              <w:t xml:space="preserve"> Weekly dose and titrate dose until stable.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0BE5213E" w14:textId="77777777" w:rsidR="009D0F54" w:rsidRPr="003830B4" w:rsidRDefault="009D0F54" w:rsidP="009D0F54">
            <w:pPr>
              <w:pStyle w:val="DHHStabletext"/>
            </w:pPr>
            <w:r w:rsidRPr="003830B4">
              <w:t>Initiate treatment with SL BPN (at least 8</w:t>
            </w:r>
            <w:r>
              <w:t> </w:t>
            </w:r>
            <w:r w:rsidRPr="003830B4">
              <w:t>mg) for ≥</w:t>
            </w:r>
            <w:r>
              <w:t> </w:t>
            </w:r>
            <w:r w:rsidRPr="003830B4">
              <w:t>7 days, then transfer to Sublocade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3830B4">
              <w:t>.</w:t>
            </w:r>
          </w:p>
          <w:p w14:paraId="70390E67" w14:textId="77777777" w:rsidR="009D0F54" w:rsidRPr="003830B4" w:rsidRDefault="009D0F54" w:rsidP="009D0F54">
            <w:pPr>
              <w:pStyle w:val="DHHStabletext"/>
            </w:pPr>
            <w:r w:rsidRPr="003830B4">
              <w:t>Recommended induction:</w:t>
            </w:r>
          </w:p>
          <w:p w14:paraId="57EA7F2D" w14:textId="77777777" w:rsidR="009D0F54" w:rsidRPr="003830B4" w:rsidRDefault="009D0F54" w:rsidP="009D0F54">
            <w:pPr>
              <w:pStyle w:val="DHHStabletext"/>
            </w:pPr>
            <w:r w:rsidRPr="003830B4">
              <w:t>300</w:t>
            </w:r>
            <w:r>
              <w:t> </w:t>
            </w:r>
            <w:r w:rsidRPr="003830B4">
              <w:t>mg monthly injections x 2 doses (8 weeks)</w:t>
            </w:r>
          </w:p>
          <w:p w14:paraId="5A1DC1A1" w14:textId="77777777" w:rsidR="009D0F54" w:rsidRPr="003830B4" w:rsidRDefault="009D0F54" w:rsidP="009D0F54">
            <w:pPr>
              <w:pStyle w:val="DHHStabletext"/>
            </w:pPr>
            <w:r>
              <w:t>T</w:t>
            </w:r>
            <w:r w:rsidRPr="003830B4">
              <w:t>hen 100</w:t>
            </w:r>
            <w:r>
              <w:t> </w:t>
            </w:r>
            <w:r w:rsidRPr="003830B4">
              <w:t>mg monthly doses (if patient ‘stable’ on initial 2 x 300</w:t>
            </w:r>
            <w:r>
              <w:t> </w:t>
            </w:r>
            <w:r w:rsidRPr="003830B4">
              <w:t>mg doses) or 300</w:t>
            </w:r>
            <w:r>
              <w:t> </w:t>
            </w:r>
            <w:r w:rsidRPr="003830B4">
              <w:t>mg monthly doses if require additional BPN effects (e.g. cravings, withdrawal, continued opioid use)</w:t>
            </w:r>
          </w:p>
          <w:p w14:paraId="429A26FD" w14:textId="14CD9C53" w:rsidR="009D0F54" w:rsidRPr="003830B4" w:rsidRDefault="009D0F54" w:rsidP="009D0F54">
            <w:pPr>
              <w:pStyle w:val="DHHStabletext"/>
            </w:pPr>
            <w:r w:rsidRPr="003830B4">
              <w:t>Patients may be initiated with 100mg Sublocade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3830B4">
              <w:t xml:space="preserve"> (after at least 7 days SL BPN treatment) doses if</w:t>
            </w:r>
            <w:r>
              <w:t>:</w:t>
            </w:r>
          </w:p>
          <w:p w14:paraId="2ED68829" w14:textId="77777777" w:rsidR="009D0F54" w:rsidRPr="003830B4" w:rsidRDefault="009D0F54" w:rsidP="009D0F54">
            <w:pPr>
              <w:pStyle w:val="DHHStabletext"/>
            </w:pPr>
            <w:r>
              <w:t>S</w:t>
            </w:r>
            <w:r w:rsidRPr="003830B4">
              <w:t>afety concerns (e.g. severe hepatic disease)</w:t>
            </w:r>
          </w:p>
          <w:p w14:paraId="773254F9" w14:textId="77777777" w:rsidR="009D0F54" w:rsidRPr="003830B4" w:rsidRDefault="009D0F54" w:rsidP="009D0F54">
            <w:pPr>
              <w:pStyle w:val="DHHStabletext"/>
            </w:pPr>
            <w:r w:rsidRPr="003830B4">
              <w:t xml:space="preserve">DDI concerns </w:t>
            </w:r>
            <w:r>
              <w:t>(</w:t>
            </w:r>
            <w:r w:rsidRPr="003830B4">
              <w:t>e.g. overdose risk from polysubstance use</w:t>
            </w:r>
            <w:r>
              <w:t>)</w:t>
            </w:r>
          </w:p>
          <w:p w14:paraId="60F2CA9E" w14:textId="77777777" w:rsidR="009D0F54" w:rsidRPr="003830B4" w:rsidRDefault="009D0F54" w:rsidP="009D0F54">
            <w:pPr>
              <w:pStyle w:val="DHHStabletext"/>
            </w:pPr>
            <w:r w:rsidRPr="003830B4">
              <w:t>There is no published safety data for initiating Sublocade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3830B4">
              <w:t xml:space="preserve"> in patients on low dose SL BPN (&lt;</w:t>
            </w:r>
            <w:r>
              <w:t> </w:t>
            </w:r>
            <w:r w:rsidRPr="003830B4">
              <w:t>8mg), and 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3830B4">
              <w:t xml:space="preserve"> should be preferred for such patients.</w:t>
            </w:r>
          </w:p>
        </w:tc>
      </w:tr>
      <w:tr w:rsidR="009D0F54" w:rsidRPr="00273438" w14:paraId="4D80E4F6" w14:textId="77777777" w:rsidTr="0096420C"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9BCBD15" w14:textId="3835F592" w:rsidR="009D0F54" w:rsidRDefault="009D0F54" w:rsidP="009D0F54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Dosing regimen:</w:t>
            </w:r>
          </w:p>
          <w:p w14:paraId="58AED99F" w14:textId="77777777" w:rsidR="009D0F54" w:rsidRPr="004C6719" w:rsidRDefault="009D0F54" w:rsidP="009D0F54">
            <w:pPr>
              <w:pStyle w:val="DHHStabletext"/>
              <w:rPr>
                <w:b/>
                <w:bCs/>
              </w:rPr>
            </w:pPr>
            <w:r w:rsidRPr="004C6719">
              <w:rPr>
                <w:b/>
                <w:bCs/>
              </w:rPr>
              <w:t>Maintenance phase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46DF8081" w14:textId="77777777" w:rsidR="009D0F54" w:rsidRPr="003830B4" w:rsidRDefault="009D0F54" w:rsidP="009D0F54">
            <w:pPr>
              <w:pStyle w:val="DHHStabletext"/>
            </w:pPr>
            <w:r w:rsidRPr="003830B4">
              <w:t>Adjust dose to achieve treatment goals (reduced use of other opioids, reduced withdrawal and cravings; blockade effects). Range 2-32mg daily; most patients require 12-24mg daily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51A33E" w14:textId="77777777" w:rsidR="009D0F54" w:rsidRPr="00BE169A" w:rsidRDefault="009D0F54" w:rsidP="009D0F54">
            <w:pPr>
              <w:pStyle w:val="DHHStabletext"/>
            </w:pPr>
            <w:r w:rsidRPr="00BE169A">
              <w:t>Titrate dose to achieve treatment goals.</w:t>
            </w:r>
          </w:p>
          <w:p w14:paraId="61F034D9" w14:textId="77777777" w:rsidR="009D0F54" w:rsidRPr="00BE169A" w:rsidRDefault="009D0F54" w:rsidP="009D0F54">
            <w:pPr>
              <w:pStyle w:val="DHHStabletext"/>
            </w:pPr>
            <w:r w:rsidRPr="00BE169A">
              <w:t>Adjust doses when transferring between weekly and monthly doses</w:t>
            </w:r>
            <w:r>
              <w:t>.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</w:tcPr>
          <w:p w14:paraId="572852EE" w14:textId="77777777" w:rsidR="009D0F54" w:rsidRPr="003830B4" w:rsidRDefault="009D0F54" w:rsidP="009D0F54">
            <w:pPr>
              <w:pStyle w:val="DHHStabletext"/>
            </w:pPr>
            <w:r w:rsidRPr="003830B4">
              <w:t xml:space="preserve">Titrate dose to achieve treatment goals. </w:t>
            </w:r>
          </w:p>
          <w:p w14:paraId="41025618" w14:textId="77777777" w:rsidR="009D0F54" w:rsidRDefault="009D0F54" w:rsidP="009D0F54">
            <w:pPr>
              <w:pStyle w:val="DHHStabletext"/>
            </w:pPr>
            <w:r w:rsidRPr="003830B4">
              <w:t>100mg or 300mg monthly injections.</w:t>
            </w:r>
          </w:p>
          <w:p w14:paraId="11ADA433" w14:textId="77777777" w:rsidR="009D0F54" w:rsidRPr="00C73E70" w:rsidRDefault="009D0F54" w:rsidP="009D0F54">
            <w:pPr>
              <w:jc w:val="right"/>
            </w:pPr>
          </w:p>
        </w:tc>
      </w:tr>
      <w:tr w:rsidR="009D0F54" w:rsidRPr="00273438" w14:paraId="5F2E5C8A" w14:textId="77777777" w:rsidTr="0096420C">
        <w:trPr>
          <w:cantSplit/>
        </w:trPr>
        <w:tc>
          <w:tcPr>
            <w:tcW w:w="2171" w:type="dxa"/>
            <w:tcBorders>
              <w:top w:val="single" w:sz="4" w:space="0" w:color="auto"/>
            </w:tcBorders>
          </w:tcPr>
          <w:p w14:paraId="64DC8031" w14:textId="77777777" w:rsidR="009D0F54" w:rsidRPr="00E708CE" w:rsidRDefault="009D0F54" w:rsidP="009D0F54">
            <w:pPr>
              <w:pStyle w:val="DHHStabletext"/>
              <w:rPr>
                <w:b/>
                <w:bCs/>
              </w:rPr>
            </w:pPr>
            <w:r w:rsidRPr="00E708CE">
              <w:rPr>
                <w:b/>
                <w:bCs/>
              </w:rPr>
              <w:t xml:space="preserve">Withdrawal phase </w:t>
            </w:r>
          </w:p>
        </w:tc>
        <w:tc>
          <w:tcPr>
            <w:tcW w:w="3641" w:type="dxa"/>
            <w:tcBorders>
              <w:top w:val="single" w:sz="4" w:space="0" w:color="auto"/>
            </w:tcBorders>
          </w:tcPr>
          <w:p w14:paraId="7A2EB4EF" w14:textId="77777777" w:rsidR="009D0F54" w:rsidRPr="003830B4" w:rsidRDefault="009D0F54" w:rsidP="009D0F54">
            <w:pPr>
              <w:pStyle w:val="DHHStabletext"/>
            </w:pPr>
            <w:r w:rsidRPr="003830B4">
              <w:t>Gradually taper dose over several weeks-months (e.g. 2</w:t>
            </w:r>
            <w:r>
              <w:t>–</w:t>
            </w:r>
            <w:r w:rsidRPr="003830B4">
              <w:t>4</w:t>
            </w:r>
            <w:r>
              <w:t> </w:t>
            </w:r>
            <w:r w:rsidRPr="003830B4">
              <w:t>mg weekly reductions)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CE02C8F" w14:textId="77777777" w:rsidR="009D0F54" w:rsidRPr="00BE169A" w:rsidRDefault="009D0F54" w:rsidP="009D0F54">
            <w:pPr>
              <w:pStyle w:val="DHHStabletext"/>
            </w:pPr>
            <w:r w:rsidRPr="00BE169A">
              <w:t>Gradually taper doses (reducing dose strengths every 1</w:t>
            </w:r>
            <w:r>
              <w:t>–</w:t>
            </w:r>
            <w:r w:rsidRPr="00BE169A">
              <w:t>2 injections). Peak withdrawal features may emerge 4</w:t>
            </w:r>
            <w:r>
              <w:t>–</w:t>
            </w:r>
            <w:r w:rsidRPr="00BE169A">
              <w:t>12 weeks after last 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BE169A">
              <w:t xml:space="preserve"> Monthly dose, or 1</w:t>
            </w:r>
            <w:r>
              <w:t>–</w:t>
            </w:r>
            <w:r w:rsidRPr="00BE169A">
              <w:t>4 weeks after last Buvidal</w:t>
            </w:r>
            <w:r w:rsidRPr="004A340F">
              <w:rPr>
                <w:rFonts w:eastAsia="Times"/>
                <w:b/>
                <w:bCs/>
                <w:vertAlign w:val="superscript"/>
              </w:rPr>
              <w:t>®</w:t>
            </w:r>
            <w:r w:rsidRPr="00BE169A">
              <w:t xml:space="preserve"> Weekly dose (CS).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14:paraId="6F1A4DFA" w14:textId="77777777" w:rsidR="009D0F54" w:rsidRPr="003830B4" w:rsidRDefault="009D0F54" w:rsidP="009D0F54">
            <w:pPr>
              <w:pStyle w:val="DHHStabletext"/>
            </w:pPr>
            <w:r w:rsidRPr="003830B4">
              <w:t>Reduce dose to 100</w:t>
            </w:r>
            <w:r>
              <w:t> </w:t>
            </w:r>
            <w:r w:rsidRPr="003830B4">
              <w:t>mg monthly injections prior to stopping. Peak withdrawal features may emerge 4</w:t>
            </w:r>
            <w:r>
              <w:t>–</w:t>
            </w:r>
            <w:r w:rsidRPr="003830B4">
              <w:t>24 weeks after last 300</w:t>
            </w:r>
            <w:r>
              <w:t> </w:t>
            </w:r>
            <w:r w:rsidRPr="003830B4">
              <w:t>mg dose or 4</w:t>
            </w:r>
            <w:r>
              <w:t>–</w:t>
            </w:r>
            <w:r w:rsidRPr="003830B4">
              <w:t>12 weeks after last 100</w:t>
            </w:r>
            <w:r>
              <w:t> </w:t>
            </w:r>
            <w:r w:rsidRPr="003830B4">
              <w:t>mg dose (CS).</w:t>
            </w:r>
          </w:p>
        </w:tc>
      </w:tr>
    </w:tbl>
    <w:p w14:paraId="1234B1AC" w14:textId="77777777" w:rsidR="0096420C" w:rsidRPr="00E03A31" w:rsidRDefault="0096420C" w:rsidP="0096420C">
      <w:pPr>
        <w:sectPr w:rsidR="0096420C" w:rsidRPr="00E03A31" w:rsidSect="0096420C">
          <w:pgSz w:w="16838" w:h="11906" w:orient="landscape"/>
          <w:pgMar w:top="993" w:right="1440" w:bottom="993" w:left="1440" w:header="708" w:footer="708" w:gutter="0"/>
          <w:cols w:space="708"/>
          <w:docGrid w:linePitch="360"/>
        </w:sectPr>
      </w:pPr>
    </w:p>
    <w:p w14:paraId="0A90C012" w14:textId="77777777" w:rsidR="0096420C" w:rsidRDefault="0096420C" w:rsidP="0096420C">
      <w:pPr>
        <w:pStyle w:val="Heading1"/>
      </w:pPr>
      <w:bookmarkStart w:id="17" w:name="_Toc67561475"/>
      <w:r>
        <w:lastRenderedPageBreak/>
        <w:t>Getting support and more information</w:t>
      </w:r>
      <w:bookmarkEnd w:id="17"/>
    </w:p>
    <w:p w14:paraId="6E2528EF" w14:textId="77777777" w:rsidR="0096420C" w:rsidRDefault="00D17A15" w:rsidP="0096420C">
      <w:pPr>
        <w:pStyle w:val="DHHSbody"/>
      </w:pPr>
      <w:hyperlink r:id="rId26" w:history="1">
        <w:r w:rsidR="0096420C">
          <w:rPr>
            <w:rStyle w:val="Hyperlink"/>
          </w:rPr>
          <w:t>Policy for maintenance pharmacotherapy for opioid dependence (addendum) - Summary of changes related to the use of long-acting injectable buprenorphine</w:t>
        </w:r>
      </w:hyperlink>
    </w:p>
    <w:p w14:paraId="22A05415" w14:textId="77777777" w:rsidR="0096420C" w:rsidRPr="00022DAC" w:rsidRDefault="0096420C" w:rsidP="0096420C">
      <w:pPr>
        <w:pStyle w:val="DHHSbody"/>
      </w:pPr>
      <w:r>
        <w:t>&lt;</w:t>
      </w:r>
      <w:r w:rsidRPr="00503D9C">
        <w:t>https://www2.health.vic.gov.au/public-health/drugs-and-poisons/pharmacotherapy/pharmacotherapy-policy-in-victoria</w:t>
      </w:r>
      <w:r>
        <w:t>&gt;</w:t>
      </w:r>
    </w:p>
    <w:p w14:paraId="7BC67BD2" w14:textId="77777777" w:rsidR="0096420C" w:rsidRPr="003830B4" w:rsidRDefault="00D17A15" w:rsidP="0096420C">
      <w:pPr>
        <w:pStyle w:val="DHHSbody"/>
      </w:pPr>
      <w:hyperlink r:id="rId27" w:history="1">
        <w:r w:rsidR="0096420C" w:rsidRPr="003830B4">
          <w:rPr>
            <w:rStyle w:val="Hyperlink"/>
          </w:rPr>
          <w:t>National Guidelines for Medication-Assisted Treatment of Opioid Dependence (MATOD)</w:t>
        </w:r>
      </w:hyperlink>
      <w:r w:rsidR="0096420C" w:rsidRPr="003830B4">
        <w:t xml:space="preserve"> </w:t>
      </w:r>
      <w:r w:rsidR="0096420C">
        <w:t>&lt;</w:t>
      </w:r>
      <w:r w:rsidR="0096420C" w:rsidRPr="00BE169A">
        <w:t>https://www.health.gov.au/resources/publications/national-guidelines-for-medication-assisted-treatment-of-opioid-dependence</w:t>
      </w:r>
      <w:r w:rsidR="0096420C">
        <w:t>&gt;</w:t>
      </w:r>
    </w:p>
    <w:p w14:paraId="08893176" w14:textId="77777777" w:rsidR="0096420C" w:rsidRPr="003830B4" w:rsidRDefault="00D17A15" w:rsidP="0096420C">
      <w:pPr>
        <w:pStyle w:val="DHHSbody"/>
      </w:pPr>
      <w:hyperlink r:id="rId28" w:history="1">
        <w:r w:rsidR="0096420C" w:rsidRPr="003830B4">
          <w:rPr>
            <w:rStyle w:val="Hyperlink"/>
          </w:rPr>
          <w:t>Drug and Alcohol Consultant Advisory Service (DACAS)</w:t>
        </w:r>
      </w:hyperlink>
      <w:r w:rsidR="0096420C" w:rsidRPr="003830B4">
        <w:t xml:space="preserve"> </w:t>
      </w:r>
      <w:hyperlink r:id="rId29" w:history="1">
        <w:r w:rsidR="0096420C">
          <w:rPr>
            <w:rStyle w:val="Hyperlink"/>
          </w:rPr>
          <w:t>&lt;</w:t>
        </w:r>
      </w:hyperlink>
      <w:r w:rsidR="0096420C" w:rsidRPr="00BE169A">
        <w:t>https://www.dacas.org.au/</w:t>
      </w:r>
      <w:r w:rsidR="0096420C">
        <w:t>&gt;</w:t>
      </w:r>
    </w:p>
    <w:bookmarkStart w:id="18" w:name="_Toc11229043"/>
    <w:p w14:paraId="123B2D40" w14:textId="77777777" w:rsidR="0096420C" w:rsidRPr="003830B4" w:rsidRDefault="0096420C" w:rsidP="0096420C">
      <w:pPr>
        <w:pStyle w:val="DHHSbody"/>
        <w:rPr>
          <w:rStyle w:val="Hyperlink"/>
        </w:rPr>
      </w:pPr>
      <w:r>
        <w:fldChar w:fldCharType="begin"/>
      </w:r>
      <w:r>
        <w:instrText xml:space="preserve"> HYPERLINK "https://www.ebs.tga.gov.au/ebs/picmi/picmirepository.nsf/pdf?OpenAgent&amp;id=CP-2018-PI-02610-1" </w:instrText>
      </w:r>
      <w:r>
        <w:fldChar w:fldCharType="separate"/>
      </w:r>
      <w:r w:rsidRPr="003830B4">
        <w:rPr>
          <w:rStyle w:val="Hyperlink"/>
        </w:rPr>
        <w:t>Buvidal Weekly product information</w:t>
      </w:r>
      <w:r>
        <w:fldChar w:fldCharType="end"/>
      </w:r>
      <w:r w:rsidRPr="003830B4">
        <w:t xml:space="preserve"> </w:t>
      </w:r>
      <w:r>
        <w:t>Australia &lt;</w:t>
      </w:r>
      <w:bookmarkEnd w:id="18"/>
      <w:r w:rsidRPr="00BE169A">
        <w:t>https://www.ebs.tga.gov.au/ebs/picmi/picmirepository.nsf/pdf?OpenAgent&amp;id=CP-2018-PI-02610-1</w:t>
      </w:r>
      <w:r>
        <w:t>&gt;</w:t>
      </w:r>
    </w:p>
    <w:bookmarkStart w:id="19" w:name="aUSTRALIAN_PRODUCT_INFORMATION"/>
    <w:bookmarkStart w:id="20" w:name="_Buvidal®_monthly_product"/>
    <w:bookmarkStart w:id="21" w:name="_Ref3291079"/>
    <w:bookmarkStart w:id="22" w:name="_Toc11229044"/>
    <w:bookmarkEnd w:id="19"/>
    <w:bookmarkEnd w:id="20"/>
    <w:p w14:paraId="03439844" w14:textId="77777777" w:rsidR="0096420C" w:rsidRPr="003830B4" w:rsidRDefault="0096420C" w:rsidP="0096420C">
      <w:pPr>
        <w:pStyle w:val="DHHSbody"/>
        <w:rPr>
          <w:rStyle w:val="Hyperlink"/>
        </w:rPr>
      </w:pPr>
      <w:r>
        <w:fldChar w:fldCharType="begin"/>
      </w:r>
      <w:r>
        <w:instrText>HYPERLINK "https://www.ebs.tga.gov.au/ebs/picmi/picmirepository.nsf/pdf?OpenAgent&amp;id=CP-2018-PI-02611-1&amp;d=202005041016933"</w:instrText>
      </w:r>
      <w:r>
        <w:fldChar w:fldCharType="separate"/>
      </w:r>
      <w:r w:rsidRPr="003830B4">
        <w:rPr>
          <w:rStyle w:val="Hyperlink"/>
        </w:rPr>
        <w:t>Buvidal Monthly product information</w:t>
      </w:r>
      <w:r>
        <w:fldChar w:fldCharType="end"/>
      </w:r>
      <w:r w:rsidRPr="003830B4">
        <w:t xml:space="preserve"> </w:t>
      </w:r>
      <w:r>
        <w:t xml:space="preserve">Australia </w:t>
      </w:r>
      <w:bookmarkEnd w:id="21"/>
      <w:bookmarkEnd w:id="22"/>
      <w:r>
        <w:t>&lt;</w:t>
      </w:r>
      <w:r w:rsidRPr="00BE169A">
        <w:t>https://www.ebs.tga.gov.au/ebs/picmi/picmirepository.nsf/pdf?OpenAgent&amp;id=CP-2018-PI-02611-1</w:t>
      </w:r>
      <w:r>
        <w:t>&gt;</w:t>
      </w:r>
    </w:p>
    <w:bookmarkStart w:id="23" w:name="_Sublocade®_prescribing_information"/>
    <w:bookmarkStart w:id="24" w:name="_Ref3291080"/>
    <w:bookmarkStart w:id="25" w:name="_Toc11229045"/>
    <w:bookmarkEnd w:id="23"/>
    <w:p w14:paraId="53351C07" w14:textId="77777777" w:rsidR="0096420C" w:rsidRPr="003830B4" w:rsidRDefault="0096420C" w:rsidP="0096420C">
      <w:pPr>
        <w:pStyle w:val="DHHSbody"/>
      </w:pPr>
      <w:r>
        <w:fldChar w:fldCharType="begin"/>
      </w:r>
      <w:r>
        <w:instrText>HYPERLINK "https://www.ebs.tga.gov.au/ebs/picmi/picmirepository.nsf/pdf?OpenAgent&amp;id=CP-2019-PI-01756-1"</w:instrText>
      </w:r>
      <w:r>
        <w:fldChar w:fldCharType="separate"/>
      </w:r>
      <w:r w:rsidRPr="005569FF">
        <w:rPr>
          <w:rStyle w:val="Hyperlink"/>
        </w:rPr>
        <w:t>Sublocade product information</w:t>
      </w:r>
      <w:r>
        <w:fldChar w:fldCharType="end"/>
      </w:r>
      <w:r w:rsidRPr="003830B4">
        <w:t xml:space="preserve"> </w:t>
      </w:r>
      <w:r>
        <w:t>Australia &lt;</w:t>
      </w:r>
      <w:r w:rsidRPr="00EC787D">
        <w:t>https://www.ebs.tga.gov.au/ebs/picmi/picmirepository.nsf/pdf?OpenAgent&amp;id=CP-2019-PI-01756-1</w:t>
      </w:r>
      <w:r>
        <w:t>&gt;</w:t>
      </w:r>
    </w:p>
    <w:p w14:paraId="378122A5" w14:textId="77777777" w:rsidR="0096420C" w:rsidRPr="003830B4" w:rsidRDefault="00D17A15" w:rsidP="0096420C">
      <w:pPr>
        <w:pStyle w:val="DHHSbody"/>
      </w:pPr>
      <w:hyperlink r:id="rId30" w:history="1">
        <w:r w:rsidR="0096420C" w:rsidRPr="005E6C5F">
          <w:rPr>
            <w:rStyle w:val="Hyperlink"/>
          </w:rPr>
          <w:t>Sublocade prescribing information</w:t>
        </w:r>
      </w:hyperlink>
      <w:r w:rsidR="0096420C" w:rsidRPr="003830B4">
        <w:t xml:space="preserve"> US</w:t>
      </w:r>
      <w:bookmarkEnd w:id="24"/>
      <w:bookmarkEnd w:id="25"/>
      <w:r w:rsidR="0096420C" w:rsidRPr="003830B4">
        <w:t xml:space="preserve"> </w:t>
      </w:r>
      <w:r w:rsidR="0096420C">
        <w:t>&lt;&gt;</w:t>
      </w:r>
      <w:r w:rsidR="0096420C" w:rsidRPr="00BE169A">
        <w:t>https://www.sublocade.com/Content/pdf/prescribing-information.pdf</w:t>
      </w:r>
      <w:r w:rsidR="0096420C" w:rsidRPr="003830B4">
        <w:fldChar w:fldCharType="begin"/>
      </w:r>
      <w:r w:rsidR="0096420C" w:rsidRPr="003830B4">
        <w:instrText xml:space="preserve"> ADDIN EN.REFLIST </w:instrText>
      </w:r>
      <w:r w:rsidR="0096420C" w:rsidRPr="003830B4">
        <w:fldChar w:fldCharType="end"/>
      </w:r>
    </w:p>
    <w:bookmarkEnd w:id="2"/>
    <w:p w14:paraId="634056CF" w14:textId="758434DC" w:rsidR="00EB4BC7" w:rsidRDefault="00EB4BC7" w:rsidP="0069077D">
      <w:pPr>
        <w:pStyle w:val="Quotetext"/>
        <w:ind w:left="0"/>
      </w:pPr>
    </w:p>
    <w:sectPr w:rsidR="00EB4BC7" w:rsidSect="002C5B7C">
      <w:pgSz w:w="11906" w:h="16838" w:code="9"/>
      <w:pgMar w:top="1701" w:right="1304" w:bottom="1418" w:left="130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C2FE" w14:textId="77777777" w:rsidR="005C6DBD" w:rsidRDefault="005C6DBD">
      <w:r>
        <w:separator/>
      </w:r>
    </w:p>
    <w:p w14:paraId="2F8E6038" w14:textId="77777777" w:rsidR="005C6DBD" w:rsidRDefault="005C6DBD"/>
  </w:endnote>
  <w:endnote w:type="continuationSeparator" w:id="0">
    <w:p w14:paraId="28E00E55" w14:textId="77777777" w:rsidR="005C6DBD" w:rsidRDefault="005C6DBD">
      <w:r>
        <w:continuationSeparator/>
      </w:r>
    </w:p>
    <w:p w14:paraId="36928DA0" w14:textId="77777777" w:rsidR="005C6DBD" w:rsidRDefault="005C6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AB18" w14:textId="59BD0A5C" w:rsidR="0096420C" w:rsidRDefault="006907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3805" behindDoc="0" locked="0" layoutInCell="0" allowOverlap="1" wp14:anchorId="444356F2" wp14:editId="02C449F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2" name="MSIPCMf9e9440a847193e59296ebef" descr="{&quot;HashCode&quot;:904758361,&quot;Height&quot;:9999999.0,&quot;Width&quot;:9999999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AF03AD" w14:textId="031B1A1C" w:rsidR="0069077D" w:rsidRPr="00D17A15" w:rsidRDefault="00D17A15" w:rsidP="00D17A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7A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356F2" id="_x0000_t202" coordsize="21600,21600" o:spt="202" path="m,l,21600r21600,l21600,xe">
              <v:stroke joinstyle="miter"/>
              <v:path gradientshapeok="t" o:connecttype="rect"/>
            </v:shapetype>
            <v:shape id="MSIPCMf9e9440a847193e59296ebef" o:spid="_x0000_s1026" type="#_x0000_t202" alt="{&quot;HashCode&quot;:904758361,&quot;Height&quot;:9999999.0,&quot;Width&quot;:9999999.0,&quot;Placement&quot;:&quot;Footer&quot;,&quot;Index&quot;:&quot;OddAndEven&quot;,&quot;Section&quot;:1,&quot;Top&quot;:0.0,&quot;Left&quot;:0.0}" style="position:absolute;left:0;text-align:left;margin-left:0;margin-top:0;width:612pt;height:39.55pt;z-index:25170380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" o:allowincell="f" filled="f" stroked="f" strokeweight=".5pt">
              <v:textbox inset=",0,,0">
                <w:txbxContent>
                  <w:p w14:paraId="3DAF03AD" w14:textId="031B1A1C" w:rsidR="0069077D" w:rsidRPr="00D17A15" w:rsidRDefault="00D17A15" w:rsidP="00D17A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7A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83E6" w14:textId="183850B8" w:rsidR="0096420C" w:rsidRDefault="006907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3804" behindDoc="0" locked="0" layoutInCell="0" allowOverlap="1" wp14:anchorId="437D5293" wp14:editId="3F552AB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0" name="MSIPCM435e4e03a4bef8d6b5dfc0c1" descr="{&quot;HashCode&quot;:904758361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52EB9" w14:textId="4D848226" w:rsidR="0069077D" w:rsidRPr="00D17A15" w:rsidRDefault="00D17A15" w:rsidP="00D17A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7A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D5293" id="_x0000_t202" coordsize="21600,21600" o:spt="202" path="m,l,21600r21600,l21600,xe">
              <v:stroke joinstyle="miter"/>
              <v:path gradientshapeok="t" o:connecttype="rect"/>
            </v:shapetype>
            <v:shape id="MSIPCM435e4e03a4bef8d6b5dfc0c1" o:spid="_x0000_s1027" type="#_x0000_t202" alt="{&quot;HashCode&quot;:904758361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9.55pt;z-index:25170380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" o:allowincell="f" filled="f" stroked="f" strokeweight=".5pt">
              <v:textbox inset=",0,,0">
                <w:txbxContent>
                  <w:p w14:paraId="53652EB9" w14:textId="4D848226" w:rsidR="0069077D" w:rsidRPr="00D17A15" w:rsidRDefault="00D17A15" w:rsidP="00D17A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7A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AF3C" w14:textId="77777777" w:rsidR="0096420C" w:rsidRDefault="009642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0" allowOverlap="1" wp14:anchorId="7E22350C" wp14:editId="015A11FD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MSIPCMf6504bf684e4519137a7274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7D78E" w14:textId="77777777" w:rsidR="0096420C" w:rsidRPr="00EB4BC7" w:rsidRDefault="0096420C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2350C" id="_x0000_t202" coordsize="21600,21600" o:spt="202" path="m,l,21600r21600,l21600,xe">
              <v:stroke joinstyle="miter"/>
              <v:path gradientshapeok="t" o:connecttype="rect"/>
            </v:shapetype>
            <v:shape id="MSIPCMf6504bf684e4519137a7274a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86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CwtsttsAIAAE4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5197D78E" w14:textId="77777777" w:rsidR="0096420C" w:rsidRPr="00EB4BC7" w:rsidRDefault="0096420C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A8FA" w14:textId="078C84D8" w:rsidR="0096420C" w:rsidRDefault="006907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3806" behindDoc="0" locked="0" layoutInCell="0" allowOverlap="1" wp14:anchorId="34D0FE87" wp14:editId="5C1FCBA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4" name="MSIPCMf4cd443f9d6560c289af7c1b" descr="{&quot;HashCode&quot;:904758361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A8EEB5" w14:textId="19F332B4" w:rsidR="0069077D" w:rsidRPr="00D17A15" w:rsidRDefault="00D17A15" w:rsidP="00D17A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7A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0FE87" id="_x0000_t202" coordsize="21600,21600" o:spt="202" path="m,l,21600r21600,l21600,xe">
              <v:stroke joinstyle="miter"/>
              <v:path gradientshapeok="t" o:connecttype="rect"/>
            </v:shapetype>
            <v:shape id="MSIPCMf4cd443f9d6560c289af7c1b" o:spid="_x0000_s1029" type="#_x0000_t202" alt="{&quot;HashCode&quot;:904758361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9.55pt;z-index:25170380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" o:allowincell="f" filled="f" stroked="f" strokeweight=".5pt">
              <v:textbox inset=",0,,0">
                <w:txbxContent>
                  <w:p w14:paraId="23A8EEB5" w14:textId="19F332B4" w:rsidR="0069077D" w:rsidRPr="00D17A15" w:rsidRDefault="00D17A15" w:rsidP="00D17A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7A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3D82" w14:textId="45059F44" w:rsidR="0096420C" w:rsidRDefault="0069077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03BBC4A1" wp14:editId="0F02C87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7" name="MSIPCM1afc4aa8a8492108c8a884a7" descr="{&quot;HashCode&quot;:904758361,&quot;Height&quot;:9999999.0,&quot;Width&quot;:9999999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025506" w14:textId="26AD7F3E" w:rsidR="0069077D" w:rsidRPr="00D17A15" w:rsidRDefault="00D17A15" w:rsidP="00D17A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7A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BC4A1" id="_x0000_t202" coordsize="21600,21600" o:spt="202" path="m,l,21600r21600,l21600,xe">
              <v:stroke joinstyle="miter"/>
              <v:path gradientshapeok="t" o:connecttype="rect"/>
            </v:shapetype>
            <v:shape id="MSIPCM1afc4aa8a8492108c8a884a7" o:spid="_x0000_s1030" type="#_x0000_t202" alt="{&quot;HashCode&quot;:904758361,&quot;Height&quot;:9999999.0,&quot;Width&quot;:9999999.0,&quot;Placement&quot;:&quot;Footer&quot;,&quot;Index&quot;:&quot;OddAndEven&quot;,&quot;Section&quot;:3,&quot;Top&quot;:0.0,&quot;Left&quot;:0.0}" style="position:absolute;left:0;text-align:left;margin-left:0;margin-top:0;width:612pt;height:39.55pt;z-index:25170380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" o:allowincell="f" filled="f" stroked="f" strokeweight=".5pt">
              <v:textbox inset=",0,,0">
                <w:txbxContent>
                  <w:p w14:paraId="3A025506" w14:textId="26AD7F3E" w:rsidR="0069077D" w:rsidRPr="00D17A15" w:rsidRDefault="00D17A15" w:rsidP="00D17A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7A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420C">
      <w:rPr>
        <w:noProof/>
        <w:lang w:eastAsia="en-AU"/>
      </w:rPr>
      <w:drawing>
        <wp:anchor distT="0" distB="0" distL="114300" distR="114300" simplePos="0" relativeHeight="251695616" behindDoc="1" locked="1" layoutInCell="1" allowOverlap="1" wp14:anchorId="76DB32F2" wp14:editId="37ADBFEE">
          <wp:simplePos x="835572" y="9396248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6" name="Picture 26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6A41" w14:textId="00A22920" w:rsidR="0096420C" w:rsidRDefault="006907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3807" behindDoc="0" locked="0" layoutInCell="0" allowOverlap="1" wp14:anchorId="68106380" wp14:editId="1FA8D8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502285"/>
              <wp:effectExtent l="0" t="0" r="0" b="12065"/>
              <wp:wrapNone/>
              <wp:docPr id="16" name="MSIPCM00e4498f892e5135fec65bd9" descr="{&quot;HashCode&quot;:904758361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02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3F46FD" w14:textId="5CE280B7" w:rsidR="0069077D" w:rsidRPr="00D17A15" w:rsidRDefault="00D17A15" w:rsidP="00D17A1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17A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06380" id="_x0000_t202" coordsize="21600,21600" o:spt="202" path="m,l,21600r21600,l21600,xe">
              <v:stroke joinstyle="miter"/>
              <v:path gradientshapeok="t" o:connecttype="rect"/>
            </v:shapetype>
            <v:shape id="MSIPCM00e4498f892e5135fec65bd9" o:spid="_x0000_s1031" type="#_x0000_t202" alt="{&quot;HashCode&quot;:904758361,&quot;Height&quot;:9999999.0,&quot;Width&quot;:9999999.0,&quot;Placement&quot;:&quot;Footer&quot;,&quot;Index&quot;:&quot;Primary&quot;,&quot;Section&quot;:3,&quot;Top&quot;:0.0,&quot;Left&quot;:0.0}" style="position:absolute;left:0;text-align:left;margin-left:0;margin-top:0;width:612pt;height:39.55pt;z-index:25170380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" o:allowincell="f" filled="f" stroked="f" strokeweight=".5pt">
              <v:textbox inset=",0,,0">
                <w:txbxContent>
                  <w:p w14:paraId="673F46FD" w14:textId="5CE280B7" w:rsidR="0069077D" w:rsidRPr="00D17A15" w:rsidRDefault="00D17A15" w:rsidP="00D17A1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17A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420C">
      <w:rPr>
        <w:noProof/>
      </w:rPr>
      <w:drawing>
        <wp:anchor distT="0" distB="0" distL="114300" distR="114300" simplePos="0" relativeHeight="251696640" behindDoc="1" locked="1" layoutInCell="1" allowOverlap="1" wp14:anchorId="1AF8C023" wp14:editId="2B965F7A">
          <wp:simplePos x="835025" y="9396095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7" name="Picture 27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E52D" w14:textId="77777777" w:rsidR="005C6DBD" w:rsidRDefault="005C6DBD" w:rsidP="00207717">
      <w:pPr>
        <w:spacing w:before="120"/>
      </w:pPr>
      <w:r>
        <w:separator/>
      </w:r>
    </w:p>
  </w:footnote>
  <w:footnote w:type="continuationSeparator" w:id="0">
    <w:p w14:paraId="73C0826B" w14:textId="77777777" w:rsidR="005C6DBD" w:rsidRDefault="005C6DBD">
      <w:r>
        <w:continuationSeparator/>
      </w:r>
    </w:p>
    <w:p w14:paraId="3B5826C0" w14:textId="77777777" w:rsidR="005C6DBD" w:rsidRDefault="005C6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C12D" w14:textId="77777777" w:rsidR="00D17A15" w:rsidRDefault="00D1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7541" w14:textId="77777777" w:rsidR="00D17A15" w:rsidRDefault="00D1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387D" w14:textId="77777777" w:rsidR="00D17A15" w:rsidRDefault="00D17A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89EC" w14:textId="4E93A2CB" w:rsidR="0096420C" w:rsidRDefault="0096420C">
    <w:pPr>
      <w:pStyle w:val="Header"/>
    </w:pPr>
    <w:r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 w:rsidR="38559B8E">
      <w:rPr>
        <w:b/>
        <w:bCs/>
      </w:rPr>
      <w:t>11</w:t>
    </w:r>
    <w:r w:rsidRPr="00DE6C85">
      <w:rPr>
        <w:b/>
        <w:bCs/>
      </w:rPr>
      <w:fldChar w:fldCharType="end"/>
    </w:r>
    <w:r>
      <w:rPr>
        <w:b/>
        <w:bCs/>
        <w:noProof/>
      </w:rPr>
      <w:drawing>
        <wp:anchor distT="0" distB="0" distL="114300" distR="114300" simplePos="0" relativeHeight="251697664" behindDoc="1" locked="1" layoutInCell="1" allowOverlap="1" wp14:anchorId="1485ED3E" wp14:editId="4AD5C3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ptab w:relativeTo="margin" w:alignment="right" w:leader="none"/>
    </w:r>
    <w:r w:rsidR="38559B8E">
      <w:t>Long-acting injectable buprenorphine: Brief clinical guidelines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5CFD" w14:textId="16471720" w:rsidR="0096420C" w:rsidRPr="0051568D" w:rsidRDefault="0096420C" w:rsidP="0017674D">
    <w:pPr>
      <w:pStyle w:val="Header"/>
    </w:pPr>
    <w:r>
      <w:rPr>
        <w:noProof/>
      </w:rPr>
      <w:drawing>
        <wp:anchor distT="0" distB="0" distL="114300" distR="114300" simplePos="0" relativeHeight="251698688" behindDoc="1" locked="1" layoutInCell="1" allowOverlap="1" wp14:anchorId="07007F9D" wp14:editId="05C2978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559B8E">
      <w:t>Long-acting injectable buprenorphine: Brief clinical guidelines</w:t>
    </w:r>
    <w:r>
      <w:ptab w:relativeTo="margin" w:alignment="right" w:leader="none"/>
    </w:r>
    <w:r w:rsidRPr="00DE6C85">
      <w:rPr>
        <w:b/>
        <w:bCs/>
      </w:rPr>
      <w:fldChar w:fldCharType="begin"/>
    </w:r>
    <w:r w:rsidRPr="00DE6C85">
      <w:rPr>
        <w:b/>
        <w:bCs/>
      </w:rPr>
      <w:instrText xml:space="preserve"> PAGE </w:instrText>
    </w:r>
    <w:r w:rsidRPr="00DE6C85">
      <w:rPr>
        <w:b/>
        <w:bCs/>
      </w:rPr>
      <w:fldChar w:fldCharType="separate"/>
    </w:r>
    <w:r w:rsidR="38559B8E" w:rsidRPr="00DE6C85">
      <w:rPr>
        <w:b/>
        <w:bCs/>
      </w:rPr>
      <w:t>2</w:t>
    </w:r>
    <w:r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4C20"/>
    <w:multiLevelType w:val="hybridMultilevel"/>
    <w:tmpl w:val="50CC1E34"/>
    <w:lvl w:ilvl="0" w:tplc="74FC6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D51B47"/>
    <w:multiLevelType w:val="multilevel"/>
    <w:tmpl w:val="4B4E7622"/>
    <w:numStyleLink w:val="ZZNumbers"/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D91288C"/>
    <w:multiLevelType w:val="hybridMultilevel"/>
    <w:tmpl w:val="64847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hybridMultilevel"/>
    <w:tmpl w:val="350ED9F2"/>
    <w:styleLink w:val="ZZTablebullets"/>
    <w:lvl w:ilvl="0" w:tplc="8ED2A1DC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F0E0860C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FF96C82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BEB846B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241EE9C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C12DE9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5724999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19F07D7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75A0D96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hybridMultilevel"/>
    <w:tmpl w:val="58A87DC8"/>
    <w:styleLink w:val="ZZBullets"/>
    <w:lvl w:ilvl="0" w:tplc="3F74B22A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A6B04AF2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8AE022E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DBA26EB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52AE3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D8C326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CE271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F847E9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E872074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hybridMultilevel"/>
    <w:tmpl w:val="8B3CE87A"/>
    <w:styleLink w:val="ZZQuotebullets"/>
    <w:lvl w:ilvl="0" w:tplc="ECD2BB4C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09AA28FC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B4661D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72405B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4F4A587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3B7E9D8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865C11B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477A7B1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1AEA020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hybridMultilevel"/>
    <w:tmpl w:val="B38817FE"/>
    <w:lvl w:ilvl="0" w:tplc="1110F90E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50CAE126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30C2FFC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FF5C0B4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854AD5B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4482BC1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D6C005C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292CD77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4364B5A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8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7"/>
  </w:num>
  <w:num w:numId="26">
    <w:abstractNumId w:val="23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9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60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63CD"/>
    <w:rsid w:val="000733FE"/>
    <w:rsid w:val="00074219"/>
    <w:rsid w:val="00074ED5"/>
    <w:rsid w:val="0008204A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C60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87A8A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6E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0C0B"/>
    <w:rsid w:val="0028213D"/>
    <w:rsid w:val="002862F1"/>
    <w:rsid w:val="00291373"/>
    <w:rsid w:val="00293569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46848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4C3"/>
    <w:rsid w:val="003B15E6"/>
    <w:rsid w:val="003B22EF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2A4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D0"/>
    <w:rsid w:val="0045698D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60C6"/>
    <w:rsid w:val="0058757E"/>
    <w:rsid w:val="00596A4B"/>
    <w:rsid w:val="00597507"/>
    <w:rsid w:val="005A0F65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6DBD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077D"/>
    <w:rsid w:val="00691B62"/>
    <w:rsid w:val="006933B5"/>
    <w:rsid w:val="00693D14"/>
    <w:rsid w:val="00696F27"/>
    <w:rsid w:val="006A18C2"/>
    <w:rsid w:val="006A1B43"/>
    <w:rsid w:val="006A3383"/>
    <w:rsid w:val="006B077C"/>
    <w:rsid w:val="006B6803"/>
    <w:rsid w:val="006D0F16"/>
    <w:rsid w:val="006D2A3F"/>
    <w:rsid w:val="006D2FBC"/>
    <w:rsid w:val="006D6E34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037E"/>
    <w:rsid w:val="00884B62"/>
    <w:rsid w:val="0088529C"/>
    <w:rsid w:val="00887903"/>
    <w:rsid w:val="0089270A"/>
    <w:rsid w:val="00893AF6"/>
    <w:rsid w:val="00894ACC"/>
    <w:rsid w:val="00894BC4"/>
    <w:rsid w:val="00896890"/>
    <w:rsid w:val="008A28A8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3097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26DD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420C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0F54"/>
    <w:rsid w:val="009D51D0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4ADA"/>
    <w:rsid w:val="00A32577"/>
    <w:rsid w:val="00A330BB"/>
    <w:rsid w:val="00A446F5"/>
    <w:rsid w:val="00A44882"/>
    <w:rsid w:val="00A45125"/>
    <w:rsid w:val="00A54715"/>
    <w:rsid w:val="00A6061C"/>
    <w:rsid w:val="00A62D44"/>
    <w:rsid w:val="00A67263"/>
    <w:rsid w:val="00A7161C"/>
    <w:rsid w:val="00A71CE4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A7EB8"/>
    <w:rsid w:val="00AB06E8"/>
    <w:rsid w:val="00AB1CD3"/>
    <w:rsid w:val="00AB3018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5F79"/>
    <w:rsid w:val="00B4198F"/>
    <w:rsid w:val="00B41F3D"/>
    <w:rsid w:val="00B431E8"/>
    <w:rsid w:val="00B45141"/>
    <w:rsid w:val="00B519CD"/>
    <w:rsid w:val="00B5273A"/>
    <w:rsid w:val="00B53FBA"/>
    <w:rsid w:val="00B57329"/>
    <w:rsid w:val="00B60E61"/>
    <w:rsid w:val="00B62B50"/>
    <w:rsid w:val="00B635B7"/>
    <w:rsid w:val="00B63AE8"/>
    <w:rsid w:val="00B65950"/>
    <w:rsid w:val="00B66D83"/>
    <w:rsid w:val="00B66FCB"/>
    <w:rsid w:val="00B672C0"/>
    <w:rsid w:val="00B676FD"/>
    <w:rsid w:val="00B678B6"/>
    <w:rsid w:val="00B75646"/>
    <w:rsid w:val="00B7629E"/>
    <w:rsid w:val="00B844F1"/>
    <w:rsid w:val="00B90729"/>
    <w:rsid w:val="00B907DA"/>
    <w:rsid w:val="00B94C5E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44E4"/>
    <w:rsid w:val="00C6682F"/>
    <w:rsid w:val="00C67BF4"/>
    <w:rsid w:val="00C7275E"/>
    <w:rsid w:val="00C731AF"/>
    <w:rsid w:val="00C74C5D"/>
    <w:rsid w:val="00C863C4"/>
    <w:rsid w:val="00C90DAB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A15"/>
    <w:rsid w:val="00D17B72"/>
    <w:rsid w:val="00D24A8B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3AF"/>
    <w:rsid w:val="00D52D73"/>
    <w:rsid w:val="00D52E58"/>
    <w:rsid w:val="00D56B20"/>
    <w:rsid w:val="00D578B3"/>
    <w:rsid w:val="00D618F4"/>
    <w:rsid w:val="00D63636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588C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751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  <w:rsid w:val="1AFA186D"/>
    <w:rsid w:val="38559B8E"/>
    <w:rsid w:val="744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892192"/>
  <w15:docId w15:val="{DCAA0F45-03D6-47F1-BE7F-43F6C11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30CDD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030CDD"/>
    <w:pPr>
      <w:keepNext/>
      <w:keepLines/>
      <w:spacing w:before="240" w:after="0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30CDD"/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EB56B9"/>
    <w:pPr>
      <w:spacing w:after="300"/>
    </w:pPr>
    <w:rPr>
      <w:rFonts w:ascii="Arial" w:hAnsi="Arial" w:cs="Arial"/>
      <w:color w:val="53565A"/>
      <w:sz w:val="18"/>
      <w:szCs w:val="18"/>
      <w:lang w:eastAsia="en-US"/>
    </w:rPr>
  </w:style>
  <w:style w:type="paragraph" w:styleId="Footer">
    <w:name w:val="footer"/>
    <w:uiPriority w:val="8"/>
    <w:rsid w:val="005860C6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030CD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30CDD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qFormat/>
    <w:rsid w:val="000C5C60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96420C"/>
    <w:pPr>
      <w:spacing w:before="80" w:after="60"/>
    </w:pPr>
    <w:rPr>
      <w:rFonts w:ascii="Arial" w:hAnsi="Arial"/>
      <w:lang w:eastAsia="en-US"/>
    </w:rPr>
  </w:style>
  <w:style w:type="paragraph" w:customStyle="1" w:styleId="DHHSbullet1">
    <w:name w:val="DHHS bullet 1"/>
    <w:basedOn w:val="DHHSbody"/>
    <w:qFormat/>
    <w:rsid w:val="0096420C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96420C"/>
    <w:pPr>
      <w:spacing w:after="40"/>
      <w:ind w:left="567" w:hanging="283"/>
    </w:pPr>
  </w:style>
  <w:style w:type="paragraph" w:customStyle="1" w:styleId="DHHSbullet1lastline">
    <w:name w:val="DHHS bullet 1 last line"/>
    <w:basedOn w:val="DHHSbullet1"/>
    <w:qFormat/>
    <w:rsid w:val="0096420C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96420C"/>
    <w:p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96420C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96420C"/>
    <w:pPr>
      <w:spacing w:after="40"/>
      <w:ind w:left="680" w:hanging="283"/>
    </w:pPr>
  </w:style>
  <w:style w:type="paragraph" w:customStyle="1" w:styleId="DHHSbulletindentlastline">
    <w:name w:val="DHHS bullet indent last line"/>
    <w:basedOn w:val="DHHSbody"/>
    <w:uiPriority w:val="4"/>
    <w:rsid w:val="0096420C"/>
    <w:pPr>
      <w:ind w:left="680" w:hanging="283"/>
    </w:pPr>
  </w:style>
  <w:style w:type="paragraph" w:customStyle="1" w:styleId="DHHSnumberloweralpha">
    <w:name w:val="DHHS number lower alpha"/>
    <w:basedOn w:val="DHHSbody"/>
    <w:uiPriority w:val="3"/>
    <w:rsid w:val="0096420C"/>
    <w:pPr>
      <w:numPr>
        <w:ilvl w:val="2"/>
        <w:numId w:val="42"/>
      </w:numPr>
    </w:pPr>
  </w:style>
  <w:style w:type="paragraph" w:customStyle="1" w:styleId="DHHSnumberloweralphaindent">
    <w:name w:val="DHHS number lower alpha indent"/>
    <w:basedOn w:val="DHHSbody"/>
    <w:uiPriority w:val="3"/>
    <w:rsid w:val="0096420C"/>
    <w:pPr>
      <w:numPr>
        <w:ilvl w:val="3"/>
        <w:numId w:val="42"/>
      </w:numPr>
    </w:pPr>
  </w:style>
  <w:style w:type="paragraph" w:customStyle="1" w:styleId="DHHStablecaption">
    <w:name w:val="DHHS table caption"/>
    <w:next w:val="DHHSbody"/>
    <w:uiPriority w:val="3"/>
    <w:qFormat/>
    <w:rsid w:val="0096420C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numberdigit">
    <w:name w:val="DHHS number digit"/>
    <w:basedOn w:val="DHHSbody"/>
    <w:uiPriority w:val="2"/>
    <w:rsid w:val="0096420C"/>
    <w:pPr>
      <w:numPr>
        <w:numId w:val="42"/>
      </w:numPr>
    </w:pPr>
  </w:style>
  <w:style w:type="paragraph" w:customStyle="1" w:styleId="DHHStablecolhead">
    <w:name w:val="DHHS table col head"/>
    <w:uiPriority w:val="3"/>
    <w:qFormat/>
    <w:rsid w:val="0096420C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96420C"/>
    <w:pPr>
      <w:spacing w:before="240"/>
    </w:pPr>
  </w:style>
  <w:style w:type="numbering" w:customStyle="1" w:styleId="ZZNumbers">
    <w:name w:val="ZZ Numbers"/>
    <w:rsid w:val="0096420C"/>
    <w:pPr>
      <w:numPr>
        <w:numId w:val="41"/>
      </w:numPr>
    </w:pPr>
  </w:style>
  <w:style w:type="paragraph" w:customStyle="1" w:styleId="DHHSnumberlowerroman">
    <w:name w:val="DHHS number lower roman"/>
    <w:basedOn w:val="DHHSbody"/>
    <w:uiPriority w:val="3"/>
    <w:rsid w:val="0096420C"/>
    <w:pPr>
      <w:numPr>
        <w:ilvl w:val="4"/>
        <w:numId w:val="42"/>
      </w:numPr>
    </w:pPr>
  </w:style>
  <w:style w:type="paragraph" w:customStyle="1" w:styleId="DHHSnumberlowerromanindent">
    <w:name w:val="DHHS number lower roman indent"/>
    <w:basedOn w:val="DHHSbody"/>
    <w:uiPriority w:val="3"/>
    <w:rsid w:val="0096420C"/>
    <w:pPr>
      <w:numPr>
        <w:ilvl w:val="5"/>
        <w:numId w:val="4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96420C"/>
    <w:pPr>
      <w:numPr>
        <w:ilvl w:val="1"/>
      </w:numPr>
    </w:pPr>
  </w:style>
  <w:style w:type="paragraph" w:customStyle="1" w:styleId="DHHSfigurecaption">
    <w:name w:val="DHHS figure caption"/>
    <w:next w:val="DHHSbody"/>
    <w:rsid w:val="0096420C"/>
    <w:pPr>
      <w:keepNext/>
      <w:keepLines/>
      <w:spacing w:before="240" w:after="120"/>
    </w:pPr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s://www2.health.vic.gov.au/public-health/drugs-and-poisons/pharmacotherapy/pharmacotherapy-policy-in-victori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austroads.com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file:///C:/Users/andrewmacrae/Google%20Drive/jobs/191217-maureen/%3C%3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hyperlink" Target="https://www.dacas.org.a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yperlink" Target="https://www.health.gov.au/resources/publications/national-guidelines-for-medication-assisted-treatment-of-opioid-dependence" TargetMode="External"/><Relationship Id="rId30" Type="http://schemas.openxmlformats.org/officeDocument/2006/relationships/hyperlink" Target="https://www.sublocade.com/Content/pdf/prescribing-information.pdf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CBSFileName xmlns="59098f23-3ca6-4eec-8c4e-6f77ceae2d9e">Attachment 1 - LAIB clinical guidelines</CBSFileName>
    <CBSDocType xmlns="59098f23-3ca6-4eec-8c4e-6f77ceae2d9e" xsi:nil="true"/>
    <CBSStatus xmlns="59098f23-3ca6-4eec-8c4e-6f77ceae2d9e">Finalised</CBSStatus>
    <Update_x0020_File_x0020_Name_x0020_Briefing xmlns="9bb0acc9-d7bd-4cdf-ad2b-ac1699117d04">
      <Url xsi:nil="true"/>
      <Description xsi:nil="true"/>
    </Update_x0020_File_x0020_Name_x0020_Briefing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DF8538E20725164D82A104E09F6F1C51" ma:contentTypeVersion="35" ma:contentTypeDescription="" ma:contentTypeScope="" ma:versionID="f556afefc94389aa9787c6cdeace69c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9bb0acc9-d7bd-4cdf-ad2b-ac1699117d04" targetNamespace="http://schemas.microsoft.com/office/2006/metadata/properties" ma:root="true" ma:fieldsID="134df49139394a8ccaa992ed888bde51" ns2:_="" ns3:_="" ns4:_="">
    <xsd:import namespace="59098f23-3ca6-4eec-8c4e-6f77ceae2d9e"/>
    <xsd:import namespace="131e7afd-8cb4-4255-a884-cbcde2747e4c"/>
    <xsd:import namespace="9bb0acc9-d7bd-4cdf-ad2b-ac1699117d04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Briefi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1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4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5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cc9-d7bd-4cdf-ad2b-ac1699117d04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Briefing" ma:index="16" nillable="true" ma:displayName="Update File Name Briefing" ma:internalName="Update_x0020_File_x0020_Name_x0020_Brief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9098f23-3ca6-4eec-8c4e-6f77ceae2d9e"/>
    <ds:schemaRef ds:uri="http://purl.org/dc/elements/1.1/"/>
    <ds:schemaRef ds:uri="http://schemas.microsoft.com/office/2006/metadata/properties"/>
    <ds:schemaRef ds:uri="http://schemas.microsoft.com/office/infopath/2007/PartnerControls"/>
    <ds:schemaRef ds:uri="9bb0acc9-d7bd-4cdf-ad2b-ac1699117d04"/>
    <ds:schemaRef ds:uri="131e7afd-8cb4-4255-a884-cbcde2747e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78CFE-98D4-4EF1-9A44-61DA467C9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9bb0acc9-d7bd-4cdf-ad2b-ac1699117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report.dotx</Template>
  <TotalTime>22</TotalTime>
  <Pages>18</Pages>
  <Words>3581</Words>
  <Characters>23450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26978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Kowalski (DHHS)</dc:creator>
  <cp:lastModifiedBy>Melanie Kowalski (Health)</cp:lastModifiedBy>
  <cp:revision>14</cp:revision>
  <cp:lastPrinted>2021-03-24T23:49:00Z</cp:lastPrinted>
  <dcterms:created xsi:type="dcterms:W3CDTF">2021-02-16T21:51:00Z</dcterms:created>
  <dcterms:modified xsi:type="dcterms:W3CDTF">2021-03-24T23:49:00Z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0x010100A5FD4705EF695745935DCFF362D96FD900DF8538E20725164D82A104E09F6F1C51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DocumentSetDescription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2021-03-24T23:49:56Z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63f486b4-8569-4046-8df0-77b8936f4c9d</vt:lpwstr>
  </property>
  <property fmtid="{D5CDD505-2E9C-101B-9397-08002B2CF9AE}" pid="13" name="MSIP_Label_43e64453-338c-4f93-8a4d-0039a0a41f2a_ContentBits">
    <vt:lpwstr>2</vt:lpwstr>
  </property>
</Properties>
</file>