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28615F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21B7B" w:rsidP="00A91406">
            <w:pPr>
              <w:pStyle w:val="DHHSmainheading"/>
            </w:pPr>
            <w:r>
              <w:t xml:space="preserve">Antimicrobial resistance among Victorian </w:t>
            </w:r>
            <w:r w:rsidRPr="00B1198E">
              <w:rPr>
                <w:i/>
              </w:rPr>
              <w:t>Shigella</w:t>
            </w:r>
            <w:r>
              <w:t xml:space="preserve"> isolates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C02063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221B7B">
              <w:rPr>
                <w:szCs w:val="28"/>
              </w:rPr>
              <w:t xml:space="preserve">January to </w:t>
            </w:r>
            <w:r>
              <w:rPr>
                <w:szCs w:val="28"/>
              </w:rPr>
              <w:t xml:space="preserve">31 </w:t>
            </w:r>
            <w:r w:rsidR="00221B7B">
              <w:rPr>
                <w:szCs w:val="28"/>
              </w:rPr>
              <w:t>December 2018</w:t>
            </w:r>
          </w:p>
        </w:tc>
      </w:tr>
    </w:tbl>
    <w:p w:rsidR="00C02063" w:rsidRPr="00221B7B" w:rsidRDefault="00C02063" w:rsidP="00583426">
      <w:pPr>
        <w:pStyle w:val="DHHSbody"/>
      </w:pPr>
      <w:r w:rsidRPr="00221B7B">
        <w:t>There were 207 culture</w:t>
      </w:r>
      <w:r>
        <w:t>-</w:t>
      </w:r>
      <w:r w:rsidRPr="00221B7B">
        <w:t xml:space="preserve">positive cases of shigellosis notified to the </w:t>
      </w:r>
      <w:r>
        <w:t xml:space="preserve">Victorian Government </w:t>
      </w:r>
      <w:r w:rsidRPr="00221B7B">
        <w:t>Department of Health and Human Services</w:t>
      </w:r>
      <w:r>
        <w:t xml:space="preserve"> in </w:t>
      </w:r>
      <w:r w:rsidRPr="00221B7B">
        <w:t xml:space="preserve">2018. Antimicrobial susceptibility data were available for 195 cases, as tested by the Microbiological Diagnostic Unit Public Health Laboratory (MDU PHL). The data were current as </w:t>
      </w:r>
      <w:r>
        <w:t>at</w:t>
      </w:r>
      <w:r w:rsidRPr="00221B7B">
        <w:t xml:space="preserve"> 16</w:t>
      </w:r>
      <w:r>
        <w:t> February 2019</w:t>
      </w:r>
      <w:r w:rsidRPr="00221B7B">
        <w:t xml:space="preserve">. </w:t>
      </w:r>
    </w:p>
    <w:p w:rsidR="00221B7B" w:rsidRPr="00221B7B" w:rsidRDefault="00221B7B" w:rsidP="00583426">
      <w:pPr>
        <w:pStyle w:val="DHHSbody"/>
      </w:pPr>
      <w:r w:rsidRPr="00221B7B">
        <w:t>Key risk factors for shigellosis in Victoria include international travel and men who have sex with men (MSM). Risk factor data was available for all 195 cases.</w:t>
      </w:r>
    </w:p>
    <w:p w:rsidR="007173CA" w:rsidRDefault="00221B7B" w:rsidP="007173CA">
      <w:pPr>
        <w:pStyle w:val="DHHSbody"/>
        <w:rPr>
          <w:b/>
        </w:rPr>
      </w:pPr>
      <w:bookmarkStart w:id="1" w:name="_Toc440566508"/>
      <w:r w:rsidRPr="00221B7B">
        <w:rPr>
          <w:b/>
        </w:rPr>
        <w:t xml:space="preserve">Table 1: Antimicrobial resistance among </w:t>
      </w:r>
      <w:r w:rsidRPr="00221B7B">
        <w:rPr>
          <w:b/>
          <w:i/>
        </w:rPr>
        <w:t>Shigella</w:t>
      </w:r>
      <w:r w:rsidRPr="00221B7B">
        <w:rPr>
          <w:b/>
        </w:rPr>
        <w:t xml:space="preserve"> isolates by species, 2018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72"/>
        <w:gridCol w:w="2112"/>
        <w:gridCol w:w="2235"/>
        <w:gridCol w:w="2275"/>
      </w:tblGrid>
      <w:tr w:rsidR="00BB7C8A" w:rsidRPr="00BB7C8A" w:rsidTr="00583426">
        <w:trPr>
          <w:trHeight w:val="537"/>
        </w:trPr>
        <w:tc>
          <w:tcPr>
            <w:tcW w:w="1752" w:type="pct"/>
            <w:shd w:val="clear" w:color="auto" w:fill="0070C0"/>
            <w:noWrap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Anti</w:t>
            </w:r>
            <w:r w:rsidR="00C020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biotic(s)</w:t>
            </w:r>
          </w:p>
        </w:tc>
        <w:tc>
          <w:tcPr>
            <w:tcW w:w="1036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All species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</w:r>
            <w:r w:rsidR="00C020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N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= 195</w:t>
            </w:r>
            <w:r w:rsidR="00953317" w:rsidRPr="0095331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*</w:t>
            </w:r>
            <w:r w:rsidR="0095331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**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(%)</w:t>
            </w:r>
          </w:p>
        </w:tc>
        <w:tc>
          <w:tcPr>
            <w:tcW w:w="1096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  <w:lang w:eastAsia="en-AU"/>
              </w:rPr>
              <w:t xml:space="preserve">Shigella </w:t>
            </w:r>
            <w:proofErr w:type="spellStart"/>
            <w:r w:rsidRPr="00BB7C8A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  <w:lang w:eastAsia="en-AU"/>
              </w:rPr>
              <w:t>flexneri</w:t>
            </w:r>
            <w:proofErr w:type="spellEnd"/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  <w:t>n = 66 (%)</w:t>
            </w:r>
          </w:p>
        </w:tc>
        <w:tc>
          <w:tcPr>
            <w:tcW w:w="1116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  <w:lang w:eastAsia="en-AU"/>
              </w:rPr>
              <w:t xml:space="preserve">Shigella </w:t>
            </w:r>
            <w:proofErr w:type="spellStart"/>
            <w:r w:rsidRPr="00BB7C8A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  <w:lang w:eastAsia="en-AU"/>
              </w:rPr>
              <w:t>sonnei</w:t>
            </w:r>
            <w:proofErr w:type="spellEnd"/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  <w:t>n = 119 (%)</w:t>
            </w:r>
          </w:p>
        </w:tc>
      </w:tr>
      <w:tr w:rsidR="00BB7C8A" w:rsidRPr="00BB7C8A" w:rsidTr="00583426">
        <w:trPr>
          <w:trHeight w:val="300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Ampicillin</w:t>
            </w:r>
          </w:p>
        </w:tc>
        <w:tc>
          <w:tcPr>
            <w:tcW w:w="1036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 (65)</w:t>
            </w:r>
          </w:p>
        </w:tc>
        <w:tc>
          <w:tcPr>
            <w:tcW w:w="1096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 (89)</w:t>
            </w:r>
          </w:p>
        </w:tc>
        <w:tc>
          <w:tcPr>
            <w:tcW w:w="1116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 (52)</w:t>
            </w:r>
          </w:p>
        </w:tc>
      </w:tr>
      <w:tr w:rsidR="00BB7C8A" w:rsidRPr="00BB7C8A" w:rsidTr="00583426">
        <w:trPr>
          <w:trHeight w:val="300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Azithromycin</w:t>
            </w:r>
          </w:p>
        </w:tc>
        <w:tc>
          <w:tcPr>
            <w:tcW w:w="103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 (40)</w:t>
            </w:r>
          </w:p>
        </w:tc>
        <w:tc>
          <w:tcPr>
            <w:tcW w:w="109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 (36)</w:t>
            </w:r>
          </w:p>
        </w:tc>
        <w:tc>
          <w:tcPr>
            <w:tcW w:w="111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 (45)</w:t>
            </w:r>
          </w:p>
        </w:tc>
      </w:tr>
      <w:tr w:rsidR="00BB7C8A" w:rsidRPr="00BB7C8A" w:rsidTr="00583426">
        <w:trPr>
          <w:trHeight w:val="300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Cefotaxime</w:t>
            </w:r>
          </w:p>
        </w:tc>
        <w:tc>
          <w:tcPr>
            <w:tcW w:w="103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 (8)</w:t>
            </w:r>
          </w:p>
        </w:tc>
        <w:tc>
          <w:tcPr>
            <w:tcW w:w="109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(3)</w:t>
            </w:r>
          </w:p>
        </w:tc>
        <w:tc>
          <w:tcPr>
            <w:tcW w:w="111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 (10)</w:t>
            </w:r>
          </w:p>
        </w:tc>
      </w:tr>
      <w:tr w:rsidR="00BB7C8A" w:rsidRPr="00BB7C8A" w:rsidTr="00583426">
        <w:trPr>
          <w:trHeight w:val="300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Ciprofloxacin</w:t>
            </w:r>
            <w:r w:rsidR="00953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3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 (37)</w:t>
            </w:r>
          </w:p>
        </w:tc>
        <w:tc>
          <w:tcPr>
            <w:tcW w:w="109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 (18)</w:t>
            </w:r>
          </w:p>
        </w:tc>
        <w:tc>
          <w:tcPr>
            <w:tcW w:w="111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 (15)</w:t>
            </w:r>
          </w:p>
        </w:tc>
      </w:tr>
      <w:tr w:rsidR="00BB7C8A" w:rsidRPr="00BB7C8A" w:rsidTr="00583426">
        <w:trPr>
          <w:trHeight w:val="300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Co-trimoxazole</w:t>
            </w:r>
          </w:p>
        </w:tc>
        <w:tc>
          <w:tcPr>
            <w:tcW w:w="1036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154 (79)</w:t>
            </w:r>
          </w:p>
        </w:tc>
        <w:tc>
          <w:tcPr>
            <w:tcW w:w="1096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 (74)</w:t>
            </w:r>
          </w:p>
        </w:tc>
        <w:tc>
          <w:tcPr>
            <w:tcW w:w="1116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 (83)</w:t>
            </w:r>
          </w:p>
        </w:tc>
      </w:tr>
      <w:tr w:rsidR="00BB7C8A" w:rsidRPr="00BB7C8A" w:rsidTr="00583426">
        <w:trPr>
          <w:trHeight w:val="296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Ciprofloxacin and Azithromycin</w:t>
            </w:r>
          </w:p>
        </w:tc>
        <w:tc>
          <w:tcPr>
            <w:tcW w:w="103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 (20)</w:t>
            </w:r>
          </w:p>
        </w:tc>
        <w:tc>
          <w:tcPr>
            <w:tcW w:w="109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(3)</w:t>
            </w:r>
          </w:p>
        </w:tc>
        <w:tc>
          <w:tcPr>
            <w:tcW w:w="111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 (31)</w:t>
            </w:r>
          </w:p>
        </w:tc>
      </w:tr>
      <w:tr w:rsidR="00BB7C8A" w:rsidRPr="00BB7C8A" w:rsidTr="00583426">
        <w:trPr>
          <w:trHeight w:val="273"/>
        </w:trPr>
        <w:tc>
          <w:tcPr>
            <w:tcW w:w="175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Multi Drug Resistant</w:t>
            </w:r>
            <w:r w:rsidR="00953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103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 (48)</w:t>
            </w:r>
          </w:p>
        </w:tc>
        <w:tc>
          <w:tcPr>
            <w:tcW w:w="109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 (47)</w:t>
            </w:r>
          </w:p>
        </w:tc>
        <w:tc>
          <w:tcPr>
            <w:tcW w:w="1116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61 (51)</w:t>
            </w:r>
          </w:p>
        </w:tc>
      </w:tr>
    </w:tbl>
    <w:bookmarkEnd w:id="1"/>
    <w:p w:rsidR="00BB7C8A" w:rsidRPr="00583426" w:rsidRDefault="00953317" w:rsidP="00583426">
      <w:pPr>
        <w:pStyle w:val="DHHSbody"/>
        <w:spacing w:after="0"/>
        <w:rPr>
          <w:sz w:val="16"/>
          <w:szCs w:val="16"/>
        </w:rPr>
      </w:pPr>
      <w:r w:rsidRPr="00583426">
        <w:rPr>
          <w:sz w:val="16"/>
          <w:szCs w:val="16"/>
        </w:rPr>
        <w:t>*</w:t>
      </w:r>
      <w:r w:rsidR="00BB7C8A" w:rsidRPr="00583426">
        <w:rPr>
          <w:sz w:val="16"/>
          <w:szCs w:val="16"/>
        </w:rPr>
        <w:t xml:space="preserve"> Includes both resistant and non-susceptible isolates </w:t>
      </w:r>
    </w:p>
    <w:p w:rsidR="00BB7C8A" w:rsidRPr="00583426" w:rsidRDefault="00953317" w:rsidP="00583426">
      <w:pPr>
        <w:pStyle w:val="DHHSbody"/>
        <w:spacing w:after="0"/>
        <w:rPr>
          <w:sz w:val="16"/>
          <w:szCs w:val="16"/>
        </w:rPr>
      </w:pPr>
      <w:r w:rsidRPr="00583426">
        <w:rPr>
          <w:sz w:val="16"/>
          <w:szCs w:val="16"/>
        </w:rPr>
        <w:t xml:space="preserve">** </w:t>
      </w:r>
      <w:r w:rsidR="00BB7C8A" w:rsidRPr="00583426">
        <w:rPr>
          <w:sz w:val="16"/>
          <w:szCs w:val="16"/>
        </w:rPr>
        <w:t>Resistance to three or more of ampicillin, azithromycin, cefotaxime, ciprofloxacin and co-trimoxazole</w:t>
      </w:r>
    </w:p>
    <w:p w:rsidR="00BB7C8A" w:rsidRDefault="00953317" w:rsidP="00583426">
      <w:pPr>
        <w:pStyle w:val="DHHSbody"/>
        <w:spacing w:after="0"/>
        <w:rPr>
          <w:sz w:val="16"/>
          <w:szCs w:val="16"/>
        </w:rPr>
      </w:pPr>
      <w:r w:rsidRPr="00583426">
        <w:rPr>
          <w:sz w:val="16"/>
          <w:szCs w:val="16"/>
        </w:rPr>
        <w:t>***</w:t>
      </w:r>
      <w:r w:rsidR="00BB7C8A" w:rsidRPr="00583426">
        <w:rPr>
          <w:sz w:val="16"/>
          <w:szCs w:val="16"/>
        </w:rPr>
        <w:t xml:space="preserve">The </w:t>
      </w:r>
      <w:r w:rsidRPr="00583426">
        <w:rPr>
          <w:sz w:val="16"/>
          <w:szCs w:val="16"/>
        </w:rPr>
        <w:t xml:space="preserve">195 </w:t>
      </w:r>
      <w:r w:rsidRPr="00F26752">
        <w:rPr>
          <w:i/>
          <w:sz w:val="16"/>
          <w:szCs w:val="16"/>
        </w:rPr>
        <w:t>Shigella</w:t>
      </w:r>
      <w:r w:rsidRPr="00583426">
        <w:rPr>
          <w:sz w:val="16"/>
          <w:szCs w:val="16"/>
        </w:rPr>
        <w:t xml:space="preserve"> isolates comprised </w:t>
      </w:r>
      <w:r w:rsidRPr="00F26752">
        <w:rPr>
          <w:i/>
          <w:sz w:val="16"/>
          <w:szCs w:val="16"/>
        </w:rPr>
        <w:t xml:space="preserve">S. </w:t>
      </w:r>
      <w:proofErr w:type="spellStart"/>
      <w:r w:rsidRPr="00F26752">
        <w:rPr>
          <w:i/>
          <w:sz w:val="16"/>
          <w:szCs w:val="16"/>
        </w:rPr>
        <w:t>sonnei</w:t>
      </w:r>
      <w:proofErr w:type="spellEnd"/>
      <w:r w:rsidRPr="00583426">
        <w:rPr>
          <w:sz w:val="16"/>
          <w:szCs w:val="16"/>
        </w:rPr>
        <w:t xml:space="preserve"> (119), </w:t>
      </w:r>
      <w:r w:rsidRPr="00F26752">
        <w:rPr>
          <w:i/>
          <w:sz w:val="16"/>
          <w:szCs w:val="16"/>
        </w:rPr>
        <w:t xml:space="preserve">S. </w:t>
      </w:r>
      <w:proofErr w:type="spellStart"/>
      <w:r w:rsidRPr="00F26752">
        <w:rPr>
          <w:i/>
          <w:sz w:val="16"/>
          <w:szCs w:val="16"/>
        </w:rPr>
        <w:t>flexneri</w:t>
      </w:r>
      <w:proofErr w:type="spellEnd"/>
      <w:r w:rsidRPr="00583426">
        <w:rPr>
          <w:sz w:val="16"/>
          <w:szCs w:val="16"/>
        </w:rPr>
        <w:t xml:space="preserve"> (66), S</w:t>
      </w:r>
      <w:r w:rsidR="00BB7C8A" w:rsidRPr="00583426">
        <w:rPr>
          <w:sz w:val="16"/>
          <w:szCs w:val="16"/>
        </w:rPr>
        <w:t>. boydii</w:t>
      </w:r>
      <w:r w:rsidRPr="00583426">
        <w:rPr>
          <w:sz w:val="16"/>
          <w:szCs w:val="16"/>
        </w:rPr>
        <w:t xml:space="preserve"> (6)</w:t>
      </w:r>
      <w:r w:rsidR="00BB7C8A" w:rsidRPr="00583426">
        <w:rPr>
          <w:sz w:val="16"/>
          <w:szCs w:val="16"/>
        </w:rPr>
        <w:t xml:space="preserve">, </w:t>
      </w:r>
      <w:r w:rsidR="00BB7C8A" w:rsidRPr="00F26752">
        <w:rPr>
          <w:i/>
          <w:sz w:val="16"/>
          <w:szCs w:val="16"/>
        </w:rPr>
        <w:t xml:space="preserve">S. </w:t>
      </w:r>
      <w:proofErr w:type="spellStart"/>
      <w:r w:rsidR="00BB7C8A" w:rsidRPr="00F26752">
        <w:rPr>
          <w:i/>
          <w:sz w:val="16"/>
          <w:szCs w:val="16"/>
        </w:rPr>
        <w:t>dysenteriae</w:t>
      </w:r>
      <w:proofErr w:type="spellEnd"/>
      <w:r w:rsidRPr="00583426">
        <w:rPr>
          <w:sz w:val="16"/>
          <w:szCs w:val="16"/>
        </w:rPr>
        <w:t xml:space="preserve"> (3)</w:t>
      </w:r>
      <w:r w:rsidR="00BB7C8A" w:rsidRPr="00583426">
        <w:rPr>
          <w:sz w:val="16"/>
          <w:szCs w:val="16"/>
        </w:rPr>
        <w:t xml:space="preserve"> and one </w:t>
      </w:r>
      <w:r w:rsidR="00BB7C8A" w:rsidRPr="00F26752">
        <w:rPr>
          <w:i/>
          <w:sz w:val="16"/>
          <w:szCs w:val="16"/>
        </w:rPr>
        <w:t>Shigella</w:t>
      </w:r>
      <w:r w:rsidR="00BB7C8A" w:rsidRPr="00583426">
        <w:rPr>
          <w:sz w:val="16"/>
          <w:szCs w:val="16"/>
        </w:rPr>
        <w:t xml:space="preserve"> </w:t>
      </w:r>
      <w:r w:rsidR="00F26752">
        <w:rPr>
          <w:sz w:val="16"/>
          <w:szCs w:val="16"/>
        </w:rPr>
        <w:t xml:space="preserve">genus </w:t>
      </w:r>
      <w:r w:rsidR="00BB7C8A" w:rsidRPr="00583426">
        <w:rPr>
          <w:sz w:val="16"/>
          <w:szCs w:val="16"/>
        </w:rPr>
        <w:t>not speciated</w:t>
      </w:r>
      <w:r w:rsidRPr="00583426">
        <w:rPr>
          <w:sz w:val="16"/>
          <w:szCs w:val="16"/>
        </w:rPr>
        <w:t>.</w:t>
      </w:r>
    </w:p>
    <w:p w:rsidR="00583426" w:rsidRPr="00583426" w:rsidRDefault="00583426" w:rsidP="00583426">
      <w:pPr>
        <w:pStyle w:val="DHHSbody"/>
        <w:spacing w:after="0"/>
        <w:rPr>
          <w:sz w:val="16"/>
          <w:szCs w:val="16"/>
        </w:rPr>
      </w:pPr>
    </w:p>
    <w:p w:rsidR="00BB7C8A" w:rsidRDefault="00BB7C8A" w:rsidP="00BB7C8A">
      <w:pPr>
        <w:pStyle w:val="DHHSbody"/>
        <w:rPr>
          <w:b/>
        </w:rPr>
      </w:pPr>
      <w:r w:rsidRPr="00221B7B">
        <w:rPr>
          <w:b/>
        </w:rPr>
        <w:t xml:space="preserve">Table </w:t>
      </w:r>
      <w:r>
        <w:rPr>
          <w:b/>
        </w:rPr>
        <w:t>2</w:t>
      </w:r>
      <w:r w:rsidRPr="00221B7B">
        <w:rPr>
          <w:b/>
        </w:rPr>
        <w:t xml:space="preserve">: Antimicrobial resistance among </w:t>
      </w:r>
      <w:r w:rsidRPr="00221B7B">
        <w:rPr>
          <w:b/>
          <w:i/>
        </w:rPr>
        <w:t>Shigella</w:t>
      </w:r>
      <w:r w:rsidRPr="00221B7B">
        <w:rPr>
          <w:b/>
        </w:rPr>
        <w:t xml:space="preserve"> isolates by </w:t>
      </w:r>
      <w:r>
        <w:rPr>
          <w:b/>
        </w:rPr>
        <w:t>risk factor</w:t>
      </w:r>
      <w:r w:rsidRPr="00221B7B">
        <w:rPr>
          <w:b/>
        </w:rPr>
        <w:t>, 2018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348"/>
        <w:gridCol w:w="1521"/>
        <w:gridCol w:w="1521"/>
        <w:gridCol w:w="1217"/>
        <w:gridCol w:w="1370"/>
        <w:gridCol w:w="1217"/>
      </w:tblGrid>
      <w:tr w:rsidR="00BB7C8A" w:rsidRPr="00BB7C8A" w:rsidTr="00583426">
        <w:trPr>
          <w:trHeight w:val="900"/>
        </w:trPr>
        <w:tc>
          <w:tcPr>
            <w:tcW w:w="1642" w:type="pct"/>
            <w:shd w:val="clear" w:color="auto" w:fill="0070C0"/>
            <w:noWrap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Anti</w:t>
            </w:r>
            <w:r w:rsidR="00C020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biotic(s)</w:t>
            </w:r>
          </w:p>
        </w:tc>
        <w:tc>
          <w:tcPr>
            <w:tcW w:w="746" w:type="pct"/>
            <w:shd w:val="clear" w:color="auto" w:fill="0070C0"/>
            <w:vAlign w:val="bottom"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All cases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</w:r>
            <w:r w:rsidR="00C020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N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= 195 (%)</w:t>
            </w:r>
          </w:p>
        </w:tc>
        <w:tc>
          <w:tcPr>
            <w:tcW w:w="746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International travel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  <w:t>n = 90 (%)</w:t>
            </w:r>
          </w:p>
        </w:tc>
        <w:tc>
          <w:tcPr>
            <w:tcW w:w="597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MSM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  <w:t>n = 54 (%)</w:t>
            </w:r>
          </w:p>
        </w:tc>
        <w:tc>
          <w:tcPr>
            <w:tcW w:w="672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No known risk factor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  <w:t>n = 27 (%)</w:t>
            </w:r>
          </w:p>
        </w:tc>
        <w:tc>
          <w:tcPr>
            <w:tcW w:w="597" w:type="pct"/>
            <w:shd w:val="clear" w:color="auto" w:fill="0070C0"/>
            <w:vAlign w:val="bottom"/>
            <w:hideMark/>
          </w:tcPr>
          <w:p w:rsidR="00BB7C8A" w:rsidRPr="00BB7C8A" w:rsidRDefault="00BB7C8A" w:rsidP="00286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t>Other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vertAlign w:val="superscript"/>
                <w:lang w:eastAsia="en-AU"/>
              </w:rPr>
              <w:t>1</w:t>
            </w:r>
            <w:r w:rsidRPr="00BB7C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AU"/>
              </w:rPr>
              <w:br/>
              <w:t>n = 24 (%)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Ampicillin</w:t>
            </w:r>
          </w:p>
        </w:tc>
        <w:tc>
          <w:tcPr>
            <w:tcW w:w="746" w:type="pct"/>
            <w:shd w:val="clear" w:color="auto" w:fill="A6A6A6" w:themeFill="background1" w:themeFillShade="A6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 (65)</w:t>
            </w:r>
          </w:p>
        </w:tc>
        <w:tc>
          <w:tcPr>
            <w:tcW w:w="746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 (51)</w:t>
            </w:r>
          </w:p>
        </w:tc>
        <w:tc>
          <w:tcPr>
            <w:tcW w:w="597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 (94)</w:t>
            </w:r>
          </w:p>
        </w:tc>
        <w:tc>
          <w:tcPr>
            <w:tcW w:w="672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 (74)</w:t>
            </w:r>
          </w:p>
        </w:tc>
        <w:tc>
          <w:tcPr>
            <w:tcW w:w="597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 (75)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Azithromycin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 (40)</w:t>
            </w:r>
          </w:p>
        </w:tc>
        <w:tc>
          <w:tcPr>
            <w:tcW w:w="74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 (10)</w:t>
            </w:r>
          </w:p>
        </w:tc>
        <w:tc>
          <w:tcPr>
            <w:tcW w:w="597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 (83)</w:t>
            </w:r>
          </w:p>
        </w:tc>
        <w:tc>
          <w:tcPr>
            <w:tcW w:w="672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 (48)</w:t>
            </w:r>
          </w:p>
        </w:tc>
        <w:tc>
          <w:tcPr>
            <w:tcW w:w="597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 (46)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Cefotaxime</w:t>
            </w:r>
          </w:p>
        </w:tc>
        <w:tc>
          <w:tcPr>
            <w:tcW w:w="746" w:type="pct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 (8)</w:t>
            </w:r>
          </w:p>
        </w:tc>
        <w:tc>
          <w:tcPr>
            <w:tcW w:w="74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 (10)</w:t>
            </w:r>
          </w:p>
        </w:tc>
        <w:tc>
          <w:tcPr>
            <w:tcW w:w="597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(4)</w:t>
            </w:r>
          </w:p>
        </w:tc>
        <w:tc>
          <w:tcPr>
            <w:tcW w:w="67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 (15)</w:t>
            </w:r>
          </w:p>
        </w:tc>
        <w:tc>
          <w:tcPr>
            <w:tcW w:w="597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Ciprofloxacin</w:t>
            </w: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 (37)</w:t>
            </w:r>
          </w:p>
        </w:tc>
        <w:tc>
          <w:tcPr>
            <w:tcW w:w="746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 (36)</w:t>
            </w:r>
          </w:p>
        </w:tc>
        <w:tc>
          <w:tcPr>
            <w:tcW w:w="597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 (43)</w:t>
            </w:r>
          </w:p>
        </w:tc>
        <w:tc>
          <w:tcPr>
            <w:tcW w:w="672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 (37)</w:t>
            </w:r>
          </w:p>
        </w:tc>
        <w:tc>
          <w:tcPr>
            <w:tcW w:w="597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 (33)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Co-trimoxazole</w:t>
            </w:r>
          </w:p>
        </w:tc>
        <w:tc>
          <w:tcPr>
            <w:tcW w:w="746" w:type="pct"/>
            <w:shd w:val="clear" w:color="auto" w:fill="808080" w:themeFill="background1" w:themeFillShade="80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154 (79)</w:t>
            </w:r>
          </w:p>
        </w:tc>
        <w:tc>
          <w:tcPr>
            <w:tcW w:w="746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 (70)</w:t>
            </w:r>
          </w:p>
        </w:tc>
        <w:tc>
          <w:tcPr>
            <w:tcW w:w="597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 (93)</w:t>
            </w:r>
          </w:p>
        </w:tc>
        <w:tc>
          <w:tcPr>
            <w:tcW w:w="672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 (81)</w:t>
            </w:r>
          </w:p>
        </w:tc>
        <w:tc>
          <w:tcPr>
            <w:tcW w:w="597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 (79)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Ciprofloxacin and Azithromycin</w:t>
            </w:r>
          </w:p>
        </w:tc>
        <w:tc>
          <w:tcPr>
            <w:tcW w:w="746" w:type="pct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 (20)</w:t>
            </w:r>
          </w:p>
        </w:tc>
        <w:tc>
          <w:tcPr>
            <w:tcW w:w="74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 (7)</w:t>
            </w:r>
          </w:p>
        </w:tc>
        <w:tc>
          <w:tcPr>
            <w:tcW w:w="597" w:type="pct"/>
            <w:shd w:val="clear" w:color="auto" w:fill="D9D9D9" w:themeFill="background1" w:themeFillShade="D9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 (43)</w:t>
            </w:r>
          </w:p>
        </w:tc>
        <w:tc>
          <w:tcPr>
            <w:tcW w:w="67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 (18)</w:t>
            </w:r>
          </w:p>
        </w:tc>
        <w:tc>
          <w:tcPr>
            <w:tcW w:w="597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 (21)</w:t>
            </w:r>
          </w:p>
        </w:tc>
      </w:tr>
      <w:tr w:rsidR="00BB7C8A" w:rsidRPr="00BB7C8A" w:rsidTr="00583426">
        <w:trPr>
          <w:trHeight w:val="300"/>
        </w:trPr>
        <w:tc>
          <w:tcPr>
            <w:tcW w:w="1642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Multi Drug Resistant</w:t>
            </w: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 (48)</w:t>
            </w:r>
          </w:p>
        </w:tc>
        <w:tc>
          <w:tcPr>
            <w:tcW w:w="746" w:type="pct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 (21)</w:t>
            </w:r>
          </w:p>
        </w:tc>
        <w:tc>
          <w:tcPr>
            <w:tcW w:w="597" w:type="pct"/>
            <w:shd w:val="clear" w:color="auto" w:fill="808080" w:themeFill="background1" w:themeFillShade="80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 (81)</w:t>
            </w:r>
          </w:p>
        </w:tc>
        <w:tc>
          <w:tcPr>
            <w:tcW w:w="672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 (67)</w:t>
            </w:r>
          </w:p>
        </w:tc>
        <w:tc>
          <w:tcPr>
            <w:tcW w:w="597" w:type="pct"/>
            <w:shd w:val="clear" w:color="auto" w:fill="A6A6A6" w:themeFill="background1" w:themeFillShade="A6"/>
            <w:noWrap/>
            <w:hideMark/>
          </w:tcPr>
          <w:p w:rsidR="00BB7C8A" w:rsidRPr="00BB7C8A" w:rsidRDefault="00BB7C8A" w:rsidP="00BB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 (50)</w:t>
            </w:r>
          </w:p>
        </w:tc>
      </w:tr>
    </w:tbl>
    <w:p w:rsidR="0028615F" w:rsidRPr="00583426" w:rsidRDefault="0028615F" w:rsidP="00583426">
      <w:pPr>
        <w:pStyle w:val="DHHSbody"/>
        <w:spacing w:after="0"/>
        <w:rPr>
          <w:sz w:val="16"/>
          <w:szCs w:val="16"/>
        </w:rPr>
      </w:pPr>
      <w:r w:rsidRPr="00583426">
        <w:rPr>
          <w:sz w:val="16"/>
          <w:szCs w:val="16"/>
          <w:vertAlign w:val="subscript"/>
        </w:rPr>
        <w:t>1</w:t>
      </w:r>
      <w:r w:rsidRPr="00583426">
        <w:rPr>
          <w:sz w:val="16"/>
          <w:szCs w:val="16"/>
        </w:rPr>
        <w:t>Other include contact with an ill case, travel within Australia and mixed travel/MSM</w:t>
      </w:r>
    </w:p>
    <w:p w:rsidR="0028615F" w:rsidRPr="00583426" w:rsidRDefault="0028615F" w:rsidP="00583426">
      <w:pPr>
        <w:pStyle w:val="DHHSbody"/>
        <w:spacing w:after="0"/>
        <w:rPr>
          <w:sz w:val="16"/>
          <w:szCs w:val="16"/>
        </w:rPr>
      </w:pPr>
      <w:r w:rsidRPr="00583426">
        <w:rPr>
          <w:sz w:val="16"/>
          <w:szCs w:val="16"/>
          <w:vertAlign w:val="subscript"/>
        </w:rPr>
        <w:t>2</w:t>
      </w:r>
      <w:r w:rsidRPr="00583426">
        <w:rPr>
          <w:sz w:val="16"/>
          <w:szCs w:val="16"/>
        </w:rPr>
        <w:t xml:space="preserve">Includes both resistant and non-susceptible isolates  </w:t>
      </w:r>
    </w:p>
    <w:p w:rsidR="0028615F" w:rsidRDefault="0028615F" w:rsidP="00583426">
      <w:pPr>
        <w:pStyle w:val="DHHSbody"/>
        <w:spacing w:after="0"/>
        <w:rPr>
          <w:sz w:val="16"/>
          <w:szCs w:val="16"/>
        </w:rPr>
      </w:pPr>
      <w:r w:rsidRPr="00583426">
        <w:rPr>
          <w:sz w:val="16"/>
          <w:szCs w:val="16"/>
          <w:vertAlign w:val="subscript"/>
        </w:rPr>
        <w:t>3</w:t>
      </w:r>
      <w:r w:rsidRPr="00583426">
        <w:rPr>
          <w:sz w:val="16"/>
          <w:szCs w:val="16"/>
        </w:rPr>
        <w:t>Resistance to three or more of ampicillin, azithromycin, cefotaxime, ciprofloxacin and co-trimoxazole</w:t>
      </w:r>
    </w:p>
    <w:p w:rsidR="00583426" w:rsidRPr="00583426" w:rsidRDefault="00583426" w:rsidP="00583426">
      <w:pPr>
        <w:pStyle w:val="DHHSbody"/>
        <w:spacing w:after="0"/>
        <w:rPr>
          <w:sz w:val="16"/>
          <w:szCs w:val="16"/>
        </w:rPr>
      </w:pPr>
    </w:p>
    <w:p w:rsidR="00953317" w:rsidRDefault="00953317" w:rsidP="00583426">
      <w:pPr>
        <w:pStyle w:val="DHHSbullet1"/>
      </w:pPr>
      <w:r w:rsidRPr="0028615F">
        <w:rPr>
          <w:i/>
        </w:rPr>
        <w:t>Shigella</w:t>
      </w:r>
      <w:r w:rsidRPr="0028615F">
        <w:t xml:space="preserve"> </w:t>
      </w:r>
      <w:r>
        <w:t>infections which are r</w:t>
      </w:r>
      <w:r w:rsidRPr="0028615F">
        <w:t>esistan</w:t>
      </w:r>
      <w:r>
        <w:t>t</w:t>
      </w:r>
      <w:r w:rsidRPr="0028615F">
        <w:t xml:space="preserve"> to oral </w:t>
      </w:r>
      <w:r>
        <w:t>antibiotics are</w:t>
      </w:r>
      <w:r w:rsidRPr="0028615F">
        <w:t xml:space="preserve"> common among MSM and returning travellers. Oral therapy should be tailored according to antimicrobial susceptibility testing. Therapy for severe cases of shigellos</w:t>
      </w:r>
      <w:r>
        <w:t>i</w:t>
      </w:r>
      <w:r w:rsidRPr="0028615F">
        <w:t>s should be discussed with an infectious disease specialist.</w:t>
      </w:r>
    </w:p>
    <w:p w:rsidR="0028615F" w:rsidRPr="00583426" w:rsidRDefault="0028615F" w:rsidP="00583426">
      <w:pPr>
        <w:pStyle w:val="DHHSbullet1"/>
      </w:pPr>
      <w:r w:rsidRPr="00583426">
        <w:lastRenderedPageBreak/>
        <w:t xml:space="preserve">If empirical antimicrobial treatment is required for MSM and overseas-acquired disease and susceptibility results are not yet available or if diagnosis was </w:t>
      </w:r>
      <w:r w:rsidR="00953317" w:rsidRPr="00583426">
        <w:t xml:space="preserve">made </w:t>
      </w:r>
      <w:r w:rsidRPr="00583426">
        <w:t xml:space="preserve">by PCR </w:t>
      </w:r>
      <w:r w:rsidR="00953317" w:rsidRPr="00583426">
        <w:t>t</w:t>
      </w:r>
      <w:r w:rsidR="007C2F6C" w:rsidRPr="00583426">
        <w:t>e</w:t>
      </w:r>
      <w:r w:rsidR="00953317" w:rsidRPr="00583426">
        <w:t xml:space="preserve">sting </w:t>
      </w:r>
      <w:r w:rsidRPr="00583426">
        <w:t>only, current recommendations for these sources are:</w:t>
      </w:r>
    </w:p>
    <w:p w:rsidR="0028615F" w:rsidRPr="00583426" w:rsidRDefault="0028615F" w:rsidP="00583426">
      <w:pPr>
        <w:pStyle w:val="DHHSbulletindent"/>
      </w:pPr>
      <w:r w:rsidRPr="00583426">
        <w:t xml:space="preserve">Overseas travel – azithromycin </w:t>
      </w:r>
    </w:p>
    <w:p w:rsidR="0028615F" w:rsidRPr="00583426" w:rsidRDefault="0028615F" w:rsidP="00583426">
      <w:pPr>
        <w:pStyle w:val="DHHSbulletindent"/>
      </w:pPr>
      <w:r w:rsidRPr="00583426">
        <w:t xml:space="preserve">MSM – parenteral ceftriaxone or similar </w:t>
      </w:r>
      <w:r w:rsidR="00F26752">
        <w:t>third</w:t>
      </w:r>
      <w:r w:rsidRPr="00583426">
        <w:t xml:space="preserve"> generation cephalosporin.</w:t>
      </w:r>
    </w:p>
    <w:p w:rsidR="00583426" w:rsidRPr="00583426" w:rsidRDefault="00583426" w:rsidP="00583426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2802E3" w:rsidRPr="002802E3" w:rsidTr="00254F58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254F58" w:rsidRDefault="00254F58" w:rsidP="00583426">
            <w:pPr>
              <w:pStyle w:val="DHHSbody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BB7C8A" w:rsidRPr="00BB7C8A">
              <w:t>1300 651 160</w:t>
            </w:r>
            <w:r w:rsidRPr="00254F58">
              <w:t xml:space="preserve"> using the National Relay Service 13 36 77 if required</w:t>
            </w:r>
            <w:r w:rsidR="00BB7C8A">
              <w:t>.</w:t>
            </w:r>
          </w:p>
          <w:p w:rsidR="00254F58" w:rsidRPr="00254F58" w:rsidRDefault="00254F58" w:rsidP="00583426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802E3" w:rsidRPr="002802E3" w:rsidRDefault="00254F58" w:rsidP="00583426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583426">
              <w:t>, March 2019.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7B" w:rsidRDefault="00221B7B">
      <w:r>
        <w:separator/>
      </w:r>
    </w:p>
  </w:endnote>
  <w:endnote w:type="continuationSeparator" w:id="0">
    <w:p w:rsidR="00221B7B" w:rsidRDefault="0022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28615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83426" w:rsidP="0051568D">
    <w:pPr>
      <w:pStyle w:val="DHHSfooter"/>
    </w:pPr>
    <w:r w:rsidRPr="00583426">
      <w:t>Antimicrobial resistance among Victorian Shigella isolates</w:t>
    </w:r>
    <w:r>
      <w:t xml:space="preserve"> – 1 January to 31 December 2018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8615F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7B" w:rsidRDefault="00221B7B" w:rsidP="002862F1">
      <w:pPr>
        <w:spacing w:before="120"/>
      </w:pPr>
      <w:r>
        <w:separator/>
      </w:r>
    </w:p>
  </w:footnote>
  <w:footnote w:type="continuationSeparator" w:id="0">
    <w:p w:rsidR="00221B7B" w:rsidRDefault="0022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9437CE"/>
    <w:multiLevelType w:val="hybridMultilevel"/>
    <w:tmpl w:val="83B8D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74597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7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6A7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1B7B"/>
    <w:rsid w:val="0022278D"/>
    <w:rsid w:val="0022701F"/>
    <w:rsid w:val="002333F5"/>
    <w:rsid w:val="00233724"/>
    <w:rsid w:val="002432E1"/>
    <w:rsid w:val="00246207"/>
    <w:rsid w:val="00246C5E"/>
    <w:rsid w:val="00251343"/>
    <w:rsid w:val="00254E60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15F"/>
    <w:rsid w:val="002862F1"/>
    <w:rsid w:val="00291373"/>
    <w:rsid w:val="0029555C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3426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2F6C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3317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E61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16F"/>
    <w:rsid w:val="00B01B4D"/>
    <w:rsid w:val="00B06571"/>
    <w:rsid w:val="00B068BA"/>
    <w:rsid w:val="00B1198E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B7C8A"/>
    <w:rsid w:val="00BC7468"/>
    <w:rsid w:val="00BC7D4F"/>
    <w:rsid w:val="00BC7ED7"/>
    <w:rsid w:val="00BD2850"/>
    <w:rsid w:val="00BE28D2"/>
    <w:rsid w:val="00BE4A64"/>
    <w:rsid w:val="00BF7F58"/>
    <w:rsid w:val="00C01381"/>
    <w:rsid w:val="00C02063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05B3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31C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0BA7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0584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6752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061E796-B595-4D30-9362-2D0395A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8A"/>
    <w:rPr>
      <w:rFonts w:ascii="Tahoma" w:eastAsia="Calibri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ListParagraph">
    <w:name w:val="List Paragraph"/>
    <w:basedOn w:val="Normal"/>
    <w:uiPriority w:val="34"/>
    <w:qFormat/>
    <w:rsid w:val="0028615F"/>
    <w:pPr>
      <w:ind w:left="720"/>
      <w:contextualSpacing/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953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3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0</TotalTime>
  <Pages>2</Pages>
  <Words>494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3114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Easton</dc:creator>
  <cp:lastModifiedBy>Meredith Cameron (DHHS)</cp:lastModifiedBy>
  <cp:revision>2</cp:revision>
  <cp:lastPrinted>2019-03-06T22:09:00Z</cp:lastPrinted>
  <dcterms:created xsi:type="dcterms:W3CDTF">2019-04-11T03:54:00Z</dcterms:created>
  <dcterms:modified xsi:type="dcterms:W3CDTF">2019-04-11T03:54:00Z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