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0432B" w14:textId="77777777" w:rsidR="00056EC4" w:rsidRDefault="00E9042A" w:rsidP="008365A6">
      <w:pPr>
        <w:pStyle w:val="Heading1"/>
        <w:numPr>
          <w:ilvl w:val="0"/>
          <w:numId w:val="0"/>
        </w:numPr>
      </w:pPr>
      <w:bookmarkStart w:id="0" w:name="_Toc86410767"/>
      <w:r w:rsidRPr="00977D59">
        <w:rPr>
          <w:noProof/>
        </w:rPr>
        <w:drawing>
          <wp:anchor distT="0" distB="0" distL="114300" distR="114300" simplePos="0" relativeHeight="251658240" behindDoc="1" locked="1" layoutInCell="1" allowOverlap="0" wp14:anchorId="64A087C7" wp14:editId="30F332BE">
            <wp:simplePos x="0" y="0"/>
            <wp:positionH relativeFrom="page">
              <wp:posOffset>2540</wp:posOffset>
            </wp:positionH>
            <wp:positionV relativeFrom="page">
              <wp:posOffset>6350</wp:posOffset>
            </wp:positionV>
            <wp:extent cx="7555865" cy="10146665"/>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78"/>
      </w:tblGrid>
      <w:tr w:rsidR="00AD784C" w14:paraId="74BDC333" w14:textId="77777777" w:rsidTr="00982819">
        <w:trPr>
          <w:cantSplit/>
          <w:trHeight w:val="1477"/>
        </w:trPr>
        <w:tc>
          <w:tcPr>
            <w:tcW w:w="0" w:type="auto"/>
            <w:tcMar>
              <w:top w:w="0" w:type="dxa"/>
              <w:left w:w="0" w:type="dxa"/>
              <w:right w:w="0" w:type="dxa"/>
            </w:tcMar>
          </w:tcPr>
          <w:p w14:paraId="56ED9D70" w14:textId="0A08CB91" w:rsidR="00AD784C" w:rsidRPr="00431F42" w:rsidRDefault="00754514" w:rsidP="00FF0356">
            <w:pPr>
              <w:pStyle w:val="Documenttitle"/>
              <w:ind w:right="-339"/>
            </w:pPr>
            <w:r>
              <w:t xml:space="preserve">Health </w:t>
            </w:r>
            <w:r w:rsidR="00982819">
              <w:t>s</w:t>
            </w:r>
            <w:r>
              <w:t>ervices</w:t>
            </w:r>
            <w:r w:rsidR="00787C2F">
              <w:t xml:space="preserve"> </w:t>
            </w:r>
            <w:r w:rsidR="00982819">
              <w:t>e</w:t>
            </w:r>
            <w:r>
              <w:t xml:space="preserve">mergency </w:t>
            </w:r>
            <w:r w:rsidR="00982819">
              <w:t>m</w:t>
            </w:r>
            <w:r>
              <w:t xml:space="preserve">anagement </w:t>
            </w:r>
            <w:r w:rsidR="00982819">
              <w:t>p</w:t>
            </w:r>
            <w:r>
              <w:t xml:space="preserve">olicy </w:t>
            </w:r>
          </w:p>
        </w:tc>
      </w:tr>
      <w:tr w:rsidR="00AD784C" w14:paraId="42069A78" w14:textId="77777777" w:rsidTr="00982819">
        <w:trPr>
          <w:cantSplit/>
          <w:trHeight w:val="477"/>
        </w:trPr>
        <w:tc>
          <w:tcPr>
            <w:tcW w:w="0" w:type="auto"/>
          </w:tcPr>
          <w:p w14:paraId="2EF682D9" w14:textId="45632EAF" w:rsidR="00386109" w:rsidRPr="00A1389F" w:rsidRDefault="00754514" w:rsidP="009315BE">
            <w:pPr>
              <w:pStyle w:val="Documentsubtitle"/>
            </w:pPr>
            <w:r>
              <w:t>November 2021</w:t>
            </w:r>
            <w:r w:rsidR="006D43BD">
              <w:t xml:space="preserve"> Version 1.0</w:t>
            </w:r>
          </w:p>
        </w:tc>
      </w:tr>
      <w:tr w:rsidR="00430393" w14:paraId="26A7554C" w14:textId="77777777" w:rsidTr="00982819">
        <w:trPr>
          <w:cantSplit/>
          <w:trHeight w:val="303"/>
        </w:trPr>
        <w:tc>
          <w:tcPr>
            <w:tcW w:w="0" w:type="auto"/>
          </w:tcPr>
          <w:p w14:paraId="1260CD0E" w14:textId="77777777" w:rsidR="00430393" w:rsidRDefault="0054440D" w:rsidP="00430393">
            <w:pPr>
              <w:pStyle w:val="Bannermarking"/>
            </w:pPr>
            <w:r>
              <w:fldChar w:fldCharType="begin"/>
            </w:r>
            <w:r>
              <w:instrText xml:space="preserve"> FILLIN  "Type the protective marking" \d OFFICIAL \o  \* MERGEFORMAT </w:instrText>
            </w:r>
            <w:r>
              <w:fldChar w:fldCharType="separate"/>
            </w:r>
            <w:r w:rsidR="00754514">
              <w:t>OFFICIAL</w:t>
            </w:r>
            <w:r>
              <w:fldChar w:fldCharType="end"/>
            </w:r>
          </w:p>
        </w:tc>
      </w:tr>
    </w:tbl>
    <w:p w14:paraId="7C801BD3" w14:textId="77777777" w:rsidR="00FE4081" w:rsidRDefault="00FE4081" w:rsidP="00FE4081">
      <w:pPr>
        <w:pStyle w:val="Body"/>
      </w:pPr>
    </w:p>
    <w:p w14:paraId="59B857F9"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013E212"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8CFC3F3" w14:textId="77777777" w:rsidTr="00431F42">
        <w:trPr>
          <w:trHeight w:val="7371"/>
        </w:trPr>
        <w:tc>
          <w:tcPr>
            <w:tcW w:w="7598" w:type="dxa"/>
            <w:vAlign w:val="center"/>
          </w:tcPr>
          <w:p w14:paraId="65D4949E" w14:textId="0E762AFB" w:rsidR="00431F42" w:rsidRDefault="00754514" w:rsidP="00431F42">
            <w:pPr>
              <w:pStyle w:val="Documenttitle"/>
            </w:pPr>
            <w:bookmarkStart w:id="1" w:name="_Hlk85196590"/>
            <w:r>
              <w:lastRenderedPageBreak/>
              <w:t xml:space="preserve">Health </w:t>
            </w:r>
            <w:r w:rsidR="00982819">
              <w:t>s</w:t>
            </w:r>
            <w:r>
              <w:t xml:space="preserve">ervices </w:t>
            </w:r>
            <w:r w:rsidR="00982819">
              <w:t>e</w:t>
            </w:r>
            <w:r>
              <w:t xml:space="preserve">mergency </w:t>
            </w:r>
            <w:r w:rsidR="00982819">
              <w:t>m</w:t>
            </w:r>
            <w:r>
              <w:t xml:space="preserve">anagement </w:t>
            </w:r>
            <w:r w:rsidR="00982819">
              <w:t>p</w:t>
            </w:r>
            <w:r>
              <w:t xml:space="preserve">olicy </w:t>
            </w:r>
          </w:p>
          <w:bookmarkEnd w:id="1"/>
          <w:p w14:paraId="27566790" w14:textId="6C08430D" w:rsidR="00431F42" w:rsidRDefault="00702235" w:rsidP="00431F42">
            <w:pPr>
              <w:pStyle w:val="Documentsubtitle"/>
            </w:pPr>
            <w:r>
              <w:t>November 2021</w:t>
            </w:r>
            <w:r w:rsidR="00754514">
              <w:t xml:space="preserve"> </w:t>
            </w:r>
            <w:r w:rsidR="006D43BD" w:rsidRPr="006D43BD">
              <w:t>Version 1.0</w:t>
            </w:r>
          </w:p>
        </w:tc>
      </w:tr>
      <w:tr w:rsidR="00431F42" w14:paraId="4399C870" w14:textId="77777777" w:rsidTr="00431F42">
        <w:tc>
          <w:tcPr>
            <w:tcW w:w="7598" w:type="dxa"/>
          </w:tcPr>
          <w:p w14:paraId="159D0371" w14:textId="77777777" w:rsidR="00431F42" w:rsidRDefault="00431F42" w:rsidP="00431F42">
            <w:pPr>
              <w:pStyle w:val="Body"/>
            </w:pPr>
          </w:p>
        </w:tc>
      </w:tr>
    </w:tbl>
    <w:p w14:paraId="7DAB47FA" w14:textId="77777777" w:rsidR="000D2ABA" w:rsidRDefault="000D2ABA" w:rsidP="00431F42">
      <w:pPr>
        <w:pStyle w:val="Body"/>
      </w:pPr>
      <w:r>
        <w:br w:type="page"/>
      </w:r>
    </w:p>
    <w:p w14:paraId="2EF5331D"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5B00496C" w14:textId="77777777" w:rsidTr="00562507">
        <w:trPr>
          <w:cantSplit/>
          <w:trHeight w:val="7088"/>
        </w:trPr>
        <w:tc>
          <w:tcPr>
            <w:tcW w:w="9288" w:type="dxa"/>
          </w:tcPr>
          <w:p w14:paraId="2DCAE001" w14:textId="038044FC" w:rsidR="009F2182" w:rsidRPr="00BA26F6" w:rsidRDefault="009F2182" w:rsidP="007C7262">
            <w:pPr>
              <w:pStyle w:val="Bullet1"/>
              <w:numPr>
                <w:ilvl w:val="0"/>
                <w:numId w:val="0"/>
              </w:numPr>
              <w:ind w:left="284" w:hanging="284"/>
              <w:rPr>
                <w:rFonts w:eastAsia="Times New Roman"/>
                <w:color w:val="87189D"/>
                <w:sz w:val="24"/>
                <w:szCs w:val="24"/>
              </w:rPr>
            </w:pPr>
          </w:p>
        </w:tc>
      </w:tr>
      <w:tr w:rsidR="009F2182" w14:paraId="205E99BB" w14:textId="77777777" w:rsidTr="00562507">
        <w:trPr>
          <w:cantSplit/>
          <w:trHeight w:val="5103"/>
        </w:trPr>
        <w:tc>
          <w:tcPr>
            <w:tcW w:w="9288" w:type="dxa"/>
            <w:vAlign w:val="bottom"/>
          </w:tcPr>
          <w:p w14:paraId="7A24DB22" w14:textId="77777777" w:rsidR="00346672" w:rsidRPr="0055119B" w:rsidRDefault="00346672" w:rsidP="00346672">
            <w:pPr>
              <w:pStyle w:val="Accessibilitypara"/>
            </w:pPr>
            <w:r w:rsidRPr="0055119B">
              <w:t>To receive this document in another format</w:t>
            </w:r>
            <w:r>
              <w:t>,</w:t>
            </w:r>
            <w:r w:rsidRPr="0055119B">
              <w:t xml:space="preserve"> phone</w:t>
            </w:r>
            <w:r w:rsidRPr="007E5497">
              <w:rPr>
                <w:szCs w:val="24"/>
              </w:rPr>
              <w:t xml:space="preserve"> </w:t>
            </w:r>
            <w:r w:rsidRPr="006A35E0">
              <w:rPr>
                <w:rFonts w:eastAsia="Arial" w:cs="Arial"/>
                <w:b/>
                <w:bCs/>
                <w:szCs w:val="24"/>
              </w:rPr>
              <w:t>1300 650 172</w:t>
            </w:r>
            <w:r w:rsidRPr="0055119B">
              <w:t>, using the National Relay Service 13 36 77 if required.</w:t>
            </w:r>
          </w:p>
          <w:p w14:paraId="6754BAF0" w14:textId="77777777" w:rsidR="009F2182" w:rsidRPr="0055119B" w:rsidRDefault="009F2182" w:rsidP="009F2182">
            <w:pPr>
              <w:pStyle w:val="Imprint"/>
            </w:pPr>
            <w:r w:rsidRPr="0055119B">
              <w:t>Authorised and published by the Victorian Government, 1 Treasury Place, Melbourne.</w:t>
            </w:r>
          </w:p>
          <w:p w14:paraId="38947EFA" w14:textId="4CF53EEC" w:rsidR="009F2182" w:rsidRPr="0055119B" w:rsidRDefault="009F2182" w:rsidP="009F2182">
            <w:pPr>
              <w:pStyle w:val="Imprint"/>
            </w:pPr>
            <w:r w:rsidRPr="0055119B">
              <w:t xml:space="preserve">© State of Victoria, Australia, Department </w:t>
            </w:r>
            <w:r w:rsidRPr="001B058F">
              <w:t xml:space="preserve">of </w:t>
            </w:r>
            <w:r w:rsidR="00D76ECC">
              <w:t>Health</w:t>
            </w:r>
            <w:r w:rsidRPr="00293690">
              <w:rPr>
                <w:color w:val="auto"/>
              </w:rPr>
              <w:t xml:space="preserve">, </w:t>
            </w:r>
            <w:r w:rsidR="00293690" w:rsidRPr="00293690">
              <w:rPr>
                <w:color w:val="auto"/>
              </w:rPr>
              <w:t>October 2021</w:t>
            </w:r>
            <w:r w:rsidRPr="00293690">
              <w:rPr>
                <w:color w:val="auto"/>
              </w:rPr>
              <w:t>.</w:t>
            </w:r>
          </w:p>
          <w:p w14:paraId="1F667E5F" w14:textId="3BE3340D" w:rsidR="009F2182" w:rsidRPr="0055119B" w:rsidRDefault="006D43BD" w:rsidP="008D5EFA">
            <w:pPr>
              <w:pStyle w:val="Imprint"/>
              <w:ind w:right="501"/>
            </w:pPr>
            <w:bookmarkStart w:id="2" w:name="_Hlk62746129"/>
            <w:r>
              <w:rPr>
                <w:rFonts w:cs="Arial"/>
                <w:b/>
                <w:bCs/>
                <w:color w:val="000000"/>
              </w:rPr>
              <w:t xml:space="preserve">ISBN </w:t>
            </w:r>
            <w:r>
              <w:rPr>
                <w:rFonts w:cs="Arial"/>
                <w:color w:val="000000"/>
              </w:rPr>
              <w:t xml:space="preserve">978-1-76096-650-8 </w:t>
            </w:r>
            <w:r w:rsidR="009F2182" w:rsidRPr="0055119B">
              <w:t xml:space="preserve">(online/PDF/Word) </w:t>
            </w:r>
          </w:p>
          <w:p w14:paraId="3A0AC50D" w14:textId="30BD740C" w:rsidR="009F2182" w:rsidRPr="0055119B" w:rsidRDefault="009F2182" w:rsidP="009F2182">
            <w:pPr>
              <w:pStyle w:val="Imprint"/>
            </w:pPr>
            <w:r w:rsidRPr="0055119B">
              <w:t xml:space="preserve">Available at </w:t>
            </w:r>
            <w:hyperlink r:id="rId18" w:history="1">
              <w:r w:rsidR="00940F39" w:rsidRPr="00940F39">
                <w:rPr>
                  <w:rStyle w:val="Hyperlink"/>
                </w:rPr>
                <w:t>Health service responsibilities in emergencies</w:t>
              </w:r>
            </w:hyperlink>
            <w:r w:rsidR="00940F39">
              <w:rPr>
                <w:color w:val="004C97"/>
              </w:rPr>
              <w:t xml:space="preserve"> </w:t>
            </w:r>
            <w:r w:rsidRPr="0055119B">
              <w:t>&lt;</w:t>
            </w:r>
            <w:r w:rsidR="00940F39" w:rsidRPr="006D43BD">
              <w:t>www.health.vic.gov.au/health-services-responsibilites-in-emergencies</w:t>
            </w:r>
            <w:r w:rsidRPr="0055119B">
              <w:t>&gt;</w:t>
            </w:r>
          </w:p>
          <w:bookmarkEnd w:id="2"/>
          <w:p w14:paraId="4A364E17" w14:textId="3BA02549" w:rsidR="009F2182" w:rsidRDefault="009F2182" w:rsidP="009F2182">
            <w:pPr>
              <w:pStyle w:val="Body"/>
            </w:pPr>
          </w:p>
        </w:tc>
      </w:tr>
      <w:tr w:rsidR="0008204A" w14:paraId="6E1A127C" w14:textId="77777777" w:rsidTr="0008204A">
        <w:trPr>
          <w:cantSplit/>
        </w:trPr>
        <w:tc>
          <w:tcPr>
            <w:tcW w:w="9288" w:type="dxa"/>
          </w:tcPr>
          <w:p w14:paraId="683C5873" w14:textId="77777777" w:rsidR="0008204A" w:rsidRPr="0055119B" w:rsidRDefault="0008204A" w:rsidP="0008204A">
            <w:pPr>
              <w:pStyle w:val="Body"/>
            </w:pPr>
          </w:p>
        </w:tc>
      </w:tr>
    </w:tbl>
    <w:p w14:paraId="79440FA9" w14:textId="77777777" w:rsidR="0008204A" w:rsidRPr="0008204A" w:rsidRDefault="0008204A" w:rsidP="0008204A">
      <w:pPr>
        <w:pStyle w:val="Body"/>
      </w:pPr>
      <w:r w:rsidRPr="0008204A">
        <w:br w:type="page"/>
      </w:r>
    </w:p>
    <w:p w14:paraId="7B69411E" w14:textId="38F13457" w:rsidR="00403494" w:rsidRPr="00B97924" w:rsidRDefault="00731953" w:rsidP="00B97924">
      <w:pPr>
        <w:pStyle w:val="TOCheadingreport"/>
        <w:numPr>
          <w:ilvl w:val="0"/>
          <w:numId w:val="0"/>
        </w:numPr>
        <w:ind w:left="432" w:hanging="432"/>
      </w:pPr>
      <w:r>
        <w:lastRenderedPageBreak/>
        <w:t>C</w:t>
      </w:r>
      <w:r w:rsidR="00AD784C" w:rsidRPr="00B57329">
        <w:t>ontents</w:t>
      </w:r>
      <w:r w:rsidR="00AD784C">
        <w:rPr>
          <w:rFonts w:eastAsia="Times New Roman"/>
          <w:b/>
          <w:noProof/>
        </w:rPr>
        <w:fldChar w:fldCharType="begin"/>
      </w:r>
      <w:r w:rsidR="00AD784C">
        <w:instrText xml:space="preserve"> TOC \h \z \t "Heading 1,1,Heading 2,2" </w:instrText>
      </w:r>
      <w:r w:rsidR="00AD784C">
        <w:rPr>
          <w:rFonts w:eastAsia="Times New Roman"/>
          <w:b/>
          <w:noProof/>
        </w:rPr>
        <w:fldChar w:fldCharType="separate"/>
      </w:r>
      <w:hyperlink w:anchor="_Toc86410767" w:history="1"/>
    </w:p>
    <w:p w14:paraId="0FF41669" w14:textId="0AD213A8" w:rsidR="00403494" w:rsidRDefault="0054440D">
      <w:pPr>
        <w:pStyle w:val="TOC1"/>
        <w:tabs>
          <w:tab w:val="left" w:pos="567"/>
        </w:tabs>
        <w:rPr>
          <w:rFonts w:asciiTheme="minorHAnsi" w:eastAsiaTheme="minorEastAsia" w:hAnsiTheme="minorHAnsi" w:cstheme="minorBidi"/>
          <w:b w:val="0"/>
          <w:sz w:val="22"/>
          <w:szCs w:val="22"/>
          <w:lang w:eastAsia="en-AU"/>
        </w:rPr>
      </w:pPr>
      <w:hyperlink w:anchor="_Toc86410768" w:history="1">
        <w:r w:rsidR="00403494" w:rsidRPr="005D7A3B">
          <w:rPr>
            <w:rStyle w:val="Hyperlink"/>
          </w:rPr>
          <w:t>1.</w:t>
        </w:r>
        <w:r w:rsidR="00403494">
          <w:rPr>
            <w:rFonts w:asciiTheme="minorHAnsi" w:eastAsiaTheme="minorEastAsia" w:hAnsiTheme="minorHAnsi" w:cstheme="minorBidi"/>
            <w:b w:val="0"/>
            <w:sz w:val="22"/>
            <w:szCs w:val="22"/>
            <w:lang w:eastAsia="en-AU"/>
          </w:rPr>
          <w:tab/>
        </w:r>
        <w:r w:rsidR="00403494" w:rsidRPr="005D7A3B">
          <w:rPr>
            <w:rStyle w:val="Hyperlink"/>
          </w:rPr>
          <w:t>Introduction</w:t>
        </w:r>
        <w:r w:rsidR="00403494">
          <w:rPr>
            <w:webHidden/>
          </w:rPr>
          <w:tab/>
        </w:r>
        <w:r w:rsidR="00403494">
          <w:rPr>
            <w:webHidden/>
          </w:rPr>
          <w:fldChar w:fldCharType="begin"/>
        </w:r>
        <w:r w:rsidR="00403494">
          <w:rPr>
            <w:webHidden/>
          </w:rPr>
          <w:instrText xml:space="preserve"> PAGEREF _Toc86410768 \h </w:instrText>
        </w:r>
        <w:r w:rsidR="00403494">
          <w:rPr>
            <w:webHidden/>
          </w:rPr>
        </w:r>
        <w:r w:rsidR="00403494">
          <w:rPr>
            <w:webHidden/>
          </w:rPr>
          <w:fldChar w:fldCharType="separate"/>
        </w:r>
        <w:r w:rsidR="00403494">
          <w:rPr>
            <w:webHidden/>
          </w:rPr>
          <w:t>7</w:t>
        </w:r>
        <w:r w:rsidR="00403494">
          <w:rPr>
            <w:webHidden/>
          </w:rPr>
          <w:fldChar w:fldCharType="end"/>
        </w:r>
      </w:hyperlink>
    </w:p>
    <w:p w14:paraId="220C6D06" w14:textId="68B8C69E" w:rsidR="00403494" w:rsidRDefault="0054440D">
      <w:pPr>
        <w:pStyle w:val="TOC2"/>
        <w:tabs>
          <w:tab w:val="left" w:pos="567"/>
        </w:tabs>
        <w:rPr>
          <w:rFonts w:asciiTheme="minorHAnsi" w:eastAsiaTheme="minorEastAsia" w:hAnsiTheme="minorHAnsi" w:cstheme="minorBidi"/>
          <w:sz w:val="22"/>
          <w:szCs w:val="22"/>
          <w:lang w:eastAsia="en-AU"/>
        </w:rPr>
      </w:pPr>
      <w:hyperlink w:anchor="_Toc86410769" w:history="1">
        <w:r w:rsidR="00403494" w:rsidRPr="005D7A3B">
          <w:rPr>
            <w:rStyle w:val="Hyperlink"/>
          </w:rPr>
          <w:t>1.1</w:t>
        </w:r>
        <w:r w:rsidR="00403494">
          <w:rPr>
            <w:rFonts w:asciiTheme="minorHAnsi" w:eastAsiaTheme="minorEastAsia" w:hAnsiTheme="minorHAnsi" w:cstheme="minorBidi"/>
            <w:sz w:val="22"/>
            <w:szCs w:val="22"/>
            <w:lang w:eastAsia="en-AU"/>
          </w:rPr>
          <w:tab/>
        </w:r>
        <w:r w:rsidR="00403494" w:rsidRPr="005D7A3B">
          <w:rPr>
            <w:rStyle w:val="Hyperlink"/>
          </w:rPr>
          <w:t>Purpose</w:t>
        </w:r>
        <w:r w:rsidR="00403494">
          <w:rPr>
            <w:webHidden/>
          </w:rPr>
          <w:tab/>
        </w:r>
        <w:r w:rsidR="00403494">
          <w:rPr>
            <w:webHidden/>
          </w:rPr>
          <w:fldChar w:fldCharType="begin"/>
        </w:r>
        <w:r w:rsidR="00403494">
          <w:rPr>
            <w:webHidden/>
          </w:rPr>
          <w:instrText xml:space="preserve"> PAGEREF _Toc86410769 \h </w:instrText>
        </w:r>
        <w:r w:rsidR="00403494">
          <w:rPr>
            <w:webHidden/>
          </w:rPr>
        </w:r>
        <w:r w:rsidR="00403494">
          <w:rPr>
            <w:webHidden/>
          </w:rPr>
          <w:fldChar w:fldCharType="separate"/>
        </w:r>
        <w:r w:rsidR="00403494">
          <w:rPr>
            <w:webHidden/>
          </w:rPr>
          <w:t>7</w:t>
        </w:r>
        <w:r w:rsidR="00403494">
          <w:rPr>
            <w:webHidden/>
          </w:rPr>
          <w:fldChar w:fldCharType="end"/>
        </w:r>
      </w:hyperlink>
    </w:p>
    <w:p w14:paraId="51BF3F78" w14:textId="6AED0C5D" w:rsidR="00403494" w:rsidRDefault="0054440D">
      <w:pPr>
        <w:pStyle w:val="TOC2"/>
        <w:tabs>
          <w:tab w:val="left" w:pos="567"/>
        </w:tabs>
        <w:rPr>
          <w:rFonts w:asciiTheme="minorHAnsi" w:eastAsiaTheme="minorEastAsia" w:hAnsiTheme="minorHAnsi" w:cstheme="minorBidi"/>
          <w:sz w:val="22"/>
          <w:szCs w:val="22"/>
          <w:lang w:eastAsia="en-AU"/>
        </w:rPr>
      </w:pPr>
      <w:hyperlink w:anchor="_Toc86410770" w:history="1">
        <w:r w:rsidR="00403494" w:rsidRPr="005D7A3B">
          <w:rPr>
            <w:rStyle w:val="Hyperlink"/>
          </w:rPr>
          <w:t>1.2</w:t>
        </w:r>
        <w:r w:rsidR="00403494">
          <w:rPr>
            <w:rFonts w:asciiTheme="minorHAnsi" w:eastAsiaTheme="minorEastAsia" w:hAnsiTheme="minorHAnsi" w:cstheme="minorBidi"/>
            <w:sz w:val="22"/>
            <w:szCs w:val="22"/>
            <w:lang w:eastAsia="en-AU"/>
          </w:rPr>
          <w:tab/>
        </w:r>
        <w:r w:rsidR="00403494" w:rsidRPr="005D7A3B">
          <w:rPr>
            <w:rStyle w:val="Hyperlink"/>
          </w:rPr>
          <w:t>Context</w:t>
        </w:r>
        <w:r w:rsidR="00403494">
          <w:rPr>
            <w:webHidden/>
          </w:rPr>
          <w:tab/>
        </w:r>
        <w:r w:rsidR="00403494">
          <w:rPr>
            <w:webHidden/>
          </w:rPr>
          <w:fldChar w:fldCharType="begin"/>
        </w:r>
        <w:r w:rsidR="00403494">
          <w:rPr>
            <w:webHidden/>
          </w:rPr>
          <w:instrText xml:space="preserve"> PAGEREF _Toc86410770 \h </w:instrText>
        </w:r>
        <w:r w:rsidR="00403494">
          <w:rPr>
            <w:webHidden/>
          </w:rPr>
        </w:r>
        <w:r w:rsidR="00403494">
          <w:rPr>
            <w:webHidden/>
          </w:rPr>
          <w:fldChar w:fldCharType="separate"/>
        </w:r>
        <w:r w:rsidR="00403494">
          <w:rPr>
            <w:webHidden/>
          </w:rPr>
          <w:t>7</w:t>
        </w:r>
        <w:r w:rsidR="00403494">
          <w:rPr>
            <w:webHidden/>
          </w:rPr>
          <w:fldChar w:fldCharType="end"/>
        </w:r>
      </w:hyperlink>
    </w:p>
    <w:p w14:paraId="30F2B297" w14:textId="09CE45D9" w:rsidR="00403494" w:rsidRDefault="0054440D">
      <w:pPr>
        <w:pStyle w:val="TOC2"/>
        <w:tabs>
          <w:tab w:val="left" w:pos="567"/>
        </w:tabs>
        <w:rPr>
          <w:rFonts w:asciiTheme="minorHAnsi" w:eastAsiaTheme="minorEastAsia" w:hAnsiTheme="minorHAnsi" w:cstheme="minorBidi"/>
          <w:sz w:val="22"/>
          <w:szCs w:val="22"/>
          <w:lang w:eastAsia="en-AU"/>
        </w:rPr>
      </w:pPr>
      <w:hyperlink w:anchor="_Toc86410771" w:history="1">
        <w:r w:rsidR="00403494" w:rsidRPr="005D7A3B">
          <w:rPr>
            <w:rStyle w:val="Hyperlink"/>
          </w:rPr>
          <w:t>1.3</w:t>
        </w:r>
        <w:r w:rsidR="00403494">
          <w:rPr>
            <w:rFonts w:asciiTheme="minorHAnsi" w:eastAsiaTheme="minorEastAsia" w:hAnsiTheme="minorHAnsi" w:cstheme="minorBidi"/>
            <w:sz w:val="22"/>
            <w:szCs w:val="22"/>
            <w:lang w:eastAsia="en-AU"/>
          </w:rPr>
          <w:tab/>
        </w:r>
        <w:r w:rsidR="00403494" w:rsidRPr="005D7A3B">
          <w:rPr>
            <w:rStyle w:val="Hyperlink"/>
          </w:rPr>
          <w:t>Audience and scope</w:t>
        </w:r>
        <w:r w:rsidR="00403494">
          <w:rPr>
            <w:webHidden/>
          </w:rPr>
          <w:tab/>
        </w:r>
        <w:r w:rsidR="00403494">
          <w:rPr>
            <w:webHidden/>
          </w:rPr>
          <w:fldChar w:fldCharType="begin"/>
        </w:r>
        <w:r w:rsidR="00403494">
          <w:rPr>
            <w:webHidden/>
          </w:rPr>
          <w:instrText xml:space="preserve"> PAGEREF _Toc86410771 \h </w:instrText>
        </w:r>
        <w:r w:rsidR="00403494">
          <w:rPr>
            <w:webHidden/>
          </w:rPr>
        </w:r>
        <w:r w:rsidR="00403494">
          <w:rPr>
            <w:webHidden/>
          </w:rPr>
          <w:fldChar w:fldCharType="separate"/>
        </w:r>
        <w:r w:rsidR="00403494">
          <w:rPr>
            <w:webHidden/>
          </w:rPr>
          <w:t>8</w:t>
        </w:r>
        <w:r w:rsidR="00403494">
          <w:rPr>
            <w:webHidden/>
          </w:rPr>
          <w:fldChar w:fldCharType="end"/>
        </w:r>
      </w:hyperlink>
    </w:p>
    <w:p w14:paraId="69BA1615" w14:textId="222C3EB7" w:rsidR="00403494" w:rsidRDefault="0054440D">
      <w:pPr>
        <w:pStyle w:val="TOC2"/>
        <w:tabs>
          <w:tab w:val="left" w:pos="567"/>
        </w:tabs>
        <w:rPr>
          <w:rFonts w:asciiTheme="minorHAnsi" w:eastAsiaTheme="minorEastAsia" w:hAnsiTheme="minorHAnsi" w:cstheme="minorBidi"/>
          <w:sz w:val="22"/>
          <w:szCs w:val="22"/>
          <w:lang w:eastAsia="en-AU"/>
        </w:rPr>
      </w:pPr>
      <w:hyperlink w:anchor="_Toc86410772" w:history="1">
        <w:r w:rsidR="00403494" w:rsidRPr="005D7A3B">
          <w:rPr>
            <w:rStyle w:val="Hyperlink"/>
          </w:rPr>
          <w:t>1.4</w:t>
        </w:r>
        <w:r w:rsidR="00403494">
          <w:rPr>
            <w:rFonts w:asciiTheme="minorHAnsi" w:eastAsiaTheme="minorEastAsia" w:hAnsiTheme="minorHAnsi" w:cstheme="minorBidi"/>
            <w:sz w:val="22"/>
            <w:szCs w:val="22"/>
            <w:lang w:eastAsia="en-AU"/>
          </w:rPr>
          <w:tab/>
        </w:r>
        <w:r w:rsidR="00403494" w:rsidRPr="005D7A3B">
          <w:rPr>
            <w:rStyle w:val="Hyperlink"/>
          </w:rPr>
          <w:t>Commencement and review</w:t>
        </w:r>
        <w:r w:rsidR="00403494">
          <w:rPr>
            <w:webHidden/>
          </w:rPr>
          <w:tab/>
        </w:r>
        <w:r w:rsidR="00403494">
          <w:rPr>
            <w:webHidden/>
          </w:rPr>
          <w:fldChar w:fldCharType="begin"/>
        </w:r>
        <w:r w:rsidR="00403494">
          <w:rPr>
            <w:webHidden/>
          </w:rPr>
          <w:instrText xml:space="preserve"> PAGEREF _Toc86410772 \h </w:instrText>
        </w:r>
        <w:r w:rsidR="00403494">
          <w:rPr>
            <w:webHidden/>
          </w:rPr>
        </w:r>
        <w:r w:rsidR="00403494">
          <w:rPr>
            <w:webHidden/>
          </w:rPr>
          <w:fldChar w:fldCharType="separate"/>
        </w:r>
        <w:r w:rsidR="00403494">
          <w:rPr>
            <w:webHidden/>
          </w:rPr>
          <w:t>8</w:t>
        </w:r>
        <w:r w:rsidR="00403494">
          <w:rPr>
            <w:webHidden/>
          </w:rPr>
          <w:fldChar w:fldCharType="end"/>
        </w:r>
      </w:hyperlink>
    </w:p>
    <w:p w14:paraId="22EE0B8E" w14:textId="0EB0C5A8" w:rsidR="00403494" w:rsidRDefault="0054440D">
      <w:pPr>
        <w:pStyle w:val="TOC1"/>
        <w:tabs>
          <w:tab w:val="left" w:pos="567"/>
        </w:tabs>
        <w:rPr>
          <w:rFonts w:asciiTheme="minorHAnsi" w:eastAsiaTheme="minorEastAsia" w:hAnsiTheme="minorHAnsi" w:cstheme="minorBidi"/>
          <w:b w:val="0"/>
          <w:sz w:val="22"/>
          <w:szCs w:val="22"/>
          <w:lang w:eastAsia="en-AU"/>
        </w:rPr>
      </w:pPr>
      <w:hyperlink w:anchor="_Toc86410773" w:history="1">
        <w:r w:rsidR="00403494" w:rsidRPr="005D7A3B">
          <w:rPr>
            <w:rStyle w:val="Hyperlink"/>
          </w:rPr>
          <w:t>2.</w:t>
        </w:r>
        <w:r w:rsidR="00403494">
          <w:rPr>
            <w:rFonts w:asciiTheme="minorHAnsi" w:eastAsiaTheme="minorEastAsia" w:hAnsiTheme="minorHAnsi" w:cstheme="minorBidi"/>
            <w:b w:val="0"/>
            <w:sz w:val="22"/>
            <w:szCs w:val="22"/>
            <w:lang w:eastAsia="en-AU"/>
          </w:rPr>
          <w:tab/>
        </w:r>
        <w:r w:rsidR="00403494" w:rsidRPr="005D7A3B">
          <w:rPr>
            <w:rStyle w:val="Hyperlink"/>
          </w:rPr>
          <w:t>Responsibilities</w:t>
        </w:r>
        <w:r w:rsidR="00403494">
          <w:rPr>
            <w:webHidden/>
          </w:rPr>
          <w:tab/>
        </w:r>
        <w:r w:rsidR="00403494">
          <w:rPr>
            <w:webHidden/>
          </w:rPr>
          <w:fldChar w:fldCharType="begin"/>
        </w:r>
        <w:r w:rsidR="00403494">
          <w:rPr>
            <w:webHidden/>
          </w:rPr>
          <w:instrText xml:space="preserve"> PAGEREF _Toc86410773 \h </w:instrText>
        </w:r>
        <w:r w:rsidR="00403494">
          <w:rPr>
            <w:webHidden/>
          </w:rPr>
        </w:r>
        <w:r w:rsidR="00403494">
          <w:rPr>
            <w:webHidden/>
          </w:rPr>
          <w:fldChar w:fldCharType="separate"/>
        </w:r>
        <w:r w:rsidR="00403494">
          <w:rPr>
            <w:webHidden/>
          </w:rPr>
          <w:t>8</w:t>
        </w:r>
        <w:r w:rsidR="00403494">
          <w:rPr>
            <w:webHidden/>
          </w:rPr>
          <w:fldChar w:fldCharType="end"/>
        </w:r>
      </w:hyperlink>
    </w:p>
    <w:p w14:paraId="213E1DF4" w14:textId="30F17037" w:rsidR="00403494" w:rsidRDefault="0054440D">
      <w:pPr>
        <w:pStyle w:val="TOC2"/>
        <w:tabs>
          <w:tab w:val="left" w:pos="567"/>
        </w:tabs>
        <w:rPr>
          <w:rFonts w:asciiTheme="minorHAnsi" w:eastAsiaTheme="minorEastAsia" w:hAnsiTheme="minorHAnsi" w:cstheme="minorBidi"/>
          <w:sz w:val="22"/>
          <w:szCs w:val="22"/>
          <w:lang w:eastAsia="en-AU"/>
        </w:rPr>
      </w:pPr>
      <w:hyperlink w:anchor="_Toc86410774" w:history="1">
        <w:r w:rsidR="00403494" w:rsidRPr="005D7A3B">
          <w:rPr>
            <w:rStyle w:val="Hyperlink"/>
            <w:rFonts w:eastAsia="Arial"/>
          </w:rPr>
          <w:t>2.1</w:t>
        </w:r>
        <w:r w:rsidR="00403494">
          <w:rPr>
            <w:rFonts w:asciiTheme="minorHAnsi" w:eastAsiaTheme="minorEastAsia" w:hAnsiTheme="minorHAnsi" w:cstheme="minorBidi"/>
            <w:sz w:val="22"/>
            <w:szCs w:val="22"/>
            <w:lang w:eastAsia="en-AU"/>
          </w:rPr>
          <w:tab/>
        </w:r>
        <w:r w:rsidR="00403494" w:rsidRPr="005D7A3B">
          <w:rPr>
            <w:rStyle w:val="Hyperlink"/>
            <w:rFonts w:eastAsia="Arial"/>
          </w:rPr>
          <w:t>Department of Health</w:t>
        </w:r>
        <w:r w:rsidR="00403494">
          <w:rPr>
            <w:webHidden/>
          </w:rPr>
          <w:tab/>
        </w:r>
        <w:r w:rsidR="00403494">
          <w:rPr>
            <w:webHidden/>
          </w:rPr>
          <w:fldChar w:fldCharType="begin"/>
        </w:r>
        <w:r w:rsidR="00403494">
          <w:rPr>
            <w:webHidden/>
          </w:rPr>
          <w:instrText xml:space="preserve"> PAGEREF _Toc86410774 \h </w:instrText>
        </w:r>
        <w:r w:rsidR="00403494">
          <w:rPr>
            <w:webHidden/>
          </w:rPr>
        </w:r>
        <w:r w:rsidR="00403494">
          <w:rPr>
            <w:webHidden/>
          </w:rPr>
          <w:fldChar w:fldCharType="separate"/>
        </w:r>
        <w:r w:rsidR="00403494">
          <w:rPr>
            <w:webHidden/>
          </w:rPr>
          <w:t>8</w:t>
        </w:r>
        <w:r w:rsidR="00403494">
          <w:rPr>
            <w:webHidden/>
          </w:rPr>
          <w:fldChar w:fldCharType="end"/>
        </w:r>
      </w:hyperlink>
    </w:p>
    <w:p w14:paraId="670FEB89" w14:textId="2D110120" w:rsidR="00403494" w:rsidRDefault="0054440D">
      <w:pPr>
        <w:pStyle w:val="TOC2"/>
        <w:tabs>
          <w:tab w:val="left" w:pos="567"/>
        </w:tabs>
        <w:rPr>
          <w:rFonts w:asciiTheme="minorHAnsi" w:eastAsiaTheme="minorEastAsia" w:hAnsiTheme="minorHAnsi" w:cstheme="minorBidi"/>
          <w:sz w:val="22"/>
          <w:szCs w:val="22"/>
          <w:lang w:eastAsia="en-AU"/>
        </w:rPr>
      </w:pPr>
      <w:hyperlink w:anchor="_Toc86410775" w:history="1">
        <w:r w:rsidR="00403494" w:rsidRPr="005D7A3B">
          <w:rPr>
            <w:rStyle w:val="Hyperlink"/>
            <w:rFonts w:eastAsia="Arial"/>
          </w:rPr>
          <w:t>2.2</w:t>
        </w:r>
        <w:r w:rsidR="00403494">
          <w:rPr>
            <w:rFonts w:asciiTheme="minorHAnsi" w:eastAsiaTheme="minorEastAsia" w:hAnsiTheme="minorHAnsi" w:cstheme="minorBidi"/>
            <w:sz w:val="22"/>
            <w:szCs w:val="22"/>
            <w:lang w:eastAsia="en-AU"/>
          </w:rPr>
          <w:tab/>
        </w:r>
        <w:r w:rsidR="00403494" w:rsidRPr="005D7A3B">
          <w:rPr>
            <w:rStyle w:val="Hyperlink"/>
            <w:rFonts w:eastAsia="Arial"/>
          </w:rPr>
          <w:t>Health services</w:t>
        </w:r>
        <w:r w:rsidR="00403494">
          <w:rPr>
            <w:webHidden/>
          </w:rPr>
          <w:tab/>
        </w:r>
        <w:r w:rsidR="00403494">
          <w:rPr>
            <w:webHidden/>
          </w:rPr>
          <w:fldChar w:fldCharType="begin"/>
        </w:r>
        <w:r w:rsidR="00403494">
          <w:rPr>
            <w:webHidden/>
          </w:rPr>
          <w:instrText xml:space="preserve"> PAGEREF _Toc86410775 \h </w:instrText>
        </w:r>
        <w:r w:rsidR="00403494">
          <w:rPr>
            <w:webHidden/>
          </w:rPr>
        </w:r>
        <w:r w:rsidR="00403494">
          <w:rPr>
            <w:webHidden/>
          </w:rPr>
          <w:fldChar w:fldCharType="separate"/>
        </w:r>
        <w:r w:rsidR="00403494">
          <w:rPr>
            <w:webHidden/>
          </w:rPr>
          <w:t>9</w:t>
        </w:r>
        <w:r w:rsidR="00403494">
          <w:rPr>
            <w:webHidden/>
          </w:rPr>
          <w:fldChar w:fldCharType="end"/>
        </w:r>
      </w:hyperlink>
    </w:p>
    <w:p w14:paraId="68CBD510" w14:textId="18CB2E76" w:rsidR="00403494" w:rsidRDefault="0054440D">
      <w:pPr>
        <w:pStyle w:val="TOC2"/>
        <w:tabs>
          <w:tab w:val="left" w:pos="567"/>
        </w:tabs>
        <w:rPr>
          <w:rFonts w:asciiTheme="minorHAnsi" w:eastAsiaTheme="minorEastAsia" w:hAnsiTheme="minorHAnsi" w:cstheme="minorBidi"/>
          <w:sz w:val="22"/>
          <w:szCs w:val="22"/>
          <w:lang w:eastAsia="en-AU"/>
        </w:rPr>
      </w:pPr>
      <w:hyperlink w:anchor="_Toc86410776" w:history="1">
        <w:r w:rsidR="00403494" w:rsidRPr="005D7A3B">
          <w:rPr>
            <w:rStyle w:val="Hyperlink"/>
            <w:rFonts w:eastAsia="Arial"/>
          </w:rPr>
          <w:t>2.3</w:t>
        </w:r>
        <w:r w:rsidR="00403494">
          <w:rPr>
            <w:rFonts w:asciiTheme="minorHAnsi" w:eastAsiaTheme="minorEastAsia" w:hAnsiTheme="minorHAnsi" w:cstheme="minorBidi"/>
            <w:sz w:val="22"/>
            <w:szCs w:val="22"/>
            <w:lang w:eastAsia="en-AU"/>
          </w:rPr>
          <w:tab/>
        </w:r>
        <w:r w:rsidR="00403494" w:rsidRPr="005D7A3B">
          <w:rPr>
            <w:rStyle w:val="Hyperlink"/>
            <w:rFonts w:eastAsia="Arial"/>
          </w:rPr>
          <w:t>Shared responsibility - State Health Emergency Response Plan (SHERP)</w:t>
        </w:r>
        <w:r w:rsidR="00403494">
          <w:rPr>
            <w:webHidden/>
          </w:rPr>
          <w:tab/>
        </w:r>
        <w:r w:rsidR="00403494">
          <w:rPr>
            <w:webHidden/>
          </w:rPr>
          <w:fldChar w:fldCharType="begin"/>
        </w:r>
        <w:r w:rsidR="00403494">
          <w:rPr>
            <w:webHidden/>
          </w:rPr>
          <w:instrText xml:space="preserve"> PAGEREF _Toc86410776 \h </w:instrText>
        </w:r>
        <w:r w:rsidR="00403494">
          <w:rPr>
            <w:webHidden/>
          </w:rPr>
        </w:r>
        <w:r w:rsidR="00403494">
          <w:rPr>
            <w:webHidden/>
          </w:rPr>
          <w:fldChar w:fldCharType="separate"/>
        </w:r>
        <w:r w:rsidR="00403494">
          <w:rPr>
            <w:webHidden/>
          </w:rPr>
          <w:t>10</w:t>
        </w:r>
        <w:r w:rsidR="00403494">
          <w:rPr>
            <w:webHidden/>
          </w:rPr>
          <w:fldChar w:fldCharType="end"/>
        </w:r>
      </w:hyperlink>
    </w:p>
    <w:p w14:paraId="6EB9AF09" w14:textId="7372112C" w:rsidR="00403494" w:rsidRDefault="0054440D">
      <w:pPr>
        <w:pStyle w:val="TOC1"/>
        <w:tabs>
          <w:tab w:val="left" w:pos="567"/>
        </w:tabs>
        <w:rPr>
          <w:rFonts w:asciiTheme="minorHAnsi" w:eastAsiaTheme="minorEastAsia" w:hAnsiTheme="minorHAnsi" w:cstheme="minorBidi"/>
          <w:b w:val="0"/>
          <w:sz w:val="22"/>
          <w:szCs w:val="22"/>
          <w:lang w:eastAsia="en-AU"/>
        </w:rPr>
      </w:pPr>
      <w:hyperlink w:anchor="_Toc86410777" w:history="1">
        <w:r w:rsidR="00403494" w:rsidRPr="005D7A3B">
          <w:rPr>
            <w:rStyle w:val="Hyperlink"/>
          </w:rPr>
          <w:t>3.</w:t>
        </w:r>
        <w:r w:rsidR="00403494">
          <w:rPr>
            <w:rFonts w:asciiTheme="minorHAnsi" w:eastAsiaTheme="minorEastAsia" w:hAnsiTheme="minorHAnsi" w:cstheme="minorBidi"/>
            <w:b w:val="0"/>
            <w:sz w:val="22"/>
            <w:szCs w:val="22"/>
            <w:lang w:eastAsia="en-AU"/>
          </w:rPr>
          <w:tab/>
        </w:r>
        <w:r w:rsidR="00403494" w:rsidRPr="005D7A3B">
          <w:rPr>
            <w:rStyle w:val="Hyperlink"/>
          </w:rPr>
          <w:t>Planning for emergencies</w:t>
        </w:r>
        <w:r w:rsidR="00403494">
          <w:rPr>
            <w:webHidden/>
          </w:rPr>
          <w:tab/>
        </w:r>
        <w:r w:rsidR="00403494">
          <w:rPr>
            <w:webHidden/>
          </w:rPr>
          <w:fldChar w:fldCharType="begin"/>
        </w:r>
        <w:r w:rsidR="00403494">
          <w:rPr>
            <w:webHidden/>
          </w:rPr>
          <w:instrText xml:space="preserve"> PAGEREF _Toc86410777 \h </w:instrText>
        </w:r>
        <w:r w:rsidR="00403494">
          <w:rPr>
            <w:webHidden/>
          </w:rPr>
        </w:r>
        <w:r w:rsidR="00403494">
          <w:rPr>
            <w:webHidden/>
          </w:rPr>
          <w:fldChar w:fldCharType="separate"/>
        </w:r>
        <w:r w:rsidR="00403494">
          <w:rPr>
            <w:webHidden/>
          </w:rPr>
          <w:t>11</w:t>
        </w:r>
        <w:r w:rsidR="00403494">
          <w:rPr>
            <w:webHidden/>
          </w:rPr>
          <w:fldChar w:fldCharType="end"/>
        </w:r>
      </w:hyperlink>
    </w:p>
    <w:p w14:paraId="647CDF82" w14:textId="68069988" w:rsidR="00403494" w:rsidRDefault="0054440D">
      <w:pPr>
        <w:pStyle w:val="TOC2"/>
        <w:tabs>
          <w:tab w:val="left" w:pos="567"/>
        </w:tabs>
        <w:rPr>
          <w:rFonts w:asciiTheme="minorHAnsi" w:eastAsiaTheme="minorEastAsia" w:hAnsiTheme="minorHAnsi" w:cstheme="minorBidi"/>
          <w:sz w:val="22"/>
          <w:szCs w:val="22"/>
          <w:lang w:eastAsia="en-AU"/>
        </w:rPr>
      </w:pPr>
      <w:hyperlink w:anchor="_Toc86410778" w:history="1">
        <w:r w:rsidR="00403494" w:rsidRPr="005D7A3B">
          <w:rPr>
            <w:rStyle w:val="Hyperlink"/>
          </w:rPr>
          <w:t>3.1</w:t>
        </w:r>
        <w:r w:rsidR="00403494">
          <w:rPr>
            <w:rFonts w:asciiTheme="minorHAnsi" w:eastAsiaTheme="minorEastAsia" w:hAnsiTheme="minorHAnsi" w:cstheme="minorBidi"/>
            <w:sz w:val="22"/>
            <w:szCs w:val="22"/>
            <w:lang w:eastAsia="en-AU"/>
          </w:rPr>
          <w:tab/>
        </w:r>
        <w:r w:rsidR="00403494" w:rsidRPr="005D7A3B">
          <w:rPr>
            <w:rStyle w:val="Hyperlink"/>
          </w:rPr>
          <w:t>Guiding principles</w:t>
        </w:r>
        <w:r w:rsidR="00403494">
          <w:rPr>
            <w:webHidden/>
          </w:rPr>
          <w:tab/>
        </w:r>
        <w:r w:rsidR="00403494">
          <w:rPr>
            <w:webHidden/>
          </w:rPr>
          <w:fldChar w:fldCharType="begin"/>
        </w:r>
        <w:r w:rsidR="00403494">
          <w:rPr>
            <w:webHidden/>
          </w:rPr>
          <w:instrText xml:space="preserve"> PAGEREF _Toc86410778 \h </w:instrText>
        </w:r>
        <w:r w:rsidR="00403494">
          <w:rPr>
            <w:webHidden/>
          </w:rPr>
        </w:r>
        <w:r w:rsidR="00403494">
          <w:rPr>
            <w:webHidden/>
          </w:rPr>
          <w:fldChar w:fldCharType="separate"/>
        </w:r>
        <w:r w:rsidR="00403494">
          <w:rPr>
            <w:webHidden/>
          </w:rPr>
          <w:t>11</w:t>
        </w:r>
        <w:r w:rsidR="00403494">
          <w:rPr>
            <w:webHidden/>
          </w:rPr>
          <w:fldChar w:fldCharType="end"/>
        </w:r>
      </w:hyperlink>
    </w:p>
    <w:p w14:paraId="25976627" w14:textId="3D67A821" w:rsidR="00403494" w:rsidRDefault="0054440D">
      <w:pPr>
        <w:pStyle w:val="TOC2"/>
        <w:tabs>
          <w:tab w:val="left" w:pos="567"/>
        </w:tabs>
        <w:rPr>
          <w:rFonts w:asciiTheme="minorHAnsi" w:eastAsiaTheme="minorEastAsia" w:hAnsiTheme="minorHAnsi" w:cstheme="minorBidi"/>
          <w:sz w:val="22"/>
          <w:szCs w:val="22"/>
          <w:lang w:eastAsia="en-AU"/>
        </w:rPr>
      </w:pPr>
      <w:hyperlink w:anchor="_Toc86410779" w:history="1">
        <w:r w:rsidR="00403494" w:rsidRPr="005D7A3B">
          <w:rPr>
            <w:rStyle w:val="Hyperlink"/>
          </w:rPr>
          <w:t>3.2</w:t>
        </w:r>
        <w:r w:rsidR="00403494">
          <w:rPr>
            <w:rFonts w:asciiTheme="minorHAnsi" w:eastAsiaTheme="minorEastAsia" w:hAnsiTheme="minorHAnsi" w:cstheme="minorBidi"/>
            <w:sz w:val="22"/>
            <w:szCs w:val="22"/>
            <w:lang w:eastAsia="en-AU"/>
          </w:rPr>
          <w:tab/>
        </w:r>
        <w:r w:rsidR="00403494" w:rsidRPr="005D7A3B">
          <w:rPr>
            <w:rStyle w:val="Hyperlink"/>
          </w:rPr>
          <w:t>Planning process</w:t>
        </w:r>
        <w:r w:rsidR="00403494">
          <w:rPr>
            <w:webHidden/>
          </w:rPr>
          <w:tab/>
        </w:r>
        <w:r w:rsidR="00403494">
          <w:rPr>
            <w:webHidden/>
          </w:rPr>
          <w:fldChar w:fldCharType="begin"/>
        </w:r>
        <w:r w:rsidR="00403494">
          <w:rPr>
            <w:webHidden/>
          </w:rPr>
          <w:instrText xml:space="preserve"> PAGEREF _Toc86410779 \h </w:instrText>
        </w:r>
        <w:r w:rsidR="00403494">
          <w:rPr>
            <w:webHidden/>
          </w:rPr>
        </w:r>
        <w:r w:rsidR="00403494">
          <w:rPr>
            <w:webHidden/>
          </w:rPr>
          <w:fldChar w:fldCharType="separate"/>
        </w:r>
        <w:r w:rsidR="00403494">
          <w:rPr>
            <w:webHidden/>
          </w:rPr>
          <w:t>11</w:t>
        </w:r>
        <w:r w:rsidR="00403494">
          <w:rPr>
            <w:webHidden/>
          </w:rPr>
          <w:fldChar w:fldCharType="end"/>
        </w:r>
      </w:hyperlink>
    </w:p>
    <w:p w14:paraId="3C36BD89" w14:textId="6617E046" w:rsidR="00403494" w:rsidRDefault="0054440D">
      <w:pPr>
        <w:pStyle w:val="TOC2"/>
        <w:tabs>
          <w:tab w:val="left" w:pos="567"/>
        </w:tabs>
        <w:rPr>
          <w:rFonts w:asciiTheme="minorHAnsi" w:eastAsiaTheme="minorEastAsia" w:hAnsiTheme="minorHAnsi" w:cstheme="minorBidi"/>
          <w:sz w:val="22"/>
          <w:szCs w:val="22"/>
          <w:lang w:eastAsia="en-AU"/>
        </w:rPr>
      </w:pPr>
      <w:hyperlink w:anchor="_Toc86410780" w:history="1">
        <w:r w:rsidR="00403494" w:rsidRPr="005D7A3B">
          <w:rPr>
            <w:rStyle w:val="Hyperlink"/>
          </w:rPr>
          <w:t>3.3</w:t>
        </w:r>
        <w:r w:rsidR="00403494">
          <w:rPr>
            <w:rFonts w:asciiTheme="minorHAnsi" w:eastAsiaTheme="minorEastAsia" w:hAnsiTheme="minorHAnsi" w:cstheme="minorBidi"/>
            <w:sz w:val="22"/>
            <w:szCs w:val="22"/>
            <w:lang w:eastAsia="en-AU"/>
          </w:rPr>
          <w:tab/>
        </w:r>
        <w:r w:rsidR="00403494" w:rsidRPr="005D7A3B">
          <w:rPr>
            <w:rStyle w:val="Hyperlink"/>
          </w:rPr>
          <w:t>Key planning considerations</w:t>
        </w:r>
        <w:r w:rsidR="00403494">
          <w:rPr>
            <w:webHidden/>
          </w:rPr>
          <w:tab/>
        </w:r>
        <w:r w:rsidR="00403494">
          <w:rPr>
            <w:webHidden/>
          </w:rPr>
          <w:fldChar w:fldCharType="begin"/>
        </w:r>
        <w:r w:rsidR="00403494">
          <w:rPr>
            <w:webHidden/>
          </w:rPr>
          <w:instrText xml:space="preserve"> PAGEREF _Toc86410780 \h </w:instrText>
        </w:r>
        <w:r w:rsidR="00403494">
          <w:rPr>
            <w:webHidden/>
          </w:rPr>
        </w:r>
        <w:r w:rsidR="00403494">
          <w:rPr>
            <w:webHidden/>
          </w:rPr>
          <w:fldChar w:fldCharType="separate"/>
        </w:r>
        <w:r w:rsidR="00403494">
          <w:rPr>
            <w:webHidden/>
          </w:rPr>
          <w:t>12</w:t>
        </w:r>
        <w:r w:rsidR="00403494">
          <w:rPr>
            <w:webHidden/>
          </w:rPr>
          <w:fldChar w:fldCharType="end"/>
        </w:r>
      </w:hyperlink>
    </w:p>
    <w:p w14:paraId="1B1202AB" w14:textId="01FC2F2A" w:rsidR="00403494" w:rsidRDefault="0054440D">
      <w:pPr>
        <w:pStyle w:val="TOC2"/>
        <w:tabs>
          <w:tab w:val="left" w:pos="567"/>
        </w:tabs>
        <w:rPr>
          <w:rFonts w:asciiTheme="minorHAnsi" w:eastAsiaTheme="minorEastAsia" w:hAnsiTheme="minorHAnsi" w:cstheme="minorBidi"/>
          <w:sz w:val="22"/>
          <w:szCs w:val="22"/>
          <w:lang w:eastAsia="en-AU"/>
        </w:rPr>
      </w:pPr>
      <w:hyperlink w:anchor="_Toc86410781" w:history="1">
        <w:r w:rsidR="00403494" w:rsidRPr="005D7A3B">
          <w:rPr>
            <w:rStyle w:val="Hyperlink"/>
          </w:rPr>
          <w:t>3.4</w:t>
        </w:r>
        <w:r w:rsidR="00403494">
          <w:rPr>
            <w:rFonts w:asciiTheme="minorHAnsi" w:eastAsiaTheme="minorEastAsia" w:hAnsiTheme="minorHAnsi" w:cstheme="minorBidi"/>
            <w:sz w:val="22"/>
            <w:szCs w:val="22"/>
            <w:lang w:eastAsia="en-AU"/>
          </w:rPr>
          <w:tab/>
        </w:r>
        <w:r w:rsidR="00403494" w:rsidRPr="005D7A3B">
          <w:rPr>
            <w:rStyle w:val="Hyperlink"/>
          </w:rPr>
          <w:t>Planning resources</w:t>
        </w:r>
        <w:r w:rsidR="00403494">
          <w:rPr>
            <w:webHidden/>
          </w:rPr>
          <w:tab/>
        </w:r>
        <w:r w:rsidR="00403494">
          <w:rPr>
            <w:webHidden/>
          </w:rPr>
          <w:fldChar w:fldCharType="begin"/>
        </w:r>
        <w:r w:rsidR="00403494">
          <w:rPr>
            <w:webHidden/>
          </w:rPr>
          <w:instrText xml:space="preserve"> PAGEREF _Toc86410781 \h </w:instrText>
        </w:r>
        <w:r w:rsidR="00403494">
          <w:rPr>
            <w:webHidden/>
          </w:rPr>
        </w:r>
        <w:r w:rsidR="00403494">
          <w:rPr>
            <w:webHidden/>
          </w:rPr>
          <w:fldChar w:fldCharType="separate"/>
        </w:r>
        <w:r w:rsidR="00403494">
          <w:rPr>
            <w:webHidden/>
          </w:rPr>
          <w:t>13</w:t>
        </w:r>
        <w:r w:rsidR="00403494">
          <w:rPr>
            <w:webHidden/>
          </w:rPr>
          <w:fldChar w:fldCharType="end"/>
        </w:r>
      </w:hyperlink>
    </w:p>
    <w:p w14:paraId="1CFD220E" w14:textId="5B1B854B" w:rsidR="00403494" w:rsidRDefault="0054440D">
      <w:pPr>
        <w:pStyle w:val="TOC1"/>
        <w:tabs>
          <w:tab w:val="left" w:pos="567"/>
        </w:tabs>
        <w:rPr>
          <w:rFonts w:asciiTheme="minorHAnsi" w:eastAsiaTheme="minorEastAsia" w:hAnsiTheme="minorHAnsi" w:cstheme="minorBidi"/>
          <w:b w:val="0"/>
          <w:sz w:val="22"/>
          <w:szCs w:val="22"/>
          <w:lang w:eastAsia="en-AU"/>
        </w:rPr>
      </w:pPr>
      <w:hyperlink w:anchor="_Toc86410782" w:history="1">
        <w:r w:rsidR="00403494" w:rsidRPr="005D7A3B">
          <w:rPr>
            <w:rStyle w:val="Hyperlink"/>
          </w:rPr>
          <w:t>4.</w:t>
        </w:r>
        <w:r w:rsidR="00403494">
          <w:rPr>
            <w:rFonts w:asciiTheme="minorHAnsi" w:eastAsiaTheme="minorEastAsia" w:hAnsiTheme="minorHAnsi" w:cstheme="minorBidi"/>
            <w:b w:val="0"/>
            <w:sz w:val="22"/>
            <w:szCs w:val="22"/>
            <w:lang w:eastAsia="en-AU"/>
          </w:rPr>
          <w:tab/>
        </w:r>
        <w:r w:rsidR="00403494" w:rsidRPr="005D7A3B">
          <w:rPr>
            <w:rStyle w:val="Hyperlink"/>
          </w:rPr>
          <w:t>During and after an emergency</w:t>
        </w:r>
        <w:r w:rsidR="00403494">
          <w:rPr>
            <w:webHidden/>
          </w:rPr>
          <w:tab/>
        </w:r>
        <w:r w:rsidR="00403494">
          <w:rPr>
            <w:webHidden/>
          </w:rPr>
          <w:fldChar w:fldCharType="begin"/>
        </w:r>
        <w:r w:rsidR="00403494">
          <w:rPr>
            <w:webHidden/>
          </w:rPr>
          <w:instrText xml:space="preserve"> PAGEREF _Toc86410782 \h </w:instrText>
        </w:r>
        <w:r w:rsidR="00403494">
          <w:rPr>
            <w:webHidden/>
          </w:rPr>
        </w:r>
        <w:r w:rsidR="00403494">
          <w:rPr>
            <w:webHidden/>
          </w:rPr>
          <w:fldChar w:fldCharType="separate"/>
        </w:r>
        <w:r w:rsidR="00403494">
          <w:rPr>
            <w:webHidden/>
          </w:rPr>
          <w:t>14</w:t>
        </w:r>
        <w:r w:rsidR="00403494">
          <w:rPr>
            <w:webHidden/>
          </w:rPr>
          <w:fldChar w:fldCharType="end"/>
        </w:r>
      </w:hyperlink>
    </w:p>
    <w:p w14:paraId="361034F3" w14:textId="3E8A1E6C" w:rsidR="00403494" w:rsidRDefault="0054440D">
      <w:pPr>
        <w:pStyle w:val="TOC2"/>
        <w:tabs>
          <w:tab w:val="left" w:pos="567"/>
        </w:tabs>
        <w:rPr>
          <w:rFonts w:asciiTheme="minorHAnsi" w:eastAsiaTheme="minorEastAsia" w:hAnsiTheme="minorHAnsi" w:cstheme="minorBidi"/>
          <w:sz w:val="22"/>
          <w:szCs w:val="22"/>
          <w:lang w:eastAsia="en-AU"/>
        </w:rPr>
      </w:pPr>
      <w:hyperlink w:anchor="_Toc86410783" w:history="1">
        <w:r w:rsidR="00403494" w:rsidRPr="005D7A3B">
          <w:rPr>
            <w:rStyle w:val="Hyperlink"/>
          </w:rPr>
          <w:t>4.1</w:t>
        </w:r>
        <w:r w:rsidR="00403494">
          <w:rPr>
            <w:rFonts w:asciiTheme="minorHAnsi" w:eastAsiaTheme="minorEastAsia" w:hAnsiTheme="minorHAnsi" w:cstheme="minorBidi"/>
            <w:sz w:val="22"/>
            <w:szCs w:val="22"/>
            <w:lang w:eastAsia="en-AU"/>
          </w:rPr>
          <w:tab/>
        </w:r>
        <w:r w:rsidR="00403494" w:rsidRPr="005D7A3B">
          <w:rPr>
            <w:rStyle w:val="Hyperlink"/>
          </w:rPr>
          <w:t>Sources of emergency information</w:t>
        </w:r>
        <w:r w:rsidR="00403494">
          <w:rPr>
            <w:webHidden/>
          </w:rPr>
          <w:tab/>
        </w:r>
        <w:r w:rsidR="00403494">
          <w:rPr>
            <w:webHidden/>
          </w:rPr>
          <w:fldChar w:fldCharType="begin"/>
        </w:r>
        <w:r w:rsidR="00403494">
          <w:rPr>
            <w:webHidden/>
          </w:rPr>
          <w:instrText xml:space="preserve"> PAGEREF _Toc86410783 \h </w:instrText>
        </w:r>
        <w:r w:rsidR="00403494">
          <w:rPr>
            <w:webHidden/>
          </w:rPr>
        </w:r>
        <w:r w:rsidR="00403494">
          <w:rPr>
            <w:webHidden/>
          </w:rPr>
          <w:fldChar w:fldCharType="separate"/>
        </w:r>
        <w:r w:rsidR="00403494">
          <w:rPr>
            <w:webHidden/>
          </w:rPr>
          <w:t>14</w:t>
        </w:r>
        <w:r w:rsidR="00403494">
          <w:rPr>
            <w:webHidden/>
          </w:rPr>
          <w:fldChar w:fldCharType="end"/>
        </w:r>
      </w:hyperlink>
    </w:p>
    <w:p w14:paraId="26CC1B28" w14:textId="36CA1293" w:rsidR="00403494" w:rsidRDefault="0054440D">
      <w:pPr>
        <w:pStyle w:val="TOC2"/>
        <w:tabs>
          <w:tab w:val="left" w:pos="567"/>
        </w:tabs>
        <w:rPr>
          <w:rFonts w:asciiTheme="minorHAnsi" w:eastAsiaTheme="minorEastAsia" w:hAnsiTheme="minorHAnsi" w:cstheme="minorBidi"/>
          <w:sz w:val="22"/>
          <w:szCs w:val="22"/>
          <w:lang w:eastAsia="en-AU"/>
        </w:rPr>
      </w:pPr>
      <w:hyperlink w:anchor="_Toc86410784" w:history="1">
        <w:r w:rsidR="00403494" w:rsidRPr="005D7A3B">
          <w:rPr>
            <w:rStyle w:val="Hyperlink"/>
            <w:rFonts w:cs="Arial"/>
          </w:rPr>
          <w:t>4.2</w:t>
        </w:r>
        <w:r w:rsidR="00403494">
          <w:rPr>
            <w:rFonts w:asciiTheme="minorHAnsi" w:eastAsiaTheme="minorEastAsia" w:hAnsiTheme="minorHAnsi" w:cstheme="minorBidi"/>
            <w:sz w:val="22"/>
            <w:szCs w:val="22"/>
            <w:lang w:eastAsia="en-AU"/>
          </w:rPr>
          <w:tab/>
        </w:r>
        <w:r w:rsidR="00403494" w:rsidRPr="005D7A3B">
          <w:rPr>
            <w:rStyle w:val="Hyperlink"/>
            <w:rFonts w:cs="Arial"/>
          </w:rPr>
          <w:t>Two-way communication with the department</w:t>
        </w:r>
        <w:r w:rsidR="00403494">
          <w:rPr>
            <w:webHidden/>
          </w:rPr>
          <w:tab/>
        </w:r>
        <w:r w:rsidR="00403494">
          <w:rPr>
            <w:webHidden/>
          </w:rPr>
          <w:fldChar w:fldCharType="begin"/>
        </w:r>
        <w:r w:rsidR="00403494">
          <w:rPr>
            <w:webHidden/>
          </w:rPr>
          <w:instrText xml:space="preserve"> PAGEREF _Toc86410784 \h </w:instrText>
        </w:r>
        <w:r w:rsidR="00403494">
          <w:rPr>
            <w:webHidden/>
          </w:rPr>
        </w:r>
        <w:r w:rsidR="00403494">
          <w:rPr>
            <w:webHidden/>
          </w:rPr>
          <w:fldChar w:fldCharType="separate"/>
        </w:r>
        <w:r w:rsidR="00403494">
          <w:rPr>
            <w:webHidden/>
          </w:rPr>
          <w:t>14</w:t>
        </w:r>
        <w:r w:rsidR="00403494">
          <w:rPr>
            <w:webHidden/>
          </w:rPr>
          <w:fldChar w:fldCharType="end"/>
        </w:r>
      </w:hyperlink>
    </w:p>
    <w:p w14:paraId="7F3A8EF1" w14:textId="69566E27" w:rsidR="00403494" w:rsidRDefault="0054440D">
      <w:pPr>
        <w:pStyle w:val="TOC1"/>
        <w:rPr>
          <w:rFonts w:asciiTheme="minorHAnsi" w:eastAsiaTheme="minorEastAsia" w:hAnsiTheme="minorHAnsi" w:cstheme="minorBidi"/>
          <w:b w:val="0"/>
          <w:sz w:val="22"/>
          <w:szCs w:val="22"/>
          <w:lang w:eastAsia="en-AU"/>
        </w:rPr>
      </w:pPr>
      <w:hyperlink w:anchor="_Toc86410785" w:history="1">
        <w:r w:rsidR="00403494" w:rsidRPr="005D7A3B">
          <w:rPr>
            <w:rStyle w:val="Hyperlink"/>
          </w:rPr>
          <w:t>Appendix 1 - Contacting the Department of Health during an emergency</w:t>
        </w:r>
        <w:r w:rsidR="00403494">
          <w:rPr>
            <w:webHidden/>
          </w:rPr>
          <w:tab/>
        </w:r>
        <w:r w:rsidR="00403494">
          <w:rPr>
            <w:webHidden/>
          </w:rPr>
          <w:fldChar w:fldCharType="begin"/>
        </w:r>
        <w:r w:rsidR="00403494">
          <w:rPr>
            <w:webHidden/>
          </w:rPr>
          <w:instrText xml:space="preserve"> PAGEREF _Toc86410785 \h </w:instrText>
        </w:r>
        <w:r w:rsidR="00403494">
          <w:rPr>
            <w:webHidden/>
          </w:rPr>
        </w:r>
        <w:r w:rsidR="00403494">
          <w:rPr>
            <w:webHidden/>
          </w:rPr>
          <w:fldChar w:fldCharType="separate"/>
        </w:r>
        <w:r w:rsidR="00403494">
          <w:rPr>
            <w:webHidden/>
          </w:rPr>
          <w:t>16</w:t>
        </w:r>
        <w:r w:rsidR="00403494">
          <w:rPr>
            <w:webHidden/>
          </w:rPr>
          <w:fldChar w:fldCharType="end"/>
        </w:r>
      </w:hyperlink>
    </w:p>
    <w:p w14:paraId="67306A9A" w14:textId="048AA359" w:rsidR="00FB1F6E" w:rsidRDefault="00AD784C" w:rsidP="00D079AA">
      <w:pPr>
        <w:pStyle w:val="Body"/>
      </w:pPr>
      <w:r>
        <w:fldChar w:fldCharType="end"/>
      </w:r>
    </w:p>
    <w:p w14:paraId="47767302" w14:textId="77777777" w:rsidR="00FB1F6E" w:rsidRDefault="00FB1F6E">
      <w:pPr>
        <w:spacing w:after="0" w:line="240" w:lineRule="auto"/>
        <w:rPr>
          <w:rFonts w:eastAsia="Times"/>
        </w:rPr>
      </w:pPr>
      <w:r>
        <w:br w:type="page"/>
      </w:r>
    </w:p>
    <w:p w14:paraId="2626DE22" w14:textId="77777777" w:rsidR="00454A7D" w:rsidRDefault="00454A7D">
      <w:pPr>
        <w:spacing w:after="0" w:line="240" w:lineRule="auto"/>
        <w:rPr>
          <w:rFonts w:eastAsia="MS Gothic" w:cs="Arial"/>
          <w:bCs/>
          <w:color w:val="53565A"/>
          <w:kern w:val="32"/>
          <w:sz w:val="44"/>
          <w:szCs w:val="44"/>
        </w:rPr>
      </w:pPr>
      <w:r>
        <w:lastRenderedPageBreak/>
        <w:br w:type="page"/>
      </w:r>
    </w:p>
    <w:p w14:paraId="3C247FFD" w14:textId="3099893E" w:rsidR="00EE29AD" w:rsidRPr="00A71CE4" w:rsidRDefault="00754514" w:rsidP="00A8686A">
      <w:pPr>
        <w:pStyle w:val="Heading1"/>
        <w:numPr>
          <w:ilvl w:val="0"/>
          <w:numId w:val="7"/>
        </w:numPr>
        <w:spacing w:before="0"/>
      </w:pPr>
      <w:bookmarkStart w:id="3" w:name="_Toc86410768"/>
      <w:r>
        <w:lastRenderedPageBreak/>
        <w:t>Introduction</w:t>
      </w:r>
      <w:bookmarkEnd w:id="3"/>
    </w:p>
    <w:p w14:paraId="3CFFD5F8" w14:textId="1E9BA1B3" w:rsidR="00077247" w:rsidRDefault="00077247" w:rsidP="00A8686A">
      <w:pPr>
        <w:pStyle w:val="Heading2"/>
        <w:numPr>
          <w:ilvl w:val="1"/>
          <w:numId w:val="8"/>
        </w:numPr>
      </w:pPr>
      <w:bookmarkStart w:id="4" w:name="_Toc86410769"/>
      <w:r>
        <w:t>Purpose</w:t>
      </w:r>
      <w:bookmarkEnd w:id="4"/>
    </w:p>
    <w:p w14:paraId="24716910" w14:textId="77777777" w:rsidR="00E07932" w:rsidRDefault="00E07932" w:rsidP="00E60EBF">
      <w:pPr>
        <w:pStyle w:val="Body"/>
      </w:pPr>
      <w:r w:rsidRPr="00E07932">
        <w:t xml:space="preserve">The Health services emergency management policy sets the direction for health services to have arrangements in place to minimise health effects and service disruption to communities from health emergencies and emergencies with health impacts. </w:t>
      </w:r>
    </w:p>
    <w:p w14:paraId="70D39D34" w14:textId="5D1C6012" w:rsidR="00E60EBF" w:rsidRPr="00E60EBF" w:rsidRDefault="0005385C" w:rsidP="00E60EBF">
      <w:pPr>
        <w:pStyle w:val="Body"/>
      </w:pPr>
      <w:r>
        <w:t xml:space="preserve">With the recent separation of the former Department of Health and Human Services, this </w:t>
      </w:r>
      <w:r w:rsidR="0063622A">
        <w:t xml:space="preserve">policy </w:t>
      </w:r>
      <w:r w:rsidR="009D07AD">
        <w:t>replace</w:t>
      </w:r>
      <w:r w:rsidR="00E07932">
        <w:t>s</w:t>
      </w:r>
      <w:r>
        <w:t xml:space="preserve"> the </w:t>
      </w:r>
      <w:r w:rsidR="004A41C2">
        <w:t xml:space="preserve"> </w:t>
      </w:r>
      <w:r w:rsidR="004A41C2">
        <w:rPr>
          <w:i/>
        </w:rPr>
        <w:t>Health and Human Services Sector Emergency Preparedness Policy 2019.</w:t>
      </w:r>
      <w:r w:rsidR="0014035B">
        <w:rPr>
          <w:i/>
        </w:rPr>
        <w:t xml:space="preserve"> </w:t>
      </w:r>
      <w:r w:rsidR="003C79BF">
        <w:rPr>
          <w:iCs/>
        </w:rPr>
        <w:t xml:space="preserve">It maintains </w:t>
      </w:r>
      <w:r w:rsidR="009D6E1B">
        <w:rPr>
          <w:iCs/>
        </w:rPr>
        <w:t xml:space="preserve">the </w:t>
      </w:r>
      <w:r w:rsidR="00091951">
        <w:rPr>
          <w:iCs/>
        </w:rPr>
        <w:t xml:space="preserve">former policy’s </w:t>
      </w:r>
      <w:r w:rsidR="00932670">
        <w:rPr>
          <w:iCs/>
        </w:rPr>
        <w:t>principal</w:t>
      </w:r>
      <w:r w:rsidR="00CE7C87">
        <w:rPr>
          <w:iCs/>
        </w:rPr>
        <w:t xml:space="preserve"> </w:t>
      </w:r>
      <w:r w:rsidR="00CF3E8B">
        <w:rPr>
          <w:iCs/>
        </w:rPr>
        <w:t xml:space="preserve">emergency management </w:t>
      </w:r>
      <w:r w:rsidR="00333855">
        <w:rPr>
          <w:iCs/>
        </w:rPr>
        <w:t xml:space="preserve">responsibilities </w:t>
      </w:r>
      <w:r w:rsidR="00697F8B">
        <w:rPr>
          <w:iCs/>
        </w:rPr>
        <w:t>for health services</w:t>
      </w:r>
      <w:r w:rsidR="00494361">
        <w:rPr>
          <w:iCs/>
        </w:rPr>
        <w:t xml:space="preserve"> </w:t>
      </w:r>
      <w:r w:rsidR="00890132">
        <w:rPr>
          <w:iCs/>
        </w:rPr>
        <w:t xml:space="preserve">and </w:t>
      </w:r>
      <w:r w:rsidR="00621295">
        <w:rPr>
          <w:iCs/>
        </w:rPr>
        <w:t>expands</w:t>
      </w:r>
      <w:r w:rsidR="00890132">
        <w:rPr>
          <w:iCs/>
        </w:rPr>
        <w:t xml:space="preserve"> on </w:t>
      </w:r>
      <w:r w:rsidR="00C8699D">
        <w:rPr>
          <w:iCs/>
        </w:rPr>
        <w:t>practical guidance</w:t>
      </w:r>
      <w:r w:rsidR="009A2828">
        <w:rPr>
          <w:iCs/>
        </w:rPr>
        <w:t xml:space="preserve"> to </w:t>
      </w:r>
      <w:r w:rsidR="009C32DF">
        <w:rPr>
          <w:iCs/>
        </w:rPr>
        <w:t>assist</w:t>
      </w:r>
      <w:r w:rsidR="00B33B2B">
        <w:rPr>
          <w:iCs/>
        </w:rPr>
        <w:t xml:space="preserve"> </w:t>
      </w:r>
      <w:r>
        <w:t>you</w:t>
      </w:r>
      <w:r w:rsidR="00F120A9">
        <w:t xml:space="preserve"> </w:t>
      </w:r>
      <w:r w:rsidR="009403A9">
        <w:t xml:space="preserve">to </w:t>
      </w:r>
      <w:r w:rsidR="003F4FAE">
        <w:t xml:space="preserve">develop </w:t>
      </w:r>
      <w:r w:rsidR="00741C05">
        <w:t xml:space="preserve">and </w:t>
      </w:r>
      <w:r w:rsidR="006B2A6E">
        <w:t xml:space="preserve">maintain </w:t>
      </w:r>
      <w:r w:rsidR="009403A9">
        <w:t>capabilit</w:t>
      </w:r>
      <w:r w:rsidR="00EA1313">
        <w:t xml:space="preserve">ies </w:t>
      </w:r>
      <w:r w:rsidR="007E1584">
        <w:t>to support communities</w:t>
      </w:r>
      <w:r w:rsidR="00F120A9">
        <w:t xml:space="preserve"> </w:t>
      </w:r>
      <w:r w:rsidR="00B661B1">
        <w:t>i</w:t>
      </w:r>
      <w:r w:rsidR="00D4518F">
        <w:t>n an emergency.</w:t>
      </w:r>
      <w:r w:rsidR="007E1584">
        <w:t xml:space="preserve"> </w:t>
      </w:r>
      <w:r w:rsidR="00C8699D">
        <w:rPr>
          <w:iCs/>
        </w:rPr>
        <w:t xml:space="preserve"> </w:t>
      </w:r>
    </w:p>
    <w:p w14:paraId="079AAD09" w14:textId="611F0C11" w:rsidR="00ED7762" w:rsidRDefault="00260E83" w:rsidP="00A8686A">
      <w:pPr>
        <w:pStyle w:val="Heading2"/>
        <w:numPr>
          <w:ilvl w:val="1"/>
          <w:numId w:val="8"/>
        </w:numPr>
      </w:pPr>
      <w:bookmarkStart w:id="5" w:name="_Toc86410770"/>
      <w:r>
        <w:t>Context</w:t>
      </w:r>
      <w:bookmarkEnd w:id="5"/>
      <w:r>
        <w:t xml:space="preserve"> </w:t>
      </w:r>
      <w:r w:rsidR="00DB324D">
        <w:t xml:space="preserve"> </w:t>
      </w:r>
    </w:p>
    <w:p w14:paraId="65A9E0AA" w14:textId="38E25EFA" w:rsidR="005A71AF" w:rsidRDefault="0085622D" w:rsidP="0085622D">
      <w:pPr>
        <w:pStyle w:val="Body"/>
      </w:pPr>
      <w:r>
        <w:t xml:space="preserve">All </w:t>
      </w:r>
      <w:r w:rsidR="00E20617">
        <w:t>emergencies</w:t>
      </w:r>
      <w:r>
        <w:t xml:space="preserve"> can have an impact on health s</w:t>
      </w:r>
      <w:r w:rsidR="005A71AF">
        <w:t>ervices</w:t>
      </w:r>
      <w:r>
        <w:t xml:space="preserve">, not only by </w:t>
      </w:r>
      <w:r w:rsidR="00625532">
        <w:t xml:space="preserve">the </w:t>
      </w:r>
      <w:r>
        <w:t xml:space="preserve">direct effects </w:t>
      </w:r>
      <w:r w:rsidR="00625532">
        <w:t xml:space="preserve">of </w:t>
      </w:r>
      <w:r w:rsidR="00F96874">
        <w:t xml:space="preserve">emergencies </w:t>
      </w:r>
      <w:r>
        <w:t>such as injuries and the exacerbation of existing medical conditions</w:t>
      </w:r>
      <w:r w:rsidR="00E20617">
        <w:t>,</w:t>
      </w:r>
      <w:r>
        <w:t xml:space="preserve"> but </w:t>
      </w:r>
      <w:r w:rsidR="00C62F89">
        <w:t xml:space="preserve">also </w:t>
      </w:r>
      <w:r>
        <w:t>by disrupting the community’s access to health services</w:t>
      </w:r>
      <w:r w:rsidR="00150ABA">
        <w:t xml:space="preserve"> </w:t>
      </w:r>
      <w:r w:rsidR="00215DD3">
        <w:t>or the capability of the health service to deliver</w:t>
      </w:r>
      <w:r w:rsidR="001D0F84">
        <w:t xml:space="preserve"> services</w:t>
      </w:r>
      <w:r>
        <w:t xml:space="preserve">. </w:t>
      </w:r>
    </w:p>
    <w:p w14:paraId="1F30B81B" w14:textId="538D2870" w:rsidR="009A2643" w:rsidRPr="009B6266" w:rsidRDefault="009A2643" w:rsidP="009A2643">
      <w:pPr>
        <w:pStyle w:val="DHHSbody"/>
        <w:rPr>
          <w:sz w:val="21"/>
          <w:szCs w:val="21"/>
        </w:rPr>
      </w:pPr>
      <w:r w:rsidRPr="009B6266">
        <w:rPr>
          <w:sz w:val="21"/>
          <w:szCs w:val="21"/>
        </w:rPr>
        <w:t xml:space="preserve">The frequency and changing risk profile of emergencies continues to reinforce the importance of emergency preparedness and planning across </w:t>
      </w:r>
      <w:r w:rsidR="00E07932" w:rsidRPr="009B6266">
        <w:rPr>
          <w:sz w:val="21"/>
          <w:szCs w:val="21"/>
        </w:rPr>
        <w:t>Victoria</w:t>
      </w:r>
      <w:r w:rsidR="00E07932">
        <w:rPr>
          <w:sz w:val="21"/>
          <w:szCs w:val="21"/>
        </w:rPr>
        <w:t>.</w:t>
      </w:r>
    </w:p>
    <w:p w14:paraId="610B8EE6" w14:textId="50CC68E7" w:rsidR="00082C1B" w:rsidRDefault="00082C1B" w:rsidP="00082C1B">
      <w:pPr>
        <w:pStyle w:val="Body"/>
      </w:pPr>
      <w:r>
        <w:t xml:space="preserve">Types of emergencies </w:t>
      </w:r>
      <w:r w:rsidR="0086139E">
        <w:t xml:space="preserve">with </w:t>
      </w:r>
      <w:r w:rsidR="00976CF4">
        <w:t>major</w:t>
      </w:r>
      <w:r w:rsidR="002E1401">
        <w:t xml:space="preserve"> </w:t>
      </w:r>
      <w:r w:rsidR="008A7B9B">
        <w:t>health consequences</w:t>
      </w:r>
      <w:r>
        <w:t xml:space="preserve"> include:</w:t>
      </w:r>
    </w:p>
    <w:p w14:paraId="137604D8" w14:textId="25F52999" w:rsidR="00082C1B" w:rsidRDefault="00082C1B" w:rsidP="00A8686A">
      <w:pPr>
        <w:pStyle w:val="Body"/>
        <w:numPr>
          <w:ilvl w:val="0"/>
          <w:numId w:val="10"/>
        </w:numPr>
      </w:pPr>
      <w:r>
        <w:t xml:space="preserve">floods, storms </w:t>
      </w:r>
      <w:r w:rsidR="005F3382">
        <w:t>and</w:t>
      </w:r>
      <w:r>
        <w:t xml:space="preserve"> bushfires</w:t>
      </w:r>
    </w:p>
    <w:p w14:paraId="31A48C8A" w14:textId="77777777" w:rsidR="00082C1B" w:rsidRDefault="00082C1B" w:rsidP="00A8686A">
      <w:pPr>
        <w:pStyle w:val="Body"/>
        <w:numPr>
          <w:ilvl w:val="0"/>
          <w:numId w:val="10"/>
        </w:numPr>
      </w:pPr>
      <w:r>
        <w:t>industrial fires</w:t>
      </w:r>
    </w:p>
    <w:p w14:paraId="10B05B35" w14:textId="77777777" w:rsidR="00082C1B" w:rsidRDefault="00082C1B" w:rsidP="00A8686A">
      <w:pPr>
        <w:pStyle w:val="Body"/>
        <w:numPr>
          <w:ilvl w:val="0"/>
          <w:numId w:val="10"/>
        </w:numPr>
      </w:pPr>
      <w:r>
        <w:t>explosions and accidents</w:t>
      </w:r>
    </w:p>
    <w:p w14:paraId="58A7C842" w14:textId="77777777" w:rsidR="00082C1B" w:rsidRDefault="00082C1B" w:rsidP="00A8686A">
      <w:pPr>
        <w:pStyle w:val="Body"/>
        <w:numPr>
          <w:ilvl w:val="0"/>
          <w:numId w:val="10"/>
        </w:numPr>
      </w:pPr>
      <w:r>
        <w:t>extreme heat and heatwaves</w:t>
      </w:r>
    </w:p>
    <w:p w14:paraId="3FB1491D" w14:textId="77777777" w:rsidR="00AB7D2B" w:rsidRDefault="005F3382" w:rsidP="00A8686A">
      <w:pPr>
        <w:pStyle w:val="Body"/>
        <w:numPr>
          <w:ilvl w:val="0"/>
          <w:numId w:val="10"/>
        </w:numPr>
      </w:pPr>
      <w:r>
        <w:t xml:space="preserve">viral </w:t>
      </w:r>
      <w:r w:rsidR="00082C1B">
        <w:t>epidemics</w:t>
      </w:r>
      <w:r>
        <w:t xml:space="preserve"> and </w:t>
      </w:r>
      <w:r w:rsidR="00082C1B">
        <w:t>pandemics</w:t>
      </w:r>
    </w:p>
    <w:p w14:paraId="5CAB2D9E" w14:textId="21A72595" w:rsidR="003870C7" w:rsidRDefault="00082C1B" w:rsidP="00A8686A">
      <w:pPr>
        <w:pStyle w:val="Body"/>
        <w:numPr>
          <w:ilvl w:val="0"/>
          <w:numId w:val="10"/>
        </w:numPr>
      </w:pPr>
      <w:r>
        <w:t>contamination of food or water supply</w:t>
      </w:r>
    </w:p>
    <w:p w14:paraId="69EBD3C8" w14:textId="77777777" w:rsidR="00C176CC" w:rsidRDefault="003870C7" w:rsidP="00A8686A">
      <w:pPr>
        <w:pStyle w:val="Body"/>
        <w:numPr>
          <w:ilvl w:val="0"/>
          <w:numId w:val="10"/>
        </w:numPr>
      </w:pPr>
      <w:r>
        <w:t>epidemic</w:t>
      </w:r>
      <w:r w:rsidR="00F36339">
        <w:t xml:space="preserve"> thunderstorm asthma</w:t>
      </w:r>
      <w:r w:rsidR="00082C1B">
        <w:t xml:space="preserve">, </w:t>
      </w:r>
    </w:p>
    <w:p w14:paraId="37BA7B2C" w14:textId="3CB5B9CF" w:rsidR="00082C1B" w:rsidRDefault="008616D3" w:rsidP="00A8686A">
      <w:pPr>
        <w:pStyle w:val="Body"/>
        <w:numPr>
          <w:ilvl w:val="0"/>
          <w:numId w:val="10"/>
        </w:numPr>
      </w:pPr>
      <w:r>
        <w:t xml:space="preserve">cybersecurity threats, </w:t>
      </w:r>
      <w:r w:rsidR="00082C1B">
        <w:t xml:space="preserve">and </w:t>
      </w:r>
    </w:p>
    <w:p w14:paraId="08140FBE" w14:textId="77777777" w:rsidR="00082C1B" w:rsidRDefault="00082C1B" w:rsidP="00A8686A">
      <w:pPr>
        <w:pStyle w:val="Body"/>
        <w:numPr>
          <w:ilvl w:val="0"/>
          <w:numId w:val="10"/>
        </w:numPr>
      </w:pPr>
      <w:r>
        <w:t>disruption to essential services such as electricity, gas and telecommunications networks.</w:t>
      </w:r>
    </w:p>
    <w:p w14:paraId="52E3A040" w14:textId="283F69F9" w:rsidR="00850A90" w:rsidRDefault="00FC308D" w:rsidP="00FC308D">
      <w:pPr>
        <w:pStyle w:val="Body"/>
      </w:pPr>
      <w:r>
        <w:t>Planning for emergencies helps to ensure that disruption to the services that underpin good health is minimised and the sense of wellbeing in communities is</w:t>
      </w:r>
      <w:r w:rsidR="006C17E8">
        <w:t xml:space="preserve"> maintained or rapidly</w:t>
      </w:r>
      <w:r>
        <w:t xml:space="preserve"> restored. </w:t>
      </w:r>
    </w:p>
    <w:p w14:paraId="27C93574" w14:textId="42BBFAF7" w:rsidR="009A2643" w:rsidRDefault="00652736" w:rsidP="005D0B35">
      <w:pPr>
        <w:pStyle w:val="Heading4"/>
        <w:numPr>
          <w:ilvl w:val="0"/>
          <w:numId w:val="0"/>
        </w:numPr>
      </w:pPr>
      <w:r>
        <w:t xml:space="preserve">Intended </w:t>
      </w:r>
      <w:r w:rsidR="004631EB">
        <w:t>outcomes</w:t>
      </w:r>
    </w:p>
    <w:p w14:paraId="2DFB2D84" w14:textId="190CA69C" w:rsidR="00092C51" w:rsidRDefault="00092C51" w:rsidP="00092C51">
      <w:pPr>
        <w:pStyle w:val="Body"/>
      </w:pPr>
      <w:r>
        <w:t xml:space="preserve">It is expected that health services </w:t>
      </w:r>
      <w:r w:rsidR="0005385C">
        <w:t xml:space="preserve">be </w:t>
      </w:r>
      <w:r>
        <w:t>well prepared for emergencies and can implement a response in the event of an emergency that is appropriate to the needs of their communities.</w:t>
      </w:r>
    </w:p>
    <w:p w14:paraId="066B743F" w14:textId="3D61D1D0" w:rsidR="003C1C0C" w:rsidRDefault="001C1E79" w:rsidP="005D0B35">
      <w:pPr>
        <w:pStyle w:val="Body"/>
      </w:pPr>
      <w:r w:rsidRPr="00B8420C">
        <w:t xml:space="preserve">The </w:t>
      </w:r>
      <w:r w:rsidR="004631EB">
        <w:t xml:space="preserve">policy </w:t>
      </w:r>
      <w:r w:rsidR="00E63551">
        <w:t>aims to support</w:t>
      </w:r>
      <w:r w:rsidR="00F6538D">
        <w:t>:</w:t>
      </w:r>
    </w:p>
    <w:p w14:paraId="35DDF22B" w14:textId="207D4910" w:rsidR="005D0B35" w:rsidRDefault="001C1E79" w:rsidP="00A8686A">
      <w:pPr>
        <w:pStyle w:val="Body"/>
        <w:numPr>
          <w:ilvl w:val="0"/>
          <w:numId w:val="10"/>
        </w:numPr>
      </w:pPr>
      <w:r w:rsidRPr="00B8420C">
        <w:t xml:space="preserve">emergency preparedness </w:t>
      </w:r>
      <w:r w:rsidR="00114176" w:rsidRPr="00114176">
        <w:t>obligations</w:t>
      </w:r>
      <w:r w:rsidRPr="00B8420C">
        <w:t xml:space="preserve"> of </w:t>
      </w:r>
      <w:r w:rsidR="001F56A9">
        <w:t>health</w:t>
      </w:r>
      <w:r w:rsidRPr="00B8420C">
        <w:t xml:space="preserve"> services</w:t>
      </w:r>
    </w:p>
    <w:p w14:paraId="0101C9AD" w14:textId="517B6779" w:rsidR="001F56A9" w:rsidRPr="00B8420C" w:rsidRDefault="001F56A9" w:rsidP="00A8686A">
      <w:pPr>
        <w:pStyle w:val="Body"/>
        <w:numPr>
          <w:ilvl w:val="0"/>
          <w:numId w:val="10"/>
        </w:numPr>
      </w:pPr>
      <w:r w:rsidRPr="00B8420C">
        <w:t xml:space="preserve">access </w:t>
      </w:r>
      <w:r w:rsidR="00F6538D">
        <w:t xml:space="preserve">to </w:t>
      </w:r>
      <w:r w:rsidRPr="00B8420C">
        <w:t>resources and information to help prepare for emergencies</w:t>
      </w:r>
      <w:r w:rsidR="00E25CFC">
        <w:t>.</w:t>
      </w:r>
    </w:p>
    <w:p w14:paraId="58CE757F" w14:textId="0ACB32F0" w:rsidR="00DB324D" w:rsidRDefault="00DB324D" w:rsidP="00A8686A">
      <w:pPr>
        <w:pStyle w:val="Heading2"/>
        <w:numPr>
          <w:ilvl w:val="1"/>
          <w:numId w:val="8"/>
        </w:numPr>
      </w:pPr>
      <w:bookmarkStart w:id="6" w:name="_Toc86410771"/>
      <w:r>
        <w:lastRenderedPageBreak/>
        <w:t>Audience</w:t>
      </w:r>
      <w:r w:rsidR="004025C0" w:rsidRPr="004025C0">
        <w:t xml:space="preserve"> </w:t>
      </w:r>
      <w:r w:rsidR="004025C0">
        <w:t>and scope</w:t>
      </w:r>
      <w:bookmarkEnd w:id="6"/>
    </w:p>
    <w:p w14:paraId="60E9C92B" w14:textId="6CBAE2F7" w:rsidR="00A204D5" w:rsidRDefault="002A4109" w:rsidP="005B320C">
      <w:pPr>
        <w:pStyle w:val="Body"/>
      </w:pPr>
      <w:bookmarkStart w:id="7" w:name="_Hlk86405636"/>
      <w:r w:rsidRPr="005B320C">
        <w:t xml:space="preserve">This policy applies to </w:t>
      </w:r>
      <w:r w:rsidR="00A204D5">
        <w:t xml:space="preserve">services covered by the </w:t>
      </w:r>
      <w:r w:rsidR="00A204D5" w:rsidRPr="00DC0F57">
        <w:rPr>
          <w:i/>
          <w:iCs/>
        </w:rPr>
        <w:t>Health Services Act 1988</w:t>
      </w:r>
      <w:r w:rsidR="00A204D5" w:rsidRPr="005B320C">
        <w:t>,</w:t>
      </w:r>
      <w:r w:rsidR="00A204D5">
        <w:t xml:space="preserve"> including m</w:t>
      </w:r>
      <w:r w:rsidR="00A204D5" w:rsidRPr="00090279">
        <w:t>etropolitan Melbourne hospitals</w:t>
      </w:r>
      <w:r w:rsidR="00A204D5">
        <w:t xml:space="preserve"> and health services, r</w:t>
      </w:r>
      <w:r w:rsidR="00A204D5" w:rsidRPr="00090279">
        <w:t>ural hospitals</w:t>
      </w:r>
      <w:r w:rsidR="00A204D5">
        <w:t xml:space="preserve"> and health services</w:t>
      </w:r>
      <w:r w:rsidR="00B677FB">
        <w:t xml:space="preserve"> and </w:t>
      </w:r>
      <w:r w:rsidR="00CF3EA3">
        <w:t>Community Health Services</w:t>
      </w:r>
      <w:r w:rsidR="00A204D5" w:rsidRPr="00A97402">
        <w:rPr>
          <w:vertAlign w:val="superscript"/>
        </w:rPr>
        <w:footnoteReference w:id="2"/>
      </w:r>
      <w:r w:rsidR="00A204D5" w:rsidRPr="00A97402">
        <w:rPr>
          <w:vertAlign w:val="superscript"/>
        </w:rPr>
        <w:t>.</w:t>
      </w:r>
    </w:p>
    <w:p w14:paraId="57865229" w14:textId="77777777" w:rsidR="0058501B" w:rsidRDefault="0058501B" w:rsidP="00A8686A">
      <w:pPr>
        <w:pStyle w:val="Heading2"/>
        <w:numPr>
          <w:ilvl w:val="1"/>
          <w:numId w:val="8"/>
        </w:numPr>
      </w:pPr>
      <w:bookmarkStart w:id="8" w:name="_Toc86410772"/>
      <w:bookmarkEnd w:id="7"/>
      <w:r>
        <w:t>Commencement and review</w:t>
      </w:r>
      <w:bookmarkEnd w:id="8"/>
    </w:p>
    <w:p w14:paraId="570ADB8A" w14:textId="58A205BB" w:rsidR="0058501B" w:rsidRDefault="0058501B" w:rsidP="0058501B">
      <w:pPr>
        <w:pStyle w:val="Body"/>
      </w:pPr>
      <w:r>
        <w:t>The policy is effective as of 1 November 2021</w:t>
      </w:r>
      <w:r w:rsidR="00A97402">
        <w:t xml:space="preserve"> and</w:t>
      </w:r>
      <w:r>
        <w:t xml:space="preserve"> remains in place until notification of its replacement or repeal.</w:t>
      </w:r>
      <w:r w:rsidR="002B0253">
        <w:br/>
      </w:r>
    </w:p>
    <w:p w14:paraId="06ADCAB1" w14:textId="77777777" w:rsidR="00E94E8A" w:rsidRDefault="00E94E8A" w:rsidP="00A8686A">
      <w:pPr>
        <w:pStyle w:val="Heading1"/>
        <w:numPr>
          <w:ilvl w:val="0"/>
          <w:numId w:val="7"/>
        </w:numPr>
        <w:spacing w:before="0"/>
      </w:pPr>
      <w:bookmarkStart w:id="9" w:name="_Toc86410773"/>
      <w:bookmarkStart w:id="10" w:name="_Toc83639843"/>
      <w:r>
        <w:t>Responsibilities</w:t>
      </w:r>
      <w:bookmarkEnd w:id="9"/>
      <w:r>
        <w:t xml:space="preserve"> </w:t>
      </w:r>
    </w:p>
    <w:p w14:paraId="642D4619" w14:textId="7869BCCB" w:rsidR="00685512" w:rsidRDefault="00685512" w:rsidP="00A8686A">
      <w:pPr>
        <w:pStyle w:val="Heading2"/>
        <w:numPr>
          <w:ilvl w:val="1"/>
          <w:numId w:val="20"/>
        </w:numPr>
        <w:rPr>
          <w:rFonts w:eastAsia="Arial"/>
        </w:rPr>
      </w:pPr>
      <w:bookmarkStart w:id="11" w:name="_Toc86410774"/>
      <w:r w:rsidRPr="00685512">
        <w:rPr>
          <w:rFonts w:eastAsia="Arial"/>
        </w:rPr>
        <w:t>Department of Health</w:t>
      </w:r>
      <w:bookmarkEnd w:id="10"/>
      <w:bookmarkEnd w:id="11"/>
      <w:r w:rsidRPr="00685512">
        <w:rPr>
          <w:rFonts w:eastAsia="Arial"/>
        </w:rPr>
        <w:t xml:space="preserve"> </w:t>
      </w:r>
    </w:p>
    <w:p w14:paraId="37E72B6F" w14:textId="77777777" w:rsidR="0090640B" w:rsidRDefault="0090640B" w:rsidP="0090640B">
      <w:pPr>
        <w:pStyle w:val="Heading3"/>
        <w:numPr>
          <w:ilvl w:val="2"/>
          <w:numId w:val="20"/>
        </w:numPr>
        <w:rPr>
          <w:rFonts w:eastAsia="Arial" w:cs="Arial"/>
        </w:rPr>
      </w:pPr>
      <w:r>
        <w:rPr>
          <w:rFonts w:eastAsia="Arial" w:cs="Arial"/>
        </w:rPr>
        <w:t xml:space="preserve">Emergency management </w:t>
      </w:r>
    </w:p>
    <w:p w14:paraId="3A7A0330" w14:textId="77777777" w:rsidR="0090640B" w:rsidRDefault="0090640B" w:rsidP="0090640B">
      <w:pPr>
        <w:rPr>
          <w:rFonts w:eastAsia="Arial" w:cs="Arial"/>
        </w:rPr>
      </w:pPr>
      <w:r w:rsidRPr="00F45EF3">
        <w:rPr>
          <w:rFonts w:eastAsia="Arial" w:cs="Arial"/>
        </w:rPr>
        <w:t xml:space="preserve">The </w:t>
      </w:r>
      <w:r w:rsidRPr="00F45EF3">
        <w:rPr>
          <w:rFonts w:eastAsia="Arial" w:cs="Arial"/>
          <w:i/>
          <w:iCs/>
        </w:rPr>
        <w:t>Emergency Management Act 1986</w:t>
      </w:r>
      <w:r>
        <w:rPr>
          <w:rFonts w:eastAsia="Arial" w:cs="Arial"/>
        </w:rPr>
        <w:t>,</w:t>
      </w:r>
      <w:r w:rsidRPr="00F45EF3">
        <w:rPr>
          <w:rFonts w:eastAsia="Arial" w:cs="Arial"/>
        </w:rPr>
        <w:t xml:space="preserve"> </w:t>
      </w:r>
      <w:r w:rsidRPr="00411F23">
        <w:rPr>
          <w:rFonts w:eastAsia="Arial" w:cs="Arial"/>
          <w:i/>
          <w:iCs/>
        </w:rPr>
        <w:t>Emergency Management Act 2013</w:t>
      </w:r>
      <w:r w:rsidRPr="00F45EF3">
        <w:rPr>
          <w:rFonts w:eastAsia="Arial" w:cs="Arial"/>
        </w:rPr>
        <w:t xml:space="preserve"> </w:t>
      </w:r>
      <w:r>
        <w:rPr>
          <w:rFonts w:eastAsia="Arial" w:cs="Arial"/>
        </w:rPr>
        <w:t xml:space="preserve">and </w:t>
      </w:r>
      <w:r w:rsidRPr="008310E6">
        <w:rPr>
          <w:rFonts w:eastAsia="Arial" w:cs="Arial"/>
          <w:i/>
          <w:iCs/>
        </w:rPr>
        <w:t>Public Health and Wellbeing Act 2008</w:t>
      </w:r>
      <w:r>
        <w:rPr>
          <w:rFonts w:eastAsia="Arial" w:cs="Arial"/>
        </w:rPr>
        <w:t xml:space="preserve"> </w:t>
      </w:r>
      <w:r w:rsidRPr="00F45EF3">
        <w:rPr>
          <w:rFonts w:eastAsia="Arial" w:cs="Arial"/>
        </w:rPr>
        <w:t>form the Victorian Government’s empowering legislation for the management of emergencies in Victoria</w:t>
      </w:r>
      <w:r>
        <w:rPr>
          <w:rFonts w:eastAsia="Arial" w:cs="Arial"/>
        </w:rPr>
        <w:t>.</w:t>
      </w:r>
    </w:p>
    <w:p w14:paraId="75D91550" w14:textId="77777777" w:rsidR="0090640B" w:rsidRDefault="0090640B" w:rsidP="0090640B">
      <w:pPr>
        <w:pStyle w:val="DHHSbody"/>
        <w:rPr>
          <w:rStyle w:val="CommentReference"/>
          <w:sz w:val="21"/>
          <w:szCs w:val="21"/>
        </w:rPr>
      </w:pPr>
      <w:r>
        <w:rPr>
          <w:sz w:val="21"/>
          <w:szCs w:val="21"/>
        </w:rPr>
        <w:t>Victoria’s</w:t>
      </w:r>
      <w:r w:rsidRPr="00AF7B69">
        <w:rPr>
          <w:sz w:val="21"/>
          <w:szCs w:val="21"/>
        </w:rPr>
        <w:t xml:space="preserve"> </w:t>
      </w:r>
      <w:r w:rsidRPr="00AF7B69">
        <w:rPr>
          <w:i/>
          <w:sz w:val="21"/>
          <w:szCs w:val="21"/>
        </w:rPr>
        <w:t xml:space="preserve">State Emergency Management Plan </w:t>
      </w:r>
      <w:r w:rsidRPr="00C42524">
        <w:rPr>
          <w:sz w:val="21"/>
          <w:szCs w:val="21"/>
        </w:rPr>
        <w:t>(SEMP)</w:t>
      </w:r>
      <w:r w:rsidRPr="00AF7B69">
        <w:rPr>
          <w:sz w:val="21"/>
          <w:szCs w:val="21"/>
        </w:rPr>
        <w:t xml:space="preserve"> contains requirements for the emergency management sector. </w:t>
      </w:r>
    </w:p>
    <w:p w14:paraId="241385D7" w14:textId="6E6B104E" w:rsidR="0090640B" w:rsidRPr="00685512" w:rsidRDefault="0090640B" w:rsidP="0090640B">
      <w:pPr>
        <w:rPr>
          <w:rFonts w:eastAsia="Arial" w:cs="Arial"/>
        </w:rPr>
      </w:pPr>
      <w:r>
        <w:rPr>
          <w:rFonts w:eastAsia="Arial" w:cs="Arial"/>
        </w:rPr>
        <w:t>The SEMP describes the Department of Health’s (department) responsibilities as</w:t>
      </w:r>
      <w:r w:rsidRPr="00685512">
        <w:rPr>
          <w:rFonts w:eastAsia="Arial" w:cs="Arial"/>
        </w:rPr>
        <w:t xml:space="preserve">: </w:t>
      </w:r>
    </w:p>
    <w:p w14:paraId="42B62D94" w14:textId="77777777" w:rsidR="00685512" w:rsidRPr="00685512" w:rsidRDefault="00685512" w:rsidP="00A8686A">
      <w:pPr>
        <w:numPr>
          <w:ilvl w:val="0"/>
          <w:numId w:val="19"/>
        </w:numPr>
        <w:rPr>
          <w:rFonts w:eastAsia="Times"/>
        </w:rPr>
      </w:pPr>
      <w:r w:rsidRPr="00685512">
        <w:rPr>
          <w:rFonts w:eastAsia="Arial" w:cs="Arial"/>
        </w:rPr>
        <w:t xml:space="preserve">Working closely with the health sector to plan and prepare for emergencies that may impact service delivery, including mass casualties. </w:t>
      </w:r>
    </w:p>
    <w:p w14:paraId="61FF6FBD" w14:textId="45FF9D12" w:rsidR="00685512" w:rsidRPr="00685512" w:rsidRDefault="00685512" w:rsidP="00A8686A">
      <w:pPr>
        <w:numPr>
          <w:ilvl w:val="0"/>
          <w:numId w:val="19"/>
        </w:numPr>
        <w:rPr>
          <w:rFonts w:eastAsia="Times"/>
        </w:rPr>
      </w:pPr>
      <w:r w:rsidRPr="00685512">
        <w:rPr>
          <w:rFonts w:eastAsia="Arial" w:cs="Arial"/>
        </w:rPr>
        <w:t xml:space="preserve">Leading the response to major public health emergencies and supporting the response to other major emergencies that are impacting people’s health or the health system. </w:t>
      </w:r>
    </w:p>
    <w:p w14:paraId="1F6E91DC" w14:textId="77777777" w:rsidR="00685512" w:rsidRPr="00685512" w:rsidRDefault="00685512" w:rsidP="00A8686A">
      <w:pPr>
        <w:numPr>
          <w:ilvl w:val="0"/>
          <w:numId w:val="19"/>
        </w:numPr>
        <w:rPr>
          <w:rFonts w:eastAsia="Times"/>
        </w:rPr>
      </w:pPr>
      <w:r w:rsidRPr="00685512">
        <w:rPr>
          <w:rFonts w:eastAsia="Arial" w:cs="Arial"/>
        </w:rPr>
        <w:t xml:space="preserve">Working across the health sector during major emergencies; coordinating state and regional health system response; and maintaining community access to primary and acute health services. </w:t>
      </w:r>
    </w:p>
    <w:p w14:paraId="6FDE637C" w14:textId="3ADBF08D" w:rsidR="00685512" w:rsidRPr="00685512" w:rsidRDefault="00685512" w:rsidP="00A8686A">
      <w:pPr>
        <w:numPr>
          <w:ilvl w:val="0"/>
          <w:numId w:val="19"/>
        </w:numPr>
        <w:rPr>
          <w:rFonts w:eastAsia="Times"/>
        </w:rPr>
      </w:pPr>
      <w:r w:rsidRPr="00685512">
        <w:rPr>
          <w:rFonts w:eastAsia="Arial" w:cs="Arial"/>
        </w:rPr>
        <w:t>Support</w:t>
      </w:r>
      <w:r w:rsidR="004F634D">
        <w:rPr>
          <w:rFonts w:eastAsia="Arial" w:cs="Arial"/>
        </w:rPr>
        <w:t>ing</w:t>
      </w:r>
      <w:r w:rsidRPr="00685512">
        <w:rPr>
          <w:rFonts w:eastAsia="Arial" w:cs="Arial"/>
        </w:rPr>
        <w:t xml:space="preserve"> Ambulance Victoria to provide relief health and medical assistance and first aid. </w:t>
      </w:r>
    </w:p>
    <w:p w14:paraId="419B7F96" w14:textId="77777777" w:rsidR="00685512" w:rsidRPr="00685512" w:rsidRDefault="00685512" w:rsidP="00A8686A">
      <w:pPr>
        <w:numPr>
          <w:ilvl w:val="0"/>
          <w:numId w:val="19"/>
        </w:numPr>
        <w:rPr>
          <w:rFonts w:eastAsia="Times"/>
        </w:rPr>
      </w:pPr>
      <w:r w:rsidRPr="00685512">
        <w:rPr>
          <w:rFonts w:eastAsia="Arial" w:cs="Arial"/>
        </w:rPr>
        <w:t xml:space="preserve">Coordinating the deployment of qualified Victorian health professionals and medical teams interstate or internationally. </w:t>
      </w:r>
    </w:p>
    <w:p w14:paraId="03D681A9" w14:textId="77777777" w:rsidR="00CA1AE3" w:rsidRPr="00CA1AE3" w:rsidRDefault="00685512" w:rsidP="00A8686A">
      <w:pPr>
        <w:numPr>
          <w:ilvl w:val="0"/>
          <w:numId w:val="19"/>
        </w:numPr>
        <w:rPr>
          <w:rFonts w:eastAsia="Times"/>
        </w:rPr>
      </w:pPr>
      <w:r w:rsidRPr="00685512">
        <w:rPr>
          <w:rFonts w:eastAsia="Arial" w:cs="Arial"/>
        </w:rPr>
        <w:t>Following emergencies, the department provides public health advice to the community, councils and other agencies on topics like safe drinking water, food safety, and disease outbreaks</w:t>
      </w:r>
      <w:r w:rsidR="00FE517D" w:rsidRPr="00FE517D">
        <w:rPr>
          <w:szCs w:val="21"/>
        </w:rPr>
        <w:t xml:space="preserve"> </w:t>
      </w:r>
    </w:p>
    <w:p w14:paraId="057A7AEF" w14:textId="774831FD" w:rsidR="00685512" w:rsidRDefault="00FE517D" w:rsidP="00CA1AE3">
      <w:pPr>
        <w:rPr>
          <w:rStyle w:val="CommentReference"/>
          <w:sz w:val="21"/>
          <w:szCs w:val="21"/>
        </w:rPr>
      </w:pPr>
      <w:r w:rsidRPr="00CA1AE3">
        <w:rPr>
          <w:szCs w:val="21"/>
        </w:rPr>
        <w:t>More information about the SEMP can be found</w:t>
      </w:r>
      <w:r w:rsidR="00FE5DE2">
        <w:rPr>
          <w:szCs w:val="21"/>
        </w:rPr>
        <w:t xml:space="preserve"> </w:t>
      </w:r>
      <w:r w:rsidR="008804A2">
        <w:rPr>
          <w:szCs w:val="21"/>
        </w:rPr>
        <w:t>at</w:t>
      </w:r>
      <w:r w:rsidR="00FE5DE2">
        <w:rPr>
          <w:szCs w:val="21"/>
        </w:rPr>
        <w:t>:</w:t>
      </w:r>
      <w:r w:rsidRPr="00CA1AE3">
        <w:rPr>
          <w:szCs w:val="21"/>
        </w:rPr>
        <w:t xml:space="preserve"> </w:t>
      </w:r>
      <w:hyperlink r:id="rId19" w:history="1">
        <w:r w:rsidR="0090640B" w:rsidRPr="00455312">
          <w:rPr>
            <w:rStyle w:val="Hyperlink"/>
            <w:szCs w:val="21"/>
          </w:rPr>
          <w:t>https://www.emv.vic.gov.au/responsibilities/semp</w:t>
        </w:r>
      </w:hyperlink>
      <w:r w:rsidRPr="00CA1AE3">
        <w:rPr>
          <w:szCs w:val="21"/>
        </w:rPr>
        <w:t xml:space="preserve"> </w:t>
      </w:r>
      <w:r w:rsidRPr="00CA1AE3">
        <w:rPr>
          <w:rStyle w:val="CommentReference"/>
          <w:sz w:val="21"/>
          <w:szCs w:val="21"/>
        </w:rPr>
        <w:t xml:space="preserve"> </w:t>
      </w:r>
    </w:p>
    <w:p w14:paraId="131590B6" w14:textId="3D5D465F" w:rsidR="0090640B" w:rsidRDefault="0090640B" w:rsidP="00CA1AE3">
      <w:pPr>
        <w:rPr>
          <w:rStyle w:val="CommentReference"/>
          <w:sz w:val="21"/>
          <w:szCs w:val="21"/>
        </w:rPr>
      </w:pPr>
    </w:p>
    <w:p w14:paraId="1EB1EA2B" w14:textId="77777777" w:rsidR="0090640B" w:rsidRPr="0090640B" w:rsidRDefault="0090640B" w:rsidP="0090640B">
      <w:pPr>
        <w:keepNext/>
        <w:keepLines/>
        <w:numPr>
          <w:ilvl w:val="2"/>
          <w:numId w:val="20"/>
        </w:numPr>
        <w:spacing w:before="360" w:line="320" w:lineRule="atLeast"/>
        <w:outlineLvl w:val="2"/>
        <w:rPr>
          <w:rFonts w:eastAsia="Arial" w:cs="Arial"/>
          <w:bCs/>
          <w:color w:val="53565A"/>
          <w:sz w:val="30"/>
          <w:szCs w:val="26"/>
        </w:rPr>
      </w:pPr>
      <w:r w:rsidRPr="0090640B">
        <w:rPr>
          <w:rFonts w:eastAsia="Arial" w:cs="Arial"/>
          <w:bCs/>
          <w:color w:val="53565A"/>
          <w:sz w:val="30"/>
          <w:szCs w:val="26"/>
        </w:rPr>
        <w:lastRenderedPageBreak/>
        <w:t xml:space="preserve">System manager </w:t>
      </w:r>
    </w:p>
    <w:p w14:paraId="2A7145D2" w14:textId="77777777" w:rsidR="0090640B" w:rsidRPr="0090640B" w:rsidRDefault="0090640B" w:rsidP="0090640B">
      <w:pPr>
        <w:spacing w:line="270" w:lineRule="atLeast"/>
        <w:rPr>
          <w:rFonts w:eastAsia="Times"/>
          <w:szCs w:val="21"/>
        </w:rPr>
      </w:pPr>
      <w:r w:rsidRPr="0090640B">
        <w:rPr>
          <w:rFonts w:eastAsia="Times"/>
          <w:szCs w:val="21"/>
        </w:rPr>
        <w:t>The department is the system manager of the Victorian health care system. It advises government on health strategy, policy, planning, funding allocation and performance oversight of health services.</w:t>
      </w:r>
    </w:p>
    <w:p w14:paraId="569046BB" w14:textId="77777777" w:rsidR="0090640B" w:rsidRPr="0090640B" w:rsidRDefault="0090640B" w:rsidP="0090640B">
      <w:pPr>
        <w:spacing w:line="270" w:lineRule="atLeast"/>
        <w:rPr>
          <w:rFonts w:eastAsia="Times"/>
          <w:szCs w:val="21"/>
        </w:rPr>
      </w:pPr>
      <w:r w:rsidRPr="0090640B">
        <w:rPr>
          <w:rFonts w:eastAsia="Times"/>
          <w:szCs w:val="21"/>
        </w:rPr>
        <w:t xml:space="preserve">The department carries out its oversight role of health services in accordance with the </w:t>
      </w:r>
      <w:r w:rsidRPr="0090640B">
        <w:rPr>
          <w:rFonts w:eastAsia="Times"/>
          <w:i/>
          <w:szCs w:val="21"/>
        </w:rPr>
        <w:t>Victorian health services Performance Monitoring Framework</w:t>
      </w:r>
      <w:r w:rsidRPr="0090640B">
        <w:rPr>
          <w:rFonts w:eastAsia="Times"/>
          <w:szCs w:val="21"/>
        </w:rPr>
        <w:t xml:space="preserve">. The framework promotes transparency and shared accountability for performance. It outlines how the department, as the system manager, takes a risk-based approach to overseeing health service performance. The framework is designed to assess the level of performance risk posed to each health service in relation to its delivery of safe, high quality, accessible and sustainable health care for Victorian patients and communities. </w:t>
      </w:r>
    </w:p>
    <w:p w14:paraId="77F64BAC" w14:textId="77777777" w:rsidR="0090640B" w:rsidRPr="0090640B" w:rsidRDefault="0090640B" w:rsidP="0090640B">
      <w:pPr>
        <w:spacing w:line="270" w:lineRule="atLeast"/>
        <w:rPr>
          <w:rFonts w:eastAsia="Times"/>
          <w:szCs w:val="21"/>
        </w:rPr>
      </w:pPr>
      <w:r w:rsidRPr="0090640B">
        <w:rPr>
          <w:rFonts w:eastAsia="Times"/>
          <w:szCs w:val="21"/>
        </w:rPr>
        <w:t>The framework allows the department to assess the level of performance risk, and determine the level of monitoring, support and intervention required to ensure that action is taken to address performance concerns and support ongoing improvement. More advanced support is provided to those services with greater risks to the safety, accessibility or sustainability of their service.</w:t>
      </w:r>
    </w:p>
    <w:p w14:paraId="3EC1FA39" w14:textId="2B806153" w:rsidR="0090640B" w:rsidRPr="0090640B" w:rsidRDefault="0090640B" w:rsidP="0090640B">
      <w:pPr>
        <w:spacing w:line="270" w:lineRule="atLeast"/>
        <w:rPr>
          <w:rFonts w:eastAsia="Times"/>
          <w:szCs w:val="21"/>
        </w:rPr>
      </w:pPr>
      <w:r w:rsidRPr="0090640B">
        <w:rPr>
          <w:rFonts w:eastAsia="Times"/>
          <w:szCs w:val="21"/>
        </w:rPr>
        <w:t xml:space="preserve">More information about the framework is available </w:t>
      </w:r>
      <w:r w:rsidRPr="00E07932">
        <w:rPr>
          <w:rFonts w:eastAsia="Times"/>
          <w:szCs w:val="21"/>
        </w:rPr>
        <w:t>at</w:t>
      </w:r>
      <w:r w:rsidRPr="0090640B">
        <w:rPr>
          <w:rFonts w:eastAsia="Times"/>
          <w:szCs w:val="21"/>
        </w:rPr>
        <w:t xml:space="preserve"> </w:t>
      </w:r>
      <w:hyperlink r:id="rId20" w:history="1">
        <w:r w:rsidRPr="0090640B">
          <w:rPr>
            <w:rFonts w:eastAsia="Times"/>
            <w:color w:val="004C97"/>
            <w:szCs w:val="21"/>
            <w:u w:val="dotted"/>
          </w:rPr>
          <w:t>https://www2.health.vic.gov.au/hospitals-and-health-services/funding-performance-accountability/performance</w:t>
        </w:r>
      </w:hyperlink>
      <w:r w:rsidRPr="0090640B">
        <w:rPr>
          <w:rFonts w:eastAsia="Times"/>
          <w:szCs w:val="21"/>
        </w:rPr>
        <w:t xml:space="preserve">  </w:t>
      </w:r>
    </w:p>
    <w:p w14:paraId="74B13310" w14:textId="7AB0E5D7" w:rsidR="00DB324D" w:rsidRPr="005E70A1" w:rsidRDefault="002842A9" w:rsidP="00A8686A">
      <w:pPr>
        <w:pStyle w:val="Heading2"/>
        <w:numPr>
          <w:ilvl w:val="1"/>
          <w:numId w:val="20"/>
        </w:numPr>
        <w:rPr>
          <w:rFonts w:eastAsia="Arial"/>
        </w:rPr>
      </w:pPr>
      <w:bookmarkStart w:id="12" w:name="_Toc86410775"/>
      <w:r>
        <w:rPr>
          <w:rFonts w:eastAsia="Arial"/>
        </w:rPr>
        <w:t xml:space="preserve">Health </w:t>
      </w:r>
      <w:r w:rsidR="00DC0F57">
        <w:rPr>
          <w:rFonts w:eastAsia="Arial"/>
        </w:rPr>
        <w:t>s</w:t>
      </w:r>
      <w:r>
        <w:rPr>
          <w:rFonts w:eastAsia="Arial"/>
        </w:rPr>
        <w:t>ervices</w:t>
      </w:r>
      <w:bookmarkEnd w:id="12"/>
      <w:r w:rsidR="002227AC" w:rsidRPr="005E70A1">
        <w:rPr>
          <w:rFonts w:eastAsia="Arial"/>
        </w:rPr>
        <w:t xml:space="preserve"> </w:t>
      </w:r>
    </w:p>
    <w:p w14:paraId="4463F2C6" w14:textId="77777777" w:rsidR="00E07932" w:rsidRPr="00E07932" w:rsidRDefault="00E07932" w:rsidP="00E07932">
      <w:pPr>
        <w:pStyle w:val="DHHSbody"/>
        <w:rPr>
          <w:iCs/>
          <w:sz w:val="21"/>
          <w:szCs w:val="21"/>
        </w:rPr>
      </w:pPr>
      <w:r w:rsidRPr="00E07932">
        <w:rPr>
          <w:iCs/>
          <w:sz w:val="21"/>
          <w:szCs w:val="21"/>
        </w:rPr>
        <w:t xml:space="preserve">Health services are responsible for relevant contractual, legal, and regulatory obligations. </w:t>
      </w:r>
    </w:p>
    <w:p w14:paraId="49655F6F" w14:textId="77777777" w:rsidR="00E07932" w:rsidRPr="00E07932" w:rsidRDefault="00E07932" w:rsidP="00E07932">
      <w:pPr>
        <w:pStyle w:val="DHHSbody"/>
        <w:rPr>
          <w:sz w:val="21"/>
          <w:szCs w:val="21"/>
        </w:rPr>
      </w:pPr>
      <w:r w:rsidRPr="00E07932">
        <w:rPr>
          <w:sz w:val="21"/>
          <w:szCs w:val="21"/>
        </w:rPr>
        <w:t xml:space="preserve">The </w:t>
      </w:r>
      <w:r w:rsidRPr="00E07932">
        <w:rPr>
          <w:i/>
          <w:iCs/>
          <w:sz w:val="21"/>
          <w:szCs w:val="21"/>
        </w:rPr>
        <w:t>Health Services Act 1988</w:t>
      </w:r>
      <w:r w:rsidRPr="00E07932">
        <w:rPr>
          <w:sz w:val="21"/>
          <w:szCs w:val="21"/>
        </w:rPr>
        <w:t xml:space="preserve">, </w:t>
      </w:r>
      <w:r w:rsidRPr="00E07932">
        <w:rPr>
          <w:i/>
          <w:iCs/>
          <w:sz w:val="21"/>
          <w:szCs w:val="21"/>
        </w:rPr>
        <w:t>Public Administration Act 2004</w:t>
      </w:r>
      <w:r w:rsidRPr="00E07932">
        <w:rPr>
          <w:sz w:val="21"/>
          <w:szCs w:val="21"/>
        </w:rPr>
        <w:t xml:space="preserve"> and the </w:t>
      </w:r>
      <w:r w:rsidRPr="00E07932">
        <w:rPr>
          <w:i/>
          <w:iCs/>
          <w:sz w:val="21"/>
          <w:szCs w:val="21"/>
        </w:rPr>
        <w:t>Financial Management Act 1994</w:t>
      </w:r>
      <w:r w:rsidRPr="00E07932">
        <w:rPr>
          <w:sz w:val="21"/>
          <w:szCs w:val="21"/>
        </w:rPr>
        <w:t xml:space="preserve"> require public health services to have effective and accountable risk management systems and strategies in place. Health service management and boards are responsible for their organisation’s governance, risk management and control processes. </w:t>
      </w:r>
    </w:p>
    <w:p w14:paraId="510B066E" w14:textId="77777777" w:rsidR="00E07932" w:rsidRPr="00E07932" w:rsidRDefault="00E07932" w:rsidP="00E07932">
      <w:pPr>
        <w:pStyle w:val="DHHSbody"/>
        <w:rPr>
          <w:sz w:val="21"/>
          <w:szCs w:val="21"/>
        </w:rPr>
      </w:pPr>
      <w:r w:rsidRPr="00E07932">
        <w:rPr>
          <w:sz w:val="21"/>
          <w:szCs w:val="21"/>
        </w:rPr>
        <w:t>Robust emergency and service continuity planning supports health services to mitigate operational risks relating to the delivery of core business that could include clinical care, workforce, information systems and service model.</w:t>
      </w:r>
    </w:p>
    <w:p w14:paraId="2F029363" w14:textId="77777777" w:rsidR="00E07932" w:rsidRPr="00E07932" w:rsidRDefault="00E07932" w:rsidP="00E07932">
      <w:pPr>
        <w:pStyle w:val="Body"/>
        <w:rPr>
          <w:iCs/>
          <w:strike/>
          <w:szCs w:val="21"/>
        </w:rPr>
      </w:pPr>
      <w:r w:rsidRPr="00E07932">
        <w:rPr>
          <w:szCs w:val="21"/>
        </w:rPr>
        <w:t xml:space="preserve">The </w:t>
      </w:r>
      <w:r w:rsidRPr="00E07932">
        <w:rPr>
          <w:i/>
          <w:szCs w:val="21"/>
        </w:rPr>
        <w:t xml:space="preserve">Health services emergency management policy </w:t>
      </w:r>
      <w:r w:rsidRPr="00E07932">
        <w:rPr>
          <w:iCs/>
          <w:szCs w:val="21"/>
        </w:rPr>
        <w:t>is</w:t>
      </w:r>
      <w:r w:rsidRPr="00E07932">
        <w:rPr>
          <w:i/>
          <w:szCs w:val="21"/>
        </w:rPr>
        <w:t xml:space="preserve"> </w:t>
      </w:r>
      <w:r w:rsidRPr="00E07932">
        <w:rPr>
          <w:iCs/>
          <w:szCs w:val="21"/>
        </w:rPr>
        <w:t xml:space="preserve">part of a suite of documents to support health services to meet their obligations in preparing and responding to emergency events. </w:t>
      </w:r>
    </w:p>
    <w:p w14:paraId="41CDF5B6" w14:textId="2DF49397" w:rsidR="007778DA" w:rsidRPr="007778DA" w:rsidRDefault="007778DA" w:rsidP="00F730D0">
      <w:pPr>
        <w:pStyle w:val="Heading3"/>
        <w:numPr>
          <w:ilvl w:val="2"/>
          <w:numId w:val="20"/>
        </w:numPr>
      </w:pPr>
      <w:r w:rsidRPr="007778DA">
        <w:t xml:space="preserve">Health Service Partnership policy and guidelines </w:t>
      </w:r>
    </w:p>
    <w:p w14:paraId="15583172" w14:textId="4C1ED4CA" w:rsidR="007778DA" w:rsidRDefault="007778DA" w:rsidP="007778DA">
      <w:pPr>
        <w:pStyle w:val="DHHSbody"/>
        <w:rPr>
          <w:rStyle w:val="CommentReference"/>
          <w:sz w:val="21"/>
          <w:szCs w:val="21"/>
        </w:rPr>
      </w:pPr>
      <w:r w:rsidRPr="006915FE">
        <w:rPr>
          <w:rStyle w:val="CommentReference"/>
          <w:sz w:val="21"/>
          <w:szCs w:val="21"/>
        </w:rPr>
        <w:t xml:space="preserve">Health Service Partnerships were established </w:t>
      </w:r>
      <w:r>
        <w:rPr>
          <w:rStyle w:val="CommentReference"/>
          <w:sz w:val="21"/>
          <w:szCs w:val="21"/>
        </w:rPr>
        <w:t>o</w:t>
      </w:r>
      <w:r w:rsidRPr="006915FE">
        <w:rPr>
          <w:rStyle w:val="CommentReference"/>
          <w:sz w:val="21"/>
          <w:szCs w:val="21"/>
        </w:rPr>
        <w:t>n 1 July 2021, as an enduring element of the Victorian health system.</w:t>
      </w:r>
      <w:r>
        <w:rPr>
          <w:rStyle w:val="CommentReference"/>
          <w:sz w:val="21"/>
          <w:szCs w:val="21"/>
        </w:rPr>
        <w:t xml:space="preserve"> </w:t>
      </w:r>
      <w:r w:rsidRPr="006915FE">
        <w:rPr>
          <w:rStyle w:val="CommentReference"/>
          <w:sz w:val="21"/>
          <w:szCs w:val="21"/>
        </w:rPr>
        <w:t>Three Health Service Partnerships cover metropolitan Melbourne with five across rural and regional Victoria.</w:t>
      </w:r>
      <w:r>
        <w:rPr>
          <w:rStyle w:val="CommentReference"/>
          <w:sz w:val="21"/>
          <w:szCs w:val="21"/>
        </w:rPr>
        <w:t xml:space="preserve"> Two important p</w:t>
      </w:r>
      <w:r w:rsidRPr="00F01E12">
        <w:rPr>
          <w:rStyle w:val="CommentReference"/>
          <w:sz w:val="21"/>
          <w:szCs w:val="21"/>
        </w:rPr>
        <w:t xml:space="preserve">rinciples </w:t>
      </w:r>
      <w:r w:rsidR="007700B0">
        <w:rPr>
          <w:rStyle w:val="CommentReference"/>
          <w:sz w:val="21"/>
          <w:szCs w:val="21"/>
        </w:rPr>
        <w:t>held by</w:t>
      </w:r>
      <w:r w:rsidRPr="00F01E12">
        <w:rPr>
          <w:rStyle w:val="CommentReference"/>
          <w:sz w:val="21"/>
          <w:szCs w:val="21"/>
        </w:rPr>
        <w:t xml:space="preserve"> Health Service Partnerships</w:t>
      </w:r>
      <w:r w:rsidRPr="000F55B5">
        <w:rPr>
          <w:rStyle w:val="CommentReference"/>
          <w:sz w:val="21"/>
          <w:szCs w:val="21"/>
        </w:rPr>
        <w:t xml:space="preserve"> </w:t>
      </w:r>
      <w:r>
        <w:rPr>
          <w:rStyle w:val="CommentReference"/>
          <w:sz w:val="21"/>
          <w:szCs w:val="21"/>
        </w:rPr>
        <w:t>that relate specifically to emergency management are:</w:t>
      </w:r>
    </w:p>
    <w:p w14:paraId="736D8C39" w14:textId="77777777" w:rsidR="007778DA" w:rsidRPr="00D14120" w:rsidRDefault="007778DA" w:rsidP="00A8686A">
      <w:pPr>
        <w:pStyle w:val="DHHSbody"/>
        <w:numPr>
          <w:ilvl w:val="0"/>
          <w:numId w:val="12"/>
        </w:numPr>
        <w:rPr>
          <w:rStyle w:val="CommentReference"/>
          <w:sz w:val="21"/>
          <w:szCs w:val="21"/>
        </w:rPr>
      </w:pPr>
      <w:r w:rsidRPr="00D14120">
        <w:rPr>
          <w:rStyle w:val="CommentReference"/>
          <w:b/>
          <w:bCs/>
          <w:sz w:val="21"/>
          <w:szCs w:val="21"/>
        </w:rPr>
        <w:t>Support and solidarity</w:t>
      </w:r>
      <w:r w:rsidRPr="00D14120">
        <w:rPr>
          <w:rStyle w:val="CommentReference"/>
          <w:sz w:val="21"/>
          <w:szCs w:val="21"/>
        </w:rPr>
        <w:t xml:space="preserve"> -</w:t>
      </w:r>
      <w:bookmarkStart w:id="13" w:name="_Hlk85027518"/>
      <w:r w:rsidRPr="00D14120">
        <w:rPr>
          <w:rStyle w:val="CommentReference"/>
          <w:sz w:val="21"/>
          <w:szCs w:val="21"/>
        </w:rPr>
        <w:t xml:space="preserve"> Health Service Partnership </w:t>
      </w:r>
      <w:bookmarkEnd w:id="13"/>
      <w:r w:rsidRPr="00D14120">
        <w:rPr>
          <w:rStyle w:val="CommentReference"/>
          <w:sz w:val="21"/>
          <w:szCs w:val="21"/>
        </w:rPr>
        <w:t xml:space="preserve">members look for strategic opportunities to jointly work together to achieve consistency and reduce duplication of effort and resources on an ongoing basis, and to come to each other’s aid in an emergency – offering, asking for, providing and receiving support in turn. </w:t>
      </w:r>
    </w:p>
    <w:p w14:paraId="4CA94E2F" w14:textId="34DDA196" w:rsidR="007778DA" w:rsidRDefault="007778DA" w:rsidP="00A8686A">
      <w:pPr>
        <w:pStyle w:val="DHHSbody"/>
        <w:numPr>
          <w:ilvl w:val="0"/>
          <w:numId w:val="12"/>
        </w:numPr>
        <w:rPr>
          <w:rStyle w:val="CommentReference"/>
          <w:sz w:val="21"/>
          <w:szCs w:val="21"/>
        </w:rPr>
      </w:pPr>
      <w:r w:rsidRPr="00D14120">
        <w:rPr>
          <w:rStyle w:val="CommentReference"/>
          <w:b/>
          <w:bCs/>
          <w:sz w:val="21"/>
          <w:szCs w:val="21"/>
        </w:rPr>
        <w:t>Rapid response</w:t>
      </w:r>
      <w:r w:rsidRPr="00D14120">
        <w:rPr>
          <w:rStyle w:val="CommentReference"/>
          <w:sz w:val="21"/>
          <w:szCs w:val="21"/>
        </w:rPr>
        <w:t xml:space="preserve"> - Health Service Partnerships respond rapidly to emerging issues by enabling efficient, consistent and representative engagement and decision-making in an emergency and on an ongoing basis.</w:t>
      </w:r>
    </w:p>
    <w:p w14:paraId="0E441A30" w14:textId="5854EB03" w:rsidR="007778DA" w:rsidRPr="00C42E2F" w:rsidRDefault="00C42E2F" w:rsidP="00C42E2F">
      <w:pPr>
        <w:pStyle w:val="DHHSbody"/>
        <w:rPr>
          <w:sz w:val="21"/>
          <w:szCs w:val="21"/>
        </w:rPr>
      </w:pPr>
      <w:r>
        <w:rPr>
          <w:rStyle w:val="CommentReference"/>
          <w:sz w:val="21"/>
          <w:szCs w:val="21"/>
        </w:rPr>
        <w:t>M</w:t>
      </w:r>
      <w:r w:rsidR="00613898" w:rsidRPr="00C42E2F">
        <w:rPr>
          <w:rStyle w:val="CommentReference"/>
          <w:sz w:val="21"/>
          <w:szCs w:val="21"/>
        </w:rPr>
        <w:t>ore information about Health Service Partnerships</w:t>
      </w:r>
      <w:r w:rsidRPr="00C42E2F">
        <w:rPr>
          <w:rStyle w:val="CommentReference"/>
          <w:sz w:val="21"/>
          <w:szCs w:val="21"/>
        </w:rPr>
        <w:t xml:space="preserve"> </w:t>
      </w:r>
      <w:r>
        <w:rPr>
          <w:rStyle w:val="CommentReference"/>
          <w:sz w:val="21"/>
          <w:szCs w:val="21"/>
        </w:rPr>
        <w:t>ca</w:t>
      </w:r>
      <w:r w:rsidR="00F85861">
        <w:rPr>
          <w:rStyle w:val="CommentReference"/>
          <w:sz w:val="21"/>
          <w:szCs w:val="21"/>
        </w:rPr>
        <w:t xml:space="preserve">n </w:t>
      </w:r>
      <w:r>
        <w:rPr>
          <w:rStyle w:val="CommentReference"/>
          <w:sz w:val="21"/>
          <w:szCs w:val="21"/>
        </w:rPr>
        <w:t>b</w:t>
      </w:r>
      <w:r w:rsidR="00F85861">
        <w:rPr>
          <w:rStyle w:val="CommentReference"/>
          <w:sz w:val="21"/>
          <w:szCs w:val="21"/>
        </w:rPr>
        <w:t>e</w:t>
      </w:r>
      <w:r>
        <w:rPr>
          <w:rStyle w:val="CommentReference"/>
          <w:sz w:val="21"/>
          <w:szCs w:val="21"/>
        </w:rPr>
        <w:t xml:space="preserve"> found at</w:t>
      </w:r>
      <w:r w:rsidR="006A10B6">
        <w:rPr>
          <w:rStyle w:val="CommentReference"/>
          <w:sz w:val="21"/>
          <w:szCs w:val="21"/>
        </w:rPr>
        <w:t>:</w:t>
      </w:r>
      <w:r>
        <w:rPr>
          <w:rStyle w:val="CommentReference"/>
          <w:sz w:val="21"/>
          <w:szCs w:val="21"/>
        </w:rPr>
        <w:t xml:space="preserve"> </w:t>
      </w:r>
      <w:hyperlink r:id="rId21" w:history="1">
        <w:r w:rsidR="008804A2" w:rsidRPr="008804A2">
          <w:rPr>
            <w:rStyle w:val="Hyperlink"/>
            <w:sz w:val="21"/>
            <w:szCs w:val="21"/>
          </w:rPr>
          <w:t>https://www.2.health.vic.gov.au/hospitals-and-health-services/health-service-partnerships</w:t>
        </w:r>
      </w:hyperlink>
    </w:p>
    <w:p w14:paraId="6A4712F9" w14:textId="63D286D2" w:rsidR="009F0CB2" w:rsidRDefault="009F0CB2" w:rsidP="00F730D0">
      <w:pPr>
        <w:pStyle w:val="Heading3"/>
        <w:numPr>
          <w:ilvl w:val="2"/>
          <w:numId w:val="20"/>
        </w:numPr>
      </w:pPr>
      <w:r>
        <w:lastRenderedPageBreak/>
        <w:t xml:space="preserve">Australian Standard </w:t>
      </w:r>
      <w:bookmarkStart w:id="14" w:name="_Hlk85193474"/>
      <w:r>
        <w:t>(AS) 4083-2010: Planning for Emergencies</w:t>
      </w:r>
      <w:bookmarkEnd w:id="14"/>
      <w:r>
        <w:t xml:space="preserve"> — Health care facilities</w:t>
      </w:r>
    </w:p>
    <w:p w14:paraId="43AFD112" w14:textId="310B1EBE" w:rsidR="009F0CB2" w:rsidRDefault="009F0CB2" w:rsidP="009F0CB2">
      <w:pPr>
        <w:pStyle w:val="Body"/>
        <w:rPr>
          <w:i/>
          <w:iCs/>
        </w:rPr>
      </w:pPr>
      <w:r>
        <w:rPr>
          <w:i/>
          <w:iCs/>
        </w:rPr>
        <w:t>AS 4083</w:t>
      </w:r>
      <w:r w:rsidRPr="00D22CAE">
        <w:rPr>
          <w:i/>
          <w:iCs/>
        </w:rPr>
        <w:t xml:space="preserve">-2010: Planning for Emergencies </w:t>
      </w:r>
      <w:r>
        <w:rPr>
          <w:i/>
          <w:iCs/>
        </w:rPr>
        <w:t>– Health care facilities</w:t>
      </w:r>
      <w:r>
        <w:t xml:space="preserve"> specifies the procedures for </w:t>
      </w:r>
      <w:r w:rsidRPr="0033487D">
        <w:t xml:space="preserve"> health care facilities in the planning for, and responses to, internal and external emergencies. It also specifies response colour codes for use in a specific emergency.</w:t>
      </w:r>
      <w:r w:rsidRPr="00864B57">
        <w:t xml:space="preserve"> </w:t>
      </w:r>
      <w:r w:rsidRPr="007C2859">
        <w:t xml:space="preserve">It also coincides with Australia’s </w:t>
      </w:r>
      <w:r w:rsidRPr="007C2859">
        <w:rPr>
          <w:i/>
          <w:iCs/>
        </w:rPr>
        <w:t>Workplace Health and Safety Act (2011)</w:t>
      </w:r>
      <w:r>
        <w:rPr>
          <w:i/>
          <w:iCs/>
        </w:rPr>
        <w:t>.</w:t>
      </w:r>
    </w:p>
    <w:p w14:paraId="12A733B2" w14:textId="631135DE" w:rsidR="006B7F40" w:rsidRPr="006B7F40" w:rsidRDefault="006B7F40" w:rsidP="009F0CB2">
      <w:pPr>
        <w:pStyle w:val="Body"/>
      </w:pPr>
      <w:r w:rsidRPr="004700D0">
        <w:t xml:space="preserve">Code Brown </w:t>
      </w:r>
      <w:r w:rsidR="00A3711F" w:rsidRPr="004700D0">
        <w:t xml:space="preserve">is the nationally recognised code used by health services and </w:t>
      </w:r>
      <w:r w:rsidR="00A3711F">
        <w:t>facilities</w:t>
      </w:r>
      <w:r w:rsidR="00A3711F" w:rsidRPr="004700D0">
        <w:t xml:space="preserve"> to plan, prepare, respond and recover from an external emergency. </w:t>
      </w:r>
      <w:r w:rsidR="009F5E29">
        <w:t xml:space="preserve">A </w:t>
      </w:r>
      <w:r w:rsidR="00A3711F" w:rsidRPr="00A3711F">
        <w:t xml:space="preserve">guidance note to </w:t>
      </w:r>
      <w:r w:rsidR="009F5E29">
        <w:t>assist</w:t>
      </w:r>
      <w:r w:rsidR="00A3711F" w:rsidRPr="00A3711F">
        <w:t xml:space="preserve"> health services and facilities </w:t>
      </w:r>
      <w:r w:rsidR="009F5E29">
        <w:t xml:space="preserve">to </w:t>
      </w:r>
      <w:r w:rsidR="00A3711F" w:rsidRPr="00A3711F">
        <w:t>prepare Code Brown plans by providing information to clarify the purpose of Code Brown plans, and highlighting some key steps to take before, during and after an external emergency</w:t>
      </w:r>
      <w:r w:rsidR="00410A4C">
        <w:t xml:space="preserve"> is available at:</w:t>
      </w:r>
      <w:r w:rsidR="00863023" w:rsidRPr="00863023">
        <w:t xml:space="preserve"> </w:t>
      </w:r>
      <w:hyperlink r:id="rId22" w:history="1">
        <w:r w:rsidR="008804A2" w:rsidRPr="008804A2">
          <w:t xml:space="preserve"> </w:t>
        </w:r>
        <w:r w:rsidR="008804A2" w:rsidRPr="008804A2">
          <w:rPr>
            <w:rStyle w:val="Hyperlink"/>
          </w:rPr>
          <w:t>https://www.</w:t>
        </w:r>
        <w:r w:rsidR="00FE5DE2" w:rsidRPr="009A279D">
          <w:rPr>
            <w:rStyle w:val="Hyperlink"/>
          </w:rPr>
          <w:t>2.health.vic.gov.au/about/publications/policiesandguidelines/code-brown-planning-guidance-note-for-health-services-and-facilities</w:t>
        </w:r>
      </w:hyperlink>
    </w:p>
    <w:p w14:paraId="24850DE5" w14:textId="7FBE9983" w:rsidR="00172298" w:rsidRDefault="00172298" w:rsidP="00F730D0">
      <w:pPr>
        <w:pStyle w:val="Heading3"/>
        <w:numPr>
          <w:ilvl w:val="2"/>
          <w:numId w:val="20"/>
        </w:numPr>
      </w:pPr>
      <w:r>
        <w:t xml:space="preserve">Australian/New Zealand Standard </w:t>
      </w:r>
      <w:r w:rsidR="00B246C0">
        <w:t>(AS/</w:t>
      </w:r>
      <w:r w:rsidR="00A213BD">
        <w:t>NZS)</w:t>
      </w:r>
      <w:r>
        <w:t xml:space="preserve"> Electrical installations—Emergency power supplies in hospitals</w:t>
      </w:r>
    </w:p>
    <w:p w14:paraId="49777088" w14:textId="5765F554" w:rsidR="005C29DD" w:rsidRPr="005C29DD" w:rsidRDefault="003B343B" w:rsidP="005C29DD">
      <w:pPr>
        <w:pStyle w:val="Body"/>
      </w:pPr>
      <w:r w:rsidRPr="003B343B">
        <w:rPr>
          <w:i/>
          <w:iCs/>
        </w:rPr>
        <w:t>AS/NZS Electrical installations—Emergency power supplies in hospitals</w:t>
      </w:r>
      <w:r w:rsidRPr="003B343B">
        <w:t xml:space="preserve"> </w:t>
      </w:r>
      <w:r w:rsidR="00FE3CB0">
        <w:t>provides</w:t>
      </w:r>
      <w:r w:rsidR="001811F3">
        <w:t xml:space="preserve"> guidance</w:t>
      </w:r>
      <w:r w:rsidR="00A018BA">
        <w:t xml:space="preserve"> </w:t>
      </w:r>
      <w:r w:rsidR="00F7128E">
        <w:t xml:space="preserve">for asset management </w:t>
      </w:r>
      <w:r w:rsidR="00A018BA">
        <w:t>so that</w:t>
      </w:r>
      <w:r w:rsidR="001811F3">
        <w:t xml:space="preserve"> </w:t>
      </w:r>
      <w:r w:rsidR="005C29DD">
        <w:t xml:space="preserve">in the event of interruption </w:t>
      </w:r>
      <w:r w:rsidR="00FE32E6">
        <w:t xml:space="preserve">to </w:t>
      </w:r>
      <w:r w:rsidR="005C29DD">
        <w:t xml:space="preserve">normal </w:t>
      </w:r>
      <w:r w:rsidR="005829B6">
        <w:t>e</w:t>
      </w:r>
      <w:r w:rsidR="005C29DD">
        <w:t>lectrical supply, emergency lighting and power will be restored to those circuits deemed to</w:t>
      </w:r>
      <w:r w:rsidR="005829B6">
        <w:t xml:space="preserve"> </w:t>
      </w:r>
      <w:r w:rsidR="005C29DD">
        <w:t>be essential to ensure that effective and safe care of patients can be</w:t>
      </w:r>
      <w:r w:rsidR="005829B6">
        <w:t xml:space="preserve"> </w:t>
      </w:r>
      <w:r w:rsidR="005C29DD">
        <w:t>maintained.</w:t>
      </w:r>
    </w:p>
    <w:p w14:paraId="79FC330B" w14:textId="77777777" w:rsidR="00126A37" w:rsidRPr="00DF47F5" w:rsidRDefault="00126A37" w:rsidP="00F730D0">
      <w:pPr>
        <w:pStyle w:val="Heading3"/>
        <w:numPr>
          <w:ilvl w:val="2"/>
          <w:numId w:val="20"/>
        </w:numPr>
      </w:pPr>
      <w:r w:rsidRPr="0028144B">
        <w:t xml:space="preserve">National Safety and Quality Health Service (NSQHS) Standards </w:t>
      </w:r>
    </w:p>
    <w:p w14:paraId="5B3F2508" w14:textId="77777777" w:rsidR="00126A37" w:rsidRPr="000B22B3" w:rsidRDefault="00126A37" w:rsidP="00126A37">
      <w:pPr>
        <w:pStyle w:val="Body"/>
      </w:pPr>
      <w:r>
        <w:t xml:space="preserve">The </w:t>
      </w:r>
      <w:bookmarkStart w:id="15" w:name="_Hlk85112134"/>
      <w:r w:rsidRPr="007C45A9">
        <w:rPr>
          <w:i/>
          <w:iCs/>
        </w:rPr>
        <w:t>National Safety and Quality Health Service (NSQHS) Standards</w:t>
      </w:r>
      <w:r>
        <w:t xml:space="preserve"> </w:t>
      </w:r>
      <w:bookmarkEnd w:id="15"/>
      <w:r w:rsidRPr="002B1B83">
        <w:rPr>
          <w:i/>
        </w:rPr>
        <w:t>- Clinical Governance Standard - Safe environment for the delivery of care</w:t>
      </w:r>
      <w:r w:rsidRPr="008402C9">
        <w:t xml:space="preserve"> </w:t>
      </w:r>
      <w:r>
        <w:t>recommends health services d</w:t>
      </w:r>
      <w:r w:rsidRPr="00A52C38">
        <w:t>evelop a comprehensive maintenance plan that includes</w:t>
      </w:r>
      <w:r>
        <w:t xml:space="preserve"> </w:t>
      </w:r>
      <w:r w:rsidRPr="00181644">
        <w:t>records of dates when equipment is regularly tested to ensure its readiness, including information relating to generators and battery backup.</w:t>
      </w:r>
    </w:p>
    <w:p w14:paraId="5E0B1D5E" w14:textId="4915EB70" w:rsidR="00890FDA" w:rsidRPr="004C795E" w:rsidRDefault="00890FDA" w:rsidP="00F730D0">
      <w:pPr>
        <w:pStyle w:val="Heading2"/>
        <w:numPr>
          <w:ilvl w:val="1"/>
          <w:numId w:val="20"/>
        </w:numPr>
        <w:rPr>
          <w:rFonts w:eastAsia="Arial"/>
        </w:rPr>
      </w:pPr>
      <w:bookmarkStart w:id="16" w:name="_Toc86410776"/>
      <w:r w:rsidRPr="004C795E">
        <w:rPr>
          <w:rFonts w:eastAsia="Arial"/>
        </w:rPr>
        <w:t>S</w:t>
      </w:r>
      <w:r>
        <w:rPr>
          <w:rFonts w:eastAsia="Arial"/>
        </w:rPr>
        <w:t>hared responsibilit</w:t>
      </w:r>
      <w:r w:rsidR="00E17F2E">
        <w:rPr>
          <w:rFonts w:eastAsia="Arial"/>
        </w:rPr>
        <w:t>y - S</w:t>
      </w:r>
      <w:r w:rsidRPr="004C795E">
        <w:rPr>
          <w:rFonts w:eastAsia="Arial"/>
        </w:rPr>
        <w:t>tate Health Emergency Response Plan</w:t>
      </w:r>
      <w:r w:rsidR="00CA61E2">
        <w:rPr>
          <w:rFonts w:eastAsia="Arial"/>
        </w:rPr>
        <w:t xml:space="preserve"> (SHERP)</w:t>
      </w:r>
      <w:bookmarkEnd w:id="16"/>
    </w:p>
    <w:p w14:paraId="6B727C5B" w14:textId="1EF57C67" w:rsidR="00890FDA" w:rsidRDefault="00890FDA" w:rsidP="00890FDA">
      <w:pPr>
        <w:pStyle w:val="Body"/>
      </w:pPr>
      <w:r>
        <w:t xml:space="preserve">The </w:t>
      </w:r>
      <w:hyperlink r:id="rId23" w:history="1">
        <w:r w:rsidRPr="00FE32E6">
          <w:rPr>
            <w:rStyle w:val="Hyperlink"/>
            <w:i/>
            <w:iCs/>
          </w:rPr>
          <w:t>State Health Emergency Response Plan</w:t>
        </w:r>
      </w:hyperlink>
      <w:r>
        <w:t xml:space="preserve"> provides an overview of the arrangements for </w:t>
      </w:r>
      <w:r w:rsidR="00FE32E6">
        <w:t>managing</w:t>
      </w:r>
      <w:r>
        <w:t xml:space="preserve"> health emergencies in Victoria through an integrated approach between the </w:t>
      </w:r>
      <w:r w:rsidR="004D0DEB">
        <w:t>d</w:t>
      </w:r>
      <w:r>
        <w:t>epartment</w:t>
      </w:r>
      <w:r w:rsidR="004D0DEB">
        <w:t>,</w:t>
      </w:r>
      <w:r>
        <w:t xml:space="preserve"> emergency management sector, health system and the community.</w:t>
      </w:r>
    </w:p>
    <w:p w14:paraId="342AF79D" w14:textId="37754F4D" w:rsidR="007244F3" w:rsidRDefault="00156370" w:rsidP="00890FDA">
      <w:pPr>
        <w:pStyle w:val="Body"/>
      </w:pPr>
      <w:r>
        <w:t xml:space="preserve">All organisations with roles or responsibilities under </w:t>
      </w:r>
      <w:r w:rsidR="009465CE">
        <w:t>th</w:t>
      </w:r>
      <w:r w:rsidR="00B93D0A">
        <w:t>e</w:t>
      </w:r>
      <w:r w:rsidR="009465CE">
        <w:t xml:space="preserve"> plan must ensure they are adequately and appro</w:t>
      </w:r>
      <w:r w:rsidR="000F6223">
        <w:t xml:space="preserve">priately </w:t>
      </w:r>
      <w:r w:rsidR="009465CE">
        <w:t>prepared</w:t>
      </w:r>
      <w:r w:rsidR="000F6223">
        <w:t xml:space="preserve"> to respond to health emergencies and emergencies with health impacts</w:t>
      </w:r>
      <w:r w:rsidR="005148CB">
        <w:t>.</w:t>
      </w:r>
    </w:p>
    <w:p w14:paraId="2219ADC4" w14:textId="4727B71D" w:rsidR="00890FDA" w:rsidRDefault="0085001D" w:rsidP="00890FDA">
      <w:pPr>
        <w:pStyle w:val="Body"/>
      </w:pPr>
      <w:r>
        <w:t>As part of th</w:t>
      </w:r>
      <w:r w:rsidR="00B93D0A">
        <w:t>e</w:t>
      </w:r>
      <w:r>
        <w:t xml:space="preserve"> plan, </w:t>
      </w:r>
      <w:bookmarkStart w:id="17" w:name="_Hlk85799794"/>
      <w:r w:rsidR="00890FDA">
        <w:t xml:space="preserve">the department will issue a state-wide ‘first wave’ </w:t>
      </w:r>
      <w:r w:rsidR="0050568F">
        <w:t>notification</w:t>
      </w:r>
      <w:r w:rsidR="00890FDA">
        <w:t xml:space="preserve"> to the health sector for any incident that may present a substantial risk to the health and wellbeing of Victorian communities.</w:t>
      </w:r>
      <w:bookmarkEnd w:id="17"/>
      <w:r w:rsidR="00890FDA">
        <w:t xml:space="preserve"> Health services are required to have:</w:t>
      </w:r>
    </w:p>
    <w:p w14:paraId="4E2BF1AC" w14:textId="77777777" w:rsidR="00890FDA" w:rsidRDefault="00890FDA" w:rsidP="00A8686A">
      <w:pPr>
        <w:pStyle w:val="Body"/>
        <w:numPr>
          <w:ilvl w:val="0"/>
          <w:numId w:val="14"/>
        </w:numPr>
      </w:pPr>
      <w:r>
        <w:t>a single point of contact that is monitored at all times for receiving notifications</w:t>
      </w:r>
    </w:p>
    <w:p w14:paraId="2B401E6D" w14:textId="42757BBC" w:rsidR="00412A02" w:rsidRDefault="00890FDA" w:rsidP="00412A02">
      <w:pPr>
        <w:pStyle w:val="Body"/>
        <w:numPr>
          <w:ilvl w:val="0"/>
          <w:numId w:val="14"/>
        </w:numPr>
      </w:pPr>
      <w:r>
        <w:t>a plan to escalate their response if and as required.</w:t>
      </w:r>
    </w:p>
    <w:p w14:paraId="3018AF38" w14:textId="2378DAEB" w:rsidR="00412A02" w:rsidRPr="00E57FAF" w:rsidRDefault="00412A02" w:rsidP="00412A02">
      <w:pPr>
        <w:pStyle w:val="Body"/>
      </w:pPr>
      <w:r>
        <w:t xml:space="preserve">More information about the SHERP available </w:t>
      </w:r>
      <w:r w:rsidR="008804A2">
        <w:t>at</w:t>
      </w:r>
      <w:r>
        <w:t xml:space="preserve">: </w:t>
      </w:r>
      <w:hyperlink r:id="rId24" w:history="1">
        <w:r w:rsidR="0090640B" w:rsidRPr="00455312">
          <w:rPr>
            <w:rStyle w:val="Hyperlink"/>
          </w:rPr>
          <w:t>https://www.health.vic.gov.au/emergencies/state-health-emergency-response-arrangements</w:t>
        </w:r>
      </w:hyperlink>
      <w:r w:rsidR="0090640B">
        <w:t xml:space="preserve"> </w:t>
      </w:r>
    </w:p>
    <w:p w14:paraId="7B0A9F6A" w14:textId="0798D849" w:rsidR="005E75F3" w:rsidRPr="00B2213B" w:rsidRDefault="005E75F3" w:rsidP="00A8686A">
      <w:pPr>
        <w:pStyle w:val="Heading1"/>
        <w:numPr>
          <w:ilvl w:val="0"/>
          <w:numId w:val="7"/>
        </w:numPr>
      </w:pPr>
      <w:bookmarkStart w:id="18" w:name="_Toc86410777"/>
      <w:r>
        <w:lastRenderedPageBreak/>
        <w:t xml:space="preserve">Planning </w:t>
      </w:r>
      <w:r w:rsidR="00EA51DE">
        <w:t xml:space="preserve">for </w:t>
      </w:r>
      <w:r w:rsidR="007C7262">
        <w:t>e</w:t>
      </w:r>
      <w:r w:rsidR="00EA51DE">
        <w:t>mergenc</w:t>
      </w:r>
      <w:r w:rsidR="007C7262">
        <w:t>ies</w:t>
      </w:r>
      <w:bookmarkEnd w:id="18"/>
    </w:p>
    <w:p w14:paraId="1BCE1F4F" w14:textId="4F4AF868" w:rsidR="00CE6710" w:rsidRDefault="00E17F2E" w:rsidP="00A8686A">
      <w:pPr>
        <w:pStyle w:val="Heading2"/>
        <w:numPr>
          <w:ilvl w:val="1"/>
          <w:numId w:val="17"/>
        </w:numPr>
      </w:pPr>
      <w:bookmarkStart w:id="19" w:name="_Toc86410778"/>
      <w:r>
        <w:t>Guiding p</w:t>
      </w:r>
      <w:r w:rsidR="00D121A7">
        <w:t>rinciples</w:t>
      </w:r>
      <w:bookmarkEnd w:id="19"/>
    </w:p>
    <w:p w14:paraId="1B8477F6" w14:textId="5F6A3470" w:rsidR="004A4FAC" w:rsidRDefault="00E17F2E" w:rsidP="00186CC3">
      <w:pPr>
        <w:pStyle w:val="Body"/>
      </w:pPr>
      <w:r>
        <w:t xml:space="preserve">The following guiding principles should </w:t>
      </w:r>
      <w:r w:rsidR="00021127">
        <w:t xml:space="preserve">be applied when </w:t>
      </w:r>
      <w:r w:rsidR="00522549" w:rsidRPr="00522549">
        <w:t>developing or updating emergency plans</w:t>
      </w:r>
      <w:r w:rsidR="00021127">
        <w:t>:</w:t>
      </w:r>
    </w:p>
    <w:p w14:paraId="4803D3E5" w14:textId="6E7341DC" w:rsidR="00186CC3" w:rsidRDefault="00186CC3" w:rsidP="00186CC3">
      <w:pPr>
        <w:pStyle w:val="Body"/>
      </w:pPr>
      <w:r w:rsidRPr="00FA38C9">
        <w:rPr>
          <w:b/>
          <w:bCs/>
        </w:rPr>
        <w:t xml:space="preserve">Shared </w:t>
      </w:r>
      <w:r w:rsidR="006E7DAB" w:rsidRPr="00FA38C9">
        <w:rPr>
          <w:b/>
          <w:bCs/>
        </w:rPr>
        <w:t>r</w:t>
      </w:r>
      <w:r w:rsidRPr="00FA38C9">
        <w:rPr>
          <w:b/>
          <w:bCs/>
        </w:rPr>
        <w:t xml:space="preserve">esponsibility </w:t>
      </w:r>
      <w:r w:rsidR="00983C09">
        <w:t xml:space="preserve">- </w:t>
      </w:r>
      <w:r w:rsidR="00FE32E6">
        <w:t>i</w:t>
      </w:r>
      <w:r>
        <w:t>ncreasing resilience to emergencies is the collective responsibility of all levels of government, business, the non-government sector and individuals.</w:t>
      </w:r>
    </w:p>
    <w:p w14:paraId="7F277729" w14:textId="77777777" w:rsidR="0067568B" w:rsidRDefault="0067568B" w:rsidP="0067568B">
      <w:pPr>
        <w:pStyle w:val="Body"/>
      </w:pPr>
      <w:r w:rsidRPr="00FA38C9">
        <w:rPr>
          <w:b/>
          <w:bCs/>
        </w:rPr>
        <w:t>Risk management approach</w:t>
      </w:r>
      <w:r>
        <w:t xml:space="preserve"> - </w:t>
      </w:r>
      <w:r w:rsidRPr="00FF6B1A">
        <w:t xml:space="preserve">a consistent and comprehensive </w:t>
      </w:r>
      <w:r>
        <w:t>risk management</w:t>
      </w:r>
      <w:r w:rsidRPr="00FF6B1A">
        <w:t xml:space="preserve"> approach aids effective decision making, facilitates appropriate resource allocation and allows for a proactive approach towards </w:t>
      </w:r>
      <w:r>
        <w:t>emergency management.</w:t>
      </w:r>
      <w:r w:rsidRPr="00FF6B1A">
        <w:t xml:space="preserve"> </w:t>
      </w:r>
    </w:p>
    <w:p w14:paraId="54F5EA60" w14:textId="3D9607E2" w:rsidR="00C34E3E" w:rsidRDefault="00C34E3E" w:rsidP="00C34E3E">
      <w:pPr>
        <w:pStyle w:val="Body"/>
      </w:pPr>
      <w:r w:rsidRPr="00FA38C9">
        <w:rPr>
          <w:b/>
          <w:bCs/>
        </w:rPr>
        <w:t>All h</w:t>
      </w:r>
      <w:r w:rsidR="000A3100" w:rsidRPr="00FA38C9">
        <w:rPr>
          <w:b/>
          <w:bCs/>
        </w:rPr>
        <w:t>azards</w:t>
      </w:r>
      <w:r w:rsidR="0066342B" w:rsidRPr="00FA38C9">
        <w:rPr>
          <w:b/>
          <w:bCs/>
        </w:rPr>
        <w:t xml:space="preserve"> approach</w:t>
      </w:r>
      <w:r w:rsidR="0066342B" w:rsidRPr="0066342B">
        <w:t xml:space="preserve"> </w:t>
      </w:r>
      <w:r w:rsidR="00FE4A53">
        <w:t xml:space="preserve">- </w:t>
      </w:r>
      <w:r w:rsidR="0066342B" w:rsidRPr="0066342B">
        <w:t>assumes the functions and activities applicable to one hazard are often applicable to a range of hazards. The all hazards approach increases efficiency by recognising and integrating common emergency management elements across all hazard types.</w:t>
      </w:r>
    </w:p>
    <w:p w14:paraId="3F33F7BC" w14:textId="10F021AF" w:rsidR="000A3100" w:rsidRDefault="00E32BC8" w:rsidP="00C34E3E">
      <w:pPr>
        <w:pStyle w:val="Body"/>
      </w:pPr>
      <w:r w:rsidRPr="00FA38C9">
        <w:rPr>
          <w:b/>
          <w:bCs/>
        </w:rPr>
        <w:t xml:space="preserve">All </w:t>
      </w:r>
      <w:r w:rsidR="00E54E68" w:rsidRPr="00FA38C9">
        <w:rPr>
          <w:b/>
          <w:bCs/>
        </w:rPr>
        <w:t>a</w:t>
      </w:r>
      <w:r w:rsidRPr="00FA38C9">
        <w:rPr>
          <w:b/>
          <w:bCs/>
        </w:rPr>
        <w:t xml:space="preserve">gencies </w:t>
      </w:r>
      <w:r w:rsidR="00E54E68" w:rsidRPr="00FA38C9">
        <w:rPr>
          <w:b/>
          <w:bCs/>
        </w:rPr>
        <w:t>a</w:t>
      </w:r>
      <w:r w:rsidRPr="00FA38C9">
        <w:rPr>
          <w:b/>
          <w:bCs/>
        </w:rPr>
        <w:t>pproach</w:t>
      </w:r>
      <w:r>
        <w:t xml:space="preserve"> </w:t>
      </w:r>
      <w:r w:rsidR="00DF382A">
        <w:t>–</w:t>
      </w:r>
      <w:r>
        <w:t>recognises</w:t>
      </w:r>
      <w:r w:rsidR="00DF382A">
        <w:t xml:space="preserve"> coordination and cooperation between the three levels of government and across agencies and departments </w:t>
      </w:r>
      <w:r w:rsidR="00FE32E6">
        <w:t xml:space="preserve">that </w:t>
      </w:r>
      <w:r w:rsidR="00DF382A">
        <w:t xml:space="preserve">is required in managing health risks and </w:t>
      </w:r>
      <w:r w:rsidR="00FE32E6">
        <w:t>protecting</w:t>
      </w:r>
      <w:r w:rsidR="00DF382A">
        <w:t xml:space="preserve"> community wellbeing </w:t>
      </w:r>
      <w:r w:rsidR="00FE32E6">
        <w:t xml:space="preserve">during and after </w:t>
      </w:r>
      <w:r w:rsidR="00DF382A">
        <w:t>emergencies</w:t>
      </w:r>
      <w:r w:rsidR="00B96AC0">
        <w:t>.</w:t>
      </w:r>
    </w:p>
    <w:p w14:paraId="15273B66" w14:textId="6748F5BD" w:rsidR="000A3100" w:rsidRDefault="003732F2" w:rsidP="00C34E3E">
      <w:pPr>
        <w:pStyle w:val="Body"/>
      </w:pPr>
      <w:r w:rsidRPr="00796A34">
        <w:rPr>
          <w:b/>
          <w:bCs/>
        </w:rPr>
        <w:t xml:space="preserve">Integrated </w:t>
      </w:r>
      <w:r w:rsidR="00802B09" w:rsidRPr="00796A34">
        <w:rPr>
          <w:b/>
          <w:bCs/>
        </w:rPr>
        <w:t>i</w:t>
      </w:r>
      <w:r w:rsidRPr="00796A34">
        <w:rPr>
          <w:b/>
          <w:bCs/>
        </w:rPr>
        <w:t xml:space="preserve">nformation </w:t>
      </w:r>
      <w:r w:rsidR="00802B09" w:rsidRPr="00796A34">
        <w:rPr>
          <w:b/>
          <w:bCs/>
        </w:rPr>
        <w:t>m</w:t>
      </w:r>
      <w:r w:rsidRPr="00796A34">
        <w:rPr>
          <w:b/>
          <w:bCs/>
        </w:rPr>
        <w:t>anagement</w:t>
      </w:r>
      <w:r w:rsidR="00802B09">
        <w:t xml:space="preserve"> - </w:t>
      </w:r>
      <w:r w:rsidR="00302D48">
        <w:t>s</w:t>
      </w:r>
      <w:r>
        <w:t xml:space="preserve">ystems must be flexible, multifaceted and dynamic to provide information that will allow members of the public to make informed decisions to ensure their </w:t>
      </w:r>
      <w:r w:rsidR="00871555">
        <w:t>safety. ​</w:t>
      </w:r>
      <w:r>
        <w:t>​</w:t>
      </w:r>
    </w:p>
    <w:p w14:paraId="56E6553D" w14:textId="75083237" w:rsidR="0077577A" w:rsidRDefault="00E54E68" w:rsidP="0077577A">
      <w:pPr>
        <w:pStyle w:val="Body"/>
      </w:pPr>
      <w:r w:rsidRPr="00796A34">
        <w:rPr>
          <w:b/>
          <w:bCs/>
        </w:rPr>
        <w:t>Defined r</w:t>
      </w:r>
      <w:r w:rsidR="000A3100" w:rsidRPr="00796A34">
        <w:rPr>
          <w:b/>
          <w:bCs/>
        </w:rPr>
        <w:t>oles &amp; responsibilities</w:t>
      </w:r>
      <w:r w:rsidR="000A3100">
        <w:t xml:space="preserve"> </w:t>
      </w:r>
      <w:r w:rsidR="0077577A">
        <w:t>-</w:t>
      </w:r>
      <w:r w:rsidR="0077577A" w:rsidRPr="0077577A">
        <w:t xml:space="preserve"> </w:t>
      </w:r>
      <w:r w:rsidR="00302D48">
        <w:t>c</w:t>
      </w:r>
      <w:r w:rsidR="0077577A">
        <w:t>oherent actions rely on well-defined and appropriate roles, responsibilities, authorities and knowledge of the capacities of emergency management partners.</w:t>
      </w:r>
    </w:p>
    <w:p w14:paraId="48632646" w14:textId="567B7106" w:rsidR="006E7DAB" w:rsidRDefault="00C42DA6" w:rsidP="00C42DA6">
      <w:pPr>
        <w:pStyle w:val="Body"/>
      </w:pPr>
      <w:r w:rsidRPr="00796A34">
        <w:rPr>
          <w:b/>
          <w:bCs/>
        </w:rPr>
        <w:t>Community Engagement</w:t>
      </w:r>
      <w:r w:rsidR="006E7DAB">
        <w:t xml:space="preserve"> - </w:t>
      </w:r>
      <w:r w:rsidR="00302D48">
        <w:t>e</w:t>
      </w:r>
      <w:r>
        <w:t xml:space="preserve">ffective and timely communication with the community is a critical and continuous process before, during and after an emergency. </w:t>
      </w:r>
    </w:p>
    <w:p w14:paraId="18CE457D" w14:textId="58ABD58F" w:rsidR="00A46E48" w:rsidRPr="00796A34" w:rsidRDefault="00D10FCB" w:rsidP="00C42DA6">
      <w:pPr>
        <w:pStyle w:val="Body"/>
      </w:pPr>
      <w:r w:rsidRPr="00796A34">
        <w:rPr>
          <w:b/>
          <w:bCs/>
        </w:rPr>
        <w:t>Continuous improvement</w:t>
      </w:r>
      <w:r w:rsidR="00B270AC" w:rsidRPr="00796A34">
        <w:t xml:space="preserve"> </w:t>
      </w:r>
      <w:r w:rsidR="00E073A9">
        <w:t>–</w:t>
      </w:r>
      <w:r w:rsidR="00B270AC" w:rsidRPr="00796A34">
        <w:t xml:space="preserve"> </w:t>
      </w:r>
      <w:r w:rsidR="00302D48">
        <w:t>s</w:t>
      </w:r>
      <w:r w:rsidR="00E073A9">
        <w:t xml:space="preserve">hould </w:t>
      </w:r>
      <w:r w:rsidR="00B34D36">
        <w:t xml:space="preserve">be </w:t>
      </w:r>
      <w:r w:rsidRPr="00796A34">
        <w:t>undertaken systematically as an integral part of emergency management measures and practices to improve outcomes.</w:t>
      </w:r>
    </w:p>
    <w:p w14:paraId="1D23DF7A" w14:textId="0D992B6D" w:rsidR="00B61C3D" w:rsidRDefault="00DF5206" w:rsidP="00A8686A">
      <w:pPr>
        <w:pStyle w:val="Heading2"/>
        <w:numPr>
          <w:ilvl w:val="1"/>
          <w:numId w:val="17"/>
        </w:numPr>
      </w:pPr>
      <w:bookmarkStart w:id="20" w:name="_Toc86410779"/>
      <w:bookmarkStart w:id="21" w:name="_Hlk84951461"/>
      <w:r w:rsidRPr="006A6B45">
        <w:t xml:space="preserve">Planning </w:t>
      </w:r>
      <w:r w:rsidR="00364EF4" w:rsidRPr="006A6B45">
        <w:t>process</w:t>
      </w:r>
      <w:bookmarkEnd w:id="20"/>
    </w:p>
    <w:p w14:paraId="2C6B684B" w14:textId="655F70DB" w:rsidR="00CC67A0" w:rsidRDefault="006810A2" w:rsidP="00534D46">
      <w:pPr>
        <w:pStyle w:val="Body"/>
      </w:pPr>
      <w:r>
        <w:t xml:space="preserve">Depending on the size </w:t>
      </w:r>
      <w:r w:rsidR="00280FF6">
        <w:t xml:space="preserve">of the health service, </w:t>
      </w:r>
      <w:r w:rsidR="00D6641A">
        <w:t xml:space="preserve">emergency management planning </w:t>
      </w:r>
      <w:r w:rsidR="00C601D6">
        <w:t>could be le</w:t>
      </w:r>
      <w:r w:rsidR="007D02F8">
        <w:t xml:space="preserve">d at the </w:t>
      </w:r>
      <w:r w:rsidR="00B31F40">
        <w:t>b</w:t>
      </w:r>
      <w:r w:rsidR="007D02F8">
        <w:t>o</w:t>
      </w:r>
      <w:r w:rsidR="000D6D3A">
        <w:t xml:space="preserve">ard, </w:t>
      </w:r>
      <w:r w:rsidR="00D6641A">
        <w:t>committee</w:t>
      </w:r>
      <w:r w:rsidR="00280FF6">
        <w:t xml:space="preserve"> </w:t>
      </w:r>
      <w:r w:rsidR="000D6D3A">
        <w:t xml:space="preserve">or </w:t>
      </w:r>
      <w:r w:rsidR="00ED6D66">
        <w:t xml:space="preserve">program level. </w:t>
      </w:r>
      <w:r w:rsidR="00517A14">
        <w:t xml:space="preserve"> </w:t>
      </w:r>
      <w:r w:rsidR="00AF5CD5">
        <w:t xml:space="preserve">Emergency management planning </w:t>
      </w:r>
      <w:r w:rsidR="00A8343D">
        <w:t>should include</w:t>
      </w:r>
      <w:r w:rsidR="00CC67A0">
        <w:t>:</w:t>
      </w:r>
    </w:p>
    <w:p w14:paraId="4EFFE917" w14:textId="53B53D23" w:rsidR="00B61C3D" w:rsidRPr="00534D46" w:rsidRDefault="00065001" w:rsidP="00A8686A">
      <w:pPr>
        <w:pStyle w:val="Body"/>
        <w:numPr>
          <w:ilvl w:val="0"/>
          <w:numId w:val="9"/>
        </w:numPr>
        <w:rPr>
          <w:szCs w:val="21"/>
        </w:rPr>
      </w:pPr>
      <w:r>
        <w:rPr>
          <w:szCs w:val="21"/>
        </w:rPr>
        <w:t>I</w:t>
      </w:r>
      <w:r w:rsidR="00B61C3D" w:rsidRPr="00534D46">
        <w:rPr>
          <w:szCs w:val="21"/>
        </w:rPr>
        <w:t>dentify</w:t>
      </w:r>
      <w:r w:rsidR="002537B0" w:rsidRPr="00534D46">
        <w:rPr>
          <w:szCs w:val="21"/>
        </w:rPr>
        <w:t>ing r</w:t>
      </w:r>
      <w:r w:rsidR="00B61C3D" w:rsidRPr="00534D46">
        <w:rPr>
          <w:szCs w:val="21"/>
        </w:rPr>
        <w:t xml:space="preserve">esponsibilities – sometimes determined by legislation, government direction </w:t>
      </w:r>
      <w:r w:rsidR="002537B0" w:rsidRPr="00534D46">
        <w:rPr>
          <w:szCs w:val="21"/>
        </w:rPr>
        <w:t xml:space="preserve">or an </w:t>
      </w:r>
      <w:r w:rsidR="00B61C3D" w:rsidRPr="00534D46">
        <w:rPr>
          <w:szCs w:val="21"/>
        </w:rPr>
        <w:t>inter-agency agreement</w:t>
      </w:r>
    </w:p>
    <w:p w14:paraId="738C13E3" w14:textId="3858CF17" w:rsidR="004035F1" w:rsidRPr="00C63899" w:rsidRDefault="00065001" w:rsidP="00A8686A">
      <w:pPr>
        <w:pStyle w:val="ListParagraph"/>
        <w:numPr>
          <w:ilvl w:val="0"/>
          <w:numId w:val="9"/>
        </w:numPr>
        <w:rPr>
          <w:rFonts w:eastAsia="Times"/>
          <w:szCs w:val="21"/>
        </w:rPr>
      </w:pPr>
      <w:r>
        <w:rPr>
          <w:szCs w:val="21"/>
        </w:rPr>
        <w:t>I</w:t>
      </w:r>
      <w:r w:rsidR="00C1271A" w:rsidRPr="00C63899">
        <w:rPr>
          <w:szCs w:val="21"/>
        </w:rPr>
        <w:t>dentify</w:t>
      </w:r>
      <w:r w:rsidR="007719F8" w:rsidRPr="00C63899">
        <w:rPr>
          <w:szCs w:val="21"/>
        </w:rPr>
        <w:t>ing</w:t>
      </w:r>
      <w:r w:rsidR="00C1271A" w:rsidRPr="00C63899">
        <w:rPr>
          <w:szCs w:val="21"/>
        </w:rPr>
        <w:t xml:space="preserve"> </w:t>
      </w:r>
      <w:r w:rsidR="00260535">
        <w:rPr>
          <w:szCs w:val="21"/>
        </w:rPr>
        <w:t xml:space="preserve">emergency </w:t>
      </w:r>
      <w:r w:rsidR="00C1271A" w:rsidRPr="00C63899">
        <w:rPr>
          <w:szCs w:val="21"/>
        </w:rPr>
        <w:t xml:space="preserve">risks and </w:t>
      </w:r>
      <w:r w:rsidR="00260535">
        <w:rPr>
          <w:szCs w:val="21"/>
        </w:rPr>
        <w:t>e</w:t>
      </w:r>
      <w:r w:rsidR="004035F1" w:rsidRPr="00C63899">
        <w:rPr>
          <w:rFonts w:eastAsia="Times"/>
          <w:szCs w:val="21"/>
        </w:rPr>
        <w:t>nsur</w:t>
      </w:r>
      <w:r w:rsidR="00260535">
        <w:rPr>
          <w:rFonts w:eastAsia="Times"/>
          <w:szCs w:val="21"/>
        </w:rPr>
        <w:t>ing</w:t>
      </w:r>
      <w:r w:rsidR="004035F1" w:rsidRPr="00C63899">
        <w:rPr>
          <w:rFonts w:eastAsia="Times"/>
          <w:szCs w:val="21"/>
        </w:rPr>
        <w:t xml:space="preserve"> that mitigation strategies are in place to manage all major risks.</w:t>
      </w:r>
      <w:r w:rsidR="00B76175" w:rsidRPr="00C63899">
        <w:rPr>
          <w:rFonts w:eastAsia="Times"/>
          <w:szCs w:val="21"/>
        </w:rPr>
        <w:t xml:space="preserve"> </w:t>
      </w:r>
      <w:r w:rsidR="00C63899" w:rsidRPr="00C63899">
        <w:rPr>
          <w:rFonts w:eastAsia="Times"/>
          <w:szCs w:val="21"/>
        </w:rPr>
        <w:t xml:space="preserve"> </w:t>
      </w:r>
      <w:r w:rsidR="00B76175" w:rsidRPr="00C63899">
        <w:rPr>
          <w:rFonts w:eastAsia="Times"/>
          <w:szCs w:val="21"/>
        </w:rPr>
        <w:t>N</w:t>
      </w:r>
      <w:r w:rsidR="00925CB2" w:rsidRPr="00C63899">
        <w:rPr>
          <w:rFonts w:eastAsia="Times"/>
          <w:szCs w:val="21"/>
        </w:rPr>
        <w:t xml:space="preserve">ational </w:t>
      </w:r>
      <w:r w:rsidR="00B76175" w:rsidRPr="00C63899">
        <w:rPr>
          <w:rFonts w:eastAsia="Times"/>
          <w:szCs w:val="21"/>
        </w:rPr>
        <w:t>E</w:t>
      </w:r>
      <w:r w:rsidR="00925CB2" w:rsidRPr="00C63899">
        <w:rPr>
          <w:rFonts w:eastAsia="Times"/>
          <w:szCs w:val="21"/>
        </w:rPr>
        <w:t xml:space="preserve">mergency </w:t>
      </w:r>
      <w:r w:rsidR="00B76175" w:rsidRPr="00C63899">
        <w:rPr>
          <w:rFonts w:eastAsia="Times"/>
          <w:szCs w:val="21"/>
        </w:rPr>
        <w:t>R</w:t>
      </w:r>
      <w:r w:rsidR="00925CB2" w:rsidRPr="00C63899">
        <w:rPr>
          <w:rFonts w:eastAsia="Times"/>
          <w:szCs w:val="21"/>
        </w:rPr>
        <w:t>isk</w:t>
      </w:r>
      <w:r w:rsidR="00C63899" w:rsidRPr="00C63899">
        <w:rPr>
          <w:rFonts w:eastAsia="Times"/>
          <w:szCs w:val="21"/>
        </w:rPr>
        <w:t xml:space="preserve"> </w:t>
      </w:r>
      <w:r w:rsidR="00B76175" w:rsidRPr="00C63899">
        <w:rPr>
          <w:rFonts w:eastAsia="Times"/>
          <w:szCs w:val="21"/>
        </w:rPr>
        <w:t>A</w:t>
      </w:r>
      <w:r w:rsidR="00C63899" w:rsidRPr="00C63899">
        <w:rPr>
          <w:rFonts w:eastAsia="Times"/>
          <w:szCs w:val="21"/>
        </w:rPr>
        <w:t xml:space="preserve">ssessment </w:t>
      </w:r>
      <w:r w:rsidR="00B76175" w:rsidRPr="00C63899">
        <w:rPr>
          <w:rFonts w:eastAsia="Times"/>
          <w:szCs w:val="21"/>
        </w:rPr>
        <w:t>G</w:t>
      </w:r>
      <w:r w:rsidR="00C63899" w:rsidRPr="00C63899">
        <w:rPr>
          <w:rFonts w:eastAsia="Times"/>
          <w:szCs w:val="21"/>
        </w:rPr>
        <w:t>uid</w:t>
      </w:r>
      <w:r w:rsidR="00C63899">
        <w:rPr>
          <w:rFonts w:eastAsia="Times"/>
          <w:szCs w:val="21"/>
        </w:rPr>
        <w:t>e</w:t>
      </w:r>
      <w:r w:rsidR="00C63899" w:rsidRPr="00C63899">
        <w:rPr>
          <w:rFonts w:eastAsia="Times"/>
          <w:szCs w:val="21"/>
        </w:rPr>
        <w:t>lines</w:t>
      </w:r>
      <w:r w:rsidR="00B76175" w:rsidRPr="00C63899">
        <w:rPr>
          <w:rFonts w:eastAsia="Times"/>
          <w:szCs w:val="21"/>
        </w:rPr>
        <w:t xml:space="preserve"> provides a contextualised, emergency-related risk assessment method consistent with the Australian Standard AS/NZS ISO 31000:2018 Risk management – principles and guidelines.</w:t>
      </w:r>
      <w:r w:rsidR="00925CB2" w:rsidRPr="00925CB2">
        <w:t xml:space="preserve"> </w:t>
      </w:r>
      <w:r w:rsidR="00412A02">
        <w:t xml:space="preserve"> </w:t>
      </w:r>
      <w:hyperlink r:id="rId25" w:history="1">
        <w:r w:rsidR="008804A2" w:rsidRPr="008804A2">
          <w:rPr>
            <w:rStyle w:val="Hyperlink"/>
            <w:rFonts w:eastAsia="Times"/>
            <w:szCs w:val="21"/>
          </w:rPr>
          <w:t>https://www.aidr.org.au/media/7600/aidr_handbookcollection_nerag_2020-02-05_v10.pdf</w:t>
        </w:r>
      </w:hyperlink>
    </w:p>
    <w:p w14:paraId="4326515E" w14:textId="141F7D0F" w:rsidR="00B61C3D" w:rsidRPr="00534D46" w:rsidRDefault="00065001" w:rsidP="00A8686A">
      <w:pPr>
        <w:pStyle w:val="Body"/>
        <w:numPr>
          <w:ilvl w:val="0"/>
          <w:numId w:val="9"/>
        </w:numPr>
        <w:rPr>
          <w:szCs w:val="21"/>
        </w:rPr>
      </w:pPr>
      <w:r>
        <w:rPr>
          <w:szCs w:val="21"/>
        </w:rPr>
        <w:t>I</w:t>
      </w:r>
      <w:r w:rsidR="00CC67A0" w:rsidRPr="00534D46">
        <w:rPr>
          <w:szCs w:val="21"/>
        </w:rPr>
        <w:t xml:space="preserve">dentifying </w:t>
      </w:r>
      <w:r w:rsidR="00060137">
        <w:rPr>
          <w:szCs w:val="21"/>
        </w:rPr>
        <w:t xml:space="preserve">surge </w:t>
      </w:r>
      <w:r>
        <w:rPr>
          <w:szCs w:val="21"/>
        </w:rPr>
        <w:t>arrangements,</w:t>
      </w:r>
      <w:r w:rsidR="00CC67A0" w:rsidRPr="00534D46">
        <w:rPr>
          <w:szCs w:val="21"/>
        </w:rPr>
        <w:t xml:space="preserve"> resources and </w:t>
      </w:r>
      <w:r w:rsidR="00B22DDD">
        <w:rPr>
          <w:szCs w:val="21"/>
        </w:rPr>
        <w:t>equipment</w:t>
      </w:r>
      <w:r w:rsidR="00CC67A0" w:rsidRPr="00534D46">
        <w:rPr>
          <w:szCs w:val="21"/>
        </w:rPr>
        <w:t xml:space="preserve"> needed </w:t>
      </w:r>
      <w:r w:rsidR="007C7EFC">
        <w:rPr>
          <w:szCs w:val="21"/>
        </w:rPr>
        <w:t xml:space="preserve">to respond to an emergency </w:t>
      </w:r>
      <w:r w:rsidR="00CC67A0" w:rsidRPr="00534D46">
        <w:rPr>
          <w:szCs w:val="21"/>
        </w:rPr>
        <w:t>– including availability and shortfalls</w:t>
      </w:r>
      <w:r w:rsidR="00B90A02">
        <w:rPr>
          <w:szCs w:val="21"/>
        </w:rPr>
        <w:t>.</w:t>
      </w:r>
    </w:p>
    <w:p w14:paraId="207A9F25" w14:textId="5E322586" w:rsidR="00DE5EE5" w:rsidRPr="00364EF4" w:rsidRDefault="00B3230C" w:rsidP="00A8686A">
      <w:pPr>
        <w:pStyle w:val="Body"/>
        <w:numPr>
          <w:ilvl w:val="0"/>
          <w:numId w:val="9"/>
        </w:numPr>
        <w:rPr>
          <w:szCs w:val="21"/>
        </w:rPr>
      </w:pPr>
      <w:r>
        <w:rPr>
          <w:szCs w:val="21"/>
        </w:rPr>
        <w:t>E</w:t>
      </w:r>
      <w:r w:rsidR="00DD2CFA">
        <w:t>nsur</w:t>
      </w:r>
      <w:r>
        <w:t>ing</w:t>
      </w:r>
      <w:r w:rsidR="00DD2CFA">
        <w:t xml:space="preserve"> that the training and skill mix of available personnel is sufficient to meet the needs of health emergencies. </w:t>
      </w:r>
      <w:r w:rsidR="007C7EFC">
        <w:t>Where</w:t>
      </w:r>
      <w:r w:rsidR="00DD2CFA">
        <w:t xml:space="preserve"> </w:t>
      </w:r>
      <w:r w:rsidR="000265F1">
        <w:t>health services</w:t>
      </w:r>
      <w:r w:rsidR="00DD2CFA">
        <w:t xml:space="preserve"> </w:t>
      </w:r>
      <w:r w:rsidR="00DD3A44">
        <w:t>need</w:t>
      </w:r>
      <w:r w:rsidR="00DD2CFA">
        <w:t xml:space="preserve"> to source supporting staff from outside the </w:t>
      </w:r>
      <w:r w:rsidR="00DD3A44">
        <w:t>service</w:t>
      </w:r>
      <w:r w:rsidR="007C7EFC">
        <w:t>, f</w:t>
      </w:r>
      <w:r w:rsidR="00DD2CFA">
        <w:t xml:space="preserve">ormal arrangements </w:t>
      </w:r>
      <w:r w:rsidR="00DD3A44">
        <w:t xml:space="preserve">should </w:t>
      </w:r>
      <w:r w:rsidR="00DD2CFA">
        <w:t xml:space="preserve">be in place to ensure the correct skills, training and orientation requirements are met. </w:t>
      </w:r>
    </w:p>
    <w:p w14:paraId="6D36421C" w14:textId="762B5E55" w:rsidR="00364EF4" w:rsidRDefault="00364EF4" w:rsidP="00C50A5B">
      <w:pPr>
        <w:pStyle w:val="Body"/>
        <w:ind w:left="360"/>
        <w:rPr>
          <w:szCs w:val="21"/>
        </w:rPr>
      </w:pPr>
      <w:r>
        <w:lastRenderedPageBreak/>
        <w:t>In the health sector</w:t>
      </w:r>
      <w:r w:rsidR="00FB70FC">
        <w:t>,</w:t>
      </w:r>
      <w:r>
        <w:t xml:space="preserve"> the most commonly used system is Major Incident Medical Management and Support (MIMMS) </w:t>
      </w:r>
      <w:r w:rsidR="008804A2">
        <w:t>found at www.</w:t>
      </w:r>
      <w:hyperlink r:id="rId26" w:history="1">
        <w:r w:rsidR="00DD2672" w:rsidRPr="00C159E5">
          <w:rPr>
            <w:rStyle w:val="Hyperlink"/>
          </w:rPr>
          <w:t>mimms.org.au</w:t>
        </w:r>
      </w:hyperlink>
      <w:r>
        <w:t xml:space="preserve">. The Australasian Interservice Incident Management System (AIIMS) is the main incident management system used in the emergency services sector </w:t>
      </w:r>
      <w:r w:rsidR="008804A2">
        <w:t xml:space="preserve">can be accessed at </w:t>
      </w:r>
      <w:hyperlink r:id="rId27" w:history="1">
        <w:r w:rsidR="008804A2" w:rsidRPr="00584B33">
          <w:rPr>
            <w:rStyle w:val="Hyperlink"/>
          </w:rPr>
          <w:t>www.afac.com.au/initiative/aiims</w:t>
        </w:r>
      </w:hyperlink>
      <w:r w:rsidR="008804A2">
        <w:t>.</w:t>
      </w:r>
    </w:p>
    <w:p w14:paraId="64C509BB" w14:textId="7E3B6F68" w:rsidR="00C42E14" w:rsidRDefault="005B0449" w:rsidP="00A8686A">
      <w:pPr>
        <w:pStyle w:val="Body"/>
        <w:numPr>
          <w:ilvl w:val="0"/>
          <w:numId w:val="9"/>
        </w:numPr>
        <w:rPr>
          <w:szCs w:val="21"/>
        </w:rPr>
      </w:pPr>
      <w:r>
        <w:rPr>
          <w:szCs w:val="21"/>
        </w:rPr>
        <w:t xml:space="preserve">Undertaking </w:t>
      </w:r>
      <w:r w:rsidR="004E31FA">
        <w:rPr>
          <w:szCs w:val="21"/>
        </w:rPr>
        <w:t>training</w:t>
      </w:r>
      <w:r w:rsidR="00DE5EE5">
        <w:t xml:space="preserve"> exercises </w:t>
      </w:r>
      <w:r w:rsidR="007D786F">
        <w:t>to</w:t>
      </w:r>
      <w:r w:rsidR="00DE5EE5">
        <w:t xml:space="preserve"> build organisational capacity to respond to public health incidents and emergencies. Exercises are used to:</w:t>
      </w:r>
    </w:p>
    <w:p w14:paraId="3BA6CB27" w14:textId="77777777" w:rsidR="00355056" w:rsidRPr="00355056" w:rsidRDefault="00DE5EE5" w:rsidP="00A8686A">
      <w:pPr>
        <w:pStyle w:val="Body"/>
        <w:numPr>
          <w:ilvl w:val="1"/>
          <w:numId w:val="9"/>
        </w:numPr>
        <w:rPr>
          <w:szCs w:val="21"/>
        </w:rPr>
      </w:pPr>
      <w:r>
        <w:t>review, test or assess plans, processes, standards and equipment</w:t>
      </w:r>
    </w:p>
    <w:p w14:paraId="0DBE79B5" w14:textId="6BD33AE3" w:rsidR="00A0453D" w:rsidRPr="00A0453D" w:rsidRDefault="00DE5EE5" w:rsidP="00A8686A">
      <w:pPr>
        <w:pStyle w:val="Body"/>
        <w:numPr>
          <w:ilvl w:val="1"/>
          <w:numId w:val="9"/>
        </w:numPr>
        <w:rPr>
          <w:szCs w:val="21"/>
        </w:rPr>
      </w:pPr>
      <w:r>
        <w:t xml:space="preserve">evaluate and practice procedures, control and coordination arrangements </w:t>
      </w:r>
    </w:p>
    <w:p w14:paraId="386526C7" w14:textId="1453BF01" w:rsidR="00176F4B" w:rsidRPr="00176F4B" w:rsidRDefault="00DE5EE5" w:rsidP="00A8686A">
      <w:pPr>
        <w:pStyle w:val="Body"/>
        <w:numPr>
          <w:ilvl w:val="1"/>
          <w:numId w:val="9"/>
        </w:numPr>
        <w:rPr>
          <w:szCs w:val="21"/>
        </w:rPr>
      </w:pPr>
      <w:r>
        <w:t>evaluate how teams and agencies collaborate and perform together</w:t>
      </w:r>
    </w:p>
    <w:p w14:paraId="77A85CBE" w14:textId="2C0EDE8C" w:rsidR="00F31132" w:rsidRDefault="00F31132" w:rsidP="00A8686A">
      <w:pPr>
        <w:pStyle w:val="Body"/>
        <w:numPr>
          <w:ilvl w:val="0"/>
          <w:numId w:val="9"/>
        </w:numPr>
        <w:rPr>
          <w:szCs w:val="21"/>
        </w:rPr>
      </w:pPr>
      <w:r>
        <w:t>Conducting a debrief activity following a significant response. The debrief should review the response to identify lessons learned. A plan should be developed to convert the lessons learned from the response or exercise into measurable steps that will result in improved response capabilities.</w:t>
      </w:r>
    </w:p>
    <w:p w14:paraId="19AB6D16" w14:textId="23D9DAB7" w:rsidR="00FD0330" w:rsidRPr="00534D46" w:rsidRDefault="00CE7CD2" w:rsidP="00A8686A">
      <w:pPr>
        <w:pStyle w:val="Body"/>
        <w:numPr>
          <w:ilvl w:val="0"/>
          <w:numId w:val="9"/>
        </w:numPr>
        <w:rPr>
          <w:szCs w:val="21"/>
        </w:rPr>
      </w:pPr>
      <w:r>
        <w:rPr>
          <w:szCs w:val="21"/>
        </w:rPr>
        <w:t xml:space="preserve">Undertaking an </w:t>
      </w:r>
      <w:r w:rsidR="00FD0330">
        <w:rPr>
          <w:szCs w:val="21"/>
        </w:rPr>
        <w:t>annual review of the plan</w:t>
      </w:r>
      <w:r w:rsidR="00E51592">
        <w:rPr>
          <w:szCs w:val="21"/>
        </w:rPr>
        <w:t>.</w:t>
      </w:r>
    </w:p>
    <w:p w14:paraId="19ED45A3" w14:textId="7210F647" w:rsidR="00C1768A" w:rsidRDefault="00C1768A" w:rsidP="00A8686A">
      <w:pPr>
        <w:pStyle w:val="Heading2"/>
        <w:numPr>
          <w:ilvl w:val="1"/>
          <w:numId w:val="17"/>
        </w:numPr>
      </w:pPr>
      <w:bookmarkStart w:id="22" w:name="_Toc86410780"/>
      <w:bookmarkEnd w:id="21"/>
      <w:r>
        <w:t xml:space="preserve">Key </w:t>
      </w:r>
      <w:r w:rsidR="00B34D36">
        <w:t xml:space="preserve">planning </w:t>
      </w:r>
      <w:r>
        <w:t>considerations</w:t>
      </w:r>
      <w:bookmarkEnd w:id="22"/>
    </w:p>
    <w:p w14:paraId="0E38C821" w14:textId="0154997D" w:rsidR="002338FE" w:rsidRDefault="007E5432" w:rsidP="00A8686A">
      <w:pPr>
        <w:pStyle w:val="Heading3"/>
        <w:numPr>
          <w:ilvl w:val="2"/>
          <w:numId w:val="17"/>
        </w:numPr>
      </w:pPr>
      <w:r>
        <w:t>Declar</w:t>
      </w:r>
      <w:r w:rsidR="003D2ADE">
        <w:t xml:space="preserve">ation of a </w:t>
      </w:r>
      <w:r w:rsidR="002338FE">
        <w:t xml:space="preserve">Code Red </w:t>
      </w:r>
      <w:r w:rsidR="003F2E9B">
        <w:t xml:space="preserve">fire </w:t>
      </w:r>
      <w:r w:rsidR="004C33EC">
        <w:t xml:space="preserve">danger </w:t>
      </w:r>
      <w:r w:rsidR="003F2E9B">
        <w:t xml:space="preserve">rating </w:t>
      </w:r>
      <w:r w:rsidR="00DD2CFA">
        <w:t>d</w:t>
      </w:r>
      <w:r w:rsidR="002338FE">
        <w:t>ay</w:t>
      </w:r>
    </w:p>
    <w:p w14:paraId="02F93788" w14:textId="78CEDBCF" w:rsidR="00F12837" w:rsidRDefault="005532B7" w:rsidP="005532B7">
      <w:pPr>
        <w:pStyle w:val="Body"/>
      </w:pPr>
      <w:r>
        <w:t xml:space="preserve">A Code Red </w:t>
      </w:r>
      <w:r w:rsidR="001204CF">
        <w:t xml:space="preserve">fire </w:t>
      </w:r>
      <w:r w:rsidR="004C33EC">
        <w:t xml:space="preserve">danger </w:t>
      </w:r>
      <w:r w:rsidR="001204CF">
        <w:t xml:space="preserve">rating </w:t>
      </w:r>
      <w:r>
        <w:t>is the highest level of fire danger in Victoria. It signifies that fires on these days are likely to be uncontrollable, unpredictable, fast moving, difficult to put out, and there is a high likelihood that people in the path of a fire will be killed or seriously injured and properties and infrastructure lost.</w:t>
      </w:r>
    </w:p>
    <w:p w14:paraId="3BFBD837" w14:textId="32D39AFF" w:rsidR="00874739" w:rsidRDefault="00EF6FB9" w:rsidP="005532B7">
      <w:pPr>
        <w:pStyle w:val="Body"/>
        <w:rPr>
          <w:rFonts w:cs="Arial"/>
          <w:color w:val="000000"/>
          <w:shd w:val="clear" w:color="auto" w:fill="FFFFFF"/>
        </w:rPr>
      </w:pPr>
      <w:r>
        <w:rPr>
          <w:rFonts w:cs="Arial"/>
          <w:color w:val="000000"/>
          <w:shd w:val="clear" w:color="auto" w:fill="FFFFFF"/>
        </w:rPr>
        <w:t>H</w:t>
      </w:r>
      <w:r w:rsidR="00671A81">
        <w:rPr>
          <w:rFonts w:cs="Arial"/>
          <w:color w:val="000000"/>
          <w:shd w:val="clear" w:color="auto" w:fill="FFFFFF"/>
        </w:rPr>
        <w:t xml:space="preserve">ealth services are expected to have </w:t>
      </w:r>
      <w:r w:rsidR="004E4BB4">
        <w:rPr>
          <w:rFonts w:cs="Arial"/>
          <w:color w:val="000000"/>
          <w:shd w:val="clear" w:color="auto" w:fill="FFFFFF"/>
        </w:rPr>
        <w:t xml:space="preserve">a </w:t>
      </w:r>
      <w:r w:rsidR="00855622">
        <w:rPr>
          <w:rFonts w:cs="Arial"/>
          <w:color w:val="000000"/>
          <w:shd w:val="clear" w:color="auto" w:fill="FFFFFF"/>
        </w:rPr>
        <w:t xml:space="preserve">Code Red day plan that can be activated on the day </w:t>
      </w:r>
      <w:r w:rsidR="002F5DD6">
        <w:rPr>
          <w:rFonts w:cs="Arial"/>
          <w:color w:val="000000"/>
          <w:shd w:val="clear" w:color="auto" w:fill="FFFFFF"/>
        </w:rPr>
        <w:t xml:space="preserve">before a declared Code Red </w:t>
      </w:r>
      <w:r w:rsidR="00B431AE">
        <w:rPr>
          <w:rFonts w:cs="Arial"/>
          <w:color w:val="000000"/>
          <w:shd w:val="clear" w:color="auto" w:fill="FFFFFF"/>
        </w:rPr>
        <w:t xml:space="preserve">fire danger </w:t>
      </w:r>
      <w:r w:rsidR="00B64A7E">
        <w:rPr>
          <w:rFonts w:cs="Arial"/>
          <w:color w:val="000000"/>
          <w:shd w:val="clear" w:color="auto" w:fill="FFFFFF"/>
        </w:rPr>
        <w:t>for</w:t>
      </w:r>
      <w:r w:rsidR="00B431AE">
        <w:rPr>
          <w:rFonts w:cs="Arial"/>
          <w:color w:val="000000"/>
          <w:shd w:val="clear" w:color="auto" w:fill="FFFFFF"/>
        </w:rPr>
        <w:t xml:space="preserve"> the </w:t>
      </w:r>
      <w:r w:rsidR="000301FD">
        <w:rPr>
          <w:rFonts w:cs="Arial"/>
          <w:color w:val="000000"/>
          <w:shd w:val="clear" w:color="auto" w:fill="FFFFFF"/>
        </w:rPr>
        <w:t>weather district</w:t>
      </w:r>
      <w:r w:rsidR="000C321C">
        <w:rPr>
          <w:rFonts w:cs="Arial"/>
          <w:color w:val="000000"/>
          <w:shd w:val="clear" w:color="auto" w:fill="FFFFFF"/>
        </w:rPr>
        <w:t xml:space="preserve"> they are located</w:t>
      </w:r>
      <w:r w:rsidR="00B64A7E">
        <w:rPr>
          <w:rFonts w:cs="Arial"/>
          <w:color w:val="000000"/>
          <w:shd w:val="clear" w:color="auto" w:fill="FFFFFF"/>
        </w:rPr>
        <w:t>.</w:t>
      </w:r>
      <w:r w:rsidR="00B001B9">
        <w:rPr>
          <w:rFonts w:cs="Arial"/>
          <w:color w:val="000000"/>
          <w:shd w:val="clear" w:color="auto" w:fill="FFFFFF"/>
        </w:rPr>
        <w:t xml:space="preserve"> </w:t>
      </w:r>
      <w:r w:rsidR="00E45F62">
        <w:rPr>
          <w:rFonts w:cs="Arial"/>
          <w:color w:val="000000"/>
          <w:shd w:val="clear" w:color="auto" w:fill="FFFFFF"/>
        </w:rPr>
        <w:t>Deciding an appr</w:t>
      </w:r>
      <w:r w:rsidR="00EA46D8">
        <w:rPr>
          <w:rFonts w:cs="Arial"/>
          <w:color w:val="000000"/>
          <w:shd w:val="clear" w:color="auto" w:fill="FFFFFF"/>
        </w:rPr>
        <w:t xml:space="preserve">opriate response </w:t>
      </w:r>
      <w:r w:rsidR="00AA7CF7">
        <w:rPr>
          <w:rFonts w:cs="Arial"/>
          <w:color w:val="000000"/>
          <w:shd w:val="clear" w:color="auto" w:fill="FFFFFF"/>
        </w:rPr>
        <w:t xml:space="preserve">for such an event </w:t>
      </w:r>
      <w:r w:rsidR="007B1669">
        <w:rPr>
          <w:rFonts w:cs="Arial"/>
          <w:color w:val="000000"/>
          <w:shd w:val="clear" w:color="auto" w:fill="FFFFFF"/>
        </w:rPr>
        <w:t xml:space="preserve">should </w:t>
      </w:r>
      <w:r w:rsidR="00FB151F">
        <w:rPr>
          <w:rFonts w:cs="Arial"/>
          <w:color w:val="000000"/>
          <w:shd w:val="clear" w:color="auto" w:fill="FFFFFF"/>
        </w:rPr>
        <w:t xml:space="preserve">take into account the </w:t>
      </w:r>
      <w:r w:rsidR="00461C6F">
        <w:rPr>
          <w:rFonts w:cs="Arial"/>
          <w:color w:val="000000"/>
          <w:shd w:val="clear" w:color="auto" w:fill="FFFFFF"/>
        </w:rPr>
        <w:t>location</w:t>
      </w:r>
      <w:r w:rsidR="00FB151F">
        <w:rPr>
          <w:rFonts w:cs="Arial"/>
          <w:color w:val="000000"/>
          <w:shd w:val="clear" w:color="auto" w:fill="FFFFFF"/>
        </w:rPr>
        <w:t xml:space="preserve"> </w:t>
      </w:r>
      <w:r w:rsidR="003A6979">
        <w:rPr>
          <w:rFonts w:cs="Arial"/>
          <w:color w:val="000000"/>
          <w:shd w:val="clear" w:color="auto" w:fill="FFFFFF"/>
        </w:rPr>
        <w:t xml:space="preserve">of the service </w:t>
      </w:r>
      <w:r w:rsidR="00FB151F">
        <w:rPr>
          <w:rFonts w:cs="Arial"/>
          <w:color w:val="000000"/>
          <w:shd w:val="clear" w:color="auto" w:fill="FFFFFF"/>
        </w:rPr>
        <w:t>and</w:t>
      </w:r>
      <w:r w:rsidR="00EC4DEC">
        <w:rPr>
          <w:rFonts w:cs="Arial"/>
          <w:color w:val="000000"/>
          <w:shd w:val="clear" w:color="auto" w:fill="FFFFFF"/>
        </w:rPr>
        <w:t xml:space="preserve"> the level and type of </w:t>
      </w:r>
      <w:r w:rsidR="00FB151F">
        <w:rPr>
          <w:rFonts w:cs="Arial"/>
          <w:color w:val="000000"/>
          <w:shd w:val="clear" w:color="auto" w:fill="FFFFFF"/>
        </w:rPr>
        <w:t>risk</w:t>
      </w:r>
      <w:r>
        <w:rPr>
          <w:rFonts w:cs="Arial"/>
          <w:color w:val="000000"/>
          <w:shd w:val="clear" w:color="auto" w:fill="FFFFFF"/>
        </w:rPr>
        <w:t>s</w:t>
      </w:r>
      <w:r w:rsidR="006C28DA">
        <w:rPr>
          <w:rFonts w:cs="Arial"/>
          <w:color w:val="000000"/>
          <w:shd w:val="clear" w:color="auto" w:fill="FFFFFF"/>
        </w:rPr>
        <w:t xml:space="preserve"> to the </w:t>
      </w:r>
      <w:r w:rsidR="00734D21">
        <w:rPr>
          <w:rFonts w:cs="Arial"/>
          <w:color w:val="000000"/>
          <w:shd w:val="clear" w:color="auto" w:fill="FFFFFF"/>
        </w:rPr>
        <w:t>service</w:t>
      </w:r>
      <w:r w:rsidR="001B64DE">
        <w:rPr>
          <w:rFonts w:cs="Arial"/>
          <w:color w:val="000000"/>
          <w:shd w:val="clear" w:color="auto" w:fill="FFFFFF"/>
        </w:rPr>
        <w:t>.</w:t>
      </w:r>
      <w:r w:rsidR="009F4A77">
        <w:rPr>
          <w:rFonts w:cs="Arial"/>
          <w:color w:val="000000"/>
          <w:shd w:val="clear" w:color="auto" w:fill="FFFFFF"/>
        </w:rPr>
        <w:t xml:space="preserve"> </w:t>
      </w:r>
    </w:p>
    <w:p w14:paraId="3C72E373" w14:textId="453DBCB1" w:rsidR="003B78C4" w:rsidRDefault="005758AB" w:rsidP="005532B7">
      <w:pPr>
        <w:pStyle w:val="Body"/>
        <w:rPr>
          <w:rFonts w:cs="Arial"/>
          <w:color w:val="000000"/>
          <w:shd w:val="clear" w:color="auto" w:fill="FFFFFF"/>
        </w:rPr>
      </w:pPr>
      <w:r>
        <w:rPr>
          <w:rFonts w:cs="Arial"/>
          <w:color w:val="000000"/>
          <w:shd w:val="clear" w:color="auto" w:fill="FFFFFF"/>
        </w:rPr>
        <w:t>Plans should co</w:t>
      </w:r>
      <w:r w:rsidR="00CB0337">
        <w:rPr>
          <w:rFonts w:cs="Arial"/>
          <w:color w:val="000000"/>
          <w:shd w:val="clear" w:color="auto" w:fill="FFFFFF"/>
        </w:rPr>
        <w:t xml:space="preserve">nsider </w:t>
      </w:r>
      <w:r>
        <w:rPr>
          <w:rFonts w:cs="Arial"/>
          <w:color w:val="000000"/>
          <w:shd w:val="clear" w:color="auto" w:fill="FFFFFF"/>
        </w:rPr>
        <w:t xml:space="preserve">a </w:t>
      </w:r>
      <w:r w:rsidR="00CB0337">
        <w:rPr>
          <w:rFonts w:cs="Arial"/>
          <w:color w:val="000000"/>
          <w:shd w:val="clear" w:color="auto" w:fill="FFFFFF"/>
        </w:rPr>
        <w:t>range o</w:t>
      </w:r>
      <w:r>
        <w:rPr>
          <w:rFonts w:cs="Arial"/>
          <w:color w:val="000000"/>
          <w:shd w:val="clear" w:color="auto" w:fill="FFFFFF"/>
        </w:rPr>
        <w:t xml:space="preserve">f </w:t>
      </w:r>
      <w:r w:rsidR="009F4A77">
        <w:rPr>
          <w:rFonts w:cs="Arial"/>
          <w:color w:val="000000"/>
          <w:shd w:val="clear" w:color="auto" w:fill="FFFFFF"/>
        </w:rPr>
        <w:t xml:space="preserve">potential </w:t>
      </w:r>
      <w:r w:rsidR="00285CFB">
        <w:rPr>
          <w:rFonts w:cs="Arial"/>
          <w:color w:val="000000"/>
          <w:shd w:val="clear" w:color="auto" w:fill="FFFFFF"/>
        </w:rPr>
        <w:t>responses</w:t>
      </w:r>
      <w:r w:rsidR="00734D21">
        <w:rPr>
          <w:rFonts w:cs="Arial"/>
          <w:color w:val="000000"/>
          <w:shd w:val="clear" w:color="auto" w:fill="FFFFFF"/>
        </w:rPr>
        <w:t xml:space="preserve">, </w:t>
      </w:r>
      <w:r w:rsidR="009F043C">
        <w:rPr>
          <w:rFonts w:cs="Arial"/>
          <w:color w:val="000000"/>
          <w:shd w:val="clear" w:color="auto" w:fill="FFFFFF"/>
        </w:rPr>
        <w:t xml:space="preserve">including </w:t>
      </w:r>
      <w:r w:rsidR="00624231">
        <w:rPr>
          <w:rFonts w:cs="Arial"/>
          <w:color w:val="000000"/>
          <w:shd w:val="clear" w:color="auto" w:fill="FFFFFF"/>
        </w:rPr>
        <w:t xml:space="preserve">scaling up </w:t>
      </w:r>
      <w:r w:rsidR="001E1180">
        <w:rPr>
          <w:rFonts w:cs="Arial"/>
          <w:color w:val="000000"/>
          <w:shd w:val="clear" w:color="auto" w:fill="FFFFFF"/>
        </w:rPr>
        <w:t>capabilit</w:t>
      </w:r>
      <w:r w:rsidR="00DC4A45">
        <w:rPr>
          <w:rFonts w:cs="Arial"/>
          <w:color w:val="000000"/>
          <w:shd w:val="clear" w:color="auto" w:fill="FFFFFF"/>
        </w:rPr>
        <w:t xml:space="preserve">ies </w:t>
      </w:r>
      <w:r w:rsidR="00624231">
        <w:rPr>
          <w:rFonts w:cs="Arial"/>
          <w:color w:val="000000"/>
          <w:shd w:val="clear" w:color="auto" w:fill="FFFFFF"/>
        </w:rPr>
        <w:t xml:space="preserve">for an increase in </w:t>
      </w:r>
      <w:r w:rsidR="00DC4A45" w:rsidRPr="00A82990">
        <w:rPr>
          <w:rFonts w:cs="Arial"/>
          <w:color w:val="000000"/>
          <w:shd w:val="clear" w:color="auto" w:fill="FFFFFF"/>
        </w:rPr>
        <w:t>injuries and the exacerbation of existing medical conditions</w:t>
      </w:r>
      <w:r w:rsidR="002E5ADC">
        <w:rPr>
          <w:rFonts w:cs="Arial"/>
          <w:color w:val="000000"/>
          <w:shd w:val="clear" w:color="auto" w:fill="FFFFFF"/>
        </w:rPr>
        <w:t xml:space="preserve">, </w:t>
      </w:r>
      <w:r w:rsidR="00FB151F">
        <w:rPr>
          <w:rFonts w:cs="Arial"/>
          <w:color w:val="000000"/>
          <w:shd w:val="clear" w:color="auto" w:fill="FFFFFF"/>
        </w:rPr>
        <w:t>business continuity</w:t>
      </w:r>
      <w:r w:rsidR="00624CE6">
        <w:rPr>
          <w:rFonts w:cs="Arial"/>
          <w:color w:val="000000"/>
          <w:shd w:val="clear" w:color="auto" w:fill="FFFFFF"/>
        </w:rPr>
        <w:t xml:space="preserve"> </w:t>
      </w:r>
      <w:r w:rsidR="006964A4">
        <w:rPr>
          <w:rFonts w:cs="Arial"/>
          <w:color w:val="000000"/>
          <w:shd w:val="clear" w:color="auto" w:fill="FFFFFF"/>
        </w:rPr>
        <w:t>arrangements</w:t>
      </w:r>
      <w:r w:rsidR="00CB0337">
        <w:rPr>
          <w:rFonts w:cs="Arial"/>
          <w:color w:val="000000"/>
          <w:shd w:val="clear" w:color="auto" w:fill="FFFFFF"/>
        </w:rPr>
        <w:t>, temporary relocation</w:t>
      </w:r>
      <w:r w:rsidR="0093369D">
        <w:rPr>
          <w:rFonts w:cs="Arial"/>
          <w:color w:val="000000"/>
          <w:shd w:val="clear" w:color="auto" w:fill="FFFFFF"/>
        </w:rPr>
        <w:t xml:space="preserve"> or cessation</w:t>
      </w:r>
      <w:r w:rsidR="00874739">
        <w:rPr>
          <w:rFonts w:cs="Arial"/>
          <w:color w:val="000000"/>
          <w:shd w:val="clear" w:color="auto" w:fill="FFFFFF"/>
        </w:rPr>
        <w:t xml:space="preserve"> of services</w:t>
      </w:r>
      <w:r w:rsidR="003074B2">
        <w:rPr>
          <w:rFonts w:cs="Arial"/>
          <w:color w:val="000000"/>
          <w:shd w:val="clear" w:color="auto" w:fill="FFFFFF"/>
        </w:rPr>
        <w:t xml:space="preserve"> and </w:t>
      </w:r>
      <w:r w:rsidR="00974451">
        <w:rPr>
          <w:rFonts w:cs="Arial"/>
          <w:color w:val="000000"/>
          <w:shd w:val="clear" w:color="auto" w:fill="FFFFFF"/>
        </w:rPr>
        <w:t xml:space="preserve">the </w:t>
      </w:r>
      <w:r w:rsidR="00C12CE3">
        <w:rPr>
          <w:rFonts w:cs="Arial"/>
          <w:color w:val="000000"/>
          <w:shd w:val="clear" w:color="auto" w:fill="FFFFFF"/>
        </w:rPr>
        <w:t xml:space="preserve">capacity to </w:t>
      </w:r>
      <w:r w:rsidR="00753302">
        <w:t xml:space="preserve">temporarily accommodate relocated or evacuated patients </w:t>
      </w:r>
      <w:r w:rsidR="00C12CE3">
        <w:t>from other</w:t>
      </w:r>
      <w:r w:rsidR="00A84FAB">
        <w:t xml:space="preserve"> services</w:t>
      </w:r>
      <w:r w:rsidR="00911DCA">
        <w:t xml:space="preserve"> if needed.</w:t>
      </w:r>
      <w:r w:rsidR="002E5ADC">
        <w:rPr>
          <w:rFonts w:cs="Arial"/>
          <w:color w:val="000000"/>
          <w:shd w:val="clear" w:color="auto" w:fill="FFFFFF"/>
        </w:rPr>
        <w:t xml:space="preserve"> </w:t>
      </w:r>
      <w:r w:rsidR="00CC6B75">
        <w:rPr>
          <w:rFonts w:cs="Arial"/>
          <w:color w:val="000000"/>
          <w:shd w:val="clear" w:color="auto" w:fill="FFFFFF"/>
        </w:rPr>
        <w:t xml:space="preserve"> </w:t>
      </w:r>
    </w:p>
    <w:p w14:paraId="7B4A4376" w14:textId="7955E838" w:rsidR="00914921" w:rsidRDefault="00914921" w:rsidP="00A8686A">
      <w:pPr>
        <w:pStyle w:val="Heading3"/>
        <w:numPr>
          <w:ilvl w:val="2"/>
          <w:numId w:val="17"/>
        </w:numPr>
      </w:pPr>
      <w:r>
        <w:t xml:space="preserve">Service </w:t>
      </w:r>
      <w:r w:rsidR="005B320C">
        <w:t xml:space="preserve">continuity </w:t>
      </w:r>
    </w:p>
    <w:p w14:paraId="4AF64933" w14:textId="4B470389" w:rsidR="003D2B0B" w:rsidRDefault="00DF0897" w:rsidP="001977CE">
      <w:pPr>
        <w:pStyle w:val="Body"/>
      </w:pPr>
      <w:r>
        <w:t>M</w:t>
      </w:r>
      <w:r w:rsidR="005B320C">
        <w:t>aintain</w:t>
      </w:r>
      <w:r>
        <w:t>ing</w:t>
      </w:r>
      <w:r w:rsidR="005B320C">
        <w:t xml:space="preserve"> service continuity</w:t>
      </w:r>
      <w:r>
        <w:t xml:space="preserve"> </w:t>
      </w:r>
      <w:r w:rsidR="00764E53">
        <w:t xml:space="preserve">in all types of emergencies </w:t>
      </w:r>
      <w:r w:rsidR="005B320C">
        <w:t>is a core obligation of good governance</w:t>
      </w:r>
      <w:r w:rsidR="003D2B4F">
        <w:t xml:space="preserve">. </w:t>
      </w:r>
      <w:r w:rsidR="006967C2">
        <w:t xml:space="preserve">Emergency management plans </w:t>
      </w:r>
      <w:r w:rsidR="00967EDB">
        <w:t>should include</w:t>
      </w:r>
      <w:r w:rsidR="003D2B0B">
        <w:t xml:space="preserve"> critical service continuity arrangements in the event of an emergency</w:t>
      </w:r>
      <w:r w:rsidR="00967EDB">
        <w:t>.</w:t>
      </w:r>
    </w:p>
    <w:p w14:paraId="58701C34" w14:textId="656318F2" w:rsidR="005B320C" w:rsidRDefault="004B7958" w:rsidP="005B320C">
      <w:pPr>
        <w:pStyle w:val="Body"/>
      </w:pPr>
      <w:r>
        <w:t xml:space="preserve">Health services are dependent on infrastructure including power, water, gas, waste disposal, communications, transportation, logistics and supply chains. </w:t>
      </w:r>
      <w:r w:rsidR="00B11405">
        <w:t xml:space="preserve">Rapid change generated by an emergency is challenging and should be dealt with proactively rather than reactively. </w:t>
      </w:r>
    </w:p>
    <w:p w14:paraId="5FF6EE8D" w14:textId="1C176951" w:rsidR="005B320C" w:rsidRDefault="005B320C" w:rsidP="005B320C">
      <w:pPr>
        <w:pStyle w:val="Body"/>
      </w:pPr>
      <w:r>
        <w:t xml:space="preserve">Particular attention should be given to activities, processes, resources, and dependencies that are essential for the </w:t>
      </w:r>
      <w:r w:rsidR="00AA1BCB">
        <w:t>health service</w:t>
      </w:r>
      <w:r>
        <w:t xml:space="preserve"> to quickly adapt its operations to ensure it can achieve its purpose.</w:t>
      </w:r>
    </w:p>
    <w:p w14:paraId="1F2A7423" w14:textId="796BD6E6" w:rsidR="005B320C" w:rsidRDefault="005B320C" w:rsidP="005B320C">
      <w:pPr>
        <w:pStyle w:val="Body"/>
      </w:pPr>
      <w:r>
        <w:lastRenderedPageBreak/>
        <w:t>Such strategies and capabilities enable management to quickly focus on stabilising the situation and maintaining or resuming the most important functions while still working towards eventual restoration of routine operations and full achievement of objectives.</w:t>
      </w:r>
    </w:p>
    <w:p w14:paraId="6218309E" w14:textId="2D3D1496" w:rsidR="004B097D" w:rsidRDefault="004B097D" w:rsidP="00A8686A">
      <w:pPr>
        <w:pStyle w:val="Heading3"/>
        <w:numPr>
          <w:ilvl w:val="2"/>
          <w:numId w:val="17"/>
        </w:numPr>
      </w:pPr>
      <w:r>
        <w:t xml:space="preserve">Accommodating </w:t>
      </w:r>
      <w:r w:rsidR="00224D09">
        <w:t>patients from other facilities or from the community</w:t>
      </w:r>
    </w:p>
    <w:p w14:paraId="1B4B830E" w14:textId="31C43C6C" w:rsidR="00224D09" w:rsidRPr="004E713F" w:rsidRDefault="00F067D0" w:rsidP="00224D09">
      <w:pPr>
        <w:pStyle w:val="Body"/>
        <w:rPr>
          <w:i/>
          <w:iCs/>
        </w:rPr>
      </w:pPr>
      <w:r>
        <w:t xml:space="preserve">Emergency management planning should </w:t>
      </w:r>
      <w:r w:rsidR="00224D09">
        <w:t xml:space="preserve">consider the service’s ability to temporarily accommodate relocated or evacuated patients </w:t>
      </w:r>
      <w:r w:rsidR="0044676B">
        <w:t xml:space="preserve">or residents </w:t>
      </w:r>
      <w:r w:rsidR="00224D09">
        <w:t xml:space="preserve">from other facilities or from the community. These requests will most likely come from the department through the </w:t>
      </w:r>
      <w:r w:rsidR="00224D09" w:rsidRPr="004E713F">
        <w:rPr>
          <w:i/>
          <w:iCs/>
        </w:rPr>
        <w:t xml:space="preserve">State Health Emergency Response </w:t>
      </w:r>
      <w:r w:rsidR="009E4F08" w:rsidRPr="004E713F">
        <w:rPr>
          <w:i/>
          <w:iCs/>
        </w:rPr>
        <w:t>Plan</w:t>
      </w:r>
      <w:r w:rsidRPr="004E713F">
        <w:rPr>
          <w:i/>
          <w:iCs/>
        </w:rPr>
        <w:t>.</w:t>
      </w:r>
    </w:p>
    <w:p w14:paraId="392035D5" w14:textId="4BE20D1A" w:rsidR="00F50874" w:rsidRDefault="00F067D0" w:rsidP="00A8686A">
      <w:pPr>
        <w:pStyle w:val="Heading3"/>
        <w:numPr>
          <w:ilvl w:val="2"/>
          <w:numId w:val="17"/>
        </w:numPr>
      </w:pPr>
      <w:r>
        <w:t>Service</w:t>
      </w:r>
      <w:r w:rsidR="002E3302">
        <w:t xml:space="preserve"> relocation and evacuation</w:t>
      </w:r>
    </w:p>
    <w:p w14:paraId="10C5E763" w14:textId="303F35A6" w:rsidR="00523077" w:rsidRDefault="009B6F5E" w:rsidP="002E3302">
      <w:pPr>
        <w:pStyle w:val="Body"/>
      </w:pPr>
      <w:r>
        <w:t xml:space="preserve">Emergency management planning should </w:t>
      </w:r>
      <w:r w:rsidR="00523077">
        <w:t>consider temporary relocation and transport arrangements for patients and staff leading up to or during an emergency. In doing so, planning for the appropriate use of both ambulance services and non-emergency patient transport resources</w:t>
      </w:r>
      <w:r w:rsidR="00523077" w:rsidRPr="00E0678B">
        <w:t xml:space="preserve"> </w:t>
      </w:r>
      <w:r w:rsidR="00523077">
        <w:t>must be considered, particularly as ambulance services may be limited in the event of an emergency.</w:t>
      </w:r>
    </w:p>
    <w:p w14:paraId="29175399" w14:textId="14FECC98" w:rsidR="00F067D0" w:rsidRDefault="00F067D0" w:rsidP="004A66A2">
      <w:pPr>
        <w:pStyle w:val="DHHSbodynospace"/>
        <w:rPr>
          <w:sz w:val="21"/>
          <w:szCs w:val="21"/>
        </w:rPr>
      </w:pPr>
      <w:r w:rsidRPr="00355F0C">
        <w:rPr>
          <w:sz w:val="21"/>
          <w:szCs w:val="21"/>
        </w:rPr>
        <w:t xml:space="preserve">For some emergencies, such as bushfire, remaining in-place may be the safest option. However, the conditions under which such a strategy is appropriate should be the subject of a detailed </w:t>
      </w:r>
      <w:r w:rsidR="006025D1">
        <w:rPr>
          <w:sz w:val="21"/>
          <w:szCs w:val="21"/>
        </w:rPr>
        <w:t xml:space="preserve">risk-based </w:t>
      </w:r>
      <w:r w:rsidRPr="00355F0C">
        <w:rPr>
          <w:sz w:val="21"/>
          <w:szCs w:val="21"/>
        </w:rPr>
        <w:t xml:space="preserve">assessment. </w:t>
      </w:r>
    </w:p>
    <w:p w14:paraId="69D5554C" w14:textId="2A04BE02" w:rsidR="002D5965" w:rsidRDefault="002D5965" w:rsidP="00A8686A">
      <w:pPr>
        <w:pStyle w:val="Heading2"/>
        <w:numPr>
          <w:ilvl w:val="1"/>
          <w:numId w:val="17"/>
        </w:numPr>
      </w:pPr>
      <w:bookmarkStart w:id="23" w:name="_Toc86410781"/>
      <w:r>
        <w:t>Planning resource</w:t>
      </w:r>
      <w:r w:rsidR="003F4FFE">
        <w:t>s</w:t>
      </w:r>
      <w:bookmarkEnd w:id="23"/>
      <w:r>
        <w:t xml:space="preserve"> </w:t>
      </w:r>
    </w:p>
    <w:p w14:paraId="4C8E0A4D" w14:textId="34FA1925" w:rsidR="00AE3A88" w:rsidRPr="00AE3A88" w:rsidRDefault="00AE3A88" w:rsidP="002D5965">
      <w:pPr>
        <w:pStyle w:val="Body"/>
        <w:rPr>
          <w:b/>
          <w:bCs/>
        </w:rPr>
      </w:pPr>
      <w:r w:rsidRPr="00AE3A88">
        <w:rPr>
          <w:b/>
          <w:bCs/>
        </w:rPr>
        <w:t>Health and Disaster Management handbook 2019</w:t>
      </w:r>
    </w:p>
    <w:p w14:paraId="61E94486" w14:textId="77777777" w:rsidR="00826CB6" w:rsidRDefault="002D5965" w:rsidP="002D5965">
      <w:pPr>
        <w:pStyle w:val="Body"/>
      </w:pPr>
      <w:r>
        <w:t xml:space="preserve">The </w:t>
      </w:r>
      <w:bookmarkStart w:id="24" w:name="_Hlk85201247"/>
      <w:r w:rsidRPr="00897612">
        <w:rPr>
          <w:i/>
          <w:iCs/>
        </w:rPr>
        <w:t>Health and Disaster Management handbook 2019</w:t>
      </w:r>
      <w:bookmarkEnd w:id="24"/>
      <w:r>
        <w:rPr>
          <w:i/>
          <w:iCs/>
        </w:rPr>
        <w:t xml:space="preserve">, </w:t>
      </w:r>
      <w:r w:rsidR="00510E3B">
        <w:t>produced</w:t>
      </w:r>
      <w:r w:rsidRPr="002B670E">
        <w:t xml:space="preserve"> by</w:t>
      </w:r>
      <w:r>
        <w:t xml:space="preserve"> t</w:t>
      </w:r>
      <w:r w:rsidRPr="002B670E">
        <w:t>he Australian Institute for Disaster Resilience (AIDR)</w:t>
      </w:r>
      <w:r w:rsidR="00510E3B">
        <w:t>,</w:t>
      </w:r>
      <w:r w:rsidRPr="002B670E">
        <w:t xml:space="preserve"> </w:t>
      </w:r>
      <w:r w:rsidR="000A570D">
        <w:t>is a</w:t>
      </w:r>
      <w:r w:rsidR="008B4639">
        <w:t xml:space="preserve"> comprehensive</w:t>
      </w:r>
      <w:r w:rsidR="000A570D">
        <w:t xml:space="preserve"> resource </w:t>
      </w:r>
      <w:r w:rsidRPr="002B670E">
        <w:t>outlin</w:t>
      </w:r>
      <w:r w:rsidR="00032DD5">
        <w:t>ing the c</w:t>
      </w:r>
      <w:r w:rsidRPr="002B670E">
        <w:t xml:space="preserve">ore principles and concepts </w:t>
      </w:r>
      <w:r w:rsidR="008B4639">
        <w:t>to</w:t>
      </w:r>
      <w:r w:rsidRPr="002B670E">
        <w:t xml:space="preserve"> assist</w:t>
      </w:r>
      <w:r>
        <w:t xml:space="preserve"> </w:t>
      </w:r>
      <w:r w:rsidR="00B52E4E">
        <w:t>emergency</w:t>
      </w:r>
      <w:r>
        <w:t xml:space="preserve"> planning and preparedness at all levels in the health system. Concepts such as risk, resilience, mitigation, preparedness, response and recovery are considered. The challenges of areas such as law, ethics, communications and inclusion are also considered.</w:t>
      </w:r>
      <w:r w:rsidRPr="00EA6BAB">
        <w:t xml:space="preserve"> </w:t>
      </w:r>
    </w:p>
    <w:p w14:paraId="2BE4306D" w14:textId="7AEDF9C8" w:rsidR="008804A2" w:rsidRDefault="00826CB6" w:rsidP="008804A2">
      <w:pPr>
        <w:rPr>
          <w:rFonts w:asciiTheme="minorHAnsi" w:hAnsiTheme="minorHAnsi"/>
          <w:sz w:val="22"/>
        </w:rPr>
      </w:pPr>
      <w:r>
        <w:t xml:space="preserve">More information available </w:t>
      </w:r>
      <w:r w:rsidR="008804A2">
        <w:t xml:space="preserve">at </w:t>
      </w:r>
      <w:hyperlink r:id="rId28" w:history="1">
        <w:r w:rsidR="008804A2">
          <w:rPr>
            <w:rStyle w:val="Hyperlink"/>
          </w:rPr>
          <w:t>https://knowledge.aidr.org.au/resources/health-and-disaster-management-handbook/</w:t>
        </w:r>
      </w:hyperlink>
    </w:p>
    <w:p w14:paraId="3836372D" w14:textId="6C229BB0" w:rsidR="002D5965" w:rsidRDefault="002D5965" w:rsidP="002D5965">
      <w:pPr>
        <w:pStyle w:val="Body"/>
      </w:pPr>
    </w:p>
    <w:p w14:paraId="1C0E43D5" w14:textId="33C3B2D2" w:rsidR="00AE3A88" w:rsidRPr="00AE3A88" w:rsidRDefault="00AE3A88" w:rsidP="002D5965">
      <w:pPr>
        <w:pStyle w:val="Body"/>
        <w:rPr>
          <w:b/>
          <w:bCs/>
        </w:rPr>
      </w:pPr>
      <w:r w:rsidRPr="00AE3A88">
        <w:rPr>
          <w:b/>
          <w:bCs/>
        </w:rPr>
        <w:t>Victorian Preparedness Framework</w:t>
      </w:r>
    </w:p>
    <w:p w14:paraId="2D6C527D" w14:textId="77777777" w:rsidR="00826CB6" w:rsidRDefault="003F4FFE" w:rsidP="00152329">
      <w:pPr>
        <w:pStyle w:val="Body"/>
      </w:pPr>
      <w:r>
        <w:t>T</w:t>
      </w:r>
      <w:r w:rsidRPr="003F4FFE">
        <w:t xml:space="preserve">he </w:t>
      </w:r>
      <w:bookmarkStart w:id="25" w:name="_Hlk85201303"/>
      <w:r w:rsidRPr="00561758">
        <w:rPr>
          <w:i/>
          <w:iCs/>
        </w:rPr>
        <w:t>Victorian Preparedness Framework</w:t>
      </w:r>
      <w:r w:rsidRPr="003F4FFE">
        <w:t xml:space="preserve"> </w:t>
      </w:r>
      <w:bookmarkEnd w:id="25"/>
      <w:r w:rsidR="003B749F">
        <w:t>(Emergency Management Victoria</w:t>
      </w:r>
      <w:r w:rsidR="00FB6C95">
        <w:t>,</w:t>
      </w:r>
      <w:r w:rsidR="003B749F">
        <w:t xml:space="preserve"> 2018</w:t>
      </w:r>
      <w:r w:rsidR="00FB6C95">
        <w:t xml:space="preserve">) </w:t>
      </w:r>
      <w:r w:rsidRPr="003F4FFE">
        <w:t>is</w:t>
      </w:r>
      <w:r w:rsidR="00F21CE2" w:rsidRPr="00561758">
        <w:t xml:space="preserve"> a model that enables and supports the building of resilienc</w:t>
      </w:r>
      <w:r w:rsidR="00EA223A" w:rsidRPr="00561758">
        <w:t xml:space="preserve">e. </w:t>
      </w:r>
      <w:r w:rsidR="00FB6C95">
        <w:t xml:space="preserve">The framework can be </w:t>
      </w:r>
      <w:r w:rsidR="00B52114">
        <w:t xml:space="preserve">used as </w:t>
      </w:r>
      <w:r w:rsidRPr="003F4FFE">
        <w:t xml:space="preserve">a planning tool to assist in understanding the capabilities required through all stages of a major emergency. It provides </w:t>
      </w:r>
      <w:r w:rsidR="008E44B1">
        <w:t xml:space="preserve">a </w:t>
      </w:r>
      <w:r w:rsidRPr="003F4FFE">
        <w:t xml:space="preserve">methodology to develop capability requirements or targets, and the critical tasks required to achieve the core capabilities of those targets.  </w:t>
      </w:r>
    </w:p>
    <w:p w14:paraId="55C36AFC" w14:textId="5A6BAB8D" w:rsidR="00F01DD7" w:rsidRDefault="00826CB6" w:rsidP="00152329">
      <w:pPr>
        <w:pStyle w:val="Body"/>
      </w:pPr>
      <w:r>
        <w:t xml:space="preserve">The Victorian Preparedness Framework is available here: </w:t>
      </w:r>
      <w:hyperlink r:id="rId29" w:anchor="query" w:history="1">
        <w:r w:rsidR="0090640B" w:rsidRPr="00455312">
          <w:rPr>
            <w:rStyle w:val="Hyperlink"/>
          </w:rPr>
          <w:t>https://www.emv.vic.gov.au/how-we-help/emergency-management-capability-in-victoria/victorian-preparedness-framework?#query</w:t>
        </w:r>
      </w:hyperlink>
    </w:p>
    <w:p w14:paraId="55A6957F" w14:textId="77777777" w:rsidR="0090640B" w:rsidRDefault="0090640B" w:rsidP="00152329">
      <w:pPr>
        <w:pStyle w:val="Body"/>
      </w:pPr>
    </w:p>
    <w:p w14:paraId="033CEBAC" w14:textId="199E82B8" w:rsidR="0048033C" w:rsidRDefault="00780CE3" w:rsidP="0048033C">
      <w:pPr>
        <w:pStyle w:val="Heading1"/>
        <w:numPr>
          <w:ilvl w:val="0"/>
          <w:numId w:val="7"/>
        </w:numPr>
      </w:pPr>
      <w:bookmarkStart w:id="26" w:name="_Toc86410782"/>
      <w:bookmarkStart w:id="27" w:name="_Hlk66712316"/>
      <w:bookmarkStart w:id="28" w:name="_Hlk85622485"/>
      <w:r>
        <w:lastRenderedPageBreak/>
        <w:t>During and after an emergency</w:t>
      </w:r>
      <w:bookmarkEnd w:id="26"/>
    </w:p>
    <w:p w14:paraId="5329E326" w14:textId="41035400" w:rsidR="0048033C" w:rsidRDefault="00633034" w:rsidP="0048033C">
      <w:pPr>
        <w:pStyle w:val="Body"/>
      </w:pPr>
      <w:bookmarkStart w:id="29" w:name="_Hlk86399317"/>
      <w:r>
        <w:t>Health services</w:t>
      </w:r>
      <w:r w:rsidR="0048033C">
        <w:t xml:space="preserve"> are responsible for activating their emergency management plans immediately when they become aware of a risk or actual emergency. Do not wait for notification or advice from the department or emergency services.</w:t>
      </w:r>
    </w:p>
    <w:bookmarkEnd w:id="29"/>
    <w:p w14:paraId="08FC1575" w14:textId="651B36A4" w:rsidR="0048033C" w:rsidRDefault="0048033C" w:rsidP="0048033C">
      <w:pPr>
        <w:pStyle w:val="Body"/>
      </w:pPr>
      <w:r>
        <w:t xml:space="preserve">Services need to continually monitor risks and warnings through local networks, as well as mainstream media, and maintain regular contact with local emergency service agencies, particularly during high-risk periods. </w:t>
      </w:r>
    </w:p>
    <w:p w14:paraId="463DBC47" w14:textId="65322FEE" w:rsidR="0048033C" w:rsidRDefault="0048033C" w:rsidP="00A810B3">
      <w:pPr>
        <w:pStyle w:val="Heading2"/>
        <w:numPr>
          <w:ilvl w:val="1"/>
          <w:numId w:val="25"/>
        </w:numPr>
      </w:pPr>
      <w:bookmarkStart w:id="30" w:name="_Toc83640134"/>
      <w:bookmarkStart w:id="31" w:name="_Toc86410783"/>
      <w:r>
        <w:t>Sources of emergency information</w:t>
      </w:r>
      <w:bookmarkEnd w:id="30"/>
      <w:bookmarkEnd w:id="31"/>
    </w:p>
    <w:p w14:paraId="496CD027" w14:textId="77777777" w:rsidR="0048033C" w:rsidRDefault="0048033C" w:rsidP="0048033C">
      <w:pPr>
        <w:pStyle w:val="Body"/>
        <w:rPr>
          <w:lang w:eastAsia="en-AU"/>
        </w:rPr>
      </w:pPr>
      <w:r>
        <w:rPr>
          <w:lang w:eastAsia="en-AU"/>
        </w:rPr>
        <w:t>Information about current and forecast conditions is available from a variety of media sources, including radio, television, and the internet. Agencies such as the Bureau of Meteorology, the Victoria State Emergency Service, fire services and Victoria Police monitor forecast hazards and provide advice and warnings.</w:t>
      </w:r>
    </w:p>
    <w:p w14:paraId="6E7A3245" w14:textId="77777777" w:rsidR="0048033C" w:rsidRDefault="0054440D" w:rsidP="0048033C">
      <w:pPr>
        <w:pStyle w:val="Body"/>
      </w:pPr>
      <w:hyperlink r:id="rId30" w:history="1">
        <w:r w:rsidR="0048033C" w:rsidRPr="00F672FD">
          <w:rPr>
            <w:rStyle w:val="Hyperlink"/>
            <w:lang w:eastAsia="en-AU"/>
          </w:rPr>
          <w:t>VicEmergency</w:t>
        </w:r>
      </w:hyperlink>
      <w:r w:rsidR="0048033C">
        <w:rPr>
          <w:lang w:eastAsia="en-AU"/>
        </w:rPr>
        <w:t xml:space="preserve"> &lt;emergency.vic.gov.au&gt; is a single all-emergencies website for Victoria. It is Victoria’s primary website for incident information and warnings. VicEmergency displays a real-time map with incidents across Victoria including fires, floods, storms, power outages, hazardous material incidents and traffic incidents. The site also includes information from the Environment Protection Authority and the Chief Health Officer.</w:t>
      </w:r>
    </w:p>
    <w:p w14:paraId="60E7738E" w14:textId="77777777" w:rsidR="0048033C" w:rsidRDefault="0048033C" w:rsidP="0048033C">
      <w:pPr>
        <w:pStyle w:val="Body"/>
        <w:rPr>
          <w:rStyle w:val="Hyperlink"/>
          <w:color w:val="auto"/>
          <w:u w:val="none"/>
        </w:rPr>
      </w:pPr>
      <w:r w:rsidRPr="004952EB">
        <w:rPr>
          <w:rStyle w:val="Hyperlink"/>
          <w:color w:val="auto"/>
          <w:u w:val="none"/>
        </w:rPr>
        <w:t xml:space="preserve">The VicEmergency app can be downloaded to mobile devices. </w:t>
      </w:r>
      <w:r>
        <w:rPr>
          <w:rStyle w:val="Hyperlink"/>
          <w:color w:val="auto"/>
          <w:u w:val="none"/>
        </w:rPr>
        <w:t>T</w:t>
      </w:r>
      <w:r w:rsidRPr="004952EB">
        <w:rPr>
          <w:rStyle w:val="Hyperlink"/>
          <w:color w:val="auto"/>
          <w:u w:val="none"/>
        </w:rPr>
        <w:t>he app allows users to create a location-based profile to access official emergency-related warnings and information.</w:t>
      </w:r>
    </w:p>
    <w:p w14:paraId="2A48FD68" w14:textId="67AE2848" w:rsidR="0048033C" w:rsidRDefault="0048033C" w:rsidP="0048033C">
      <w:pPr>
        <w:pStyle w:val="Body"/>
      </w:pPr>
      <w:r>
        <w:t xml:space="preserve">The </w:t>
      </w:r>
      <w:hyperlink r:id="rId31" w:history="1">
        <w:r w:rsidRPr="00FE5EBA">
          <w:rPr>
            <w:rStyle w:val="Hyperlink"/>
          </w:rPr>
          <w:t>Country Fire Authority (CFA) website</w:t>
        </w:r>
      </w:hyperlink>
      <w:r w:rsidR="008804A2">
        <w:rPr>
          <w:rStyle w:val="Hyperlink"/>
        </w:rPr>
        <w:t xml:space="preserve"> at</w:t>
      </w:r>
      <w:r>
        <w:t xml:space="preserve"> </w:t>
      </w:r>
      <w:r w:rsidRPr="00FE5EBA">
        <w:t>https://www.cfa.vic.gov.au/warnings-restrictions</w:t>
      </w:r>
      <w:r>
        <w:t xml:space="preserve"> has up-to-date information on local fire danger ratings, total fire bans and Code Red Days.</w:t>
      </w:r>
    </w:p>
    <w:p w14:paraId="4D2E4B0F" w14:textId="1F4558B1" w:rsidR="0048033C" w:rsidRDefault="0048033C" w:rsidP="0048033C">
      <w:pPr>
        <w:pStyle w:val="Body"/>
      </w:pPr>
      <w:r>
        <w:t>The Australian Broadcasting Corporation (ABC) and other local media are also important sources of information during emergencies.</w:t>
      </w:r>
      <w:r w:rsidR="008804A2">
        <w:t xml:space="preserve"> They will broadcast </w:t>
      </w:r>
      <w:r w:rsidR="008804A2" w:rsidRPr="0085716E">
        <w:t xml:space="preserve">emergency warnings and alerts relevant to </w:t>
      </w:r>
      <w:r w:rsidR="008804A2">
        <w:t xml:space="preserve">local areas on a range of frequencies across Victoria. You can find your local emergency broadcasters at </w:t>
      </w:r>
      <w:r w:rsidRPr="000B0221">
        <w:t>https://www.emv.vic.gov.au/responsibilities/victorias-warning-system/emergency-broadcasters/list</w:t>
      </w:r>
      <w:r w:rsidR="008804A2">
        <w:t xml:space="preserve">. </w:t>
      </w:r>
    </w:p>
    <w:p w14:paraId="1A5CA5B9" w14:textId="3DB6E802" w:rsidR="004C17A1" w:rsidRDefault="009F63BD" w:rsidP="00A810B3">
      <w:pPr>
        <w:pStyle w:val="Heading2"/>
        <w:numPr>
          <w:ilvl w:val="1"/>
          <w:numId w:val="25"/>
        </w:numPr>
        <w:rPr>
          <w:rFonts w:cs="Arial"/>
        </w:rPr>
      </w:pPr>
      <w:bookmarkStart w:id="32" w:name="_Toc86410784"/>
      <w:bookmarkEnd w:id="27"/>
      <w:bookmarkEnd w:id="28"/>
      <w:r>
        <w:rPr>
          <w:rFonts w:cs="Arial"/>
        </w:rPr>
        <w:t>Two-way communication with</w:t>
      </w:r>
      <w:r w:rsidR="00EE01DD">
        <w:rPr>
          <w:rFonts w:cs="Arial"/>
        </w:rPr>
        <w:t xml:space="preserve"> the department</w:t>
      </w:r>
      <w:bookmarkEnd w:id="32"/>
    </w:p>
    <w:p w14:paraId="4517C472" w14:textId="270395E5" w:rsidR="009F63BD" w:rsidRDefault="009F63BD" w:rsidP="00360467">
      <w:pPr>
        <w:rPr>
          <w:rFonts w:eastAsia="Arial" w:cs="Arial"/>
        </w:rPr>
      </w:pPr>
      <w:r>
        <w:t xml:space="preserve">The department will issue a state-wide ‘first wave’ notification to the health </w:t>
      </w:r>
      <w:r w:rsidR="006907C2">
        <w:t>service</w:t>
      </w:r>
      <w:r w:rsidR="004A32C9">
        <w:t xml:space="preserve"> single point of contact </w:t>
      </w:r>
      <w:r>
        <w:t>for any incident that may present a substantial risk to the health and wellbeing of Victorian communities</w:t>
      </w:r>
      <w:r w:rsidR="001D2128">
        <w:t xml:space="preserve"> </w:t>
      </w:r>
      <w:r w:rsidR="006907C2">
        <w:t>(</w:t>
      </w:r>
      <w:r w:rsidR="004A32C9" w:rsidRPr="00F730D0">
        <w:t xml:space="preserve">refer to </w:t>
      </w:r>
      <w:r w:rsidR="00BC509A" w:rsidRPr="00F730D0">
        <w:t>2.</w:t>
      </w:r>
      <w:r w:rsidR="00F730D0" w:rsidRPr="00F730D0">
        <w:t>3</w:t>
      </w:r>
      <w:r w:rsidR="006907C2" w:rsidRPr="00F730D0">
        <w:t>)</w:t>
      </w:r>
      <w:r w:rsidRPr="00F730D0">
        <w:t>.</w:t>
      </w:r>
    </w:p>
    <w:p w14:paraId="18227D85" w14:textId="07140D4A" w:rsidR="00360467" w:rsidRDefault="00360467" w:rsidP="00360467">
      <w:pPr>
        <w:rPr>
          <w:rFonts w:eastAsia="Arial" w:cs="Arial"/>
        </w:rPr>
      </w:pPr>
      <w:bookmarkStart w:id="33" w:name="_Hlk86400857"/>
      <w:r>
        <w:rPr>
          <w:rFonts w:eastAsia="Arial" w:cs="Arial"/>
        </w:rPr>
        <w:t xml:space="preserve">Health services </w:t>
      </w:r>
      <w:r w:rsidR="00745C70">
        <w:rPr>
          <w:rFonts w:eastAsia="Arial" w:cs="Arial"/>
        </w:rPr>
        <w:t>are required to</w:t>
      </w:r>
      <w:r w:rsidRPr="00B30C85">
        <w:rPr>
          <w:rFonts w:eastAsia="Arial" w:cs="Arial"/>
        </w:rPr>
        <w:t xml:space="preserve"> </w:t>
      </w:r>
      <w:r w:rsidR="003B4C6E">
        <w:rPr>
          <w:rFonts w:eastAsia="Arial" w:cs="Arial"/>
        </w:rPr>
        <w:t xml:space="preserve">initiate </w:t>
      </w:r>
      <w:r w:rsidRPr="00B30C85">
        <w:rPr>
          <w:rFonts w:eastAsia="Arial" w:cs="Arial"/>
        </w:rPr>
        <w:t xml:space="preserve">contact </w:t>
      </w:r>
      <w:r w:rsidR="003B4C6E">
        <w:rPr>
          <w:rFonts w:eastAsia="Arial" w:cs="Arial"/>
        </w:rPr>
        <w:t xml:space="preserve">with </w:t>
      </w:r>
      <w:r w:rsidRPr="00B30C85">
        <w:rPr>
          <w:rFonts w:eastAsia="Arial" w:cs="Arial"/>
        </w:rPr>
        <w:t xml:space="preserve">the </w:t>
      </w:r>
      <w:r w:rsidR="00BC509A">
        <w:rPr>
          <w:rFonts w:eastAsia="Arial" w:cs="Arial"/>
        </w:rPr>
        <w:t>d</w:t>
      </w:r>
      <w:r w:rsidRPr="00B30C85">
        <w:rPr>
          <w:rFonts w:eastAsia="Arial" w:cs="Arial"/>
        </w:rPr>
        <w:t>epartment if a</w:t>
      </w:r>
      <w:r w:rsidR="00745C70">
        <w:rPr>
          <w:rFonts w:eastAsia="Arial" w:cs="Arial"/>
        </w:rPr>
        <w:t>n</w:t>
      </w:r>
      <w:r w:rsidRPr="00B30C85">
        <w:rPr>
          <w:rFonts w:eastAsia="Arial" w:cs="Arial"/>
        </w:rPr>
        <w:t xml:space="preserve"> emergency is impacting service</w:t>
      </w:r>
      <w:r w:rsidR="001B7DB8">
        <w:rPr>
          <w:rFonts w:eastAsia="Arial" w:cs="Arial"/>
        </w:rPr>
        <w:t>s</w:t>
      </w:r>
      <w:bookmarkEnd w:id="33"/>
      <w:r w:rsidRPr="00B30C85">
        <w:rPr>
          <w:rFonts w:eastAsia="Arial" w:cs="Arial"/>
        </w:rPr>
        <w:t xml:space="preserve">. Examples may be that services have been cut off by flood waters; emergency services have instructed a service to relocate or evacuate; or a service is experiencing prolonged power outages. </w:t>
      </w:r>
    </w:p>
    <w:p w14:paraId="621AE6E9" w14:textId="18AE454A" w:rsidR="001B7DB8" w:rsidRPr="00B30C85" w:rsidRDefault="00745C70" w:rsidP="00360467">
      <w:pPr>
        <w:rPr>
          <w:rFonts w:eastAsia="Times"/>
        </w:rPr>
      </w:pPr>
      <w:r>
        <w:rPr>
          <w:rFonts w:eastAsia="Times"/>
        </w:rPr>
        <w:t>Ongoing c</w:t>
      </w:r>
      <w:r w:rsidR="003B4C6E">
        <w:rPr>
          <w:rFonts w:eastAsia="Times"/>
        </w:rPr>
        <w:t>ommuni</w:t>
      </w:r>
      <w:r w:rsidR="00AB538D">
        <w:rPr>
          <w:rFonts w:eastAsia="Times"/>
        </w:rPr>
        <w:t xml:space="preserve">cation </w:t>
      </w:r>
      <w:r>
        <w:rPr>
          <w:rFonts w:eastAsia="Times"/>
        </w:rPr>
        <w:t xml:space="preserve">between </w:t>
      </w:r>
      <w:r w:rsidR="008D2996">
        <w:rPr>
          <w:rFonts w:eastAsia="Times"/>
        </w:rPr>
        <w:t xml:space="preserve">the department and </w:t>
      </w:r>
      <w:r w:rsidR="00FD6E32">
        <w:rPr>
          <w:rFonts w:eastAsia="Times"/>
        </w:rPr>
        <w:t xml:space="preserve">health services </w:t>
      </w:r>
      <w:r w:rsidR="00F00A8D">
        <w:rPr>
          <w:rFonts w:eastAsia="Times"/>
        </w:rPr>
        <w:t xml:space="preserve">to monitor the impact </w:t>
      </w:r>
      <w:r w:rsidR="002F6D80">
        <w:rPr>
          <w:rFonts w:eastAsia="Times"/>
        </w:rPr>
        <w:t xml:space="preserve">of an emergency </w:t>
      </w:r>
      <w:r w:rsidR="00EE6246">
        <w:rPr>
          <w:rFonts w:eastAsia="Times"/>
        </w:rPr>
        <w:t xml:space="preserve">and provide assistance </w:t>
      </w:r>
      <w:r w:rsidR="00623E1E">
        <w:rPr>
          <w:rFonts w:eastAsia="Times"/>
        </w:rPr>
        <w:t xml:space="preserve">where necessary </w:t>
      </w:r>
      <w:r w:rsidR="002F6D80">
        <w:rPr>
          <w:rFonts w:eastAsia="Times"/>
        </w:rPr>
        <w:t xml:space="preserve">is important until services </w:t>
      </w:r>
      <w:r w:rsidR="00EE6246">
        <w:rPr>
          <w:rFonts w:eastAsia="Times"/>
        </w:rPr>
        <w:t xml:space="preserve">return to usual. </w:t>
      </w:r>
    </w:p>
    <w:p w14:paraId="0248CB2E" w14:textId="77777777" w:rsidR="00EE01DD" w:rsidRDefault="00EE01DD" w:rsidP="00EE01DD">
      <w:pPr>
        <w:pStyle w:val="Body"/>
        <w:rPr>
          <w:rFonts w:cs="Arial"/>
        </w:rPr>
      </w:pPr>
      <w:r>
        <w:rPr>
          <w:szCs w:val="21"/>
        </w:rPr>
        <w:t xml:space="preserve">Information for health services about when and how to contact the department </w:t>
      </w:r>
      <w:r w:rsidRPr="00B30C85">
        <w:rPr>
          <w:rFonts w:cs="Arial"/>
        </w:rPr>
        <w:t xml:space="preserve">if a major emergency is impacting </w:t>
      </w:r>
      <w:r>
        <w:rPr>
          <w:rFonts w:cs="Arial"/>
        </w:rPr>
        <w:t>the</w:t>
      </w:r>
      <w:r w:rsidRPr="00B30C85">
        <w:rPr>
          <w:rFonts w:cs="Arial"/>
        </w:rPr>
        <w:t xml:space="preserve"> service</w:t>
      </w:r>
      <w:r>
        <w:rPr>
          <w:rFonts w:cs="Arial"/>
        </w:rPr>
        <w:t xml:space="preserve">s is provided in </w:t>
      </w:r>
      <w:r w:rsidRPr="004C17A1">
        <w:rPr>
          <w:b/>
          <w:bCs/>
          <w:szCs w:val="21"/>
        </w:rPr>
        <w:t>Appendix 1</w:t>
      </w:r>
      <w:r>
        <w:rPr>
          <w:b/>
          <w:bCs/>
          <w:szCs w:val="21"/>
        </w:rPr>
        <w:t>.</w:t>
      </w:r>
    </w:p>
    <w:p w14:paraId="4D9B50E3" w14:textId="5A7AE7EF" w:rsidR="00CA422B" w:rsidRDefault="00CA422B" w:rsidP="004C17A1">
      <w:pPr>
        <w:pStyle w:val="Body"/>
        <w:rPr>
          <w:rFonts w:cs="Arial"/>
        </w:rPr>
      </w:pPr>
    </w:p>
    <w:p w14:paraId="3820A300" w14:textId="571A1569" w:rsidR="00CA422B" w:rsidRDefault="00CA422B" w:rsidP="004C17A1">
      <w:pPr>
        <w:pStyle w:val="Body"/>
        <w:rPr>
          <w:rFonts w:cs="Arial"/>
        </w:rPr>
      </w:pPr>
    </w:p>
    <w:p w14:paraId="1EB431E4" w14:textId="73B4F910" w:rsidR="00CA422B" w:rsidRDefault="00CA422B" w:rsidP="004C17A1">
      <w:pPr>
        <w:pStyle w:val="Body"/>
        <w:rPr>
          <w:rFonts w:cs="Arial"/>
        </w:rPr>
      </w:pPr>
    </w:p>
    <w:p w14:paraId="00C3D7CC" w14:textId="743A5FAF" w:rsidR="00F24CA4" w:rsidRDefault="00F24CA4">
      <w:pPr>
        <w:spacing w:after="0" w:line="240" w:lineRule="auto"/>
        <w:rPr>
          <w:rFonts w:eastAsia="Times" w:cs="Arial"/>
        </w:rPr>
      </w:pPr>
      <w:r>
        <w:rPr>
          <w:rFonts w:cs="Arial"/>
        </w:rPr>
        <w:br w:type="page"/>
      </w:r>
    </w:p>
    <w:p w14:paraId="3B9EBD24" w14:textId="6B3861BA" w:rsidR="00A67B46" w:rsidRPr="00B51958" w:rsidRDefault="00F24CA4" w:rsidP="00A42C26">
      <w:pPr>
        <w:pStyle w:val="Heading1"/>
        <w:numPr>
          <w:ilvl w:val="0"/>
          <w:numId w:val="0"/>
        </w:numPr>
        <w:spacing w:before="0"/>
        <w:rPr>
          <w:sz w:val="32"/>
        </w:rPr>
      </w:pPr>
      <w:bookmarkStart w:id="34" w:name="_Toc86410785"/>
      <w:r w:rsidRPr="00841614">
        <w:lastRenderedPageBreak/>
        <w:t>Appendi</w:t>
      </w:r>
      <w:r w:rsidR="00186CDA">
        <w:t>x 1</w:t>
      </w:r>
      <w:r w:rsidR="00841614">
        <w:t xml:space="preserve"> </w:t>
      </w:r>
      <w:r w:rsidR="00950C15">
        <w:t xml:space="preserve">- </w:t>
      </w:r>
      <w:r w:rsidR="00A67B46">
        <w:t xml:space="preserve">Contacting the </w:t>
      </w:r>
      <w:r w:rsidR="00114436">
        <w:t>D</w:t>
      </w:r>
      <w:r w:rsidR="00A67B46">
        <w:t xml:space="preserve">epartment </w:t>
      </w:r>
      <w:r w:rsidR="00114436">
        <w:t xml:space="preserve">of Health </w:t>
      </w:r>
      <w:r w:rsidR="00A67B46">
        <w:t>during</w:t>
      </w:r>
      <w:r w:rsidR="00A67B46" w:rsidRPr="00841614">
        <w:t xml:space="preserve"> </w:t>
      </w:r>
      <w:r w:rsidR="00A67B46" w:rsidRPr="00950C15">
        <w:t>an</w:t>
      </w:r>
      <w:r w:rsidR="00950C15">
        <w:t xml:space="preserve"> </w:t>
      </w:r>
      <w:r w:rsidR="00A67B46" w:rsidRPr="00950C15">
        <w:t>emergency</w:t>
      </w:r>
      <w:bookmarkEnd w:id="34"/>
    </w:p>
    <w:p w14:paraId="480BADD1" w14:textId="3A8DF0CC" w:rsidR="00080521" w:rsidRPr="00B30C85" w:rsidRDefault="00080521" w:rsidP="00114436">
      <w:pPr>
        <w:pStyle w:val="Heading3"/>
        <w:numPr>
          <w:ilvl w:val="0"/>
          <w:numId w:val="0"/>
        </w:numPr>
      </w:pPr>
      <w:r w:rsidRPr="00B30C85">
        <w:t xml:space="preserve">When to contact the </w:t>
      </w:r>
      <w:bookmarkStart w:id="35" w:name="_Hlk85622771"/>
      <w:r w:rsidRPr="00B30C85">
        <w:t>D</w:t>
      </w:r>
      <w:r w:rsidR="00F23C6D">
        <w:t xml:space="preserve">epartment of </w:t>
      </w:r>
      <w:r w:rsidRPr="00B30C85">
        <w:t>H</w:t>
      </w:r>
      <w:r w:rsidR="00F23C6D">
        <w:t>ealth</w:t>
      </w:r>
      <w:r w:rsidRPr="00B30C85">
        <w:t xml:space="preserve"> </w:t>
      </w:r>
      <w:bookmarkEnd w:id="35"/>
      <w:r w:rsidRPr="00B30C85">
        <w:t>emergency management team</w:t>
      </w:r>
    </w:p>
    <w:p w14:paraId="031809DD" w14:textId="77777777" w:rsidR="00080521" w:rsidRPr="00B30C85" w:rsidRDefault="00080521" w:rsidP="00A8686A">
      <w:pPr>
        <w:numPr>
          <w:ilvl w:val="0"/>
          <w:numId w:val="18"/>
        </w:numPr>
        <w:rPr>
          <w:rFonts w:eastAsia="Times"/>
        </w:rPr>
      </w:pPr>
      <w:r w:rsidRPr="00B30C85">
        <w:rPr>
          <w:rFonts w:eastAsia="Arial" w:cs="Arial"/>
        </w:rPr>
        <w:t xml:space="preserve">You should contact the Department of Health </w:t>
      </w:r>
      <w:bookmarkStart w:id="36" w:name="_Hlk85623007"/>
      <w:r w:rsidRPr="00B30C85">
        <w:rPr>
          <w:rFonts w:eastAsia="Arial" w:cs="Arial"/>
        </w:rPr>
        <w:t>if a major emergency is impacting your health service.</w:t>
      </w:r>
      <w:bookmarkEnd w:id="36"/>
      <w:r w:rsidRPr="00B30C85">
        <w:rPr>
          <w:rFonts w:eastAsia="Arial" w:cs="Arial"/>
        </w:rPr>
        <w:t xml:space="preserve"> Examples may be that services have been cut off by flood waters; emergency services have instructed a service to relocate or evacuate; or a service is experiencing prolonged power outages. </w:t>
      </w:r>
    </w:p>
    <w:p w14:paraId="4C3F1C15" w14:textId="77777777" w:rsidR="00080521" w:rsidRPr="00B30C85" w:rsidRDefault="00080521" w:rsidP="00A8686A">
      <w:pPr>
        <w:numPr>
          <w:ilvl w:val="0"/>
          <w:numId w:val="18"/>
        </w:numPr>
        <w:rPr>
          <w:rFonts w:eastAsia="Times"/>
          <w:b/>
          <w:bCs/>
          <w:i/>
          <w:iCs/>
        </w:rPr>
      </w:pPr>
      <w:bookmarkStart w:id="37" w:name="_Hlk86400936"/>
      <w:r w:rsidRPr="00B30C85">
        <w:rPr>
          <w:rFonts w:eastAsia="Arial" w:cs="Arial"/>
          <w:b/>
          <w:bCs/>
          <w:i/>
          <w:iCs/>
        </w:rPr>
        <w:t>In an emergency that requires an immediate response from police, fire or ambulance call triple zero (000).</w:t>
      </w:r>
      <w:bookmarkEnd w:id="37"/>
    </w:p>
    <w:p w14:paraId="3F415817" w14:textId="71EF513A" w:rsidR="00B30C85" w:rsidRPr="00B30C85" w:rsidRDefault="00B30C85" w:rsidP="00027CC8">
      <w:pPr>
        <w:pStyle w:val="Heading3"/>
        <w:numPr>
          <w:ilvl w:val="0"/>
          <w:numId w:val="0"/>
        </w:numPr>
      </w:pPr>
      <w:r w:rsidRPr="00B30C85">
        <w:t xml:space="preserve">How to contact the </w:t>
      </w:r>
      <w:r w:rsidR="00027CC8" w:rsidRPr="00027CC8">
        <w:t>Department of Health</w:t>
      </w:r>
      <w:r w:rsidRPr="00B30C85">
        <w:t xml:space="preserve"> </w:t>
      </w:r>
      <w:r w:rsidR="00027CC8">
        <w:t>e</w:t>
      </w:r>
      <w:r w:rsidRPr="00B30C85">
        <w:t xml:space="preserve">mergency </w:t>
      </w:r>
      <w:r w:rsidR="00027CC8">
        <w:t>m</w:t>
      </w:r>
      <w:r w:rsidRPr="00B30C85">
        <w:t xml:space="preserve">anagement </w:t>
      </w:r>
      <w:r w:rsidR="00027CC8">
        <w:t>t</w:t>
      </w:r>
      <w:r w:rsidRPr="00B30C85">
        <w:t>eam</w:t>
      </w:r>
    </w:p>
    <w:p w14:paraId="48DD3E80" w14:textId="77777777" w:rsidR="00B30C85" w:rsidRPr="00B30C85" w:rsidRDefault="00B30C85" w:rsidP="00A8686A">
      <w:pPr>
        <w:numPr>
          <w:ilvl w:val="0"/>
          <w:numId w:val="18"/>
        </w:numPr>
        <w:rPr>
          <w:rFonts w:eastAsia="Arial" w:cs="Arial"/>
        </w:rPr>
      </w:pPr>
      <w:r w:rsidRPr="00B30C85">
        <w:rPr>
          <w:rFonts w:eastAsia="Arial" w:cs="Arial"/>
        </w:rPr>
        <w:t xml:space="preserve">During an emergency you can contact the Department of Health 24-hour, seven-days a week by calling 1300 790 733. </w:t>
      </w:r>
    </w:p>
    <w:p w14:paraId="6AB38DAA" w14:textId="73A1FF13" w:rsidR="00B30C85" w:rsidRPr="00B30C85" w:rsidRDefault="00B30C85" w:rsidP="00A8686A">
      <w:pPr>
        <w:numPr>
          <w:ilvl w:val="0"/>
          <w:numId w:val="18"/>
        </w:numPr>
        <w:rPr>
          <w:rFonts w:eastAsia="Arial" w:cs="Arial"/>
        </w:rPr>
      </w:pPr>
      <w:r w:rsidRPr="00B30C85">
        <w:rPr>
          <w:rFonts w:eastAsia="Arial" w:cs="Arial"/>
        </w:rPr>
        <w:t xml:space="preserve">Please ask the call operator to speak to the </w:t>
      </w:r>
      <w:r w:rsidRPr="00B30C85">
        <w:rPr>
          <w:rFonts w:eastAsia="Arial" w:cs="Arial"/>
          <w:b/>
          <w:bCs/>
        </w:rPr>
        <w:t>Health - State Duty Officer</w:t>
      </w:r>
      <w:r w:rsidRPr="00B30C85">
        <w:rPr>
          <w:rFonts w:eastAsia="Arial" w:cs="Arial"/>
        </w:rPr>
        <w:t xml:space="preserve">; and leave your name and phone number. </w:t>
      </w:r>
      <w:r w:rsidR="00D665C4">
        <w:rPr>
          <w:rFonts w:eastAsia="Arial" w:cs="Arial"/>
        </w:rPr>
        <w:t xml:space="preserve">The State Duty Officer </w:t>
      </w:r>
      <w:r w:rsidRPr="00B30C85">
        <w:rPr>
          <w:rFonts w:eastAsia="Arial" w:cs="Arial"/>
        </w:rPr>
        <w:t xml:space="preserve">will immediately return your call. </w:t>
      </w:r>
    </w:p>
    <w:p w14:paraId="054E9272" w14:textId="36FBFAE8" w:rsidR="00B30C85" w:rsidRPr="00B30C85" w:rsidRDefault="00B30C85" w:rsidP="00A8686A">
      <w:pPr>
        <w:numPr>
          <w:ilvl w:val="0"/>
          <w:numId w:val="18"/>
        </w:numPr>
        <w:rPr>
          <w:rFonts w:eastAsia="Arial" w:cs="Arial"/>
        </w:rPr>
      </w:pPr>
      <w:r w:rsidRPr="00B30C85">
        <w:rPr>
          <w:rFonts w:eastAsia="Arial" w:cs="Arial"/>
        </w:rPr>
        <w:t xml:space="preserve">If you are calling in relation to COVID-19 response please ask to speak with the COVID </w:t>
      </w:r>
      <w:r w:rsidR="00613E22">
        <w:rPr>
          <w:rFonts w:eastAsia="Arial" w:cs="Arial"/>
        </w:rPr>
        <w:t>D</w:t>
      </w:r>
      <w:r w:rsidRPr="00B30C85">
        <w:rPr>
          <w:rFonts w:eastAsia="Arial" w:cs="Arial"/>
        </w:rPr>
        <w:t xml:space="preserve">uty </w:t>
      </w:r>
      <w:r w:rsidR="00613E22">
        <w:rPr>
          <w:rFonts w:eastAsia="Arial" w:cs="Arial"/>
        </w:rPr>
        <w:t>O</w:t>
      </w:r>
      <w:r w:rsidRPr="00B30C85">
        <w:rPr>
          <w:rFonts w:eastAsia="Arial" w:cs="Arial"/>
        </w:rPr>
        <w:t>fficer.</w:t>
      </w:r>
    </w:p>
    <w:p w14:paraId="3254D12B" w14:textId="2E9E088F" w:rsidR="00B30C85" w:rsidRPr="00B30C85" w:rsidRDefault="00B30C85" w:rsidP="00A8686A">
      <w:pPr>
        <w:numPr>
          <w:ilvl w:val="0"/>
          <w:numId w:val="18"/>
        </w:numPr>
        <w:rPr>
          <w:rFonts w:eastAsia="Times"/>
          <w:b/>
          <w:bCs/>
        </w:rPr>
      </w:pPr>
      <w:r w:rsidRPr="00B30C85">
        <w:rPr>
          <w:rFonts w:eastAsia="Arial" w:cs="Arial"/>
        </w:rPr>
        <w:t xml:space="preserve">You can also email </w:t>
      </w:r>
      <w:hyperlink r:id="rId32" w:history="1">
        <w:r w:rsidR="006D43BD" w:rsidRPr="00535619">
          <w:rPr>
            <w:rStyle w:val="Hyperlink"/>
            <w:rFonts w:eastAsia="Arial" w:cs="Arial"/>
          </w:rPr>
          <w:t>semc@health.vic.gov.au</w:t>
        </w:r>
      </w:hyperlink>
      <w:r w:rsidR="006D43BD" w:rsidRPr="006D43BD">
        <w:rPr>
          <w:rFonts w:eastAsia="Arial" w:cs="Arial"/>
        </w:rPr>
        <w:t>.</w:t>
      </w:r>
      <w:r w:rsidR="006D43BD">
        <w:rPr>
          <w:rFonts w:eastAsia="Arial" w:cs="Arial"/>
        </w:rPr>
        <w:t xml:space="preserve"> </w:t>
      </w:r>
    </w:p>
    <w:p w14:paraId="7AE92979" w14:textId="77777777" w:rsidR="00B30C85" w:rsidRPr="00B30C85" w:rsidRDefault="00B30C85" w:rsidP="00B30C85">
      <w:pPr>
        <w:ind w:left="360"/>
        <w:rPr>
          <w:rFonts w:eastAsia="Times"/>
          <w:b/>
          <w:bCs/>
        </w:rPr>
      </w:pPr>
    </w:p>
    <w:p w14:paraId="5E431FA8" w14:textId="682B88AC" w:rsidR="00B30C85" w:rsidRPr="00B30C85" w:rsidRDefault="00B30C85" w:rsidP="00B30C85">
      <w:pPr>
        <w:rPr>
          <w:rFonts w:eastAsia="Arial" w:cs="Arial"/>
          <w:b/>
          <w:bCs/>
          <w:szCs w:val="21"/>
        </w:rPr>
      </w:pPr>
      <w:r w:rsidRPr="00B30C85">
        <w:rPr>
          <w:rFonts w:eastAsia="Arial" w:cs="Arial"/>
          <w:b/>
          <w:bCs/>
          <w:szCs w:val="21"/>
        </w:rPr>
        <w:t xml:space="preserve">More information about the State Health Emergency Response Arrangements, the department’s responsibilities and information for the health sector is available on our </w:t>
      </w:r>
      <w:hyperlink r:id="rId33" w:history="1">
        <w:r w:rsidRPr="00B30C85">
          <w:rPr>
            <w:rFonts w:eastAsia="Arial" w:cs="Arial"/>
            <w:b/>
            <w:bCs/>
            <w:color w:val="004C97"/>
            <w:szCs w:val="21"/>
            <w:u w:val="dotted"/>
          </w:rPr>
          <w:t>website</w:t>
        </w:r>
      </w:hyperlink>
      <w:r w:rsidR="00613E22">
        <w:rPr>
          <w:rFonts w:eastAsia="Arial" w:cs="Arial"/>
          <w:b/>
          <w:bCs/>
          <w:color w:val="004C97"/>
          <w:szCs w:val="21"/>
          <w:u w:val="dotted"/>
        </w:rPr>
        <w:t xml:space="preserve"> at </w:t>
      </w:r>
      <w:r w:rsidR="00613E22" w:rsidRPr="00613E22">
        <w:rPr>
          <w:rFonts w:eastAsia="Arial" w:cs="Arial"/>
          <w:b/>
          <w:bCs/>
          <w:color w:val="004C97"/>
          <w:szCs w:val="21"/>
          <w:u w:val="dotted"/>
        </w:rPr>
        <w:t>https://www2.health.vic.gov.au/emergencies/shera</w:t>
      </w:r>
      <w:r w:rsidRPr="00B30C85">
        <w:rPr>
          <w:rFonts w:eastAsia="Arial" w:cs="Arial"/>
          <w:b/>
          <w:bCs/>
          <w:szCs w:val="21"/>
        </w:rPr>
        <w:t xml:space="preserve">.  </w:t>
      </w:r>
    </w:p>
    <w:p w14:paraId="5022484C" w14:textId="77777777" w:rsidR="00B30C85" w:rsidRPr="00B30C85" w:rsidRDefault="00B30C85" w:rsidP="00B30C85">
      <w:pPr>
        <w:rPr>
          <w:rFonts w:eastAsia="Arial" w:cs="Arial"/>
          <w:b/>
          <w:bCs/>
          <w:szCs w:val="21"/>
        </w:rPr>
      </w:pPr>
    </w:p>
    <w:p w14:paraId="07E4D9A8" w14:textId="77777777" w:rsidR="00F01DD7" w:rsidRDefault="00F01DD7" w:rsidP="00152329">
      <w:pPr>
        <w:pStyle w:val="Body"/>
        <w:rPr>
          <w:sz w:val="20"/>
        </w:rPr>
      </w:pPr>
    </w:p>
    <w:sectPr w:rsidR="00F01DD7" w:rsidSect="009338D7">
      <w:headerReference w:type="even" r:id="rId34"/>
      <w:headerReference w:type="default" r:id="rId35"/>
      <w:footerReference w:type="even" r:id="rId36"/>
      <w:footerReference w:type="default" r:id="rId37"/>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29076" w14:textId="77777777" w:rsidR="00E07932" w:rsidRDefault="00E07932">
      <w:r>
        <w:separator/>
      </w:r>
    </w:p>
    <w:p w14:paraId="0A6D007F" w14:textId="77777777" w:rsidR="00E07932" w:rsidRDefault="00E07932"/>
  </w:endnote>
  <w:endnote w:type="continuationSeparator" w:id="0">
    <w:p w14:paraId="5566B7AB" w14:textId="77777777" w:rsidR="00E07932" w:rsidRDefault="00E07932">
      <w:r>
        <w:continuationSeparator/>
      </w:r>
    </w:p>
    <w:p w14:paraId="60A10E95" w14:textId="77777777" w:rsidR="00E07932" w:rsidRDefault="00E07932"/>
  </w:endnote>
  <w:endnote w:type="continuationNotice" w:id="1">
    <w:p w14:paraId="6CA9F6A0" w14:textId="77777777" w:rsidR="00E07932" w:rsidRDefault="00E07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B14B" w14:textId="77777777" w:rsidR="00E07932" w:rsidRDefault="00E07932">
    <w:pPr>
      <w:pStyle w:val="Footer"/>
    </w:pPr>
    <w:r>
      <w:rPr>
        <w:noProof/>
      </w:rPr>
      <mc:AlternateContent>
        <mc:Choice Requires="wps">
          <w:drawing>
            <wp:anchor distT="0" distB="0" distL="114300" distR="114300" simplePos="0" relativeHeight="251658240" behindDoc="0" locked="0" layoutInCell="0" allowOverlap="1" wp14:anchorId="3A1A99A6" wp14:editId="2985506B">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C6E56" w14:textId="77777777" w:rsidR="00E07932" w:rsidRPr="00EB4BC7" w:rsidRDefault="00E079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1A99A6"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11AC6E56" w14:textId="77777777" w:rsidR="00E07932" w:rsidRPr="00EB4BC7" w:rsidRDefault="00E079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21129" w14:textId="33FAC5D7" w:rsidR="00E07932" w:rsidRDefault="00B97924">
    <w:pPr>
      <w:pStyle w:val="Footer"/>
    </w:pPr>
    <w:r>
      <w:rPr>
        <w:noProof/>
      </w:rPr>
      <mc:AlternateContent>
        <mc:Choice Requires="wps">
          <w:drawing>
            <wp:anchor distT="0" distB="0" distL="114300" distR="114300" simplePos="0" relativeHeight="251671557" behindDoc="0" locked="0" layoutInCell="0" allowOverlap="1" wp14:anchorId="3684A68B" wp14:editId="199C4C06">
              <wp:simplePos x="0" y="0"/>
              <wp:positionH relativeFrom="page">
                <wp:posOffset>0</wp:posOffset>
              </wp:positionH>
              <wp:positionV relativeFrom="page">
                <wp:posOffset>10189210</wp:posOffset>
              </wp:positionV>
              <wp:extent cx="7560310" cy="311785"/>
              <wp:effectExtent l="0" t="0" r="0" b="12065"/>
              <wp:wrapNone/>
              <wp:docPr id="1" name="MSIPCM5a7747bca01bc7e9ce0f3fb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701A3" w14:textId="6B1068F4" w:rsidR="00B97924" w:rsidRPr="00B97924" w:rsidRDefault="00B97924" w:rsidP="00B97924">
                          <w:pPr>
                            <w:spacing w:after="0"/>
                            <w:jc w:val="center"/>
                            <w:rPr>
                              <w:rFonts w:ascii="Arial Black" w:hAnsi="Arial Black"/>
                              <w:color w:val="000000"/>
                              <w:sz w:val="20"/>
                            </w:rPr>
                          </w:pPr>
                          <w:r w:rsidRPr="00B979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4A68B" id="_x0000_t202" coordsize="21600,21600" o:spt="202" path="m,l,21600r21600,l21600,xe">
              <v:stroke joinstyle="miter"/>
              <v:path gradientshapeok="t" o:connecttype="rect"/>
            </v:shapetype>
            <v:shape id="MSIPCM5a7747bca01bc7e9ce0f3fb3"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715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ux5ga6wCAABMBQAADgAAAAAA&#10;AAAAAAAAAAAuAgAAZHJzL2Uyb0RvYy54bWxQSwECLQAUAAYACAAAACEASA1emt8AAAALAQAADwAA&#10;AAAAAAAAAAAAAAAGBQAAZHJzL2Rvd25yZXYueG1sUEsFBgAAAAAEAAQA8wAAABIGAAAAAA==&#10;" o:allowincell="f" filled="f" stroked="f" strokeweight=".5pt">
              <v:fill o:detectmouseclick="t"/>
              <v:textbox inset=",0,,0">
                <w:txbxContent>
                  <w:p w14:paraId="0A0701A3" w14:textId="6B1068F4" w:rsidR="00B97924" w:rsidRPr="00B97924" w:rsidRDefault="00B97924" w:rsidP="00B97924">
                    <w:pPr>
                      <w:spacing w:after="0"/>
                      <w:jc w:val="center"/>
                      <w:rPr>
                        <w:rFonts w:ascii="Arial Black" w:hAnsi="Arial Black"/>
                        <w:color w:val="000000"/>
                        <w:sz w:val="20"/>
                      </w:rPr>
                    </w:pPr>
                    <w:r w:rsidRPr="00B97924">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E0A74" w14:textId="68C28856" w:rsidR="00E07932" w:rsidRDefault="00B97924">
    <w:pPr>
      <w:pStyle w:val="Footer"/>
    </w:pPr>
    <w:r>
      <w:rPr>
        <w:noProof/>
      </w:rPr>
      <mc:AlternateContent>
        <mc:Choice Requires="wps">
          <w:drawing>
            <wp:anchor distT="0" distB="0" distL="114300" distR="114300" simplePos="0" relativeHeight="251672581" behindDoc="0" locked="0" layoutInCell="0" allowOverlap="1" wp14:anchorId="09F52AC8" wp14:editId="778DB343">
              <wp:simplePos x="0" y="0"/>
              <wp:positionH relativeFrom="page">
                <wp:posOffset>0</wp:posOffset>
              </wp:positionH>
              <wp:positionV relativeFrom="page">
                <wp:posOffset>10189210</wp:posOffset>
              </wp:positionV>
              <wp:extent cx="7560310" cy="311785"/>
              <wp:effectExtent l="0" t="0" r="0" b="12065"/>
              <wp:wrapNone/>
              <wp:docPr id="2" name="MSIPCM8ac14c0f9ad8a59f62e9a62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419B0D" w14:textId="7BFB8FF5" w:rsidR="00B97924" w:rsidRPr="00B97924" w:rsidRDefault="00B97924" w:rsidP="00B97924">
                          <w:pPr>
                            <w:spacing w:after="0"/>
                            <w:jc w:val="center"/>
                            <w:rPr>
                              <w:rFonts w:ascii="Arial Black" w:hAnsi="Arial Black"/>
                              <w:color w:val="000000"/>
                              <w:sz w:val="20"/>
                            </w:rPr>
                          </w:pPr>
                          <w:r w:rsidRPr="00B979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52AC8" id="_x0000_t202" coordsize="21600,21600" o:spt="202" path="m,l,21600r21600,l21600,xe">
              <v:stroke joinstyle="miter"/>
              <v:path gradientshapeok="t" o:connecttype="rect"/>
            </v:shapetype>
            <v:shape id="MSIPCM8ac14c0f9ad8a59f62e9a620"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258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8rhzSrgIAAE4FAAAOAAAA&#10;AAAAAAAAAAAAAC4CAABkcnMvZTJvRG9jLnhtbFBLAQItABQABgAIAAAAIQBIDV6a3wAAAAsBAAAP&#10;AAAAAAAAAAAAAAAAAAgFAABkcnMvZG93bnJldi54bWxQSwUGAAAAAAQABADzAAAAFAYAAAAA&#10;" o:allowincell="f" filled="f" stroked="f" strokeweight=".5pt">
              <v:fill o:detectmouseclick="t"/>
              <v:textbox inset=",0,,0">
                <w:txbxContent>
                  <w:p w14:paraId="74419B0D" w14:textId="7BFB8FF5" w:rsidR="00B97924" w:rsidRPr="00B97924" w:rsidRDefault="00B97924" w:rsidP="00B97924">
                    <w:pPr>
                      <w:spacing w:after="0"/>
                      <w:jc w:val="center"/>
                      <w:rPr>
                        <w:rFonts w:ascii="Arial Black" w:hAnsi="Arial Black"/>
                        <w:color w:val="000000"/>
                        <w:sz w:val="20"/>
                      </w:rPr>
                    </w:pPr>
                    <w:r w:rsidRPr="00B97924">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FF181" w14:textId="77777777" w:rsidR="00E07932" w:rsidRDefault="00E07932">
    <w:pPr>
      <w:pStyle w:val="Footer"/>
    </w:pPr>
    <w:r>
      <w:rPr>
        <w:noProof/>
        <w:lang w:eastAsia="en-AU"/>
      </w:rPr>
      <mc:AlternateContent>
        <mc:Choice Requires="wps">
          <w:drawing>
            <wp:anchor distT="0" distB="0" distL="114300" distR="114300" simplePos="0" relativeHeight="251658242" behindDoc="0" locked="0" layoutInCell="0" allowOverlap="1" wp14:anchorId="0F658B66" wp14:editId="45A17FA7">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1D16C8" w14:textId="77777777" w:rsidR="00E07932" w:rsidRPr="002C5B7C" w:rsidRDefault="00E0793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658B66"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411D16C8" w14:textId="77777777" w:rsidR="00E07932" w:rsidRPr="002C5B7C" w:rsidRDefault="00E0793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1D4E8" w14:textId="3D12CA2D" w:rsidR="00E07932" w:rsidRDefault="00B97924">
    <w:pPr>
      <w:pStyle w:val="Footer"/>
    </w:pPr>
    <w:r>
      <w:rPr>
        <w:noProof/>
        <w:lang w:eastAsia="en-AU"/>
      </w:rPr>
      <mc:AlternateContent>
        <mc:Choice Requires="wps">
          <w:drawing>
            <wp:anchor distT="0" distB="0" distL="114300" distR="114300" simplePos="0" relativeHeight="251673605" behindDoc="0" locked="0" layoutInCell="0" allowOverlap="1" wp14:anchorId="14E2F971" wp14:editId="28FFDCE0">
              <wp:simplePos x="0" y="0"/>
              <wp:positionH relativeFrom="page">
                <wp:posOffset>0</wp:posOffset>
              </wp:positionH>
              <wp:positionV relativeFrom="page">
                <wp:posOffset>10189210</wp:posOffset>
              </wp:positionV>
              <wp:extent cx="7560310" cy="311785"/>
              <wp:effectExtent l="0" t="0" r="0" b="12065"/>
              <wp:wrapNone/>
              <wp:docPr id="5" name="MSIPCM8e334aa6b58615d9d708eb4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049A8" w14:textId="52F9016F" w:rsidR="00B97924" w:rsidRPr="00B97924" w:rsidRDefault="00B97924" w:rsidP="00B97924">
                          <w:pPr>
                            <w:spacing w:after="0"/>
                            <w:jc w:val="center"/>
                            <w:rPr>
                              <w:rFonts w:ascii="Arial Black" w:hAnsi="Arial Black"/>
                              <w:color w:val="000000"/>
                              <w:sz w:val="20"/>
                            </w:rPr>
                          </w:pPr>
                          <w:r w:rsidRPr="00B979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2F971" id="_x0000_t202" coordsize="21600,21600" o:spt="202" path="m,l,21600r21600,l21600,xe">
              <v:stroke joinstyle="miter"/>
              <v:path gradientshapeok="t" o:connecttype="rect"/>
            </v:shapetype>
            <v:shape id="MSIPCM8e334aa6b58615d9d708eb45"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360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oPm34a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19D049A8" w14:textId="52F9016F" w:rsidR="00B97924" w:rsidRPr="00B97924" w:rsidRDefault="00B97924" w:rsidP="00B97924">
                    <w:pPr>
                      <w:spacing w:after="0"/>
                      <w:jc w:val="center"/>
                      <w:rPr>
                        <w:rFonts w:ascii="Arial Black" w:hAnsi="Arial Black"/>
                        <w:color w:val="000000"/>
                        <w:sz w:val="20"/>
                      </w:rPr>
                    </w:pPr>
                    <w:r w:rsidRPr="00B97924">
                      <w:rPr>
                        <w:rFonts w:ascii="Arial Black" w:hAnsi="Arial Black"/>
                        <w:color w:val="000000"/>
                        <w:sz w:val="20"/>
                      </w:rPr>
                      <w:t>OFFICIAL</w:t>
                    </w:r>
                  </w:p>
                </w:txbxContent>
              </v:textbox>
              <w10:wrap anchorx="page" anchory="page"/>
            </v:shape>
          </w:pict>
        </mc:Fallback>
      </mc:AlternateContent>
    </w:r>
    <w:r w:rsidR="00E07932">
      <w:rPr>
        <w:noProof/>
        <w:lang w:eastAsia="en-AU"/>
      </w:rPr>
      <mc:AlternateContent>
        <mc:Choice Requires="wps">
          <w:drawing>
            <wp:anchor distT="0" distB="0" distL="114300" distR="114300" simplePos="0" relativeHeight="251658241" behindDoc="0" locked="0" layoutInCell="0" allowOverlap="1" wp14:anchorId="41542069" wp14:editId="536C260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A0874" w14:textId="77777777" w:rsidR="00E07932" w:rsidRPr="00EB4BC7" w:rsidRDefault="00E079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1542069"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7BAA0874" w14:textId="77777777" w:rsidR="00E07932" w:rsidRPr="00EB4BC7" w:rsidRDefault="00E079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21F42" w14:textId="77777777" w:rsidR="00E07932" w:rsidRDefault="00E07932" w:rsidP="00207717">
      <w:pPr>
        <w:spacing w:before="120"/>
      </w:pPr>
      <w:r>
        <w:separator/>
      </w:r>
    </w:p>
  </w:footnote>
  <w:footnote w:type="continuationSeparator" w:id="0">
    <w:p w14:paraId="4D3C1B44" w14:textId="77777777" w:rsidR="00E07932" w:rsidRDefault="00E07932">
      <w:r>
        <w:continuationSeparator/>
      </w:r>
    </w:p>
    <w:p w14:paraId="15EECBFC" w14:textId="77777777" w:rsidR="00E07932" w:rsidRDefault="00E07932"/>
  </w:footnote>
  <w:footnote w:type="continuationNotice" w:id="1">
    <w:p w14:paraId="72E51BCC" w14:textId="77777777" w:rsidR="00E07932" w:rsidRDefault="00E07932">
      <w:pPr>
        <w:spacing w:after="0" w:line="240" w:lineRule="auto"/>
      </w:pPr>
    </w:p>
  </w:footnote>
  <w:footnote w:id="2">
    <w:p w14:paraId="29B05594" w14:textId="46B9A13E" w:rsidR="00E07932" w:rsidRDefault="00E07932" w:rsidP="00A204D5">
      <w:pPr>
        <w:pStyle w:val="FootnoteText"/>
      </w:pPr>
      <w:r>
        <w:rPr>
          <w:rStyle w:val="FootnoteReference"/>
        </w:rPr>
        <w:footnoteRef/>
      </w:r>
      <w:r>
        <w:t>&lt;</w:t>
      </w:r>
      <w:r w:rsidRPr="00EB780D">
        <w:t>health.vic.gov.au/hospitals-and-health-services/public-hospitals-victoria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61FA" w14:textId="77777777" w:rsidR="0054440D" w:rsidRDefault="00544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54570" w14:textId="77777777" w:rsidR="0054440D" w:rsidRDefault="00544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164D8" w14:textId="77777777" w:rsidR="0054440D" w:rsidRDefault="005444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E979C" w14:textId="77777777" w:rsidR="00E07932" w:rsidRPr="00454A7D" w:rsidRDefault="00E07932"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7358B" w14:textId="4E86FA1A" w:rsidR="00E07932" w:rsidRPr="0051568D" w:rsidRDefault="00E07932" w:rsidP="0017674D">
    <w:pPr>
      <w:pStyle w:val="Header"/>
    </w:pPr>
    <w:r>
      <w:t xml:space="preserve">Health Services Emergency Management Policy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F05C78C0"/>
    <w:numStyleLink w:val="ZZNumbersloweralpha"/>
  </w:abstractNum>
  <w:abstractNum w:abstractNumId="2" w15:restartNumberingAfterBreak="0">
    <w:nsid w:val="0B8D43DB"/>
    <w:multiLevelType w:val="multilevel"/>
    <w:tmpl w:val="B33A2DBC"/>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F05C78C0"/>
    <w:styleLink w:val="ZZNumbersloweralpha"/>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0DD2B74"/>
    <w:multiLevelType w:val="multilevel"/>
    <w:tmpl w:val="BCB633E8"/>
    <w:lvl w:ilvl="0">
      <w:start w:val="3"/>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5E05AC0"/>
    <w:multiLevelType w:val="hybridMultilevel"/>
    <w:tmpl w:val="99D4D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9F5F37"/>
    <w:multiLevelType w:val="multilevel"/>
    <w:tmpl w:val="6808705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b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B5804EB"/>
    <w:multiLevelType w:val="hybridMultilevel"/>
    <w:tmpl w:val="BA722E3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C8502B"/>
    <w:multiLevelType w:val="hybridMultilevel"/>
    <w:tmpl w:val="70F6F5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537FCE"/>
    <w:multiLevelType w:val="hybridMultilevel"/>
    <w:tmpl w:val="E0828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4303A5"/>
    <w:multiLevelType w:val="multilevel"/>
    <w:tmpl w:val="8B3CE87A"/>
    <w:styleLink w:val="ZZNumbers"/>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38226FB"/>
    <w:multiLevelType w:val="multilevel"/>
    <w:tmpl w:val="6C461A18"/>
    <w:lvl w:ilvl="0">
      <w:start w:val="2"/>
      <w:numFmt w:val="decimal"/>
      <w:lvlText w:val="%1"/>
      <w:lvlJc w:val="left"/>
      <w:pPr>
        <w:ind w:left="670" w:hanging="6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9F9273B"/>
    <w:multiLevelType w:val="hybridMultilevel"/>
    <w:tmpl w:val="6B588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F16159"/>
    <w:multiLevelType w:val="multilevel"/>
    <w:tmpl w:val="F05C78C0"/>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165448D"/>
    <w:multiLevelType w:val="multilevel"/>
    <w:tmpl w:val="1142599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2A30A1D"/>
    <w:multiLevelType w:val="multilevel"/>
    <w:tmpl w:val="7AE067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3C022F3"/>
    <w:multiLevelType w:val="multilevel"/>
    <w:tmpl w:val="2938C34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B33A2DBC"/>
    <w:styleLink w:val="ZZBullets"/>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625A62E0"/>
    <w:multiLevelType w:val="hybridMultilevel"/>
    <w:tmpl w:val="07326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7EB52989"/>
    <w:multiLevelType w:val="hybridMultilevel"/>
    <w:tmpl w:val="677684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18"/>
  </w:num>
  <w:num w:numId="4">
    <w:abstractNumId w:val="21"/>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22"/>
  </w:num>
  <w:num w:numId="10">
    <w:abstractNumId w:val="20"/>
  </w:num>
  <w:num w:numId="11">
    <w:abstractNumId w:val="6"/>
  </w:num>
  <w:num w:numId="12">
    <w:abstractNumId w:val="5"/>
  </w:num>
  <w:num w:numId="13">
    <w:abstractNumId w:val="2"/>
  </w:num>
  <w:num w:numId="14">
    <w:abstractNumId w:val="8"/>
  </w:num>
  <w:num w:numId="15">
    <w:abstractNumId w:val="3"/>
  </w:num>
  <w:num w:numId="16">
    <w:abstractNumId w:val="10"/>
  </w:num>
  <w:num w:numId="17">
    <w:abstractNumId w:val="4"/>
  </w:num>
  <w:num w:numId="18">
    <w:abstractNumId w:val="9"/>
  </w:num>
  <w:num w:numId="19">
    <w:abstractNumId w:val="13"/>
  </w:num>
  <w:num w:numId="20">
    <w:abstractNumId w:val="17"/>
  </w:num>
  <w:num w:numId="21">
    <w:abstractNumId w:val="12"/>
  </w:num>
  <w:num w:numId="22">
    <w:abstractNumId w:val="6"/>
  </w:num>
  <w:num w:numId="23">
    <w:abstractNumId w:val="14"/>
  </w:num>
  <w:num w:numId="24">
    <w:abstractNumId w:val="6"/>
  </w:num>
  <w:num w:numId="25">
    <w:abstractNumId w:val="15"/>
  </w:num>
  <w:num w:numId="2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14"/>
    <w:rsid w:val="00000719"/>
    <w:rsid w:val="00001A5D"/>
    <w:rsid w:val="0000241A"/>
    <w:rsid w:val="00002D68"/>
    <w:rsid w:val="000033F7"/>
    <w:rsid w:val="00003403"/>
    <w:rsid w:val="00005347"/>
    <w:rsid w:val="000072B6"/>
    <w:rsid w:val="0001021B"/>
    <w:rsid w:val="0001108B"/>
    <w:rsid w:val="00011D89"/>
    <w:rsid w:val="000154FD"/>
    <w:rsid w:val="00021127"/>
    <w:rsid w:val="00022271"/>
    <w:rsid w:val="000235B4"/>
    <w:rsid w:val="000235E8"/>
    <w:rsid w:val="00024D89"/>
    <w:rsid w:val="000250B6"/>
    <w:rsid w:val="000265F1"/>
    <w:rsid w:val="00027BBC"/>
    <w:rsid w:val="00027CC8"/>
    <w:rsid w:val="000301FD"/>
    <w:rsid w:val="00030CDD"/>
    <w:rsid w:val="00032DD5"/>
    <w:rsid w:val="000333EF"/>
    <w:rsid w:val="00033D81"/>
    <w:rsid w:val="00033DC9"/>
    <w:rsid w:val="0003411C"/>
    <w:rsid w:val="00037366"/>
    <w:rsid w:val="00040712"/>
    <w:rsid w:val="00041BF0"/>
    <w:rsid w:val="00042B30"/>
    <w:rsid w:val="00042C8A"/>
    <w:rsid w:val="0004536B"/>
    <w:rsid w:val="00046B68"/>
    <w:rsid w:val="000527DD"/>
    <w:rsid w:val="00052C37"/>
    <w:rsid w:val="00053056"/>
    <w:rsid w:val="0005385C"/>
    <w:rsid w:val="00055CDD"/>
    <w:rsid w:val="00056EC4"/>
    <w:rsid w:val="000578B2"/>
    <w:rsid w:val="00060137"/>
    <w:rsid w:val="00060959"/>
    <w:rsid w:val="00060C8F"/>
    <w:rsid w:val="0006298A"/>
    <w:rsid w:val="00063EAF"/>
    <w:rsid w:val="00064134"/>
    <w:rsid w:val="00065001"/>
    <w:rsid w:val="00065BB8"/>
    <w:rsid w:val="000663CD"/>
    <w:rsid w:val="000675EA"/>
    <w:rsid w:val="000726E5"/>
    <w:rsid w:val="000733FE"/>
    <w:rsid w:val="00074009"/>
    <w:rsid w:val="00074219"/>
    <w:rsid w:val="00074ED5"/>
    <w:rsid w:val="000757EF"/>
    <w:rsid w:val="00076276"/>
    <w:rsid w:val="000771D0"/>
    <w:rsid w:val="00077247"/>
    <w:rsid w:val="00080521"/>
    <w:rsid w:val="0008204A"/>
    <w:rsid w:val="00082C1B"/>
    <w:rsid w:val="0008508E"/>
    <w:rsid w:val="000867F8"/>
    <w:rsid w:val="00087951"/>
    <w:rsid w:val="0009113B"/>
    <w:rsid w:val="00091951"/>
    <w:rsid w:val="00092C51"/>
    <w:rsid w:val="00093402"/>
    <w:rsid w:val="000943E4"/>
    <w:rsid w:val="00094DA3"/>
    <w:rsid w:val="00096CD1"/>
    <w:rsid w:val="000A012C"/>
    <w:rsid w:val="000A0EB9"/>
    <w:rsid w:val="000A16B7"/>
    <w:rsid w:val="000A186C"/>
    <w:rsid w:val="000A1EA4"/>
    <w:rsid w:val="000A235E"/>
    <w:rsid w:val="000A2476"/>
    <w:rsid w:val="000A3100"/>
    <w:rsid w:val="000A570D"/>
    <w:rsid w:val="000A641A"/>
    <w:rsid w:val="000A6427"/>
    <w:rsid w:val="000A728E"/>
    <w:rsid w:val="000B22B3"/>
    <w:rsid w:val="000B2564"/>
    <w:rsid w:val="000B3EDB"/>
    <w:rsid w:val="000B42EC"/>
    <w:rsid w:val="000B543D"/>
    <w:rsid w:val="000B55F9"/>
    <w:rsid w:val="000B5BF7"/>
    <w:rsid w:val="000B6BC8"/>
    <w:rsid w:val="000C0303"/>
    <w:rsid w:val="000C1210"/>
    <w:rsid w:val="000C16D0"/>
    <w:rsid w:val="000C321C"/>
    <w:rsid w:val="000C42EA"/>
    <w:rsid w:val="000C4546"/>
    <w:rsid w:val="000C5728"/>
    <w:rsid w:val="000C770C"/>
    <w:rsid w:val="000D1242"/>
    <w:rsid w:val="000D2ABA"/>
    <w:rsid w:val="000D38D0"/>
    <w:rsid w:val="000D3B2C"/>
    <w:rsid w:val="000D6905"/>
    <w:rsid w:val="000D6D3A"/>
    <w:rsid w:val="000E0970"/>
    <w:rsid w:val="000E1ABA"/>
    <w:rsid w:val="000E2090"/>
    <w:rsid w:val="000E3CC7"/>
    <w:rsid w:val="000E52BB"/>
    <w:rsid w:val="000E6BD4"/>
    <w:rsid w:val="000E6D6D"/>
    <w:rsid w:val="000E74CB"/>
    <w:rsid w:val="000F1F1E"/>
    <w:rsid w:val="000F2259"/>
    <w:rsid w:val="000F2DDA"/>
    <w:rsid w:val="000F2EA0"/>
    <w:rsid w:val="000F3BF9"/>
    <w:rsid w:val="000F5213"/>
    <w:rsid w:val="000F55B5"/>
    <w:rsid w:val="000F6223"/>
    <w:rsid w:val="000F7437"/>
    <w:rsid w:val="000F7C1C"/>
    <w:rsid w:val="00100A5D"/>
    <w:rsid w:val="00100C57"/>
    <w:rsid w:val="00100F49"/>
    <w:rsid w:val="00101001"/>
    <w:rsid w:val="00103276"/>
    <w:rsid w:val="0010392D"/>
    <w:rsid w:val="0010447F"/>
    <w:rsid w:val="00104FE3"/>
    <w:rsid w:val="00105D1E"/>
    <w:rsid w:val="0010714F"/>
    <w:rsid w:val="001120C5"/>
    <w:rsid w:val="00112AFE"/>
    <w:rsid w:val="00113E2E"/>
    <w:rsid w:val="00114176"/>
    <w:rsid w:val="00114436"/>
    <w:rsid w:val="00115D50"/>
    <w:rsid w:val="001204CF"/>
    <w:rsid w:val="00120BD3"/>
    <w:rsid w:val="00122FEA"/>
    <w:rsid w:val="001232BD"/>
    <w:rsid w:val="001232FE"/>
    <w:rsid w:val="001236DC"/>
    <w:rsid w:val="00124269"/>
    <w:rsid w:val="00124B4E"/>
    <w:rsid w:val="00124ED5"/>
    <w:rsid w:val="00126A37"/>
    <w:rsid w:val="001276FA"/>
    <w:rsid w:val="00132C54"/>
    <w:rsid w:val="0014035B"/>
    <w:rsid w:val="001447B3"/>
    <w:rsid w:val="001449B3"/>
    <w:rsid w:val="001452E5"/>
    <w:rsid w:val="0014690B"/>
    <w:rsid w:val="00150ABA"/>
    <w:rsid w:val="00152073"/>
    <w:rsid w:val="00152329"/>
    <w:rsid w:val="001529AC"/>
    <w:rsid w:val="001539EF"/>
    <w:rsid w:val="00154938"/>
    <w:rsid w:val="00156370"/>
    <w:rsid w:val="00156598"/>
    <w:rsid w:val="00161939"/>
    <w:rsid w:val="00161AA0"/>
    <w:rsid w:val="00161D2E"/>
    <w:rsid w:val="00161F3E"/>
    <w:rsid w:val="00162093"/>
    <w:rsid w:val="00162CA9"/>
    <w:rsid w:val="00165459"/>
    <w:rsid w:val="00165A57"/>
    <w:rsid w:val="00167C66"/>
    <w:rsid w:val="001710CD"/>
    <w:rsid w:val="001712C2"/>
    <w:rsid w:val="00172298"/>
    <w:rsid w:val="00172BAF"/>
    <w:rsid w:val="0017674D"/>
    <w:rsid w:val="00176F4B"/>
    <w:rsid w:val="001771DD"/>
    <w:rsid w:val="00177995"/>
    <w:rsid w:val="00177A8C"/>
    <w:rsid w:val="001811F3"/>
    <w:rsid w:val="00181644"/>
    <w:rsid w:val="0018244E"/>
    <w:rsid w:val="001838A5"/>
    <w:rsid w:val="00186B33"/>
    <w:rsid w:val="00186CC3"/>
    <w:rsid w:val="00186CDA"/>
    <w:rsid w:val="001870A3"/>
    <w:rsid w:val="0019199A"/>
    <w:rsid w:val="001920FB"/>
    <w:rsid w:val="00192F9D"/>
    <w:rsid w:val="00194911"/>
    <w:rsid w:val="00194A3A"/>
    <w:rsid w:val="00196EB8"/>
    <w:rsid w:val="00196EFB"/>
    <w:rsid w:val="001977CE"/>
    <w:rsid w:val="001979FF"/>
    <w:rsid w:val="00197B17"/>
    <w:rsid w:val="001A1950"/>
    <w:rsid w:val="001A1C54"/>
    <w:rsid w:val="001A22F9"/>
    <w:rsid w:val="001A3044"/>
    <w:rsid w:val="001A393B"/>
    <w:rsid w:val="001A3ACE"/>
    <w:rsid w:val="001A6272"/>
    <w:rsid w:val="001B058F"/>
    <w:rsid w:val="001B1842"/>
    <w:rsid w:val="001B2193"/>
    <w:rsid w:val="001B254F"/>
    <w:rsid w:val="001B3982"/>
    <w:rsid w:val="001B56C2"/>
    <w:rsid w:val="001B62F4"/>
    <w:rsid w:val="001B64DE"/>
    <w:rsid w:val="001B6B96"/>
    <w:rsid w:val="001B6CEE"/>
    <w:rsid w:val="001B738B"/>
    <w:rsid w:val="001B7DB8"/>
    <w:rsid w:val="001C09DB"/>
    <w:rsid w:val="001C17B6"/>
    <w:rsid w:val="001C1E79"/>
    <w:rsid w:val="001C277E"/>
    <w:rsid w:val="001C2A72"/>
    <w:rsid w:val="001C31B7"/>
    <w:rsid w:val="001C4EC5"/>
    <w:rsid w:val="001C6BEB"/>
    <w:rsid w:val="001D0B75"/>
    <w:rsid w:val="001D0F84"/>
    <w:rsid w:val="001D2128"/>
    <w:rsid w:val="001D2937"/>
    <w:rsid w:val="001D2FF1"/>
    <w:rsid w:val="001D39A5"/>
    <w:rsid w:val="001D3C09"/>
    <w:rsid w:val="001D44E8"/>
    <w:rsid w:val="001D60EC"/>
    <w:rsid w:val="001D6F59"/>
    <w:rsid w:val="001E054D"/>
    <w:rsid w:val="001E1180"/>
    <w:rsid w:val="001E44DF"/>
    <w:rsid w:val="001E4FFE"/>
    <w:rsid w:val="001E68A5"/>
    <w:rsid w:val="001E6BB0"/>
    <w:rsid w:val="001E7282"/>
    <w:rsid w:val="001F184A"/>
    <w:rsid w:val="001F2BC5"/>
    <w:rsid w:val="001F3070"/>
    <w:rsid w:val="001F3826"/>
    <w:rsid w:val="001F56A9"/>
    <w:rsid w:val="001F6DD8"/>
    <w:rsid w:val="001F6E46"/>
    <w:rsid w:val="001F7C91"/>
    <w:rsid w:val="002033B7"/>
    <w:rsid w:val="00206463"/>
    <w:rsid w:val="00206F2F"/>
    <w:rsid w:val="00207717"/>
    <w:rsid w:val="0021053D"/>
    <w:rsid w:val="00210A92"/>
    <w:rsid w:val="00210E85"/>
    <w:rsid w:val="00212B95"/>
    <w:rsid w:val="002136C5"/>
    <w:rsid w:val="00215CC8"/>
    <w:rsid w:val="00215DD3"/>
    <w:rsid w:val="00216C03"/>
    <w:rsid w:val="00220A1A"/>
    <w:rsid w:val="00220C04"/>
    <w:rsid w:val="0022278D"/>
    <w:rsid w:val="002227AC"/>
    <w:rsid w:val="00224D09"/>
    <w:rsid w:val="0022701F"/>
    <w:rsid w:val="00227C68"/>
    <w:rsid w:val="0023098D"/>
    <w:rsid w:val="002309FE"/>
    <w:rsid w:val="002333F5"/>
    <w:rsid w:val="00233590"/>
    <w:rsid w:val="00233724"/>
    <w:rsid w:val="002338FE"/>
    <w:rsid w:val="002365B4"/>
    <w:rsid w:val="00236C95"/>
    <w:rsid w:val="002374AE"/>
    <w:rsid w:val="0024083A"/>
    <w:rsid w:val="002432E1"/>
    <w:rsid w:val="00246207"/>
    <w:rsid w:val="00246C5E"/>
    <w:rsid w:val="00250960"/>
    <w:rsid w:val="00250C71"/>
    <w:rsid w:val="00251343"/>
    <w:rsid w:val="00252D5D"/>
    <w:rsid w:val="002536A4"/>
    <w:rsid w:val="002537B0"/>
    <w:rsid w:val="00254F58"/>
    <w:rsid w:val="00260535"/>
    <w:rsid w:val="00260CCD"/>
    <w:rsid w:val="00260E83"/>
    <w:rsid w:val="00260EA9"/>
    <w:rsid w:val="002620BC"/>
    <w:rsid w:val="00262259"/>
    <w:rsid w:val="00262802"/>
    <w:rsid w:val="00263A90"/>
    <w:rsid w:val="00263B77"/>
    <w:rsid w:val="0026408B"/>
    <w:rsid w:val="00266278"/>
    <w:rsid w:val="00267C3E"/>
    <w:rsid w:val="002709BB"/>
    <w:rsid w:val="0027131C"/>
    <w:rsid w:val="00271BA4"/>
    <w:rsid w:val="00273BAC"/>
    <w:rsid w:val="002763B3"/>
    <w:rsid w:val="002802E3"/>
    <w:rsid w:val="00280D0D"/>
    <w:rsid w:val="00280FF6"/>
    <w:rsid w:val="0028144B"/>
    <w:rsid w:val="0028213D"/>
    <w:rsid w:val="002842A9"/>
    <w:rsid w:val="00285CFB"/>
    <w:rsid w:val="002862F1"/>
    <w:rsid w:val="00287B3D"/>
    <w:rsid w:val="00291373"/>
    <w:rsid w:val="00291F5B"/>
    <w:rsid w:val="00293690"/>
    <w:rsid w:val="0029461B"/>
    <w:rsid w:val="0029597D"/>
    <w:rsid w:val="00295BBD"/>
    <w:rsid w:val="002962C3"/>
    <w:rsid w:val="0029752B"/>
    <w:rsid w:val="002A00DC"/>
    <w:rsid w:val="002A0A9C"/>
    <w:rsid w:val="002A3506"/>
    <w:rsid w:val="002A4109"/>
    <w:rsid w:val="002A483C"/>
    <w:rsid w:val="002B0253"/>
    <w:rsid w:val="002B0C7C"/>
    <w:rsid w:val="002B1729"/>
    <w:rsid w:val="002B179C"/>
    <w:rsid w:val="002B1B83"/>
    <w:rsid w:val="002B36C7"/>
    <w:rsid w:val="002B3968"/>
    <w:rsid w:val="002B4952"/>
    <w:rsid w:val="002B4DD4"/>
    <w:rsid w:val="002B5277"/>
    <w:rsid w:val="002B5375"/>
    <w:rsid w:val="002B670E"/>
    <w:rsid w:val="002B77C1"/>
    <w:rsid w:val="002B7DE1"/>
    <w:rsid w:val="002C0ED7"/>
    <w:rsid w:val="002C19E2"/>
    <w:rsid w:val="002C2728"/>
    <w:rsid w:val="002C506E"/>
    <w:rsid w:val="002C5B7C"/>
    <w:rsid w:val="002D1E0D"/>
    <w:rsid w:val="002D5006"/>
    <w:rsid w:val="002D5965"/>
    <w:rsid w:val="002D729F"/>
    <w:rsid w:val="002D7C61"/>
    <w:rsid w:val="002E01D0"/>
    <w:rsid w:val="002E1401"/>
    <w:rsid w:val="002E161D"/>
    <w:rsid w:val="002E26CB"/>
    <w:rsid w:val="002E28A2"/>
    <w:rsid w:val="002E3100"/>
    <w:rsid w:val="002E3302"/>
    <w:rsid w:val="002E3C93"/>
    <w:rsid w:val="002E5ADC"/>
    <w:rsid w:val="002E6C95"/>
    <w:rsid w:val="002E7C36"/>
    <w:rsid w:val="002F171C"/>
    <w:rsid w:val="002F30A6"/>
    <w:rsid w:val="002F3D32"/>
    <w:rsid w:val="002F5DD6"/>
    <w:rsid w:val="002F5F31"/>
    <w:rsid w:val="002F5F46"/>
    <w:rsid w:val="002F6D80"/>
    <w:rsid w:val="002F70F4"/>
    <w:rsid w:val="00302216"/>
    <w:rsid w:val="00302D48"/>
    <w:rsid w:val="00303E53"/>
    <w:rsid w:val="00304641"/>
    <w:rsid w:val="0030591C"/>
    <w:rsid w:val="00305CC1"/>
    <w:rsid w:val="00306E5F"/>
    <w:rsid w:val="003074B2"/>
    <w:rsid w:val="00307E14"/>
    <w:rsid w:val="00314054"/>
    <w:rsid w:val="003169E7"/>
    <w:rsid w:val="00316F27"/>
    <w:rsid w:val="003214F1"/>
    <w:rsid w:val="003228E2"/>
    <w:rsid w:val="00322E4B"/>
    <w:rsid w:val="00327870"/>
    <w:rsid w:val="00327947"/>
    <w:rsid w:val="00330D9F"/>
    <w:rsid w:val="003314DA"/>
    <w:rsid w:val="0033259D"/>
    <w:rsid w:val="00333308"/>
    <w:rsid w:val="003333D2"/>
    <w:rsid w:val="00333855"/>
    <w:rsid w:val="00334686"/>
    <w:rsid w:val="0033487D"/>
    <w:rsid w:val="00336897"/>
    <w:rsid w:val="00337339"/>
    <w:rsid w:val="00337E8D"/>
    <w:rsid w:val="00337F69"/>
    <w:rsid w:val="00340345"/>
    <w:rsid w:val="003406C6"/>
    <w:rsid w:val="003411AC"/>
    <w:rsid w:val="003418CC"/>
    <w:rsid w:val="00341ACF"/>
    <w:rsid w:val="003434EE"/>
    <w:rsid w:val="00343C91"/>
    <w:rsid w:val="003459BD"/>
    <w:rsid w:val="00346672"/>
    <w:rsid w:val="003506FF"/>
    <w:rsid w:val="00350D38"/>
    <w:rsid w:val="00351B36"/>
    <w:rsid w:val="00353EFD"/>
    <w:rsid w:val="00355056"/>
    <w:rsid w:val="00355F0C"/>
    <w:rsid w:val="00357952"/>
    <w:rsid w:val="00357B4E"/>
    <w:rsid w:val="00360467"/>
    <w:rsid w:val="00360D25"/>
    <w:rsid w:val="003623F0"/>
    <w:rsid w:val="00362D88"/>
    <w:rsid w:val="00364EF4"/>
    <w:rsid w:val="0037086B"/>
    <w:rsid w:val="003716FD"/>
    <w:rsid w:val="0037204B"/>
    <w:rsid w:val="003732F2"/>
    <w:rsid w:val="00373DA4"/>
    <w:rsid w:val="003744CF"/>
    <w:rsid w:val="00374717"/>
    <w:rsid w:val="003748BB"/>
    <w:rsid w:val="003750AE"/>
    <w:rsid w:val="003759E2"/>
    <w:rsid w:val="0037676C"/>
    <w:rsid w:val="003801E2"/>
    <w:rsid w:val="00381043"/>
    <w:rsid w:val="003829E5"/>
    <w:rsid w:val="003837C1"/>
    <w:rsid w:val="00384D10"/>
    <w:rsid w:val="00384E4F"/>
    <w:rsid w:val="00386109"/>
    <w:rsid w:val="00386944"/>
    <w:rsid w:val="003870C7"/>
    <w:rsid w:val="003906A8"/>
    <w:rsid w:val="003956CC"/>
    <w:rsid w:val="00395C9A"/>
    <w:rsid w:val="003A0853"/>
    <w:rsid w:val="003A09AB"/>
    <w:rsid w:val="003A2D27"/>
    <w:rsid w:val="003A4058"/>
    <w:rsid w:val="003A5676"/>
    <w:rsid w:val="003A6979"/>
    <w:rsid w:val="003A6B67"/>
    <w:rsid w:val="003B13B6"/>
    <w:rsid w:val="003B14C3"/>
    <w:rsid w:val="003B15E6"/>
    <w:rsid w:val="003B19DA"/>
    <w:rsid w:val="003B1C68"/>
    <w:rsid w:val="003B22EF"/>
    <w:rsid w:val="003B2B4C"/>
    <w:rsid w:val="003B333F"/>
    <w:rsid w:val="003B343B"/>
    <w:rsid w:val="003B408A"/>
    <w:rsid w:val="003B4367"/>
    <w:rsid w:val="003B4C6E"/>
    <w:rsid w:val="003B749F"/>
    <w:rsid w:val="003B78C4"/>
    <w:rsid w:val="003C08A2"/>
    <w:rsid w:val="003C1C0C"/>
    <w:rsid w:val="003C1C67"/>
    <w:rsid w:val="003C2045"/>
    <w:rsid w:val="003C43A1"/>
    <w:rsid w:val="003C4CBA"/>
    <w:rsid w:val="003C4FC0"/>
    <w:rsid w:val="003C55F4"/>
    <w:rsid w:val="003C7897"/>
    <w:rsid w:val="003C79BF"/>
    <w:rsid w:val="003C7A3F"/>
    <w:rsid w:val="003D2766"/>
    <w:rsid w:val="003D2A74"/>
    <w:rsid w:val="003D2ADE"/>
    <w:rsid w:val="003D2B0B"/>
    <w:rsid w:val="003D2B4F"/>
    <w:rsid w:val="003D3D88"/>
    <w:rsid w:val="003D3E8F"/>
    <w:rsid w:val="003D4F11"/>
    <w:rsid w:val="003D6475"/>
    <w:rsid w:val="003D6EE6"/>
    <w:rsid w:val="003E0341"/>
    <w:rsid w:val="003E09A6"/>
    <w:rsid w:val="003E0C18"/>
    <w:rsid w:val="003E0E6A"/>
    <w:rsid w:val="003E1245"/>
    <w:rsid w:val="003E375C"/>
    <w:rsid w:val="003E4086"/>
    <w:rsid w:val="003E639E"/>
    <w:rsid w:val="003E71E5"/>
    <w:rsid w:val="003F0445"/>
    <w:rsid w:val="003F0CF0"/>
    <w:rsid w:val="003F104E"/>
    <w:rsid w:val="003F14B1"/>
    <w:rsid w:val="003F151B"/>
    <w:rsid w:val="003F1BF4"/>
    <w:rsid w:val="003F2B20"/>
    <w:rsid w:val="003F2E9B"/>
    <w:rsid w:val="003F3289"/>
    <w:rsid w:val="003F3C62"/>
    <w:rsid w:val="003F3DA3"/>
    <w:rsid w:val="003F4FAE"/>
    <w:rsid w:val="003F4FFE"/>
    <w:rsid w:val="003F5CB9"/>
    <w:rsid w:val="004013C7"/>
    <w:rsid w:val="00401FCF"/>
    <w:rsid w:val="004021D9"/>
    <w:rsid w:val="004025AA"/>
    <w:rsid w:val="004025C0"/>
    <w:rsid w:val="00403494"/>
    <w:rsid w:val="004035F1"/>
    <w:rsid w:val="00405B00"/>
    <w:rsid w:val="00406285"/>
    <w:rsid w:val="00410A4C"/>
    <w:rsid w:val="004115A2"/>
    <w:rsid w:val="00411F23"/>
    <w:rsid w:val="004126A9"/>
    <w:rsid w:val="00412A02"/>
    <w:rsid w:val="004148F9"/>
    <w:rsid w:val="0041775A"/>
    <w:rsid w:val="0042084E"/>
    <w:rsid w:val="00421EEF"/>
    <w:rsid w:val="00424C2A"/>
    <w:rsid w:val="00424D65"/>
    <w:rsid w:val="00425537"/>
    <w:rsid w:val="00430393"/>
    <w:rsid w:val="0043163A"/>
    <w:rsid w:val="00431806"/>
    <w:rsid w:val="00431A70"/>
    <w:rsid w:val="00431F42"/>
    <w:rsid w:val="004331ED"/>
    <w:rsid w:val="00434A83"/>
    <w:rsid w:val="0043632A"/>
    <w:rsid w:val="00436A1F"/>
    <w:rsid w:val="00436DBA"/>
    <w:rsid w:val="0043787F"/>
    <w:rsid w:val="0044220C"/>
    <w:rsid w:val="00442C6C"/>
    <w:rsid w:val="00443CBE"/>
    <w:rsid w:val="00443E8A"/>
    <w:rsid w:val="004441BC"/>
    <w:rsid w:val="00444D1A"/>
    <w:rsid w:val="0044676B"/>
    <w:rsid w:val="004468B4"/>
    <w:rsid w:val="00446D86"/>
    <w:rsid w:val="0045230A"/>
    <w:rsid w:val="00454579"/>
    <w:rsid w:val="00454A7D"/>
    <w:rsid w:val="00454AD0"/>
    <w:rsid w:val="00454AE4"/>
    <w:rsid w:val="00457337"/>
    <w:rsid w:val="00461C6F"/>
    <w:rsid w:val="00462E3D"/>
    <w:rsid w:val="004631EB"/>
    <w:rsid w:val="00466E79"/>
    <w:rsid w:val="00470D7D"/>
    <w:rsid w:val="0047372D"/>
    <w:rsid w:val="00473BA3"/>
    <w:rsid w:val="004743DD"/>
    <w:rsid w:val="00474CEA"/>
    <w:rsid w:val="0048033C"/>
    <w:rsid w:val="0048264C"/>
    <w:rsid w:val="00483968"/>
    <w:rsid w:val="004841BE"/>
    <w:rsid w:val="00484F86"/>
    <w:rsid w:val="00490746"/>
    <w:rsid w:val="00490852"/>
    <w:rsid w:val="00491C9C"/>
    <w:rsid w:val="00492F30"/>
    <w:rsid w:val="00493C19"/>
    <w:rsid w:val="00494361"/>
    <w:rsid w:val="004946F4"/>
    <w:rsid w:val="0049487E"/>
    <w:rsid w:val="004A160D"/>
    <w:rsid w:val="004A32C9"/>
    <w:rsid w:val="004A3E81"/>
    <w:rsid w:val="004A4195"/>
    <w:rsid w:val="004A41C2"/>
    <w:rsid w:val="004A4FAC"/>
    <w:rsid w:val="004A5C62"/>
    <w:rsid w:val="004A5CE5"/>
    <w:rsid w:val="004A60F6"/>
    <w:rsid w:val="004A66A2"/>
    <w:rsid w:val="004A707D"/>
    <w:rsid w:val="004B0161"/>
    <w:rsid w:val="004B0974"/>
    <w:rsid w:val="004B097D"/>
    <w:rsid w:val="004B0F65"/>
    <w:rsid w:val="004B2E27"/>
    <w:rsid w:val="004B4185"/>
    <w:rsid w:val="004B48E6"/>
    <w:rsid w:val="004B6926"/>
    <w:rsid w:val="004B6F17"/>
    <w:rsid w:val="004B7958"/>
    <w:rsid w:val="004C17A1"/>
    <w:rsid w:val="004C33EC"/>
    <w:rsid w:val="004C5541"/>
    <w:rsid w:val="004C6D54"/>
    <w:rsid w:val="004C6EEE"/>
    <w:rsid w:val="004C702B"/>
    <w:rsid w:val="004C795E"/>
    <w:rsid w:val="004D0033"/>
    <w:rsid w:val="004D016B"/>
    <w:rsid w:val="004D0DEB"/>
    <w:rsid w:val="004D1B22"/>
    <w:rsid w:val="004D23CC"/>
    <w:rsid w:val="004D36F2"/>
    <w:rsid w:val="004D4124"/>
    <w:rsid w:val="004E1106"/>
    <w:rsid w:val="004E138F"/>
    <w:rsid w:val="004E1B19"/>
    <w:rsid w:val="004E31FA"/>
    <w:rsid w:val="004E4649"/>
    <w:rsid w:val="004E48B8"/>
    <w:rsid w:val="004E4BB4"/>
    <w:rsid w:val="004E5C2B"/>
    <w:rsid w:val="004E713F"/>
    <w:rsid w:val="004F00DD"/>
    <w:rsid w:val="004F2133"/>
    <w:rsid w:val="004F3A01"/>
    <w:rsid w:val="004F5398"/>
    <w:rsid w:val="004F55F1"/>
    <w:rsid w:val="004F61F2"/>
    <w:rsid w:val="004F634D"/>
    <w:rsid w:val="004F6936"/>
    <w:rsid w:val="004F6D77"/>
    <w:rsid w:val="004F7A1D"/>
    <w:rsid w:val="00500EE2"/>
    <w:rsid w:val="00501EBF"/>
    <w:rsid w:val="00503DC6"/>
    <w:rsid w:val="005044D7"/>
    <w:rsid w:val="0050568F"/>
    <w:rsid w:val="005068BD"/>
    <w:rsid w:val="00506F5D"/>
    <w:rsid w:val="00510C37"/>
    <w:rsid w:val="00510E3B"/>
    <w:rsid w:val="005126D0"/>
    <w:rsid w:val="00514667"/>
    <w:rsid w:val="005148CB"/>
    <w:rsid w:val="0051568D"/>
    <w:rsid w:val="00516C54"/>
    <w:rsid w:val="00517A14"/>
    <w:rsid w:val="0052231A"/>
    <w:rsid w:val="00522549"/>
    <w:rsid w:val="00523077"/>
    <w:rsid w:val="00523BA5"/>
    <w:rsid w:val="00526AC7"/>
    <w:rsid w:val="00526C15"/>
    <w:rsid w:val="005275DB"/>
    <w:rsid w:val="00530C09"/>
    <w:rsid w:val="00531F9E"/>
    <w:rsid w:val="00532984"/>
    <w:rsid w:val="00532B0F"/>
    <w:rsid w:val="00534D46"/>
    <w:rsid w:val="00536499"/>
    <w:rsid w:val="00542A03"/>
    <w:rsid w:val="00543903"/>
    <w:rsid w:val="00543BCC"/>
    <w:rsid w:val="00543F11"/>
    <w:rsid w:val="00544135"/>
    <w:rsid w:val="0054440D"/>
    <w:rsid w:val="00546305"/>
    <w:rsid w:val="00547A95"/>
    <w:rsid w:val="0055119B"/>
    <w:rsid w:val="00551258"/>
    <w:rsid w:val="00552E7B"/>
    <w:rsid w:val="005532B7"/>
    <w:rsid w:val="00560575"/>
    <w:rsid w:val="005605B4"/>
    <w:rsid w:val="00561202"/>
    <w:rsid w:val="00561758"/>
    <w:rsid w:val="00562507"/>
    <w:rsid w:val="00562811"/>
    <w:rsid w:val="0056316B"/>
    <w:rsid w:val="005638D3"/>
    <w:rsid w:val="0056720F"/>
    <w:rsid w:val="00567731"/>
    <w:rsid w:val="0057156C"/>
    <w:rsid w:val="00572031"/>
    <w:rsid w:val="00572282"/>
    <w:rsid w:val="0057246D"/>
    <w:rsid w:val="00572BB0"/>
    <w:rsid w:val="00573CE3"/>
    <w:rsid w:val="005758AB"/>
    <w:rsid w:val="005767BC"/>
    <w:rsid w:val="00576E84"/>
    <w:rsid w:val="00580394"/>
    <w:rsid w:val="005809CD"/>
    <w:rsid w:val="005829B6"/>
    <w:rsid w:val="00582B8C"/>
    <w:rsid w:val="0058501B"/>
    <w:rsid w:val="005863B2"/>
    <w:rsid w:val="0058684D"/>
    <w:rsid w:val="0058757E"/>
    <w:rsid w:val="00594911"/>
    <w:rsid w:val="00596A4B"/>
    <w:rsid w:val="00597507"/>
    <w:rsid w:val="005A19F0"/>
    <w:rsid w:val="005A29F8"/>
    <w:rsid w:val="005A3B97"/>
    <w:rsid w:val="005A479D"/>
    <w:rsid w:val="005A71AF"/>
    <w:rsid w:val="005B0449"/>
    <w:rsid w:val="005B1C6D"/>
    <w:rsid w:val="005B21B6"/>
    <w:rsid w:val="005B227F"/>
    <w:rsid w:val="005B2402"/>
    <w:rsid w:val="005B320C"/>
    <w:rsid w:val="005B331D"/>
    <w:rsid w:val="005B3A08"/>
    <w:rsid w:val="005B5B3B"/>
    <w:rsid w:val="005B7A63"/>
    <w:rsid w:val="005C0955"/>
    <w:rsid w:val="005C29DD"/>
    <w:rsid w:val="005C4945"/>
    <w:rsid w:val="005C49DA"/>
    <w:rsid w:val="005C50F3"/>
    <w:rsid w:val="005C54B5"/>
    <w:rsid w:val="005C5D80"/>
    <w:rsid w:val="005C5D91"/>
    <w:rsid w:val="005C7E3E"/>
    <w:rsid w:val="005D07B8"/>
    <w:rsid w:val="005D0B35"/>
    <w:rsid w:val="005D5F83"/>
    <w:rsid w:val="005D6597"/>
    <w:rsid w:val="005E14E7"/>
    <w:rsid w:val="005E17A4"/>
    <w:rsid w:val="005E26A3"/>
    <w:rsid w:val="005E2ECB"/>
    <w:rsid w:val="005E30E7"/>
    <w:rsid w:val="005E447E"/>
    <w:rsid w:val="005E4FD1"/>
    <w:rsid w:val="005E5AC5"/>
    <w:rsid w:val="005E6467"/>
    <w:rsid w:val="005E70A1"/>
    <w:rsid w:val="005E75F3"/>
    <w:rsid w:val="005F0775"/>
    <w:rsid w:val="005F0AE6"/>
    <w:rsid w:val="005F0CF5"/>
    <w:rsid w:val="005F0D0B"/>
    <w:rsid w:val="005F21EB"/>
    <w:rsid w:val="005F3382"/>
    <w:rsid w:val="005F424B"/>
    <w:rsid w:val="005F60BA"/>
    <w:rsid w:val="005F64CF"/>
    <w:rsid w:val="005F732F"/>
    <w:rsid w:val="0060013F"/>
    <w:rsid w:val="0060085E"/>
    <w:rsid w:val="006025D1"/>
    <w:rsid w:val="00603982"/>
    <w:rsid w:val="006041AD"/>
    <w:rsid w:val="00605908"/>
    <w:rsid w:val="00607850"/>
    <w:rsid w:val="00607CAD"/>
    <w:rsid w:val="00607EF7"/>
    <w:rsid w:val="00610D7C"/>
    <w:rsid w:val="00612A77"/>
    <w:rsid w:val="0061304E"/>
    <w:rsid w:val="00613414"/>
    <w:rsid w:val="00613898"/>
    <w:rsid w:val="0061389A"/>
    <w:rsid w:val="00613E22"/>
    <w:rsid w:val="00620154"/>
    <w:rsid w:val="00621295"/>
    <w:rsid w:val="00622D32"/>
    <w:rsid w:val="00623E1E"/>
    <w:rsid w:val="0062408D"/>
    <w:rsid w:val="006240CC"/>
    <w:rsid w:val="00624231"/>
    <w:rsid w:val="00624940"/>
    <w:rsid w:val="00624CE6"/>
    <w:rsid w:val="0062513B"/>
    <w:rsid w:val="006254F8"/>
    <w:rsid w:val="00625532"/>
    <w:rsid w:val="00625E94"/>
    <w:rsid w:val="00627DA7"/>
    <w:rsid w:val="00630DA4"/>
    <w:rsid w:val="00631CD4"/>
    <w:rsid w:val="00632597"/>
    <w:rsid w:val="00633034"/>
    <w:rsid w:val="006332E3"/>
    <w:rsid w:val="006336B1"/>
    <w:rsid w:val="00634D13"/>
    <w:rsid w:val="006358B4"/>
    <w:rsid w:val="0063622A"/>
    <w:rsid w:val="00641724"/>
    <w:rsid w:val="006419AA"/>
    <w:rsid w:val="0064263D"/>
    <w:rsid w:val="006433B4"/>
    <w:rsid w:val="006449D7"/>
    <w:rsid w:val="00644B1F"/>
    <w:rsid w:val="00644B7E"/>
    <w:rsid w:val="006454E6"/>
    <w:rsid w:val="00646235"/>
    <w:rsid w:val="00646A68"/>
    <w:rsid w:val="006505BD"/>
    <w:rsid w:val="006508EA"/>
    <w:rsid w:val="0065092E"/>
    <w:rsid w:val="00652736"/>
    <w:rsid w:val="00655336"/>
    <w:rsid w:val="006557A7"/>
    <w:rsid w:val="00656290"/>
    <w:rsid w:val="0065640C"/>
    <w:rsid w:val="006568C1"/>
    <w:rsid w:val="0065724D"/>
    <w:rsid w:val="006601C9"/>
    <w:rsid w:val="006608D8"/>
    <w:rsid w:val="006621D7"/>
    <w:rsid w:val="00662809"/>
    <w:rsid w:val="0066302A"/>
    <w:rsid w:val="0066342B"/>
    <w:rsid w:val="006667F5"/>
    <w:rsid w:val="00667770"/>
    <w:rsid w:val="00670597"/>
    <w:rsid w:val="006706D0"/>
    <w:rsid w:val="00670725"/>
    <w:rsid w:val="00671A81"/>
    <w:rsid w:val="00673102"/>
    <w:rsid w:val="0067568B"/>
    <w:rsid w:val="006765EE"/>
    <w:rsid w:val="006769B4"/>
    <w:rsid w:val="00677574"/>
    <w:rsid w:val="006810A2"/>
    <w:rsid w:val="006812ED"/>
    <w:rsid w:val="006821F9"/>
    <w:rsid w:val="00683878"/>
    <w:rsid w:val="00684380"/>
    <w:rsid w:val="0068454C"/>
    <w:rsid w:val="00684692"/>
    <w:rsid w:val="00685512"/>
    <w:rsid w:val="00687D82"/>
    <w:rsid w:val="006907C2"/>
    <w:rsid w:val="006915FE"/>
    <w:rsid w:val="00691B62"/>
    <w:rsid w:val="006933B5"/>
    <w:rsid w:val="00693674"/>
    <w:rsid w:val="00693D14"/>
    <w:rsid w:val="006964A4"/>
    <w:rsid w:val="006967C2"/>
    <w:rsid w:val="00696F27"/>
    <w:rsid w:val="00697F8B"/>
    <w:rsid w:val="006A10B6"/>
    <w:rsid w:val="006A18C2"/>
    <w:rsid w:val="006A3383"/>
    <w:rsid w:val="006A4E9E"/>
    <w:rsid w:val="006A6B45"/>
    <w:rsid w:val="006B077C"/>
    <w:rsid w:val="006B0F4E"/>
    <w:rsid w:val="006B2A6E"/>
    <w:rsid w:val="006B6803"/>
    <w:rsid w:val="006B7F40"/>
    <w:rsid w:val="006C17E8"/>
    <w:rsid w:val="006C1F46"/>
    <w:rsid w:val="006C28DA"/>
    <w:rsid w:val="006C5774"/>
    <w:rsid w:val="006C7372"/>
    <w:rsid w:val="006D0F16"/>
    <w:rsid w:val="006D2A3F"/>
    <w:rsid w:val="006D2FBC"/>
    <w:rsid w:val="006D43BD"/>
    <w:rsid w:val="006D6E34"/>
    <w:rsid w:val="006E138B"/>
    <w:rsid w:val="006E1867"/>
    <w:rsid w:val="006E7DAB"/>
    <w:rsid w:val="006F0330"/>
    <w:rsid w:val="006F1FDC"/>
    <w:rsid w:val="006F4432"/>
    <w:rsid w:val="006F4FD9"/>
    <w:rsid w:val="006F6B8C"/>
    <w:rsid w:val="007013EF"/>
    <w:rsid w:val="00702235"/>
    <w:rsid w:val="00705129"/>
    <w:rsid w:val="007055BD"/>
    <w:rsid w:val="00711ED3"/>
    <w:rsid w:val="007173CA"/>
    <w:rsid w:val="007216AA"/>
    <w:rsid w:val="00721AB5"/>
    <w:rsid w:val="00721CFB"/>
    <w:rsid w:val="00721DEF"/>
    <w:rsid w:val="007244F3"/>
    <w:rsid w:val="00724A43"/>
    <w:rsid w:val="007273AC"/>
    <w:rsid w:val="00727470"/>
    <w:rsid w:val="007274BD"/>
    <w:rsid w:val="00731953"/>
    <w:rsid w:val="00731AD4"/>
    <w:rsid w:val="00731E2A"/>
    <w:rsid w:val="007324C6"/>
    <w:rsid w:val="00732AD0"/>
    <w:rsid w:val="007346E4"/>
    <w:rsid w:val="00734D21"/>
    <w:rsid w:val="00735564"/>
    <w:rsid w:val="007368C7"/>
    <w:rsid w:val="007407DB"/>
    <w:rsid w:val="00740F22"/>
    <w:rsid w:val="00741C05"/>
    <w:rsid w:val="00741CF0"/>
    <w:rsid w:val="00741F1A"/>
    <w:rsid w:val="007430B4"/>
    <w:rsid w:val="0074407B"/>
    <w:rsid w:val="007447DA"/>
    <w:rsid w:val="0074500C"/>
    <w:rsid w:val="007450F8"/>
    <w:rsid w:val="00745C70"/>
    <w:rsid w:val="0074696E"/>
    <w:rsid w:val="00750135"/>
    <w:rsid w:val="00750EC2"/>
    <w:rsid w:val="00752B28"/>
    <w:rsid w:val="00753302"/>
    <w:rsid w:val="007536BC"/>
    <w:rsid w:val="007541A9"/>
    <w:rsid w:val="00754514"/>
    <w:rsid w:val="00754E36"/>
    <w:rsid w:val="007555D0"/>
    <w:rsid w:val="00755A82"/>
    <w:rsid w:val="007579D6"/>
    <w:rsid w:val="007624A3"/>
    <w:rsid w:val="00762E26"/>
    <w:rsid w:val="00763139"/>
    <w:rsid w:val="007646DB"/>
    <w:rsid w:val="00764E53"/>
    <w:rsid w:val="007700B0"/>
    <w:rsid w:val="00770F37"/>
    <w:rsid w:val="007711A0"/>
    <w:rsid w:val="00771415"/>
    <w:rsid w:val="007719A0"/>
    <w:rsid w:val="007719F8"/>
    <w:rsid w:val="00772687"/>
    <w:rsid w:val="00772D5E"/>
    <w:rsid w:val="0077463E"/>
    <w:rsid w:val="0077577A"/>
    <w:rsid w:val="00776928"/>
    <w:rsid w:val="00776D56"/>
    <w:rsid w:val="00776E0F"/>
    <w:rsid w:val="007774B1"/>
    <w:rsid w:val="007778DA"/>
    <w:rsid w:val="00777BE1"/>
    <w:rsid w:val="00780125"/>
    <w:rsid w:val="00780CE3"/>
    <w:rsid w:val="00781EA3"/>
    <w:rsid w:val="00782222"/>
    <w:rsid w:val="007833D8"/>
    <w:rsid w:val="00785677"/>
    <w:rsid w:val="0078593D"/>
    <w:rsid w:val="00785E13"/>
    <w:rsid w:val="007863CF"/>
    <w:rsid w:val="00786F16"/>
    <w:rsid w:val="00787B3A"/>
    <w:rsid w:val="00787C2F"/>
    <w:rsid w:val="00791BD7"/>
    <w:rsid w:val="007933F7"/>
    <w:rsid w:val="00793D14"/>
    <w:rsid w:val="00796A34"/>
    <w:rsid w:val="00796E20"/>
    <w:rsid w:val="00797C32"/>
    <w:rsid w:val="007A11E8"/>
    <w:rsid w:val="007A3C47"/>
    <w:rsid w:val="007A3CAE"/>
    <w:rsid w:val="007B0661"/>
    <w:rsid w:val="007B0914"/>
    <w:rsid w:val="007B0A7E"/>
    <w:rsid w:val="007B1374"/>
    <w:rsid w:val="007B1669"/>
    <w:rsid w:val="007B32E5"/>
    <w:rsid w:val="007B35B7"/>
    <w:rsid w:val="007B3DB9"/>
    <w:rsid w:val="007B566F"/>
    <w:rsid w:val="007B589F"/>
    <w:rsid w:val="007B6186"/>
    <w:rsid w:val="007B73BC"/>
    <w:rsid w:val="007C0B6A"/>
    <w:rsid w:val="007C1838"/>
    <w:rsid w:val="007C1EDF"/>
    <w:rsid w:val="007C20B9"/>
    <w:rsid w:val="007C2859"/>
    <w:rsid w:val="007C3254"/>
    <w:rsid w:val="007C45A9"/>
    <w:rsid w:val="007C7262"/>
    <w:rsid w:val="007C7301"/>
    <w:rsid w:val="007C7859"/>
    <w:rsid w:val="007C7AEF"/>
    <w:rsid w:val="007C7EFC"/>
    <w:rsid w:val="007C7F28"/>
    <w:rsid w:val="007D02F8"/>
    <w:rsid w:val="007D1466"/>
    <w:rsid w:val="007D258B"/>
    <w:rsid w:val="007D2BDE"/>
    <w:rsid w:val="007D2FB6"/>
    <w:rsid w:val="007D49EB"/>
    <w:rsid w:val="007D57DE"/>
    <w:rsid w:val="007D5E1C"/>
    <w:rsid w:val="007D786F"/>
    <w:rsid w:val="007E09E0"/>
    <w:rsid w:val="007E0DE2"/>
    <w:rsid w:val="007E1584"/>
    <w:rsid w:val="007E3667"/>
    <w:rsid w:val="007E3B98"/>
    <w:rsid w:val="007E417A"/>
    <w:rsid w:val="007E5432"/>
    <w:rsid w:val="007E548D"/>
    <w:rsid w:val="007F1126"/>
    <w:rsid w:val="007F2439"/>
    <w:rsid w:val="007F31B6"/>
    <w:rsid w:val="007F37FD"/>
    <w:rsid w:val="007F546C"/>
    <w:rsid w:val="007F625F"/>
    <w:rsid w:val="007F665E"/>
    <w:rsid w:val="007F671E"/>
    <w:rsid w:val="00800412"/>
    <w:rsid w:val="0080063B"/>
    <w:rsid w:val="00802B09"/>
    <w:rsid w:val="0080587B"/>
    <w:rsid w:val="00805B1E"/>
    <w:rsid w:val="00806468"/>
    <w:rsid w:val="008119CA"/>
    <w:rsid w:val="008130C4"/>
    <w:rsid w:val="00814DBB"/>
    <w:rsid w:val="008155F0"/>
    <w:rsid w:val="008159E3"/>
    <w:rsid w:val="00815C65"/>
    <w:rsid w:val="00816735"/>
    <w:rsid w:val="00817272"/>
    <w:rsid w:val="00820141"/>
    <w:rsid w:val="00820B62"/>
    <w:rsid w:val="00820E0C"/>
    <w:rsid w:val="00822792"/>
    <w:rsid w:val="00823275"/>
    <w:rsid w:val="0082366F"/>
    <w:rsid w:val="00824927"/>
    <w:rsid w:val="00825E9F"/>
    <w:rsid w:val="00826CB6"/>
    <w:rsid w:val="00827106"/>
    <w:rsid w:val="008310E6"/>
    <w:rsid w:val="008338A2"/>
    <w:rsid w:val="00836446"/>
    <w:rsid w:val="008365A6"/>
    <w:rsid w:val="008366E3"/>
    <w:rsid w:val="008402C9"/>
    <w:rsid w:val="00841614"/>
    <w:rsid w:val="008416EF"/>
    <w:rsid w:val="00841AA9"/>
    <w:rsid w:val="00843B73"/>
    <w:rsid w:val="00844470"/>
    <w:rsid w:val="00844A90"/>
    <w:rsid w:val="008474FE"/>
    <w:rsid w:val="008475EA"/>
    <w:rsid w:val="0085001D"/>
    <w:rsid w:val="00850A90"/>
    <w:rsid w:val="00853E53"/>
    <w:rsid w:val="00853EE4"/>
    <w:rsid w:val="008545D3"/>
    <w:rsid w:val="00854B30"/>
    <w:rsid w:val="00855535"/>
    <w:rsid w:val="00855622"/>
    <w:rsid w:val="00856223"/>
    <w:rsid w:val="0085622D"/>
    <w:rsid w:val="00857C5A"/>
    <w:rsid w:val="0086139E"/>
    <w:rsid w:val="008616D3"/>
    <w:rsid w:val="0086255E"/>
    <w:rsid w:val="00863023"/>
    <w:rsid w:val="008633F0"/>
    <w:rsid w:val="0086354F"/>
    <w:rsid w:val="00864B57"/>
    <w:rsid w:val="00866EB8"/>
    <w:rsid w:val="00867D9D"/>
    <w:rsid w:val="00867F9E"/>
    <w:rsid w:val="00871555"/>
    <w:rsid w:val="00872E0A"/>
    <w:rsid w:val="00873594"/>
    <w:rsid w:val="00874739"/>
    <w:rsid w:val="00875285"/>
    <w:rsid w:val="008804A2"/>
    <w:rsid w:val="00880637"/>
    <w:rsid w:val="008815A4"/>
    <w:rsid w:val="00884B62"/>
    <w:rsid w:val="0088529C"/>
    <w:rsid w:val="00887903"/>
    <w:rsid w:val="00887F3C"/>
    <w:rsid w:val="00890132"/>
    <w:rsid w:val="0089026F"/>
    <w:rsid w:val="00890DE0"/>
    <w:rsid w:val="00890FDA"/>
    <w:rsid w:val="0089270A"/>
    <w:rsid w:val="00893AF6"/>
    <w:rsid w:val="00893C9E"/>
    <w:rsid w:val="00894BC4"/>
    <w:rsid w:val="008957C1"/>
    <w:rsid w:val="00896890"/>
    <w:rsid w:val="00897612"/>
    <w:rsid w:val="008977D1"/>
    <w:rsid w:val="00897B4B"/>
    <w:rsid w:val="008A156B"/>
    <w:rsid w:val="008A28A8"/>
    <w:rsid w:val="008A54AC"/>
    <w:rsid w:val="008A5B32"/>
    <w:rsid w:val="008A7B9B"/>
    <w:rsid w:val="008B1D2F"/>
    <w:rsid w:val="008B2029"/>
    <w:rsid w:val="008B2EE4"/>
    <w:rsid w:val="008B3187"/>
    <w:rsid w:val="008B3821"/>
    <w:rsid w:val="008B4639"/>
    <w:rsid w:val="008B4D3D"/>
    <w:rsid w:val="008B57C7"/>
    <w:rsid w:val="008B7489"/>
    <w:rsid w:val="008C2F92"/>
    <w:rsid w:val="008C3546"/>
    <w:rsid w:val="008C387D"/>
    <w:rsid w:val="008C589D"/>
    <w:rsid w:val="008C699C"/>
    <w:rsid w:val="008C6D51"/>
    <w:rsid w:val="008D22B7"/>
    <w:rsid w:val="008D2846"/>
    <w:rsid w:val="008D2996"/>
    <w:rsid w:val="008D4236"/>
    <w:rsid w:val="008D462F"/>
    <w:rsid w:val="008D5EFA"/>
    <w:rsid w:val="008D6944"/>
    <w:rsid w:val="008D6DCF"/>
    <w:rsid w:val="008E04A4"/>
    <w:rsid w:val="008E2571"/>
    <w:rsid w:val="008E4376"/>
    <w:rsid w:val="008E44B1"/>
    <w:rsid w:val="008E4F86"/>
    <w:rsid w:val="008E5355"/>
    <w:rsid w:val="008E7A0A"/>
    <w:rsid w:val="008E7B49"/>
    <w:rsid w:val="008F15F1"/>
    <w:rsid w:val="008F3B96"/>
    <w:rsid w:val="008F59F6"/>
    <w:rsid w:val="008F59FD"/>
    <w:rsid w:val="008F6077"/>
    <w:rsid w:val="008F72B9"/>
    <w:rsid w:val="00900719"/>
    <w:rsid w:val="009017AC"/>
    <w:rsid w:val="00902A9A"/>
    <w:rsid w:val="00903630"/>
    <w:rsid w:val="00903F71"/>
    <w:rsid w:val="00904A1C"/>
    <w:rsid w:val="00905030"/>
    <w:rsid w:val="0090640B"/>
    <w:rsid w:val="00906490"/>
    <w:rsid w:val="009111B2"/>
    <w:rsid w:val="00911DCA"/>
    <w:rsid w:val="00914921"/>
    <w:rsid w:val="009151F5"/>
    <w:rsid w:val="00915424"/>
    <w:rsid w:val="009231D9"/>
    <w:rsid w:val="00923D70"/>
    <w:rsid w:val="00924AE1"/>
    <w:rsid w:val="00925CB2"/>
    <w:rsid w:val="009269B1"/>
    <w:rsid w:val="0092724D"/>
    <w:rsid w:val="009272B3"/>
    <w:rsid w:val="009315BE"/>
    <w:rsid w:val="00932670"/>
    <w:rsid w:val="009326DD"/>
    <w:rsid w:val="0093338F"/>
    <w:rsid w:val="0093369D"/>
    <w:rsid w:val="009338D7"/>
    <w:rsid w:val="00933BB7"/>
    <w:rsid w:val="00934338"/>
    <w:rsid w:val="00934E7D"/>
    <w:rsid w:val="00937BD9"/>
    <w:rsid w:val="009403A9"/>
    <w:rsid w:val="00940F39"/>
    <w:rsid w:val="009419F4"/>
    <w:rsid w:val="009421C1"/>
    <w:rsid w:val="009439DB"/>
    <w:rsid w:val="00943F6C"/>
    <w:rsid w:val="009446B7"/>
    <w:rsid w:val="009465CE"/>
    <w:rsid w:val="00947348"/>
    <w:rsid w:val="009508B6"/>
    <w:rsid w:val="00950C15"/>
    <w:rsid w:val="00950E2C"/>
    <w:rsid w:val="00951D50"/>
    <w:rsid w:val="0095239F"/>
    <w:rsid w:val="009525EB"/>
    <w:rsid w:val="00952BAC"/>
    <w:rsid w:val="0095470B"/>
    <w:rsid w:val="00954874"/>
    <w:rsid w:val="0095615A"/>
    <w:rsid w:val="00961400"/>
    <w:rsid w:val="009621E4"/>
    <w:rsid w:val="00962D0D"/>
    <w:rsid w:val="00963646"/>
    <w:rsid w:val="00963F11"/>
    <w:rsid w:val="0096632D"/>
    <w:rsid w:val="00967124"/>
    <w:rsid w:val="00967BC7"/>
    <w:rsid w:val="00967EDB"/>
    <w:rsid w:val="0097166C"/>
    <w:rsid w:val="009718C7"/>
    <w:rsid w:val="00972B82"/>
    <w:rsid w:val="00974451"/>
    <w:rsid w:val="00974E1A"/>
    <w:rsid w:val="0097559F"/>
    <w:rsid w:val="009761EA"/>
    <w:rsid w:val="00976CF4"/>
    <w:rsid w:val="0097761E"/>
    <w:rsid w:val="00977D59"/>
    <w:rsid w:val="00982454"/>
    <w:rsid w:val="009825CD"/>
    <w:rsid w:val="00982819"/>
    <w:rsid w:val="00982CF0"/>
    <w:rsid w:val="00983C09"/>
    <w:rsid w:val="0098464A"/>
    <w:rsid w:val="009853E1"/>
    <w:rsid w:val="00986E6B"/>
    <w:rsid w:val="00990032"/>
    <w:rsid w:val="00990B19"/>
    <w:rsid w:val="0099153B"/>
    <w:rsid w:val="00991769"/>
    <w:rsid w:val="00991D5A"/>
    <w:rsid w:val="0099232C"/>
    <w:rsid w:val="00994386"/>
    <w:rsid w:val="009A13D8"/>
    <w:rsid w:val="009A2643"/>
    <w:rsid w:val="009A279E"/>
    <w:rsid w:val="009A2828"/>
    <w:rsid w:val="009A3015"/>
    <w:rsid w:val="009A3490"/>
    <w:rsid w:val="009A69A9"/>
    <w:rsid w:val="009B0A6F"/>
    <w:rsid w:val="009B0A94"/>
    <w:rsid w:val="009B0C62"/>
    <w:rsid w:val="009B2AE8"/>
    <w:rsid w:val="009B543D"/>
    <w:rsid w:val="009B5622"/>
    <w:rsid w:val="009B59E9"/>
    <w:rsid w:val="009B6266"/>
    <w:rsid w:val="009B6CA7"/>
    <w:rsid w:val="009B6F5E"/>
    <w:rsid w:val="009B70AA"/>
    <w:rsid w:val="009B7FFA"/>
    <w:rsid w:val="009C245E"/>
    <w:rsid w:val="009C32DF"/>
    <w:rsid w:val="009C5E77"/>
    <w:rsid w:val="009C7A7E"/>
    <w:rsid w:val="009D00B6"/>
    <w:rsid w:val="009D02E8"/>
    <w:rsid w:val="009D07AD"/>
    <w:rsid w:val="009D0972"/>
    <w:rsid w:val="009D1245"/>
    <w:rsid w:val="009D51D0"/>
    <w:rsid w:val="009D6E1B"/>
    <w:rsid w:val="009D70A4"/>
    <w:rsid w:val="009D738E"/>
    <w:rsid w:val="009D7B14"/>
    <w:rsid w:val="009E0456"/>
    <w:rsid w:val="009E08D1"/>
    <w:rsid w:val="009E0D96"/>
    <w:rsid w:val="009E1B95"/>
    <w:rsid w:val="009E3DF8"/>
    <w:rsid w:val="009E496F"/>
    <w:rsid w:val="009E4B0D"/>
    <w:rsid w:val="009E4F08"/>
    <w:rsid w:val="009E5250"/>
    <w:rsid w:val="009E55ED"/>
    <w:rsid w:val="009E5D82"/>
    <w:rsid w:val="009E7042"/>
    <w:rsid w:val="009E7A69"/>
    <w:rsid w:val="009E7F92"/>
    <w:rsid w:val="009F02A3"/>
    <w:rsid w:val="009F043C"/>
    <w:rsid w:val="009F0CB2"/>
    <w:rsid w:val="009F2182"/>
    <w:rsid w:val="009F2F27"/>
    <w:rsid w:val="009F34AA"/>
    <w:rsid w:val="009F43B3"/>
    <w:rsid w:val="009F4A77"/>
    <w:rsid w:val="009F518D"/>
    <w:rsid w:val="009F5E29"/>
    <w:rsid w:val="009F63BD"/>
    <w:rsid w:val="009F6BCB"/>
    <w:rsid w:val="009F7B78"/>
    <w:rsid w:val="00A0057A"/>
    <w:rsid w:val="00A018BA"/>
    <w:rsid w:val="00A02FA1"/>
    <w:rsid w:val="00A0453D"/>
    <w:rsid w:val="00A0480F"/>
    <w:rsid w:val="00A04CCE"/>
    <w:rsid w:val="00A051ED"/>
    <w:rsid w:val="00A07421"/>
    <w:rsid w:val="00A0776B"/>
    <w:rsid w:val="00A10FB9"/>
    <w:rsid w:val="00A11421"/>
    <w:rsid w:val="00A121E5"/>
    <w:rsid w:val="00A125BF"/>
    <w:rsid w:val="00A1389F"/>
    <w:rsid w:val="00A13B7A"/>
    <w:rsid w:val="00A157B1"/>
    <w:rsid w:val="00A204D5"/>
    <w:rsid w:val="00A20DD4"/>
    <w:rsid w:val="00A213BD"/>
    <w:rsid w:val="00A218B3"/>
    <w:rsid w:val="00A22229"/>
    <w:rsid w:val="00A2405A"/>
    <w:rsid w:val="00A24442"/>
    <w:rsid w:val="00A244C0"/>
    <w:rsid w:val="00A24ADA"/>
    <w:rsid w:val="00A278F1"/>
    <w:rsid w:val="00A32577"/>
    <w:rsid w:val="00A330BB"/>
    <w:rsid w:val="00A35403"/>
    <w:rsid w:val="00A36649"/>
    <w:rsid w:val="00A3711F"/>
    <w:rsid w:val="00A40E1E"/>
    <w:rsid w:val="00A411F5"/>
    <w:rsid w:val="00A42513"/>
    <w:rsid w:val="00A42C26"/>
    <w:rsid w:val="00A446F5"/>
    <w:rsid w:val="00A44882"/>
    <w:rsid w:val="00A45125"/>
    <w:rsid w:val="00A46E48"/>
    <w:rsid w:val="00A5294E"/>
    <w:rsid w:val="00A52C38"/>
    <w:rsid w:val="00A54715"/>
    <w:rsid w:val="00A54FB1"/>
    <w:rsid w:val="00A5552B"/>
    <w:rsid w:val="00A57957"/>
    <w:rsid w:val="00A6061C"/>
    <w:rsid w:val="00A619A5"/>
    <w:rsid w:val="00A62485"/>
    <w:rsid w:val="00A62D44"/>
    <w:rsid w:val="00A64679"/>
    <w:rsid w:val="00A67263"/>
    <w:rsid w:val="00A67B46"/>
    <w:rsid w:val="00A7161C"/>
    <w:rsid w:val="00A71CE4"/>
    <w:rsid w:val="00A75442"/>
    <w:rsid w:val="00A77AA3"/>
    <w:rsid w:val="00A810B3"/>
    <w:rsid w:val="00A8236D"/>
    <w:rsid w:val="00A82990"/>
    <w:rsid w:val="00A8343D"/>
    <w:rsid w:val="00A84FAB"/>
    <w:rsid w:val="00A854EB"/>
    <w:rsid w:val="00A8686A"/>
    <w:rsid w:val="00A872E5"/>
    <w:rsid w:val="00A91406"/>
    <w:rsid w:val="00A93273"/>
    <w:rsid w:val="00A94C2E"/>
    <w:rsid w:val="00A96E65"/>
    <w:rsid w:val="00A96ECE"/>
    <w:rsid w:val="00A97402"/>
    <w:rsid w:val="00A97C72"/>
    <w:rsid w:val="00AA1BCB"/>
    <w:rsid w:val="00AA310B"/>
    <w:rsid w:val="00AA63D4"/>
    <w:rsid w:val="00AA6883"/>
    <w:rsid w:val="00AA7CF7"/>
    <w:rsid w:val="00AB06E8"/>
    <w:rsid w:val="00AB1CD3"/>
    <w:rsid w:val="00AB21E6"/>
    <w:rsid w:val="00AB352F"/>
    <w:rsid w:val="00AB538D"/>
    <w:rsid w:val="00AB7D2B"/>
    <w:rsid w:val="00AC0E23"/>
    <w:rsid w:val="00AC274B"/>
    <w:rsid w:val="00AC4764"/>
    <w:rsid w:val="00AC6D36"/>
    <w:rsid w:val="00AD0CBA"/>
    <w:rsid w:val="00AD26E2"/>
    <w:rsid w:val="00AD58B5"/>
    <w:rsid w:val="00AD7791"/>
    <w:rsid w:val="00AD784C"/>
    <w:rsid w:val="00AE126A"/>
    <w:rsid w:val="00AE1BAE"/>
    <w:rsid w:val="00AE3005"/>
    <w:rsid w:val="00AE3A88"/>
    <w:rsid w:val="00AE3BD5"/>
    <w:rsid w:val="00AE59A0"/>
    <w:rsid w:val="00AF0C57"/>
    <w:rsid w:val="00AF2014"/>
    <w:rsid w:val="00AF26F3"/>
    <w:rsid w:val="00AF3527"/>
    <w:rsid w:val="00AF5CD5"/>
    <w:rsid w:val="00AF5F04"/>
    <w:rsid w:val="00AF7B69"/>
    <w:rsid w:val="00B001B9"/>
    <w:rsid w:val="00B00672"/>
    <w:rsid w:val="00B0094A"/>
    <w:rsid w:val="00B01B4D"/>
    <w:rsid w:val="00B04489"/>
    <w:rsid w:val="00B0456C"/>
    <w:rsid w:val="00B06571"/>
    <w:rsid w:val="00B068BA"/>
    <w:rsid w:val="00B07217"/>
    <w:rsid w:val="00B07D95"/>
    <w:rsid w:val="00B11405"/>
    <w:rsid w:val="00B12199"/>
    <w:rsid w:val="00B13851"/>
    <w:rsid w:val="00B13B1C"/>
    <w:rsid w:val="00B14B5F"/>
    <w:rsid w:val="00B20172"/>
    <w:rsid w:val="00B21ACF"/>
    <w:rsid w:val="00B21F90"/>
    <w:rsid w:val="00B2213B"/>
    <w:rsid w:val="00B22291"/>
    <w:rsid w:val="00B2257A"/>
    <w:rsid w:val="00B22DDD"/>
    <w:rsid w:val="00B23AAB"/>
    <w:rsid w:val="00B23F9A"/>
    <w:rsid w:val="00B2417B"/>
    <w:rsid w:val="00B246C0"/>
    <w:rsid w:val="00B24E6F"/>
    <w:rsid w:val="00B26CB5"/>
    <w:rsid w:val="00B270AC"/>
    <w:rsid w:val="00B2752E"/>
    <w:rsid w:val="00B307CC"/>
    <w:rsid w:val="00B30C85"/>
    <w:rsid w:val="00B30E18"/>
    <w:rsid w:val="00B319BE"/>
    <w:rsid w:val="00B31F40"/>
    <w:rsid w:val="00B3230C"/>
    <w:rsid w:val="00B323B8"/>
    <w:rsid w:val="00B326B7"/>
    <w:rsid w:val="00B33B2B"/>
    <w:rsid w:val="00B341A8"/>
    <w:rsid w:val="00B346E8"/>
    <w:rsid w:val="00B34D36"/>
    <w:rsid w:val="00B3588E"/>
    <w:rsid w:val="00B37360"/>
    <w:rsid w:val="00B413A2"/>
    <w:rsid w:val="00B4198F"/>
    <w:rsid w:val="00B41F3D"/>
    <w:rsid w:val="00B423C5"/>
    <w:rsid w:val="00B431AE"/>
    <w:rsid w:val="00B431E8"/>
    <w:rsid w:val="00B44566"/>
    <w:rsid w:val="00B449F3"/>
    <w:rsid w:val="00B44A8F"/>
    <w:rsid w:val="00B45141"/>
    <w:rsid w:val="00B50FBF"/>
    <w:rsid w:val="00B51958"/>
    <w:rsid w:val="00B519CD"/>
    <w:rsid w:val="00B52114"/>
    <w:rsid w:val="00B5273A"/>
    <w:rsid w:val="00B52E4E"/>
    <w:rsid w:val="00B53415"/>
    <w:rsid w:val="00B57329"/>
    <w:rsid w:val="00B60296"/>
    <w:rsid w:val="00B60D6D"/>
    <w:rsid w:val="00B60E61"/>
    <w:rsid w:val="00B61C3D"/>
    <w:rsid w:val="00B62ABD"/>
    <w:rsid w:val="00B62B50"/>
    <w:rsid w:val="00B635B7"/>
    <w:rsid w:val="00B63AE8"/>
    <w:rsid w:val="00B64565"/>
    <w:rsid w:val="00B64A7E"/>
    <w:rsid w:val="00B65950"/>
    <w:rsid w:val="00B661B1"/>
    <w:rsid w:val="00B66547"/>
    <w:rsid w:val="00B66D83"/>
    <w:rsid w:val="00B672C0"/>
    <w:rsid w:val="00B676FD"/>
    <w:rsid w:val="00B677FB"/>
    <w:rsid w:val="00B678B6"/>
    <w:rsid w:val="00B71BD5"/>
    <w:rsid w:val="00B75646"/>
    <w:rsid w:val="00B76175"/>
    <w:rsid w:val="00B7629E"/>
    <w:rsid w:val="00B80F32"/>
    <w:rsid w:val="00B82E97"/>
    <w:rsid w:val="00B857F2"/>
    <w:rsid w:val="00B87D8A"/>
    <w:rsid w:val="00B90729"/>
    <w:rsid w:val="00B907DA"/>
    <w:rsid w:val="00B90A02"/>
    <w:rsid w:val="00B90B09"/>
    <w:rsid w:val="00B91BE3"/>
    <w:rsid w:val="00B92F4D"/>
    <w:rsid w:val="00B93D0A"/>
    <w:rsid w:val="00B94C5E"/>
    <w:rsid w:val="00B950BC"/>
    <w:rsid w:val="00B96AC0"/>
    <w:rsid w:val="00B9714C"/>
    <w:rsid w:val="00B974EF"/>
    <w:rsid w:val="00B97924"/>
    <w:rsid w:val="00BA26F6"/>
    <w:rsid w:val="00BA29AD"/>
    <w:rsid w:val="00BA2DE7"/>
    <w:rsid w:val="00BA33CF"/>
    <w:rsid w:val="00BA3A1F"/>
    <w:rsid w:val="00BA3F8D"/>
    <w:rsid w:val="00BB5E3C"/>
    <w:rsid w:val="00BB664F"/>
    <w:rsid w:val="00BB6E3C"/>
    <w:rsid w:val="00BB74AC"/>
    <w:rsid w:val="00BB7A10"/>
    <w:rsid w:val="00BC509A"/>
    <w:rsid w:val="00BC5131"/>
    <w:rsid w:val="00BC60BE"/>
    <w:rsid w:val="00BC6C54"/>
    <w:rsid w:val="00BC7468"/>
    <w:rsid w:val="00BC7D4F"/>
    <w:rsid w:val="00BC7ED7"/>
    <w:rsid w:val="00BD2850"/>
    <w:rsid w:val="00BE061D"/>
    <w:rsid w:val="00BE28D2"/>
    <w:rsid w:val="00BE38A0"/>
    <w:rsid w:val="00BE4A64"/>
    <w:rsid w:val="00BE58D7"/>
    <w:rsid w:val="00BE5E43"/>
    <w:rsid w:val="00BF557D"/>
    <w:rsid w:val="00BF658D"/>
    <w:rsid w:val="00BF7F58"/>
    <w:rsid w:val="00C01381"/>
    <w:rsid w:val="00C01AB1"/>
    <w:rsid w:val="00C026A0"/>
    <w:rsid w:val="00C06137"/>
    <w:rsid w:val="00C061E0"/>
    <w:rsid w:val="00C06929"/>
    <w:rsid w:val="00C0780E"/>
    <w:rsid w:val="00C079B8"/>
    <w:rsid w:val="00C10037"/>
    <w:rsid w:val="00C115E1"/>
    <w:rsid w:val="00C123EA"/>
    <w:rsid w:val="00C1271A"/>
    <w:rsid w:val="00C12A49"/>
    <w:rsid w:val="00C12CE3"/>
    <w:rsid w:val="00C13197"/>
    <w:rsid w:val="00C133EE"/>
    <w:rsid w:val="00C13E34"/>
    <w:rsid w:val="00C149D0"/>
    <w:rsid w:val="00C1768A"/>
    <w:rsid w:val="00C176CC"/>
    <w:rsid w:val="00C259A6"/>
    <w:rsid w:val="00C26588"/>
    <w:rsid w:val="00C2772C"/>
    <w:rsid w:val="00C27DE9"/>
    <w:rsid w:val="00C3086A"/>
    <w:rsid w:val="00C32989"/>
    <w:rsid w:val="00C33388"/>
    <w:rsid w:val="00C34E3E"/>
    <w:rsid w:val="00C35484"/>
    <w:rsid w:val="00C411AB"/>
    <w:rsid w:val="00C4173A"/>
    <w:rsid w:val="00C42524"/>
    <w:rsid w:val="00C42DA6"/>
    <w:rsid w:val="00C42E14"/>
    <w:rsid w:val="00C42E2F"/>
    <w:rsid w:val="00C50A5B"/>
    <w:rsid w:val="00C50DED"/>
    <w:rsid w:val="00C52217"/>
    <w:rsid w:val="00C54539"/>
    <w:rsid w:val="00C56FE7"/>
    <w:rsid w:val="00C579AA"/>
    <w:rsid w:val="00C601D6"/>
    <w:rsid w:val="00C602FF"/>
    <w:rsid w:val="00C60411"/>
    <w:rsid w:val="00C61174"/>
    <w:rsid w:val="00C6148F"/>
    <w:rsid w:val="00C621B1"/>
    <w:rsid w:val="00C62F7A"/>
    <w:rsid w:val="00C62F89"/>
    <w:rsid w:val="00C63899"/>
    <w:rsid w:val="00C63B9C"/>
    <w:rsid w:val="00C6682F"/>
    <w:rsid w:val="00C67BF4"/>
    <w:rsid w:val="00C7275E"/>
    <w:rsid w:val="00C731AF"/>
    <w:rsid w:val="00C73FED"/>
    <w:rsid w:val="00C74C5D"/>
    <w:rsid w:val="00C76A30"/>
    <w:rsid w:val="00C85ED3"/>
    <w:rsid w:val="00C863C4"/>
    <w:rsid w:val="00C86987"/>
    <w:rsid w:val="00C8699D"/>
    <w:rsid w:val="00C87D19"/>
    <w:rsid w:val="00C90A0A"/>
    <w:rsid w:val="00C90DAB"/>
    <w:rsid w:val="00C91C42"/>
    <w:rsid w:val="00C920EA"/>
    <w:rsid w:val="00C93C3E"/>
    <w:rsid w:val="00C93D03"/>
    <w:rsid w:val="00C944FB"/>
    <w:rsid w:val="00C958E0"/>
    <w:rsid w:val="00C9611E"/>
    <w:rsid w:val="00C96AD7"/>
    <w:rsid w:val="00C96D87"/>
    <w:rsid w:val="00C97444"/>
    <w:rsid w:val="00C97E2F"/>
    <w:rsid w:val="00CA12E3"/>
    <w:rsid w:val="00CA1476"/>
    <w:rsid w:val="00CA1AE3"/>
    <w:rsid w:val="00CA422B"/>
    <w:rsid w:val="00CA4554"/>
    <w:rsid w:val="00CA4910"/>
    <w:rsid w:val="00CA61E2"/>
    <w:rsid w:val="00CA6611"/>
    <w:rsid w:val="00CA6AE6"/>
    <w:rsid w:val="00CA76CD"/>
    <w:rsid w:val="00CA782F"/>
    <w:rsid w:val="00CB0337"/>
    <w:rsid w:val="00CB187B"/>
    <w:rsid w:val="00CB2835"/>
    <w:rsid w:val="00CB3285"/>
    <w:rsid w:val="00CB4500"/>
    <w:rsid w:val="00CC0C72"/>
    <w:rsid w:val="00CC2297"/>
    <w:rsid w:val="00CC2BFD"/>
    <w:rsid w:val="00CC2CA6"/>
    <w:rsid w:val="00CC345C"/>
    <w:rsid w:val="00CC4F81"/>
    <w:rsid w:val="00CC505A"/>
    <w:rsid w:val="00CC67A0"/>
    <w:rsid w:val="00CC6B75"/>
    <w:rsid w:val="00CC6F40"/>
    <w:rsid w:val="00CD02CC"/>
    <w:rsid w:val="00CD08EA"/>
    <w:rsid w:val="00CD0F9A"/>
    <w:rsid w:val="00CD3454"/>
    <w:rsid w:val="00CD3476"/>
    <w:rsid w:val="00CD582D"/>
    <w:rsid w:val="00CD64DF"/>
    <w:rsid w:val="00CE225F"/>
    <w:rsid w:val="00CE3BC4"/>
    <w:rsid w:val="00CE4229"/>
    <w:rsid w:val="00CE5A55"/>
    <w:rsid w:val="00CE5A7A"/>
    <w:rsid w:val="00CE6710"/>
    <w:rsid w:val="00CE7C87"/>
    <w:rsid w:val="00CE7CD2"/>
    <w:rsid w:val="00CF00BE"/>
    <w:rsid w:val="00CF25AE"/>
    <w:rsid w:val="00CF2F50"/>
    <w:rsid w:val="00CF3E8B"/>
    <w:rsid w:val="00CF3EA3"/>
    <w:rsid w:val="00CF6198"/>
    <w:rsid w:val="00D02919"/>
    <w:rsid w:val="00D04C61"/>
    <w:rsid w:val="00D05B8D"/>
    <w:rsid w:val="00D05B9B"/>
    <w:rsid w:val="00D065A2"/>
    <w:rsid w:val="00D079AA"/>
    <w:rsid w:val="00D07F00"/>
    <w:rsid w:val="00D10FCB"/>
    <w:rsid w:val="00D1130F"/>
    <w:rsid w:val="00D121A7"/>
    <w:rsid w:val="00D125AE"/>
    <w:rsid w:val="00D126E1"/>
    <w:rsid w:val="00D13DA4"/>
    <w:rsid w:val="00D14120"/>
    <w:rsid w:val="00D17B72"/>
    <w:rsid w:val="00D22CAE"/>
    <w:rsid w:val="00D26A1F"/>
    <w:rsid w:val="00D311EF"/>
    <w:rsid w:val="00D3185C"/>
    <w:rsid w:val="00D3205F"/>
    <w:rsid w:val="00D3318E"/>
    <w:rsid w:val="00D33E72"/>
    <w:rsid w:val="00D35BD6"/>
    <w:rsid w:val="00D361B5"/>
    <w:rsid w:val="00D411A2"/>
    <w:rsid w:val="00D444CA"/>
    <w:rsid w:val="00D4518F"/>
    <w:rsid w:val="00D457F8"/>
    <w:rsid w:val="00D4606D"/>
    <w:rsid w:val="00D50B9C"/>
    <w:rsid w:val="00D513AF"/>
    <w:rsid w:val="00D52D73"/>
    <w:rsid w:val="00D52E58"/>
    <w:rsid w:val="00D53307"/>
    <w:rsid w:val="00D5523A"/>
    <w:rsid w:val="00D56B20"/>
    <w:rsid w:val="00D570AB"/>
    <w:rsid w:val="00D578B3"/>
    <w:rsid w:val="00D618F4"/>
    <w:rsid w:val="00D61957"/>
    <w:rsid w:val="00D63636"/>
    <w:rsid w:val="00D640BB"/>
    <w:rsid w:val="00D6641A"/>
    <w:rsid w:val="00D665C4"/>
    <w:rsid w:val="00D67A43"/>
    <w:rsid w:val="00D714CC"/>
    <w:rsid w:val="00D73DBC"/>
    <w:rsid w:val="00D75EA7"/>
    <w:rsid w:val="00D76ECC"/>
    <w:rsid w:val="00D81ADF"/>
    <w:rsid w:val="00D81F21"/>
    <w:rsid w:val="00D84BF6"/>
    <w:rsid w:val="00D864F2"/>
    <w:rsid w:val="00D873D9"/>
    <w:rsid w:val="00D909CC"/>
    <w:rsid w:val="00D9359B"/>
    <w:rsid w:val="00D943F8"/>
    <w:rsid w:val="00D95470"/>
    <w:rsid w:val="00D96B55"/>
    <w:rsid w:val="00DA2619"/>
    <w:rsid w:val="00DA4239"/>
    <w:rsid w:val="00DA52A4"/>
    <w:rsid w:val="00DA588C"/>
    <w:rsid w:val="00DA65DE"/>
    <w:rsid w:val="00DB0B61"/>
    <w:rsid w:val="00DB1474"/>
    <w:rsid w:val="00DB2962"/>
    <w:rsid w:val="00DB324D"/>
    <w:rsid w:val="00DB52FB"/>
    <w:rsid w:val="00DB7B9D"/>
    <w:rsid w:val="00DB7CEE"/>
    <w:rsid w:val="00DC013B"/>
    <w:rsid w:val="00DC090B"/>
    <w:rsid w:val="00DC0F57"/>
    <w:rsid w:val="00DC1679"/>
    <w:rsid w:val="00DC1F95"/>
    <w:rsid w:val="00DC219B"/>
    <w:rsid w:val="00DC2CF1"/>
    <w:rsid w:val="00DC2D3D"/>
    <w:rsid w:val="00DC2DC7"/>
    <w:rsid w:val="00DC2EA0"/>
    <w:rsid w:val="00DC3A7C"/>
    <w:rsid w:val="00DC4A45"/>
    <w:rsid w:val="00DC4C99"/>
    <w:rsid w:val="00DC4FCF"/>
    <w:rsid w:val="00DC50E0"/>
    <w:rsid w:val="00DC6386"/>
    <w:rsid w:val="00DC6413"/>
    <w:rsid w:val="00DC7166"/>
    <w:rsid w:val="00DD1130"/>
    <w:rsid w:val="00DD1951"/>
    <w:rsid w:val="00DD2672"/>
    <w:rsid w:val="00DD2CFA"/>
    <w:rsid w:val="00DD3A44"/>
    <w:rsid w:val="00DD487D"/>
    <w:rsid w:val="00DD4A04"/>
    <w:rsid w:val="00DD4E83"/>
    <w:rsid w:val="00DD4F02"/>
    <w:rsid w:val="00DD6628"/>
    <w:rsid w:val="00DD6945"/>
    <w:rsid w:val="00DD72B4"/>
    <w:rsid w:val="00DE2D04"/>
    <w:rsid w:val="00DE3250"/>
    <w:rsid w:val="00DE5EE5"/>
    <w:rsid w:val="00DE6028"/>
    <w:rsid w:val="00DE6C85"/>
    <w:rsid w:val="00DE78A3"/>
    <w:rsid w:val="00DF02D9"/>
    <w:rsid w:val="00DF0897"/>
    <w:rsid w:val="00DF0A6E"/>
    <w:rsid w:val="00DF1A71"/>
    <w:rsid w:val="00DF382A"/>
    <w:rsid w:val="00DF47F5"/>
    <w:rsid w:val="00DF50FC"/>
    <w:rsid w:val="00DF5206"/>
    <w:rsid w:val="00DF68C7"/>
    <w:rsid w:val="00DF72A4"/>
    <w:rsid w:val="00DF731A"/>
    <w:rsid w:val="00E02022"/>
    <w:rsid w:val="00E04047"/>
    <w:rsid w:val="00E06B75"/>
    <w:rsid w:val="00E073A9"/>
    <w:rsid w:val="00E07932"/>
    <w:rsid w:val="00E11332"/>
    <w:rsid w:val="00E11352"/>
    <w:rsid w:val="00E12680"/>
    <w:rsid w:val="00E14D8A"/>
    <w:rsid w:val="00E170DC"/>
    <w:rsid w:val="00E174D2"/>
    <w:rsid w:val="00E17546"/>
    <w:rsid w:val="00E17ED4"/>
    <w:rsid w:val="00E17F2E"/>
    <w:rsid w:val="00E20617"/>
    <w:rsid w:val="00E210B5"/>
    <w:rsid w:val="00E25CFC"/>
    <w:rsid w:val="00E261B3"/>
    <w:rsid w:val="00E26261"/>
    <w:rsid w:val="00E26491"/>
    <w:rsid w:val="00E26818"/>
    <w:rsid w:val="00E27FFC"/>
    <w:rsid w:val="00E30B15"/>
    <w:rsid w:val="00E32BC8"/>
    <w:rsid w:val="00E33237"/>
    <w:rsid w:val="00E34768"/>
    <w:rsid w:val="00E34B7D"/>
    <w:rsid w:val="00E3642D"/>
    <w:rsid w:val="00E3729E"/>
    <w:rsid w:val="00E37397"/>
    <w:rsid w:val="00E40181"/>
    <w:rsid w:val="00E43A55"/>
    <w:rsid w:val="00E45F62"/>
    <w:rsid w:val="00E51592"/>
    <w:rsid w:val="00E52BF9"/>
    <w:rsid w:val="00E532A0"/>
    <w:rsid w:val="00E54950"/>
    <w:rsid w:val="00E54DC2"/>
    <w:rsid w:val="00E54E68"/>
    <w:rsid w:val="00E55B70"/>
    <w:rsid w:val="00E55FB3"/>
    <w:rsid w:val="00E56A01"/>
    <w:rsid w:val="00E57FAF"/>
    <w:rsid w:val="00E60EBF"/>
    <w:rsid w:val="00E6132B"/>
    <w:rsid w:val="00E629A1"/>
    <w:rsid w:val="00E63551"/>
    <w:rsid w:val="00E63BA1"/>
    <w:rsid w:val="00E6794C"/>
    <w:rsid w:val="00E70D60"/>
    <w:rsid w:val="00E71591"/>
    <w:rsid w:val="00E715E0"/>
    <w:rsid w:val="00E71CEB"/>
    <w:rsid w:val="00E723CE"/>
    <w:rsid w:val="00E7474F"/>
    <w:rsid w:val="00E7498A"/>
    <w:rsid w:val="00E80DE3"/>
    <w:rsid w:val="00E82C55"/>
    <w:rsid w:val="00E82DED"/>
    <w:rsid w:val="00E85996"/>
    <w:rsid w:val="00E8787E"/>
    <w:rsid w:val="00E9042A"/>
    <w:rsid w:val="00E92AC3"/>
    <w:rsid w:val="00E94E8A"/>
    <w:rsid w:val="00E96053"/>
    <w:rsid w:val="00E96689"/>
    <w:rsid w:val="00EA1313"/>
    <w:rsid w:val="00EA223A"/>
    <w:rsid w:val="00EA2F6A"/>
    <w:rsid w:val="00EA411A"/>
    <w:rsid w:val="00EA46D8"/>
    <w:rsid w:val="00EA51DE"/>
    <w:rsid w:val="00EA64AB"/>
    <w:rsid w:val="00EA6BAB"/>
    <w:rsid w:val="00EB00E0"/>
    <w:rsid w:val="00EB05D5"/>
    <w:rsid w:val="00EB11FB"/>
    <w:rsid w:val="00EB3AA2"/>
    <w:rsid w:val="00EB4BC7"/>
    <w:rsid w:val="00EB56B9"/>
    <w:rsid w:val="00EB5725"/>
    <w:rsid w:val="00EB6A6B"/>
    <w:rsid w:val="00EC059F"/>
    <w:rsid w:val="00EC1831"/>
    <w:rsid w:val="00EC1F24"/>
    <w:rsid w:val="00EC22F6"/>
    <w:rsid w:val="00EC3DB9"/>
    <w:rsid w:val="00EC4DEC"/>
    <w:rsid w:val="00ED43AD"/>
    <w:rsid w:val="00ED5B9B"/>
    <w:rsid w:val="00ED6690"/>
    <w:rsid w:val="00ED6BAD"/>
    <w:rsid w:val="00ED6D66"/>
    <w:rsid w:val="00ED7447"/>
    <w:rsid w:val="00ED7693"/>
    <w:rsid w:val="00ED7762"/>
    <w:rsid w:val="00EE00D6"/>
    <w:rsid w:val="00EE01DD"/>
    <w:rsid w:val="00EE1070"/>
    <w:rsid w:val="00EE11E7"/>
    <w:rsid w:val="00EE1488"/>
    <w:rsid w:val="00EE2308"/>
    <w:rsid w:val="00EE29AD"/>
    <w:rsid w:val="00EE2E00"/>
    <w:rsid w:val="00EE3E24"/>
    <w:rsid w:val="00EE4D5D"/>
    <w:rsid w:val="00EE5131"/>
    <w:rsid w:val="00EE51EF"/>
    <w:rsid w:val="00EE6246"/>
    <w:rsid w:val="00EE798E"/>
    <w:rsid w:val="00EF0A01"/>
    <w:rsid w:val="00EF109B"/>
    <w:rsid w:val="00EF201C"/>
    <w:rsid w:val="00EF22DE"/>
    <w:rsid w:val="00EF2C72"/>
    <w:rsid w:val="00EF36AF"/>
    <w:rsid w:val="00EF3AAA"/>
    <w:rsid w:val="00EF59A3"/>
    <w:rsid w:val="00EF6675"/>
    <w:rsid w:val="00EF6FB9"/>
    <w:rsid w:val="00EF6FFE"/>
    <w:rsid w:val="00F0063D"/>
    <w:rsid w:val="00F00A8D"/>
    <w:rsid w:val="00F00F9C"/>
    <w:rsid w:val="00F01DD7"/>
    <w:rsid w:val="00F01E12"/>
    <w:rsid w:val="00F01E5F"/>
    <w:rsid w:val="00F0225D"/>
    <w:rsid w:val="00F024F3"/>
    <w:rsid w:val="00F02ABA"/>
    <w:rsid w:val="00F02BAB"/>
    <w:rsid w:val="00F02F31"/>
    <w:rsid w:val="00F0437A"/>
    <w:rsid w:val="00F06027"/>
    <w:rsid w:val="00F06620"/>
    <w:rsid w:val="00F067D0"/>
    <w:rsid w:val="00F07912"/>
    <w:rsid w:val="00F101B8"/>
    <w:rsid w:val="00F11037"/>
    <w:rsid w:val="00F120A9"/>
    <w:rsid w:val="00F12837"/>
    <w:rsid w:val="00F13EFF"/>
    <w:rsid w:val="00F1514A"/>
    <w:rsid w:val="00F15BC7"/>
    <w:rsid w:val="00F16F1B"/>
    <w:rsid w:val="00F204A1"/>
    <w:rsid w:val="00F21CE2"/>
    <w:rsid w:val="00F23C6D"/>
    <w:rsid w:val="00F24CA4"/>
    <w:rsid w:val="00F250A9"/>
    <w:rsid w:val="00F267AF"/>
    <w:rsid w:val="00F2716B"/>
    <w:rsid w:val="00F30FF4"/>
    <w:rsid w:val="00F31132"/>
    <w:rsid w:val="00F3122E"/>
    <w:rsid w:val="00F31564"/>
    <w:rsid w:val="00F32368"/>
    <w:rsid w:val="00F331AD"/>
    <w:rsid w:val="00F35287"/>
    <w:rsid w:val="00F36339"/>
    <w:rsid w:val="00F36891"/>
    <w:rsid w:val="00F40A70"/>
    <w:rsid w:val="00F43A37"/>
    <w:rsid w:val="00F4452D"/>
    <w:rsid w:val="00F45EF3"/>
    <w:rsid w:val="00F45F9B"/>
    <w:rsid w:val="00F4619B"/>
    <w:rsid w:val="00F4641B"/>
    <w:rsid w:val="00F46EB8"/>
    <w:rsid w:val="00F50874"/>
    <w:rsid w:val="00F50CD1"/>
    <w:rsid w:val="00F50FC3"/>
    <w:rsid w:val="00F511E4"/>
    <w:rsid w:val="00F51BFB"/>
    <w:rsid w:val="00F52D09"/>
    <w:rsid w:val="00F52E08"/>
    <w:rsid w:val="00F53A66"/>
    <w:rsid w:val="00F54164"/>
    <w:rsid w:val="00F5462D"/>
    <w:rsid w:val="00F55B21"/>
    <w:rsid w:val="00F55D04"/>
    <w:rsid w:val="00F55F4C"/>
    <w:rsid w:val="00F56EF6"/>
    <w:rsid w:val="00F60082"/>
    <w:rsid w:val="00F603D0"/>
    <w:rsid w:val="00F61A9F"/>
    <w:rsid w:val="00F61B5F"/>
    <w:rsid w:val="00F64696"/>
    <w:rsid w:val="00F6538D"/>
    <w:rsid w:val="00F65AA9"/>
    <w:rsid w:val="00F6768F"/>
    <w:rsid w:val="00F70343"/>
    <w:rsid w:val="00F7128E"/>
    <w:rsid w:val="00F72960"/>
    <w:rsid w:val="00F72C2C"/>
    <w:rsid w:val="00F72E70"/>
    <w:rsid w:val="00F730D0"/>
    <w:rsid w:val="00F741F2"/>
    <w:rsid w:val="00F76CAB"/>
    <w:rsid w:val="00F772C6"/>
    <w:rsid w:val="00F7777A"/>
    <w:rsid w:val="00F77B57"/>
    <w:rsid w:val="00F80478"/>
    <w:rsid w:val="00F80DA4"/>
    <w:rsid w:val="00F815B5"/>
    <w:rsid w:val="00F85195"/>
    <w:rsid w:val="00F85861"/>
    <w:rsid w:val="00F85B58"/>
    <w:rsid w:val="00F868E3"/>
    <w:rsid w:val="00F87366"/>
    <w:rsid w:val="00F938BA"/>
    <w:rsid w:val="00F95C09"/>
    <w:rsid w:val="00F96874"/>
    <w:rsid w:val="00F97919"/>
    <w:rsid w:val="00FA19AB"/>
    <w:rsid w:val="00FA2C46"/>
    <w:rsid w:val="00FA3525"/>
    <w:rsid w:val="00FA38C9"/>
    <w:rsid w:val="00FA3CEC"/>
    <w:rsid w:val="00FA5A53"/>
    <w:rsid w:val="00FB151F"/>
    <w:rsid w:val="00FB1F6E"/>
    <w:rsid w:val="00FB27B8"/>
    <w:rsid w:val="00FB4111"/>
    <w:rsid w:val="00FB4769"/>
    <w:rsid w:val="00FB490D"/>
    <w:rsid w:val="00FB4CDA"/>
    <w:rsid w:val="00FB6481"/>
    <w:rsid w:val="00FB6C95"/>
    <w:rsid w:val="00FB6D36"/>
    <w:rsid w:val="00FB70FC"/>
    <w:rsid w:val="00FB7D70"/>
    <w:rsid w:val="00FC0106"/>
    <w:rsid w:val="00FC0965"/>
    <w:rsid w:val="00FC0F81"/>
    <w:rsid w:val="00FC252F"/>
    <w:rsid w:val="00FC2E4F"/>
    <w:rsid w:val="00FC308D"/>
    <w:rsid w:val="00FC395C"/>
    <w:rsid w:val="00FC5C16"/>
    <w:rsid w:val="00FC5E8E"/>
    <w:rsid w:val="00FD0330"/>
    <w:rsid w:val="00FD3766"/>
    <w:rsid w:val="00FD3A90"/>
    <w:rsid w:val="00FD3D05"/>
    <w:rsid w:val="00FD47C4"/>
    <w:rsid w:val="00FD5A18"/>
    <w:rsid w:val="00FD5BA6"/>
    <w:rsid w:val="00FD6E32"/>
    <w:rsid w:val="00FE0A7E"/>
    <w:rsid w:val="00FE1E6D"/>
    <w:rsid w:val="00FE220F"/>
    <w:rsid w:val="00FE24BA"/>
    <w:rsid w:val="00FE2DCF"/>
    <w:rsid w:val="00FE32E6"/>
    <w:rsid w:val="00FE3CB0"/>
    <w:rsid w:val="00FE3FA7"/>
    <w:rsid w:val="00FE4081"/>
    <w:rsid w:val="00FE4A53"/>
    <w:rsid w:val="00FE517D"/>
    <w:rsid w:val="00FE5DE2"/>
    <w:rsid w:val="00FE6D5D"/>
    <w:rsid w:val="00FF0356"/>
    <w:rsid w:val="00FF055A"/>
    <w:rsid w:val="00FF2A4E"/>
    <w:rsid w:val="00FF2FCE"/>
    <w:rsid w:val="00FF4F7D"/>
    <w:rsid w:val="00FF6B1A"/>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98950E8"/>
  <w15:docId w15:val="{8E22DD09-BBFE-4044-9998-F32AB8A2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60467"/>
    <w:pPr>
      <w:spacing w:after="120" w:line="280" w:lineRule="atLeast"/>
    </w:pPr>
    <w:rPr>
      <w:rFonts w:ascii="Arial" w:hAnsi="Arial"/>
      <w:sz w:val="21"/>
      <w:lang w:eastAsia="en-US"/>
    </w:rPr>
  </w:style>
  <w:style w:type="paragraph" w:styleId="Heading1">
    <w:name w:val="heading 1"/>
    <w:next w:val="Body"/>
    <w:link w:val="Heading1Char"/>
    <w:uiPriority w:val="1"/>
    <w:qFormat/>
    <w:rsid w:val="00977D59"/>
    <w:pPr>
      <w:keepNext/>
      <w:keepLines/>
      <w:numPr>
        <w:numId w:val="11"/>
      </w:numPr>
      <w:spacing w:before="520" w:after="240" w:line="480" w:lineRule="atLeast"/>
      <w:outlineLvl w:val="0"/>
    </w:pPr>
    <w:rPr>
      <w:rFonts w:ascii="Arial" w:eastAsia="MS Gothic" w:hAnsi="Arial" w:cs="Arial"/>
      <w:bCs/>
      <w:color w:val="AF272F"/>
      <w:kern w:val="32"/>
      <w:sz w:val="44"/>
      <w:szCs w:val="44"/>
      <w:lang w:eastAsia="en-US"/>
    </w:rPr>
  </w:style>
  <w:style w:type="paragraph" w:styleId="Heading2">
    <w:name w:val="heading 2"/>
    <w:next w:val="Body"/>
    <w:link w:val="Heading2Char"/>
    <w:uiPriority w:val="1"/>
    <w:qFormat/>
    <w:rsid w:val="006C1F46"/>
    <w:pPr>
      <w:keepNext/>
      <w:keepLines/>
      <w:numPr>
        <w:ilvl w:val="1"/>
        <w:numId w:val="11"/>
      </w:numPr>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6C1F46"/>
    <w:pPr>
      <w:keepNext/>
      <w:keepLines/>
      <w:numPr>
        <w:ilvl w:val="2"/>
        <w:numId w:val="11"/>
      </w:numPr>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6C1F46"/>
    <w:pPr>
      <w:keepNext/>
      <w:keepLines/>
      <w:numPr>
        <w:ilvl w:val="3"/>
        <w:numId w:val="11"/>
      </w:numPr>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numPr>
        <w:ilvl w:val="4"/>
        <w:numId w:val="11"/>
      </w:numPr>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C91C42"/>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1C42"/>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1C42"/>
    <w:pPr>
      <w:keepNext/>
      <w:keepLines/>
      <w:numPr>
        <w:ilvl w:val="7"/>
        <w:numId w:val="11"/>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91C42"/>
    <w:pPr>
      <w:keepNext/>
      <w:keepLines/>
      <w:numPr>
        <w:ilvl w:val="8"/>
        <w:numId w:val="1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977D59"/>
    <w:rPr>
      <w:rFonts w:ascii="Arial" w:eastAsia="MS Gothic" w:hAnsi="Arial" w:cs="Arial"/>
      <w:bCs/>
      <w:color w:val="AF272F"/>
      <w:kern w:val="32"/>
      <w:sz w:val="44"/>
      <w:szCs w:val="44"/>
      <w:lang w:eastAsia="en-US"/>
    </w:rPr>
  </w:style>
  <w:style w:type="character" w:customStyle="1" w:styleId="Heading2Char">
    <w:name w:val="Heading 2 Char"/>
    <w:link w:val="Heading2"/>
    <w:uiPriority w:val="1"/>
    <w:rsid w:val="006C1F46"/>
    <w:rPr>
      <w:rFonts w:ascii="Arial" w:hAnsi="Arial"/>
      <w:b/>
      <w:color w:val="53565A"/>
      <w:sz w:val="32"/>
      <w:szCs w:val="28"/>
      <w:lang w:eastAsia="en-US"/>
    </w:rPr>
  </w:style>
  <w:style w:type="character" w:customStyle="1" w:styleId="Heading3Char">
    <w:name w:val="Heading 3 Char"/>
    <w:link w:val="Heading3"/>
    <w:uiPriority w:val="1"/>
    <w:rsid w:val="006C1F46"/>
    <w:rPr>
      <w:rFonts w:ascii="Arial" w:eastAsia="MS Gothic" w:hAnsi="Arial"/>
      <w:bCs/>
      <w:color w:val="53565A"/>
      <w:sz w:val="30"/>
      <w:szCs w:val="26"/>
      <w:lang w:eastAsia="en-US"/>
    </w:rPr>
  </w:style>
  <w:style w:type="character" w:customStyle="1" w:styleId="Heading4Char">
    <w:name w:val="Heading 4 Char"/>
    <w:link w:val="Heading4"/>
    <w:uiPriority w:val="1"/>
    <w:rsid w:val="006C1F46"/>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AF272F"/>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6C1F46"/>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6"/>
      </w:numPr>
      <w:tabs>
        <w:tab w:val="num" w:pos="794"/>
      </w:tabs>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3"/>
      </w:numPr>
    </w:pPr>
  </w:style>
  <w:style w:type="paragraph" w:customStyle="1" w:styleId="Numberloweralphaindent">
    <w:name w:val="Number lower alpha indent"/>
    <w:basedOn w:val="Body"/>
    <w:uiPriority w:val="3"/>
    <w:rsid w:val="00C60411"/>
    <w:pPr>
      <w:tabs>
        <w:tab w:val="num" w:pos="794"/>
      </w:tabs>
      <w:ind w:left="567" w:hanging="283"/>
    </w:pPr>
  </w:style>
  <w:style w:type="paragraph" w:customStyle="1" w:styleId="Numberdigitindent">
    <w:name w:val="Number digit indent"/>
    <w:basedOn w:val="Numberloweralphaindent"/>
    <w:uiPriority w:val="3"/>
    <w:rsid w:val="00C60411"/>
    <w:pPr>
      <w:numPr>
        <w:ilvl w:val="1"/>
        <w:numId w:val="13"/>
      </w:numPr>
    </w:pPr>
  </w:style>
  <w:style w:type="paragraph" w:customStyle="1" w:styleId="Numberloweralpha">
    <w:name w:val="Number lower alpha"/>
    <w:basedOn w:val="Body"/>
    <w:uiPriority w:val="3"/>
    <w:rsid w:val="00C60411"/>
    <w:pPr>
      <w:tabs>
        <w:tab w:val="num" w:pos="397"/>
      </w:tabs>
      <w:ind w:left="284" w:hanging="284"/>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3"/>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15"/>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C1F46"/>
    <w:pPr>
      <w:spacing w:line="320" w:lineRule="atLeast"/>
    </w:pPr>
    <w:rPr>
      <w:color w:val="AF272F"/>
      <w:sz w:val="24"/>
    </w:rPr>
  </w:style>
  <w:style w:type="paragraph" w:customStyle="1" w:styleId="DHHSbody">
    <w:name w:val="DHHS body"/>
    <w:link w:val="DHHSbodyChar"/>
    <w:qFormat/>
    <w:rsid w:val="00260E83"/>
    <w:pPr>
      <w:spacing w:after="120" w:line="270" w:lineRule="atLeast"/>
    </w:pPr>
    <w:rPr>
      <w:rFonts w:ascii="Arial" w:eastAsia="Times" w:hAnsi="Arial"/>
      <w:lang w:eastAsia="en-US"/>
    </w:rPr>
  </w:style>
  <w:style w:type="paragraph" w:customStyle="1" w:styleId="DHHSbullet1">
    <w:name w:val="DHHS bullet 1"/>
    <w:basedOn w:val="DHHSbody"/>
    <w:qFormat/>
    <w:rsid w:val="00260E83"/>
    <w:pPr>
      <w:tabs>
        <w:tab w:val="num" w:pos="397"/>
      </w:tabs>
      <w:spacing w:after="40"/>
      <w:ind w:left="397" w:hanging="397"/>
    </w:pPr>
  </w:style>
  <w:style w:type="paragraph" w:customStyle="1" w:styleId="DHHSnumberloweralpha">
    <w:name w:val="DHHS number lower alpha"/>
    <w:basedOn w:val="DHHSbody"/>
    <w:uiPriority w:val="3"/>
    <w:rsid w:val="00260E83"/>
  </w:style>
  <w:style w:type="paragraph" w:customStyle="1" w:styleId="DHHSnumberloweralphaindent">
    <w:name w:val="DHHS number lower alpha indent"/>
    <w:basedOn w:val="DHHSbody"/>
    <w:uiPriority w:val="3"/>
    <w:rsid w:val="00260E83"/>
  </w:style>
  <w:style w:type="paragraph" w:customStyle="1" w:styleId="DHHSbullet2">
    <w:name w:val="DHHS bullet 2"/>
    <w:basedOn w:val="DHHSbody"/>
    <w:qFormat/>
    <w:rsid w:val="00260E83"/>
    <w:pPr>
      <w:spacing w:after="40"/>
      <w:ind w:left="794" w:hanging="397"/>
    </w:pPr>
  </w:style>
  <w:style w:type="paragraph" w:customStyle="1" w:styleId="DHHSnumberdigit">
    <w:name w:val="DHHS number digit"/>
    <w:basedOn w:val="DHHSbody"/>
    <w:uiPriority w:val="2"/>
    <w:rsid w:val="00260E83"/>
    <w:pPr>
      <w:tabs>
        <w:tab w:val="num" w:pos="397"/>
      </w:tabs>
      <w:ind w:left="680" w:hanging="283"/>
    </w:pPr>
  </w:style>
  <w:style w:type="paragraph" w:customStyle="1" w:styleId="DHHSbullet1lastline">
    <w:name w:val="DHHS bullet 1 last line"/>
    <w:basedOn w:val="DHHSbullet1"/>
    <w:qFormat/>
    <w:rsid w:val="00260E83"/>
    <w:pPr>
      <w:tabs>
        <w:tab w:val="clear" w:pos="397"/>
        <w:tab w:val="num" w:pos="794"/>
      </w:tabs>
      <w:spacing w:after="120"/>
      <w:ind w:left="794"/>
    </w:pPr>
  </w:style>
  <w:style w:type="paragraph" w:customStyle="1" w:styleId="DHHSbullet2lastline">
    <w:name w:val="DHHS bullet 2 last line"/>
    <w:basedOn w:val="DHHSbullet2"/>
    <w:qFormat/>
    <w:rsid w:val="00260E83"/>
    <w:pPr>
      <w:spacing w:after="120"/>
      <w:ind w:left="1191"/>
    </w:pPr>
  </w:style>
  <w:style w:type="paragraph" w:customStyle="1" w:styleId="DHHStablebullet">
    <w:name w:val="DHHS table bullet"/>
    <w:basedOn w:val="Normal"/>
    <w:qFormat/>
    <w:rsid w:val="00260E83"/>
    <w:pPr>
      <w:spacing w:before="80" w:after="60" w:line="240" w:lineRule="auto"/>
      <w:ind w:left="227" w:hanging="227"/>
    </w:pPr>
    <w:rPr>
      <w:sz w:val="20"/>
    </w:rPr>
  </w:style>
  <w:style w:type="paragraph" w:customStyle="1" w:styleId="DHHSbodynospace">
    <w:name w:val="DHHS body no space"/>
    <w:basedOn w:val="DHHSbody"/>
    <w:uiPriority w:val="3"/>
    <w:qFormat/>
    <w:rsid w:val="00260E83"/>
    <w:pPr>
      <w:spacing w:after="0"/>
    </w:pPr>
  </w:style>
  <w:style w:type="paragraph" w:customStyle="1" w:styleId="DHHSbulletindent">
    <w:name w:val="DHHS bullet indent"/>
    <w:basedOn w:val="DHHSbody"/>
    <w:rsid w:val="00260E83"/>
    <w:pPr>
      <w:spacing w:after="40"/>
    </w:pPr>
  </w:style>
  <w:style w:type="paragraph" w:customStyle="1" w:styleId="DHHSbulletindentlastline">
    <w:name w:val="DHHS bullet indent last line"/>
    <w:basedOn w:val="DHHSbody"/>
    <w:rsid w:val="00260E83"/>
    <w:pPr>
      <w:tabs>
        <w:tab w:val="num" w:pos="0"/>
      </w:tabs>
    </w:pPr>
  </w:style>
  <w:style w:type="numbering" w:customStyle="1" w:styleId="ZZNumbers">
    <w:name w:val="ZZ Numbers"/>
    <w:rsid w:val="00260E83"/>
    <w:pPr>
      <w:numPr>
        <w:numId w:val="16"/>
      </w:numPr>
    </w:pPr>
  </w:style>
  <w:style w:type="paragraph" w:customStyle="1" w:styleId="DHHSnumberlowerroman">
    <w:name w:val="DHHS number lower roman"/>
    <w:basedOn w:val="DHHSbody"/>
    <w:uiPriority w:val="3"/>
    <w:rsid w:val="00260E83"/>
    <w:pPr>
      <w:ind w:left="3240" w:hanging="360"/>
    </w:pPr>
  </w:style>
  <w:style w:type="paragraph" w:customStyle="1" w:styleId="DHHSnumberlowerromanindent">
    <w:name w:val="DHHS number lower roman indent"/>
    <w:basedOn w:val="DHHSbody"/>
    <w:uiPriority w:val="3"/>
    <w:rsid w:val="00260E83"/>
    <w:pPr>
      <w:tabs>
        <w:tab w:val="num" w:pos="0"/>
      </w:tabs>
      <w:ind w:left="3960" w:hanging="360"/>
    </w:pPr>
  </w:style>
  <w:style w:type="paragraph" w:customStyle="1" w:styleId="DHHSnumberdigitindent">
    <w:name w:val="DHHS number digit indent"/>
    <w:basedOn w:val="DHHSnumberloweralphaindent"/>
    <w:uiPriority w:val="3"/>
    <w:rsid w:val="00260E83"/>
    <w:pPr>
      <w:numPr>
        <w:ilvl w:val="1"/>
      </w:numPr>
    </w:pPr>
  </w:style>
  <w:style w:type="character" w:customStyle="1" w:styleId="DHHSbodyChar">
    <w:name w:val="DHHS body Char"/>
    <w:link w:val="DHHSbody"/>
    <w:locked/>
    <w:rsid w:val="00260E83"/>
    <w:rPr>
      <w:rFonts w:ascii="Arial" w:eastAsia="Times" w:hAnsi="Arial"/>
      <w:lang w:eastAsia="en-US"/>
    </w:rPr>
  </w:style>
  <w:style w:type="character" w:customStyle="1" w:styleId="Heading6Char">
    <w:name w:val="Heading 6 Char"/>
    <w:basedOn w:val="DefaultParagraphFont"/>
    <w:link w:val="Heading6"/>
    <w:uiPriority w:val="9"/>
    <w:semiHidden/>
    <w:rsid w:val="00C91C42"/>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C91C42"/>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C91C4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1C42"/>
    <w:rPr>
      <w:rFonts w:asciiTheme="majorHAnsi" w:eastAsiaTheme="majorEastAsia" w:hAnsiTheme="majorHAnsi" w:cstheme="majorBidi"/>
      <w:i/>
      <w:iCs/>
      <w:color w:val="272727" w:themeColor="text1" w:themeTint="D8"/>
      <w:sz w:val="21"/>
      <w:szCs w:val="21"/>
      <w:lang w:eastAsia="en-US"/>
    </w:rPr>
  </w:style>
  <w:style w:type="paragraph" w:customStyle="1" w:styleId="DHHStabletext">
    <w:name w:val="DHHS table text"/>
    <w:uiPriority w:val="3"/>
    <w:qFormat/>
    <w:rsid w:val="00C91C42"/>
    <w:pPr>
      <w:spacing w:before="80" w:after="60"/>
    </w:pPr>
    <w:rPr>
      <w:rFonts w:ascii="Arial" w:hAnsi="Arial"/>
      <w:lang w:eastAsia="en-US"/>
    </w:rPr>
  </w:style>
  <w:style w:type="character" w:styleId="Mention">
    <w:name w:val="Mention"/>
    <w:basedOn w:val="DefaultParagraphFont"/>
    <w:uiPriority w:val="99"/>
    <w:unhideWhenUsed/>
    <w:rsid w:val="00B30E18"/>
    <w:rPr>
      <w:color w:val="2B579A"/>
      <w:shd w:val="clear" w:color="auto" w:fill="E1DFDD"/>
    </w:rPr>
  </w:style>
  <w:style w:type="paragraph" w:styleId="ListParagraph">
    <w:name w:val="List Paragraph"/>
    <w:basedOn w:val="Normal"/>
    <w:uiPriority w:val="72"/>
    <w:semiHidden/>
    <w:qFormat/>
    <w:rsid w:val="00814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8119430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765360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308157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4489837">
      <w:bodyDiv w:val="1"/>
      <w:marLeft w:val="0"/>
      <w:marRight w:val="0"/>
      <w:marTop w:val="0"/>
      <w:marBottom w:val="0"/>
      <w:divBdr>
        <w:top w:val="none" w:sz="0" w:space="0" w:color="auto"/>
        <w:left w:val="none" w:sz="0" w:space="0" w:color="auto"/>
        <w:bottom w:val="none" w:sz="0" w:space="0" w:color="auto"/>
        <w:right w:val="none" w:sz="0" w:space="0" w:color="auto"/>
      </w:divBdr>
    </w:div>
    <w:div w:id="187507694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ealth.vic.gov.au/health-services-responsibilites-in-emergencies" TargetMode="External"/><Relationship Id="rId26" Type="http://schemas.openxmlformats.org/officeDocument/2006/relationships/hyperlink" Target="http://www.mimms.org.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2.health.vic.gov.au/hospitals-and-health-services/health-service-partnership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idr.org.au/media/7600/aidr_handbookcollection_nerag_2020-02-05_v10.pdf" TargetMode="External"/><Relationship Id="rId33" Type="http://schemas.openxmlformats.org/officeDocument/2006/relationships/hyperlink" Target="https://www2.health.vic.gov.au/emergencies/sher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hospitals-and-health-services/funding-performance-accountability/performance" TargetMode="External"/><Relationship Id="rId29" Type="http://schemas.openxmlformats.org/officeDocument/2006/relationships/hyperlink" Target="https://www.emv.vic.gov.au/how-we-help/emergency-management-capability-in-victoria/victorian-preparedness-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vic.gov.au/emergencies/state-health-emergency-response-arrangements" TargetMode="External"/><Relationship Id="rId32" Type="http://schemas.openxmlformats.org/officeDocument/2006/relationships/hyperlink" Target="mailto:semc@health.vic.gov.au"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emergencies/state-health-emergency-response-arrangements" TargetMode="External"/><Relationship Id="rId28" Type="http://schemas.openxmlformats.org/officeDocument/2006/relationships/hyperlink" Target="https://knowledge.aidr.org.au/resources/health-and-disaster-management-handbook/"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emv.vic.gov.au/responsibilities/semp" TargetMode="External"/><Relationship Id="rId31" Type="http://schemas.openxmlformats.org/officeDocument/2006/relationships/hyperlink" Target="https://www.cfa.vic.gov.au/warnings-restri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about/publications/policiesandguidelines/code-brown-planning-guidance-note-for-health-services-and-facilities" TargetMode="External"/><Relationship Id="rId27" Type="http://schemas.openxmlformats.org/officeDocument/2006/relationships/hyperlink" Target="http://www.afac.com.au/initiative/aiims" TargetMode="External"/><Relationship Id="rId30" Type="http://schemas.openxmlformats.org/officeDocument/2006/relationships/hyperlink" Target="http://emergency.vic.gov.au" TargetMode="Externa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64200E1639164089CEB0DBE256359E" ma:contentTypeVersion="15" ma:contentTypeDescription="Create a new document." ma:contentTypeScope="" ma:versionID="d4f3cef4f87426a1934972b3b53b596c">
  <xsd:schema xmlns:xsd="http://www.w3.org/2001/XMLSchema" xmlns:xs="http://www.w3.org/2001/XMLSchema" xmlns:p="http://schemas.microsoft.com/office/2006/metadata/properties" xmlns:ns2="56e81bb4-027a-4df5-aae0-f27d7b037f1c" xmlns:ns3="ef9b2b15-d5e6-4ef9-8027-755ba79fa452" targetNamespace="http://schemas.microsoft.com/office/2006/metadata/properties" ma:root="true" ma:fieldsID="ebafbf3120a4c5d2f4e2bdfeb28fe838" ns2:_="" ns3:_="">
    <xsd:import namespace="56e81bb4-027a-4df5-aae0-f27d7b037f1c"/>
    <xsd:import namespace="ef9b2b15-d5e6-4ef9-8027-755ba79fa4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1bb4-027a-4df5-aae0-f27d7b037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9b2b15-d5e6-4ef9-8027-755ba79fa4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f9b2b15-d5e6-4ef9-8027-755ba79fa452">
      <UserInfo>
        <DisplayName>Jenny Owen (Health)</DisplayName>
        <AccountId>14</AccountId>
        <AccountType/>
      </UserInfo>
    </SharedWithUsers>
    <_Flow_SignoffStatus xmlns="56e81bb4-027a-4df5-aae0-f27d7b037f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F1557A4-775B-4F93-9EF4-BA0D9A848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81bb4-027a-4df5-aae0-f27d7b037f1c"/>
    <ds:schemaRef ds:uri="ef9b2b15-d5e6-4ef9-8027-755ba79fa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56e81bb4-027a-4df5-aae0-f27d7b037f1c"/>
    <ds:schemaRef ds:uri="http://purl.org/dc/elements/1.1/"/>
    <ds:schemaRef ds:uri="http://schemas.microsoft.com/office/2006/metadata/properties"/>
    <ds:schemaRef ds:uri="ef9b2b15-d5e6-4ef9-8027-755ba79fa452"/>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3278</Words>
  <Characters>23082</Characters>
  <Application>Microsoft Office Word</Application>
  <DocSecurity>0</DocSecurity>
  <Lines>192</Lines>
  <Paragraphs>52</Paragraphs>
  <ScaleCrop>false</ScaleCrop>
  <HeadingPairs>
    <vt:vector size="2" baseType="variant">
      <vt:variant>
        <vt:lpstr>Title</vt:lpstr>
      </vt:variant>
      <vt:variant>
        <vt:i4>1</vt:i4>
      </vt:variant>
    </vt:vector>
  </HeadingPairs>
  <TitlesOfParts>
    <vt:vector size="1" baseType="lpstr">
      <vt:lpstr>Health services emergency management policy </vt:lpstr>
    </vt:vector>
  </TitlesOfParts>
  <Manager/>
  <Company>Victoria State Government, Department of Health</Company>
  <LinksUpToDate>false</LinksUpToDate>
  <CharactersWithSpaces>26308</CharactersWithSpaces>
  <SharedDoc>false</SharedDoc>
  <HyperlinkBase/>
  <HLinks>
    <vt:vector size="168" baseType="variant">
      <vt:variant>
        <vt:i4>1048588</vt:i4>
      </vt:variant>
      <vt:variant>
        <vt:i4>141</vt:i4>
      </vt:variant>
      <vt:variant>
        <vt:i4>0</vt:i4>
      </vt:variant>
      <vt:variant>
        <vt:i4>5</vt:i4>
      </vt:variant>
      <vt:variant>
        <vt:lpwstr>https://www2.health.vic.gov.au/emergencies/shera</vt:lpwstr>
      </vt:variant>
      <vt:variant>
        <vt:lpwstr/>
      </vt:variant>
      <vt:variant>
        <vt:i4>3670041</vt:i4>
      </vt:variant>
      <vt:variant>
        <vt:i4>138</vt:i4>
      </vt:variant>
      <vt:variant>
        <vt:i4>0</vt:i4>
      </vt:variant>
      <vt:variant>
        <vt:i4>5</vt:i4>
      </vt:variant>
      <vt:variant>
        <vt:lpwstr>mailto:semc@health.vic.gov.au</vt:lpwstr>
      </vt:variant>
      <vt:variant>
        <vt:lpwstr/>
      </vt:variant>
      <vt:variant>
        <vt:i4>6750319</vt:i4>
      </vt:variant>
      <vt:variant>
        <vt:i4>135</vt:i4>
      </vt:variant>
      <vt:variant>
        <vt:i4>0</vt:i4>
      </vt:variant>
      <vt:variant>
        <vt:i4>5</vt:i4>
      </vt:variant>
      <vt:variant>
        <vt:lpwstr>https://www.emv.vic.gov.au/how-we-help/emergency-management-capability-in-victoria/victorian-preparedness-framework</vt:lpwstr>
      </vt:variant>
      <vt:variant>
        <vt:lpwstr/>
      </vt:variant>
      <vt:variant>
        <vt:i4>5439513</vt:i4>
      </vt:variant>
      <vt:variant>
        <vt:i4>132</vt:i4>
      </vt:variant>
      <vt:variant>
        <vt:i4>0</vt:i4>
      </vt:variant>
      <vt:variant>
        <vt:i4>5</vt:i4>
      </vt:variant>
      <vt:variant>
        <vt:lpwstr>https://knowledge.aidr.org.au/resources/health-and-disaster-management-handbook/</vt:lpwstr>
      </vt:variant>
      <vt:variant>
        <vt:lpwstr/>
      </vt:variant>
      <vt:variant>
        <vt:i4>7405674</vt:i4>
      </vt:variant>
      <vt:variant>
        <vt:i4>129</vt:i4>
      </vt:variant>
      <vt:variant>
        <vt:i4>0</vt:i4>
      </vt:variant>
      <vt:variant>
        <vt:i4>5</vt:i4>
      </vt:variant>
      <vt:variant>
        <vt:lpwstr>http://www.afac.com.au/initiative/aiims</vt:lpwstr>
      </vt:variant>
      <vt:variant>
        <vt:lpwstr/>
      </vt:variant>
      <vt:variant>
        <vt:i4>1966163</vt:i4>
      </vt:variant>
      <vt:variant>
        <vt:i4>126</vt:i4>
      </vt:variant>
      <vt:variant>
        <vt:i4>0</vt:i4>
      </vt:variant>
      <vt:variant>
        <vt:i4>5</vt:i4>
      </vt:variant>
      <vt:variant>
        <vt:lpwstr>http://www.mimms.org.au/</vt:lpwstr>
      </vt:variant>
      <vt:variant>
        <vt:lpwstr/>
      </vt:variant>
      <vt:variant>
        <vt:i4>8126585</vt:i4>
      </vt:variant>
      <vt:variant>
        <vt:i4>123</vt:i4>
      </vt:variant>
      <vt:variant>
        <vt:i4>0</vt:i4>
      </vt:variant>
      <vt:variant>
        <vt:i4>5</vt:i4>
      </vt:variant>
      <vt:variant>
        <vt:lpwstr>https://www.aidr.org.au/media/7600/aidr_handbookcollection_nerag_2020-02-05_v10.pdf</vt:lpwstr>
      </vt:variant>
      <vt:variant>
        <vt:lpwstr/>
      </vt:variant>
      <vt:variant>
        <vt:i4>5767192</vt:i4>
      </vt:variant>
      <vt:variant>
        <vt:i4>120</vt:i4>
      </vt:variant>
      <vt:variant>
        <vt:i4>0</vt:i4>
      </vt:variant>
      <vt:variant>
        <vt:i4>5</vt:i4>
      </vt:variant>
      <vt:variant>
        <vt:lpwstr>https://www.dtf.vic.gov.au/planning-budgeting-and-financial-reporting-frameworks/victorian-risk-management-framework-and-insurance-management-policy</vt:lpwstr>
      </vt:variant>
      <vt:variant>
        <vt:lpwstr/>
      </vt:variant>
      <vt:variant>
        <vt:i4>5636101</vt:i4>
      </vt:variant>
      <vt:variant>
        <vt:i4>117</vt:i4>
      </vt:variant>
      <vt:variant>
        <vt:i4>0</vt:i4>
      </vt:variant>
      <vt:variant>
        <vt:i4>5</vt:i4>
      </vt:variant>
      <vt:variant>
        <vt:lpwstr>https://www2.health.vic.gov.au/hospitals-and-health-services/health-service-partnerships</vt:lpwstr>
      </vt:variant>
      <vt:variant>
        <vt:lpwstr/>
      </vt:variant>
      <vt:variant>
        <vt:i4>4194319</vt:i4>
      </vt:variant>
      <vt:variant>
        <vt:i4>114</vt:i4>
      </vt:variant>
      <vt:variant>
        <vt:i4>0</vt:i4>
      </vt:variant>
      <vt:variant>
        <vt:i4>5</vt:i4>
      </vt:variant>
      <vt:variant>
        <vt:lpwstr>https://www.emv.vic.gov.au/responsibilities/semp</vt:lpwstr>
      </vt:variant>
      <vt:variant>
        <vt:lpwstr/>
      </vt:variant>
      <vt:variant>
        <vt:i4>1835071</vt:i4>
      </vt:variant>
      <vt:variant>
        <vt:i4>107</vt:i4>
      </vt:variant>
      <vt:variant>
        <vt:i4>0</vt:i4>
      </vt:variant>
      <vt:variant>
        <vt:i4>5</vt:i4>
      </vt:variant>
      <vt:variant>
        <vt:lpwstr/>
      </vt:variant>
      <vt:variant>
        <vt:lpwstr>_Toc85632934</vt:lpwstr>
      </vt:variant>
      <vt:variant>
        <vt:i4>1769535</vt:i4>
      </vt:variant>
      <vt:variant>
        <vt:i4>101</vt:i4>
      </vt:variant>
      <vt:variant>
        <vt:i4>0</vt:i4>
      </vt:variant>
      <vt:variant>
        <vt:i4>5</vt:i4>
      </vt:variant>
      <vt:variant>
        <vt:lpwstr/>
      </vt:variant>
      <vt:variant>
        <vt:lpwstr>_Toc85632933</vt:lpwstr>
      </vt:variant>
      <vt:variant>
        <vt:i4>1703999</vt:i4>
      </vt:variant>
      <vt:variant>
        <vt:i4>95</vt:i4>
      </vt:variant>
      <vt:variant>
        <vt:i4>0</vt:i4>
      </vt:variant>
      <vt:variant>
        <vt:i4>5</vt:i4>
      </vt:variant>
      <vt:variant>
        <vt:lpwstr/>
      </vt:variant>
      <vt:variant>
        <vt:lpwstr>_Toc85632932</vt:lpwstr>
      </vt:variant>
      <vt:variant>
        <vt:i4>1638463</vt:i4>
      </vt:variant>
      <vt:variant>
        <vt:i4>89</vt:i4>
      </vt:variant>
      <vt:variant>
        <vt:i4>0</vt:i4>
      </vt:variant>
      <vt:variant>
        <vt:i4>5</vt:i4>
      </vt:variant>
      <vt:variant>
        <vt:lpwstr/>
      </vt:variant>
      <vt:variant>
        <vt:lpwstr>_Toc85632931</vt:lpwstr>
      </vt:variant>
      <vt:variant>
        <vt:i4>1572927</vt:i4>
      </vt:variant>
      <vt:variant>
        <vt:i4>83</vt:i4>
      </vt:variant>
      <vt:variant>
        <vt:i4>0</vt:i4>
      </vt:variant>
      <vt:variant>
        <vt:i4>5</vt:i4>
      </vt:variant>
      <vt:variant>
        <vt:lpwstr/>
      </vt:variant>
      <vt:variant>
        <vt:lpwstr>_Toc85632930</vt:lpwstr>
      </vt:variant>
      <vt:variant>
        <vt:i4>1114174</vt:i4>
      </vt:variant>
      <vt:variant>
        <vt:i4>77</vt:i4>
      </vt:variant>
      <vt:variant>
        <vt:i4>0</vt:i4>
      </vt:variant>
      <vt:variant>
        <vt:i4>5</vt:i4>
      </vt:variant>
      <vt:variant>
        <vt:lpwstr/>
      </vt:variant>
      <vt:variant>
        <vt:lpwstr>_Toc85632929</vt:lpwstr>
      </vt:variant>
      <vt:variant>
        <vt:i4>1048638</vt:i4>
      </vt:variant>
      <vt:variant>
        <vt:i4>71</vt:i4>
      </vt:variant>
      <vt:variant>
        <vt:i4>0</vt:i4>
      </vt:variant>
      <vt:variant>
        <vt:i4>5</vt:i4>
      </vt:variant>
      <vt:variant>
        <vt:lpwstr/>
      </vt:variant>
      <vt:variant>
        <vt:lpwstr>_Toc85632928</vt:lpwstr>
      </vt:variant>
      <vt:variant>
        <vt:i4>2031678</vt:i4>
      </vt:variant>
      <vt:variant>
        <vt:i4>65</vt:i4>
      </vt:variant>
      <vt:variant>
        <vt:i4>0</vt:i4>
      </vt:variant>
      <vt:variant>
        <vt:i4>5</vt:i4>
      </vt:variant>
      <vt:variant>
        <vt:lpwstr/>
      </vt:variant>
      <vt:variant>
        <vt:lpwstr>_Toc85632927</vt:lpwstr>
      </vt:variant>
      <vt:variant>
        <vt:i4>1966142</vt:i4>
      </vt:variant>
      <vt:variant>
        <vt:i4>59</vt:i4>
      </vt:variant>
      <vt:variant>
        <vt:i4>0</vt:i4>
      </vt:variant>
      <vt:variant>
        <vt:i4>5</vt:i4>
      </vt:variant>
      <vt:variant>
        <vt:lpwstr/>
      </vt:variant>
      <vt:variant>
        <vt:lpwstr>_Toc85632926</vt:lpwstr>
      </vt:variant>
      <vt:variant>
        <vt:i4>1900606</vt:i4>
      </vt:variant>
      <vt:variant>
        <vt:i4>53</vt:i4>
      </vt:variant>
      <vt:variant>
        <vt:i4>0</vt:i4>
      </vt:variant>
      <vt:variant>
        <vt:i4>5</vt:i4>
      </vt:variant>
      <vt:variant>
        <vt:lpwstr/>
      </vt:variant>
      <vt:variant>
        <vt:lpwstr>_Toc85632925</vt:lpwstr>
      </vt:variant>
      <vt:variant>
        <vt:i4>1835070</vt:i4>
      </vt:variant>
      <vt:variant>
        <vt:i4>47</vt:i4>
      </vt:variant>
      <vt:variant>
        <vt:i4>0</vt:i4>
      </vt:variant>
      <vt:variant>
        <vt:i4>5</vt:i4>
      </vt:variant>
      <vt:variant>
        <vt:lpwstr/>
      </vt:variant>
      <vt:variant>
        <vt:lpwstr>_Toc85632924</vt:lpwstr>
      </vt:variant>
      <vt:variant>
        <vt:i4>1769534</vt:i4>
      </vt:variant>
      <vt:variant>
        <vt:i4>41</vt:i4>
      </vt:variant>
      <vt:variant>
        <vt:i4>0</vt:i4>
      </vt:variant>
      <vt:variant>
        <vt:i4>5</vt:i4>
      </vt:variant>
      <vt:variant>
        <vt:lpwstr/>
      </vt:variant>
      <vt:variant>
        <vt:lpwstr>_Toc85632923</vt:lpwstr>
      </vt:variant>
      <vt:variant>
        <vt:i4>1703998</vt:i4>
      </vt:variant>
      <vt:variant>
        <vt:i4>35</vt:i4>
      </vt:variant>
      <vt:variant>
        <vt:i4>0</vt:i4>
      </vt:variant>
      <vt:variant>
        <vt:i4>5</vt:i4>
      </vt:variant>
      <vt:variant>
        <vt:lpwstr/>
      </vt:variant>
      <vt:variant>
        <vt:lpwstr>_Toc85632922</vt:lpwstr>
      </vt:variant>
      <vt:variant>
        <vt:i4>1638462</vt:i4>
      </vt:variant>
      <vt:variant>
        <vt:i4>29</vt:i4>
      </vt:variant>
      <vt:variant>
        <vt:i4>0</vt:i4>
      </vt:variant>
      <vt:variant>
        <vt:i4>5</vt:i4>
      </vt:variant>
      <vt:variant>
        <vt:lpwstr/>
      </vt:variant>
      <vt:variant>
        <vt:lpwstr>_Toc85632921</vt:lpwstr>
      </vt:variant>
      <vt:variant>
        <vt:i4>1572926</vt:i4>
      </vt:variant>
      <vt:variant>
        <vt:i4>23</vt:i4>
      </vt:variant>
      <vt:variant>
        <vt:i4>0</vt:i4>
      </vt:variant>
      <vt:variant>
        <vt:i4>5</vt:i4>
      </vt:variant>
      <vt:variant>
        <vt:lpwstr/>
      </vt:variant>
      <vt:variant>
        <vt:lpwstr>_Toc85632920</vt:lpwstr>
      </vt:variant>
      <vt:variant>
        <vt:i4>1114173</vt:i4>
      </vt:variant>
      <vt:variant>
        <vt:i4>17</vt:i4>
      </vt:variant>
      <vt:variant>
        <vt:i4>0</vt:i4>
      </vt:variant>
      <vt:variant>
        <vt:i4>5</vt:i4>
      </vt:variant>
      <vt:variant>
        <vt:lpwstr/>
      </vt:variant>
      <vt:variant>
        <vt:lpwstr>_Toc85632919</vt:lpwstr>
      </vt:variant>
      <vt:variant>
        <vt:i4>1048637</vt:i4>
      </vt:variant>
      <vt:variant>
        <vt:i4>11</vt:i4>
      </vt:variant>
      <vt:variant>
        <vt:i4>0</vt:i4>
      </vt:variant>
      <vt:variant>
        <vt:i4>5</vt:i4>
      </vt:variant>
      <vt:variant>
        <vt:lpwstr/>
      </vt:variant>
      <vt:variant>
        <vt:lpwstr>_Toc85632918</vt:lpwstr>
      </vt:variant>
      <vt:variant>
        <vt:i4>2031677</vt:i4>
      </vt:variant>
      <vt:variant>
        <vt:i4>5</vt:i4>
      </vt:variant>
      <vt:variant>
        <vt:i4>0</vt:i4>
      </vt:variant>
      <vt:variant>
        <vt:i4>5</vt:i4>
      </vt:variant>
      <vt:variant>
        <vt:lpwstr/>
      </vt:variant>
      <vt:variant>
        <vt:lpwstr>_Toc85632917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services emergency management policy </dc:title>
  <dc:subject>Health services emergency management policy </dc:subject>
  <dc:creator>Emergency Management</dc:creator>
  <cp:keywords/>
  <dc:description/>
  <cp:revision>2</cp:revision>
  <cp:lastPrinted>2021-01-29T05:27:00Z</cp:lastPrinted>
  <dcterms:created xsi:type="dcterms:W3CDTF">2021-11-01T04:29:00Z</dcterms:created>
  <dcterms:modified xsi:type="dcterms:W3CDTF">2021-11-01T04:29:00Z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0x010100AC64200E1639164089CEB0DBE256359E</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2021-11-01T04:29:21Z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