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693C92C6" w:rsidR="003B5733" w:rsidRPr="003B5733" w:rsidRDefault="00CF268D" w:rsidP="003B5733">
            <w:pPr>
              <w:pStyle w:val="Documenttitle"/>
            </w:pPr>
            <w:r w:rsidRPr="00CF268D">
              <w:t>Hospital travel plan case studies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4BA4BF8A" w:rsidR="003B5733" w:rsidRPr="00A1389F" w:rsidRDefault="00CF268D" w:rsidP="005F44C0">
            <w:pPr>
              <w:pStyle w:val="Documentsubtitle"/>
            </w:pPr>
            <w:r>
              <w:t xml:space="preserve">1.1 – </w:t>
            </w:r>
            <w:r w:rsidRPr="00CF268D">
              <w:t xml:space="preserve">Sustainable </w:t>
            </w:r>
            <w:r w:rsidR="00FB3D0D" w:rsidRPr="00CF268D">
              <w:t>transport in health care</w:t>
            </w: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404CAA42" w:rsidR="003B5733" w:rsidRPr="001E5058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489848E6" w14:textId="093C5EB2" w:rsidR="00FB3D0D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04291692" w:history="1">
        <w:r w:rsidR="00FB3D0D" w:rsidRPr="005F7659">
          <w:rPr>
            <w:rStyle w:val="Hyperlink"/>
          </w:rPr>
          <w:t>Introduction</w:t>
        </w:r>
        <w:r w:rsidR="00FB3D0D">
          <w:rPr>
            <w:webHidden/>
          </w:rPr>
          <w:tab/>
        </w:r>
        <w:r w:rsidR="00FB3D0D">
          <w:rPr>
            <w:webHidden/>
          </w:rPr>
          <w:fldChar w:fldCharType="begin"/>
        </w:r>
        <w:r w:rsidR="00FB3D0D">
          <w:rPr>
            <w:webHidden/>
          </w:rPr>
          <w:instrText xml:space="preserve"> PAGEREF _Toc104291692 \h </w:instrText>
        </w:r>
        <w:r w:rsidR="00FB3D0D">
          <w:rPr>
            <w:webHidden/>
          </w:rPr>
        </w:r>
        <w:r w:rsidR="00FB3D0D">
          <w:rPr>
            <w:webHidden/>
          </w:rPr>
          <w:fldChar w:fldCharType="separate"/>
        </w:r>
        <w:r w:rsidR="00FB3D0D">
          <w:rPr>
            <w:webHidden/>
          </w:rPr>
          <w:t>1</w:t>
        </w:r>
        <w:r w:rsidR="00FB3D0D">
          <w:rPr>
            <w:webHidden/>
          </w:rPr>
          <w:fldChar w:fldCharType="end"/>
        </w:r>
      </w:hyperlink>
    </w:p>
    <w:p w14:paraId="15317A4C" w14:textId="6CA11273" w:rsidR="00FB3D0D" w:rsidRDefault="00AB6F79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291693" w:history="1">
        <w:r w:rsidR="00FB3D0D" w:rsidRPr="005F7659">
          <w:rPr>
            <w:rStyle w:val="Hyperlink"/>
          </w:rPr>
          <w:t>Liverpool Hospital, Sydney</w:t>
        </w:r>
        <w:r w:rsidR="00FB3D0D">
          <w:rPr>
            <w:webHidden/>
          </w:rPr>
          <w:tab/>
        </w:r>
        <w:r w:rsidR="00FB3D0D">
          <w:rPr>
            <w:webHidden/>
          </w:rPr>
          <w:fldChar w:fldCharType="begin"/>
        </w:r>
        <w:r w:rsidR="00FB3D0D">
          <w:rPr>
            <w:webHidden/>
          </w:rPr>
          <w:instrText xml:space="preserve"> PAGEREF _Toc104291693 \h </w:instrText>
        </w:r>
        <w:r w:rsidR="00FB3D0D">
          <w:rPr>
            <w:webHidden/>
          </w:rPr>
        </w:r>
        <w:r w:rsidR="00FB3D0D">
          <w:rPr>
            <w:webHidden/>
          </w:rPr>
          <w:fldChar w:fldCharType="separate"/>
        </w:r>
        <w:r w:rsidR="00FB3D0D">
          <w:rPr>
            <w:webHidden/>
          </w:rPr>
          <w:t>1</w:t>
        </w:r>
        <w:r w:rsidR="00FB3D0D">
          <w:rPr>
            <w:webHidden/>
          </w:rPr>
          <w:fldChar w:fldCharType="end"/>
        </w:r>
      </w:hyperlink>
    </w:p>
    <w:p w14:paraId="262D67D0" w14:textId="3E019236" w:rsidR="00FB3D0D" w:rsidRDefault="00AB6F79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291694" w:history="1">
        <w:r w:rsidR="00FB3D0D" w:rsidRPr="005F7659">
          <w:rPr>
            <w:rStyle w:val="Hyperlink"/>
          </w:rPr>
          <w:t>Hawkes Bay District Health Board, New Zealand</w:t>
        </w:r>
        <w:r w:rsidR="00FB3D0D">
          <w:rPr>
            <w:webHidden/>
          </w:rPr>
          <w:tab/>
        </w:r>
        <w:r w:rsidR="00FB3D0D">
          <w:rPr>
            <w:webHidden/>
          </w:rPr>
          <w:fldChar w:fldCharType="begin"/>
        </w:r>
        <w:r w:rsidR="00FB3D0D">
          <w:rPr>
            <w:webHidden/>
          </w:rPr>
          <w:instrText xml:space="preserve"> PAGEREF _Toc104291694 \h </w:instrText>
        </w:r>
        <w:r w:rsidR="00FB3D0D">
          <w:rPr>
            <w:webHidden/>
          </w:rPr>
        </w:r>
        <w:r w:rsidR="00FB3D0D">
          <w:rPr>
            <w:webHidden/>
          </w:rPr>
          <w:fldChar w:fldCharType="separate"/>
        </w:r>
        <w:r w:rsidR="00FB3D0D">
          <w:rPr>
            <w:webHidden/>
          </w:rPr>
          <w:t>2</w:t>
        </w:r>
        <w:r w:rsidR="00FB3D0D">
          <w:rPr>
            <w:webHidden/>
          </w:rPr>
          <w:fldChar w:fldCharType="end"/>
        </w:r>
      </w:hyperlink>
    </w:p>
    <w:p w14:paraId="36F464DD" w14:textId="67322E55" w:rsidR="00FB3D0D" w:rsidRDefault="00AB6F79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291695" w:history="1">
        <w:r w:rsidR="00FB3D0D" w:rsidRPr="005F7659">
          <w:rPr>
            <w:rStyle w:val="Hyperlink"/>
          </w:rPr>
          <w:t>QEII Medical Centre Pert</w:t>
        </w:r>
        <w:r w:rsidR="00FB3D0D">
          <w:rPr>
            <w:webHidden/>
          </w:rPr>
          <w:tab/>
        </w:r>
        <w:r w:rsidR="00FB3D0D">
          <w:rPr>
            <w:webHidden/>
          </w:rPr>
          <w:fldChar w:fldCharType="begin"/>
        </w:r>
        <w:r w:rsidR="00FB3D0D">
          <w:rPr>
            <w:webHidden/>
          </w:rPr>
          <w:instrText xml:space="preserve"> PAGEREF _Toc104291695 \h </w:instrText>
        </w:r>
        <w:r w:rsidR="00FB3D0D">
          <w:rPr>
            <w:webHidden/>
          </w:rPr>
        </w:r>
        <w:r w:rsidR="00FB3D0D">
          <w:rPr>
            <w:webHidden/>
          </w:rPr>
          <w:fldChar w:fldCharType="separate"/>
        </w:r>
        <w:r w:rsidR="00FB3D0D">
          <w:rPr>
            <w:webHidden/>
          </w:rPr>
          <w:t>3</w:t>
        </w:r>
        <w:r w:rsidR="00FB3D0D">
          <w:rPr>
            <w:webHidden/>
          </w:rPr>
          <w:fldChar w:fldCharType="end"/>
        </w:r>
      </w:hyperlink>
    </w:p>
    <w:p w14:paraId="58CE4501" w14:textId="011F5584" w:rsidR="00FB3D0D" w:rsidRDefault="00AB6F79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291696" w:history="1">
        <w:r w:rsidR="00FB3D0D" w:rsidRPr="005F7659">
          <w:rPr>
            <w:rStyle w:val="Hyperlink"/>
          </w:rPr>
          <w:t>Other hospital travel plan case studies</w:t>
        </w:r>
        <w:r w:rsidR="00FB3D0D">
          <w:rPr>
            <w:webHidden/>
          </w:rPr>
          <w:tab/>
        </w:r>
        <w:r w:rsidR="00FB3D0D">
          <w:rPr>
            <w:webHidden/>
          </w:rPr>
          <w:fldChar w:fldCharType="begin"/>
        </w:r>
        <w:r w:rsidR="00FB3D0D">
          <w:rPr>
            <w:webHidden/>
          </w:rPr>
          <w:instrText xml:space="preserve"> PAGEREF _Toc104291696 \h </w:instrText>
        </w:r>
        <w:r w:rsidR="00FB3D0D">
          <w:rPr>
            <w:webHidden/>
          </w:rPr>
        </w:r>
        <w:r w:rsidR="00FB3D0D">
          <w:rPr>
            <w:webHidden/>
          </w:rPr>
          <w:fldChar w:fldCharType="separate"/>
        </w:r>
        <w:r w:rsidR="00FB3D0D">
          <w:rPr>
            <w:webHidden/>
          </w:rPr>
          <w:t>4</w:t>
        </w:r>
        <w:r w:rsidR="00FB3D0D">
          <w:rPr>
            <w:webHidden/>
          </w:rPr>
          <w:fldChar w:fldCharType="end"/>
        </w:r>
      </w:hyperlink>
    </w:p>
    <w:p w14:paraId="1D8C2CF5" w14:textId="77777777" w:rsidR="007173CA" w:rsidRDefault="00AD784C" w:rsidP="00D079AA">
      <w:pPr>
        <w:pStyle w:val="Body"/>
      </w:pPr>
      <w:r>
        <w:fldChar w:fldCharType="end"/>
      </w:r>
    </w:p>
    <w:p w14:paraId="25A5708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090BF4" w14:textId="757315FD" w:rsidR="00EE29AD" w:rsidRDefault="00280748" w:rsidP="00E261B3">
      <w:pPr>
        <w:pStyle w:val="Heading1"/>
      </w:pPr>
      <w:bookmarkStart w:id="0" w:name="_Toc104291692"/>
      <w:r>
        <w:t>Introduction</w:t>
      </w:r>
      <w:bookmarkEnd w:id="0"/>
    </w:p>
    <w:p w14:paraId="751A0034" w14:textId="77777777" w:rsidR="00280748" w:rsidRDefault="00280748" w:rsidP="00280748">
      <w:pPr>
        <w:pStyle w:val="Body"/>
      </w:pPr>
      <w:r>
        <w:t xml:space="preserve">A workplace travel plan applies a mix of tailored measures that respond to a location’s transport access options and the specific organisational context of a workplace (which includes its culture, </w:t>
      </w:r>
      <w:proofErr w:type="gramStart"/>
      <w:r>
        <w:t>attitudes</w:t>
      </w:r>
      <w:proofErr w:type="gramEnd"/>
      <w:r>
        <w:t xml:space="preserve"> and needs of its employees) to increase the use of sustainable travel options for commuting to work.</w:t>
      </w:r>
    </w:p>
    <w:p w14:paraId="2E5C77FA" w14:textId="2A7DB13A" w:rsidR="00200176" w:rsidRDefault="00280748" w:rsidP="00280748">
      <w:pPr>
        <w:pStyle w:val="Body"/>
      </w:pPr>
      <w:r>
        <w:t xml:space="preserve">These three case studies of hospital travel plans illustrate the integrated approach of successful workplace travel plans across metropolitan, </w:t>
      </w:r>
      <w:proofErr w:type="gramStart"/>
      <w:r>
        <w:t>suburban</w:t>
      </w:r>
      <w:proofErr w:type="gramEnd"/>
      <w:r>
        <w:t xml:space="preserve"> and regional settings.</w:t>
      </w:r>
    </w:p>
    <w:p w14:paraId="42DEAF76" w14:textId="5B1F7409" w:rsidR="00280748" w:rsidRDefault="00280748" w:rsidP="00280748">
      <w:pPr>
        <w:pStyle w:val="Heading1"/>
      </w:pPr>
      <w:bookmarkStart w:id="1" w:name="_Toc104291693"/>
      <w:r w:rsidRPr="00280748">
        <w:t>Liverpool Hospital, Sydney</w:t>
      </w:r>
      <w:bookmarkEnd w:id="1"/>
    </w:p>
    <w:p w14:paraId="39567762" w14:textId="574D0A62" w:rsidR="00FA15BB" w:rsidRDefault="00FA15BB" w:rsidP="00FA15BB">
      <w:pPr>
        <w:pStyle w:val="Bullet1"/>
      </w:pPr>
      <w:r>
        <w:t>A major acute care hospital in an outer suburban growth area</w:t>
      </w:r>
      <w:r w:rsidR="00546B21">
        <w:t>.</w:t>
      </w:r>
    </w:p>
    <w:p w14:paraId="452ECBC9" w14:textId="41942E5D" w:rsidR="00FA15BB" w:rsidRDefault="00FA15BB" w:rsidP="00FA15BB">
      <w:pPr>
        <w:pStyle w:val="Bullet1"/>
      </w:pPr>
      <w:r>
        <w:t>4,000 staff (at time of project)</w:t>
      </w:r>
      <w:r w:rsidR="00546B21">
        <w:t>.</w:t>
      </w:r>
    </w:p>
    <w:p w14:paraId="2F4CB384" w14:textId="30D7D27C" w:rsidR="00FA15BB" w:rsidRDefault="00FA15BB" w:rsidP="00FA15BB">
      <w:pPr>
        <w:pStyle w:val="Bullet1"/>
      </w:pPr>
      <w:r>
        <w:t xml:space="preserve">Travel plan delivered over </w:t>
      </w:r>
      <w:r w:rsidR="00546B21">
        <w:t>three</w:t>
      </w:r>
      <w:r>
        <w:t xml:space="preserve"> years </w:t>
      </w:r>
      <w:r w:rsidR="00546B21">
        <w:t xml:space="preserve">from </w:t>
      </w:r>
      <w:r>
        <w:t>2012</w:t>
      </w:r>
      <w:r w:rsidR="00546B21">
        <w:t xml:space="preserve"> to 20</w:t>
      </w:r>
      <w:r>
        <w:t>14</w:t>
      </w:r>
      <w:r w:rsidR="00546B21">
        <w:t>.</w:t>
      </w:r>
    </w:p>
    <w:p w14:paraId="2C8F8C19" w14:textId="77777777" w:rsidR="00FA15BB" w:rsidRDefault="00FA15BB" w:rsidP="00FA15BB">
      <w:pPr>
        <w:pStyle w:val="Bullet1"/>
      </w:pPr>
      <w:r>
        <w:t>Executive commitment from the health service</w:t>
      </w:r>
    </w:p>
    <w:p w14:paraId="60B3511D" w14:textId="62B29D16" w:rsidR="00280748" w:rsidRDefault="00FA15BB" w:rsidP="00FA15BB">
      <w:pPr>
        <w:pStyle w:val="Bullet1"/>
      </w:pPr>
      <w:r>
        <w:t xml:space="preserve">A </w:t>
      </w:r>
      <w:r w:rsidR="00546B21">
        <w:t>three</w:t>
      </w:r>
      <w:r>
        <w:t>-year funded program</w:t>
      </w:r>
      <w:r w:rsidR="00546B21">
        <w:t>.</w:t>
      </w:r>
    </w:p>
    <w:p w14:paraId="69ACD16A" w14:textId="477EEB93" w:rsidR="00FA15BB" w:rsidRDefault="00FA15BB" w:rsidP="00FA15BB">
      <w:pPr>
        <w:pStyle w:val="Bullet1"/>
      </w:pPr>
      <w:r w:rsidRPr="00FA15BB">
        <w:t>Led by a coordinator and supported by a coordination committee (health promotion team)</w:t>
      </w:r>
      <w:r w:rsidR="00546B21">
        <w:t>.</w:t>
      </w:r>
    </w:p>
    <w:p w14:paraId="4A9409A3" w14:textId="6B202F75" w:rsidR="00FA15BB" w:rsidRDefault="00FA15BB" w:rsidP="00FA15BB">
      <w:pPr>
        <w:pStyle w:val="Bullet1"/>
      </w:pPr>
      <w:r>
        <w:t>No changes to parking management as a disincentive to drive</w:t>
      </w:r>
      <w:r w:rsidR="00546B21">
        <w:t>.</w:t>
      </w:r>
    </w:p>
    <w:p w14:paraId="7FF5E928" w14:textId="77777777" w:rsidR="00546B21" w:rsidRDefault="00FA15BB" w:rsidP="00FA15BB">
      <w:pPr>
        <w:pStyle w:val="Bullet1"/>
      </w:pPr>
      <w:r>
        <w:t>Main actions included:</w:t>
      </w:r>
    </w:p>
    <w:p w14:paraId="15AED4F2" w14:textId="56F8D8AB" w:rsidR="00546B21" w:rsidRDefault="00FA15BB" w:rsidP="00546B21">
      <w:pPr>
        <w:pStyle w:val="Bullet2"/>
      </w:pPr>
      <w:r>
        <w:t>new end of trip facilities</w:t>
      </w:r>
    </w:p>
    <w:p w14:paraId="5CEEF393" w14:textId="239CF4F6" w:rsidR="00546B21" w:rsidRDefault="00FA15BB" w:rsidP="00546B21">
      <w:pPr>
        <w:pStyle w:val="Bullet2"/>
      </w:pPr>
      <w:r>
        <w:t>carpooling</w:t>
      </w:r>
    </w:p>
    <w:p w14:paraId="19728B9A" w14:textId="576E36DD" w:rsidR="00546B21" w:rsidRDefault="00FA15BB" w:rsidP="00546B21">
      <w:pPr>
        <w:pStyle w:val="Bullet2"/>
      </w:pPr>
      <w:r>
        <w:t>events</w:t>
      </w:r>
    </w:p>
    <w:p w14:paraId="32D79D17" w14:textId="3A3BB0A6" w:rsidR="00546B21" w:rsidRDefault="00FA15BB" w:rsidP="00546B21">
      <w:pPr>
        <w:pStyle w:val="Bullet2"/>
      </w:pPr>
      <w:r>
        <w:t>an access guide (excerpt shown in Figure 1</w:t>
      </w:r>
      <w:r w:rsidR="00546B21">
        <w:t>)</w:t>
      </w:r>
    </w:p>
    <w:p w14:paraId="16E99E81" w14:textId="1EF4AD85" w:rsidR="00546B21" w:rsidRDefault="00FA15BB" w:rsidP="00546B21">
      <w:pPr>
        <w:pStyle w:val="Bullet2"/>
      </w:pPr>
      <w:r>
        <w:t>individual journey planning sessions for interested staff</w:t>
      </w:r>
    </w:p>
    <w:p w14:paraId="2C429C3D" w14:textId="4FEDF582" w:rsidR="00FA15BB" w:rsidRDefault="00FA15BB" w:rsidP="00B15286">
      <w:pPr>
        <w:pStyle w:val="Bullet2"/>
      </w:pPr>
      <w:r>
        <w:t xml:space="preserve">a clear brand </w:t>
      </w:r>
      <w:r w:rsidR="00546B21">
        <w:t>– ‘</w:t>
      </w:r>
      <w:r>
        <w:t xml:space="preserve">Staff travel </w:t>
      </w:r>
      <w:proofErr w:type="gramStart"/>
      <w:r>
        <w:t>choices</w:t>
      </w:r>
      <w:r w:rsidR="00546B21">
        <w:t>’</w:t>
      </w:r>
      <w:proofErr w:type="gramEnd"/>
      <w:r w:rsidR="00546B21">
        <w:t>.</w:t>
      </w:r>
    </w:p>
    <w:p w14:paraId="1270AAD4" w14:textId="3FB0226A" w:rsidR="00FA15BB" w:rsidRDefault="00FA15BB" w:rsidP="00FA15BB">
      <w:pPr>
        <w:pStyle w:val="Bullet1"/>
      </w:pPr>
      <w:r>
        <w:t>Drive alone rates drop</w:t>
      </w:r>
      <w:r w:rsidR="00546B21">
        <w:t>ped</w:t>
      </w:r>
      <w:r>
        <w:t xml:space="preserve"> from 83</w:t>
      </w:r>
      <w:r w:rsidR="00546B21">
        <w:t xml:space="preserve"> per cent</w:t>
      </w:r>
      <w:r>
        <w:t xml:space="preserve"> to 70</w:t>
      </w:r>
      <w:r w:rsidR="00546B21">
        <w:t xml:space="preserve"> per cent</w:t>
      </w:r>
      <w:r>
        <w:t xml:space="preserve"> in </w:t>
      </w:r>
      <w:r w:rsidR="00546B21">
        <w:t>three</w:t>
      </w:r>
      <w:r>
        <w:t xml:space="preserve"> years (10</w:t>
      </w:r>
      <w:r w:rsidR="00546B21">
        <w:t xml:space="preserve"> per cent</w:t>
      </w:r>
      <w:r>
        <w:t xml:space="preserve"> drop in </w:t>
      </w:r>
      <w:r w:rsidR="00546B21">
        <w:t xml:space="preserve">the </w:t>
      </w:r>
      <w:r>
        <w:t>first year)</w:t>
      </w:r>
      <w:r w:rsidR="00546B21">
        <w:t>.</w:t>
      </w:r>
    </w:p>
    <w:p w14:paraId="07563241" w14:textId="1E5BE296" w:rsidR="00FA15BB" w:rsidRDefault="00546B21" w:rsidP="00FA15BB">
      <w:pPr>
        <w:pStyle w:val="Bullet1"/>
      </w:pPr>
      <w:r>
        <w:lastRenderedPageBreak/>
        <w:t>Success e</w:t>
      </w:r>
      <w:r w:rsidR="00FA15BB">
        <w:t>valuated with annual staff travel surveys</w:t>
      </w:r>
      <w:r>
        <w:t xml:space="preserve"> – s</w:t>
      </w:r>
      <w:r w:rsidR="00FA15BB">
        <w:t>tatistically robust evaluation of change in travel (travel plan was part of a PhD study).</w:t>
      </w:r>
    </w:p>
    <w:p w14:paraId="10D293AD" w14:textId="7DD5F686" w:rsidR="00FA15BB" w:rsidRDefault="00FA15BB" w:rsidP="00FA15BB">
      <w:pPr>
        <w:pStyle w:val="Bullet1"/>
      </w:pPr>
      <w:r>
        <w:t xml:space="preserve">Study conclusion: </w:t>
      </w:r>
      <w:r w:rsidR="00546B21">
        <w:t>‘</w:t>
      </w:r>
      <w:r>
        <w:t>A workplace travel plan which only included strategies to encourage active travel to work achieved small but significant increases in active travel.</w:t>
      </w:r>
      <w:r w:rsidR="00546B21">
        <w:t>’</w:t>
      </w:r>
    </w:p>
    <w:p w14:paraId="186F3DDB" w14:textId="53C765A7" w:rsidR="00FA15BB" w:rsidRPr="002218FE" w:rsidRDefault="00FA15BB" w:rsidP="00FA15BB">
      <w:pPr>
        <w:pStyle w:val="Figurecaption"/>
        <w:rPr>
          <w:rFonts w:eastAsia="Times" w:cs="Arial"/>
          <w:noProof/>
          <w:sz w:val="22"/>
        </w:rPr>
      </w:pPr>
      <w:r>
        <w:t xml:space="preserve">Figure </w:t>
      </w:r>
      <w:r w:rsidR="00AB6F79">
        <w:fldChar w:fldCharType="begin"/>
      </w:r>
      <w:r w:rsidR="00AB6F79">
        <w:instrText xml:space="preserve"> SEQ Figure \* ARABIC </w:instrText>
      </w:r>
      <w:r w:rsidR="00AB6F79">
        <w:fldChar w:fldCharType="separate"/>
      </w:r>
      <w:r w:rsidR="00FB3D0D">
        <w:rPr>
          <w:noProof/>
        </w:rPr>
        <w:t>1</w:t>
      </w:r>
      <w:r w:rsidR="00AB6F79">
        <w:rPr>
          <w:noProof/>
        </w:rPr>
        <w:fldChar w:fldCharType="end"/>
      </w:r>
      <w:r>
        <w:t xml:space="preserve">: </w:t>
      </w:r>
      <w:r w:rsidR="00546B21">
        <w:t xml:space="preserve">Excerpt from </w:t>
      </w:r>
      <w:r w:rsidRPr="00B15286">
        <w:rPr>
          <w:i/>
          <w:iCs/>
        </w:rPr>
        <w:t xml:space="preserve">Liverpool Hospital </w:t>
      </w:r>
      <w:r w:rsidR="00546B21" w:rsidRPr="00B15286">
        <w:rPr>
          <w:i/>
          <w:iCs/>
        </w:rPr>
        <w:t>access guide</w:t>
      </w:r>
    </w:p>
    <w:p w14:paraId="78F7E3B6" w14:textId="6792D432" w:rsidR="00280748" w:rsidRDefault="00FA15BB" w:rsidP="00FA15BB">
      <w:pPr>
        <w:pStyle w:val="Body"/>
      </w:pPr>
      <w:r w:rsidRPr="00FA15BB">
        <w:rPr>
          <w:noProof/>
        </w:rPr>
        <w:drawing>
          <wp:inline distT="0" distB="0" distL="0" distR="0" wp14:anchorId="463B9CAB" wp14:editId="5C846BDB">
            <wp:extent cx="3202940" cy="3122930"/>
            <wp:effectExtent l="0" t="0" r="0" b="1270"/>
            <wp:docPr id="3" name="Picture 4" descr="Part of a map showing the different transport options for Liverpool hospital, including bus routes and stops, bicycle and walking routes, accessible parking and car park numbers.">
              <a:extLst xmlns:a="http://schemas.openxmlformats.org/drawingml/2006/main">
                <a:ext uri="{FF2B5EF4-FFF2-40B4-BE49-F238E27FC236}">
                  <a16:creationId xmlns:a16="http://schemas.microsoft.com/office/drawing/2014/main" id="{54676EB4-3323-154D-9E33-66E8C23E8C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Part of a map showing the different transport options for Liverpool hospital, including bus routes and stops, bicycle and walking routes, accessible parking and car park numbers.">
                      <a:extLst>
                        <a:ext uri="{FF2B5EF4-FFF2-40B4-BE49-F238E27FC236}">
                          <a16:creationId xmlns:a16="http://schemas.microsoft.com/office/drawing/2014/main" id="{54676EB4-3323-154D-9E33-66E8C23E8C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31229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6B04902" w14:textId="77777777" w:rsidR="006C18B7" w:rsidRPr="00B15286" w:rsidRDefault="006C18B7" w:rsidP="00B15286">
      <w:pPr>
        <w:pStyle w:val="Body"/>
      </w:pPr>
      <w:bookmarkStart w:id="2" w:name="_Toc104291694"/>
      <w:r w:rsidRPr="00F45202">
        <w:br w:type="page"/>
      </w:r>
    </w:p>
    <w:p w14:paraId="06E36898" w14:textId="3CA590C9" w:rsidR="00FA15BB" w:rsidRDefault="00FA15BB" w:rsidP="00FA15BB">
      <w:pPr>
        <w:pStyle w:val="Heading1"/>
      </w:pPr>
      <w:r w:rsidRPr="00FA15BB">
        <w:lastRenderedPageBreak/>
        <w:t>Hawkes Bay District Health Board, New Zealand</w:t>
      </w:r>
      <w:bookmarkEnd w:id="2"/>
    </w:p>
    <w:p w14:paraId="48C88E0D" w14:textId="58609FCB" w:rsidR="00FA15BB" w:rsidRDefault="00FA15BB" w:rsidP="00FA15BB">
      <w:pPr>
        <w:pStyle w:val="Bullet1"/>
      </w:pPr>
      <w:r>
        <w:t xml:space="preserve">A major regional hospital with </w:t>
      </w:r>
      <w:r w:rsidR="00E67D9B">
        <w:t xml:space="preserve">over </w:t>
      </w:r>
      <w:r>
        <w:t>3000 staff</w:t>
      </w:r>
      <w:r w:rsidR="00E67D9B">
        <w:t>.</w:t>
      </w:r>
    </w:p>
    <w:p w14:paraId="50FE51A1" w14:textId="1684473C" w:rsidR="00FA15BB" w:rsidRDefault="00FA15BB" w:rsidP="00FA15BB">
      <w:pPr>
        <w:pStyle w:val="Bullet1"/>
      </w:pPr>
      <w:r>
        <w:t xml:space="preserve">Travel </w:t>
      </w:r>
      <w:r w:rsidR="00E67D9B">
        <w:t xml:space="preserve">plan implemented </w:t>
      </w:r>
      <w:r>
        <w:t xml:space="preserve">over </w:t>
      </w:r>
      <w:r w:rsidR="00E67D9B">
        <w:t xml:space="preserve">four </w:t>
      </w:r>
      <w:r>
        <w:t xml:space="preserve">years </w:t>
      </w:r>
      <w:r w:rsidR="00E67D9B">
        <w:t xml:space="preserve">from </w:t>
      </w:r>
      <w:r>
        <w:t>2015</w:t>
      </w:r>
      <w:r w:rsidR="00E67D9B">
        <w:t xml:space="preserve"> to 20</w:t>
      </w:r>
      <w:r>
        <w:t>18</w:t>
      </w:r>
      <w:r w:rsidR="00E67D9B">
        <w:t>.</w:t>
      </w:r>
    </w:p>
    <w:p w14:paraId="478E5D36" w14:textId="3CCFD2C9" w:rsidR="00FA15BB" w:rsidRDefault="00FA15BB" w:rsidP="00FA15BB">
      <w:pPr>
        <w:pStyle w:val="Bullet1"/>
      </w:pPr>
      <w:r>
        <w:t>Changed focus from parking provision to transport access</w:t>
      </w:r>
      <w:r w:rsidR="00E67D9B">
        <w:t>.</w:t>
      </w:r>
    </w:p>
    <w:p w14:paraId="3B9AC4A6" w14:textId="0BD647A8" w:rsidR="00FA15BB" w:rsidRDefault="00FA15BB" w:rsidP="00FA15BB">
      <w:pPr>
        <w:pStyle w:val="Bullet1"/>
      </w:pPr>
      <w:r>
        <w:t>Program funded by introducing a small daily staff parking charge</w:t>
      </w:r>
      <w:r w:rsidR="00E67D9B">
        <w:t>.</w:t>
      </w:r>
    </w:p>
    <w:p w14:paraId="3B76DA97" w14:textId="3687BB51" w:rsidR="00FA15BB" w:rsidRDefault="00FA15BB" w:rsidP="00FA15BB">
      <w:pPr>
        <w:pStyle w:val="Bullet1"/>
      </w:pPr>
      <w:r>
        <w:t>Sustainability officer appointed to lead program</w:t>
      </w:r>
      <w:r w:rsidR="00E67D9B">
        <w:t>.</w:t>
      </w:r>
    </w:p>
    <w:p w14:paraId="340076E0" w14:textId="77777777" w:rsidR="00E67D9B" w:rsidRDefault="00FA15BB" w:rsidP="00FA15BB">
      <w:pPr>
        <w:pStyle w:val="Bullet1"/>
      </w:pPr>
      <w:r>
        <w:t>Actions included:</w:t>
      </w:r>
    </w:p>
    <w:p w14:paraId="784914DF" w14:textId="7A1514A2" w:rsidR="00E67D9B" w:rsidRDefault="00FA15BB" w:rsidP="00E67D9B">
      <w:pPr>
        <w:pStyle w:val="Bullet2"/>
      </w:pPr>
      <w:r>
        <w:t>small public transport subsidy for bus travel and end of trip facilities</w:t>
      </w:r>
    </w:p>
    <w:p w14:paraId="59AC94DE" w14:textId="26B2B2D0" w:rsidR="00FA15BB" w:rsidRDefault="00FA15BB" w:rsidP="00B15286">
      <w:pPr>
        <w:pStyle w:val="Bullet2"/>
      </w:pPr>
      <w:r>
        <w:t>staff access guide</w:t>
      </w:r>
      <w:r w:rsidR="00E67D9B">
        <w:t>.</w:t>
      </w:r>
    </w:p>
    <w:p w14:paraId="4CD7E376" w14:textId="440EE506" w:rsidR="00FA15BB" w:rsidRDefault="00E67D9B" w:rsidP="00FA15BB">
      <w:pPr>
        <w:pStyle w:val="Bullet1"/>
      </w:pPr>
      <w:r>
        <w:t>‘</w:t>
      </w:r>
      <w:r w:rsidR="00FA15BB">
        <w:t xml:space="preserve">Go </w:t>
      </w:r>
      <w:r>
        <w:t>w</w:t>
      </w:r>
      <w:r w:rsidR="00FA15BB">
        <w:t>ell</w:t>
      </w:r>
      <w:r>
        <w:t>’</w:t>
      </w:r>
      <w:r w:rsidR="00FA15BB">
        <w:t xml:space="preserve"> campaign to promote access options </w:t>
      </w:r>
      <w:r>
        <w:t xml:space="preserve">– </w:t>
      </w:r>
      <w:r w:rsidR="00FA15BB">
        <w:t>used on all travel plan materials</w:t>
      </w:r>
    </w:p>
    <w:p w14:paraId="11244790" w14:textId="2051E322" w:rsidR="00E67D9B" w:rsidRDefault="00E67D9B" w:rsidP="00B15286">
      <w:pPr>
        <w:pStyle w:val="Figure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Go Well sign</w:t>
      </w:r>
    </w:p>
    <w:p w14:paraId="37DA077A" w14:textId="77777777" w:rsidR="00E67D9B" w:rsidRDefault="00E67D9B" w:rsidP="00B15286">
      <w:pPr>
        <w:pStyle w:val="Body"/>
      </w:pPr>
      <w:r w:rsidRPr="00A46F46">
        <w:rPr>
          <w:noProof/>
        </w:rPr>
        <w:drawing>
          <wp:inline distT="0" distB="0" distL="0" distR="0" wp14:anchorId="425D9495" wp14:editId="51AB88A2">
            <wp:extent cx="2983230" cy="1955800"/>
            <wp:effectExtent l="0" t="0" r="1270" b="0"/>
            <wp:docPr id="11" name="Picture 11" descr="Go well campaign 'route sign' branding. Text reads: 'Go Well: However you choose to get here, we want to make it easier'">
              <a:extLst xmlns:a="http://schemas.openxmlformats.org/drawingml/2006/main">
                <a:ext uri="{FF2B5EF4-FFF2-40B4-BE49-F238E27FC236}">
                  <a16:creationId xmlns:a16="http://schemas.microsoft.com/office/drawing/2014/main" id="{E5A1AC1D-12FB-B443-9FA0-41E5E4DA12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o well campaign 'route sign' branding. Text reads: 'Go Well: However you choose to get here, we want to make it easier'">
                      <a:extLst>
                        <a:ext uri="{FF2B5EF4-FFF2-40B4-BE49-F238E27FC236}">
                          <a16:creationId xmlns:a16="http://schemas.microsoft.com/office/drawing/2014/main" id="{E5A1AC1D-12FB-B443-9FA0-41E5E4DA12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7B864" w14:textId="77777777" w:rsidR="004A45BA" w:rsidRDefault="004A45BA" w:rsidP="004A45BA">
      <w:pPr>
        <w:pStyle w:val="Bullet1"/>
      </w:pPr>
      <w:r>
        <w:t>To keep the campaign positive and inclusive, messages focused on choice and making it easier – ‘However you choose to get here, we want to make it easier.’</w:t>
      </w:r>
    </w:p>
    <w:p w14:paraId="0EEA469B" w14:textId="34F7EE09" w:rsidR="00E67D9B" w:rsidRDefault="00FA15BB" w:rsidP="00FF2280">
      <w:pPr>
        <w:pStyle w:val="Bullet1"/>
      </w:pPr>
      <w:r>
        <w:t>Drive</w:t>
      </w:r>
      <w:r w:rsidR="00E67D9B">
        <w:t>-</w:t>
      </w:r>
      <w:r>
        <w:t>alone travel dropped from 78</w:t>
      </w:r>
      <w:r w:rsidR="00E67D9B">
        <w:t xml:space="preserve"> per cent</w:t>
      </w:r>
      <w:r>
        <w:t xml:space="preserve"> to 60</w:t>
      </w:r>
      <w:r w:rsidR="00E67D9B">
        <w:t xml:space="preserve"> per cent of</w:t>
      </w:r>
      <w:r w:rsidR="006C18B7">
        <w:t xml:space="preserve"> </w:t>
      </w:r>
      <w:r>
        <w:t>total trips</w:t>
      </w:r>
      <w:r w:rsidR="00E67D9B">
        <w:t>.</w:t>
      </w:r>
    </w:p>
    <w:p w14:paraId="62C4DCFF" w14:textId="2673B1CD" w:rsidR="00FA15BB" w:rsidRPr="00FA15BB" w:rsidRDefault="00E67D9B" w:rsidP="00FF2280">
      <w:pPr>
        <w:pStyle w:val="Bullet1"/>
      </w:pPr>
      <w:r>
        <w:t>A</w:t>
      </w:r>
      <w:r w:rsidR="00FA15BB">
        <w:t>nnual parking complaints dropped from 88 to zero.</w:t>
      </w:r>
    </w:p>
    <w:p w14:paraId="03147058" w14:textId="77777777" w:rsidR="006C18B7" w:rsidRPr="00B15286" w:rsidRDefault="006C18B7" w:rsidP="00B15286">
      <w:pPr>
        <w:pStyle w:val="Body"/>
      </w:pPr>
      <w:r w:rsidRPr="00F45202">
        <w:br w:type="page"/>
      </w:r>
    </w:p>
    <w:p w14:paraId="30F85E2B" w14:textId="3AD7C997" w:rsidR="00FA15BB" w:rsidRDefault="00FA15BB" w:rsidP="00FA15BB">
      <w:pPr>
        <w:pStyle w:val="Heading1"/>
      </w:pPr>
      <w:bookmarkStart w:id="3" w:name="_Toc104291695"/>
      <w:r w:rsidRPr="00FA15BB">
        <w:lastRenderedPageBreak/>
        <w:t>QEII Medical Centre</w:t>
      </w:r>
      <w:r w:rsidR="004A45BA">
        <w:t>,</w:t>
      </w:r>
      <w:r w:rsidRPr="00FA15BB">
        <w:t xml:space="preserve"> Pert</w:t>
      </w:r>
      <w:bookmarkEnd w:id="3"/>
      <w:r w:rsidR="004A45BA">
        <w:t>h</w:t>
      </w:r>
    </w:p>
    <w:p w14:paraId="16DE73C1" w14:textId="7E23390D" w:rsidR="00FA15BB" w:rsidRPr="00FA15BB" w:rsidRDefault="00FA15BB" w:rsidP="00FA15BB">
      <w:pPr>
        <w:pStyle w:val="Bullet1"/>
      </w:pPr>
      <w:r w:rsidRPr="00FA15BB">
        <w:t xml:space="preserve">Travel plan implemented </w:t>
      </w:r>
      <w:r w:rsidR="004A45BA">
        <w:t>from</w:t>
      </w:r>
      <w:r w:rsidR="004A45BA" w:rsidRPr="00FA15BB">
        <w:t xml:space="preserve"> </w:t>
      </w:r>
      <w:r w:rsidRPr="00FA15BB">
        <w:t xml:space="preserve">2006 (5,000 staff at the </w:t>
      </w:r>
      <w:r w:rsidR="004A45BA">
        <w:t xml:space="preserve">start and up </w:t>
      </w:r>
      <w:r w:rsidRPr="00FA15BB">
        <w:t xml:space="preserve">to 8,000 during </w:t>
      </w:r>
      <w:r w:rsidR="004A45BA">
        <w:t>the six</w:t>
      </w:r>
      <w:r w:rsidRPr="00FA15BB">
        <w:t xml:space="preserve">-year </w:t>
      </w:r>
      <w:r w:rsidR="004A45BA">
        <w:t>implementation</w:t>
      </w:r>
      <w:r w:rsidRPr="00FA15BB">
        <w:t>)</w:t>
      </w:r>
      <w:r w:rsidR="004A45BA">
        <w:t>.</w:t>
      </w:r>
    </w:p>
    <w:p w14:paraId="6F0B7C51" w14:textId="3F193C8D" w:rsidR="00FA15BB" w:rsidRPr="00FA15BB" w:rsidRDefault="00FA15BB" w:rsidP="00FA15BB">
      <w:pPr>
        <w:pStyle w:val="Bullet1"/>
      </w:pPr>
      <w:r w:rsidRPr="00FA15BB">
        <w:t>Central city hospital – greater travel choice compared to suburban and regional settings</w:t>
      </w:r>
      <w:r w:rsidR="004A45BA">
        <w:t>.</w:t>
      </w:r>
    </w:p>
    <w:p w14:paraId="4D09924B" w14:textId="726B8587" w:rsidR="00FA15BB" w:rsidRDefault="00FA15BB" w:rsidP="00FA15BB">
      <w:pPr>
        <w:pStyle w:val="Bullet1"/>
      </w:pPr>
      <w:r w:rsidRPr="00FA15BB">
        <w:t xml:space="preserve">Comprehensive parking management (reduced number </w:t>
      </w:r>
      <w:r w:rsidR="004A45BA">
        <w:t xml:space="preserve">of </w:t>
      </w:r>
      <w:r w:rsidRPr="00FA15BB">
        <w:t>staff car parks available on-site)</w:t>
      </w:r>
    </w:p>
    <w:p w14:paraId="46F7135C" w14:textId="06062935" w:rsidR="00FA15BB" w:rsidRPr="00FA15BB" w:rsidRDefault="004A45BA" w:rsidP="00FA15BB">
      <w:pPr>
        <w:pStyle w:val="Bullet2"/>
      </w:pPr>
      <w:r>
        <w:t>a</w:t>
      </w:r>
      <w:r w:rsidRPr="00FA15BB">
        <w:t xml:space="preserve">ccess </w:t>
      </w:r>
      <w:r w:rsidR="00FA15BB" w:rsidRPr="00FA15BB">
        <w:t xml:space="preserve">to parking </w:t>
      </w:r>
      <w:r>
        <w:t xml:space="preserve">divided into three priority groups </w:t>
      </w:r>
      <w:r w:rsidR="00FA15BB" w:rsidRPr="00FA15BB">
        <w:t>based on need</w:t>
      </w:r>
      <w:r>
        <w:t xml:space="preserve"> – </w:t>
      </w:r>
      <w:r w:rsidR="00FA15BB" w:rsidRPr="00FA15BB">
        <w:t xml:space="preserve">Priority </w:t>
      </w:r>
      <w:r>
        <w:t>g</w:t>
      </w:r>
      <w:r w:rsidR="00FA15BB" w:rsidRPr="00FA15BB">
        <w:t>roup 2 includes green commuters, registered carpooling staff and staff whose journey is not served by public transport</w:t>
      </w:r>
      <w:r>
        <w:t xml:space="preserve"> (s</w:t>
      </w:r>
      <w:r w:rsidR="00FA15BB" w:rsidRPr="00FA15BB">
        <w:t xml:space="preserve">ee </w:t>
      </w:r>
      <w:r>
        <w:t>Table 1)</w:t>
      </w:r>
    </w:p>
    <w:p w14:paraId="3DCFFDF6" w14:textId="35677700" w:rsidR="00FA15BB" w:rsidRDefault="004A45BA" w:rsidP="00FA15BB">
      <w:pPr>
        <w:pStyle w:val="Bullet2"/>
      </w:pPr>
      <w:r>
        <w:t>p</w:t>
      </w:r>
      <w:r w:rsidR="00FA15BB" w:rsidRPr="00FA15BB">
        <w:t>olicy developed in consultation with staff</w:t>
      </w:r>
    </w:p>
    <w:p w14:paraId="2EBECA76" w14:textId="6D905708" w:rsidR="00FA15BB" w:rsidRPr="00FA15BB" w:rsidRDefault="004A45BA" w:rsidP="00FA15BB">
      <w:pPr>
        <w:pStyle w:val="Bullet2"/>
      </w:pPr>
      <w:r>
        <w:t>permits renewed a</w:t>
      </w:r>
      <w:r w:rsidR="00FA15BB" w:rsidRPr="00FA15BB">
        <w:t>nnual</w:t>
      </w:r>
      <w:r>
        <w:t>ly</w:t>
      </w:r>
    </w:p>
    <w:p w14:paraId="40C05D0E" w14:textId="5567B18F" w:rsidR="00FA15BB" w:rsidRDefault="004A45BA" w:rsidP="00FA15BB">
      <w:pPr>
        <w:pStyle w:val="Bullet2"/>
      </w:pPr>
      <w:r>
        <w:t>r</w:t>
      </w:r>
      <w:r w:rsidR="00FA15BB" w:rsidRPr="00FA15BB">
        <w:t>elatively complex to manage</w:t>
      </w:r>
      <w:r>
        <w:t>.</w:t>
      </w:r>
    </w:p>
    <w:p w14:paraId="4641F166" w14:textId="0613AB45" w:rsidR="00FA15BB" w:rsidRPr="00FA15BB" w:rsidRDefault="00FA15BB" w:rsidP="00FA15BB">
      <w:pPr>
        <w:pStyle w:val="Bullet1"/>
      </w:pPr>
      <w:r w:rsidRPr="00FA15BB">
        <w:t xml:space="preserve">Funding and promotion of other travel options (increased bus services, carpooling </w:t>
      </w:r>
      <w:r w:rsidR="004A45BA">
        <w:t>and so on</w:t>
      </w:r>
      <w:r w:rsidRPr="00FA15BB">
        <w:t>)</w:t>
      </w:r>
    </w:p>
    <w:p w14:paraId="6AD6B583" w14:textId="0B4CF1EC" w:rsidR="00FA15BB" w:rsidRPr="00FA15BB" w:rsidRDefault="00FA15BB" w:rsidP="00FA15BB">
      <w:pPr>
        <w:pStyle w:val="Bullet1"/>
      </w:pPr>
      <w:r w:rsidRPr="00FA15BB">
        <w:t>2015 research findings</w:t>
      </w:r>
      <w:r w:rsidRPr="00FA15BB">
        <w:rPr>
          <w:vertAlign w:val="superscript"/>
        </w:rPr>
        <w:footnoteReference w:id="1"/>
      </w:r>
      <w:r w:rsidRPr="00FA15BB">
        <w:t xml:space="preserve"> comparing QEII and adjacent Hollywood Private Hospital implementing travel plans over </w:t>
      </w:r>
      <w:r w:rsidR="004A45BA">
        <w:t>six</w:t>
      </w:r>
      <w:r w:rsidR="004A45BA" w:rsidRPr="00FA15BB">
        <w:t xml:space="preserve"> </w:t>
      </w:r>
      <w:r w:rsidRPr="00FA15BB">
        <w:t>years:</w:t>
      </w:r>
    </w:p>
    <w:p w14:paraId="4F2F8676" w14:textId="1B27E6A0" w:rsidR="00FA15BB" w:rsidRPr="00FA15BB" w:rsidRDefault="00FA15BB" w:rsidP="00FA15BB">
      <w:pPr>
        <w:pStyle w:val="Bullet2"/>
      </w:pPr>
      <w:r w:rsidRPr="00FA15BB">
        <w:t xml:space="preserve">QEII drive alone </w:t>
      </w:r>
      <w:r w:rsidR="004A45BA">
        <w:t xml:space="preserve">reduced </w:t>
      </w:r>
      <w:r w:rsidRPr="00FA15BB">
        <w:t>from 85</w:t>
      </w:r>
      <w:r w:rsidR="004A45BA">
        <w:t xml:space="preserve"> per cent</w:t>
      </w:r>
      <w:r w:rsidRPr="00FA15BB">
        <w:t xml:space="preserve"> to 43</w:t>
      </w:r>
      <w:r w:rsidR="004A45BA">
        <w:t xml:space="preserve"> per cent</w:t>
      </w:r>
    </w:p>
    <w:p w14:paraId="6D463342" w14:textId="7C8E9081" w:rsidR="00FA15BB" w:rsidRPr="00FA15BB" w:rsidRDefault="00FA15BB" w:rsidP="00FA15BB">
      <w:pPr>
        <w:pStyle w:val="Bullet2"/>
      </w:pPr>
      <w:r w:rsidRPr="00FA15BB">
        <w:t>Hollywood</w:t>
      </w:r>
      <w:r w:rsidR="004A45BA">
        <w:t xml:space="preserve"> Private drive alone down from</w:t>
      </w:r>
      <w:r w:rsidRPr="00FA15BB">
        <w:t xml:space="preserve"> 80</w:t>
      </w:r>
      <w:r w:rsidR="004A45BA">
        <w:t xml:space="preserve"> per cent</w:t>
      </w:r>
      <w:r w:rsidRPr="00FA15BB">
        <w:t xml:space="preserve"> to 75</w:t>
      </w:r>
      <w:r w:rsidR="004A45BA">
        <w:t xml:space="preserve"> per cent.</w:t>
      </w:r>
    </w:p>
    <w:p w14:paraId="55B6C140" w14:textId="422F9327" w:rsidR="00FA15BB" w:rsidRDefault="004A45BA" w:rsidP="00B15286">
      <w:pPr>
        <w:pStyle w:val="Bullet1"/>
      </w:pPr>
      <w:r>
        <w:t xml:space="preserve">Over </w:t>
      </w:r>
      <w:r w:rsidR="00FA15BB" w:rsidRPr="00FA15BB">
        <w:t xml:space="preserve">10 years </w:t>
      </w:r>
      <w:r>
        <w:t>later</w:t>
      </w:r>
      <w:r w:rsidR="00FA15BB" w:rsidRPr="00FA15BB">
        <w:t>, QEII access program has a lower profile with less promotion</w:t>
      </w:r>
      <w:r>
        <w:t>.</w:t>
      </w:r>
    </w:p>
    <w:p w14:paraId="0A4CD60A" w14:textId="46EAF2BC" w:rsidR="00FB3D0D" w:rsidRPr="00FB3D0D" w:rsidRDefault="00FB3D0D" w:rsidP="00B15286">
      <w:pPr>
        <w:pStyle w:val="Tablecaption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</w:t>
      </w:r>
      <w:r w:rsidRPr="00FB3D0D">
        <w:t>Categories for parking priority at QEII Medical Centre</w:t>
      </w:r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8072"/>
      </w:tblGrid>
      <w:tr w:rsidR="0081460E" w14:paraId="003E8334" w14:textId="77777777" w:rsidTr="00B1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89701B" w14:textId="333FCF1A" w:rsidR="0081460E" w:rsidRDefault="0081460E" w:rsidP="00B15286">
            <w:pPr>
              <w:pStyle w:val="Tablecolhead"/>
            </w:pPr>
            <w:r>
              <w:t>Group</w:t>
            </w:r>
          </w:p>
        </w:tc>
        <w:tc>
          <w:tcPr>
            <w:tcW w:w="8072" w:type="dxa"/>
          </w:tcPr>
          <w:p w14:paraId="209E9ECB" w14:textId="7F13308A" w:rsidR="0081460E" w:rsidRDefault="0081460E" w:rsidP="00B15286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81460E" w14:paraId="5068F6A0" w14:textId="77777777" w:rsidTr="00B1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3C10DE" w14:textId="05443E7E" w:rsidR="0081460E" w:rsidRDefault="0081460E" w:rsidP="00B15286">
            <w:pPr>
              <w:pStyle w:val="Tabletext"/>
            </w:pPr>
            <w:r>
              <w:t>Priority group 1</w:t>
            </w:r>
          </w:p>
        </w:tc>
        <w:tc>
          <w:tcPr>
            <w:tcW w:w="8072" w:type="dxa"/>
          </w:tcPr>
          <w:p w14:paraId="6962D8D0" w14:textId="77777777" w:rsidR="0081460E" w:rsidRDefault="0081460E" w:rsidP="00B1528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Designated parking area.</w:t>
            </w:r>
          </w:p>
          <w:p w14:paraId="69227F39" w14:textId="77777777" w:rsidR="0081460E" w:rsidRDefault="0081460E" w:rsidP="0081460E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Regular shift workers starting before 7 am or </w:t>
            </w:r>
            <w:r w:rsidR="00FB3D0D">
              <w:t>end after 6:30 pm</w:t>
            </w:r>
          </w:p>
          <w:p w14:paraId="42DF266C" w14:textId="77777777" w:rsidR="00FB3D0D" w:rsidRDefault="00FB3D0D" w:rsidP="0081460E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Staff who are on-call, medical </w:t>
            </w:r>
            <w:proofErr w:type="gramStart"/>
            <w:r>
              <w:t>consultants</w:t>
            </w:r>
            <w:proofErr w:type="gramEnd"/>
            <w:r>
              <w:t xml:space="preserve"> and other permit holders</w:t>
            </w:r>
          </w:p>
          <w:p w14:paraId="10601096" w14:textId="10119141" w:rsidR="00FB3D0D" w:rsidRDefault="00FB3D0D" w:rsidP="00B15286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approved by QEIIMC parking permit appeals committee</w:t>
            </w:r>
          </w:p>
        </w:tc>
      </w:tr>
      <w:tr w:rsidR="0081460E" w14:paraId="1ED53D93" w14:textId="77777777" w:rsidTr="00B152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CA3170" w14:textId="4210456D" w:rsidR="0081460E" w:rsidRDefault="0081460E" w:rsidP="00B15286">
            <w:pPr>
              <w:pStyle w:val="Tabletext"/>
            </w:pPr>
            <w:r>
              <w:t>Priority group 2</w:t>
            </w:r>
          </w:p>
        </w:tc>
        <w:tc>
          <w:tcPr>
            <w:tcW w:w="8072" w:type="dxa"/>
          </w:tcPr>
          <w:p w14:paraId="0DC0291B" w14:textId="77777777" w:rsidR="0081460E" w:rsidRDefault="0081460E" w:rsidP="0081460E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Designated parking area</w:t>
            </w:r>
            <w:r w:rsidR="00FB3D0D">
              <w:t>.</w:t>
            </w:r>
          </w:p>
          <w:p w14:paraId="3988BBE0" w14:textId="77777777" w:rsidR="00FB3D0D" w:rsidRDefault="00FB3D0D" w:rsidP="00FB3D0D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Green commuters (use other modes at least 60 per cent of the working week)</w:t>
            </w:r>
          </w:p>
          <w:p w14:paraId="3AF65225" w14:textId="77777777" w:rsidR="00FB3D0D" w:rsidRDefault="00FB3D0D" w:rsidP="00FB3D0D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Registered carpooling staff (two or more arrive together)</w:t>
            </w:r>
          </w:p>
          <w:p w14:paraId="6821D222" w14:textId="77777777" w:rsidR="00FB3D0D" w:rsidRDefault="00FB3D0D" w:rsidP="00FB3D0D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Staff with demonstrated primary </w:t>
            </w:r>
            <w:proofErr w:type="spellStart"/>
            <w:r>
              <w:t>carer</w:t>
            </w:r>
            <w:proofErr w:type="spellEnd"/>
            <w:r>
              <w:t xml:space="preserve"> needs</w:t>
            </w:r>
          </w:p>
          <w:p w14:paraId="18D7834F" w14:textId="32EC304C" w:rsidR="00FB3D0D" w:rsidRDefault="00FB3D0D" w:rsidP="00B15286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Staff whose journey to site is not serviced by public transport</w:t>
            </w:r>
          </w:p>
        </w:tc>
      </w:tr>
      <w:tr w:rsidR="0081460E" w14:paraId="4853C654" w14:textId="77777777" w:rsidTr="00B1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A7FC01" w14:textId="685D4C54" w:rsidR="0081460E" w:rsidRDefault="0081460E" w:rsidP="00B15286">
            <w:pPr>
              <w:pStyle w:val="Tabletext"/>
            </w:pPr>
            <w:r>
              <w:t>Priority group 3</w:t>
            </w:r>
          </w:p>
        </w:tc>
        <w:tc>
          <w:tcPr>
            <w:tcW w:w="8072" w:type="dxa"/>
          </w:tcPr>
          <w:p w14:paraId="2B1D10A4" w14:textId="77777777" w:rsidR="0081460E" w:rsidRDefault="00FB3D0D" w:rsidP="0081460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Restricted access to</w:t>
            </w:r>
            <w:r w:rsidR="0081460E">
              <w:t xml:space="preserve"> parking area</w:t>
            </w:r>
            <w:r>
              <w:t>s.</w:t>
            </w:r>
          </w:p>
          <w:p w14:paraId="02427BD5" w14:textId="77777777" w:rsidR="00FB3D0D" w:rsidRDefault="00FB3D0D" w:rsidP="00FB3D0D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who work between 7 am and 6:30 pm</w:t>
            </w:r>
          </w:p>
          <w:p w14:paraId="487B96C4" w14:textId="761C5C06" w:rsidR="00FB3D0D" w:rsidRDefault="00FB3D0D" w:rsidP="00B15286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insufficient car spaces – priority given to staff with the greatest time differential between driving and using public transport</w:t>
            </w:r>
          </w:p>
        </w:tc>
      </w:tr>
    </w:tbl>
    <w:p w14:paraId="36798DF3" w14:textId="1ED50DB5" w:rsidR="00FA15BB" w:rsidRDefault="00FA15BB">
      <w:pPr>
        <w:pStyle w:val="Heading1"/>
      </w:pPr>
      <w:bookmarkStart w:id="4" w:name="_Toc104291696"/>
      <w:r>
        <w:lastRenderedPageBreak/>
        <w:t>Other hospital travel plan case studies</w:t>
      </w:r>
      <w:bookmarkEnd w:id="4"/>
    </w:p>
    <w:tbl>
      <w:tblPr>
        <w:tblStyle w:val="Bluetable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397"/>
        <w:gridCol w:w="6797"/>
      </w:tblGrid>
      <w:tr w:rsidR="0081460E" w:rsidRPr="006C18B7" w14:paraId="6709DC89" w14:textId="77777777" w:rsidTr="00B1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4BC7CC" w14:textId="77777777" w:rsidR="0081460E" w:rsidRPr="006C18B7" w:rsidRDefault="0081460E">
            <w:pPr>
              <w:pStyle w:val="Tablecolhead"/>
            </w:pPr>
            <w:r w:rsidRPr="006C18B7">
              <w:t>Hospital travel plan case studies</w:t>
            </w:r>
          </w:p>
        </w:tc>
        <w:tc>
          <w:tcPr>
            <w:tcW w:w="6797" w:type="dxa"/>
          </w:tcPr>
          <w:p w14:paraId="4F3CB573" w14:textId="3A3C8C56" w:rsidR="0081460E" w:rsidRPr="006C18B7" w:rsidRDefault="0081460E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18B7">
              <w:t>Link</w:t>
            </w:r>
            <w:r w:rsidR="006C18B7">
              <w:t xml:space="preserve"> and description</w:t>
            </w:r>
          </w:p>
        </w:tc>
      </w:tr>
      <w:tr w:rsidR="0081460E" w:rsidRPr="00E23242" w14:paraId="0326DDB4" w14:textId="77777777" w:rsidTr="00B1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74AF16" w14:textId="77777777" w:rsidR="0081460E" w:rsidRPr="00E23242" w:rsidRDefault="0081460E" w:rsidP="000A4439">
            <w:pPr>
              <w:pStyle w:val="Tabletext"/>
              <w:rPr>
                <w:rFonts w:eastAsia="Times"/>
              </w:rPr>
            </w:pPr>
            <w:r w:rsidRPr="00E23242">
              <w:t>Global Green and Healthy Hospitals (GGHH) Transportation case studies</w:t>
            </w:r>
          </w:p>
        </w:tc>
        <w:tc>
          <w:tcPr>
            <w:tcW w:w="6797" w:type="dxa"/>
          </w:tcPr>
          <w:p w14:paraId="1A6DD8E7" w14:textId="77777777" w:rsidR="0081460E" w:rsidRPr="00E23242" w:rsidRDefault="0081460E" w:rsidP="000A443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242">
              <w:t xml:space="preserve">Available on the </w:t>
            </w:r>
            <w:hyperlink r:id="rId21" w:history="1">
              <w:r w:rsidRPr="00E23242">
                <w:rPr>
                  <w:rStyle w:val="Hyperlink"/>
                </w:rPr>
                <w:t>GGHH website's Case studies from GGHH members page</w:t>
              </w:r>
            </w:hyperlink>
            <w:r w:rsidRPr="00B15286">
              <w:rPr>
                <w:rStyle w:val="Hyperlink"/>
              </w:rPr>
              <w:t xml:space="preserve"> – under ‘Transportation’ </w:t>
            </w:r>
            <w:r w:rsidRPr="00B15286">
              <w:rPr>
                <w:rStyle w:val="Hyperlink"/>
                <w:rFonts w:eastAsia="Times New Roman"/>
              </w:rPr>
              <w:t>&lt;</w:t>
            </w:r>
            <w:r w:rsidRPr="00B15286">
              <w:rPr>
                <w:rStyle w:val="Hyperlink"/>
              </w:rPr>
              <w:t>https://www.greenhospitals.net/case-studies-transportation</w:t>
            </w:r>
            <w:r w:rsidRPr="00B15286">
              <w:rPr>
                <w:rStyle w:val="Hyperlink"/>
                <w:rFonts w:eastAsia="Times New Roman"/>
              </w:rPr>
              <w:t>&gt;</w:t>
            </w:r>
          </w:p>
        </w:tc>
      </w:tr>
      <w:tr w:rsidR="0081460E" w:rsidRPr="00E23242" w14:paraId="527614E2" w14:textId="77777777" w:rsidTr="00B152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3189C3A" w14:textId="77777777" w:rsidR="0081460E" w:rsidRPr="00E23242" w:rsidRDefault="0081460E" w:rsidP="00E23242">
            <w:pPr>
              <w:pStyle w:val="Tabletext"/>
            </w:pPr>
            <w:r w:rsidRPr="00E23242">
              <w:t>Mater Services South Brisbane Transport Actions – ‘Transport at Mater Health Services’</w:t>
            </w:r>
          </w:p>
        </w:tc>
        <w:tc>
          <w:tcPr>
            <w:tcW w:w="6797" w:type="dxa"/>
          </w:tcPr>
          <w:p w14:paraId="522E3A0E" w14:textId="77777777" w:rsidR="0081460E" w:rsidRPr="00E23242" w:rsidRDefault="0081460E" w:rsidP="00E2324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3242">
              <w:t xml:space="preserve">Available on the </w:t>
            </w:r>
            <w:hyperlink r:id="rId22" w:history="1">
              <w:r w:rsidRPr="00E23242">
                <w:rPr>
                  <w:rStyle w:val="Hyperlink"/>
                </w:rPr>
                <w:t>GGHH website's Case studies from GGHH members page</w:t>
              </w:r>
            </w:hyperlink>
            <w:r w:rsidRPr="00B15286">
              <w:rPr>
                <w:rStyle w:val="Hyperlink"/>
              </w:rPr>
              <w:t xml:space="preserve"> – under ‘Transportation’ </w:t>
            </w:r>
            <w:r w:rsidRPr="00B15286">
              <w:rPr>
                <w:rStyle w:val="Hyperlink"/>
                <w:rFonts w:eastAsia="Times New Roman"/>
              </w:rPr>
              <w:t>&lt;</w:t>
            </w:r>
            <w:r w:rsidRPr="00B15286">
              <w:rPr>
                <w:rStyle w:val="Hyperlink"/>
              </w:rPr>
              <w:t>https://www.greenhospitals.net/case-studies-transportation</w:t>
            </w:r>
            <w:r w:rsidRPr="00B15286">
              <w:rPr>
                <w:rStyle w:val="Hyperlink"/>
                <w:rFonts w:eastAsia="Times New Roman"/>
              </w:rPr>
              <w:t>&gt;</w:t>
            </w:r>
          </w:p>
        </w:tc>
      </w:tr>
      <w:tr w:rsidR="0081460E" w:rsidRPr="00E23242" w14:paraId="3D2586CF" w14:textId="77777777" w:rsidTr="00B1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109D39" w14:textId="77777777" w:rsidR="0081460E" w:rsidRPr="00E23242" w:rsidRDefault="0081460E" w:rsidP="000A4439">
            <w:pPr>
              <w:pStyle w:val="Tabletext"/>
            </w:pPr>
            <w:r w:rsidRPr="00E23242">
              <w:t>Lismore Hospital case study</w:t>
            </w:r>
          </w:p>
        </w:tc>
        <w:tc>
          <w:tcPr>
            <w:tcW w:w="6797" w:type="dxa"/>
          </w:tcPr>
          <w:p w14:paraId="016C91E4" w14:textId="77777777" w:rsidR="0081460E" w:rsidRPr="00E23242" w:rsidRDefault="0081460E" w:rsidP="000A443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23242">
              <w:t xml:space="preserve">Available on </w:t>
            </w:r>
            <w:hyperlink r:id="rId23" w:history="1">
              <w:r w:rsidRPr="00B15286">
                <w:rPr>
                  <w:rStyle w:val="Hyperlink"/>
                  <w:rFonts w:eastAsia="Times New Roman"/>
                </w:rPr>
                <w:t>Northern NSW LHD website's Lismore Base Hospital Precinct draft travel plan page</w:t>
              </w:r>
            </w:hyperlink>
            <w:r w:rsidRPr="00E23242">
              <w:rPr>
                <w:rFonts w:eastAsia="Times"/>
              </w:rPr>
              <w:t xml:space="preserve"> </w:t>
            </w:r>
            <w:r w:rsidRPr="00E23242">
              <w:rPr>
                <w:rFonts w:cs="Arial"/>
              </w:rPr>
              <w:t>&lt;https://nnswlhd.health.nsw.gov.au/blog/2015/08/25/lismore-base-hospital-precinct-draft-travel-plan&gt;</w:t>
            </w:r>
          </w:p>
        </w:tc>
      </w:tr>
      <w:tr w:rsidR="0081460E" w:rsidRPr="00E23242" w14:paraId="102A376C" w14:textId="77777777" w:rsidTr="00B152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70C0E3A" w14:textId="77777777" w:rsidR="0081460E" w:rsidRPr="00E23242" w:rsidRDefault="0081460E" w:rsidP="00E23242">
            <w:pPr>
              <w:pStyle w:val="Tabletext"/>
            </w:pPr>
            <w:r w:rsidRPr="00E23242">
              <w:t>Royal North Shore – Workplace travel plan 2016 to 2018</w:t>
            </w:r>
          </w:p>
        </w:tc>
        <w:tc>
          <w:tcPr>
            <w:tcW w:w="6797" w:type="dxa"/>
          </w:tcPr>
          <w:p w14:paraId="6DF210C7" w14:textId="77777777" w:rsidR="0081460E" w:rsidRPr="00B15286" w:rsidRDefault="0081460E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15286">
              <w:t>Clear and easy to read.</w:t>
            </w:r>
          </w:p>
          <w:p w14:paraId="448A7EAB" w14:textId="2B1C0B81" w:rsidR="0081460E" w:rsidRPr="00E23242" w:rsidRDefault="0081460E" w:rsidP="00E2324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</w:rPr>
            </w:pPr>
            <w:r w:rsidRPr="00E23242">
              <w:t xml:space="preserve">Available on the </w:t>
            </w:r>
            <w:hyperlink r:id="rId24" w:history="1">
              <w:r w:rsidRPr="00B15286">
                <w:rPr>
                  <w:rStyle w:val="Hyperlink"/>
                  <w:rFonts w:eastAsia="Times New Roman"/>
                </w:rPr>
                <w:t>Northern NSW LHD website's Active travel page</w:t>
              </w:r>
            </w:hyperlink>
            <w:r w:rsidRPr="00B15286">
              <w:rPr>
                <w:rStyle w:val="Hyperlink"/>
                <w:rFonts w:eastAsia="Times New Roman"/>
              </w:rPr>
              <w:t xml:space="preserve"> – under ‘Workplace travel plans’</w:t>
            </w:r>
            <w:r w:rsidRPr="00B15286">
              <w:t xml:space="preserve"> &lt;https://www.nslhd.health.nsw.gov.au/HealthPromotion/Pages/ActiveTravel.aspx&gt;.</w:t>
            </w:r>
          </w:p>
        </w:tc>
      </w:tr>
      <w:tr w:rsidR="0081460E" w:rsidRPr="00E23242" w14:paraId="077E7589" w14:textId="77777777" w:rsidTr="00B1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AE9877" w14:textId="77777777" w:rsidR="0081460E" w:rsidRPr="00E23242" w:rsidRDefault="0081460E" w:rsidP="00E23242">
            <w:pPr>
              <w:pStyle w:val="Tabletext"/>
            </w:pPr>
            <w:r w:rsidRPr="00E23242">
              <w:t>Northern Beaches Health Service – Workforce travel plan</w:t>
            </w:r>
          </w:p>
        </w:tc>
        <w:tc>
          <w:tcPr>
            <w:tcW w:w="6797" w:type="dxa"/>
          </w:tcPr>
          <w:p w14:paraId="57C7BA3D" w14:textId="77777777" w:rsidR="0081460E" w:rsidRDefault="0081460E" w:rsidP="00E2324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242">
              <w:t>Simple 3-page travel plan</w:t>
            </w:r>
            <w:r>
              <w:t>.</w:t>
            </w:r>
          </w:p>
          <w:p w14:paraId="0D1C087E" w14:textId="2300263D" w:rsidR="0081460E" w:rsidRPr="00E23242" w:rsidRDefault="0081460E" w:rsidP="00E2324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242">
              <w:t xml:space="preserve">Available on the </w:t>
            </w:r>
            <w:hyperlink r:id="rId25" w:history="1">
              <w:r w:rsidRPr="00B15286">
                <w:rPr>
                  <w:rStyle w:val="Hyperlink"/>
                  <w:rFonts w:eastAsia="Times New Roman"/>
                </w:rPr>
                <w:t>Northern NSW LHD website's Active travel page</w:t>
              </w:r>
            </w:hyperlink>
            <w:r w:rsidRPr="00B15286">
              <w:rPr>
                <w:rStyle w:val="Hyperlink"/>
                <w:rFonts w:eastAsia="Times New Roman"/>
              </w:rPr>
              <w:t xml:space="preserve"> – under ‘Workplace travel plans’</w:t>
            </w:r>
            <w:r w:rsidRPr="00E23242">
              <w:t xml:space="preserve"> &lt;https://www.nslhd.health.nsw.gov.au/HealthPromotion/Pages/ActiveTravel.aspx&gt;.</w:t>
            </w:r>
          </w:p>
        </w:tc>
      </w:tr>
      <w:tr w:rsidR="0081460E" w:rsidRPr="00E23242" w14:paraId="5DE05C81" w14:textId="77777777" w:rsidTr="00B152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9B9FD25" w14:textId="77777777" w:rsidR="0081460E" w:rsidRPr="00E23242" w:rsidRDefault="0081460E" w:rsidP="000A4439">
            <w:pPr>
              <w:pStyle w:val="Tabletext"/>
              <w:rPr>
                <w:rFonts w:eastAsia="Times"/>
              </w:rPr>
            </w:pPr>
            <w:r w:rsidRPr="00E23242">
              <w:t>Transport for NSW Hospital travel plan case studies 2018</w:t>
            </w:r>
          </w:p>
        </w:tc>
        <w:tc>
          <w:tcPr>
            <w:tcW w:w="6797" w:type="dxa"/>
          </w:tcPr>
          <w:p w14:paraId="3F31358E" w14:textId="77777777" w:rsidR="0081460E" w:rsidRPr="00B15286" w:rsidRDefault="0081460E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15286">
              <w:t>PDF of hospital travel plan case study summaries accessible at &lt;http://data.mysydney.nsw.gov.au/files/Hospital+travel+plan+case+studies.pdf&gt;</w:t>
            </w:r>
          </w:p>
        </w:tc>
      </w:tr>
      <w:tr w:rsidR="0081460E" w:rsidRPr="00E23242" w14:paraId="281E5D7B" w14:textId="77777777" w:rsidTr="00B1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046A904" w14:textId="77777777" w:rsidR="0081460E" w:rsidRPr="00E23242" w:rsidRDefault="0081460E" w:rsidP="00E23242">
            <w:pPr>
              <w:pStyle w:val="Tabletext"/>
              <w:rPr>
                <w:rFonts w:eastAsia="Times"/>
              </w:rPr>
            </w:pPr>
            <w:r w:rsidRPr="00E23242">
              <w:t>Hawkes Bay District Health Board, NZ – ‘Go Well travel’ campaign and supporting travel plan</w:t>
            </w:r>
          </w:p>
        </w:tc>
        <w:tc>
          <w:tcPr>
            <w:tcW w:w="6797" w:type="dxa"/>
          </w:tcPr>
          <w:p w14:paraId="71CEDDC2" w14:textId="77777777" w:rsidR="0081460E" w:rsidRPr="00E23242" w:rsidRDefault="0081460E" w:rsidP="00E2324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3242">
              <w:t xml:space="preserve">Available on the </w:t>
            </w:r>
            <w:hyperlink r:id="rId26" w:history="1">
              <w:r w:rsidRPr="00E23242">
                <w:rPr>
                  <w:rStyle w:val="Hyperlink"/>
                </w:rPr>
                <w:t>GGHH website's Case studies from GGHH members page</w:t>
              </w:r>
            </w:hyperlink>
            <w:r w:rsidRPr="00B15286">
              <w:rPr>
                <w:rStyle w:val="Hyperlink"/>
              </w:rPr>
              <w:t xml:space="preserve"> – under ‘Transportation’ </w:t>
            </w:r>
            <w:r w:rsidRPr="00B15286">
              <w:rPr>
                <w:rStyle w:val="Hyperlink"/>
                <w:rFonts w:eastAsia="Times New Roman"/>
              </w:rPr>
              <w:t>&lt;</w:t>
            </w:r>
            <w:r w:rsidRPr="00B15286">
              <w:rPr>
                <w:rStyle w:val="Hyperlink"/>
              </w:rPr>
              <w:t>https://www.greenhospitals.net/case-studies-transportation</w:t>
            </w:r>
            <w:r w:rsidRPr="00B15286">
              <w:rPr>
                <w:rStyle w:val="Hyperlink"/>
                <w:rFonts w:eastAsia="Times New Roman"/>
              </w:rPr>
              <w:t>&gt;</w:t>
            </w:r>
          </w:p>
        </w:tc>
      </w:tr>
    </w:tbl>
    <w:p w14:paraId="0135FDF9" w14:textId="2F6BF726" w:rsidR="00FA15BB" w:rsidRDefault="00FA15BB" w:rsidP="00FA15BB">
      <w:pPr>
        <w:pStyle w:val="Bodyafterbullets"/>
      </w:pPr>
    </w:p>
    <w:p w14:paraId="5BF52B38" w14:textId="3FE0951C" w:rsidR="006C18B7" w:rsidRDefault="006C18B7">
      <w:pPr>
        <w:spacing w:after="0" w:line="240" w:lineRule="auto"/>
        <w:rPr>
          <w:rFonts w:eastAsia="Times"/>
        </w:rPr>
      </w:pPr>
      <w:r>
        <w:br w:type="page"/>
      </w:r>
    </w:p>
    <w:p w14:paraId="4A1D1640" w14:textId="77777777" w:rsidR="00AB6F79" w:rsidRDefault="00AB6F79" w:rsidP="00AB6F79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27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58EB6DF7" w14:textId="77777777" w:rsidR="00AB6F79" w:rsidRDefault="00AB6F79" w:rsidP="00AB6F79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5AE678F7" w14:textId="77777777" w:rsidR="00AB6F79" w:rsidRDefault="00AB6F79" w:rsidP="00AB6F79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56BB8C92" w14:textId="77777777" w:rsidR="00AB6F79" w:rsidRDefault="00AB6F79" w:rsidP="00AB6F79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740CAC01" w14:textId="77777777" w:rsidR="00AB6F79" w:rsidRDefault="00AB6F79" w:rsidP="00AB6F79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8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Default="00162CA9" w:rsidP="00162CA9">
      <w:pPr>
        <w:pStyle w:val="Body"/>
      </w:pPr>
    </w:p>
    <w:sectPr w:rsidR="00162CA9" w:rsidSect="00E62622">
      <w:footerReference w:type="default" r:id="rId2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1614" w14:textId="77777777" w:rsidR="00824229" w:rsidRDefault="00824229">
      <w:r>
        <w:separator/>
      </w:r>
    </w:p>
  </w:endnote>
  <w:endnote w:type="continuationSeparator" w:id="0">
    <w:p w14:paraId="445DED4E" w14:textId="77777777" w:rsidR="00824229" w:rsidRDefault="0082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4A8A" w14:textId="77777777" w:rsidR="006175A1" w:rsidRDefault="0061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660C4A0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6E01103A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3FD1630F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3906" w14:textId="77777777" w:rsidR="00824229" w:rsidRDefault="00824229" w:rsidP="002862F1">
      <w:pPr>
        <w:spacing w:before="120"/>
      </w:pPr>
      <w:r>
        <w:separator/>
      </w:r>
    </w:p>
  </w:footnote>
  <w:footnote w:type="continuationSeparator" w:id="0">
    <w:p w14:paraId="16B78DE4" w14:textId="77777777" w:rsidR="00824229" w:rsidRDefault="00824229">
      <w:r>
        <w:continuationSeparator/>
      </w:r>
    </w:p>
  </w:footnote>
  <w:footnote w:id="1">
    <w:p w14:paraId="49FE4C2A" w14:textId="77777777" w:rsidR="00FA15BB" w:rsidRDefault="00FA15BB" w:rsidP="00FA15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77F1">
        <w:t xml:space="preserve">Petrunoff N et al, 2015 </w:t>
      </w:r>
      <w:r w:rsidRPr="003A77F1">
        <w:rPr>
          <w:i/>
          <w:iCs/>
        </w:rPr>
        <w:t>Carrots and sticks vs carrots: Comparing approaches to workplace travel plans using disincentives for driving and incentives for active trave</w:t>
      </w:r>
      <w:r w:rsidRPr="003A77F1">
        <w:t>l, Journal of Transport &amp; Health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2E59" w14:textId="77777777" w:rsidR="006175A1" w:rsidRDefault="0061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CDB" w14:textId="77777777" w:rsidR="006175A1" w:rsidRDefault="006175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04F7C5E4" w:rsidR="00E261B3" w:rsidRPr="0051568D" w:rsidRDefault="00FB3D0D" w:rsidP="0011701A">
    <w:pPr>
      <w:pStyle w:val="Header"/>
    </w:pPr>
    <w:r w:rsidRPr="00FB3D0D">
      <w:t>Hospital travel plan case studies</w:t>
    </w:r>
    <w:r>
      <w:t xml:space="preserve">: </w:t>
    </w:r>
    <w:r w:rsidRPr="00FB3D0D">
      <w:t>1.1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12F"/>
    <w:rsid w:val="001D098B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A31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423F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75A1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18B7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393F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4229"/>
    <w:rsid w:val="00825E66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B6F79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528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D4894"/>
    <w:rsid w:val="00BE28D2"/>
    <w:rsid w:val="00BE3469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0D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68D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67D9B"/>
    <w:rsid w:val="00E71591"/>
    <w:rsid w:val="00E71CEB"/>
    <w:rsid w:val="00E7474F"/>
    <w:rsid w:val="00E80DE3"/>
    <w:rsid w:val="00E82C55"/>
    <w:rsid w:val="00E8787E"/>
    <w:rsid w:val="00E91599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3E86"/>
    <w:rsid w:val="00F451AB"/>
    <w:rsid w:val="00F45202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6C18B7"/>
    <w:pPr>
      <w:spacing w:before="80" w:after="60"/>
    </w:pPr>
    <w:rPr>
      <w:rFonts w:ascii="Arial" w:hAnsi="Arial"/>
      <w:b/>
      <w:color w:val="0D0D0D" w:themeColor="text1" w:themeTint="F2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6C18B7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.greenhospitals.net/case-studies-transport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reenhospitals.net/case-studies-transportatio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nslhd.health.nsw.gov.au/HealthPromotion/Pages/ActiveTravel.aspx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slhd.health.nsw.gov.au/HealthPromotion/Pages/ActiveTravel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nnswlhd.health.nsw.gov.au/wp-content/uploads/LBHTravelPlan.pdf" TargetMode="External"/><Relationship Id="rId28" Type="http://schemas.openxmlformats.org/officeDocument/2006/relationships/hyperlink" Target="http://www.health.vic.gov.au/sustainability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greenhospitals.net/case-studies-transportation" TargetMode="External"/><Relationship Id="rId27" Type="http://schemas.openxmlformats.org/officeDocument/2006/relationships/hyperlink" Target="mailto:sustainability@health.vic.gov.au?subject=Sustainable%20transport%20in%20hospitals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277C0-5182-4CA3-BB31-5CD27E194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44283bbd-cbd3-4545-9aa6-8cdecb1b4ebf"/>
    <ds:schemaRef ds:uri="http://purl.org/dc/elements/1.1/"/>
    <ds:schemaRef ds:uri="http://www.w3.org/XML/1998/namespace"/>
    <ds:schemaRef ds:uri="5ce0f2b5-5be5-4508-bce9-d7011ece0659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2b2a996-90f2-4093-9cfd-0e684e15c3c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949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travel plan case studies</vt:lpstr>
    </vt:vector>
  </TitlesOfParts>
  <Manager/>
  <Company>Victoria State Government, Department of Health</Company>
  <LinksUpToDate>false</LinksUpToDate>
  <CharactersWithSpaces>7869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travel plan case studies</dc:title>
  <dc:subject>Sustainable transport in health care</dc:subject>
  <dc:creator>Environment team</dc:creator>
  <cp:keywords>hospital; travel; plan; case study</cp:keywords>
  <dc:description/>
  <cp:lastModifiedBy>Sarah Bending (Health)</cp:lastModifiedBy>
  <cp:revision>6</cp:revision>
  <cp:lastPrinted>2022-05-24T03:34:00Z</cp:lastPrinted>
  <dcterms:created xsi:type="dcterms:W3CDTF">2022-07-27T03:42:00Z</dcterms:created>
  <dcterms:modified xsi:type="dcterms:W3CDTF">2022-07-28T07:26:00Z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2022-07-28T06:29:49Z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d9634fc2-9e2f-4be9-9c63-c5636bf40356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