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9B5" w14:textId="6F851410" w:rsidR="00056EC4" w:rsidRDefault="00E9042A" w:rsidP="00056EC4">
      <w:pPr>
        <w:pStyle w:val="Body"/>
      </w:pPr>
      <w:r>
        <w:rPr>
          <w:noProof/>
        </w:rPr>
        <w:drawing>
          <wp:anchor distT="0" distB="0" distL="114300" distR="114300" simplePos="0" relativeHeight="251658240" behindDoc="1" locked="1" layoutInCell="1" allowOverlap="0" wp14:anchorId="5CA03EB8" wp14:editId="0A92EE57">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r w:rsidR="0B70BB81">
        <w:t xml:space="preserve"> </w:t>
      </w:r>
      <w:r w:rsidR="360750CD">
        <w:t xml:space="preserve">  </w:t>
      </w:r>
      <w:r w:rsidR="2ADF8CEB">
        <w:t xml:space="preserve">  </w:t>
      </w:r>
      <w:r w:rsidR="3578061A">
        <w:t xml:space="preserve">  </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23BF350" w14:textId="77777777" w:rsidTr="00431F42">
        <w:trPr>
          <w:cantSplit/>
        </w:trPr>
        <w:tc>
          <w:tcPr>
            <w:tcW w:w="0" w:type="auto"/>
            <w:tcMar>
              <w:top w:w="0" w:type="dxa"/>
              <w:left w:w="0" w:type="dxa"/>
              <w:right w:w="0" w:type="dxa"/>
            </w:tcMar>
          </w:tcPr>
          <w:p w14:paraId="0387F7D9" w14:textId="4E730AEF" w:rsidR="00AD784C" w:rsidRPr="00431F42" w:rsidRDefault="006569E0" w:rsidP="00CC3BB0">
            <w:pPr>
              <w:pStyle w:val="Documenttitle"/>
            </w:pPr>
            <w:r w:rsidRPr="006569E0">
              <w:t>Compliance and enforcement policy</w:t>
            </w:r>
          </w:p>
        </w:tc>
      </w:tr>
      <w:tr w:rsidR="00AD784C" w14:paraId="7C78E8E6" w14:textId="77777777" w:rsidTr="00431F42">
        <w:trPr>
          <w:cantSplit/>
        </w:trPr>
        <w:tc>
          <w:tcPr>
            <w:tcW w:w="0" w:type="auto"/>
          </w:tcPr>
          <w:p w14:paraId="20F1EF60" w14:textId="75D55725" w:rsidR="00386109" w:rsidRPr="00A1389F" w:rsidRDefault="006569E0" w:rsidP="009315BE">
            <w:pPr>
              <w:pStyle w:val="Documentsubtitle"/>
            </w:pPr>
            <w:r w:rsidRPr="006569E0">
              <w:t>Child Safe Standards Regulator (Health)</w:t>
            </w:r>
            <w:r>
              <w:t xml:space="preserve"> – January 2023</w:t>
            </w:r>
          </w:p>
        </w:tc>
      </w:tr>
      <w:tr w:rsidR="00430393" w14:paraId="1B8ABB32" w14:textId="77777777" w:rsidTr="00431F42">
        <w:trPr>
          <w:cantSplit/>
        </w:trPr>
        <w:tc>
          <w:tcPr>
            <w:tcW w:w="0" w:type="auto"/>
          </w:tcPr>
          <w:p w14:paraId="458BB425" w14:textId="77777777" w:rsidR="00430393" w:rsidRDefault="00313D7D" w:rsidP="00430393">
            <w:pPr>
              <w:pStyle w:val="Bannermarking"/>
            </w:pPr>
            <w:fldSimple w:instr=" FILLIN  &quot;Type the protective marking&quot; \d OFFICIAL \o  \* MERGEFORMAT ">
              <w:r w:rsidR="006569E0">
                <w:t>OFFICIAL</w:t>
              </w:r>
            </w:fldSimple>
          </w:p>
        </w:tc>
      </w:tr>
    </w:tbl>
    <w:p w14:paraId="343C3924" w14:textId="77777777" w:rsidR="00FE4081" w:rsidRDefault="00FE4081" w:rsidP="00FE4081">
      <w:pPr>
        <w:pStyle w:val="Body"/>
      </w:pPr>
    </w:p>
    <w:p w14:paraId="0568FA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290644A" w14:textId="63B2206D" w:rsidR="006569E0" w:rsidRPr="0055119B" w:rsidRDefault="006569E0" w:rsidP="009F2182">
      <w:pPr>
        <w:pStyle w:val="Accessibilitypara"/>
      </w:pPr>
      <w:r w:rsidRPr="0055119B">
        <w:lastRenderedPageBreak/>
        <w:t>To receive this document in another format</w:t>
      </w:r>
      <w:r>
        <w:t>,</w:t>
      </w:r>
      <w:r w:rsidRPr="0055119B">
        <w:t xml:space="preserve"> phone</w:t>
      </w:r>
      <w:r w:rsidRPr="006569E0">
        <w:t xml:space="preserve"> </w:t>
      </w:r>
      <w:r w:rsidR="0069320C">
        <w:t xml:space="preserve">the </w:t>
      </w:r>
      <w:r w:rsidR="00776394">
        <w:t>Child Safe</w:t>
      </w:r>
      <w:r w:rsidRPr="006569E0">
        <w:t>t</w:t>
      </w:r>
      <w:r w:rsidR="00693C67">
        <w:t>y Regulation</w:t>
      </w:r>
      <w:r w:rsidRPr="006569E0">
        <w:t xml:space="preserve"> team on </w:t>
      </w:r>
      <w:r w:rsidR="00313D7D">
        <w:t>1300 650 172</w:t>
      </w:r>
      <w:r w:rsidRPr="006569E0">
        <w:t xml:space="preserve">, using the National Relay Service 13 36 77 if required, or </w:t>
      </w:r>
      <w:hyperlink r:id="rId18" w:history="1">
        <w:r w:rsidRPr="0069320C">
          <w:rPr>
            <w:rStyle w:val="Hyperlink"/>
          </w:rPr>
          <w:t>email the Child Safety Regulation team</w:t>
        </w:r>
      </w:hyperlink>
      <w:r w:rsidRPr="006569E0">
        <w:t xml:space="preserve"> &lt;childsafestandards@health.vic.gov.au&gt;</w:t>
      </w:r>
      <w:r w:rsidRPr="0055119B">
        <w:t>.</w:t>
      </w:r>
    </w:p>
    <w:p w14:paraId="086444BA" w14:textId="77777777" w:rsidR="006569E0" w:rsidRPr="0055119B" w:rsidRDefault="006569E0" w:rsidP="009F2182">
      <w:pPr>
        <w:pStyle w:val="Imprint"/>
      </w:pPr>
      <w:r w:rsidRPr="0055119B">
        <w:t>Authorised and published by the Victorian Government, 1 Treasury Place, Melbourne.</w:t>
      </w:r>
    </w:p>
    <w:p w14:paraId="09AD3EE2" w14:textId="441E7B8E" w:rsidR="006569E0" w:rsidRPr="0055119B" w:rsidRDefault="006569E0" w:rsidP="009F2182">
      <w:pPr>
        <w:pStyle w:val="Imprint"/>
      </w:pPr>
      <w:r w:rsidRPr="0055119B">
        <w:t xml:space="preserve">© State of Victoria, Australia, Department </w:t>
      </w:r>
      <w:r w:rsidRPr="001B058F">
        <w:t xml:space="preserve">of </w:t>
      </w:r>
      <w:r>
        <w:t>Health</w:t>
      </w:r>
      <w:r w:rsidRPr="0055119B">
        <w:t>,</w:t>
      </w:r>
      <w:r w:rsidR="00296704">
        <w:t xml:space="preserve"> </w:t>
      </w:r>
      <w:r w:rsidR="00E6298F" w:rsidRPr="00EB0FE0">
        <w:t>October</w:t>
      </w:r>
      <w:r w:rsidR="00E6298F">
        <w:t xml:space="preserve"> 2022</w:t>
      </w:r>
      <w:r w:rsidRPr="0055119B">
        <w:t>.</w:t>
      </w:r>
    </w:p>
    <w:p w14:paraId="1D76D8BC" w14:textId="62D1F32C" w:rsidR="006569E0" w:rsidRPr="0055119B" w:rsidRDefault="006569E0" w:rsidP="009F2182">
      <w:pPr>
        <w:pStyle w:val="Imprint"/>
      </w:pPr>
      <w:bookmarkStart w:id="0" w:name="_Hlk62746129"/>
      <w:r w:rsidRPr="0055119B">
        <w:t xml:space="preserve">ISBN </w:t>
      </w:r>
      <w:r w:rsidRPr="006569E0">
        <w:t>978-1-76096-744-4</w:t>
      </w:r>
      <w:r w:rsidRPr="00E33237">
        <w:rPr>
          <w:color w:val="004C97"/>
        </w:rPr>
        <w:t xml:space="preserve"> </w:t>
      </w:r>
      <w:r w:rsidRPr="0055119B">
        <w:t>(online/PDF/Word)</w:t>
      </w:r>
    </w:p>
    <w:bookmarkEnd w:id="0"/>
    <w:p w14:paraId="28DE351C" w14:textId="77777777" w:rsidR="006854E9" w:rsidRPr="006854E9" w:rsidRDefault="006854E9" w:rsidP="006854E9">
      <w:pPr>
        <w:pStyle w:val="Body"/>
        <w:rPr>
          <w:color w:val="000000" w:themeColor="text1"/>
          <w:sz w:val="20"/>
        </w:rPr>
      </w:pPr>
      <w:r w:rsidRPr="006854E9">
        <w:rPr>
          <w:color w:val="000000" w:themeColor="text1"/>
          <w:sz w:val="20"/>
        </w:rPr>
        <w:t xml:space="preserve">Available at the </w:t>
      </w:r>
      <w:hyperlink r:id="rId19" w:history="1">
        <w:r w:rsidRPr="006854E9">
          <w:rPr>
            <w:rStyle w:val="Hyperlink"/>
            <w:sz w:val="20"/>
          </w:rPr>
          <w:t>Department of Health's Child Safe Standards web page</w:t>
        </w:r>
      </w:hyperlink>
      <w:r w:rsidRPr="006854E9">
        <w:rPr>
          <w:color w:val="000000" w:themeColor="text1"/>
          <w:sz w:val="20"/>
        </w:rPr>
        <w:t xml:space="preserve"> &lt;https://www.health.vic.gov.au/childsafestandards&gt;</w:t>
      </w:r>
    </w:p>
    <w:p w14:paraId="59C56179" w14:textId="77777777" w:rsidR="0008204A" w:rsidRPr="0008204A" w:rsidRDefault="0008204A" w:rsidP="0008204A">
      <w:pPr>
        <w:pStyle w:val="Body"/>
      </w:pPr>
      <w:r w:rsidRPr="0008204A">
        <w:br w:type="page"/>
      </w:r>
    </w:p>
    <w:p w14:paraId="0439379A" w14:textId="77777777" w:rsidR="00AD784C" w:rsidRPr="00B57329" w:rsidRDefault="00AD784C" w:rsidP="002365B4">
      <w:pPr>
        <w:pStyle w:val="TOCheadingreport"/>
      </w:pPr>
      <w:r w:rsidRPr="00B57329">
        <w:lastRenderedPageBreak/>
        <w:t>Contents</w:t>
      </w:r>
    </w:p>
    <w:p w14:paraId="24AA57DA" w14:textId="6D0F8909" w:rsidR="00A8058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5101263" w:history="1">
        <w:r w:rsidR="00A80583" w:rsidRPr="00B478CA">
          <w:rPr>
            <w:rStyle w:val="Hyperlink"/>
          </w:rPr>
          <w:t>Purpose</w:t>
        </w:r>
        <w:r w:rsidR="00A80583">
          <w:rPr>
            <w:webHidden/>
          </w:rPr>
          <w:tab/>
        </w:r>
        <w:r w:rsidR="00A80583">
          <w:rPr>
            <w:webHidden/>
          </w:rPr>
          <w:fldChar w:fldCharType="begin"/>
        </w:r>
        <w:r w:rsidR="00A80583">
          <w:rPr>
            <w:webHidden/>
          </w:rPr>
          <w:instrText xml:space="preserve"> PAGEREF _Toc115101263 \h </w:instrText>
        </w:r>
        <w:r w:rsidR="00A80583">
          <w:rPr>
            <w:webHidden/>
          </w:rPr>
        </w:r>
        <w:r w:rsidR="00A80583">
          <w:rPr>
            <w:webHidden/>
          </w:rPr>
          <w:fldChar w:fldCharType="separate"/>
        </w:r>
        <w:r w:rsidR="00A80583">
          <w:rPr>
            <w:webHidden/>
          </w:rPr>
          <w:t>4</w:t>
        </w:r>
        <w:r w:rsidR="00A80583">
          <w:rPr>
            <w:webHidden/>
          </w:rPr>
          <w:fldChar w:fldCharType="end"/>
        </w:r>
      </w:hyperlink>
    </w:p>
    <w:p w14:paraId="35F90CDB" w14:textId="73E659D3" w:rsidR="00A80583" w:rsidRDefault="009E7CC7">
      <w:pPr>
        <w:pStyle w:val="TOC2"/>
        <w:rPr>
          <w:rFonts w:asciiTheme="minorHAnsi" w:eastAsiaTheme="minorEastAsia" w:hAnsiTheme="minorHAnsi" w:cstheme="minorBidi"/>
          <w:sz w:val="22"/>
          <w:szCs w:val="22"/>
          <w:lang w:eastAsia="en-AU"/>
        </w:rPr>
      </w:pPr>
      <w:hyperlink w:anchor="_Toc115101264" w:history="1">
        <w:r w:rsidR="00A80583" w:rsidRPr="00B478CA">
          <w:rPr>
            <w:rStyle w:val="Hyperlink"/>
          </w:rPr>
          <w:t>Glossary</w:t>
        </w:r>
        <w:r w:rsidR="00A80583">
          <w:rPr>
            <w:webHidden/>
          </w:rPr>
          <w:tab/>
        </w:r>
        <w:r w:rsidR="00A80583">
          <w:rPr>
            <w:webHidden/>
          </w:rPr>
          <w:fldChar w:fldCharType="begin"/>
        </w:r>
        <w:r w:rsidR="00A80583">
          <w:rPr>
            <w:webHidden/>
          </w:rPr>
          <w:instrText xml:space="preserve"> PAGEREF _Toc115101264 \h </w:instrText>
        </w:r>
        <w:r w:rsidR="00A80583">
          <w:rPr>
            <w:webHidden/>
          </w:rPr>
        </w:r>
        <w:r w:rsidR="00A80583">
          <w:rPr>
            <w:webHidden/>
          </w:rPr>
          <w:fldChar w:fldCharType="separate"/>
        </w:r>
        <w:r w:rsidR="00A80583">
          <w:rPr>
            <w:webHidden/>
          </w:rPr>
          <w:t>4</w:t>
        </w:r>
        <w:r w:rsidR="00A80583">
          <w:rPr>
            <w:webHidden/>
          </w:rPr>
          <w:fldChar w:fldCharType="end"/>
        </w:r>
      </w:hyperlink>
    </w:p>
    <w:p w14:paraId="2E6EEC0D" w14:textId="7B8E5E8B" w:rsidR="00A80583" w:rsidRDefault="009E7CC7">
      <w:pPr>
        <w:pStyle w:val="TOC1"/>
        <w:rPr>
          <w:rFonts w:asciiTheme="minorHAnsi" w:eastAsiaTheme="minorEastAsia" w:hAnsiTheme="minorHAnsi" w:cstheme="minorBidi"/>
          <w:b w:val="0"/>
          <w:sz w:val="22"/>
          <w:szCs w:val="22"/>
          <w:lang w:eastAsia="en-AU"/>
        </w:rPr>
      </w:pPr>
      <w:hyperlink w:anchor="_Toc115101265" w:history="1">
        <w:r w:rsidR="00A80583" w:rsidRPr="00B478CA">
          <w:rPr>
            <w:rStyle w:val="Hyperlink"/>
          </w:rPr>
          <w:t>Context</w:t>
        </w:r>
        <w:r w:rsidR="00A80583">
          <w:rPr>
            <w:webHidden/>
          </w:rPr>
          <w:tab/>
        </w:r>
        <w:r w:rsidR="00A80583">
          <w:rPr>
            <w:webHidden/>
          </w:rPr>
          <w:fldChar w:fldCharType="begin"/>
        </w:r>
        <w:r w:rsidR="00A80583">
          <w:rPr>
            <w:webHidden/>
          </w:rPr>
          <w:instrText xml:space="preserve"> PAGEREF _Toc115101265 \h </w:instrText>
        </w:r>
        <w:r w:rsidR="00A80583">
          <w:rPr>
            <w:webHidden/>
          </w:rPr>
        </w:r>
        <w:r w:rsidR="00A80583">
          <w:rPr>
            <w:webHidden/>
          </w:rPr>
          <w:fldChar w:fldCharType="separate"/>
        </w:r>
        <w:r w:rsidR="00A80583">
          <w:rPr>
            <w:webHidden/>
          </w:rPr>
          <w:t>5</w:t>
        </w:r>
        <w:r w:rsidR="00A80583">
          <w:rPr>
            <w:webHidden/>
          </w:rPr>
          <w:fldChar w:fldCharType="end"/>
        </w:r>
      </w:hyperlink>
    </w:p>
    <w:p w14:paraId="706274EE" w14:textId="49001637" w:rsidR="00A80583" w:rsidRDefault="009E7CC7">
      <w:pPr>
        <w:pStyle w:val="TOC2"/>
        <w:rPr>
          <w:rFonts w:asciiTheme="minorHAnsi" w:eastAsiaTheme="minorEastAsia" w:hAnsiTheme="minorHAnsi" w:cstheme="minorBidi"/>
          <w:sz w:val="22"/>
          <w:szCs w:val="22"/>
          <w:lang w:eastAsia="en-AU"/>
        </w:rPr>
      </w:pPr>
      <w:hyperlink w:anchor="_Toc115101266" w:history="1">
        <w:r w:rsidR="00A80583" w:rsidRPr="00B478CA">
          <w:rPr>
            <w:rStyle w:val="Hyperlink"/>
          </w:rPr>
          <w:t>Authorising environment</w:t>
        </w:r>
        <w:r w:rsidR="00A80583">
          <w:rPr>
            <w:webHidden/>
          </w:rPr>
          <w:tab/>
        </w:r>
        <w:r w:rsidR="00A80583">
          <w:rPr>
            <w:webHidden/>
          </w:rPr>
          <w:fldChar w:fldCharType="begin"/>
        </w:r>
        <w:r w:rsidR="00A80583">
          <w:rPr>
            <w:webHidden/>
          </w:rPr>
          <w:instrText xml:space="preserve"> PAGEREF _Toc115101266 \h </w:instrText>
        </w:r>
        <w:r w:rsidR="00A80583">
          <w:rPr>
            <w:webHidden/>
          </w:rPr>
        </w:r>
        <w:r w:rsidR="00A80583">
          <w:rPr>
            <w:webHidden/>
          </w:rPr>
          <w:fldChar w:fldCharType="separate"/>
        </w:r>
        <w:r w:rsidR="00A80583">
          <w:rPr>
            <w:webHidden/>
          </w:rPr>
          <w:t>5</w:t>
        </w:r>
        <w:r w:rsidR="00A80583">
          <w:rPr>
            <w:webHidden/>
          </w:rPr>
          <w:fldChar w:fldCharType="end"/>
        </w:r>
      </w:hyperlink>
    </w:p>
    <w:p w14:paraId="0C2CAFDF" w14:textId="6B81D2BA" w:rsidR="00A80583" w:rsidRDefault="009E7CC7">
      <w:pPr>
        <w:pStyle w:val="TOC2"/>
        <w:rPr>
          <w:rFonts w:asciiTheme="minorHAnsi" w:eastAsiaTheme="minorEastAsia" w:hAnsiTheme="minorHAnsi" w:cstheme="minorBidi"/>
          <w:sz w:val="22"/>
          <w:szCs w:val="22"/>
          <w:lang w:eastAsia="en-AU"/>
        </w:rPr>
      </w:pPr>
      <w:hyperlink w:anchor="_Toc115101267" w:history="1">
        <w:r w:rsidR="00A80583" w:rsidRPr="00B478CA">
          <w:rPr>
            <w:rStyle w:val="Hyperlink"/>
          </w:rPr>
          <w:t>Regulated organisations</w:t>
        </w:r>
        <w:r w:rsidR="00A80583">
          <w:rPr>
            <w:webHidden/>
          </w:rPr>
          <w:tab/>
        </w:r>
        <w:r w:rsidR="00A80583">
          <w:rPr>
            <w:webHidden/>
          </w:rPr>
          <w:fldChar w:fldCharType="begin"/>
        </w:r>
        <w:r w:rsidR="00A80583">
          <w:rPr>
            <w:webHidden/>
          </w:rPr>
          <w:instrText xml:space="preserve"> PAGEREF _Toc115101267 \h </w:instrText>
        </w:r>
        <w:r w:rsidR="00A80583">
          <w:rPr>
            <w:webHidden/>
          </w:rPr>
        </w:r>
        <w:r w:rsidR="00A80583">
          <w:rPr>
            <w:webHidden/>
          </w:rPr>
          <w:fldChar w:fldCharType="separate"/>
        </w:r>
        <w:r w:rsidR="00A80583">
          <w:rPr>
            <w:webHidden/>
          </w:rPr>
          <w:t>5</w:t>
        </w:r>
        <w:r w:rsidR="00A80583">
          <w:rPr>
            <w:webHidden/>
          </w:rPr>
          <w:fldChar w:fldCharType="end"/>
        </w:r>
      </w:hyperlink>
    </w:p>
    <w:p w14:paraId="2963B696" w14:textId="43DAEA35" w:rsidR="00A80583" w:rsidRDefault="009E7CC7">
      <w:pPr>
        <w:pStyle w:val="TOC2"/>
        <w:rPr>
          <w:rFonts w:asciiTheme="minorHAnsi" w:eastAsiaTheme="minorEastAsia" w:hAnsiTheme="minorHAnsi" w:cstheme="minorBidi"/>
          <w:sz w:val="22"/>
          <w:szCs w:val="22"/>
          <w:lang w:eastAsia="en-AU"/>
        </w:rPr>
      </w:pPr>
      <w:hyperlink w:anchor="_Toc115101268" w:history="1">
        <w:r w:rsidR="00A80583" w:rsidRPr="00B478CA">
          <w:rPr>
            <w:rStyle w:val="Hyperlink"/>
          </w:rPr>
          <w:t>Co-regulation</w:t>
        </w:r>
        <w:r w:rsidR="00A80583">
          <w:rPr>
            <w:webHidden/>
          </w:rPr>
          <w:tab/>
        </w:r>
        <w:r w:rsidR="00A80583">
          <w:rPr>
            <w:webHidden/>
          </w:rPr>
          <w:fldChar w:fldCharType="begin"/>
        </w:r>
        <w:r w:rsidR="00A80583">
          <w:rPr>
            <w:webHidden/>
          </w:rPr>
          <w:instrText xml:space="preserve"> PAGEREF _Toc115101268 \h </w:instrText>
        </w:r>
        <w:r w:rsidR="00A80583">
          <w:rPr>
            <w:webHidden/>
          </w:rPr>
        </w:r>
        <w:r w:rsidR="00A80583">
          <w:rPr>
            <w:webHidden/>
          </w:rPr>
          <w:fldChar w:fldCharType="separate"/>
        </w:r>
        <w:r w:rsidR="00A80583">
          <w:rPr>
            <w:webHidden/>
          </w:rPr>
          <w:t>6</w:t>
        </w:r>
        <w:r w:rsidR="00A80583">
          <w:rPr>
            <w:webHidden/>
          </w:rPr>
          <w:fldChar w:fldCharType="end"/>
        </w:r>
      </w:hyperlink>
    </w:p>
    <w:p w14:paraId="71605149" w14:textId="5342867E" w:rsidR="00A80583" w:rsidRDefault="009E7CC7">
      <w:pPr>
        <w:pStyle w:val="TOC2"/>
        <w:rPr>
          <w:rFonts w:asciiTheme="minorHAnsi" w:eastAsiaTheme="minorEastAsia" w:hAnsiTheme="minorHAnsi" w:cstheme="minorBidi"/>
          <w:sz w:val="22"/>
          <w:szCs w:val="22"/>
          <w:lang w:eastAsia="en-AU"/>
        </w:rPr>
      </w:pPr>
      <w:hyperlink w:anchor="_Toc115101269" w:history="1">
        <w:r w:rsidR="00A80583" w:rsidRPr="00B478CA">
          <w:rPr>
            <w:rStyle w:val="Hyperlink"/>
          </w:rPr>
          <w:t>Meeting the standards</w:t>
        </w:r>
        <w:r w:rsidR="00A80583">
          <w:rPr>
            <w:webHidden/>
          </w:rPr>
          <w:tab/>
        </w:r>
        <w:r w:rsidR="00A80583">
          <w:rPr>
            <w:webHidden/>
          </w:rPr>
          <w:fldChar w:fldCharType="begin"/>
        </w:r>
        <w:r w:rsidR="00A80583">
          <w:rPr>
            <w:webHidden/>
          </w:rPr>
          <w:instrText xml:space="preserve"> PAGEREF _Toc115101269 \h </w:instrText>
        </w:r>
        <w:r w:rsidR="00A80583">
          <w:rPr>
            <w:webHidden/>
          </w:rPr>
        </w:r>
        <w:r w:rsidR="00A80583">
          <w:rPr>
            <w:webHidden/>
          </w:rPr>
          <w:fldChar w:fldCharType="separate"/>
        </w:r>
        <w:r w:rsidR="00A80583">
          <w:rPr>
            <w:webHidden/>
          </w:rPr>
          <w:t>7</w:t>
        </w:r>
        <w:r w:rsidR="00A80583">
          <w:rPr>
            <w:webHidden/>
          </w:rPr>
          <w:fldChar w:fldCharType="end"/>
        </w:r>
      </w:hyperlink>
    </w:p>
    <w:p w14:paraId="171B5196" w14:textId="7FC51019" w:rsidR="00A80583" w:rsidRDefault="009E7CC7">
      <w:pPr>
        <w:pStyle w:val="TOC1"/>
        <w:rPr>
          <w:rFonts w:asciiTheme="minorHAnsi" w:eastAsiaTheme="minorEastAsia" w:hAnsiTheme="minorHAnsi" w:cstheme="minorBidi"/>
          <w:b w:val="0"/>
          <w:sz w:val="22"/>
          <w:szCs w:val="22"/>
          <w:lang w:eastAsia="en-AU"/>
        </w:rPr>
      </w:pPr>
      <w:hyperlink w:anchor="_Toc115101270" w:history="1">
        <w:r w:rsidR="00A80583" w:rsidRPr="00B478CA">
          <w:rPr>
            <w:rStyle w:val="Hyperlink"/>
          </w:rPr>
          <w:t>Our approach</w:t>
        </w:r>
        <w:r w:rsidR="00A80583">
          <w:rPr>
            <w:webHidden/>
          </w:rPr>
          <w:tab/>
        </w:r>
        <w:r w:rsidR="00A80583">
          <w:rPr>
            <w:webHidden/>
          </w:rPr>
          <w:fldChar w:fldCharType="begin"/>
        </w:r>
        <w:r w:rsidR="00A80583">
          <w:rPr>
            <w:webHidden/>
          </w:rPr>
          <w:instrText xml:space="preserve"> PAGEREF _Toc115101270 \h </w:instrText>
        </w:r>
        <w:r w:rsidR="00A80583">
          <w:rPr>
            <w:webHidden/>
          </w:rPr>
        </w:r>
        <w:r w:rsidR="00A80583">
          <w:rPr>
            <w:webHidden/>
          </w:rPr>
          <w:fldChar w:fldCharType="separate"/>
        </w:r>
        <w:r w:rsidR="00A80583">
          <w:rPr>
            <w:webHidden/>
          </w:rPr>
          <w:t>9</w:t>
        </w:r>
        <w:r w:rsidR="00A80583">
          <w:rPr>
            <w:webHidden/>
          </w:rPr>
          <w:fldChar w:fldCharType="end"/>
        </w:r>
      </w:hyperlink>
    </w:p>
    <w:p w14:paraId="0E15A8E8" w14:textId="19A04E7E" w:rsidR="00A80583" w:rsidRDefault="009E7CC7">
      <w:pPr>
        <w:pStyle w:val="TOC2"/>
        <w:rPr>
          <w:rFonts w:asciiTheme="minorHAnsi" w:eastAsiaTheme="minorEastAsia" w:hAnsiTheme="minorHAnsi" w:cstheme="minorBidi"/>
          <w:sz w:val="22"/>
          <w:szCs w:val="22"/>
          <w:lang w:eastAsia="en-AU"/>
        </w:rPr>
      </w:pPr>
      <w:hyperlink w:anchor="_Toc115101271" w:history="1">
        <w:r w:rsidR="00A80583" w:rsidRPr="00B478CA">
          <w:rPr>
            <w:rStyle w:val="Hyperlink"/>
          </w:rPr>
          <w:t>Outcomes focused</w:t>
        </w:r>
        <w:r w:rsidR="00A80583">
          <w:rPr>
            <w:webHidden/>
          </w:rPr>
          <w:tab/>
        </w:r>
        <w:r w:rsidR="00A80583">
          <w:rPr>
            <w:webHidden/>
          </w:rPr>
          <w:fldChar w:fldCharType="begin"/>
        </w:r>
        <w:r w:rsidR="00A80583">
          <w:rPr>
            <w:webHidden/>
          </w:rPr>
          <w:instrText xml:space="preserve"> PAGEREF _Toc115101271 \h </w:instrText>
        </w:r>
        <w:r w:rsidR="00A80583">
          <w:rPr>
            <w:webHidden/>
          </w:rPr>
        </w:r>
        <w:r w:rsidR="00A80583">
          <w:rPr>
            <w:webHidden/>
          </w:rPr>
          <w:fldChar w:fldCharType="separate"/>
        </w:r>
        <w:r w:rsidR="00A80583">
          <w:rPr>
            <w:webHidden/>
          </w:rPr>
          <w:t>9</w:t>
        </w:r>
        <w:r w:rsidR="00A80583">
          <w:rPr>
            <w:webHidden/>
          </w:rPr>
          <w:fldChar w:fldCharType="end"/>
        </w:r>
      </w:hyperlink>
    </w:p>
    <w:p w14:paraId="6FFD95B5" w14:textId="5D60B8FD" w:rsidR="00A80583" w:rsidRDefault="009E7CC7">
      <w:pPr>
        <w:pStyle w:val="TOC2"/>
        <w:rPr>
          <w:rFonts w:asciiTheme="minorHAnsi" w:eastAsiaTheme="minorEastAsia" w:hAnsiTheme="minorHAnsi" w:cstheme="minorBidi"/>
          <w:sz w:val="22"/>
          <w:szCs w:val="22"/>
          <w:lang w:eastAsia="en-AU"/>
        </w:rPr>
      </w:pPr>
      <w:hyperlink w:anchor="_Toc115101272" w:history="1">
        <w:r w:rsidR="00A80583" w:rsidRPr="00B478CA">
          <w:rPr>
            <w:rStyle w:val="Hyperlink"/>
          </w:rPr>
          <w:t>Risk based</w:t>
        </w:r>
        <w:r w:rsidR="00A80583">
          <w:rPr>
            <w:webHidden/>
          </w:rPr>
          <w:tab/>
        </w:r>
        <w:r w:rsidR="00A80583">
          <w:rPr>
            <w:webHidden/>
          </w:rPr>
          <w:fldChar w:fldCharType="begin"/>
        </w:r>
        <w:r w:rsidR="00A80583">
          <w:rPr>
            <w:webHidden/>
          </w:rPr>
          <w:instrText xml:space="preserve"> PAGEREF _Toc115101272 \h </w:instrText>
        </w:r>
        <w:r w:rsidR="00A80583">
          <w:rPr>
            <w:webHidden/>
          </w:rPr>
        </w:r>
        <w:r w:rsidR="00A80583">
          <w:rPr>
            <w:webHidden/>
          </w:rPr>
          <w:fldChar w:fldCharType="separate"/>
        </w:r>
        <w:r w:rsidR="00A80583">
          <w:rPr>
            <w:webHidden/>
          </w:rPr>
          <w:t>9</w:t>
        </w:r>
        <w:r w:rsidR="00A80583">
          <w:rPr>
            <w:webHidden/>
          </w:rPr>
          <w:fldChar w:fldCharType="end"/>
        </w:r>
      </w:hyperlink>
    </w:p>
    <w:p w14:paraId="6E654141" w14:textId="2332B674" w:rsidR="00A80583" w:rsidRDefault="009E7CC7">
      <w:pPr>
        <w:pStyle w:val="TOC2"/>
        <w:rPr>
          <w:rFonts w:asciiTheme="minorHAnsi" w:eastAsiaTheme="minorEastAsia" w:hAnsiTheme="minorHAnsi" w:cstheme="minorBidi"/>
          <w:sz w:val="22"/>
          <w:szCs w:val="22"/>
          <w:lang w:eastAsia="en-AU"/>
        </w:rPr>
      </w:pPr>
      <w:hyperlink w:anchor="_Toc115101273" w:history="1">
        <w:r w:rsidR="00A80583" w:rsidRPr="00B478CA">
          <w:rPr>
            <w:rStyle w:val="Hyperlink"/>
          </w:rPr>
          <w:t>Proportionate</w:t>
        </w:r>
        <w:r w:rsidR="00A80583">
          <w:rPr>
            <w:webHidden/>
          </w:rPr>
          <w:tab/>
        </w:r>
        <w:r w:rsidR="00A80583">
          <w:rPr>
            <w:webHidden/>
          </w:rPr>
          <w:fldChar w:fldCharType="begin"/>
        </w:r>
        <w:r w:rsidR="00A80583">
          <w:rPr>
            <w:webHidden/>
          </w:rPr>
          <w:instrText xml:space="preserve"> PAGEREF _Toc115101273 \h </w:instrText>
        </w:r>
        <w:r w:rsidR="00A80583">
          <w:rPr>
            <w:webHidden/>
          </w:rPr>
        </w:r>
        <w:r w:rsidR="00A80583">
          <w:rPr>
            <w:webHidden/>
          </w:rPr>
          <w:fldChar w:fldCharType="separate"/>
        </w:r>
        <w:r w:rsidR="00A80583">
          <w:rPr>
            <w:webHidden/>
          </w:rPr>
          <w:t>12</w:t>
        </w:r>
        <w:r w:rsidR="00A80583">
          <w:rPr>
            <w:webHidden/>
          </w:rPr>
          <w:fldChar w:fldCharType="end"/>
        </w:r>
      </w:hyperlink>
    </w:p>
    <w:p w14:paraId="3D85483C" w14:textId="7696B5A5" w:rsidR="00A80583" w:rsidRDefault="009E7CC7">
      <w:pPr>
        <w:pStyle w:val="TOC1"/>
        <w:rPr>
          <w:rFonts w:asciiTheme="minorHAnsi" w:eastAsiaTheme="minorEastAsia" w:hAnsiTheme="minorHAnsi" w:cstheme="minorBidi"/>
          <w:b w:val="0"/>
          <w:sz w:val="22"/>
          <w:szCs w:val="22"/>
          <w:lang w:eastAsia="en-AU"/>
        </w:rPr>
      </w:pPr>
      <w:hyperlink w:anchor="_Toc115101274" w:history="1">
        <w:r w:rsidR="00A80583" w:rsidRPr="00B478CA">
          <w:rPr>
            <w:rStyle w:val="Hyperlink"/>
          </w:rPr>
          <w:t>Regulatory actions and tools</w:t>
        </w:r>
        <w:r w:rsidR="00A80583">
          <w:rPr>
            <w:webHidden/>
          </w:rPr>
          <w:tab/>
        </w:r>
        <w:r w:rsidR="00A80583">
          <w:rPr>
            <w:webHidden/>
          </w:rPr>
          <w:fldChar w:fldCharType="begin"/>
        </w:r>
        <w:r w:rsidR="00A80583">
          <w:rPr>
            <w:webHidden/>
          </w:rPr>
          <w:instrText xml:space="preserve"> PAGEREF _Toc115101274 \h </w:instrText>
        </w:r>
        <w:r w:rsidR="00A80583">
          <w:rPr>
            <w:webHidden/>
          </w:rPr>
        </w:r>
        <w:r w:rsidR="00A80583">
          <w:rPr>
            <w:webHidden/>
          </w:rPr>
          <w:fldChar w:fldCharType="separate"/>
        </w:r>
        <w:r w:rsidR="00A80583">
          <w:rPr>
            <w:webHidden/>
          </w:rPr>
          <w:t>13</w:t>
        </w:r>
        <w:r w:rsidR="00A80583">
          <w:rPr>
            <w:webHidden/>
          </w:rPr>
          <w:fldChar w:fldCharType="end"/>
        </w:r>
      </w:hyperlink>
    </w:p>
    <w:p w14:paraId="3D30F5BF" w14:textId="336A311E" w:rsidR="00A80583" w:rsidRDefault="009E7CC7">
      <w:pPr>
        <w:pStyle w:val="TOC2"/>
        <w:rPr>
          <w:rFonts w:asciiTheme="minorHAnsi" w:eastAsiaTheme="minorEastAsia" w:hAnsiTheme="minorHAnsi" w:cstheme="minorBidi"/>
          <w:sz w:val="22"/>
          <w:szCs w:val="22"/>
          <w:lang w:eastAsia="en-AU"/>
        </w:rPr>
      </w:pPr>
      <w:hyperlink w:anchor="_Toc115101275" w:history="1">
        <w:r w:rsidR="00A80583" w:rsidRPr="00B478CA">
          <w:rPr>
            <w:rStyle w:val="Hyperlink"/>
          </w:rPr>
          <w:t>Education and guidance</w:t>
        </w:r>
        <w:r w:rsidR="00A80583">
          <w:rPr>
            <w:webHidden/>
          </w:rPr>
          <w:tab/>
        </w:r>
        <w:r w:rsidR="00A80583">
          <w:rPr>
            <w:webHidden/>
          </w:rPr>
          <w:fldChar w:fldCharType="begin"/>
        </w:r>
        <w:r w:rsidR="00A80583">
          <w:rPr>
            <w:webHidden/>
          </w:rPr>
          <w:instrText xml:space="preserve"> PAGEREF _Toc115101275 \h </w:instrText>
        </w:r>
        <w:r w:rsidR="00A80583">
          <w:rPr>
            <w:webHidden/>
          </w:rPr>
        </w:r>
        <w:r w:rsidR="00A80583">
          <w:rPr>
            <w:webHidden/>
          </w:rPr>
          <w:fldChar w:fldCharType="separate"/>
        </w:r>
        <w:r w:rsidR="00A80583">
          <w:rPr>
            <w:webHidden/>
          </w:rPr>
          <w:t>14</w:t>
        </w:r>
        <w:r w:rsidR="00A80583">
          <w:rPr>
            <w:webHidden/>
          </w:rPr>
          <w:fldChar w:fldCharType="end"/>
        </w:r>
      </w:hyperlink>
    </w:p>
    <w:p w14:paraId="1A5072F6" w14:textId="702FDAFC" w:rsidR="00A80583" w:rsidRDefault="009E7CC7">
      <w:pPr>
        <w:pStyle w:val="TOC2"/>
        <w:rPr>
          <w:rFonts w:asciiTheme="minorHAnsi" w:eastAsiaTheme="minorEastAsia" w:hAnsiTheme="minorHAnsi" w:cstheme="minorBidi"/>
          <w:sz w:val="22"/>
          <w:szCs w:val="22"/>
          <w:lang w:eastAsia="en-AU"/>
        </w:rPr>
      </w:pPr>
      <w:hyperlink w:anchor="_Toc115101276" w:history="1">
        <w:r w:rsidR="00A80583" w:rsidRPr="00B478CA">
          <w:rPr>
            <w:rStyle w:val="Hyperlink"/>
          </w:rPr>
          <w:t>Assisted compliance</w:t>
        </w:r>
        <w:r w:rsidR="00A80583">
          <w:rPr>
            <w:webHidden/>
          </w:rPr>
          <w:tab/>
        </w:r>
        <w:r w:rsidR="00A80583">
          <w:rPr>
            <w:webHidden/>
          </w:rPr>
          <w:fldChar w:fldCharType="begin"/>
        </w:r>
        <w:r w:rsidR="00A80583">
          <w:rPr>
            <w:webHidden/>
          </w:rPr>
          <w:instrText xml:space="preserve"> PAGEREF _Toc115101276 \h </w:instrText>
        </w:r>
        <w:r w:rsidR="00A80583">
          <w:rPr>
            <w:webHidden/>
          </w:rPr>
        </w:r>
        <w:r w:rsidR="00A80583">
          <w:rPr>
            <w:webHidden/>
          </w:rPr>
          <w:fldChar w:fldCharType="separate"/>
        </w:r>
        <w:r w:rsidR="00A80583">
          <w:rPr>
            <w:webHidden/>
          </w:rPr>
          <w:t>15</w:t>
        </w:r>
        <w:r w:rsidR="00A80583">
          <w:rPr>
            <w:webHidden/>
          </w:rPr>
          <w:fldChar w:fldCharType="end"/>
        </w:r>
      </w:hyperlink>
    </w:p>
    <w:p w14:paraId="1B57014A" w14:textId="339ED9EB" w:rsidR="00A80583" w:rsidRDefault="009E7CC7">
      <w:pPr>
        <w:pStyle w:val="TOC2"/>
        <w:rPr>
          <w:rFonts w:asciiTheme="minorHAnsi" w:eastAsiaTheme="minorEastAsia" w:hAnsiTheme="minorHAnsi" w:cstheme="minorBidi"/>
          <w:sz w:val="22"/>
          <w:szCs w:val="22"/>
          <w:lang w:eastAsia="en-AU"/>
        </w:rPr>
      </w:pPr>
      <w:hyperlink w:anchor="_Toc115101277" w:history="1">
        <w:r w:rsidR="00A80583" w:rsidRPr="00B478CA">
          <w:rPr>
            <w:rStyle w:val="Hyperlink"/>
          </w:rPr>
          <w:t>Proactive compliance</w:t>
        </w:r>
        <w:r w:rsidR="00A80583">
          <w:rPr>
            <w:webHidden/>
          </w:rPr>
          <w:tab/>
        </w:r>
        <w:r w:rsidR="00A80583">
          <w:rPr>
            <w:webHidden/>
          </w:rPr>
          <w:fldChar w:fldCharType="begin"/>
        </w:r>
        <w:r w:rsidR="00A80583">
          <w:rPr>
            <w:webHidden/>
          </w:rPr>
          <w:instrText xml:space="preserve"> PAGEREF _Toc115101277 \h </w:instrText>
        </w:r>
        <w:r w:rsidR="00A80583">
          <w:rPr>
            <w:webHidden/>
          </w:rPr>
        </w:r>
        <w:r w:rsidR="00A80583">
          <w:rPr>
            <w:webHidden/>
          </w:rPr>
          <w:fldChar w:fldCharType="separate"/>
        </w:r>
        <w:r w:rsidR="00A80583">
          <w:rPr>
            <w:webHidden/>
          </w:rPr>
          <w:t>15</w:t>
        </w:r>
        <w:r w:rsidR="00A80583">
          <w:rPr>
            <w:webHidden/>
          </w:rPr>
          <w:fldChar w:fldCharType="end"/>
        </w:r>
      </w:hyperlink>
    </w:p>
    <w:p w14:paraId="73D93704" w14:textId="442C47C4" w:rsidR="00A80583" w:rsidRDefault="009E7CC7">
      <w:pPr>
        <w:pStyle w:val="TOC2"/>
        <w:rPr>
          <w:rFonts w:asciiTheme="minorHAnsi" w:eastAsiaTheme="minorEastAsia" w:hAnsiTheme="minorHAnsi" w:cstheme="minorBidi"/>
          <w:sz w:val="22"/>
          <w:szCs w:val="22"/>
          <w:lang w:eastAsia="en-AU"/>
        </w:rPr>
      </w:pPr>
      <w:hyperlink w:anchor="_Toc115101278" w:history="1">
        <w:r w:rsidR="00A80583" w:rsidRPr="00B478CA">
          <w:rPr>
            <w:rStyle w:val="Hyperlink"/>
          </w:rPr>
          <w:t>Graduated sanctions</w:t>
        </w:r>
        <w:r w:rsidR="00A80583">
          <w:rPr>
            <w:webHidden/>
          </w:rPr>
          <w:tab/>
        </w:r>
        <w:r w:rsidR="00A80583">
          <w:rPr>
            <w:webHidden/>
          </w:rPr>
          <w:fldChar w:fldCharType="begin"/>
        </w:r>
        <w:r w:rsidR="00A80583">
          <w:rPr>
            <w:webHidden/>
          </w:rPr>
          <w:instrText xml:space="preserve"> PAGEREF _Toc115101278 \h </w:instrText>
        </w:r>
        <w:r w:rsidR="00A80583">
          <w:rPr>
            <w:webHidden/>
          </w:rPr>
        </w:r>
        <w:r w:rsidR="00A80583">
          <w:rPr>
            <w:webHidden/>
          </w:rPr>
          <w:fldChar w:fldCharType="separate"/>
        </w:r>
        <w:r w:rsidR="00A80583">
          <w:rPr>
            <w:webHidden/>
          </w:rPr>
          <w:t>16</w:t>
        </w:r>
        <w:r w:rsidR="00A80583">
          <w:rPr>
            <w:webHidden/>
          </w:rPr>
          <w:fldChar w:fldCharType="end"/>
        </w:r>
      </w:hyperlink>
    </w:p>
    <w:p w14:paraId="6F208B10" w14:textId="04EFB73C" w:rsidR="00A80583" w:rsidRDefault="009E7CC7">
      <w:pPr>
        <w:pStyle w:val="TOC2"/>
        <w:rPr>
          <w:rFonts w:asciiTheme="minorHAnsi" w:eastAsiaTheme="minorEastAsia" w:hAnsiTheme="minorHAnsi" w:cstheme="minorBidi"/>
          <w:sz w:val="22"/>
          <w:szCs w:val="22"/>
          <w:lang w:eastAsia="en-AU"/>
        </w:rPr>
      </w:pPr>
      <w:hyperlink w:anchor="_Toc115101279" w:history="1">
        <w:r w:rsidR="00A80583" w:rsidRPr="00B478CA">
          <w:rPr>
            <w:rStyle w:val="Hyperlink"/>
          </w:rPr>
          <w:t>Full force of the law</w:t>
        </w:r>
        <w:r w:rsidR="00A80583">
          <w:rPr>
            <w:webHidden/>
          </w:rPr>
          <w:tab/>
        </w:r>
        <w:r w:rsidR="00A80583">
          <w:rPr>
            <w:webHidden/>
          </w:rPr>
          <w:fldChar w:fldCharType="begin"/>
        </w:r>
        <w:r w:rsidR="00A80583">
          <w:rPr>
            <w:webHidden/>
          </w:rPr>
          <w:instrText xml:space="preserve"> PAGEREF _Toc115101279 \h </w:instrText>
        </w:r>
        <w:r w:rsidR="00A80583">
          <w:rPr>
            <w:webHidden/>
          </w:rPr>
        </w:r>
        <w:r w:rsidR="00A80583">
          <w:rPr>
            <w:webHidden/>
          </w:rPr>
          <w:fldChar w:fldCharType="separate"/>
        </w:r>
        <w:r w:rsidR="00A80583">
          <w:rPr>
            <w:webHidden/>
          </w:rPr>
          <w:t>17</w:t>
        </w:r>
        <w:r w:rsidR="00A80583">
          <w:rPr>
            <w:webHidden/>
          </w:rPr>
          <w:fldChar w:fldCharType="end"/>
        </w:r>
      </w:hyperlink>
    </w:p>
    <w:p w14:paraId="4E83D355" w14:textId="183BD1E8" w:rsidR="00A80583" w:rsidRDefault="009E7CC7">
      <w:pPr>
        <w:pStyle w:val="TOC1"/>
        <w:rPr>
          <w:rFonts w:asciiTheme="minorHAnsi" w:eastAsiaTheme="minorEastAsia" w:hAnsiTheme="minorHAnsi" w:cstheme="minorBidi"/>
          <w:b w:val="0"/>
          <w:sz w:val="22"/>
          <w:szCs w:val="22"/>
          <w:lang w:eastAsia="en-AU"/>
        </w:rPr>
      </w:pPr>
      <w:hyperlink w:anchor="_Toc115101280" w:history="1">
        <w:r w:rsidR="00A80583" w:rsidRPr="00B478CA">
          <w:rPr>
            <w:rStyle w:val="Hyperlink"/>
          </w:rPr>
          <w:t>Reviews</w:t>
        </w:r>
        <w:r w:rsidR="00A80583">
          <w:rPr>
            <w:webHidden/>
          </w:rPr>
          <w:tab/>
        </w:r>
        <w:r w:rsidR="00A80583">
          <w:rPr>
            <w:webHidden/>
          </w:rPr>
          <w:fldChar w:fldCharType="begin"/>
        </w:r>
        <w:r w:rsidR="00A80583">
          <w:rPr>
            <w:webHidden/>
          </w:rPr>
          <w:instrText xml:space="preserve"> PAGEREF _Toc115101280 \h </w:instrText>
        </w:r>
        <w:r w:rsidR="00A80583">
          <w:rPr>
            <w:webHidden/>
          </w:rPr>
        </w:r>
        <w:r w:rsidR="00A80583">
          <w:rPr>
            <w:webHidden/>
          </w:rPr>
          <w:fldChar w:fldCharType="separate"/>
        </w:r>
        <w:r w:rsidR="00A80583">
          <w:rPr>
            <w:webHidden/>
          </w:rPr>
          <w:t>18</w:t>
        </w:r>
        <w:r w:rsidR="00A80583">
          <w:rPr>
            <w:webHidden/>
          </w:rPr>
          <w:fldChar w:fldCharType="end"/>
        </w:r>
      </w:hyperlink>
    </w:p>
    <w:p w14:paraId="324F3AB9" w14:textId="75E7E998" w:rsidR="00A80583" w:rsidRDefault="009E7CC7">
      <w:pPr>
        <w:pStyle w:val="TOC1"/>
        <w:rPr>
          <w:rFonts w:asciiTheme="minorHAnsi" w:eastAsiaTheme="minorEastAsia" w:hAnsiTheme="minorHAnsi" w:cstheme="minorBidi"/>
          <w:b w:val="0"/>
          <w:sz w:val="22"/>
          <w:szCs w:val="22"/>
          <w:lang w:eastAsia="en-AU"/>
        </w:rPr>
      </w:pPr>
      <w:hyperlink w:anchor="_Toc115101281" w:history="1">
        <w:r w:rsidR="00A80583" w:rsidRPr="00B478CA">
          <w:rPr>
            <w:rStyle w:val="Hyperlink"/>
          </w:rPr>
          <w:t>Appendix A: Child Safe Standards</w:t>
        </w:r>
        <w:r w:rsidR="00A80583">
          <w:rPr>
            <w:webHidden/>
          </w:rPr>
          <w:tab/>
        </w:r>
        <w:r w:rsidR="00A80583">
          <w:rPr>
            <w:webHidden/>
          </w:rPr>
          <w:fldChar w:fldCharType="begin"/>
        </w:r>
        <w:r w:rsidR="00A80583">
          <w:rPr>
            <w:webHidden/>
          </w:rPr>
          <w:instrText xml:space="preserve"> PAGEREF _Toc115101281 \h </w:instrText>
        </w:r>
        <w:r w:rsidR="00A80583">
          <w:rPr>
            <w:webHidden/>
          </w:rPr>
        </w:r>
        <w:r w:rsidR="00A80583">
          <w:rPr>
            <w:webHidden/>
          </w:rPr>
          <w:fldChar w:fldCharType="separate"/>
        </w:r>
        <w:r w:rsidR="00A80583">
          <w:rPr>
            <w:webHidden/>
          </w:rPr>
          <w:t>19</w:t>
        </w:r>
        <w:r w:rsidR="00A80583">
          <w:rPr>
            <w:webHidden/>
          </w:rPr>
          <w:fldChar w:fldCharType="end"/>
        </w:r>
      </w:hyperlink>
    </w:p>
    <w:p w14:paraId="743F51B1" w14:textId="248C92B1" w:rsidR="00FB1F6E" w:rsidRDefault="00AD784C" w:rsidP="00D079AA">
      <w:pPr>
        <w:pStyle w:val="Body"/>
      </w:pPr>
      <w:r>
        <w:fldChar w:fldCharType="end"/>
      </w:r>
    </w:p>
    <w:p w14:paraId="3C2DFB5F" w14:textId="77777777" w:rsidR="00FB1F6E" w:rsidRDefault="00FB1F6E">
      <w:pPr>
        <w:spacing w:after="0" w:line="240" w:lineRule="auto"/>
        <w:rPr>
          <w:rFonts w:eastAsia="Times"/>
        </w:rPr>
      </w:pPr>
      <w:r>
        <w:br w:type="page"/>
      </w:r>
    </w:p>
    <w:p w14:paraId="01C67233" w14:textId="77777777" w:rsidR="006569E0" w:rsidRDefault="006569E0" w:rsidP="006569E0">
      <w:pPr>
        <w:pStyle w:val="Heading1"/>
      </w:pPr>
      <w:bookmarkStart w:id="1" w:name="_Toc108006510"/>
      <w:bookmarkStart w:id="2" w:name="_Toc115101263"/>
      <w:r>
        <w:lastRenderedPageBreak/>
        <w:t>Purpose</w:t>
      </w:r>
      <w:bookmarkEnd w:id="1"/>
      <w:bookmarkEnd w:id="2"/>
    </w:p>
    <w:p w14:paraId="3517B378" w14:textId="1281BFDD" w:rsidR="006569E0" w:rsidRDefault="00EB54F2" w:rsidP="000B1B80">
      <w:pPr>
        <w:pStyle w:val="Body"/>
      </w:pPr>
      <w:r>
        <w:t>T</w:t>
      </w:r>
      <w:r w:rsidR="006569E0">
        <w:t xml:space="preserve">his policy </w:t>
      </w:r>
      <w:r>
        <w:t xml:space="preserve">describes </w:t>
      </w:r>
      <w:r w:rsidR="006569E0">
        <w:t>the Child Safe Standards Regulator (Health)</w:t>
      </w:r>
      <w:r w:rsidR="00266A74">
        <w:t>’s</w:t>
      </w:r>
      <w:r w:rsidR="006569E0">
        <w:t xml:space="preserve"> compliance and enforcement approach</w:t>
      </w:r>
      <w:r w:rsidR="00596B80">
        <w:t xml:space="preserve"> as the regulator of the Child Safe Standards</w:t>
      </w:r>
      <w:r w:rsidR="006569E0">
        <w:rPr>
          <w:rStyle w:val="FootnoteReference"/>
        </w:rPr>
        <w:footnoteReference w:id="2"/>
      </w:r>
      <w:r w:rsidR="00AC6A91">
        <w:t xml:space="preserve"> in the health sector.</w:t>
      </w:r>
    </w:p>
    <w:tbl>
      <w:tblPr>
        <w:tblStyle w:val="HSRtable"/>
        <w:tblpPr w:leftFromText="180" w:rightFromText="180" w:vertAnchor="text" w:horzAnchor="margin" w:tblpY="336"/>
        <w:tblW w:w="9396" w:type="dxa"/>
        <w:tblLook w:val="06A0" w:firstRow="1" w:lastRow="0" w:firstColumn="1" w:lastColumn="0" w:noHBand="1" w:noVBand="1"/>
      </w:tblPr>
      <w:tblGrid>
        <w:gridCol w:w="9396"/>
      </w:tblGrid>
      <w:tr w:rsidR="00E958BB" w14:paraId="323660F3" w14:textId="77777777" w:rsidTr="00E958BB">
        <w:trPr>
          <w:cnfStyle w:val="100000000000" w:firstRow="1" w:lastRow="0" w:firstColumn="0" w:lastColumn="0" w:oddVBand="0" w:evenVBand="0" w:oddHBand="0" w:evenHBand="0" w:firstRowFirstColumn="0" w:firstRowLastColumn="0" w:lastRowFirstColumn="0" w:lastRowLastColumn="0"/>
          <w:trHeight w:val="102"/>
          <w:tblHeader/>
        </w:trPr>
        <w:tc>
          <w:tcPr>
            <w:cnfStyle w:val="001000000000" w:firstRow="0" w:lastRow="0" w:firstColumn="1" w:lastColumn="0" w:oddVBand="0" w:evenVBand="0" w:oddHBand="0" w:evenHBand="0" w:firstRowFirstColumn="0" w:firstRowLastColumn="0" w:lastRowFirstColumn="0" w:lastRowLastColumn="0"/>
            <w:tcW w:w="9396" w:type="dxa"/>
          </w:tcPr>
          <w:p w14:paraId="2E0C8AD2" w14:textId="251E82DB" w:rsidR="00E958BB" w:rsidRPr="00765082" w:rsidRDefault="00E958BB" w:rsidP="000B1B80">
            <w:pPr>
              <w:pStyle w:val="Tablecolhead"/>
            </w:pPr>
            <w:r w:rsidRPr="00765082">
              <w:t>Compliance and enforcement</w:t>
            </w:r>
          </w:p>
        </w:tc>
      </w:tr>
      <w:tr w:rsidR="00E958BB" w14:paraId="52DA1469" w14:textId="77777777" w:rsidTr="00D40CDE">
        <w:trPr>
          <w:trHeight w:val="1755"/>
        </w:trPr>
        <w:tc>
          <w:tcPr>
            <w:cnfStyle w:val="001000000000" w:firstRow="0" w:lastRow="0" w:firstColumn="1" w:lastColumn="0" w:oddVBand="0" w:evenVBand="0" w:oddHBand="0" w:evenHBand="0" w:firstRowFirstColumn="0" w:firstRowLastColumn="0" w:lastRowFirstColumn="0" w:lastRowLastColumn="0"/>
            <w:tcW w:w="9396" w:type="dxa"/>
            <w:shd w:val="clear" w:color="auto" w:fill="ECF1F8"/>
          </w:tcPr>
          <w:p w14:paraId="6B3208C4" w14:textId="77777777" w:rsidR="00E958BB" w:rsidRPr="00752ECF" w:rsidRDefault="00E958BB" w:rsidP="00C327A0">
            <w:pPr>
              <w:pStyle w:val="Tabletext"/>
              <w:spacing w:after="120"/>
            </w:pPr>
            <w:r w:rsidRPr="00494D87">
              <w:t xml:space="preserve">In this policy, </w:t>
            </w:r>
            <w:r w:rsidRPr="00331487">
              <w:rPr>
                <w:b/>
                <w:bCs/>
              </w:rPr>
              <w:t>compliance</w:t>
            </w:r>
            <w:r w:rsidRPr="00494D87">
              <w:t xml:space="preserve"> </w:t>
            </w:r>
            <w:r>
              <w:t>means</w:t>
            </w:r>
            <w:r w:rsidRPr="00494D87">
              <w:t xml:space="preserve"> </w:t>
            </w:r>
            <w:r>
              <w:t xml:space="preserve">meeting </w:t>
            </w:r>
            <w:r w:rsidRPr="00494D87">
              <w:t xml:space="preserve">legal requirements and obligations under </w:t>
            </w:r>
            <w:r>
              <w:t xml:space="preserve">relevant </w:t>
            </w:r>
            <w:r w:rsidRPr="00494D87">
              <w:t xml:space="preserve">Acts, Regulations and Standards administered by the </w:t>
            </w:r>
            <w:r>
              <w:t xml:space="preserve">Regulator. </w:t>
            </w:r>
            <w:r w:rsidRPr="006C50B2">
              <w:t>Compliance is an ongoing process</w:t>
            </w:r>
            <w:r>
              <w:t>.</w:t>
            </w:r>
            <w:r w:rsidRPr="006C50B2">
              <w:t xml:space="preserve"> </w:t>
            </w:r>
            <w:r>
              <w:t>Organisations</w:t>
            </w:r>
            <w:r w:rsidRPr="006C50B2">
              <w:t xml:space="preserve"> regularly assess their risk of no</w:t>
            </w:r>
            <w:r>
              <w:t xml:space="preserve">t </w:t>
            </w:r>
            <w:r w:rsidRPr="006C50B2">
              <w:t>compl</w:t>
            </w:r>
            <w:r>
              <w:t>ying</w:t>
            </w:r>
            <w:r w:rsidR="00020DD5">
              <w:t xml:space="preserve"> and</w:t>
            </w:r>
            <w:r>
              <w:t xml:space="preserve"> try </w:t>
            </w:r>
            <w:r w:rsidRPr="006C50B2">
              <w:t xml:space="preserve">to improve their methods and practices </w:t>
            </w:r>
            <w:r>
              <w:t>to</w:t>
            </w:r>
            <w:r w:rsidRPr="006C50B2">
              <w:t xml:space="preserve"> </w:t>
            </w:r>
            <w:r>
              <w:t xml:space="preserve">address </w:t>
            </w:r>
            <w:r w:rsidRPr="006C50B2">
              <w:t>those risks.</w:t>
            </w:r>
          </w:p>
          <w:p w14:paraId="798733C5" w14:textId="77777777" w:rsidR="00E958BB" w:rsidRDefault="00E958BB" w:rsidP="00C327A0">
            <w:pPr>
              <w:pStyle w:val="Tabletext"/>
              <w:spacing w:after="120"/>
            </w:pPr>
            <w:r w:rsidRPr="00331487">
              <w:rPr>
                <w:b/>
                <w:bCs/>
              </w:rPr>
              <w:t>Enforcement</w:t>
            </w:r>
            <w:r w:rsidRPr="006C50B2">
              <w:t xml:space="preserve"> is the </w:t>
            </w:r>
            <w:r>
              <w:t xml:space="preserve">Regulator’s </w:t>
            </w:r>
            <w:r w:rsidRPr="006C50B2">
              <w:t>respo</w:t>
            </w:r>
            <w:r>
              <w:t>nse</w:t>
            </w:r>
            <w:r w:rsidRPr="006C50B2">
              <w:t xml:space="preserve"> to </w:t>
            </w:r>
            <w:r>
              <w:t>non-</w:t>
            </w:r>
            <w:r w:rsidRPr="006C50B2">
              <w:t>compliance</w:t>
            </w:r>
            <w:r>
              <w:t>. The Regulator can</w:t>
            </w:r>
            <w:r w:rsidRPr="006C50B2">
              <w:t xml:space="preserve"> </w:t>
            </w:r>
            <w:r>
              <w:t>use guidance</w:t>
            </w:r>
            <w:r w:rsidRPr="006C50B2">
              <w:t xml:space="preserve">, </w:t>
            </w:r>
            <w:proofErr w:type="gramStart"/>
            <w:r w:rsidRPr="006C50B2">
              <w:t>authority</w:t>
            </w:r>
            <w:proofErr w:type="gramEnd"/>
            <w:r w:rsidRPr="006C50B2">
              <w:t xml:space="preserve"> and statutory powers</w:t>
            </w:r>
            <w:r>
              <w:t>.</w:t>
            </w:r>
          </w:p>
        </w:tc>
      </w:tr>
    </w:tbl>
    <w:p w14:paraId="6CD0B062" w14:textId="1A5356E8" w:rsidR="00201C0D" w:rsidRDefault="00201C0D" w:rsidP="00201C0D">
      <w:pPr>
        <w:pStyle w:val="Heading2"/>
      </w:pPr>
      <w:bookmarkStart w:id="3" w:name="_Toc115101264"/>
      <w:r>
        <w:t>Glossary</w:t>
      </w:r>
      <w:bookmarkEnd w:id="3"/>
    </w:p>
    <w:tbl>
      <w:tblPr>
        <w:tblStyle w:val="HSRtable"/>
        <w:tblW w:w="9405" w:type="dxa"/>
        <w:tblLook w:val="06A0" w:firstRow="1" w:lastRow="0" w:firstColumn="1" w:lastColumn="0" w:noHBand="1" w:noVBand="1"/>
      </w:tblPr>
      <w:tblGrid>
        <w:gridCol w:w="2602"/>
        <w:gridCol w:w="6803"/>
      </w:tblGrid>
      <w:tr w:rsidR="00AA7543" w14:paraId="753B810B" w14:textId="77777777" w:rsidTr="00C80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5563EF42" w14:textId="77F3CD5E" w:rsidR="00CD00C9" w:rsidRDefault="00CD00C9" w:rsidP="00C807C4">
            <w:pPr>
              <w:pStyle w:val="Tablecolhead"/>
            </w:pPr>
            <w:r>
              <w:t>Term</w:t>
            </w:r>
            <w:r w:rsidR="005B5C8C">
              <w:t xml:space="preserve"> used</w:t>
            </w:r>
            <w:r w:rsidR="004A298A">
              <w:t xml:space="preserve"> in policy</w:t>
            </w:r>
          </w:p>
        </w:tc>
        <w:tc>
          <w:tcPr>
            <w:tcW w:w="0" w:type="dxa"/>
          </w:tcPr>
          <w:p w14:paraId="75DE8905" w14:textId="15DDB1C8" w:rsidR="00CD00C9" w:rsidRDefault="004A298A" w:rsidP="00C807C4">
            <w:pPr>
              <w:pStyle w:val="Tablecolhead"/>
              <w:cnfStyle w:val="100000000000" w:firstRow="1" w:lastRow="0" w:firstColumn="0" w:lastColumn="0" w:oddVBand="0" w:evenVBand="0" w:oddHBand="0" w:evenHBand="0" w:firstRowFirstColumn="0" w:firstRowLastColumn="0" w:lastRowFirstColumn="0" w:lastRowLastColumn="0"/>
            </w:pPr>
            <w:r>
              <w:t>Meaning</w:t>
            </w:r>
          </w:p>
        </w:tc>
      </w:tr>
      <w:tr w:rsidR="00AA7543" w14:paraId="6A686370"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59AF981B" w14:textId="157A0B61" w:rsidR="00CD00C9" w:rsidRDefault="004A298A" w:rsidP="00C807C4">
            <w:pPr>
              <w:pStyle w:val="Tabletext"/>
            </w:pPr>
            <w:r>
              <w:t>(</w:t>
            </w:r>
            <w:r w:rsidR="005B5C8C">
              <w:t>The</w:t>
            </w:r>
            <w:r>
              <w:t>)</w:t>
            </w:r>
            <w:r w:rsidR="005B5C8C">
              <w:t xml:space="preserve"> Act</w:t>
            </w:r>
            <w:r w:rsidR="005B5C8C" w:rsidRPr="00B8491C">
              <w:rPr>
                <w:i/>
                <w:iCs/>
              </w:rPr>
              <w:t xml:space="preserve"> </w:t>
            </w:r>
          </w:p>
        </w:tc>
        <w:tc>
          <w:tcPr>
            <w:tcW w:w="6803" w:type="dxa"/>
          </w:tcPr>
          <w:p w14:paraId="406B2B49" w14:textId="67E40721" w:rsidR="00CD00C9" w:rsidRDefault="005B5C8C" w:rsidP="00C807C4">
            <w:pPr>
              <w:pStyle w:val="Tabletext"/>
              <w:cnfStyle w:val="000000000000" w:firstRow="0" w:lastRow="0" w:firstColumn="0" w:lastColumn="0" w:oddVBand="0" w:evenVBand="0" w:oddHBand="0" w:evenHBand="0" w:firstRowFirstColumn="0" w:firstRowLastColumn="0" w:lastRowFirstColumn="0" w:lastRowLastColumn="0"/>
            </w:pPr>
            <w:r w:rsidRPr="00B8491C">
              <w:rPr>
                <w:i/>
                <w:iCs/>
              </w:rPr>
              <w:t>Child Wellbeing and Safety Act 2005</w:t>
            </w:r>
          </w:p>
        </w:tc>
      </w:tr>
      <w:tr w:rsidR="005B5C8C" w14:paraId="6B0724F2"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7F281A8F" w14:textId="2E6B4F90" w:rsidR="005B5C8C" w:rsidRDefault="004A298A" w:rsidP="003567DB">
            <w:pPr>
              <w:pStyle w:val="Tabletext"/>
            </w:pPr>
            <w:r>
              <w:t>(</w:t>
            </w:r>
            <w:r w:rsidR="005B5C8C">
              <w:t>The</w:t>
            </w:r>
            <w:r>
              <w:t>)</w:t>
            </w:r>
            <w:r w:rsidR="005B5C8C">
              <w:t xml:space="preserve"> Commission</w:t>
            </w:r>
          </w:p>
        </w:tc>
        <w:tc>
          <w:tcPr>
            <w:tcW w:w="6803" w:type="dxa"/>
          </w:tcPr>
          <w:p w14:paraId="408FE313" w14:textId="77777777" w:rsidR="005B5C8C" w:rsidRDefault="005B5C8C" w:rsidP="003567DB">
            <w:pPr>
              <w:pStyle w:val="Tabletext"/>
              <w:cnfStyle w:val="000000000000" w:firstRow="0" w:lastRow="0" w:firstColumn="0" w:lastColumn="0" w:oddVBand="0" w:evenVBand="0" w:oddHBand="0" w:evenHBand="0" w:firstRowFirstColumn="0" w:firstRowLastColumn="0" w:lastRowFirstColumn="0" w:lastRowLastColumn="0"/>
            </w:pPr>
            <w:r>
              <w:t>Commission for Children and Young People</w:t>
            </w:r>
          </w:p>
        </w:tc>
      </w:tr>
      <w:tr w:rsidR="005B5C8C" w14:paraId="5A087FA4"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0508AE95" w14:textId="77777777" w:rsidR="005B5C8C" w:rsidRDefault="005B5C8C" w:rsidP="003567DB">
            <w:pPr>
              <w:pStyle w:val="Tabletext"/>
            </w:pPr>
            <w:r>
              <w:t>O</w:t>
            </w:r>
            <w:r w:rsidRPr="00B2316A">
              <w:t>rganisation</w:t>
            </w:r>
          </w:p>
        </w:tc>
        <w:tc>
          <w:tcPr>
            <w:tcW w:w="6803" w:type="dxa"/>
          </w:tcPr>
          <w:p w14:paraId="391E49F8" w14:textId="77777777" w:rsidR="005B5C8C" w:rsidRDefault="005B5C8C" w:rsidP="003567DB">
            <w:pPr>
              <w:pStyle w:val="Tabletext"/>
              <w:cnfStyle w:val="000000000000" w:firstRow="0" w:lastRow="0" w:firstColumn="0" w:lastColumn="0" w:oddVBand="0" w:evenVBand="0" w:oddHBand="0" w:evenHBand="0" w:firstRowFirstColumn="0" w:firstRowLastColumn="0" w:lastRowFirstColumn="0" w:lastRowLastColumn="0"/>
            </w:pPr>
            <w:r>
              <w:t xml:space="preserve">In this policy, the term </w:t>
            </w:r>
            <w:r w:rsidRPr="00B2316A">
              <w:t>organisation</w:t>
            </w:r>
            <w:r>
              <w:rPr>
                <w:b/>
                <w:bCs/>
              </w:rPr>
              <w:t xml:space="preserve"> </w:t>
            </w:r>
            <w:r w:rsidRPr="005F4AAB">
              <w:t>means</w:t>
            </w:r>
            <w:r>
              <w:t xml:space="preserve"> </w:t>
            </w:r>
            <w:r w:rsidRPr="00B2316A">
              <w:t>relevant entity.</w:t>
            </w:r>
          </w:p>
        </w:tc>
      </w:tr>
      <w:tr w:rsidR="00AA7543" w14:paraId="1ECE6A61"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41BBAA50" w14:textId="58C8E4D7" w:rsidR="00CD00C9" w:rsidRDefault="004A298A" w:rsidP="00C807C4">
            <w:pPr>
              <w:pStyle w:val="Tabletext"/>
            </w:pPr>
            <w:r>
              <w:t>(</w:t>
            </w:r>
            <w:r w:rsidR="005B5C8C">
              <w:t>The</w:t>
            </w:r>
            <w:r>
              <w:t>)</w:t>
            </w:r>
            <w:r w:rsidR="005B5C8C">
              <w:t xml:space="preserve"> Regulations</w:t>
            </w:r>
          </w:p>
        </w:tc>
        <w:tc>
          <w:tcPr>
            <w:tcW w:w="6803" w:type="dxa"/>
          </w:tcPr>
          <w:p w14:paraId="578184BF" w14:textId="490E02DE" w:rsidR="00CD00C9" w:rsidRPr="00792FCF" w:rsidRDefault="005B5C8C" w:rsidP="00C807C4">
            <w:pPr>
              <w:pStyle w:val="Tabletext"/>
              <w:cnfStyle w:val="000000000000" w:firstRow="0" w:lastRow="0" w:firstColumn="0" w:lastColumn="0" w:oddVBand="0" w:evenVBand="0" w:oddHBand="0" w:evenHBand="0" w:firstRowFirstColumn="0" w:firstRowLastColumn="0" w:lastRowFirstColumn="0" w:lastRowLastColumn="0"/>
            </w:pPr>
            <w:r w:rsidRPr="00792FCF">
              <w:t>Child Wellbeing and Safety Regulations 2017</w:t>
            </w:r>
          </w:p>
        </w:tc>
      </w:tr>
      <w:tr w:rsidR="005B5C8C" w14:paraId="6C4C0A3B"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357FC09D" w14:textId="4B2946AE" w:rsidR="005B5C8C" w:rsidRDefault="004A298A" w:rsidP="005B5C8C">
            <w:pPr>
              <w:pStyle w:val="Tabletext"/>
            </w:pPr>
            <w:r>
              <w:t>(</w:t>
            </w:r>
            <w:r w:rsidR="005B5C8C">
              <w:t>The</w:t>
            </w:r>
            <w:r>
              <w:t>)</w:t>
            </w:r>
            <w:r w:rsidR="005B5C8C">
              <w:t xml:space="preserve"> Regulator</w:t>
            </w:r>
          </w:p>
        </w:tc>
        <w:tc>
          <w:tcPr>
            <w:tcW w:w="6803" w:type="dxa"/>
          </w:tcPr>
          <w:p w14:paraId="046DCA1F" w14:textId="77777777" w:rsidR="005B5C8C" w:rsidRDefault="005B5C8C" w:rsidP="005B5C8C">
            <w:pPr>
              <w:pStyle w:val="Tabletext"/>
              <w:cnfStyle w:val="000000000000" w:firstRow="0" w:lastRow="0" w:firstColumn="0" w:lastColumn="0" w:oddVBand="0" w:evenVBand="0" w:oddHBand="0" w:evenHBand="0" w:firstRowFirstColumn="0" w:firstRowLastColumn="0" w:lastRowFirstColumn="0" w:lastRowLastColumn="0"/>
            </w:pPr>
            <w:r>
              <w:t>Child Safe Standards Regulator (Health).</w:t>
            </w:r>
          </w:p>
          <w:p w14:paraId="010D0A2D" w14:textId="02EFCBE6" w:rsidR="005B5C8C" w:rsidRDefault="005B5C8C" w:rsidP="005B5C8C">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C807C4">
              <w:t>Child Safe Standards Regulator (Health</w:t>
            </w:r>
            <w:r w:rsidRPr="004965C0">
              <w:t>)</w:t>
            </w:r>
            <w:r>
              <w:rPr>
                <w:b/>
                <w:bCs/>
                <w:i/>
                <w:iCs/>
              </w:rPr>
              <w:t xml:space="preserve"> </w:t>
            </w:r>
            <w:r w:rsidRPr="005F4AAB">
              <w:t>within</w:t>
            </w:r>
            <w:r>
              <w:t xml:space="preserve"> the Department of Health</w:t>
            </w:r>
            <w:r>
              <w:rPr>
                <w:b/>
                <w:bCs/>
              </w:rPr>
              <w:t xml:space="preserve"> </w:t>
            </w:r>
            <w:r>
              <w:t>administers the legislation on behalf of the Secretary.</w:t>
            </w:r>
          </w:p>
        </w:tc>
      </w:tr>
      <w:tr w:rsidR="005B5C8C" w:rsidRPr="00DE3D58" w14:paraId="53D7EC6B" w14:textId="77777777" w:rsidTr="00D40CDE">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7617F22D" w14:textId="77777777" w:rsidR="005B5C8C" w:rsidRPr="00DE3D58" w:rsidRDefault="005B5C8C" w:rsidP="003567DB">
            <w:pPr>
              <w:pStyle w:val="Tabletext"/>
            </w:pPr>
            <w:r w:rsidRPr="003B2B19">
              <w:t>Relevant entit</w:t>
            </w:r>
            <w:r w:rsidRPr="00DE3D58">
              <w:t>y</w:t>
            </w:r>
          </w:p>
        </w:tc>
        <w:tc>
          <w:tcPr>
            <w:tcW w:w="6803" w:type="dxa"/>
          </w:tcPr>
          <w:p w14:paraId="0FB2A7B1" w14:textId="30A76F06" w:rsidR="005B5C8C" w:rsidRPr="00DE3D58" w:rsidRDefault="005B5C8C" w:rsidP="003567DB">
            <w:pPr>
              <w:pStyle w:val="Tabletext"/>
              <w:cnfStyle w:val="000000000000" w:firstRow="0" w:lastRow="0" w:firstColumn="0" w:lastColumn="0" w:oddVBand="0" w:evenVBand="0" w:oddHBand="0" w:evenHBand="0" w:firstRowFirstColumn="0" w:firstRowLastColumn="0" w:lastRowFirstColumn="0" w:lastRowLastColumn="0"/>
            </w:pPr>
            <w:r>
              <w:t>H</w:t>
            </w:r>
            <w:r w:rsidRPr="00DE3D58">
              <w:t>ealth sector organisations, businesses, service providers or groups that provide facilities</w:t>
            </w:r>
            <w:r w:rsidR="004B602B">
              <w:t xml:space="preserve"> or</w:t>
            </w:r>
            <w:r w:rsidRPr="00DE3D58">
              <w:t xml:space="preserve"> services</w:t>
            </w:r>
            <w:r w:rsidR="004B602B">
              <w:t>,</w:t>
            </w:r>
            <w:r w:rsidRPr="00DE3D58">
              <w:t xml:space="preserve"> or work or volunteer with children.</w:t>
            </w:r>
          </w:p>
        </w:tc>
      </w:tr>
      <w:tr w:rsidR="005B5C8C" w14:paraId="4C6922DD" w14:textId="77777777" w:rsidTr="00D40CDE">
        <w:trPr>
          <w:trHeight w:val="514"/>
        </w:trPr>
        <w:tc>
          <w:tcPr>
            <w:cnfStyle w:val="001000000000" w:firstRow="0" w:lastRow="0" w:firstColumn="1" w:lastColumn="0" w:oddVBand="0" w:evenVBand="0" w:oddHBand="0" w:evenHBand="0" w:firstRowFirstColumn="0" w:firstRowLastColumn="0" w:lastRowFirstColumn="0" w:lastRowLastColumn="0"/>
            <w:tcW w:w="2602" w:type="dxa"/>
            <w:shd w:val="clear" w:color="auto" w:fill="ECF1F8"/>
          </w:tcPr>
          <w:p w14:paraId="5B5C9FE8" w14:textId="72AF729B" w:rsidR="005B5C8C" w:rsidRDefault="004A298A" w:rsidP="003567DB">
            <w:pPr>
              <w:pStyle w:val="Tabletext"/>
            </w:pPr>
            <w:r>
              <w:t>(</w:t>
            </w:r>
            <w:r w:rsidR="005B5C8C">
              <w:t>The</w:t>
            </w:r>
            <w:r>
              <w:t>)</w:t>
            </w:r>
            <w:r w:rsidR="005B5C8C">
              <w:t xml:space="preserve"> </w:t>
            </w:r>
            <w:r w:rsidR="005B5C8C" w:rsidRPr="00370A2A">
              <w:t>Standards</w:t>
            </w:r>
          </w:p>
        </w:tc>
        <w:tc>
          <w:tcPr>
            <w:tcW w:w="6803" w:type="dxa"/>
          </w:tcPr>
          <w:p w14:paraId="0B6F6B04" w14:textId="77777777" w:rsidR="005B5C8C" w:rsidRDefault="005B5C8C" w:rsidP="003567DB">
            <w:pPr>
              <w:pStyle w:val="Tabletext"/>
              <w:cnfStyle w:val="000000000000" w:firstRow="0" w:lastRow="0" w:firstColumn="0" w:lastColumn="0" w:oddVBand="0" w:evenVBand="0" w:oddHBand="0" w:evenHBand="0" w:firstRowFirstColumn="0" w:firstRowLastColumn="0" w:lastRowFirstColumn="0" w:lastRowLastColumn="0"/>
            </w:pPr>
            <w:r>
              <w:t>Child Safe Standards.</w:t>
            </w:r>
          </w:p>
        </w:tc>
      </w:tr>
    </w:tbl>
    <w:p w14:paraId="40E1DC48" w14:textId="77777777" w:rsidR="008B37A6" w:rsidRDefault="008B37A6">
      <w:pPr>
        <w:spacing w:after="0" w:line="240" w:lineRule="auto"/>
        <w:rPr>
          <w:rFonts w:eastAsia="Times"/>
        </w:rPr>
      </w:pPr>
      <w:r>
        <w:br w:type="page"/>
      </w:r>
    </w:p>
    <w:p w14:paraId="1675214A" w14:textId="77777777" w:rsidR="006569E0" w:rsidRDefault="006569E0" w:rsidP="006569E0">
      <w:pPr>
        <w:pStyle w:val="Heading1"/>
      </w:pPr>
      <w:bookmarkStart w:id="4" w:name="_Toc108006511"/>
      <w:bookmarkStart w:id="5" w:name="_Toc115101265"/>
      <w:r>
        <w:lastRenderedPageBreak/>
        <w:t>Context</w:t>
      </w:r>
      <w:bookmarkEnd w:id="4"/>
      <w:bookmarkEnd w:id="5"/>
    </w:p>
    <w:p w14:paraId="268ADB24" w14:textId="77777777" w:rsidR="006569E0" w:rsidRDefault="006569E0" w:rsidP="006569E0">
      <w:pPr>
        <w:pStyle w:val="Heading2"/>
      </w:pPr>
      <w:bookmarkStart w:id="6" w:name="_Toc108006512"/>
      <w:bookmarkStart w:id="7" w:name="_Toc115101266"/>
      <w:r>
        <w:t>Authorising environment</w:t>
      </w:r>
      <w:bookmarkEnd w:id="6"/>
      <w:bookmarkEnd w:id="7"/>
    </w:p>
    <w:p w14:paraId="3805C3F4" w14:textId="26231FBD" w:rsidR="006569E0" w:rsidRDefault="006569E0" w:rsidP="006569E0">
      <w:pPr>
        <w:pStyle w:val="Body"/>
      </w:pPr>
      <w:r>
        <w:t>The Regulator is responsible for administering the Standards on behalf of the Secretary of the Department of Health</w:t>
      </w:r>
      <w:r w:rsidR="00370A2A">
        <w:t>,</w:t>
      </w:r>
      <w:r>
        <w:t xml:space="preserve"> a prescribed ‘sector regulator’ of the Standards for ‘relevant </w:t>
      </w:r>
      <w:proofErr w:type="gramStart"/>
      <w:r>
        <w:t>entities’</w:t>
      </w:r>
      <w:proofErr w:type="gramEnd"/>
      <w:r w:rsidR="00370A2A">
        <w:t>.</w:t>
      </w:r>
      <w:r>
        <w:t xml:space="preserve"> </w:t>
      </w:r>
      <w:r w:rsidR="00370A2A">
        <w:t>S</w:t>
      </w:r>
      <w:r>
        <w:t xml:space="preserve">ee </w:t>
      </w:r>
      <w:hyperlink w:anchor="_Regulated_organisations" w:history="1">
        <w:r w:rsidR="00370A2A" w:rsidRPr="00201C0D">
          <w:rPr>
            <w:rStyle w:val="Hyperlink"/>
          </w:rPr>
          <w:t>Regulated organisations</w:t>
        </w:r>
      </w:hyperlink>
      <w:r w:rsidR="00370A2A">
        <w:t xml:space="preserve"> for a list of the type of </w:t>
      </w:r>
      <w:r w:rsidR="00201C0D">
        <w:t>health organisations that must meet the Standards</w:t>
      </w:r>
      <w:r>
        <w:t xml:space="preserve">. </w:t>
      </w:r>
    </w:p>
    <w:p w14:paraId="1DD88B3F" w14:textId="77777777" w:rsidR="00267B13" w:rsidRPr="00D814D8" w:rsidRDefault="006569E0" w:rsidP="00267B13">
      <w:pPr>
        <w:pStyle w:val="Body"/>
      </w:pPr>
      <w:r>
        <w:t xml:space="preserve">The </w:t>
      </w:r>
      <w:r>
        <w:rPr>
          <w:szCs w:val="21"/>
        </w:rPr>
        <w:t xml:space="preserve">Regulator </w:t>
      </w:r>
      <w:r>
        <w:t>operates under the following legislation and</w:t>
      </w:r>
      <w:r w:rsidR="00267B13">
        <w:t xml:space="preserve"> subordinate instruments:</w:t>
      </w:r>
    </w:p>
    <w:p w14:paraId="1762B14D" w14:textId="28536131" w:rsidR="00267B13" w:rsidRPr="00855B61" w:rsidRDefault="00267B13" w:rsidP="00267B13">
      <w:pPr>
        <w:pStyle w:val="Bullet1"/>
        <w:rPr>
          <w:i/>
        </w:rPr>
      </w:pPr>
      <w:r w:rsidRPr="00855B61">
        <w:rPr>
          <w:i/>
        </w:rPr>
        <w:t>Child Wellbeing and Safety Act 2005</w:t>
      </w:r>
    </w:p>
    <w:p w14:paraId="4038A067" w14:textId="03AAEB3C" w:rsidR="00267B13" w:rsidRDefault="00267B13" w:rsidP="00267B13">
      <w:pPr>
        <w:pStyle w:val="Bullet1"/>
      </w:pPr>
      <w:r w:rsidRPr="00CB09F6">
        <w:t>Child Wellbeing and Safety Regulations 2017</w:t>
      </w:r>
    </w:p>
    <w:p w14:paraId="576E698E" w14:textId="062CF12E" w:rsidR="00267B13" w:rsidRDefault="00267B13" w:rsidP="00267B13">
      <w:pPr>
        <w:pStyle w:val="Bullet1"/>
      </w:pPr>
      <w:r w:rsidRPr="00CB09F6">
        <w:t>Child Safe Standards</w:t>
      </w:r>
      <w:r w:rsidR="000B2A39">
        <w:t>.</w:t>
      </w:r>
    </w:p>
    <w:p w14:paraId="41D45A22" w14:textId="0EA66D65" w:rsidR="00267B13" w:rsidRDefault="00267B13" w:rsidP="00267B13">
      <w:pPr>
        <w:pStyle w:val="Bodyafterbullets"/>
      </w:pPr>
      <w:r>
        <w:t xml:space="preserve">The Regulator has the following functions and powers </w:t>
      </w:r>
      <w:r w:rsidR="00201C0D">
        <w:t>around</w:t>
      </w:r>
      <w:r>
        <w:t xml:space="preserve"> the Standards:</w:t>
      </w:r>
    </w:p>
    <w:p w14:paraId="0A929343" w14:textId="5D5A90AC" w:rsidR="00267B13" w:rsidRDefault="002D2DBE" w:rsidP="00267B13">
      <w:pPr>
        <w:pStyle w:val="Bullet1"/>
      </w:pPr>
      <w:bookmarkStart w:id="8" w:name="_Hlk95737819"/>
      <w:r>
        <w:t xml:space="preserve">Provide </w:t>
      </w:r>
      <w:r w:rsidR="00267B13" w:rsidRPr="00FA5B91">
        <w:t xml:space="preserve">education, </w:t>
      </w:r>
      <w:proofErr w:type="gramStart"/>
      <w:r w:rsidR="00267B13" w:rsidRPr="00FA5B91">
        <w:t>information</w:t>
      </w:r>
      <w:proofErr w:type="gramEnd"/>
      <w:r w:rsidR="00267B13" w:rsidRPr="00FA5B91">
        <w:t xml:space="preserve"> and advice on </w:t>
      </w:r>
      <w:r w:rsidR="00267B13">
        <w:t xml:space="preserve">the Standards </w:t>
      </w:r>
      <w:r w:rsidR="00267B13" w:rsidRPr="00FA5B91">
        <w:t>to promote consistency in child safety outcomes</w:t>
      </w:r>
      <w:r w:rsidR="00201C0D">
        <w:t>.</w:t>
      </w:r>
    </w:p>
    <w:bookmarkEnd w:id="8"/>
    <w:p w14:paraId="34281AB4" w14:textId="1202EE37" w:rsidR="00267B13" w:rsidRDefault="00267B13" w:rsidP="00267B13">
      <w:pPr>
        <w:pStyle w:val="Bullet1"/>
      </w:pPr>
      <w:r w:rsidRPr="00D63603">
        <w:t xml:space="preserve">Investigate, </w:t>
      </w:r>
      <w:proofErr w:type="gramStart"/>
      <w:r w:rsidRPr="00D63603">
        <w:t>monitor</w:t>
      </w:r>
      <w:proofErr w:type="gramEnd"/>
      <w:r w:rsidRPr="00D63603">
        <w:t xml:space="preserve"> and enforce </w:t>
      </w:r>
      <w:r>
        <w:t>compliance with the Standards</w:t>
      </w:r>
      <w:r w:rsidR="00201C0D">
        <w:t>.</w:t>
      </w:r>
    </w:p>
    <w:p w14:paraId="01952910" w14:textId="28851D31" w:rsidR="00267B13" w:rsidRDefault="00267B13" w:rsidP="00267B13">
      <w:pPr>
        <w:pStyle w:val="Bullet1"/>
      </w:pPr>
      <w:r w:rsidRPr="00302BE6">
        <w:t>Collect</w:t>
      </w:r>
      <w:r>
        <w:t xml:space="preserve">, </w:t>
      </w:r>
      <w:proofErr w:type="gramStart"/>
      <w:r w:rsidRPr="00302BE6">
        <w:t>analyse</w:t>
      </w:r>
      <w:proofErr w:type="gramEnd"/>
      <w:r w:rsidRPr="00302BE6">
        <w:t xml:space="preserve"> and publish info</w:t>
      </w:r>
      <w:r>
        <w:t xml:space="preserve">rmation </w:t>
      </w:r>
      <w:r w:rsidRPr="00302BE6">
        <w:t xml:space="preserve">and data </w:t>
      </w:r>
      <w:r w:rsidR="00201C0D">
        <w:t>on</w:t>
      </w:r>
      <w:r w:rsidR="00201C0D" w:rsidRPr="00302BE6">
        <w:t xml:space="preserve"> </w:t>
      </w:r>
      <w:r w:rsidRPr="00302BE6">
        <w:t xml:space="preserve">compliance with </w:t>
      </w:r>
      <w:r>
        <w:t>the Standards</w:t>
      </w:r>
      <w:r w:rsidR="00201C0D">
        <w:t>.</w:t>
      </w:r>
      <w:r w:rsidRPr="00302BE6">
        <w:t xml:space="preserve"> </w:t>
      </w:r>
      <w:r w:rsidR="00201C0D">
        <w:t xml:space="preserve">Give </w:t>
      </w:r>
      <w:r>
        <w:t xml:space="preserve">that information and data to the Commission as </w:t>
      </w:r>
      <w:r w:rsidR="00201C0D">
        <w:t>needed.</w:t>
      </w:r>
    </w:p>
    <w:p w14:paraId="5254EABB" w14:textId="570FCE1F" w:rsidR="00267B13" w:rsidRDefault="00267B13" w:rsidP="00267B13">
      <w:pPr>
        <w:pStyle w:val="Bullet1"/>
      </w:pPr>
      <w:r w:rsidRPr="00906348">
        <w:t xml:space="preserve">Promote continuous improvement </w:t>
      </w:r>
      <w:r w:rsidR="00201C0D">
        <w:t xml:space="preserve">in </w:t>
      </w:r>
      <w:r w:rsidRPr="00906348">
        <w:t xml:space="preserve">child safety, </w:t>
      </w:r>
      <w:r w:rsidR="00201C0D">
        <w:t>preventing</w:t>
      </w:r>
      <w:r w:rsidRPr="00906348">
        <w:t xml:space="preserve"> abuse and </w:t>
      </w:r>
      <w:r w:rsidR="001F4E76">
        <w:t xml:space="preserve">responding </w:t>
      </w:r>
      <w:r w:rsidRPr="00906348">
        <w:t>proper</w:t>
      </w:r>
      <w:r w:rsidR="009C7840">
        <w:t xml:space="preserve">ly </w:t>
      </w:r>
      <w:r w:rsidRPr="00906348">
        <w:t xml:space="preserve">to </w:t>
      </w:r>
      <w:r>
        <w:t xml:space="preserve">child </w:t>
      </w:r>
      <w:r w:rsidRPr="00906348">
        <w:t>abuse</w:t>
      </w:r>
      <w:r w:rsidR="00201C0D">
        <w:t xml:space="preserve"> allegations.</w:t>
      </w:r>
    </w:p>
    <w:p w14:paraId="1EBDF050" w14:textId="22CE212F" w:rsidR="00267B13" w:rsidRDefault="00267B13" w:rsidP="00267B13">
      <w:pPr>
        <w:pStyle w:val="Bullet1"/>
      </w:pPr>
      <w:r w:rsidRPr="00F66971">
        <w:t xml:space="preserve">Work collaboratively with </w:t>
      </w:r>
      <w:r>
        <w:t>the Commission</w:t>
      </w:r>
      <w:r w:rsidR="00A07925">
        <w:t>,</w:t>
      </w:r>
      <w:r w:rsidRPr="00F66971">
        <w:t xml:space="preserve"> sector regulators </w:t>
      </w:r>
      <w:r w:rsidR="00A07925">
        <w:t xml:space="preserve">and </w:t>
      </w:r>
      <w:r>
        <w:t xml:space="preserve">integrated sector regulators </w:t>
      </w:r>
      <w:r w:rsidR="00201C0D">
        <w:t xml:space="preserve">on </w:t>
      </w:r>
      <w:r w:rsidRPr="00F66971">
        <w:t xml:space="preserve">child safety and </w:t>
      </w:r>
      <w:r w:rsidR="00201C0D">
        <w:t xml:space="preserve">meeting </w:t>
      </w:r>
      <w:r>
        <w:t>the Standards</w:t>
      </w:r>
      <w:r w:rsidR="00201C0D">
        <w:t>.</w:t>
      </w:r>
    </w:p>
    <w:p w14:paraId="77B8ECF9" w14:textId="69E1C129" w:rsidR="00267B13" w:rsidRDefault="00267B13" w:rsidP="00962D9B">
      <w:pPr>
        <w:pStyle w:val="Bullet1"/>
      </w:pPr>
      <w:r w:rsidRPr="00D03191">
        <w:t>Exchange info</w:t>
      </w:r>
      <w:r>
        <w:t>rmation</w:t>
      </w:r>
      <w:r w:rsidRPr="00D03191">
        <w:t xml:space="preserve"> and </w:t>
      </w:r>
      <w:r w:rsidR="0009778E">
        <w:t>work</w:t>
      </w:r>
      <w:r w:rsidR="0009778E" w:rsidRPr="00D03191">
        <w:t xml:space="preserve"> </w:t>
      </w:r>
      <w:r w:rsidRPr="00D03191">
        <w:t xml:space="preserve">with </w:t>
      </w:r>
      <w:r w:rsidR="00201C0D">
        <w:t>people</w:t>
      </w:r>
      <w:r w:rsidR="00201C0D" w:rsidRPr="00D03191">
        <w:t xml:space="preserve"> </w:t>
      </w:r>
      <w:r w:rsidRPr="00D03191">
        <w:t>and bodies</w:t>
      </w:r>
      <w:r>
        <w:t xml:space="preserve"> </w:t>
      </w:r>
      <w:r w:rsidR="00201C0D">
        <w:t xml:space="preserve">on </w:t>
      </w:r>
      <w:r w:rsidRPr="00D03191">
        <w:t xml:space="preserve">child safety and </w:t>
      </w:r>
      <w:r w:rsidR="00201C0D">
        <w:t xml:space="preserve">Standards </w:t>
      </w:r>
      <w:r w:rsidRPr="0009778E">
        <w:t>compliance</w:t>
      </w:r>
      <w:r>
        <w:t>.</w:t>
      </w:r>
    </w:p>
    <w:p w14:paraId="65228AE2" w14:textId="7165FEEB" w:rsidR="00267B13" w:rsidRDefault="00370A2A" w:rsidP="00267B13">
      <w:pPr>
        <w:pStyle w:val="Heading2"/>
      </w:pPr>
      <w:bookmarkStart w:id="9" w:name="_Regulated_organisations"/>
      <w:bookmarkStart w:id="10" w:name="_Toc108006513"/>
      <w:bookmarkStart w:id="11" w:name="_Toc115101267"/>
      <w:bookmarkEnd w:id="9"/>
      <w:r>
        <w:t>R</w:t>
      </w:r>
      <w:r w:rsidR="00267B13">
        <w:t>egulated</w:t>
      </w:r>
      <w:r>
        <w:t xml:space="preserve"> organisations</w:t>
      </w:r>
      <w:bookmarkEnd w:id="10"/>
      <w:bookmarkEnd w:id="11"/>
    </w:p>
    <w:p w14:paraId="7936E8EC" w14:textId="26D2590F" w:rsidR="00267B13" w:rsidRDefault="00267B13" w:rsidP="00267B13">
      <w:pPr>
        <w:pStyle w:val="Body"/>
      </w:pPr>
      <w:r>
        <w:t xml:space="preserve">In Victoria there are </w:t>
      </w:r>
      <w:r w:rsidR="008B37A6">
        <w:t xml:space="preserve">around </w:t>
      </w:r>
      <w:r w:rsidR="00154490">
        <w:t>5</w:t>
      </w:r>
      <w:r w:rsidRPr="006B2894">
        <w:t>00</w:t>
      </w:r>
      <w:r>
        <w:t xml:space="preserve"> </w:t>
      </w:r>
      <w:r w:rsidR="00AF6FE7">
        <w:t xml:space="preserve">prescribed </w:t>
      </w:r>
      <w:r>
        <w:t xml:space="preserve">in-scope health organisations that </w:t>
      </w:r>
      <w:r w:rsidR="008B37A6">
        <w:t xml:space="preserve">must meet </w:t>
      </w:r>
      <w:r>
        <w:t>the Standards</w:t>
      </w:r>
      <w:r w:rsidR="008B37A6">
        <w:t xml:space="preserve"> (unless exempt),</w:t>
      </w:r>
      <w:r w:rsidR="008B37A6" w:rsidRPr="5F0DCC0F">
        <w:rPr>
          <w:rStyle w:val="FootnoteReference"/>
        </w:rPr>
        <w:footnoteReference w:id="3"/>
      </w:r>
      <w:r>
        <w:t xml:space="preserve"> as specified under Schedule 1 of the Act.</w:t>
      </w:r>
    </w:p>
    <w:p w14:paraId="480464D9" w14:textId="6E34A4D6" w:rsidR="0009778E" w:rsidRDefault="0009778E" w:rsidP="00267B13">
      <w:pPr>
        <w:pStyle w:val="Body"/>
      </w:pPr>
      <w:r>
        <w:t>The organisations include:</w:t>
      </w:r>
    </w:p>
    <w:p w14:paraId="366647B8" w14:textId="71E48ABC" w:rsidR="008B37A6" w:rsidRDefault="0009778E" w:rsidP="00962D9B">
      <w:pPr>
        <w:pStyle w:val="Bullet1"/>
      </w:pPr>
      <w:r>
        <w:t>a</w:t>
      </w:r>
      <w:r w:rsidR="008B37A6">
        <w:t>n applicable entity that operates a maternal and child health centre</w:t>
      </w:r>
    </w:p>
    <w:p w14:paraId="28D0DAAE" w14:textId="5F705D54" w:rsidR="008B37A6" w:rsidRDefault="0009778E" w:rsidP="00962D9B">
      <w:pPr>
        <w:pStyle w:val="Bullet1"/>
      </w:pPr>
      <w:r>
        <w:t>a</w:t>
      </w:r>
      <w:r w:rsidR="008B37A6">
        <w:t xml:space="preserve"> hospital listed as a public hospital in Schedule 1 of the </w:t>
      </w:r>
      <w:r w:rsidR="008B37A6" w:rsidRPr="00962D9B">
        <w:rPr>
          <w:i/>
          <w:iCs/>
        </w:rPr>
        <w:t>Health Services Act 1988</w:t>
      </w:r>
    </w:p>
    <w:p w14:paraId="422CA252" w14:textId="77777777" w:rsidR="00697E78" w:rsidRDefault="00697E78" w:rsidP="00697E78">
      <w:pPr>
        <w:pStyle w:val="Bullet1"/>
      </w:pPr>
      <w:r>
        <w:t xml:space="preserve">a public health service, as defined in the </w:t>
      </w:r>
      <w:r w:rsidRPr="00962D9B">
        <w:rPr>
          <w:i/>
          <w:iCs/>
        </w:rPr>
        <w:t>Health Services Act 1988</w:t>
      </w:r>
    </w:p>
    <w:p w14:paraId="138A34C5" w14:textId="77777777" w:rsidR="00EA4C6D" w:rsidRDefault="00EA4C6D" w:rsidP="00EA4C6D">
      <w:pPr>
        <w:pStyle w:val="Bullet1"/>
      </w:pPr>
      <w:r>
        <w:t xml:space="preserve">a hospital listed as a denominational hospital in Schedule 2 of the </w:t>
      </w:r>
      <w:r w:rsidRPr="00962D9B">
        <w:rPr>
          <w:i/>
          <w:iCs/>
        </w:rPr>
        <w:t>Health Services Act 1988</w:t>
      </w:r>
    </w:p>
    <w:p w14:paraId="1FF71A06" w14:textId="5F0D4F17" w:rsidR="00CF1B0B" w:rsidRDefault="00CF1B0B" w:rsidP="00CF1B0B">
      <w:pPr>
        <w:pStyle w:val="Bullet1"/>
      </w:pPr>
      <w:r>
        <w:t xml:space="preserve">an applicable entity that operates a private hospital, as defined in the </w:t>
      </w:r>
      <w:r w:rsidRPr="00962D9B">
        <w:rPr>
          <w:i/>
          <w:iCs/>
        </w:rPr>
        <w:t>Health Services Act 1988</w:t>
      </w:r>
    </w:p>
    <w:p w14:paraId="4FD3C157" w14:textId="77777777" w:rsidR="00CF1B0B" w:rsidRDefault="00CF1B0B" w:rsidP="00CF1B0B">
      <w:pPr>
        <w:pStyle w:val="Bullet1"/>
      </w:pPr>
      <w:r>
        <w:t xml:space="preserve">an applicable entity that operates a day procedure centre, as defined in the </w:t>
      </w:r>
      <w:r w:rsidRPr="00962D9B">
        <w:rPr>
          <w:i/>
          <w:iCs/>
        </w:rPr>
        <w:t>Health Services Act 1988</w:t>
      </w:r>
    </w:p>
    <w:p w14:paraId="6F621D8C" w14:textId="3B37D110" w:rsidR="008B37A6" w:rsidRDefault="0009778E" w:rsidP="00962D9B">
      <w:pPr>
        <w:pStyle w:val="Bullet1"/>
      </w:pPr>
      <w:r>
        <w:t>a</w:t>
      </w:r>
      <w:r w:rsidR="008B37A6">
        <w:t xml:space="preserve"> multipurpose service</w:t>
      </w:r>
      <w:r>
        <w:t>,</w:t>
      </w:r>
      <w:r w:rsidR="008B37A6">
        <w:t xml:space="preserve"> </w:t>
      </w:r>
      <w:r>
        <w:t xml:space="preserve">as defined in </w:t>
      </w:r>
      <w:r w:rsidR="008B37A6">
        <w:t xml:space="preserve">the </w:t>
      </w:r>
      <w:r w:rsidR="008B37A6" w:rsidRPr="00962D9B">
        <w:rPr>
          <w:i/>
          <w:iCs/>
        </w:rPr>
        <w:t>Health Services Act 1988</w:t>
      </w:r>
    </w:p>
    <w:p w14:paraId="08FE416C" w14:textId="402B3E7A" w:rsidR="008B37A6" w:rsidRDefault="000D5773" w:rsidP="00962D9B">
      <w:pPr>
        <w:pStyle w:val="Bullet1"/>
      </w:pPr>
      <w:r>
        <w:t>a</w:t>
      </w:r>
      <w:r w:rsidR="008B37A6">
        <w:t xml:space="preserve"> registered community health centre</w:t>
      </w:r>
      <w:r w:rsidR="0009778E">
        <w:t>,</w:t>
      </w:r>
      <w:r w:rsidR="008B37A6">
        <w:t xml:space="preserve"> </w:t>
      </w:r>
      <w:r w:rsidR="0009778E">
        <w:t xml:space="preserve">as defined in </w:t>
      </w:r>
      <w:r w:rsidR="008B37A6">
        <w:t xml:space="preserve">the </w:t>
      </w:r>
      <w:r w:rsidR="008B37A6" w:rsidRPr="00962D9B">
        <w:rPr>
          <w:i/>
          <w:iCs/>
        </w:rPr>
        <w:t>Health Services Act 1988</w:t>
      </w:r>
    </w:p>
    <w:p w14:paraId="0209E3B7" w14:textId="48AE40F4" w:rsidR="008B37A6" w:rsidRDefault="0009778E" w:rsidP="00962D9B">
      <w:pPr>
        <w:pStyle w:val="Bullet1"/>
      </w:pPr>
      <w:r>
        <w:t>a</w:t>
      </w:r>
      <w:r w:rsidR="008B37A6">
        <w:t xml:space="preserve"> mental health service provider</w:t>
      </w:r>
      <w:r>
        <w:t>,</w:t>
      </w:r>
      <w:r w:rsidR="008B37A6">
        <w:t xml:space="preserve"> </w:t>
      </w:r>
      <w:r>
        <w:t xml:space="preserve">as defined in </w:t>
      </w:r>
      <w:r w:rsidR="008B37A6">
        <w:t xml:space="preserve">the </w:t>
      </w:r>
      <w:r w:rsidR="008B37A6" w:rsidRPr="00962D9B">
        <w:rPr>
          <w:i/>
          <w:iCs/>
        </w:rPr>
        <w:t>Mental Health Act 2014</w:t>
      </w:r>
    </w:p>
    <w:p w14:paraId="33064C2B" w14:textId="0D506F46" w:rsidR="008B37A6" w:rsidRDefault="0009778E" w:rsidP="00962D9B">
      <w:pPr>
        <w:pStyle w:val="Bullet1"/>
      </w:pPr>
      <w:r>
        <w:t>a</w:t>
      </w:r>
      <w:r w:rsidR="008B37A6">
        <w:t xml:space="preserve">n applicable entity that </w:t>
      </w:r>
      <w:r>
        <w:t>gets</w:t>
      </w:r>
      <w:r w:rsidR="008B37A6">
        <w:t xml:space="preserve"> funding under a </w:t>
      </w:r>
      <w:r>
        <w:t>s</w:t>
      </w:r>
      <w:r w:rsidR="008B37A6">
        <w:t>tate contract to provide drug or alcohol treatment services</w:t>
      </w:r>
      <w:r>
        <w:t>.</w:t>
      </w:r>
    </w:p>
    <w:p w14:paraId="363FB210" w14:textId="4296745C" w:rsidR="00267B13" w:rsidRDefault="00267B13" w:rsidP="00267B13">
      <w:pPr>
        <w:pStyle w:val="Heading2"/>
      </w:pPr>
      <w:bookmarkStart w:id="12" w:name="_Toc108006514"/>
      <w:bookmarkStart w:id="13" w:name="_Toc115101268"/>
      <w:r>
        <w:lastRenderedPageBreak/>
        <w:t>Co-regulation</w:t>
      </w:r>
      <w:bookmarkEnd w:id="12"/>
      <w:bookmarkEnd w:id="13"/>
    </w:p>
    <w:p w14:paraId="449EDD37" w14:textId="77777777" w:rsidR="00267B13" w:rsidRPr="005F4AAB" w:rsidRDefault="00267B13" w:rsidP="00131413">
      <w:pPr>
        <w:pStyle w:val="Heading3"/>
      </w:pPr>
      <w:r>
        <w:t>Sector regulators and integrated sector regulators</w:t>
      </w:r>
    </w:p>
    <w:p w14:paraId="68C7819E" w14:textId="77777777" w:rsidR="000F2432" w:rsidRDefault="00267B13" w:rsidP="00267B13">
      <w:pPr>
        <w:pStyle w:val="Body"/>
      </w:pPr>
      <w:r>
        <w:t>The Act shares responsibility for administering the Standards between</w:t>
      </w:r>
      <w:r w:rsidR="000F2432">
        <w:t>:</w:t>
      </w:r>
    </w:p>
    <w:p w14:paraId="0E6DB613" w14:textId="4582CD95" w:rsidR="000F2432" w:rsidRDefault="00267B13" w:rsidP="000F2432">
      <w:pPr>
        <w:pStyle w:val="Bullet1"/>
      </w:pPr>
      <w:r>
        <w:t>the Commission</w:t>
      </w:r>
    </w:p>
    <w:p w14:paraId="76D2D110" w14:textId="46159FED" w:rsidR="000F2432" w:rsidRDefault="00267B13" w:rsidP="000F2432">
      <w:pPr>
        <w:pStyle w:val="Bullet1"/>
      </w:pPr>
      <w:r>
        <w:t>sector regulators</w:t>
      </w:r>
    </w:p>
    <w:p w14:paraId="1D9952CF" w14:textId="3975C9FD" w:rsidR="00267B13" w:rsidRDefault="00267B13" w:rsidP="00450695">
      <w:pPr>
        <w:pStyle w:val="Bullet1"/>
      </w:pPr>
      <w:r>
        <w:t xml:space="preserve">integrated sector regulators. </w:t>
      </w:r>
    </w:p>
    <w:p w14:paraId="422C3519" w14:textId="63EA8B2D" w:rsidR="00FC38DD" w:rsidRDefault="00FC38DD" w:rsidP="00450695">
      <w:pPr>
        <w:pStyle w:val="Bodyafterbullets"/>
      </w:pPr>
      <w:r w:rsidRPr="006323EE">
        <w:rPr>
          <w:rStyle w:val="Strong"/>
        </w:rPr>
        <w:t>Sector regulators</w:t>
      </w:r>
      <w:r w:rsidRPr="00267B13">
        <w:t xml:space="preserve"> have specific knowledge of the relevant entities that they regulate</w:t>
      </w:r>
      <w:r>
        <w:t>.</w:t>
      </w:r>
      <w:r w:rsidRPr="00267B13">
        <w:t xml:space="preserve"> </w:t>
      </w:r>
      <w:r>
        <w:t xml:space="preserve">They </w:t>
      </w:r>
      <w:r w:rsidRPr="00267B13">
        <w:t xml:space="preserve">have the primary role in promoting, </w:t>
      </w:r>
      <w:proofErr w:type="gramStart"/>
      <w:r w:rsidRPr="00267B13">
        <w:t>monitoring</w:t>
      </w:r>
      <w:proofErr w:type="gramEnd"/>
      <w:r w:rsidRPr="00267B13">
        <w:t xml:space="preserve"> and enforcing compliance with the Standards.</w:t>
      </w:r>
      <w:r>
        <w:t xml:space="preserve"> The Regulator and the Commission are sector regulators.</w:t>
      </w:r>
    </w:p>
    <w:p w14:paraId="34FDE8C2" w14:textId="4370A2D2" w:rsidR="00FC38DD" w:rsidRDefault="00FC38DD" w:rsidP="00267B13">
      <w:pPr>
        <w:pStyle w:val="Body"/>
      </w:pPr>
      <w:r>
        <w:t xml:space="preserve">Sector regulators </w:t>
      </w:r>
      <w:r w:rsidRPr="005F4AAB">
        <w:t>use powers and functions in the Act to monitor and enforce compliance with the Standards</w:t>
      </w:r>
      <w:r>
        <w:t>.</w:t>
      </w:r>
      <w:r w:rsidRPr="005F4AAB">
        <w:t xml:space="preserve"> </w:t>
      </w:r>
    </w:p>
    <w:p w14:paraId="0BD72ACE" w14:textId="458652E9" w:rsidR="00FC38DD" w:rsidRPr="005F4AAB" w:rsidRDefault="00FC38DD" w:rsidP="00267B13">
      <w:pPr>
        <w:pStyle w:val="Body"/>
      </w:pPr>
      <w:r>
        <w:t>Other sector regulators include</w:t>
      </w:r>
      <w:r w:rsidRPr="005F4AAB">
        <w:t>:</w:t>
      </w:r>
    </w:p>
    <w:p w14:paraId="5891C985" w14:textId="281E1AFC" w:rsidR="00FC38DD" w:rsidRDefault="00FC38DD" w:rsidP="00267B13">
      <w:pPr>
        <w:pStyle w:val="Bullet1"/>
      </w:pPr>
      <w:r w:rsidRPr="005F4AAB">
        <w:t xml:space="preserve">Secretary </w:t>
      </w:r>
      <w:r>
        <w:t xml:space="preserve">of the </w:t>
      </w:r>
      <w:r w:rsidRPr="005F4AAB">
        <w:t>Department of Families Fairness and Housing</w:t>
      </w:r>
    </w:p>
    <w:p w14:paraId="6BECE55B" w14:textId="67823B7F" w:rsidR="00FC38DD" w:rsidRPr="005F4AAB" w:rsidRDefault="00FC38DD" w:rsidP="00267B13">
      <w:pPr>
        <w:pStyle w:val="Bullet1"/>
      </w:pPr>
      <w:r w:rsidRPr="005F4AAB">
        <w:t>Wage Inspectorate Victoria</w:t>
      </w:r>
      <w:r>
        <w:t>.</w:t>
      </w:r>
    </w:p>
    <w:p w14:paraId="7A27BF6D" w14:textId="4EA69518" w:rsidR="00FC38DD" w:rsidRDefault="00FC38DD" w:rsidP="006323EE">
      <w:pPr>
        <w:pStyle w:val="Bodyafterbullets"/>
      </w:pPr>
      <w:r w:rsidRPr="006323EE">
        <w:rPr>
          <w:rStyle w:val="Strong"/>
        </w:rPr>
        <w:t>Integrated sector regulators</w:t>
      </w:r>
      <w:r w:rsidRPr="00FC38DD">
        <w:t xml:space="preserve"> </w:t>
      </w:r>
      <w:r>
        <w:t>monitor and enforce the Standards using powers in their primary legislation. They also have added powers under the Act.</w:t>
      </w:r>
    </w:p>
    <w:p w14:paraId="61E7C40A" w14:textId="77777777" w:rsidR="00FC38DD" w:rsidRDefault="00FC38DD" w:rsidP="00267B13">
      <w:pPr>
        <w:pStyle w:val="Body"/>
      </w:pPr>
      <w:r>
        <w:t>The i</w:t>
      </w:r>
      <w:r w:rsidRPr="00452D63">
        <w:t>ntegrated sector regulator</w:t>
      </w:r>
      <w:r>
        <w:t>s are:</w:t>
      </w:r>
    </w:p>
    <w:p w14:paraId="13588ED3" w14:textId="77777777" w:rsidR="00FC38DD" w:rsidRPr="00D842BD" w:rsidRDefault="00FC38DD" w:rsidP="00267B13">
      <w:pPr>
        <w:pStyle w:val="Bullet1"/>
        <w:rPr>
          <w:b/>
          <w:bCs/>
          <w:i/>
          <w:iCs/>
        </w:rPr>
      </w:pPr>
      <w:r w:rsidRPr="005F4AAB">
        <w:t xml:space="preserve">Department of Education and Training </w:t>
      </w:r>
    </w:p>
    <w:p w14:paraId="476BEA4D" w14:textId="56C1F64B" w:rsidR="00FC38DD" w:rsidRDefault="00FC38DD" w:rsidP="00267B13">
      <w:pPr>
        <w:pStyle w:val="Bullet1"/>
      </w:pPr>
      <w:r w:rsidRPr="00452D63">
        <w:t>Victorian Registration and Qualifications Authority</w:t>
      </w:r>
      <w:r w:rsidR="00964898">
        <w:t>.</w:t>
      </w:r>
    </w:p>
    <w:p w14:paraId="683371EC" w14:textId="6FC6272C" w:rsidR="000F2432" w:rsidRDefault="00FC38DD" w:rsidP="00FC38DD">
      <w:pPr>
        <w:pStyle w:val="Bodyafterbullets"/>
      </w:pPr>
      <w:r>
        <w:t>S</w:t>
      </w:r>
      <w:r w:rsidR="00267B13" w:rsidRPr="005F4AAB">
        <w:t xml:space="preserve">ector </w:t>
      </w:r>
      <w:r w:rsidR="00C74DD5">
        <w:t xml:space="preserve">regulators </w:t>
      </w:r>
      <w:r w:rsidR="00267B13" w:rsidRPr="005F4AAB">
        <w:t>and integrated regulators are responsible for their own prescribed relevant entities</w:t>
      </w:r>
      <w:r>
        <w:t>.</w:t>
      </w:r>
      <w:r w:rsidR="00267B13" w:rsidRPr="005F4AAB">
        <w:t xml:space="preserve"> </w:t>
      </w:r>
      <w:r>
        <w:t>Some</w:t>
      </w:r>
      <w:r w:rsidRPr="005F4AAB">
        <w:t xml:space="preserve"> </w:t>
      </w:r>
      <w:r w:rsidR="00267B13" w:rsidRPr="005F4AAB">
        <w:t>organisation</w:t>
      </w:r>
      <w:r w:rsidR="00267B13">
        <w:t>s</w:t>
      </w:r>
      <w:r w:rsidR="00267B13" w:rsidRPr="005F4AAB">
        <w:t xml:space="preserve"> or bod</w:t>
      </w:r>
      <w:r w:rsidR="00267B13">
        <w:t>ies</w:t>
      </w:r>
      <w:r w:rsidR="00267B13" w:rsidRPr="005F4AAB">
        <w:t xml:space="preserve"> </w:t>
      </w:r>
      <w:r w:rsidR="00CA3A7D">
        <w:t>that provide services (</w:t>
      </w:r>
      <w:r w:rsidR="00CA3A7D" w:rsidRPr="005F4AAB">
        <w:t>such as a local council</w:t>
      </w:r>
      <w:r w:rsidR="000F2432">
        <w:t>)</w:t>
      </w:r>
      <w:r w:rsidR="00CA3A7D" w:rsidRPr="005F4AAB" w:rsidDel="00CA3A7D">
        <w:t xml:space="preserve"> </w:t>
      </w:r>
      <w:r w:rsidR="00267B13" w:rsidRPr="005F4AAB">
        <w:t xml:space="preserve">may </w:t>
      </w:r>
      <w:r w:rsidR="00CA3A7D">
        <w:t xml:space="preserve">deal with several </w:t>
      </w:r>
      <w:r w:rsidR="00267B13" w:rsidRPr="005F4AAB">
        <w:t>regulators.</w:t>
      </w:r>
      <w:r w:rsidR="00CA3A7D" w:rsidRPr="005F4AAB">
        <w:t xml:space="preserve"> </w:t>
      </w:r>
      <w:r w:rsidR="00267B13" w:rsidRPr="005F4AAB">
        <w:t>For example</w:t>
      </w:r>
      <w:r w:rsidR="00267B13">
        <w:t>,</w:t>
      </w:r>
      <w:r w:rsidR="00267B13" w:rsidRPr="005F4AAB">
        <w:t xml:space="preserve"> a council may provide</w:t>
      </w:r>
      <w:r w:rsidR="000F2432">
        <w:t>:</w:t>
      </w:r>
    </w:p>
    <w:p w14:paraId="20C33525" w14:textId="6446A0BB" w:rsidR="000F2432" w:rsidRDefault="00267B13" w:rsidP="000F2432">
      <w:pPr>
        <w:pStyle w:val="Bullet1"/>
      </w:pPr>
      <w:r w:rsidRPr="005F4AAB">
        <w:t xml:space="preserve">maternal </w:t>
      </w:r>
      <w:r>
        <w:t xml:space="preserve">and </w:t>
      </w:r>
      <w:r w:rsidRPr="005F4AAB">
        <w:t xml:space="preserve">child </w:t>
      </w:r>
      <w:r>
        <w:t>health</w:t>
      </w:r>
      <w:r w:rsidRPr="005F4AAB">
        <w:t xml:space="preserve"> services</w:t>
      </w:r>
      <w:r>
        <w:t xml:space="preserve"> </w:t>
      </w:r>
      <w:r w:rsidR="000F2432">
        <w:t xml:space="preserve">– </w:t>
      </w:r>
      <w:r>
        <w:t>regulated by the Regulator</w:t>
      </w:r>
    </w:p>
    <w:p w14:paraId="5CB77FFB" w14:textId="0491052C" w:rsidR="00267B13" w:rsidRDefault="006E3C93" w:rsidP="004D3BE3">
      <w:pPr>
        <w:pStyle w:val="Bullet1"/>
      </w:pPr>
      <w:r>
        <w:t xml:space="preserve">early </w:t>
      </w:r>
      <w:r w:rsidR="00267B13" w:rsidRPr="005F4AAB">
        <w:t>child</w:t>
      </w:r>
      <w:r>
        <w:t>hood</w:t>
      </w:r>
      <w:r w:rsidR="00267B13" w:rsidRPr="005F4AAB">
        <w:t xml:space="preserve"> education</w:t>
      </w:r>
      <w:r w:rsidR="00267B13">
        <w:t xml:space="preserve"> services </w:t>
      </w:r>
      <w:r w:rsidR="000F2432">
        <w:t xml:space="preserve">– </w:t>
      </w:r>
      <w:r w:rsidR="00267B13">
        <w:t>regulated by the Department of Education and Training.</w:t>
      </w:r>
    </w:p>
    <w:p w14:paraId="06B5A3FE" w14:textId="287FC811" w:rsidR="00267B13" w:rsidRDefault="00267B13" w:rsidP="004D3BE3">
      <w:pPr>
        <w:pStyle w:val="Bodyafterbullets"/>
      </w:pPr>
      <w:r>
        <w:t>In these instances, regulators have powers to share information and coordinate compliance activities</w:t>
      </w:r>
      <w:r w:rsidR="000F2432">
        <w:t>. This is</w:t>
      </w:r>
      <w:r>
        <w:t xml:space="preserve"> to ensure their regulatory approaches are consistent and to avoid duplication.</w:t>
      </w:r>
    </w:p>
    <w:p w14:paraId="0160F8A8" w14:textId="77777777" w:rsidR="00267B13" w:rsidRPr="00697CAB" w:rsidRDefault="00267B13" w:rsidP="004D3BE3">
      <w:pPr>
        <w:pStyle w:val="Heading3"/>
      </w:pPr>
      <w:r w:rsidRPr="00304506">
        <w:t xml:space="preserve">Commission for Children and Young People </w:t>
      </w:r>
    </w:p>
    <w:p w14:paraId="002FED0C" w14:textId="390C1794" w:rsidR="00267B13" w:rsidRDefault="00267B13" w:rsidP="00466680">
      <w:pPr>
        <w:pStyle w:val="Body"/>
      </w:pPr>
      <w:r>
        <w:t xml:space="preserve">The Commission has a </w:t>
      </w:r>
      <w:proofErr w:type="spellStart"/>
      <w:r w:rsidR="000F2432">
        <w:t>s</w:t>
      </w:r>
      <w:r>
        <w:t>tatewide</w:t>
      </w:r>
      <w:proofErr w:type="spellEnd"/>
      <w:r>
        <w:t xml:space="preserve"> </w:t>
      </w:r>
      <w:r w:rsidRPr="00777AD7">
        <w:t xml:space="preserve">leadership and </w:t>
      </w:r>
      <w:r>
        <w:t xml:space="preserve">oversight role in administering the Standards. </w:t>
      </w:r>
      <w:r w:rsidR="007B1E7B">
        <w:t>The Commission</w:t>
      </w:r>
      <w:r w:rsidR="00466680">
        <w:t xml:space="preserve"> </w:t>
      </w:r>
      <w:r>
        <w:t>publishes information for organisations across all sectors on how to create a child safe environment</w:t>
      </w:r>
      <w:r w:rsidR="00466680">
        <w:t xml:space="preserve">. </w:t>
      </w:r>
      <w:r w:rsidR="000B2A39">
        <w:t xml:space="preserve">It </w:t>
      </w:r>
      <w:r w:rsidR="007B1E7B">
        <w:t xml:space="preserve">gives </w:t>
      </w:r>
      <w:r>
        <w:t xml:space="preserve">practical guidance </w:t>
      </w:r>
      <w:r w:rsidR="007B1E7B">
        <w:t xml:space="preserve">on putting </w:t>
      </w:r>
      <w:r>
        <w:t>the Standards</w:t>
      </w:r>
      <w:r w:rsidR="007B1E7B">
        <w:t xml:space="preserve"> in place</w:t>
      </w:r>
      <w:r>
        <w:t xml:space="preserve">, including compliance indicators, case studies, </w:t>
      </w:r>
      <w:proofErr w:type="gramStart"/>
      <w:r>
        <w:t>tools</w:t>
      </w:r>
      <w:proofErr w:type="gramEnd"/>
      <w:r>
        <w:t xml:space="preserve"> and templates</w:t>
      </w:r>
      <w:r w:rsidR="007B1E7B">
        <w:t>.</w:t>
      </w:r>
      <w:r>
        <w:rPr>
          <w:rStyle w:val="FootnoteReference"/>
        </w:rPr>
        <w:footnoteReference w:id="4"/>
      </w:r>
    </w:p>
    <w:p w14:paraId="7C48B6FB" w14:textId="1FF16B60" w:rsidR="007B1E7B" w:rsidRDefault="00267B13" w:rsidP="007B1E7B">
      <w:pPr>
        <w:pStyle w:val="Bodyafterbullets"/>
      </w:pPr>
      <w:r>
        <w:t xml:space="preserve">Within the Commission, the Commissioner for Aboriginal Children and Young People is a </w:t>
      </w:r>
      <w:r w:rsidR="007B1E7B">
        <w:t xml:space="preserve">major </w:t>
      </w:r>
      <w:r>
        <w:t>source of information and guidance for Standard 1</w:t>
      </w:r>
      <w:r w:rsidR="007B1E7B">
        <w:t>:</w:t>
      </w:r>
    </w:p>
    <w:p w14:paraId="49A598B0" w14:textId="200E2489" w:rsidR="00267B13" w:rsidRDefault="007B1E7B" w:rsidP="00337494">
      <w:pPr>
        <w:pStyle w:val="Quotetext"/>
      </w:pPr>
      <w:r>
        <w:t>‘</w:t>
      </w:r>
      <w:r w:rsidR="00267B13" w:rsidRPr="00E00FC0">
        <w:t>Organisations establish a culturally safe environment in which the diverse and unique identities and experiences of Aboriginal children and young people are respected and valued</w:t>
      </w:r>
      <w:r>
        <w:t>’</w:t>
      </w:r>
      <w:r w:rsidR="00267B13">
        <w:t>.</w:t>
      </w:r>
    </w:p>
    <w:p w14:paraId="72C66D15" w14:textId="2B4076D7" w:rsidR="007B1E7B" w:rsidRDefault="00267B13" w:rsidP="00337494">
      <w:pPr>
        <w:pStyle w:val="Bodyaftertablefigure"/>
      </w:pPr>
      <w:r>
        <w:lastRenderedPageBreak/>
        <w:t>The Commission</w:t>
      </w:r>
      <w:r w:rsidRPr="00777AD7">
        <w:t xml:space="preserve"> </w:t>
      </w:r>
      <w:r>
        <w:t>works with peer regulators to ensure consistency of compliance and enforcement approaches. It is a key source of intelligence about</w:t>
      </w:r>
      <w:r w:rsidR="000B2A39">
        <w:t xml:space="preserve"> </w:t>
      </w:r>
      <w:r>
        <w:t>organisations</w:t>
      </w:r>
      <w:r w:rsidR="000B2A39">
        <w:t xml:space="preserve">, </w:t>
      </w:r>
      <w:r>
        <w:t>emerging child safety issues</w:t>
      </w:r>
      <w:r w:rsidR="000B2A39">
        <w:t xml:space="preserve"> and </w:t>
      </w:r>
      <w:r>
        <w:t>systemic risks.</w:t>
      </w:r>
    </w:p>
    <w:p w14:paraId="4585DF25" w14:textId="3CF8E482" w:rsidR="00267B13" w:rsidRDefault="00267B13" w:rsidP="00267B13">
      <w:pPr>
        <w:pStyle w:val="Body"/>
      </w:pPr>
      <w:r>
        <w:t xml:space="preserve">The Commission is the default regulator for any organisation not covered by another sector </w:t>
      </w:r>
      <w:r w:rsidR="00B85665">
        <w:t xml:space="preserve">regulator </w:t>
      </w:r>
      <w:r>
        <w:t>or integrated sector regulator.</w:t>
      </w:r>
    </w:p>
    <w:p w14:paraId="3BCE7877" w14:textId="77777777" w:rsidR="00267B13" w:rsidRDefault="00267B13" w:rsidP="006B1C76">
      <w:pPr>
        <w:pStyle w:val="Heading3"/>
      </w:pPr>
      <w:r>
        <w:t>Collaboration and referrals</w:t>
      </w:r>
    </w:p>
    <w:p w14:paraId="771C6158" w14:textId="1CB316B5" w:rsidR="003B2780" w:rsidRDefault="00267B13" w:rsidP="00267B13">
      <w:pPr>
        <w:pStyle w:val="Body"/>
      </w:pPr>
      <w:r>
        <w:t>The Regulator collaborates</w:t>
      </w:r>
      <w:r w:rsidR="007573A7">
        <w:t>,</w:t>
      </w:r>
      <w:r>
        <w:t xml:space="preserve"> shares </w:t>
      </w:r>
      <w:proofErr w:type="gramStart"/>
      <w:r>
        <w:t>information</w:t>
      </w:r>
      <w:proofErr w:type="gramEnd"/>
      <w:r>
        <w:t xml:space="preserve"> </w:t>
      </w:r>
      <w:r w:rsidR="007573A7">
        <w:t xml:space="preserve">and </w:t>
      </w:r>
      <w:r w:rsidR="00CB0B9C">
        <w:t xml:space="preserve">makes referrals </w:t>
      </w:r>
      <w:r>
        <w:t xml:space="preserve">with peer regulators and </w:t>
      </w:r>
      <w:r w:rsidR="00010867">
        <w:t>other authorities to</w:t>
      </w:r>
      <w:r w:rsidR="003B2780">
        <w:t>:</w:t>
      </w:r>
    </w:p>
    <w:p w14:paraId="52E9BA15" w14:textId="228E4E48" w:rsidR="003B2780" w:rsidRDefault="003B2780" w:rsidP="003B2780">
      <w:pPr>
        <w:pStyle w:val="Bullet1"/>
      </w:pPr>
      <w:r>
        <w:t xml:space="preserve">increase </w:t>
      </w:r>
      <w:r w:rsidR="00267B13">
        <w:t>effectiveness</w:t>
      </w:r>
    </w:p>
    <w:p w14:paraId="4100ED69" w14:textId="485DF25A" w:rsidR="003B2780" w:rsidRDefault="00267B13" w:rsidP="003B2780">
      <w:pPr>
        <w:pStyle w:val="Bullet1"/>
      </w:pPr>
      <w:r>
        <w:t>use resources efficiently</w:t>
      </w:r>
    </w:p>
    <w:p w14:paraId="7AF047E4" w14:textId="57274A80" w:rsidR="00267B13" w:rsidRDefault="003B2780" w:rsidP="006B1C76">
      <w:pPr>
        <w:pStyle w:val="Bullet1"/>
      </w:pPr>
      <w:r>
        <w:t xml:space="preserve">reduce </w:t>
      </w:r>
      <w:r w:rsidR="00267B13">
        <w:t xml:space="preserve">regulatory burden on organisations. </w:t>
      </w:r>
    </w:p>
    <w:p w14:paraId="6F02EDC9" w14:textId="55BCA074" w:rsidR="00267B13" w:rsidRDefault="00267B13" w:rsidP="006B1C76">
      <w:pPr>
        <w:pStyle w:val="Bodyafterbullets"/>
      </w:pPr>
      <w:r>
        <w:t>Other regulators refer notifications and incidents to the Regulator for follow-up whe</w:t>
      </w:r>
      <w:r w:rsidR="00116696">
        <w:t>n</w:t>
      </w:r>
      <w:r>
        <w:t xml:space="preserve"> it has primary jurisdiction. </w:t>
      </w:r>
    </w:p>
    <w:p w14:paraId="5E6930E1" w14:textId="05DDE8A3" w:rsidR="00267B13" w:rsidRDefault="00267B13" w:rsidP="00267B13">
      <w:pPr>
        <w:pStyle w:val="Body"/>
      </w:pPr>
      <w:r>
        <w:t>Notable partners in co-regulating the Standards for health organisations include</w:t>
      </w:r>
      <w:r w:rsidR="003B2780">
        <w:t xml:space="preserve"> the following</w:t>
      </w:r>
      <w:r w:rsidR="000B2A39">
        <w:t>.</w:t>
      </w:r>
    </w:p>
    <w:p w14:paraId="132FB560" w14:textId="2D325E6D" w:rsidR="003B2780" w:rsidRDefault="00267B13" w:rsidP="006C2BB6">
      <w:pPr>
        <w:pStyle w:val="Heading4"/>
      </w:pPr>
      <w:r w:rsidRPr="00304506">
        <w:t xml:space="preserve">Victoria </w:t>
      </w:r>
      <w:r w:rsidRPr="00697CAB">
        <w:t>Police</w:t>
      </w:r>
    </w:p>
    <w:p w14:paraId="04850122" w14:textId="23F0CEAD" w:rsidR="00267B13" w:rsidRDefault="003B2780" w:rsidP="006C2BB6">
      <w:pPr>
        <w:pStyle w:val="Body"/>
      </w:pPr>
      <w:r>
        <w:t>I</w:t>
      </w:r>
      <w:r w:rsidR="00267B13">
        <w:t xml:space="preserve">f the Regulator becomes aware of criminal conduct or suspected criminal conduct, </w:t>
      </w:r>
      <w:r>
        <w:t xml:space="preserve">they </w:t>
      </w:r>
      <w:r w:rsidR="00267B13">
        <w:t>must report</w:t>
      </w:r>
      <w:r>
        <w:t xml:space="preserve"> it</w:t>
      </w:r>
      <w:r w:rsidR="00267B13">
        <w:t xml:space="preserve"> to the </w:t>
      </w:r>
      <w:r>
        <w:t>police.</w:t>
      </w:r>
      <w:r w:rsidR="00267B13">
        <w:rPr>
          <w:rStyle w:val="FootnoteReference"/>
        </w:rPr>
        <w:footnoteReference w:id="5"/>
      </w:r>
      <w:r w:rsidR="00267B13">
        <w:t xml:space="preserve"> The Regulator liaise</w:t>
      </w:r>
      <w:r>
        <w:t>s</w:t>
      </w:r>
      <w:r w:rsidR="00267B13">
        <w:t xml:space="preserve"> with the </w:t>
      </w:r>
      <w:r>
        <w:t xml:space="preserve">police </w:t>
      </w:r>
      <w:r w:rsidR="00267B13">
        <w:t>and share</w:t>
      </w:r>
      <w:r>
        <w:t>s</w:t>
      </w:r>
      <w:r w:rsidR="00267B13">
        <w:t xml:space="preserve"> information to support child safety. </w:t>
      </w:r>
    </w:p>
    <w:p w14:paraId="547A2EC4" w14:textId="77777777" w:rsidR="003B2780" w:rsidRPr="003B2780" w:rsidRDefault="00267B13" w:rsidP="006C2BB6">
      <w:pPr>
        <w:pStyle w:val="Heading4"/>
      </w:pPr>
      <w:r w:rsidRPr="00424B4D">
        <w:t>Department of Health program areas</w:t>
      </w:r>
    </w:p>
    <w:p w14:paraId="7D891D36" w14:textId="0C355362" w:rsidR="00267B13" w:rsidRDefault="003B2780" w:rsidP="006C2BB6">
      <w:pPr>
        <w:pStyle w:val="Body"/>
      </w:pPr>
      <w:r>
        <w:t>T</w:t>
      </w:r>
      <w:r w:rsidR="00267B13">
        <w:t>he Regulator shares intelligence and discloses lawful information with areas that</w:t>
      </w:r>
      <w:r w:rsidR="00466680">
        <w:t xml:space="preserve"> </w:t>
      </w:r>
      <w:r w:rsidR="00267B13">
        <w:t>co-regulate</w:t>
      </w:r>
      <w:r w:rsidR="00466680">
        <w:t xml:space="preserve">, </w:t>
      </w:r>
      <w:r w:rsidR="00267B13">
        <w:t xml:space="preserve">provide </w:t>
      </w:r>
      <w:proofErr w:type="gramStart"/>
      <w:r w:rsidR="00267B13">
        <w:t>oversight</w:t>
      </w:r>
      <w:proofErr w:type="gramEnd"/>
      <w:r w:rsidR="00466680">
        <w:t xml:space="preserve"> and </w:t>
      </w:r>
      <w:r w:rsidR="00267B13">
        <w:t xml:space="preserve">administer funds to organisations. </w:t>
      </w:r>
    </w:p>
    <w:p w14:paraId="29FB2454" w14:textId="77777777" w:rsidR="003B2780" w:rsidRPr="003B2780" w:rsidRDefault="00267B13" w:rsidP="006C2BB6">
      <w:pPr>
        <w:pStyle w:val="Heading4"/>
      </w:pPr>
      <w:r w:rsidRPr="00424B4D">
        <w:t>Child Protection</w:t>
      </w:r>
    </w:p>
    <w:p w14:paraId="33FE17E1" w14:textId="7D6E4AD9" w:rsidR="004313E7" w:rsidRDefault="003B2780" w:rsidP="003B2780">
      <w:pPr>
        <w:pStyle w:val="Body"/>
      </w:pPr>
      <w:r>
        <w:t>T</w:t>
      </w:r>
      <w:r w:rsidR="00267B13">
        <w:t xml:space="preserve">he Regulator reports to Child Protection </w:t>
      </w:r>
      <w:r w:rsidR="004313E7">
        <w:t xml:space="preserve">when it </w:t>
      </w:r>
      <w:r w:rsidR="00267B13" w:rsidRPr="00CA5D77">
        <w:t>reasonabl</w:t>
      </w:r>
      <w:r w:rsidR="004313E7">
        <w:t>y</w:t>
      </w:r>
      <w:r w:rsidR="00267B13" w:rsidRPr="00CA5D77">
        <w:t xml:space="preserve"> belie</w:t>
      </w:r>
      <w:r w:rsidR="004313E7">
        <w:t>ves</w:t>
      </w:r>
      <w:r w:rsidR="00267B13" w:rsidRPr="00CA5D77">
        <w:t xml:space="preserve"> that</w:t>
      </w:r>
      <w:r w:rsidR="004313E7">
        <w:t>:</w:t>
      </w:r>
    </w:p>
    <w:p w14:paraId="3643C186" w14:textId="293ED934" w:rsidR="004313E7" w:rsidRDefault="00267B13" w:rsidP="004313E7">
      <w:pPr>
        <w:pStyle w:val="Bullet1"/>
      </w:pPr>
      <w:r w:rsidRPr="00CA5D77">
        <w:t xml:space="preserve">a child has suffered or is likely to suffer significant harm </w:t>
      </w:r>
      <w:r>
        <w:t>from</w:t>
      </w:r>
      <w:r w:rsidRPr="00CA5D77">
        <w:t xml:space="preserve"> abuse or neglect</w:t>
      </w:r>
      <w:r w:rsidR="004313E7">
        <w:t>,</w:t>
      </w:r>
      <w:r w:rsidRPr="00CA5D77">
        <w:t xml:space="preserve"> </w:t>
      </w:r>
      <w:r w:rsidR="004313E7" w:rsidRPr="0056335D">
        <w:rPr>
          <w:rStyle w:val="Strong"/>
          <w:b w:val="0"/>
          <w:bCs w:val="0"/>
        </w:rPr>
        <w:t>and</w:t>
      </w:r>
    </w:p>
    <w:p w14:paraId="103292BC" w14:textId="1770DC50" w:rsidR="00267B13" w:rsidRDefault="00267B13" w:rsidP="004313E7">
      <w:pPr>
        <w:pStyle w:val="Bullet1"/>
      </w:pPr>
      <w:r w:rsidRPr="00CA5D77">
        <w:t>the parent has not or is unlikely to protect them from such harm.</w:t>
      </w:r>
      <w:r w:rsidR="00324FB7">
        <w:rPr>
          <w:rStyle w:val="FootnoteReference"/>
        </w:rPr>
        <w:footnoteReference w:id="6"/>
      </w:r>
    </w:p>
    <w:p w14:paraId="7F340258" w14:textId="3090D7FD" w:rsidR="00267B13" w:rsidRDefault="003125E1" w:rsidP="00267B13">
      <w:pPr>
        <w:pStyle w:val="Heading2"/>
      </w:pPr>
      <w:bookmarkStart w:id="14" w:name="_What_is_regulated?"/>
      <w:bookmarkStart w:id="15" w:name="_Toc115101269"/>
      <w:bookmarkEnd w:id="14"/>
      <w:r>
        <w:t>Meeting the standards</w:t>
      </w:r>
      <w:bookmarkEnd w:id="15"/>
    </w:p>
    <w:p w14:paraId="7AC7FF1A" w14:textId="77777777" w:rsidR="003125E1" w:rsidRDefault="003125E1" w:rsidP="003125E1">
      <w:pPr>
        <w:pStyle w:val="Body"/>
      </w:pPr>
      <w:bookmarkStart w:id="16" w:name="_Toc510094011"/>
      <w:r>
        <w:t>The Standards are mandatory for in-scope organisations. There can be legal consequences for organisations that do not comply.</w:t>
      </w:r>
    </w:p>
    <w:p w14:paraId="4B96A58F" w14:textId="1C7370D2" w:rsidR="003125E1" w:rsidRDefault="00267B13" w:rsidP="003125E1">
      <w:pPr>
        <w:pStyle w:val="Body"/>
      </w:pPr>
      <w:r>
        <w:t xml:space="preserve">Organisations </w:t>
      </w:r>
      <w:r w:rsidR="006244AB">
        <w:t>must meet certain</w:t>
      </w:r>
      <w:r>
        <w:t xml:space="preserve"> outcomes </w:t>
      </w:r>
      <w:r w:rsidR="006244AB">
        <w:t>to show they comply with the Standards</w:t>
      </w:r>
      <w:r>
        <w:t>.</w:t>
      </w:r>
      <w:r w:rsidR="003125E1" w:rsidRPr="003125E1">
        <w:t xml:space="preserve"> </w:t>
      </w:r>
    </w:p>
    <w:p w14:paraId="2E996837" w14:textId="3669ADB7" w:rsidR="00532B67" w:rsidRDefault="00267B13" w:rsidP="00267B13">
      <w:pPr>
        <w:pStyle w:val="Body"/>
      </w:pPr>
      <w:r>
        <w:t xml:space="preserve">Each Standard includes minimum requirements. </w:t>
      </w:r>
      <w:r w:rsidR="006244AB">
        <w:t xml:space="preserve">These </w:t>
      </w:r>
      <w:r>
        <w:t xml:space="preserve">describe </w:t>
      </w:r>
      <w:r w:rsidR="00532B67">
        <w:t xml:space="preserve">things organisations must put in place including </w:t>
      </w:r>
      <w:r>
        <w:t>specific</w:t>
      </w:r>
      <w:r w:rsidR="00532B67">
        <w:t>:</w:t>
      </w:r>
    </w:p>
    <w:p w14:paraId="2CCBA001" w14:textId="05FCF5F0" w:rsidR="00532B67" w:rsidRDefault="00267B13" w:rsidP="00532B67">
      <w:pPr>
        <w:pStyle w:val="Bullet1"/>
      </w:pPr>
      <w:r>
        <w:t>actions</w:t>
      </w:r>
    </w:p>
    <w:p w14:paraId="5C43C7B7" w14:textId="5473B148" w:rsidR="00532B67" w:rsidRDefault="00267B13" w:rsidP="00532B67">
      <w:pPr>
        <w:pStyle w:val="Bullet1"/>
      </w:pPr>
      <w:r>
        <w:t>strategies</w:t>
      </w:r>
    </w:p>
    <w:p w14:paraId="40722DCF" w14:textId="4D4D2242" w:rsidR="00532B67" w:rsidRDefault="00267B13" w:rsidP="00532B67">
      <w:pPr>
        <w:pStyle w:val="Bullet1"/>
      </w:pPr>
      <w:r>
        <w:t xml:space="preserve">operational </w:t>
      </w:r>
      <w:r w:rsidR="00694409">
        <w:t xml:space="preserve">policies and </w:t>
      </w:r>
      <w:r>
        <w:t>practices</w:t>
      </w:r>
    </w:p>
    <w:p w14:paraId="1C1FF3A0" w14:textId="010143D0" w:rsidR="00267B13" w:rsidRDefault="00267B13" w:rsidP="003941EA">
      <w:pPr>
        <w:pStyle w:val="Bullet1"/>
      </w:pPr>
      <w:r>
        <w:t>governance arrangements.</w:t>
      </w:r>
    </w:p>
    <w:p w14:paraId="10D1FEB8" w14:textId="3DC6F163" w:rsidR="00267B13" w:rsidRDefault="00267B13" w:rsidP="003941EA">
      <w:pPr>
        <w:pStyle w:val="Bodyafterbullets"/>
      </w:pPr>
      <w:r>
        <w:lastRenderedPageBreak/>
        <w:t xml:space="preserve">The Standards and minimum requirements are </w:t>
      </w:r>
      <w:r w:rsidR="00DA16AE">
        <w:t xml:space="preserve">listed </w:t>
      </w:r>
      <w:r>
        <w:t>in</w:t>
      </w:r>
      <w:r w:rsidR="00DA16AE">
        <w:t xml:space="preserve"> </w:t>
      </w:r>
      <w:r w:rsidR="00DA16AE" w:rsidRPr="009D661D">
        <w:rPr>
          <w:b/>
          <w:bCs/>
        </w:rPr>
        <w:fldChar w:fldCharType="begin"/>
      </w:r>
      <w:r w:rsidR="00DA16AE" w:rsidRPr="00246E9D">
        <w:rPr>
          <w:b/>
          <w:bCs/>
        </w:rPr>
        <w:instrText xml:space="preserve"> REF _Ref114228200 \h </w:instrText>
      </w:r>
      <w:r w:rsidR="00DA16AE">
        <w:rPr>
          <w:b/>
          <w:bCs/>
        </w:rPr>
        <w:instrText xml:space="preserve"> \* MERGEFORMAT </w:instrText>
      </w:r>
      <w:r w:rsidR="00DA16AE" w:rsidRPr="009D661D">
        <w:rPr>
          <w:b/>
          <w:bCs/>
        </w:rPr>
      </w:r>
      <w:r w:rsidR="00DA16AE" w:rsidRPr="009D661D">
        <w:rPr>
          <w:b/>
          <w:bCs/>
        </w:rPr>
        <w:fldChar w:fldCharType="separate"/>
      </w:r>
      <w:r w:rsidR="00DA16AE" w:rsidRPr="00246E9D">
        <w:rPr>
          <w:b/>
          <w:bCs/>
        </w:rPr>
        <w:t>Appendix A: Child Safe Standards</w:t>
      </w:r>
      <w:r w:rsidR="00DA16AE" w:rsidRPr="009D661D">
        <w:rPr>
          <w:b/>
          <w:bCs/>
        </w:rPr>
        <w:fldChar w:fldCharType="end"/>
      </w:r>
      <w:r>
        <w:t>.</w:t>
      </w:r>
    </w:p>
    <w:p w14:paraId="3AB821F1" w14:textId="77777777" w:rsidR="003125E1" w:rsidRDefault="003125E1" w:rsidP="003941EA">
      <w:pPr>
        <w:pStyle w:val="Body"/>
      </w:pPr>
      <w:r>
        <w:t xml:space="preserve">Organisations vary in size, structure, </w:t>
      </w:r>
      <w:proofErr w:type="gramStart"/>
      <w:r>
        <w:t>diversity</w:t>
      </w:r>
      <w:proofErr w:type="gramEnd"/>
      <w:r>
        <w:t xml:space="preserve"> and range of services. Each organisation must implement the Standards in a way that is appropriate for them.</w:t>
      </w:r>
    </w:p>
    <w:p w14:paraId="3308431F" w14:textId="4F4C7E23" w:rsidR="003125E1" w:rsidRDefault="00267B13" w:rsidP="00267B13">
      <w:pPr>
        <w:pStyle w:val="Body"/>
      </w:pPr>
      <w:r>
        <w:t>The Standards</w:t>
      </w:r>
      <w:r w:rsidDel="00B14463">
        <w:t xml:space="preserve"> </w:t>
      </w:r>
      <w:r w:rsidRPr="00E4674B">
        <w:t xml:space="preserve">drive cultural change </w:t>
      </w:r>
      <w:r>
        <w:t xml:space="preserve">within organisations </w:t>
      </w:r>
      <w:r w:rsidRPr="00E4674B">
        <w:t xml:space="preserve">so that protecting children from abuse is embedded </w:t>
      </w:r>
      <w:r>
        <w:t xml:space="preserve">in </w:t>
      </w:r>
      <w:r w:rsidRPr="00E4674B">
        <w:t>everyday thinking and practice.</w:t>
      </w:r>
      <w:r>
        <w:t xml:space="preserve"> The aim is to </w:t>
      </w:r>
      <w:r w:rsidRPr="00E76AA8">
        <w:t>ensure that</w:t>
      </w:r>
      <w:r w:rsidR="003125E1">
        <w:t>:</w:t>
      </w:r>
    </w:p>
    <w:p w14:paraId="466A1188" w14:textId="702651D9" w:rsidR="003125E1" w:rsidRDefault="00267B13" w:rsidP="003125E1">
      <w:pPr>
        <w:pStyle w:val="Bullet1"/>
      </w:pPr>
      <w:r w:rsidRPr="00E76AA8">
        <w:t>the safety of children is promoted</w:t>
      </w:r>
    </w:p>
    <w:p w14:paraId="5CBD47A8" w14:textId="74331204" w:rsidR="003125E1" w:rsidRDefault="00267B13" w:rsidP="003125E1">
      <w:pPr>
        <w:pStyle w:val="Bullet1"/>
      </w:pPr>
      <w:r w:rsidRPr="00E76AA8">
        <w:t>child abuse is prevented</w:t>
      </w:r>
    </w:p>
    <w:p w14:paraId="63259828" w14:textId="487F7521" w:rsidR="00267B13" w:rsidRDefault="00267B13" w:rsidP="008F60DB">
      <w:pPr>
        <w:pStyle w:val="Bullet1"/>
      </w:pPr>
      <w:r w:rsidRPr="00E76AA8">
        <w:t>allegations of child abuse are properl</w:t>
      </w:r>
      <w:r>
        <w:t>y r</w:t>
      </w:r>
      <w:r w:rsidRPr="00E76AA8">
        <w:t>esponded to.</w:t>
      </w:r>
      <w:r>
        <w:t xml:space="preserve"> </w:t>
      </w:r>
    </w:p>
    <w:bookmarkEnd w:id="16"/>
    <w:p w14:paraId="418B9DFB" w14:textId="6C31AB94" w:rsidR="00267B13" w:rsidRDefault="00267B13" w:rsidP="008F60DB">
      <w:pPr>
        <w:pStyle w:val="Bodyafterbullets"/>
      </w:pPr>
      <w:r>
        <w:t>Creating a child safe organisation is not a ‘set</w:t>
      </w:r>
      <w:r w:rsidR="003125E1">
        <w:t xml:space="preserve"> </w:t>
      </w:r>
      <w:r>
        <w:t>and</w:t>
      </w:r>
      <w:r w:rsidR="003125E1">
        <w:t xml:space="preserve"> </w:t>
      </w:r>
      <w:r>
        <w:t xml:space="preserve">forget’ exercise. The outcomes focus of the Standards </w:t>
      </w:r>
      <w:r w:rsidR="003125E1">
        <w:t xml:space="preserve">means </w:t>
      </w:r>
      <w:r>
        <w:t xml:space="preserve">organisations </w:t>
      </w:r>
      <w:r w:rsidR="003125E1">
        <w:t xml:space="preserve">must </w:t>
      </w:r>
      <w:r>
        <w:t>continuously adapt to address new and emerging risks to children and young people.</w:t>
      </w:r>
    </w:p>
    <w:p w14:paraId="078F1838" w14:textId="77777777" w:rsidR="003B2780" w:rsidRPr="005F4B02" w:rsidRDefault="003B2780" w:rsidP="008F60DB">
      <w:pPr>
        <w:pStyle w:val="Body"/>
      </w:pPr>
      <w:bookmarkStart w:id="17" w:name="_Toc108006516"/>
      <w:r w:rsidRPr="003B2780">
        <w:br w:type="page"/>
      </w:r>
    </w:p>
    <w:p w14:paraId="27F5C7F2" w14:textId="2C7E6255" w:rsidR="00267B13" w:rsidRDefault="00267B13" w:rsidP="00267B13">
      <w:pPr>
        <w:pStyle w:val="Heading1"/>
      </w:pPr>
      <w:bookmarkStart w:id="18" w:name="_Toc115101270"/>
      <w:r>
        <w:lastRenderedPageBreak/>
        <w:t>Our approach</w:t>
      </w:r>
      <w:bookmarkEnd w:id="17"/>
      <w:bookmarkEnd w:id="18"/>
    </w:p>
    <w:p w14:paraId="1B046024" w14:textId="7652536A" w:rsidR="00267B13" w:rsidRPr="008376B4" w:rsidRDefault="00267B13" w:rsidP="00267B13">
      <w:pPr>
        <w:pStyle w:val="Body"/>
      </w:pPr>
      <w:r>
        <w:t>The Commission has a leadership role in driving consistency in regulatory approaches by Victorian sector regulators and integrated sector regulators.</w:t>
      </w:r>
      <w:r w:rsidR="00EF1DDB">
        <w:t xml:space="preserve"> </w:t>
      </w:r>
      <w:r>
        <w:t xml:space="preserve">The Regulator has adopted policies and practices </w:t>
      </w:r>
      <w:r w:rsidR="00532B67">
        <w:t xml:space="preserve">in line </w:t>
      </w:r>
      <w:r>
        <w:t xml:space="preserve">with the Commission’s regulatory approach. </w:t>
      </w:r>
    </w:p>
    <w:p w14:paraId="11E8F4A9" w14:textId="77777777" w:rsidR="00267B13" w:rsidRDefault="00267B13" w:rsidP="00267B13">
      <w:pPr>
        <w:pStyle w:val="Heading2"/>
      </w:pPr>
      <w:bookmarkStart w:id="19" w:name="_Toc108006517"/>
      <w:bookmarkStart w:id="20" w:name="_Toc115101271"/>
      <w:r>
        <w:t>Outcomes focused</w:t>
      </w:r>
      <w:bookmarkEnd w:id="19"/>
      <w:bookmarkEnd w:id="20"/>
      <w:r>
        <w:t xml:space="preserve"> </w:t>
      </w:r>
    </w:p>
    <w:p w14:paraId="30FEB7FC" w14:textId="5A43BC00" w:rsidR="00267B13" w:rsidRDefault="00267B13" w:rsidP="00267B13">
      <w:pPr>
        <w:pStyle w:val="Body"/>
      </w:pPr>
      <w:r>
        <w:t>The Regulator’s approach to regulating health sector organisations is driven by outcomes</w:t>
      </w:r>
      <w:r w:rsidR="00532B67">
        <w:t>.</w:t>
      </w:r>
      <w:r>
        <w:t xml:space="preserve"> </w:t>
      </w:r>
      <w:r w:rsidR="00532B67">
        <w:t>T</w:t>
      </w:r>
      <w:r>
        <w:t>hese inform its regulatory processes and decision</w:t>
      </w:r>
      <w:r w:rsidR="00532B67">
        <w:t xml:space="preserve"> </w:t>
      </w:r>
      <w:r>
        <w:t>making.</w:t>
      </w:r>
    </w:p>
    <w:p w14:paraId="36E5080D" w14:textId="67D286E9" w:rsidR="00267B13" w:rsidRDefault="00267B13" w:rsidP="008F7F99">
      <w:pPr>
        <w:pStyle w:val="Heading3"/>
      </w:pPr>
      <w:r>
        <w:t>Regulatory outcomes</w:t>
      </w:r>
    </w:p>
    <w:p w14:paraId="0B72BBD5" w14:textId="5C6A2B63" w:rsidR="00267B13" w:rsidRDefault="00267B13" w:rsidP="00DA4DB8">
      <w:pPr>
        <w:pStyle w:val="Bullet1"/>
      </w:pPr>
      <w:r w:rsidRPr="007960FE">
        <w:t>Child</w:t>
      </w:r>
      <w:r>
        <w:t>ren</w:t>
      </w:r>
      <w:r w:rsidR="00466680">
        <w:t xml:space="preserve"> </w:t>
      </w:r>
      <w:r>
        <w:t>are safe from abuse and harm</w:t>
      </w:r>
      <w:r w:rsidR="00C57C68">
        <w:t>.</w:t>
      </w:r>
      <w:r w:rsidR="00466680">
        <w:t xml:space="preserve"> </w:t>
      </w:r>
      <w:r w:rsidR="00C57C68">
        <w:t>They</w:t>
      </w:r>
      <w:r w:rsidR="00466680">
        <w:t xml:space="preserve"> </w:t>
      </w:r>
      <w:r>
        <w:t>feel empowered and respected when accessing health services.</w:t>
      </w:r>
    </w:p>
    <w:p w14:paraId="4B9C9D70" w14:textId="05388D0A" w:rsidR="00267B13" w:rsidRPr="007960FE" w:rsidRDefault="00495DB4" w:rsidP="00DA4DB8">
      <w:pPr>
        <w:pStyle w:val="Bullet1"/>
      </w:pPr>
      <w:r>
        <w:t>Organisations actively promote c</w:t>
      </w:r>
      <w:r w:rsidR="00267B13">
        <w:t>hild</w:t>
      </w:r>
      <w:r w:rsidR="00267B13" w:rsidRPr="007960FE">
        <w:t xml:space="preserve"> safety</w:t>
      </w:r>
      <w:r w:rsidR="00267B13">
        <w:t xml:space="preserve"> and wellbeing through the</w:t>
      </w:r>
      <w:r>
        <w:t>ir</w:t>
      </w:r>
      <w:r w:rsidR="00267B13">
        <w:t xml:space="preserve"> governance and operations</w:t>
      </w:r>
      <w:r w:rsidR="00E17EF2">
        <w:t xml:space="preserve">. It is </w:t>
      </w:r>
      <w:r w:rsidR="00267B13" w:rsidRPr="007960FE">
        <w:t xml:space="preserve">embedded in the everyday thinking and practice of </w:t>
      </w:r>
      <w:r w:rsidR="00267B13">
        <w:t xml:space="preserve">their </w:t>
      </w:r>
      <w:r w:rsidR="00267B13" w:rsidRPr="007960FE">
        <w:t xml:space="preserve">leaders, </w:t>
      </w:r>
      <w:proofErr w:type="gramStart"/>
      <w:r w:rsidR="00267B13" w:rsidRPr="007960FE">
        <w:t>staff</w:t>
      </w:r>
      <w:proofErr w:type="gramEnd"/>
      <w:r w:rsidR="00267B13" w:rsidRPr="007960FE">
        <w:t xml:space="preserve"> and volunteers.</w:t>
      </w:r>
    </w:p>
    <w:p w14:paraId="5250C154" w14:textId="7A0CA83F" w:rsidR="00267B13" w:rsidRPr="00C32479" w:rsidRDefault="00267B13" w:rsidP="00DA4DB8">
      <w:pPr>
        <w:pStyle w:val="Bullet1"/>
      </w:pPr>
      <w:r>
        <w:t>Organisations</w:t>
      </w:r>
      <w:r w:rsidR="00466680">
        <w:t xml:space="preserve"> </w:t>
      </w:r>
      <w:r w:rsidRPr="00C32479">
        <w:t>identify and address risks to children</w:t>
      </w:r>
      <w:r w:rsidR="000C2BF3">
        <w:t>. They</w:t>
      </w:r>
      <w:r w:rsidR="00466680">
        <w:t xml:space="preserve"> </w:t>
      </w:r>
      <w:r w:rsidRPr="00C32479">
        <w:t>act on complaints</w:t>
      </w:r>
      <w:r w:rsidR="00466680">
        <w:t xml:space="preserve"> and </w:t>
      </w:r>
      <w:r w:rsidRPr="00C32479">
        <w:t>respond properly to allegations of abuse.</w:t>
      </w:r>
    </w:p>
    <w:p w14:paraId="7F15A614" w14:textId="491D79B4" w:rsidR="00267B13" w:rsidRPr="007960FE" w:rsidRDefault="00267B13" w:rsidP="00DA4DB8">
      <w:pPr>
        <w:pStyle w:val="Bullet1"/>
      </w:pPr>
      <w:r>
        <w:t>The Regulator’s e</w:t>
      </w:r>
      <w:r w:rsidRPr="007960FE">
        <w:t>nforcement measures to address non-compliance are</w:t>
      </w:r>
      <w:r w:rsidR="00466680">
        <w:t xml:space="preserve"> </w:t>
      </w:r>
      <w:r>
        <w:t>timely</w:t>
      </w:r>
      <w:r w:rsidR="00466680">
        <w:t xml:space="preserve">, </w:t>
      </w:r>
      <w:proofErr w:type="gramStart"/>
      <w:r w:rsidRPr="007960FE">
        <w:t>appropriate</w:t>
      </w:r>
      <w:proofErr w:type="gramEnd"/>
      <w:r w:rsidR="00466680">
        <w:t xml:space="preserve"> and </w:t>
      </w:r>
      <w:r w:rsidRPr="007960FE">
        <w:t xml:space="preserve">proportionate. </w:t>
      </w:r>
    </w:p>
    <w:p w14:paraId="7C91430D" w14:textId="658E5225" w:rsidR="00267B13" w:rsidRDefault="00267B13" w:rsidP="00DA4DB8">
      <w:pPr>
        <w:pStyle w:val="Bullet1"/>
      </w:pPr>
      <w:r>
        <w:t>The Regulator, peer regulators and other authorities work together to</w:t>
      </w:r>
      <w:r w:rsidR="00466680">
        <w:t xml:space="preserve"> </w:t>
      </w:r>
      <w:r>
        <w:t>share information</w:t>
      </w:r>
      <w:r w:rsidR="00466680">
        <w:t xml:space="preserve">, </w:t>
      </w:r>
      <w:r>
        <w:t xml:space="preserve">coordinate regulatory </w:t>
      </w:r>
      <w:proofErr w:type="gramStart"/>
      <w:r>
        <w:t>responses</w:t>
      </w:r>
      <w:proofErr w:type="gramEnd"/>
      <w:r w:rsidR="006C2066">
        <w:t xml:space="preserve"> and</w:t>
      </w:r>
      <w:r w:rsidR="00466680">
        <w:t xml:space="preserve"> </w:t>
      </w:r>
      <w:r w:rsidR="00AC1B25">
        <w:t xml:space="preserve">reduce </w:t>
      </w:r>
      <w:r>
        <w:t>burden for organisations.</w:t>
      </w:r>
    </w:p>
    <w:p w14:paraId="6BC6383D" w14:textId="641F3612" w:rsidR="00267B13" w:rsidRPr="007960FE" w:rsidDel="00D4467B" w:rsidRDefault="00B24611" w:rsidP="00DA4DB8">
      <w:pPr>
        <w:pStyle w:val="Bullet1"/>
      </w:pPr>
      <w:r>
        <w:t>T</w:t>
      </w:r>
      <w:r w:rsidR="00267B13">
        <w:t xml:space="preserve">he Regulator's </w:t>
      </w:r>
      <w:r w:rsidR="00526372">
        <w:t xml:space="preserve">compliance </w:t>
      </w:r>
      <w:r w:rsidR="00267B13">
        <w:t xml:space="preserve">data </w:t>
      </w:r>
      <w:r w:rsidR="00115151">
        <w:t xml:space="preserve">and insights </w:t>
      </w:r>
      <w:r w:rsidR="00267B13">
        <w:t>contribute to</w:t>
      </w:r>
      <w:r w:rsidR="00466680">
        <w:t xml:space="preserve"> </w:t>
      </w:r>
      <w:r w:rsidR="00267B13">
        <w:t>sector-wide improvements</w:t>
      </w:r>
      <w:r w:rsidR="00466680">
        <w:t xml:space="preserve"> and </w:t>
      </w:r>
      <w:r w:rsidR="00267B13">
        <w:t>broader government policy reforms.</w:t>
      </w:r>
    </w:p>
    <w:p w14:paraId="2E68795E" w14:textId="3A62D259" w:rsidR="00267B13" w:rsidRDefault="00267B13" w:rsidP="00267B13">
      <w:pPr>
        <w:pStyle w:val="Heading2"/>
      </w:pPr>
      <w:bookmarkStart w:id="21" w:name="_Toc108006518"/>
      <w:bookmarkStart w:id="22" w:name="_Toc115101272"/>
      <w:r>
        <w:t>Risk based</w:t>
      </w:r>
      <w:bookmarkEnd w:id="21"/>
      <w:bookmarkEnd w:id="22"/>
    </w:p>
    <w:p w14:paraId="012E96A7" w14:textId="77777777" w:rsidR="00AC1B25" w:rsidRDefault="00267B13" w:rsidP="00267B13">
      <w:pPr>
        <w:pStyle w:val="Body"/>
      </w:pPr>
      <w:r>
        <w:t>The Regulator takes a risk-based approach in all its regulatory functions and operations.</w:t>
      </w:r>
    </w:p>
    <w:p w14:paraId="7904D2B4" w14:textId="75B4D880" w:rsidR="00267B13" w:rsidRDefault="00267B13" w:rsidP="00267B13">
      <w:pPr>
        <w:pStyle w:val="Body"/>
      </w:pPr>
      <w:r>
        <w:t>Identifying and assessing risk allows the Regulator to:</w:t>
      </w:r>
    </w:p>
    <w:p w14:paraId="49142F23" w14:textId="79FF49EF" w:rsidR="00267B13" w:rsidRDefault="00475D6C" w:rsidP="00267B13">
      <w:pPr>
        <w:pStyle w:val="Bullet1"/>
      </w:pPr>
      <w:r>
        <w:t>provide</w:t>
      </w:r>
      <w:r w:rsidR="00AC1B25">
        <w:t xml:space="preserve"> relevant </w:t>
      </w:r>
      <w:r w:rsidR="00267B13">
        <w:t xml:space="preserve">education, </w:t>
      </w:r>
      <w:proofErr w:type="gramStart"/>
      <w:r w:rsidR="00267B13">
        <w:t>guidance</w:t>
      </w:r>
      <w:proofErr w:type="gramEnd"/>
      <w:r w:rsidR="00267B13">
        <w:t xml:space="preserve"> and tools </w:t>
      </w:r>
      <w:r>
        <w:t>to orga</w:t>
      </w:r>
      <w:r w:rsidR="006B6B3A">
        <w:t>nisations</w:t>
      </w:r>
    </w:p>
    <w:p w14:paraId="26613359" w14:textId="5643B949" w:rsidR="00267B13" w:rsidRDefault="00267B13" w:rsidP="00267B13">
      <w:pPr>
        <w:pStyle w:val="Bullet1"/>
      </w:pPr>
      <w:r>
        <w:t>plan proactive compliance monitoring activities to reduce the risk of harm</w:t>
      </w:r>
    </w:p>
    <w:p w14:paraId="79FBAACE" w14:textId="7F27FA56" w:rsidR="00267B13" w:rsidRDefault="00267B13" w:rsidP="00267B13">
      <w:pPr>
        <w:pStyle w:val="Bullet1"/>
      </w:pPr>
      <w:r>
        <w:t xml:space="preserve">respond </w:t>
      </w:r>
      <w:r w:rsidR="0010510D">
        <w:t xml:space="preserve">to non-compliance </w:t>
      </w:r>
      <w:r>
        <w:t>with graduated and proportionate enforcement action</w:t>
      </w:r>
    </w:p>
    <w:p w14:paraId="46D499FF" w14:textId="5DAA198C" w:rsidR="00267B13" w:rsidRDefault="00267B13" w:rsidP="00267B13">
      <w:pPr>
        <w:pStyle w:val="Bullet1"/>
      </w:pPr>
      <w:r>
        <w:t>prioritise regulatory effort for efficiency and impact.</w:t>
      </w:r>
    </w:p>
    <w:p w14:paraId="65249A89" w14:textId="7CC573A9" w:rsidR="00267B13" w:rsidRPr="00A2171A" w:rsidRDefault="00267B13" w:rsidP="00A24597">
      <w:pPr>
        <w:pStyle w:val="Heading3"/>
      </w:pPr>
      <w:r w:rsidRPr="005F4AAB">
        <w:t>Sources of information or intelligence</w:t>
      </w:r>
    </w:p>
    <w:p w14:paraId="48495DE0" w14:textId="548A4FAE" w:rsidR="00267B13" w:rsidRDefault="00267B13" w:rsidP="00267B13">
      <w:pPr>
        <w:pStyle w:val="Bodyafterbullets"/>
      </w:pPr>
      <w:r>
        <w:t>The Regulator uses intelligence from a range of sources about actual or potential non-compliance and harm to children.</w:t>
      </w:r>
      <w:r w:rsidR="00EF1DDB">
        <w:t xml:space="preserve"> </w:t>
      </w:r>
      <w:r>
        <w:t xml:space="preserve">It updates and analyses data to identify trends and emerging risks. </w:t>
      </w:r>
    </w:p>
    <w:p w14:paraId="41A327A0" w14:textId="77777777" w:rsidR="00267B13" w:rsidRPr="005F4AAB" w:rsidRDefault="00267B13" w:rsidP="00267B13">
      <w:pPr>
        <w:pStyle w:val="Body"/>
      </w:pPr>
      <w:r w:rsidRPr="005F4AAB">
        <w:t>Information</w:t>
      </w:r>
      <w:r>
        <w:t xml:space="preserve"> and data</w:t>
      </w:r>
      <w:r w:rsidRPr="005F4AAB">
        <w:t xml:space="preserve"> </w:t>
      </w:r>
      <w:r>
        <w:t>come from:</w:t>
      </w:r>
    </w:p>
    <w:p w14:paraId="2B340961" w14:textId="77777777" w:rsidR="00267B13" w:rsidRPr="005F4AAB" w:rsidRDefault="00267B13" w:rsidP="00267B13">
      <w:pPr>
        <w:pStyle w:val="Bullet1"/>
      </w:pPr>
      <w:r w:rsidRPr="005F4AAB">
        <w:t>the Regulator</w:t>
      </w:r>
      <w:r>
        <w:t>’</w:t>
      </w:r>
      <w:r w:rsidRPr="005F4AAB">
        <w:t>s compliance activities </w:t>
      </w:r>
    </w:p>
    <w:p w14:paraId="0658A96E" w14:textId="2A1A19FF" w:rsidR="00267B13" w:rsidRPr="005F4AAB" w:rsidRDefault="00267B13" w:rsidP="00267B13">
      <w:pPr>
        <w:pStyle w:val="Bullet1"/>
      </w:pPr>
      <w:r w:rsidRPr="005F4AAB">
        <w:t>the Commission</w:t>
      </w:r>
      <w:r>
        <w:t>, sector regulators and integrated sector regulators</w:t>
      </w:r>
    </w:p>
    <w:p w14:paraId="1268969D" w14:textId="266FEECB" w:rsidR="00267B13" w:rsidRPr="005F4AAB" w:rsidRDefault="00267B13" w:rsidP="00267B13">
      <w:pPr>
        <w:pStyle w:val="Bullet1"/>
      </w:pPr>
      <w:r>
        <w:t>c</w:t>
      </w:r>
      <w:r w:rsidRPr="005F4AAB">
        <w:t xml:space="preserve">omplaints or reports directly from </w:t>
      </w:r>
      <w:r>
        <w:t xml:space="preserve">service users or </w:t>
      </w:r>
      <w:r w:rsidRPr="005F4AAB">
        <w:t>the public</w:t>
      </w:r>
    </w:p>
    <w:p w14:paraId="5166BA9C" w14:textId="2998674E" w:rsidR="00267B13" w:rsidRPr="005F4AAB" w:rsidRDefault="00267B13" w:rsidP="00267B13">
      <w:pPr>
        <w:pStyle w:val="Bullet1"/>
      </w:pPr>
      <w:r>
        <w:t>r</w:t>
      </w:r>
      <w:r w:rsidRPr="005F4AAB">
        <w:t xml:space="preserve">eports or referrals from </w:t>
      </w:r>
      <w:r>
        <w:t>Department of Health</w:t>
      </w:r>
      <w:r w:rsidRPr="005F4AAB">
        <w:t xml:space="preserve"> program areas</w:t>
      </w:r>
    </w:p>
    <w:p w14:paraId="6D11C7A3" w14:textId="77777777" w:rsidR="00267B13" w:rsidRPr="005F4AAB" w:rsidRDefault="00267B13" w:rsidP="00267B13">
      <w:pPr>
        <w:pStyle w:val="Bullet1"/>
      </w:pPr>
      <w:r>
        <w:t>r</w:t>
      </w:r>
      <w:r w:rsidRPr="005F4AAB">
        <w:t>eports or referrals from Victoria Police</w:t>
      </w:r>
      <w:r>
        <w:t xml:space="preserve"> and other government regulators, </w:t>
      </w:r>
      <w:proofErr w:type="gramStart"/>
      <w:r>
        <w:t>authorities</w:t>
      </w:r>
      <w:proofErr w:type="gramEnd"/>
      <w:r>
        <w:t xml:space="preserve"> and agencies</w:t>
      </w:r>
    </w:p>
    <w:p w14:paraId="5E24B7AB" w14:textId="56BFEC55" w:rsidR="00267B13" w:rsidRPr="005F4AAB" w:rsidRDefault="00267B13" w:rsidP="00267B13">
      <w:pPr>
        <w:pStyle w:val="Bullet1"/>
      </w:pPr>
      <w:r>
        <w:t>r</w:t>
      </w:r>
      <w:r w:rsidRPr="005F4AAB">
        <w:t>eports from organisations</w:t>
      </w:r>
      <w:r>
        <w:t>.</w:t>
      </w:r>
    </w:p>
    <w:p w14:paraId="41A6F3E9" w14:textId="579224B4" w:rsidR="00267B13" w:rsidRPr="008A005E" w:rsidRDefault="00267B13" w:rsidP="00267B13">
      <w:pPr>
        <w:pStyle w:val="Bodyafterbullets"/>
      </w:pPr>
      <w:r w:rsidRPr="008A005E">
        <w:lastRenderedPageBreak/>
        <w:t xml:space="preserve">Peer regulators refer notifications about non-compliance to the Regulator where it </w:t>
      </w:r>
      <w:r w:rsidR="001B6FA0">
        <w:t xml:space="preserve">has </w:t>
      </w:r>
      <w:r w:rsidR="00CE64CE">
        <w:t>the lead</w:t>
      </w:r>
      <w:r w:rsidRPr="008A005E">
        <w:t>.</w:t>
      </w:r>
    </w:p>
    <w:p w14:paraId="3CE814DA" w14:textId="53E5C404" w:rsidR="00267B13" w:rsidRPr="008A005E" w:rsidRDefault="00701E00" w:rsidP="00267B13">
      <w:pPr>
        <w:pStyle w:val="Body"/>
      </w:pPr>
      <w:r>
        <w:t>C</w:t>
      </w:r>
      <w:r w:rsidR="00267B13" w:rsidRPr="008A005E">
        <w:t xml:space="preserve">oncerns about the Standards </w:t>
      </w:r>
      <w:r>
        <w:t xml:space="preserve">may be </w:t>
      </w:r>
      <w:r w:rsidR="00D411BC">
        <w:t xml:space="preserve">identified through </w:t>
      </w:r>
      <w:r w:rsidR="00267B13" w:rsidRPr="008A005E">
        <w:t>other child safety schemes, such as the Reportable Conduct Scheme</w:t>
      </w:r>
      <w:r w:rsidR="0010510D">
        <w:t>,</w:t>
      </w:r>
      <w:r w:rsidR="00267B13" w:rsidRPr="008A005E">
        <w:t xml:space="preserve"> and worker screening </w:t>
      </w:r>
      <w:r w:rsidR="00267B13">
        <w:t xml:space="preserve">and registration </w:t>
      </w:r>
      <w:r w:rsidR="00267B13" w:rsidRPr="008A005E">
        <w:t>schemes</w:t>
      </w:r>
      <w:r w:rsidR="00267B13">
        <w:t xml:space="preserve">. These </w:t>
      </w:r>
      <w:r w:rsidR="00AB1A54">
        <w:t xml:space="preserve">concerns </w:t>
      </w:r>
      <w:r w:rsidR="00267B13">
        <w:t>may also</w:t>
      </w:r>
      <w:r w:rsidR="00267B13" w:rsidRPr="008A005E">
        <w:t xml:space="preserve"> </w:t>
      </w:r>
      <w:r w:rsidR="00267B13">
        <w:t xml:space="preserve">be </w:t>
      </w:r>
      <w:r w:rsidR="00267B13" w:rsidRPr="008A005E">
        <w:t>referred to the Regulator.</w:t>
      </w:r>
    </w:p>
    <w:p w14:paraId="2E74B58E" w14:textId="77777777" w:rsidR="00267B13" w:rsidRDefault="00267B13" w:rsidP="008F788B">
      <w:pPr>
        <w:pStyle w:val="Heading3"/>
      </w:pPr>
      <w:r>
        <w:t>Risk assessment</w:t>
      </w:r>
    </w:p>
    <w:p w14:paraId="4E65D191" w14:textId="464F0A9E" w:rsidR="00267B13" w:rsidRDefault="00267B13" w:rsidP="00267B13">
      <w:pPr>
        <w:pStyle w:val="Body"/>
      </w:pPr>
      <w:r>
        <w:t xml:space="preserve">Risk is assessed by considering the consequence and likelihood of harm to children and </w:t>
      </w:r>
      <w:r w:rsidR="000B1819">
        <w:t xml:space="preserve">not meeting </w:t>
      </w:r>
      <w:r>
        <w:t>the Standards.</w:t>
      </w:r>
    </w:p>
    <w:p w14:paraId="33257E5E" w14:textId="14FFE2E7" w:rsidR="00267B13" w:rsidRDefault="00267B13" w:rsidP="00267B13">
      <w:pPr>
        <w:pStyle w:val="Body"/>
      </w:pPr>
      <w:r w:rsidRPr="0056690E">
        <w:rPr>
          <w:b/>
          <w:iCs/>
        </w:rPr>
        <w:t>Consequence</w:t>
      </w:r>
      <w:r>
        <w:t xml:space="preserve"> </w:t>
      </w:r>
      <w:r w:rsidR="000B1819">
        <w:t>of a risk is what may happen.</w:t>
      </w:r>
    </w:p>
    <w:p w14:paraId="6E6FEF81" w14:textId="77777777" w:rsidR="000B1819" w:rsidRDefault="00267B13" w:rsidP="00267B13">
      <w:pPr>
        <w:pStyle w:val="Body"/>
      </w:pPr>
      <w:r>
        <w:t>To assess consequence, the Regulator considers</w:t>
      </w:r>
      <w:r w:rsidR="000B1819">
        <w:t>:</w:t>
      </w:r>
    </w:p>
    <w:p w14:paraId="3D55D26E" w14:textId="6B0546BA" w:rsidR="000B1819" w:rsidRDefault="00267B13" w:rsidP="000B1819">
      <w:pPr>
        <w:pStyle w:val="Bullet1"/>
      </w:pPr>
      <w:r>
        <w:t>the nature of the risk</w:t>
      </w:r>
    </w:p>
    <w:p w14:paraId="406DBC0F" w14:textId="61EF74B3" w:rsidR="00267B13" w:rsidRDefault="00267B13" w:rsidP="000B1819">
      <w:pPr>
        <w:pStyle w:val="Bullet1"/>
      </w:pPr>
      <w:r>
        <w:t xml:space="preserve">the type of harm that has or could </w:t>
      </w:r>
      <w:r w:rsidR="000B1819">
        <w:t xml:space="preserve">happen </w:t>
      </w:r>
      <w:r>
        <w:t xml:space="preserve">– for example, physical, </w:t>
      </w:r>
      <w:proofErr w:type="gramStart"/>
      <w:r>
        <w:t>emotional</w:t>
      </w:r>
      <w:proofErr w:type="gramEnd"/>
      <w:r>
        <w:t xml:space="preserve"> or psychological injury to a child</w:t>
      </w:r>
    </w:p>
    <w:p w14:paraId="040037B8" w14:textId="7B3391E7" w:rsidR="006A454C" w:rsidRPr="00A2171A" w:rsidRDefault="006A454C" w:rsidP="00611A1F">
      <w:pPr>
        <w:pStyle w:val="Bullet1"/>
      </w:pPr>
      <w:r>
        <w:t>the severity of the actual or potential harm and how it affects children.</w:t>
      </w:r>
    </w:p>
    <w:p w14:paraId="526519D4" w14:textId="2372FB32" w:rsidR="006A454C" w:rsidRDefault="006A454C" w:rsidP="00611A1F">
      <w:pPr>
        <w:pStyle w:val="Bodyafterbullets"/>
      </w:pPr>
      <w:r>
        <w:t xml:space="preserve">Example consequences are listed in </w:t>
      </w:r>
      <w:r>
        <w:fldChar w:fldCharType="begin"/>
      </w:r>
      <w:r>
        <w:instrText xml:space="preserve"> REF _Ref114219935 \h </w:instrText>
      </w:r>
      <w:r>
        <w:fldChar w:fldCharType="separate"/>
      </w:r>
      <w:r>
        <w:t xml:space="preserve">Table </w:t>
      </w:r>
      <w:r>
        <w:rPr>
          <w:noProof/>
        </w:rPr>
        <w:t>1</w:t>
      </w:r>
      <w:r>
        <w:fldChar w:fldCharType="end"/>
      </w:r>
      <w:r>
        <w:t>.</w:t>
      </w:r>
      <w:r w:rsidR="00BB2C07">
        <w:t xml:space="preserve"> </w:t>
      </w:r>
      <w:r w:rsidR="00CE64CE">
        <w:t>Consequence may be rated</w:t>
      </w:r>
      <w:r w:rsidR="001F32A7">
        <w:t xml:space="preserve"> </w:t>
      </w:r>
      <w:r w:rsidR="00CE64CE">
        <w:t>minor</w:t>
      </w:r>
      <w:r w:rsidR="001F32A7">
        <w:t xml:space="preserve">, </w:t>
      </w:r>
      <w:proofErr w:type="gramStart"/>
      <w:r w:rsidR="00CE64CE">
        <w:t>moderate</w:t>
      </w:r>
      <w:proofErr w:type="gramEnd"/>
      <w:r w:rsidR="001F32A7">
        <w:t xml:space="preserve"> or </w:t>
      </w:r>
      <w:r w:rsidR="00CE64CE">
        <w:t>major.</w:t>
      </w:r>
    </w:p>
    <w:p w14:paraId="23A601D6" w14:textId="560B0D0C" w:rsidR="006A454C" w:rsidRDefault="006A454C" w:rsidP="00611A1F">
      <w:pPr>
        <w:pStyle w:val="Tablecaption"/>
      </w:pPr>
      <w:bookmarkStart w:id="23" w:name="_Ref114219935"/>
      <w:r>
        <w:t xml:space="preserve">Table </w:t>
      </w:r>
      <w:r w:rsidR="009E7CC7">
        <w:fldChar w:fldCharType="begin"/>
      </w:r>
      <w:r w:rsidR="009E7CC7">
        <w:instrText xml:space="preserve"> SEQ Table \* ARABIC </w:instrText>
      </w:r>
      <w:r w:rsidR="009E7CC7">
        <w:fldChar w:fldCharType="separate"/>
      </w:r>
      <w:r w:rsidR="00DC726B">
        <w:rPr>
          <w:noProof/>
        </w:rPr>
        <w:t>1</w:t>
      </w:r>
      <w:r w:rsidR="009E7CC7">
        <w:rPr>
          <w:noProof/>
        </w:rPr>
        <w:fldChar w:fldCharType="end"/>
      </w:r>
      <w:bookmarkEnd w:id="23"/>
      <w:r>
        <w:t>: Example risk consequences</w:t>
      </w:r>
    </w:p>
    <w:tbl>
      <w:tblPr>
        <w:tblStyle w:val="HSRtable"/>
        <w:tblW w:w="5000" w:type="pct"/>
        <w:tblLook w:val="06A0" w:firstRow="1" w:lastRow="0" w:firstColumn="1" w:lastColumn="0" w:noHBand="1" w:noVBand="1"/>
      </w:tblPr>
      <w:tblGrid>
        <w:gridCol w:w="4081"/>
        <w:gridCol w:w="5753"/>
      </w:tblGrid>
      <w:tr w:rsidR="00F01C7D" w14:paraId="2FBF6517" w14:textId="32BA4CA2" w:rsidTr="00611A1F">
        <w:trPr>
          <w:cnfStyle w:val="100000000000" w:firstRow="1" w:lastRow="0" w:firstColumn="0" w:lastColumn="0" w:oddVBand="0" w:evenVBand="0" w:oddHBand="0" w:evenHBand="0" w:firstRowFirstColumn="0" w:firstRowLastColumn="0" w:lastRowFirstColumn="0" w:lastRowLastColumn="0"/>
          <w:trHeight w:val="102"/>
          <w:tblHeader/>
        </w:trPr>
        <w:tc>
          <w:tcPr>
            <w:cnfStyle w:val="001000000000" w:firstRow="0" w:lastRow="0" w:firstColumn="1" w:lastColumn="0" w:oddVBand="0" w:evenVBand="0" w:oddHBand="0" w:evenHBand="0" w:firstRowFirstColumn="0" w:firstRowLastColumn="0" w:lastRowFirstColumn="0" w:lastRowLastColumn="0"/>
            <w:tcW w:w="2075" w:type="pct"/>
          </w:tcPr>
          <w:p w14:paraId="6A649545" w14:textId="3D694791" w:rsidR="00F01C7D" w:rsidRPr="000A6D1A" w:rsidRDefault="00F01C7D" w:rsidP="003567DB">
            <w:pPr>
              <w:pStyle w:val="Body"/>
              <w:rPr>
                <w:b/>
                <w:bCs/>
              </w:rPr>
            </w:pPr>
            <w:r>
              <w:rPr>
                <w:b/>
                <w:bCs/>
              </w:rPr>
              <w:t>Example risk</w:t>
            </w:r>
          </w:p>
        </w:tc>
        <w:tc>
          <w:tcPr>
            <w:tcW w:w="2925" w:type="pct"/>
          </w:tcPr>
          <w:p w14:paraId="301ABA98" w14:textId="4DD1052E" w:rsidR="00F01C7D" w:rsidRDefault="00F01C7D" w:rsidP="003567DB">
            <w:pPr>
              <w:pStyle w:val="Body"/>
              <w:cnfStyle w:val="100000000000" w:firstRow="1" w:lastRow="0" w:firstColumn="0" w:lastColumn="0" w:oddVBand="0" w:evenVBand="0" w:oddHBand="0" w:evenHBand="0" w:firstRowFirstColumn="0" w:firstRowLastColumn="0" w:lastRowFirstColumn="0" w:lastRowLastColumn="0"/>
              <w:rPr>
                <w:b/>
                <w:bCs/>
              </w:rPr>
            </w:pPr>
            <w:r>
              <w:rPr>
                <w:b/>
                <w:bCs/>
              </w:rPr>
              <w:t>Example consequence</w:t>
            </w:r>
          </w:p>
        </w:tc>
      </w:tr>
      <w:tr w:rsidR="00F01C7D" w14:paraId="025A5F7A" w14:textId="0C752799" w:rsidTr="001146C0">
        <w:trPr>
          <w:trHeight w:val="161"/>
        </w:trPr>
        <w:tc>
          <w:tcPr>
            <w:cnfStyle w:val="001000000000" w:firstRow="0" w:lastRow="0" w:firstColumn="1" w:lastColumn="0" w:oddVBand="0" w:evenVBand="0" w:oddHBand="0" w:evenHBand="0" w:firstRowFirstColumn="0" w:firstRowLastColumn="0" w:lastRowFirstColumn="0" w:lastRowLastColumn="0"/>
            <w:tcW w:w="2075" w:type="pct"/>
            <w:shd w:val="clear" w:color="auto" w:fill="ECF1F8"/>
          </w:tcPr>
          <w:p w14:paraId="14906409" w14:textId="17540312" w:rsidR="00F01C7D" w:rsidRDefault="00F01C7D" w:rsidP="00611A1F">
            <w:pPr>
              <w:pStyle w:val="Tabletext"/>
            </w:pPr>
            <w:r>
              <w:t xml:space="preserve">Racist behaviour, </w:t>
            </w:r>
            <w:proofErr w:type="gramStart"/>
            <w:r>
              <w:t>prejudice</w:t>
            </w:r>
            <w:proofErr w:type="gramEnd"/>
            <w:r>
              <w:t xml:space="preserve"> or intolerance for diversity</w:t>
            </w:r>
          </w:p>
        </w:tc>
        <w:tc>
          <w:tcPr>
            <w:tcW w:w="2925" w:type="pct"/>
          </w:tcPr>
          <w:p w14:paraId="057CCBE9" w14:textId="5533EDC2" w:rsidR="00F01C7D" w:rsidRPr="00BA44A3" w:rsidRDefault="00F01C7D" w:rsidP="00611A1F">
            <w:pPr>
              <w:pStyle w:val="Tabletext"/>
              <w:cnfStyle w:val="000000000000" w:firstRow="0" w:lastRow="0" w:firstColumn="0" w:lastColumn="0" w:oddVBand="0" w:evenVBand="0" w:oddHBand="0" w:evenHBand="0" w:firstRowFirstColumn="0" w:firstRowLastColumn="0" w:lastRowFirstColumn="0" w:lastRowLastColumn="0"/>
              <w:rPr>
                <w:b/>
                <w:bCs/>
                <w:i/>
                <w:iCs/>
              </w:rPr>
            </w:pPr>
            <w:r>
              <w:t>Emotional or psychological harm to children and their families</w:t>
            </w:r>
          </w:p>
        </w:tc>
      </w:tr>
      <w:tr w:rsidR="00F01C7D" w14:paraId="721B6F47" w14:textId="77777777" w:rsidTr="001146C0">
        <w:trPr>
          <w:trHeight w:val="161"/>
        </w:trPr>
        <w:tc>
          <w:tcPr>
            <w:cnfStyle w:val="001000000000" w:firstRow="0" w:lastRow="0" w:firstColumn="1" w:lastColumn="0" w:oddVBand="0" w:evenVBand="0" w:oddHBand="0" w:evenHBand="0" w:firstRowFirstColumn="0" w:firstRowLastColumn="0" w:lastRowFirstColumn="0" w:lastRowLastColumn="0"/>
            <w:tcW w:w="2075" w:type="pct"/>
            <w:shd w:val="clear" w:color="auto" w:fill="ECF1F8"/>
          </w:tcPr>
          <w:p w14:paraId="6065F9EE" w14:textId="78284405" w:rsidR="00F01C7D" w:rsidRPr="00786CD4" w:rsidDel="00F01C7D" w:rsidRDefault="00F01C7D" w:rsidP="00786CD4">
            <w:pPr>
              <w:pStyle w:val="Tabletext"/>
            </w:pPr>
            <w:r>
              <w:t>An organisational c</w:t>
            </w:r>
            <w:r w:rsidRPr="00B60300">
              <w:t>ulture</w:t>
            </w:r>
            <w:r>
              <w:t xml:space="preserve"> that does not take children’s opinions and preferences about the</w:t>
            </w:r>
            <w:r w:rsidR="00FE0C43">
              <w:t>ir</w:t>
            </w:r>
            <w:r>
              <w:t xml:space="preserve"> health treatment seriously</w:t>
            </w:r>
          </w:p>
        </w:tc>
        <w:tc>
          <w:tcPr>
            <w:tcW w:w="2925" w:type="pct"/>
          </w:tcPr>
          <w:p w14:paraId="43320CA2" w14:textId="1C389377" w:rsidR="00F01C7D" w:rsidRDefault="00F01C7D" w:rsidP="00786CD4">
            <w:pPr>
              <w:pStyle w:val="Tabletext"/>
              <w:cnfStyle w:val="000000000000" w:firstRow="0" w:lastRow="0" w:firstColumn="0" w:lastColumn="0" w:oddVBand="0" w:evenVBand="0" w:oddHBand="0" w:evenHBand="0" w:firstRowFirstColumn="0" w:firstRowLastColumn="0" w:lastRowFirstColumn="0" w:lastRowLastColumn="0"/>
            </w:pPr>
            <w:r>
              <w:t xml:space="preserve">Children feel disempowered, </w:t>
            </w:r>
            <w:proofErr w:type="gramStart"/>
            <w:r>
              <w:t>ignored</w:t>
            </w:r>
            <w:proofErr w:type="gramEnd"/>
            <w:r>
              <w:t xml:space="preserve"> or abused</w:t>
            </w:r>
          </w:p>
        </w:tc>
      </w:tr>
      <w:tr w:rsidR="00F01C7D" w14:paraId="5E1C0C8E" w14:textId="77777777" w:rsidTr="001146C0">
        <w:trPr>
          <w:trHeight w:val="161"/>
        </w:trPr>
        <w:tc>
          <w:tcPr>
            <w:cnfStyle w:val="001000000000" w:firstRow="0" w:lastRow="0" w:firstColumn="1" w:lastColumn="0" w:oddVBand="0" w:evenVBand="0" w:oddHBand="0" w:evenHBand="0" w:firstRowFirstColumn="0" w:firstRowLastColumn="0" w:lastRowFirstColumn="0" w:lastRowLastColumn="0"/>
            <w:tcW w:w="2075" w:type="pct"/>
            <w:shd w:val="clear" w:color="auto" w:fill="ECF1F8"/>
          </w:tcPr>
          <w:p w14:paraId="6C2A6B14" w14:textId="1DF951C0" w:rsidR="00F01C7D" w:rsidRDefault="00F01C7D" w:rsidP="00786CD4">
            <w:pPr>
              <w:pStyle w:val="Tabletext"/>
            </w:pPr>
            <w:r>
              <w:t>Failure to complete worker screening checks, as required under Standard 6.2</w:t>
            </w:r>
            <w:r>
              <w:rPr>
                <w:rStyle w:val="FootnoteReference"/>
              </w:rPr>
              <w:footnoteReference w:id="7"/>
            </w:r>
          </w:p>
        </w:tc>
        <w:tc>
          <w:tcPr>
            <w:tcW w:w="2925" w:type="pct"/>
          </w:tcPr>
          <w:p w14:paraId="325ABD47" w14:textId="2CB18332" w:rsidR="00F01C7D" w:rsidRDefault="006A454C" w:rsidP="00786CD4">
            <w:pPr>
              <w:pStyle w:val="Tabletext"/>
              <w:cnfStyle w:val="000000000000" w:firstRow="0" w:lastRow="0" w:firstColumn="0" w:lastColumn="0" w:oddVBand="0" w:evenVBand="0" w:oddHBand="0" w:evenHBand="0" w:firstRowFirstColumn="0" w:firstRowLastColumn="0" w:lastRowFirstColumn="0" w:lastRowLastColumn="0"/>
            </w:pPr>
            <w:r>
              <w:t>Organisations hire u</w:t>
            </w:r>
            <w:r w:rsidR="00F01C7D">
              <w:t xml:space="preserve">nsuitable workers who </w:t>
            </w:r>
            <w:r>
              <w:t xml:space="preserve">may </w:t>
            </w:r>
            <w:r w:rsidR="00F01C7D">
              <w:t>abuse or harm children</w:t>
            </w:r>
          </w:p>
        </w:tc>
      </w:tr>
      <w:tr w:rsidR="00F01C7D" w14:paraId="32ACE95D" w14:textId="77777777" w:rsidTr="001146C0">
        <w:trPr>
          <w:trHeight w:val="161"/>
        </w:trPr>
        <w:tc>
          <w:tcPr>
            <w:cnfStyle w:val="001000000000" w:firstRow="0" w:lastRow="0" w:firstColumn="1" w:lastColumn="0" w:oddVBand="0" w:evenVBand="0" w:oddHBand="0" w:evenHBand="0" w:firstRowFirstColumn="0" w:firstRowLastColumn="0" w:lastRowFirstColumn="0" w:lastRowLastColumn="0"/>
            <w:tcW w:w="2075" w:type="pct"/>
            <w:shd w:val="clear" w:color="auto" w:fill="ECF1F8"/>
          </w:tcPr>
          <w:p w14:paraId="690D98C5" w14:textId="2764CB9B" w:rsidR="00F01C7D" w:rsidRDefault="00F01C7D" w:rsidP="00786CD4">
            <w:pPr>
              <w:pStyle w:val="Tabletext"/>
            </w:pPr>
            <w:r>
              <w:t>Failure to manage complaints effectively, as required under Standard 7.3</w:t>
            </w:r>
            <w:r>
              <w:rPr>
                <w:rStyle w:val="FootnoteReference"/>
              </w:rPr>
              <w:footnoteReference w:id="8"/>
            </w:r>
          </w:p>
        </w:tc>
        <w:tc>
          <w:tcPr>
            <w:tcW w:w="2925" w:type="pct"/>
          </w:tcPr>
          <w:p w14:paraId="3A43D9E7" w14:textId="77777777" w:rsidR="00F01C7D" w:rsidRDefault="00F01C7D" w:rsidP="00786CD4">
            <w:pPr>
              <w:pStyle w:val="Tablebullet1"/>
              <w:cnfStyle w:val="000000000000" w:firstRow="0" w:lastRow="0" w:firstColumn="0" w:lastColumn="0" w:oddVBand="0" w:evenVBand="0" w:oddHBand="0" w:evenHBand="0" w:firstRowFirstColumn="0" w:firstRowLastColumn="0" w:lastRowFirstColumn="0" w:lastRowLastColumn="0"/>
            </w:pPr>
            <w:r>
              <w:t>Serious or systemic issues are ignored</w:t>
            </w:r>
          </w:p>
          <w:p w14:paraId="73C9C1E8" w14:textId="5117BC7E" w:rsidR="00F01C7D" w:rsidRDefault="00F01C7D" w:rsidP="00786CD4">
            <w:pPr>
              <w:pStyle w:val="Tablebullet1"/>
              <w:cnfStyle w:val="000000000000" w:firstRow="0" w:lastRow="0" w:firstColumn="0" w:lastColumn="0" w:oddVBand="0" w:evenVBand="0" w:oddHBand="0" w:evenHBand="0" w:firstRowFirstColumn="0" w:firstRowLastColumn="0" w:lastRowFirstColumn="0" w:lastRowLastColumn="0"/>
            </w:pPr>
            <w:r>
              <w:t>Children suffer ongoing abuse</w:t>
            </w:r>
          </w:p>
          <w:p w14:paraId="49AAA5F1" w14:textId="482ABA18" w:rsidR="00F01C7D" w:rsidRDefault="00F01C7D" w:rsidP="00786CD4">
            <w:pPr>
              <w:pStyle w:val="Tablebullet1"/>
              <w:cnfStyle w:val="000000000000" w:firstRow="0" w:lastRow="0" w:firstColumn="0" w:lastColumn="0" w:oddVBand="0" w:evenVBand="0" w:oddHBand="0" w:evenHBand="0" w:firstRowFirstColumn="0" w:firstRowLastColumn="0" w:lastRowFirstColumn="0" w:lastRowLastColumn="0"/>
            </w:pPr>
            <w:r>
              <w:t>Organisations do not identify opportunities to improve services</w:t>
            </w:r>
          </w:p>
        </w:tc>
      </w:tr>
    </w:tbl>
    <w:p w14:paraId="2633113A" w14:textId="25EFB55C" w:rsidR="00267B13" w:rsidRDefault="00267B13" w:rsidP="00786CD4">
      <w:pPr>
        <w:pStyle w:val="Bodyaftertablefigure"/>
      </w:pPr>
      <w:r w:rsidRPr="00786CD4">
        <w:rPr>
          <w:b/>
          <w:bCs/>
        </w:rPr>
        <w:t>Likelihood</w:t>
      </w:r>
      <w:r>
        <w:rPr>
          <w:b/>
          <w:bCs/>
          <w:i/>
          <w:iCs/>
        </w:rPr>
        <w:t xml:space="preserve"> </w:t>
      </w:r>
      <w:r>
        <w:t xml:space="preserve">is how likely it is that </w:t>
      </w:r>
      <w:r w:rsidR="000B1819">
        <w:t>the risk will happen</w:t>
      </w:r>
      <w:r>
        <w:t>.</w:t>
      </w:r>
    </w:p>
    <w:p w14:paraId="756BA040" w14:textId="77777777" w:rsidR="00C47ADF" w:rsidRDefault="00267B13" w:rsidP="00267B13">
      <w:pPr>
        <w:pStyle w:val="Body"/>
      </w:pPr>
      <w:r>
        <w:t>To assess likelihood, the Regulator considers situational, organisational and vulnerability risks. These factors relate to</w:t>
      </w:r>
      <w:r w:rsidR="00C47ADF">
        <w:t>:</w:t>
      </w:r>
    </w:p>
    <w:p w14:paraId="1FED8B99" w14:textId="4D711A70" w:rsidR="00C47ADF" w:rsidRDefault="00267B13" w:rsidP="00C47ADF">
      <w:pPr>
        <w:pStyle w:val="Bullet1"/>
      </w:pPr>
      <w:r>
        <w:t>types of services an organisation provides</w:t>
      </w:r>
    </w:p>
    <w:p w14:paraId="049B3D2A" w14:textId="6837EEBF" w:rsidR="00C47ADF" w:rsidRDefault="00830670" w:rsidP="00C47ADF">
      <w:pPr>
        <w:pStyle w:val="Bullet1"/>
      </w:pPr>
      <w:r>
        <w:t xml:space="preserve">an organisation’s </w:t>
      </w:r>
      <w:r w:rsidR="00267B13">
        <w:t xml:space="preserve">compliance history, </w:t>
      </w:r>
      <w:proofErr w:type="gramStart"/>
      <w:r w:rsidR="00267B13">
        <w:t>governance</w:t>
      </w:r>
      <w:proofErr w:type="gramEnd"/>
      <w:r w:rsidR="00267B13">
        <w:t xml:space="preserve"> and operational practices</w:t>
      </w:r>
    </w:p>
    <w:p w14:paraId="10289692" w14:textId="033495E3" w:rsidR="00267B13" w:rsidRDefault="00267B13" w:rsidP="00C47ADF">
      <w:pPr>
        <w:pStyle w:val="Bullet1"/>
      </w:pPr>
      <w:r>
        <w:t>characteristics of the children using the services.</w:t>
      </w:r>
    </w:p>
    <w:p w14:paraId="27C5AF3C" w14:textId="65D1F7B7" w:rsidR="00831F4C" w:rsidRDefault="00831F4C" w:rsidP="00831F4C">
      <w:pPr>
        <w:pStyle w:val="Bodyafterbullets"/>
      </w:pPr>
      <w:r>
        <w:t xml:space="preserve">Factors affecting the likelihood of risk are listed in </w:t>
      </w:r>
      <w:r>
        <w:fldChar w:fldCharType="begin"/>
      </w:r>
      <w:r>
        <w:instrText xml:space="preserve"> REF _Ref114220549 \h </w:instrText>
      </w:r>
      <w:r>
        <w:fldChar w:fldCharType="separate"/>
      </w:r>
      <w:r>
        <w:t xml:space="preserve">Table </w:t>
      </w:r>
      <w:r>
        <w:rPr>
          <w:noProof/>
        </w:rPr>
        <w:t>2</w:t>
      </w:r>
      <w:r>
        <w:fldChar w:fldCharType="end"/>
      </w:r>
      <w:r>
        <w:t>.</w:t>
      </w:r>
    </w:p>
    <w:p w14:paraId="0C0E939E" w14:textId="2B0054A8" w:rsidR="00CE64CE" w:rsidRDefault="00CE64CE" w:rsidP="00013302">
      <w:pPr>
        <w:pStyle w:val="Bodyafterbullets"/>
      </w:pPr>
      <w:r>
        <w:t>Likelihood may be rated</w:t>
      </w:r>
      <w:r w:rsidR="001F32A7">
        <w:t xml:space="preserve"> </w:t>
      </w:r>
      <w:r>
        <w:t>unlikely</w:t>
      </w:r>
      <w:r w:rsidR="001F32A7">
        <w:t xml:space="preserve">, </w:t>
      </w:r>
      <w:proofErr w:type="gramStart"/>
      <w:r>
        <w:t>likely</w:t>
      </w:r>
      <w:proofErr w:type="gramEnd"/>
      <w:r w:rsidR="001F32A7">
        <w:t xml:space="preserve"> or </w:t>
      </w:r>
      <w:r>
        <w:t>certain.</w:t>
      </w:r>
    </w:p>
    <w:p w14:paraId="79954FDD" w14:textId="3004CDC1" w:rsidR="00C47ADF" w:rsidRDefault="00C47ADF" w:rsidP="00013302">
      <w:pPr>
        <w:pStyle w:val="Tablecaption"/>
      </w:pPr>
      <w:bookmarkStart w:id="24" w:name="_Ref114220549"/>
      <w:r>
        <w:lastRenderedPageBreak/>
        <w:t xml:space="preserve">Table </w:t>
      </w:r>
      <w:r w:rsidR="009E7CC7">
        <w:fldChar w:fldCharType="begin"/>
      </w:r>
      <w:r w:rsidR="009E7CC7">
        <w:instrText xml:space="preserve"> SEQ Table \* ARABIC </w:instrText>
      </w:r>
      <w:r w:rsidR="009E7CC7">
        <w:fldChar w:fldCharType="separate"/>
      </w:r>
      <w:r w:rsidR="00DC726B">
        <w:rPr>
          <w:noProof/>
        </w:rPr>
        <w:t>2</w:t>
      </w:r>
      <w:r w:rsidR="009E7CC7">
        <w:rPr>
          <w:noProof/>
        </w:rPr>
        <w:fldChar w:fldCharType="end"/>
      </w:r>
      <w:bookmarkEnd w:id="24"/>
      <w:r>
        <w:t>: Likelihood factors</w:t>
      </w:r>
    </w:p>
    <w:tbl>
      <w:tblPr>
        <w:tblStyle w:val="HSRtable"/>
        <w:tblW w:w="9326" w:type="dxa"/>
        <w:tblLook w:val="06A0" w:firstRow="1" w:lastRow="0" w:firstColumn="1" w:lastColumn="0" w:noHBand="1" w:noVBand="1"/>
      </w:tblPr>
      <w:tblGrid>
        <w:gridCol w:w="1955"/>
        <w:gridCol w:w="7371"/>
      </w:tblGrid>
      <w:tr w:rsidR="006A454C" w14:paraId="7811DF30" w14:textId="77777777" w:rsidTr="003174ED">
        <w:trPr>
          <w:cnfStyle w:val="100000000000" w:firstRow="1" w:lastRow="0" w:firstColumn="0" w:lastColumn="0" w:oddVBand="0" w:evenVBand="0" w:oddHBand="0" w:evenHBand="0" w:firstRowFirstColumn="0" w:firstRowLastColumn="0" w:lastRowFirstColumn="0" w:lastRowLastColumn="0"/>
          <w:trHeight w:val="102"/>
          <w:tblHeader/>
        </w:trPr>
        <w:tc>
          <w:tcPr>
            <w:cnfStyle w:val="001000000000" w:firstRow="0" w:lastRow="0" w:firstColumn="1" w:lastColumn="0" w:oddVBand="0" w:evenVBand="0" w:oddHBand="0" w:evenHBand="0" w:firstRowFirstColumn="0" w:firstRowLastColumn="0" w:lastRowFirstColumn="0" w:lastRowLastColumn="0"/>
            <w:tcW w:w="1955" w:type="dxa"/>
          </w:tcPr>
          <w:p w14:paraId="3626481C" w14:textId="17B34160" w:rsidR="006A454C" w:rsidRPr="000A6D1A" w:rsidRDefault="006A454C" w:rsidP="003567DB">
            <w:pPr>
              <w:pStyle w:val="Body"/>
              <w:rPr>
                <w:b/>
                <w:bCs/>
              </w:rPr>
            </w:pPr>
            <w:r>
              <w:rPr>
                <w:b/>
                <w:bCs/>
              </w:rPr>
              <w:t>Risk type</w:t>
            </w:r>
          </w:p>
        </w:tc>
        <w:tc>
          <w:tcPr>
            <w:tcW w:w="7371" w:type="dxa"/>
          </w:tcPr>
          <w:p w14:paraId="75A9398D" w14:textId="5D075368" w:rsidR="006A454C" w:rsidRDefault="006A454C" w:rsidP="003567DB">
            <w:pPr>
              <w:pStyle w:val="Body"/>
              <w:cnfStyle w:val="100000000000" w:firstRow="1" w:lastRow="0" w:firstColumn="0" w:lastColumn="0" w:oddVBand="0" w:evenVBand="0" w:oddHBand="0" w:evenHBand="0" w:firstRowFirstColumn="0" w:firstRowLastColumn="0" w:lastRowFirstColumn="0" w:lastRowLastColumn="0"/>
              <w:rPr>
                <w:b/>
                <w:bCs/>
              </w:rPr>
            </w:pPr>
            <w:r>
              <w:rPr>
                <w:b/>
                <w:bCs/>
              </w:rPr>
              <w:t>Likelihood factors</w:t>
            </w:r>
          </w:p>
        </w:tc>
      </w:tr>
      <w:tr w:rsidR="006A454C" w14:paraId="77C61B52" w14:textId="77777777" w:rsidTr="007666E1">
        <w:trPr>
          <w:trHeight w:val="161"/>
        </w:trPr>
        <w:tc>
          <w:tcPr>
            <w:cnfStyle w:val="001000000000" w:firstRow="0" w:lastRow="0" w:firstColumn="1" w:lastColumn="0" w:oddVBand="0" w:evenVBand="0" w:oddHBand="0" w:evenHBand="0" w:firstRowFirstColumn="0" w:firstRowLastColumn="0" w:lastRowFirstColumn="0" w:lastRowLastColumn="0"/>
            <w:tcW w:w="1955" w:type="dxa"/>
            <w:shd w:val="clear" w:color="auto" w:fill="ECF1F8"/>
          </w:tcPr>
          <w:p w14:paraId="60AC3623" w14:textId="6F8A48C3" w:rsidR="006A454C" w:rsidRPr="00C47ADF" w:rsidRDefault="00C47ADF" w:rsidP="00C47ADF">
            <w:pPr>
              <w:pStyle w:val="Tabletext"/>
            </w:pPr>
            <w:r w:rsidRPr="00C47ADF">
              <w:t>Situational</w:t>
            </w:r>
          </w:p>
        </w:tc>
        <w:tc>
          <w:tcPr>
            <w:tcW w:w="7371" w:type="dxa"/>
          </w:tcPr>
          <w:p w14:paraId="4A18B124" w14:textId="77777777" w:rsidR="00C47ADF"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Health services may have higher levels of situational risk if they provide more opportunities for abuse or harm to occur.</w:t>
            </w:r>
          </w:p>
          <w:p w14:paraId="2419E6C7" w14:textId="77777777" w:rsidR="00C47ADF"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This could relate to</w:t>
            </w:r>
            <w:r>
              <w:t>:</w:t>
            </w:r>
          </w:p>
          <w:p w14:paraId="7F11D040" w14:textId="77777777" w:rsidR="00C47ADF" w:rsidRDefault="00C47ADF" w:rsidP="00C47ADF">
            <w:pPr>
              <w:pStyle w:val="Tablebullet1"/>
              <w:cnfStyle w:val="000000000000" w:firstRow="0" w:lastRow="0" w:firstColumn="0" w:lastColumn="0" w:oddVBand="0" w:evenVBand="0" w:oddHBand="0" w:evenHBand="0" w:firstRowFirstColumn="0" w:firstRowLastColumn="0" w:lastRowFirstColumn="0" w:lastRowLastColumn="0"/>
            </w:pPr>
            <w:r w:rsidRPr="00C47ADF">
              <w:t>nature and location of the service</w:t>
            </w:r>
          </w:p>
          <w:p w14:paraId="14BE721F" w14:textId="77777777" w:rsidR="00C47ADF" w:rsidRDefault="00C47ADF" w:rsidP="00C47ADF">
            <w:pPr>
              <w:pStyle w:val="Tablebullet1"/>
              <w:cnfStyle w:val="000000000000" w:firstRow="0" w:lastRow="0" w:firstColumn="0" w:lastColumn="0" w:oddVBand="0" w:evenVBand="0" w:oddHBand="0" w:evenHBand="0" w:firstRowFirstColumn="0" w:firstRowLastColumn="0" w:lastRowFirstColumn="0" w:lastRowLastColumn="0"/>
            </w:pPr>
            <w:r w:rsidRPr="00C47ADF">
              <w:t>amount of physical contact between adults and children</w:t>
            </w:r>
          </w:p>
          <w:p w14:paraId="05950F01" w14:textId="77777777" w:rsidR="00C47ADF" w:rsidRDefault="00C47ADF" w:rsidP="00C47ADF">
            <w:pPr>
              <w:pStyle w:val="Tablebullet1"/>
              <w:cnfStyle w:val="000000000000" w:firstRow="0" w:lastRow="0" w:firstColumn="0" w:lastColumn="0" w:oddVBand="0" w:evenVBand="0" w:oddHBand="0" w:evenHBand="0" w:firstRowFirstColumn="0" w:firstRowLastColumn="0" w:lastRowFirstColumn="0" w:lastRowLastColumn="0"/>
            </w:pPr>
            <w:r>
              <w:t xml:space="preserve">if </w:t>
            </w:r>
            <w:r w:rsidRPr="00C47ADF">
              <w:t>there are opportunities for close relationships or dependencies to develop between adults and children over time</w:t>
            </w:r>
          </w:p>
          <w:p w14:paraId="49A5C6BD" w14:textId="543AC294" w:rsidR="006A454C" w:rsidRPr="003174ED" w:rsidRDefault="00C47ADF" w:rsidP="003174ED">
            <w:pPr>
              <w:pStyle w:val="Tablebullet1"/>
              <w:cnfStyle w:val="000000000000" w:firstRow="0" w:lastRow="0" w:firstColumn="0" w:lastColumn="0" w:oddVBand="0" w:evenVBand="0" w:oddHBand="0" w:evenHBand="0" w:firstRowFirstColumn="0" w:firstRowLastColumn="0" w:lastRowFirstColumn="0" w:lastRowLastColumn="0"/>
            </w:pPr>
            <w:r>
              <w:t xml:space="preserve">if </w:t>
            </w:r>
            <w:r w:rsidRPr="00C47ADF">
              <w:t>children are away from their parents or guardians for extended periods while receiving health services.</w:t>
            </w:r>
          </w:p>
        </w:tc>
      </w:tr>
      <w:tr w:rsidR="006A454C" w14:paraId="6D8A1233" w14:textId="77777777" w:rsidTr="007666E1">
        <w:trPr>
          <w:trHeight w:val="161"/>
        </w:trPr>
        <w:tc>
          <w:tcPr>
            <w:cnfStyle w:val="001000000000" w:firstRow="0" w:lastRow="0" w:firstColumn="1" w:lastColumn="0" w:oddVBand="0" w:evenVBand="0" w:oddHBand="0" w:evenHBand="0" w:firstRowFirstColumn="0" w:firstRowLastColumn="0" w:lastRowFirstColumn="0" w:lastRowLastColumn="0"/>
            <w:tcW w:w="1955" w:type="dxa"/>
            <w:shd w:val="clear" w:color="auto" w:fill="ECF1F8"/>
          </w:tcPr>
          <w:p w14:paraId="061310C1" w14:textId="0F8F07B0" w:rsidR="006A454C" w:rsidRPr="00C47ADF" w:rsidDel="00F01C7D" w:rsidRDefault="00C47ADF" w:rsidP="00C47ADF">
            <w:pPr>
              <w:pStyle w:val="Tabletext"/>
            </w:pPr>
            <w:r w:rsidRPr="00C47ADF">
              <w:t>Organisational</w:t>
            </w:r>
          </w:p>
        </w:tc>
        <w:tc>
          <w:tcPr>
            <w:tcW w:w="7371" w:type="dxa"/>
          </w:tcPr>
          <w:p w14:paraId="0A08E04A" w14:textId="22AC5D63" w:rsidR="00C47ADF"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 xml:space="preserve">An organisation’s structure, resources, </w:t>
            </w:r>
            <w:proofErr w:type="gramStart"/>
            <w:r w:rsidRPr="00C47ADF">
              <w:t>practices</w:t>
            </w:r>
            <w:proofErr w:type="gramEnd"/>
            <w:r w:rsidRPr="00C47ADF">
              <w:t xml:space="preserve"> and compliance history </w:t>
            </w:r>
            <w:r>
              <w:t xml:space="preserve">affect </w:t>
            </w:r>
            <w:r w:rsidRPr="00C47ADF">
              <w:t>the risk of harm.</w:t>
            </w:r>
          </w:p>
          <w:p w14:paraId="250E5564" w14:textId="77777777" w:rsidR="00C47ADF"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For example, a lack of resources or capability in an organisation may increase the likelihood that</w:t>
            </w:r>
            <w:r>
              <w:t>:</w:t>
            </w:r>
          </w:p>
          <w:p w14:paraId="066025A2" w14:textId="34DA7B5C" w:rsidR="00C47ADF" w:rsidRDefault="00C47ADF" w:rsidP="00C47ADF">
            <w:pPr>
              <w:pStyle w:val="Tablebullet1"/>
              <w:cnfStyle w:val="000000000000" w:firstRow="0" w:lastRow="0" w:firstColumn="0" w:lastColumn="0" w:oddVBand="0" w:evenVBand="0" w:oddHBand="0" w:evenHBand="0" w:firstRowFirstColumn="0" w:firstRowLastColumn="0" w:lastRowFirstColumn="0" w:lastRowLastColumn="0"/>
            </w:pPr>
            <w:r w:rsidRPr="00C47ADF">
              <w:t xml:space="preserve">policies and procedures are </w:t>
            </w:r>
            <w:r>
              <w:t xml:space="preserve">not </w:t>
            </w:r>
            <w:r w:rsidRPr="00C47ADF">
              <w:t xml:space="preserve">documented or </w:t>
            </w:r>
            <w:r w:rsidR="00564610">
              <w:t xml:space="preserve">are </w:t>
            </w:r>
            <w:r w:rsidR="00E945FE">
              <w:t xml:space="preserve">not </w:t>
            </w:r>
            <w:r w:rsidRPr="00C47ADF">
              <w:t>adequate</w:t>
            </w:r>
          </w:p>
          <w:p w14:paraId="4C82CC6C" w14:textId="3E05FA4D" w:rsidR="00C47ADF" w:rsidRDefault="00C47ADF" w:rsidP="003174ED">
            <w:pPr>
              <w:pStyle w:val="Tablebullet1"/>
              <w:cnfStyle w:val="000000000000" w:firstRow="0" w:lastRow="0" w:firstColumn="0" w:lastColumn="0" w:oddVBand="0" w:evenVBand="0" w:oddHBand="0" w:evenHBand="0" w:firstRowFirstColumn="0" w:firstRowLastColumn="0" w:lastRowFirstColumn="0" w:lastRowLastColumn="0"/>
            </w:pPr>
            <w:r w:rsidRPr="00C47ADF">
              <w:t>risks are not identified or are poorly managed.</w:t>
            </w:r>
          </w:p>
          <w:p w14:paraId="59FE6B78" w14:textId="77777777" w:rsidR="00831F4C" w:rsidRDefault="00C47ADF" w:rsidP="00C47ADF">
            <w:pPr>
              <w:pStyle w:val="Tabletext"/>
              <w:cnfStyle w:val="000000000000" w:firstRow="0" w:lastRow="0" w:firstColumn="0" w:lastColumn="0" w:oddVBand="0" w:evenVBand="0" w:oddHBand="0" w:evenHBand="0" w:firstRowFirstColumn="0" w:firstRowLastColumn="0" w:lastRowFirstColumn="0" w:lastRowLastColumn="0"/>
            </w:pPr>
            <w:r>
              <w:t>There may be a greater</w:t>
            </w:r>
            <w:r w:rsidRPr="00C47ADF">
              <w:t xml:space="preserve"> likelihood of </w:t>
            </w:r>
            <w:r w:rsidR="00831F4C">
              <w:t xml:space="preserve">not meeting </w:t>
            </w:r>
            <w:r w:rsidRPr="00C47ADF">
              <w:t xml:space="preserve">the Standards </w:t>
            </w:r>
            <w:r w:rsidR="00831F4C">
              <w:t>(</w:t>
            </w:r>
            <w:r w:rsidRPr="00C47ADF">
              <w:t>and higher risk of harm to children</w:t>
            </w:r>
            <w:r w:rsidR="00831F4C">
              <w:t>)</w:t>
            </w:r>
            <w:r w:rsidRPr="00C47ADF">
              <w:t xml:space="preserve"> </w:t>
            </w:r>
            <w:r w:rsidR="00831F4C">
              <w:t>in a</w:t>
            </w:r>
            <w:r w:rsidRPr="00C47ADF">
              <w:t>n organisation with a history of</w:t>
            </w:r>
            <w:r w:rsidR="00831F4C">
              <w:t>:</w:t>
            </w:r>
          </w:p>
          <w:p w14:paraId="7C42CAE7" w14:textId="77777777"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non-compliance</w:t>
            </w:r>
          </w:p>
          <w:p w14:paraId="097531C6" w14:textId="77777777"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incidents of abuse</w:t>
            </w:r>
          </w:p>
          <w:p w14:paraId="5971D665" w14:textId="77777777"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poor responses to regulatory action</w:t>
            </w:r>
          </w:p>
          <w:p w14:paraId="24766840" w14:textId="1A8296B5" w:rsidR="006A454C" w:rsidRPr="00C47ADF" w:rsidRDefault="00C47ADF" w:rsidP="003174ED">
            <w:pPr>
              <w:pStyle w:val="Tablebullet1"/>
              <w:cnfStyle w:val="000000000000" w:firstRow="0" w:lastRow="0" w:firstColumn="0" w:lastColumn="0" w:oddVBand="0" w:evenVBand="0" w:oddHBand="0" w:evenHBand="0" w:firstRowFirstColumn="0" w:firstRowLastColumn="0" w:lastRowFirstColumn="0" w:lastRowLastColumn="0"/>
            </w:pPr>
            <w:r w:rsidRPr="00C47ADF">
              <w:t>active resistance to engagement with the Regulator.</w:t>
            </w:r>
          </w:p>
        </w:tc>
      </w:tr>
      <w:tr w:rsidR="006A454C" w14:paraId="68BB97AF" w14:textId="77777777" w:rsidTr="007666E1">
        <w:trPr>
          <w:trHeight w:val="161"/>
        </w:trPr>
        <w:tc>
          <w:tcPr>
            <w:cnfStyle w:val="001000000000" w:firstRow="0" w:lastRow="0" w:firstColumn="1" w:lastColumn="0" w:oddVBand="0" w:evenVBand="0" w:oddHBand="0" w:evenHBand="0" w:firstRowFirstColumn="0" w:firstRowLastColumn="0" w:lastRowFirstColumn="0" w:lastRowLastColumn="0"/>
            <w:tcW w:w="1955" w:type="dxa"/>
            <w:shd w:val="clear" w:color="auto" w:fill="ECF1F8"/>
          </w:tcPr>
          <w:p w14:paraId="64E91C25" w14:textId="3176A931" w:rsidR="006A454C" w:rsidRPr="00C47ADF" w:rsidRDefault="00C47ADF" w:rsidP="00C47ADF">
            <w:pPr>
              <w:pStyle w:val="Tabletext"/>
            </w:pPr>
            <w:r w:rsidRPr="00C47ADF">
              <w:t>Vulnerability</w:t>
            </w:r>
          </w:p>
        </w:tc>
        <w:tc>
          <w:tcPr>
            <w:tcW w:w="7371" w:type="dxa"/>
          </w:tcPr>
          <w:p w14:paraId="4BE1BE3F" w14:textId="77777777" w:rsidR="00831F4C"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 xml:space="preserve">The characteristics of the children using the organisation’s services may </w:t>
            </w:r>
            <w:r w:rsidR="00831F4C">
              <w:t>change</w:t>
            </w:r>
            <w:r w:rsidRPr="00C47ADF">
              <w:t xml:space="preserve"> the risk of harm occurring.</w:t>
            </w:r>
          </w:p>
          <w:p w14:paraId="76ADED66" w14:textId="77777777" w:rsidR="00831F4C" w:rsidRDefault="00C47ADF" w:rsidP="00C47ADF">
            <w:pPr>
              <w:pStyle w:val="Tabletext"/>
              <w:cnfStyle w:val="000000000000" w:firstRow="0" w:lastRow="0" w:firstColumn="0" w:lastColumn="0" w:oddVBand="0" w:evenVBand="0" w:oddHBand="0" w:evenHBand="0" w:firstRowFirstColumn="0" w:firstRowLastColumn="0" w:lastRowFirstColumn="0" w:lastRowLastColumn="0"/>
            </w:pPr>
            <w:r w:rsidRPr="00C47ADF">
              <w:t>An organisation may have higher risks if the children and young people using the services have characteristics that increase their vulnerability. This could include</w:t>
            </w:r>
            <w:r w:rsidR="00831F4C">
              <w:t>:</w:t>
            </w:r>
          </w:p>
          <w:p w14:paraId="2162CAF6" w14:textId="44AC366E"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 xml:space="preserve">Aboriginal and Torres Strait Islander </w:t>
            </w:r>
            <w:r w:rsidR="006E6698">
              <w:t>young people</w:t>
            </w:r>
          </w:p>
          <w:p w14:paraId="076F34F3" w14:textId="77777777"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young people with disability or complex communication needs</w:t>
            </w:r>
          </w:p>
          <w:p w14:paraId="27E04D1F" w14:textId="0F866100" w:rsidR="00831F4C" w:rsidRDefault="006E6698" w:rsidP="00831F4C">
            <w:pPr>
              <w:pStyle w:val="Tablebullet1"/>
              <w:cnfStyle w:val="000000000000" w:firstRow="0" w:lastRow="0" w:firstColumn="0" w:lastColumn="0" w:oddVBand="0" w:evenVBand="0" w:oddHBand="0" w:evenHBand="0" w:firstRowFirstColumn="0" w:firstRowLastColumn="0" w:lastRowFirstColumn="0" w:lastRowLastColumn="0"/>
            </w:pPr>
            <w:r>
              <w:t>young people</w:t>
            </w:r>
            <w:r w:rsidR="00C47ADF" w:rsidRPr="00C47ADF">
              <w:t xml:space="preserve"> from culturally and linguistically diverse backgrounds</w:t>
            </w:r>
          </w:p>
          <w:p w14:paraId="413A0B87" w14:textId="28D72D7B" w:rsidR="00831F4C" w:rsidRDefault="006E6698" w:rsidP="00831F4C">
            <w:pPr>
              <w:pStyle w:val="Tablebullet1"/>
              <w:cnfStyle w:val="000000000000" w:firstRow="0" w:lastRow="0" w:firstColumn="0" w:lastColumn="0" w:oddVBand="0" w:evenVBand="0" w:oddHBand="0" w:evenHBand="0" w:firstRowFirstColumn="0" w:firstRowLastColumn="0" w:lastRowFirstColumn="0" w:lastRowLastColumn="0"/>
            </w:pPr>
            <w:r>
              <w:t>young people</w:t>
            </w:r>
            <w:r w:rsidRPr="00C47ADF">
              <w:t xml:space="preserve"> </w:t>
            </w:r>
            <w:r w:rsidR="00831F4C" w:rsidRPr="00C47ADF">
              <w:t>who identify as lesbian, gay, bisexual, trans</w:t>
            </w:r>
            <w:r w:rsidR="006B5BE1">
              <w:t xml:space="preserve"> and </w:t>
            </w:r>
            <w:r w:rsidR="00831F4C" w:rsidRPr="00C47ADF">
              <w:t xml:space="preserve">gender </w:t>
            </w:r>
            <w:r w:rsidR="006B5BE1">
              <w:t>diverse</w:t>
            </w:r>
            <w:r w:rsidR="00346A1C">
              <w:t xml:space="preserve">, </w:t>
            </w:r>
            <w:r w:rsidR="00831F4C" w:rsidRPr="00C47ADF">
              <w:t>intersex</w:t>
            </w:r>
            <w:r w:rsidR="00346A1C">
              <w:t>, queer and/or questioning</w:t>
            </w:r>
          </w:p>
          <w:p w14:paraId="2BA1D3EF" w14:textId="5CA1AB6B"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young people living with trauma</w:t>
            </w:r>
          </w:p>
          <w:p w14:paraId="1E3DA721" w14:textId="77777777" w:rsidR="00831F4C" w:rsidRDefault="00831F4C" w:rsidP="00831F4C">
            <w:pPr>
              <w:pStyle w:val="Tablebullet1"/>
              <w:cnfStyle w:val="000000000000" w:firstRow="0" w:lastRow="0" w:firstColumn="0" w:lastColumn="0" w:oddVBand="0" w:evenVBand="0" w:oddHBand="0" w:evenHBand="0" w:firstRowFirstColumn="0" w:firstRowLastColumn="0" w:lastRowFirstColumn="0" w:lastRowLastColumn="0"/>
            </w:pPr>
            <w:r>
              <w:t xml:space="preserve">young people </w:t>
            </w:r>
            <w:r w:rsidR="00C47ADF" w:rsidRPr="00C47ADF">
              <w:t>with drug or alcohol dependency</w:t>
            </w:r>
          </w:p>
          <w:p w14:paraId="564D65E0" w14:textId="77777777" w:rsidR="00831F4C" w:rsidRDefault="00C47ADF" w:rsidP="00831F4C">
            <w:pPr>
              <w:pStyle w:val="Tablebullet1"/>
              <w:cnfStyle w:val="000000000000" w:firstRow="0" w:lastRow="0" w:firstColumn="0" w:lastColumn="0" w:oddVBand="0" w:evenVBand="0" w:oddHBand="0" w:evenHBand="0" w:firstRowFirstColumn="0" w:firstRowLastColumn="0" w:lastRowFirstColumn="0" w:lastRowLastColumn="0"/>
            </w:pPr>
            <w:r w:rsidRPr="00C47ADF">
              <w:t>young people experiencing homelessness</w:t>
            </w:r>
          </w:p>
          <w:p w14:paraId="5DE9ADC0" w14:textId="40F84AB0" w:rsidR="006A454C" w:rsidRPr="00C47ADF" w:rsidRDefault="00831F4C" w:rsidP="003174ED">
            <w:pPr>
              <w:pStyle w:val="Tablebullet1"/>
              <w:cnfStyle w:val="000000000000" w:firstRow="0" w:lastRow="0" w:firstColumn="0" w:lastColumn="0" w:oddVBand="0" w:evenVBand="0" w:oddHBand="0" w:evenHBand="0" w:firstRowFirstColumn="0" w:firstRowLastColumn="0" w:lastRowFirstColumn="0" w:lastRowLastColumn="0"/>
            </w:pPr>
            <w:r>
              <w:t xml:space="preserve">young people </w:t>
            </w:r>
            <w:r w:rsidR="00C47ADF" w:rsidRPr="00C47ADF">
              <w:t>with limited family or advocate support.</w:t>
            </w:r>
          </w:p>
        </w:tc>
      </w:tr>
    </w:tbl>
    <w:p w14:paraId="0854B152" w14:textId="20A3F689" w:rsidR="00CE64CE" w:rsidRDefault="00831F4C" w:rsidP="00C47ADF">
      <w:pPr>
        <w:pStyle w:val="Bodyaftertablefigure"/>
      </w:pPr>
      <w:r>
        <w:t xml:space="preserve">An overall risk rating is determined by comparing the consequence </w:t>
      </w:r>
      <w:r w:rsidR="00CE64CE">
        <w:t xml:space="preserve">rating </w:t>
      </w:r>
      <w:r>
        <w:t>to the likelihood</w:t>
      </w:r>
      <w:r w:rsidR="00CE64CE">
        <w:t xml:space="preserve"> rating</w:t>
      </w:r>
      <w:r>
        <w:t>.</w:t>
      </w:r>
      <w:r w:rsidR="00CE64CE">
        <w:t xml:space="preserve"> See</w:t>
      </w:r>
      <w:r w:rsidR="00267B13">
        <w:t xml:space="preserve"> </w:t>
      </w:r>
      <w:r w:rsidR="00CE64CE">
        <w:fldChar w:fldCharType="begin"/>
      </w:r>
      <w:r w:rsidR="00CE64CE">
        <w:instrText xml:space="preserve"> REF _Ref114220661 \h </w:instrText>
      </w:r>
      <w:r w:rsidR="00CE64CE">
        <w:fldChar w:fldCharType="separate"/>
      </w:r>
      <w:r w:rsidR="001F32A7">
        <w:t xml:space="preserve">Table </w:t>
      </w:r>
      <w:r w:rsidR="001F32A7">
        <w:rPr>
          <w:noProof/>
        </w:rPr>
        <w:t>3</w:t>
      </w:r>
      <w:r w:rsidR="00CE64CE">
        <w:fldChar w:fldCharType="end"/>
      </w:r>
      <w:r w:rsidR="00CE64CE">
        <w:fldChar w:fldCharType="begin"/>
      </w:r>
      <w:r w:rsidR="00CE64CE">
        <w:instrText xml:space="preserve"> REF _Ref114220661 \h </w:instrText>
      </w:r>
      <w:r w:rsidR="009E7CC7">
        <w:fldChar w:fldCharType="separate"/>
      </w:r>
      <w:r w:rsidR="00CE64CE">
        <w:fldChar w:fldCharType="end"/>
      </w:r>
      <w:r w:rsidR="00267B13">
        <w:t>.</w:t>
      </w:r>
    </w:p>
    <w:p w14:paraId="72281B4A" w14:textId="4D35A8C1" w:rsidR="00267B13" w:rsidRDefault="00267B13" w:rsidP="0038349E">
      <w:pPr>
        <w:pStyle w:val="Bodyaftertablefigure"/>
      </w:pPr>
      <w:r>
        <w:t>The risk rating determines the urgency of the Regulator’s response and what type of regulatory action is most appropriate.</w:t>
      </w:r>
    </w:p>
    <w:p w14:paraId="21C62E24" w14:textId="65728A49" w:rsidR="00213661" w:rsidRDefault="00213661" w:rsidP="00213661">
      <w:pPr>
        <w:pStyle w:val="Tablecaption"/>
      </w:pPr>
      <w:bookmarkStart w:id="25" w:name="_Ref114220661"/>
      <w:r>
        <w:lastRenderedPageBreak/>
        <w:t xml:space="preserve">Table </w:t>
      </w:r>
      <w:r w:rsidR="009E7CC7">
        <w:fldChar w:fldCharType="begin"/>
      </w:r>
      <w:r w:rsidR="009E7CC7">
        <w:instrText xml:space="preserve"> SEQ Table \* ARABIC </w:instrText>
      </w:r>
      <w:r w:rsidR="009E7CC7">
        <w:fldChar w:fldCharType="separate"/>
      </w:r>
      <w:r w:rsidR="00DC726B">
        <w:rPr>
          <w:noProof/>
        </w:rPr>
        <w:t>3</w:t>
      </w:r>
      <w:r w:rsidR="009E7CC7">
        <w:rPr>
          <w:noProof/>
        </w:rPr>
        <w:fldChar w:fldCharType="end"/>
      </w:r>
      <w:bookmarkEnd w:id="25"/>
      <w:r>
        <w:t>: Risk assessment matrix</w:t>
      </w:r>
    </w:p>
    <w:tbl>
      <w:tblPr>
        <w:tblStyle w:val="HSRtable"/>
        <w:tblW w:w="6372" w:type="dxa"/>
        <w:tblLook w:val="04A0" w:firstRow="1" w:lastRow="0" w:firstColumn="1" w:lastColumn="0" w:noHBand="0" w:noVBand="1"/>
      </w:tblPr>
      <w:tblGrid>
        <w:gridCol w:w="1593"/>
        <w:gridCol w:w="1593"/>
        <w:gridCol w:w="1593"/>
        <w:gridCol w:w="1593"/>
      </w:tblGrid>
      <w:tr w:rsidR="00A257E2" w14:paraId="2084A6D2" w14:textId="77777777" w:rsidTr="00626BA8">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FFFFFF" w:themeColor="background1"/>
              <w:right w:val="single" w:sz="12" w:space="0" w:color="FFFFFF" w:themeColor="background1"/>
            </w:tcBorders>
          </w:tcPr>
          <w:p w14:paraId="5F59D59A" w14:textId="77777777" w:rsidR="0080217F" w:rsidRDefault="0080217F" w:rsidP="003567DB">
            <w:pPr>
              <w:pStyle w:val="Tablecolhead"/>
            </w:pPr>
            <w:r>
              <w:t>Consequence</w:t>
            </w:r>
          </w:p>
        </w:tc>
        <w:tc>
          <w:tcPr>
            <w:tcW w:w="1593" w:type="dxa"/>
            <w:tcBorders>
              <w:left w:val="single" w:sz="12" w:space="0" w:color="FFFFFF" w:themeColor="background1"/>
              <w:bottom w:val="single" w:sz="12" w:space="0" w:color="FFFFFF" w:themeColor="background1"/>
              <w:right w:val="single" w:sz="12" w:space="0" w:color="FFFFFF" w:themeColor="background1"/>
            </w:tcBorders>
          </w:tcPr>
          <w:p w14:paraId="14646FC1" w14:textId="77777777" w:rsidR="0080217F" w:rsidRDefault="0080217F" w:rsidP="002D4736">
            <w:pPr>
              <w:pStyle w:val="Tablecolhead"/>
              <w:jc w:val="center"/>
              <w:cnfStyle w:val="100000000000" w:firstRow="1" w:lastRow="0" w:firstColumn="0" w:lastColumn="0" w:oddVBand="0" w:evenVBand="0" w:oddHBand="0" w:evenHBand="0" w:firstRowFirstColumn="0" w:firstRowLastColumn="0" w:lastRowFirstColumn="0" w:lastRowLastColumn="0"/>
            </w:pPr>
            <w:r>
              <w:t>Likelihood: Unlikely</w:t>
            </w:r>
          </w:p>
        </w:tc>
        <w:tc>
          <w:tcPr>
            <w:tcW w:w="1593" w:type="dxa"/>
            <w:tcBorders>
              <w:left w:val="single" w:sz="12" w:space="0" w:color="FFFFFF" w:themeColor="background1"/>
              <w:bottom w:val="single" w:sz="12" w:space="0" w:color="FFFFFF" w:themeColor="background1"/>
              <w:right w:val="single" w:sz="12" w:space="0" w:color="FFFFFF" w:themeColor="background1"/>
            </w:tcBorders>
          </w:tcPr>
          <w:p w14:paraId="6C200DC9" w14:textId="77777777" w:rsidR="0080217F" w:rsidRDefault="0080217F" w:rsidP="002D4736">
            <w:pPr>
              <w:pStyle w:val="Tablecolhead"/>
              <w:jc w:val="center"/>
              <w:cnfStyle w:val="100000000000" w:firstRow="1" w:lastRow="0" w:firstColumn="0" w:lastColumn="0" w:oddVBand="0" w:evenVBand="0" w:oddHBand="0" w:evenHBand="0" w:firstRowFirstColumn="0" w:firstRowLastColumn="0" w:lastRowFirstColumn="0" w:lastRowLastColumn="0"/>
            </w:pPr>
            <w:r>
              <w:t>Likelihood: Likely</w:t>
            </w:r>
          </w:p>
        </w:tc>
        <w:tc>
          <w:tcPr>
            <w:tcW w:w="1593" w:type="dxa"/>
            <w:tcBorders>
              <w:left w:val="single" w:sz="12" w:space="0" w:color="FFFFFF" w:themeColor="background1"/>
              <w:bottom w:val="single" w:sz="12" w:space="0" w:color="FFFFFF" w:themeColor="background1"/>
            </w:tcBorders>
          </w:tcPr>
          <w:p w14:paraId="24BDCD96" w14:textId="77777777" w:rsidR="0080217F" w:rsidRDefault="0080217F" w:rsidP="002D4736">
            <w:pPr>
              <w:pStyle w:val="Tablecolhead"/>
              <w:jc w:val="center"/>
              <w:cnfStyle w:val="100000000000" w:firstRow="1" w:lastRow="0" w:firstColumn="0" w:lastColumn="0" w:oddVBand="0" w:evenVBand="0" w:oddHBand="0" w:evenHBand="0" w:firstRowFirstColumn="0" w:firstRowLastColumn="0" w:lastRowFirstColumn="0" w:lastRowLastColumn="0"/>
            </w:pPr>
            <w:r>
              <w:t>Likelihood: Certain</w:t>
            </w:r>
          </w:p>
        </w:tc>
      </w:tr>
      <w:tr w:rsidR="00CC5C58" w14:paraId="468C22C9" w14:textId="77777777" w:rsidTr="007666E1">
        <w:trPr>
          <w:trHeight w:val="138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bottom w:val="single" w:sz="12" w:space="0" w:color="FFFFFF" w:themeColor="background1"/>
              <w:right w:val="single" w:sz="12" w:space="0" w:color="FFFFFF" w:themeColor="background1"/>
            </w:tcBorders>
            <w:shd w:val="clear" w:color="auto" w:fill="ECF1F8"/>
            <w:vAlign w:val="center"/>
          </w:tcPr>
          <w:p w14:paraId="1C008A07" w14:textId="77777777" w:rsidR="0080217F" w:rsidRPr="00BD6D77" w:rsidRDefault="0080217F" w:rsidP="002D4736">
            <w:pPr>
              <w:pStyle w:val="Tabletext"/>
              <w:rPr>
                <w:b/>
                <w:bCs/>
              </w:rPr>
            </w:pPr>
            <w:r w:rsidRPr="00BD6D77">
              <w:rPr>
                <w:b/>
                <w:bCs/>
              </w:rPr>
              <w:t>Minor</w:t>
            </w:r>
          </w:p>
        </w:tc>
        <w:tc>
          <w:tcPr>
            <w:tcW w:w="15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CC33"/>
            <w:vAlign w:val="center"/>
          </w:tcPr>
          <w:p w14:paraId="5BBBE9CF"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Low</w:t>
            </w:r>
          </w:p>
        </w:tc>
        <w:tc>
          <w:tcPr>
            <w:tcW w:w="15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CC33"/>
            <w:vAlign w:val="center"/>
          </w:tcPr>
          <w:p w14:paraId="53059E0A"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Low</w:t>
            </w:r>
          </w:p>
        </w:tc>
        <w:tc>
          <w:tcPr>
            <w:tcW w:w="1593" w:type="dxa"/>
            <w:tcBorders>
              <w:top w:val="single" w:sz="12" w:space="0" w:color="FFFFFF" w:themeColor="background1"/>
              <w:left w:val="single" w:sz="12" w:space="0" w:color="FFFFFF" w:themeColor="background1"/>
              <w:bottom w:val="single" w:sz="12" w:space="0" w:color="FFFFFF" w:themeColor="background1"/>
            </w:tcBorders>
            <w:shd w:val="clear" w:color="auto" w:fill="FF9900"/>
            <w:vAlign w:val="center"/>
          </w:tcPr>
          <w:p w14:paraId="198CB86E" w14:textId="40DB7B04" w:rsidR="0080217F" w:rsidRPr="00BD6D77" w:rsidRDefault="0080217F" w:rsidP="00CC5C58">
            <w:pPr>
              <w:pStyle w:val="Tabletext"/>
              <w:tabs>
                <w:tab w:val="right" w:pos="2031"/>
              </w:tabs>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Medium</w:t>
            </w:r>
          </w:p>
        </w:tc>
      </w:tr>
      <w:tr w:rsidR="00CC5C58" w14:paraId="3A627C8B" w14:textId="77777777" w:rsidTr="004E72A1">
        <w:trPr>
          <w:trHeight w:val="138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bottom w:val="single" w:sz="12" w:space="0" w:color="FFFFFF" w:themeColor="background1"/>
              <w:right w:val="single" w:sz="12" w:space="0" w:color="FFFFFF" w:themeColor="background1"/>
            </w:tcBorders>
            <w:shd w:val="clear" w:color="auto" w:fill="ECF1F8"/>
            <w:vAlign w:val="center"/>
          </w:tcPr>
          <w:p w14:paraId="091F5629" w14:textId="77777777" w:rsidR="0080217F" w:rsidRPr="00BD6D77" w:rsidRDefault="0080217F" w:rsidP="002D4736">
            <w:pPr>
              <w:pStyle w:val="Tabletext"/>
              <w:rPr>
                <w:b/>
                <w:bCs/>
              </w:rPr>
            </w:pPr>
            <w:r w:rsidRPr="00BD6D77">
              <w:rPr>
                <w:b/>
                <w:bCs/>
              </w:rPr>
              <w:t>Moderate</w:t>
            </w:r>
          </w:p>
        </w:tc>
        <w:tc>
          <w:tcPr>
            <w:tcW w:w="15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CC33"/>
            <w:vAlign w:val="center"/>
          </w:tcPr>
          <w:p w14:paraId="12390DE8"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Low</w:t>
            </w:r>
          </w:p>
        </w:tc>
        <w:tc>
          <w:tcPr>
            <w:tcW w:w="15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9900"/>
            <w:vAlign w:val="center"/>
          </w:tcPr>
          <w:p w14:paraId="31D73ACC" w14:textId="77777777" w:rsidR="0080217F" w:rsidRPr="00BD6D77" w:rsidRDefault="0080217F" w:rsidP="00CC5C58">
            <w:pPr>
              <w:pStyle w:val="Tabletext"/>
              <w:tabs>
                <w:tab w:val="right" w:pos="2031"/>
              </w:tabs>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Medium</w:t>
            </w:r>
          </w:p>
        </w:tc>
        <w:tc>
          <w:tcPr>
            <w:tcW w:w="1593" w:type="dxa"/>
            <w:tcBorders>
              <w:top w:val="single" w:sz="12" w:space="0" w:color="FFFFFF" w:themeColor="background1"/>
              <w:left w:val="single" w:sz="12" w:space="0" w:color="FFFFFF" w:themeColor="background1"/>
              <w:bottom w:val="single" w:sz="12" w:space="0" w:color="FFFFFF" w:themeColor="background1"/>
            </w:tcBorders>
            <w:shd w:val="clear" w:color="auto" w:fill="D50000"/>
            <w:vAlign w:val="center"/>
          </w:tcPr>
          <w:p w14:paraId="28F782D2"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FFFFFF" w:themeColor="background1"/>
              </w:rPr>
              <w:t>High</w:t>
            </w:r>
          </w:p>
        </w:tc>
      </w:tr>
      <w:tr w:rsidR="00CC5C58" w14:paraId="041DF8E9" w14:textId="77777777" w:rsidTr="004E72A1">
        <w:trPr>
          <w:trHeight w:val="138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right w:val="single" w:sz="12" w:space="0" w:color="FFFFFF" w:themeColor="background1"/>
            </w:tcBorders>
            <w:shd w:val="clear" w:color="auto" w:fill="ECF1F8"/>
            <w:vAlign w:val="center"/>
          </w:tcPr>
          <w:p w14:paraId="6F50BA8F" w14:textId="77777777" w:rsidR="0080217F" w:rsidRPr="00BD6D77" w:rsidRDefault="0080217F" w:rsidP="002D4736">
            <w:pPr>
              <w:pStyle w:val="Tabletext"/>
              <w:rPr>
                <w:b/>
                <w:bCs/>
              </w:rPr>
            </w:pPr>
            <w:r w:rsidRPr="00BD6D77">
              <w:rPr>
                <w:b/>
                <w:bCs/>
              </w:rPr>
              <w:t>Major</w:t>
            </w:r>
          </w:p>
        </w:tc>
        <w:tc>
          <w:tcPr>
            <w:tcW w:w="1593" w:type="dxa"/>
            <w:tcBorders>
              <w:top w:val="single" w:sz="12" w:space="0" w:color="FFFFFF" w:themeColor="background1"/>
              <w:left w:val="single" w:sz="12" w:space="0" w:color="FFFFFF" w:themeColor="background1"/>
              <w:right w:val="single" w:sz="12" w:space="0" w:color="FFFFFF" w:themeColor="background1"/>
            </w:tcBorders>
            <w:shd w:val="clear" w:color="auto" w:fill="FF9900"/>
            <w:vAlign w:val="center"/>
          </w:tcPr>
          <w:p w14:paraId="0711E688"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000000" w:themeColor="text1"/>
              </w:rPr>
              <w:t>Medium</w:t>
            </w:r>
          </w:p>
        </w:tc>
        <w:tc>
          <w:tcPr>
            <w:tcW w:w="1593" w:type="dxa"/>
            <w:tcBorders>
              <w:top w:val="single" w:sz="12" w:space="0" w:color="FFFFFF" w:themeColor="background1"/>
              <w:left w:val="single" w:sz="12" w:space="0" w:color="FFFFFF" w:themeColor="background1"/>
              <w:right w:val="single" w:sz="12" w:space="0" w:color="FFFFFF" w:themeColor="background1"/>
            </w:tcBorders>
            <w:shd w:val="clear" w:color="auto" w:fill="D50000"/>
            <w:vAlign w:val="center"/>
          </w:tcPr>
          <w:p w14:paraId="54C59625"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FFFFFF" w:themeColor="background1"/>
              </w:rPr>
              <w:t>High</w:t>
            </w:r>
          </w:p>
        </w:tc>
        <w:tc>
          <w:tcPr>
            <w:tcW w:w="1593" w:type="dxa"/>
            <w:tcBorders>
              <w:top w:val="single" w:sz="12" w:space="0" w:color="FFFFFF" w:themeColor="background1"/>
              <w:left w:val="single" w:sz="12" w:space="0" w:color="FFFFFF" w:themeColor="background1"/>
            </w:tcBorders>
            <w:shd w:val="clear" w:color="auto" w:fill="D50000"/>
            <w:vAlign w:val="center"/>
          </w:tcPr>
          <w:p w14:paraId="3B1DDFC2" w14:textId="77777777" w:rsidR="0080217F" w:rsidRPr="00BD6D77" w:rsidRDefault="0080217F" w:rsidP="00CC5C58">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BD6D77">
              <w:rPr>
                <w:b/>
                <w:bCs/>
                <w:color w:val="FFFFFF" w:themeColor="background1"/>
              </w:rPr>
              <w:t>High</w:t>
            </w:r>
          </w:p>
        </w:tc>
      </w:tr>
    </w:tbl>
    <w:p w14:paraId="7C3279B6" w14:textId="77777777" w:rsidR="00213661" w:rsidRDefault="00213661" w:rsidP="00213661">
      <w:pPr>
        <w:pStyle w:val="Heading2"/>
      </w:pPr>
      <w:bookmarkStart w:id="26" w:name="_Toc108006519"/>
      <w:bookmarkStart w:id="27" w:name="_Toc115101273"/>
      <w:r>
        <w:t>Proportionate</w:t>
      </w:r>
      <w:bookmarkEnd w:id="26"/>
      <w:bookmarkEnd w:id="27"/>
    </w:p>
    <w:p w14:paraId="37742D89" w14:textId="067D4C87" w:rsidR="00213661" w:rsidRDefault="00213661" w:rsidP="00213661">
      <w:pPr>
        <w:pStyle w:val="Body"/>
      </w:pPr>
      <w:r>
        <w:t>Based on the risk rating, the Regulator takes a proportionate approach to allocating effort and resources</w:t>
      </w:r>
      <w:r w:rsidR="00BF7A23">
        <w:t>.</w:t>
      </w:r>
      <w:r>
        <w:t xml:space="preserve"> </w:t>
      </w:r>
      <w:r w:rsidR="00BF7A23">
        <w:t xml:space="preserve">This lets </w:t>
      </w:r>
      <w:r w:rsidR="009825EB">
        <w:t>it</w:t>
      </w:r>
      <w:r w:rsidR="00BF7A23">
        <w:t xml:space="preserve"> </w:t>
      </w:r>
      <w:r>
        <w:t>focus attention where it is most needed.</w:t>
      </w:r>
    </w:p>
    <w:p w14:paraId="7F03A254" w14:textId="05043321" w:rsidR="00213661" w:rsidRDefault="00213661" w:rsidP="00213661">
      <w:pPr>
        <w:pStyle w:val="Body"/>
      </w:pPr>
      <w:r>
        <w:t xml:space="preserve">The Regulator </w:t>
      </w:r>
      <w:r w:rsidR="00BF7A23">
        <w:t xml:space="preserve">uses </w:t>
      </w:r>
      <w:r>
        <w:t xml:space="preserve">the risk rating to determine the most appropriate and effective regulatory action for the situation. </w:t>
      </w:r>
      <w:r w:rsidR="000F517A">
        <w:t>The a</w:t>
      </w:r>
      <w:r>
        <w:t xml:space="preserve">ction </w:t>
      </w:r>
      <w:r w:rsidR="00BF7A23">
        <w:t xml:space="preserve">can </w:t>
      </w:r>
      <w:r>
        <w:t>range from education and guidance, to applying the full force of the law.</w:t>
      </w:r>
    </w:p>
    <w:p w14:paraId="49776E3F" w14:textId="3833FABC" w:rsidR="00213661" w:rsidRPr="005A6513" w:rsidRDefault="00BF7A23" w:rsidP="00213661">
      <w:pPr>
        <w:pStyle w:val="Body"/>
      </w:pPr>
      <w:r>
        <w:t xml:space="preserve">The Regulator uses actions, tools and sanctions that best fit </w:t>
      </w:r>
      <w:r w:rsidR="00213661">
        <w:t xml:space="preserve">the risk </w:t>
      </w:r>
      <w:proofErr w:type="spellStart"/>
      <w:r w:rsidR="00213661">
        <w:t>or</w:t>
      </w:r>
      <w:proofErr w:type="spellEnd"/>
      <w:r w:rsidR="00213661">
        <w:t xml:space="preserve"> harm </w:t>
      </w:r>
      <w:r w:rsidR="000F517A">
        <w:t xml:space="preserve">it is </w:t>
      </w:r>
      <w:r w:rsidR="00213661">
        <w:t>address</w:t>
      </w:r>
      <w:r w:rsidR="000F517A">
        <w:t>ing</w:t>
      </w:r>
      <w:r w:rsidR="00213661">
        <w:t xml:space="preserve">. </w:t>
      </w:r>
    </w:p>
    <w:p w14:paraId="6317D01F" w14:textId="062E58CC" w:rsidR="000F517A" w:rsidRPr="002A25B9" w:rsidRDefault="000F517A" w:rsidP="002A25B9">
      <w:pPr>
        <w:pStyle w:val="Body"/>
      </w:pPr>
      <w:bookmarkStart w:id="28" w:name="_Toc108006520"/>
      <w:r w:rsidRPr="002A25B9">
        <w:br w:type="page"/>
      </w:r>
    </w:p>
    <w:p w14:paraId="05CD38F0" w14:textId="3E3DC769" w:rsidR="00213661" w:rsidRPr="00626BA8" w:rsidRDefault="00213661" w:rsidP="000F517A">
      <w:pPr>
        <w:pStyle w:val="Heading1"/>
      </w:pPr>
      <w:bookmarkStart w:id="29" w:name="_Toc115101274"/>
      <w:r w:rsidRPr="00626BA8">
        <w:lastRenderedPageBreak/>
        <w:t>Regulatory actions and tools</w:t>
      </w:r>
      <w:bookmarkEnd w:id="28"/>
      <w:bookmarkEnd w:id="29"/>
    </w:p>
    <w:p w14:paraId="2D0DFEB2" w14:textId="038203DB" w:rsidR="00213661" w:rsidRDefault="00213661" w:rsidP="00213661">
      <w:pPr>
        <w:pStyle w:val="Body"/>
      </w:pPr>
      <w:r>
        <w:t xml:space="preserve">The Regulator uses a range of proactive and responsive measures and statutory tools to deal with risk and non-compliance. </w:t>
      </w:r>
    </w:p>
    <w:p w14:paraId="4F421701" w14:textId="3F7AC116" w:rsidR="000F517A" w:rsidRDefault="00DA16AE" w:rsidP="006F530C">
      <w:pPr>
        <w:pStyle w:val="Body"/>
      </w:pPr>
      <w:r>
        <w:fldChar w:fldCharType="begin"/>
      </w:r>
      <w:r>
        <w:instrText xml:space="preserve"> REF _Ref114228155 \h </w:instrText>
      </w:r>
      <w:r>
        <w:fldChar w:fldCharType="separate"/>
      </w:r>
      <w:r>
        <w:t xml:space="preserve">Figure </w:t>
      </w:r>
      <w:r>
        <w:rPr>
          <w:noProof/>
        </w:rPr>
        <w:t>1</w:t>
      </w:r>
      <w:r>
        <w:fldChar w:fldCharType="end"/>
      </w:r>
      <w:r w:rsidR="00213661">
        <w:t xml:space="preserve"> </w:t>
      </w:r>
      <w:r w:rsidR="000F517A">
        <w:t>shows</w:t>
      </w:r>
      <w:r w:rsidR="001F32A7">
        <w:t xml:space="preserve"> </w:t>
      </w:r>
      <w:r w:rsidR="00213661">
        <w:t>the Regulator’s range of activities</w:t>
      </w:r>
      <w:r w:rsidR="001F32A7">
        <w:t xml:space="preserve"> and </w:t>
      </w:r>
      <w:r w:rsidR="00213661">
        <w:t>escalating forms of enforcement action</w:t>
      </w:r>
      <w:r w:rsidR="000F6774">
        <w:t>.</w:t>
      </w:r>
      <w:r w:rsidR="00213661">
        <w:t xml:space="preserve"> </w:t>
      </w:r>
    </w:p>
    <w:p w14:paraId="080E3A26" w14:textId="334CDA1A" w:rsidR="00213661" w:rsidRDefault="00213661" w:rsidP="00213661">
      <w:pPr>
        <w:pStyle w:val="Body"/>
      </w:pPr>
      <w:r>
        <w:t>The Regulator may use lower levels of intervention</w:t>
      </w:r>
      <w:r w:rsidR="000F517A">
        <w:t>,</w:t>
      </w:r>
      <w:r>
        <w:t xml:space="preserve"> </w:t>
      </w:r>
      <w:r w:rsidR="000F517A">
        <w:t xml:space="preserve">like </w:t>
      </w:r>
      <w:r w:rsidRPr="00765B96">
        <w:rPr>
          <w:rStyle w:val="Strong"/>
        </w:rPr>
        <w:t xml:space="preserve">education and </w:t>
      </w:r>
      <w:r w:rsidR="00352E5E" w:rsidRPr="005A1B94">
        <w:rPr>
          <w:rStyle w:val="Strong"/>
        </w:rPr>
        <w:t>guidance</w:t>
      </w:r>
      <w:r w:rsidR="00352E5E">
        <w:t xml:space="preserve"> </w:t>
      </w:r>
      <w:r>
        <w:t xml:space="preserve">and </w:t>
      </w:r>
      <w:r w:rsidRPr="005A1B94">
        <w:rPr>
          <w:rStyle w:val="Strong"/>
        </w:rPr>
        <w:t>assisted compliance</w:t>
      </w:r>
      <w:r>
        <w:t xml:space="preserve"> </w:t>
      </w:r>
      <w:r w:rsidR="000F517A">
        <w:t>when</w:t>
      </w:r>
      <w:r>
        <w:t>:</w:t>
      </w:r>
    </w:p>
    <w:p w14:paraId="24D97E2D" w14:textId="466325B0" w:rsidR="00213661" w:rsidRPr="00213661" w:rsidRDefault="00213661" w:rsidP="00213661">
      <w:pPr>
        <w:pStyle w:val="Bullet1"/>
      </w:pPr>
      <w:r w:rsidRPr="00213661">
        <w:t xml:space="preserve">the </w:t>
      </w:r>
      <w:r w:rsidR="00AF1162">
        <w:t>risk</w:t>
      </w:r>
      <w:r w:rsidRPr="00213661">
        <w:t xml:space="preserve"> </w:t>
      </w:r>
      <w:r w:rsidR="00AF1162">
        <w:t xml:space="preserve">of harm or </w:t>
      </w:r>
      <w:r w:rsidRPr="00213661">
        <w:t xml:space="preserve">non-compliance is </w:t>
      </w:r>
      <w:r w:rsidR="00062422">
        <w:rPr>
          <w:b/>
          <w:bCs/>
        </w:rPr>
        <w:t>low</w:t>
      </w:r>
      <w:r w:rsidRPr="00213661">
        <w:t xml:space="preserve"> </w:t>
      </w:r>
    </w:p>
    <w:p w14:paraId="46CA4AEE" w14:textId="71481BA9" w:rsidR="00213661" w:rsidRPr="00213661" w:rsidRDefault="00213661" w:rsidP="00213661">
      <w:pPr>
        <w:pStyle w:val="Bullet1"/>
      </w:pPr>
      <w:r w:rsidRPr="00213661">
        <w:t>an organisation</w:t>
      </w:r>
      <w:r w:rsidR="00DA2FEB" w:rsidRPr="00DA2FEB">
        <w:t xml:space="preserve"> </w:t>
      </w:r>
      <w:r w:rsidR="00DA2FEB" w:rsidRPr="00213661">
        <w:t xml:space="preserve">tries to </w:t>
      </w:r>
      <w:r w:rsidR="00DA2FEB">
        <w:t>meet the Standards and</w:t>
      </w:r>
      <w:r w:rsidRPr="00213661">
        <w:t xml:space="preserve"> willingly </w:t>
      </w:r>
      <w:r w:rsidR="00C25A96">
        <w:t xml:space="preserve">works </w:t>
      </w:r>
      <w:r w:rsidRPr="00213661">
        <w:t xml:space="preserve">with the Regulator </w:t>
      </w:r>
    </w:p>
    <w:p w14:paraId="59A96A58" w14:textId="13777913" w:rsidR="00213661" w:rsidRPr="00213661" w:rsidRDefault="00213661" w:rsidP="00213661">
      <w:pPr>
        <w:pStyle w:val="Bullet1"/>
      </w:pPr>
      <w:r w:rsidRPr="00213661">
        <w:t xml:space="preserve">an organisation has a history of isolated or minor non-compliance, </w:t>
      </w:r>
      <w:proofErr w:type="gramStart"/>
      <w:r w:rsidRPr="00213661">
        <w:t>complaints</w:t>
      </w:r>
      <w:proofErr w:type="gramEnd"/>
      <w:r w:rsidRPr="00213661">
        <w:t xml:space="preserve"> or issues.</w:t>
      </w:r>
    </w:p>
    <w:p w14:paraId="5361A2A9" w14:textId="288F1029" w:rsidR="00213661" w:rsidRDefault="00213661" w:rsidP="00213661">
      <w:pPr>
        <w:pStyle w:val="Bodyafterbullets"/>
      </w:pPr>
      <w:r>
        <w:t xml:space="preserve">The Regulator may use moderate </w:t>
      </w:r>
      <w:r w:rsidR="003B3CD8">
        <w:t xml:space="preserve">levels of </w:t>
      </w:r>
      <w:r>
        <w:t>intervention</w:t>
      </w:r>
      <w:r w:rsidR="00C25A96">
        <w:t>,</w:t>
      </w:r>
      <w:r>
        <w:t xml:space="preserve"> </w:t>
      </w:r>
      <w:r w:rsidR="00C25A96">
        <w:t xml:space="preserve">like </w:t>
      </w:r>
      <w:r>
        <w:rPr>
          <w:b/>
          <w:bCs/>
        </w:rPr>
        <w:t xml:space="preserve">proactive compliance </w:t>
      </w:r>
      <w:r>
        <w:t>and</w:t>
      </w:r>
      <w:r>
        <w:rPr>
          <w:b/>
          <w:bCs/>
        </w:rPr>
        <w:t xml:space="preserve"> graduated and proportionate sanctions</w:t>
      </w:r>
      <w:r w:rsidR="00C25A96" w:rsidRPr="005A1B94">
        <w:t>,</w:t>
      </w:r>
      <w:r>
        <w:rPr>
          <w:b/>
          <w:bCs/>
        </w:rPr>
        <w:t xml:space="preserve"> </w:t>
      </w:r>
      <w:r>
        <w:t>whe</w:t>
      </w:r>
      <w:r w:rsidR="00C25A96">
        <w:t>n</w:t>
      </w:r>
      <w:r>
        <w:t>:</w:t>
      </w:r>
    </w:p>
    <w:p w14:paraId="63AA0E6D" w14:textId="7FD85762" w:rsidR="00213661" w:rsidRPr="00213661" w:rsidRDefault="00213661" w:rsidP="00213661">
      <w:pPr>
        <w:pStyle w:val="Bullet1"/>
      </w:pPr>
      <w:r w:rsidRPr="00213661">
        <w:t>the</w:t>
      </w:r>
      <w:r w:rsidRPr="00213661" w:rsidDel="007C7310">
        <w:t xml:space="preserve"> </w:t>
      </w:r>
      <w:r w:rsidR="00AF1162">
        <w:t xml:space="preserve">risk of harm or </w:t>
      </w:r>
      <w:r w:rsidRPr="00213661">
        <w:t xml:space="preserve">non-compliance </w:t>
      </w:r>
      <w:r w:rsidRPr="00213661" w:rsidDel="00CC685E">
        <w:t xml:space="preserve">is </w:t>
      </w:r>
      <w:r w:rsidRPr="00BB2AC4" w:rsidDel="00715307">
        <w:rPr>
          <w:b/>
          <w:bCs/>
        </w:rPr>
        <w:t>medium</w:t>
      </w:r>
    </w:p>
    <w:p w14:paraId="0DF84E0F" w14:textId="43B77CB6" w:rsidR="00213661" w:rsidRPr="00213661" w:rsidRDefault="00213661" w:rsidP="00213661">
      <w:pPr>
        <w:pStyle w:val="Bullet1"/>
      </w:pPr>
      <w:r w:rsidRPr="00213661">
        <w:t xml:space="preserve">an organisation </w:t>
      </w:r>
      <w:r w:rsidR="00C25A96">
        <w:t xml:space="preserve">does not </w:t>
      </w:r>
      <w:r w:rsidR="008F55CC">
        <w:t>meet the Standards</w:t>
      </w:r>
      <w:r w:rsidRPr="00213661">
        <w:t xml:space="preserve"> and </w:t>
      </w:r>
      <w:r w:rsidR="00C25A96">
        <w:t xml:space="preserve">does not </w:t>
      </w:r>
      <w:r w:rsidR="00C25A96" w:rsidRPr="00213661">
        <w:t xml:space="preserve">cooperate </w:t>
      </w:r>
      <w:r w:rsidR="00BC1ADE">
        <w:t xml:space="preserve">fully </w:t>
      </w:r>
      <w:r w:rsidRPr="00213661">
        <w:t>with the Regulator</w:t>
      </w:r>
    </w:p>
    <w:p w14:paraId="09D73C7E" w14:textId="0ABB0622" w:rsidR="00213661" w:rsidRPr="00213661" w:rsidRDefault="00213661" w:rsidP="00213661">
      <w:pPr>
        <w:pStyle w:val="Bullet1"/>
      </w:pPr>
      <w:r w:rsidRPr="00213661">
        <w:t xml:space="preserve">an organisation has a history of repeated or </w:t>
      </w:r>
      <w:r w:rsidR="00787BC7">
        <w:t>moderat</w:t>
      </w:r>
      <w:r w:rsidR="00692BA6">
        <w:t>e</w:t>
      </w:r>
      <w:r w:rsidRPr="00213661">
        <w:t xml:space="preserve"> non-compliance, </w:t>
      </w:r>
      <w:proofErr w:type="gramStart"/>
      <w:r w:rsidRPr="00213661">
        <w:t>complaints</w:t>
      </w:r>
      <w:proofErr w:type="gramEnd"/>
      <w:r w:rsidRPr="00213661">
        <w:t xml:space="preserve"> or issues.</w:t>
      </w:r>
    </w:p>
    <w:p w14:paraId="2138533D" w14:textId="0F7FA044" w:rsidR="00213661" w:rsidRDefault="00213661" w:rsidP="00213661">
      <w:pPr>
        <w:pStyle w:val="Bodyafterbullets"/>
      </w:pPr>
      <w:r>
        <w:t>The Regulator may use the highest level of intervention</w:t>
      </w:r>
      <w:r w:rsidR="00C25A96">
        <w:t>,</w:t>
      </w:r>
      <w:r>
        <w:t xml:space="preserve"> such as </w:t>
      </w:r>
      <w:r>
        <w:rPr>
          <w:b/>
          <w:bCs/>
        </w:rPr>
        <w:t>full force of the law</w:t>
      </w:r>
      <w:r w:rsidR="00C25A96">
        <w:t>,</w:t>
      </w:r>
      <w:r>
        <w:rPr>
          <w:b/>
          <w:bCs/>
        </w:rPr>
        <w:t xml:space="preserve"> </w:t>
      </w:r>
      <w:r>
        <w:t>whe</w:t>
      </w:r>
      <w:r w:rsidR="00C25A96">
        <w:t>n</w:t>
      </w:r>
      <w:r>
        <w:t>:</w:t>
      </w:r>
    </w:p>
    <w:p w14:paraId="08DE1E1C" w14:textId="53D99BE1" w:rsidR="00213661" w:rsidRPr="00213661" w:rsidRDefault="00213661" w:rsidP="00213661">
      <w:pPr>
        <w:pStyle w:val="Bullet1"/>
      </w:pPr>
      <w:r w:rsidRPr="00213661">
        <w:t xml:space="preserve">the </w:t>
      </w:r>
      <w:r w:rsidR="001A1CF8">
        <w:t>risk of harm or</w:t>
      </w:r>
      <w:r w:rsidRPr="00213661">
        <w:t xml:space="preserve"> non-compliance is </w:t>
      </w:r>
      <w:r w:rsidR="00764023">
        <w:rPr>
          <w:b/>
          <w:bCs/>
        </w:rPr>
        <w:t>high</w:t>
      </w:r>
    </w:p>
    <w:p w14:paraId="4C35CE92" w14:textId="29BB6486" w:rsidR="00213661" w:rsidRPr="00213661" w:rsidRDefault="00213661" w:rsidP="00213661">
      <w:pPr>
        <w:pStyle w:val="Bullet1"/>
      </w:pPr>
      <w:r w:rsidRPr="00213661">
        <w:t xml:space="preserve">an organisation deliberately </w:t>
      </w:r>
      <w:r w:rsidR="00575F84">
        <w:t>breaches</w:t>
      </w:r>
      <w:r w:rsidR="00C25A96">
        <w:t xml:space="preserve"> the Standards</w:t>
      </w:r>
      <w:r w:rsidRPr="00213661">
        <w:t xml:space="preserve"> or hinders </w:t>
      </w:r>
      <w:r w:rsidR="00D67220">
        <w:t>the Regula</w:t>
      </w:r>
      <w:r w:rsidR="00F05852">
        <w:t>tor</w:t>
      </w:r>
    </w:p>
    <w:p w14:paraId="47428BEF" w14:textId="7E9E7920" w:rsidR="00213661" w:rsidRDefault="00213661" w:rsidP="00213661">
      <w:pPr>
        <w:pStyle w:val="Bullet1"/>
      </w:pPr>
      <w:r w:rsidRPr="00213661">
        <w:t xml:space="preserve">an organisation has a history of repeated or </w:t>
      </w:r>
      <w:r w:rsidR="00787BC7">
        <w:t>serious</w:t>
      </w:r>
      <w:r w:rsidRPr="00213661">
        <w:t xml:space="preserve"> non-compliance, </w:t>
      </w:r>
      <w:proofErr w:type="gramStart"/>
      <w:r w:rsidRPr="00213661">
        <w:t>complaints</w:t>
      </w:r>
      <w:proofErr w:type="gramEnd"/>
      <w:r w:rsidRPr="00213661">
        <w:t xml:space="preserve"> or issues.</w:t>
      </w:r>
    </w:p>
    <w:p w14:paraId="7CE1F51A" w14:textId="466D4AE8" w:rsidR="00213661" w:rsidRDefault="00213661" w:rsidP="00213661">
      <w:pPr>
        <w:pStyle w:val="Figurecaption"/>
      </w:pPr>
      <w:bookmarkStart w:id="30" w:name="_Ref114228155"/>
      <w:r>
        <w:t xml:space="preserve">Figure </w:t>
      </w:r>
      <w:r w:rsidR="009E7CC7">
        <w:fldChar w:fldCharType="begin"/>
      </w:r>
      <w:r w:rsidR="009E7CC7">
        <w:instrText xml:space="preserve"> SEQ Figure \* ARABIC </w:instrText>
      </w:r>
      <w:r w:rsidR="009E7CC7">
        <w:fldChar w:fldCharType="separate"/>
      </w:r>
      <w:r>
        <w:rPr>
          <w:noProof/>
        </w:rPr>
        <w:t>1</w:t>
      </w:r>
      <w:r w:rsidR="009E7CC7">
        <w:rPr>
          <w:noProof/>
        </w:rPr>
        <w:fldChar w:fldCharType="end"/>
      </w:r>
      <w:bookmarkEnd w:id="30"/>
      <w:r>
        <w:t>: Regulatory activities and compliance tools</w:t>
      </w:r>
    </w:p>
    <w:p w14:paraId="49731D40" w14:textId="6BE9ECDF" w:rsidR="00BB2C07" w:rsidRPr="00BB2C07" w:rsidRDefault="004E72A1" w:rsidP="00BB2C07">
      <w:pPr>
        <w:pStyle w:val="Body"/>
        <w:rPr>
          <w:noProof/>
        </w:rPr>
      </w:pPr>
      <w:r>
        <w:rPr>
          <w:noProof/>
        </w:rPr>
        <w:drawing>
          <wp:inline distT="0" distB="0" distL="0" distR="0" wp14:anchorId="0831099F" wp14:editId="620EE16D">
            <wp:extent cx="5420284" cy="4415246"/>
            <wp:effectExtent l="0" t="0" r="9525" b="0"/>
            <wp:docPr id="1" name="Picture 1" descr="Pyramid of Regulator's actions and compliance tools. Level of regulator intervention goes from lower intervention at bottom to stronger at the top. Level of organisational culpability goes from willingly complies at the bottom to Deliberately non-compliant at the top.&#10;Each level is described in text under its own heading in the 'Regulatory actions and tool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yramid of Regulator's actions and compliance tools. Level of regulator intervention goes from lower intervention at bottom to stronger at the top. Level of organisational culpability goes from willingly complies at the bottom to Deliberately non-compliant at the top.&#10;Each level is described in text under its own heading in the 'Regulatory actions and tools' section"/>
                    <pic:cNvPicPr/>
                  </pic:nvPicPr>
                  <pic:blipFill>
                    <a:blip r:embed="rId20"/>
                    <a:stretch>
                      <a:fillRect/>
                    </a:stretch>
                  </pic:blipFill>
                  <pic:spPr>
                    <a:xfrm>
                      <a:off x="0" y="0"/>
                      <a:ext cx="5431088" cy="4424047"/>
                    </a:xfrm>
                    <a:prstGeom prst="rect">
                      <a:avLst/>
                    </a:prstGeom>
                  </pic:spPr>
                </pic:pic>
              </a:graphicData>
            </a:graphic>
          </wp:inline>
        </w:drawing>
      </w:r>
    </w:p>
    <w:p w14:paraId="6B464D60" w14:textId="2290EE0D" w:rsidR="00213661" w:rsidRPr="0023433F" w:rsidRDefault="00213661" w:rsidP="00213661">
      <w:pPr>
        <w:pStyle w:val="Heading2"/>
      </w:pPr>
      <w:bookmarkStart w:id="31" w:name="_Toc108006521"/>
      <w:bookmarkStart w:id="32" w:name="_Toc115101275"/>
      <w:r w:rsidRPr="0023433F">
        <w:lastRenderedPageBreak/>
        <w:t xml:space="preserve">Education and </w:t>
      </w:r>
      <w:r>
        <w:t>guidance</w:t>
      </w:r>
      <w:bookmarkEnd w:id="31"/>
      <w:bookmarkEnd w:id="32"/>
    </w:p>
    <w:p w14:paraId="7E3191B0" w14:textId="37A97A3E" w:rsidR="00C844CC" w:rsidRPr="00ED665E" w:rsidRDefault="00213661" w:rsidP="00466680">
      <w:pPr>
        <w:pStyle w:val="Body"/>
      </w:pPr>
      <w:r w:rsidRPr="00ED665E">
        <w:t>Education and guidance play an integral role in</w:t>
      </w:r>
      <w:r w:rsidR="00466680">
        <w:t xml:space="preserve"> </w:t>
      </w:r>
      <w:r w:rsidR="00C844CC" w:rsidRPr="00ED665E">
        <w:t>creating</w:t>
      </w:r>
      <w:r w:rsidRPr="00ED665E">
        <w:t xml:space="preserve"> organisational culture </w:t>
      </w:r>
      <w:proofErr w:type="gramStart"/>
      <w:r w:rsidR="00C844CC" w:rsidRPr="00ED665E">
        <w:t>change</w:t>
      </w:r>
      <w:r w:rsidR="00466680">
        <w:t>, and</w:t>
      </w:r>
      <w:proofErr w:type="gramEnd"/>
      <w:r w:rsidR="00466680">
        <w:t xml:space="preserve"> </w:t>
      </w:r>
      <w:r w:rsidRPr="00ED665E">
        <w:t>embedding child safety in everyday thinking and practice.</w:t>
      </w:r>
    </w:p>
    <w:p w14:paraId="0743C9B7" w14:textId="4BEC9B1F" w:rsidR="00C844CC" w:rsidRPr="00ED665E" w:rsidRDefault="00213661" w:rsidP="00466680">
      <w:pPr>
        <w:pStyle w:val="Bodyafterbullets"/>
      </w:pPr>
      <w:r w:rsidRPr="00ED665E">
        <w:t xml:space="preserve">The Regulator develops guidance to </w:t>
      </w:r>
      <w:r w:rsidR="00C844CC" w:rsidRPr="00ED665E">
        <w:t>help health organisations</w:t>
      </w:r>
      <w:r w:rsidR="00466680">
        <w:t xml:space="preserve"> </w:t>
      </w:r>
      <w:r w:rsidRPr="00ED665E">
        <w:t>understand the Standards</w:t>
      </w:r>
      <w:r w:rsidR="00466680">
        <w:t xml:space="preserve"> and </w:t>
      </w:r>
      <w:r w:rsidR="00C844CC" w:rsidRPr="00ED665E">
        <w:t>put the</w:t>
      </w:r>
      <w:r w:rsidR="00466680">
        <w:t>m</w:t>
      </w:r>
      <w:r w:rsidR="00C844CC" w:rsidRPr="00ED665E">
        <w:t xml:space="preserve"> in place </w:t>
      </w:r>
      <w:r w:rsidRPr="00ED665E">
        <w:t>successfully.</w:t>
      </w:r>
    </w:p>
    <w:p w14:paraId="031356B0" w14:textId="759715F6" w:rsidR="00213661" w:rsidRPr="00ED665E" w:rsidRDefault="00213661" w:rsidP="005E2464">
      <w:pPr>
        <w:pStyle w:val="Bodyafterbullets"/>
      </w:pPr>
      <w:r w:rsidRPr="00ED665E">
        <w:t xml:space="preserve">This </w:t>
      </w:r>
      <w:r w:rsidR="00C844CC" w:rsidRPr="00ED665E">
        <w:t xml:space="preserve">is on top of </w:t>
      </w:r>
      <w:r w:rsidRPr="00ED665E">
        <w:t xml:space="preserve">the general educational material the Commission </w:t>
      </w:r>
      <w:r w:rsidR="00C844CC" w:rsidRPr="00ED665E">
        <w:t xml:space="preserve">gives </w:t>
      </w:r>
      <w:r w:rsidRPr="00ED665E">
        <w:t>entities across all sectors.</w:t>
      </w:r>
    </w:p>
    <w:p w14:paraId="17F14654" w14:textId="29C53604" w:rsidR="00213661" w:rsidRPr="00ED665E" w:rsidRDefault="00213661" w:rsidP="00ED665E">
      <w:pPr>
        <w:pStyle w:val="Body"/>
      </w:pPr>
      <w:r w:rsidRPr="00ED665E">
        <w:t xml:space="preserve">The Regulator collects </w:t>
      </w:r>
      <w:r w:rsidR="00C844CC" w:rsidRPr="00ED665E">
        <w:t xml:space="preserve">data </w:t>
      </w:r>
      <w:r w:rsidRPr="00ED665E">
        <w:t xml:space="preserve">and analyses compliance trends </w:t>
      </w:r>
      <w:r w:rsidR="00C844CC" w:rsidRPr="00ED665E">
        <w:t xml:space="preserve">in </w:t>
      </w:r>
      <w:r w:rsidRPr="00ED665E">
        <w:t xml:space="preserve">the health sector to identify where the risk of harm is greater. It </w:t>
      </w:r>
      <w:proofErr w:type="gramStart"/>
      <w:r w:rsidRPr="00ED665E">
        <w:t>tailors</w:t>
      </w:r>
      <w:proofErr w:type="gramEnd"/>
      <w:r w:rsidRPr="00ED665E">
        <w:t xml:space="preserve"> guidance and educational tools to address these areas of concern. </w:t>
      </w:r>
    </w:p>
    <w:p w14:paraId="1E23B453" w14:textId="77777777" w:rsidR="00213661" w:rsidRPr="00ED665E" w:rsidRDefault="00213661" w:rsidP="00ED665E">
      <w:pPr>
        <w:pStyle w:val="Body"/>
      </w:pPr>
      <w:r w:rsidRPr="00ED665E">
        <w:t>The Regulator uses the following education and guidance tools:</w:t>
      </w:r>
    </w:p>
    <w:p w14:paraId="5AC99A49" w14:textId="0DB5F606" w:rsidR="00213661" w:rsidRPr="00ED665E" w:rsidRDefault="00C844CC" w:rsidP="00ED665E">
      <w:pPr>
        <w:pStyle w:val="Bullet1"/>
      </w:pPr>
      <w:r w:rsidRPr="00ED665E">
        <w:t>g</w:t>
      </w:r>
      <w:r w:rsidR="00213661" w:rsidRPr="00ED665E">
        <w:t>eneral information and resources on its website</w:t>
      </w:r>
    </w:p>
    <w:p w14:paraId="0330BCF6" w14:textId="18ABEAFF" w:rsidR="00213661" w:rsidRPr="00ED665E" w:rsidRDefault="00C844CC" w:rsidP="00ED665E">
      <w:pPr>
        <w:pStyle w:val="Bullet1"/>
      </w:pPr>
      <w:r w:rsidRPr="00ED665E">
        <w:t>f</w:t>
      </w:r>
      <w:r w:rsidR="00213661" w:rsidRPr="00ED665E">
        <w:t xml:space="preserve">act sheets, </w:t>
      </w:r>
      <w:proofErr w:type="gramStart"/>
      <w:r w:rsidR="00213661" w:rsidRPr="00ED665E">
        <w:t>tools</w:t>
      </w:r>
      <w:proofErr w:type="gramEnd"/>
      <w:r w:rsidR="00213661" w:rsidRPr="00ED665E">
        <w:t xml:space="preserve"> and templates</w:t>
      </w:r>
    </w:p>
    <w:p w14:paraId="7FCDE60E" w14:textId="1662EF90" w:rsidR="00213661" w:rsidRPr="00ED665E" w:rsidRDefault="00C844CC" w:rsidP="00ED665E">
      <w:pPr>
        <w:pStyle w:val="Bullet1"/>
      </w:pPr>
      <w:r w:rsidRPr="00ED665E">
        <w:t>g</w:t>
      </w:r>
      <w:r w:rsidR="00213661" w:rsidRPr="00ED665E">
        <w:t>eneral verbal or written guidance</w:t>
      </w:r>
    </w:p>
    <w:p w14:paraId="18FFAC3D" w14:textId="6C8D2041" w:rsidR="00213661" w:rsidRPr="00ED665E" w:rsidRDefault="00C844CC" w:rsidP="00ED665E">
      <w:pPr>
        <w:pStyle w:val="Bullet1"/>
      </w:pPr>
      <w:r w:rsidRPr="00ED665E">
        <w:t>s</w:t>
      </w:r>
      <w:r w:rsidR="00213661" w:rsidRPr="00ED665E">
        <w:t>takeholder information sessions</w:t>
      </w:r>
      <w:r w:rsidR="00ED665E">
        <w:t>.</w:t>
      </w:r>
    </w:p>
    <w:p w14:paraId="256173D3" w14:textId="335DFC9D" w:rsidR="00804A69" w:rsidRPr="00ED665E" w:rsidRDefault="00804A69" w:rsidP="00ED665E">
      <w:pPr>
        <w:pStyle w:val="Bodyafterbullets"/>
      </w:pPr>
      <w:r w:rsidRPr="00ED665E">
        <w:t>O</w:t>
      </w:r>
      <w:r w:rsidR="00213661" w:rsidRPr="00ED665E">
        <w:t xml:space="preserve">rganisations are </w:t>
      </w:r>
      <w:r w:rsidRPr="00ED665E">
        <w:t xml:space="preserve">also </w:t>
      </w:r>
      <w:r w:rsidR="00213661" w:rsidRPr="00ED665E">
        <w:t>expected to proactively seek information to</w:t>
      </w:r>
      <w:r w:rsidRPr="00ED665E">
        <w:t>:</w:t>
      </w:r>
    </w:p>
    <w:p w14:paraId="727D0E82" w14:textId="0742E9FA" w:rsidR="00804A69" w:rsidRPr="00ED665E" w:rsidRDefault="00213661" w:rsidP="00ED665E">
      <w:pPr>
        <w:pStyle w:val="Bullet1"/>
      </w:pPr>
      <w:r w:rsidRPr="00ED665E">
        <w:t>improve their understanding of the Standards</w:t>
      </w:r>
    </w:p>
    <w:p w14:paraId="68EDE018" w14:textId="4EE4ACAD" w:rsidR="00804A69" w:rsidRPr="00ED665E" w:rsidRDefault="00804A69" w:rsidP="00ED665E">
      <w:pPr>
        <w:pStyle w:val="Bullet1"/>
      </w:pPr>
      <w:r w:rsidRPr="00ED665E">
        <w:t xml:space="preserve">improve their understanding of </w:t>
      </w:r>
      <w:r w:rsidR="00213661" w:rsidRPr="00ED665E">
        <w:t>risks in their environment</w:t>
      </w:r>
    </w:p>
    <w:p w14:paraId="237F6206" w14:textId="1B432908" w:rsidR="00213661" w:rsidRPr="00ED665E" w:rsidRDefault="00213661" w:rsidP="009B57C0">
      <w:pPr>
        <w:pStyle w:val="Bullet1"/>
      </w:pPr>
      <w:r w:rsidRPr="00ED665E">
        <w:t>remain up to date with changing sector practices</w:t>
      </w:r>
      <w:r w:rsidR="00D005D3">
        <w:t xml:space="preserve"> </w:t>
      </w:r>
      <w:r w:rsidR="0050169A">
        <w:t>for child safety</w:t>
      </w:r>
      <w:r w:rsidRPr="00ED665E">
        <w:t>.</w:t>
      </w:r>
    </w:p>
    <w:p w14:paraId="68E04D0E" w14:textId="0C683B1E" w:rsidR="00213661" w:rsidRPr="0023433F" w:rsidRDefault="00213661" w:rsidP="00213661">
      <w:pPr>
        <w:pStyle w:val="Heading2"/>
      </w:pPr>
      <w:bookmarkStart w:id="33" w:name="_Toc108006522"/>
      <w:bookmarkStart w:id="34" w:name="_Toc115101276"/>
      <w:r w:rsidRPr="0023433F">
        <w:t>Assisted compliance</w:t>
      </w:r>
      <w:bookmarkEnd w:id="33"/>
      <w:bookmarkEnd w:id="34"/>
    </w:p>
    <w:p w14:paraId="7FF8F9DC" w14:textId="2DF50DA0" w:rsidR="00213661" w:rsidRPr="00ED665E" w:rsidRDefault="00213661" w:rsidP="00461426">
      <w:pPr>
        <w:pStyle w:val="Body"/>
      </w:pPr>
      <w:r w:rsidRPr="00ED665E">
        <w:t>Assisted compliance is a form of regulatory intervention</w:t>
      </w:r>
      <w:r w:rsidR="00804A69" w:rsidRPr="00ED665E">
        <w:t xml:space="preserve"> that does not involve punishment.</w:t>
      </w:r>
      <w:r w:rsidRPr="00ED665E">
        <w:t xml:space="preserve"> </w:t>
      </w:r>
      <w:r w:rsidR="00804A69" w:rsidRPr="00ED665E">
        <w:t xml:space="preserve">It </w:t>
      </w:r>
      <w:r w:rsidRPr="00ED665E">
        <w:t>may be appropriate whe</w:t>
      </w:r>
      <w:r w:rsidR="00804A69" w:rsidRPr="00ED665E">
        <w:t>n</w:t>
      </w:r>
      <w:r w:rsidR="00461426">
        <w:t xml:space="preserve"> </w:t>
      </w:r>
      <w:r w:rsidRPr="00ED665E">
        <w:t xml:space="preserve">the risk is </w:t>
      </w:r>
      <w:proofErr w:type="gramStart"/>
      <w:r w:rsidRPr="00ED665E">
        <w:t>low</w:t>
      </w:r>
      <w:proofErr w:type="gramEnd"/>
      <w:r w:rsidRPr="00ED665E">
        <w:t xml:space="preserve"> </w:t>
      </w:r>
      <w:r w:rsidR="00804A69" w:rsidRPr="00466680">
        <w:t>and</w:t>
      </w:r>
      <w:r w:rsidR="00461426">
        <w:t xml:space="preserve"> a</w:t>
      </w:r>
      <w:r w:rsidRPr="00ED665E">
        <w:t xml:space="preserve">n organisation is proactive in improving its compliance. </w:t>
      </w:r>
    </w:p>
    <w:p w14:paraId="66038498" w14:textId="6A92B41F" w:rsidR="00804A69" w:rsidRPr="00ED665E" w:rsidRDefault="00213661" w:rsidP="00ED665E">
      <w:pPr>
        <w:pStyle w:val="Bodyafterbullets"/>
      </w:pPr>
      <w:r w:rsidRPr="00ED665E">
        <w:t xml:space="preserve">An organisation may </w:t>
      </w:r>
      <w:r w:rsidR="00804A69" w:rsidRPr="00ED665E">
        <w:t>reach out to</w:t>
      </w:r>
      <w:r w:rsidRPr="00ED665E">
        <w:t xml:space="preserve"> the Regulator </w:t>
      </w:r>
      <w:r w:rsidR="00804A69" w:rsidRPr="00ED665E">
        <w:t xml:space="preserve">first </w:t>
      </w:r>
      <w:r w:rsidRPr="00ED665E">
        <w:t>by</w:t>
      </w:r>
      <w:r w:rsidR="00804A69" w:rsidRPr="00ED665E">
        <w:t>:</w:t>
      </w:r>
    </w:p>
    <w:p w14:paraId="5E1C2E75" w14:textId="23351D5E" w:rsidR="00804A69" w:rsidRPr="00ED665E" w:rsidRDefault="00213661" w:rsidP="00ED665E">
      <w:pPr>
        <w:pStyle w:val="Bullet1"/>
      </w:pPr>
      <w:r w:rsidRPr="00ED665E">
        <w:t>making enquiries</w:t>
      </w:r>
      <w:r w:rsidR="00F851BE" w:rsidRPr="00F851BE">
        <w:t xml:space="preserve"> </w:t>
      </w:r>
      <w:r w:rsidR="00F851BE" w:rsidRPr="00ED665E">
        <w:t>about implementing the Standards</w:t>
      </w:r>
    </w:p>
    <w:p w14:paraId="0D965CB8" w14:textId="3981EEFF" w:rsidR="00213661" w:rsidRPr="00ED665E" w:rsidRDefault="00213661" w:rsidP="00B03350">
      <w:pPr>
        <w:pStyle w:val="Bullet1"/>
      </w:pPr>
      <w:r w:rsidRPr="00ED665E">
        <w:t>requesting specific advice</w:t>
      </w:r>
      <w:r w:rsidRPr="00ED665E" w:rsidDel="0086355D">
        <w:t xml:space="preserve"> </w:t>
      </w:r>
      <w:r w:rsidRPr="00ED665E">
        <w:t xml:space="preserve">on compliance matters. </w:t>
      </w:r>
    </w:p>
    <w:p w14:paraId="128CC54E" w14:textId="0745EAA3" w:rsidR="00857518" w:rsidRPr="00ED665E" w:rsidRDefault="00213661" w:rsidP="00ED665E">
      <w:pPr>
        <w:pStyle w:val="Bodyafterbullets"/>
      </w:pPr>
      <w:r w:rsidRPr="00ED665E">
        <w:t>The Regulator may contact an organisation if</w:t>
      </w:r>
      <w:r w:rsidR="00857518" w:rsidRPr="00ED665E">
        <w:t>:</w:t>
      </w:r>
    </w:p>
    <w:p w14:paraId="05B3C65A" w14:textId="4DBE47B1" w:rsidR="00857518" w:rsidRDefault="00213661" w:rsidP="00857518">
      <w:pPr>
        <w:pStyle w:val="Bullet1"/>
      </w:pPr>
      <w:r w:rsidRPr="00ED665E">
        <w:t xml:space="preserve">it </w:t>
      </w:r>
      <w:r w:rsidR="00857518">
        <w:t xml:space="preserve">gets a </w:t>
      </w:r>
      <w:r w:rsidRPr="00ED665E">
        <w:t>referral or intelligence from other authorities</w:t>
      </w:r>
    </w:p>
    <w:p w14:paraId="5C6FB29E" w14:textId="5081BDF4" w:rsidR="00213661" w:rsidRPr="00ED665E" w:rsidRDefault="00213661" w:rsidP="00AA5CF6">
      <w:pPr>
        <w:pStyle w:val="Bullet1"/>
      </w:pPr>
      <w:r w:rsidRPr="00ED665E">
        <w:t xml:space="preserve">the Regulator’s data analysis </w:t>
      </w:r>
      <w:r w:rsidR="00857518">
        <w:t xml:space="preserve">suggests there may be </w:t>
      </w:r>
      <w:r w:rsidRPr="00ED665E">
        <w:t>higher compliance risks.</w:t>
      </w:r>
    </w:p>
    <w:p w14:paraId="0F96BBAA" w14:textId="57AE41C8" w:rsidR="00AD53E4" w:rsidRPr="00ED665E" w:rsidRDefault="005B4F38" w:rsidP="00A210E9">
      <w:pPr>
        <w:pStyle w:val="Bodyafterbullets"/>
      </w:pPr>
      <w:r>
        <w:t>The Regulator uses the following a</w:t>
      </w:r>
      <w:r w:rsidR="00AD53E4" w:rsidRPr="00ED665E">
        <w:t>ssisted compliance</w:t>
      </w:r>
      <w:r>
        <w:t xml:space="preserve"> tools</w:t>
      </w:r>
      <w:r w:rsidR="00AD53E4" w:rsidRPr="00ED665E">
        <w:t>:</w:t>
      </w:r>
    </w:p>
    <w:p w14:paraId="24AA1C63" w14:textId="7906762E" w:rsidR="00AD53E4" w:rsidRPr="00213661" w:rsidRDefault="006423EA" w:rsidP="00AD53E4">
      <w:pPr>
        <w:pStyle w:val="Bullet1"/>
      </w:pPr>
      <w:r>
        <w:t>l</w:t>
      </w:r>
      <w:r w:rsidR="00AD53E4" w:rsidRPr="00213661">
        <w:t xml:space="preserve">etters, </w:t>
      </w:r>
      <w:proofErr w:type="gramStart"/>
      <w:r w:rsidR="00AD53E4" w:rsidRPr="00213661">
        <w:t>emails</w:t>
      </w:r>
      <w:proofErr w:type="gramEnd"/>
      <w:r w:rsidR="00AD53E4" w:rsidRPr="00213661">
        <w:t xml:space="preserve"> or phone calls to discuss specific compliance concerns</w:t>
      </w:r>
    </w:p>
    <w:p w14:paraId="2D0FBB36" w14:textId="28DE09EA" w:rsidR="00AD53E4" w:rsidRPr="00213661" w:rsidRDefault="006423EA" w:rsidP="00AD53E4">
      <w:pPr>
        <w:pStyle w:val="Bullet1"/>
      </w:pPr>
      <w:r>
        <w:t>m</w:t>
      </w:r>
      <w:r w:rsidR="00AD53E4" w:rsidRPr="00213661">
        <w:t>eetings or voluntary site visits</w:t>
      </w:r>
      <w:r>
        <w:t>.</w:t>
      </w:r>
    </w:p>
    <w:p w14:paraId="442444F2" w14:textId="1125E652" w:rsidR="00213661" w:rsidRPr="00ED665E" w:rsidRDefault="00213661" w:rsidP="00AA5CF6">
      <w:pPr>
        <w:pStyle w:val="Bodyafterbullets"/>
      </w:pPr>
      <w:r w:rsidRPr="00ED665E">
        <w:t xml:space="preserve">The Regulator recognises that most organisations want to provide a child safe environment and </w:t>
      </w:r>
      <w:r w:rsidR="00857518" w:rsidRPr="00ED665E">
        <w:t>follow</w:t>
      </w:r>
      <w:r w:rsidRPr="00ED665E">
        <w:t xml:space="preserve"> the law</w:t>
      </w:r>
      <w:r w:rsidR="00857518" w:rsidRPr="00ED665E">
        <w:t>.</w:t>
      </w:r>
      <w:r w:rsidRPr="00ED665E">
        <w:t xml:space="preserve"> </w:t>
      </w:r>
      <w:r w:rsidR="00857518" w:rsidRPr="00ED665E">
        <w:t xml:space="preserve">They may not have </w:t>
      </w:r>
      <w:r w:rsidRPr="00ED665E">
        <w:t xml:space="preserve">the expertise or resources to </w:t>
      </w:r>
      <w:r w:rsidR="00857518" w:rsidRPr="00ED665E">
        <w:t xml:space="preserve">put </w:t>
      </w:r>
      <w:r w:rsidRPr="00ED665E">
        <w:t xml:space="preserve">the Standards </w:t>
      </w:r>
      <w:r w:rsidR="00857518" w:rsidRPr="00ED665E">
        <w:t xml:space="preserve">in place </w:t>
      </w:r>
      <w:r w:rsidRPr="00ED665E">
        <w:t xml:space="preserve">effectively. In these cases, the Regulator may </w:t>
      </w:r>
      <w:r w:rsidR="00857518" w:rsidRPr="00ED665E">
        <w:t xml:space="preserve">give </w:t>
      </w:r>
      <w:r w:rsidRPr="00ED665E">
        <w:t>the</w:t>
      </w:r>
      <w:r w:rsidR="00857518" w:rsidRPr="00ED665E">
        <w:t>m</w:t>
      </w:r>
      <w:r w:rsidRPr="00ED665E">
        <w:t xml:space="preserve"> compliance advice to improve </w:t>
      </w:r>
      <w:r w:rsidR="00857518" w:rsidRPr="00ED665E">
        <w:t>their</w:t>
      </w:r>
      <w:r w:rsidRPr="00ED665E">
        <w:t xml:space="preserve"> performance and outcomes for child safety.</w:t>
      </w:r>
    </w:p>
    <w:p w14:paraId="3E75C0D2" w14:textId="46CAD413" w:rsidR="00213661" w:rsidRPr="00ED665E" w:rsidRDefault="00213661" w:rsidP="00804A69">
      <w:pPr>
        <w:pStyle w:val="Body"/>
      </w:pPr>
      <w:r w:rsidRPr="00ED665E">
        <w:t xml:space="preserve">Compliance advice from the Regulator </w:t>
      </w:r>
      <w:r w:rsidR="00857518">
        <w:t xml:space="preserve">is </w:t>
      </w:r>
      <w:r w:rsidRPr="00ED665E">
        <w:t xml:space="preserve">not </w:t>
      </w:r>
      <w:r w:rsidR="00857518">
        <w:t>an order</w:t>
      </w:r>
      <w:r w:rsidR="00857518" w:rsidRPr="00ED665E">
        <w:t xml:space="preserve"> </w:t>
      </w:r>
      <w:r w:rsidR="00857518" w:rsidRPr="00B2316A">
        <w:t>for the organisation</w:t>
      </w:r>
      <w:r w:rsidR="00857518" w:rsidRPr="00857518">
        <w:t xml:space="preserve"> </w:t>
      </w:r>
      <w:r w:rsidR="00857518">
        <w:t xml:space="preserve">to complete </w:t>
      </w:r>
      <w:r w:rsidRPr="00ED665E">
        <w:t xml:space="preserve">specific actions. It suggests approaches </w:t>
      </w:r>
      <w:r w:rsidR="00DB3CB4">
        <w:t>and</w:t>
      </w:r>
      <w:r w:rsidRPr="00ED665E">
        <w:t xml:space="preserve"> practical measures </w:t>
      </w:r>
      <w:r w:rsidR="00857518">
        <w:t xml:space="preserve">they </w:t>
      </w:r>
      <w:r w:rsidRPr="00ED665E">
        <w:t xml:space="preserve">can take to </w:t>
      </w:r>
      <w:r w:rsidR="00857518">
        <w:t xml:space="preserve">meet </w:t>
      </w:r>
      <w:r w:rsidRPr="00ED665E">
        <w:t xml:space="preserve">their obligations. </w:t>
      </w:r>
      <w:r w:rsidR="00D90373">
        <w:t>The organisation is always r</w:t>
      </w:r>
      <w:r w:rsidR="00D90373" w:rsidRPr="00ED665E">
        <w:t>esponsib</w:t>
      </w:r>
      <w:r w:rsidR="00D90373">
        <w:t>le</w:t>
      </w:r>
      <w:r w:rsidR="00D90373" w:rsidRPr="00ED665E">
        <w:t xml:space="preserve"> </w:t>
      </w:r>
      <w:r w:rsidRPr="00ED665E">
        <w:t xml:space="preserve">for </w:t>
      </w:r>
      <w:r w:rsidR="00D90373">
        <w:t>following the Standards</w:t>
      </w:r>
      <w:r w:rsidRPr="00ED665E">
        <w:t>.</w:t>
      </w:r>
    </w:p>
    <w:p w14:paraId="46730803" w14:textId="70B6E6C6" w:rsidR="00213661" w:rsidRPr="00ED665E" w:rsidRDefault="00213661" w:rsidP="00804A69">
      <w:pPr>
        <w:pStyle w:val="Body"/>
      </w:pPr>
      <w:r w:rsidRPr="00ED665E">
        <w:t xml:space="preserve">Advice </w:t>
      </w:r>
      <w:r w:rsidR="00D90373">
        <w:t xml:space="preserve">from </w:t>
      </w:r>
      <w:r w:rsidRPr="00ED665E">
        <w:t xml:space="preserve">the Regulator does not give an organisation any </w:t>
      </w:r>
      <w:r w:rsidR="00D90373">
        <w:t>extra</w:t>
      </w:r>
      <w:r w:rsidR="00D90373" w:rsidRPr="00ED665E">
        <w:t xml:space="preserve"> </w:t>
      </w:r>
      <w:r w:rsidRPr="00ED665E">
        <w:t xml:space="preserve">rights or defences </w:t>
      </w:r>
      <w:r w:rsidR="00D90373">
        <w:t xml:space="preserve">if there is </w:t>
      </w:r>
      <w:r w:rsidRPr="00ED665E">
        <w:t xml:space="preserve">alleged non-compliance. </w:t>
      </w:r>
      <w:r w:rsidR="00D90373">
        <w:t xml:space="preserve">If the Regulator takes enforcement action, </w:t>
      </w:r>
      <w:r w:rsidR="00641182">
        <w:t>it</w:t>
      </w:r>
      <w:r w:rsidR="00D90373">
        <w:t xml:space="preserve"> will look at how well the organisation</w:t>
      </w:r>
      <w:r w:rsidRPr="00ED665E">
        <w:t xml:space="preserve"> has followed the Regulator’s advice.</w:t>
      </w:r>
    </w:p>
    <w:p w14:paraId="5E5FCFD3" w14:textId="734F383F" w:rsidR="00213661" w:rsidRPr="0023433F" w:rsidRDefault="00213661" w:rsidP="00213661">
      <w:pPr>
        <w:pStyle w:val="Heading2"/>
      </w:pPr>
      <w:bookmarkStart w:id="35" w:name="_Toc108006523"/>
      <w:bookmarkStart w:id="36" w:name="_Toc115101277"/>
      <w:r w:rsidRPr="0023433F">
        <w:lastRenderedPageBreak/>
        <w:t>Proactive compliance</w:t>
      </w:r>
      <w:bookmarkEnd w:id="35"/>
      <w:bookmarkEnd w:id="36"/>
    </w:p>
    <w:p w14:paraId="4D5A79D9" w14:textId="70660DF7" w:rsidR="00D90373" w:rsidRPr="00ED665E" w:rsidRDefault="00213661" w:rsidP="007379F1">
      <w:pPr>
        <w:pStyle w:val="Bodyafterbullets"/>
      </w:pPr>
      <w:r w:rsidRPr="00ED665E">
        <w:t xml:space="preserve">All in-scope organisations may be subject to compliance monitoring. The Regulator combines its own compliance data with </w:t>
      </w:r>
      <w:r w:rsidR="00D90373" w:rsidRPr="00ED665E">
        <w:t xml:space="preserve">data and information </w:t>
      </w:r>
      <w:r w:rsidRPr="00ED665E">
        <w:t>from</w:t>
      </w:r>
      <w:r w:rsidR="00D90373" w:rsidRPr="00ED665E">
        <w:t>:</w:t>
      </w:r>
    </w:p>
    <w:p w14:paraId="7CA3FA44" w14:textId="33954DDA" w:rsidR="00D90373" w:rsidRPr="00ED665E" w:rsidRDefault="00213661" w:rsidP="007379F1">
      <w:pPr>
        <w:pStyle w:val="Bullet1"/>
      </w:pPr>
      <w:r w:rsidRPr="00ED665E">
        <w:t>peer regulators</w:t>
      </w:r>
    </w:p>
    <w:p w14:paraId="204BAB7A" w14:textId="01D868FC" w:rsidR="00D90373" w:rsidRPr="00ED665E" w:rsidRDefault="00213661" w:rsidP="007379F1">
      <w:pPr>
        <w:pStyle w:val="Bullet1"/>
      </w:pPr>
      <w:r w:rsidRPr="00ED665E">
        <w:t>law enforcement authorities</w:t>
      </w:r>
    </w:p>
    <w:p w14:paraId="1E66D8EE" w14:textId="66403548" w:rsidR="00D90373" w:rsidRPr="00ED665E" w:rsidRDefault="00213661" w:rsidP="007379F1">
      <w:pPr>
        <w:pStyle w:val="Bullet1"/>
      </w:pPr>
      <w:r w:rsidRPr="00ED665E">
        <w:t>government agencies</w:t>
      </w:r>
    </w:p>
    <w:p w14:paraId="1493CA86" w14:textId="4848EBAB" w:rsidR="00D90373" w:rsidRPr="00ED665E" w:rsidRDefault="00213661" w:rsidP="007379F1">
      <w:pPr>
        <w:pStyle w:val="Bullet1"/>
      </w:pPr>
      <w:r w:rsidRPr="00ED665E">
        <w:t>service users</w:t>
      </w:r>
    </w:p>
    <w:p w14:paraId="7D59C829" w14:textId="2FD2594C" w:rsidR="00D90373" w:rsidRPr="00ED665E" w:rsidRDefault="00213661" w:rsidP="00705D0C">
      <w:pPr>
        <w:pStyle w:val="Bullet1"/>
      </w:pPr>
      <w:r w:rsidRPr="00ED665E">
        <w:t>the public</w:t>
      </w:r>
      <w:r w:rsidR="00D90373" w:rsidRPr="00ED665E">
        <w:t>.</w:t>
      </w:r>
    </w:p>
    <w:p w14:paraId="5AFE489D" w14:textId="431EE8D8" w:rsidR="00213661" w:rsidRPr="005D7209" w:rsidRDefault="000D6EF7" w:rsidP="00705D0C">
      <w:pPr>
        <w:pStyle w:val="Bodyafterbullets"/>
      </w:pPr>
      <w:r>
        <w:t xml:space="preserve">The Regulator </w:t>
      </w:r>
      <w:r w:rsidR="00D90373" w:rsidRPr="00ED665E">
        <w:t>uses this</w:t>
      </w:r>
      <w:r w:rsidR="00213661" w:rsidRPr="00ED665E">
        <w:t xml:space="preserve"> </w:t>
      </w:r>
      <w:r w:rsidR="00A03678">
        <w:t xml:space="preserve">information </w:t>
      </w:r>
      <w:r w:rsidR="00213661" w:rsidRPr="00ED665E">
        <w:t xml:space="preserve">to build a risk profile </w:t>
      </w:r>
      <w:r w:rsidR="00213661" w:rsidRPr="007379F1">
        <w:t>for</w:t>
      </w:r>
      <w:r w:rsidR="00F72441">
        <w:t xml:space="preserve"> the </w:t>
      </w:r>
      <w:r w:rsidR="00213661">
        <w:t>health organisations</w:t>
      </w:r>
      <w:r w:rsidR="00F72441">
        <w:t xml:space="preserve"> it regulates</w:t>
      </w:r>
      <w:r w:rsidR="0071362E">
        <w:t>.</w:t>
      </w:r>
      <w:r>
        <w:t xml:space="preserve"> It</w:t>
      </w:r>
      <w:r w:rsidR="00213661" w:rsidRPr="005D7209">
        <w:t xml:space="preserve"> then decides</w:t>
      </w:r>
      <w:r w:rsidR="00213661" w:rsidRPr="00ED665E">
        <w:t xml:space="preserve"> the level, frequency and focus of proactive monitoring activities.</w:t>
      </w:r>
    </w:p>
    <w:p w14:paraId="6834A87E" w14:textId="5257109F" w:rsidR="00213661" w:rsidRPr="00ED665E" w:rsidRDefault="00213661" w:rsidP="006715E0">
      <w:pPr>
        <w:pStyle w:val="Body"/>
      </w:pPr>
      <w:r w:rsidRPr="00ED665E">
        <w:t xml:space="preserve">Organisations </w:t>
      </w:r>
      <w:r w:rsidR="007379F1" w:rsidRPr="00ED665E">
        <w:t>with a lower risk profile</w:t>
      </w:r>
      <w:r w:rsidR="00EA0F80">
        <w:t xml:space="preserve"> </w:t>
      </w:r>
      <w:r w:rsidRPr="00ED665E">
        <w:t xml:space="preserve">are likely to </w:t>
      </w:r>
      <w:r w:rsidR="007379F1" w:rsidRPr="00ED665E">
        <w:t xml:space="preserve">need </w:t>
      </w:r>
      <w:r w:rsidRPr="00ED665E">
        <w:t xml:space="preserve">less oversight and </w:t>
      </w:r>
      <w:r w:rsidR="0063661C">
        <w:t xml:space="preserve">compliance </w:t>
      </w:r>
      <w:r w:rsidR="00D72B87">
        <w:t>monitoring</w:t>
      </w:r>
      <w:r w:rsidRPr="00ED665E">
        <w:t>.</w:t>
      </w:r>
    </w:p>
    <w:p w14:paraId="4730D479" w14:textId="14CE246F" w:rsidR="00213661" w:rsidRPr="00ED665E" w:rsidRDefault="00213661" w:rsidP="006715E0">
      <w:pPr>
        <w:pStyle w:val="Body"/>
      </w:pPr>
      <w:r w:rsidRPr="00ED665E">
        <w:t xml:space="preserve">Organisations with </w:t>
      </w:r>
      <w:r w:rsidR="007379F1" w:rsidRPr="00ED665E">
        <w:t>a higher risk profile may receive</w:t>
      </w:r>
      <w:r w:rsidRPr="00ED665E">
        <w:t xml:space="preserve"> more scrutiny in how the</w:t>
      </w:r>
      <w:r w:rsidR="00D72B87">
        <w:t>y are</w:t>
      </w:r>
      <w:r w:rsidRPr="00ED665E">
        <w:t xml:space="preserve"> </w:t>
      </w:r>
      <w:r w:rsidR="007379F1" w:rsidRPr="00ED665E">
        <w:t xml:space="preserve">meeting </w:t>
      </w:r>
      <w:r w:rsidRPr="00ED665E">
        <w:t>the Standards.</w:t>
      </w:r>
    </w:p>
    <w:p w14:paraId="3753F29C" w14:textId="09851B59" w:rsidR="00213661" w:rsidRPr="00ED665E" w:rsidRDefault="00213661" w:rsidP="007379F1">
      <w:pPr>
        <w:pStyle w:val="Body"/>
      </w:pPr>
      <w:r w:rsidRPr="00ED665E">
        <w:t>The Regulator uses these proactive compliance tools:</w:t>
      </w:r>
    </w:p>
    <w:p w14:paraId="2A8F1D8B" w14:textId="5F9EF6E5" w:rsidR="00213661" w:rsidRPr="00ED665E" w:rsidRDefault="007379F1" w:rsidP="007379F1">
      <w:pPr>
        <w:pStyle w:val="Bullet1"/>
      </w:pPr>
      <w:r w:rsidRPr="00ED665E">
        <w:t xml:space="preserve">desktop </w:t>
      </w:r>
      <w:r w:rsidR="00213661" w:rsidRPr="00ED665E">
        <w:t>compliance reviews</w:t>
      </w:r>
    </w:p>
    <w:p w14:paraId="4F6D334A" w14:textId="70728D13" w:rsidR="00213661" w:rsidRPr="00ED665E" w:rsidRDefault="007379F1" w:rsidP="007379F1">
      <w:pPr>
        <w:pStyle w:val="Bullet1"/>
      </w:pPr>
      <w:r w:rsidRPr="00ED665E">
        <w:t>r</w:t>
      </w:r>
      <w:r w:rsidR="00213661" w:rsidRPr="00ED665E">
        <w:t xml:space="preserve">equests for information or documents </w:t>
      </w:r>
    </w:p>
    <w:p w14:paraId="2B5576E6" w14:textId="759B0297" w:rsidR="00213661" w:rsidRPr="00ED665E" w:rsidRDefault="007379F1" w:rsidP="007379F1">
      <w:pPr>
        <w:pStyle w:val="Bullet1"/>
      </w:pPr>
      <w:r w:rsidRPr="00ED665E">
        <w:t>i</w:t>
      </w:r>
      <w:r w:rsidR="00213661" w:rsidRPr="00ED665E">
        <w:t>nvestigations</w:t>
      </w:r>
    </w:p>
    <w:p w14:paraId="08BF274E" w14:textId="56BF6240" w:rsidR="00213661" w:rsidRPr="00ED665E" w:rsidRDefault="007379F1" w:rsidP="007379F1">
      <w:pPr>
        <w:pStyle w:val="Bullet1"/>
      </w:pPr>
      <w:r w:rsidRPr="00ED665E">
        <w:t>o</w:t>
      </w:r>
      <w:r w:rsidR="00213661" w:rsidRPr="00ED665E">
        <w:t>n-site inspections and assessments</w:t>
      </w:r>
    </w:p>
    <w:p w14:paraId="28539555" w14:textId="072913C9" w:rsidR="00213661" w:rsidRPr="00ED665E" w:rsidRDefault="007379F1" w:rsidP="007379F1">
      <w:pPr>
        <w:pStyle w:val="Bullet1"/>
      </w:pPr>
      <w:r w:rsidRPr="00ED665E">
        <w:t>i</w:t>
      </w:r>
      <w:r w:rsidR="00213661" w:rsidRPr="00ED665E">
        <w:t>ndependent reviews</w:t>
      </w:r>
      <w:r w:rsidRPr="00ED665E">
        <w:t>.</w:t>
      </w:r>
    </w:p>
    <w:p w14:paraId="51DC8F51" w14:textId="77777777" w:rsidR="00814F0C" w:rsidRPr="000A6D1A" w:rsidRDefault="00814F0C" w:rsidP="008434D8">
      <w:pPr>
        <w:pStyle w:val="Heading3"/>
      </w:pPr>
      <w:r w:rsidRPr="00213661">
        <w:t>Authorised officers</w:t>
      </w:r>
    </w:p>
    <w:p w14:paraId="58637F1D" w14:textId="77777777" w:rsidR="009D69B1" w:rsidRPr="00ED665E" w:rsidRDefault="009D69B1" w:rsidP="009D69B1">
      <w:pPr>
        <w:pStyle w:val="Bodyafterbullets"/>
      </w:pPr>
      <w:r w:rsidRPr="00ED665E">
        <w:t>The Regulator’s authorised officers play a</w:t>
      </w:r>
      <w:r>
        <w:t>n important</w:t>
      </w:r>
      <w:r w:rsidRPr="00ED665E">
        <w:t xml:space="preserve"> role in conducting compliance activities. </w:t>
      </w:r>
    </w:p>
    <w:p w14:paraId="74EB58B6" w14:textId="43A218A3" w:rsidR="00814F0C" w:rsidRPr="00ED665E" w:rsidRDefault="00814F0C" w:rsidP="005D7209">
      <w:pPr>
        <w:pStyle w:val="Body"/>
      </w:pPr>
      <w:r w:rsidRPr="00ED665E">
        <w:t>Authorised officers are appointed under section 27(1) of the Act.</w:t>
      </w:r>
      <w:r w:rsidR="00EF1C35">
        <w:t xml:space="preserve"> </w:t>
      </w:r>
      <w:r w:rsidRPr="00ED665E">
        <w:t>Their front-line regulatory duties include:</w:t>
      </w:r>
    </w:p>
    <w:p w14:paraId="03B721A0" w14:textId="022F8883" w:rsidR="00814F0C" w:rsidRPr="00ED665E" w:rsidRDefault="00A73C6A" w:rsidP="005D7209">
      <w:pPr>
        <w:pStyle w:val="Bullet1"/>
      </w:pPr>
      <w:r>
        <w:t xml:space="preserve">providing </w:t>
      </w:r>
      <w:r w:rsidR="00814F0C" w:rsidRPr="00ED665E">
        <w:t>education and advice</w:t>
      </w:r>
    </w:p>
    <w:p w14:paraId="2391B2FF" w14:textId="77777777" w:rsidR="00814F0C" w:rsidRPr="00ED665E" w:rsidRDefault="00814F0C" w:rsidP="005D7209">
      <w:pPr>
        <w:pStyle w:val="Bullet1"/>
      </w:pPr>
      <w:r w:rsidRPr="00ED665E">
        <w:t>monitoring and investigating compliance</w:t>
      </w:r>
    </w:p>
    <w:p w14:paraId="278C9922" w14:textId="77777777" w:rsidR="00814F0C" w:rsidRPr="00ED665E" w:rsidRDefault="00814F0C" w:rsidP="005D7209">
      <w:pPr>
        <w:pStyle w:val="Bullet1"/>
      </w:pPr>
      <w:r w:rsidRPr="00ED665E">
        <w:t>taking enforcement action when non-compliance is found or suspected.</w:t>
      </w:r>
    </w:p>
    <w:p w14:paraId="57DB858B" w14:textId="77777777" w:rsidR="00814F0C" w:rsidRPr="005D7209" w:rsidRDefault="00814F0C" w:rsidP="005D7209">
      <w:pPr>
        <w:pStyle w:val="Bodyafterbullets"/>
      </w:pPr>
      <w:r w:rsidRPr="00ED665E">
        <w:t>Authorised officers may enter premises to conduct inspections and assess compliance with the Standards under the Act. Organisations must help authorised officers with this.</w:t>
      </w:r>
    </w:p>
    <w:p w14:paraId="701EAAD8" w14:textId="334D14E3" w:rsidR="00213661" w:rsidRPr="0023433F" w:rsidRDefault="00213661" w:rsidP="00213661">
      <w:pPr>
        <w:pStyle w:val="Heading2"/>
      </w:pPr>
      <w:bookmarkStart w:id="37" w:name="_Toc108006524"/>
      <w:bookmarkStart w:id="38" w:name="_Toc115101278"/>
      <w:r w:rsidRPr="0023433F">
        <w:t>Graduated sanctions</w:t>
      </w:r>
      <w:bookmarkEnd w:id="37"/>
      <w:bookmarkEnd w:id="38"/>
    </w:p>
    <w:p w14:paraId="102B79D1" w14:textId="7D0C86CD" w:rsidR="00814F0C" w:rsidRPr="00ED665E" w:rsidRDefault="00213661" w:rsidP="00466680">
      <w:pPr>
        <w:pStyle w:val="Body"/>
      </w:pPr>
      <w:r w:rsidRPr="00ED665E">
        <w:t>Whe</w:t>
      </w:r>
      <w:r w:rsidR="00814F0C" w:rsidRPr="00ED665E">
        <w:t>n</w:t>
      </w:r>
      <w:r w:rsidRPr="00ED665E">
        <w:t xml:space="preserve"> non-compliance is </w:t>
      </w:r>
      <w:r w:rsidR="00814F0C" w:rsidRPr="00ED665E">
        <w:t>found</w:t>
      </w:r>
      <w:r w:rsidRPr="00ED665E">
        <w:t xml:space="preserve">, the Regulator </w:t>
      </w:r>
      <w:r w:rsidR="00814F0C" w:rsidRPr="00ED665E">
        <w:t xml:space="preserve">can use </w:t>
      </w:r>
      <w:r w:rsidRPr="00ED665E">
        <w:t>a range of statutory tools</w:t>
      </w:r>
      <w:r w:rsidR="00070285">
        <w:t xml:space="preserve"> or sanctions</w:t>
      </w:r>
      <w:r w:rsidRPr="00ED665E">
        <w:t>. In line with its regulatory approach, the Regulator’s use of statutory tools is</w:t>
      </w:r>
      <w:r w:rsidR="00466680">
        <w:t xml:space="preserve"> </w:t>
      </w:r>
      <w:r w:rsidRPr="00ED665E">
        <w:t>risk-based</w:t>
      </w:r>
      <w:r w:rsidR="00466680">
        <w:t xml:space="preserve">, </w:t>
      </w:r>
      <w:r w:rsidRPr="00ED665E">
        <w:t>proportionate</w:t>
      </w:r>
      <w:r w:rsidR="00466680">
        <w:t xml:space="preserve"> and </w:t>
      </w:r>
      <w:r w:rsidRPr="00ED665E">
        <w:t>driven by outcomes.</w:t>
      </w:r>
    </w:p>
    <w:p w14:paraId="43FFF053" w14:textId="47AF2E5A" w:rsidR="00DC726B" w:rsidRDefault="00B202E6" w:rsidP="00B64287">
      <w:pPr>
        <w:pStyle w:val="Bodyafterbullets"/>
      </w:pPr>
      <w:r>
        <w:fldChar w:fldCharType="begin"/>
      </w:r>
      <w:r>
        <w:instrText xml:space="preserve"> REF _Ref114227796 \h </w:instrText>
      </w:r>
      <w:r>
        <w:fldChar w:fldCharType="separate"/>
      </w:r>
      <w:r>
        <w:t xml:space="preserve">Table </w:t>
      </w:r>
      <w:r>
        <w:rPr>
          <w:noProof/>
        </w:rPr>
        <w:t>4</w:t>
      </w:r>
      <w:r>
        <w:fldChar w:fldCharType="end"/>
      </w:r>
      <w:r w:rsidR="00DC726B">
        <w:t xml:space="preserve"> lists possible sanctions</w:t>
      </w:r>
      <w:r>
        <w:t xml:space="preserve"> or tools the Regulator can use.</w:t>
      </w:r>
    </w:p>
    <w:p w14:paraId="2740D60B" w14:textId="49CFCD33" w:rsidR="00453BB7" w:rsidRDefault="00453BB7" w:rsidP="00B64287">
      <w:pPr>
        <w:pStyle w:val="Tablecaption"/>
      </w:pPr>
      <w:bookmarkStart w:id="39" w:name="_Ref114227796"/>
      <w:r>
        <w:t xml:space="preserve">Table </w:t>
      </w:r>
      <w:r w:rsidR="009E7CC7">
        <w:fldChar w:fldCharType="begin"/>
      </w:r>
      <w:r w:rsidR="009E7CC7">
        <w:instrText xml:space="preserve"> SEQ Table \* ARABIC </w:instrText>
      </w:r>
      <w:r w:rsidR="009E7CC7">
        <w:fldChar w:fldCharType="separate"/>
      </w:r>
      <w:r w:rsidR="00DC726B">
        <w:rPr>
          <w:noProof/>
        </w:rPr>
        <w:t>4</w:t>
      </w:r>
      <w:r w:rsidR="009E7CC7">
        <w:rPr>
          <w:noProof/>
        </w:rPr>
        <w:fldChar w:fldCharType="end"/>
      </w:r>
      <w:bookmarkEnd w:id="39"/>
      <w:r>
        <w:t>: Possible sanctions</w:t>
      </w:r>
    </w:p>
    <w:tbl>
      <w:tblPr>
        <w:tblStyle w:val="HSRtable"/>
        <w:tblW w:w="0" w:type="auto"/>
        <w:tblLook w:val="04A0" w:firstRow="1" w:lastRow="0" w:firstColumn="1" w:lastColumn="0" w:noHBand="0" w:noVBand="1"/>
      </w:tblPr>
      <w:tblGrid>
        <w:gridCol w:w="2522"/>
        <w:gridCol w:w="6746"/>
      </w:tblGrid>
      <w:tr w:rsidR="00814F0C" w:rsidRPr="00ED665E" w14:paraId="2932778B" w14:textId="77777777" w:rsidTr="00193C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2" w:type="dxa"/>
          </w:tcPr>
          <w:p w14:paraId="73EE868F" w14:textId="05772F1F" w:rsidR="00814F0C" w:rsidRPr="005774BE" w:rsidRDefault="00814F0C" w:rsidP="00193C90">
            <w:pPr>
              <w:pStyle w:val="Tablecolhead"/>
            </w:pPr>
            <w:r w:rsidRPr="005774BE">
              <w:t>Sanction</w:t>
            </w:r>
          </w:p>
        </w:tc>
        <w:tc>
          <w:tcPr>
            <w:tcW w:w="6746" w:type="dxa"/>
          </w:tcPr>
          <w:p w14:paraId="20AD08AC" w14:textId="458EA827" w:rsidR="00814F0C" w:rsidRPr="005774BE" w:rsidRDefault="00814F0C" w:rsidP="00193C90">
            <w:pPr>
              <w:pStyle w:val="Tablecolhead"/>
              <w:cnfStyle w:val="100000000000" w:firstRow="1" w:lastRow="0" w:firstColumn="0" w:lastColumn="0" w:oddVBand="0" w:evenVBand="0" w:oddHBand="0" w:evenHBand="0" w:firstRowFirstColumn="0" w:firstRowLastColumn="0" w:lastRowFirstColumn="0" w:lastRowLastColumn="0"/>
            </w:pPr>
            <w:r w:rsidRPr="005774BE">
              <w:t>Description</w:t>
            </w:r>
          </w:p>
        </w:tc>
      </w:tr>
      <w:tr w:rsidR="00814F0C" w14:paraId="7C4D8FCC" w14:textId="77777777" w:rsidTr="00193C90">
        <w:tc>
          <w:tcPr>
            <w:cnfStyle w:val="001000000000" w:firstRow="0" w:lastRow="0" w:firstColumn="1" w:lastColumn="0" w:oddVBand="0" w:evenVBand="0" w:oddHBand="0" w:evenHBand="0" w:firstRowFirstColumn="0" w:firstRowLastColumn="0" w:lastRowFirstColumn="0" w:lastRowLastColumn="0"/>
            <w:tcW w:w="2522" w:type="dxa"/>
            <w:shd w:val="clear" w:color="auto" w:fill="ECF1F8"/>
          </w:tcPr>
          <w:p w14:paraId="1020C6CC" w14:textId="0289181B" w:rsidR="00814F0C" w:rsidRPr="005774BE" w:rsidRDefault="00814F0C" w:rsidP="00193C90">
            <w:pPr>
              <w:pStyle w:val="Tabletext"/>
            </w:pPr>
            <w:r w:rsidRPr="00ED665E">
              <w:t>N</w:t>
            </w:r>
            <w:r w:rsidRPr="005774BE">
              <w:t>otice to produce</w:t>
            </w:r>
          </w:p>
        </w:tc>
        <w:tc>
          <w:tcPr>
            <w:tcW w:w="6746" w:type="dxa"/>
          </w:tcPr>
          <w:p w14:paraId="54773588" w14:textId="769D60EA" w:rsidR="00814F0C" w:rsidRPr="005774B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 xml:space="preserve">A written notice </w:t>
            </w:r>
            <w:r w:rsidR="00B502B2" w:rsidRPr="00ED665E">
              <w:t xml:space="preserve">that makes </w:t>
            </w:r>
            <w:r w:rsidRPr="00ED665E">
              <w:t>an organisation produce specified documents or information by a specified date or face possible enforcement action.</w:t>
            </w:r>
          </w:p>
        </w:tc>
      </w:tr>
      <w:tr w:rsidR="00814F0C" w14:paraId="057F85A1" w14:textId="77777777" w:rsidTr="00193C90">
        <w:tc>
          <w:tcPr>
            <w:cnfStyle w:val="001000000000" w:firstRow="0" w:lastRow="0" w:firstColumn="1" w:lastColumn="0" w:oddVBand="0" w:evenVBand="0" w:oddHBand="0" w:evenHBand="0" w:firstRowFirstColumn="0" w:firstRowLastColumn="0" w:lastRowFirstColumn="0" w:lastRowLastColumn="0"/>
            <w:tcW w:w="2522" w:type="dxa"/>
            <w:shd w:val="clear" w:color="auto" w:fill="ECF1F8"/>
          </w:tcPr>
          <w:p w14:paraId="46928CCE" w14:textId="463179EB" w:rsidR="00814F0C" w:rsidRPr="005774BE" w:rsidRDefault="00814F0C" w:rsidP="00193C90">
            <w:pPr>
              <w:pStyle w:val="Tabletext"/>
            </w:pPr>
            <w:r w:rsidRPr="00ED665E">
              <w:t>N</w:t>
            </w:r>
            <w:r w:rsidRPr="005774BE">
              <w:t>otice to comply</w:t>
            </w:r>
          </w:p>
        </w:tc>
        <w:tc>
          <w:tcPr>
            <w:tcW w:w="6746" w:type="dxa"/>
          </w:tcPr>
          <w:p w14:paraId="7F3092E0" w14:textId="4728E0F9" w:rsidR="00814F0C" w:rsidRPr="005774B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 xml:space="preserve">A written notice </w:t>
            </w:r>
            <w:r w:rsidR="00B502B2" w:rsidRPr="00ED665E">
              <w:t xml:space="preserve">that makes </w:t>
            </w:r>
            <w:r w:rsidRPr="00ED665E">
              <w:t>an organisation take specified actions to address non-compliance by a specified date or face possible enforcement action.</w:t>
            </w:r>
          </w:p>
        </w:tc>
      </w:tr>
      <w:tr w:rsidR="00814F0C" w14:paraId="6467EDDC" w14:textId="77777777" w:rsidTr="00193C90">
        <w:tc>
          <w:tcPr>
            <w:cnfStyle w:val="001000000000" w:firstRow="0" w:lastRow="0" w:firstColumn="1" w:lastColumn="0" w:oddVBand="0" w:evenVBand="0" w:oddHBand="0" w:evenHBand="0" w:firstRowFirstColumn="0" w:firstRowLastColumn="0" w:lastRowFirstColumn="0" w:lastRowLastColumn="0"/>
            <w:tcW w:w="2522" w:type="dxa"/>
            <w:shd w:val="clear" w:color="auto" w:fill="ECF1F8"/>
          </w:tcPr>
          <w:p w14:paraId="0836147C" w14:textId="1857240F" w:rsidR="00814F0C" w:rsidRPr="005774BE" w:rsidRDefault="00814F0C" w:rsidP="00193C90">
            <w:pPr>
              <w:pStyle w:val="Tabletext"/>
            </w:pPr>
            <w:r w:rsidRPr="00ED665E">
              <w:lastRenderedPageBreak/>
              <w:t>O</w:t>
            </w:r>
            <w:r w:rsidRPr="005774BE">
              <w:t>fficial warning</w:t>
            </w:r>
          </w:p>
        </w:tc>
        <w:tc>
          <w:tcPr>
            <w:tcW w:w="6746" w:type="dxa"/>
          </w:tcPr>
          <w:p w14:paraId="790F4424" w14:textId="77777777" w:rsidR="00B502B2" w:rsidRPr="00ED665E" w:rsidRDefault="00B502B2" w:rsidP="00193C90">
            <w:pPr>
              <w:pStyle w:val="Tabletext"/>
              <w:cnfStyle w:val="000000000000" w:firstRow="0" w:lastRow="0" w:firstColumn="0" w:lastColumn="0" w:oddVBand="0" w:evenVBand="0" w:oddHBand="0" w:evenHBand="0" w:firstRowFirstColumn="0" w:firstRowLastColumn="0" w:lastRowFirstColumn="0" w:lastRowLastColumn="0"/>
            </w:pPr>
            <w:r w:rsidRPr="00ED665E">
              <w:t>I</w:t>
            </w:r>
            <w:r w:rsidR="00814F0C" w:rsidRPr="00ED665E">
              <w:t>ssued when the Regulator suspects an organisation has</w:t>
            </w:r>
            <w:r w:rsidRPr="00ED665E">
              <w:t>:</w:t>
            </w:r>
          </w:p>
          <w:p w14:paraId="0E585D5B" w14:textId="77777777" w:rsidR="00B502B2" w:rsidRPr="00ED665E" w:rsidRDefault="00B502B2" w:rsidP="00193C90">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not followed </w:t>
            </w:r>
            <w:r w:rsidR="00814F0C" w:rsidRPr="00ED665E">
              <w:t xml:space="preserve">a notice to produce or </w:t>
            </w:r>
            <w:r w:rsidRPr="00ED665E">
              <w:t xml:space="preserve">a </w:t>
            </w:r>
            <w:r w:rsidR="00814F0C" w:rsidRPr="00ED665E">
              <w:t>notice to comply</w:t>
            </w:r>
          </w:p>
          <w:p w14:paraId="7182CD2D" w14:textId="77777777" w:rsidR="00B502B2" w:rsidRPr="00ED665E" w:rsidRDefault="00B502B2" w:rsidP="00193C90">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not met </w:t>
            </w:r>
            <w:r w:rsidR="00814F0C" w:rsidRPr="00ED665E">
              <w:t>the Standards</w:t>
            </w:r>
          </w:p>
          <w:p w14:paraId="2CB27285" w14:textId="77777777" w:rsidR="00B502B2" w:rsidRPr="00ED665E" w:rsidRDefault="00814F0C" w:rsidP="00193C90">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has committed </w:t>
            </w:r>
            <w:r w:rsidR="00B502B2" w:rsidRPr="00ED665E">
              <w:t xml:space="preserve">(or is committing) </w:t>
            </w:r>
            <w:r w:rsidRPr="00ED665E">
              <w:t>an offence specified in the Act.</w:t>
            </w:r>
          </w:p>
          <w:p w14:paraId="1DBC85DB" w14:textId="091AE38F" w:rsidR="00814F0C" w:rsidRPr="00814F0C" w:rsidRDefault="00814F0C" w:rsidP="00193C90">
            <w:pPr>
              <w:pStyle w:val="Tabletext"/>
              <w:cnfStyle w:val="000000000000" w:firstRow="0" w:lastRow="0" w:firstColumn="0" w:lastColumn="0" w:oddVBand="0" w:evenVBand="0" w:oddHBand="0" w:evenHBand="0" w:firstRowFirstColumn="0" w:firstRowLastColumn="0" w:lastRowFirstColumn="0" w:lastRowLastColumn="0"/>
              <w:rPr>
                <w:rStyle w:val="eop"/>
              </w:rPr>
            </w:pPr>
            <w:r w:rsidRPr="00ED665E">
              <w:t>The warning explains that the</w:t>
            </w:r>
            <w:r w:rsidR="00B502B2" w:rsidRPr="00ED665E">
              <w:t>y may face an enforcement action because of</w:t>
            </w:r>
            <w:r w:rsidRPr="00ED665E">
              <w:t xml:space="preserve"> </w:t>
            </w:r>
            <w:r w:rsidR="00B502B2" w:rsidRPr="00ED665E">
              <w:t xml:space="preserve">their </w:t>
            </w:r>
            <w:r w:rsidRPr="00ED665E">
              <w:t>non-compliance or offending.</w:t>
            </w:r>
          </w:p>
        </w:tc>
      </w:tr>
      <w:tr w:rsidR="00814F0C" w14:paraId="59A21242" w14:textId="77777777" w:rsidTr="00193C90">
        <w:tc>
          <w:tcPr>
            <w:cnfStyle w:val="001000000000" w:firstRow="0" w:lastRow="0" w:firstColumn="1" w:lastColumn="0" w:oddVBand="0" w:evenVBand="0" w:oddHBand="0" w:evenHBand="0" w:firstRowFirstColumn="0" w:firstRowLastColumn="0" w:lastRowFirstColumn="0" w:lastRowLastColumn="0"/>
            <w:tcW w:w="2522" w:type="dxa"/>
            <w:shd w:val="clear" w:color="auto" w:fill="ECF1F8"/>
          </w:tcPr>
          <w:p w14:paraId="021CFFD2" w14:textId="783038EB" w:rsidR="00814F0C" w:rsidRPr="005774BE" w:rsidRDefault="00814F0C" w:rsidP="00193C90">
            <w:pPr>
              <w:pStyle w:val="Tabletext"/>
            </w:pPr>
            <w:r w:rsidRPr="00ED665E">
              <w:t>I</w:t>
            </w:r>
            <w:r w:rsidRPr="005774BE">
              <w:t>nfringement notice</w:t>
            </w:r>
          </w:p>
        </w:tc>
        <w:tc>
          <w:tcPr>
            <w:tcW w:w="6746" w:type="dxa"/>
          </w:tcPr>
          <w:p w14:paraId="4FA23A23" w14:textId="77777777" w:rsidR="00B502B2" w:rsidRPr="00ED665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A financial penalty issued to an organisation that the Regulator reasonably believes has committed a prescribed offence.</w:t>
            </w:r>
          </w:p>
          <w:p w14:paraId="52544046" w14:textId="77777777" w:rsidR="00B502B2" w:rsidRPr="00ED665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This can include failing to</w:t>
            </w:r>
            <w:r w:rsidR="00B502B2" w:rsidRPr="00ED665E">
              <w:t>:</w:t>
            </w:r>
          </w:p>
          <w:p w14:paraId="1B35F9D3" w14:textId="77777777" w:rsidR="00B502B2" w:rsidRPr="00ED665E" w:rsidRDefault="00B502B2" w:rsidP="00193C90">
            <w:pPr>
              <w:pStyle w:val="Tablebullet1"/>
              <w:cnfStyle w:val="000000000000" w:firstRow="0" w:lastRow="0" w:firstColumn="0" w:lastColumn="0" w:oddVBand="0" w:evenVBand="0" w:oddHBand="0" w:evenHBand="0" w:firstRowFirstColumn="0" w:firstRowLastColumn="0" w:lastRowFirstColumn="0" w:lastRowLastColumn="0"/>
            </w:pPr>
            <w:r w:rsidRPr="00ED665E">
              <w:t>help</w:t>
            </w:r>
            <w:r w:rsidR="00814F0C" w:rsidRPr="00ED665E">
              <w:t xml:space="preserve"> an authorised officer</w:t>
            </w:r>
          </w:p>
          <w:p w14:paraId="1CCDD486" w14:textId="5F8BEFCF" w:rsidR="00B502B2" w:rsidRPr="00ED665E" w:rsidRDefault="00B502B2" w:rsidP="00193C90">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follow </w:t>
            </w:r>
            <w:r w:rsidR="00814F0C" w:rsidRPr="00ED665E">
              <w:t>a notice to produce or comply.</w:t>
            </w:r>
          </w:p>
          <w:p w14:paraId="2D8EC82C" w14:textId="6F13AB23" w:rsidR="00814F0C" w:rsidRPr="005774B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 xml:space="preserve">An infringement </w:t>
            </w:r>
            <w:r w:rsidR="00B502B2" w:rsidRPr="00ED665E">
              <w:t xml:space="preserve">notice </w:t>
            </w:r>
            <w:r w:rsidRPr="00ED665E">
              <w:t>allows matters to be dealt with by payment of a fine, rather than through court proceedings.</w:t>
            </w:r>
          </w:p>
        </w:tc>
      </w:tr>
      <w:tr w:rsidR="00814F0C" w14:paraId="256C06B6" w14:textId="77777777" w:rsidTr="00193C90">
        <w:tc>
          <w:tcPr>
            <w:cnfStyle w:val="001000000000" w:firstRow="0" w:lastRow="0" w:firstColumn="1" w:lastColumn="0" w:oddVBand="0" w:evenVBand="0" w:oddHBand="0" w:evenHBand="0" w:firstRowFirstColumn="0" w:firstRowLastColumn="0" w:lastRowFirstColumn="0" w:lastRowLastColumn="0"/>
            <w:tcW w:w="2522" w:type="dxa"/>
            <w:shd w:val="clear" w:color="auto" w:fill="ECF1F8"/>
          </w:tcPr>
          <w:p w14:paraId="07981CA4" w14:textId="5F7BC373" w:rsidR="00814F0C" w:rsidRPr="005774BE" w:rsidRDefault="00814F0C" w:rsidP="00193C90">
            <w:pPr>
              <w:pStyle w:val="Tabletext"/>
            </w:pPr>
            <w:r w:rsidRPr="00ED665E">
              <w:t>E</w:t>
            </w:r>
            <w:r w:rsidRPr="005774BE">
              <w:t>nforceable undertaking</w:t>
            </w:r>
          </w:p>
        </w:tc>
        <w:tc>
          <w:tcPr>
            <w:tcW w:w="6746" w:type="dxa"/>
          </w:tcPr>
          <w:p w14:paraId="0F4BFE58" w14:textId="77777777" w:rsidR="00453BB7" w:rsidRPr="00ED665E" w:rsidRDefault="00814F0C" w:rsidP="00193C90">
            <w:pPr>
              <w:pStyle w:val="Tabletext"/>
              <w:cnfStyle w:val="000000000000" w:firstRow="0" w:lastRow="0" w:firstColumn="0" w:lastColumn="0" w:oddVBand="0" w:evenVBand="0" w:oddHBand="0" w:evenHBand="0" w:firstRowFirstColumn="0" w:firstRowLastColumn="0" w:lastRowFirstColumn="0" w:lastRowLastColumn="0"/>
            </w:pPr>
            <w:r w:rsidRPr="00ED665E">
              <w:t xml:space="preserve">A binding, formal commitment an organisation voluntarily </w:t>
            </w:r>
            <w:proofErr w:type="gramStart"/>
            <w:r w:rsidRPr="00ED665E">
              <w:t>enters into</w:t>
            </w:r>
            <w:proofErr w:type="gramEnd"/>
            <w:r w:rsidRPr="00ED665E">
              <w:t xml:space="preserve"> with the Regulator</w:t>
            </w:r>
            <w:r w:rsidR="00453BB7" w:rsidRPr="00ED665E">
              <w:t>.</w:t>
            </w:r>
            <w:r w:rsidRPr="00ED665E">
              <w:t xml:space="preserve"> </w:t>
            </w:r>
            <w:r w:rsidR="00453BB7" w:rsidRPr="00ED665E">
              <w:t>They agree</w:t>
            </w:r>
            <w:r w:rsidRPr="00ED665E">
              <w:t xml:space="preserve"> </w:t>
            </w:r>
            <w:r w:rsidR="00453BB7" w:rsidRPr="00ED665E">
              <w:t>to complete</w:t>
            </w:r>
            <w:r w:rsidRPr="00ED665E">
              <w:t xml:space="preserve"> specific actions within an agreed timeframe.</w:t>
            </w:r>
          </w:p>
          <w:p w14:paraId="718F66EA" w14:textId="083EA186" w:rsidR="00814F0C" w:rsidRPr="00814F0C" w:rsidRDefault="00453BB7" w:rsidP="00193C90">
            <w:pPr>
              <w:pStyle w:val="Tabletext"/>
              <w:cnfStyle w:val="000000000000" w:firstRow="0" w:lastRow="0" w:firstColumn="0" w:lastColumn="0" w:oddVBand="0" w:evenVBand="0" w:oddHBand="0" w:evenHBand="0" w:firstRowFirstColumn="0" w:firstRowLastColumn="0" w:lastRowFirstColumn="0" w:lastRowLastColumn="0"/>
            </w:pPr>
            <w:r w:rsidRPr="00ED665E">
              <w:t>This</w:t>
            </w:r>
            <w:r w:rsidR="00814F0C" w:rsidRPr="00ED665E">
              <w:t xml:space="preserve"> can be a constructive alternative to civil or criminal proceedings. If the organisation </w:t>
            </w:r>
            <w:r w:rsidRPr="00ED665E">
              <w:t xml:space="preserve">does not </w:t>
            </w:r>
            <w:r w:rsidR="00814F0C" w:rsidRPr="00ED665E">
              <w:t>meet these commitments, it may face penalties.</w:t>
            </w:r>
          </w:p>
        </w:tc>
      </w:tr>
    </w:tbl>
    <w:p w14:paraId="6179B4A1" w14:textId="3B8159AC" w:rsidR="00BE1C58" w:rsidRPr="00530E17" w:rsidRDefault="00BE1C58" w:rsidP="00BE1C58">
      <w:pPr>
        <w:pStyle w:val="Heading2"/>
      </w:pPr>
      <w:bookmarkStart w:id="40" w:name="_Toc108006525"/>
      <w:bookmarkStart w:id="41" w:name="_Toc115101279"/>
      <w:r w:rsidRPr="0023433F">
        <w:t>Full force of the law</w:t>
      </w:r>
      <w:bookmarkEnd w:id="40"/>
      <w:bookmarkEnd w:id="41"/>
    </w:p>
    <w:p w14:paraId="15135F15" w14:textId="50F79365" w:rsidR="00BE1C58" w:rsidRPr="0023433F" w:rsidRDefault="00BE1C58" w:rsidP="00BE1C58">
      <w:pPr>
        <w:pStyle w:val="Body"/>
      </w:pPr>
      <w:r w:rsidRPr="0023433F">
        <w:t>The Regulator may bring proceedings for an offence under the Act or Regulations</w:t>
      </w:r>
      <w:r w:rsidR="004B3CBD">
        <w:t xml:space="preserve"> </w:t>
      </w:r>
      <w:r w:rsidR="00F420D3">
        <w:t xml:space="preserve">or </w:t>
      </w:r>
      <w:r>
        <w:t>apply to a court for a range of orders</w:t>
      </w:r>
      <w:r w:rsidR="000E46FF">
        <w:t>.</w:t>
      </w:r>
      <w:r w:rsidR="0092000E">
        <w:t xml:space="preserve"> </w:t>
      </w:r>
    </w:p>
    <w:p w14:paraId="65D90DF6" w14:textId="0FB1E968" w:rsidR="00B202E6" w:rsidRPr="00B202E6" w:rsidRDefault="00B202E6" w:rsidP="00440C15">
      <w:pPr>
        <w:pStyle w:val="Bodyafterbullets"/>
      </w:pPr>
      <w:r>
        <w:fldChar w:fldCharType="begin"/>
      </w:r>
      <w:r>
        <w:instrText xml:space="preserve"> REF _Ref114227811 \h </w:instrText>
      </w:r>
      <w:r>
        <w:fldChar w:fldCharType="separate"/>
      </w:r>
      <w:r>
        <w:t xml:space="preserve">Table </w:t>
      </w:r>
      <w:r>
        <w:rPr>
          <w:noProof/>
        </w:rPr>
        <w:t>5</w:t>
      </w:r>
      <w:r>
        <w:fldChar w:fldCharType="end"/>
      </w:r>
      <w:r>
        <w:t xml:space="preserve"> lists possible legal consequences.</w:t>
      </w:r>
    </w:p>
    <w:p w14:paraId="5EC6880D" w14:textId="32056F5F" w:rsidR="00DC726B" w:rsidRDefault="00DC726B" w:rsidP="00440C15">
      <w:pPr>
        <w:pStyle w:val="Tablecaption"/>
      </w:pPr>
      <w:bookmarkStart w:id="42" w:name="_Ref114227811"/>
      <w:r>
        <w:t xml:space="preserve">Table </w:t>
      </w:r>
      <w:r w:rsidR="009E7CC7">
        <w:fldChar w:fldCharType="begin"/>
      </w:r>
      <w:r w:rsidR="009E7CC7">
        <w:instrText xml:space="preserve"> SEQ Table \* ARABIC </w:instrText>
      </w:r>
      <w:r w:rsidR="009E7CC7">
        <w:fldChar w:fldCharType="separate"/>
      </w:r>
      <w:r>
        <w:rPr>
          <w:noProof/>
        </w:rPr>
        <w:t>5</w:t>
      </w:r>
      <w:r w:rsidR="009E7CC7">
        <w:rPr>
          <w:noProof/>
        </w:rPr>
        <w:fldChar w:fldCharType="end"/>
      </w:r>
      <w:bookmarkEnd w:id="42"/>
      <w:r>
        <w:t>: Possible legal consequences</w:t>
      </w:r>
    </w:p>
    <w:tbl>
      <w:tblPr>
        <w:tblStyle w:val="HSRtable"/>
        <w:tblW w:w="9290" w:type="dxa"/>
        <w:tblLook w:val="04A0" w:firstRow="1" w:lastRow="0" w:firstColumn="1" w:lastColumn="0" w:noHBand="0" w:noVBand="1"/>
      </w:tblPr>
      <w:tblGrid>
        <w:gridCol w:w="2544"/>
        <w:gridCol w:w="6746"/>
      </w:tblGrid>
      <w:tr w:rsidR="00453BB7" w14:paraId="1C0C26B4" w14:textId="77777777" w:rsidTr="00143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4" w:type="dxa"/>
          </w:tcPr>
          <w:p w14:paraId="6C129501" w14:textId="007621A3" w:rsidR="00453BB7" w:rsidRDefault="00453BB7" w:rsidP="00440C15">
            <w:pPr>
              <w:pStyle w:val="Tablecolhead"/>
            </w:pPr>
            <w:r>
              <w:t>Legal consequence</w:t>
            </w:r>
          </w:p>
        </w:tc>
        <w:tc>
          <w:tcPr>
            <w:tcW w:w="6746" w:type="dxa"/>
          </w:tcPr>
          <w:p w14:paraId="1FEB2C38" w14:textId="15E15E88" w:rsidR="00453BB7" w:rsidRDefault="00453BB7" w:rsidP="00440C15">
            <w:pPr>
              <w:pStyle w:val="Tablecolhead"/>
              <w:cnfStyle w:val="100000000000" w:firstRow="1" w:lastRow="0" w:firstColumn="0" w:lastColumn="0" w:oddVBand="0" w:evenVBand="0" w:oddHBand="0" w:evenHBand="0" w:firstRowFirstColumn="0" w:firstRowLastColumn="0" w:lastRowFirstColumn="0" w:lastRowLastColumn="0"/>
            </w:pPr>
            <w:r>
              <w:t>Description</w:t>
            </w:r>
          </w:p>
        </w:tc>
      </w:tr>
      <w:tr w:rsidR="00453BB7" w:rsidRPr="00453BB7" w14:paraId="3F1AA1CD"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19359060" w14:textId="0C09B37D" w:rsidR="00453BB7" w:rsidRPr="005D7209" w:rsidRDefault="00453BB7" w:rsidP="00143CB3">
            <w:pPr>
              <w:pStyle w:val="Tabletext"/>
            </w:pPr>
            <w:r w:rsidRPr="00ED665E">
              <w:t>E</w:t>
            </w:r>
            <w:r w:rsidRPr="00143CB3">
              <w:t>nforce</w:t>
            </w:r>
            <w:r w:rsidR="000169DB">
              <w:t>ment of an</w:t>
            </w:r>
            <w:r w:rsidRPr="00143CB3">
              <w:t xml:space="preserve"> undertaking</w:t>
            </w:r>
          </w:p>
        </w:tc>
        <w:tc>
          <w:tcPr>
            <w:tcW w:w="6746" w:type="dxa"/>
          </w:tcPr>
          <w:p w14:paraId="1EDE5346" w14:textId="65862121" w:rsidR="00453BB7" w:rsidRPr="00ED665E" w:rsidRDefault="00453BB7" w:rsidP="005D7209">
            <w:pPr>
              <w:pStyle w:val="Tabletext"/>
              <w:cnfStyle w:val="000000000000" w:firstRow="0" w:lastRow="0" w:firstColumn="0" w:lastColumn="0" w:oddVBand="0" w:evenVBand="0" w:oddHBand="0" w:evenHBand="0" w:firstRowFirstColumn="0" w:firstRowLastColumn="0" w:lastRowFirstColumn="0" w:lastRowLastColumn="0"/>
            </w:pPr>
            <w:r w:rsidRPr="00ED665E">
              <w:t xml:space="preserve">A court may </w:t>
            </w:r>
            <w:r w:rsidRPr="00143CB3">
              <w:t xml:space="preserve">enforce an undertaking </w:t>
            </w:r>
            <w:r w:rsidRPr="00ED665E">
              <w:t>where an organisation has failed to follow an enforceable undertaking.</w:t>
            </w:r>
            <w:r w:rsidR="00EF1C35">
              <w:t xml:space="preserve"> </w:t>
            </w:r>
            <w:r w:rsidR="007D5ED8">
              <w:t>This</w:t>
            </w:r>
            <w:r w:rsidRPr="00ED665E">
              <w:t xml:space="preserve"> include</w:t>
            </w:r>
            <w:r w:rsidR="007D5ED8">
              <w:t>s</w:t>
            </w:r>
            <w:r w:rsidRPr="00ED665E">
              <w:t>:</w:t>
            </w:r>
          </w:p>
          <w:p w14:paraId="4CD00211" w14:textId="7D1289CF" w:rsidR="00453BB7" w:rsidRPr="00ED665E" w:rsidRDefault="00D87B52" w:rsidP="005D7209">
            <w:pPr>
              <w:pStyle w:val="Tablebullet1"/>
              <w:cnfStyle w:val="000000000000" w:firstRow="0" w:lastRow="0" w:firstColumn="0" w:lastColumn="0" w:oddVBand="0" w:evenVBand="0" w:oddHBand="0" w:evenHBand="0" w:firstRowFirstColumn="0" w:firstRowLastColumn="0" w:lastRowFirstColumn="0" w:lastRowLastColumn="0"/>
            </w:pPr>
            <w:r>
              <w:t xml:space="preserve">an order </w:t>
            </w:r>
            <w:r w:rsidR="00453BB7" w:rsidRPr="00ED665E">
              <w:t>to comply</w:t>
            </w:r>
          </w:p>
          <w:p w14:paraId="767F214C" w14:textId="6F57B911" w:rsidR="00A0665F" w:rsidRPr="00ED665E" w:rsidRDefault="005C0D82" w:rsidP="005D7209">
            <w:pPr>
              <w:pStyle w:val="Tablebullet1"/>
              <w:cnfStyle w:val="000000000000" w:firstRow="0" w:lastRow="0" w:firstColumn="0" w:lastColumn="0" w:oddVBand="0" w:evenVBand="0" w:oddHBand="0" w:evenHBand="0" w:firstRowFirstColumn="0" w:firstRowLastColumn="0" w:lastRowFirstColumn="0" w:lastRowLastColumn="0"/>
            </w:pPr>
            <w:r>
              <w:t>a</w:t>
            </w:r>
            <w:r w:rsidR="00D87B52">
              <w:t>n</w:t>
            </w:r>
            <w:r>
              <w:t xml:space="preserve"> order to </w:t>
            </w:r>
            <w:r w:rsidR="00A0665F" w:rsidRPr="00ED665E">
              <w:t xml:space="preserve">complete </w:t>
            </w:r>
            <w:r w:rsidR="00453BB7" w:rsidRPr="00ED665E">
              <w:t>specified actions</w:t>
            </w:r>
          </w:p>
          <w:p w14:paraId="36F06334" w14:textId="58030C1C" w:rsidR="00453BB7" w:rsidRPr="00453BB7" w:rsidRDefault="007D5ED8" w:rsidP="00143CB3">
            <w:pPr>
              <w:pStyle w:val="Tablebullet1"/>
              <w:cnfStyle w:val="000000000000" w:firstRow="0" w:lastRow="0" w:firstColumn="0" w:lastColumn="0" w:oddVBand="0" w:evenVBand="0" w:oddHBand="0" w:evenHBand="0" w:firstRowFirstColumn="0" w:firstRowLastColumn="0" w:lastRowFirstColumn="0" w:lastRowLastColumn="0"/>
            </w:pPr>
            <w:r>
              <w:t xml:space="preserve">an </w:t>
            </w:r>
            <w:r w:rsidR="00453BB7" w:rsidRPr="00ED665E">
              <w:t>order that the enforceable undertaking is no longer in force.</w:t>
            </w:r>
          </w:p>
        </w:tc>
      </w:tr>
      <w:tr w:rsidR="00453BB7" w:rsidRPr="00453BB7" w14:paraId="05A2BED5"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7BBDFC20" w14:textId="61061B24" w:rsidR="00453BB7" w:rsidRPr="005D7209" w:rsidRDefault="00453BB7" w:rsidP="00143CB3">
            <w:pPr>
              <w:pStyle w:val="Tabletext"/>
            </w:pPr>
            <w:r w:rsidRPr="00ED665E">
              <w:t>C</w:t>
            </w:r>
            <w:r w:rsidRPr="00143CB3">
              <w:t>ivil penalty</w:t>
            </w:r>
          </w:p>
        </w:tc>
        <w:tc>
          <w:tcPr>
            <w:tcW w:w="6746" w:type="dxa"/>
          </w:tcPr>
          <w:p w14:paraId="427E62D8" w14:textId="3B67CB70" w:rsidR="00453BB7" w:rsidRPr="005D7209" w:rsidRDefault="004A52AB" w:rsidP="00143CB3">
            <w:pPr>
              <w:pStyle w:val="Tabletext"/>
              <w:cnfStyle w:val="000000000000" w:firstRow="0" w:lastRow="0" w:firstColumn="0" w:lastColumn="0" w:oddVBand="0" w:evenVBand="0" w:oddHBand="0" w:evenHBand="0" w:firstRowFirstColumn="0" w:firstRowLastColumn="0" w:lastRowFirstColumn="0" w:lastRowLastColumn="0"/>
            </w:pPr>
            <w:r>
              <w:t xml:space="preserve">A </w:t>
            </w:r>
            <w:r w:rsidR="00453BB7" w:rsidRPr="00ED665E">
              <w:t xml:space="preserve">court may order an organisation to pay </w:t>
            </w:r>
            <w:r>
              <w:t xml:space="preserve">a financial penalty </w:t>
            </w:r>
            <w:r w:rsidR="00453BB7" w:rsidRPr="00ED665E">
              <w:t xml:space="preserve">for </w:t>
            </w:r>
            <w:r w:rsidR="00A0665F" w:rsidRPr="00ED665E">
              <w:t xml:space="preserve">not following </w:t>
            </w:r>
            <w:r w:rsidR="00453BB7" w:rsidRPr="00ED665E">
              <w:t xml:space="preserve">a notice to produce or comply. </w:t>
            </w:r>
          </w:p>
        </w:tc>
      </w:tr>
      <w:tr w:rsidR="00453BB7" w:rsidRPr="00453BB7" w14:paraId="58449A6C"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4F7F93FF" w14:textId="2B24B434" w:rsidR="00453BB7" w:rsidRPr="005D7209" w:rsidRDefault="00453BB7" w:rsidP="00143CB3">
            <w:pPr>
              <w:pStyle w:val="Tabletext"/>
            </w:pPr>
            <w:r w:rsidRPr="005D7209">
              <w:t>C</w:t>
            </w:r>
            <w:r w:rsidRPr="00143CB3">
              <w:t>riminal prosecution</w:t>
            </w:r>
          </w:p>
        </w:tc>
        <w:tc>
          <w:tcPr>
            <w:tcW w:w="6746" w:type="dxa"/>
          </w:tcPr>
          <w:p w14:paraId="7E26AE04" w14:textId="77777777" w:rsidR="00A0665F" w:rsidRDefault="00453BB7" w:rsidP="00453BB7">
            <w:pPr>
              <w:pStyle w:val="Tabletext"/>
              <w:cnfStyle w:val="000000000000" w:firstRow="0" w:lastRow="0" w:firstColumn="0" w:lastColumn="0" w:oddVBand="0" w:evenVBand="0" w:oddHBand="0" w:evenHBand="0" w:firstRowFirstColumn="0" w:firstRowLastColumn="0" w:lastRowFirstColumn="0" w:lastRowLastColumn="0"/>
            </w:pPr>
            <w:r w:rsidRPr="00453BB7">
              <w:t xml:space="preserve">The Regulator may </w:t>
            </w:r>
            <w:r w:rsidR="00A0665F">
              <w:t xml:space="preserve">start </w:t>
            </w:r>
            <w:r w:rsidRPr="00143CB3">
              <w:t xml:space="preserve">criminal </w:t>
            </w:r>
            <w:r w:rsidR="00A0665F">
              <w:t>proceedings</w:t>
            </w:r>
            <w:r w:rsidRPr="00453BB7">
              <w:t xml:space="preserve"> </w:t>
            </w:r>
            <w:r w:rsidR="00A0665F">
              <w:t xml:space="preserve">if </w:t>
            </w:r>
            <w:r w:rsidRPr="00453BB7">
              <w:t>it is considered the most effective and appropriate option to address the</w:t>
            </w:r>
            <w:r w:rsidR="00A0665F">
              <w:t>:</w:t>
            </w:r>
          </w:p>
          <w:p w14:paraId="03CC9956" w14:textId="77777777" w:rsidR="00A0665F" w:rsidRDefault="00453BB7" w:rsidP="00A0665F">
            <w:pPr>
              <w:pStyle w:val="Tablebullet1"/>
              <w:cnfStyle w:val="000000000000" w:firstRow="0" w:lastRow="0" w:firstColumn="0" w:lastColumn="0" w:oddVBand="0" w:evenVBand="0" w:oddHBand="0" w:evenHBand="0" w:firstRowFirstColumn="0" w:firstRowLastColumn="0" w:lastRowFirstColumn="0" w:lastRowLastColumn="0"/>
            </w:pPr>
            <w:r w:rsidRPr="00453BB7">
              <w:t>seriousness of the offence</w:t>
            </w:r>
          </w:p>
          <w:p w14:paraId="0DB2D63B" w14:textId="77777777" w:rsidR="00A0665F" w:rsidRDefault="00453BB7" w:rsidP="00A0665F">
            <w:pPr>
              <w:pStyle w:val="Tablebullet1"/>
              <w:cnfStyle w:val="000000000000" w:firstRow="0" w:lastRow="0" w:firstColumn="0" w:lastColumn="0" w:oddVBand="0" w:evenVBand="0" w:oddHBand="0" w:evenHBand="0" w:firstRowFirstColumn="0" w:firstRowLastColumn="0" w:lastRowFirstColumn="0" w:lastRowLastColumn="0"/>
            </w:pPr>
            <w:r w:rsidRPr="00453BB7">
              <w:t>level of risk or harm from the offence</w:t>
            </w:r>
          </w:p>
          <w:p w14:paraId="6C5D7454" w14:textId="55DF5955" w:rsidR="00453BB7" w:rsidRPr="00453BB7" w:rsidRDefault="00453BB7" w:rsidP="00143CB3">
            <w:pPr>
              <w:pStyle w:val="Tablebullet1"/>
              <w:cnfStyle w:val="000000000000" w:firstRow="0" w:lastRow="0" w:firstColumn="0" w:lastColumn="0" w:oddVBand="0" w:evenVBand="0" w:oddHBand="0" w:evenHBand="0" w:firstRowFirstColumn="0" w:firstRowLastColumn="0" w:lastRowFirstColumn="0" w:lastRowLastColumn="0"/>
            </w:pPr>
            <w:r w:rsidRPr="00453BB7">
              <w:t>culpability of the organisation involved.</w:t>
            </w:r>
          </w:p>
        </w:tc>
      </w:tr>
      <w:tr w:rsidR="00453BB7" w:rsidRPr="00453BB7" w14:paraId="399199CD"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5AE50E41" w14:textId="181B8CDF" w:rsidR="00453BB7" w:rsidRPr="005D7209" w:rsidRDefault="00453BB7" w:rsidP="00143CB3">
            <w:pPr>
              <w:pStyle w:val="Tabletext"/>
            </w:pPr>
            <w:r w:rsidRPr="00ED665E">
              <w:t>I</w:t>
            </w:r>
            <w:r w:rsidRPr="00143CB3">
              <w:t>njunction</w:t>
            </w:r>
          </w:p>
        </w:tc>
        <w:tc>
          <w:tcPr>
            <w:tcW w:w="6746" w:type="dxa"/>
          </w:tcPr>
          <w:p w14:paraId="4C96B153" w14:textId="2CD62B83" w:rsidR="00A0665F" w:rsidRPr="00ED665E" w:rsidRDefault="00D13384" w:rsidP="005D7209">
            <w:pPr>
              <w:pStyle w:val="Tabletext"/>
              <w:cnfStyle w:val="000000000000" w:firstRow="0" w:lastRow="0" w:firstColumn="0" w:lastColumn="0" w:oddVBand="0" w:evenVBand="0" w:oddHBand="0" w:evenHBand="0" w:firstRowFirstColumn="0" w:firstRowLastColumn="0" w:lastRowFirstColumn="0" w:lastRowLastColumn="0"/>
            </w:pPr>
            <w:r>
              <w:t>A</w:t>
            </w:r>
            <w:r w:rsidR="00453BB7" w:rsidRPr="00ED665E">
              <w:t xml:space="preserve"> court </w:t>
            </w:r>
            <w:r>
              <w:t xml:space="preserve">may grant an injunction </w:t>
            </w:r>
            <w:r w:rsidR="00453BB7" w:rsidRPr="00ED665E">
              <w:t>whe</w:t>
            </w:r>
            <w:r w:rsidR="00A0665F" w:rsidRPr="00ED665E">
              <w:t>n</w:t>
            </w:r>
            <w:r w:rsidR="00453BB7" w:rsidRPr="00ED665E">
              <w:t xml:space="preserve"> an organisation</w:t>
            </w:r>
            <w:r w:rsidR="00A0665F" w:rsidRPr="00ED665E">
              <w:t>:</w:t>
            </w:r>
          </w:p>
          <w:p w14:paraId="16394CFD" w14:textId="77777777" w:rsidR="00A0665F" w:rsidRPr="00ED665E" w:rsidRDefault="00453BB7" w:rsidP="00143CB3">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has </w:t>
            </w:r>
            <w:r w:rsidR="00A0665F" w:rsidRPr="00ED665E">
              <w:t xml:space="preserve">not followed </w:t>
            </w:r>
            <w:r w:rsidRPr="00ED665E">
              <w:t>a notice</w:t>
            </w:r>
          </w:p>
          <w:p w14:paraId="5AA81BB0" w14:textId="77777777" w:rsidR="00A0665F" w:rsidRPr="00ED665E" w:rsidRDefault="00453BB7" w:rsidP="00143CB3">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has </w:t>
            </w:r>
            <w:r w:rsidR="00A0665F" w:rsidRPr="00ED665E">
              <w:t xml:space="preserve">not met (or likely will not meet) </w:t>
            </w:r>
            <w:r w:rsidRPr="00ED665E">
              <w:t>the Standards.</w:t>
            </w:r>
          </w:p>
          <w:p w14:paraId="652C0355" w14:textId="77777777" w:rsidR="00A0665F" w:rsidRPr="00ED665E" w:rsidRDefault="00453BB7" w:rsidP="005D7209">
            <w:pPr>
              <w:pStyle w:val="Tabletext"/>
              <w:cnfStyle w:val="000000000000" w:firstRow="0" w:lastRow="0" w:firstColumn="0" w:lastColumn="0" w:oddVBand="0" w:evenVBand="0" w:oddHBand="0" w:evenHBand="0" w:firstRowFirstColumn="0" w:firstRowLastColumn="0" w:lastRowFirstColumn="0" w:lastRowLastColumn="0"/>
            </w:pPr>
            <w:r w:rsidRPr="00ED665E">
              <w:t>The injunction may</w:t>
            </w:r>
            <w:r w:rsidR="00A0665F" w:rsidRPr="00ED665E">
              <w:t>:</w:t>
            </w:r>
          </w:p>
          <w:p w14:paraId="552C4112" w14:textId="4D29A1F2" w:rsidR="00A0665F" w:rsidRPr="00ED665E" w:rsidRDefault="00A0665F" w:rsidP="00143CB3">
            <w:pPr>
              <w:pStyle w:val="Tablebullet1"/>
              <w:cnfStyle w:val="000000000000" w:firstRow="0" w:lastRow="0" w:firstColumn="0" w:lastColumn="0" w:oddVBand="0" w:evenVBand="0" w:oddHBand="0" w:evenHBand="0" w:firstRowFirstColumn="0" w:firstRowLastColumn="0" w:lastRowFirstColumn="0" w:lastRowLastColumn="0"/>
            </w:pPr>
            <w:r w:rsidRPr="00ED665E">
              <w:lastRenderedPageBreak/>
              <w:t xml:space="preserve">make </w:t>
            </w:r>
            <w:r w:rsidR="00453BB7" w:rsidRPr="00ED665E">
              <w:t xml:space="preserve">an organisation </w:t>
            </w:r>
            <w:proofErr w:type="gramStart"/>
            <w:r w:rsidRPr="00ED665E">
              <w:t xml:space="preserve">complete </w:t>
            </w:r>
            <w:r w:rsidR="00453BB7" w:rsidRPr="00ED665E">
              <w:t>specific action</w:t>
            </w:r>
            <w:r w:rsidRPr="00ED665E">
              <w:t>s</w:t>
            </w:r>
            <w:proofErr w:type="gramEnd"/>
          </w:p>
          <w:p w14:paraId="2060B878" w14:textId="2F83C125" w:rsidR="00453BB7" w:rsidRPr="00453BB7" w:rsidRDefault="00A0665F" w:rsidP="00143CB3">
            <w:pPr>
              <w:pStyle w:val="Tablebullet1"/>
              <w:cnfStyle w:val="000000000000" w:firstRow="0" w:lastRow="0" w:firstColumn="0" w:lastColumn="0" w:oddVBand="0" w:evenVBand="0" w:oddHBand="0" w:evenHBand="0" w:firstRowFirstColumn="0" w:firstRowLastColumn="0" w:lastRowFirstColumn="0" w:lastRowLastColumn="0"/>
            </w:pPr>
            <w:r w:rsidRPr="00ED665E">
              <w:t xml:space="preserve">stop </w:t>
            </w:r>
            <w:r w:rsidR="00453BB7" w:rsidRPr="00ED665E">
              <w:t>an organisation from providing a service.</w:t>
            </w:r>
          </w:p>
        </w:tc>
      </w:tr>
      <w:tr w:rsidR="00453BB7" w:rsidRPr="00453BB7" w14:paraId="0BE741A6"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21C62EE2" w14:textId="73D7C4DB" w:rsidR="00453BB7" w:rsidRPr="005D7209" w:rsidRDefault="00453BB7" w:rsidP="00143CB3">
            <w:pPr>
              <w:pStyle w:val="Tabletext"/>
            </w:pPr>
            <w:r w:rsidRPr="00ED665E">
              <w:lastRenderedPageBreak/>
              <w:t>I</w:t>
            </w:r>
            <w:r w:rsidRPr="00143CB3">
              <w:t>nterim injunction</w:t>
            </w:r>
          </w:p>
        </w:tc>
        <w:tc>
          <w:tcPr>
            <w:tcW w:w="6746" w:type="dxa"/>
          </w:tcPr>
          <w:p w14:paraId="4B014CAC" w14:textId="67548601" w:rsidR="00453BB7" w:rsidRPr="005D7209" w:rsidRDefault="002D18D0" w:rsidP="00143CB3">
            <w:pPr>
              <w:pStyle w:val="Tabletext"/>
              <w:cnfStyle w:val="000000000000" w:firstRow="0" w:lastRow="0" w:firstColumn="0" w:lastColumn="0" w:oddVBand="0" w:evenVBand="0" w:oddHBand="0" w:evenHBand="0" w:firstRowFirstColumn="0" w:firstRowLastColumn="0" w:lastRowFirstColumn="0" w:lastRowLastColumn="0"/>
            </w:pPr>
            <w:r>
              <w:t>A court may grant a</w:t>
            </w:r>
            <w:r w:rsidR="00453BB7" w:rsidRPr="00ED665E">
              <w:t xml:space="preserve">n </w:t>
            </w:r>
            <w:r w:rsidR="00453BB7" w:rsidRPr="00143CB3">
              <w:t xml:space="preserve">interim injunction </w:t>
            </w:r>
            <w:r w:rsidR="00A0665F" w:rsidRPr="00ED665E">
              <w:t>if</w:t>
            </w:r>
            <w:r w:rsidR="00453BB7" w:rsidRPr="00ED665E">
              <w:t xml:space="preserve"> the Regulator seeks urgent action to protect evidence or children who may be at risk.</w:t>
            </w:r>
          </w:p>
        </w:tc>
      </w:tr>
      <w:tr w:rsidR="00453BB7" w:rsidRPr="00453BB7" w14:paraId="3F657F9E"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41CE24A4" w14:textId="5B1B7201" w:rsidR="00453BB7" w:rsidRPr="00453BB7" w:rsidRDefault="00453BB7" w:rsidP="00143CB3">
            <w:pPr>
              <w:pStyle w:val="Tabletext"/>
            </w:pPr>
            <w:r>
              <w:t>A</w:t>
            </w:r>
            <w:r w:rsidRPr="00143CB3">
              <w:t>dverse publicity order</w:t>
            </w:r>
          </w:p>
        </w:tc>
        <w:tc>
          <w:tcPr>
            <w:tcW w:w="6746" w:type="dxa"/>
          </w:tcPr>
          <w:p w14:paraId="1C608F48" w14:textId="787F038A" w:rsidR="00453BB7" w:rsidRPr="00453BB7" w:rsidRDefault="00B64691" w:rsidP="00143CB3">
            <w:pPr>
              <w:pStyle w:val="Tabletext"/>
              <w:cnfStyle w:val="000000000000" w:firstRow="0" w:lastRow="0" w:firstColumn="0" w:lastColumn="0" w:oddVBand="0" w:evenVBand="0" w:oddHBand="0" w:evenHBand="0" w:firstRowFirstColumn="0" w:firstRowLastColumn="0" w:lastRowFirstColumn="0" w:lastRowLastColumn="0"/>
            </w:pPr>
            <w:r>
              <w:t>A</w:t>
            </w:r>
            <w:r w:rsidR="00453BB7" w:rsidRPr="00453BB7">
              <w:t xml:space="preserve"> court </w:t>
            </w:r>
            <w:r>
              <w:t xml:space="preserve">may </w:t>
            </w:r>
            <w:r w:rsidR="00453BB7" w:rsidRPr="00453BB7">
              <w:t>order an organisation to publicise details of its offence or non-compliance.</w:t>
            </w:r>
          </w:p>
        </w:tc>
      </w:tr>
      <w:tr w:rsidR="00453BB7" w:rsidRPr="00453BB7" w14:paraId="544BA751" w14:textId="77777777" w:rsidTr="0088752B">
        <w:tc>
          <w:tcPr>
            <w:cnfStyle w:val="001000000000" w:firstRow="0" w:lastRow="0" w:firstColumn="1" w:lastColumn="0" w:oddVBand="0" w:evenVBand="0" w:oddHBand="0" w:evenHBand="0" w:firstRowFirstColumn="0" w:firstRowLastColumn="0" w:lastRowFirstColumn="0" w:lastRowLastColumn="0"/>
            <w:tcW w:w="2544" w:type="dxa"/>
            <w:shd w:val="clear" w:color="auto" w:fill="ECF1F8"/>
          </w:tcPr>
          <w:p w14:paraId="33DDAEA9" w14:textId="2652C819" w:rsidR="00453BB7" w:rsidRPr="00453BB7" w:rsidRDefault="00453BB7" w:rsidP="00143CB3">
            <w:pPr>
              <w:pStyle w:val="Tabletext"/>
            </w:pPr>
            <w:r>
              <w:t>P</w:t>
            </w:r>
            <w:r w:rsidRPr="00143CB3">
              <w:t>ublish details of</w:t>
            </w:r>
            <w:r w:rsidR="00C55A50">
              <w:br/>
            </w:r>
            <w:r w:rsidRPr="00143CB3">
              <w:t>non-compliance</w:t>
            </w:r>
          </w:p>
        </w:tc>
        <w:tc>
          <w:tcPr>
            <w:tcW w:w="6746" w:type="dxa"/>
          </w:tcPr>
          <w:p w14:paraId="2B4E7E36" w14:textId="587938CE" w:rsidR="00DC726B" w:rsidRDefault="00453BB7" w:rsidP="00453BB7">
            <w:pPr>
              <w:pStyle w:val="Tabletext"/>
              <w:cnfStyle w:val="000000000000" w:firstRow="0" w:lastRow="0" w:firstColumn="0" w:lastColumn="0" w:oddVBand="0" w:evenVBand="0" w:oddHBand="0" w:evenHBand="0" w:firstRowFirstColumn="0" w:firstRowLastColumn="0" w:lastRowFirstColumn="0" w:lastRowLastColumn="0"/>
            </w:pPr>
            <w:r w:rsidRPr="00453BB7">
              <w:t xml:space="preserve">If it is in the public interest, the Regulator may </w:t>
            </w:r>
            <w:r w:rsidRPr="00143CB3">
              <w:t>publish details of non-compliance</w:t>
            </w:r>
            <w:r w:rsidRPr="00453BB7">
              <w:t xml:space="preserve"> </w:t>
            </w:r>
            <w:r w:rsidR="00BD0DC1">
              <w:t>following</w:t>
            </w:r>
            <w:r w:rsidR="00DC726B">
              <w:t xml:space="preserve"> </w:t>
            </w:r>
            <w:r w:rsidRPr="00453BB7">
              <w:t>a</w:t>
            </w:r>
            <w:r w:rsidR="00DC726B">
              <w:t>:</w:t>
            </w:r>
          </w:p>
          <w:p w14:paraId="55139007" w14:textId="77777777" w:rsidR="00DC726B" w:rsidRDefault="00453BB7" w:rsidP="00DC726B">
            <w:pPr>
              <w:pStyle w:val="Tablebullet1"/>
              <w:cnfStyle w:val="000000000000" w:firstRow="0" w:lastRow="0" w:firstColumn="0" w:lastColumn="0" w:oddVBand="0" w:evenVBand="0" w:oddHBand="0" w:evenHBand="0" w:firstRowFirstColumn="0" w:firstRowLastColumn="0" w:lastRowFirstColumn="0" w:lastRowLastColumn="0"/>
            </w:pPr>
            <w:r w:rsidRPr="00453BB7">
              <w:t>court conviction</w:t>
            </w:r>
          </w:p>
          <w:p w14:paraId="453A7A8A" w14:textId="77777777" w:rsidR="00DC726B" w:rsidRDefault="00453BB7" w:rsidP="00DC726B">
            <w:pPr>
              <w:pStyle w:val="Tablebullet1"/>
              <w:cnfStyle w:val="000000000000" w:firstRow="0" w:lastRow="0" w:firstColumn="0" w:lastColumn="0" w:oddVBand="0" w:evenVBand="0" w:oddHBand="0" w:evenHBand="0" w:firstRowFirstColumn="0" w:firstRowLastColumn="0" w:lastRowFirstColumn="0" w:lastRowLastColumn="0"/>
            </w:pPr>
            <w:r w:rsidRPr="00453BB7">
              <w:t xml:space="preserve">finding of guilt </w:t>
            </w:r>
          </w:p>
          <w:p w14:paraId="5A825033" w14:textId="522830DD" w:rsidR="00453BB7" w:rsidRPr="00453BB7" w:rsidRDefault="00453BB7" w:rsidP="00143CB3">
            <w:pPr>
              <w:pStyle w:val="Tablebullet1"/>
              <w:cnfStyle w:val="000000000000" w:firstRow="0" w:lastRow="0" w:firstColumn="0" w:lastColumn="0" w:oddVBand="0" w:evenVBand="0" w:oddHBand="0" w:evenHBand="0" w:firstRowFirstColumn="0" w:firstRowLastColumn="0" w:lastRowFirstColumn="0" w:lastRowLastColumn="0"/>
            </w:pPr>
            <w:r w:rsidRPr="00453BB7">
              <w:t xml:space="preserve">declaration that the organisation has </w:t>
            </w:r>
            <w:r w:rsidR="00DC726B">
              <w:t xml:space="preserve">not followed </w:t>
            </w:r>
            <w:r w:rsidRPr="00453BB7">
              <w:t>a notice.</w:t>
            </w:r>
          </w:p>
        </w:tc>
      </w:tr>
    </w:tbl>
    <w:p w14:paraId="0A7370A2" w14:textId="49B6B633" w:rsidR="00BE1C58" w:rsidRDefault="00BE1C58" w:rsidP="00BE1C58">
      <w:pPr>
        <w:pStyle w:val="Heading1"/>
      </w:pPr>
      <w:bookmarkStart w:id="43" w:name="_Toc108006526"/>
      <w:bookmarkStart w:id="44" w:name="_Toc115101280"/>
      <w:r>
        <w:t>Reviews</w:t>
      </w:r>
      <w:bookmarkEnd w:id="43"/>
      <w:bookmarkEnd w:id="44"/>
      <w:r>
        <w:t xml:space="preserve"> </w:t>
      </w:r>
    </w:p>
    <w:p w14:paraId="46ACF61C" w14:textId="2098F85B" w:rsidR="00DC726B" w:rsidRDefault="00BE1C58" w:rsidP="00BE1C58">
      <w:pPr>
        <w:pStyle w:val="Body"/>
      </w:pPr>
      <w:r>
        <w:t>Under the Act, an organisation</w:t>
      </w:r>
      <w:r w:rsidR="00B202E6">
        <w:t xml:space="preserve"> can</w:t>
      </w:r>
      <w:r>
        <w:t xml:space="preserve"> </w:t>
      </w:r>
      <w:r w:rsidR="00DC726B">
        <w:t xml:space="preserve">ask the </w:t>
      </w:r>
      <w:r w:rsidR="00B202E6">
        <w:t>R</w:t>
      </w:r>
      <w:r w:rsidR="00DC726B">
        <w:t xml:space="preserve">egulator for an </w:t>
      </w:r>
      <w:r>
        <w:t>internal review of a decision to</w:t>
      </w:r>
      <w:r w:rsidR="00DC726B">
        <w:t>:</w:t>
      </w:r>
    </w:p>
    <w:p w14:paraId="3E02CF20" w14:textId="1FB943F6" w:rsidR="00DC726B" w:rsidRDefault="00BE1C58" w:rsidP="00DC726B">
      <w:pPr>
        <w:pStyle w:val="Bullet1"/>
      </w:pPr>
      <w:r>
        <w:t>issue a notice to produce or comply</w:t>
      </w:r>
    </w:p>
    <w:p w14:paraId="1E298298" w14:textId="19C55C20" w:rsidR="00DC726B" w:rsidRDefault="00BE1C58" w:rsidP="00DC726B">
      <w:pPr>
        <w:pStyle w:val="Bullet1"/>
      </w:pPr>
      <w:r>
        <w:t>issue an official warning</w:t>
      </w:r>
    </w:p>
    <w:p w14:paraId="09B4A995" w14:textId="1D31E4F6" w:rsidR="00BE1C58" w:rsidRDefault="00BE1C58" w:rsidP="007006B6">
      <w:pPr>
        <w:pStyle w:val="Bullet1"/>
      </w:pPr>
      <w:r>
        <w:t>publish information.</w:t>
      </w:r>
    </w:p>
    <w:p w14:paraId="16B2539F" w14:textId="77777777" w:rsidR="00DC726B" w:rsidRDefault="00BE1C58" w:rsidP="00BE1C58">
      <w:pPr>
        <w:pStyle w:val="Bodyafterbullets"/>
      </w:pPr>
      <w:r>
        <w:t>The Regulator’s internal review process ensures that</w:t>
      </w:r>
      <w:r w:rsidR="00DC726B">
        <w:t>:</w:t>
      </w:r>
    </w:p>
    <w:p w14:paraId="1E02CBFF" w14:textId="4A3852B2" w:rsidR="00DC726B" w:rsidRDefault="00BE1C58" w:rsidP="00DC726B">
      <w:pPr>
        <w:pStyle w:val="Bullet1"/>
      </w:pPr>
      <w:r>
        <w:t>regulatory decisions are fairly</w:t>
      </w:r>
      <w:r w:rsidR="00235EE9">
        <w:t xml:space="preserve"> and</w:t>
      </w:r>
      <w:r w:rsidR="0097235E">
        <w:t xml:space="preserve"> independently </w:t>
      </w:r>
      <w:r>
        <w:t>assessed</w:t>
      </w:r>
    </w:p>
    <w:p w14:paraId="72DA6B7A" w14:textId="2031FF93" w:rsidR="00BE1C58" w:rsidRDefault="00BE1C58" w:rsidP="007006B6">
      <w:pPr>
        <w:pStyle w:val="Bullet1"/>
      </w:pPr>
      <w:r>
        <w:t xml:space="preserve">the applicant is </w:t>
      </w:r>
      <w:r w:rsidR="00DC726B">
        <w:t xml:space="preserve">told </w:t>
      </w:r>
      <w:r>
        <w:t>the outcome in a timely manner.</w:t>
      </w:r>
    </w:p>
    <w:p w14:paraId="0DC8D96E" w14:textId="52FB5B6C" w:rsidR="00DC726B" w:rsidRDefault="00BE1C58" w:rsidP="00DC726B">
      <w:pPr>
        <w:pStyle w:val="Bodyafterbullets"/>
      </w:pPr>
      <w:r>
        <w:t xml:space="preserve">An organisation </w:t>
      </w:r>
      <w:r w:rsidR="00DC726B">
        <w:t xml:space="preserve">can </w:t>
      </w:r>
      <w:r>
        <w:t>apply to the Victorian Civil and Administrative Tribunal to review the Regulator’s decision to</w:t>
      </w:r>
      <w:r w:rsidR="00DC726B">
        <w:t>:</w:t>
      </w:r>
    </w:p>
    <w:p w14:paraId="5539D2A8" w14:textId="383E8D71" w:rsidR="00DC726B" w:rsidRDefault="00BE1C58" w:rsidP="00DC726B">
      <w:pPr>
        <w:pStyle w:val="Bullet1"/>
      </w:pPr>
      <w:r>
        <w:t>issue a notice to comply</w:t>
      </w:r>
    </w:p>
    <w:p w14:paraId="2CD5F98D" w14:textId="62B502D0" w:rsidR="00DC726B" w:rsidRDefault="00BE1C58" w:rsidP="007006B6">
      <w:pPr>
        <w:pStyle w:val="Bullet1"/>
      </w:pPr>
      <w:r>
        <w:t>publish information.</w:t>
      </w:r>
    </w:p>
    <w:p w14:paraId="405A29EC" w14:textId="1172DBBC" w:rsidR="00BE1C58" w:rsidRDefault="00BE1C58" w:rsidP="007006B6">
      <w:pPr>
        <w:pStyle w:val="Bodyafterbullets"/>
      </w:pPr>
      <w:r>
        <w:t xml:space="preserve">This can only </w:t>
      </w:r>
      <w:r w:rsidR="00DC726B">
        <w:t xml:space="preserve">happen </w:t>
      </w:r>
      <w:r>
        <w:t>after the decision has been internally reviewed by the Regulator.</w:t>
      </w:r>
    </w:p>
    <w:p w14:paraId="5B2C0C84" w14:textId="77777777" w:rsidR="00BE1C58" w:rsidRPr="00BE1C58" w:rsidRDefault="00BE1C58" w:rsidP="00BE1C58">
      <w:pPr>
        <w:pStyle w:val="Body"/>
      </w:pPr>
      <w:bookmarkStart w:id="45" w:name="_Toc108006527"/>
      <w:r w:rsidRPr="00BE1C58">
        <w:br w:type="page"/>
      </w:r>
    </w:p>
    <w:p w14:paraId="5E070D49" w14:textId="79F23018" w:rsidR="00BE1C58" w:rsidRDefault="00BE1C58" w:rsidP="00BE1C58">
      <w:pPr>
        <w:pStyle w:val="Heading1"/>
      </w:pPr>
      <w:bookmarkStart w:id="46" w:name="_Ref114228200"/>
      <w:bookmarkStart w:id="47" w:name="_Toc115101281"/>
      <w:r>
        <w:lastRenderedPageBreak/>
        <w:t>Appendix A: Child Safe Standards</w:t>
      </w:r>
      <w:bookmarkEnd w:id="45"/>
      <w:bookmarkEnd w:id="46"/>
      <w:bookmarkEnd w:id="47"/>
      <w:r>
        <w:t xml:space="preserve"> </w:t>
      </w:r>
    </w:p>
    <w:p w14:paraId="4F959F75" w14:textId="54DA27D4" w:rsidR="00BE1C58" w:rsidRDefault="00BE1C58" w:rsidP="00BE1C58">
      <w:pPr>
        <w:pStyle w:val="Body"/>
      </w:pPr>
      <w:r>
        <w:t xml:space="preserve">To create and maintain a child safe organisation, a relevant entity must comply with the following </w:t>
      </w:r>
      <w:r w:rsidR="00C64E4D">
        <w:t xml:space="preserve">11 </w:t>
      </w:r>
      <w:r>
        <w:t>child safe standards</w:t>
      </w:r>
      <w:r w:rsidR="00C64E4D">
        <w:t>.</w:t>
      </w:r>
    </w:p>
    <w:p w14:paraId="2CF90DAB" w14:textId="77777777" w:rsidR="00C64E4D" w:rsidRDefault="00BE1C58" w:rsidP="004F128F">
      <w:pPr>
        <w:pStyle w:val="Heading2notinTOC"/>
      </w:pPr>
      <w:r w:rsidRPr="005F4AAB">
        <w:t>Child Safe Standard 1</w:t>
      </w:r>
    </w:p>
    <w:p w14:paraId="3A132199" w14:textId="32FFEA63" w:rsidR="00BE1C58" w:rsidRPr="005F4AAB" w:rsidRDefault="00BE1C58" w:rsidP="004F128F">
      <w:pPr>
        <w:pStyle w:val="Introtext"/>
      </w:pPr>
      <w:r w:rsidRPr="005F4AAB">
        <w:t>Organisations establish a culturally safe environment in which the diverse and unique identities and experiences of Aboriginal children and young people are respected and valued</w:t>
      </w:r>
      <w:r w:rsidR="00C64E4D">
        <w:t>.</w:t>
      </w:r>
    </w:p>
    <w:p w14:paraId="54464230" w14:textId="7A902F8F" w:rsidR="009951AD" w:rsidRDefault="00BE1C58" w:rsidP="009951AD">
      <w:pPr>
        <w:pStyle w:val="Body"/>
      </w:pPr>
      <w:r>
        <w:t>In complying with Child Safe Standard 1, an organisation must, at a minimum, ensure:</w:t>
      </w:r>
    </w:p>
    <w:p w14:paraId="1C562870" w14:textId="15D1AC17" w:rsidR="00BE1C58" w:rsidRDefault="00BE1C58" w:rsidP="004F128F">
      <w:pPr>
        <w:pStyle w:val="Bullet1"/>
      </w:pPr>
      <w:r>
        <w:t>1.1</w:t>
      </w:r>
      <w:r w:rsidR="00AA7543">
        <w:t>:</w:t>
      </w:r>
      <w:r>
        <w:t xml:space="preserve"> A child’s ability to express their culture and enjoy their cultural rights is encouraged and actively supported.</w:t>
      </w:r>
    </w:p>
    <w:p w14:paraId="305A0C2F" w14:textId="552B13E7" w:rsidR="00BE1C58" w:rsidRDefault="00BE1C58" w:rsidP="004F128F">
      <w:pPr>
        <w:pStyle w:val="Bullet1"/>
      </w:pPr>
      <w:r>
        <w:t>1.2</w:t>
      </w:r>
      <w:r w:rsidR="00AA7543">
        <w:t>:</w:t>
      </w:r>
      <w:r>
        <w:t xml:space="preserve"> Strategies are embedded within the organisation which equip all members to acknowledge and appreciate the strengths of Aboriginal culture and understand its importance to the wellbeing and safety of Aboriginal children and young people.</w:t>
      </w:r>
    </w:p>
    <w:p w14:paraId="09922318" w14:textId="787D1F07" w:rsidR="00BE1C58" w:rsidRDefault="00BE1C58" w:rsidP="004F128F">
      <w:pPr>
        <w:pStyle w:val="Bullet1"/>
      </w:pPr>
      <w:r>
        <w:t>1.3</w:t>
      </w:r>
      <w:r w:rsidR="00AA7543">
        <w:t>:</w:t>
      </w:r>
      <w:r>
        <w:t xml:space="preserve"> Measures are adopted by the organisation to ensure racism within the organisation is identified, </w:t>
      </w:r>
      <w:proofErr w:type="gramStart"/>
      <w:r>
        <w:t>confronted</w:t>
      </w:r>
      <w:proofErr w:type="gramEnd"/>
      <w:r>
        <w:t xml:space="preserve"> and not tolerated.  Any instances of racism are addressed with appropriate consequences.</w:t>
      </w:r>
    </w:p>
    <w:p w14:paraId="46591627" w14:textId="67E1541F" w:rsidR="00BE1C58" w:rsidRDefault="00BE1C58" w:rsidP="004F128F">
      <w:pPr>
        <w:pStyle w:val="Bullet1"/>
      </w:pPr>
      <w:r>
        <w:t>1.4</w:t>
      </w:r>
      <w:r w:rsidR="00AA7543">
        <w:t>:</w:t>
      </w:r>
      <w:r>
        <w:t xml:space="preserve"> The organisation actively supports and facilitates participation and inclusion within it by Aboriginal children, young </w:t>
      </w:r>
      <w:proofErr w:type="gramStart"/>
      <w:r>
        <w:t>people</w:t>
      </w:r>
      <w:proofErr w:type="gramEnd"/>
      <w:r>
        <w:t xml:space="preserve"> and their families.</w:t>
      </w:r>
    </w:p>
    <w:p w14:paraId="62B3A61D" w14:textId="4F504394" w:rsidR="00BE1C58" w:rsidRDefault="00BE1C58" w:rsidP="004F128F">
      <w:pPr>
        <w:pStyle w:val="Bullet1"/>
      </w:pPr>
      <w:r>
        <w:t>1.5</w:t>
      </w:r>
      <w:r w:rsidR="00AA7543">
        <w:t>:</w:t>
      </w:r>
      <w:r>
        <w:t xml:space="preserve"> </w:t>
      </w:r>
      <w:proofErr w:type="gramStart"/>
      <w:r>
        <w:t>All of</w:t>
      </w:r>
      <w:proofErr w:type="gramEnd"/>
      <w:r>
        <w:t xml:space="preserve"> the organisation’s policies, procedures, systems and processes together create a culturally safe and inclusive environment and meet the needs of Aboriginal children, young people and their families.</w:t>
      </w:r>
    </w:p>
    <w:p w14:paraId="112DCF92" w14:textId="77777777" w:rsidR="009951AD" w:rsidRDefault="00BE1C58" w:rsidP="004F128F">
      <w:pPr>
        <w:pStyle w:val="Heading2notinTOC"/>
      </w:pPr>
      <w:r w:rsidRPr="005F4AAB">
        <w:t>Child Safe Standard 2</w:t>
      </w:r>
    </w:p>
    <w:p w14:paraId="20F89F79" w14:textId="7C9D0A14" w:rsidR="00BE1C58" w:rsidRPr="005F4AAB" w:rsidRDefault="00BE1C58" w:rsidP="004F128F">
      <w:pPr>
        <w:pStyle w:val="Introtext"/>
      </w:pPr>
      <w:r w:rsidRPr="005F4AAB">
        <w:t xml:space="preserve">Child safety and wellbeing is embedded in organisational leadership, </w:t>
      </w:r>
      <w:proofErr w:type="gramStart"/>
      <w:r w:rsidRPr="005F4AAB">
        <w:t>governance</w:t>
      </w:r>
      <w:proofErr w:type="gramEnd"/>
      <w:r w:rsidRPr="005F4AAB">
        <w:t xml:space="preserve"> and culture</w:t>
      </w:r>
      <w:r w:rsidR="00AA7543">
        <w:t>.</w:t>
      </w:r>
    </w:p>
    <w:p w14:paraId="7D0A9EE0" w14:textId="77777777" w:rsidR="00BE1C58" w:rsidRDefault="00BE1C58" w:rsidP="00BE1C58">
      <w:pPr>
        <w:pStyle w:val="Body"/>
      </w:pPr>
      <w:r>
        <w:t xml:space="preserve">In complying with Child Safe Standard 2, an organisation must, at a minimum, ensure: </w:t>
      </w:r>
    </w:p>
    <w:p w14:paraId="1B7DE0E0" w14:textId="00FAA077" w:rsidR="00BE1C58" w:rsidRDefault="00BE1C58" w:rsidP="004F128F">
      <w:pPr>
        <w:pStyle w:val="Bullet1"/>
      </w:pPr>
      <w:r>
        <w:t>2.1</w:t>
      </w:r>
      <w:r w:rsidR="00AA7543">
        <w:t>:</w:t>
      </w:r>
      <w:r>
        <w:t xml:space="preserve"> The organisation makes a public commitment to child safety.</w:t>
      </w:r>
    </w:p>
    <w:p w14:paraId="4728C1A0" w14:textId="54145289" w:rsidR="00BE1C58" w:rsidRDefault="00BE1C58" w:rsidP="004F128F">
      <w:pPr>
        <w:pStyle w:val="Bullet1"/>
      </w:pPr>
      <w:r>
        <w:t>2.2</w:t>
      </w:r>
      <w:r w:rsidR="00AA7543">
        <w:t>:</w:t>
      </w:r>
      <w:r>
        <w:t xml:space="preserve"> A child safe culture is championed and modelled at all levels of the organisation from the top down and bottom up.</w:t>
      </w:r>
    </w:p>
    <w:p w14:paraId="0198DF36" w14:textId="2833830D" w:rsidR="00BE1C58" w:rsidRDefault="00BE1C58" w:rsidP="004F128F">
      <w:pPr>
        <w:pStyle w:val="Bullet1"/>
      </w:pPr>
      <w:r>
        <w:t>2.3</w:t>
      </w:r>
      <w:r w:rsidR="00AA7543">
        <w:t>:</w:t>
      </w:r>
      <w:r>
        <w:t xml:space="preserve"> Governance arrangements facilitate implementation of the child safety and wellbeing policy at all levels.</w:t>
      </w:r>
    </w:p>
    <w:p w14:paraId="60B7C40D" w14:textId="6D630EC4" w:rsidR="00BE1C58" w:rsidRDefault="00BE1C58" w:rsidP="004F128F">
      <w:pPr>
        <w:pStyle w:val="Bullet1"/>
      </w:pPr>
      <w:r>
        <w:t>2.4</w:t>
      </w:r>
      <w:r w:rsidR="00AA7543">
        <w:t>:</w:t>
      </w:r>
      <w:r>
        <w:t xml:space="preserve"> A Code of Conduct provides guidelines for staff and volunteers on expected behavioural standards and responsibilities.</w:t>
      </w:r>
    </w:p>
    <w:p w14:paraId="04E911BA" w14:textId="2A00F90B" w:rsidR="00BE1C58" w:rsidRDefault="00BE1C58" w:rsidP="004F128F">
      <w:pPr>
        <w:pStyle w:val="Bullet1"/>
      </w:pPr>
      <w:r>
        <w:t>2.5</w:t>
      </w:r>
      <w:r w:rsidR="00AA7543">
        <w:t>:</w:t>
      </w:r>
      <w:r>
        <w:t xml:space="preserve"> Risk management strategies focus on preventing, </w:t>
      </w:r>
      <w:proofErr w:type="gramStart"/>
      <w:r>
        <w:t>identifying</w:t>
      </w:r>
      <w:proofErr w:type="gramEnd"/>
      <w:r>
        <w:t xml:space="preserve"> and mitigating risks to children and young people.</w:t>
      </w:r>
    </w:p>
    <w:p w14:paraId="7C59B3D4" w14:textId="0AEE3E36" w:rsidR="00BE1C58" w:rsidRDefault="00BE1C58" w:rsidP="004F128F">
      <w:pPr>
        <w:pStyle w:val="Bullet1"/>
      </w:pPr>
      <w:r>
        <w:t>2.6</w:t>
      </w:r>
      <w:r w:rsidR="00AA7543">
        <w:t>:</w:t>
      </w:r>
      <w:r>
        <w:t xml:space="preserve"> Staff and volunteers understand their obligations on information sharing and recordkeeping.</w:t>
      </w:r>
    </w:p>
    <w:p w14:paraId="67A9BC84" w14:textId="77777777" w:rsidR="009951AD" w:rsidRPr="004F128F" w:rsidRDefault="009951AD" w:rsidP="004F128F">
      <w:pPr>
        <w:pStyle w:val="Body"/>
      </w:pPr>
      <w:r w:rsidRPr="009951AD">
        <w:br w:type="page"/>
      </w:r>
    </w:p>
    <w:p w14:paraId="5A7B08A9" w14:textId="43993597" w:rsidR="009951AD" w:rsidRDefault="00BE1C58" w:rsidP="004F128F">
      <w:pPr>
        <w:pStyle w:val="Heading2notinTOC"/>
      </w:pPr>
      <w:r w:rsidRPr="005F4AAB">
        <w:lastRenderedPageBreak/>
        <w:t>Child Safe Standard 3</w:t>
      </w:r>
    </w:p>
    <w:p w14:paraId="1854D31D" w14:textId="5CE25160" w:rsidR="00BE1C58" w:rsidRPr="005F4AAB" w:rsidRDefault="00BE1C58" w:rsidP="004F128F">
      <w:pPr>
        <w:pStyle w:val="Introtext"/>
      </w:pPr>
      <w:r w:rsidRPr="005F4AAB">
        <w:t>Children and young people are empowered about their rights, participate in decisions affecting them and are taken seriously</w:t>
      </w:r>
      <w:r w:rsidR="00AA7543">
        <w:t>.</w:t>
      </w:r>
    </w:p>
    <w:p w14:paraId="0933C632" w14:textId="77777777" w:rsidR="00BE1C58" w:rsidRDefault="00BE1C58" w:rsidP="00BE1C58">
      <w:pPr>
        <w:pStyle w:val="Body"/>
      </w:pPr>
      <w:r>
        <w:t xml:space="preserve">In complying with Child Safe Standard 3, an organisation must, at a minimum, ensure: </w:t>
      </w:r>
    </w:p>
    <w:p w14:paraId="22472AA8" w14:textId="4C014EE2" w:rsidR="00BE1C58" w:rsidRDefault="00BE1C58" w:rsidP="004F128F">
      <w:pPr>
        <w:pStyle w:val="Bullet1"/>
      </w:pPr>
      <w:r>
        <w:t>3.1</w:t>
      </w:r>
      <w:r w:rsidR="00AA7543">
        <w:t>:</w:t>
      </w:r>
      <w:r>
        <w:t xml:space="preserve"> Children and young people are informed about </w:t>
      </w:r>
      <w:proofErr w:type="gramStart"/>
      <w:r>
        <w:t>all of</w:t>
      </w:r>
      <w:proofErr w:type="gramEnd"/>
      <w:r>
        <w:t xml:space="preserve"> their rights, including to safety, information and participation.</w:t>
      </w:r>
    </w:p>
    <w:p w14:paraId="1F3C353E" w14:textId="5528AE84" w:rsidR="00BE1C58" w:rsidRDefault="00BE1C58" w:rsidP="004F128F">
      <w:pPr>
        <w:pStyle w:val="Bullet1"/>
      </w:pPr>
      <w:r>
        <w:t>3.2</w:t>
      </w:r>
      <w:r w:rsidR="00AA7543">
        <w:t>:</w:t>
      </w:r>
      <w:r>
        <w:t xml:space="preserve"> The importance of friendships is recognised and support from peers is encouraged, to help children and young people feel safe and be less isolated.</w:t>
      </w:r>
    </w:p>
    <w:p w14:paraId="63D34691" w14:textId="05B8F85D" w:rsidR="00BE1C58" w:rsidRDefault="00BE1C58" w:rsidP="004F128F">
      <w:pPr>
        <w:pStyle w:val="Bullet1"/>
      </w:pPr>
      <w:r>
        <w:t>3.3</w:t>
      </w:r>
      <w:r w:rsidR="00AA7543">
        <w:t>:</w:t>
      </w:r>
      <w:r>
        <w:t xml:space="preserve"> Where relevant to the setting or context, children and young people are offered access to sexual abuse prevention programs and to relevant related information in an </w:t>
      </w:r>
      <w:r w:rsidR="009951AD">
        <w:t>age-appropriate</w:t>
      </w:r>
      <w:r>
        <w:t xml:space="preserve"> way.</w:t>
      </w:r>
    </w:p>
    <w:p w14:paraId="3B47079C" w14:textId="645D4F81" w:rsidR="00BE1C58" w:rsidRDefault="00BE1C58" w:rsidP="004F128F">
      <w:pPr>
        <w:pStyle w:val="Bullet1"/>
      </w:pPr>
      <w:r>
        <w:t>3.4</w:t>
      </w:r>
      <w:r w:rsidR="00AA7543">
        <w:t>:</w:t>
      </w:r>
      <w:r>
        <w:t xml:space="preserve"> Staff and volunteers are attuned to signs of harm and facilitate child-friendly ways for children and young people to express their views, participate in decision-making and raise their concerns.</w:t>
      </w:r>
    </w:p>
    <w:p w14:paraId="2EFBCAD5" w14:textId="0F4347D8" w:rsidR="00BE1C58" w:rsidRDefault="00BE1C58" w:rsidP="004F128F">
      <w:pPr>
        <w:pStyle w:val="Bullet1"/>
      </w:pPr>
      <w:r>
        <w:t>3.5</w:t>
      </w:r>
      <w:r w:rsidR="00AA7543">
        <w:t>:</w:t>
      </w:r>
      <w:r>
        <w:t xml:space="preserve"> Organisations have strategies in place to develop a culture that facilitates participation and is responsive to the input of children and young people.</w:t>
      </w:r>
    </w:p>
    <w:p w14:paraId="0CA11B15" w14:textId="06E4031E" w:rsidR="00BE1C58" w:rsidRDefault="00BE1C58" w:rsidP="004F128F">
      <w:pPr>
        <w:pStyle w:val="Bullet1"/>
      </w:pPr>
      <w:r>
        <w:t>3.6</w:t>
      </w:r>
      <w:r w:rsidR="00AA7543">
        <w:t>:</w:t>
      </w:r>
      <w:r>
        <w:t xml:space="preserve"> Organisations provide opportunities for children and young people to participate and are responsive to their contributions, thereby strengthening confidence and engagement.</w:t>
      </w:r>
    </w:p>
    <w:p w14:paraId="4B143CAC" w14:textId="77777777" w:rsidR="009951AD" w:rsidRDefault="00BE1C58" w:rsidP="004F128F">
      <w:pPr>
        <w:pStyle w:val="Heading2notinTOC"/>
      </w:pPr>
      <w:r w:rsidRPr="005F4AAB">
        <w:t>Child Safe Standard 4</w:t>
      </w:r>
    </w:p>
    <w:p w14:paraId="1B98B5F8" w14:textId="60E5AF70" w:rsidR="00BE1C58" w:rsidRPr="005F4AAB" w:rsidRDefault="00BE1C58" w:rsidP="004F128F">
      <w:pPr>
        <w:pStyle w:val="Introtext"/>
      </w:pPr>
      <w:r w:rsidRPr="005F4AAB">
        <w:t xml:space="preserve">Families and communities are </w:t>
      </w:r>
      <w:proofErr w:type="gramStart"/>
      <w:r w:rsidRPr="005F4AAB">
        <w:t>informed, and</w:t>
      </w:r>
      <w:proofErr w:type="gramEnd"/>
      <w:r w:rsidRPr="005F4AAB">
        <w:t xml:space="preserve"> involved in promoting child safety and wellbeing</w:t>
      </w:r>
      <w:r w:rsidR="00AA7543">
        <w:t>.</w:t>
      </w:r>
    </w:p>
    <w:p w14:paraId="4C89AD8E" w14:textId="77777777" w:rsidR="00BE1C58" w:rsidRDefault="00BE1C58" w:rsidP="00BE1C58">
      <w:pPr>
        <w:pStyle w:val="Body"/>
      </w:pPr>
      <w:r>
        <w:t xml:space="preserve">In complying with Child Safe Standard 4, an organisation must, at a minimum, ensure: </w:t>
      </w:r>
    </w:p>
    <w:p w14:paraId="58D3FED8" w14:textId="5E2EBE6A" w:rsidR="00BE1C58" w:rsidRDefault="00BE1C58" w:rsidP="004F128F">
      <w:pPr>
        <w:pStyle w:val="Bullet1"/>
      </w:pPr>
      <w:r>
        <w:t>4.1</w:t>
      </w:r>
      <w:r w:rsidR="00AA7543">
        <w:t>:</w:t>
      </w:r>
      <w:r>
        <w:t xml:space="preserve"> Families participate in decisions affecting their child.</w:t>
      </w:r>
    </w:p>
    <w:p w14:paraId="57E491A3" w14:textId="5789BFA2" w:rsidR="00BE1C58" w:rsidRDefault="00BE1C58" w:rsidP="004F128F">
      <w:pPr>
        <w:pStyle w:val="Bullet1"/>
      </w:pPr>
      <w:r>
        <w:t>4.2</w:t>
      </w:r>
      <w:r w:rsidR="00AA7543">
        <w:t>:</w:t>
      </w:r>
      <w:r>
        <w:t xml:space="preserve"> The organisation engages and openly communicates with families and the community about its child safe approach and relevant information is accessible.</w:t>
      </w:r>
    </w:p>
    <w:p w14:paraId="76B40D01" w14:textId="2A141F4E" w:rsidR="00BE1C58" w:rsidRDefault="00BE1C58" w:rsidP="004F128F">
      <w:pPr>
        <w:pStyle w:val="Bullet1"/>
      </w:pPr>
      <w:r>
        <w:t>4.3</w:t>
      </w:r>
      <w:r w:rsidR="00AA7543">
        <w:t>:</w:t>
      </w:r>
      <w:r>
        <w:t xml:space="preserve"> Families and communities have a say in the development and review of the organisation’s policies and practices.</w:t>
      </w:r>
    </w:p>
    <w:p w14:paraId="7463C3B0" w14:textId="04E270D4" w:rsidR="00BE1C58" w:rsidRDefault="00BE1C58" w:rsidP="004F128F">
      <w:pPr>
        <w:pStyle w:val="Bullet1"/>
      </w:pPr>
      <w:r>
        <w:t>4.4</w:t>
      </w:r>
      <w:r w:rsidR="00AA7543">
        <w:t>:</w:t>
      </w:r>
      <w:r>
        <w:t xml:space="preserve"> Families, carers and the community are informed about the organisation’s operations and governance.</w:t>
      </w:r>
    </w:p>
    <w:p w14:paraId="7A081337" w14:textId="77777777" w:rsidR="009951AD" w:rsidRDefault="00BE1C58" w:rsidP="004F128F">
      <w:pPr>
        <w:pStyle w:val="Heading2notinTOC"/>
      </w:pPr>
      <w:r w:rsidRPr="005F4AAB">
        <w:t>Child Safe Standard 5</w:t>
      </w:r>
    </w:p>
    <w:p w14:paraId="32573F88" w14:textId="04AC333A" w:rsidR="00BE1C58" w:rsidRPr="005F4AAB" w:rsidRDefault="00BE1C58" w:rsidP="004F128F">
      <w:pPr>
        <w:pStyle w:val="Introtext"/>
      </w:pPr>
      <w:r w:rsidRPr="005F4AAB">
        <w:t>Equity is upheld and diverse needs respected in policy and practice</w:t>
      </w:r>
      <w:r w:rsidR="00AA7543">
        <w:t>.</w:t>
      </w:r>
    </w:p>
    <w:p w14:paraId="582D2357" w14:textId="77777777" w:rsidR="00BE1C58" w:rsidRDefault="00BE1C58" w:rsidP="00BE1C58">
      <w:pPr>
        <w:pStyle w:val="Body"/>
      </w:pPr>
      <w:r>
        <w:t xml:space="preserve">In complying with Child Safe Standard 5, an organisation must, at a minimum, ensure: </w:t>
      </w:r>
    </w:p>
    <w:p w14:paraId="56B19FC3" w14:textId="7A3A0CA8" w:rsidR="00BE1C58" w:rsidRDefault="00BE1C58" w:rsidP="004F128F">
      <w:pPr>
        <w:pStyle w:val="Bullet1"/>
      </w:pPr>
      <w:r>
        <w:t>5.1</w:t>
      </w:r>
      <w:r w:rsidR="00AA7543">
        <w:t>:</w:t>
      </w:r>
      <w:r>
        <w:t xml:space="preserve"> The organisation, including staff and volunteers, understands children and young people’s diverse circumstances, and provides support and responds to those who are vulnerable.</w:t>
      </w:r>
    </w:p>
    <w:p w14:paraId="774AEFE7" w14:textId="312344EB" w:rsidR="00BE1C58" w:rsidRDefault="00BE1C58" w:rsidP="004F128F">
      <w:pPr>
        <w:pStyle w:val="Bullet1"/>
      </w:pPr>
      <w:r>
        <w:t>5.2</w:t>
      </w:r>
      <w:r w:rsidR="00AA7543">
        <w:t>:</w:t>
      </w:r>
      <w:r>
        <w:t xml:space="preserve"> Children and young people have access to information, support and complaints processes in ways that are culturally safe, </w:t>
      </w:r>
      <w:proofErr w:type="gramStart"/>
      <w:r>
        <w:t>accessible</w:t>
      </w:r>
      <w:proofErr w:type="gramEnd"/>
      <w:r>
        <w:t xml:space="preserve"> and easy to understand.</w:t>
      </w:r>
    </w:p>
    <w:p w14:paraId="10E2589F" w14:textId="1B6FE273" w:rsidR="00BE1C58" w:rsidRDefault="00BE1C58" w:rsidP="004F128F">
      <w:pPr>
        <w:pStyle w:val="Bullet1"/>
      </w:pPr>
      <w:r>
        <w:t>5.3</w:t>
      </w:r>
      <w:r w:rsidR="00AA7543">
        <w:t>:</w:t>
      </w:r>
      <w:r>
        <w:t xml:space="preserve"> The organisation pays particular attention to the needs of children and young people with disability, </w:t>
      </w:r>
      <w:proofErr w:type="gramStart"/>
      <w:r>
        <w:t>children</w:t>
      </w:r>
      <w:proofErr w:type="gramEnd"/>
      <w:r>
        <w:t xml:space="preserve"> and young people from culturally and linguistically diverse backgrounds, those who are unable to live at home, and lesbian, gay, bisexual, transgender and intersex children and young people.</w:t>
      </w:r>
    </w:p>
    <w:p w14:paraId="2CE5CCE7" w14:textId="7AA48335" w:rsidR="009951AD" w:rsidRDefault="00BE1C58" w:rsidP="004F128F">
      <w:pPr>
        <w:pStyle w:val="Bullet1"/>
      </w:pPr>
      <w:r>
        <w:t>5.4</w:t>
      </w:r>
      <w:r w:rsidR="00AA7543">
        <w:t>:</w:t>
      </w:r>
      <w:r>
        <w:t xml:space="preserve"> The organisation pays particular attention to the needs of Aboriginal children and young people and provides/promotes a culturally safe environment for them.</w:t>
      </w:r>
    </w:p>
    <w:p w14:paraId="09ABFBA7" w14:textId="77777777" w:rsidR="009951AD" w:rsidRDefault="00BE1C58" w:rsidP="004F128F">
      <w:pPr>
        <w:pStyle w:val="Heading2notinTOC"/>
      </w:pPr>
      <w:r w:rsidRPr="005F4AAB">
        <w:lastRenderedPageBreak/>
        <w:t>Child Safe Standard 6</w:t>
      </w:r>
    </w:p>
    <w:p w14:paraId="6A52FEF7" w14:textId="3DF4B67B" w:rsidR="00BE1C58" w:rsidRPr="005F4AAB" w:rsidRDefault="00BE1C58" w:rsidP="004F128F">
      <w:pPr>
        <w:pStyle w:val="Introtext"/>
      </w:pPr>
      <w:r w:rsidRPr="005F4AAB">
        <w:t>People working with children and young people are suitable and supported to reflect child safety and wellbeing values in practice</w:t>
      </w:r>
      <w:r w:rsidR="00AA7543">
        <w:t>.</w:t>
      </w:r>
    </w:p>
    <w:p w14:paraId="0D0C36E8" w14:textId="77777777" w:rsidR="00BE1C58" w:rsidRDefault="00BE1C58" w:rsidP="00BE1C58">
      <w:pPr>
        <w:pStyle w:val="Body"/>
      </w:pPr>
      <w:r>
        <w:t xml:space="preserve">In complying with Child Safe Standard 6, an organisation must, at a minimum, ensure: </w:t>
      </w:r>
    </w:p>
    <w:p w14:paraId="28A30859" w14:textId="5961EC6F" w:rsidR="00BE1C58" w:rsidRDefault="00BE1C58" w:rsidP="004F128F">
      <w:pPr>
        <w:pStyle w:val="Bullet1"/>
      </w:pPr>
      <w:r>
        <w:t>6.1</w:t>
      </w:r>
      <w:r w:rsidR="00AA7543">
        <w:t>:</w:t>
      </w:r>
      <w:r>
        <w:t xml:space="preserve"> Recruitment, including advertising, referee checks and staff and volunteer </w:t>
      </w:r>
      <w:r w:rsidR="00AA7543">
        <w:t>pre-employment</w:t>
      </w:r>
      <w:r>
        <w:t xml:space="preserve"> screening, emphasise child safety and wellbeing.</w:t>
      </w:r>
    </w:p>
    <w:p w14:paraId="1183FC4D" w14:textId="5C7892C3" w:rsidR="00BE1C58" w:rsidRDefault="00BE1C58" w:rsidP="004F128F">
      <w:pPr>
        <w:pStyle w:val="Bullet1"/>
      </w:pPr>
      <w:r>
        <w:t>6.2</w:t>
      </w:r>
      <w:r w:rsidR="00AA7543">
        <w:t>:</w:t>
      </w:r>
      <w:r>
        <w:t xml:space="preserve"> Relevant staff and volunteers have current working with children checks or equivalent background checks.</w:t>
      </w:r>
    </w:p>
    <w:p w14:paraId="0F72D1C5" w14:textId="4B0A3D3A" w:rsidR="00BE1C58" w:rsidRDefault="00BE1C58" w:rsidP="004F128F">
      <w:pPr>
        <w:pStyle w:val="Bullet1"/>
      </w:pPr>
      <w:r>
        <w:t>6.3</w:t>
      </w:r>
      <w:r w:rsidR="00AA7543">
        <w:t>:</w:t>
      </w:r>
      <w:r>
        <w:t xml:space="preserve"> All staff and volunteers receive an appropriate induction and are aware of their responsibilities to children and young people, including record keeping, information sharing and reporting obligations.</w:t>
      </w:r>
    </w:p>
    <w:p w14:paraId="42E62418" w14:textId="1B1C30A4" w:rsidR="00BE1C58" w:rsidRDefault="00BE1C58" w:rsidP="004F128F">
      <w:pPr>
        <w:pStyle w:val="Bullet1"/>
      </w:pPr>
      <w:r>
        <w:t>6.4</w:t>
      </w:r>
      <w:r w:rsidR="00AA7543">
        <w:t>:</w:t>
      </w:r>
      <w:r>
        <w:t xml:space="preserve"> Ongoing supervision and people management is focused on child safety and wellbeing.</w:t>
      </w:r>
    </w:p>
    <w:p w14:paraId="767E7E44" w14:textId="77777777" w:rsidR="009951AD" w:rsidRDefault="00BE1C58" w:rsidP="004F128F">
      <w:pPr>
        <w:pStyle w:val="Heading2notinTOC"/>
      </w:pPr>
      <w:r>
        <w:t>Child Safe Standard 7</w:t>
      </w:r>
    </w:p>
    <w:p w14:paraId="12038909" w14:textId="515710F2" w:rsidR="00BE1C58" w:rsidRDefault="00BE1C58" w:rsidP="004F128F">
      <w:pPr>
        <w:pStyle w:val="Introtext"/>
      </w:pPr>
      <w:r>
        <w:t>Processes for complaints and concerns are child focused</w:t>
      </w:r>
      <w:r w:rsidR="00AA7543">
        <w:t>.</w:t>
      </w:r>
    </w:p>
    <w:p w14:paraId="2CACC95B" w14:textId="77777777" w:rsidR="00BE1C58" w:rsidRPr="005F4AAB" w:rsidRDefault="00BE1C58" w:rsidP="009951AD">
      <w:pPr>
        <w:pStyle w:val="Body"/>
      </w:pPr>
      <w:r w:rsidRPr="005F4AAB">
        <w:t xml:space="preserve">In complying with Child Safe Standard 7, an organisation must, at a minimum, </w:t>
      </w:r>
      <w:r w:rsidRPr="004F128F">
        <w:t>ensure</w:t>
      </w:r>
      <w:r w:rsidRPr="005F4AAB">
        <w:t xml:space="preserve">: </w:t>
      </w:r>
    </w:p>
    <w:p w14:paraId="7BB56C8A" w14:textId="27CF9BFD" w:rsidR="00BE1C58" w:rsidRDefault="00BE1C58" w:rsidP="004F128F">
      <w:pPr>
        <w:pStyle w:val="Bullet1"/>
      </w:pPr>
      <w:r>
        <w:t>7.1</w:t>
      </w:r>
      <w:r w:rsidR="00AA7543">
        <w:t>:</w:t>
      </w:r>
      <w:r>
        <w:t xml:space="preserve">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w:t>
      </w:r>
    </w:p>
    <w:p w14:paraId="7A11EB15" w14:textId="42F60FCA" w:rsidR="00BE1C58" w:rsidRDefault="00BE1C58" w:rsidP="004F128F">
      <w:pPr>
        <w:pStyle w:val="Bullet1"/>
      </w:pPr>
      <w:r>
        <w:t>7.2</w:t>
      </w:r>
      <w:r w:rsidR="00AA7543">
        <w:t>:</w:t>
      </w:r>
      <w:r>
        <w:t xml:space="preserve"> Effective complaint handling processes are understood by children and young people, families, </w:t>
      </w:r>
      <w:proofErr w:type="gramStart"/>
      <w:r>
        <w:t>staff</w:t>
      </w:r>
      <w:proofErr w:type="gramEnd"/>
      <w:r>
        <w:t xml:space="preserve"> and volunteers, and are culturally safe.</w:t>
      </w:r>
    </w:p>
    <w:p w14:paraId="1C7475B3" w14:textId="2AE07280" w:rsidR="00BE1C58" w:rsidRDefault="00BE1C58" w:rsidP="004F128F">
      <w:pPr>
        <w:pStyle w:val="Bullet1"/>
      </w:pPr>
      <w:r>
        <w:t>7.3</w:t>
      </w:r>
      <w:r w:rsidR="00AA7543">
        <w:t>:</w:t>
      </w:r>
      <w:r>
        <w:t xml:space="preserve"> Complaints are taken </w:t>
      </w:r>
      <w:proofErr w:type="gramStart"/>
      <w:r>
        <w:t>seriously, and</w:t>
      </w:r>
      <w:proofErr w:type="gramEnd"/>
      <w:r>
        <w:t xml:space="preserve"> responded to promptly and thoroughly.</w:t>
      </w:r>
    </w:p>
    <w:p w14:paraId="3AD40B40" w14:textId="6E10FCB5" w:rsidR="00BE1C58" w:rsidRDefault="00BE1C58" w:rsidP="004F128F">
      <w:pPr>
        <w:pStyle w:val="Bullet1"/>
      </w:pPr>
      <w:r>
        <w:t>7.4</w:t>
      </w:r>
      <w:r w:rsidR="00AA7543">
        <w:t>:</w:t>
      </w:r>
      <w:r>
        <w:t xml:space="preserve"> The organisation has policies and procedures in place that address reporting of complaints and concerns to relevant authorities, </w:t>
      </w:r>
      <w:proofErr w:type="gramStart"/>
      <w:r>
        <w:t>whether or not</w:t>
      </w:r>
      <w:proofErr w:type="gramEnd"/>
      <w:r>
        <w:t xml:space="preserve"> the law requires reporting, and co-operates with law enforcement.</w:t>
      </w:r>
    </w:p>
    <w:p w14:paraId="73C06B11" w14:textId="482C62B8" w:rsidR="00BE1C58" w:rsidRDefault="00BE1C58" w:rsidP="004F128F">
      <w:pPr>
        <w:pStyle w:val="Bullet1"/>
      </w:pPr>
      <w:r>
        <w:t>7.5</w:t>
      </w:r>
      <w:r w:rsidR="00AA7543">
        <w:t>:</w:t>
      </w:r>
      <w:r>
        <w:t xml:space="preserve"> Reporting, privacy and employment law obligations are met.</w:t>
      </w:r>
    </w:p>
    <w:p w14:paraId="0F700112" w14:textId="7307AF1C" w:rsidR="009951AD" w:rsidRDefault="00BE1C58" w:rsidP="004F128F">
      <w:pPr>
        <w:pStyle w:val="Heading2notinTOC"/>
      </w:pPr>
      <w:r w:rsidRPr="005F4AAB">
        <w:t>Child Safe Standard 8</w:t>
      </w:r>
    </w:p>
    <w:p w14:paraId="37D85CB1" w14:textId="52D68747" w:rsidR="00BE1C58" w:rsidRPr="005F4AAB" w:rsidRDefault="00BE1C58" w:rsidP="004F128F">
      <w:pPr>
        <w:pStyle w:val="Introtext"/>
      </w:pPr>
      <w:r w:rsidRPr="005F4AAB">
        <w:t xml:space="preserve">Staff and volunteers are equipped with the knowledge, </w:t>
      </w:r>
      <w:proofErr w:type="gramStart"/>
      <w:r w:rsidRPr="005F4AAB">
        <w:t>skills</w:t>
      </w:r>
      <w:proofErr w:type="gramEnd"/>
      <w:r w:rsidRPr="005F4AAB">
        <w:t xml:space="preserve"> and awareness to keep children and young people safe through ongoing education and training</w:t>
      </w:r>
      <w:r w:rsidR="00AA7543">
        <w:t>.</w:t>
      </w:r>
    </w:p>
    <w:p w14:paraId="0268D356" w14:textId="77777777" w:rsidR="00BE1C58" w:rsidRDefault="00BE1C58" w:rsidP="00BE1C58">
      <w:pPr>
        <w:pStyle w:val="Body"/>
      </w:pPr>
      <w:r>
        <w:t xml:space="preserve">In complying with Child Safe Standard 8, an organisation must, at a minimum, ensure: </w:t>
      </w:r>
    </w:p>
    <w:p w14:paraId="0A804657" w14:textId="09112E7E" w:rsidR="00BE1C58" w:rsidRDefault="00BE1C58" w:rsidP="004F128F">
      <w:pPr>
        <w:pStyle w:val="Bullet1"/>
      </w:pPr>
      <w:r>
        <w:t>8.1</w:t>
      </w:r>
      <w:r w:rsidR="00AA7543">
        <w:t>:</w:t>
      </w:r>
      <w:r>
        <w:t xml:space="preserve"> Staff and volunteers are trained and supported to effectively implement the organisation’s child safety and wellbeing policy.</w:t>
      </w:r>
    </w:p>
    <w:p w14:paraId="76171EA4" w14:textId="7E15FC3A" w:rsidR="00BE1C58" w:rsidRDefault="00BE1C58" w:rsidP="004F128F">
      <w:pPr>
        <w:pStyle w:val="Bullet1"/>
      </w:pPr>
      <w:r>
        <w:t>8.2</w:t>
      </w:r>
      <w:r w:rsidR="00AA7543">
        <w:t>:</w:t>
      </w:r>
      <w:r>
        <w:t xml:space="preserve"> Staff and volunteers receive training and information to recognise indicators of child harm including harm caused by other children and young people.</w:t>
      </w:r>
    </w:p>
    <w:p w14:paraId="6FFF82C3" w14:textId="1736DDB2" w:rsidR="00BE1C58" w:rsidRDefault="00BE1C58" w:rsidP="004F128F">
      <w:pPr>
        <w:pStyle w:val="Bullet1"/>
      </w:pPr>
      <w:r>
        <w:t>8.3</w:t>
      </w:r>
      <w:r w:rsidR="00AA7543">
        <w:t>:</w:t>
      </w:r>
      <w:r>
        <w:t xml:space="preserve"> Staff and volunteers receive training and information to respond effectively to issues of child safety and wellbeing and support colleagues who disclose harm.</w:t>
      </w:r>
    </w:p>
    <w:p w14:paraId="384853DF" w14:textId="1DF9217D" w:rsidR="00BE1C58" w:rsidRDefault="00BE1C58" w:rsidP="004F128F">
      <w:pPr>
        <w:pStyle w:val="Bullet1"/>
      </w:pPr>
      <w:r>
        <w:t>8.4</w:t>
      </w:r>
      <w:r w:rsidR="00AA7543">
        <w:t>:</w:t>
      </w:r>
      <w:r>
        <w:t xml:space="preserve"> Staff and volunteers receive training and information on how to build culturally safe environments for children and young people.</w:t>
      </w:r>
    </w:p>
    <w:p w14:paraId="5A4E300D" w14:textId="77777777" w:rsidR="009951AD" w:rsidRDefault="00BE1C58" w:rsidP="004F128F">
      <w:pPr>
        <w:pStyle w:val="Heading2notinTOC"/>
      </w:pPr>
      <w:r w:rsidRPr="005F4AAB">
        <w:lastRenderedPageBreak/>
        <w:t>Child Safe Standard 9</w:t>
      </w:r>
    </w:p>
    <w:p w14:paraId="49C6748B" w14:textId="57B984A4" w:rsidR="00BE1C58" w:rsidRPr="005F4AAB" w:rsidRDefault="00BE1C58" w:rsidP="004F128F">
      <w:pPr>
        <w:pStyle w:val="Introtext"/>
      </w:pPr>
      <w:r w:rsidRPr="005F4AAB">
        <w:t>Physical and online environments promote safety and wellbeing while minimising the opportunity for children and young people to be harmed</w:t>
      </w:r>
      <w:r w:rsidR="00AA7543">
        <w:t>.</w:t>
      </w:r>
    </w:p>
    <w:p w14:paraId="5D71CCDD" w14:textId="77777777" w:rsidR="00BE1C58" w:rsidRDefault="00BE1C58" w:rsidP="00BE1C58">
      <w:pPr>
        <w:pStyle w:val="Body"/>
      </w:pPr>
      <w:r>
        <w:t xml:space="preserve">In complying with Child Safe Standard 9, an organisation must, at a minimum, ensure: </w:t>
      </w:r>
    </w:p>
    <w:p w14:paraId="71CD285A" w14:textId="55B478B0" w:rsidR="00BE1C58" w:rsidRDefault="00BE1C58" w:rsidP="004F128F">
      <w:pPr>
        <w:pStyle w:val="Bullet1"/>
      </w:pPr>
      <w:r>
        <w:t>9.1</w:t>
      </w:r>
      <w:r w:rsidR="00AA7543">
        <w:t>:</w:t>
      </w:r>
      <w:r>
        <w:t xml:space="preserve"> Staff and volunteers identify and mitigate risks in the online and physical environments without compromising a child’s right to privacy, access to information, social connections and learning opportunities.</w:t>
      </w:r>
    </w:p>
    <w:p w14:paraId="6691FE60" w14:textId="10181F2E" w:rsidR="00BE1C58" w:rsidRDefault="00BE1C58" w:rsidP="004F128F">
      <w:pPr>
        <w:pStyle w:val="Bullet1"/>
      </w:pPr>
      <w:r>
        <w:t>9.2</w:t>
      </w:r>
      <w:r w:rsidR="00AA7543">
        <w:t>:</w:t>
      </w:r>
      <w:r>
        <w:t xml:space="preserve"> The online environment is used in accordance with the organisation’s Code of Conduct and child safety and wellbeing policy and practices.</w:t>
      </w:r>
    </w:p>
    <w:p w14:paraId="09D8A87B" w14:textId="1A343684" w:rsidR="00BE1C58" w:rsidRDefault="00BE1C58" w:rsidP="004F128F">
      <w:pPr>
        <w:pStyle w:val="Bullet1"/>
      </w:pPr>
      <w:r>
        <w:t>9.3</w:t>
      </w:r>
      <w:r w:rsidR="00AA7543">
        <w:t>:</w:t>
      </w:r>
      <w:r>
        <w:t xml:space="preserve"> Risk management plans consider risks posed by organisational settings, activities, and the physical environment.</w:t>
      </w:r>
    </w:p>
    <w:p w14:paraId="57C436F9" w14:textId="07224B55" w:rsidR="00BE1C58" w:rsidRDefault="00BE1C58" w:rsidP="004F128F">
      <w:pPr>
        <w:pStyle w:val="Bullet1"/>
      </w:pPr>
      <w:r>
        <w:t>9.4</w:t>
      </w:r>
      <w:r w:rsidR="00AA7543">
        <w:t>:</w:t>
      </w:r>
      <w:r>
        <w:t xml:space="preserve"> Organisations that contract facilities and services from third parties have procurement policies that ensure the safety of children and young people.</w:t>
      </w:r>
    </w:p>
    <w:p w14:paraId="0C9AE23E" w14:textId="77777777" w:rsidR="009951AD" w:rsidRDefault="00BE1C58" w:rsidP="004F128F">
      <w:pPr>
        <w:pStyle w:val="Heading2notinTOC"/>
      </w:pPr>
      <w:r w:rsidRPr="005F4AAB">
        <w:t>Child Safe Standard 10</w:t>
      </w:r>
    </w:p>
    <w:p w14:paraId="1D7DC274" w14:textId="59EEA2FB" w:rsidR="00BE1C58" w:rsidRPr="005F4AAB" w:rsidRDefault="00BE1C58" w:rsidP="004F128F">
      <w:pPr>
        <w:pStyle w:val="Introtext"/>
      </w:pPr>
      <w:r w:rsidRPr="005F4AAB">
        <w:t>Implementation of the Child Safe Standards is regularly reviewed and improved</w:t>
      </w:r>
      <w:r w:rsidR="00AA7543">
        <w:t>.</w:t>
      </w:r>
    </w:p>
    <w:p w14:paraId="7C99A75E" w14:textId="77777777" w:rsidR="00BE1C58" w:rsidRDefault="00BE1C58" w:rsidP="00BE1C58">
      <w:pPr>
        <w:pStyle w:val="Body"/>
      </w:pPr>
      <w:r>
        <w:t xml:space="preserve">In complying with Child Safe Standard 10, an organisation must, at a minimum, ensure: </w:t>
      </w:r>
    </w:p>
    <w:p w14:paraId="2DB6A913" w14:textId="4CDBCE66" w:rsidR="00BE1C58" w:rsidRDefault="00BE1C58" w:rsidP="004F128F">
      <w:pPr>
        <w:pStyle w:val="Bullet1"/>
      </w:pPr>
      <w:r>
        <w:t>10.1</w:t>
      </w:r>
      <w:r w:rsidR="00AA7543">
        <w:t>:</w:t>
      </w:r>
      <w:r>
        <w:t xml:space="preserve"> The organisation regularly reviews, </w:t>
      </w:r>
      <w:proofErr w:type="gramStart"/>
      <w:r>
        <w:t>evaluates</w:t>
      </w:r>
      <w:proofErr w:type="gramEnd"/>
      <w:r>
        <w:t xml:space="preserve"> and improves child safe practices.</w:t>
      </w:r>
    </w:p>
    <w:p w14:paraId="53811558" w14:textId="0E2ED804" w:rsidR="00BE1C58" w:rsidRDefault="00BE1C58" w:rsidP="004F128F">
      <w:pPr>
        <w:pStyle w:val="Bullet1"/>
      </w:pPr>
      <w:r>
        <w:t>10.2</w:t>
      </w:r>
      <w:r w:rsidR="00AA7543">
        <w:t>:</w:t>
      </w:r>
      <w:r>
        <w:t xml:space="preserve"> Complaints, concerns and safety incidents are analysed to identify causes and systemic failures to inform continuous improvement.</w:t>
      </w:r>
    </w:p>
    <w:p w14:paraId="1A1CA9D6" w14:textId="3785C313" w:rsidR="00BE1C58" w:rsidRDefault="00BE1C58" w:rsidP="004F128F">
      <w:pPr>
        <w:pStyle w:val="Bullet1"/>
      </w:pPr>
      <w:r>
        <w:t>10.3</w:t>
      </w:r>
      <w:r w:rsidR="00AA7543">
        <w:t>:</w:t>
      </w:r>
      <w:r>
        <w:t xml:space="preserve"> The organisation reports on the findings of relevant reviews to staff and volunteers, community and families and children and young people.</w:t>
      </w:r>
    </w:p>
    <w:p w14:paraId="38824292" w14:textId="77777777" w:rsidR="009951AD" w:rsidRDefault="00BE1C58" w:rsidP="004F128F">
      <w:pPr>
        <w:pStyle w:val="Heading2notinTOC"/>
      </w:pPr>
      <w:r>
        <w:t>Child Safe Standard 11</w:t>
      </w:r>
    </w:p>
    <w:p w14:paraId="58AC3A8D" w14:textId="130E0043" w:rsidR="00BE1C58" w:rsidRDefault="00BE1C58" w:rsidP="004F128F">
      <w:pPr>
        <w:pStyle w:val="Introtext"/>
      </w:pPr>
      <w:r>
        <w:t>Policies and procedures document how the organisation is safe for children and young people</w:t>
      </w:r>
      <w:r w:rsidR="00AA7543">
        <w:t>.</w:t>
      </w:r>
    </w:p>
    <w:p w14:paraId="624F1BD2" w14:textId="77777777" w:rsidR="00BE1C58" w:rsidRPr="005F4AAB" w:rsidRDefault="00BE1C58" w:rsidP="009951AD">
      <w:pPr>
        <w:pStyle w:val="Body"/>
      </w:pPr>
      <w:r w:rsidRPr="005F4AAB">
        <w:t xml:space="preserve">In complying with Child Safe Standard 11, an organisation must, at a minimum, ensure: </w:t>
      </w:r>
    </w:p>
    <w:p w14:paraId="0FEB3703" w14:textId="41B77462" w:rsidR="00BE1C58" w:rsidRDefault="00BE1C58" w:rsidP="004F128F">
      <w:pPr>
        <w:pStyle w:val="Bullet1"/>
      </w:pPr>
      <w:r>
        <w:t>11.1</w:t>
      </w:r>
      <w:r w:rsidR="00AA7543">
        <w:t>:</w:t>
      </w:r>
      <w:r>
        <w:t xml:space="preserve"> Policies and procedures address all Child Safe Standards.</w:t>
      </w:r>
    </w:p>
    <w:p w14:paraId="4DAA1AE5" w14:textId="5FDA90A4" w:rsidR="00BE1C58" w:rsidRDefault="00BE1C58" w:rsidP="004F128F">
      <w:pPr>
        <w:pStyle w:val="Bullet1"/>
      </w:pPr>
      <w:r>
        <w:t>11.2</w:t>
      </w:r>
      <w:r w:rsidR="00AA7543">
        <w:t>:</w:t>
      </w:r>
      <w:r>
        <w:t xml:space="preserve"> Policies and procedures are documented and easy to understand.</w:t>
      </w:r>
    </w:p>
    <w:p w14:paraId="11D6B4DC" w14:textId="3C1F1892" w:rsidR="00BE1C58" w:rsidRDefault="00BE1C58" w:rsidP="004F128F">
      <w:pPr>
        <w:pStyle w:val="Bullet1"/>
      </w:pPr>
      <w:r>
        <w:t>11.3</w:t>
      </w:r>
      <w:r w:rsidR="00AA7543">
        <w:t>:</w:t>
      </w:r>
      <w:r>
        <w:t xml:space="preserve"> Best practice models and stakeholder consultation informs the development of policies and procedures.</w:t>
      </w:r>
    </w:p>
    <w:p w14:paraId="74E52473" w14:textId="1FEB088C" w:rsidR="00BE1C58" w:rsidRDefault="00BE1C58" w:rsidP="004F128F">
      <w:pPr>
        <w:pStyle w:val="Bullet1"/>
      </w:pPr>
      <w:r>
        <w:t>11.4</w:t>
      </w:r>
      <w:r w:rsidR="00AA7543">
        <w:t>:</w:t>
      </w:r>
      <w:r>
        <w:t xml:space="preserve"> </w:t>
      </w:r>
      <w:proofErr w:type="gramStart"/>
      <w:r>
        <w:t>Leaders</w:t>
      </w:r>
      <w:proofErr w:type="gramEnd"/>
      <w:r>
        <w:t xml:space="preserve"> champion and model compliance with policies and procedures.</w:t>
      </w:r>
    </w:p>
    <w:p w14:paraId="27D6428D" w14:textId="4E469B14" w:rsidR="00213661" w:rsidRDefault="00BE1C58" w:rsidP="004F128F">
      <w:pPr>
        <w:pStyle w:val="Bullet1"/>
      </w:pPr>
      <w:r>
        <w:t>11.5</w:t>
      </w:r>
      <w:r w:rsidR="00AA7543">
        <w:t>:</w:t>
      </w:r>
      <w:r>
        <w:t xml:space="preserve"> Staff and </w:t>
      </w:r>
      <w:r w:rsidRPr="00AA7543">
        <w:t>volunteers</w:t>
      </w:r>
      <w:r>
        <w:t xml:space="preserve"> understand and implement policies and procedures.</w:t>
      </w:r>
    </w:p>
    <w:sectPr w:rsidR="00213661" w:rsidSect="00A62F38">
      <w:headerReference w:type="even" r:id="rId21"/>
      <w:headerReference w:type="default" r:id="rId22"/>
      <w:footerReference w:type="even" r:id="rId23"/>
      <w:footerReference w:type="default" r:id="rId24"/>
      <w:pgSz w:w="11906" w:h="16838" w:code="9"/>
      <w:pgMar w:top="1134" w:right="1021" w:bottom="851" w:left="1021" w:header="680" w:footer="82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C14D" w14:textId="77777777" w:rsidR="00FE1E79" w:rsidRDefault="00FE1E79">
      <w:r>
        <w:separator/>
      </w:r>
    </w:p>
    <w:p w14:paraId="0C4484A3" w14:textId="77777777" w:rsidR="00FE1E79" w:rsidRDefault="00FE1E79"/>
  </w:endnote>
  <w:endnote w:type="continuationSeparator" w:id="0">
    <w:p w14:paraId="2DEE589D" w14:textId="77777777" w:rsidR="00FE1E79" w:rsidRDefault="00FE1E79">
      <w:r>
        <w:continuationSeparator/>
      </w:r>
    </w:p>
    <w:p w14:paraId="2BCA3A01" w14:textId="77777777" w:rsidR="00FE1E79" w:rsidRDefault="00FE1E79"/>
  </w:endnote>
  <w:endnote w:type="continuationNotice" w:id="1">
    <w:p w14:paraId="511F49CB" w14:textId="77777777" w:rsidR="00FE1E79" w:rsidRDefault="00FE1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AB68" w14:textId="4A8776B3" w:rsidR="00EB4BC7" w:rsidRDefault="00EB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63F3" w14:textId="62A7FCCE" w:rsidR="00431A70" w:rsidRDefault="004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4D9" w14:textId="79043C7E" w:rsidR="00EB4BC7" w:rsidRDefault="00EB4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4E35" w14:textId="5B0C4671"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6341" w14:textId="18DA1DEB"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4D0A" w14:textId="77777777" w:rsidR="00FE1E79" w:rsidRDefault="00FE1E79" w:rsidP="00207717">
      <w:pPr>
        <w:spacing w:before="120"/>
      </w:pPr>
      <w:r>
        <w:separator/>
      </w:r>
    </w:p>
  </w:footnote>
  <w:footnote w:type="continuationSeparator" w:id="0">
    <w:p w14:paraId="21B19C69" w14:textId="77777777" w:rsidR="00FE1E79" w:rsidRDefault="00FE1E79">
      <w:r>
        <w:continuationSeparator/>
      </w:r>
    </w:p>
    <w:p w14:paraId="35CA30E7" w14:textId="77777777" w:rsidR="00FE1E79" w:rsidRDefault="00FE1E79"/>
  </w:footnote>
  <w:footnote w:type="continuationNotice" w:id="1">
    <w:p w14:paraId="54A718A9" w14:textId="77777777" w:rsidR="00FE1E79" w:rsidRDefault="00FE1E79">
      <w:pPr>
        <w:spacing w:after="0" w:line="240" w:lineRule="auto"/>
      </w:pPr>
    </w:p>
  </w:footnote>
  <w:footnote w:id="2">
    <w:p w14:paraId="694CCB20" w14:textId="13A1946A" w:rsidR="006569E0" w:rsidRDefault="006569E0" w:rsidP="006569E0">
      <w:pPr>
        <w:pStyle w:val="FootnoteText"/>
      </w:pPr>
      <w:r>
        <w:rPr>
          <w:rStyle w:val="FootnoteReference"/>
        </w:rPr>
        <w:footnoteRef/>
      </w:r>
      <w:r>
        <w:t xml:space="preserve"> For </w:t>
      </w:r>
      <w:r w:rsidR="00B67C77">
        <w:t xml:space="preserve">more </w:t>
      </w:r>
      <w:r>
        <w:t xml:space="preserve">information on the Standards, </w:t>
      </w:r>
      <w:r w:rsidR="00370A2A">
        <w:t xml:space="preserve">read the </w:t>
      </w:r>
      <w:proofErr w:type="gramStart"/>
      <w:r w:rsidR="00370A2A">
        <w:t>Short</w:t>
      </w:r>
      <w:proofErr w:type="gramEnd"/>
      <w:r w:rsidR="00370A2A">
        <w:t xml:space="preserve"> guide to the Child Safe Standards. This is on </w:t>
      </w:r>
      <w:r>
        <w:t xml:space="preserve">the </w:t>
      </w:r>
      <w:hyperlink r:id="rId1" w:anchor="CSS_ShortGuide" w:history="1">
        <w:r w:rsidRPr="00370A2A">
          <w:rPr>
            <w:rStyle w:val="Hyperlink"/>
          </w:rPr>
          <w:t>Commission website</w:t>
        </w:r>
        <w:r w:rsidR="00B67C77" w:rsidRPr="00370A2A">
          <w:rPr>
            <w:rStyle w:val="Hyperlink"/>
          </w:rPr>
          <w:t>’s Resources and support for the Child Safe Standards page</w:t>
        </w:r>
      </w:hyperlink>
      <w:r>
        <w:t xml:space="preserve"> </w:t>
      </w:r>
      <w:r w:rsidR="00370A2A">
        <w:t>&lt;</w:t>
      </w:r>
      <w:r w:rsidR="00B67C77" w:rsidRPr="00623DBF">
        <w:t>https://ccyp.vic.gov.au/resources/child-safe-standards/#CSS_ShortGuide</w:t>
      </w:r>
      <w:r w:rsidR="00370A2A">
        <w:t>&gt;</w:t>
      </w:r>
    </w:p>
  </w:footnote>
  <w:footnote w:id="3">
    <w:p w14:paraId="48083CD1" w14:textId="6FA300DA" w:rsidR="008B37A6" w:rsidRDefault="008B37A6" w:rsidP="008B37A6">
      <w:pPr>
        <w:pStyle w:val="FootnoteText"/>
        <w:rPr>
          <w:szCs w:val="18"/>
        </w:rPr>
      </w:pPr>
      <w:r w:rsidRPr="5F0DCC0F">
        <w:rPr>
          <w:rStyle w:val="FootnoteReference"/>
          <w:szCs w:val="18"/>
        </w:rPr>
        <w:footnoteRef/>
      </w:r>
      <w:r w:rsidRPr="5F0DCC0F">
        <w:rPr>
          <w:szCs w:val="18"/>
        </w:rPr>
        <w:t xml:space="preserve"> S</w:t>
      </w:r>
      <w:r w:rsidR="0009778E">
        <w:rPr>
          <w:szCs w:val="18"/>
        </w:rPr>
        <w:t xml:space="preserve">ection </w:t>
      </w:r>
      <w:r w:rsidRPr="5F0DCC0F">
        <w:rPr>
          <w:szCs w:val="18"/>
        </w:rPr>
        <w:t>22</w:t>
      </w:r>
      <w:r w:rsidR="0009778E">
        <w:rPr>
          <w:szCs w:val="18"/>
        </w:rPr>
        <w:t>,</w:t>
      </w:r>
      <w:r w:rsidRPr="5F0DCC0F">
        <w:rPr>
          <w:szCs w:val="18"/>
        </w:rPr>
        <w:t xml:space="preserve"> Child Wellbeing and Safety Act</w:t>
      </w:r>
    </w:p>
  </w:footnote>
  <w:footnote w:id="4">
    <w:p w14:paraId="4CD4521B" w14:textId="22432411" w:rsidR="00267B13" w:rsidRDefault="00267B13" w:rsidP="00267B13">
      <w:pPr>
        <w:pStyle w:val="FootnoteText"/>
      </w:pPr>
      <w:r>
        <w:rPr>
          <w:rStyle w:val="FootnoteReference"/>
        </w:rPr>
        <w:footnoteRef/>
      </w:r>
      <w:r w:rsidR="007B1E7B" w:rsidDel="007B1E7B">
        <w:t xml:space="preserve"> </w:t>
      </w:r>
      <w:hyperlink r:id="rId2" w:history="1">
        <w:r w:rsidR="007B1E7B" w:rsidRPr="00370A2A">
          <w:rPr>
            <w:rStyle w:val="Hyperlink"/>
          </w:rPr>
          <w:t>Commission website’s Resources and support for the Child Safe Standards page</w:t>
        </w:r>
      </w:hyperlink>
      <w:r w:rsidR="007B1E7B">
        <w:t xml:space="preserve"> &lt;</w:t>
      </w:r>
      <w:r w:rsidR="007B1E7B" w:rsidRPr="00B2316A">
        <w:t>https://ccyp.vic.gov.au/resources/child-safe-standards</w:t>
      </w:r>
      <w:r w:rsidR="007B1E7B">
        <w:t>&gt;</w:t>
      </w:r>
    </w:p>
  </w:footnote>
  <w:footnote w:id="5">
    <w:p w14:paraId="085EBAAA" w14:textId="69EB1468" w:rsidR="00267B13" w:rsidRDefault="00267B13" w:rsidP="00267B13">
      <w:pPr>
        <w:pStyle w:val="FootnoteText"/>
      </w:pPr>
      <w:r>
        <w:rPr>
          <w:rStyle w:val="FootnoteReference"/>
        </w:rPr>
        <w:footnoteRef/>
      </w:r>
      <w:r>
        <w:t xml:space="preserve"> </w:t>
      </w:r>
      <w:r w:rsidR="004313E7">
        <w:t>Section 41E of the Act</w:t>
      </w:r>
      <w:r w:rsidR="004313E7" w:rsidRPr="00F53D04">
        <w:rPr>
          <w:i/>
          <w:iCs/>
        </w:rPr>
        <w:t xml:space="preserve"> </w:t>
      </w:r>
      <w:r w:rsidR="004313E7" w:rsidRPr="000C48F1">
        <w:t>allows</w:t>
      </w:r>
      <w:r w:rsidR="004313E7">
        <w:rPr>
          <w:i/>
          <w:iCs/>
        </w:rPr>
        <w:t xml:space="preserve"> </w:t>
      </w:r>
      <w:r>
        <w:t xml:space="preserve">disclosure to prevent a serious threat of harm to </w:t>
      </w:r>
      <w:r w:rsidR="004313E7">
        <w:t xml:space="preserve">a child’s </w:t>
      </w:r>
      <w:r>
        <w:t xml:space="preserve">health, </w:t>
      </w:r>
      <w:proofErr w:type="gramStart"/>
      <w:r>
        <w:t>safety</w:t>
      </w:r>
      <w:proofErr w:type="gramEnd"/>
      <w:r>
        <w:t xml:space="preserve"> or wellbeing.</w:t>
      </w:r>
    </w:p>
  </w:footnote>
  <w:footnote w:id="6">
    <w:p w14:paraId="5FC0ABF9" w14:textId="2F0DCE19" w:rsidR="00324FB7" w:rsidRPr="007F5A78" w:rsidRDefault="00324FB7">
      <w:pPr>
        <w:pStyle w:val="FootnoteText"/>
      </w:pPr>
      <w:r>
        <w:rPr>
          <w:rStyle w:val="FootnoteReference"/>
        </w:rPr>
        <w:footnoteRef/>
      </w:r>
      <w:r>
        <w:t xml:space="preserve"> </w:t>
      </w:r>
      <w:hyperlink r:id="rId3" w:history="1">
        <w:r w:rsidR="00665D5A">
          <w:rPr>
            <w:rStyle w:val="Hyperlink"/>
          </w:rPr>
          <w:t>Department of Families, Fairness and Housing website's Reporting child abuse page</w:t>
        </w:r>
      </w:hyperlink>
      <w:r w:rsidR="004640DE">
        <w:t xml:space="preserve"> &lt;https://services.dffh.vic.gov.au/reporting-child-abuse&gt;</w:t>
      </w:r>
    </w:p>
  </w:footnote>
  <w:footnote w:id="7">
    <w:p w14:paraId="79CB74B2" w14:textId="77777777" w:rsidR="00F01C7D" w:rsidRDefault="00F01C7D" w:rsidP="00F01C7D">
      <w:pPr>
        <w:pStyle w:val="FootnoteText"/>
      </w:pPr>
      <w:r>
        <w:rPr>
          <w:rStyle w:val="FootnoteReference"/>
        </w:rPr>
        <w:footnoteRef/>
      </w:r>
      <w:r>
        <w:t xml:space="preserve"> Standard 6.2: </w:t>
      </w:r>
      <w:r w:rsidRPr="00E267A3">
        <w:t>Relevant staff and volunteers have current working with children checks or equivalent background checks</w:t>
      </w:r>
    </w:p>
  </w:footnote>
  <w:footnote w:id="8">
    <w:p w14:paraId="3C9E35B4" w14:textId="77777777" w:rsidR="00F01C7D" w:rsidRDefault="00F01C7D" w:rsidP="00F01C7D">
      <w:pPr>
        <w:pStyle w:val="FootnoteText"/>
      </w:pPr>
      <w:r>
        <w:rPr>
          <w:rStyle w:val="FootnoteReference"/>
        </w:rPr>
        <w:footnoteRef/>
      </w:r>
      <w:r>
        <w:t xml:space="preserve"> Standard 7.3: </w:t>
      </w:r>
      <w:r w:rsidRPr="00D24AA9">
        <w:t>Complaints are taken seriously, and responded to promptly and thoroughly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087" w14:textId="77777777" w:rsidR="00F457C7" w:rsidRDefault="00F45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B60B" w14:textId="77777777" w:rsidR="00F457C7" w:rsidRDefault="00F45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E49" w14:textId="77777777" w:rsidR="00F457C7" w:rsidRDefault="00F45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F33"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8515" w14:textId="2258880E" w:rsidR="00562811" w:rsidRPr="0051568D" w:rsidRDefault="00BE1C58" w:rsidP="0017674D">
    <w:pPr>
      <w:pStyle w:val="Header"/>
    </w:pPr>
    <w:r w:rsidRPr="00BE1C58">
      <w:t>Compliance and enforcement policy</w:t>
    </w:r>
    <w:r>
      <w:t>:</w:t>
    </w:r>
    <w:r w:rsidRPr="00BE1C58">
      <w:t xml:space="preserve"> </w:t>
    </w:r>
    <w:r>
      <w:t>Child Safe Standards Regulator (Health)</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567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A3C015F"/>
    <w:multiLevelType w:val="hybridMultilevel"/>
    <w:tmpl w:val="6E88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96617EC"/>
    <w:multiLevelType w:val="hybridMultilevel"/>
    <w:tmpl w:val="956C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6"/>
  </w:num>
  <w:num w:numId="43">
    <w:abstractNumId w:val="18"/>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E0"/>
    <w:rsid w:val="00000719"/>
    <w:rsid w:val="00002D68"/>
    <w:rsid w:val="000033F7"/>
    <w:rsid w:val="00003403"/>
    <w:rsid w:val="00005347"/>
    <w:rsid w:val="0000572C"/>
    <w:rsid w:val="000072B6"/>
    <w:rsid w:val="0001021B"/>
    <w:rsid w:val="00010867"/>
    <w:rsid w:val="00011D89"/>
    <w:rsid w:val="00013302"/>
    <w:rsid w:val="00013885"/>
    <w:rsid w:val="000154FD"/>
    <w:rsid w:val="000169DB"/>
    <w:rsid w:val="00020DD5"/>
    <w:rsid w:val="00022271"/>
    <w:rsid w:val="000235E8"/>
    <w:rsid w:val="00024485"/>
    <w:rsid w:val="00024CCB"/>
    <w:rsid w:val="00024D89"/>
    <w:rsid w:val="000250B6"/>
    <w:rsid w:val="00026540"/>
    <w:rsid w:val="00030CDD"/>
    <w:rsid w:val="00033D81"/>
    <w:rsid w:val="00033DC9"/>
    <w:rsid w:val="00037366"/>
    <w:rsid w:val="00041BF0"/>
    <w:rsid w:val="00042C8A"/>
    <w:rsid w:val="0004536B"/>
    <w:rsid w:val="00046B68"/>
    <w:rsid w:val="000527DD"/>
    <w:rsid w:val="00055ED6"/>
    <w:rsid w:val="00056EC4"/>
    <w:rsid w:val="000578B2"/>
    <w:rsid w:val="00060959"/>
    <w:rsid w:val="00060C8F"/>
    <w:rsid w:val="000618CA"/>
    <w:rsid w:val="00062422"/>
    <w:rsid w:val="0006298A"/>
    <w:rsid w:val="000663CD"/>
    <w:rsid w:val="000668CB"/>
    <w:rsid w:val="00070285"/>
    <w:rsid w:val="00072591"/>
    <w:rsid w:val="000733FE"/>
    <w:rsid w:val="00074219"/>
    <w:rsid w:val="00074ED5"/>
    <w:rsid w:val="0008204A"/>
    <w:rsid w:val="0008508E"/>
    <w:rsid w:val="00087951"/>
    <w:rsid w:val="00090F0C"/>
    <w:rsid w:val="0009113B"/>
    <w:rsid w:val="00093402"/>
    <w:rsid w:val="00094DA3"/>
    <w:rsid w:val="00096CD1"/>
    <w:rsid w:val="0009778E"/>
    <w:rsid w:val="000A012C"/>
    <w:rsid w:val="000A0EB9"/>
    <w:rsid w:val="000A186C"/>
    <w:rsid w:val="000A1EA4"/>
    <w:rsid w:val="000A2476"/>
    <w:rsid w:val="000A641A"/>
    <w:rsid w:val="000B07DB"/>
    <w:rsid w:val="000B1819"/>
    <w:rsid w:val="000B1B80"/>
    <w:rsid w:val="000B2A39"/>
    <w:rsid w:val="000B3EDB"/>
    <w:rsid w:val="000B543D"/>
    <w:rsid w:val="000B55F9"/>
    <w:rsid w:val="000B5BF7"/>
    <w:rsid w:val="000B6BC8"/>
    <w:rsid w:val="000C0303"/>
    <w:rsid w:val="000C2BF3"/>
    <w:rsid w:val="000C322D"/>
    <w:rsid w:val="000C42EA"/>
    <w:rsid w:val="000C4546"/>
    <w:rsid w:val="000C48F1"/>
    <w:rsid w:val="000C7ED3"/>
    <w:rsid w:val="000D1242"/>
    <w:rsid w:val="000D2ABA"/>
    <w:rsid w:val="000D5773"/>
    <w:rsid w:val="000D6EF7"/>
    <w:rsid w:val="000D7B3E"/>
    <w:rsid w:val="000E0970"/>
    <w:rsid w:val="000E3CC7"/>
    <w:rsid w:val="000E46FF"/>
    <w:rsid w:val="000E51C8"/>
    <w:rsid w:val="000E6BD4"/>
    <w:rsid w:val="000E6D6D"/>
    <w:rsid w:val="000F1F1E"/>
    <w:rsid w:val="000F2259"/>
    <w:rsid w:val="000F2432"/>
    <w:rsid w:val="000F2DDA"/>
    <w:rsid w:val="000F2EA0"/>
    <w:rsid w:val="000F34EC"/>
    <w:rsid w:val="000F517A"/>
    <w:rsid w:val="000F5213"/>
    <w:rsid w:val="000F6774"/>
    <w:rsid w:val="000F72F7"/>
    <w:rsid w:val="00101001"/>
    <w:rsid w:val="00102BAB"/>
    <w:rsid w:val="00103276"/>
    <w:rsid w:val="0010392D"/>
    <w:rsid w:val="0010447F"/>
    <w:rsid w:val="00104FE3"/>
    <w:rsid w:val="0010510D"/>
    <w:rsid w:val="0010714F"/>
    <w:rsid w:val="001120C5"/>
    <w:rsid w:val="001146C0"/>
    <w:rsid w:val="00115151"/>
    <w:rsid w:val="00116696"/>
    <w:rsid w:val="00117AC2"/>
    <w:rsid w:val="00120BD3"/>
    <w:rsid w:val="00122686"/>
    <w:rsid w:val="00122FEA"/>
    <w:rsid w:val="001232BD"/>
    <w:rsid w:val="001236DC"/>
    <w:rsid w:val="00124ED5"/>
    <w:rsid w:val="001276FA"/>
    <w:rsid w:val="00131413"/>
    <w:rsid w:val="001405DB"/>
    <w:rsid w:val="0014206C"/>
    <w:rsid w:val="00143953"/>
    <w:rsid w:val="00143CB3"/>
    <w:rsid w:val="001447B3"/>
    <w:rsid w:val="00152073"/>
    <w:rsid w:val="00152329"/>
    <w:rsid w:val="00154490"/>
    <w:rsid w:val="00156598"/>
    <w:rsid w:val="00161939"/>
    <w:rsid w:val="00161AA0"/>
    <w:rsid w:val="00161D2E"/>
    <w:rsid w:val="00161F3E"/>
    <w:rsid w:val="00162093"/>
    <w:rsid w:val="00162CA9"/>
    <w:rsid w:val="00165459"/>
    <w:rsid w:val="00165A57"/>
    <w:rsid w:val="0017124B"/>
    <w:rsid w:val="001712C2"/>
    <w:rsid w:val="00172BAF"/>
    <w:rsid w:val="0017674D"/>
    <w:rsid w:val="001771DD"/>
    <w:rsid w:val="00177995"/>
    <w:rsid w:val="00177A8C"/>
    <w:rsid w:val="0018244E"/>
    <w:rsid w:val="001840A2"/>
    <w:rsid w:val="00186B33"/>
    <w:rsid w:val="00192F9D"/>
    <w:rsid w:val="00193C90"/>
    <w:rsid w:val="00196EB8"/>
    <w:rsid w:val="00196EFB"/>
    <w:rsid w:val="001979FF"/>
    <w:rsid w:val="00197B17"/>
    <w:rsid w:val="001A1950"/>
    <w:rsid w:val="001A1C54"/>
    <w:rsid w:val="001A1CF8"/>
    <w:rsid w:val="001A3ACE"/>
    <w:rsid w:val="001A6272"/>
    <w:rsid w:val="001A7FB2"/>
    <w:rsid w:val="001B058F"/>
    <w:rsid w:val="001B6B96"/>
    <w:rsid w:val="001B6FA0"/>
    <w:rsid w:val="001B738B"/>
    <w:rsid w:val="001C09DB"/>
    <w:rsid w:val="001C277E"/>
    <w:rsid w:val="001C2A72"/>
    <w:rsid w:val="001C31B7"/>
    <w:rsid w:val="001D0B75"/>
    <w:rsid w:val="001D1BDB"/>
    <w:rsid w:val="001D39A5"/>
    <w:rsid w:val="001D3C09"/>
    <w:rsid w:val="001D44E8"/>
    <w:rsid w:val="001D60EC"/>
    <w:rsid w:val="001D6F59"/>
    <w:rsid w:val="001E44DF"/>
    <w:rsid w:val="001E479F"/>
    <w:rsid w:val="001E68A5"/>
    <w:rsid w:val="001E6BB0"/>
    <w:rsid w:val="001E7282"/>
    <w:rsid w:val="001F32A7"/>
    <w:rsid w:val="001F3826"/>
    <w:rsid w:val="001F4E76"/>
    <w:rsid w:val="001F6E46"/>
    <w:rsid w:val="001F7C91"/>
    <w:rsid w:val="00201C0D"/>
    <w:rsid w:val="002033B7"/>
    <w:rsid w:val="00206463"/>
    <w:rsid w:val="00206F2F"/>
    <w:rsid w:val="00207717"/>
    <w:rsid w:val="0021053D"/>
    <w:rsid w:val="00210A92"/>
    <w:rsid w:val="00212B95"/>
    <w:rsid w:val="00213661"/>
    <w:rsid w:val="00215CC8"/>
    <w:rsid w:val="00216C03"/>
    <w:rsid w:val="00220A1A"/>
    <w:rsid w:val="00220C04"/>
    <w:rsid w:val="0022278D"/>
    <w:rsid w:val="0022701F"/>
    <w:rsid w:val="00227C68"/>
    <w:rsid w:val="0023130C"/>
    <w:rsid w:val="002333F5"/>
    <w:rsid w:val="00233724"/>
    <w:rsid w:val="00234CEE"/>
    <w:rsid w:val="00235EE9"/>
    <w:rsid w:val="002365B4"/>
    <w:rsid w:val="002432E1"/>
    <w:rsid w:val="0024454F"/>
    <w:rsid w:val="00246207"/>
    <w:rsid w:val="00246C5E"/>
    <w:rsid w:val="00246E9D"/>
    <w:rsid w:val="00250960"/>
    <w:rsid w:val="00251343"/>
    <w:rsid w:val="002536A4"/>
    <w:rsid w:val="00254F58"/>
    <w:rsid w:val="002620BC"/>
    <w:rsid w:val="00262802"/>
    <w:rsid w:val="00263A90"/>
    <w:rsid w:val="0026408B"/>
    <w:rsid w:val="00266A74"/>
    <w:rsid w:val="00267B13"/>
    <w:rsid w:val="00267C3E"/>
    <w:rsid w:val="002709BB"/>
    <w:rsid w:val="0027131C"/>
    <w:rsid w:val="00273BAC"/>
    <w:rsid w:val="002763B3"/>
    <w:rsid w:val="002802E3"/>
    <w:rsid w:val="0028213D"/>
    <w:rsid w:val="002862F1"/>
    <w:rsid w:val="00291373"/>
    <w:rsid w:val="0029287C"/>
    <w:rsid w:val="0029588F"/>
    <w:rsid w:val="0029597D"/>
    <w:rsid w:val="002962C3"/>
    <w:rsid w:val="00296704"/>
    <w:rsid w:val="0029752B"/>
    <w:rsid w:val="002A0A9C"/>
    <w:rsid w:val="002A129E"/>
    <w:rsid w:val="002A25B9"/>
    <w:rsid w:val="002A483C"/>
    <w:rsid w:val="002B0C7C"/>
    <w:rsid w:val="002B1729"/>
    <w:rsid w:val="002B36C7"/>
    <w:rsid w:val="002B4DD4"/>
    <w:rsid w:val="002B5277"/>
    <w:rsid w:val="002B5375"/>
    <w:rsid w:val="002B77C1"/>
    <w:rsid w:val="002B7BB9"/>
    <w:rsid w:val="002C0ED7"/>
    <w:rsid w:val="002C22B5"/>
    <w:rsid w:val="002C2728"/>
    <w:rsid w:val="002C4709"/>
    <w:rsid w:val="002C5B7C"/>
    <w:rsid w:val="002C6ACC"/>
    <w:rsid w:val="002D18D0"/>
    <w:rsid w:val="002D1E0D"/>
    <w:rsid w:val="002D2DBE"/>
    <w:rsid w:val="002D4736"/>
    <w:rsid w:val="002D5006"/>
    <w:rsid w:val="002D7C61"/>
    <w:rsid w:val="002E01D0"/>
    <w:rsid w:val="002E161D"/>
    <w:rsid w:val="002E28A2"/>
    <w:rsid w:val="002E3100"/>
    <w:rsid w:val="002E6C95"/>
    <w:rsid w:val="002E7C36"/>
    <w:rsid w:val="002F3D32"/>
    <w:rsid w:val="002F5F31"/>
    <w:rsid w:val="002F5F46"/>
    <w:rsid w:val="00302216"/>
    <w:rsid w:val="00303979"/>
    <w:rsid w:val="003039EC"/>
    <w:rsid w:val="00303E53"/>
    <w:rsid w:val="00305CC1"/>
    <w:rsid w:val="00306E5F"/>
    <w:rsid w:val="00307E14"/>
    <w:rsid w:val="00310FD5"/>
    <w:rsid w:val="003125E1"/>
    <w:rsid w:val="00313D7D"/>
    <w:rsid w:val="00314054"/>
    <w:rsid w:val="00316F27"/>
    <w:rsid w:val="003174ED"/>
    <w:rsid w:val="003214F1"/>
    <w:rsid w:val="00322E4B"/>
    <w:rsid w:val="00324FB7"/>
    <w:rsid w:val="00327870"/>
    <w:rsid w:val="0033259D"/>
    <w:rsid w:val="003333D2"/>
    <w:rsid w:val="00334686"/>
    <w:rsid w:val="00337339"/>
    <w:rsid w:val="00337494"/>
    <w:rsid w:val="00340345"/>
    <w:rsid w:val="003406C6"/>
    <w:rsid w:val="003418CC"/>
    <w:rsid w:val="003434EE"/>
    <w:rsid w:val="003459BD"/>
    <w:rsid w:val="00346A1C"/>
    <w:rsid w:val="00350D38"/>
    <w:rsid w:val="00351B36"/>
    <w:rsid w:val="00352E5E"/>
    <w:rsid w:val="003567DB"/>
    <w:rsid w:val="00357B4E"/>
    <w:rsid w:val="00362D8A"/>
    <w:rsid w:val="00370A2A"/>
    <w:rsid w:val="003716FD"/>
    <w:rsid w:val="0037204B"/>
    <w:rsid w:val="003744CF"/>
    <w:rsid w:val="00374717"/>
    <w:rsid w:val="0037676C"/>
    <w:rsid w:val="00377505"/>
    <w:rsid w:val="00381043"/>
    <w:rsid w:val="003829E5"/>
    <w:rsid w:val="00382FC7"/>
    <w:rsid w:val="0038349E"/>
    <w:rsid w:val="0038355E"/>
    <w:rsid w:val="00386109"/>
    <w:rsid w:val="00386944"/>
    <w:rsid w:val="003941EA"/>
    <w:rsid w:val="003956CC"/>
    <w:rsid w:val="003958D3"/>
    <w:rsid w:val="00395C9A"/>
    <w:rsid w:val="00397EA4"/>
    <w:rsid w:val="003A0853"/>
    <w:rsid w:val="003A23D7"/>
    <w:rsid w:val="003A66AF"/>
    <w:rsid w:val="003A6B67"/>
    <w:rsid w:val="003B13B6"/>
    <w:rsid w:val="003B14C3"/>
    <w:rsid w:val="003B15E6"/>
    <w:rsid w:val="003B22EF"/>
    <w:rsid w:val="003B2780"/>
    <w:rsid w:val="003B3CD8"/>
    <w:rsid w:val="003B408A"/>
    <w:rsid w:val="003B4A63"/>
    <w:rsid w:val="003B69CD"/>
    <w:rsid w:val="003C08A2"/>
    <w:rsid w:val="003C12D8"/>
    <w:rsid w:val="003C2045"/>
    <w:rsid w:val="003C2383"/>
    <w:rsid w:val="003C41ED"/>
    <w:rsid w:val="003C43A1"/>
    <w:rsid w:val="003C4FC0"/>
    <w:rsid w:val="003C55F4"/>
    <w:rsid w:val="003C6345"/>
    <w:rsid w:val="003C7897"/>
    <w:rsid w:val="003C7A3F"/>
    <w:rsid w:val="003D091D"/>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3C3"/>
    <w:rsid w:val="003F3C62"/>
    <w:rsid w:val="003F5CB9"/>
    <w:rsid w:val="004013C7"/>
    <w:rsid w:val="00401FCF"/>
    <w:rsid w:val="00405805"/>
    <w:rsid w:val="00406285"/>
    <w:rsid w:val="004115A2"/>
    <w:rsid w:val="004148F9"/>
    <w:rsid w:val="0042084E"/>
    <w:rsid w:val="00421EEF"/>
    <w:rsid w:val="00424D65"/>
    <w:rsid w:val="00430393"/>
    <w:rsid w:val="004313E7"/>
    <w:rsid w:val="00431806"/>
    <w:rsid w:val="00431A70"/>
    <w:rsid w:val="00431F42"/>
    <w:rsid w:val="00440C15"/>
    <w:rsid w:val="00442C6C"/>
    <w:rsid w:val="00443CBE"/>
    <w:rsid w:val="00443E8A"/>
    <w:rsid w:val="004441BC"/>
    <w:rsid w:val="00444682"/>
    <w:rsid w:val="004468B4"/>
    <w:rsid w:val="00446D86"/>
    <w:rsid w:val="00450695"/>
    <w:rsid w:val="0045230A"/>
    <w:rsid w:val="004536A4"/>
    <w:rsid w:val="00453BB7"/>
    <w:rsid w:val="00453DD7"/>
    <w:rsid w:val="00454A7D"/>
    <w:rsid w:val="00454AD0"/>
    <w:rsid w:val="00457337"/>
    <w:rsid w:val="00461426"/>
    <w:rsid w:val="00462E3D"/>
    <w:rsid w:val="004640DE"/>
    <w:rsid w:val="00466680"/>
    <w:rsid w:val="00466E79"/>
    <w:rsid w:val="00470D7D"/>
    <w:rsid w:val="0047372D"/>
    <w:rsid w:val="00473BA3"/>
    <w:rsid w:val="004743DD"/>
    <w:rsid w:val="00474CEA"/>
    <w:rsid w:val="00475D6C"/>
    <w:rsid w:val="00483968"/>
    <w:rsid w:val="004841BE"/>
    <w:rsid w:val="00484F86"/>
    <w:rsid w:val="00490746"/>
    <w:rsid w:val="00490852"/>
    <w:rsid w:val="00491C9C"/>
    <w:rsid w:val="00492F30"/>
    <w:rsid w:val="004946F4"/>
    <w:rsid w:val="0049487E"/>
    <w:rsid w:val="00495DB4"/>
    <w:rsid w:val="004965C0"/>
    <w:rsid w:val="004A160D"/>
    <w:rsid w:val="004A298A"/>
    <w:rsid w:val="004A3E81"/>
    <w:rsid w:val="004A4195"/>
    <w:rsid w:val="004A52AB"/>
    <w:rsid w:val="004A5C62"/>
    <w:rsid w:val="004A5CE5"/>
    <w:rsid w:val="004A707D"/>
    <w:rsid w:val="004B0948"/>
    <w:rsid w:val="004B0974"/>
    <w:rsid w:val="004B3CBD"/>
    <w:rsid w:val="004B4185"/>
    <w:rsid w:val="004B602B"/>
    <w:rsid w:val="004B7F06"/>
    <w:rsid w:val="004C5541"/>
    <w:rsid w:val="004C6EEE"/>
    <w:rsid w:val="004C702B"/>
    <w:rsid w:val="004D0033"/>
    <w:rsid w:val="004D016B"/>
    <w:rsid w:val="004D01C6"/>
    <w:rsid w:val="004D0EC4"/>
    <w:rsid w:val="004D1B22"/>
    <w:rsid w:val="004D23CC"/>
    <w:rsid w:val="004D36F2"/>
    <w:rsid w:val="004D3BE3"/>
    <w:rsid w:val="004E1106"/>
    <w:rsid w:val="004E138F"/>
    <w:rsid w:val="004E4649"/>
    <w:rsid w:val="004E48B8"/>
    <w:rsid w:val="004E5C2B"/>
    <w:rsid w:val="004E72A1"/>
    <w:rsid w:val="004F00DD"/>
    <w:rsid w:val="004F128F"/>
    <w:rsid w:val="004F2133"/>
    <w:rsid w:val="004F2556"/>
    <w:rsid w:val="004F5231"/>
    <w:rsid w:val="004F5398"/>
    <w:rsid w:val="004F55F1"/>
    <w:rsid w:val="004F6936"/>
    <w:rsid w:val="0050169A"/>
    <w:rsid w:val="00503DC6"/>
    <w:rsid w:val="00505775"/>
    <w:rsid w:val="00506F5D"/>
    <w:rsid w:val="00510C37"/>
    <w:rsid w:val="005126D0"/>
    <w:rsid w:val="00513363"/>
    <w:rsid w:val="00514667"/>
    <w:rsid w:val="00514D9F"/>
    <w:rsid w:val="0051568D"/>
    <w:rsid w:val="0052587C"/>
    <w:rsid w:val="00525F6F"/>
    <w:rsid w:val="00526372"/>
    <w:rsid w:val="00526AC7"/>
    <w:rsid w:val="00526C15"/>
    <w:rsid w:val="00532B67"/>
    <w:rsid w:val="0053419F"/>
    <w:rsid w:val="00536499"/>
    <w:rsid w:val="00542A03"/>
    <w:rsid w:val="00543903"/>
    <w:rsid w:val="00543BCC"/>
    <w:rsid w:val="00543F11"/>
    <w:rsid w:val="00544135"/>
    <w:rsid w:val="005442DC"/>
    <w:rsid w:val="005443DF"/>
    <w:rsid w:val="00546305"/>
    <w:rsid w:val="00547A95"/>
    <w:rsid w:val="0055119B"/>
    <w:rsid w:val="0055563B"/>
    <w:rsid w:val="00561202"/>
    <w:rsid w:val="00562507"/>
    <w:rsid w:val="00562811"/>
    <w:rsid w:val="0056335D"/>
    <w:rsid w:val="00564610"/>
    <w:rsid w:val="0056690E"/>
    <w:rsid w:val="00572031"/>
    <w:rsid w:val="00572282"/>
    <w:rsid w:val="00573CE3"/>
    <w:rsid w:val="00575F84"/>
    <w:rsid w:val="00575FB9"/>
    <w:rsid w:val="00576E84"/>
    <w:rsid w:val="005774BE"/>
    <w:rsid w:val="00580394"/>
    <w:rsid w:val="005809CD"/>
    <w:rsid w:val="00582B8C"/>
    <w:rsid w:val="0058757E"/>
    <w:rsid w:val="00595EF7"/>
    <w:rsid w:val="00596A4B"/>
    <w:rsid w:val="00596B80"/>
    <w:rsid w:val="00597507"/>
    <w:rsid w:val="005A1B94"/>
    <w:rsid w:val="005A479D"/>
    <w:rsid w:val="005B1C6D"/>
    <w:rsid w:val="005B21B6"/>
    <w:rsid w:val="005B3A08"/>
    <w:rsid w:val="005B4F38"/>
    <w:rsid w:val="005B538B"/>
    <w:rsid w:val="005B5C8C"/>
    <w:rsid w:val="005B7A63"/>
    <w:rsid w:val="005C0955"/>
    <w:rsid w:val="005C0D82"/>
    <w:rsid w:val="005C49DA"/>
    <w:rsid w:val="005C50F3"/>
    <w:rsid w:val="005C54B5"/>
    <w:rsid w:val="005C5D80"/>
    <w:rsid w:val="005C5D91"/>
    <w:rsid w:val="005D07B8"/>
    <w:rsid w:val="005D2A97"/>
    <w:rsid w:val="005D6597"/>
    <w:rsid w:val="005D7209"/>
    <w:rsid w:val="005E14E7"/>
    <w:rsid w:val="005E2464"/>
    <w:rsid w:val="005E26A3"/>
    <w:rsid w:val="005E2ECB"/>
    <w:rsid w:val="005E447E"/>
    <w:rsid w:val="005E4FD1"/>
    <w:rsid w:val="005F0775"/>
    <w:rsid w:val="005F0CF5"/>
    <w:rsid w:val="005F21EB"/>
    <w:rsid w:val="005F424B"/>
    <w:rsid w:val="005F4B02"/>
    <w:rsid w:val="005F648A"/>
    <w:rsid w:val="005F64CF"/>
    <w:rsid w:val="006041AD"/>
    <w:rsid w:val="00605908"/>
    <w:rsid w:val="00607850"/>
    <w:rsid w:val="00607EF7"/>
    <w:rsid w:val="0061034E"/>
    <w:rsid w:val="00610D7C"/>
    <w:rsid w:val="00611A1F"/>
    <w:rsid w:val="00613414"/>
    <w:rsid w:val="00620154"/>
    <w:rsid w:val="00623DBF"/>
    <w:rsid w:val="0062408D"/>
    <w:rsid w:val="006240CC"/>
    <w:rsid w:val="006244AB"/>
    <w:rsid w:val="00624940"/>
    <w:rsid w:val="0062519F"/>
    <w:rsid w:val="006254F8"/>
    <w:rsid w:val="00626BA8"/>
    <w:rsid w:val="00627DA7"/>
    <w:rsid w:val="00630DA4"/>
    <w:rsid w:val="00631CD4"/>
    <w:rsid w:val="006323EE"/>
    <w:rsid w:val="00632597"/>
    <w:rsid w:val="0063488A"/>
    <w:rsid w:val="00634D13"/>
    <w:rsid w:val="006358B4"/>
    <w:rsid w:val="0063661C"/>
    <w:rsid w:val="00636F42"/>
    <w:rsid w:val="00641102"/>
    <w:rsid w:val="00641182"/>
    <w:rsid w:val="00641724"/>
    <w:rsid w:val="006419AA"/>
    <w:rsid w:val="006423EA"/>
    <w:rsid w:val="00644B1F"/>
    <w:rsid w:val="00644B7E"/>
    <w:rsid w:val="006454E6"/>
    <w:rsid w:val="00646077"/>
    <w:rsid w:val="00646235"/>
    <w:rsid w:val="00646A68"/>
    <w:rsid w:val="006505BD"/>
    <w:rsid w:val="006508EA"/>
    <w:rsid w:val="0065092E"/>
    <w:rsid w:val="006557A7"/>
    <w:rsid w:val="00656290"/>
    <w:rsid w:val="006569E0"/>
    <w:rsid w:val="006601C9"/>
    <w:rsid w:val="006608D8"/>
    <w:rsid w:val="00661EC6"/>
    <w:rsid w:val="006621D7"/>
    <w:rsid w:val="00662C4D"/>
    <w:rsid w:val="0066302A"/>
    <w:rsid w:val="00665232"/>
    <w:rsid w:val="00665D5A"/>
    <w:rsid w:val="0066690A"/>
    <w:rsid w:val="00667770"/>
    <w:rsid w:val="00670597"/>
    <w:rsid w:val="006706D0"/>
    <w:rsid w:val="006715E0"/>
    <w:rsid w:val="00677574"/>
    <w:rsid w:val="006812ED"/>
    <w:rsid w:val="00683878"/>
    <w:rsid w:val="006839CE"/>
    <w:rsid w:val="00684380"/>
    <w:rsid w:val="0068454C"/>
    <w:rsid w:val="006854E9"/>
    <w:rsid w:val="00686058"/>
    <w:rsid w:val="00691B62"/>
    <w:rsid w:val="00692BA6"/>
    <w:rsid w:val="0069320C"/>
    <w:rsid w:val="006933B5"/>
    <w:rsid w:val="00693C67"/>
    <w:rsid w:val="00693D14"/>
    <w:rsid w:val="00694409"/>
    <w:rsid w:val="00694C93"/>
    <w:rsid w:val="00696F27"/>
    <w:rsid w:val="00697E78"/>
    <w:rsid w:val="006A18C2"/>
    <w:rsid w:val="006A3383"/>
    <w:rsid w:val="006A3C3B"/>
    <w:rsid w:val="006A454C"/>
    <w:rsid w:val="006B077C"/>
    <w:rsid w:val="006B1C76"/>
    <w:rsid w:val="006B5BE1"/>
    <w:rsid w:val="006B6803"/>
    <w:rsid w:val="006B6B3A"/>
    <w:rsid w:val="006C2066"/>
    <w:rsid w:val="006C2BB6"/>
    <w:rsid w:val="006C6A8C"/>
    <w:rsid w:val="006D0F16"/>
    <w:rsid w:val="006D1AE5"/>
    <w:rsid w:val="006D2A3F"/>
    <w:rsid w:val="006D2FBC"/>
    <w:rsid w:val="006D4D41"/>
    <w:rsid w:val="006D6E34"/>
    <w:rsid w:val="006E071D"/>
    <w:rsid w:val="006E138B"/>
    <w:rsid w:val="006E1867"/>
    <w:rsid w:val="006E3C93"/>
    <w:rsid w:val="006E43F1"/>
    <w:rsid w:val="006E6698"/>
    <w:rsid w:val="006F0330"/>
    <w:rsid w:val="006F1FDC"/>
    <w:rsid w:val="006F530C"/>
    <w:rsid w:val="006F5730"/>
    <w:rsid w:val="006F6B8C"/>
    <w:rsid w:val="006F7595"/>
    <w:rsid w:val="007006B6"/>
    <w:rsid w:val="007013EF"/>
    <w:rsid w:val="00701E00"/>
    <w:rsid w:val="00702BD4"/>
    <w:rsid w:val="007055BD"/>
    <w:rsid w:val="00705D0C"/>
    <w:rsid w:val="00707E3E"/>
    <w:rsid w:val="0071362E"/>
    <w:rsid w:val="007173CA"/>
    <w:rsid w:val="007216AA"/>
    <w:rsid w:val="00721AB5"/>
    <w:rsid w:val="00721CFB"/>
    <w:rsid w:val="00721DEF"/>
    <w:rsid w:val="00723B03"/>
    <w:rsid w:val="00724A43"/>
    <w:rsid w:val="00725FEC"/>
    <w:rsid w:val="007273AC"/>
    <w:rsid w:val="00727A3F"/>
    <w:rsid w:val="00731AD4"/>
    <w:rsid w:val="007321BA"/>
    <w:rsid w:val="007346E4"/>
    <w:rsid w:val="00735564"/>
    <w:rsid w:val="007379F1"/>
    <w:rsid w:val="00740F22"/>
    <w:rsid w:val="00741CF0"/>
    <w:rsid w:val="00741F1A"/>
    <w:rsid w:val="00742960"/>
    <w:rsid w:val="007447DA"/>
    <w:rsid w:val="007450F8"/>
    <w:rsid w:val="0074696E"/>
    <w:rsid w:val="00750135"/>
    <w:rsid w:val="00750EC2"/>
    <w:rsid w:val="00752B28"/>
    <w:rsid w:val="007536BC"/>
    <w:rsid w:val="0075418E"/>
    <w:rsid w:val="007541A9"/>
    <w:rsid w:val="00754E36"/>
    <w:rsid w:val="007573A7"/>
    <w:rsid w:val="00760416"/>
    <w:rsid w:val="0076062F"/>
    <w:rsid w:val="00763139"/>
    <w:rsid w:val="00764023"/>
    <w:rsid w:val="00765082"/>
    <w:rsid w:val="00765B96"/>
    <w:rsid w:val="007666E1"/>
    <w:rsid w:val="00770F37"/>
    <w:rsid w:val="007711A0"/>
    <w:rsid w:val="00772D5E"/>
    <w:rsid w:val="0077463E"/>
    <w:rsid w:val="00776394"/>
    <w:rsid w:val="00776928"/>
    <w:rsid w:val="00776D56"/>
    <w:rsid w:val="00776E0F"/>
    <w:rsid w:val="007774B1"/>
    <w:rsid w:val="00777BE1"/>
    <w:rsid w:val="00782222"/>
    <w:rsid w:val="007833D8"/>
    <w:rsid w:val="00785677"/>
    <w:rsid w:val="00786CD4"/>
    <w:rsid w:val="00786F16"/>
    <w:rsid w:val="00787BC7"/>
    <w:rsid w:val="00791BD7"/>
    <w:rsid w:val="00792FCF"/>
    <w:rsid w:val="007933F7"/>
    <w:rsid w:val="00795D4A"/>
    <w:rsid w:val="00795EC5"/>
    <w:rsid w:val="00796E20"/>
    <w:rsid w:val="00797C32"/>
    <w:rsid w:val="007A11E8"/>
    <w:rsid w:val="007A6CAB"/>
    <w:rsid w:val="007B0914"/>
    <w:rsid w:val="007B1374"/>
    <w:rsid w:val="007B1E7B"/>
    <w:rsid w:val="007B32E5"/>
    <w:rsid w:val="007B3DB9"/>
    <w:rsid w:val="007B589F"/>
    <w:rsid w:val="007B6186"/>
    <w:rsid w:val="007B73BC"/>
    <w:rsid w:val="007B7ADA"/>
    <w:rsid w:val="007C1838"/>
    <w:rsid w:val="007C20B9"/>
    <w:rsid w:val="007C22B5"/>
    <w:rsid w:val="007C5E59"/>
    <w:rsid w:val="007C7301"/>
    <w:rsid w:val="007C7859"/>
    <w:rsid w:val="007C7F28"/>
    <w:rsid w:val="007D1466"/>
    <w:rsid w:val="007D2BDE"/>
    <w:rsid w:val="007D2FB6"/>
    <w:rsid w:val="007D49EB"/>
    <w:rsid w:val="007D5E1C"/>
    <w:rsid w:val="007D5ED8"/>
    <w:rsid w:val="007D7E8E"/>
    <w:rsid w:val="007E0DE2"/>
    <w:rsid w:val="007E3667"/>
    <w:rsid w:val="007E3B98"/>
    <w:rsid w:val="007E417A"/>
    <w:rsid w:val="007E548D"/>
    <w:rsid w:val="007F31B6"/>
    <w:rsid w:val="007F546C"/>
    <w:rsid w:val="007F5A78"/>
    <w:rsid w:val="007F625F"/>
    <w:rsid w:val="007F665E"/>
    <w:rsid w:val="00800412"/>
    <w:rsid w:val="0080217F"/>
    <w:rsid w:val="00804A69"/>
    <w:rsid w:val="0080587B"/>
    <w:rsid w:val="00806468"/>
    <w:rsid w:val="008119CA"/>
    <w:rsid w:val="008130C4"/>
    <w:rsid w:val="00814F0C"/>
    <w:rsid w:val="008155F0"/>
    <w:rsid w:val="00816735"/>
    <w:rsid w:val="00820141"/>
    <w:rsid w:val="00820E0C"/>
    <w:rsid w:val="00823275"/>
    <w:rsid w:val="0082366F"/>
    <w:rsid w:val="00830670"/>
    <w:rsid w:val="00831F4C"/>
    <w:rsid w:val="008338A2"/>
    <w:rsid w:val="00841AA9"/>
    <w:rsid w:val="008434D8"/>
    <w:rsid w:val="008474FE"/>
    <w:rsid w:val="008503DD"/>
    <w:rsid w:val="00853EE4"/>
    <w:rsid w:val="00855535"/>
    <w:rsid w:val="00855B61"/>
    <w:rsid w:val="00857518"/>
    <w:rsid w:val="00857C5A"/>
    <w:rsid w:val="0086255E"/>
    <w:rsid w:val="008633F0"/>
    <w:rsid w:val="00867D9D"/>
    <w:rsid w:val="00872E0A"/>
    <w:rsid w:val="00873594"/>
    <w:rsid w:val="00875285"/>
    <w:rsid w:val="00881852"/>
    <w:rsid w:val="00882F78"/>
    <w:rsid w:val="00884B62"/>
    <w:rsid w:val="0088529C"/>
    <w:rsid w:val="0088752B"/>
    <w:rsid w:val="00887903"/>
    <w:rsid w:val="0089270A"/>
    <w:rsid w:val="00893AF6"/>
    <w:rsid w:val="00894BC4"/>
    <w:rsid w:val="00896890"/>
    <w:rsid w:val="008977D1"/>
    <w:rsid w:val="008A28A8"/>
    <w:rsid w:val="008A35C8"/>
    <w:rsid w:val="008A54AC"/>
    <w:rsid w:val="008A5B32"/>
    <w:rsid w:val="008B094F"/>
    <w:rsid w:val="008B2029"/>
    <w:rsid w:val="008B2EE4"/>
    <w:rsid w:val="008B37A6"/>
    <w:rsid w:val="008B3821"/>
    <w:rsid w:val="008B4D3D"/>
    <w:rsid w:val="008B57C7"/>
    <w:rsid w:val="008B5B76"/>
    <w:rsid w:val="008C2F92"/>
    <w:rsid w:val="008C3546"/>
    <w:rsid w:val="008C589D"/>
    <w:rsid w:val="008C6D51"/>
    <w:rsid w:val="008D2846"/>
    <w:rsid w:val="008D4236"/>
    <w:rsid w:val="008D462F"/>
    <w:rsid w:val="008D6DCF"/>
    <w:rsid w:val="008E4376"/>
    <w:rsid w:val="008E692B"/>
    <w:rsid w:val="008E7A0A"/>
    <w:rsid w:val="008E7B49"/>
    <w:rsid w:val="008F0FC3"/>
    <w:rsid w:val="008F55CC"/>
    <w:rsid w:val="008F59F6"/>
    <w:rsid w:val="008F60DB"/>
    <w:rsid w:val="008F783F"/>
    <w:rsid w:val="008F788B"/>
    <w:rsid w:val="008F7F99"/>
    <w:rsid w:val="00900719"/>
    <w:rsid w:val="009017AC"/>
    <w:rsid w:val="00902A9A"/>
    <w:rsid w:val="00904A1C"/>
    <w:rsid w:val="00905030"/>
    <w:rsid w:val="00906490"/>
    <w:rsid w:val="009111B2"/>
    <w:rsid w:val="009151F5"/>
    <w:rsid w:val="0092000E"/>
    <w:rsid w:val="00924AE1"/>
    <w:rsid w:val="009269B1"/>
    <w:rsid w:val="0092724D"/>
    <w:rsid w:val="009272B3"/>
    <w:rsid w:val="009315BE"/>
    <w:rsid w:val="009326DD"/>
    <w:rsid w:val="0093338F"/>
    <w:rsid w:val="0093435D"/>
    <w:rsid w:val="00937BD9"/>
    <w:rsid w:val="00941237"/>
    <w:rsid w:val="009427BA"/>
    <w:rsid w:val="00950E2C"/>
    <w:rsid w:val="00951D50"/>
    <w:rsid w:val="009525EB"/>
    <w:rsid w:val="0095470B"/>
    <w:rsid w:val="00954874"/>
    <w:rsid w:val="0095615A"/>
    <w:rsid w:val="00961400"/>
    <w:rsid w:val="00962D9B"/>
    <w:rsid w:val="00963646"/>
    <w:rsid w:val="00964898"/>
    <w:rsid w:val="0096632D"/>
    <w:rsid w:val="00967124"/>
    <w:rsid w:val="0097166C"/>
    <w:rsid w:val="009718C7"/>
    <w:rsid w:val="0097235E"/>
    <w:rsid w:val="0097559F"/>
    <w:rsid w:val="009761EA"/>
    <w:rsid w:val="0097761E"/>
    <w:rsid w:val="00980D12"/>
    <w:rsid w:val="00982454"/>
    <w:rsid w:val="009825EB"/>
    <w:rsid w:val="00982CF0"/>
    <w:rsid w:val="009853E1"/>
    <w:rsid w:val="00986549"/>
    <w:rsid w:val="00986E6B"/>
    <w:rsid w:val="00990032"/>
    <w:rsid w:val="00990385"/>
    <w:rsid w:val="00990B19"/>
    <w:rsid w:val="0099153B"/>
    <w:rsid w:val="00991769"/>
    <w:rsid w:val="0099232C"/>
    <w:rsid w:val="00994386"/>
    <w:rsid w:val="009951AD"/>
    <w:rsid w:val="009A13D8"/>
    <w:rsid w:val="009A279E"/>
    <w:rsid w:val="009A3015"/>
    <w:rsid w:val="009A3490"/>
    <w:rsid w:val="009A73F4"/>
    <w:rsid w:val="009A7C21"/>
    <w:rsid w:val="009B0471"/>
    <w:rsid w:val="009B0A6F"/>
    <w:rsid w:val="009B0A94"/>
    <w:rsid w:val="009B0C62"/>
    <w:rsid w:val="009B2AE8"/>
    <w:rsid w:val="009B5622"/>
    <w:rsid w:val="009B57C0"/>
    <w:rsid w:val="009B59E9"/>
    <w:rsid w:val="009B70AA"/>
    <w:rsid w:val="009B798B"/>
    <w:rsid w:val="009C245E"/>
    <w:rsid w:val="009C58CD"/>
    <w:rsid w:val="009C5E77"/>
    <w:rsid w:val="009C7840"/>
    <w:rsid w:val="009C7A7E"/>
    <w:rsid w:val="009C7C5D"/>
    <w:rsid w:val="009D02E8"/>
    <w:rsid w:val="009D08EB"/>
    <w:rsid w:val="009D51D0"/>
    <w:rsid w:val="009D661D"/>
    <w:rsid w:val="009D69B1"/>
    <w:rsid w:val="009D70A4"/>
    <w:rsid w:val="009D7B14"/>
    <w:rsid w:val="009E08D1"/>
    <w:rsid w:val="009E0D96"/>
    <w:rsid w:val="009E1B95"/>
    <w:rsid w:val="009E319C"/>
    <w:rsid w:val="009E496F"/>
    <w:rsid w:val="009E4B0D"/>
    <w:rsid w:val="009E5250"/>
    <w:rsid w:val="009E6D5A"/>
    <w:rsid w:val="009E7A69"/>
    <w:rsid w:val="009E7CC7"/>
    <w:rsid w:val="009E7F92"/>
    <w:rsid w:val="009F02A3"/>
    <w:rsid w:val="009F2182"/>
    <w:rsid w:val="009F2F27"/>
    <w:rsid w:val="009F34AA"/>
    <w:rsid w:val="009F6BCB"/>
    <w:rsid w:val="009F7B78"/>
    <w:rsid w:val="00A0057A"/>
    <w:rsid w:val="00A02FA1"/>
    <w:rsid w:val="00A03678"/>
    <w:rsid w:val="00A0413D"/>
    <w:rsid w:val="00A04CCE"/>
    <w:rsid w:val="00A0665F"/>
    <w:rsid w:val="00A07421"/>
    <w:rsid w:val="00A0776B"/>
    <w:rsid w:val="00A07925"/>
    <w:rsid w:val="00A10FB9"/>
    <w:rsid w:val="00A11421"/>
    <w:rsid w:val="00A1389F"/>
    <w:rsid w:val="00A13B7A"/>
    <w:rsid w:val="00A157B1"/>
    <w:rsid w:val="00A17FBB"/>
    <w:rsid w:val="00A210E9"/>
    <w:rsid w:val="00A22229"/>
    <w:rsid w:val="00A24442"/>
    <w:rsid w:val="00A24597"/>
    <w:rsid w:val="00A24ADA"/>
    <w:rsid w:val="00A257E2"/>
    <w:rsid w:val="00A32577"/>
    <w:rsid w:val="00A330BB"/>
    <w:rsid w:val="00A446F5"/>
    <w:rsid w:val="00A44882"/>
    <w:rsid w:val="00A45125"/>
    <w:rsid w:val="00A54715"/>
    <w:rsid w:val="00A6061C"/>
    <w:rsid w:val="00A62D44"/>
    <w:rsid w:val="00A62F38"/>
    <w:rsid w:val="00A67263"/>
    <w:rsid w:val="00A70558"/>
    <w:rsid w:val="00A7161C"/>
    <w:rsid w:val="00A71CE4"/>
    <w:rsid w:val="00A739D9"/>
    <w:rsid w:val="00A73C6A"/>
    <w:rsid w:val="00A740DE"/>
    <w:rsid w:val="00A747B7"/>
    <w:rsid w:val="00A77AA3"/>
    <w:rsid w:val="00A80583"/>
    <w:rsid w:val="00A81616"/>
    <w:rsid w:val="00A81DB7"/>
    <w:rsid w:val="00A8236D"/>
    <w:rsid w:val="00A854EB"/>
    <w:rsid w:val="00A872E5"/>
    <w:rsid w:val="00A91406"/>
    <w:rsid w:val="00A96E65"/>
    <w:rsid w:val="00A96ECE"/>
    <w:rsid w:val="00A97C72"/>
    <w:rsid w:val="00AA310B"/>
    <w:rsid w:val="00AA3D06"/>
    <w:rsid w:val="00AA5CF6"/>
    <w:rsid w:val="00AA63D4"/>
    <w:rsid w:val="00AA7543"/>
    <w:rsid w:val="00AB06E8"/>
    <w:rsid w:val="00AB1A54"/>
    <w:rsid w:val="00AB1CD3"/>
    <w:rsid w:val="00AB352F"/>
    <w:rsid w:val="00AB4E78"/>
    <w:rsid w:val="00AC1B25"/>
    <w:rsid w:val="00AC274B"/>
    <w:rsid w:val="00AC4764"/>
    <w:rsid w:val="00AC6A91"/>
    <w:rsid w:val="00AC6D36"/>
    <w:rsid w:val="00AC71D3"/>
    <w:rsid w:val="00AD0CBA"/>
    <w:rsid w:val="00AD26E2"/>
    <w:rsid w:val="00AD36E6"/>
    <w:rsid w:val="00AD53E4"/>
    <w:rsid w:val="00AD784C"/>
    <w:rsid w:val="00AE126A"/>
    <w:rsid w:val="00AE1BAE"/>
    <w:rsid w:val="00AE3005"/>
    <w:rsid w:val="00AE3BD5"/>
    <w:rsid w:val="00AE59A0"/>
    <w:rsid w:val="00AF0C57"/>
    <w:rsid w:val="00AF1162"/>
    <w:rsid w:val="00AF26F3"/>
    <w:rsid w:val="00AF5F04"/>
    <w:rsid w:val="00AF6FE7"/>
    <w:rsid w:val="00B00672"/>
    <w:rsid w:val="00B01B4D"/>
    <w:rsid w:val="00B03350"/>
    <w:rsid w:val="00B04489"/>
    <w:rsid w:val="00B06571"/>
    <w:rsid w:val="00B068BA"/>
    <w:rsid w:val="00B0699C"/>
    <w:rsid w:val="00B07217"/>
    <w:rsid w:val="00B13851"/>
    <w:rsid w:val="00B13B1C"/>
    <w:rsid w:val="00B14B5F"/>
    <w:rsid w:val="00B202E6"/>
    <w:rsid w:val="00B21F90"/>
    <w:rsid w:val="00B22291"/>
    <w:rsid w:val="00B22DF5"/>
    <w:rsid w:val="00B23F9A"/>
    <w:rsid w:val="00B2417B"/>
    <w:rsid w:val="00B24611"/>
    <w:rsid w:val="00B24E6F"/>
    <w:rsid w:val="00B26CB5"/>
    <w:rsid w:val="00B2752E"/>
    <w:rsid w:val="00B307CC"/>
    <w:rsid w:val="00B30CB0"/>
    <w:rsid w:val="00B317C3"/>
    <w:rsid w:val="00B31EE7"/>
    <w:rsid w:val="00B32555"/>
    <w:rsid w:val="00B326B7"/>
    <w:rsid w:val="00B34561"/>
    <w:rsid w:val="00B3588E"/>
    <w:rsid w:val="00B4198F"/>
    <w:rsid w:val="00B41F3D"/>
    <w:rsid w:val="00B431E8"/>
    <w:rsid w:val="00B45141"/>
    <w:rsid w:val="00B4660F"/>
    <w:rsid w:val="00B502B2"/>
    <w:rsid w:val="00B519CD"/>
    <w:rsid w:val="00B5273A"/>
    <w:rsid w:val="00B54D22"/>
    <w:rsid w:val="00B57329"/>
    <w:rsid w:val="00B60E61"/>
    <w:rsid w:val="00B62B50"/>
    <w:rsid w:val="00B635B7"/>
    <w:rsid w:val="00B63AE8"/>
    <w:rsid w:val="00B64287"/>
    <w:rsid w:val="00B64691"/>
    <w:rsid w:val="00B650E2"/>
    <w:rsid w:val="00B65950"/>
    <w:rsid w:val="00B66D83"/>
    <w:rsid w:val="00B672C0"/>
    <w:rsid w:val="00B676FD"/>
    <w:rsid w:val="00B678B6"/>
    <w:rsid w:val="00B67C77"/>
    <w:rsid w:val="00B75646"/>
    <w:rsid w:val="00B7629E"/>
    <w:rsid w:val="00B83A6E"/>
    <w:rsid w:val="00B84E89"/>
    <w:rsid w:val="00B85665"/>
    <w:rsid w:val="00B90729"/>
    <w:rsid w:val="00B907DA"/>
    <w:rsid w:val="00B90B09"/>
    <w:rsid w:val="00B94C5E"/>
    <w:rsid w:val="00B950BC"/>
    <w:rsid w:val="00B95292"/>
    <w:rsid w:val="00B95CA7"/>
    <w:rsid w:val="00B9714C"/>
    <w:rsid w:val="00BA26F6"/>
    <w:rsid w:val="00BA29AD"/>
    <w:rsid w:val="00BA33CF"/>
    <w:rsid w:val="00BA3F8D"/>
    <w:rsid w:val="00BA47A8"/>
    <w:rsid w:val="00BB2AC4"/>
    <w:rsid w:val="00BB2C07"/>
    <w:rsid w:val="00BB74AC"/>
    <w:rsid w:val="00BB7A10"/>
    <w:rsid w:val="00BC1ADE"/>
    <w:rsid w:val="00BC585B"/>
    <w:rsid w:val="00BC60BE"/>
    <w:rsid w:val="00BC738D"/>
    <w:rsid w:val="00BC7468"/>
    <w:rsid w:val="00BC7D4F"/>
    <w:rsid w:val="00BC7ED7"/>
    <w:rsid w:val="00BD0DC1"/>
    <w:rsid w:val="00BD2850"/>
    <w:rsid w:val="00BD6B9D"/>
    <w:rsid w:val="00BE0BFF"/>
    <w:rsid w:val="00BE1C58"/>
    <w:rsid w:val="00BE28D2"/>
    <w:rsid w:val="00BE4A64"/>
    <w:rsid w:val="00BE5510"/>
    <w:rsid w:val="00BE5E43"/>
    <w:rsid w:val="00BF0530"/>
    <w:rsid w:val="00BF557D"/>
    <w:rsid w:val="00BF658D"/>
    <w:rsid w:val="00BF7A23"/>
    <w:rsid w:val="00BF7F58"/>
    <w:rsid w:val="00C01381"/>
    <w:rsid w:val="00C01AB1"/>
    <w:rsid w:val="00C026A0"/>
    <w:rsid w:val="00C06137"/>
    <w:rsid w:val="00C06929"/>
    <w:rsid w:val="00C079B8"/>
    <w:rsid w:val="00C10037"/>
    <w:rsid w:val="00C115E1"/>
    <w:rsid w:val="00C1177E"/>
    <w:rsid w:val="00C123C4"/>
    <w:rsid w:val="00C123EA"/>
    <w:rsid w:val="00C12A49"/>
    <w:rsid w:val="00C133EE"/>
    <w:rsid w:val="00C149D0"/>
    <w:rsid w:val="00C25A96"/>
    <w:rsid w:val="00C26588"/>
    <w:rsid w:val="00C26DDD"/>
    <w:rsid w:val="00C27DE9"/>
    <w:rsid w:val="00C32479"/>
    <w:rsid w:val="00C327A0"/>
    <w:rsid w:val="00C32989"/>
    <w:rsid w:val="00C33388"/>
    <w:rsid w:val="00C35484"/>
    <w:rsid w:val="00C412E7"/>
    <w:rsid w:val="00C4173A"/>
    <w:rsid w:val="00C42B7E"/>
    <w:rsid w:val="00C47ADF"/>
    <w:rsid w:val="00C50DED"/>
    <w:rsid w:val="00C52217"/>
    <w:rsid w:val="00C55A50"/>
    <w:rsid w:val="00C564D7"/>
    <w:rsid w:val="00C567C7"/>
    <w:rsid w:val="00C57C68"/>
    <w:rsid w:val="00C602FF"/>
    <w:rsid w:val="00C60411"/>
    <w:rsid w:val="00C61174"/>
    <w:rsid w:val="00C6148F"/>
    <w:rsid w:val="00C621B1"/>
    <w:rsid w:val="00C62F7A"/>
    <w:rsid w:val="00C63B9C"/>
    <w:rsid w:val="00C64E4D"/>
    <w:rsid w:val="00C6682F"/>
    <w:rsid w:val="00C67BF4"/>
    <w:rsid w:val="00C7275E"/>
    <w:rsid w:val="00C731AF"/>
    <w:rsid w:val="00C74C5D"/>
    <w:rsid w:val="00C74DD5"/>
    <w:rsid w:val="00C76AC8"/>
    <w:rsid w:val="00C807C4"/>
    <w:rsid w:val="00C844CC"/>
    <w:rsid w:val="00C8552F"/>
    <w:rsid w:val="00C85E83"/>
    <w:rsid w:val="00C85ED3"/>
    <w:rsid w:val="00C863C4"/>
    <w:rsid w:val="00C90DAB"/>
    <w:rsid w:val="00C920EA"/>
    <w:rsid w:val="00C93C3E"/>
    <w:rsid w:val="00C9439A"/>
    <w:rsid w:val="00CA12E3"/>
    <w:rsid w:val="00CA1476"/>
    <w:rsid w:val="00CA3A7D"/>
    <w:rsid w:val="00CA6611"/>
    <w:rsid w:val="00CA6AE6"/>
    <w:rsid w:val="00CA782F"/>
    <w:rsid w:val="00CB0B9C"/>
    <w:rsid w:val="00CB1556"/>
    <w:rsid w:val="00CB187B"/>
    <w:rsid w:val="00CB2835"/>
    <w:rsid w:val="00CB3285"/>
    <w:rsid w:val="00CB4500"/>
    <w:rsid w:val="00CB7563"/>
    <w:rsid w:val="00CC0C72"/>
    <w:rsid w:val="00CC2BFD"/>
    <w:rsid w:val="00CC3BB0"/>
    <w:rsid w:val="00CC5C58"/>
    <w:rsid w:val="00CC6F40"/>
    <w:rsid w:val="00CD00C9"/>
    <w:rsid w:val="00CD14D4"/>
    <w:rsid w:val="00CD3476"/>
    <w:rsid w:val="00CD5847"/>
    <w:rsid w:val="00CD5E9E"/>
    <w:rsid w:val="00CD64DF"/>
    <w:rsid w:val="00CE225F"/>
    <w:rsid w:val="00CE5A77"/>
    <w:rsid w:val="00CE5A7A"/>
    <w:rsid w:val="00CE64CE"/>
    <w:rsid w:val="00CF1B0B"/>
    <w:rsid w:val="00CF2F50"/>
    <w:rsid w:val="00CF4ADD"/>
    <w:rsid w:val="00CF6198"/>
    <w:rsid w:val="00D005D3"/>
    <w:rsid w:val="00D02919"/>
    <w:rsid w:val="00D034B2"/>
    <w:rsid w:val="00D04C61"/>
    <w:rsid w:val="00D05B8D"/>
    <w:rsid w:val="00D05B9B"/>
    <w:rsid w:val="00D065A2"/>
    <w:rsid w:val="00D079AA"/>
    <w:rsid w:val="00D07F00"/>
    <w:rsid w:val="00D1130F"/>
    <w:rsid w:val="00D13372"/>
    <w:rsid w:val="00D13384"/>
    <w:rsid w:val="00D17B72"/>
    <w:rsid w:val="00D279C9"/>
    <w:rsid w:val="00D3185C"/>
    <w:rsid w:val="00D3205F"/>
    <w:rsid w:val="00D3318E"/>
    <w:rsid w:val="00D33E72"/>
    <w:rsid w:val="00D35BD6"/>
    <w:rsid w:val="00D361B5"/>
    <w:rsid w:val="00D40CDE"/>
    <w:rsid w:val="00D411A2"/>
    <w:rsid w:val="00D411BC"/>
    <w:rsid w:val="00D4606D"/>
    <w:rsid w:val="00D50B9C"/>
    <w:rsid w:val="00D513AF"/>
    <w:rsid w:val="00D52D73"/>
    <w:rsid w:val="00D52E58"/>
    <w:rsid w:val="00D56B20"/>
    <w:rsid w:val="00D578B3"/>
    <w:rsid w:val="00D618F4"/>
    <w:rsid w:val="00D6225A"/>
    <w:rsid w:val="00D63636"/>
    <w:rsid w:val="00D67220"/>
    <w:rsid w:val="00D714CC"/>
    <w:rsid w:val="00D72B87"/>
    <w:rsid w:val="00D75EA7"/>
    <w:rsid w:val="00D76ECC"/>
    <w:rsid w:val="00D81ADF"/>
    <w:rsid w:val="00D81F21"/>
    <w:rsid w:val="00D821BB"/>
    <w:rsid w:val="00D8261A"/>
    <w:rsid w:val="00D864F2"/>
    <w:rsid w:val="00D87B52"/>
    <w:rsid w:val="00D90373"/>
    <w:rsid w:val="00D90595"/>
    <w:rsid w:val="00D90A9C"/>
    <w:rsid w:val="00D943F8"/>
    <w:rsid w:val="00D95470"/>
    <w:rsid w:val="00D96B55"/>
    <w:rsid w:val="00D97D5E"/>
    <w:rsid w:val="00DA16AE"/>
    <w:rsid w:val="00DA2619"/>
    <w:rsid w:val="00DA2FEB"/>
    <w:rsid w:val="00DA4239"/>
    <w:rsid w:val="00DA4DB8"/>
    <w:rsid w:val="00DA588C"/>
    <w:rsid w:val="00DA65DE"/>
    <w:rsid w:val="00DB0B61"/>
    <w:rsid w:val="00DB1474"/>
    <w:rsid w:val="00DB2962"/>
    <w:rsid w:val="00DB3CB4"/>
    <w:rsid w:val="00DB52FB"/>
    <w:rsid w:val="00DC013B"/>
    <w:rsid w:val="00DC090B"/>
    <w:rsid w:val="00DC0A08"/>
    <w:rsid w:val="00DC1679"/>
    <w:rsid w:val="00DC219B"/>
    <w:rsid w:val="00DC2CF1"/>
    <w:rsid w:val="00DC2DC7"/>
    <w:rsid w:val="00DC2EA0"/>
    <w:rsid w:val="00DC3A7C"/>
    <w:rsid w:val="00DC4FCF"/>
    <w:rsid w:val="00DC50E0"/>
    <w:rsid w:val="00DC6386"/>
    <w:rsid w:val="00DC726B"/>
    <w:rsid w:val="00DD1130"/>
    <w:rsid w:val="00DD1951"/>
    <w:rsid w:val="00DD43DC"/>
    <w:rsid w:val="00DD487D"/>
    <w:rsid w:val="00DD4E83"/>
    <w:rsid w:val="00DD6628"/>
    <w:rsid w:val="00DD6945"/>
    <w:rsid w:val="00DE2D04"/>
    <w:rsid w:val="00DE3250"/>
    <w:rsid w:val="00DE3D58"/>
    <w:rsid w:val="00DE5A71"/>
    <w:rsid w:val="00DE6028"/>
    <w:rsid w:val="00DE6C85"/>
    <w:rsid w:val="00DE78A3"/>
    <w:rsid w:val="00DF0A6E"/>
    <w:rsid w:val="00DF1A71"/>
    <w:rsid w:val="00DF3741"/>
    <w:rsid w:val="00DF50FC"/>
    <w:rsid w:val="00DF68C7"/>
    <w:rsid w:val="00DF731A"/>
    <w:rsid w:val="00E03E8D"/>
    <w:rsid w:val="00E06B75"/>
    <w:rsid w:val="00E10DDE"/>
    <w:rsid w:val="00E11332"/>
    <w:rsid w:val="00E11352"/>
    <w:rsid w:val="00E170DC"/>
    <w:rsid w:val="00E17546"/>
    <w:rsid w:val="00E17EF2"/>
    <w:rsid w:val="00E210B5"/>
    <w:rsid w:val="00E261B3"/>
    <w:rsid w:val="00E26818"/>
    <w:rsid w:val="00E27FFC"/>
    <w:rsid w:val="00E30B15"/>
    <w:rsid w:val="00E33237"/>
    <w:rsid w:val="00E40181"/>
    <w:rsid w:val="00E41058"/>
    <w:rsid w:val="00E529FE"/>
    <w:rsid w:val="00E54950"/>
    <w:rsid w:val="00E55FB3"/>
    <w:rsid w:val="00E56A01"/>
    <w:rsid w:val="00E6298F"/>
    <w:rsid w:val="00E629A1"/>
    <w:rsid w:val="00E659F2"/>
    <w:rsid w:val="00E6794C"/>
    <w:rsid w:val="00E70FE8"/>
    <w:rsid w:val="00E71591"/>
    <w:rsid w:val="00E71CEB"/>
    <w:rsid w:val="00E7474F"/>
    <w:rsid w:val="00E80DE3"/>
    <w:rsid w:val="00E82C55"/>
    <w:rsid w:val="00E83664"/>
    <w:rsid w:val="00E8787E"/>
    <w:rsid w:val="00E9042A"/>
    <w:rsid w:val="00E92AC3"/>
    <w:rsid w:val="00E945FE"/>
    <w:rsid w:val="00E958BB"/>
    <w:rsid w:val="00EA0F80"/>
    <w:rsid w:val="00EA2145"/>
    <w:rsid w:val="00EA2F6A"/>
    <w:rsid w:val="00EA4C6D"/>
    <w:rsid w:val="00EB00E0"/>
    <w:rsid w:val="00EB05D5"/>
    <w:rsid w:val="00EB0FE0"/>
    <w:rsid w:val="00EB25B8"/>
    <w:rsid w:val="00EB4BC7"/>
    <w:rsid w:val="00EB5465"/>
    <w:rsid w:val="00EB54F2"/>
    <w:rsid w:val="00EB56B9"/>
    <w:rsid w:val="00EB70D5"/>
    <w:rsid w:val="00EC059F"/>
    <w:rsid w:val="00EC1F24"/>
    <w:rsid w:val="00EC22F6"/>
    <w:rsid w:val="00EC3DB9"/>
    <w:rsid w:val="00ED1C1E"/>
    <w:rsid w:val="00ED5B9B"/>
    <w:rsid w:val="00ED665E"/>
    <w:rsid w:val="00ED6BAD"/>
    <w:rsid w:val="00ED7447"/>
    <w:rsid w:val="00ED7762"/>
    <w:rsid w:val="00EE00D6"/>
    <w:rsid w:val="00EE11E7"/>
    <w:rsid w:val="00EE1488"/>
    <w:rsid w:val="00EE29AD"/>
    <w:rsid w:val="00EE3E24"/>
    <w:rsid w:val="00EE4D5D"/>
    <w:rsid w:val="00EE5131"/>
    <w:rsid w:val="00EF04DF"/>
    <w:rsid w:val="00EF109B"/>
    <w:rsid w:val="00EF1C35"/>
    <w:rsid w:val="00EF1DDB"/>
    <w:rsid w:val="00EF201C"/>
    <w:rsid w:val="00EF2C72"/>
    <w:rsid w:val="00EF36AF"/>
    <w:rsid w:val="00EF59A3"/>
    <w:rsid w:val="00EF6675"/>
    <w:rsid w:val="00F0063D"/>
    <w:rsid w:val="00F00F9C"/>
    <w:rsid w:val="00F01C7D"/>
    <w:rsid w:val="00F01E5F"/>
    <w:rsid w:val="00F024F3"/>
    <w:rsid w:val="00F02ABA"/>
    <w:rsid w:val="00F0437A"/>
    <w:rsid w:val="00F05852"/>
    <w:rsid w:val="00F101B8"/>
    <w:rsid w:val="00F11037"/>
    <w:rsid w:val="00F16F1B"/>
    <w:rsid w:val="00F24834"/>
    <w:rsid w:val="00F250A9"/>
    <w:rsid w:val="00F267AF"/>
    <w:rsid w:val="00F277DB"/>
    <w:rsid w:val="00F30FF4"/>
    <w:rsid w:val="00F3122E"/>
    <w:rsid w:val="00F32368"/>
    <w:rsid w:val="00F32A93"/>
    <w:rsid w:val="00F331AD"/>
    <w:rsid w:val="00F35287"/>
    <w:rsid w:val="00F37098"/>
    <w:rsid w:val="00F40A70"/>
    <w:rsid w:val="00F420D3"/>
    <w:rsid w:val="00F427EA"/>
    <w:rsid w:val="00F43A37"/>
    <w:rsid w:val="00F457C7"/>
    <w:rsid w:val="00F4641B"/>
    <w:rsid w:val="00F46EB8"/>
    <w:rsid w:val="00F50CD1"/>
    <w:rsid w:val="00F511E4"/>
    <w:rsid w:val="00F52D09"/>
    <w:rsid w:val="00F52E08"/>
    <w:rsid w:val="00F53A66"/>
    <w:rsid w:val="00F5462D"/>
    <w:rsid w:val="00F55B21"/>
    <w:rsid w:val="00F56EF6"/>
    <w:rsid w:val="00F60082"/>
    <w:rsid w:val="00F61A9F"/>
    <w:rsid w:val="00F61B5F"/>
    <w:rsid w:val="00F62053"/>
    <w:rsid w:val="00F64348"/>
    <w:rsid w:val="00F64696"/>
    <w:rsid w:val="00F65AA9"/>
    <w:rsid w:val="00F6768F"/>
    <w:rsid w:val="00F72441"/>
    <w:rsid w:val="00F72C2C"/>
    <w:rsid w:val="00F741F2"/>
    <w:rsid w:val="00F76CAB"/>
    <w:rsid w:val="00F772C6"/>
    <w:rsid w:val="00F815B5"/>
    <w:rsid w:val="00F82AC5"/>
    <w:rsid w:val="00F85195"/>
    <w:rsid w:val="00F851BE"/>
    <w:rsid w:val="00F868E3"/>
    <w:rsid w:val="00F938BA"/>
    <w:rsid w:val="00F948CE"/>
    <w:rsid w:val="00F96C64"/>
    <w:rsid w:val="00F97919"/>
    <w:rsid w:val="00FA2C46"/>
    <w:rsid w:val="00FA3525"/>
    <w:rsid w:val="00FA5A53"/>
    <w:rsid w:val="00FB1F6E"/>
    <w:rsid w:val="00FB4769"/>
    <w:rsid w:val="00FB4BC4"/>
    <w:rsid w:val="00FB4CDA"/>
    <w:rsid w:val="00FB6481"/>
    <w:rsid w:val="00FB6D36"/>
    <w:rsid w:val="00FB74AE"/>
    <w:rsid w:val="00FC0965"/>
    <w:rsid w:val="00FC0A5E"/>
    <w:rsid w:val="00FC0F81"/>
    <w:rsid w:val="00FC252F"/>
    <w:rsid w:val="00FC38DD"/>
    <w:rsid w:val="00FC395C"/>
    <w:rsid w:val="00FC5E8E"/>
    <w:rsid w:val="00FC6D0B"/>
    <w:rsid w:val="00FD066E"/>
    <w:rsid w:val="00FD3766"/>
    <w:rsid w:val="00FD3D05"/>
    <w:rsid w:val="00FD47C4"/>
    <w:rsid w:val="00FE0C43"/>
    <w:rsid w:val="00FE1E79"/>
    <w:rsid w:val="00FE2DCF"/>
    <w:rsid w:val="00FE3FA7"/>
    <w:rsid w:val="00FE4081"/>
    <w:rsid w:val="00FE7E4B"/>
    <w:rsid w:val="00FF2A4E"/>
    <w:rsid w:val="00FF2FCE"/>
    <w:rsid w:val="00FF3AF1"/>
    <w:rsid w:val="00FF4F7D"/>
    <w:rsid w:val="00FF5F57"/>
    <w:rsid w:val="00FF6D9D"/>
    <w:rsid w:val="00FF7620"/>
    <w:rsid w:val="00FF7DD5"/>
    <w:rsid w:val="0B70BB81"/>
    <w:rsid w:val="24ACFAD1"/>
    <w:rsid w:val="2A62D088"/>
    <w:rsid w:val="2ADF8CEB"/>
    <w:rsid w:val="3578061A"/>
    <w:rsid w:val="360750CD"/>
    <w:rsid w:val="4D831B8B"/>
    <w:rsid w:val="670C3C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8ACFAE"/>
  <w15:docId w15:val="{A31DA3C4-C37F-4CC2-BA49-5903C1E7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B2A39"/>
    <w:pPr>
      <w:keepNext/>
      <w:keepLines/>
      <w:spacing w:before="30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B2A39"/>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E958BB"/>
    <w:pPr>
      <w:spacing w:before="80" w:after="60"/>
    </w:pPr>
    <w:rPr>
      <w:rFonts w:ascii="Arial" w:hAnsi="Arial"/>
      <w:b/>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32479"/>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32479"/>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7B1E7B"/>
    <w:pPr>
      <w:pBdr>
        <w:left w:val="single" w:sz="18" w:space="4" w:color="004EA8"/>
      </w:pBd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table" w:customStyle="1" w:styleId="HSRtable">
    <w:name w:val="HSR table"/>
    <w:basedOn w:val="TableNormal"/>
    <w:uiPriority w:val="99"/>
    <w:rsid w:val="00DE3D58"/>
    <w:rPr>
      <w:rFonts w:ascii="Arial" w:hAnsi="Arial"/>
    </w:rPr>
    <w:tblPr>
      <w:tblBorders>
        <w:left w:val="single" w:sz="24" w:space="0" w:color="004EA8"/>
        <w:insideH w:val="single" w:sz="4" w:space="0" w:color="E6E6E1"/>
        <w:insideV w:val="single" w:sz="4" w:space="0" w:color="E6E6E1"/>
      </w:tblBorders>
    </w:tblPr>
    <w:tcPr>
      <w:shd w:val="clear" w:color="auto" w:fill="auto"/>
    </w:tcPr>
    <w:tblStylePr w:type="firstRow">
      <w:tblPr/>
      <w:tcPr>
        <w:shd w:val="clear" w:color="auto" w:fill="201547"/>
      </w:tcPr>
    </w:tblStylePr>
    <w:tblStylePr w:type="lastRow">
      <w:rPr>
        <w:b/>
      </w:rPr>
      <w:tblPr/>
      <w:tcPr>
        <w:tcBorders>
          <w:top w:val="single" w:sz="18" w:space="0" w:color="201547"/>
        </w:tcBorders>
        <w:shd w:val="clear" w:color="auto" w:fill="auto"/>
      </w:tcPr>
    </w:tblStylePr>
    <w:tblStylePr w:type="firstCol">
      <w:tblPr/>
      <w:tcPr>
        <w:tcBorders>
          <w:top w:val="nil"/>
          <w:left w:val="single" w:sz="24" w:space="0" w:color="004EA8"/>
          <w:bottom w:val="nil"/>
          <w:right w:val="nil"/>
          <w:insideH w:val="single" w:sz="4" w:space="0" w:color="FFFFFF"/>
          <w:insideV w:val="single" w:sz="4" w:space="0" w:color="FFFFFF"/>
          <w:tl2br w:val="nil"/>
          <w:tr2bl w:val="nil"/>
        </w:tcBorders>
        <w:shd w:val="clear" w:color="auto" w:fill="F2F2F2" w:themeFill="background1" w:themeFillShade="F2"/>
      </w:tcPr>
    </w:tblStylePr>
  </w:style>
  <w:style w:type="paragraph" w:styleId="Caption">
    <w:name w:val="caption"/>
    <w:basedOn w:val="Normal"/>
    <w:next w:val="Normal"/>
    <w:uiPriority w:val="35"/>
    <w:unhideWhenUsed/>
    <w:qFormat/>
    <w:rsid w:val="00213661"/>
    <w:pPr>
      <w:spacing w:after="200" w:line="240" w:lineRule="auto"/>
    </w:pPr>
    <w:rPr>
      <w:i/>
      <w:iCs/>
      <w:color w:val="1F497D" w:themeColor="text2"/>
      <w:sz w:val="18"/>
      <w:szCs w:val="18"/>
    </w:rPr>
  </w:style>
  <w:style w:type="character" w:customStyle="1" w:styleId="eop">
    <w:name w:val="eop"/>
    <w:basedOn w:val="DefaultParagraphFont"/>
    <w:rsid w:val="00213661"/>
  </w:style>
  <w:style w:type="paragraph" w:customStyle="1" w:styleId="Heading2notinTOC">
    <w:name w:val="Heading 2 not in TOC"/>
    <w:basedOn w:val="Heading2"/>
    <w:next w:val="Body"/>
    <w:uiPriority w:val="11"/>
    <w:rsid w:val="00C6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ildsafestandards@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childsaf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services.dffh.vic.gov.au/reporting-child-abuse" TargetMode="External"/><Relationship Id="rId2" Type="http://schemas.openxmlformats.org/officeDocument/2006/relationships/hyperlink" Target="https://ccyp.vic.gov.au/resources/child-safe-standards" TargetMode="External"/><Relationship Id="rId1"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Operation_x0020_document_x0020_type xmlns="186d8af2-9745-4d7a-b25d-beadcc6fa35a" xsi:nil="true"/>
    <Archive xmlns="186d8af2-9745-4d7a-b25d-beadcc6fa35a">false</Archive>
    <Related_x0020_inspection xmlns="186d8af2-9745-4d7a-b25d-beadcc6fa35a" xsi:nil="true"/>
    <Organisation_x0028_s_x0029_ xmlns="186d8af2-9745-4d7a-b25d-beadcc6fa35a" xsi:nil="true"/>
    <lcf76f155ced4ddcb4097134ff3c332f xmlns="186d8af2-9745-4d7a-b25d-beadcc6fa35a">
      <Terms xmlns="http://schemas.microsoft.com/office/infopath/2007/PartnerControls"/>
    </lcf76f155ced4ddcb4097134ff3c332f>
    <Related_x0020_notification_x0020_and_x0020_interventions xmlns="186d8af2-9745-4d7a-b25d-beadcc6fa35a" xsi:nil="true"/>
    <Draft xmlns="186d8af2-9745-4d7a-b25d-beadcc6fa35a">false</Draft>
    <Relatedinformationrequest_x0028_s_x0029_ xmlns="186d8af2-9745-4d7a-b25d-beadcc6fa3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139E71D26DD74385E9BD00B33717E5" ma:contentTypeVersion="25" ma:contentTypeDescription="Create a new document." ma:contentTypeScope="" ma:versionID="530a3d99705a7d8f7c704e733ec82499">
  <xsd:schema xmlns:xsd="http://www.w3.org/2001/XMLSchema" xmlns:xs="http://www.w3.org/2001/XMLSchema" xmlns:p="http://schemas.microsoft.com/office/2006/metadata/properties" xmlns:ns2="186d8af2-9745-4d7a-b25d-beadcc6fa35a" xmlns:ns3="912bd868-4cf3-4ed2-8b46-d8dbd09004a7" xmlns:ns4="5ce0f2b5-5be5-4508-bce9-d7011ece0659" targetNamespace="http://schemas.microsoft.com/office/2006/metadata/properties" ma:root="true" ma:fieldsID="947b8408a69f3d1bdc8f5154c742c517" ns2:_="" ns3:_="" ns4:_="">
    <xsd:import namespace="186d8af2-9745-4d7a-b25d-beadcc6fa35a"/>
    <xsd:import namespace="912bd868-4cf3-4ed2-8b46-d8dbd09004a7"/>
    <xsd:import namespace="5ce0f2b5-5be5-4508-bce9-d7011ece0659"/>
    <xsd:element name="properties">
      <xsd:complexType>
        <xsd:sequence>
          <xsd:element name="documentManagement">
            <xsd:complexType>
              <xsd:all>
                <xsd:element ref="ns2:Organisation_x0028_s_x0029_" minOccurs="0"/>
                <xsd:element ref="ns2:Related_x0020_notification_x0020_and_x0020_interventions" minOccurs="0"/>
                <xsd:element ref="ns2:Operation_x0020_document_x0020_type" minOccurs="0"/>
                <xsd:element ref="ns2:Archiv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Relatedinformationrequest_x0028_s_x0029_" minOccurs="0"/>
                <xsd:element ref="ns2:Related_x0020_inspection" minOccurs="0"/>
                <xsd:element ref="ns2: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8af2-9745-4d7a-b25d-beadcc6fa35a" elementFormDefault="qualified">
    <xsd:import namespace="http://schemas.microsoft.com/office/2006/documentManagement/types"/>
    <xsd:import namespace="http://schemas.microsoft.com/office/infopath/2007/PartnerControls"/>
    <xsd:element name="Organisation_x0028_s_x0029_" ma:index="2" nillable="true" ma:displayName="Organisation(s)" ma:list="{632fc915-dd9a-4c5d-bc0b-3bdb460ad93a}" ma:internalName="Organisation_x0028_s_x0029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lated_x0020_notification_x0020_and_x0020_interventions" ma:index="3" nillable="true" ma:displayName="Related notification and interventions" ma:description="Select related notification(s) and intervention(s) if applicable" ma:list="{2b9c77cc-f49f-4829-9df1-2600c7f6c044}" ma:internalName="Related_x0020_notification_x0020_and_x0020_intervention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peration_x0020_document_x0020_type" ma:index="4" nillable="true" ma:displayName="Operation document type" ma:description="Select the type of document / content" ma:internalName="Operation_x0020_document_x0020_type">
      <xsd:complexType>
        <xsd:complexContent>
          <xsd:extension base="dms:MultiChoiceFillIn">
            <xsd:sequence>
              <xsd:element name="Value" maxOccurs="unbounded" minOccurs="0" nillable="true">
                <xsd:simpleType>
                  <xsd:union memberTypes="dms:Text">
                    <xsd:simpleType>
                      <xsd:restriction base="dms:Choice">
                        <xsd:enumeration value="Org policies and procedures"/>
                        <xsd:enumeration value="Advice or guidance to entity"/>
                        <xsd:enumeration value="Request for document(s) or information (from Regulator)"/>
                        <xsd:enumeration value="Request for advice (from org)"/>
                        <xsd:enumeration value="Desktop review report"/>
                        <xsd:enumeration value="Assessment tool"/>
                        <xsd:enumeration value="Evidence mapping"/>
                        <xsd:enumeration value="Improvement action plan"/>
                        <xsd:enumeration value="Notification"/>
                        <xsd:enumeration value="Agreement for electronic communication"/>
                        <xsd:enumeration value="Consent with acknowledgement for entry by entity"/>
                        <xsd:enumeration value="Consent with acknowledgement for seizure by entity"/>
                        <xsd:enumeration value="Warrant"/>
                        <xsd:enumeration value="Inspection report"/>
                        <xsd:enumeration value="Notice to produce"/>
                        <xsd:enumeration value="Notice to comply"/>
                        <xsd:enumeration value="Request for review of decision (from org)"/>
                        <xsd:enumeration value="Panel or expert advice for decision review"/>
                        <xsd:enumeration value="Decision review report"/>
                        <xsd:enumeration value="Variation of a notice to comply"/>
                        <xsd:enumeration value="Variation of a notice to produce"/>
                        <xsd:enumeration value="Revocation of a notice to comply"/>
                        <xsd:enumeration value="Revocation of a notice to produce"/>
                        <xsd:enumeration value="Official warning"/>
                        <xsd:enumeration value="Complaint against AO"/>
                        <xsd:enumeration value="Other (specify)"/>
                      </xsd:restriction>
                    </xsd:simpleType>
                  </xsd:union>
                </xsd:simpleType>
              </xsd:element>
            </xsd:sequence>
          </xsd:extension>
        </xsd:complexContent>
      </xsd:complexType>
    </xsd:element>
    <xsd:element name="Archive" ma:index="5" nillable="true" ma:displayName="Archive" ma:default="0" ma:description="Has this document been superseded or archived?" ma:format="Dropdown" ma:internalName="Archiv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latedinformationrequest_x0028_s_x0029_" ma:index="27" nillable="true" ma:displayName="Related information request(s)" ma:description="Select any related requests for information or notices to produce" ma:format="Dropdown" ma:list="b6257409-633b-4bec-8c5c-c42a68576ab3" ma:internalName="Relatedinformationrequest_x0028_s_x0029_" ma:showField="Title">
      <xsd:simpleType>
        <xsd:restriction base="dms:Lookup"/>
      </xsd:simpleType>
    </xsd:element>
    <xsd:element name="Related_x0020_inspection" ma:index="28" nillable="true" ma:displayName="Related inspection" ma:list="{6b698fe6-6bcc-4b8d-92a0-0bdd1056e4a6}" ma:internalName="Related_x0020_inspection" ma:showField="Title">
      <xsd:simpleType>
        <xsd:restriction base="dms:Lookup"/>
      </xsd:simpleType>
    </xsd:element>
    <xsd:element name="Draft" ma:index="29" nillable="true" ma:displayName="Draft" ma:default="0" ma:format="Dropdown" ma:internalName="Draf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bd868-4cf3-4ed2-8b46-d8dbd09004a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93d93d-131a-4337-95fa-a0906eafd2d0}" ma:internalName="TaxCatchAll" ma:readOnly="false" ma:showField="CatchAllData" ma:web="912bd868-4cf3-4ed2-8b46-d8dbd0900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186d8af2-9745-4d7a-b25d-beadcc6fa35a"/>
    <ds:schemaRef ds:uri="http://schemas.microsoft.com/office/2006/documentManagement/types"/>
    <ds:schemaRef ds:uri="http://purl.org/dc/terms/"/>
    <ds:schemaRef ds:uri="http://purl.org/dc/dcmitype/"/>
    <ds:schemaRef ds:uri="http://schemas.openxmlformats.org/package/2006/metadata/core-properties"/>
    <ds:schemaRef ds:uri="912bd868-4cf3-4ed2-8b46-d8dbd09004a7"/>
    <ds:schemaRef ds:uri="http://purl.org/dc/elements/1.1/"/>
    <ds:schemaRef ds:uri="http://schemas.microsoft.com/office/infopath/2007/PartnerControls"/>
    <ds:schemaRef ds:uri="5ce0f2b5-5be5-4508-bce9-d7011ece0659"/>
    <ds:schemaRef ds:uri="http://www.w3.org/XML/1998/namespac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2E08CE65-F8BC-444B-A8AB-F9877D15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d8af2-9745-4d7a-b25d-beadcc6fa35a"/>
    <ds:schemaRef ds:uri="912bd868-4cf3-4ed2-8b46-d8dbd09004a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5594</Words>
  <Characters>31888</Characters>
  <Application>Microsoft Office Word</Application>
  <DocSecurity>0</DocSecurity>
  <Lines>265</Lines>
  <Paragraphs>74</Paragraphs>
  <ScaleCrop>false</ScaleCrop>
  <Manager/>
  <Company>Victoria State Government, Department of Health</Company>
  <LinksUpToDate>false</LinksUpToDate>
  <CharactersWithSpaces>37408</CharactersWithSpaces>
  <SharedDoc>false</SharedDoc>
  <HyperlinkBase/>
  <HLinks>
    <vt:vector size="144" baseType="variant">
      <vt:variant>
        <vt:i4>1310728</vt:i4>
      </vt:variant>
      <vt:variant>
        <vt:i4>123</vt:i4>
      </vt:variant>
      <vt:variant>
        <vt:i4>0</vt:i4>
      </vt:variant>
      <vt:variant>
        <vt:i4>5</vt:i4>
      </vt:variant>
      <vt:variant>
        <vt:lpwstr/>
      </vt:variant>
      <vt:variant>
        <vt:lpwstr>_Regulated_organisations</vt:lpwstr>
      </vt:variant>
      <vt:variant>
        <vt:i4>1966134</vt:i4>
      </vt:variant>
      <vt:variant>
        <vt:i4>116</vt:i4>
      </vt:variant>
      <vt:variant>
        <vt:i4>0</vt:i4>
      </vt:variant>
      <vt:variant>
        <vt:i4>5</vt:i4>
      </vt:variant>
      <vt:variant>
        <vt:lpwstr/>
      </vt:variant>
      <vt:variant>
        <vt:lpwstr>_Toc115101281</vt:lpwstr>
      </vt:variant>
      <vt:variant>
        <vt:i4>1966134</vt:i4>
      </vt:variant>
      <vt:variant>
        <vt:i4>110</vt:i4>
      </vt:variant>
      <vt:variant>
        <vt:i4>0</vt:i4>
      </vt:variant>
      <vt:variant>
        <vt:i4>5</vt:i4>
      </vt:variant>
      <vt:variant>
        <vt:lpwstr/>
      </vt:variant>
      <vt:variant>
        <vt:lpwstr>_Toc115101280</vt:lpwstr>
      </vt:variant>
      <vt:variant>
        <vt:i4>1114166</vt:i4>
      </vt:variant>
      <vt:variant>
        <vt:i4>104</vt:i4>
      </vt:variant>
      <vt:variant>
        <vt:i4>0</vt:i4>
      </vt:variant>
      <vt:variant>
        <vt:i4>5</vt:i4>
      </vt:variant>
      <vt:variant>
        <vt:lpwstr/>
      </vt:variant>
      <vt:variant>
        <vt:lpwstr>_Toc115101279</vt:lpwstr>
      </vt:variant>
      <vt:variant>
        <vt:i4>1114166</vt:i4>
      </vt:variant>
      <vt:variant>
        <vt:i4>98</vt:i4>
      </vt:variant>
      <vt:variant>
        <vt:i4>0</vt:i4>
      </vt:variant>
      <vt:variant>
        <vt:i4>5</vt:i4>
      </vt:variant>
      <vt:variant>
        <vt:lpwstr/>
      </vt:variant>
      <vt:variant>
        <vt:lpwstr>_Toc115101278</vt:lpwstr>
      </vt:variant>
      <vt:variant>
        <vt:i4>1114166</vt:i4>
      </vt:variant>
      <vt:variant>
        <vt:i4>92</vt:i4>
      </vt:variant>
      <vt:variant>
        <vt:i4>0</vt:i4>
      </vt:variant>
      <vt:variant>
        <vt:i4>5</vt:i4>
      </vt:variant>
      <vt:variant>
        <vt:lpwstr/>
      </vt:variant>
      <vt:variant>
        <vt:lpwstr>_Toc115101277</vt:lpwstr>
      </vt:variant>
      <vt:variant>
        <vt:i4>1114166</vt:i4>
      </vt:variant>
      <vt:variant>
        <vt:i4>86</vt:i4>
      </vt:variant>
      <vt:variant>
        <vt:i4>0</vt:i4>
      </vt:variant>
      <vt:variant>
        <vt:i4>5</vt:i4>
      </vt:variant>
      <vt:variant>
        <vt:lpwstr/>
      </vt:variant>
      <vt:variant>
        <vt:lpwstr>_Toc115101276</vt:lpwstr>
      </vt:variant>
      <vt:variant>
        <vt:i4>1114166</vt:i4>
      </vt:variant>
      <vt:variant>
        <vt:i4>80</vt:i4>
      </vt:variant>
      <vt:variant>
        <vt:i4>0</vt:i4>
      </vt:variant>
      <vt:variant>
        <vt:i4>5</vt:i4>
      </vt:variant>
      <vt:variant>
        <vt:lpwstr/>
      </vt:variant>
      <vt:variant>
        <vt:lpwstr>_Toc115101275</vt:lpwstr>
      </vt:variant>
      <vt:variant>
        <vt:i4>1114166</vt:i4>
      </vt:variant>
      <vt:variant>
        <vt:i4>74</vt:i4>
      </vt:variant>
      <vt:variant>
        <vt:i4>0</vt:i4>
      </vt:variant>
      <vt:variant>
        <vt:i4>5</vt:i4>
      </vt:variant>
      <vt:variant>
        <vt:lpwstr/>
      </vt:variant>
      <vt:variant>
        <vt:lpwstr>_Toc115101274</vt:lpwstr>
      </vt:variant>
      <vt:variant>
        <vt:i4>1114166</vt:i4>
      </vt:variant>
      <vt:variant>
        <vt:i4>68</vt:i4>
      </vt:variant>
      <vt:variant>
        <vt:i4>0</vt:i4>
      </vt:variant>
      <vt:variant>
        <vt:i4>5</vt:i4>
      </vt:variant>
      <vt:variant>
        <vt:lpwstr/>
      </vt:variant>
      <vt:variant>
        <vt:lpwstr>_Toc115101273</vt:lpwstr>
      </vt:variant>
      <vt:variant>
        <vt:i4>1114166</vt:i4>
      </vt:variant>
      <vt:variant>
        <vt:i4>62</vt:i4>
      </vt:variant>
      <vt:variant>
        <vt:i4>0</vt:i4>
      </vt:variant>
      <vt:variant>
        <vt:i4>5</vt:i4>
      </vt:variant>
      <vt:variant>
        <vt:lpwstr/>
      </vt:variant>
      <vt:variant>
        <vt:lpwstr>_Toc115101272</vt:lpwstr>
      </vt:variant>
      <vt:variant>
        <vt:i4>1114166</vt:i4>
      </vt:variant>
      <vt:variant>
        <vt:i4>56</vt:i4>
      </vt:variant>
      <vt:variant>
        <vt:i4>0</vt:i4>
      </vt:variant>
      <vt:variant>
        <vt:i4>5</vt:i4>
      </vt:variant>
      <vt:variant>
        <vt:lpwstr/>
      </vt:variant>
      <vt:variant>
        <vt:lpwstr>_Toc115101271</vt:lpwstr>
      </vt:variant>
      <vt:variant>
        <vt:i4>1114166</vt:i4>
      </vt:variant>
      <vt:variant>
        <vt:i4>50</vt:i4>
      </vt:variant>
      <vt:variant>
        <vt:i4>0</vt:i4>
      </vt:variant>
      <vt:variant>
        <vt:i4>5</vt:i4>
      </vt:variant>
      <vt:variant>
        <vt:lpwstr/>
      </vt:variant>
      <vt:variant>
        <vt:lpwstr>_Toc115101270</vt:lpwstr>
      </vt:variant>
      <vt:variant>
        <vt:i4>1048630</vt:i4>
      </vt:variant>
      <vt:variant>
        <vt:i4>44</vt:i4>
      </vt:variant>
      <vt:variant>
        <vt:i4>0</vt:i4>
      </vt:variant>
      <vt:variant>
        <vt:i4>5</vt:i4>
      </vt:variant>
      <vt:variant>
        <vt:lpwstr/>
      </vt:variant>
      <vt:variant>
        <vt:lpwstr>_Toc115101269</vt:lpwstr>
      </vt:variant>
      <vt:variant>
        <vt:i4>1048630</vt:i4>
      </vt:variant>
      <vt:variant>
        <vt:i4>38</vt:i4>
      </vt:variant>
      <vt:variant>
        <vt:i4>0</vt:i4>
      </vt:variant>
      <vt:variant>
        <vt:i4>5</vt:i4>
      </vt:variant>
      <vt:variant>
        <vt:lpwstr/>
      </vt:variant>
      <vt:variant>
        <vt:lpwstr>_Toc115101268</vt:lpwstr>
      </vt:variant>
      <vt:variant>
        <vt:i4>1048630</vt:i4>
      </vt:variant>
      <vt:variant>
        <vt:i4>32</vt:i4>
      </vt:variant>
      <vt:variant>
        <vt:i4>0</vt:i4>
      </vt:variant>
      <vt:variant>
        <vt:i4>5</vt:i4>
      </vt:variant>
      <vt:variant>
        <vt:lpwstr/>
      </vt:variant>
      <vt:variant>
        <vt:lpwstr>_Toc115101267</vt:lpwstr>
      </vt:variant>
      <vt:variant>
        <vt:i4>1048630</vt:i4>
      </vt:variant>
      <vt:variant>
        <vt:i4>26</vt:i4>
      </vt:variant>
      <vt:variant>
        <vt:i4>0</vt:i4>
      </vt:variant>
      <vt:variant>
        <vt:i4>5</vt:i4>
      </vt:variant>
      <vt:variant>
        <vt:lpwstr/>
      </vt:variant>
      <vt:variant>
        <vt:lpwstr>_Toc115101266</vt:lpwstr>
      </vt:variant>
      <vt:variant>
        <vt:i4>1048630</vt:i4>
      </vt:variant>
      <vt:variant>
        <vt:i4>20</vt:i4>
      </vt:variant>
      <vt:variant>
        <vt:i4>0</vt:i4>
      </vt:variant>
      <vt:variant>
        <vt:i4>5</vt:i4>
      </vt:variant>
      <vt:variant>
        <vt:lpwstr/>
      </vt:variant>
      <vt:variant>
        <vt:lpwstr>_Toc115101265</vt:lpwstr>
      </vt:variant>
      <vt:variant>
        <vt:i4>1048630</vt:i4>
      </vt:variant>
      <vt:variant>
        <vt:i4>14</vt:i4>
      </vt:variant>
      <vt:variant>
        <vt:i4>0</vt:i4>
      </vt:variant>
      <vt:variant>
        <vt:i4>5</vt:i4>
      </vt:variant>
      <vt:variant>
        <vt:lpwstr/>
      </vt:variant>
      <vt:variant>
        <vt:lpwstr>_Toc115101264</vt:lpwstr>
      </vt:variant>
      <vt:variant>
        <vt:i4>1048630</vt:i4>
      </vt:variant>
      <vt:variant>
        <vt:i4>8</vt:i4>
      </vt:variant>
      <vt:variant>
        <vt:i4>0</vt:i4>
      </vt:variant>
      <vt:variant>
        <vt:i4>5</vt:i4>
      </vt:variant>
      <vt:variant>
        <vt:lpwstr/>
      </vt:variant>
      <vt:variant>
        <vt:lpwstr>_Toc115101263</vt:lpwstr>
      </vt:variant>
      <vt:variant>
        <vt:i4>5439609</vt:i4>
      </vt:variant>
      <vt:variant>
        <vt:i4>3</vt:i4>
      </vt:variant>
      <vt:variant>
        <vt:i4>0</vt:i4>
      </vt:variant>
      <vt:variant>
        <vt:i4>5</vt:i4>
      </vt:variant>
      <vt:variant>
        <vt:lpwstr>mailto:childsafestandards@health.vic.gov.au</vt:lpwstr>
      </vt:variant>
      <vt:variant>
        <vt:lpwstr/>
      </vt:variant>
      <vt:variant>
        <vt:i4>2883618</vt:i4>
      </vt:variant>
      <vt:variant>
        <vt:i4>6</vt:i4>
      </vt:variant>
      <vt:variant>
        <vt:i4>0</vt:i4>
      </vt:variant>
      <vt:variant>
        <vt:i4>5</vt:i4>
      </vt:variant>
      <vt:variant>
        <vt:lpwstr>https://services.dffh.vic.gov.au/reporting-child-abuse</vt:lpwstr>
      </vt:variant>
      <vt:variant>
        <vt:lpwstr/>
      </vt:variant>
      <vt:variant>
        <vt:i4>2097194</vt:i4>
      </vt:variant>
      <vt:variant>
        <vt:i4>3</vt:i4>
      </vt:variant>
      <vt:variant>
        <vt:i4>0</vt:i4>
      </vt:variant>
      <vt:variant>
        <vt:i4>5</vt:i4>
      </vt:variant>
      <vt:variant>
        <vt:lpwstr>https://ccyp.vic.gov.au/resources/child-safe-standards</vt:lpwstr>
      </vt:variant>
      <vt:variant>
        <vt:lpwstr/>
      </vt:variant>
      <vt:variant>
        <vt:i4>8192067</vt:i4>
      </vt:variant>
      <vt:variant>
        <vt:i4>0</vt:i4>
      </vt:variant>
      <vt:variant>
        <vt:i4>0</vt:i4>
      </vt:variant>
      <vt:variant>
        <vt:i4>5</vt:i4>
      </vt:variant>
      <vt:variant>
        <vt:lpwstr>https://ccyp.vic.gov.au/resources/child-safe-standards/</vt:lpwstr>
      </vt:variant>
      <vt:variant>
        <vt:lpwstr>CSS_ShortGuide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and enforcement policy: Child Safe Standards Regulator (Health)</dc:title>
  <dc:subject>Compliance and enforcement policy: Child Safe Standards Regulator (Health)</dc:subject>
  <dc:creator>Child Safety Regulation team</dc:creator>
  <cp:keywords>Child Safe Standards; Compliance; Enforcement; Child safety; Regulator</cp:keywords>
  <dc:description/>
  <cp:lastModifiedBy>Cameron Haig (Health)</cp:lastModifiedBy>
  <cp:revision>2</cp:revision>
  <cp:lastPrinted>2021-01-29T05:27:00Z</cp:lastPrinted>
  <dcterms:created xsi:type="dcterms:W3CDTF">2022-10-24T20:43:00Z</dcterms:created>
  <dcterms:modified xsi:type="dcterms:W3CDTF">2022-10-24T20:43:00Z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0x010100D8139E71D26DD74385E9BD00B33717E5</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efdf5488-3066-4b6c-8fea-9472b8a1f34c_Enabled">
    <vt:lpwstr>true</vt:lpwstr>
  </property>
  <property fmtid="{D5CDD505-2E9C-101B-9397-08002B2CF9AE}" pid="8" name="MSIP_Label_efdf5488-3066-4b6c-8fea-9472b8a1f34c_SetDate">
    <vt:lpwstr>2022-10-21T02:03:01Z</vt:lpwstr>
  </property>
  <property fmtid="{D5CDD505-2E9C-101B-9397-08002B2CF9AE}" pid="9" name="MSIP_Label_efdf5488-3066-4b6c-8fea-9472b8a1f34c_Method">
    <vt:lpwstr>Privileged</vt:lpwstr>
  </property>
  <property fmtid="{D5CDD505-2E9C-101B-9397-08002B2CF9AE}" pid="10" name="MSIP_Label_efdf5488-3066-4b6c-8fea-9472b8a1f34c_Name">
    <vt:lpwstr>efdf5488-3066-4b6c-8fea-9472b8a1f34c</vt:lpwstr>
  </property>
  <property fmtid="{D5CDD505-2E9C-101B-9397-08002B2CF9AE}" pid="11" name="MSIP_Label_efdf5488-3066-4b6c-8fea-9472b8a1f34c_SiteId">
    <vt:lpwstr>c0e0601f-0fac-449c-9c88-a104c4eb9f28</vt:lpwstr>
  </property>
  <property fmtid="{D5CDD505-2E9C-101B-9397-08002B2CF9AE}" pid="12" name="MSIP_Label_efdf5488-3066-4b6c-8fea-9472b8a1f34c_ActionId">
    <vt:lpwstr>9cc4e1e0-06a1-42f2-82c8-733b7b02b518</vt:lpwstr>
  </property>
  <property fmtid="{D5CDD505-2E9C-101B-9397-08002B2CF9AE}" pid="13" name="MSIP_Label_efdf5488-3066-4b6c-8fea-9472b8a1f34c_ContentBits">
    <vt:lpwstr>0</vt:lpwstr>
  </property>
</Properties>
</file>