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Default="00E9042A" w:rsidP="00056EC4">
      <w:pPr>
        <w:pStyle w:val="Body"/>
      </w:pPr>
      <w:r>
        <w:rPr>
          <w:noProof/>
        </w:rPr>
        <w:drawing>
          <wp:anchor distT="0" distB="0" distL="114300" distR="114300" simplePos="0" relativeHeight="251658243"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52D76C61" w:rsidR="00AD784C" w:rsidRPr="00077DBB" w:rsidRDefault="00077DBB" w:rsidP="00431F42">
            <w:pPr>
              <w:pStyle w:val="Documenttitle"/>
            </w:pPr>
            <w:r w:rsidRPr="5CB11786">
              <w:rPr>
                <w:b w:val="0"/>
                <w:sz w:val="52"/>
                <w:szCs w:val="52"/>
              </w:rPr>
              <w:t xml:space="preserve">Victorian mpox </w:t>
            </w:r>
            <w:r w:rsidR="00113FB0" w:rsidRPr="5CB11786">
              <w:rPr>
                <w:b w:val="0"/>
                <w:sz w:val="52"/>
                <w:szCs w:val="52"/>
              </w:rPr>
              <w:t xml:space="preserve">(monkeypox) </w:t>
            </w:r>
            <w:r w:rsidRPr="5CB11786">
              <w:rPr>
                <w:b w:val="0"/>
                <w:sz w:val="52"/>
                <w:szCs w:val="52"/>
              </w:rPr>
              <w:t xml:space="preserve">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653B597E" w:rsidR="00077DBB" w:rsidRPr="00E653CD" w:rsidRDefault="00F80459" w:rsidP="1451F742">
            <w:pPr>
              <w:pStyle w:val="Documentsubtitle"/>
            </w:pPr>
            <w:r w:rsidRPr="00E653CD">
              <w:t>G</w:t>
            </w:r>
            <w:r w:rsidR="001560A7" w:rsidRPr="00E653CD">
              <w:t>uidelines</w:t>
            </w:r>
            <w:r w:rsidR="00077DBB" w:rsidRPr="00E653CD">
              <w:t xml:space="preserve"> – Version </w:t>
            </w:r>
            <w:r w:rsidR="008B7E92">
              <w:t>17</w:t>
            </w:r>
          </w:p>
          <w:p w14:paraId="6FC28661" w14:textId="2DE44E97" w:rsidR="00386109" w:rsidRPr="00A1389F" w:rsidRDefault="00E34C05" w:rsidP="1451F742">
            <w:pPr>
              <w:pStyle w:val="Documentsubtitle"/>
              <w:rPr>
                <w:highlight w:val="yellow"/>
              </w:rPr>
            </w:pPr>
            <w:r>
              <w:t xml:space="preserve">12 </w:t>
            </w:r>
            <w:r w:rsidR="008B7E92">
              <w:t>June</w:t>
            </w:r>
            <w:r w:rsidR="00701BFA">
              <w:t xml:space="preserve"> 2024</w:t>
            </w:r>
          </w:p>
        </w:tc>
      </w:tr>
      <w:tr w:rsidR="00430393" w14:paraId="62F98E79" w14:textId="77777777" w:rsidTr="5CB11786">
        <w:trPr>
          <w:cantSplit/>
        </w:trPr>
        <w:tc>
          <w:tcPr>
            <w:tcW w:w="0" w:type="auto"/>
          </w:tcPr>
          <w:p w14:paraId="5D88C4FA" w14:textId="77777777" w:rsidR="00430393" w:rsidRDefault="00A673CE" w:rsidP="00430393">
            <w:pPr>
              <w:pStyle w:val="Bannermarking"/>
            </w:pPr>
            <w:fldSimple w:instr="FILLIN  &quot;Type the protective marking&quot; \d OFFICIAL \o  \* MERGEFORMAT">
              <w:r w:rsidR="002343BB">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257BF3A5" w14:textId="2F388112" w:rsidR="00E34C05"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69094163" w:history="1">
        <w:r w:rsidR="00E34C05" w:rsidRPr="00245A21">
          <w:rPr>
            <w:rStyle w:val="Hyperlink"/>
          </w:rPr>
          <w:t>Introduction</w:t>
        </w:r>
        <w:r w:rsidR="00E34C05">
          <w:rPr>
            <w:webHidden/>
          </w:rPr>
          <w:tab/>
        </w:r>
        <w:r w:rsidR="00E34C05">
          <w:rPr>
            <w:webHidden/>
          </w:rPr>
          <w:fldChar w:fldCharType="begin"/>
        </w:r>
        <w:r w:rsidR="00E34C05">
          <w:rPr>
            <w:webHidden/>
          </w:rPr>
          <w:instrText xml:space="preserve"> PAGEREF _Toc169094163 \h </w:instrText>
        </w:r>
        <w:r w:rsidR="00E34C05">
          <w:rPr>
            <w:webHidden/>
          </w:rPr>
        </w:r>
        <w:r w:rsidR="00E34C05">
          <w:rPr>
            <w:webHidden/>
          </w:rPr>
          <w:fldChar w:fldCharType="separate"/>
        </w:r>
        <w:r w:rsidR="00E34C05">
          <w:rPr>
            <w:webHidden/>
          </w:rPr>
          <w:t>5</w:t>
        </w:r>
        <w:r w:rsidR="00E34C05">
          <w:rPr>
            <w:webHidden/>
          </w:rPr>
          <w:fldChar w:fldCharType="end"/>
        </w:r>
      </w:hyperlink>
    </w:p>
    <w:p w14:paraId="1F3EBD1C" w14:textId="4C5FE4BF"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64" w:history="1">
        <w:r w:rsidR="00E34C05" w:rsidRPr="00245A21">
          <w:rPr>
            <w:rStyle w:val="Hyperlink"/>
          </w:rPr>
          <w:t>Background</w:t>
        </w:r>
        <w:r w:rsidR="00E34C05">
          <w:rPr>
            <w:webHidden/>
          </w:rPr>
          <w:tab/>
        </w:r>
        <w:r w:rsidR="00E34C05">
          <w:rPr>
            <w:webHidden/>
          </w:rPr>
          <w:fldChar w:fldCharType="begin"/>
        </w:r>
        <w:r w:rsidR="00E34C05">
          <w:rPr>
            <w:webHidden/>
          </w:rPr>
          <w:instrText xml:space="preserve"> PAGEREF _Toc169094164 \h </w:instrText>
        </w:r>
        <w:r w:rsidR="00E34C05">
          <w:rPr>
            <w:webHidden/>
          </w:rPr>
        </w:r>
        <w:r w:rsidR="00E34C05">
          <w:rPr>
            <w:webHidden/>
          </w:rPr>
          <w:fldChar w:fldCharType="separate"/>
        </w:r>
        <w:r w:rsidR="00E34C05">
          <w:rPr>
            <w:webHidden/>
          </w:rPr>
          <w:t>5</w:t>
        </w:r>
        <w:r w:rsidR="00E34C05">
          <w:rPr>
            <w:webHidden/>
          </w:rPr>
          <w:fldChar w:fldCharType="end"/>
        </w:r>
      </w:hyperlink>
    </w:p>
    <w:p w14:paraId="44E9AF8B" w14:textId="1A6468F7"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65" w:history="1">
        <w:r w:rsidR="00E34C05" w:rsidRPr="00245A21">
          <w:rPr>
            <w:rStyle w:val="Hyperlink"/>
          </w:rPr>
          <w:t>Vaccine program</w:t>
        </w:r>
        <w:r w:rsidR="00E34C05">
          <w:rPr>
            <w:webHidden/>
          </w:rPr>
          <w:tab/>
        </w:r>
        <w:r w:rsidR="00E34C05">
          <w:rPr>
            <w:webHidden/>
          </w:rPr>
          <w:fldChar w:fldCharType="begin"/>
        </w:r>
        <w:r w:rsidR="00E34C05">
          <w:rPr>
            <w:webHidden/>
          </w:rPr>
          <w:instrText xml:space="preserve"> PAGEREF _Toc169094165 \h </w:instrText>
        </w:r>
        <w:r w:rsidR="00E34C05">
          <w:rPr>
            <w:webHidden/>
          </w:rPr>
        </w:r>
        <w:r w:rsidR="00E34C05">
          <w:rPr>
            <w:webHidden/>
          </w:rPr>
          <w:fldChar w:fldCharType="separate"/>
        </w:r>
        <w:r w:rsidR="00E34C05">
          <w:rPr>
            <w:webHidden/>
          </w:rPr>
          <w:t>6</w:t>
        </w:r>
        <w:r w:rsidR="00E34C05">
          <w:rPr>
            <w:webHidden/>
          </w:rPr>
          <w:fldChar w:fldCharType="end"/>
        </w:r>
      </w:hyperlink>
    </w:p>
    <w:p w14:paraId="54002F34" w14:textId="1B89A662"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66" w:history="1">
        <w:r w:rsidR="00E34C05" w:rsidRPr="00245A21">
          <w:rPr>
            <w:rStyle w:val="Hyperlink"/>
          </w:rPr>
          <w:t>Mpox vaccines approved for use in Australia</w:t>
        </w:r>
        <w:r w:rsidR="00E34C05">
          <w:rPr>
            <w:webHidden/>
          </w:rPr>
          <w:tab/>
        </w:r>
        <w:r w:rsidR="00E34C05">
          <w:rPr>
            <w:webHidden/>
          </w:rPr>
          <w:fldChar w:fldCharType="begin"/>
        </w:r>
        <w:r w:rsidR="00E34C05">
          <w:rPr>
            <w:webHidden/>
          </w:rPr>
          <w:instrText xml:space="preserve"> PAGEREF _Toc169094166 \h </w:instrText>
        </w:r>
        <w:r w:rsidR="00E34C05">
          <w:rPr>
            <w:webHidden/>
          </w:rPr>
        </w:r>
        <w:r w:rsidR="00E34C05">
          <w:rPr>
            <w:webHidden/>
          </w:rPr>
          <w:fldChar w:fldCharType="separate"/>
        </w:r>
        <w:r w:rsidR="00E34C05">
          <w:rPr>
            <w:webHidden/>
          </w:rPr>
          <w:t>6</w:t>
        </w:r>
        <w:r w:rsidR="00E34C05">
          <w:rPr>
            <w:webHidden/>
          </w:rPr>
          <w:fldChar w:fldCharType="end"/>
        </w:r>
      </w:hyperlink>
    </w:p>
    <w:p w14:paraId="261FB136" w14:textId="22B92774"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67" w:history="1">
        <w:r w:rsidR="00E34C05" w:rsidRPr="00245A21">
          <w:rPr>
            <w:rStyle w:val="Hyperlink"/>
          </w:rPr>
          <w:t>Mpox vaccine eligibility</w:t>
        </w:r>
        <w:r w:rsidR="00E34C05">
          <w:rPr>
            <w:webHidden/>
          </w:rPr>
          <w:tab/>
        </w:r>
        <w:r w:rsidR="00E34C05">
          <w:rPr>
            <w:webHidden/>
          </w:rPr>
          <w:fldChar w:fldCharType="begin"/>
        </w:r>
        <w:r w:rsidR="00E34C05">
          <w:rPr>
            <w:webHidden/>
          </w:rPr>
          <w:instrText xml:space="preserve"> PAGEREF _Toc169094167 \h </w:instrText>
        </w:r>
        <w:r w:rsidR="00E34C05">
          <w:rPr>
            <w:webHidden/>
          </w:rPr>
        </w:r>
        <w:r w:rsidR="00E34C05">
          <w:rPr>
            <w:webHidden/>
          </w:rPr>
          <w:fldChar w:fldCharType="separate"/>
        </w:r>
        <w:r w:rsidR="00E34C05">
          <w:rPr>
            <w:webHidden/>
          </w:rPr>
          <w:t>7</w:t>
        </w:r>
        <w:r w:rsidR="00E34C05">
          <w:rPr>
            <w:webHidden/>
          </w:rPr>
          <w:fldChar w:fldCharType="end"/>
        </w:r>
      </w:hyperlink>
    </w:p>
    <w:p w14:paraId="28DE3DDC" w14:textId="0DFC7F30"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68" w:history="1">
        <w:r w:rsidR="00E34C05" w:rsidRPr="00245A21">
          <w:rPr>
            <w:rStyle w:val="Hyperlink"/>
          </w:rPr>
          <w:t>Mpox vaccine for use in Victoria</w:t>
        </w:r>
        <w:r w:rsidR="00E34C05">
          <w:rPr>
            <w:webHidden/>
          </w:rPr>
          <w:tab/>
        </w:r>
        <w:r w:rsidR="00E34C05">
          <w:rPr>
            <w:webHidden/>
          </w:rPr>
          <w:fldChar w:fldCharType="begin"/>
        </w:r>
        <w:r w:rsidR="00E34C05">
          <w:rPr>
            <w:webHidden/>
          </w:rPr>
          <w:instrText xml:space="preserve"> PAGEREF _Toc169094168 \h </w:instrText>
        </w:r>
        <w:r w:rsidR="00E34C05">
          <w:rPr>
            <w:webHidden/>
          </w:rPr>
        </w:r>
        <w:r w:rsidR="00E34C05">
          <w:rPr>
            <w:webHidden/>
          </w:rPr>
          <w:fldChar w:fldCharType="separate"/>
        </w:r>
        <w:r w:rsidR="00E34C05">
          <w:rPr>
            <w:webHidden/>
          </w:rPr>
          <w:t>8</w:t>
        </w:r>
        <w:r w:rsidR="00E34C05">
          <w:rPr>
            <w:webHidden/>
          </w:rPr>
          <w:fldChar w:fldCharType="end"/>
        </w:r>
      </w:hyperlink>
    </w:p>
    <w:p w14:paraId="70F7E135" w14:textId="1E0ADBB3"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69" w:history="1">
        <w:r w:rsidR="00E34C05" w:rsidRPr="00245A21">
          <w:rPr>
            <w:rStyle w:val="Hyperlink"/>
          </w:rPr>
          <w:t>Mpox vaccines for use in Victoria</w:t>
        </w:r>
        <w:r w:rsidR="00E34C05">
          <w:rPr>
            <w:webHidden/>
          </w:rPr>
          <w:tab/>
        </w:r>
        <w:r w:rsidR="00E34C05">
          <w:rPr>
            <w:webHidden/>
          </w:rPr>
          <w:fldChar w:fldCharType="begin"/>
        </w:r>
        <w:r w:rsidR="00E34C05">
          <w:rPr>
            <w:webHidden/>
          </w:rPr>
          <w:instrText xml:space="preserve"> PAGEREF _Toc169094169 \h </w:instrText>
        </w:r>
        <w:r w:rsidR="00E34C05">
          <w:rPr>
            <w:webHidden/>
          </w:rPr>
        </w:r>
        <w:r w:rsidR="00E34C05">
          <w:rPr>
            <w:webHidden/>
          </w:rPr>
          <w:fldChar w:fldCharType="separate"/>
        </w:r>
        <w:r w:rsidR="00E34C05">
          <w:rPr>
            <w:webHidden/>
          </w:rPr>
          <w:t>8</w:t>
        </w:r>
        <w:r w:rsidR="00E34C05">
          <w:rPr>
            <w:webHidden/>
          </w:rPr>
          <w:fldChar w:fldCharType="end"/>
        </w:r>
      </w:hyperlink>
    </w:p>
    <w:p w14:paraId="7087A89C" w14:textId="51593D96"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0" w:history="1">
        <w:r w:rsidR="00E34C05" w:rsidRPr="00245A21">
          <w:rPr>
            <w:rStyle w:val="Hyperlink"/>
          </w:rPr>
          <w:t>Contraindications</w:t>
        </w:r>
        <w:r w:rsidR="00E34C05">
          <w:rPr>
            <w:webHidden/>
          </w:rPr>
          <w:tab/>
        </w:r>
        <w:r w:rsidR="00E34C05">
          <w:rPr>
            <w:webHidden/>
          </w:rPr>
          <w:fldChar w:fldCharType="begin"/>
        </w:r>
        <w:r w:rsidR="00E34C05">
          <w:rPr>
            <w:webHidden/>
          </w:rPr>
          <w:instrText xml:space="preserve"> PAGEREF _Toc169094170 \h </w:instrText>
        </w:r>
        <w:r w:rsidR="00E34C05">
          <w:rPr>
            <w:webHidden/>
          </w:rPr>
        </w:r>
        <w:r w:rsidR="00E34C05">
          <w:rPr>
            <w:webHidden/>
          </w:rPr>
          <w:fldChar w:fldCharType="separate"/>
        </w:r>
        <w:r w:rsidR="00E34C05">
          <w:rPr>
            <w:webHidden/>
          </w:rPr>
          <w:t>8</w:t>
        </w:r>
        <w:r w:rsidR="00E34C05">
          <w:rPr>
            <w:webHidden/>
          </w:rPr>
          <w:fldChar w:fldCharType="end"/>
        </w:r>
      </w:hyperlink>
    </w:p>
    <w:p w14:paraId="1F5C5A57" w14:textId="4257A7AC"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1" w:history="1">
        <w:r w:rsidR="00E34C05" w:rsidRPr="00245A21">
          <w:rPr>
            <w:rStyle w:val="Hyperlink"/>
            <w:rFonts w:eastAsia="Times"/>
          </w:rPr>
          <w:t>Prec</w:t>
        </w:r>
        <w:r w:rsidR="00E34C05" w:rsidRPr="00245A21">
          <w:rPr>
            <w:rStyle w:val="Hyperlink"/>
          </w:rPr>
          <w:t>autions</w:t>
        </w:r>
        <w:r w:rsidR="00E34C05">
          <w:rPr>
            <w:webHidden/>
          </w:rPr>
          <w:tab/>
        </w:r>
        <w:r w:rsidR="00E34C05">
          <w:rPr>
            <w:webHidden/>
          </w:rPr>
          <w:fldChar w:fldCharType="begin"/>
        </w:r>
        <w:r w:rsidR="00E34C05">
          <w:rPr>
            <w:webHidden/>
          </w:rPr>
          <w:instrText xml:space="preserve"> PAGEREF _Toc169094171 \h </w:instrText>
        </w:r>
        <w:r w:rsidR="00E34C05">
          <w:rPr>
            <w:webHidden/>
          </w:rPr>
        </w:r>
        <w:r w:rsidR="00E34C05">
          <w:rPr>
            <w:webHidden/>
          </w:rPr>
          <w:fldChar w:fldCharType="separate"/>
        </w:r>
        <w:r w:rsidR="00E34C05">
          <w:rPr>
            <w:webHidden/>
          </w:rPr>
          <w:t>9</w:t>
        </w:r>
        <w:r w:rsidR="00E34C05">
          <w:rPr>
            <w:webHidden/>
          </w:rPr>
          <w:fldChar w:fldCharType="end"/>
        </w:r>
      </w:hyperlink>
    </w:p>
    <w:p w14:paraId="35028436" w14:textId="6392C731"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2" w:history="1">
        <w:r w:rsidR="00E34C05" w:rsidRPr="00245A21">
          <w:rPr>
            <w:rStyle w:val="Hyperlink"/>
          </w:rPr>
          <w:t>Route</w:t>
        </w:r>
        <w:r w:rsidR="00E34C05">
          <w:rPr>
            <w:webHidden/>
          </w:rPr>
          <w:tab/>
        </w:r>
        <w:r w:rsidR="00E34C05">
          <w:rPr>
            <w:webHidden/>
          </w:rPr>
          <w:fldChar w:fldCharType="begin"/>
        </w:r>
        <w:r w:rsidR="00E34C05">
          <w:rPr>
            <w:webHidden/>
          </w:rPr>
          <w:instrText xml:space="preserve"> PAGEREF _Toc169094172 \h </w:instrText>
        </w:r>
        <w:r w:rsidR="00E34C05">
          <w:rPr>
            <w:webHidden/>
          </w:rPr>
        </w:r>
        <w:r w:rsidR="00E34C05">
          <w:rPr>
            <w:webHidden/>
          </w:rPr>
          <w:fldChar w:fldCharType="separate"/>
        </w:r>
        <w:r w:rsidR="00E34C05">
          <w:rPr>
            <w:webHidden/>
          </w:rPr>
          <w:t>10</w:t>
        </w:r>
        <w:r w:rsidR="00E34C05">
          <w:rPr>
            <w:webHidden/>
          </w:rPr>
          <w:fldChar w:fldCharType="end"/>
        </w:r>
      </w:hyperlink>
    </w:p>
    <w:p w14:paraId="3C96E5D5" w14:textId="05C5FC64"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3" w:history="1">
        <w:r w:rsidR="00E34C05" w:rsidRPr="00245A21">
          <w:rPr>
            <w:rStyle w:val="Hyperlink"/>
          </w:rPr>
          <w:t>Schedule</w:t>
        </w:r>
        <w:r w:rsidR="00E34C05">
          <w:rPr>
            <w:webHidden/>
          </w:rPr>
          <w:tab/>
        </w:r>
        <w:r w:rsidR="00E34C05">
          <w:rPr>
            <w:webHidden/>
          </w:rPr>
          <w:fldChar w:fldCharType="begin"/>
        </w:r>
        <w:r w:rsidR="00E34C05">
          <w:rPr>
            <w:webHidden/>
          </w:rPr>
          <w:instrText xml:space="preserve"> PAGEREF _Toc169094173 \h </w:instrText>
        </w:r>
        <w:r w:rsidR="00E34C05">
          <w:rPr>
            <w:webHidden/>
          </w:rPr>
        </w:r>
        <w:r w:rsidR="00E34C05">
          <w:rPr>
            <w:webHidden/>
          </w:rPr>
          <w:fldChar w:fldCharType="separate"/>
        </w:r>
        <w:r w:rsidR="00E34C05">
          <w:rPr>
            <w:webHidden/>
          </w:rPr>
          <w:t>10</w:t>
        </w:r>
        <w:r w:rsidR="00E34C05">
          <w:rPr>
            <w:webHidden/>
          </w:rPr>
          <w:fldChar w:fldCharType="end"/>
        </w:r>
      </w:hyperlink>
    </w:p>
    <w:p w14:paraId="03FBEA88" w14:textId="0A679C40"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4" w:history="1">
        <w:r w:rsidR="00E34C05" w:rsidRPr="00245A21">
          <w:rPr>
            <w:rStyle w:val="Hyperlink"/>
          </w:rPr>
          <w:t>Common side effects</w:t>
        </w:r>
        <w:r w:rsidR="00E34C05">
          <w:rPr>
            <w:webHidden/>
          </w:rPr>
          <w:tab/>
        </w:r>
        <w:r w:rsidR="00E34C05">
          <w:rPr>
            <w:webHidden/>
          </w:rPr>
          <w:fldChar w:fldCharType="begin"/>
        </w:r>
        <w:r w:rsidR="00E34C05">
          <w:rPr>
            <w:webHidden/>
          </w:rPr>
          <w:instrText xml:space="preserve"> PAGEREF _Toc169094174 \h </w:instrText>
        </w:r>
        <w:r w:rsidR="00E34C05">
          <w:rPr>
            <w:webHidden/>
          </w:rPr>
        </w:r>
        <w:r w:rsidR="00E34C05">
          <w:rPr>
            <w:webHidden/>
          </w:rPr>
          <w:fldChar w:fldCharType="separate"/>
        </w:r>
        <w:r w:rsidR="00E34C05">
          <w:rPr>
            <w:webHidden/>
          </w:rPr>
          <w:t>11</w:t>
        </w:r>
        <w:r w:rsidR="00E34C05">
          <w:rPr>
            <w:webHidden/>
          </w:rPr>
          <w:fldChar w:fldCharType="end"/>
        </w:r>
      </w:hyperlink>
    </w:p>
    <w:p w14:paraId="72612830" w14:textId="59BDC8FC"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75" w:history="1">
        <w:r w:rsidR="00E34C05" w:rsidRPr="00245A21">
          <w:rPr>
            <w:rStyle w:val="Hyperlink"/>
          </w:rPr>
          <w:t>Other considerations</w:t>
        </w:r>
        <w:r w:rsidR="00E34C05">
          <w:rPr>
            <w:webHidden/>
          </w:rPr>
          <w:tab/>
        </w:r>
        <w:r w:rsidR="00E34C05">
          <w:rPr>
            <w:webHidden/>
          </w:rPr>
          <w:fldChar w:fldCharType="begin"/>
        </w:r>
        <w:r w:rsidR="00E34C05">
          <w:rPr>
            <w:webHidden/>
          </w:rPr>
          <w:instrText xml:space="preserve"> PAGEREF _Toc169094175 \h </w:instrText>
        </w:r>
        <w:r w:rsidR="00E34C05">
          <w:rPr>
            <w:webHidden/>
          </w:rPr>
        </w:r>
        <w:r w:rsidR="00E34C05">
          <w:rPr>
            <w:webHidden/>
          </w:rPr>
          <w:fldChar w:fldCharType="separate"/>
        </w:r>
        <w:r w:rsidR="00E34C05">
          <w:rPr>
            <w:webHidden/>
          </w:rPr>
          <w:t>11</w:t>
        </w:r>
        <w:r w:rsidR="00E34C05">
          <w:rPr>
            <w:webHidden/>
          </w:rPr>
          <w:fldChar w:fldCharType="end"/>
        </w:r>
      </w:hyperlink>
    </w:p>
    <w:p w14:paraId="144FAFE7" w14:textId="00718BF5"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6" w:history="1">
        <w:r w:rsidR="00E34C05" w:rsidRPr="00245A21">
          <w:rPr>
            <w:rStyle w:val="Hyperlink"/>
          </w:rPr>
          <w:t>Previous smallpox vaccination</w:t>
        </w:r>
        <w:r w:rsidR="00E34C05">
          <w:rPr>
            <w:webHidden/>
          </w:rPr>
          <w:tab/>
        </w:r>
        <w:r w:rsidR="00E34C05">
          <w:rPr>
            <w:webHidden/>
          </w:rPr>
          <w:fldChar w:fldCharType="begin"/>
        </w:r>
        <w:r w:rsidR="00E34C05">
          <w:rPr>
            <w:webHidden/>
          </w:rPr>
          <w:instrText xml:space="preserve"> PAGEREF _Toc169094176 \h </w:instrText>
        </w:r>
        <w:r w:rsidR="00E34C05">
          <w:rPr>
            <w:webHidden/>
          </w:rPr>
        </w:r>
        <w:r w:rsidR="00E34C05">
          <w:rPr>
            <w:webHidden/>
          </w:rPr>
          <w:fldChar w:fldCharType="separate"/>
        </w:r>
        <w:r w:rsidR="00E34C05">
          <w:rPr>
            <w:webHidden/>
          </w:rPr>
          <w:t>11</w:t>
        </w:r>
        <w:r w:rsidR="00E34C05">
          <w:rPr>
            <w:webHidden/>
          </w:rPr>
          <w:fldChar w:fldCharType="end"/>
        </w:r>
      </w:hyperlink>
    </w:p>
    <w:p w14:paraId="501BEB23" w14:textId="16A5F6A0"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7" w:history="1">
        <w:r w:rsidR="00E34C05" w:rsidRPr="00245A21">
          <w:rPr>
            <w:rStyle w:val="Hyperlink"/>
          </w:rPr>
          <w:t>Interval after infection</w:t>
        </w:r>
        <w:r w:rsidR="00E34C05">
          <w:rPr>
            <w:webHidden/>
          </w:rPr>
          <w:tab/>
        </w:r>
        <w:r w:rsidR="00E34C05">
          <w:rPr>
            <w:webHidden/>
          </w:rPr>
          <w:fldChar w:fldCharType="begin"/>
        </w:r>
        <w:r w:rsidR="00E34C05">
          <w:rPr>
            <w:webHidden/>
          </w:rPr>
          <w:instrText xml:space="preserve"> PAGEREF _Toc169094177 \h </w:instrText>
        </w:r>
        <w:r w:rsidR="00E34C05">
          <w:rPr>
            <w:webHidden/>
          </w:rPr>
        </w:r>
        <w:r w:rsidR="00E34C05">
          <w:rPr>
            <w:webHidden/>
          </w:rPr>
          <w:fldChar w:fldCharType="separate"/>
        </w:r>
        <w:r w:rsidR="00E34C05">
          <w:rPr>
            <w:webHidden/>
          </w:rPr>
          <w:t>12</w:t>
        </w:r>
        <w:r w:rsidR="00E34C05">
          <w:rPr>
            <w:webHidden/>
          </w:rPr>
          <w:fldChar w:fldCharType="end"/>
        </w:r>
      </w:hyperlink>
    </w:p>
    <w:p w14:paraId="5A187CB9" w14:textId="05634FC3"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8" w:history="1">
        <w:r w:rsidR="00E34C05" w:rsidRPr="00245A21">
          <w:rPr>
            <w:rStyle w:val="Hyperlink"/>
          </w:rPr>
          <w:t>Coadministration</w:t>
        </w:r>
        <w:r w:rsidR="00E34C05">
          <w:rPr>
            <w:webHidden/>
          </w:rPr>
          <w:tab/>
        </w:r>
        <w:r w:rsidR="00E34C05">
          <w:rPr>
            <w:webHidden/>
          </w:rPr>
          <w:fldChar w:fldCharType="begin"/>
        </w:r>
        <w:r w:rsidR="00E34C05">
          <w:rPr>
            <w:webHidden/>
          </w:rPr>
          <w:instrText xml:space="preserve"> PAGEREF _Toc169094178 \h </w:instrText>
        </w:r>
        <w:r w:rsidR="00E34C05">
          <w:rPr>
            <w:webHidden/>
          </w:rPr>
        </w:r>
        <w:r w:rsidR="00E34C05">
          <w:rPr>
            <w:webHidden/>
          </w:rPr>
          <w:fldChar w:fldCharType="separate"/>
        </w:r>
        <w:r w:rsidR="00E34C05">
          <w:rPr>
            <w:webHidden/>
          </w:rPr>
          <w:t>12</w:t>
        </w:r>
        <w:r w:rsidR="00E34C05">
          <w:rPr>
            <w:webHidden/>
          </w:rPr>
          <w:fldChar w:fldCharType="end"/>
        </w:r>
      </w:hyperlink>
    </w:p>
    <w:p w14:paraId="7875AB55" w14:textId="566073FC"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79" w:history="1">
        <w:r w:rsidR="00E34C05" w:rsidRPr="00245A21">
          <w:rPr>
            <w:rStyle w:val="Hyperlink"/>
          </w:rPr>
          <w:t>Completing schedules commenced overseas</w:t>
        </w:r>
        <w:r w:rsidR="00E34C05">
          <w:rPr>
            <w:webHidden/>
          </w:rPr>
          <w:tab/>
        </w:r>
        <w:r w:rsidR="00E34C05">
          <w:rPr>
            <w:webHidden/>
          </w:rPr>
          <w:fldChar w:fldCharType="begin"/>
        </w:r>
        <w:r w:rsidR="00E34C05">
          <w:rPr>
            <w:webHidden/>
          </w:rPr>
          <w:instrText xml:space="preserve"> PAGEREF _Toc169094179 \h </w:instrText>
        </w:r>
        <w:r w:rsidR="00E34C05">
          <w:rPr>
            <w:webHidden/>
          </w:rPr>
        </w:r>
        <w:r w:rsidR="00E34C05">
          <w:rPr>
            <w:webHidden/>
          </w:rPr>
          <w:fldChar w:fldCharType="separate"/>
        </w:r>
        <w:r w:rsidR="00E34C05">
          <w:rPr>
            <w:webHidden/>
          </w:rPr>
          <w:t>12</w:t>
        </w:r>
        <w:r w:rsidR="00E34C05">
          <w:rPr>
            <w:webHidden/>
          </w:rPr>
          <w:fldChar w:fldCharType="end"/>
        </w:r>
      </w:hyperlink>
    </w:p>
    <w:p w14:paraId="553ACBD2" w14:textId="23E73222"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0" w:history="1">
        <w:r w:rsidR="00E34C05" w:rsidRPr="00245A21">
          <w:rPr>
            <w:rStyle w:val="Hyperlink"/>
            <w:rFonts w:eastAsia="Arial Narrow" w:cs="Arial Narrow"/>
            <w:lang w:val="en-US"/>
          </w:rPr>
          <w:t>Vaccine administration errors</w:t>
        </w:r>
        <w:r w:rsidR="00E34C05">
          <w:rPr>
            <w:webHidden/>
          </w:rPr>
          <w:tab/>
        </w:r>
        <w:r w:rsidR="00E34C05">
          <w:rPr>
            <w:webHidden/>
          </w:rPr>
          <w:fldChar w:fldCharType="begin"/>
        </w:r>
        <w:r w:rsidR="00E34C05">
          <w:rPr>
            <w:webHidden/>
          </w:rPr>
          <w:instrText xml:space="preserve"> PAGEREF _Toc169094180 \h </w:instrText>
        </w:r>
        <w:r w:rsidR="00E34C05">
          <w:rPr>
            <w:webHidden/>
          </w:rPr>
        </w:r>
        <w:r w:rsidR="00E34C05">
          <w:rPr>
            <w:webHidden/>
          </w:rPr>
          <w:fldChar w:fldCharType="separate"/>
        </w:r>
        <w:r w:rsidR="00E34C05">
          <w:rPr>
            <w:webHidden/>
          </w:rPr>
          <w:t>12</w:t>
        </w:r>
        <w:r w:rsidR="00E34C05">
          <w:rPr>
            <w:webHidden/>
          </w:rPr>
          <w:fldChar w:fldCharType="end"/>
        </w:r>
      </w:hyperlink>
    </w:p>
    <w:p w14:paraId="4BAA1F84" w14:textId="4FC93607"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81" w:history="1">
        <w:r w:rsidR="00E34C05" w:rsidRPr="00245A21">
          <w:rPr>
            <w:rStyle w:val="Hyperlink"/>
          </w:rPr>
          <w:t>Vaccine Logistics</w:t>
        </w:r>
        <w:r w:rsidR="00E34C05">
          <w:rPr>
            <w:webHidden/>
          </w:rPr>
          <w:tab/>
        </w:r>
        <w:r w:rsidR="00E34C05">
          <w:rPr>
            <w:webHidden/>
          </w:rPr>
          <w:fldChar w:fldCharType="begin"/>
        </w:r>
        <w:r w:rsidR="00E34C05">
          <w:rPr>
            <w:webHidden/>
          </w:rPr>
          <w:instrText xml:space="preserve"> PAGEREF _Toc169094181 \h </w:instrText>
        </w:r>
        <w:r w:rsidR="00E34C05">
          <w:rPr>
            <w:webHidden/>
          </w:rPr>
        </w:r>
        <w:r w:rsidR="00E34C05">
          <w:rPr>
            <w:webHidden/>
          </w:rPr>
          <w:fldChar w:fldCharType="separate"/>
        </w:r>
        <w:r w:rsidR="00E34C05">
          <w:rPr>
            <w:webHidden/>
          </w:rPr>
          <w:t>14</w:t>
        </w:r>
        <w:r w:rsidR="00E34C05">
          <w:rPr>
            <w:webHidden/>
          </w:rPr>
          <w:fldChar w:fldCharType="end"/>
        </w:r>
      </w:hyperlink>
    </w:p>
    <w:p w14:paraId="5887D7D4" w14:textId="2B74BABC"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2" w:history="1">
        <w:r w:rsidR="00E34C05" w:rsidRPr="00245A21">
          <w:rPr>
            <w:rStyle w:val="Hyperlink"/>
          </w:rPr>
          <w:t>Presentation</w:t>
        </w:r>
        <w:r w:rsidR="00E34C05">
          <w:rPr>
            <w:webHidden/>
          </w:rPr>
          <w:tab/>
        </w:r>
        <w:r w:rsidR="00E34C05">
          <w:rPr>
            <w:webHidden/>
          </w:rPr>
          <w:fldChar w:fldCharType="begin"/>
        </w:r>
        <w:r w:rsidR="00E34C05">
          <w:rPr>
            <w:webHidden/>
          </w:rPr>
          <w:instrText xml:space="preserve"> PAGEREF _Toc169094182 \h </w:instrText>
        </w:r>
        <w:r w:rsidR="00E34C05">
          <w:rPr>
            <w:webHidden/>
          </w:rPr>
        </w:r>
        <w:r w:rsidR="00E34C05">
          <w:rPr>
            <w:webHidden/>
          </w:rPr>
          <w:fldChar w:fldCharType="separate"/>
        </w:r>
        <w:r w:rsidR="00E34C05">
          <w:rPr>
            <w:webHidden/>
          </w:rPr>
          <w:t>14</w:t>
        </w:r>
        <w:r w:rsidR="00E34C05">
          <w:rPr>
            <w:webHidden/>
          </w:rPr>
          <w:fldChar w:fldCharType="end"/>
        </w:r>
      </w:hyperlink>
    </w:p>
    <w:p w14:paraId="6E6FC7CA" w14:textId="76F7B228"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3" w:history="1">
        <w:r w:rsidR="00E34C05" w:rsidRPr="00245A21">
          <w:rPr>
            <w:rStyle w:val="Hyperlink"/>
          </w:rPr>
          <w:t>Storage</w:t>
        </w:r>
        <w:r w:rsidR="00E34C05">
          <w:rPr>
            <w:webHidden/>
          </w:rPr>
          <w:tab/>
        </w:r>
        <w:r w:rsidR="00E34C05">
          <w:rPr>
            <w:webHidden/>
          </w:rPr>
          <w:fldChar w:fldCharType="begin"/>
        </w:r>
        <w:r w:rsidR="00E34C05">
          <w:rPr>
            <w:webHidden/>
          </w:rPr>
          <w:instrText xml:space="preserve"> PAGEREF _Toc169094183 \h </w:instrText>
        </w:r>
        <w:r w:rsidR="00E34C05">
          <w:rPr>
            <w:webHidden/>
          </w:rPr>
        </w:r>
        <w:r w:rsidR="00E34C05">
          <w:rPr>
            <w:webHidden/>
          </w:rPr>
          <w:fldChar w:fldCharType="separate"/>
        </w:r>
        <w:r w:rsidR="00E34C05">
          <w:rPr>
            <w:webHidden/>
          </w:rPr>
          <w:t>14</w:t>
        </w:r>
        <w:r w:rsidR="00E34C05">
          <w:rPr>
            <w:webHidden/>
          </w:rPr>
          <w:fldChar w:fldCharType="end"/>
        </w:r>
      </w:hyperlink>
    </w:p>
    <w:p w14:paraId="5150802D" w14:textId="44738D80"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4" w:history="1">
        <w:r w:rsidR="00E34C05" w:rsidRPr="00245A21">
          <w:rPr>
            <w:rStyle w:val="Hyperlink"/>
          </w:rPr>
          <w:t>Vaccine procurement</w:t>
        </w:r>
        <w:r w:rsidR="00E34C05">
          <w:rPr>
            <w:webHidden/>
          </w:rPr>
          <w:tab/>
        </w:r>
        <w:r w:rsidR="00E34C05">
          <w:rPr>
            <w:webHidden/>
          </w:rPr>
          <w:fldChar w:fldCharType="begin"/>
        </w:r>
        <w:r w:rsidR="00E34C05">
          <w:rPr>
            <w:webHidden/>
          </w:rPr>
          <w:instrText xml:space="preserve"> PAGEREF _Toc169094184 \h </w:instrText>
        </w:r>
        <w:r w:rsidR="00E34C05">
          <w:rPr>
            <w:webHidden/>
          </w:rPr>
        </w:r>
        <w:r w:rsidR="00E34C05">
          <w:rPr>
            <w:webHidden/>
          </w:rPr>
          <w:fldChar w:fldCharType="separate"/>
        </w:r>
        <w:r w:rsidR="00E34C05">
          <w:rPr>
            <w:webHidden/>
          </w:rPr>
          <w:t>15</w:t>
        </w:r>
        <w:r w:rsidR="00E34C05">
          <w:rPr>
            <w:webHidden/>
          </w:rPr>
          <w:fldChar w:fldCharType="end"/>
        </w:r>
      </w:hyperlink>
    </w:p>
    <w:p w14:paraId="1852187D" w14:textId="25349536"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85" w:history="1">
        <w:r w:rsidR="00E34C05" w:rsidRPr="00245A21">
          <w:rPr>
            <w:rStyle w:val="Hyperlink"/>
          </w:rPr>
          <w:t>Cold chain management</w:t>
        </w:r>
        <w:r w:rsidR="00E34C05">
          <w:rPr>
            <w:webHidden/>
          </w:rPr>
          <w:tab/>
        </w:r>
        <w:r w:rsidR="00E34C05">
          <w:rPr>
            <w:webHidden/>
          </w:rPr>
          <w:fldChar w:fldCharType="begin"/>
        </w:r>
        <w:r w:rsidR="00E34C05">
          <w:rPr>
            <w:webHidden/>
          </w:rPr>
          <w:instrText xml:space="preserve"> PAGEREF _Toc169094185 \h </w:instrText>
        </w:r>
        <w:r w:rsidR="00E34C05">
          <w:rPr>
            <w:webHidden/>
          </w:rPr>
        </w:r>
        <w:r w:rsidR="00E34C05">
          <w:rPr>
            <w:webHidden/>
          </w:rPr>
          <w:fldChar w:fldCharType="separate"/>
        </w:r>
        <w:r w:rsidR="00E34C05">
          <w:rPr>
            <w:webHidden/>
          </w:rPr>
          <w:t>15</w:t>
        </w:r>
        <w:r w:rsidR="00E34C05">
          <w:rPr>
            <w:webHidden/>
          </w:rPr>
          <w:fldChar w:fldCharType="end"/>
        </w:r>
      </w:hyperlink>
    </w:p>
    <w:p w14:paraId="20823A98" w14:textId="677400E1"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6" w:history="1">
        <w:r w:rsidR="00E34C05" w:rsidRPr="00245A21">
          <w:rPr>
            <w:rStyle w:val="Hyperlink"/>
          </w:rPr>
          <w:t>Identifying a cold chain breach</w:t>
        </w:r>
        <w:r w:rsidR="00E34C05">
          <w:rPr>
            <w:webHidden/>
          </w:rPr>
          <w:tab/>
        </w:r>
        <w:r w:rsidR="00E34C05">
          <w:rPr>
            <w:webHidden/>
          </w:rPr>
          <w:fldChar w:fldCharType="begin"/>
        </w:r>
        <w:r w:rsidR="00E34C05">
          <w:rPr>
            <w:webHidden/>
          </w:rPr>
          <w:instrText xml:space="preserve"> PAGEREF _Toc169094186 \h </w:instrText>
        </w:r>
        <w:r w:rsidR="00E34C05">
          <w:rPr>
            <w:webHidden/>
          </w:rPr>
        </w:r>
        <w:r w:rsidR="00E34C05">
          <w:rPr>
            <w:webHidden/>
          </w:rPr>
          <w:fldChar w:fldCharType="separate"/>
        </w:r>
        <w:r w:rsidR="00E34C05">
          <w:rPr>
            <w:webHidden/>
          </w:rPr>
          <w:t>15</w:t>
        </w:r>
        <w:r w:rsidR="00E34C05">
          <w:rPr>
            <w:webHidden/>
          </w:rPr>
          <w:fldChar w:fldCharType="end"/>
        </w:r>
      </w:hyperlink>
    </w:p>
    <w:p w14:paraId="3F0EA220" w14:textId="21B069B1"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7" w:history="1">
        <w:r w:rsidR="00E34C05" w:rsidRPr="00245A21">
          <w:rPr>
            <w:rStyle w:val="Hyperlink"/>
          </w:rPr>
          <w:t>Reporting a vaccine cold chain breach</w:t>
        </w:r>
        <w:r w:rsidR="00E34C05">
          <w:rPr>
            <w:webHidden/>
          </w:rPr>
          <w:tab/>
        </w:r>
        <w:r w:rsidR="00E34C05">
          <w:rPr>
            <w:webHidden/>
          </w:rPr>
          <w:fldChar w:fldCharType="begin"/>
        </w:r>
        <w:r w:rsidR="00E34C05">
          <w:rPr>
            <w:webHidden/>
          </w:rPr>
          <w:instrText xml:space="preserve"> PAGEREF _Toc169094187 \h </w:instrText>
        </w:r>
        <w:r w:rsidR="00E34C05">
          <w:rPr>
            <w:webHidden/>
          </w:rPr>
        </w:r>
        <w:r w:rsidR="00E34C05">
          <w:rPr>
            <w:webHidden/>
          </w:rPr>
          <w:fldChar w:fldCharType="separate"/>
        </w:r>
        <w:r w:rsidR="00E34C05">
          <w:rPr>
            <w:webHidden/>
          </w:rPr>
          <w:t>15</w:t>
        </w:r>
        <w:r w:rsidR="00E34C05">
          <w:rPr>
            <w:webHidden/>
          </w:rPr>
          <w:fldChar w:fldCharType="end"/>
        </w:r>
      </w:hyperlink>
    </w:p>
    <w:p w14:paraId="2F6E755A" w14:textId="79403F21"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88" w:history="1">
        <w:r w:rsidR="00E34C05" w:rsidRPr="00245A21">
          <w:rPr>
            <w:rStyle w:val="Hyperlink"/>
          </w:rPr>
          <w:t>Clinical Guidelines</w:t>
        </w:r>
        <w:r w:rsidR="00E34C05">
          <w:rPr>
            <w:webHidden/>
          </w:rPr>
          <w:tab/>
        </w:r>
        <w:r w:rsidR="00E34C05">
          <w:rPr>
            <w:webHidden/>
          </w:rPr>
          <w:fldChar w:fldCharType="begin"/>
        </w:r>
        <w:r w:rsidR="00E34C05">
          <w:rPr>
            <w:webHidden/>
          </w:rPr>
          <w:instrText xml:space="preserve"> PAGEREF _Toc169094188 \h </w:instrText>
        </w:r>
        <w:r w:rsidR="00E34C05">
          <w:rPr>
            <w:webHidden/>
          </w:rPr>
        </w:r>
        <w:r w:rsidR="00E34C05">
          <w:rPr>
            <w:webHidden/>
          </w:rPr>
          <w:fldChar w:fldCharType="separate"/>
        </w:r>
        <w:r w:rsidR="00E34C05">
          <w:rPr>
            <w:webHidden/>
          </w:rPr>
          <w:t>16</w:t>
        </w:r>
        <w:r w:rsidR="00E34C05">
          <w:rPr>
            <w:webHidden/>
          </w:rPr>
          <w:fldChar w:fldCharType="end"/>
        </w:r>
      </w:hyperlink>
    </w:p>
    <w:p w14:paraId="3B98BB5D" w14:textId="47BA794C"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89" w:history="1">
        <w:r w:rsidR="00E34C05" w:rsidRPr="00245A21">
          <w:rPr>
            <w:rStyle w:val="Hyperlink"/>
          </w:rPr>
          <w:t>Infection prevention and control</w:t>
        </w:r>
        <w:r w:rsidR="00E34C05">
          <w:rPr>
            <w:webHidden/>
          </w:rPr>
          <w:tab/>
        </w:r>
        <w:r w:rsidR="00E34C05">
          <w:rPr>
            <w:webHidden/>
          </w:rPr>
          <w:fldChar w:fldCharType="begin"/>
        </w:r>
        <w:r w:rsidR="00E34C05">
          <w:rPr>
            <w:webHidden/>
          </w:rPr>
          <w:instrText xml:space="preserve"> PAGEREF _Toc169094189 \h </w:instrText>
        </w:r>
        <w:r w:rsidR="00E34C05">
          <w:rPr>
            <w:webHidden/>
          </w:rPr>
        </w:r>
        <w:r w:rsidR="00E34C05">
          <w:rPr>
            <w:webHidden/>
          </w:rPr>
          <w:fldChar w:fldCharType="separate"/>
        </w:r>
        <w:r w:rsidR="00E34C05">
          <w:rPr>
            <w:webHidden/>
          </w:rPr>
          <w:t>16</w:t>
        </w:r>
        <w:r w:rsidR="00E34C05">
          <w:rPr>
            <w:webHidden/>
          </w:rPr>
          <w:fldChar w:fldCharType="end"/>
        </w:r>
      </w:hyperlink>
    </w:p>
    <w:p w14:paraId="6D58A511" w14:textId="323F86E2"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0" w:history="1">
        <w:r w:rsidR="00E34C05" w:rsidRPr="00245A21">
          <w:rPr>
            <w:rStyle w:val="Hyperlink"/>
          </w:rPr>
          <w:t>Hand hygiene</w:t>
        </w:r>
        <w:r w:rsidR="00E34C05">
          <w:rPr>
            <w:webHidden/>
          </w:rPr>
          <w:tab/>
        </w:r>
        <w:r w:rsidR="00E34C05">
          <w:rPr>
            <w:webHidden/>
          </w:rPr>
          <w:fldChar w:fldCharType="begin"/>
        </w:r>
        <w:r w:rsidR="00E34C05">
          <w:rPr>
            <w:webHidden/>
          </w:rPr>
          <w:instrText xml:space="preserve"> PAGEREF _Toc169094190 \h </w:instrText>
        </w:r>
        <w:r w:rsidR="00E34C05">
          <w:rPr>
            <w:webHidden/>
          </w:rPr>
        </w:r>
        <w:r w:rsidR="00E34C05">
          <w:rPr>
            <w:webHidden/>
          </w:rPr>
          <w:fldChar w:fldCharType="separate"/>
        </w:r>
        <w:r w:rsidR="00E34C05">
          <w:rPr>
            <w:webHidden/>
          </w:rPr>
          <w:t>16</w:t>
        </w:r>
        <w:r w:rsidR="00E34C05">
          <w:rPr>
            <w:webHidden/>
          </w:rPr>
          <w:fldChar w:fldCharType="end"/>
        </w:r>
      </w:hyperlink>
    </w:p>
    <w:p w14:paraId="7CC1658C" w14:textId="607780A3"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1" w:history="1">
        <w:r w:rsidR="00E34C05" w:rsidRPr="00245A21">
          <w:rPr>
            <w:rStyle w:val="Hyperlink"/>
          </w:rPr>
          <w:t>Personal protective equipment (PPE)</w:t>
        </w:r>
        <w:r w:rsidR="00E34C05">
          <w:rPr>
            <w:webHidden/>
          </w:rPr>
          <w:tab/>
        </w:r>
        <w:r w:rsidR="00E34C05">
          <w:rPr>
            <w:webHidden/>
          </w:rPr>
          <w:fldChar w:fldCharType="begin"/>
        </w:r>
        <w:r w:rsidR="00E34C05">
          <w:rPr>
            <w:webHidden/>
          </w:rPr>
          <w:instrText xml:space="preserve"> PAGEREF _Toc169094191 \h </w:instrText>
        </w:r>
        <w:r w:rsidR="00E34C05">
          <w:rPr>
            <w:webHidden/>
          </w:rPr>
        </w:r>
        <w:r w:rsidR="00E34C05">
          <w:rPr>
            <w:webHidden/>
          </w:rPr>
          <w:fldChar w:fldCharType="separate"/>
        </w:r>
        <w:r w:rsidR="00E34C05">
          <w:rPr>
            <w:webHidden/>
          </w:rPr>
          <w:t>17</w:t>
        </w:r>
        <w:r w:rsidR="00E34C05">
          <w:rPr>
            <w:webHidden/>
          </w:rPr>
          <w:fldChar w:fldCharType="end"/>
        </w:r>
      </w:hyperlink>
    </w:p>
    <w:p w14:paraId="2261AD1D" w14:textId="13728E90"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2" w:history="1">
        <w:r w:rsidR="00E34C05" w:rsidRPr="00245A21">
          <w:rPr>
            <w:rStyle w:val="Hyperlink"/>
          </w:rPr>
          <w:t>Cleaning and disinfection</w:t>
        </w:r>
        <w:r w:rsidR="00E34C05">
          <w:rPr>
            <w:webHidden/>
          </w:rPr>
          <w:tab/>
        </w:r>
        <w:r w:rsidR="00E34C05">
          <w:rPr>
            <w:webHidden/>
          </w:rPr>
          <w:fldChar w:fldCharType="begin"/>
        </w:r>
        <w:r w:rsidR="00E34C05">
          <w:rPr>
            <w:webHidden/>
          </w:rPr>
          <w:instrText xml:space="preserve"> PAGEREF _Toc169094192 \h </w:instrText>
        </w:r>
        <w:r w:rsidR="00E34C05">
          <w:rPr>
            <w:webHidden/>
          </w:rPr>
        </w:r>
        <w:r w:rsidR="00E34C05">
          <w:rPr>
            <w:webHidden/>
          </w:rPr>
          <w:fldChar w:fldCharType="separate"/>
        </w:r>
        <w:r w:rsidR="00E34C05">
          <w:rPr>
            <w:webHidden/>
          </w:rPr>
          <w:t>17</w:t>
        </w:r>
        <w:r w:rsidR="00E34C05">
          <w:rPr>
            <w:webHidden/>
          </w:rPr>
          <w:fldChar w:fldCharType="end"/>
        </w:r>
      </w:hyperlink>
    </w:p>
    <w:p w14:paraId="183AF1C0" w14:textId="5C003FC5"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3" w:history="1">
        <w:r w:rsidR="00E34C05" w:rsidRPr="00245A21">
          <w:rPr>
            <w:rStyle w:val="Hyperlink"/>
          </w:rPr>
          <w:t>Waste management and disposal</w:t>
        </w:r>
        <w:r w:rsidR="00E34C05">
          <w:rPr>
            <w:webHidden/>
          </w:rPr>
          <w:tab/>
        </w:r>
        <w:r w:rsidR="00E34C05">
          <w:rPr>
            <w:webHidden/>
          </w:rPr>
          <w:fldChar w:fldCharType="begin"/>
        </w:r>
        <w:r w:rsidR="00E34C05">
          <w:rPr>
            <w:webHidden/>
          </w:rPr>
          <w:instrText xml:space="preserve"> PAGEREF _Toc169094193 \h </w:instrText>
        </w:r>
        <w:r w:rsidR="00E34C05">
          <w:rPr>
            <w:webHidden/>
          </w:rPr>
        </w:r>
        <w:r w:rsidR="00E34C05">
          <w:rPr>
            <w:webHidden/>
          </w:rPr>
          <w:fldChar w:fldCharType="separate"/>
        </w:r>
        <w:r w:rsidR="00E34C05">
          <w:rPr>
            <w:webHidden/>
          </w:rPr>
          <w:t>17</w:t>
        </w:r>
        <w:r w:rsidR="00E34C05">
          <w:rPr>
            <w:webHidden/>
          </w:rPr>
          <w:fldChar w:fldCharType="end"/>
        </w:r>
      </w:hyperlink>
    </w:p>
    <w:p w14:paraId="28591FC7" w14:textId="1B1525E5"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194" w:history="1">
        <w:r w:rsidR="00E34C05" w:rsidRPr="00245A21">
          <w:rPr>
            <w:rStyle w:val="Hyperlink"/>
          </w:rPr>
          <w:t>Vaccination procedures</w:t>
        </w:r>
        <w:r w:rsidR="00E34C05">
          <w:rPr>
            <w:webHidden/>
          </w:rPr>
          <w:tab/>
        </w:r>
        <w:r w:rsidR="00E34C05">
          <w:rPr>
            <w:webHidden/>
          </w:rPr>
          <w:fldChar w:fldCharType="begin"/>
        </w:r>
        <w:r w:rsidR="00E34C05">
          <w:rPr>
            <w:webHidden/>
          </w:rPr>
          <w:instrText xml:space="preserve"> PAGEREF _Toc169094194 \h </w:instrText>
        </w:r>
        <w:r w:rsidR="00E34C05">
          <w:rPr>
            <w:webHidden/>
          </w:rPr>
        </w:r>
        <w:r w:rsidR="00E34C05">
          <w:rPr>
            <w:webHidden/>
          </w:rPr>
          <w:fldChar w:fldCharType="separate"/>
        </w:r>
        <w:r w:rsidR="00E34C05">
          <w:rPr>
            <w:webHidden/>
          </w:rPr>
          <w:t>18</w:t>
        </w:r>
        <w:r w:rsidR="00E34C05">
          <w:rPr>
            <w:webHidden/>
          </w:rPr>
          <w:fldChar w:fldCharType="end"/>
        </w:r>
      </w:hyperlink>
    </w:p>
    <w:p w14:paraId="7E24E4A3" w14:textId="241B74E6"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5" w:history="1">
        <w:r w:rsidR="00E34C05" w:rsidRPr="00245A21">
          <w:rPr>
            <w:rStyle w:val="Hyperlink"/>
          </w:rPr>
          <w:t>Preparation</w:t>
        </w:r>
        <w:r w:rsidR="00E34C05">
          <w:rPr>
            <w:webHidden/>
          </w:rPr>
          <w:tab/>
        </w:r>
        <w:r w:rsidR="00E34C05">
          <w:rPr>
            <w:webHidden/>
          </w:rPr>
          <w:fldChar w:fldCharType="begin"/>
        </w:r>
        <w:r w:rsidR="00E34C05">
          <w:rPr>
            <w:webHidden/>
          </w:rPr>
          <w:instrText xml:space="preserve"> PAGEREF _Toc169094195 \h </w:instrText>
        </w:r>
        <w:r w:rsidR="00E34C05">
          <w:rPr>
            <w:webHidden/>
          </w:rPr>
        </w:r>
        <w:r w:rsidR="00E34C05">
          <w:rPr>
            <w:webHidden/>
          </w:rPr>
          <w:fldChar w:fldCharType="separate"/>
        </w:r>
        <w:r w:rsidR="00E34C05">
          <w:rPr>
            <w:webHidden/>
          </w:rPr>
          <w:t>18</w:t>
        </w:r>
        <w:r w:rsidR="00E34C05">
          <w:rPr>
            <w:webHidden/>
          </w:rPr>
          <w:fldChar w:fldCharType="end"/>
        </w:r>
      </w:hyperlink>
    </w:p>
    <w:p w14:paraId="68644F20" w14:textId="00D09BC1"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6" w:history="1">
        <w:r w:rsidR="00E34C05" w:rsidRPr="00245A21">
          <w:rPr>
            <w:rStyle w:val="Hyperlink"/>
          </w:rPr>
          <w:t>Preparation for subcutaneous administration</w:t>
        </w:r>
        <w:r w:rsidR="00E34C05">
          <w:rPr>
            <w:webHidden/>
          </w:rPr>
          <w:tab/>
        </w:r>
        <w:r w:rsidR="00E34C05">
          <w:rPr>
            <w:webHidden/>
          </w:rPr>
          <w:fldChar w:fldCharType="begin"/>
        </w:r>
        <w:r w:rsidR="00E34C05">
          <w:rPr>
            <w:webHidden/>
          </w:rPr>
          <w:instrText xml:space="preserve"> PAGEREF _Toc169094196 \h </w:instrText>
        </w:r>
        <w:r w:rsidR="00E34C05">
          <w:rPr>
            <w:webHidden/>
          </w:rPr>
        </w:r>
        <w:r w:rsidR="00E34C05">
          <w:rPr>
            <w:webHidden/>
          </w:rPr>
          <w:fldChar w:fldCharType="separate"/>
        </w:r>
        <w:r w:rsidR="00E34C05">
          <w:rPr>
            <w:webHidden/>
          </w:rPr>
          <w:t>18</w:t>
        </w:r>
        <w:r w:rsidR="00E34C05">
          <w:rPr>
            <w:webHidden/>
          </w:rPr>
          <w:fldChar w:fldCharType="end"/>
        </w:r>
      </w:hyperlink>
    </w:p>
    <w:p w14:paraId="6B3C8006" w14:textId="44C8CAD1"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7" w:history="1">
        <w:r w:rsidR="00E34C05" w:rsidRPr="00245A21">
          <w:rPr>
            <w:rStyle w:val="Hyperlink"/>
          </w:rPr>
          <w:t>Subcutaneous administration</w:t>
        </w:r>
        <w:r w:rsidR="00E34C05">
          <w:rPr>
            <w:webHidden/>
          </w:rPr>
          <w:tab/>
        </w:r>
        <w:r w:rsidR="00E34C05">
          <w:rPr>
            <w:webHidden/>
          </w:rPr>
          <w:fldChar w:fldCharType="begin"/>
        </w:r>
        <w:r w:rsidR="00E34C05">
          <w:rPr>
            <w:webHidden/>
          </w:rPr>
          <w:instrText xml:space="preserve"> PAGEREF _Toc169094197 \h </w:instrText>
        </w:r>
        <w:r w:rsidR="00E34C05">
          <w:rPr>
            <w:webHidden/>
          </w:rPr>
        </w:r>
        <w:r w:rsidR="00E34C05">
          <w:rPr>
            <w:webHidden/>
          </w:rPr>
          <w:fldChar w:fldCharType="separate"/>
        </w:r>
        <w:r w:rsidR="00E34C05">
          <w:rPr>
            <w:webHidden/>
          </w:rPr>
          <w:t>20</w:t>
        </w:r>
        <w:r w:rsidR="00E34C05">
          <w:rPr>
            <w:webHidden/>
          </w:rPr>
          <w:fldChar w:fldCharType="end"/>
        </w:r>
      </w:hyperlink>
    </w:p>
    <w:p w14:paraId="0B085A9F" w14:textId="29F150EC"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8" w:history="1">
        <w:r w:rsidR="00E34C05" w:rsidRPr="00245A21">
          <w:rPr>
            <w:rStyle w:val="Hyperlink"/>
            <w:rFonts w:eastAsia="MS Gothic"/>
          </w:rPr>
          <w:t>Preparation for intradermal administration</w:t>
        </w:r>
        <w:r w:rsidR="00E34C05">
          <w:rPr>
            <w:webHidden/>
          </w:rPr>
          <w:tab/>
        </w:r>
        <w:r w:rsidR="00E34C05">
          <w:rPr>
            <w:webHidden/>
          </w:rPr>
          <w:fldChar w:fldCharType="begin"/>
        </w:r>
        <w:r w:rsidR="00E34C05">
          <w:rPr>
            <w:webHidden/>
          </w:rPr>
          <w:instrText xml:space="preserve"> PAGEREF _Toc169094198 \h </w:instrText>
        </w:r>
        <w:r w:rsidR="00E34C05">
          <w:rPr>
            <w:webHidden/>
          </w:rPr>
        </w:r>
        <w:r w:rsidR="00E34C05">
          <w:rPr>
            <w:webHidden/>
          </w:rPr>
          <w:fldChar w:fldCharType="separate"/>
        </w:r>
        <w:r w:rsidR="00E34C05">
          <w:rPr>
            <w:webHidden/>
          </w:rPr>
          <w:t>21</w:t>
        </w:r>
        <w:r w:rsidR="00E34C05">
          <w:rPr>
            <w:webHidden/>
          </w:rPr>
          <w:fldChar w:fldCharType="end"/>
        </w:r>
      </w:hyperlink>
    </w:p>
    <w:p w14:paraId="5A8943BA" w14:textId="0F0158EB"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199" w:history="1">
        <w:r w:rsidR="00E34C05" w:rsidRPr="00245A21">
          <w:rPr>
            <w:rStyle w:val="Hyperlink"/>
          </w:rPr>
          <w:t>Considerations for multi-use vials</w:t>
        </w:r>
        <w:r w:rsidR="00E34C05">
          <w:rPr>
            <w:webHidden/>
          </w:rPr>
          <w:tab/>
        </w:r>
        <w:r w:rsidR="00E34C05">
          <w:rPr>
            <w:webHidden/>
          </w:rPr>
          <w:fldChar w:fldCharType="begin"/>
        </w:r>
        <w:r w:rsidR="00E34C05">
          <w:rPr>
            <w:webHidden/>
          </w:rPr>
          <w:instrText xml:space="preserve"> PAGEREF _Toc169094199 \h </w:instrText>
        </w:r>
        <w:r w:rsidR="00E34C05">
          <w:rPr>
            <w:webHidden/>
          </w:rPr>
        </w:r>
        <w:r w:rsidR="00E34C05">
          <w:rPr>
            <w:webHidden/>
          </w:rPr>
          <w:fldChar w:fldCharType="separate"/>
        </w:r>
        <w:r w:rsidR="00E34C05">
          <w:rPr>
            <w:webHidden/>
          </w:rPr>
          <w:t>23</w:t>
        </w:r>
        <w:r w:rsidR="00E34C05">
          <w:rPr>
            <w:webHidden/>
          </w:rPr>
          <w:fldChar w:fldCharType="end"/>
        </w:r>
      </w:hyperlink>
    </w:p>
    <w:p w14:paraId="5EF818BA" w14:textId="7AB3E656"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0" w:history="1">
        <w:r w:rsidR="00E34C05" w:rsidRPr="00245A21">
          <w:rPr>
            <w:rStyle w:val="Hyperlink"/>
          </w:rPr>
          <w:t>Intradermal administration technique</w:t>
        </w:r>
        <w:r w:rsidR="00E34C05">
          <w:rPr>
            <w:webHidden/>
          </w:rPr>
          <w:tab/>
        </w:r>
        <w:r w:rsidR="00E34C05">
          <w:rPr>
            <w:webHidden/>
          </w:rPr>
          <w:fldChar w:fldCharType="begin"/>
        </w:r>
        <w:r w:rsidR="00E34C05">
          <w:rPr>
            <w:webHidden/>
          </w:rPr>
          <w:instrText xml:space="preserve"> PAGEREF _Toc169094200 \h </w:instrText>
        </w:r>
        <w:r w:rsidR="00E34C05">
          <w:rPr>
            <w:webHidden/>
          </w:rPr>
        </w:r>
        <w:r w:rsidR="00E34C05">
          <w:rPr>
            <w:webHidden/>
          </w:rPr>
          <w:fldChar w:fldCharType="separate"/>
        </w:r>
        <w:r w:rsidR="00E34C05">
          <w:rPr>
            <w:webHidden/>
          </w:rPr>
          <w:t>24</w:t>
        </w:r>
        <w:r w:rsidR="00E34C05">
          <w:rPr>
            <w:webHidden/>
          </w:rPr>
          <w:fldChar w:fldCharType="end"/>
        </w:r>
      </w:hyperlink>
    </w:p>
    <w:p w14:paraId="6ED96F75" w14:textId="3EFE2499"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1" w:history="1">
        <w:r w:rsidR="00E34C05" w:rsidRPr="00245A21">
          <w:rPr>
            <w:rStyle w:val="Hyperlink"/>
          </w:rPr>
          <w:t>After vaccination</w:t>
        </w:r>
        <w:r w:rsidR="00E34C05">
          <w:rPr>
            <w:webHidden/>
          </w:rPr>
          <w:tab/>
        </w:r>
        <w:r w:rsidR="00E34C05">
          <w:rPr>
            <w:webHidden/>
          </w:rPr>
          <w:fldChar w:fldCharType="begin"/>
        </w:r>
        <w:r w:rsidR="00E34C05">
          <w:rPr>
            <w:webHidden/>
          </w:rPr>
          <w:instrText xml:space="preserve"> PAGEREF _Toc169094201 \h </w:instrText>
        </w:r>
        <w:r w:rsidR="00E34C05">
          <w:rPr>
            <w:webHidden/>
          </w:rPr>
        </w:r>
        <w:r w:rsidR="00E34C05">
          <w:rPr>
            <w:webHidden/>
          </w:rPr>
          <w:fldChar w:fldCharType="separate"/>
        </w:r>
        <w:r w:rsidR="00E34C05">
          <w:rPr>
            <w:webHidden/>
          </w:rPr>
          <w:t>28</w:t>
        </w:r>
        <w:r w:rsidR="00E34C05">
          <w:rPr>
            <w:webHidden/>
          </w:rPr>
          <w:fldChar w:fldCharType="end"/>
        </w:r>
      </w:hyperlink>
    </w:p>
    <w:p w14:paraId="2695DE2E" w14:textId="5E4F1C5A"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02" w:history="1">
        <w:r w:rsidR="00E34C05" w:rsidRPr="00245A21">
          <w:rPr>
            <w:rStyle w:val="Hyperlink"/>
          </w:rPr>
          <w:t>Vaccine safety</w:t>
        </w:r>
        <w:r w:rsidR="00E34C05">
          <w:rPr>
            <w:webHidden/>
          </w:rPr>
          <w:tab/>
        </w:r>
        <w:r w:rsidR="00E34C05">
          <w:rPr>
            <w:webHidden/>
          </w:rPr>
          <w:fldChar w:fldCharType="begin"/>
        </w:r>
        <w:r w:rsidR="00E34C05">
          <w:rPr>
            <w:webHidden/>
          </w:rPr>
          <w:instrText xml:space="preserve"> PAGEREF _Toc169094202 \h </w:instrText>
        </w:r>
        <w:r w:rsidR="00E34C05">
          <w:rPr>
            <w:webHidden/>
          </w:rPr>
        </w:r>
        <w:r w:rsidR="00E34C05">
          <w:rPr>
            <w:webHidden/>
          </w:rPr>
          <w:fldChar w:fldCharType="separate"/>
        </w:r>
        <w:r w:rsidR="00E34C05">
          <w:rPr>
            <w:webHidden/>
          </w:rPr>
          <w:t>29</w:t>
        </w:r>
        <w:r w:rsidR="00E34C05">
          <w:rPr>
            <w:webHidden/>
          </w:rPr>
          <w:fldChar w:fldCharType="end"/>
        </w:r>
      </w:hyperlink>
    </w:p>
    <w:p w14:paraId="5E795C28" w14:textId="2B815CD5"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3" w:history="1">
        <w:r w:rsidR="00E34C05" w:rsidRPr="00245A21">
          <w:rPr>
            <w:rStyle w:val="Hyperlink"/>
          </w:rPr>
          <w:t>Storage of multiple vaccine types in a shared location</w:t>
        </w:r>
        <w:r w:rsidR="00E34C05">
          <w:rPr>
            <w:webHidden/>
          </w:rPr>
          <w:tab/>
        </w:r>
        <w:r w:rsidR="00E34C05">
          <w:rPr>
            <w:webHidden/>
          </w:rPr>
          <w:fldChar w:fldCharType="begin"/>
        </w:r>
        <w:r w:rsidR="00E34C05">
          <w:rPr>
            <w:webHidden/>
          </w:rPr>
          <w:instrText xml:space="preserve"> PAGEREF _Toc169094203 \h </w:instrText>
        </w:r>
        <w:r w:rsidR="00E34C05">
          <w:rPr>
            <w:webHidden/>
          </w:rPr>
        </w:r>
        <w:r w:rsidR="00E34C05">
          <w:rPr>
            <w:webHidden/>
          </w:rPr>
          <w:fldChar w:fldCharType="separate"/>
        </w:r>
        <w:r w:rsidR="00E34C05">
          <w:rPr>
            <w:webHidden/>
          </w:rPr>
          <w:t>29</w:t>
        </w:r>
        <w:r w:rsidR="00E34C05">
          <w:rPr>
            <w:webHidden/>
          </w:rPr>
          <w:fldChar w:fldCharType="end"/>
        </w:r>
      </w:hyperlink>
    </w:p>
    <w:p w14:paraId="70D15560" w14:textId="2A804FBD"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4" w:history="1">
        <w:r w:rsidR="00E34C05" w:rsidRPr="00245A21">
          <w:rPr>
            <w:rStyle w:val="Hyperlink"/>
          </w:rPr>
          <w:t>Safety Updates</w:t>
        </w:r>
        <w:r w:rsidR="00E34C05">
          <w:rPr>
            <w:webHidden/>
          </w:rPr>
          <w:tab/>
        </w:r>
        <w:r w:rsidR="00E34C05">
          <w:rPr>
            <w:webHidden/>
          </w:rPr>
          <w:fldChar w:fldCharType="begin"/>
        </w:r>
        <w:r w:rsidR="00E34C05">
          <w:rPr>
            <w:webHidden/>
          </w:rPr>
          <w:instrText xml:space="preserve"> PAGEREF _Toc169094204 \h </w:instrText>
        </w:r>
        <w:r w:rsidR="00E34C05">
          <w:rPr>
            <w:webHidden/>
          </w:rPr>
        </w:r>
        <w:r w:rsidR="00E34C05">
          <w:rPr>
            <w:webHidden/>
          </w:rPr>
          <w:fldChar w:fldCharType="separate"/>
        </w:r>
        <w:r w:rsidR="00E34C05">
          <w:rPr>
            <w:webHidden/>
          </w:rPr>
          <w:t>29</w:t>
        </w:r>
        <w:r w:rsidR="00E34C05">
          <w:rPr>
            <w:webHidden/>
          </w:rPr>
          <w:fldChar w:fldCharType="end"/>
        </w:r>
      </w:hyperlink>
    </w:p>
    <w:p w14:paraId="29C544D4" w14:textId="2540A0DB"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5" w:history="1">
        <w:r w:rsidR="00E34C05" w:rsidRPr="00245A21">
          <w:rPr>
            <w:rStyle w:val="Hyperlink"/>
          </w:rPr>
          <w:t>Vaccine administration errors</w:t>
        </w:r>
        <w:r w:rsidR="00E34C05">
          <w:rPr>
            <w:webHidden/>
          </w:rPr>
          <w:tab/>
        </w:r>
        <w:r w:rsidR="00E34C05">
          <w:rPr>
            <w:webHidden/>
          </w:rPr>
          <w:fldChar w:fldCharType="begin"/>
        </w:r>
        <w:r w:rsidR="00E34C05">
          <w:rPr>
            <w:webHidden/>
          </w:rPr>
          <w:instrText xml:space="preserve"> PAGEREF _Toc169094205 \h </w:instrText>
        </w:r>
        <w:r w:rsidR="00E34C05">
          <w:rPr>
            <w:webHidden/>
          </w:rPr>
        </w:r>
        <w:r w:rsidR="00E34C05">
          <w:rPr>
            <w:webHidden/>
          </w:rPr>
          <w:fldChar w:fldCharType="separate"/>
        </w:r>
        <w:r w:rsidR="00E34C05">
          <w:rPr>
            <w:webHidden/>
          </w:rPr>
          <w:t>29</w:t>
        </w:r>
        <w:r w:rsidR="00E34C05">
          <w:rPr>
            <w:webHidden/>
          </w:rPr>
          <w:fldChar w:fldCharType="end"/>
        </w:r>
      </w:hyperlink>
    </w:p>
    <w:p w14:paraId="0FEE43B9" w14:textId="245DB351"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6" w:history="1">
        <w:r w:rsidR="00E34C05" w:rsidRPr="00245A21">
          <w:rPr>
            <w:rStyle w:val="Hyperlink"/>
          </w:rPr>
          <w:t>Adverse Events Following Immunisation (AEFI) – Reporting and Management</w:t>
        </w:r>
        <w:r w:rsidR="00E34C05">
          <w:rPr>
            <w:webHidden/>
          </w:rPr>
          <w:tab/>
        </w:r>
        <w:r w:rsidR="00E34C05">
          <w:rPr>
            <w:webHidden/>
          </w:rPr>
          <w:fldChar w:fldCharType="begin"/>
        </w:r>
        <w:r w:rsidR="00E34C05">
          <w:rPr>
            <w:webHidden/>
          </w:rPr>
          <w:instrText xml:space="preserve"> PAGEREF _Toc169094206 \h </w:instrText>
        </w:r>
        <w:r w:rsidR="00E34C05">
          <w:rPr>
            <w:webHidden/>
          </w:rPr>
        </w:r>
        <w:r w:rsidR="00E34C05">
          <w:rPr>
            <w:webHidden/>
          </w:rPr>
          <w:fldChar w:fldCharType="separate"/>
        </w:r>
        <w:r w:rsidR="00E34C05">
          <w:rPr>
            <w:webHidden/>
          </w:rPr>
          <w:t>31</w:t>
        </w:r>
        <w:r w:rsidR="00E34C05">
          <w:rPr>
            <w:webHidden/>
          </w:rPr>
          <w:fldChar w:fldCharType="end"/>
        </w:r>
      </w:hyperlink>
    </w:p>
    <w:p w14:paraId="42A8C75B" w14:textId="3836A018"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07" w:history="1">
        <w:r w:rsidR="00E34C05" w:rsidRPr="00245A21">
          <w:rPr>
            <w:rStyle w:val="Hyperlink"/>
          </w:rPr>
          <w:t>Workforce and Regulation</w:t>
        </w:r>
        <w:r w:rsidR="00E34C05">
          <w:rPr>
            <w:webHidden/>
          </w:rPr>
          <w:tab/>
        </w:r>
        <w:r w:rsidR="00E34C05">
          <w:rPr>
            <w:webHidden/>
          </w:rPr>
          <w:fldChar w:fldCharType="begin"/>
        </w:r>
        <w:r w:rsidR="00E34C05">
          <w:rPr>
            <w:webHidden/>
          </w:rPr>
          <w:instrText xml:space="preserve"> PAGEREF _Toc169094207 \h </w:instrText>
        </w:r>
        <w:r w:rsidR="00E34C05">
          <w:rPr>
            <w:webHidden/>
          </w:rPr>
        </w:r>
        <w:r w:rsidR="00E34C05">
          <w:rPr>
            <w:webHidden/>
          </w:rPr>
          <w:fldChar w:fldCharType="separate"/>
        </w:r>
        <w:r w:rsidR="00E34C05">
          <w:rPr>
            <w:webHidden/>
          </w:rPr>
          <w:t>33</w:t>
        </w:r>
        <w:r w:rsidR="00E34C05">
          <w:rPr>
            <w:webHidden/>
          </w:rPr>
          <w:fldChar w:fldCharType="end"/>
        </w:r>
      </w:hyperlink>
    </w:p>
    <w:p w14:paraId="5FF4BBE8" w14:textId="59DC8603"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8" w:history="1">
        <w:r w:rsidR="00E34C05" w:rsidRPr="00245A21">
          <w:rPr>
            <w:rStyle w:val="Hyperlink"/>
          </w:rPr>
          <w:t>Legislative and regulatory framework</w:t>
        </w:r>
        <w:r w:rsidR="00E34C05">
          <w:rPr>
            <w:webHidden/>
          </w:rPr>
          <w:tab/>
        </w:r>
        <w:r w:rsidR="00E34C05">
          <w:rPr>
            <w:webHidden/>
          </w:rPr>
          <w:fldChar w:fldCharType="begin"/>
        </w:r>
        <w:r w:rsidR="00E34C05">
          <w:rPr>
            <w:webHidden/>
          </w:rPr>
          <w:instrText xml:space="preserve"> PAGEREF _Toc169094208 \h </w:instrText>
        </w:r>
        <w:r w:rsidR="00E34C05">
          <w:rPr>
            <w:webHidden/>
          </w:rPr>
        </w:r>
        <w:r w:rsidR="00E34C05">
          <w:rPr>
            <w:webHidden/>
          </w:rPr>
          <w:fldChar w:fldCharType="separate"/>
        </w:r>
        <w:r w:rsidR="00E34C05">
          <w:rPr>
            <w:webHidden/>
          </w:rPr>
          <w:t>33</w:t>
        </w:r>
        <w:r w:rsidR="00E34C05">
          <w:rPr>
            <w:webHidden/>
          </w:rPr>
          <w:fldChar w:fldCharType="end"/>
        </w:r>
      </w:hyperlink>
    </w:p>
    <w:p w14:paraId="4AD9A8EB" w14:textId="6838EE27"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09" w:history="1">
        <w:r w:rsidR="00E34C05" w:rsidRPr="00245A21">
          <w:rPr>
            <w:rStyle w:val="Hyperlink"/>
          </w:rPr>
          <w:t>Workforce requirements</w:t>
        </w:r>
        <w:r w:rsidR="00E34C05">
          <w:rPr>
            <w:webHidden/>
          </w:rPr>
          <w:tab/>
        </w:r>
        <w:r w:rsidR="00E34C05">
          <w:rPr>
            <w:webHidden/>
          </w:rPr>
          <w:fldChar w:fldCharType="begin"/>
        </w:r>
        <w:r w:rsidR="00E34C05">
          <w:rPr>
            <w:webHidden/>
          </w:rPr>
          <w:instrText xml:space="preserve"> PAGEREF _Toc169094209 \h </w:instrText>
        </w:r>
        <w:r w:rsidR="00E34C05">
          <w:rPr>
            <w:webHidden/>
          </w:rPr>
        </w:r>
        <w:r w:rsidR="00E34C05">
          <w:rPr>
            <w:webHidden/>
          </w:rPr>
          <w:fldChar w:fldCharType="separate"/>
        </w:r>
        <w:r w:rsidR="00E34C05">
          <w:rPr>
            <w:webHidden/>
          </w:rPr>
          <w:t>39</w:t>
        </w:r>
        <w:r w:rsidR="00E34C05">
          <w:rPr>
            <w:webHidden/>
          </w:rPr>
          <w:fldChar w:fldCharType="end"/>
        </w:r>
      </w:hyperlink>
    </w:p>
    <w:p w14:paraId="1B321FF5" w14:textId="06B47AF4" w:rsidR="00E34C05" w:rsidRDefault="00AD4432">
      <w:pPr>
        <w:pStyle w:val="TOC2"/>
        <w:rPr>
          <w:rFonts w:asciiTheme="minorHAnsi" w:eastAsiaTheme="minorEastAsia" w:hAnsiTheme="minorHAnsi" w:cstheme="minorBidi"/>
          <w:kern w:val="2"/>
          <w:sz w:val="24"/>
          <w:szCs w:val="24"/>
          <w:lang w:eastAsia="en-AU"/>
          <w14:ligatures w14:val="standardContextual"/>
        </w:rPr>
      </w:pPr>
      <w:hyperlink w:anchor="_Toc169094210" w:history="1">
        <w:r w:rsidR="00E34C05" w:rsidRPr="00245A21">
          <w:rPr>
            <w:rStyle w:val="Hyperlink"/>
          </w:rPr>
          <w:t>Emergency response</w:t>
        </w:r>
        <w:r w:rsidR="00E34C05">
          <w:rPr>
            <w:webHidden/>
          </w:rPr>
          <w:tab/>
        </w:r>
        <w:r w:rsidR="00E34C05">
          <w:rPr>
            <w:webHidden/>
          </w:rPr>
          <w:fldChar w:fldCharType="begin"/>
        </w:r>
        <w:r w:rsidR="00E34C05">
          <w:rPr>
            <w:webHidden/>
          </w:rPr>
          <w:instrText xml:space="preserve"> PAGEREF _Toc169094210 \h </w:instrText>
        </w:r>
        <w:r w:rsidR="00E34C05">
          <w:rPr>
            <w:webHidden/>
          </w:rPr>
        </w:r>
        <w:r w:rsidR="00E34C05">
          <w:rPr>
            <w:webHidden/>
          </w:rPr>
          <w:fldChar w:fldCharType="separate"/>
        </w:r>
        <w:r w:rsidR="00E34C05">
          <w:rPr>
            <w:webHidden/>
          </w:rPr>
          <w:t>40</w:t>
        </w:r>
        <w:r w:rsidR="00E34C05">
          <w:rPr>
            <w:webHidden/>
          </w:rPr>
          <w:fldChar w:fldCharType="end"/>
        </w:r>
      </w:hyperlink>
    </w:p>
    <w:p w14:paraId="6D00B2A6" w14:textId="5F7C8F4F"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1" w:history="1">
        <w:r w:rsidR="00E34C05" w:rsidRPr="00245A21">
          <w:rPr>
            <w:rStyle w:val="Hyperlink"/>
          </w:rPr>
          <w:t>Additional resources</w:t>
        </w:r>
        <w:r w:rsidR="00E34C05">
          <w:rPr>
            <w:webHidden/>
          </w:rPr>
          <w:tab/>
        </w:r>
        <w:r w:rsidR="00E34C05">
          <w:rPr>
            <w:webHidden/>
          </w:rPr>
          <w:fldChar w:fldCharType="begin"/>
        </w:r>
        <w:r w:rsidR="00E34C05">
          <w:rPr>
            <w:webHidden/>
          </w:rPr>
          <w:instrText xml:space="preserve"> PAGEREF _Toc169094211 \h </w:instrText>
        </w:r>
        <w:r w:rsidR="00E34C05">
          <w:rPr>
            <w:webHidden/>
          </w:rPr>
        </w:r>
        <w:r w:rsidR="00E34C05">
          <w:rPr>
            <w:webHidden/>
          </w:rPr>
          <w:fldChar w:fldCharType="separate"/>
        </w:r>
        <w:r w:rsidR="00E34C05">
          <w:rPr>
            <w:webHidden/>
          </w:rPr>
          <w:t>41</w:t>
        </w:r>
        <w:r w:rsidR="00E34C05">
          <w:rPr>
            <w:webHidden/>
          </w:rPr>
          <w:fldChar w:fldCharType="end"/>
        </w:r>
      </w:hyperlink>
    </w:p>
    <w:p w14:paraId="4ED2706E" w14:textId="4AD60BA6"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2" w:history="1">
        <w:r w:rsidR="00E34C05" w:rsidRPr="00245A21">
          <w:rPr>
            <w:rStyle w:val="Hyperlink"/>
          </w:rPr>
          <w:t>Appendix 1: Contact information</w:t>
        </w:r>
        <w:r w:rsidR="00E34C05">
          <w:rPr>
            <w:webHidden/>
          </w:rPr>
          <w:tab/>
        </w:r>
        <w:r w:rsidR="00E34C05">
          <w:rPr>
            <w:webHidden/>
          </w:rPr>
          <w:fldChar w:fldCharType="begin"/>
        </w:r>
        <w:r w:rsidR="00E34C05">
          <w:rPr>
            <w:webHidden/>
          </w:rPr>
          <w:instrText xml:space="preserve"> PAGEREF _Toc169094212 \h </w:instrText>
        </w:r>
        <w:r w:rsidR="00E34C05">
          <w:rPr>
            <w:webHidden/>
          </w:rPr>
        </w:r>
        <w:r w:rsidR="00E34C05">
          <w:rPr>
            <w:webHidden/>
          </w:rPr>
          <w:fldChar w:fldCharType="separate"/>
        </w:r>
        <w:r w:rsidR="00E34C05">
          <w:rPr>
            <w:webHidden/>
          </w:rPr>
          <w:t>43</w:t>
        </w:r>
        <w:r w:rsidR="00E34C05">
          <w:rPr>
            <w:webHidden/>
          </w:rPr>
          <w:fldChar w:fldCharType="end"/>
        </w:r>
      </w:hyperlink>
    </w:p>
    <w:p w14:paraId="7A301BFA" w14:textId="692E09E7"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3" w:history="1">
        <w:r w:rsidR="00E34C05" w:rsidRPr="00245A21">
          <w:rPr>
            <w:rStyle w:val="Hyperlink"/>
          </w:rPr>
          <w:t>Appendix 2: Safe vaccine storage – data loggers</w:t>
        </w:r>
        <w:r w:rsidR="00E34C05">
          <w:rPr>
            <w:webHidden/>
          </w:rPr>
          <w:tab/>
        </w:r>
        <w:r w:rsidR="00E34C05">
          <w:rPr>
            <w:webHidden/>
          </w:rPr>
          <w:fldChar w:fldCharType="begin"/>
        </w:r>
        <w:r w:rsidR="00E34C05">
          <w:rPr>
            <w:webHidden/>
          </w:rPr>
          <w:instrText xml:space="preserve"> PAGEREF _Toc169094213 \h </w:instrText>
        </w:r>
        <w:r w:rsidR="00E34C05">
          <w:rPr>
            <w:webHidden/>
          </w:rPr>
        </w:r>
        <w:r w:rsidR="00E34C05">
          <w:rPr>
            <w:webHidden/>
          </w:rPr>
          <w:fldChar w:fldCharType="separate"/>
        </w:r>
        <w:r w:rsidR="00E34C05">
          <w:rPr>
            <w:webHidden/>
          </w:rPr>
          <w:t>44</w:t>
        </w:r>
        <w:r w:rsidR="00E34C05">
          <w:rPr>
            <w:webHidden/>
          </w:rPr>
          <w:fldChar w:fldCharType="end"/>
        </w:r>
      </w:hyperlink>
    </w:p>
    <w:p w14:paraId="22AE34DE" w14:textId="67D07416"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4" w:history="1">
        <w:r w:rsidR="00E34C05" w:rsidRPr="00245A21">
          <w:rPr>
            <w:rStyle w:val="Hyperlink"/>
          </w:rPr>
          <w:t>Appendix 3: Cold chain management checklists</w:t>
        </w:r>
        <w:r w:rsidR="00E34C05">
          <w:rPr>
            <w:webHidden/>
          </w:rPr>
          <w:tab/>
        </w:r>
        <w:r w:rsidR="00E34C05">
          <w:rPr>
            <w:webHidden/>
          </w:rPr>
          <w:fldChar w:fldCharType="begin"/>
        </w:r>
        <w:r w:rsidR="00E34C05">
          <w:rPr>
            <w:webHidden/>
          </w:rPr>
          <w:instrText xml:space="preserve"> PAGEREF _Toc169094214 \h </w:instrText>
        </w:r>
        <w:r w:rsidR="00E34C05">
          <w:rPr>
            <w:webHidden/>
          </w:rPr>
        </w:r>
        <w:r w:rsidR="00E34C05">
          <w:rPr>
            <w:webHidden/>
          </w:rPr>
          <w:fldChar w:fldCharType="separate"/>
        </w:r>
        <w:r w:rsidR="00E34C05">
          <w:rPr>
            <w:webHidden/>
          </w:rPr>
          <w:t>47</w:t>
        </w:r>
        <w:r w:rsidR="00E34C05">
          <w:rPr>
            <w:webHidden/>
          </w:rPr>
          <w:fldChar w:fldCharType="end"/>
        </w:r>
      </w:hyperlink>
    </w:p>
    <w:p w14:paraId="102EE39F" w14:textId="6F3EE573"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5" w:history="1">
        <w:r w:rsidR="00E34C05" w:rsidRPr="00245A21">
          <w:rPr>
            <w:rStyle w:val="Hyperlink"/>
          </w:rPr>
          <w:t>Appendix 4 Vaccine temperature monitoring form for outreach mobile services</w:t>
        </w:r>
        <w:r w:rsidR="00E34C05">
          <w:rPr>
            <w:webHidden/>
          </w:rPr>
          <w:tab/>
        </w:r>
        <w:r w:rsidR="00E34C05">
          <w:rPr>
            <w:webHidden/>
          </w:rPr>
          <w:fldChar w:fldCharType="begin"/>
        </w:r>
        <w:r w:rsidR="00E34C05">
          <w:rPr>
            <w:webHidden/>
          </w:rPr>
          <w:instrText xml:space="preserve"> PAGEREF _Toc169094215 \h </w:instrText>
        </w:r>
        <w:r w:rsidR="00E34C05">
          <w:rPr>
            <w:webHidden/>
          </w:rPr>
        </w:r>
        <w:r w:rsidR="00E34C05">
          <w:rPr>
            <w:webHidden/>
          </w:rPr>
          <w:fldChar w:fldCharType="separate"/>
        </w:r>
        <w:r w:rsidR="00E34C05">
          <w:rPr>
            <w:webHidden/>
          </w:rPr>
          <w:t>49</w:t>
        </w:r>
        <w:r w:rsidR="00E34C05">
          <w:rPr>
            <w:webHidden/>
          </w:rPr>
          <w:fldChar w:fldCharType="end"/>
        </w:r>
      </w:hyperlink>
    </w:p>
    <w:p w14:paraId="71DEFC5D" w14:textId="7F1C7468"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6" w:history="1">
        <w:r w:rsidR="00E34C05" w:rsidRPr="00245A21">
          <w:rPr>
            <w:rStyle w:val="Hyperlink"/>
          </w:rPr>
          <w:t>Appendix 5: Guidance – differentiating anaphylaxis from acute stress response for vaccine providers and emergency departments</w:t>
        </w:r>
        <w:r w:rsidR="00E34C05">
          <w:rPr>
            <w:webHidden/>
          </w:rPr>
          <w:tab/>
        </w:r>
        <w:r w:rsidR="00E34C05">
          <w:rPr>
            <w:webHidden/>
          </w:rPr>
          <w:fldChar w:fldCharType="begin"/>
        </w:r>
        <w:r w:rsidR="00E34C05">
          <w:rPr>
            <w:webHidden/>
          </w:rPr>
          <w:instrText xml:space="preserve"> PAGEREF _Toc169094216 \h </w:instrText>
        </w:r>
        <w:r w:rsidR="00E34C05">
          <w:rPr>
            <w:webHidden/>
          </w:rPr>
        </w:r>
        <w:r w:rsidR="00E34C05">
          <w:rPr>
            <w:webHidden/>
          </w:rPr>
          <w:fldChar w:fldCharType="separate"/>
        </w:r>
        <w:r w:rsidR="00E34C05">
          <w:rPr>
            <w:webHidden/>
          </w:rPr>
          <w:t>50</w:t>
        </w:r>
        <w:r w:rsidR="00E34C05">
          <w:rPr>
            <w:webHidden/>
          </w:rPr>
          <w:fldChar w:fldCharType="end"/>
        </w:r>
      </w:hyperlink>
    </w:p>
    <w:p w14:paraId="12845F11" w14:textId="28803089"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7" w:history="1">
        <w:r w:rsidR="00E34C05" w:rsidRPr="00245A21">
          <w:rPr>
            <w:rStyle w:val="Hyperlink"/>
          </w:rPr>
          <w:t>Appendix 6: Factsheet – Adverse Events Following Immunisation (AEFI) - including vaccine error</w:t>
        </w:r>
        <w:r w:rsidR="00E34C05">
          <w:rPr>
            <w:webHidden/>
          </w:rPr>
          <w:tab/>
        </w:r>
        <w:r w:rsidR="00E34C05">
          <w:rPr>
            <w:webHidden/>
          </w:rPr>
          <w:fldChar w:fldCharType="begin"/>
        </w:r>
        <w:r w:rsidR="00E34C05">
          <w:rPr>
            <w:webHidden/>
          </w:rPr>
          <w:instrText xml:space="preserve"> PAGEREF _Toc169094217 \h </w:instrText>
        </w:r>
        <w:r w:rsidR="00E34C05">
          <w:rPr>
            <w:webHidden/>
          </w:rPr>
        </w:r>
        <w:r w:rsidR="00E34C05">
          <w:rPr>
            <w:webHidden/>
          </w:rPr>
          <w:fldChar w:fldCharType="separate"/>
        </w:r>
        <w:r w:rsidR="00E34C05">
          <w:rPr>
            <w:webHidden/>
          </w:rPr>
          <w:t>53</w:t>
        </w:r>
        <w:r w:rsidR="00E34C05">
          <w:rPr>
            <w:webHidden/>
          </w:rPr>
          <w:fldChar w:fldCharType="end"/>
        </w:r>
      </w:hyperlink>
    </w:p>
    <w:p w14:paraId="7B3FDC93" w14:textId="6A7CFF25"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8" w:history="1">
        <w:r w:rsidR="00E34C05" w:rsidRPr="00245A21">
          <w:rPr>
            <w:rStyle w:val="Hyperlink"/>
          </w:rPr>
          <w:t>Appendix 7: Intradermal injection – skills and competency checklist</w:t>
        </w:r>
        <w:r w:rsidR="00E34C05">
          <w:rPr>
            <w:webHidden/>
          </w:rPr>
          <w:tab/>
        </w:r>
        <w:r w:rsidR="00E34C05">
          <w:rPr>
            <w:webHidden/>
          </w:rPr>
          <w:fldChar w:fldCharType="begin"/>
        </w:r>
        <w:r w:rsidR="00E34C05">
          <w:rPr>
            <w:webHidden/>
          </w:rPr>
          <w:instrText xml:space="preserve"> PAGEREF _Toc169094218 \h </w:instrText>
        </w:r>
        <w:r w:rsidR="00E34C05">
          <w:rPr>
            <w:webHidden/>
          </w:rPr>
        </w:r>
        <w:r w:rsidR="00E34C05">
          <w:rPr>
            <w:webHidden/>
          </w:rPr>
          <w:fldChar w:fldCharType="separate"/>
        </w:r>
        <w:r w:rsidR="00E34C05">
          <w:rPr>
            <w:webHidden/>
          </w:rPr>
          <w:t>54</w:t>
        </w:r>
        <w:r w:rsidR="00E34C05">
          <w:rPr>
            <w:webHidden/>
          </w:rPr>
          <w:fldChar w:fldCharType="end"/>
        </w:r>
      </w:hyperlink>
    </w:p>
    <w:p w14:paraId="5BFDE597" w14:textId="1508C5AA" w:rsidR="00E34C05" w:rsidRDefault="00AD4432">
      <w:pPr>
        <w:pStyle w:val="TOC1"/>
        <w:rPr>
          <w:rFonts w:asciiTheme="minorHAnsi" w:eastAsiaTheme="minorEastAsia" w:hAnsiTheme="minorHAnsi" w:cstheme="minorBidi"/>
          <w:b w:val="0"/>
          <w:kern w:val="2"/>
          <w:sz w:val="24"/>
          <w:szCs w:val="24"/>
          <w:lang w:eastAsia="en-AU"/>
          <w14:ligatures w14:val="standardContextual"/>
        </w:rPr>
      </w:pPr>
      <w:hyperlink w:anchor="_Toc169094219" w:history="1">
        <w:r w:rsidR="00E34C05" w:rsidRPr="00245A21">
          <w:rPr>
            <w:rStyle w:val="Hyperlink"/>
          </w:rPr>
          <w:t>Appendix 8: Document history and control</w:t>
        </w:r>
        <w:r w:rsidR="00E34C05">
          <w:rPr>
            <w:webHidden/>
          </w:rPr>
          <w:tab/>
        </w:r>
        <w:r w:rsidR="00E34C05">
          <w:rPr>
            <w:webHidden/>
          </w:rPr>
          <w:fldChar w:fldCharType="begin"/>
        </w:r>
        <w:r w:rsidR="00E34C05">
          <w:rPr>
            <w:webHidden/>
          </w:rPr>
          <w:instrText xml:space="preserve"> PAGEREF _Toc169094219 \h </w:instrText>
        </w:r>
        <w:r w:rsidR="00E34C05">
          <w:rPr>
            <w:webHidden/>
          </w:rPr>
        </w:r>
        <w:r w:rsidR="00E34C05">
          <w:rPr>
            <w:webHidden/>
          </w:rPr>
          <w:fldChar w:fldCharType="separate"/>
        </w:r>
        <w:r w:rsidR="00E34C05">
          <w:rPr>
            <w:webHidden/>
          </w:rPr>
          <w:t>56</w:t>
        </w:r>
        <w:r w:rsidR="00E34C05">
          <w:rPr>
            <w:webHidden/>
          </w:rPr>
          <w:fldChar w:fldCharType="end"/>
        </w:r>
      </w:hyperlink>
    </w:p>
    <w:p w14:paraId="715A6094" w14:textId="3E307A6A"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38E4B221" w:rsidR="00285778" w:rsidRPr="00F669C1" w:rsidRDefault="00025E0B" w:rsidP="00787FA0">
            <w:pPr>
              <w:pStyle w:val="Body"/>
              <w:spacing w:before="40" w:after="40"/>
              <w:rPr>
                <w:rFonts w:cs="Arial"/>
                <w:b/>
                <w:bCs/>
                <w:sz w:val="22"/>
                <w:szCs w:val="22"/>
              </w:rPr>
            </w:pPr>
            <w:bookmarkStart w:id="0" w:name="_Hlk117075519"/>
            <w:bookmarkStart w:id="1" w:name="_Hlk115708435"/>
            <w:r>
              <w:rPr>
                <w:rFonts w:cs="Arial"/>
                <w:b/>
                <w:bCs/>
                <w:sz w:val="22"/>
                <w:szCs w:val="22"/>
              </w:rPr>
              <w:t>Summary of c</w:t>
            </w:r>
            <w:r w:rsidRPr="00F669C1">
              <w:rPr>
                <w:rFonts w:cs="Arial"/>
                <w:b/>
                <w:bCs/>
                <w:sz w:val="22"/>
                <w:szCs w:val="22"/>
              </w:rPr>
              <w:t xml:space="preserve">hanges </w:t>
            </w:r>
            <w:r w:rsidR="00557C42" w:rsidRPr="00F669C1">
              <w:rPr>
                <w:rFonts w:cs="Arial"/>
                <w:b/>
                <w:bCs/>
                <w:sz w:val="22"/>
                <w:szCs w:val="22"/>
              </w:rPr>
              <w:t xml:space="preserve">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BC5C47E" w14:textId="4225C412" w:rsidR="00ED6AC2" w:rsidRDefault="0068204A" w:rsidP="00ED6AC2">
            <w:pPr>
              <w:spacing w:before="120" w:line="240" w:lineRule="auto"/>
              <w:ind w:left="360"/>
              <w:rPr>
                <w:rFonts w:eastAsia="Arial" w:cs="Arial"/>
              </w:rPr>
            </w:pPr>
            <w:r>
              <w:rPr>
                <w:rFonts w:eastAsia="Arial" w:cs="Arial"/>
              </w:rPr>
              <w:t xml:space="preserve">Vaccine </w:t>
            </w:r>
            <w:r w:rsidR="002F160A">
              <w:rPr>
                <w:rFonts w:eastAsia="Arial" w:cs="Arial"/>
              </w:rPr>
              <w:t>eligibility criteria expanded</w:t>
            </w:r>
            <w:r w:rsidR="00DE5333">
              <w:rPr>
                <w:rFonts w:eastAsia="Arial" w:cs="Arial"/>
              </w:rPr>
              <w:t>.</w:t>
            </w:r>
          </w:p>
          <w:p w14:paraId="42573AEA" w14:textId="77777777" w:rsidR="00E34C05" w:rsidRDefault="00234DA7" w:rsidP="00CB6A7A">
            <w:pPr>
              <w:spacing w:before="120" w:line="240" w:lineRule="auto"/>
              <w:ind w:left="360"/>
              <w:rPr>
                <w:rFonts w:eastAsia="Arial" w:cs="Arial"/>
                <w:szCs w:val="21"/>
              </w:rPr>
            </w:pPr>
            <w:r w:rsidRPr="00DE5333">
              <w:rPr>
                <w:rFonts w:eastAsia="Arial" w:cs="Arial"/>
                <w:szCs w:val="21"/>
              </w:rPr>
              <w:t xml:space="preserve">Contraindications and precautions updated with latest ATAGI guidance </w:t>
            </w:r>
          </w:p>
          <w:p w14:paraId="652565B7" w14:textId="62751FF1" w:rsidR="003440B5" w:rsidRPr="00E867D8" w:rsidRDefault="00025E0B" w:rsidP="00CB6A7A">
            <w:pPr>
              <w:spacing w:before="120" w:line="240" w:lineRule="auto"/>
              <w:ind w:left="360"/>
              <w:rPr>
                <w:rFonts w:cs="Arial"/>
                <w:szCs w:val="21"/>
                <w:highlight w:val="yellow"/>
              </w:rPr>
            </w:pPr>
            <w:r>
              <w:rPr>
                <w:rFonts w:eastAsia="Arial" w:cs="Arial"/>
                <w:szCs w:val="21"/>
              </w:rPr>
              <w:t>Updated Vaccine logistics</w:t>
            </w:r>
          </w:p>
        </w:tc>
      </w:tr>
    </w:tbl>
    <w:p w14:paraId="6CA3FEF5" w14:textId="77777777" w:rsidR="00163FE7" w:rsidRDefault="00163FE7" w:rsidP="00511C4A">
      <w:pPr>
        <w:spacing w:before="120" w:line="240" w:lineRule="auto"/>
      </w:pPr>
      <w:bookmarkStart w:id="2" w:name="_Toc62825414"/>
      <w:bookmarkStart w:id="3" w:name="_Toc71895574"/>
      <w:bookmarkStart w:id="4" w:name="_Toc73627044"/>
      <w:bookmarkStart w:id="5" w:name="_Toc481621483"/>
      <w:bookmarkStart w:id="6" w:name="_Toc112154537"/>
      <w:bookmarkStart w:id="7"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6A0B64">
      <w:pPr>
        <w:pStyle w:val="Heading1"/>
        <w:spacing w:before="240" w:after="120"/>
      </w:pPr>
      <w:bookmarkStart w:id="8" w:name="_Toc169094163"/>
      <w:r>
        <w:t>I</w:t>
      </w:r>
      <w:r w:rsidR="00557C42">
        <w:t>n</w:t>
      </w:r>
      <w:r>
        <w:t>troduction</w:t>
      </w:r>
      <w:bookmarkEnd w:id="2"/>
      <w:bookmarkEnd w:id="3"/>
      <w:bookmarkEnd w:id="4"/>
      <w:bookmarkEnd w:id="5"/>
      <w:bookmarkEnd w:id="6"/>
      <w:bookmarkEnd w:id="7"/>
      <w:bookmarkEnd w:id="8"/>
    </w:p>
    <w:p w14:paraId="221F0FFB" w14:textId="341BE3DA" w:rsidR="00C747B0" w:rsidRDefault="00077DBB" w:rsidP="007B3C0C">
      <w:pPr>
        <w:pStyle w:val="Body"/>
      </w:pPr>
      <w:bookmarkStart w:id="9" w:name="_Toc62825415"/>
      <w:r>
        <w:t xml:space="preserve">The Victorian mpox </w:t>
      </w:r>
      <w:r w:rsidR="00113FB0">
        <w:t xml:space="preserve">(monkeypox) </w:t>
      </w:r>
      <w:r>
        <w:t xml:space="preserve">vaccination </w:t>
      </w:r>
      <w:r w:rsidR="000D0800">
        <w:t xml:space="preserve">program </w:t>
      </w:r>
      <w:r>
        <w:t xml:space="preserve">guidelines (guidelines) provide advice and describe the minimum requirements for delivery of the </w:t>
      </w:r>
      <w:r w:rsidR="00B564D6" w:rsidRPr="2B946C6A">
        <w:rPr>
          <w:rFonts w:cs="Arial"/>
        </w:rPr>
        <w:t>mpox</w:t>
      </w:r>
      <w:r w:rsidR="60A39840">
        <w:t xml:space="preserve"> </w:t>
      </w:r>
      <w:r>
        <w:t xml:space="preserve">vaccination program </w:t>
      </w:r>
      <w:r w:rsidR="00BA11AA">
        <w:t xml:space="preserve">as part of Victoria’s Department of Health (the </w:t>
      </w:r>
      <w:r w:rsidR="00582876">
        <w:t>d</w:t>
      </w:r>
      <w:r w:rsidR="00BA11AA">
        <w:t>epartment) response to the mpox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0" w:name="_Toc71895575"/>
      <w:bookmarkStart w:id="11" w:name="_Toc73627045"/>
      <w:bookmarkStart w:id="12" w:name="_Toc1386940916"/>
      <w:bookmarkStart w:id="13" w:name="_Toc112154538"/>
      <w:bookmarkStart w:id="14" w:name="_Toc112315604"/>
      <w:bookmarkStart w:id="15" w:name="_Toc169094164"/>
      <w:r>
        <w:t>Background</w:t>
      </w:r>
      <w:bookmarkEnd w:id="9"/>
      <w:bookmarkEnd w:id="10"/>
      <w:bookmarkEnd w:id="11"/>
      <w:bookmarkEnd w:id="12"/>
      <w:bookmarkEnd w:id="13"/>
      <w:bookmarkEnd w:id="14"/>
      <w:bookmarkEnd w:id="15"/>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E702C0">
        <w:rPr>
          <w:rFonts w:ascii="Arial" w:hAnsi="Arial" w:cs="Arial"/>
          <w:sz w:val="21"/>
          <w:szCs w:val="21"/>
        </w:rPr>
        <w:t xml:space="preserve">Mpox virus is a DNA virus in the Orthopoxvirus genus, which also includes the variola virus (which causes smallpox) and vaccinia virus (which is used in smallpox vaccines). </w:t>
      </w:r>
      <w:r w:rsidR="00B564D6" w:rsidRPr="00E702C0">
        <w:rPr>
          <w:rFonts w:ascii="Arial" w:hAnsi="Arial" w:cs="Arial"/>
          <w:sz w:val="21"/>
          <w:szCs w:val="21"/>
        </w:rPr>
        <w:t>Mpox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mpox</w:t>
      </w:r>
      <w:r w:rsidR="00077DBB" w:rsidRPr="003C5C9B">
        <w:rPr>
          <w:rFonts w:ascii="Arial" w:hAnsi="Arial" w:cs="Arial"/>
          <w:sz w:val="21"/>
          <w:szCs w:val="21"/>
          <w:shd w:val="clear" w:color="auto" w:fill="FFFFFF"/>
        </w:rPr>
        <w:t xml:space="preserve"> has become the most important </w:t>
      </w:r>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 xml:space="preserve">rthopoxvirus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mpox</w:t>
      </w:r>
      <w:r w:rsidRPr="003C5C9B">
        <w:rPr>
          <w:rFonts w:ascii="Arial" w:hAnsi="Arial" w:cs="Arial"/>
          <w:sz w:val="21"/>
          <w:szCs w:val="21"/>
        </w:rPr>
        <w:t xml:space="preserve"> in recent years is related to decreasing immunity due to cessation of smallpox vaccination, which has proven to be protective against other </w:t>
      </w:r>
      <w:r w:rsidR="005B6058">
        <w:rPr>
          <w:rFonts w:ascii="Arial" w:hAnsi="Arial" w:cs="Arial"/>
          <w:sz w:val="21"/>
          <w:szCs w:val="21"/>
        </w:rPr>
        <w:t>O</w:t>
      </w:r>
      <w:r w:rsidRPr="003C5C9B">
        <w:rPr>
          <w:rFonts w:ascii="Arial" w:hAnsi="Arial" w:cs="Arial"/>
          <w:sz w:val="21"/>
          <w:szCs w:val="21"/>
        </w:rPr>
        <w:t>rthopoxvirus</w:t>
      </w:r>
      <w:r w:rsidR="00CF516C">
        <w:rPr>
          <w:rFonts w:ascii="Arial" w:hAnsi="Arial" w:cs="Arial"/>
          <w:sz w:val="21"/>
          <w:szCs w:val="21"/>
        </w:rPr>
        <w:t>,</w:t>
      </w:r>
      <w:r w:rsidRPr="003C5C9B">
        <w:rPr>
          <w:rFonts w:ascii="Arial" w:hAnsi="Arial" w:cs="Arial"/>
          <w:sz w:val="21"/>
          <w:szCs w:val="21"/>
        </w:rPr>
        <w:t xml:space="preserve"> including mpox virus. This may have resulted in waning vaccine-induced population immunity and no protection for younger age groups</w:t>
      </w:r>
      <w:r w:rsidR="00AB22A9">
        <w:rPr>
          <w:rFonts w:ascii="Arial" w:hAnsi="Arial" w:cs="Arial"/>
          <w:sz w:val="21"/>
          <w:szCs w:val="21"/>
        </w:rPr>
        <w:t>.</w:t>
      </w:r>
    </w:p>
    <w:p w14:paraId="15E7F39F" w14:textId="29585A75" w:rsidR="00077DBB" w:rsidRPr="00844DC5"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Pr>
          <w:rFonts w:ascii="Arial" w:hAnsi="Arial" w:cs="Arial"/>
          <w:sz w:val="21"/>
          <w:szCs w:val="21"/>
        </w:rPr>
        <w:t>M</w:t>
      </w:r>
      <w:r w:rsidR="00B564D6">
        <w:rPr>
          <w:rFonts w:ascii="Arial" w:hAnsi="Arial" w:cs="Arial"/>
          <w:sz w:val="21"/>
          <w:szCs w:val="21"/>
        </w:rPr>
        <w:t>pox</w:t>
      </w:r>
      <w:r w:rsidR="00077DBB" w:rsidRPr="00844DC5">
        <w:rPr>
          <w:rFonts w:ascii="Arial" w:hAnsi="Arial" w:cs="Arial"/>
          <w:sz w:val="21"/>
          <w:szCs w:val="21"/>
        </w:rPr>
        <w:t xml:space="preserve"> virus can be transmitted from infected animals to people, or from person to person. The natural animal reservoir for mpox virus remains unknown. </w:t>
      </w:r>
      <w:r w:rsidR="00B564D6">
        <w:rPr>
          <w:rFonts w:ascii="Arial" w:hAnsi="Arial" w:cs="Arial"/>
          <w:sz w:val="21"/>
          <w:szCs w:val="21"/>
        </w:rPr>
        <w:t>Mpox</w:t>
      </w:r>
      <w:r>
        <w:rPr>
          <w:rFonts w:ascii="Arial" w:hAnsi="Arial" w:cs="Arial"/>
          <w:sz w:val="21"/>
          <w:szCs w:val="21"/>
        </w:rPr>
        <w:t xml:space="preserve"> </w:t>
      </w:r>
      <w:r w:rsidR="00077DBB" w:rsidRPr="00844DC5">
        <w:rPr>
          <w:rFonts w:ascii="Arial" w:hAnsi="Arial" w:cs="Arial"/>
          <w:sz w:val="21"/>
          <w:szCs w:val="21"/>
        </w:rPr>
        <w:t>does not spread easily between people. Transmission between people occurs via close contact with lesions, body fluids, respiratory droplets in prolonged face-to-face contact or fomites (such as contaminated clothing or linen)</w:t>
      </w:r>
      <w:r w:rsidR="00077DBB">
        <w:rPr>
          <w:rStyle w:val="FootnoteReference"/>
          <w:rFonts w:ascii="Arial" w:hAnsi="Arial" w:cs="Arial"/>
          <w:sz w:val="21"/>
          <w:szCs w:val="21"/>
        </w:rPr>
        <w:footnoteReference w:id="2"/>
      </w:r>
      <w:r w:rsidR="00077DBB" w:rsidRPr="00844DC5">
        <w:rPr>
          <w:rFonts w:ascii="Arial" w:hAnsi="Arial" w:cs="Arial"/>
          <w:sz w:val="21"/>
          <w:szCs w:val="21"/>
        </w:rPr>
        <w:t>.</w:t>
      </w:r>
    </w:p>
    <w:p w14:paraId="7E79E83C" w14:textId="65AB757A" w:rsidR="00077DBB" w:rsidRPr="00253B1A"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Mpox</w:t>
      </w:r>
      <w:r w:rsidRPr="003C5C9B">
        <w:rPr>
          <w:rFonts w:ascii="Arial" w:eastAsia="Times New Roman" w:hAnsi="Arial" w:cs="Arial"/>
          <w:sz w:val="21"/>
          <w:szCs w:val="21"/>
        </w:rPr>
        <w:t xml:space="preserve"> was first reported in Australia May 2022. </w:t>
      </w:r>
      <w:r w:rsidRPr="00761C95">
        <w:rPr>
          <w:rFonts w:ascii="Arial" w:eastAsia="Times New Roman" w:hAnsi="Arial" w:cs="Arial"/>
          <w:sz w:val="21"/>
          <w:szCs w:val="21"/>
        </w:rPr>
        <w:t xml:space="preserve">The World Health Organization (WHO) declared the </w:t>
      </w:r>
      <w:r w:rsidR="008F05C5">
        <w:rPr>
          <w:rFonts w:ascii="Arial" w:eastAsia="Times New Roman" w:hAnsi="Arial" w:cs="Arial"/>
          <w:sz w:val="21"/>
          <w:szCs w:val="21"/>
        </w:rPr>
        <w:t>mpox</w:t>
      </w:r>
      <w:r w:rsidRPr="00761C95">
        <w:rPr>
          <w:rFonts w:ascii="Arial" w:eastAsia="Times New Roman" w:hAnsi="Arial" w:cs="Arial"/>
          <w:sz w:val="21"/>
          <w:szCs w:val="21"/>
        </w:rPr>
        <w:t xml:space="preserve"> outbreak a public health emergency of international </w:t>
      </w:r>
      <w:r w:rsidRPr="003917CC">
        <w:rPr>
          <w:rFonts w:ascii="Arial" w:eastAsia="Times New Roman" w:hAnsi="Arial" w:cs="Arial"/>
          <w:sz w:val="21"/>
          <w:szCs w:val="21"/>
        </w:rPr>
        <w:t xml:space="preserve">concern </w:t>
      </w:r>
      <w:r w:rsidRPr="00CF6C72">
        <w:rPr>
          <w:rFonts w:ascii="Arial" w:eastAsia="Times New Roman" w:hAnsi="Arial" w:cs="Arial"/>
          <w:sz w:val="21"/>
          <w:szCs w:val="21"/>
        </w:rPr>
        <w:t xml:space="preserve">on 23 July 2022. On 28 July 2022, Australia’s </w:t>
      </w:r>
      <w:r w:rsidRPr="003917CC">
        <w:rPr>
          <w:rFonts w:ascii="Arial" w:eastAsia="Times New Roman" w:hAnsi="Arial" w:cs="Arial"/>
          <w:sz w:val="21"/>
          <w:szCs w:val="21"/>
        </w:rPr>
        <w:t xml:space="preserve">Chief Medical Officer </w:t>
      </w:r>
      <w:r w:rsidR="00253B1A">
        <w:rPr>
          <w:rFonts w:ascii="Arial" w:eastAsia="Times New Roman" w:hAnsi="Arial" w:cs="Arial"/>
          <w:sz w:val="21"/>
          <w:szCs w:val="21"/>
        </w:rPr>
        <w:t xml:space="preserve">(CMO) </w:t>
      </w:r>
      <w:r w:rsidRPr="003917CC">
        <w:rPr>
          <w:rFonts w:ascii="Arial" w:eastAsia="Times New Roman" w:hAnsi="Arial" w:cs="Arial"/>
          <w:sz w:val="21"/>
          <w:szCs w:val="21"/>
        </w:rPr>
        <w:t xml:space="preserve">declared mpox to be a </w:t>
      </w:r>
      <w:r w:rsidRPr="00253B1A">
        <w:rPr>
          <w:rFonts w:ascii="Arial" w:eastAsia="Times New Roman" w:hAnsi="Arial" w:cs="Arial"/>
          <w:sz w:val="21"/>
          <w:szCs w:val="21"/>
        </w:rPr>
        <w:t>Communicable Disease Incident of National Significance</w:t>
      </w:r>
      <w:r w:rsidR="00253B1A" w:rsidRPr="00253B1A">
        <w:rPr>
          <w:rFonts w:ascii="Arial" w:eastAsia="Times New Roman" w:hAnsi="Arial" w:cs="Arial"/>
          <w:sz w:val="21"/>
          <w:szCs w:val="21"/>
        </w:rPr>
        <w:t xml:space="preserve"> (CDINS)</w:t>
      </w:r>
      <w:r w:rsidR="003A7809" w:rsidRPr="00253B1A">
        <w:rPr>
          <w:rFonts w:ascii="Arial" w:eastAsia="Times New Roman" w:hAnsi="Arial" w:cs="Arial"/>
          <w:sz w:val="21"/>
          <w:szCs w:val="21"/>
        </w:rPr>
        <w:t xml:space="preserve">. On 25 November 2022, the </w:t>
      </w:r>
      <w:r w:rsidR="00253B1A" w:rsidRPr="00253B1A">
        <w:rPr>
          <w:rFonts w:ascii="Arial" w:eastAsia="Times New Roman" w:hAnsi="Arial" w:cs="Arial"/>
          <w:sz w:val="21"/>
          <w:szCs w:val="21"/>
        </w:rPr>
        <w:t>CMO</w:t>
      </w:r>
      <w:r w:rsidR="003A7809" w:rsidRPr="00253B1A">
        <w:rPr>
          <w:rFonts w:ascii="Arial" w:eastAsia="Times New Roman" w:hAnsi="Arial" w:cs="Arial"/>
          <w:sz w:val="21"/>
          <w:szCs w:val="21"/>
        </w:rPr>
        <w:t xml:space="preserve"> stood down Australia's CDINS declaration for mpox</w:t>
      </w:r>
      <w:r w:rsidR="001C65E3">
        <w:rPr>
          <w:rFonts w:ascii="Arial" w:eastAsia="Times New Roman" w:hAnsi="Arial" w:cs="Arial"/>
          <w:sz w:val="21"/>
          <w:szCs w:val="21"/>
        </w:rPr>
        <w:t xml:space="preserve"> due to the reduced need for a </w:t>
      </w:r>
      <w:r w:rsidR="007D217D">
        <w:rPr>
          <w:rFonts w:ascii="Arial" w:eastAsia="Times New Roman" w:hAnsi="Arial" w:cs="Arial"/>
          <w:sz w:val="21"/>
          <w:szCs w:val="21"/>
        </w:rPr>
        <w:t>nationally coordinated response.</w:t>
      </w:r>
      <w:r w:rsidR="003A7809" w:rsidRPr="00253B1A">
        <w:rPr>
          <w:rFonts w:ascii="Arial" w:eastAsia="Times New Roman" w:hAnsi="Arial" w:cs="Arial"/>
          <w:sz w:val="21"/>
          <w:szCs w:val="21"/>
        </w:rPr>
        <w:t xml:space="preserve"> </w:t>
      </w:r>
      <w:r w:rsidR="003A7809" w:rsidRPr="003A7809">
        <w:rPr>
          <w:rFonts w:ascii="Arial" w:hAnsi="Arial" w:cs="Arial"/>
          <w:sz w:val="21"/>
          <w:szCs w:val="21"/>
        </w:rPr>
        <w:t>States and territories will continue to manage the risk of mpox in line with local arrangements, and people should remain vigilant and aware of mpox symptoms.</w:t>
      </w:r>
      <w:r w:rsidR="003A7809" w:rsidRPr="00253B1A">
        <w:rPr>
          <w:rFonts w:ascii="Arial" w:eastAsia="Times New Roman" w:hAnsi="Arial" w:cs="Arial"/>
          <w:sz w:val="21"/>
          <w:szCs w:val="21"/>
        </w:rPr>
        <w:t xml:space="preserve"> </w:t>
      </w:r>
      <w:r w:rsidRPr="00253B1A">
        <w:rPr>
          <w:rStyle w:val="FootnoteReference"/>
          <w:rFonts w:ascii="Arial" w:eastAsia="Times New Roman" w:hAnsi="Arial" w:cs="Arial"/>
          <w:sz w:val="21"/>
          <w:szCs w:val="21"/>
        </w:rPr>
        <w:footnoteReference w:id="3"/>
      </w:r>
      <w:r w:rsidRPr="00253B1A">
        <w:rPr>
          <w:rFonts w:ascii="Arial" w:eastAsia="Times New Roman" w:hAnsi="Arial" w:cs="Arial"/>
          <w:sz w:val="21"/>
          <w:szCs w:val="21"/>
        </w:rPr>
        <w:t xml:space="preserve"> </w:t>
      </w:r>
    </w:p>
    <w:p w14:paraId="25CF3EF5" w14:textId="536E7CCE" w:rsidR="00077DBB" w:rsidRDefault="00C635F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877088">
        <w:rPr>
          <w:rFonts w:ascii="Arial" w:eastAsia="Times New Roman" w:hAnsi="Arial" w:cs="Arial"/>
          <w:sz w:val="21"/>
          <w:szCs w:val="20"/>
          <w:shd w:val="clear" w:color="auto" w:fill="FFFFFF"/>
          <w:lang w:eastAsia="en-US"/>
        </w:rPr>
        <w:t>Smallpox and mpox vaccines contain the vaccinia </w:t>
      </w:r>
      <w:hyperlink r:id="rId18" w:anchor="virus" w:history="1">
        <w:r w:rsidRPr="00877088">
          <w:rPr>
            <w:rFonts w:ascii="Arial" w:eastAsia="Times New Roman" w:hAnsi="Arial" w:cs="Arial"/>
            <w:sz w:val="21"/>
            <w:szCs w:val="20"/>
            <w:shd w:val="clear" w:color="auto" w:fill="FFFFFF"/>
            <w:lang w:eastAsia="en-US"/>
          </w:rPr>
          <w:t>virus</w:t>
        </w:r>
      </w:hyperlink>
      <w:r w:rsidRPr="00877088">
        <w:rPr>
          <w:rFonts w:ascii="Arial" w:eastAsia="Times New Roman" w:hAnsi="Arial" w:cs="Arial"/>
          <w:sz w:val="21"/>
          <w:szCs w:val="20"/>
          <w:shd w:val="clear" w:color="auto" w:fill="FFFFFF"/>
          <w:lang w:eastAsia="en-US"/>
        </w:rPr>
        <w:t>, an Orthopoxvirus related to both smallpox and mpox. Vaccines using the vaccinia virus for the prevention of smallpox are effective against mpox</w:t>
      </w:r>
      <w:r w:rsidRPr="00C635FB">
        <w:rPr>
          <w:rFonts w:ascii="Arial" w:eastAsia="Times New Roman" w:hAnsi="Arial" w:cs="Arial"/>
          <w:color w:val="313131"/>
          <w:sz w:val="21"/>
          <w:szCs w:val="20"/>
          <w:shd w:val="clear" w:color="auto" w:fill="FFFFFF"/>
          <w:lang w:eastAsia="en-US"/>
        </w:rPr>
        <w:t>.</w:t>
      </w:r>
      <w:r w:rsidR="002F160A">
        <w:rPr>
          <w:rStyle w:val="FootnoteReference"/>
          <w:rFonts w:ascii="Arial" w:hAnsi="Arial" w:cs="Arial"/>
          <w:sz w:val="21"/>
          <w:szCs w:val="21"/>
        </w:rPr>
        <w:footnoteReference w:id="4"/>
      </w:r>
    </w:p>
    <w:p w14:paraId="1AAF0BE8" w14:textId="77777777" w:rsidR="00077DBB" w:rsidRPr="00D16186" w:rsidRDefault="00077DBB" w:rsidP="008E47E2">
      <w:pPr>
        <w:pStyle w:val="Heading1"/>
        <w:spacing w:before="0"/>
      </w:pPr>
      <w:bookmarkStart w:id="16" w:name="_Toc71895576"/>
      <w:bookmarkStart w:id="17" w:name="_Toc73627046"/>
      <w:bookmarkStart w:id="18" w:name="_Toc62825416"/>
      <w:bookmarkStart w:id="19" w:name="_Toc1719592556"/>
      <w:bookmarkStart w:id="20" w:name="_Toc112154539"/>
      <w:bookmarkStart w:id="21" w:name="_Toc112315605"/>
      <w:bookmarkStart w:id="22" w:name="_Toc169094165"/>
      <w:r>
        <w:t xml:space="preserve">Vaccine </w:t>
      </w:r>
      <w:bookmarkEnd w:id="16"/>
      <w:bookmarkEnd w:id="17"/>
      <w:bookmarkEnd w:id="18"/>
      <w:bookmarkEnd w:id="19"/>
      <w:r w:rsidRPr="008C74FC">
        <w:t>program</w:t>
      </w:r>
      <w:bookmarkEnd w:id="20"/>
      <w:bookmarkEnd w:id="21"/>
      <w:bookmarkEnd w:id="22"/>
    </w:p>
    <w:p w14:paraId="48688106" w14:textId="511C005C" w:rsidR="00077DBB" w:rsidRPr="00222EFB" w:rsidRDefault="00077DBB" w:rsidP="00077DBB">
      <w:pPr>
        <w:pStyle w:val="Heading2"/>
      </w:pPr>
      <w:bookmarkStart w:id="23" w:name="_Toc112154540"/>
      <w:bookmarkStart w:id="24" w:name="_Toc112315606"/>
      <w:bookmarkStart w:id="25" w:name="_Toc169094166"/>
      <w:r w:rsidRPr="00222EFB">
        <w:t xml:space="preserve">Mpox vaccines </w:t>
      </w:r>
      <w:r w:rsidRPr="00096E9A">
        <w:t>approved for use in Australia</w:t>
      </w:r>
      <w:bookmarkEnd w:id="23"/>
      <w:bookmarkEnd w:id="24"/>
      <w:bookmarkEnd w:id="25"/>
      <w:r w:rsidR="5262924B">
        <w:t xml:space="preserve"> </w:t>
      </w:r>
    </w:p>
    <w:p w14:paraId="6C2A906E" w14:textId="77777777" w:rsidR="00077DBB" w:rsidRPr="00957542" w:rsidRDefault="00077DBB" w:rsidP="00077DBB">
      <w:pPr>
        <w:shd w:val="clear" w:color="auto" w:fill="FFFFFF"/>
        <w:spacing w:line="240" w:lineRule="auto"/>
        <w:rPr>
          <w:rFonts w:cs="Arial"/>
          <w:color w:val="313131"/>
          <w:szCs w:val="21"/>
          <w:lang w:eastAsia="en-AU"/>
        </w:rPr>
      </w:pPr>
      <w:r w:rsidRPr="00957542">
        <w:rPr>
          <w:rFonts w:cs="Arial"/>
          <w:color w:val="313131"/>
          <w:szCs w:val="21"/>
          <w:lang w:eastAsia="en-AU"/>
        </w:rPr>
        <w:t>There are 2 vaccines approved for use in Australia:</w:t>
      </w:r>
    </w:p>
    <w:p w14:paraId="37F3B037" w14:textId="77777777" w:rsidR="00077DBB" w:rsidRPr="00957542" w:rsidRDefault="00077DBB" w:rsidP="00603DC8">
      <w:pPr>
        <w:numPr>
          <w:ilvl w:val="0"/>
          <w:numId w:val="20"/>
        </w:numPr>
        <w:shd w:val="clear" w:color="auto" w:fill="FFFFFF"/>
        <w:spacing w:line="240" w:lineRule="auto"/>
        <w:rPr>
          <w:rFonts w:cs="Arial"/>
          <w:color w:val="313131"/>
          <w:szCs w:val="21"/>
          <w:lang w:eastAsia="en-AU"/>
        </w:rPr>
      </w:pPr>
      <w:r w:rsidRPr="00852563">
        <w:rPr>
          <w:rFonts w:cs="Arial"/>
          <w:szCs w:val="21"/>
        </w:rPr>
        <w:t>JYNNEOS</w:t>
      </w:r>
      <w:r w:rsidRPr="008D4BAC">
        <w:rPr>
          <w:rFonts w:cs="Arial"/>
          <w:szCs w:val="21"/>
          <w:vertAlign w:val="superscript"/>
        </w:rPr>
        <w:t>®</w:t>
      </w:r>
    </w:p>
    <w:p w14:paraId="1ABC0952" w14:textId="77777777" w:rsidR="00077DBB" w:rsidRPr="00957542" w:rsidRDefault="00077DBB" w:rsidP="00603DC8">
      <w:pPr>
        <w:numPr>
          <w:ilvl w:val="0"/>
          <w:numId w:val="20"/>
        </w:numPr>
        <w:shd w:val="clear" w:color="auto" w:fill="FFFFFF" w:themeFill="background1"/>
        <w:spacing w:line="240" w:lineRule="auto"/>
        <w:rPr>
          <w:rFonts w:cs="Arial"/>
          <w:color w:val="313131"/>
          <w:szCs w:val="21"/>
          <w:lang w:eastAsia="en-AU"/>
        </w:rPr>
      </w:pPr>
      <w:r w:rsidRPr="00957542">
        <w:rPr>
          <w:rFonts w:cs="Arial"/>
          <w:color w:val="313131"/>
          <w:szCs w:val="21"/>
          <w:lang w:eastAsia="en-AU"/>
        </w:rPr>
        <w:t>ACAM2000™</w:t>
      </w:r>
    </w:p>
    <w:p w14:paraId="3ABE5260" w14:textId="3A469866"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Pr="00852563">
        <w:rPr>
          <w:rFonts w:ascii="Arial" w:hAnsi="Arial" w:cs="Arial"/>
          <w:sz w:val="21"/>
          <w:szCs w:val="21"/>
          <w:shd w:val="clear" w:color="auto" w:fill="FFFFFF"/>
        </w:rPr>
        <w:t>is the preferred vaccine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6"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mpox</w:t>
      </w:r>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5"/>
      </w:r>
      <w:r w:rsidRPr="1B84DD6B">
        <w:rPr>
          <w:rFonts w:cs="Arial"/>
          <w:lang w:eastAsia="en-AU"/>
        </w:rPr>
        <w:t>.</w:t>
      </w:r>
    </w:p>
    <w:p w14:paraId="7DE6A48B" w14:textId="6BDB5E49" w:rsidR="00077DBB" w:rsidRPr="00C4116C" w:rsidRDefault="005D5520" w:rsidP="0076571F">
      <w:pPr>
        <w:pStyle w:val="Heading2"/>
        <w:spacing w:before="240"/>
      </w:pPr>
      <w:bookmarkStart w:id="27" w:name="_Toc169094167"/>
      <w:bookmarkEnd w:id="26"/>
      <w:r w:rsidRPr="008E47E2">
        <w:t>Mpox vaccine eligibility</w:t>
      </w:r>
      <w:bookmarkEnd w:id="27"/>
    </w:p>
    <w:p w14:paraId="14436ED8" w14:textId="69B27E19" w:rsidR="00077DBB" w:rsidRPr="00DE491D" w:rsidRDefault="006308C6" w:rsidP="00077DBB">
      <w:pPr>
        <w:shd w:val="clear" w:color="auto" w:fill="FFFFFF" w:themeFill="background1"/>
        <w:spacing w:line="240" w:lineRule="auto"/>
        <w:rPr>
          <w:rFonts w:cs="Arial"/>
          <w:lang w:eastAsia="en-AU"/>
        </w:rPr>
      </w:pPr>
      <w:r>
        <w:rPr>
          <w:rFonts w:cs="Arial"/>
          <w:lang w:eastAsia="en-AU"/>
        </w:rPr>
        <w:t>In Victoria, the free</w:t>
      </w:r>
      <w:r w:rsidRPr="00DE491D">
        <w:rPr>
          <w:rFonts w:cs="Arial"/>
          <w:lang w:eastAsia="en-AU"/>
        </w:rPr>
        <w:t xml:space="preserve"> </w:t>
      </w:r>
      <w:r w:rsidR="00DB5A2E" w:rsidRPr="00DE491D">
        <w:rPr>
          <w:rFonts w:cs="Arial"/>
          <w:lang w:eastAsia="en-AU"/>
        </w:rPr>
        <w:t>mpox</w:t>
      </w:r>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t>
      </w:r>
      <w:r w:rsidR="001004E6">
        <w:rPr>
          <w:rFonts w:cs="Arial"/>
          <w:lang w:eastAsia="en-AU"/>
        </w:rPr>
        <w:t xml:space="preserve">is </w:t>
      </w:r>
      <w:r w:rsidR="00077DBB" w:rsidRPr="00DE491D">
        <w:rPr>
          <w:rFonts w:cs="Arial"/>
          <w:lang w:eastAsia="en-AU"/>
        </w:rPr>
        <w:t>available</w:t>
      </w:r>
      <w:r w:rsidR="00615839" w:rsidRPr="00DE491D">
        <w:rPr>
          <w:rFonts w:cs="Arial"/>
          <w:lang w:eastAsia="en-AU"/>
        </w:rPr>
        <w:t xml:space="preserve"> </w:t>
      </w:r>
      <w:r w:rsidR="00077DBB" w:rsidRPr="00DE491D">
        <w:rPr>
          <w:rFonts w:cs="Arial"/>
          <w:lang w:eastAsia="en-AU"/>
        </w:rPr>
        <w:t xml:space="preserve">for </w:t>
      </w:r>
      <w:r>
        <w:rPr>
          <w:rFonts w:cs="Arial"/>
          <w:lang w:eastAsia="en-AU"/>
        </w:rPr>
        <w:t>the following people:</w:t>
      </w:r>
      <w:r w:rsidR="00077DBB" w:rsidRPr="00DE491D">
        <w:rPr>
          <w:rFonts w:cs="Arial"/>
          <w:lang w:eastAsia="en-AU"/>
        </w:rPr>
        <w:t xml:space="preserve"> </w:t>
      </w:r>
    </w:p>
    <w:p w14:paraId="1A3767CE" w14:textId="0DBF2A24" w:rsidR="005D5520" w:rsidRDefault="00611C14" w:rsidP="007760CD">
      <w:pPr>
        <w:spacing w:before="240" w:line="240" w:lineRule="auto"/>
        <w:rPr>
          <w:lang w:eastAsia="zh-CN"/>
        </w:rPr>
      </w:pPr>
      <w:r w:rsidRPr="008E47E2">
        <w:rPr>
          <w:b/>
          <w:bCs/>
          <w:szCs w:val="21"/>
        </w:rPr>
        <w:t>Post-exposure preventive vaccination (PEPV)</w:t>
      </w:r>
      <w:r>
        <w:rPr>
          <w:b/>
          <w:bCs/>
          <w:sz w:val="26"/>
          <w:szCs w:val="26"/>
        </w:rPr>
        <w:t xml:space="preserve"> </w:t>
      </w:r>
      <w:r w:rsidR="001B0534">
        <w:rPr>
          <w:lang w:eastAsia="zh-CN"/>
        </w:rPr>
        <w:t xml:space="preserve"> </w:t>
      </w:r>
    </w:p>
    <w:p w14:paraId="6C0B295C" w14:textId="5604378A" w:rsidR="007760CD" w:rsidRDefault="005D5520" w:rsidP="005D5520">
      <w:pPr>
        <w:spacing w:before="120" w:line="240" w:lineRule="auto"/>
      </w:pPr>
      <w:r>
        <w:rPr>
          <w:color w:val="000000"/>
          <w:lang w:eastAsia="zh-CN"/>
        </w:rPr>
        <w:t xml:space="preserve">Vaccination </w:t>
      </w:r>
      <w:r w:rsidR="001B0534" w:rsidRPr="008E47E2">
        <w:rPr>
          <w:b/>
          <w:bCs/>
          <w:color w:val="000000"/>
          <w:lang w:eastAsia="zh-CN"/>
        </w:rPr>
        <w:t xml:space="preserve">preferably </w:t>
      </w:r>
      <w:r w:rsidR="00FB43C2" w:rsidRPr="008E47E2">
        <w:rPr>
          <w:b/>
          <w:bCs/>
          <w:color w:val="000000"/>
          <w:lang w:eastAsia="zh-CN"/>
        </w:rPr>
        <w:t>within</w:t>
      </w:r>
      <w:r w:rsidR="001B0534" w:rsidRPr="008E47E2">
        <w:rPr>
          <w:b/>
          <w:bCs/>
          <w:color w:val="000000"/>
          <w:lang w:eastAsia="zh-CN"/>
        </w:rPr>
        <w:t xml:space="preserve"> 4 days</w:t>
      </w:r>
      <w:r w:rsidR="00707A80">
        <w:rPr>
          <w:color w:val="000000"/>
          <w:lang w:eastAsia="zh-CN"/>
        </w:rPr>
        <w:t xml:space="preserve">, </w:t>
      </w:r>
      <w:r w:rsidR="00707A80" w:rsidRPr="00F106B6">
        <w:rPr>
          <w:rStyle w:val="normaltextrun"/>
          <w:rFonts w:eastAsia="MS Gothic" w:cs="Arial"/>
          <w:shd w:val="clear" w:color="auto" w:fill="FFFFFF"/>
        </w:rPr>
        <w:t xml:space="preserve">in accordance </w:t>
      </w:r>
      <w:r w:rsidR="00CF0846">
        <w:rPr>
          <w:rStyle w:val="normaltextrun"/>
          <w:rFonts w:eastAsia="MS Gothic" w:cs="Arial"/>
          <w:shd w:val="clear" w:color="auto" w:fill="FFFFFF"/>
        </w:rPr>
        <w:t xml:space="preserve">clinical guidance from </w:t>
      </w:r>
      <w:r w:rsidR="00CF0846">
        <w:t>the Australian Technical Advisory Group on Immunisation</w:t>
      </w:r>
      <w:r w:rsidR="007760CD">
        <w:rPr>
          <w:rStyle w:val="FootnoteReference"/>
        </w:rPr>
        <w:footnoteReference w:id="6"/>
      </w:r>
    </w:p>
    <w:p w14:paraId="724FFB3C" w14:textId="7AA1E5BB" w:rsidR="005D5520" w:rsidRPr="007760CD" w:rsidRDefault="005D5520" w:rsidP="00964A28">
      <w:pPr>
        <w:pStyle w:val="ListParagraph"/>
        <w:numPr>
          <w:ilvl w:val="0"/>
          <w:numId w:val="54"/>
        </w:numPr>
        <w:spacing w:before="120" w:line="240" w:lineRule="auto"/>
        <w:rPr>
          <w:rFonts w:eastAsia="Times"/>
          <w:lang w:val="en-US"/>
        </w:rPr>
      </w:pPr>
      <w:r w:rsidRPr="007760CD">
        <w:rPr>
          <w:rFonts w:eastAsia="Arial" w:cs="Arial"/>
          <w:szCs w:val="21"/>
        </w:rPr>
        <w:t>High-risk contacts of mpox cases</w:t>
      </w:r>
    </w:p>
    <w:p w14:paraId="0166140D" w14:textId="35974481" w:rsidR="005D5520" w:rsidRPr="007760CD" w:rsidRDefault="005D5520" w:rsidP="00964A28">
      <w:pPr>
        <w:pStyle w:val="ListParagraph"/>
        <w:numPr>
          <w:ilvl w:val="0"/>
          <w:numId w:val="54"/>
        </w:numPr>
        <w:spacing w:after="40"/>
        <w:rPr>
          <w:rFonts w:eastAsia="Times"/>
          <w:lang w:val="en-US"/>
        </w:rPr>
      </w:pPr>
      <w:r w:rsidRPr="007760CD">
        <w:rPr>
          <w:rFonts w:eastAsia="Arial" w:cs="Arial"/>
        </w:rPr>
        <w:t xml:space="preserve">Attendees of </w:t>
      </w:r>
      <w:r w:rsidR="00CF0846">
        <w:rPr>
          <w:rFonts w:eastAsia="Arial" w:cs="Arial"/>
        </w:rPr>
        <w:t>Sex-on-premises venues</w:t>
      </w:r>
      <w:r w:rsidR="00CF0846" w:rsidRPr="007760CD">
        <w:rPr>
          <w:rFonts w:eastAsia="Arial" w:cs="Arial"/>
        </w:rPr>
        <w:t xml:space="preserve"> </w:t>
      </w:r>
      <w:r w:rsidRPr="007760CD">
        <w:rPr>
          <w:rFonts w:eastAsia="Arial" w:cs="Arial"/>
        </w:rPr>
        <w:t xml:space="preserve">and public or private events (particularly where sexual or intimate contact </w:t>
      </w:r>
      <w:r w:rsidR="002A571A">
        <w:rPr>
          <w:rFonts w:eastAsia="Arial" w:cs="Arial"/>
        </w:rPr>
        <w:t>has occurred</w:t>
      </w:r>
      <w:r w:rsidRPr="007760CD">
        <w:rPr>
          <w:rFonts w:eastAsia="Arial" w:cs="Arial"/>
        </w:rPr>
        <w:t>) in areas where local transmission of mpox is occurring.</w:t>
      </w:r>
    </w:p>
    <w:p w14:paraId="25B9B5B7" w14:textId="167CCE2A" w:rsidR="007620BE" w:rsidRPr="00C658C8" w:rsidRDefault="0085661D" w:rsidP="0021607B">
      <w:pPr>
        <w:spacing w:before="120" w:line="276" w:lineRule="auto"/>
        <w:jc w:val="both"/>
        <w:rPr>
          <w:rFonts w:ascii="Calibri" w:hAnsi="Calibri"/>
          <w:color w:val="000000"/>
          <w:sz w:val="22"/>
          <w:lang w:eastAsia="zh-CN"/>
        </w:rPr>
      </w:pPr>
      <w:r w:rsidRPr="008E47E2">
        <w:rPr>
          <w:b/>
          <w:bCs/>
          <w:szCs w:val="21"/>
        </w:rPr>
        <w:t>Primary preventive vaccination (PPV)</w:t>
      </w:r>
      <w:r w:rsidR="007620BE">
        <w:rPr>
          <w:lang w:eastAsia="zh-CN"/>
        </w:rPr>
        <w:t xml:space="preserve"> </w:t>
      </w:r>
    </w:p>
    <w:p w14:paraId="6F9D7FFB" w14:textId="53354117" w:rsidR="004F2D38" w:rsidRPr="007760CD" w:rsidRDefault="005D5520" w:rsidP="00964A28">
      <w:pPr>
        <w:pStyle w:val="Bullet2"/>
        <w:numPr>
          <w:ilvl w:val="0"/>
          <w:numId w:val="51"/>
        </w:numPr>
        <w:rPr>
          <w:rStyle w:val="eop"/>
          <w:lang w:val="en-US"/>
        </w:rPr>
      </w:pPr>
      <w:r w:rsidRPr="000F3383">
        <w:rPr>
          <w:rStyle w:val="eop"/>
          <w:szCs w:val="21"/>
        </w:rPr>
        <w:t>Sexually active gay, bisexual and other men who have sex with men</w:t>
      </w:r>
      <w:r w:rsidR="004F2D38">
        <w:rPr>
          <w:rStyle w:val="eop"/>
          <w:szCs w:val="21"/>
        </w:rPr>
        <w:t xml:space="preserve"> (GBMSM)</w:t>
      </w:r>
    </w:p>
    <w:p w14:paraId="01B74C95" w14:textId="5DBE6086" w:rsidR="005D5520" w:rsidRPr="007760CD" w:rsidRDefault="004F2D38" w:rsidP="00964A28">
      <w:pPr>
        <w:pStyle w:val="Bullet2"/>
        <w:numPr>
          <w:ilvl w:val="0"/>
          <w:numId w:val="51"/>
        </w:numPr>
        <w:rPr>
          <w:rStyle w:val="eop"/>
          <w:lang w:val="en-US"/>
        </w:rPr>
      </w:pPr>
      <w:r>
        <w:rPr>
          <w:rStyle w:val="eop"/>
          <w:szCs w:val="21"/>
        </w:rPr>
        <w:t>S</w:t>
      </w:r>
      <w:r w:rsidR="005D5520" w:rsidRPr="000F3383">
        <w:rPr>
          <w:rStyle w:val="eop"/>
          <w:szCs w:val="21"/>
        </w:rPr>
        <w:t>exually active transgender and gender</w:t>
      </w:r>
      <w:r>
        <w:rPr>
          <w:rStyle w:val="eop"/>
          <w:szCs w:val="21"/>
        </w:rPr>
        <w:t xml:space="preserve"> </w:t>
      </w:r>
      <w:r w:rsidR="005D5520" w:rsidRPr="000F3383">
        <w:rPr>
          <w:rStyle w:val="eop"/>
          <w:szCs w:val="21"/>
        </w:rPr>
        <w:t>diverse people</w:t>
      </w:r>
      <w:r>
        <w:rPr>
          <w:rStyle w:val="eop"/>
          <w:szCs w:val="21"/>
        </w:rPr>
        <w:t>, if at risk of exposure</w:t>
      </w:r>
    </w:p>
    <w:p w14:paraId="0FDA3F7F" w14:textId="77777777" w:rsidR="004F2D38" w:rsidRDefault="004F2D38" w:rsidP="00964A28">
      <w:pPr>
        <w:numPr>
          <w:ilvl w:val="0"/>
          <w:numId w:val="51"/>
        </w:numPr>
        <w:spacing w:after="0" w:line="240" w:lineRule="auto"/>
        <w:rPr>
          <w:rFonts w:ascii="Aptos" w:hAnsi="Aptos"/>
          <w:sz w:val="22"/>
        </w:rPr>
      </w:pPr>
      <w:r>
        <w:t xml:space="preserve">Sex workers, particularly those whose clients are at risk of mpox exposure </w:t>
      </w:r>
    </w:p>
    <w:p w14:paraId="70019691" w14:textId="3E1CA8FC" w:rsidR="005D5520" w:rsidRPr="000F3383" w:rsidRDefault="005D5520" w:rsidP="00964A28">
      <w:pPr>
        <w:pStyle w:val="Bullet2"/>
        <w:numPr>
          <w:ilvl w:val="0"/>
          <w:numId w:val="51"/>
        </w:numPr>
        <w:rPr>
          <w:lang w:val="en-US"/>
        </w:rPr>
      </w:pPr>
      <w:r w:rsidRPr="000F3383">
        <w:rPr>
          <w:rStyle w:val="eop"/>
          <w:szCs w:val="21"/>
        </w:rPr>
        <w:t>Sexual partners (including anonymous sexual or intimate contacts)</w:t>
      </w:r>
      <w:r w:rsidR="004F2D38">
        <w:rPr>
          <w:rStyle w:val="eop"/>
          <w:szCs w:val="21"/>
        </w:rPr>
        <w:t xml:space="preserve"> of the above groups</w:t>
      </w:r>
    </w:p>
    <w:p w14:paraId="216752A0" w14:textId="77777777" w:rsidR="004F2D38" w:rsidRDefault="004F2D38" w:rsidP="00964A28">
      <w:pPr>
        <w:numPr>
          <w:ilvl w:val="0"/>
          <w:numId w:val="51"/>
        </w:numPr>
        <w:spacing w:after="0" w:line="240" w:lineRule="auto"/>
        <w:rPr>
          <w:rFonts w:ascii="Aptos" w:hAnsi="Aptos"/>
          <w:sz w:val="22"/>
        </w:rPr>
      </w:pPr>
      <w:r>
        <w:t xml:space="preserve">Sex-on-premises venue staff and attendees </w:t>
      </w:r>
    </w:p>
    <w:p w14:paraId="20B08EAE" w14:textId="4BE2B9CD" w:rsidR="005D5520" w:rsidRPr="000F3383" w:rsidRDefault="005D5520" w:rsidP="00964A28">
      <w:pPr>
        <w:pStyle w:val="Bullet2"/>
        <w:numPr>
          <w:ilvl w:val="0"/>
          <w:numId w:val="51"/>
        </w:numPr>
        <w:rPr>
          <w:lang w:val="en-US"/>
        </w:rPr>
      </w:pPr>
      <w:r w:rsidRPr="000F3383">
        <w:rPr>
          <w:rStyle w:val="eop"/>
          <w:szCs w:val="21"/>
        </w:rPr>
        <w:t xml:space="preserve">People living with HIV, if </w:t>
      </w:r>
      <w:r w:rsidR="004F2D38">
        <w:rPr>
          <w:rStyle w:val="eop"/>
          <w:szCs w:val="21"/>
        </w:rPr>
        <w:t xml:space="preserve">at </w:t>
      </w:r>
      <w:r w:rsidRPr="000F3383">
        <w:rPr>
          <w:rStyle w:val="eop"/>
          <w:szCs w:val="21"/>
        </w:rPr>
        <w:t>risk of mpox</w:t>
      </w:r>
      <w:r w:rsidR="004F2D38">
        <w:rPr>
          <w:rStyle w:val="eop"/>
          <w:szCs w:val="21"/>
        </w:rPr>
        <w:t xml:space="preserve"> exposure and their partners</w:t>
      </w:r>
    </w:p>
    <w:p w14:paraId="0F9E3397" w14:textId="3479B801" w:rsidR="00DF0AB3" w:rsidRPr="0021607B" w:rsidRDefault="00A85004" w:rsidP="00964A28">
      <w:pPr>
        <w:pStyle w:val="ListParagraph"/>
        <w:numPr>
          <w:ilvl w:val="0"/>
          <w:numId w:val="51"/>
        </w:numPr>
        <w:spacing w:after="0" w:line="276" w:lineRule="auto"/>
        <w:jc w:val="both"/>
        <w:rPr>
          <w:color w:val="000000"/>
          <w:lang w:eastAsia="zh-CN"/>
        </w:rPr>
      </w:pPr>
      <w:r w:rsidRPr="0021607B">
        <w:rPr>
          <w:color w:val="000000" w:themeColor="text1"/>
          <w:lang w:eastAsia="zh-CN"/>
        </w:rPr>
        <w:t>Laboratory worke</w:t>
      </w:r>
      <w:r w:rsidR="00DF0AB3" w:rsidRPr="0021607B">
        <w:rPr>
          <w:color w:val="000000" w:themeColor="text1"/>
          <w:lang w:eastAsia="zh-CN"/>
        </w:rPr>
        <w:t xml:space="preserve">rs </w:t>
      </w:r>
      <w:r w:rsidR="00CF0846">
        <w:rPr>
          <w:color w:val="000000" w:themeColor="text1"/>
          <w:lang w:eastAsia="zh-CN"/>
        </w:rPr>
        <w:t>working with orthopoxviruses</w:t>
      </w:r>
    </w:p>
    <w:p w14:paraId="10E3C279" w14:textId="1704CA09" w:rsidR="002A571A" w:rsidRPr="002A571A" w:rsidRDefault="0025269B" w:rsidP="00964A28">
      <w:pPr>
        <w:pStyle w:val="ListParagraph"/>
        <w:numPr>
          <w:ilvl w:val="0"/>
          <w:numId w:val="51"/>
        </w:numPr>
        <w:spacing w:before="120" w:after="0" w:line="288" w:lineRule="auto"/>
        <w:textAlignment w:val="baseline"/>
        <w:rPr>
          <w:rFonts w:eastAsia="MS Gothic" w:cs="Arial"/>
          <w:szCs w:val="21"/>
          <w:lang w:val="en-US"/>
        </w:rPr>
      </w:pPr>
      <w:r>
        <w:t>Vaccination may also be considered for healthcare workers at higher risk of exposure to patients with mpox</w:t>
      </w:r>
      <w:r w:rsidR="00CF0846">
        <w:t xml:space="preserve"> </w:t>
      </w:r>
      <w:r>
        <w:t xml:space="preserve">based on local risk assessments. </w:t>
      </w:r>
      <w:r w:rsidR="00CF0846">
        <w:t xml:space="preserve">This may include primary care, sexual health clinics, hospital staff and others. </w:t>
      </w:r>
      <w:r>
        <w:t xml:space="preserve">The risk of transmission should be also minimised by using </w:t>
      </w:r>
      <w:r w:rsidR="002A571A" w:rsidRPr="002A571A">
        <w:t>infection control measures</w:t>
      </w:r>
      <w:r w:rsidR="008E47E2" w:rsidRPr="002A571A">
        <w:rPr>
          <w:rStyle w:val="Hyperlink"/>
          <w:color w:val="auto"/>
          <w:u w:val="none"/>
        </w:rPr>
        <w:t>.</w:t>
      </w:r>
      <w:r w:rsidR="002A571A" w:rsidRPr="002A571A">
        <w:rPr>
          <w:rStyle w:val="FootnoteReference"/>
        </w:rPr>
        <w:footnoteReference w:id="7"/>
      </w:r>
      <w:r w:rsidR="008E3D7D">
        <w:rPr>
          <w:rStyle w:val="Hyperlink"/>
        </w:rPr>
        <w:t xml:space="preserve"> </w:t>
      </w:r>
    </w:p>
    <w:p w14:paraId="7D138382" w14:textId="3262BC6F" w:rsidR="00AF1F87" w:rsidRPr="002A571A" w:rsidRDefault="0061440D" w:rsidP="002A571A">
      <w:pPr>
        <w:spacing w:before="120" w:after="0" w:line="288" w:lineRule="auto"/>
        <w:textAlignment w:val="baseline"/>
        <w:rPr>
          <w:rStyle w:val="normaltextrun"/>
          <w:rFonts w:eastAsia="MS Gothic" w:cs="Arial"/>
          <w:szCs w:val="21"/>
          <w:lang w:val="en-US"/>
        </w:rPr>
      </w:pPr>
      <w:r w:rsidRPr="002A571A">
        <w:rPr>
          <w:rFonts w:cs="Arial"/>
          <w:color w:val="000000"/>
          <w:szCs w:val="21"/>
          <w:shd w:val="clear" w:color="auto" w:fill="FFFFFF"/>
        </w:rPr>
        <w:t>People</w:t>
      </w:r>
      <w:r w:rsidR="007F2E93" w:rsidRPr="002A571A">
        <w:rPr>
          <w:rFonts w:cs="Arial"/>
          <w:color w:val="000000"/>
          <w:szCs w:val="21"/>
          <w:shd w:val="clear" w:color="auto" w:fill="FFFFFF"/>
        </w:rPr>
        <w:t xml:space="preserve"> at risk for mpox should receive the 2-dose schedule, irrespective of administration route.</w:t>
      </w:r>
      <w:r w:rsidRPr="002A571A">
        <w:rPr>
          <w:rFonts w:eastAsia="Arial" w:cs="Arial"/>
          <w:szCs w:val="21"/>
        </w:rPr>
        <w:t xml:space="preserve"> A person will start to build protection in the days after their first dose with antibodies providing optimal protection 2 weeks of the second dose. </w:t>
      </w:r>
    </w:p>
    <w:p w14:paraId="78915CBD" w14:textId="77777777" w:rsidR="007760CD" w:rsidRDefault="00B05BA0" w:rsidP="00583549">
      <w:pPr>
        <w:spacing w:before="120" w:line="288" w:lineRule="auto"/>
        <w:textAlignment w:val="baseline"/>
        <w:rPr>
          <w:rFonts w:cs="Arial"/>
        </w:rPr>
      </w:pPr>
      <w:r w:rsidRPr="00DE491D">
        <w:rPr>
          <w:rFonts w:cs="Arial"/>
          <w:lang w:eastAsia="en-AU"/>
        </w:rPr>
        <w:t>JYNNEOS</w:t>
      </w:r>
      <w:r w:rsidRPr="00DE491D">
        <w:rPr>
          <w:rFonts w:cs="Arial"/>
          <w:vertAlign w:val="superscript"/>
          <w:lang w:eastAsia="en-AU"/>
        </w:rPr>
        <w:t>®</w:t>
      </w:r>
      <w:r w:rsidRPr="00DE491D">
        <w:rPr>
          <w:rFonts w:cs="Arial"/>
          <w:lang w:eastAsia="en-AU"/>
        </w:rPr>
        <w:t xml:space="preserve"> </w:t>
      </w:r>
      <w:r>
        <w:rPr>
          <w:rFonts w:cs="Arial"/>
        </w:rPr>
        <w:t>m</w:t>
      </w:r>
      <w:r w:rsidR="008C1031" w:rsidRPr="00B05BA0">
        <w:rPr>
          <w:rFonts w:cs="Arial"/>
        </w:rPr>
        <w:t>pox vaccines are available through sexual health clinics</w:t>
      </w:r>
      <w:r w:rsidR="00C635FB">
        <w:rPr>
          <w:rFonts w:cs="Arial"/>
        </w:rPr>
        <w:t xml:space="preserve">, public hospitals, </w:t>
      </w:r>
      <w:r w:rsidR="00E205CB">
        <w:rPr>
          <w:rFonts w:cs="Arial"/>
        </w:rPr>
        <w:t xml:space="preserve">general practitioners, </w:t>
      </w:r>
      <w:r w:rsidR="00C635FB">
        <w:rPr>
          <w:rFonts w:cs="Arial"/>
        </w:rPr>
        <w:t>Aboriginal health services, community pharmacies and some local councils.</w:t>
      </w:r>
      <w:r w:rsidR="008C1031" w:rsidRPr="00B05BA0">
        <w:rPr>
          <w:rFonts w:cs="Arial"/>
        </w:rPr>
        <w:t xml:space="preserve"> </w:t>
      </w:r>
    </w:p>
    <w:p w14:paraId="08BE269A" w14:textId="3A8E1A3D" w:rsidR="008C1031" w:rsidRDefault="008C1031" w:rsidP="00583549">
      <w:pPr>
        <w:spacing w:before="120" w:line="288" w:lineRule="auto"/>
        <w:textAlignment w:val="baseline"/>
      </w:pPr>
      <w:r w:rsidRPr="00B05BA0">
        <w:rPr>
          <w:rFonts w:cs="Arial"/>
        </w:rPr>
        <w:t xml:space="preserve">People eligible for mpox vaccine can contact their Local Public Health Unit (LPHU) to find their local mpox vaccination provider. Refer to </w:t>
      </w:r>
      <w:hyperlink r:id="rId19" w:history="1">
        <w:r w:rsidRPr="00A703DE">
          <w:rPr>
            <w:rStyle w:val="Hyperlink"/>
            <w:rFonts w:cs="Arial"/>
            <w:lang w:eastAsia="en-AU"/>
          </w:rPr>
          <w:t>Mpox (monkeypox)</w:t>
        </w:r>
      </w:hyperlink>
      <w:r>
        <w:rPr>
          <w:rStyle w:val="Hyperlink"/>
          <w:rFonts w:cs="Arial"/>
          <w:lang w:eastAsia="en-AU"/>
        </w:rPr>
        <w:t xml:space="preserve"> </w:t>
      </w:r>
      <w:r>
        <w:rPr>
          <w:rFonts w:cs="Arial"/>
          <w:color w:val="2A2736"/>
        </w:rPr>
        <w:t xml:space="preserve"> </w:t>
      </w:r>
      <w:r w:rsidR="008E3D7D">
        <w:rPr>
          <w:rFonts w:cs="Arial"/>
          <w:color w:val="2A2736"/>
        </w:rPr>
        <w:t>&lt;</w:t>
      </w:r>
      <w:r w:rsidRPr="008E3D7D">
        <w:rPr>
          <w:rFonts w:cs="Arial"/>
          <w:lang w:eastAsia="en-AU"/>
        </w:rPr>
        <w:t>https://www.health.vic.gov.au/infectious-diseases/mpox-monkeypox</w:t>
      </w:r>
      <w:r w:rsidR="008E3D7D">
        <w:rPr>
          <w:rFonts w:cs="Arial"/>
          <w:lang w:eastAsia="en-AU"/>
        </w:rPr>
        <w:t>&gt;</w:t>
      </w:r>
      <w:r>
        <w:rPr>
          <w:rFonts w:cs="Arial"/>
          <w:lang w:eastAsia="en-AU"/>
        </w:rPr>
        <w:t xml:space="preserve"> </w:t>
      </w:r>
      <w:r>
        <w:rPr>
          <w:rFonts w:cs="Arial"/>
          <w:color w:val="2A2736"/>
        </w:rPr>
        <w:t>for LPHU details</w:t>
      </w:r>
      <w:r w:rsidR="008161C3">
        <w:rPr>
          <w:rFonts w:cs="Arial"/>
          <w:color w:val="2A2736"/>
        </w:rPr>
        <w:t>.</w:t>
      </w:r>
    </w:p>
    <w:p w14:paraId="4400A33A" w14:textId="592793D2" w:rsidR="00077DBB" w:rsidRPr="006F1A2A" w:rsidRDefault="7BCD4BF7" w:rsidP="00C067A4">
      <w:pPr>
        <w:pStyle w:val="Heading1"/>
        <w:spacing w:before="360"/>
      </w:pPr>
      <w:bookmarkStart w:id="28" w:name="_Toc169094168"/>
      <w:r>
        <w:t>Mpox vaccine</w:t>
      </w:r>
      <w:r w:rsidR="008E47E2">
        <w:t xml:space="preserve"> for use in Victoria</w:t>
      </w:r>
      <w:bookmarkEnd w:id="28"/>
      <w:r>
        <w:t xml:space="preserve"> </w:t>
      </w:r>
    </w:p>
    <w:p w14:paraId="142A4442" w14:textId="2330543C" w:rsidR="00077DBB" w:rsidRPr="006F1A2A" w:rsidRDefault="7BCD4BF7" w:rsidP="0022510D">
      <w:pPr>
        <w:pStyle w:val="Heading2"/>
        <w:spacing w:before="240"/>
        <w:rPr>
          <w:rStyle w:val="Hyperlink"/>
          <w:color w:val="1F497D" w:themeColor="text2"/>
        </w:rPr>
      </w:pPr>
      <w:bookmarkStart w:id="29" w:name="_Toc169094169"/>
      <w:r>
        <w:t>Mpox vaccines for use in Victoria</w:t>
      </w:r>
      <w:bookmarkEnd w:id="29"/>
    </w:p>
    <w:p w14:paraId="4E4435C2" w14:textId="42A26029"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w:t>
      </w:r>
      <w:r w:rsidR="008E47E2">
        <w:rPr>
          <w:rFonts w:eastAsia="Times New Roman"/>
        </w:rPr>
        <w:t xml:space="preserve">vaccine </w:t>
      </w:r>
      <w:r w:rsidRPr="00434356">
        <w:rPr>
          <w:rFonts w:eastAsia="Times New Roman"/>
        </w:rPr>
        <w:t>has been made available via a special emergency pathway under section 18A of the Therapeutic Goods Act 1989 (Cth)</w:t>
      </w:r>
      <w:r w:rsidR="007C6685" w:rsidRPr="00434356">
        <w:rPr>
          <w:rFonts w:eastAsia="Times New Roman"/>
        </w:rPr>
        <w:t>.</w:t>
      </w:r>
    </w:p>
    <w:p w14:paraId="3A888A94" w14:textId="350463B7" w:rsidR="00863AC6" w:rsidRPr="00434356" w:rsidRDefault="7BCD4BF7" w:rsidP="00964A28">
      <w:pPr>
        <w:pStyle w:val="ListParagraph"/>
        <w:numPr>
          <w:ilvl w:val="0"/>
          <w:numId w:val="50"/>
        </w:numPr>
        <w:spacing w:before="12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w:t>
      </w:r>
    </w:p>
    <w:p w14:paraId="4E02447C" w14:textId="6DD3969A" w:rsidR="001C46DB" w:rsidRPr="00434356" w:rsidRDefault="00300F1A" w:rsidP="00964A28">
      <w:pPr>
        <w:pStyle w:val="ListParagraph"/>
        <w:numPr>
          <w:ilvl w:val="0"/>
          <w:numId w:val="50"/>
        </w:numPr>
        <w:spacing w:before="12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DD2982" w:rsidRPr="00434356">
        <w:rPr>
          <w:rFonts w:eastAsia="Arial" w:cs="Arial"/>
        </w:rPr>
        <w:t>.</w:t>
      </w:r>
      <w:r w:rsidR="007B2903" w:rsidRPr="00434356">
        <w:rPr>
          <w:rStyle w:val="FootnoteReference"/>
          <w:rFonts w:eastAsia="Arial" w:cs="Arial"/>
        </w:rPr>
        <w:footnoteReference w:id="8"/>
      </w:r>
      <w:r w:rsidR="6F3A25CA" w:rsidRPr="00434356">
        <w:rPr>
          <w:rFonts w:eastAsia="Arial" w:cs="Arial"/>
        </w:rPr>
        <w:t xml:space="preserve"> </w:t>
      </w:r>
    </w:p>
    <w:p w14:paraId="7EB26690" w14:textId="17C00FD8" w:rsidR="00077DBB" w:rsidRDefault="7BCD4BF7" w:rsidP="0086287F">
      <w:pPr>
        <w:pStyle w:val="Heading4"/>
        <w:spacing w:after="120"/>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9072"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94"/>
        <w:gridCol w:w="6378"/>
      </w:tblGrid>
      <w:tr w:rsidR="00C067A4" w:rsidRPr="00DA4A4D" w14:paraId="536D16F9" w14:textId="77777777">
        <w:trPr>
          <w:trHeight w:val="384"/>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0CD4EFC4" w14:textId="77777777" w:rsidR="00C067A4" w:rsidRPr="00EF239C" w:rsidRDefault="00C067A4" w:rsidP="00C067A4">
            <w:pPr>
              <w:pStyle w:val="DJCSbody"/>
              <w:spacing w:before="60" w:after="60" w:line="120" w:lineRule="atLeast"/>
              <w:rPr>
                <w:rFonts w:cs="Arial"/>
                <w:b/>
                <w:sz w:val="18"/>
                <w:szCs w:val="18"/>
                <w:lang w:eastAsia="en-AU"/>
              </w:rPr>
            </w:pPr>
            <w:r w:rsidRPr="00EF239C">
              <w:rPr>
                <w:rFonts w:cs="Arial"/>
                <w:b/>
                <w:sz w:val="18"/>
                <w:szCs w:val="18"/>
                <w:lang w:eastAsia="en-AU"/>
              </w:rPr>
              <w:t>Product Information</w:t>
            </w: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5FFEF796"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0.5ml vial</w:t>
            </w:r>
          </w:p>
        </w:tc>
      </w:tr>
      <w:tr w:rsidR="00C067A4" w:rsidRPr="00DA4A4D" w14:paraId="1ABFE4F2" w14:textId="77777777">
        <w:trPr>
          <w:trHeight w:val="289"/>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1B17345D" w14:textId="77777777" w:rsidR="00C067A4" w:rsidRPr="00EF239C" w:rsidRDefault="00C067A4" w:rsidP="00C067A4">
            <w:pPr>
              <w:pStyle w:val="DJCSbody"/>
              <w:spacing w:before="60" w:after="60" w:line="120" w:lineRule="atLeast"/>
              <w:rPr>
                <w:rFonts w:cs="Arial"/>
                <w:b/>
                <w:sz w:val="18"/>
                <w:szCs w:val="18"/>
                <w:lang w:eastAsia="en-AU"/>
              </w:rPr>
            </w:pPr>
            <w:r w:rsidRPr="00EF239C">
              <w:rPr>
                <w:rFonts w:cs="Arial"/>
                <w:b/>
                <w:sz w:val="18"/>
                <w:szCs w:val="18"/>
                <w:lang w:eastAsia="en-AU"/>
              </w:rPr>
              <w:t>Type of vaccine </w:t>
            </w: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64408875"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rPr>
              <w:t>attenuated, live, non-replicating</w:t>
            </w:r>
          </w:p>
        </w:tc>
      </w:tr>
      <w:tr w:rsidR="00C067A4" w:rsidRPr="00DA4A4D" w14:paraId="2B5C274D" w14:textId="77777777">
        <w:trPr>
          <w:trHeight w:val="348"/>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4EBED5BB" w14:textId="77777777" w:rsidR="00C067A4" w:rsidRPr="00EF239C" w:rsidRDefault="00C067A4" w:rsidP="00C067A4">
            <w:pPr>
              <w:pStyle w:val="DJCSbody"/>
              <w:spacing w:before="60" w:after="60" w:line="120" w:lineRule="atLeast"/>
              <w:rPr>
                <w:rFonts w:cs="Arial"/>
                <w:b/>
                <w:sz w:val="18"/>
                <w:szCs w:val="18"/>
                <w:lang w:eastAsia="en-AU"/>
              </w:rPr>
            </w:pPr>
            <w:r w:rsidRPr="00EF239C">
              <w:rPr>
                <w:rFonts w:cs="Arial"/>
                <w:b/>
                <w:sz w:val="18"/>
                <w:szCs w:val="18"/>
                <w:lang w:eastAsia="en-AU"/>
              </w:rPr>
              <w:t>Presentation </w:t>
            </w: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0A1A3B28"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Suspension </w:t>
            </w:r>
          </w:p>
        </w:tc>
      </w:tr>
      <w:tr w:rsidR="00C067A4" w:rsidRPr="00DA4A4D" w14:paraId="0A73C1AD" w14:textId="77777777">
        <w:trPr>
          <w:trHeight w:val="364"/>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095C908A" w14:textId="77777777" w:rsidR="00C067A4" w:rsidRPr="00EF239C" w:rsidRDefault="00C067A4" w:rsidP="00C067A4">
            <w:pPr>
              <w:pStyle w:val="DJCSbody"/>
              <w:spacing w:before="60" w:after="60" w:line="120" w:lineRule="atLeast"/>
              <w:rPr>
                <w:rFonts w:eastAsia="Calibri" w:cs="Arial"/>
                <w:b/>
                <w:sz w:val="18"/>
                <w:szCs w:val="18"/>
                <w:lang w:eastAsia="en-AU"/>
              </w:rPr>
            </w:pPr>
            <w:r w:rsidRPr="00EF239C">
              <w:rPr>
                <w:rFonts w:eastAsia="Calibri" w:cs="Arial"/>
                <w:b/>
                <w:sz w:val="18"/>
                <w:szCs w:val="18"/>
                <w:lang w:eastAsia="en-AU"/>
              </w:rPr>
              <w:t xml:space="preserve">Age </w:t>
            </w: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3F21B043" w14:textId="3FA83BA1" w:rsidR="00C067A4" w:rsidRPr="00EF239C" w:rsidRDefault="00C067A4" w:rsidP="00C067A4">
            <w:pPr>
              <w:pStyle w:val="DJCSbody"/>
              <w:spacing w:before="60" w:after="60" w:line="120" w:lineRule="atLeast"/>
              <w:rPr>
                <w:rFonts w:eastAsia="Calibri" w:cs="Arial"/>
                <w:sz w:val="18"/>
                <w:szCs w:val="18"/>
                <w:lang w:eastAsia="en-AU"/>
              </w:rPr>
            </w:pPr>
            <w:r w:rsidRPr="00EF239C">
              <w:rPr>
                <w:rFonts w:eastAsia="Calibri" w:cs="Arial"/>
                <w:sz w:val="18"/>
                <w:szCs w:val="18"/>
                <w:lang w:eastAsia="en-AU"/>
              </w:rPr>
              <w:t xml:space="preserve">≥16 years. (refer to </w:t>
            </w:r>
            <w:r w:rsidR="00DA4A4D" w:rsidRPr="00EF239C">
              <w:rPr>
                <w:rFonts w:eastAsia="Calibri" w:cs="Arial"/>
                <w:sz w:val="18"/>
                <w:szCs w:val="18"/>
                <w:lang w:eastAsia="en-AU"/>
              </w:rPr>
              <w:t>ATAGI</w:t>
            </w:r>
            <w:r w:rsidR="00DA4A4D" w:rsidRPr="00EF239C">
              <w:rPr>
                <w:rStyle w:val="Hyperlink"/>
                <w:rFonts w:eastAsia="Calibri" w:cs="Arial"/>
                <w:color w:val="auto"/>
                <w:sz w:val="18"/>
                <w:szCs w:val="18"/>
                <w:u w:val="none"/>
                <w:lang w:eastAsia="en-AU"/>
              </w:rPr>
              <w:t xml:space="preserve"> </w:t>
            </w:r>
            <w:r w:rsidR="00DA4A4D" w:rsidRPr="00EF239C">
              <w:rPr>
                <w:rStyle w:val="Hyperlink"/>
                <w:rFonts w:eastAsia="Calibri" w:cs="Arial"/>
                <w:color w:val="auto"/>
                <w:sz w:val="18"/>
                <w:szCs w:val="18"/>
                <w:u w:val="none"/>
              </w:rPr>
              <w:t>guidance</w:t>
            </w:r>
            <w:r w:rsidR="00DA4A4D" w:rsidRPr="00EF239C">
              <w:rPr>
                <w:rStyle w:val="Hyperlink"/>
                <w:rFonts w:eastAsia="Calibri" w:cs="Arial"/>
                <w:color w:val="auto"/>
                <w:sz w:val="18"/>
                <w:szCs w:val="18"/>
                <w:u w:val="none"/>
                <w:vertAlign w:val="superscript"/>
              </w:rPr>
              <w:t>7</w:t>
            </w:r>
            <w:r w:rsidRPr="00EF239C">
              <w:rPr>
                <w:rFonts w:eastAsia="Calibri" w:cs="Arial"/>
                <w:sz w:val="18"/>
                <w:szCs w:val="18"/>
                <w:lang w:eastAsia="en-AU"/>
              </w:rPr>
              <w:t>)</w:t>
            </w:r>
          </w:p>
        </w:tc>
      </w:tr>
      <w:tr w:rsidR="00C067A4" w:rsidRPr="00DA4A4D" w14:paraId="637CEE6A" w14:textId="77777777">
        <w:trPr>
          <w:trHeight w:val="374"/>
        </w:trPr>
        <w:tc>
          <w:tcPr>
            <w:tcW w:w="2694" w:type="dxa"/>
            <w:vMerge w:val="restart"/>
            <w:tcBorders>
              <w:top w:val="single" w:sz="6" w:space="0" w:color="auto"/>
              <w:left w:val="single" w:sz="6" w:space="0" w:color="auto"/>
              <w:right w:val="single" w:sz="6" w:space="0" w:color="auto"/>
            </w:tcBorders>
            <w:shd w:val="clear" w:color="auto" w:fill="auto"/>
          </w:tcPr>
          <w:p w14:paraId="15D9BA54" w14:textId="77777777" w:rsidR="00C067A4" w:rsidRPr="00EF239C" w:rsidRDefault="00C067A4" w:rsidP="00C067A4">
            <w:pPr>
              <w:pStyle w:val="DJCSbody"/>
              <w:spacing w:before="60" w:after="60" w:line="120" w:lineRule="atLeast"/>
              <w:rPr>
                <w:rFonts w:cs="Arial"/>
                <w:b/>
                <w:sz w:val="18"/>
                <w:szCs w:val="18"/>
                <w:lang w:eastAsia="en-AU"/>
              </w:rPr>
            </w:pPr>
            <w:r w:rsidRPr="00EF239C">
              <w:rPr>
                <w:rFonts w:cs="Arial"/>
                <w:b/>
                <w:sz w:val="18"/>
                <w:szCs w:val="18"/>
                <w:lang w:eastAsia="en-AU"/>
              </w:rPr>
              <w:t xml:space="preserve">Route &amp; dosage </w:t>
            </w: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5CCDEFFF"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Subcutaneous (SC) – 0.5ml (1 dose per vial)</w:t>
            </w:r>
          </w:p>
        </w:tc>
      </w:tr>
      <w:tr w:rsidR="00C067A4" w:rsidRPr="00DA4A4D" w14:paraId="7068BA96" w14:textId="77777777">
        <w:trPr>
          <w:trHeight w:val="384"/>
        </w:trPr>
        <w:tc>
          <w:tcPr>
            <w:tcW w:w="2694" w:type="dxa"/>
            <w:vMerge/>
          </w:tcPr>
          <w:p w14:paraId="4AD33E1C" w14:textId="77777777" w:rsidR="00C067A4" w:rsidRPr="00EF239C" w:rsidRDefault="00C067A4" w:rsidP="00C067A4">
            <w:pPr>
              <w:pStyle w:val="DJCSbody"/>
              <w:spacing w:before="60" w:after="60" w:line="120" w:lineRule="atLeast"/>
              <w:rPr>
                <w:rFonts w:cs="Arial"/>
                <w:b/>
                <w:sz w:val="18"/>
                <w:szCs w:val="18"/>
              </w:rPr>
            </w:pP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25029DB4"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Intradermal (ID)– 0.1ml (up to 5 doses per vial)</w:t>
            </w:r>
          </w:p>
        </w:tc>
      </w:tr>
      <w:tr w:rsidR="00C067A4" w:rsidRPr="00DA4A4D" w14:paraId="7412D5A7" w14:textId="77777777">
        <w:trPr>
          <w:trHeight w:val="428"/>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7CCAEF2B" w14:textId="77777777" w:rsidR="00C067A4" w:rsidRPr="00EF239C" w:rsidRDefault="00C067A4" w:rsidP="00C067A4">
            <w:pPr>
              <w:pStyle w:val="DJCSbody"/>
              <w:spacing w:before="60" w:after="60" w:line="120" w:lineRule="atLeast"/>
              <w:rPr>
                <w:rFonts w:cs="Arial"/>
                <w:b/>
                <w:sz w:val="18"/>
                <w:szCs w:val="18"/>
                <w:lang w:eastAsia="en-AU"/>
              </w:rPr>
            </w:pPr>
            <w:r w:rsidRPr="00EF239C">
              <w:rPr>
                <w:rFonts w:cs="Arial"/>
                <w:b/>
                <w:sz w:val="18"/>
                <w:szCs w:val="18"/>
                <w:lang w:eastAsia="en-AU"/>
              </w:rPr>
              <w:t>P</w:t>
            </w:r>
            <w:r w:rsidRPr="00EF239C">
              <w:rPr>
                <w:rFonts w:cs="Arial"/>
                <w:b/>
                <w:bCs/>
                <w:sz w:val="18"/>
                <w:szCs w:val="18"/>
              </w:rPr>
              <w:t xml:space="preserve">rimary preventive vaccination (PPV) </w:t>
            </w:r>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10464D5E"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 xml:space="preserve">Schedule - 2 doses, </w:t>
            </w:r>
            <w:r w:rsidRPr="00EF239C">
              <w:rPr>
                <w:rFonts w:cs="Arial"/>
                <w:b/>
                <w:bCs/>
                <w:sz w:val="18"/>
                <w:szCs w:val="18"/>
                <w:lang w:eastAsia="en-AU"/>
              </w:rPr>
              <w:t>at least</w:t>
            </w:r>
            <w:r w:rsidRPr="00EF239C">
              <w:rPr>
                <w:rFonts w:cs="Arial"/>
                <w:sz w:val="18"/>
                <w:szCs w:val="18"/>
                <w:lang w:eastAsia="en-AU"/>
              </w:rPr>
              <w:t xml:space="preserve"> 28 days apart</w:t>
            </w:r>
          </w:p>
        </w:tc>
      </w:tr>
      <w:tr w:rsidR="00C067A4" w:rsidRPr="00DA4A4D" w14:paraId="2789430D" w14:textId="77777777">
        <w:trPr>
          <w:trHeight w:val="600"/>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119B64F4" w14:textId="77777777" w:rsidR="00C067A4" w:rsidRPr="00EF239C" w:rsidRDefault="00AD4432" w:rsidP="00C067A4">
            <w:pPr>
              <w:pStyle w:val="DJCSbody"/>
              <w:spacing w:before="60" w:after="60" w:line="120" w:lineRule="atLeast"/>
              <w:rPr>
                <w:rFonts w:cs="Arial"/>
                <w:b/>
                <w:sz w:val="18"/>
                <w:szCs w:val="18"/>
                <w:lang w:eastAsia="en-AU"/>
              </w:rPr>
            </w:pPr>
            <w:hyperlink w:anchor="_Post_exposure_prophylaxis" w:history="1">
              <w:r w:rsidR="00C067A4" w:rsidRPr="00EF239C">
                <w:rPr>
                  <w:rFonts w:cs="Arial"/>
                  <w:sz w:val="18"/>
                  <w:szCs w:val="18"/>
                </w:rPr>
                <w:t>P</w:t>
              </w:r>
              <w:r w:rsidR="00C067A4" w:rsidRPr="00EF239C">
                <w:rPr>
                  <w:rFonts w:cs="Arial"/>
                  <w:b/>
                  <w:bCs/>
                  <w:sz w:val="18"/>
                  <w:szCs w:val="18"/>
                </w:rPr>
                <w:t>ost-exposure preventive vaccination (PEPV)</w:t>
              </w:r>
            </w:hyperlink>
          </w:p>
        </w:tc>
        <w:tc>
          <w:tcPr>
            <w:tcW w:w="6378" w:type="dxa"/>
            <w:tcBorders>
              <w:top w:val="single" w:sz="6" w:space="0" w:color="auto"/>
              <w:left w:val="single" w:sz="6" w:space="0" w:color="auto"/>
              <w:bottom w:val="single" w:sz="6" w:space="0" w:color="auto"/>
              <w:right w:val="single" w:sz="6" w:space="0" w:color="auto"/>
            </w:tcBorders>
            <w:shd w:val="clear" w:color="auto" w:fill="auto"/>
          </w:tcPr>
          <w:p w14:paraId="117C8CBB"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 xml:space="preserve">As recommended by the department </w:t>
            </w:r>
          </w:p>
          <w:p w14:paraId="722F9C3A" w14:textId="77777777" w:rsidR="00C067A4" w:rsidRPr="00EF239C" w:rsidRDefault="00C067A4" w:rsidP="00C067A4">
            <w:pPr>
              <w:pStyle w:val="DJCSbody"/>
              <w:spacing w:before="60" w:after="60" w:line="120" w:lineRule="atLeast"/>
              <w:rPr>
                <w:rFonts w:cs="Arial"/>
                <w:sz w:val="18"/>
                <w:szCs w:val="18"/>
                <w:lang w:eastAsia="en-AU"/>
              </w:rPr>
            </w:pPr>
            <w:r w:rsidRPr="00EF239C">
              <w:rPr>
                <w:rFonts w:cs="Arial"/>
                <w:sz w:val="18"/>
                <w:szCs w:val="18"/>
                <w:lang w:eastAsia="en-AU"/>
              </w:rPr>
              <w:t xml:space="preserve">1 dose (SC) </w:t>
            </w:r>
            <w:r w:rsidRPr="00EF239C">
              <w:rPr>
                <w:rFonts w:cs="Arial"/>
                <w:b/>
                <w:sz w:val="18"/>
                <w:szCs w:val="18"/>
                <w:lang w:eastAsia="en-AU"/>
              </w:rPr>
              <w:t xml:space="preserve">OR </w:t>
            </w:r>
            <w:r w:rsidRPr="00EF239C">
              <w:rPr>
                <w:rFonts w:cs="Arial"/>
                <w:sz w:val="18"/>
                <w:szCs w:val="18"/>
                <w:lang w:eastAsia="en-AU"/>
              </w:rPr>
              <w:t>2 doses ≥ 28 days apart if no infection and continuing exposure</w:t>
            </w:r>
          </w:p>
        </w:tc>
      </w:tr>
    </w:tbl>
    <w:p w14:paraId="737AE780" w14:textId="6B5D1359" w:rsidR="00077DBB" w:rsidRPr="006F1A2A" w:rsidRDefault="009B143A" w:rsidP="009B143A">
      <w:pPr>
        <w:pStyle w:val="Heading2"/>
        <w:spacing w:before="720"/>
      </w:pPr>
      <w:bookmarkStart w:id="30" w:name="_Toc169094170"/>
      <w:r>
        <w:t>C</w:t>
      </w:r>
      <w:r w:rsidR="7BCD4BF7">
        <w:t>ontraindications</w:t>
      </w:r>
      <w:bookmarkEnd w:id="30"/>
    </w:p>
    <w:p w14:paraId="1D5E0DD4" w14:textId="13201576" w:rsidR="00877088" w:rsidRPr="00F5421F" w:rsidRDefault="00877088" w:rsidP="00F5421F">
      <w:pPr>
        <w:shd w:val="clear" w:color="auto" w:fill="FFFFFF"/>
        <w:spacing w:line="240" w:lineRule="auto"/>
        <w:rPr>
          <w:rFonts w:cs="Arial"/>
          <w:color w:val="313131"/>
          <w:szCs w:val="21"/>
          <w:lang w:eastAsia="en-AU"/>
        </w:rPr>
      </w:pPr>
      <w:r w:rsidRPr="00F5421F">
        <w:rPr>
          <w:rFonts w:cs="Arial"/>
          <w:color w:val="313131"/>
          <w:szCs w:val="21"/>
          <w:lang w:eastAsia="en-AU"/>
        </w:rPr>
        <w:t xml:space="preserve">The only absolute contraindications to </w:t>
      </w:r>
      <w:r w:rsidRPr="00877088">
        <w:rPr>
          <w:rFonts w:eastAsiaTheme="minorEastAsia" w:cs="Arial"/>
          <w:color w:val="000000" w:themeColor="text1"/>
          <w:szCs w:val="21"/>
        </w:rPr>
        <w:t>JYNNEOS</w:t>
      </w:r>
      <w:r w:rsidRPr="00877088">
        <w:rPr>
          <w:rFonts w:eastAsia="Arial" w:cs="Arial"/>
          <w:color w:val="000000" w:themeColor="text1"/>
          <w:szCs w:val="21"/>
          <w:vertAlign w:val="superscript"/>
        </w:rPr>
        <w:t>®</w:t>
      </w:r>
      <w:r w:rsidRPr="00877088">
        <w:rPr>
          <w:rFonts w:eastAsiaTheme="minorEastAsia" w:cs="Arial"/>
          <w:color w:val="000000" w:themeColor="text1"/>
          <w:szCs w:val="21"/>
        </w:rPr>
        <w:t xml:space="preserve"> </w:t>
      </w:r>
      <w:r w:rsidRPr="00F5421F">
        <w:rPr>
          <w:rFonts w:cs="Arial"/>
          <w:color w:val="313131"/>
          <w:szCs w:val="21"/>
          <w:lang w:eastAsia="en-AU"/>
        </w:rPr>
        <w:t>mpox vaccine are:</w:t>
      </w:r>
    </w:p>
    <w:p w14:paraId="3C454559" w14:textId="04200BBE" w:rsidR="00877088" w:rsidRPr="00F5421F" w:rsidRDefault="00F5421F" w:rsidP="00964A28">
      <w:pPr>
        <w:numPr>
          <w:ilvl w:val="0"/>
          <w:numId w:val="53"/>
        </w:numPr>
        <w:shd w:val="clear" w:color="auto" w:fill="FFFFFF"/>
        <w:spacing w:before="120" w:after="0" w:line="240" w:lineRule="auto"/>
        <w:rPr>
          <w:rFonts w:cs="Arial"/>
          <w:color w:val="313131"/>
          <w:szCs w:val="21"/>
          <w:lang w:eastAsia="en-AU"/>
        </w:rPr>
      </w:pPr>
      <w:r w:rsidRPr="00F5421F">
        <w:rPr>
          <w:rFonts w:cs="Arial"/>
          <w:szCs w:val="21"/>
          <w:lang w:eastAsia="en-AU"/>
        </w:rPr>
        <w:t>anaphylaxis</w:t>
      </w:r>
      <w:r w:rsidR="00877088" w:rsidRPr="00F5421F">
        <w:rPr>
          <w:rFonts w:cs="Arial"/>
          <w:szCs w:val="21"/>
          <w:lang w:eastAsia="en-AU"/>
        </w:rPr>
        <w:t> </w:t>
      </w:r>
      <w:r w:rsidR="00877088" w:rsidRPr="00F5421F">
        <w:rPr>
          <w:rFonts w:cs="Arial"/>
          <w:color w:val="313131"/>
          <w:szCs w:val="21"/>
          <w:lang w:eastAsia="en-AU"/>
        </w:rPr>
        <w:t xml:space="preserve">after a previous dose of any </w:t>
      </w:r>
      <w:r w:rsidR="00877088" w:rsidRPr="00877088">
        <w:rPr>
          <w:rFonts w:eastAsiaTheme="minorEastAsia"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eastAsiaTheme="minorEastAsia" w:cs="Arial"/>
          <w:color w:val="000000" w:themeColor="text1"/>
          <w:szCs w:val="21"/>
        </w:rPr>
        <w:t xml:space="preserve"> </w:t>
      </w:r>
      <w:r w:rsidR="00877088" w:rsidRPr="00F5421F">
        <w:rPr>
          <w:rFonts w:cs="Arial"/>
          <w:color w:val="313131"/>
          <w:szCs w:val="21"/>
          <w:lang w:eastAsia="en-AU"/>
        </w:rPr>
        <w:t>mpox vaccine</w:t>
      </w:r>
    </w:p>
    <w:p w14:paraId="123AD43B" w14:textId="66437FBF" w:rsidR="00877088" w:rsidRPr="00F5421F" w:rsidRDefault="00F5421F" w:rsidP="00F5421F">
      <w:pPr>
        <w:pStyle w:val="ListParagraph"/>
        <w:numPr>
          <w:ilvl w:val="0"/>
          <w:numId w:val="23"/>
        </w:numPr>
        <w:spacing w:before="120" w:after="0" w:line="288" w:lineRule="auto"/>
        <w:rPr>
          <w:rFonts w:cs="Arial"/>
          <w:color w:val="000000" w:themeColor="text1"/>
          <w:szCs w:val="21"/>
        </w:rPr>
      </w:pPr>
      <w:r w:rsidRPr="00F5421F">
        <w:rPr>
          <w:rFonts w:cs="Arial"/>
          <w:szCs w:val="21"/>
          <w:lang w:eastAsia="en-AU"/>
        </w:rPr>
        <w:t>anaphylaxis</w:t>
      </w:r>
      <w:r w:rsidR="00877088" w:rsidRPr="00F5421F">
        <w:rPr>
          <w:rFonts w:cs="Arial"/>
          <w:color w:val="313131"/>
          <w:szCs w:val="21"/>
          <w:lang w:eastAsia="en-AU"/>
        </w:rPr>
        <w:t xml:space="preserve"> after any component or trace residue of an </w:t>
      </w:r>
      <w:r w:rsidR="00877088" w:rsidRPr="00877088">
        <w:rPr>
          <w:rFonts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cs="Arial"/>
          <w:color w:val="000000" w:themeColor="text1"/>
          <w:szCs w:val="21"/>
        </w:rPr>
        <w:t xml:space="preserve"> </w:t>
      </w:r>
      <w:r w:rsidR="00877088" w:rsidRPr="00F5421F">
        <w:rPr>
          <w:rFonts w:cs="Arial"/>
          <w:color w:val="313131"/>
          <w:szCs w:val="21"/>
          <w:lang w:eastAsia="en-AU"/>
        </w:rPr>
        <w:t xml:space="preserve">mpox vaccine </w:t>
      </w:r>
      <w:r w:rsidR="00877088" w:rsidRPr="00877088">
        <w:rPr>
          <w:rFonts w:eastAsia="Calibri" w:cs="Arial"/>
          <w:color w:val="000000" w:themeColor="text1"/>
          <w:szCs w:val="21"/>
        </w:rPr>
        <w:t>(active substance: modified vaccinia</w:t>
      </w:r>
      <w:r w:rsidR="00877088" w:rsidRPr="00877088">
        <w:rPr>
          <w:rFonts w:cs="Arial"/>
          <w:szCs w:val="21"/>
        </w:rPr>
        <w:t xml:space="preserve"> </w:t>
      </w:r>
      <w:r w:rsidR="00877088" w:rsidRPr="00877088">
        <w:rPr>
          <w:rFonts w:eastAsia="Calibri" w:cs="Arial"/>
          <w:color w:val="000000" w:themeColor="text1"/>
          <w:szCs w:val="21"/>
        </w:rPr>
        <w:t>Ankara – Bavarian Nordic live virus; other ingredients: tromet</w:t>
      </w:r>
      <w:r w:rsidR="00C067A4">
        <w:rPr>
          <w:rFonts w:eastAsia="Calibri" w:cs="Arial"/>
          <w:color w:val="000000" w:themeColor="text1"/>
          <w:szCs w:val="21"/>
        </w:rPr>
        <w:t>hamine</w:t>
      </w:r>
      <w:r w:rsidR="00877088" w:rsidRPr="00877088">
        <w:rPr>
          <w:rFonts w:eastAsia="Calibri" w:cs="Arial"/>
          <w:color w:val="000000" w:themeColor="text1"/>
          <w:szCs w:val="21"/>
        </w:rPr>
        <w:t>, sodium chloride; contains small amounts of chicken host-cell DNA, chicken protein, benzonase, gentamicin, and ciprofloxacin)</w:t>
      </w:r>
      <w:r w:rsidR="00D86656">
        <w:rPr>
          <w:rFonts w:eastAsia="Calibri" w:cs="Arial"/>
          <w:color w:val="000000" w:themeColor="text1"/>
          <w:szCs w:val="21"/>
        </w:rPr>
        <w:t>.</w:t>
      </w:r>
      <w:r w:rsidR="00877088" w:rsidRPr="00877088">
        <w:rPr>
          <w:rFonts w:eastAsia="Calibri" w:cs="Arial"/>
          <w:color w:val="000000" w:themeColor="text1"/>
          <w:szCs w:val="21"/>
        </w:rPr>
        <w:t xml:space="preserve"> </w:t>
      </w:r>
    </w:p>
    <w:p w14:paraId="25AEF36A" w14:textId="29DEDCED" w:rsidR="00E76B99" w:rsidRPr="00851CC8" w:rsidRDefault="00E76B99" w:rsidP="000124CF">
      <w:pPr>
        <w:pStyle w:val="Heading2"/>
        <w:spacing w:before="240"/>
      </w:pPr>
      <w:bookmarkStart w:id="31" w:name="_Precautions"/>
      <w:bookmarkStart w:id="32" w:name="_Toc169094171"/>
      <w:bookmarkEnd w:id="31"/>
      <w:r w:rsidRPr="000124CF">
        <w:rPr>
          <w:rStyle w:val="DHHSbodyChar"/>
        </w:rPr>
        <w:t>Prec</w:t>
      </w:r>
      <w:r w:rsidRPr="00851CC8">
        <w:t>autions</w:t>
      </w:r>
      <w:bookmarkEnd w:id="32"/>
    </w:p>
    <w:p w14:paraId="516A66DD" w14:textId="4DECF1F1" w:rsidR="00E76B99" w:rsidRPr="00C66F5F" w:rsidRDefault="00483FD3" w:rsidP="003F30BB">
      <w:pPr>
        <w:pStyle w:val="Heading3"/>
      </w:pPr>
      <w:bookmarkStart w:id="33" w:name="_People_who_are"/>
      <w:bookmarkStart w:id="34" w:name="_People_with_conditions"/>
      <w:bookmarkStart w:id="35" w:name="_Vaccination_against_monkey"/>
      <w:bookmarkStart w:id="36" w:name="_Vaccination_against_mpox"/>
      <w:bookmarkEnd w:id="33"/>
      <w:bookmarkEnd w:id="34"/>
      <w:bookmarkEnd w:id="35"/>
      <w:bookmarkEnd w:id="36"/>
      <w:r w:rsidRPr="000124CF">
        <w:rPr>
          <w:rStyle w:val="DHHSbodyChar"/>
        </w:rPr>
        <w:t xml:space="preserve">Vaccination against mpox for people who are </w:t>
      </w:r>
      <w:r w:rsidR="00E353DD" w:rsidRPr="000124CF">
        <w:rPr>
          <w:rStyle w:val="DHHSbodyChar"/>
        </w:rPr>
        <w:t>immunocompromise</w:t>
      </w:r>
      <w:r w:rsidRPr="000124CF">
        <w:rPr>
          <w:rStyle w:val="DHHSbodyChar"/>
        </w:rPr>
        <w:t>d</w:t>
      </w:r>
      <w:r w:rsidR="00CF3108">
        <w:rPr>
          <w:rStyle w:val="DHHSbodyChar"/>
        </w:rPr>
        <w:t>,</w:t>
      </w:r>
      <w:r w:rsidR="00F40163" w:rsidRPr="000124CF">
        <w:rPr>
          <w:rStyle w:val="DHHSbodyChar"/>
        </w:rPr>
        <w:t xml:space="preserve"> incl</w:t>
      </w:r>
      <w:r w:rsidR="00F40163">
        <w:t>uding people living with HIV</w:t>
      </w:r>
    </w:p>
    <w:p w14:paraId="6A89D8DC" w14:textId="55C41236" w:rsidR="00774AC4" w:rsidRDefault="00774AC4" w:rsidP="00D41B59">
      <w:pPr>
        <w:spacing w:before="120" w:line="288" w:lineRule="auto"/>
        <w:rPr>
          <w:rFonts w:cs="Arial"/>
          <w:color w:val="313131"/>
          <w:shd w:val="clear" w:color="auto" w:fill="FFFFFF"/>
        </w:rPr>
      </w:pPr>
      <w:r w:rsidRPr="00AC64FD">
        <w:rPr>
          <w:rFonts w:cs="Arial"/>
          <w:color w:val="313131"/>
          <w:shd w:val="clear" w:color="auto" w:fill="FFFFFF"/>
        </w:rPr>
        <w:t xml:space="preserve">Although evidence is limited, the immune response to </w:t>
      </w:r>
      <w:r w:rsidR="000124CF" w:rsidRPr="00877088">
        <w:rPr>
          <w:rFonts w:eastAsiaTheme="minorEastAsia" w:cs="Arial"/>
          <w:color w:val="000000" w:themeColor="text1"/>
          <w:szCs w:val="21"/>
        </w:rPr>
        <w:t>JYNNEOS</w:t>
      </w:r>
      <w:r w:rsidR="000124CF" w:rsidRPr="00877088">
        <w:rPr>
          <w:rFonts w:eastAsia="Arial" w:cs="Arial"/>
          <w:color w:val="000000" w:themeColor="text1"/>
          <w:szCs w:val="21"/>
          <w:vertAlign w:val="superscript"/>
        </w:rPr>
        <w:t>®</w:t>
      </w:r>
      <w:r w:rsidR="000124CF" w:rsidRPr="00877088">
        <w:rPr>
          <w:rFonts w:eastAsiaTheme="minorEastAsia" w:cs="Arial"/>
          <w:color w:val="000000" w:themeColor="text1"/>
          <w:szCs w:val="21"/>
        </w:rPr>
        <w:t xml:space="preserve"> </w:t>
      </w:r>
      <w:r w:rsidR="000124CF" w:rsidRPr="00F5421F">
        <w:rPr>
          <w:rFonts w:cs="Arial"/>
          <w:color w:val="313131"/>
          <w:szCs w:val="21"/>
          <w:lang w:eastAsia="en-AU"/>
        </w:rPr>
        <w:t xml:space="preserve">mpox </w:t>
      </w:r>
      <w:r w:rsidRPr="00AC64FD">
        <w:rPr>
          <w:rFonts w:cs="Arial"/>
          <w:color w:val="313131"/>
          <w:shd w:val="clear" w:color="auto" w:fill="FFFFFF"/>
        </w:rPr>
        <w:t>vaccine is likely to be reduced in people who are immunocompromised, especially people who are severely immunocompromised. Specialist medical advice may be required, including consideration of additional doses for those at ongoing risk of exposure.</w:t>
      </w:r>
      <w:r w:rsidR="004C2D89">
        <w:rPr>
          <w:rStyle w:val="FootnoteReference"/>
          <w:rFonts w:cs="Arial"/>
          <w:color w:val="313131"/>
          <w:shd w:val="clear" w:color="auto" w:fill="FFFFFF"/>
        </w:rPr>
        <w:footnoteReference w:id="9"/>
      </w:r>
      <w:r w:rsidRPr="00AC64FD">
        <w:rPr>
          <w:rFonts w:cs="Arial"/>
          <w:color w:val="313131"/>
          <w:shd w:val="clear" w:color="auto" w:fill="FFFFFF"/>
        </w:rPr>
        <w:t> </w:t>
      </w:r>
    </w:p>
    <w:p w14:paraId="0F5CD8BC" w14:textId="05D1A283" w:rsidR="00774AC4" w:rsidRDefault="00774AC4" w:rsidP="00D41B59">
      <w:pPr>
        <w:spacing w:before="120" w:line="288" w:lineRule="auto"/>
        <w:rPr>
          <w:rFonts w:cs="Arial"/>
          <w:color w:val="313131"/>
          <w:shd w:val="clear" w:color="auto" w:fill="FFFFFF"/>
        </w:rPr>
      </w:pPr>
      <w:r>
        <w:rPr>
          <w:rFonts w:cs="Arial"/>
          <w:color w:val="313131"/>
          <w:shd w:val="clear" w:color="auto" w:fill="FFFFFF"/>
        </w:rPr>
        <w:t xml:space="preserve">Refer to </w:t>
      </w:r>
      <w:hyperlink r:id="rId20" w:history="1">
        <w:r w:rsidRPr="00F40163">
          <w:rPr>
            <w:rStyle w:val="Hyperlink"/>
            <w:rFonts w:cs="Arial"/>
            <w:shd w:val="clear" w:color="auto" w:fill="FFFFFF"/>
          </w:rPr>
          <w:t xml:space="preserve">Mpox | </w:t>
        </w:r>
        <w:r w:rsidR="00C66F5F" w:rsidRPr="00F40163">
          <w:rPr>
            <w:rStyle w:val="Hyperlink"/>
            <w:rFonts w:cs="Arial"/>
            <w:shd w:val="clear" w:color="auto" w:fill="FFFFFF"/>
          </w:rPr>
          <w:t>Australian</w:t>
        </w:r>
        <w:r w:rsidRPr="00F40163">
          <w:rPr>
            <w:rStyle w:val="Hyperlink"/>
            <w:rFonts w:cs="Arial"/>
            <w:shd w:val="clear" w:color="auto" w:fill="FFFFFF"/>
          </w:rPr>
          <w:t xml:space="preserve"> Immunisation Handbook</w:t>
        </w:r>
      </w:hyperlink>
      <w:r>
        <w:rPr>
          <w:rFonts w:cs="Arial"/>
          <w:color w:val="313131"/>
          <w:shd w:val="clear" w:color="auto" w:fill="FFFFFF"/>
        </w:rPr>
        <w:t xml:space="preserve"> </w:t>
      </w:r>
      <w:r w:rsidR="00C66F5F">
        <w:rPr>
          <w:rFonts w:cs="Arial"/>
          <w:color w:val="313131"/>
          <w:shd w:val="clear" w:color="auto" w:fill="FFFFFF"/>
        </w:rPr>
        <w:t>&lt;</w:t>
      </w:r>
      <w:r w:rsidR="0055258B" w:rsidRPr="0055258B">
        <w:rPr>
          <w:rFonts w:cs="Arial"/>
          <w:color w:val="313131"/>
          <w:shd w:val="clear" w:color="auto" w:fill="FFFFFF"/>
        </w:rPr>
        <w:t>https://immunisationhandbook.health.gov.au/contents/vaccine-preventable-diseases/mpox-previously-known-as-monkeypox</w:t>
      </w:r>
      <w:r w:rsidR="00F40163">
        <w:rPr>
          <w:rFonts w:cs="Arial"/>
          <w:color w:val="313131"/>
          <w:shd w:val="clear" w:color="auto" w:fill="FFFFFF"/>
        </w:rPr>
        <w:t>&gt;</w:t>
      </w:r>
    </w:p>
    <w:p w14:paraId="4A5F1B6F" w14:textId="77777777" w:rsidR="0055258B" w:rsidRDefault="00B24963" w:rsidP="00B31225">
      <w:pPr>
        <w:pStyle w:val="Body"/>
        <w:rPr>
          <w:lang w:eastAsia="en-AU"/>
        </w:rPr>
      </w:pPr>
      <w:r w:rsidRPr="00AC64FD">
        <w:t>Further details are available in the</w:t>
      </w:r>
      <w:r w:rsidR="00606C54" w:rsidRPr="00AC64FD">
        <w:rPr>
          <w:lang w:eastAsia="en-AU"/>
        </w:rPr>
        <w:t xml:space="preserve"> </w:t>
      </w:r>
      <w:hyperlink r:id="rId21" w:history="1">
        <w:r w:rsidR="00AC64FD" w:rsidRPr="00AC64FD">
          <w:rPr>
            <w:rStyle w:val="Hyperlink"/>
            <w:rFonts w:eastAsia="Times New Roman" w:cs="Arial"/>
            <w:szCs w:val="21"/>
            <w:lang w:eastAsia="en-AU"/>
          </w:rPr>
          <w:t xml:space="preserve">Updated </w:t>
        </w:r>
        <w:r w:rsidR="00606C54" w:rsidRPr="00AC64FD">
          <w:rPr>
            <w:rStyle w:val="Hyperlink"/>
            <w:rFonts w:eastAsia="Times New Roman" w:cs="Arial"/>
            <w:szCs w:val="21"/>
            <w:lang w:eastAsia="en-AU"/>
          </w:rPr>
          <w:t>ATAGI clinical guidance on vaccination against Monkeypox (mpox)</w:t>
        </w:r>
      </w:hyperlink>
      <w:r w:rsidR="00D8354F">
        <w:rPr>
          <w:rStyle w:val="FootnoteReference"/>
          <w:lang w:eastAsia="en-AU"/>
        </w:rPr>
        <w:footnoteReference w:id="10"/>
      </w:r>
      <w:r w:rsidR="00606C54">
        <w:rPr>
          <w:lang w:eastAsia="en-AU"/>
        </w:rPr>
        <w:t xml:space="preserve"> </w:t>
      </w:r>
    </w:p>
    <w:p w14:paraId="7E46401D" w14:textId="7B4CBF98" w:rsidR="00606C54" w:rsidRPr="00AC64FD" w:rsidRDefault="00606C54" w:rsidP="00B31225">
      <w:pPr>
        <w:pStyle w:val="Body"/>
        <w:rPr>
          <w:lang w:eastAsia="en-AU"/>
        </w:rPr>
      </w:pPr>
      <w:r>
        <w:rPr>
          <w:lang w:eastAsia="en-AU"/>
        </w:rPr>
        <w:t>&lt;</w:t>
      </w:r>
      <w:r w:rsidR="0055258B" w:rsidRPr="0055258B">
        <w:rPr>
          <w:rFonts w:eastAsia="Times New Roman" w:cs="Arial"/>
          <w:szCs w:val="21"/>
          <w:lang w:eastAsia="en-AU"/>
        </w:rPr>
        <w:t>https://www.health.gov.au/resources/publications/atagi-clinical-guidance-on-vaccination-against-monkeypox?language=en</w:t>
      </w:r>
      <w:r w:rsidR="00AC64FD">
        <w:rPr>
          <w:lang w:eastAsia="en-AU"/>
        </w:rPr>
        <w:t>&gt;</w:t>
      </w:r>
    </w:p>
    <w:p w14:paraId="2A342CF8" w14:textId="6292E135" w:rsidR="00173C67" w:rsidRDefault="00B24963" w:rsidP="009534DD">
      <w:pPr>
        <w:spacing w:before="240" w:line="288" w:lineRule="auto"/>
      </w:pPr>
      <w:r w:rsidRPr="00AC64FD">
        <w:t xml:space="preserve"> </w:t>
      </w:r>
      <w:r w:rsidR="00173C67" w:rsidRPr="00D61AD7">
        <w:rPr>
          <w:rStyle w:val="Heading3Char"/>
          <w:rFonts w:eastAsiaTheme="minorEastAsia"/>
        </w:rPr>
        <w:t>People</w:t>
      </w:r>
      <w:r w:rsidR="00173C67" w:rsidRPr="00E76B99">
        <w:rPr>
          <w:rStyle w:val="Heading3Char"/>
          <w:rFonts w:eastAsiaTheme="minorEastAsia"/>
        </w:rPr>
        <w:t xml:space="preserve"> who are pregnant or breastfeeding</w:t>
      </w:r>
      <w:r w:rsidR="00173C67">
        <w:t xml:space="preserve">. </w:t>
      </w:r>
    </w:p>
    <w:p w14:paraId="2EADF8E4" w14:textId="62484F9B" w:rsidR="00173C67" w:rsidRPr="003A16FE" w:rsidRDefault="00173C67" w:rsidP="00603DC8">
      <w:pPr>
        <w:pStyle w:val="Default"/>
        <w:numPr>
          <w:ilvl w:val="0"/>
          <w:numId w:val="23"/>
        </w:numPr>
        <w:spacing w:before="120" w:after="120" w:line="288" w:lineRule="auto"/>
        <w:rPr>
          <w:sz w:val="21"/>
          <w:szCs w:val="21"/>
        </w:rPr>
      </w:pPr>
      <w:r w:rsidRPr="00A04708">
        <w:rPr>
          <w:sz w:val="21"/>
          <w:szCs w:val="21"/>
        </w:rPr>
        <w:t>JYNNEOS</w:t>
      </w:r>
      <w:r w:rsidRPr="00F5421F">
        <w:rPr>
          <w:rFonts w:eastAsia="Arial"/>
          <w:color w:val="000000" w:themeColor="text1"/>
          <w:sz w:val="21"/>
          <w:szCs w:val="21"/>
          <w:vertAlign w:val="superscript"/>
        </w:rPr>
        <w:t>®</w:t>
      </w:r>
      <w:r w:rsidRPr="00A04708">
        <w:rPr>
          <w:sz w:val="21"/>
          <w:szCs w:val="21"/>
        </w:rPr>
        <w:t xml:space="preserve"> vaccine has not been formally </w:t>
      </w:r>
      <w:r w:rsidR="00A04708" w:rsidRPr="00A04708">
        <w:rPr>
          <w:sz w:val="21"/>
          <w:szCs w:val="21"/>
        </w:rPr>
        <w:t xml:space="preserve">evaluated </w:t>
      </w:r>
      <w:r w:rsidRPr="00A04708">
        <w:rPr>
          <w:sz w:val="21"/>
          <w:szCs w:val="21"/>
        </w:rPr>
        <w:t xml:space="preserve">in people who are pregnant or </w:t>
      </w:r>
      <w:r w:rsidRPr="00A04708">
        <w:rPr>
          <w:sz w:val="21"/>
          <w:szCs w:val="21"/>
          <w:lang w:eastAsia="en-AU"/>
        </w:rPr>
        <w:t xml:space="preserve">lactating. ATAGI advise </w:t>
      </w:r>
      <w:r w:rsidR="002E7E62">
        <w:rPr>
          <w:sz w:val="21"/>
          <w:szCs w:val="21"/>
          <w:lang w:eastAsia="en-AU"/>
        </w:rPr>
        <w:t xml:space="preserve">that </w:t>
      </w:r>
      <w:r w:rsidRPr="00A04708">
        <w:rPr>
          <w:sz w:val="21"/>
          <w:szCs w:val="21"/>
          <w:lang w:eastAsia="en-AU"/>
        </w:rPr>
        <w:t xml:space="preserve">no </w:t>
      </w:r>
      <w:r w:rsidR="00A04708" w:rsidRPr="00A04708">
        <w:rPr>
          <w:sz w:val="21"/>
          <w:szCs w:val="21"/>
          <w:lang w:eastAsia="en-AU"/>
        </w:rPr>
        <w:t>adverse events have been reported in pregnant people</w:t>
      </w:r>
      <w:r w:rsidR="00165258">
        <w:rPr>
          <w:sz w:val="21"/>
          <w:szCs w:val="21"/>
          <w:lang w:eastAsia="en-AU"/>
        </w:rPr>
        <w:t>,</w:t>
      </w:r>
      <w:r w:rsidR="00A04708" w:rsidRPr="00A04708">
        <w:rPr>
          <w:sz w:val="21"/>
          <w:szCs w:val="21"/>
          <w:lang w:eastAsia="en-AU"/>
        </w:rPr>
        <w:t xml:space="preserve"> </w:t>
      </w:r>
      <w:r w:rsidR="00165258">
        <w:rPr>
          <w:sz w:val="21"/>
          <w:szCs w:val="21"/>
          <w:lang w:eastAsia="en-AU"/>
        </w:rPr>
        <w:t>and there</w:t>
      </w:r>
      <w:r w:rsidR="00A04708" w:rsidRPr="00F5421F">
        <w:rPr>
          <w:color w:val="313131"/>
          <w:sz w:val="21"/>
          <w:szCs w:val="21"/>
          <w:shd w:val="clear" w:color="auto" w:fill="FFFFFF"/>
        </w:rPr>
        <w:t xml:space="preserve"> are not likely to be any safety concerns with administering </w:t>
      </w:r>
      <w:r w:rsidR="009717DF" w:rsidRPr="00A04708">
        <w:rPr>
          <w:sz w:val="21"/>
          <w:szCs w:val="21"/>
        </w:rPr>
        <w:t>JYNNEOS</w:t>
      </w:r>
      <w:r w:rsidR="009717DF" w:rsidRPr="00F5421F">
        <w:rPr>
          <w:rFonts w:eastAsia="Arial"/>
          <w:color w:val="000000" w:themeColor="text1"/>
          <w:sz w:val="21"/>
          <w:szCs w:val="21"/>
          <w:vertAlign w:val="superscript"/>
        </w:rPr>
        <w:t>®</w:t>
      </w:r>
      <w:r w:rsidR="009717DF" w:rsidRPr="00A04708">
        <w:rPr>
          <w:sz w:val="21"/>
          <w:szCs w:val="21"/>
        </w:rPr>
        <w:t xml:space="preserve"> </w:t>
      </w:r>
      <w:r w:rsidR="00A04708" w:rsidRPr="00F5421F">
        <w:rPr>
          <w:color w:val="313131"/>
          <w:sz w:val="21"/>
          <w:szCs w:val="21"/>
          <w:shd w:val="clear" w:color="auto" w:fill="FFFFFF"/>
        </w:rPr>
        <w:t>mpox vaccine to breastfeeding people.</w:t>
      </w:r>
      <w:r w:rsidR="00236E2E">
        <w:rPr>
          <w:color w:val="313131"/>
          <w:sz w:val="21"/>
          <w:szCs w:val="21"/>
          <w:shd w:val="clear" w:color="auto" w:fill="FFFFFF"/>
          <w:vertAlign w:val="superscript"/>
        </w:rPr>
        <w:t>8</w:t>
      </w:r>
    </w:p>
    <w:p w14:paraId="02AA907E" w14:textId="42F18084" w:rsidR="00E76B99" w:rsidRPr="0099129F" w:rsidRDefault="00312B6D" w:rsidP="00F333F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5FF683D6"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5E6A66" w:rsidRPr="290B9022">
        <w:rPr>
          <w:rFonts w:eastAsia="Calibri"/>
          <w:color w:val="000000" w:themeColor="text1"/>
        </w:rPr>
        <w:t>.</w:t>
      </w:r>
      <w:r w:rsidR="00E96852">
        <w:rPr>
          <w:rFonts w:eastAsia="Calibri"/>
          <w:color w:val="000000" w:themeColor="text1"/>
          <w:vertAlign w:val="superscript"/>
        </w:rPr>
        <w:t>8</w:t>
      </w:r>
      <w:r w:rsidRPr="290B9022">
        <w:rPr>
          <w:rFonts w:eastAsia="Calibri"/>
          <w:color w:val="000000" w:themeColor="text1"/>
        </w:rPr>
        <w:t xml:space="preserve"> </w:t>
      </w:r>
    </w:p>
    <w:p w14:paraId="46666EC1" w14:textId="3ECB7FBC" w:rsidR="00E76B99" w:rsidRDefault="00312B6D" w:rsidP="00EC5409">
      <w:pPr>
        <w:pStyle w:val="Heading3"/>
        <w:spacing w:before="240"/>
      </w:pPr>
      <w:r>
        <w:t>C</w:t>
      </w:r>
      <w:r w:rsidR="00E76B99">
        <w:t xml:space="preserve">onfirmed anaphylaxis to </w:t>
      </w:r>
      <w:r w:rsidR="00165258">
        <w:t xml:space="preserve">chicken or </w:t>
      </w:r>
      <w:r w:rsidR="00E76B99">
        <w:t>egg</w:t>
      </w:r>
      <w:r w:rsidR="00165258">
        <w:t xml:space="preserve"> protein</w:t>
      </w:r>
    </w:p>
    <w:p w14:paraId="7B88931A" w14:textId="422180D9" w:rsidR="00165258" w:rsidRPr="009717DF" w:rsidRDefault="00165258"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 xml:space="preserve">People with a known severe allergy to chicken or egg protein who are recommended to receive mpox vaccine should discuss this with an immunologist or </w:t>
      </w:r>
      <w:r w:rsidRPr="00165258">
        <w:rPr>
          <w:rFonts w:cs="Arial"/>
          <w:color w:val="313131"/>
          <w:shd w:val="clear" w:color="auto" w:fill="FFFFFF"/>
        </w:rPr>
        <w:t>allergist or</w:t>
      </w:r>
      <w:r w:rsidRPr="009717DF">
        <w:rPr>
          <w:rFonts w:cs="Arial"/>
          <w:color w:val="313131"/>
          <w:shd w:val="clear" w:color="auto" w:fill="FFFFFF"/>
        </w:rPr>
        <w:t xml:space="preserve"> be referred to a specialised immunisation adverse events clinic.</w:t>
      </w:r>
      <w:r w:rsidR="006855CC">
        <w:rPr>
          <w:rFonts w:cs="Arial"/>
          <w:color w:val="313131"/>
          <w:shd w:val="clear" w:color="auto" w:fill="FFFFFF"/>
          <w:vertAlign w:val="superscript"/>
        </w:rPr>
        <w:t>10</w:t>
      </w:r>
    </w:p>
    <w:p w14:paraId="2363DB25" w14:textId="765B5D28" w:rsidR="00E76B99" w:rsidRDefault="00312B6D" w:rsidP="0071648B">
      <w:pPr>
        <w:pStyle w:val="Heading3"/>
        <w:spacing w:before="240"/>
      </w:pPr>
      <w:r>
        <w:t>H</w:t>
      </w:r>
      <w:r w:rsidR="00E76B99">
        <w:t xml:space="preserve">istory of </w:t>
      </w:r>
      <w:r w:rsidR="00165258">
        <w:t xml:space="preserve">atopic dermatitis or </w:t>
      </w:r>
      <w:r w:rsidR="00E76B99">
        <w:t>keloid scarring</w:t>
      </w:r>
    </w:p>
    <w:p w14:paraId="27380ECF" w14:textId="77777777" w:rsidR="00165258" w:rsidRPr="009717DF" w:rsidRDefault="00165258"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People with atopic dermatitis should be informed about the potential for increased local and general symptoms. </w:t>
      </w:r>
    </w:p>
    <w:p w14:paraId="503310E8" w14:textId="0238B4DC" w:rsidR="00911AB6" w:rsidRPr="0023686A" w:rsidRDefault="00911AB6"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via the intradermal route. The subcutaneous route is preferred.</w:t>
      </w:r>
      <w:r w:rsidR="006855CC">
        <w:rPr>
          <w:rFonts w:cs="Arial"/>
          <w:color w:val="000000"/>
          <w:szCs w:val="21"/>
          <w:vertAlign w:val="superscript"/>
          <w:lang w:eastAsia="en-AU"/>
        </w:rPr>
        <w:t>10</w:t>
      </w:r>
      <w:r w:rsidR="006855CC" w:rsidRPr="0023686A">
        <w:rPr>
          <w:rFonts w:cs="Arial"/>
          <w:color w:val="000000"/>
          <w:szCs w:val="21"/>
          <w:lang w:eastAsia="en-AU"/>
        </w:rPr>
        <w:t xml:space="preserve"> </w:t>
      </w:r>
    </w:p>
    <w:p w14:paraId="0DFAB7F5" w14:textId="4DBC02F9" w:rsidR="00E76B99" w:rsidRDefault="00165258" w:rsidP="0071648B">
      <w:pPr>
        <w:pStyle w:val="Heading3"/>
        <w:spacing w:before="240"/>
      </w:pPr>
      <w:r>
        <w:t>Variation from product information</w:t>
      </w:r>
    </w:p>
    <w:p w14:paraId="49609C3F" w14:textId="709F95DA" w:rsidR="002B5325" w:rsidRPr="00E96852" w:rsidRDefault="00E96852" w:rsidP="00964A28">
      <w:pPr>
        <w:pStyle w:val="ListParagraph"/>
        <w:numPr>
          <w:ilvl w:val="0"/>
          <w:numId w:val="55"/>
        </w:numPr>
        <w:spacing w:before="120" w:line="288" w:lineRule="auto"/>
        <w:rPr>
          <w:rFonts w:eastAsia="Arial" w:cs="Arial"/>
          <w:color w:val="000000" w:themeColor="text1"/>
          <w:szCs w:val="21"/>
          <w:lang w:eastAsia="en-AU"/>
        </w:rPr>
      </w:pPr>
      <w:r w:rsidRPr="00E96852">
        <w:rPr>
          <w:rFonts w:cs="Arial"/>
        </w:rPr>
        <w:t>ATAGI</w:t>
      </w:r>
      <w:r w:rsidRPr="00E96852">
        <w:rPr>
          <w:rFonts w:cs="Arial"/>
          <w:color w:val="313131"/>
          <w:shd w:val="clear" w:color="auto" w:fill="FFFFFF"/>
        </w:rPr>
        <w:t xml:space="preserve">  recommends that people aged ≥16 years in risk groups receive </w:t>
      </w: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vaccine</w:t>
      </w:r>
      <w:r>
        <w:rPr>
          <w:rFonts w:eastAsia="Calibri"/>
          <w:color w:val="000000" w:themeColor="text1"/>
        </w:rPr>
        <w:t>.</w:t>
      </w:r>
      <w:r w:rsidRPr="290B9022">
        <w:rPr>
          <w:rFonts w:eastAsia="Calibri"/>
          <w:color w:val="000000" w:themeColor="text1"/>
        </w:rPr>
        <w:t xml:space="preserve"> </w:t>
      </w:r>
      <w:r w:rsidRPr="00E96852">
        <w:rPr>
          <w:rFonts w:cs="Arial"/>
          <w:color w:val="313131"/>
          <w:shd w:val="clear" w:color="auto" w:fill="FFFFFF"/>
        </w:rPr>
        <w:t xml:space="preserve">Children can be considered to receive </w:t>
      </w: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vaccine </w:t>
      </w:r>
      <w:r w:rsidRPr="00E96852">
        <w:rPr>
          <w:rFonts w:cs="Arial"/>
          <w:color w:val="313131"/>
          <w:shd w:val="clear" w:color="auto" w:fill="FFFFFF"/>
        </w:rPr>
        <w:t>for post-exposure preventive vaccination after a risk–benefit assessment.</w:t>
      </w:r>
      <w:r w:rsidR="006855CC">
        <w:rPr>
          <w:rFonts w:cs="Arial"/>
          <w:color w:val="313131"/>
          <w:shd w:val="clear" w:color="auto" w:fill="FFFFFF"/>
          <w:vertAlign w:val="superscript"/>
        </w:rPr>
        <w:t>10</w:t>
      </w:r>
    </w:p>
    <w:p w14:paraId="38357AEB" w14:textId="77777777" w:rsidR="002B5325" w:rsidRPr="002B5325" w:rsidRDefault="002B5325" w:rsidP="002B5325">
      <w:pPr>
        <w:spacing w:before="120" w:line="288" w:lineRule="auto"/>
        <w:rPr>
          <w:rFonts w:eastAsia="Arial" w:cs="Arial"/>
          <w:color w:val="000000" w:themeColor="text1"/>
          <w:szCs w:val="21"/>
          <w:lang w:eastAsia="en-AU"/>
        </w:rPr>
      </w:pPr>
    </w:p>
    <w:p w14:paraId="53B83B02" w14:textId="1C2D6EAC" w:rsidR="00077DBB" w:rsidRPr="006F1A2A" w:rsidRDefault="7BCD4BF7" w:rsidP="00CA1F52">
      <w:pPr>
        <w:pStyle w:val="Heading2"/>
        <w:spacing w:before="120"/>
      </w:pPr>
      <w:bookmarkStart w:id="37" w:name="_Toc169094172"/>
      <w:r>
        <w:t>Route</w:t>
      </w:r>
      <w:bookmarkEnd w:id="37"/>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6816473C" w:rsidR="0A9688A0" w:rsidRPr="00CA1F52" w:rsidRDefault="2396D701" w:rsidP="7F795C98">
      <w:pPr>
        <w:rPr>
          <w:rFonts w:cs="Arial"/>
          <w:vertAlign w:val="superscript"/>
        </w:rPr>
      </w:pPr>
      <w:r w:rsidRPr="00421128">
        <w:rPr>
          <w:rFonts w:eastAsia="Arial" w:cs="Arial"/>
          <w:szCs w:val="21"/>
        </w:rPr>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r w:rsidR="00CA1F52">
        <w:rPr>
          <w:rFonts w:cs="Arial"/>
        </w:rPr>
        <w:t>.</w:t>
      </w:r>
      <w:r w:rsidR="00E86338">
        <w:rPr>
          <w:rFonts w:cs="Arial"/>
          <w:vertAlign w:val="superscript"/>
        </w:rPr>
        <w:t>10</w:t>
      </w:r>
    </w:p>
    <w:p w14:paraId="647722B9" w14:textId="4178DF9C" w:rsidR="006143F6" w:rsidRPr="001F3D3C" w:rsidRDefault="006143F6" w:rsidP="004605B6">
      <w:pPr>
        <w:pStyle w:val="Body"/>
        <w:spacing w:before="240"/>
        <w:rPr>
          <w:color w:val="808080" w:themeColor="background1" w:themeShade="80"/>
          <w:sz w:val="24"/>
          <w:szCs w:val="24"/>
        </w:rPr>
      </w:pPr>
      <w:r w:rsidRPr="001F3D3C">
        <w:rPr>
          <w:color w:val="808080" w:themeColor="background1" w:themeShade="80"/>
          <w:sz w:val="24"/>
          <w:szCs w:val="24"/>
        </w:rPr>
        <w:t xml:space="preserve">Intradermal </w:t>
      </w:r>
    </w:p>
    <w:p w14:paraId="75CEA86C" w14:textId="46F7F374"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11"/>
      </w:r>
      <w:r w:rsidR="00CA1F52">
        <w:rPr>
          <w:rFonts w:eastAsia="Arial" w:cs="Arial"/>
        </w:rPr>
        <w:t xml:space="preserve"> </w:t>
      </w:r>
      <w:r w:rsidRPr="000B519A">
        <w:rPr>
          <w:rStyle w:val="FootnoteReference"/>
          <w:rFonts w:cs="Arial"/>
        </w:rPr>
        <w:footnoteReference w:id="12"/>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CBCFB8B"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CA1F52" w:rsidRPr="00EF239C">
          <w:rPr>
            <w:rStyle w:val="Hyperlink"/>
            <w:rFonts w:cs="Arial"/>
            <w:szCs w:val="21"/>
          </w:rPr>
          <w:t>schedule</w:t>
        </w:r>
      </w:hyperlink>
      <w:r w:rsidR="00A1602C" w:rsidRPr="00EF239C">
        <w:rPr>
          <w:rFonts w:cs="Arial"/>
          <w:szCs w:val="21"/>
        </w:rPr>
        <w:t xml:space="preserve"> </w:t>
      </w:r>
      <w:r w:rsidR="00A1602C" w:rsidRPr="003B2488">
        <w:rPr>
          <w:rFonts w:cs="Arial"/>
          <w:szCs w:val="21"/>
        </w:rPr>
        <w:t xml:space="preserve">and the </w:t>
      </w:r>
      <w:hyperlink w:anchor="_Subcutaneous_administration" w:history="1">
        <w:r w:rsidR="00CA1F52" w:rsidRPr="00EF239C">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8" w:name="_Schedule"/>
      <w:bookmarkStart w:id="39" w:name="_Toc169094173"/>
      <w:bookmarkEnd w:id="38"/>
      <w:r>
        <w:t>Schedule</w:t>
      </w:r>
      <w:bookmarkEnd w:id="39"/>
      <w:r>
        <w:t xml:space="preserve"> </w:t>
      </w:r>
    </w:p>
    <w:p w14:paraId="65E5914E" w14:textId="77777777" w:rsidR="00DE75FE" w:rsidRDefault="00DE75FE" w:rsidP="008E03D1">
      <w:pPr>
        <w:pStyle w:val="Heading4"/>
      </w:pPr>
      <w:bookmarkStart w:id="40" w:name="_Pre-exposure_prophylaxis_(PrEP)"/>
      <w:bookmarkEnd w:id="40"/>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603DC8">
      <w:pPr>
        <w:pStyle w:val="Body"/>
        <w:numPr>
          <w:ilvl w:val="0"/>
          <w:numId w:val="27"/>
        </w:numPr>
        <w:tabs>
          <w:tab w:val="num" w:pos="926"/>
        </w:tabs>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603DC8">
      <w:pPr>
        <w:pStyle w:val="Body"/>
        <w:numPr>
          <w:ilvl w:val="0"/>
          <w:numId w:val="27"/>
        </w:numPr>
        <w:tabs>
          <w:tab w:val="num" w:pos="926"/>
        </w:tabs>
        <w:rPr>
          <w:rFonts w:eastAsia="Arial" w:cs="Arial"/>
        </w:rPr>
      </w:pPr>
      <w:r>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197C5905" w:rsidR="64C91B31" w:rsidRDefault="7DEBA709" w:rsidP="00603DC8">
      <w:pPr>
        <w:pStyle w:val="Body"/>
        <w:numPr>
          <w:ilvl w:val="0"/>
          <w:numId w:val="27"/>
        </w:numPr>
        <w:tabs>
          <w:tab w:val="num" w:pos="926"/>
        </w:tabs>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hyperlink w:anchor="_People_who_are">
        <w:r w:rsidR="002969C5" w:rsidRPr="0093322B">
          <w:rPr>
            <w:rStyle w:val="Hyperlink"/>
            <w:rFonts w:eastAsia="Arial" w:cs="Arial"/>
          </w:rPr>
          <w:t>immunocompromise</w:t>
        </w:r>
      </w:hyperlink>
      <w:r w:rsidR="007D5952" w:rsidRPr="0093322B">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1" w:name="_Post_exposure_prophylaxis"/>
      <w:bookmarkEnd w:id="41"/>
      <w:r w:rsidRPr="00611C14">
        <w:t>Post-exposure preventive vaccination (PEPV)</w:t>
      </w:r>
    </w:p>
    <w:p w14:paraId="181DF5DC" w14:textId="7A11E190" w:rsidR="00077DBB" w:rsidRPr="006F1A2A" w:rsidRDefault="7BCD4BF7" w:rsidP="004605B6">
      <w:pPr>
        <w:pStyle w:val="Bullet1"/>
        <w:numPr>
          <w:ilvl w:val="0"/>
          <w:numId w:val="0"/>
        </w:numPr>
        <w:spacing w:before="240"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CA1F52">
      <w:pPr>
        <w:pStyle w:val="Bullet1"/>
        <w:numPr>
          <w:ilvl w:val="0"/>
          <w:numId w:val="27"/>
        </w:numPr>
        <w:spacing w:before="120"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r w:rsidR="002A48A3">
        <w:rPr>
          <w:rFonts w:cs="Arial"/>
        </w:rPr>
        <w:t xml:space="preserve">mpox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18FAB428"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AE2752">
        <w:t>The second dose does not need to be repeated if given later than 28 days after the first dose</w:t>
      </w:r>
      <w:r w:rsidR="00AE2752">
        <w:t>.</w:t>
      </w:r>
      <w:r w:rsidR="00110C8E">
        <w:rPr>
          <w:rStyle w:val="FootnoteReference"/>
        </w:rPr>
        <w:footnoteReference w:id="13"/>
      </w:r>
    </w:p>
    <w:p w14:paraId="1677814A" w14:textId="2AFFCEF1" w:rsidR="00077DBB" w:rsidRPr="00766651" w:rsidRDefault="7BCD4BF7" w:rsidP="00C7560F">
      <w:pPr>
        <w:pStyle w:val="Heading2"/>
        <w:spacing w:before="240"/>
      </w:pPr>
      <w:bookmarkStart w:id="42" w:name="_Toc169094174"/>
      <w:r w:rsidRPr="00766651">
        <w:t xml:space="preserve">Common </w:t>
      </w:r>
      <w:r w:rsidR="009E14B2">
        <w:t>side effects</w:t>
      </w:r>
      <w:bookmarkEnd w:id="42"/>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1372BD50" w14:textId="6A668F10" w:rsidR="0063777F" w:rsidRPr="008F7ED2" w:rsidRDefault="0049243B"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w:t>
      </w:r>
      <w:r w:rsidR="0063777F">
        <w:rPr>
          <w:rFonts w:ascii="Arial" w:hAnsi="Arial" w:cs="Arial"/>
          <w:color w:val="0B0C0C"/>
          <w:sz w:val="21"/>
          <w:szCs w:val="21"/>
          <w:shd w:val="clear" w:color="auto" w:fill="FFFFFF"/>
        </w:rPr>
        <w:t xml:space="preserve"> safety surveillance </w:t>
      </w:r>
      <w:r>
        <w:rPr>
          <w:rFonts w:ascii="Arial" w:hAnsi="Arial" w:cs="Arial"/>
          <w:color w:val="0B0C0C"/>
          <w:sz w:val="21"/>
          <w:szCs w:val="21"/>
          <w:shd w:val="clear" w:color="auto" w:fill="FFFFFF"/>
        </w:rPr>
        <w:t xml:space="preserve">in Australia </w:t>
      </w:r>
      <w:r w:rsidR="0063777F">
        <w:rPr>
          <w:rFonts w:ascii="Arial" w:hAnsi="Arial" w:cs="Arial"/>
          <w:color w:val="0B0C0C"/>
          <w:sz w:val="21"/>
          <w:szCs w:val="21"/>
          <w:shd w:val="clear" w:color="auto" w:fill="FFFFFF"/>
        </w:rPr>
        <w:t>showed</w:t>
      </w:r>
      <w:r w:rsidR="0063777F" w:rsidRPr="0063777F">
        <w:rPr>
          <w:rFonts w:ascii="Arial" w:hAnsi="Arial" w:cs="Arial"/>
          <w:sz w:val="21"/>
          <w:szCs w:val="21"/>
        </w:rPr>
        <w:t xml:space="preserve"> </w:t>
      </w:r>
      <w:r w:rsidR="0063777F" w:rsidRPr="008F7ED2">
        <w:rPr>
          <w:rFonts w:ascii="Arial" w:hAnsi="Arial" w:cs="Arial"/>
          <w:sz w:val="21"/>
          <w:szCs w:val="21"/>
        </w:rPr>
        <w:t>slightly increased rates of injection site redness and hardening in those who received an intradermal injection</w:t>
      </w:r>
      <w:r w:rsidR="0063777F">
        <w:rPr>
          <w:rStyle w:val="FootnoteReference"/>
          <w:rFonts w:ascii="Arial" w:hAnsi="Arial" w:cs="Arial"/>
          <w:sz w:val="21"/>
          <w:szCs w:val="21"/>
        </w:rPr>
        <w:footnoteReference w:id="14"/>
      </w:r>
      <w:r w:rsidR="0063777F">
        <w:rPr>
          <w:rFonts w:ascii="Arial" w:hAnsi="Arial" w:cs="Arial"/>
          <w:sz w:val="21"/>
          <w:szCs w:val="21"/>
        </w:rPr>
        <w:t>.</w:t>
      </w:r>
    </w:p>
    <w:p w14:paraId="079E43F7" w14:textId="77777777" w:rsidR="00306FA3" w:rsidRPr="00633A11" w:rsidRDefault="00306FA3" w:rsidP="00C7560F">
      <w:pPr>
        <w:pStyle w:val="Heading1"/>
        <w:spacing w:before="480"/>
      </w:pPr>
      <w:bookmarkStart w:id="43" w:name="_Toc169094175"/>
      <w:r w:rsidRPr="00701C44">
        <w:t>Other considerations</w:t>
      </w:r>
      <w:bookmarkEnd w:id="43"/>
    </w:p>
    <w:p w14:paraId="5DA20D61" w14:textId="77777777" w:rsidR="00306FA3" w:rsidRPr="002C216E" w:rsidRDefault="00306FA3" w:rsidP="00C7560F">
      <w:pPr>
        <w:pStyle w:val="Heading2"/>
        <w:spacing w:before="240"/>
      </w:pPr>
      <w:bookmarkStart w:id="44" w:name="_Toc169094176"/>
      <w:r>
        <w:t>Previous smallpox vaccination</w:t>
      </w:r>
      <w:bookmarkEnd w:id="44"/>
    </w:p>
    <w:p w14:paraId="430A3D83" w14:textId="439CCB69" w:rsidR="0049243B" w:rsidRPr="0049243B" w:rsidRDefault="0049243B" w:rsidP="0049243B">
      <w:pPr>
        <w:shd w:val="clear" w:color="auto" w:fill="FFFFFF"/>
        <w:spacing w:before="100" w:beforeAutospacing="1" w:after="100" w:afterAutospacing="1" w:line="240" w:lineRule="auto"/>
        <w:rPr>
          <w:rFonts w:cs="Arial"/>
          <w:color w:val="313131"/>
          <w:szCs w:val="21"/>
          <w:lang w:eastAsia="en-AU"/>
        </w:rPr>
      </w:pPr>
      <w:r w:rsidRPr="0049243B">
        <w:rPr>
          <w:rFonts w:cs="Arial"/>
          <w:color w:val="313131"/>
          <w:szCs w:val="21"/>
          <w:lang w:eastAsia="en-AU"/>
        </w:rPr>
        <w:t xml:space="preserve">People who have previously received a smallpox vaccine are likely to have some residual protection, however, may benefit from receiving a dose of </w:t>
      </w: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Pr="0049243B">
        <w:rPr>
          <w:rFonts w:cs="Arial"/>
          <w:color w:val="313131"/>
          <w:szCs w:val="21"/>
          <w:lang w:eastAsia="en-AU"/>
        </w:rPr>
        <w:t>mpox vaccine.</w:t>
      </w:r>
    </w:p>
    <w:p w14:paraId="7AE6A0FB" w14:textId="5B3F5D42" w:rsidR="0049243B" w:rsidRPr="0049243B" w:rsidRDefault="0049243B" w:rsidP="0049243B">
      <w:pPr>
        <w:shd w:val="clear" w:color="auto" w:fill="FFFFFF"/>
        <w:spacing w:before="100" w:beforeAutospacing="1" w:after="100" w:afterAutospacing="1" w:line="240" w:lineRule="auto"/>
        <w:rPr>
          <w:rFonts w:cs="Arial"/>
          <w:color w:val="313131"/>
          <w:szCs w:val="21"/>
          <w:lang w:eastAsia="en-AU"/>
        </w:rPr>
      </w:pPr>
      <w:r w:rsidRPr="0049243B">
        <w:rPr>
          <w:rFonts w:cs="Arial"/>
          <w:color w:val="313131"/>
          <w:szCs w:val="21"/>
          <w:lang w:eastAsia="en-AU"/>
        </w:rPr>
        <w:t xml:space="preserve">If a person who is recommended to receive PPV for mpox has had a smallpox vaccine in the past, 1 additional dose of </w:t>
      </w: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Pr="0049243B">
        <w:rPr>
          <w:rFonts w:cs="Arial"/>
          <w:color w:val="313131"/>
          <w:szCs w:val="21"/>
          <w:lang w:eastAsia="en-AU"/>
        </w:rPr>
        <w:t>mpox vaccine is recommended if the previous dose of a smallpox vaccine was given more than 10 years ago.</w:t>
      </w:r>
      <w:r>
        <w:rPr>
          <w:rStyle w:val="FootnoteReference"/>
          <w:rFonts w:cs="Arial"/>
          <w:color w:val="313131"/>
          <w:szCs w:val="21"/>
          <w:lang w:eastAsia="en-AU"/>
        </w:rPr>
        <w:footnoteReference w:id="15"/>
      </w:r>
    </w:p>
    <w:p w14:paraId="641348B0" w14:textId="77777777" w:rsidR="00306FA3" w:rsidRPr="002C216E" w:rsidRDefault="00306FA3" w:rsidP="00C7560F">
      <w:pPr>
        <w:pStyle w:val="Heading2"/>
        <w:spacing w:before="240"/>
      </w:pPr>
      <w:bookmarkStart w:id="45" w:name="_Toc169094177"/>
      <w:r w:rsidRPr="002C216E">
        <w:t>Interval after infection</w:t>
      </w:r>
      <w:bookmarkEnd w:id="45"/>
    </w:p>
    <w:p w14:paraId="52D87867" w14:textId="1480EE24" w:rsidR="00306FA3" w:rsidRPr="00BD4EC6" w:rsidRDefault="0045741E" w:rsidP="00306FA3">
      <w:pPr>
        <w:rPr>
          <w:lang w:eastAsia="en-AU"/>
        </w:rPr>
      </w:pPr>
      <w:r>
        <w:t>Individuals who are diagnosed with laboratory-confirmed mpox are not recommended to receive vaccination against mpox in the short to medium term after recovery, as their immunity will be boosted by natural infection.</w:t>
      </w:r>
      <w:r w:rsidR="001E2DC1">
        <w:rPr>
          <w:rStyle w:val="FootnoteReference"/>
        </w:rPr>
        <w:footnoteReference w:id="16"/>
      </w:r>
      <w:r>
        <w:t xml:space="preserve"> </w:t>
      </w:r>
    </w:p>
    <w:p w14:paraId="558FF9E8" w14:textId="77777777" w:rsidR="00306FA3" w:rsidRPr="00081B8A" w:rsidRDefault="00306FA3" w:rsidP="00C7560F">
      <w:pPr>
        <w:pStyle w:val="Heading2"/>
        <w:spacing w:before="240"/>
      </w:pPr>
      <w:bookmarkStart w:id="46" w:name="_Toc169094178"/>
      <w:r w:rsidRPr="00081B8A">
        <w:t>Coadministration</w:t>
      </w:r>
      <w:bookmarkEnd w:id="46"/>
      <w:r w:rsidRPr="00081B8A">
        <w:t xml:space="preserve"> </w:t>
      </w:r>
    </w:p>
    <w:p w14:paraId="6B187D9D" w14:textId="749FD0E9"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 </w:t>
      </w:r>
      <w:r w:rsidR="00196685">
        <w:rPr>
          <w:rFonts w:eastAsia="Arial" w:cs="Arial"/>
          <w:szCs w:val="21"/>
        </w:rPr>
        <w:t xml:space="preserve">is </w:t>
      </w:r>
      <w:r w:rsidR="002C4114" w:rsidRPr="00D00D0B">
        <w:rPr>
          <w:rFonts w:eastAsia="Arial" w:cs="Arial"/>
          <w:szCs w:val="21"/>
        </w:rPr>
        <w:t xml:space="preserve">a </w:t>
      </w:r>
      <w:bookmarkStart w:id="47" w:name="_Hlk118107923"/>
      <w:r w:rsidR="002C4114" w:rsidRPr="00ED352D">
        <w:rPr>
          <w:rFonts w:eastAsia="Arial" w:cs="Arial"/>
          <w:szCs w:val="21"/>
        </w:rPr>
        <w:t>non-replicating vaccine</w:t>
      </w:r>
      <w:r w:rsidR="002C4114" w:rsidRPr="00D00D0B">
        <w:rPr>
          <w:rFonts w:eastAsia="Arial" w:cs="Arial"/>
          <w:szCs w:val="21"/>
        </w:rPr>
        <w:t xml:space="preserve"> </w:t>
      </w:r>
      <w:bookmarkEnd w:id="47"/>
      <w:r w:rsidR="002C4114" w:rsidRPr="00D00D0B">
        <w:rPr>
          <w:rFonts w:eastAsia="Arial" w:cs="Arial"/>
          <w:szCs w:val="21"/>
        </w:rPr>
        <w:t xml:space="preserve">that </w:t>
      </w:r>
      <w:r w:rsidRPr="00D00D0B">
        <w:rPr>
          <w:rFonts w:eastAsia="Arial" w:cs="Arial"/>
          <w:szCs w:val="21"/>
        </w:rPr>
        <w:t xml:space="preserve">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1D012660" w14:textId="1D1292AE" w:rsidR="00ED352D" w:rsidRPr="00ED352D" w:rsidRDefault="00ED352D" w:rsidP="00FD36E4">
      <w:pPr>
        <w:spacing w:before="120"/>
        <w:rPr>
          <w:rFonts w:cs="Arial"/>
          <w:color w:val="000000"/>
          <w:szCs w:val="21"/>
          <w:shd w:val="clear" w:color="auto" w:fill="FFFFFF"/>
          <w:vertAlign w:val="superscript"/>
        </w:rPr>
      </w:pPr>
      <w:r w:rsidRPr="00ED352D">
        <w:rPr>
          <w:rFonts w:cs="Arial"/>
          <w:shd w:val="clear" w:color="auto" w:fill="FFFFFF"/>
        </w:rPr>
        <w:t xml:space="preserve">If the timing of mpox vaccination is not urgent, consider administering </w:t>
      </w:r>
      <w:r w:rsidRPr="00ED352D">
        <w:rPr>
          <w:rFonts w:eastAsia="Arial" w:cs="Arial"/>
          <w:szCs w:val="21"/>
        </w:rPr>
        <w:t>JYNNEOS</w:t>
      </w:r>
      <w:r w:rsidRPr="00ED352D">
        <w:rPr>
          <w:rFonts w:eastAsia="Arial" w:cs="Arial"/>
          <w:szCs w:val="21"/>
          <w:vertAlign w:val="superscript"/>
        </w:rPr>
        <w:t xml:space="preserve">® </w:t>
      </w:r>
      <w:r w:rsidRPr="00ED352D">
        <w:rPr>
          <w:rFonts w:cs="Arial"/>
          <w:shd w:val="clear" w:color="auto" w:fill="FFFFFF"/>
        </w:rPr>
        <w:t>and mRNA COVID-19 vaccines 4 weeks apart to minimise incorrect attribution of any adverse events. This is particularly relevant for people who are in a higher risk group for myocarditis, such as young males. However, this is precautionary only. Recent recipients of an mRNA vaccine should not delay administration of PEPV or PPV if protection is urgent</w:t>
      </w:r>
      <w:r w:rsidRPr="00ED352D">
        <w:rPr>
          <w:rFonts w:cs="Arial"/>
          <w:color w:val="313131"/>
          <w:shd w:val="clear" w:color="auto" w:fill="FFFFFF"/>
        </w:rPr>
        <w:t>.</w:t>
      </w:r>
    </w:p>
    <w:p w14:paraId="0958935B" w14:textId="77777777" w:rsidR="00ED352D" w:rsidRDefault="00ED352D" w:rsidP="00FD36E4">
      <w:pPr>
        <w:spacing w:before="120"/>
        <w:rPr>
          <w:rFonts w:cs="Arial"/>
          <w:color w:val="313131"/>
          <w:shd w:val="clear" w:color="auto" w:fill="FFFFFF"/>
        </w:rPr>
      </w:pPr>
      <w:r w:rsidRPr="00ED352D">
        <w:rPr>
          <w:rFonts w:cs="Arial"/>
          <w:color w:val="313131"/>
          <w:shd w:val="clear" w:color="auto" w:fill="FFFFFF"/>
        </w:rPr>
        <w:t xml:space="preserve">There are no data on co-administration of </w:t>
      </w:r>
      <w:r w:rsidRPr="00ED352D">
        <w:rPr>
          <w:rFonts w:eastAsia="Arial" w:cs="Arial"/>
          <w:szCs w:val="21"/>
        </w:rPr>
        <w:t>JYNNEOS</w:t>
      </w:r>
      <w:r w:rsidRPr="00ED352D">
        <w:rPr>
          <w:rFonts w:eastAsia="Arial" w:cs="Arial"/>
          <w:szCs w:val="21"/>
          <w:vertAlign w:val="superscript"/>
        </w:rPr>
        <w:t xml:space="preserve">® </w:t>
      </w:r>
      <w:r w:rsidRPr="00ED352D">
        <w:rPr>
          <w:rFonts w:cs="Arial"/>
          <w:color w:val="313131"/>
          <w:shd w:val="clear" w:color="auto" w:fill="FFFFFF"/>
        </w:rPr>
        <w:t xml:space="preserve">mpox vaccine, but inactivated (or non-replicating) vaccines can generally be co-administered safely with other vaccines. There may be a theoretical risk of an attenuated immune response due to vaccine interference with other live vaccines. </w:t>
      </w:r>
    </w:p>
    <w:p w14:paraId="00DF2559" w14:textId="215081FA" w:rsidR="00ED352D" w:rsidRPr="00ED352D" w:rsidRDefault="00ED352D" w:rsidP="00FD36E4">
      <w:pPr>
        <w:spacing w:before="120"/>
        <w:rPr>
          <w:rFonts w:cs="Arial"/>
          <w:color w:val="000000"/>
          <w:szCs w:val="21"/>
          <w:shd w:val="clear" w:color="auto" w:fill="FFFFFF"/>
        </w:rPr>
      </w:pPr>
      <w:r w:rsidRPr="00ED352D">
        <w:rPr>
          <w:rFonts w:cs="Arial"/>
          <w:color w:val="313131"/>
          <w:shd w:val="clear" w:color="auto" w:fill="FFFFFF"/>
        </w:rPr>
        <w:t>However, if a person has recently received another </w:t>
      </w:r>
      <w:r w:rsidRPr="00ED352D">
        <w:rPr>
          <w:rFonts w:cs="Arial"/>
          <w:shd w:val="clear" w:color="auto" w:fill="FFFFFF"/>
        </w:rPr>
        <w:t>live vaccine</w:t>
      </w:r>
      <w:r w:rsidRPr="00ED352D">
        <w:rPr>
          <w:rFonts w:cs="Arial"/>
          <w:color w:val="313131"/>
          <w:shd w:val="clear" w:color="auto" w:fill="FFFFFF"/>
        </w:rPr>
        <w:t> and they are recommended to receive mpox vaccine, they should receive MVA-BN for disease prevention. Similarly, if a person has recently received mpox vaccine, they can receive another </w:t>
      </w:r>
      <w:r w:rsidRPr="00ED352D">
        <w:rPr>
          <w:rFonts w:cs="Arial"/>
          <w:shd w:val="clear" w:color="auto" w:fill="FFFFFF"/>
        </w:rPr>
        <w:t>live vaccine </w:t>
      </w:r>
      <w:r w:rsidRPr="00ED352D">
        <w:rPr>
          <w:rFonts w:cs="Arial"/>
          <w:color w:val="313131"/>
          <w:shd w:val="clear" w:color="auto" w:fill="FFFFFF"/>
        </w:rPr>
        <w:t>if recommended.</w:t>
      </w:r>
    </w:p>
    <w:p w14:paraId="6DC8A767" w14:textId="7643EA01" w:rsidR="00306FA3" w:rsidRPr="000B0A35" w:rsidRDefault="00A20BD5" w:rsidP="00FD36E4">
      <w:pPr>
        <w:spacing w:before="120" w:line="288" w:lineRule="auto"/>
        <w:rPr>
          <w:szCs w:val="21"/>
        </w:rPr>
      </w:pPr>
      <w:r w:rsidRPr="000B0A35">
        <w:rPr>
          <w:szCs w:val="21"/>
        </w:rPr>
        <w:t xml:space="preserve">People should consult their GP for an assessment to determine any increased risk for myocarditis and/or pericarditis and recommendation to delay administration of </w:t>
      </w:r>
      <w:r w:rsidRPr="000B0A35">
        <w:rPr>
          <w:rFonts w:eastAsia="Calibri" w:cs="Arial"/>
          <w:szCs w:val="21"/>
        </w:rPr>
        <w:t>JYNNEOS</w:t>
      </w:r>
      <w:r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7FF5C06F" w:rsidR="00306FA3" w:rsidRPr="003D3589" w:rsidRDefault="00964027" w:rsidP="3396044C">
      <w:pPr>
        <w:spacing w:before="120" w:line="288" w:lineRule="auto"/>
        <w:rPr>
          <w:szCs w:val="21"/>
          <w:vertAlign w:val="superscript"/>
        </w:rPr>
      </w:pPr>
      <w:r w:rsidRPr="000B0A35">
        <w:rPr>
          <w:szCs w:val="21"/>
        </w:rPr>
        <w:t>Any</w:t>
      </w:r>
      <w:r w:rsidR="00306FA3" w:rsidRPr="000B0A35">
        <w:rPr>
          <w:szCs w:val="21"/>
        </w:rPr>
        <w:t xml:space="preserve"> decision to delay administration should be balanced against the need for earlier protection and the potential to miss an opportunity to vaccinate</w:t>
      </w:r>
      <w:r w:rsidR="000F47E3">
        <w:rPr>
          <w:szCs w:val="21"/>
        </w:rPr>
        <w:t>.</w:t>
      </w:r>
      <w:r w:rsidR="00C86215">
        <w:rPr>
          <w:szCs w:val="21"/>
          <w:vertAlign w:val="superscript"/>
        </w:rPr>
        <w:t>14</w:t>
      </w:r>
    </w:p>
    <w:p w14:paraId="68714499" w14:textId="77777777" w:rsidR="00306FA3" w:rsidRPr="00376303" w:rsidRDefault="00306FA3" w:rsidP="00306FA3">
      <w:pPr>
        <w:pStyle w:val="Heading2"/>
      </w:pPr>
      <w:bookmarkStart w:id="48" w:name="_Toc169094179"/>
      <w:r w:rsidRPr="00376303">
        <w:t>Completing schedules commenced overseas</w:t>
      </w:r>
      <w:bookmarkEnd w:id="48"/>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49" w:name="_Toc169094180"/>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49"/>
      <w:r w:rsidRPr="00A21215">
        <w:rPr>
          <w:rStyle w:val="Heading2Char"/>
        </w:rPr>
        <w:t xml:space="preserve"> </w:t>
      </w:r>
    </w:p>
    <w:p w14:paraId="28717C61" w14:textId="0D896492"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E839A4" w:rsidRPr="00061DFC">
          <w:rPr>
            <w:rStyle w:val="Hyperlink"/>
            <w:sz w:val="21"/>
            <w:szCs w:val="21"/>
          </w:rPr>
          <w:t>vaccine errors</w:t>
        </w:r>
      </w:hyperlink>
      <w:r w:rsidR="00293E12" w:rsidRPr="00E839A4">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0" w:name="_Toc1222883788"/>
      <w:bookmarkStart w:id="51" w:name="_Toc110581208"/>
      <w:bookmarkStart w:id="52" w:name="_Toc112154556"/>
      <w:bookmarkStart w:id="53" w:name="_Toc112315623"/>
      <w:r>
        <w:rPr>
          <w:rStyle w:val="Heading1Char"/>
          <w:b/>
        </w:rPr>
        <w:br w:type="page"/>
      </w:r>
      <w:bookmarkStart w:id="54" w:name="_Toc169094181"/>
      <w:r w:rsidR="00077DBB" w:rsidRPr="00B3292D">
        <w:rPr>
          <w:rStyle w:val="Heading1Char"/>
          <w:bCs w:val="0"/>
        </w:rPr>
        <w:t>Vaccine Logistics</w:t>
      </w:r>
      <w:bookmarkStart w:id="55" w:name="_Logistics"/>
      <w:bookmarkEnd w:id="50"/>
      <w:bookmarkEnd w:id="51"/>
      <w:bookmarkEnd w:id="52"/>
      <w:bookmarkEnd w:id="53"/>
      <w:bookmarkEnd w:id="54"/>
      <w:bookmarkEnd w:id="55"/>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pox vaccine.  </w:t>
      </w:r>
    </w:p>
    <w:p w14:paraId="3BF790CD" w14:textId="4C33BA36" w:rsidR="00077DBB" w:rsidRDefault="00077DBB" w:rsidP="00C9677E">
      <w:pPr>
        <w:pStyle w:val="Heading2"/>
      </w:pPr>
      <w:bookmarkStart w:id="56" w:name="_Toc112154557"/>
      <w:bookmarkStart w:id="57" w:name="_Toc112315624"/>
      <w:bookmarkStart w:id="58" w:name="_Toc169094182"/>
      <w:r>
        <w:t>Presentation</w:t>
      </w:r>
      <w:bookmarkEnd w:id="56"/>
      <w:bookmarkEnd w:id="57"/>
      <w:bookmarkEnd w:id="58"/>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0"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22">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7930D703">
            <wp:extent cx="4468969" cy="1896745"/>
            <wp:effectExtent l="0" t="0" r="8255" b="8255"/>
            <wp:docPr id="407849497" name="Picture 407849497" descr="Image of JYNEEOS package of 20 v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2" descr="Image of JYNEEOS package of 20 vials">
                      <a:extLst>
                        <a:ext uri="{C183D7F6-B498-43B3-948B-1728B52AA6E4}">
                          <adec:decorative xmlns:adec="http://schemas.microsoft.com/office/drawing/2017/decorative" val="0"/>
                        </a:ext>
                      </a:extLst>
                    </pic:cNvPr>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03E4E12E" w:rsidR="00077DBB" w:rsidRPr="00966123" w:rsidRDefault="00077DBB" w:rsidP="00540114">
      <w:pPr>
        <w:spacing w:before="120"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00D76D5D" w:rsidRPr="004C1343">
        <w:rPr>
          <w:rFonts w:cs="Arial"/>
          <w:szCs w:val="21"/>
          <w:lang w:eastAsia="en-AU"/>
        </w:rPr>
        <w:t>0.5 mL</w:t>
      </w:r>
      <w:r w:rsidR="00D76D5D">
        <w:rPr>
          <w:rFonts w:cs="Arial"/>
          <w:szCs w:val="21"/>
          <w:lang w:eastAsia="en-AU"/>
        </w:rPr>
        <w:t xml:space="preserve"> suspension</w:t>
      </w:r>
      <w:r w:rsidR="00D76D5D" w:rsidRPr="00966123" w:rsidDel="00D76D5D">
        <w:rPr>
          <w:rFonts w:cs="Arial"/>
          <w:szCs w:val="21"/>
          <w:lang w:eastAsia="en-AU"/>
        </w:rPr>
        <w:t xml:space="preserve"> </w:t>
      </w:r>
      <w:r w:rsidRPr="00966123">
        <w:rPr>
          <w:rFonts w:cs="Arial"/>
          <w:szCs w:val="21"/>
          <w:lang w:eastAsia="en-AU"/>
        </w:rPr>
        <w:t xml:space="preserve">for injection.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C9677E">
      <w:pPr>
        <w:pStyle w:val="Heading2"/>
        <w:rPr>
          <w:rFonts w:ascii="Segoe UI" w:hAnsi="Segoe UI" w:cs="Segoe UI"/>
          <w:sz w:val="18"/>
          <w:szCs w:val="18"/>
        </w:rPr>
      </w:pPr>
      <w:bookmarkStart w:id="59" w:name="_Toc112154558"/>
      <w:bookmarkStart w:id="60" w:name="_Toc112315625"/>
      <w:bookmarkStart w:id="61" w:name="_Toc169094183"/>
      <w:r w:rsidRPr="004C1343">
        <w:t>Storage</w:t>
      </w:r>
      <w:bookmarkEnd w:id="59"/>
      <w:bookmarkEnd w:id="60"/>
      <w:bookmarkEnd w:id="61"/>
    </w:p>
    <w:p w14:paraId="32C4CB2D" w14:textId="3975CED3"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04A43">
        <w:rPr>
          <w:rFonts w:cs="Arial"/>
          <w:szCs w:val="21"/>
          <w:lang w:eastAsia="en-AU"/>
        </w:rPr>
        <w:t xml:space="preserve">mpox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the contents</w:t>
      </w:r>
      <w:r w:rsidR="00D76D5D">
        <w:rPr>
          <w:rFonts w:cs="Arial"/>
          <w:szCs w:val="21"/>
          <w:lang w:eastAsia="en-AU"/>
        </w:rPr>
        <w:t>.</w:t>
      </w:r>
    </w:p>
    <w:p w14:paraId="42B33E3C" w14:textId="743ABCB9"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will be delivered thawed and should be stored </w:t>
      </w:r>
      <w:r w:rsidR="009D3892">
        <w:rPr>
          <w:rFonts w:cs="Arial"/>
          <w:szCs w:val="21"/>
          <w:lang w:eastAsia="en-AU"/>
        </w:rPr>
        <w:t>in a purpose</w:t>
      </w:r>
      <w:r w:rsidR="00C35BE1">
        <w:rPr>
          <w:rFonts w:cs="Arial"/>
          <w:szCs w:val="21"/>
          <w:lang w:eastAsia="en-AU"/>
        </w:rPr>
        <w:t>-</w:t>
      </w:r>
      <w:r w:rsidR="009D3892">
        <w:rPr>
          <w:rFonts w:cs="Arial"/>
          <w:szCs w:val="21"/>
          <w:lang w:eastAsia="en-AU"/>
        </w:rPr>
        <w:t>buil</w:t>
      </w:r>
      <w:r w:rsidR="00C35BE1">
        <w:rPr>
          <w:rFonts w:cs="Arial"/>
          <w:szCs w:val="21"/>
          <w:lang w:eastAsia="en-AU"/>
        </w:rPr>
        <w:t>t</w:t>
      </w:r>
      <w:r w:rsidR="009D3892">
        <w:rPr>
          <w:rFonts w:cs="Arial"/>
          <w:szCs w:val="21"/>
          <w:lang w:eastAsia="en-AU"/>
        </w:rPr>
        <w:t xml:space="preserve">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D76D5D">
        <w:rPr>
          <w:rFonts w:cs="Arial"/>
          <w:b/>
          <w:bCs/>
          <w:szCs w:val="21"/>
          <w:lang w:eastAsia="en-AU"/>
        </w:rPr>
        <w:t>not re-frozen</w:t>
      </w:r>
      <w:r w:rsidRPr="00E973BB">
        <w:rPr>
          <w:rFonts w:cs="Arial"/>
          <w:szCs w:val="21"/>
          <w:lang w:eastAsia="en-AU"/>
        </w:rPr>
        <w:t>.</w:t>
      </w:r>
      <w:r w:rsidR="00A95782" w:rsidRPr="00A95782">
        <w:rPr>
          <w:rFonts w:cs="Arial"/>
          <w:szCs w:val="21"/>
          <w:lang w:eastAsia="en-AU"/>
        </w:rPr>
        <w:t xml:space="preserve"> </w:t>
      </w:r>
    </w:p>
    <w:p w14:paraId="34641C5B" w14:textId="3C98A7F5" w:rsidR="00D76D5D" w:rsidRDefault="00077DBB" w:rsidP="00AA0F0F">
      <w:pPr>
        <w:spacing w:line="288" w:lineRule="auto"/>
        <w:textAlignment w:val="baseline"/>
        <w:rPr>
          <w:rFonts w:cs="Arial"/>
          <w:szCs w:val="21"/>
          <w:lang w:eastAsia="en-AU"/>
        </w:rPr>
      </w:pPr>
      <w:r>
        <w:rPr>
          <w:rFonts w:cs="Arial"/>
          <w:szCs w:val="21"/>
          <w:lang w:eastAsia="en-AU"/>
        </w:rPr>
        <w:t xml:space="preserve">On removal from </w:t>
      </w:r>
      <w:r w:rsidR="00D76D5D">
        <w:rPr>
          <w:rFonts w:cs="Arial"/>
          <w:szCs w:val="21"/>
          <w:lang w:eastAsia="en-AU"/>
        </w:rPr>
        <w:t>freeze storage,</w:t>
      </w:r>
      <w:r>
        <w:rPr>
          <w:rFonts w:cs="Arial"/>
          <w:szCs w:val="21"/>
          <w:lang w:eastAsia="en-AU"/>
        </w:rPr>
        <w:t xml:space="preserve">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t>
      </w:r>
      <w:r w:rsidR="00AF58E2">
        <w:rPr>
          <w:rFonts w:cs="Arial"/>
          <w:bCs/>
          <w:szCs w:val="21"/>
          <w:lang w:eastAsia="en-AU"/>
        </w:rPr>
        <w:t>is</w:t>
      </w:r>
      <w:r w:rsidRPr="006E6816">
        <w:rPr>
          <w:rFonts w:cs="Arial"/>
          <w:bCs/>
          <w:szCs w:val="21"/>
          <w:lang w:eastAsia="en-AU"/>
        </w:rPr>
        <w:t xml:space="preserve"> applied to the box</w:t>
      </w:r>
      <w:r w:rsidR="00D76D5D">
        <w:rPr>
          <w:rFonts w:cs="Arial"/>
          <w:bCs/>
          <w:szCs w:val="21"/>
          <w:lang w:eastAsia="en-AU"/>
        </w:rPr>
        <w:t xml:space="preserve"> (maximum 24 weeks)</w:t>
      </w:r>
      <w:r>
        <w:rPr>
          <w:rFonts w:cs="Arial"/>
          <w:szCs w:val="21"/>
          <w:lang w:eastAsia="en-AU"/>
        </w:rPr>
        <w:t xml:space="preserve">. Ensure vials are stored in the original box. </w:t>
      </w:r>
    </w:p>
    <w:p w14:paraId="273AB3F9" w14:textId="28934252" w:rsidR="00077DBB" w:rsidRDefault="009A52D1" w:rsidP="00AA0F0F">
      <w:pPr>
        <w:spacing w:line="288" w:lineRule="auto"/>
        <w:textAlignment w:val="baseline"/>
        <w:rPr>
          <w:rFonts w:cs="Arial"/>
          <w:szCs w:val="21"/>
          <w:lang w:eastAsia="en-AU"/>
        </w:rPr>
      </w:pPr>
      <w:r>
        <w:rPr>
          <w:rFonts w:cs="Arial"/>
          <w:szCs w:val="21"/>
          <w:lang w:eastAsia="en-AU"/>
        </w:rPr>
        <w:t xml:space="preserve">Refer </w:t>
      </w:r>
      <w:r w:rsidR="00922DEA">
        <w:rPr>
          <w:rFonts w:cs="Arial"/>
          <w:szCs w:val="21"/>
          <w:lang w:eastAsia="en-AU"/>
        </w:rPr>
        <w:t>to</w:t>
      </w:r>
      <w:r>
        <w:rPr>
          <w:rFonts w:cs="Arial"/>
          <w:szCs w:val="21"/>
          <w:lang w:eastAsia="en-AU"/>
        </w:rPr>
        <w:t xml:space="preserve"> the revised label to </w:t>
      </w:r>
      <w:r w:rsidR="00077DBB" w:rsidRPr="004C1343">
        <w:rPr>
          <w:rFonts w:cs="Arial"/>
          <w:szCs w:val="21"/>
          <w:lang w:eastAsia="en-AU"/>
        </w:rPr>
        <w:t>prevent vaccine administration error.</w:t>
      </w:r>
    </w:p>
    <w:p w14:paraId="3CAB6E5A" w14:textId="0F0D0579" w:rsidR="00AF58E2" w:rsidRDefault="00AF58E2" w:rsidP="00AA0F0F">
      <w:pPr>
        <w:spacing w:line="288" w:lineRule="auto"/>
        <w:textAlignment w:val="baseline"/>
        <w:rPr>
          <w:rFonts w:cs="Arial"/>
          <w:szCs w:val="21"/>
          <w:lang w:eastAsia="en-AU"/>
        </w:rPr>
      </w:pPr>
      <w:r>
        <w:rPr>
          <w:noProof/>
        </w:rPr>
        <w:drawing>
          <wp:inline distT="0" distB="0" distL="0" distR="0" wp14:anchorId="53C5A635" wp14:editId="3D322B55">
            <wp:extent cx="3810000" cy="1715893"/>
            <wp:effectExtent l="0" t="0" r="0" b="0"/>
            <wp:docPr id="377542665"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828913" cy="1724411"/>
                    </a:xfrm>
                    <a:prstGeom prst="rect">
                      <a:avLst/>
                    </a:prstGeom>
                    <a:noFill/>
                    <a:ln>
                      <a:noFill/>
                    </a:ln>
                  </pic:spPr>
                </pic:pic>
              </a:graphicData>
            </a:graphic>
          </wp:inline>
        </w:drawing>
      </w:r>
    </w:p>
    <w:p w14:paraId="12171C05" w14:textId="77777777" w:rsidR="00077DBB" w:rsidRPr="00096E9A" w:rsidRDefault="00077DBB" w:rsidP="00DE5333">
      <w:pPr>
        <w:pStyle w:val="Heading2"/>
        <w:spacing w:before="0"/>
      </w:pPr>
      <w:bookmarkStart w:id="62" w:name="_Toc112315626"/>
      <w:bookmarkStart w:id="63" w:name="_Toc169094184"/>
      <w:bookmarkStart w:id="64" w:name="_Toc112154559"/>
      <w:r w:rsidRPr="00096E9A">
        <w:t>Vaccine procurement</w:t>
      </w:r>
      <w:bookmarkEnd w:id="62"/>
      <w:bookmarkEnd w:id="63"/>
      <w:r w:rsidRPr="00096E9A">
        <w:t xml:space="preserve"> </w:t>
      </w:r>
      <w:bookmarkEnd w:id="64"/>
    </w:p>
    <w:p w14:paraId="3220C264" w14:textId="5D0D53C4" w:rsidR="008C1031" w:rsidRPr="008C1031" w:rsidRDefault="008C1031" w:rsidP="009C5F30">
      <w:pPr>
        <w:pStyle w:val="paragraph"/>
        <w:shd w:val="clear" w:color="auto" w:fill="FFFFFF"/>
        <w:spacing w:before="0" w:beforeAutospacing="0" w:after="0" w:afterAutospacing="0" w:line="276" w:lineRule="auto"/>
        <w:textAlignment w:val="baseline"/>
        <w:rPr>
          <w:rFonts w:ascii="Arial" w:eastAsia="Times New Roman" w:hAnsi="Arial" w:cs="Arial"/>
          <w:sz w:val="21"/>
          <w:szCs w:val="21"/>
        </w:rPr>
      </w:pPr>
      <w:r w:rsidRPr="008C1031">
        <w:rPr>
          <w:rFonts w:ascii="Arial" w:eastAsia="Times New Roman" w:hAnsi="Arial" w:cs="Arial"/>
          <w:color w:val="000000"/>
          <w:sz w:val="21"/>
          <w:szCs w:val="21"/>
        </w:rPr>
        <w:t>JYNNEOS® mpox vaccine is available to order through</w:t>
      </w:r>
      <w:r w:rsidR="00B05BA0">
        <w:rPr>
          <w:rFonts w:ascii="Arial" w:eastAsia="Times New Roman" w:hAnsi="Arial" w:cs="Arial"/>
          <w:color w:val="000000"/>
          <w:sz w:val="21"/>
          <w:szCs w:val="21"/>
        </w:rPr>
        <w:t xml:space="preserve"> </w:t>
      </w:r>
      <w:hyperlink r:id="rId25" w:history="1">
        <w:r w:rsidR="009C5F30" w:rsidRPr="009C5F30">
          <w:rPr>
            <w:rStyle w:val="Hyperlink"/>
            <w:rFonts w:ascii="Arial" w:eastAsia="Times New Roman" w:hAnsi="Arial" w:cs="Arial"/>
            <w:sz w:val="21"/>
            <w:szCs w:val="21"/>
          </w:rPr>
          <w:t>Onelink online</w:t>
        </w:r>
      </w:hyperlink>
      <w:r w:rsidR="009C5F30">
        <w:rPr>
          <w:rFonts w:ascii="Arial" w:eastAsia="Times New Roman" w:hAnsi="Arial" w:cs="Arial"/>
          <w:color w:val="000000"/>
          <w:sz w:val="21"/>
          <w:szCs w:val="21"/>
        </w:rPr>
        <w:t xml:space="preserve">. </w:t>
      </w:r>
      <w:r w:rsidR="00B05BA0">
        <w:rPr>
          <w:rFonts w:ascii="Arial" w:eastAsia="Times New Roman" w:hAnsi="Arial" w:cs="Arial"/>
          <w:color w:val="000000"/>
          <w:sz w:val="21"/>
          <w:szCs w:val="21"/>
        </w:rPr>
        <w:t>&lt;</w:t>
      </w:r>
      <w:r w:rsidR="00B05BA0" w:rsidRPr="00B05BA0">
        <w:rPr>
          <w:rFonts w:ascii="Arial" w:eastAsia="Times New Roman" w:hAnsi="Arial" w:cs="Arial"/>
          <w:color w:val="000000"/>
          <w:sz w:val="21"/>
          <w:szCs w:val="21"/>
        </w:rPr>
        <w:t>https://www.onelinkonline.net/</w:t>
      </w:r>
      <w:r w:rsidR="00B05BA0">
        <w:rPr>
          <w:rFonts w:ascii="Arial" w:eastAsia="Times New Roman" w:hAnsi="Arial" w:cs="Arial"/>
          <w:color w:val="000000"/>
          <w:sz w:val="21"/>
          <w:szCs w:val="21"/>
        </w:rPr>
        <w:t>&gt;</w:t>
      </w:r>
      <w:r w:rsidRPr="008C1031">
        <w:rPr>
          <w:rFonts w:ascii="Arial" w:eastAsia="Times New Roman" w:hAnsi="Arial" w:cs="Arial"/>
          <w:color w:val="000000"/>
          <w:sz w:val="21"/>
          <w:szCs w:val="21"/>
        </w:rPr>
        <w:t> </w:t>
      </w:r>
    </w:p>
    <w:p w14:paraId="2DCE4C33" w14:textId="77777777" w:rsidR="008C1031" w:rsidRPr="008C1031" w:rsidRDefault="008C1031" w:rsidP="00D76D5D">
      <w:pPr>
        <w:shd w:val="clear" w:color="auto" w:fill="FFFFFF"/>
        <w:spacing w:before="120" w:after="0" w:line="276" w:lineRule="auto"/>
        <w:textAlignment w:val="baseline"/>
        <w:rPr>
          <w:rFonts w:cs="Arial"/>
          <w:szCs w:val="21"/>
          <w:lang w:eastAsia="en-AU"/>
        </w:rPr>
      </w:pPr>
      <w:r w:rsidRPr="008C1031">
        <w:rPr>
          <w:rFonts w:cs="Arial"/>
          <w:color w:val="000000"/>
          <w:szCs w:val="21"/>
          <w:lang w:eastAsia="en-AU"/>
        </w:rPr>
        <w:t>Please note the following information before ordering the vaccine:  </w:t>
      </w:r>
    </w:p>
    <w:p w14:paraId="5E4DFA25"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The minimum amount that can be ordered is one box, containing 20 vials. </w:t>
      </w:r>
    </w:p>
    <w:p w14:paraId="7082516E"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Providers should commence with an order for one box and increase stock only as demand  indicates.  </w:t>
      </w:r>
    </w:p>
    <w:p w14:paraId="0AA9D67C" w14:textId="77777777" w:rsidR="00077DBB" w:rsidRPr="0053635A" w:rsidRDefault="00077DBB" w:rsidP="00540114">
      <w:pPr>
        <w:pStyle w:val="Heading1"/>
        <w:spacing w:before="240"/>
      </w:pPr>
      <w:bookmarkStart w:id="65" w:name="_Cold_chain_management"/>
      <w:bookmarkStart w:id="66" w:name="_Toc112154566"/>
      <w:bookmarkStart w:id="67" w:name="_Toc112315627"/>
      <w:bookmarkStart w:id="68" w:name="_Toc169094185"/>
      <w:bookmarkEnd w:id="65"/>
      <w:r>
        <w:t>Cold chain management</w:t>
      </w:r>
      <w:bookmarkEnd w:id="66"/>
      <w:bookmarkEnd w:id="67"/>
      <w:bookmarkEnd w:id="68"/>
      <w:r>
        <w:t xml:space="preserve"> </w:t>
      </w:r>
    </w:p>
    <w:p w14:paraId="3095F6A4" w14:textId="65822338"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EC31B1">
        <w:t xml:space="preserve">the </w:t>
      </w:r>
      <w:r w:rsidR="00EC31B1" w:rsidRPr="00B60C4D">
        <w:t>National Vaccine Storage Guidelines ‘Strive for 5’ (2019) 3</w:t>
      </w:r>
      <w:r w:rsidR="00EC31B1" w:rsidRPr="00B60C4D">
        <w:rPr>
          <w:vertAlign w:val="superscript"/>
        </w:rPr>
        <w:t>rd</w:t>
      </w:r>
      <w:r w:rsidR="00EC31B1" w:rsidRPr="00B60C4D">
        <w:t xml:space="preserve"> Ed</w:t>
      </w:r>
      <w:r w:rsidR="00EC31B1">
        <w:t>.</w:t>
      </w:r>
      <w:r w:rsidR="00EC31B1" w:rsidRPr="00EC31B1">
        <w:rPr>
          <w:rStyle w:val="FootnoteReference"/>
        </w:rPr>
        <w:footnoteReference w:id="17"/>
      </w:r>
      <w:r w:rsidR="00FE0725" w:rsidRPr="00FE0725">
        <w:t xml:space="preserve"> </w:t>
      </w:r>
    </w:p>
    <w:p w14:paraId="0423AFC6" w14:textId="74FAFBD6"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EC31B1">
        <w:t>R</w:t>
      </w:r>
      <w:r w:rsidR="00455A40">
        <w:t>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r w:rsidR="00EC31B1" w:rsidRPr="00B60C4D">
        <w:t>Strive for 5 guidelines</w:t>
      </w:r>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DE5333">
      <w:pPr>
        <w:pStyle w:val="Heading2"/>
        <w:spacing w:before="240"/>
      </w:pPr>
      <w:bookmarkStart w:id="69" w:name="_Toc112154567"/>
      <w:bookmarkStart w:id="70" w:name="_Toc112315628"/>
      <w:bookmarkStart w:id="71" w:name="_Toc169094186"/>
      <w:r>
        <w:t>Identifying a cold chain breach</w:t>
      </w:r>
      <w:bookmarkEnd w:id="69"/>
      <w:bookmarkEnd w:id="70"/>
      <w:bookmarkEnd w:id="71"/>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FD31DE" w14:textId="111E12AC" w:rsidR="00077DBB" w:rsidRPr="00B53969" w:rsidRDefault="00077DBB" w:rsidP="00BE2F23">
      <w:pPr>
        <w:pStyle w:val="Body"/>
        <w:rPr>
          <w:szCs w:val="21"/>
        </w:rPr>
      </w:pPr>
      <w:r w:rsidRPr="00B53969">
        <w:t xml:space="preserve">Any service storing vaccines must have a </w:t>
      </w:r>
      <w:r w:rsidR="00251BA0">
        <w:t>plan</w:t>
      </w:r>
      <w:r w:rsidR="00251BA0" w:rsidRPr="00B53969">
        <w:t xml:space="preserve"> </w:t>
      </w:r>
      <w:r w:rsidRPr="00B53969">
        <w:t>for dealing with cold chain breaches.</w:t>
      </w:r>
      <w:r w:rsidR="00BE2F23">
        <w:t xml:space="preserve"> </w:t>
      </w:r>
      <w:r w:rsidR="00060AC7">
        <w:t>A</w:t>
      </w:r>
      <w:r w:rsidRPr="00B53969">
        <w:rPr>
          <w:szCs w:val="21"/>
        </w:rPr>
        <w:t xml:space="preserve">lternate purpose-built vaccine fridges/coolers should be able to contain the full vaccine stock supply. </w:t>
      </w:r>
      <w:r w:rsidR="00733688">
        <w:rPr>
          <w:szCs w:val="21"/>
        </w:rPr>
        <w:t xml:space="preserve">Record the </w:t>
      </w:r>
      <w:r w:rsidRPr="00B53969">
        <w:rPr>
          <w:szCs w:val="21"/>
        </w:rPr>
        <w:t xml:space="preserve">time and temperature </w:t>
      </w:r>
      <w:r w:rsidR="00733688">
        <w:rPr>
          <w:szCs w:val="21"/>
        </w:rPr>
        <w:t>as</w:t>
      </w:r>
      <w:r w:rsidRPr="00B53969">
        <w:rPr>
          <w:szCs w:val="21"/>
        </w:rPr>
        <w:t xml:space="preserve"> soon as practicable after the breach commences. </w:t>
      </w:r>
    </w:p>
    <w:p w14:paraId="056EFEF9" w14:textId="77777777" w:rsidR="00077DBB" w:rsidRPr="00E26836" w:rsidRDefault="00077DBB" w:rsidP="009701D0">
      <w:pPr>
        <w:pStyle w:val="Heading2"/>
        <w:spacing w:before="240" w:line="288" w:lineRule="auto"/>
      </w:pPr>
      <w:bookmarkStart w:id="72" w:name="_Toc112154568"/>
      <w:bookmarkStart w:id="73" w:name="_Toc112315629"/>
      <w:bookmarkStart w:id="74" w:name="_Toc169094187"/>
      <w:r w:rsidRPr="00E26836">
        <w:t>Reporting a vaccine cold chain breach</w:t>
      </w:r>
      <w:bookmarkEnd w:id="72"/>
      <w:bookmarkEnd w:id="73"/>
      <w:bookmarkEnd w:id="74"/>
    </w:p>
    <w:p w14:paraId="0E384A76" w14:textId="77777777" w:rsidR="00077DBB" w:rsidRPr="00974D1B" w:rsidRDefault="00077DBB" w:rsidP="00077DBB">
      <w:pPr>
        <w:pStyle w:val="Body"/>
      </w:pPr>
      <w:r w:rsidRPr="00974D1B">
        <w:t>The following actions must be implemented:</w:t>
      </w:r>
    </w:p>
    <w:p w14:paraId="208D4698" w14:textId="020FCD4F" w:rsidR="00077DBB" w:rsidRPr="00974D1B" w:rsidRDefault="00077DBB" w:rsidP="00DE5333">
      <w:pPr>
        <w:pStyle w:val="Bullet1"/>
        <w:numPr>
          <w:ilvl w:val="0"/>
          <w:numId w:val="15"/>
        </w:numPr>
      </w:pPr>
      <w:r>
        <w:t xml:space="preserve">Isolate affected vaccines in the recommended </w:t>
      </w:r>
      <w:r w:rsidR="00ED08DC">
        <w:t xml:space="preserve">cold chain </w:t>
      </w:r>
      <w:r>
        <w:t>temperature range.</w:t>
      </w:r>
    </w:p>
    <w:p w14:paraId="66D9F1C2" w14:textId="77777777" w:rsidR="00077DBB" w:rsidRDefault="00077DBB" w:rsidP="00DE5333">
      <w:pPr>
        <w:pStyle w:val="Bullet1"/>
        <w:numPr>
          <w:ilvl w:val="0"/>
          <w:numId w:val="15"/>
        </w:numPr>
      </w:pPr>
      <w:r>
        <w:t>Label ‘</w:t>
      </w:r>
      <w:r w:rsidRPr="000B120A">
        <w:rPr>
          <w:b/>
          <w:bCs/>
        </w:rPr>
        <w:t>Do not use’</w:t>
      </w:r>
      <w:r>
        <w:t>.</w:t>
      </w:r>
    </w:p>
    <w:p w14:paraId="302E0FB9" w14:textId="61762CBD" w:rsidR="00ED08DC" w:rsidRPr="00974D1B" w:rsidRDefault="00ED08DC" w:rsidP="00DE5333">
      <w:pPr>
        <w:pStyle w:val="Bullet1"/>
        <w:numPr>
          <w:ilvl w:val="0"/>
          <w:numId w:val="15"/>
        </w:numPr>
      </w:pPr>
      <w:r>
        <w:t xml:space="preserve">Follow the department’s </w:t>
      </w:r>
      <w:hyperlink r:id="rId26" w:history="1">
        <w:r w:rsidRPr="00ED08DC">
          <w:rPr>
            <w:rStyle w:val="Hyperlink"/>
          </w:rPr>
          <w:t>Cold Chain Breach reporting</w:t>
        </w:r>
      </w:hyperlink>
      <w:r>
        <w:t xml:space="preserve"> requirements &lt;</w:t>
      </w:r>
      <w:r w:rsidRPr="00ED08DC">
        <w:t>https://www.health.vic.gov.au/immunisation/cold-chain-breach-reporting</w:t>
      </w:r>
      <w:r>
        <w:t>&gt;</w:t>
      </w:r>
    </w:p>
    <w:p w14:paraId="4801BF9C" w14:textId="52802030" w:rsidR="00077DBB" w:rsidRPr="00974D1B" w:rsidRDefault="00716B8D" w:rsidP="005E06CA">
      <w:pPr>
        <w:pStyle w:val="Bullet1"/>
        <w:numPr>
          <w:ilvl w:val="0"/>
          <w:numId w:val="0"/>
        </w:numPr>
        <w:spacing w:before="240" w:after="120"/>
        <w:rPr>
          <w:b/>
        </w:rPr>
      </w:pPr>
      <w:r>
        <w:rPr>
          <w:b/>
        </w:rPr>
        <w:t>Inadvertent</w:t>
      </w:r>
      <w:r w:rsidR="00423728">
        <w:rPr>
          <w:b/>
        </w:rPr>
        <w:t xml:space="preserve"> administration </w:t>
      </w:r>
      <w:r>
        <w:rPr>
          <w:b/>
        </w:rPr>
        <w:t>of</w:t>
      </w:r>
      <w:r w:rsidR="00077DBB" w:rsidRPr="00974D1B">
        <w:rPr>
          <w:b/>
        </w:rPr>
        <w:t xml:space="preserve">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77777777" w:rsidR="00077DBB" w:rsidRPr="00974D1B" w:rsidRDefault="00077DBB" w:rsidP="00603DC8">
      <w:pPr>
        <w:pStyle w:val="Bullet1"/>
        <w:numPr>
          <w:ilvl w:val="0"/>
          <w:numId w:val="15"/>
        </w:numPr>
        <w:rPr>
          <w:rFonts w:asciiTheme="minorHAnsi" w:eastAsiaTheme="minorEastAsia" w:hAnsiTheme="minorHAnsi"/>
          <w:szCs w:val="21"/>
        </w:rPr>
      </w:pPr>
      <w:r>
        <w:t xml:space="preserve">call SAEFVIC Immunisation Hotline (1300 882 924 option 1) and </w:t>
      </w:r>
    </w:p>
    <w:p w14:paraId="7136E9E7" w14:textId="011BE5D6" w:rsidR="00077DBB" w:rsidRPr="00B82F08" w:rsidRDefault="00077DBB" w:rsidP="00603DC8">
      <w:pPr>
        <w:pStyle w:val="Bullet1"/>
        <w:numPr>
          <w:ilvl w:val="0"/>
          <w:numId w:val="15"/>
        </w:numPr>
      </w:pPr>
      <w:r>
        <w:t xml:space="preserve">complete </w:t>
      </w:r>
      <w:hyperlink r:id="rId27">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28">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5" w:name="_Clinical_Guidelines"/>
      <w:bookmarkStart w:id="76" w:name="_Toc1483138152"/>
      <w:bookmarkStart w:id="77" w:name="_Toc112154569"/>
      <w:bookmarkStart w:id="78" w:name="_Toc112315630"/>
      <w:bookmarkStart w:id="79" w:name="_Toc169094188"/>
      <w:bookmarkEnd w:id="75"/>
      <w:r w:rsidRPr="00B3292D">
        <w:t>Clinical Guidelines</w:t>
      </w:r>
      <w:bookmarkEnd w:id="76"/>
      <w:bookmarkEnd w:id="77"/>
      <w:bookmarkEnd w:id="78"/>
      <w:bookmarkEnd w:id="79"/>
    </w:p>
    <w:p w14:paraId="52D9C3A9" w14:textId="77777777" w:rsidR="00077DBB" w:rsidRPr="0053635A" w:rsidRDefault="00077DBB" w:rsidP="00077DBB">
      <w:pPr>
        <w:pStyle w:val="Heading2"/>
      </w:pPr>
      <w:bookmarkStart w:id="80" w:name="_National_Vaccine_Operations"/>
      <w:bookmarkStart w:id="81" w:name="_Workforce_requirements"/>
      <w:bookmarkStart w:id="82" w:name="_Workforce_requirements_1"/>
      <w:bookmarkStart w:id="83" w:name="_Toc62825435"/>
      <w:bookmarkStart w:id="84" w:name="_Toc71895620"/>
      <w:bookmarkStart w:id="85" w:name="_Toc73627090"/>
      <w:bookmarkStart w:id="86" w:name="_Toc2030836546"/>
      <w:bookmarkStart w:id="87" w:name="_Toc112154570"/>
      <w:bookmarkStart w:id="88" w:name="_Toc112315631"/>
      <w:bookmarkStart w:id="89" w:name="_Toc169094189"/>
      <w:bookmarkEnd w:id="80"/>
      <w:bookmarkEnd w:id="81"/>
      <w:bookmarkEnd w:id="82"/>
      <w:r>
        <w:t>Infection prevention and control</w:t>
      </w:r>
      <w:bookmarkEnd w:id="83"/>
      <w:bookmarkEnd w:id="84"/>
      <w:bookmarkEnd w:id="85"/>
      <w:bookmarkEnd w:id="86"/>
      <w:bookmarkEnd w:id="87"/>
      <w:bookmarkEnd w:id="88"/>
      <w:bookmarkEnd w:id="89"/>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1E563389" w14:textId="6AC33726" w:rsidR="00DE5333" w:rsidRDefault="00DE5333" w:rsidP="00077DBB">
      <w:pPr>
        <w:pStyle w:val="Bodyafterbullets"/>
        <w:rPr>
          <w:rStyle w:val="Hyperlink"/>
        </w:rPr>
      </w:pPr>
      <w:r>
        <w:t xml:space="preserve">Refer to further guidance provided in the </w:t>
      </w:r>
      <w:r w:rsidRPr="00C33CCC">
        <w:t>Australian Guidelines for the Prevention and Control of Infection in Healthcare</w:t>
      </w:r>
      <w:r>
        <w:t>.</w:t>
      </w:r>
      <w:r w:rsidRPr="00C33CCC">
        <w:rPr>
          <w:rStyle w:val="FootnoteReference"/>
        </w:rPr>
        <w:footnoteReference w:id="18"/>
      </w:r>
    </w:p>
    <w:p w14:paraId="1EE78617" w14:textId="67D02817" w:rsidR="00077DBB" w:rsidRPr="0053635A" w:rsidRDefault="00077DBB" w:rsidP="00E36814">
      <w:pPr>
        <w:pStyle w:val="Heading2"/>
        <w:tabs>
          <w:tab w:val="center" w:pos="4513"/>
        </w:tabs>
      </w:pPr>
      <w:bookmarkStart w:id="90" w:name="_Toc73627091"/>
      <w:bookmarkStart w:id="91" w:name="_Toc1432810979"/>
      <w:bookmarkStart w:id="92" w:name="_Toc112154571"/>
      <w:bookmarkStart w:id="93" w:name="_Toc112315632"/>
      <w:bookmarkStart w:id="94" w:name="_Toc169094190"/>
      <w:r w:rsidRPr="0053635A">
        <w:t>Hand hygiene</w:t>
      </w:r>
      <w:bookmarkEnd w:id="90"/>
      <w:bookmarkEnd w:id="91"/>
      <w:bookmarkEnd w:id="92"/>
      <w:bookmarkEnd w:id="93"/>
      <w:bookmarkEnd w:id="94"/>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4"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4"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0CC9E817"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r w:rsidR="00DE5333" w:rsidRPr="00C33CCC">
        <w:t>Australian Commission on Safety and Quality in Health Care</w:t>
      </w:r>
      <w:r w:rsidRPr="00294463">
        <w:t xml:space="preserve"> </w:t>
      </w:r>
      <w:r w:rsidR="006D457B">
        <w:t>website</w:t>
      </w:r>
      <w:r w:rsidR="00DE5333">
        <w:rPr>
          <w:rStyle w:val="FootnoteReference"/>
        </w:rPr>
        <w:footnoteReference w:id="19"/>
      </w:r>
      <w:r w:rsidR="00DE5333">
        <w:t>.</w:t>
      </w:r>
      <w:r w:rsidR="006D457B">
        <w:t xml:space="preserv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675C4197" w14:textId="0E25A339" w:rsidR="00077DBB" w:rsidRPr="00E63533" w:rsidRDefault="00077DBB" w:rsidP="00077DBB">
      <w:pPr>
        <w:pStyle w:val="Heading2"/>
      </w:pPr>
      <w:bookmarkStart w:id="95" w:name="_Toc73627092"/>
      <w:bookmarkStart w:id="96" w:name="_Toc1842415591"/>
      <w:bookmarkStart w:id="97" w:name="_Toc112154572"/>
      <w:bookmarkStart w:id="98" w:name="_Toc112315633"/>
      <w:bookmarkStart w:id="99" w:name="_Toc169094191"/>
      <w:r w:rsidRPr="00F23471">
        <w:t xml:space="preserve">Personal </w:t>
      </w:r>
      <w:r w:rsidR="00544E60" w:rsidRPr="00F23471">
        <w:t>p</w:t>
      </w:r>
      <w:r w:rsidRPr="00F23471">
        <w:t xml:space="preserve">rotective </w:t>
      </w:r>
      <w:r w:rsidR="00544E60" w:rsidRPr="00F23471">
        <w:t>e</w:t>
      </w:r>
      <w:r w:rsidRPr="00F23471">
        <w:t>quipment (PPE)</w:t>
      </w:r>
      <w:bookmarkStart w:id="100" w:name="_Hlk63155054"/>
      <w:bookmarkEnd w:id="95"/>
      <w:bookmarkEnd w:id="96"/>
      <w:bookmarkEnd w:id="97"/>
      <w:bookmarkEnd w:id="98"/>
      <w:bookmarkEnd w:id="99"/>
    </w:p>
    <w:p w14:paraId="62917929" w14:textId="6BD4E0E4" w:rsidR="006D457B" w:rsidRDefault="00077DBB" w:rsidP="00C317A5">
      <w:pPr>
        <w:pStyle w:val="Body"/>
        <w:rPr>
          <w:rStyle w:val="Hyperlink"/>
          <w:rFonts w:cs="Arial"/>
          <w:szCs w:val="21"/>
          <w:lang w:eastAsia="en-AU"/>
        </w:rPr>
      </w:pPr>
      <w:r w:rsidRPr="00A3303A">
        <w:rPr>
          <w:lang w:eastAsia="en-AU"/>
        </w:rPr>
        <w:t>Vaccination providers must keep up to date with the latest recommendations regarding use of PPE for the Victorian health sector during the mpox outbreak response</w:t>
      </w:r>
      <w:r>
        <w:rPr>
          <w:lang w:eastAsia="en-AU"/>
        </w:rPr>
        <w:t xml:space="preserve"> and </w:t>
      </w:r>
      <w:r w:rsidR="00ED08DC">
        <w:rPr>
          <w:lang w:eastAsia="en-AU"/>
        </w:rPr>
        <w:t xml:space="preserve">circulating COVID-19 virus. </w:t>
      </w:r>
      <w:bookmarkEnd w:id="100"/>
      <w:r w:rsidR="00C317A5">
        <w:rPr>
          <w:rFonts w:cs="Arial"/>
          <w:color w:val="000000"/>
          <w:szCs w:val="21"/>
          <w:lang w:eastAsia="en-AU"/>
        </w:rPr>
        <w:t xml:space="preserve">Requirements are </w:t>
      </w:r>
      <w:r w:rsidRPr="00106055">
        <w:rPr>
          <w:rFonts w:cs="Arial"/>
          <w:color w:val="000000"/>
          <w:szCs w:val="21"/>
          <w:lang w:eastAsia="en-AU"/>
        </w:rPr>
        <w:t xml:space="preserve">detailed </w:t>
      </w:r>
      <w:r w:rsidR="006973B7">
        <w:rPr>
          <w:rFonts w:cs="Arial"/>
          <w:color w:val="000000"/>
          <w:szCs w:val="21"/>
          <w:lang w:eastAsia="en-AU"/>
        </w:rPr>
        <w:t>on</w:t>
      </w:r>
      <w:r w:rsidRPr="00106055">
        <w:rPr>
          <w:rFonts w:cs="Arial"/>
          <w:color w:val="000000"/>
          <w:szCs w:val="21"/>
          <w:lang w:eastAsia="en-AU"/>
        </w:rPr>
        <w:t xml:space="preserve"> the </w:t>
      </w:r>
      <w:r w:rsidR="006973B7">
        <w:rPr>
          <w:rFonts w:cs="Arial"/>
          <w:color w:val="000000"/>
          <w:szCs w:val="21"/>
          <w:lang w:eastAsia="en-AU"/>
        </w:rPr>
        <w:t xml:space="preserve">department’s </w:t>
      </w:r>
      <w:r w:rsidR="00C317A5" w:rsidRPr="00C317A5">
        <w:rPr>
          <w:rFonts w:cs="Arial"/>
          <w:szCs w:val="21"/>
          <w:lang w:eastAsia="en-AU"/>
        </w:rPr>
        <w:t xml:space="preserve">Personal protective equipment (PPE) </w:t>
      </w:r>
      <w:r w:rsidR="006973B7" w:rsidRPr="006973B7">
        <w:rPr>
          <w:rStyle w:val="Hyperlink"/>
          <w:rFonts w:cs="Arial"/>
          <w:color w:val="auto"/>
          <w:szCs w:val="21"/>
          <w:u w:val="none"/>
          <w:lang w:eastAsia="en-AU"/>
        </w:rPr>
        <w:t>web page</w:t>
      </w:r>
      <w:r w:rsidR="003A2861">
        <w:rPr>
          <w:rStyle w:val="FootnoteReference"/>
          <w:rFonts w:cs="Arial"/>
          <w:szCs w:val="21"/>
          <w:lang w:eastAsia="en-AU"/>
        </w:rPr>
        <w:footnoteReference w:id="20"/>
      </w:r>
      <w:r w:rsidR="006973B7" w:rsidRPr="006973B7">
        <w:rPr>
          <w:rStyle w:val="Hyperlink"/>
          <w:rFonts w:cs="Arial"/>
          <w:color w:val="auto"/>
          <w:szCs w:val="21"/>
          <w:u w:val="none"/>
          <w:lang w:eastAsia="en-AU"/>
        </w:rPr>
        <w:t>.</w:t>
      </w:r>
      <w:r w:rsidR="006D457B" w:rsidRPr="006973B7">
        <w:rPr>
          <w:rStyle w:val="Hyperlink"/>
          <w:rFonts w:cs="Arial"/>
          <w:color w:val="auto"/>
          <w:szCs w:val="21"/>
          <w:lang w:eastAsia="en-AU"/>
        </w:rPr>
        <w:t xml:space="preserve"> </w:t>
      </w:r>
    </w:p>
    <w:p w14:paraId="115761AE" w14:textId="5388EFE0" w:rsidR="00C317A5" w:rsidRDefault="00077DBB" w:rsidP="000468A1">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w:t>
      </w:r>
      <w:r w:rsidR="00C317A5">
        <w:t>by ICEG Interim Guidance on Monkeypox for Health Workers</w:t>
      </w:r>
      <w:r w:rsidR="00C317A5">
        <w:rPr>
          <w:rStyle w:val="FootnoteReference"/>
        </w:rPr>
        <w:footnoteReference w:id="21"/>
      </w:r>
      <w:r w:rsidR="00C317A5">
        <w:t xml:space="preserve">. </w:t>
      </w:r>
    </w:p>
    <w:p w14:paraId="10C218E3" w14:textId="77777777" w:rsidR="00077DBB" w:rsidRPr="00335F2A" w:rsidRDefault="00077DBB" w:rsidP="00BB2128">
      <w:pPr>
        <w:pStyle w:val="Heading2"/>
      </w:pPr>
      <w:bookmarkStart w:id="101" w:name="_Toc73627093"/>
      <w:bookmarkStart w:id="102" w:name="_Toc515385813"/>
      <w:bookmarkStart w:id="103" w:name="_Toc112154573"/>
      <w:bookmarkStart w:id="104" w:name="_Toc112315634"/>
      <w:bookmarkStart w:id="105" w:name="_Toc169094192"/>
      <w:r w:rsidRPr="00683842">
        <w:t>Cleaning and disinfection</w:t>
      </w:r>
      <w:bookmarkEnd w:id="101"/>
      <w:bookmarkEnd w:id="102"/>
      <w:bookmarkEnd w:id="103"/>
      <w:bookmarkEnd w:id="104"/>
      <w:bookmarkEnd w:id="105"/>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F73484B" w:rsidR="002F1E29" w:rsidRPr="006973B7" w:rsidRDefault="00077DBB" w:rsidP="002F1E29">
      <w:pPr>
        <w:rPr>
          <w:rFonts w:asciiTheme="minorHAnsi" w:hAnsiTheme="minorHAnsi"/>
          <w:sz w:val="22"/>
        </w:rPr>
      </w:pPr>
      <w:r>
        <w:rPr>
          <w:szCs w:val="21"/>
        </w:rPr>
        <w:t xml:space="preserve">Further information regarding environmental cleaning in the context of </w:t>
      </w:r>
      <w:r w:rsidR="00EC03ED">
        <w:rPr>
          <w:szCs w:val="21"/>
        </w:rPr>
        <w:t xml:space="preserve">circulating </w:t>
      </w:r>
      <w:r>
        <w:rPr>
          <w:szCs w:val="21"/>
        </w:rPr>
        <w:t xml:space="preserve">COVID-19 </w:t>
      </w:r>
      <w:r w:rsidR="00EC03ED">
        <w:rPr>
          <w:szCs w:val="21"/>
        </w:rPr>
        <w:t xml:space="preserve">virus </w:t>
      </w:r>
      <w:r w:rsidR="00E17BC1">
        <w:rPr>
          <w:szCs w:val="21"/>
        </w:rPr>
        <w:t>is provided in the</w:t>
      </w:r>
      <w:r>
        <w:rPr>
          <w:szCs w:val="21"/>
        </w:rPr>
        <w:t xml:space="preserve"> department’s</w:t>
      </w:r>
      <w:r w:rsidR="006973B7">
        <w:rPr>
          <w:szCs w:val="21"/>
        </w:rPr>
        <w:t xml:space="preserve"> </w:t>
      </w:r>
      <w:r w:rsidR="006A4980" w:rsidRPr="00E17BC1">
        <w:rPr>
          <w:szCs w:val="21"/>
        </w:rPr>
        <w:t>Standard and transmission-based precautions</w:t>
      </w:r>
      <w:r w:rsidR="00E17BC1">
        <w:rPr>
          <w:szCs w:val="21"/>
        </w:rPr>
        <w:t xml:space="preserve"> webpage</w:t>
      </w:r>
      <w:r w:rsidR="006A4980">
        <w:rPr>
          <w:szCs w:val="21"/>
        </w:rPr>
        <w:t>.</w:t>
      </w:r>
      <w:r w:rsidR="006A4980" w:rsidRPr="00E17BC1">
        <w:rPr>
          <w:rStyle w:val="FootnoteReference"/>
          <w:szCs w:val="21"/>
        </w:rPr>
        <w:footnoteReference w:id="22"/>
      </w:r>
      <w:r w:rsidR="006A4980" w:rsidRPr="00E17BC1">
        <w:rPr>
          <w:szCs w:val="21"/>
        </w:rPr>
        <w:t xml:space="preserve"> </w:t>
      </w:r>
      <w:r w:rsidR="006973B7" w:rsidRPr="006973B7">
        <w:rPr>
          <w:szCs w:val="21"/>
        </w:rPr>
        <w:t xml:space="preserve"> </w:t>
      </w:r>
    </w:p>
    <w:p w14:paraId="043702FC" w14:textId="4A364D8A" w:rsidR="003A2861" w:rsidRDefault="00E17BC1" w:rsidP="00BB2128">
      <w:r>
        <w:rPr>
          <w:szCs w:val="21"/>
        </w:rPr>
        <w:t>Refer</w:t>
      </w:r>
      <w:r w:rsidR="003A2861">
        <w:t xml:space="preserve"> to </w:t>
      </w:r>
      <w:r w:rsidR="006A4980" w:rsidRPr="006A4980">
        <w:t>ICEG interim guidance on Monkeypox for health workers</w:t>
      </w:r>
      <w:r>
        <w:t>, for f</w:t>
      </w:r>
      <w:r w:rsidRPr="00B72C9F">
        <w:t xml:space="preserve">urther information regarding environmental cleaning </w:t>
      </w:r>
      <w:r>
        <w:t>for mpox</w:t>
      </w:r>
      <w:r w:rsidR="006A4980">
        <w:t>.</w:t>
      </w:r>
      <w:r w:rsidR="006A4980">
        <w:rPr>
          <w:vertAlign w:val="superscript"/>
        </w:rPr>
        <w:t>17</w:t>
      </w:r>
      <w:r w:rsidR="003A2861">
        <w:t xml:space="preserve">  </w:t>
      </w:r>
    </w:p>
    <w:p w14:paraId="5DEAFF44" w14:textId="0504527B" w:rsidR="00077DBB" w:rsidRPr="00335F2A" w:rsidRDefault="00077DBB" w:rsidP="00770841">
      <w:pPr>
        <w:pStyle w:val="Heading2"/>
      </w:pPr>
      <w:bookmarkStart w:id="106" w:name="_Toc73627094"/>
      <w:bookmarkStart w:id="107" w:name="_Toc1664371431"/>
      <w:bookmarkStart w:id="108" w:name="_Toc112154574"/>
      <w:bookmarkStart w:id="109" w:name="_Toc112315635"/>
      <w:bookmarkStart w:id="110" w:name="_Toc169094193"/>
      <w:r w:rsidRPr="00683842">
        <w:t>Waste management</w:t>
      </w:r>
      <w:bookmarkEnd w:id="106"/>
      <w:r w:rsidRPr="00335F2A">
        <w:t xml:space="preserve"> and disposal</w:t>
      </w:r>
      <w:bookmarkEnd w:id="107"/>
      <w:bookmarkEnd w:id="108"/>
      <w:bookmarkEnd w:id="109"/>
      <w:bookmarkEnd w:id="110"/>
    </w:p>
    <w:p w14:paraId="14FCCCF8" w14:textId="6B3D9C81" w:rsidR="00F23471" w:rsidRDefault="00077DBB" w:rsidP="00897DFE">
      <w:r>
        <w:t xml:space="preserve">At minimum, standard precautions apply, and waste should be disposed of in line with state legislation regarding clinical and related waste. </w:t>
      </w:r>
      <w:r w:rsidRPr="00A627AF">
        <w:t xml:space="preserve">All waste should be segregated into appropriate waste streams, for example general waste and clinic waste, including sharps. Vaccination providers must follow their normal waste management processes for the disposal of vaccine vials. </w:t>
      </w:r>
      <w:r w:rsidR="00E17BC1">
        <w:t xml:space="preserve">Refer to the department’s </w:t>
      </w:r>
      <w:r w:rsidR="00E17BC1" w:rsidRPr="00E17BC1">
        <w:t>Clinical Waste Guid</w:t>
      </w:r>
      <w:r w:rsidR="00E17BC1">
        <w:t>elines</w:t>
      </w:r>
      <w:r w:rsidR="00E17BC1">
        <w:rPr>
          <w:rStyle w:val="FootnoteReference"/>
        </w:rPr>
        <w:footnoteReference w:id="23"/>
      </w:r>
      <w:r w:rsidR="00E17BC1">
        <w:t xml:space="preserve"> </w:t>
      </w:r>
      <w:r w:rsidR="00F23471">
        <w:t xml:space="preserve">and the </w:t>
      </w:r>
      <w:r w:rsidRPr="00A627AF">
        <w:t>Environment Protection Authority (EPA) Victoria</w:t>
      </w:r>
      <w:r w:rsidR="00F23471" w:rsidRPr="00F23471">
        <w:t xml:space="preserve"> </w:t>
      </w:r>
      <w:r w:rsidR="00F23471">
        <w:t>for further details.</w:t>
      </w:r>
      <w:r w:rsidR="00F23471">
        <w:rPr>
          <w:rStyle w:val="FootnoteReference"/>
        </w:rPr>
        <w:footnoteReference w:id="24"/>
      </w:r>
      <w:r w:rsidRPr="00A627AF">
        <w:t xml:space="preserve"> </w:t>
      </w: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1F2950">
      <w:pPr>
        <w:pStyle w:val="Heading1"/>
        <w:spacing w:before="360" w:after="120"/>
      </w:pPr>
      <w:bookmarkStart w:id="111" w:name="_Toc112154579"/>
      <w:bookmarkStart w:id="112" w:name="_Toc112315641"/>
      <w:bookmarkStart w:id="113" w:name="_Toc169094194"/>
      <w:r w:rsidRPr="00D675FA">
        <w:t>Vaccination procedures</w:t>
      </w:r>
      <w:bookmarkEnd w:id="111"/>
      <w:bookmarkEnd w:id="112"/>
      <w:bookmarkEnd w:id="113"/>
    </w:p>
    <w:p w14:paraId="561E8081" w14:textId="13CC765D" w:rsidR="001078AA" w:rsidRDefault="00F23471" w:rsidP="00604C90">
      <w:pPr>
        <w:pStyle w:val="Body"/>
        <w:rPr>
          <w:rFonts w:cs="Arial"/>
        </w:rPr>
      </w:pPr>
      <w:r>
        <w:rPr>
          <w:rFonts w:cs="Arial"/>
        </w:rPr>
        <w:t xml:space="preserve">Victorian immunisation providers </w:t>
      </w:r>
      <w:r w:rsidR="00077DBB" w:rsidRPr="00205CB0">
        <w:rPr>
          <w:rFonts w:cs="Arial"/>
        </w:rPr>
        <w:t xml:space="preserve">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00077DBB" w:rsidRPr="00205CB0">
        <w:rPr>
          <w:rFonts w:cs="Arial"/>
        </w:rPr>
        <w:t xml:space="preserve">in line with </w:t>
      </w:r>
      <w:r w:rsidRPr="00F23471">
        <w:rPr>
          <w:rFonts w:cs="Arial"/>
        </w:rPr>
        <w:t xml:space="preserve">ATAGI clinical guidance </w:t>
      </w:r>
      <w:r>
        <w:rPr>
          <w:rFonts w:cs="Arial"/>
        </w:rPr>
        <w:t>in the Australian Immunisation Handbook</w:t>
      </w:r>
      <w:r>
        <w:rPr>
          <w:rStyle w:val="FootnoteReference"/>
          <w:rFonts w:cs="Arial"/>
        </w:rPr>
        <w:footnoteReference w:id="25"/>
      </w:r>
      <w:r>
        <w:rPr>
          <w:rFonts w:cs="Arial"/>
        </w:rPr>
        <w:t xml:space="preserve"> and these guidelines. </w:t>
      </w:r>
      <w:r w:rsidRPr="00F23471">
        <w:rPr>
          <w:rFonts w:cs="Arial"/>
        </w:rPr>
        <w:t xml:space="preserve"> </w:t>
      </w:r>
    </w:p>
    <w:p w14:paraId="1CE9DAF2" w14:textId="34C1CF26" w:rsidR="00F23471" w:rsidRDefault="00077DBB" w:rsidP="00604C90">
      <w:pPr>
        <w:pStyle w:val="Body"/>
        <w:rPr>
          <w:szCs w:val="21"/>
          <w:shd w:val="clear" w:color="auto" w:fill="FFFFFF"/>
        </w:rPr>
      </w:pPr>
      <w:r w:rsidRPr="00FB2629">
        <w:rPr>
          <w:szCs w:val="21"/>
        </w:rPr>
        <w:t>For general information regarding vaccination procedures refer to</w:t>
      </w:r>
      <w:r w:rsidR="00186ADA">
        <w:rPr>
          <w:szCs w:val="21"/>
        </w:rPr>
        <w:t xml:space="preserve"> the</w:t>
      </w:r>
      <w:r w:rsidRPr="00FB2629">
        <w:rPr>
          <w:szCs w:val="21"/>
        </w:rPr>
        <w:t xml:space="preserve"> </w:t>
      </w:r>
      <w:r w:rsidR="00F23471" w:rsidRPr="001078AA">
        <w:rPr>
          <w:szCs w:val="21"/>
          <w:shd w:val="clear" w:color="auto" w:fill="FFFFFF"/>
        </w:rPr>
        <w:t>Australian Immunisation Handbook</w:t>
      </w:r>
      <w:r w:rsidR="001078AA">
        <w:rPr>
          <w:szCs w:val="21"/>
          <w:shd w:val="clear" w:color="auto" w:fill="FFFFFF"/>
        </w:rPr>
        <w:t>.</w:t>
      </w:r>
      <w:r w:rsidR="001078AA">
        <w:rPr>
          <w:rStyle w:val="FootnoteReference"/>
          <w:szCs w:val="21"/>
          <w:shd w:val="clear" w:color="auto" w:fill="FFFFFF"/>
        </w:rPr>
        <w:footnoteReference w:id="26"/>
      </w:r>
    </w:p>
    <w:p w14:paraId="408B0805" w14:textId="77777777" w:rsidR="00077DBB" w:rsidRPr="000C162E" w:rsidRDefault="00077DBB" w:rsidP="001F2950">
      <w:pPr>
        <w:pStyle w:val="Heading2"/>
        <w:spacing w:before="240"/>
        <w:rPr>
          <w:highlight w:val="yellow"/>
        </w:rPr>
      </w:pPr>
      <w:bookmarkStart w:id="114" w:name="_Toc112154580"/>
      <w:bookmarkStart w:id="115" w:name="_Toc112315642"/>
      <w:bookmarkStart w:id="116" w:name="_Toc169094195"/>
      <w:r w:rsidRPr="00575F11">
        <w:t>Preparation</w:t>
      </w:r>
      <w:bookmarkEnd w:id="114"/>
      <w:bookmarkEnd w:id="115"/>
      <w:bookmarkEnd w:id="116"/>
      <w:r>
        <w:t xml:space="preserve"> </w:t>
      </w:r>
    </w:p>
    <w:p w14:paraId="5EBCAF61" w14:textId="52ACC597" w:rsidR="001078AA" w:rsidRDefault="00077DBB" w:rsidP="001F2950">
      <w:pPr>
        <w:shd w:val="clear" w:color="auto" w:fill="FFFFFF"/>
        <w:spacing w:after="0" w:line="288" w:lineRule="auto"/>
      </w:pPr>
      <w:r w:rsidRPr="008375DF">
        <w:rPr>
          <w:rFonts w:cs="Arial"/>
          <w:szCs w:val="21"/>
          <w:lang w:eastAsia="en-AU"/>
        </w:rPr>
        <w:t xml:space="preserve">Ensure </w:t>
      </w:r>
      <w:r w:rsidR="001F2950">
        <w:rPr>
          <w:rFonts w:cs="Arial"/>
          <w:szCs w:val="21"/>
          <w:lang w:eastAsia="en-AU"/>
        </w:rPr>
        <w:t xml:space="preserve">the </w:t>
      </w:r>
      <w:r w:rsidRPr="00C772DB">
        <w:rPr>
          <w:rFonts w:cs="Arial"/>
          <w:szCs w:val="21"/>
          <w:lang w:eastAsia="en-AU"/>
        </w:rPr>
        <w:t>vaccine refrigerator displays minimum/maximum temperatures within +2°C to +8°C range before removing the vaccine.</w:t>
      </w:r>
      <w:r w:rsidR="001078AA">
        <w:rPr>
          <w:rStyle w:val="FootnoteReference"/>
        </w:rPr>
        <w:footnoteReference w:id="27"/>
      </w:r>
      <w:r w:rsidR="001078AA" w:rsidRPr="001078AA">
        <w:t xml:space="preserve"> </w:t>
      </w:r>
    </w:p>
    <w:p w14:paraId="68257475" w14:textId="0F8BD3E5"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take the correct vaccine from the refrigerator </w:t>
      </w:r>
    </w:p>
    <w:p w14:paraId="7FF19267" w14:textId="7C5D33CA"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check the </w:t>
      </w:r>
      <w:r w:rsidR="00077DBB" w:rsidRPr="002F499E">
        <w:rPr>
          <w:rFonts w:cs="Arial"/>
          <w:szCs w:val="21"/>
          <w:lang w:eastAsia="en-AU"/>
        </w:rPr>
        <w:t xml:space="preserve">vaccine </w:t>
      </w:r>
      <w:r w:rsidRPr="001F2950">
        <w:rPr>
          <w:rFonts w:cs="Arial"/>
          <w:b/>
          <w:bCs/>
          <w:szCs w:val="21"/>
          <w:lang w:eastAsia="en-AU"/>
        </w:rPr>
        <w:t xml:space="preserve">revised </w:t>
      </w:r>
      <w:r w:rsidR="00077DBB" w:rsidRPr="001F2950">
        <w:rPr>
          <w:rFonts w:cs="Arial"/>
          <w:b/>
          <w:bCs/>
          <w:szCs w:val="21"/>
          <w:lang w:eastAsia="en-AU"/>
        </w:rPr>
        <w:t>expiry date</w:t>
      </w:r>
      <w:r w:rsidR="00CF55A6">
        <w:rPr>
          <w:rFonts w:cs="Arial"/>
          <w:szCs w:val="21"/>
          <w:lang w:eastAsia="en-AU"/>
        </w:rPr>
        <w:t xml:space="preserve"> </w:t>
      </w:r>
      <w:r>
        <w:rPr>
          <w:rFonts w:cs="Arial"/>
          <w:szCs w:val="21"/>
          <w:lang w:eastAsia="en-AU"/>
        </w:rPr>
        <w:t xml:space="preserve">on the outside of the box </w:t>
      </w:r>
    </w:p>
    <w:p w14:paraId="718A7AD1" w14:textId="46414037"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confirm at least 28 day </w:t>
      </w:r>
      <w:r w:rsidR="00077DBB" w:rsidRPr="002F499E">
        <w:rPr>
          <w:rFonts w:cs="Arial"/>
          <w:szCs w:val="21"/>
          <w:lang w:eastAsia="en-AU"/>
        </w:rPr>
        <w:t>interval between doses</w:t>
      </w:r>
    </w:p>
    <w:p w14:paraId="1988E103" w14:textId="704BB184" w:rsidR="00F17820" w:rsidRPr="001F2950" w:rsidRDefault="00077DBB" w:rsidP="001F2950">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sidRPr="001F2950">
        <w:rPr>
          <w:rFonts w:cs="Arial"/>
          <w:szCs w:val="21"/>
          <w:lang w:eastAsia="en-AU"/>
        </w:rPr>
        <w:t>complete pre vaccination screening</w:t>
      </w:r>
      <w:r w:rsidR="001F2950" w:rsidRPr="001F2950">
        <w:rPr>
          <w:rFonts w:cs="Arial"/>
          <w:szCs w:val="21"/>
          <w:lang w:eastAsia="en-AU"/>
        </w:rPr>
        <w:t xml:space="preserve"> </w:t>
      </w:r>
      <w:r w:rsidR="001F2950">
        <w:rPr>
          <w:rFonts w:cs="Arial"/>
          <w:szCs w:val="21"/>
          <w:lang w:eastAsia="en-AU"/>
        </w:rPr>
        <w:t xml:space="preserve">and </w:t>
      </w:r>
      <w:r w:rsidR="001F2950" w:rsidRPr="001F2950">
        <w:t xml:space="preserve">JYNNEOS® vaccine consent    </w:t>
      </w:r>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1F2950">
      <w:pPr>
        <w:pStyle w:val="Heading2"/>
        <w:spacing w:before="240"/>
      </w:pPr>
      <w:bookmarkStart w:id="117" w:name="_Toc112154581"/>
      <w:bookmarkStart w:id="118" w:name="_Toc112315643"/>
      <w:bookmarkStart w:id="119" w:name="_Toc169094196"/>
      <w:r>
        <w:t>Preparation for subcutaneous administration</w:t>
      </w:r>
      <w:bookmarkEnd w:id="117"/>
      <w:bookmarkEnd w:id="118"/>
      <w:bookmarkEnd w:id="119"/>
      <w:r>
        <w:t xml:space="preserve"> </w:t>
      </w:r>
      <w:r w:rsidR="00682C98">
        <w:t xml:space="preserve"> </w:t>
      </w:r>
    </w:p>
    <w:p w14:paraId="6C34EB4F" w14:textId="601EB013"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w:t>
      </w:r>
      <w:r w:rsidR="001F2950">
        <w:rPr>
          <w:rFonts w:cs="Arial"/>
          <w:lang w:eastAsia="en-AU"/>
        </w:rPr>
        <w:t xml:space="preserve">the Australian </w:t>
      </w:r>
      <w:r w:rsidR="000435EC" w:rsidRPr="00531C4E">
        <w:rPr>
          <w:rFonts w:cs="Arial"/>
          <w:lang w:eastAsia="en-AU"/>
        </w:rPr>
        <w:t xml:space="preserve">Immunisation </w:t>
      </w:r>
      <w:r w:rsidR="001F2950">
        <w:rPr>
          <w:rFonts w:cs="Arial"/>
          <w:lang w:eastAsia="en-AU"/>
        </w:rPr>
        <w:t>H</w:t>
      </w:r>
      <w:r w:rsidR="001F2950" w:rsidRPr="00531C4E">
        <w:rPr>
          <w:rFonts w:cs="Arial"/>
          <w:lang w:eastAsia="en-AU"/>
        </w:rPr>
        <w:t>andbook</w:t>
      </w:r>
      <w:r w:rsidR="001F2950">
        <w:rPr>
          <w:rFonts w:cs="Arial"/>
          <w:lang w:eastAsia="en-AU"/>
        </w:rPr>
        <w:t>.</w:t>
      </w:r>
      <w:r w:rsidR="0036197D">
        <w:rPr>
          <w:rFonts w:cs="Arial"/>
          <w:vertAlign w:val="superscript"/>
          <w:lang w:eastAsia="en-AU"/>
        </w:rPr>
        <w:t>25</w:t>
      </w:r>
      <w:r w:rsidR="0036197D"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5592E812"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00524372">
        <w:rPr>
          <w:rFonts w:cs="Arial"/>
        </w:rPr>
        <w:t>v</w:t>
      </w:r>
      <w:r w:rsidRPr="7986AA1A">
        <w:rPr>
          <w:rFonts w:cs="Arial"/>
        </w:rPr>
        <w:t xml:space="preserve">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EC31B1">
      <w:pPr>
        <w:numPr>
          <w:ilvl w:val="0"/>
          <w:numId w:val="21"/>
        </w:numPr>
        <w:pBdr>
          <w:bottom w:val="single" w:sz="4" w:space="1" w:color="auto"/>
        </w:pBd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8CC046A" w14:textId="77777777" w:rsidR="001F2950" w:rsidRDefault="00077DBB" w:rsidP="00EC31B1">
      <w:pPr>
        <w:pStyle w:val="NormalWeb"/>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single-use swab. Allow time for the bung to dry before drawing up the contents. </w:t>
      </w:r>
    </w:p>
    <w:p w14:paraId="1BD464DE" w14:textId="5F0548F0" w:rsidR="00B01967" w:rsidRPr="006C0067" w:rsidRDefault="00B01967" w:rsidP="00964A28">
      <w:pPr>
        <w:pStyle w:val="NormalWeb"/>
        <w:numPr>
          <w:ilvl w:val="0"/>
          <w:numId w:val="56"/>
        </w:numPr>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335FA355" w14:textId="16635BB8" w:rsidR="00CF3DFD" w:rsidRPr="00EC31B1" w:rsidRDefault="00D97530" w:rsidP="00EC31B1">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r w:rsidRPr="00EC31B1">
        <w:rPr>
          <w:rFonts w:ascii="Arial" w:hAnsi="Arial" w:cs="Arial"/>
          <w:b/>
          <w:bCs/>
          <w:sz w:val="20"/>
          <w:szCs w:val="20"/>
        </w:rPr>
        <w:t xml:space="preserve">Figure 3 </w:t>
      </w:r>
      <w:r w:rsidR="00F167EF" w:rsidRPr="00EC31B1">
        <w:rPr>
          <w:rFonts w:ascii="Arial" w:hAnsi="Arial" w:cs="Arial"/>
          <w:b/>
          <w:bCs/>
          <w:sz w:val="20"/>
          <w:szCs w:val="20"/>
        </w:rPr>
        <w:t>– process for checking and drawing up for subcutaneous injection</w:t>
      </w:r>
    </w:p>
    <w:tbl>
      <w:tblPr>
        <w:tblStyle w:val="TableGrid"/>
        <w:tblW w:w="0" w:type="auto"/>
        <w:tblLook w:val="04A0" w:firstRow="1" w:lastRow="0" w:firstColumn="1" w:lastColumn="0" w:noHBand="0" w:noVBand="1"/>
      </w:tblPr>
      <w:tblGrid>
        <w:gridCol w:w="4300"/>
        <w:gridCol w:w="4716"/>
      </w:tblGrid>
      <w:tr w:rsidR="006275A8" w14:paraId="38CA9860" w14:textId="77777777" w:rsidTr="006275A8">
        <w:tc>
          <w:tcPr>
            <w:tcW w:w="4300" w:type="dxa"/>
            <w:vAlign w:val="center"/>
          </w:tcPr>
          <w:p w14:paraId="6FF463A4" w14:textId="5B1708C5" w:rsidR="006275A8" w:rsidRPr="00EC31B1" w:rsidRDefault="006275A8" w:rsidP="006275A8">
            <w:pPr>
              <w:pStyle w:val="NormalWeb"/>
              <w:spacing w:before="0" w:beforeAutospacing="0" w:after="120" w:afterAutospacing="0" w:line="288" w:lineRule="auto"/>
              <w:jc w:val="center"/>
              <w:rPr>
                <w:rFonts w:ascii="Calibri" w:hAnsi="Calibri" w:cs="Calibri"/>
                <w:b/>
                <w:bCs/>
                <w:sz w:val="22"/>
                <w:szCs w:val="22"/>
              </w:rPr>
            </w:pPr>
            <w:r w:rsidRPr="00EC31B1">
              <w:rPr>
                <w:rFonts w:ascii="Calibri" w:hAnsi="Calibri" w:cs="Calibri"/>
                <w:sz w:val="22"/>
                <w:szCs w:val="22"/>
              </w:rPr>
              <w:t>Check product information</w:t>
            </w:r>
            <w:r w:rsidRPr="00EC31B1">
              <w:rPr>
                <w:rFonts w:ascii="Calibri" w:hAnsi="Calibri" w:cs="Calibri"/>
                <w:noProof/>
                <w:sz w:val="22"/>
                <w:szCs w:val="22"/>
              </w:rPr>
              <w:t xml:space="preserve"> </w:t>
            </w:r>
            <w:r w:rsidRPr="00EC31B1">
              <w:rPr>
                <w:rFonts w:ascii="Calibri" w:hAnsi="Calibri" w:cs="Calibri"/>
                <w:noProof/>
                <w:sz w:val="22"/>
                <w:szCs w:val="22"/>
              </w:rPr>
              <w:drawing>
                <wp:anchor distT="0" distB="0" distL="114300" distR="114300" simplePos="0" relativeHeight="251658247" behindDoc="1" locked="0" layoutInCell="1" allowOverlap="1" wp14:anchorId="0EBFD229" wp14:editId="68C94565">
                  <wp:simplePos x="0" y="0"/>
                  <wp:positionH relativeFrom="column">
                    <wp:posOffset>69850</wp:posOffset>
                  </wp:positionH>
                  <wp:positionV relativeFrom="paragraph">
                    <wp:posOffset>121920</wp:posOffset>
                  </wp:positionV>
                  <wp:extent cx="2590800" cy="1857375"/>
                  <wp:effectExtent l="0" t="0" r="0" b="9525"/>
                  <wp:wrapTight wrapText="bothSides">
                    <wp:wrapPolygon edited="0">
                      <wp:start x="0" y="0"/>
                      <wp:lineTo x="0" y="21489"/>
                      <wp:lineTo x="21441" y="21489"/>
                      <wp:lineTo x="21441" y="0"/>
                      <wp:lineTo x="0" y="0"/>
                    </wp:wrapPolygon>
                  </wp:wrapTight>
                  <wp:docPr id="413685806" name="Picture 413685806"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25908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16" w:type="dxa"/>
            <w:vAlign w:val="center"/>
          </w:tcPr>
          <w:p w14:paraId="0D9F714F" w14:textId="0A9DA9C1" w:rsidR="006275A8" w:rsidRPr="00EC31B1" w:rsidRDefault="006275A8" w:rsidP="006275A8">
            <w:pPr>
              <w:pStyle w:val="NormalWeb"/>
              <w:spacing w:before="0" w:beforeAutospacing="0" w:line="288" w:lineRule="auto"/>
              <w:jc w:val="center"/>
              <w:rPr>
                <w:rFonts w:ascii="Calibri" w:hAnsi="Calibri" w:cs="Calibri"/>
                <w:sz w:val="22"/>
                <w:szCs w:val="22"/>
              </w:rPr>
            </w:pPr>
            <w:r w:rsidRPr="00EC31B1">
              <w:rPr>
                <w:rFonts w:ascii="Calibri" w:hAnsi="Calibri" w:cs="Calibri"/>
                <w:noProof/>
                <w:sz w:val="22"/>
                <w:szCs w:val="22"/>
              </w:rPr>
              <w:drawing>
                <wp:anchor distT="0" distB="0" distL="114300" distR="114300" simplePos="0" relativeHeight="251658248" behindDoc="1" locked="0" layoutInCell="1" allowOverlap="1" wp14:anchorId="542D26A1" wp14:editId="7AD86AB5">
                  <wp:simplePos x="0" y="0"/>
                  <wp:positionH relativeFrom="column">
                    <wp:posOffset>64770</wp:posOffset>
                  </wp:positionH>
                  <wp:positionV relativeFrom="paragraph">
                    <wp:posOffset>140970</wp:posOffset>
                  </wp:positionV>
                  <wp:extent cx="2505075" cy="1828800"/>
                  <wp:effectExtent l="0" t="0" r="9525" b="0"/>
                  <wp:wrapTight wrapText="bothSides">
                    <wp:wrapPolygon edited="0">
                      <wp:start x="0" y="0"/>
                      <wp:lineTo x="0" y="21375"/>
                      <wp:lineTo x="21518" y="21375"/>
                      <wp:lineTo x="21518" y="0"/>
                      <wp:lineTo x="0" y="0"/>
                    </wp:wrapPolygon>
                  </wp:wrapTight>
                  <wp:docPr id="1211434831" name="Picture 1211434831"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31" cstate="screen">
                            <a:extLst>
                              <a:ext uri="{28A0092B-C50C-407E-A947-70E740481C1C}">
                                <a14:useLocalDpi xmlns:a14="http://schemas.microsoft.com/office/drawing/2010/main" val="0"/>
                              </a:ext>
                            </a:extLst>
                          </a:blip>
                          <a:srcRect/>
                          <a:stretch/>
                        </pic:blipFill>
                        <pic:spPr bwMode="auto">
                          <a:xfrm>
                            <a:off x="0" y="0"/>
                            <a:ext cx="25050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1B1">
              <w:rPr>
                <w:rFonts w:ascii="Calibri" w:hAnsi="Calibri" w:cs="Calibri"/>
                <w:sz w:val="22"/>
                <w:szCs w:val="22"/>
              </w:rPr>
              <w:t>Prepare equipment</w:t>
            </w:r>
          </w:p>
        </w:tc>
      </w:tr>
      <w:tr w:rsidR="006275A8" w14:paraId="23195ABA" w14:textId="77777777" w:rsidTr="006275A8">
        <w:trPr>
          <w:trHeight w:val="3471"/>
        </w:trPr>
        <w:tc>
          <w:tcPr>
            <w:tcW w:w="4300" w:type="dxa"/>
          </w:tcPr>
          <w:p w14:paraId="4F4468F3" w14:textId="001B92E6" w:rsidR="006275A8" w:rsidRPr="00EC31B1" w:rsidRDefault="00EC31B1"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50" behindDoc="1" locked="0" layoutInCell="1" allowOverlap="1" wp14:anchorId="26017E6E" wp14:editId="225BFFA1">
                  <wp:simplePos x="0" y="0"/>
                  <wp:positionH relativeFrom="column">
                    <wp:posOffset>383540</wp:posOffset>
                  </wp:positionH>
                  <wp:positionV relativeFrom="paragraph">
                    <wp:posOffset>-370840</wp:posOffset>
                  </wp:positionV>
                  <wp:extent cx="1833880" cy="2583180"/>
                  <wp:effectExtent l="6350" t="0" r="1270" b="1270"/>
                  <wp:wrapTight wrapText="bothSides">
                    <wp:wrapPolygon edited="0">
                      <wp:start x="75" y="21653"/>
                      <wp:lineTo x="21391" y="21653"/>
                      <wp:lineTo x="21391" y="149"/>
                      <wp:lineTo x="75" y="149"/>
                      <wp:lineTo x="75" y="21653"/>
                    </wp:wrapPolygon>
                  </wp:wrapTight>
                  <wp:docPr id="706963550" name="Picture 706963550"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32" cstate="screen">
                            <a:extLst>
                              <a:ext uri="{28A0092B-C50C-407E-A947-70E740481C1C}">
                                <a14:useLocalDpi xmlns:a14="http://schemas.microsoft.com/office/drawing/2010/main" val="0"/>
                              </a:ext>
                            </a:extLst>
                          </a:blip>
                          <a:srcRect/>
                          <a:stretch/>
                        </pic:blipFill>
                        <pic:spPr bwMode="auto">
                          <a:xfrm rot="5400000">
                            <a:off x="0" y="0"/>
                            <a:ext cx="1833880" cy="2583180"/>
                          </a:xfrm>
                          <a:prstGeom prst="rect">
                            <a:avLst/>
                          </a:prstGeom>
                          <a:ln>
                            <a:noFill/>
                          </a:ln>
                          <a:extLst>
                            <a:ext uri="{53640926-AAD7-44D8-BBD7-CCE9431645EC}">
                              <a14:shadowObscured xmlns:a14="http://schemas.microsoft.com/office/drawing/2010/main"/>
                            </a:ext>
                          </a:extLst>
                        </pic:spPr>
                      </pic:pic>
                    </a:graphicData>
                  </a:graphic>
                </wp:anchor>
              </w:drawing>
            </w:r>
            <w:r w:rsidRPr="00EC31B1">
              <w:rPr>
                <w:rFonts w:asciiTheme="minorHAnsi" w:hAnsiTheme="minorHAnsi" w:cstheme="minorHAnsi"/>
                <w:sz w:val="22"/>
                <w:szCs w:val="22"/>
              </w:rPr>
              <w:t>J</w:t>
            </w:r>
            <w:r>
              <w:rPr>
                <w:rFonts w:asciiTheme="minorHAnsi" w:hAnsiTheme="minorHAnsi" w:cstheme="minorHAnsi"/>
                <w:sz w:val="22"/>
                <w:szCs w:val="22"/>
              </w:rPr>
              <w:t>YNNEOS</w:t>
            </w:r>
            <w:r w:rsidR="006275A8" w:rsidRPr="00EC31B1">
              <w:rPr>
                <w:rFonts w:asciiTheme="minorHAnsi" w:hAnsiTheme="minorHAnsi" w:cstheme="minorHAnsi"/>
                <w:sz w:val="22"/>
                <w:szCs w:val="22"/>
              </w:rPr>
              <w:t>® vial</w:t>
            </w:r>
          </w:p>
        </w:tc>
        <w:tc>
          <w:tcPr>
            <w:tcW w:w="4716" w:type="dxa"/>
          </w:tcPr>
          <w:p w14:paraId="0E7B1676" w14:textId="13859562" w:rsidR="006275A8" w:rsidRPr="00EC31B1" w:rsidRDefault="006275A8"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49" behindDoc="1" locked="0" layoutInCell="1" allowOverlap="1" wp14:anchorId="487DA037" wp14:editId="5A96CF14">
                  <wp:simplePos x="0" y="0"/>
                  <wp:positionH relativeFrom="column">
                    <wp:posOffset>-1905</wp:posOffset>
                  </wp:positionH>
                  <wp:positionV relativeFrom="paragraph">
                    <wp:posOffset>2540</wp:posOffset>
                  </wp:positionV>
                  <wp:extent cx="2847975" cy="1819275"/>
                  <wp:effectExtent l="0" t="0" r="9525" b="9525"/>
                  <wp:wrapTight wrapText="bothSides">
                    <wp:wrapPolygon edited="0">
                      <wp:start x="0" y="0"/>
                      <wp:lineTo x="0" y="21487"/>
                      <wp:lineTo x="21528" y="21487"/>
                      <wp:lineTo x="21528" y="0"/>
                      <wp:lineTo x="0" y="0"/>
                    </wp:wrapPolygon>
                  </wp:wrapTight>
                  <wp:docPr id="2017361488"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847975" cy="1819275"/>
                          </a:xfrm>
                          <a:prstGeom prst="rect">
                            <a:avLst/>
                          </a:prstGeom>
                          <a:noFill/>
                          <a:ln>
                            <a:noFill/>
                          </a:ln>
                        </pic:spPr>
                      </pic:pic>
                    </a:graphicData>
                  </a:graphic>
                </wp:anchor>
              </w:drawing>
            </w:r>
            <w:r w:rsidRPr="00EC31B1">
              <w:rPr>
                <w:rFonts w:asciiTheme="minorHAnsi" w:hAnsiTheme="minorHAnsi" w:cstheme="minorHAnsi"/>
                <w:sz w:val="22"/>
                <w:szCs w:val="22"/>
              </w:rPr>
              <w:t>Check revised expiry date on box</w:t>
            </w:r>
          </w:p>
        </w:tc>
      </w:tr>
      <w:tr w:rsidR="006275A8" w:rsidRPr="00EC31B1" w14:paraId="6A1D5E1C" w14:textId="77777777" w:rsidTr="006275A8">
        <w:tc>
          <w:tcPr>
            <w:tcW w:w="4300" w:type="dxa"/>
          </w:tcPr>
          <w:p w14:paraId="1EBA4B58" w14:textId="79B7E56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1" behindDoc="1" locked="0" layoutInCell="1" allowOverlap="1" wp14:anchorId="243655AA" wp14:editId="7B97EBA6">
                  <wp:simplePos x="0" y="0"/>
                  <wp:positionH relativeFrom="column">
                    <wp:posOffset>4445</wp:posOffset>
                  </wp:positionH>
                  <wp:positionV relativeFrom="paragraph">
                    <wp:posOffset>0</wp:posOffset>
                  </wp:positionV>
                  <wp:extent cx="2543175" cy="2019300"/>
                  <wp:effectExtent l="0" t="0" r="9525" b="0"/>
                  <wp:wrapTight wrapText="bothSides">
                    <wp:wrapPolygon edited="0">
                      <wp:start x="0" y="0"/>
                      <wp:lineTo x="0" y="21396"/>
                      <wp:lineTo x="21519" y="21396"/>
                      <wp:lineTo x="21519" y="0"/>
                      <wp:lineTo x="0" y="0"/>
                    </wp:wrapPolygon>
                  </wp:wrapTight>
                  <wp:docPr id="588600284" name="Picture 588600284"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2543175"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sz w:val="22"/>
                <w:szCs w:val="22"/>
              </w:rPr>
              <w:t xml:space="preserve">Insert </w:t>
            </w:r>
            <w:r w:rsidRPr="00EC31B1">
              <w:rPr>
                <w:rFonts w:asciiTheme="minorHAnsi" w:hAnsiTheme="minorHAnsi" w:cstheme="minorHAnsi"/>
                <w:b/>
                <w:bCs/>
                <w:sz w:val="22"/>
                <w:szCs w:val="22"/>
              </w:rPr>
              <w:t>19G needle</w:t>
            </w:r>
            <w:r w:rsidRPr="00EC31B1">
              <w:rPr>
                <w:rFonts w:asciiTheme="minorHAnsi" w:hAnsiTheme="minorHAnsi" w:cstheme="minorHAnsi"/>
                <w:sz w:val="22"/>
                <w:szCs w:val="22"/>
              </w:rPr>
              <w:t xml:space="preserve"> into rubber bung &amp; withdraw 0.5mls.</w:t>
            </w:r>
          </w:p>
        </w:tc>
        <w:tc>
          <w:tcPr>
            <w:tcW w:w="4716" w:type="dxa"/>
          </w:tcPr>
          <w:p w14:paraId="6BE9242A" w14:textId="323E7AC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2" behindDoc="1" locked="0" layoutInCell="1" allowOverlap="1" wp14:anchorId="443388E4" wp14:editId="51908E6E">
                  <wp:simplePos x="0" y="0"/>
                  <wp:positionH relativeFrom="column">
                    <wp:posOffset>-1905</wp:posOffset>
                  </wp:positionH>
                  <wp:positionV relativeFrom="paragraph">
                    <wp:posOffset>0</wp:posOffset>
                  </wp:positionV>
                  <wp:extent cx="2838450" cy="2019300"/>
                  <wp:effectExtent l="0" t="0" r="0" b="0"/>
                  <wp:wrapTight wrapText="bothSides">
                    <wp:wrapPolygon edited="0">
                      <wp:start x="0" y="0"/>
                      <wp:lineTo x="0" y="21396"/>
                      <wp:lineTo x="21455" y="21396"/>
                      <wp:lineTo x="21455" y="0"/>
                      <wp:lineTo x="0" y="0"/>
                    </wp:wrapPolygon>
                  </wp:wrapTight>
                  <wp:docPr id="2042455828" name="Picture 2042455828"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2838450"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color w:val="313131"/>
                <w:sz w:val="22"/>
                <w:szCs w:val="22"/>
              </w:rPr>
              <w:t xml:space="preserve">Change to </w:t>
            </w:r>
            <w:r w:rsidRPr="00EC31B1">
              <w:rPr>
                <w:rFonts w:asciiTheme="minorHAnsi" w:hAnsiTheme="minorHAnsi" w:cstheme="minorHAnsi"/>
                <w:b/>
                <w:bCs/>
                <w:color w:val="313131"/>
                <w:sz w:val="22"/>
                <w:szCs w:val="22"/>
              </w:rPr>
              <w:t>25-27mm gauge, 16mm length needle</w:t>
            </w:r>
            <w:r w:rsidRPr="00EC31B1">
              <w:rPr>
                <w:rFonts w:asciiTheme="minorHAnsi" w:hAnsiTheme="minorHAnsi" w:cstheme="minorHAnsi"/>
                <w:noProof/>
                <w:sz w:val="22"/>
                <w:szCs w:val="22"/>
              </w:rPr>
              <w:t xml:space="preserve"> </w:t>
            </w:r>
          </w:p>
        </w:tc>
      </w:tr>
    </w:tbl>
    <w:p w14:paraId="07F97E7E"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407FEC26"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31A290B0"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77D973DC" w14:textId="7C198A36" w:rsidR="00077DBB" w:rsidRPr="00165C24" w:rsidRDefault="00077DBB" w:rsidP="00077DBB">
      <w:pPr>
        <w:pStyle w:val="Heading2"/>
      </w:pPr>
      <w:bookmarkStart w:id="120" w:name="_Subcutaneous_administration"/>
      <w:bookmarkStart w:id="121" w:name="_Toc112154582"/>
      <w:bookmarkStart w:id="122" w:name="_Toc112315644"/>
      <w:bookmarkStart w:id="123" w:name="_Toc169094197"/>
      <w:bookmarkEnd w:id="120"/>
      <w:r>
        <w:t>Subcutaneous administration</w:t>
      </w:r>
      <w:bookmarkEnd w:id="121"/>
      <w:bookmarkEnd w:id="122"/>
      <w:bookmarkEnd w:id="123"/>
    </w:p>
    <w:p w14:paraId="6C3EBF6C" w14:textId="77777777" w:rsidR="00077DBB" w:rsidRPr="00E26D18" w:rsidRDefault="00077DBB" w:rsidP="00077DBB">
      <w:pPr>
        <w:pStyle w:val="Heading3"/>
      </w:pPr>
      <w:bookmarkStart w:id="124" w:name="_Toc112154583"/>
      <w:bookmarkStart w:id="125" w:name="_Toc112315645"/>
      <w:r w:rsidRPr="00E26D18">
        <w:t>Skin cleaning</w:t>
      </w:r>
      <w:bookmarkEnd w:id="124"/>
      <w:bookmarkEnd w:id="125"/>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6" w:name="_Toc112154584"/>
      <w:bookmarkStart w:id="127" w:name="_Toc112315646"/>
      <w:r w:rsidRPr="00EC5729">
        <w:t>Subcutaneous injection technique</w:t>
      </w:r>
      <w:bookmarkEnd w:id="126"/>
      <w:bookmarkEnd w:id="127"/>
    </w:p>
    <w:p w14:paraId="7B9281CB" w14:textId="01B8A8DE"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w:t>
      </w:r>
      <w:r w:rsidR="00476223">
        <w:rPr>
          <w:rStyle w:val="normaltextrun"/>
          <w:rFonts w:eastAsia="MS Mincho" w:cs="Arial"/>
          <w:szCs w:val="21"/>
          <w:bdr w:val="none" w:sz="0" w:space="0" w:color="auto" w:frame="1"/>
        </w:rPr>
        <w:t xml:space="preserve"> (SC)</w:t>
      </w:r>
      <w:r w:rsidRPr="00AE0FAF">
        <w:rPr>
          <w:rStyle w:val="normaltextrun"/>
          <w:rFonts w:eastAsia="MS Mincho" w:cs="Arial"/>
          <w:szCs w:val="21"/>
          <w:bdr w:val="none" w:sz="0" w:space="0" w:color="auto" w:frame="1"/>
        </w:rPr>
        <w:t xml:space="preserve"> </w:t>
      </w:r>
      <w:hyperlink r:id="rId35"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4B4BF30D"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E920F0" w:rsidRPr="00E920F0">
        <w:rPr>
          <w:rFonts w:cs="Arial"/>
          <w:sz w:val="20"/>
          <w:lang w:eastAsia="en-AU"/>
        </w:rPr>
        <w:t>.</w:t>
      </w:r>
      <w:r w:rsidR="00AB1362" w:rsidRPr="00E920F0">
        <w:rPr>
          <w:rStyle w:val="FootnoteReference"/>
          <w:rFonts w:cs="Arial"/>
          <w:sz w:val="20"/>
          <w:lang w:eastAsia="en-AU"/>
        </w:rPr>
        <w:footnoteReference w:id="28"/>
      </w:r>
    </w:p>
    <w:p w14:paraId="6FC84C05" w14:textId="68D05C5C" w:rsidR="00077DBB" w:rsidRPr="00AB5B74" w:rsidRDefault="00077DBB" w:rsidP="00B824A4">
      <w:pPr>
        <w:pStyle w:val="Heading3"/>
        <w:spacing w:line="288" w:lineRule="auto"/>
      </w:pPr>
      <w:bookmarkStart w:id="128" w:name="_Toc112154586"/>
      <w:bookmarkStart w:id="129" w:name="_Toc112315648"/>
      <w:r w:rsidRPr="00AB5B74">
        <w:t xml:space="preserve">Injection sites </w:t>
      </w:r>
      <w:r w:rsidR="00B96D08">
        <w:t>–</w:t>
      </w:r>
      <w:r w:rsidRPr="00AB5B74">
        <w:t xml:space="preserve"> adolescents and adults</w:t>
      </w:r>
      <w:bookmarkEnd w:id="128"/>
      <w:bookmarkEnd w:id="129"/>
    </w:p>
    <w:p w14:paraId="4A1ADADA" w14:textId="0E6DB215"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E75DED">
        <w:rPr>
          <w:rFonts w:cs="Arial"/>
          <w:lang w:eastAsia="en-AU"/>
        </w:rPr>
        <w:t>.</w:t>
      </w:r>
      <w:r w:rsidR="00E75DED" w:rsidRPr="00E920F0">
        <w:rPr>
          <w:rFonts w:cs="Arial"/>
          <w:sz w:val="20"/>
          <w:vertAlign w:val="superscript"/>
          <w:lang w:eastAsia="en-AU"/>
        </w:rPr>
        <w:t>27</w:t>
      </w:r>
      <w:bookmarkStart w:id="130" w:name="_Toc112154587"/>
      <w:bookmarkStart w:id="131" w:name="_Toc112315649"/>
    </w:p>
    <w:bookmarkEnd w:id="130"/>
    <w:bookmarkEnd w:id="131"/>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 </w:t>
      </w:r>
      <w:r w:rsidR="0005527F">
        <w:t>(</w:t>
      </w:r>
      <w:hyperlink r:id="rId36"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drawing>
          <wp:anchor distT="0" distB="0" distL="114300" distR="114300" simplePos="0" relativeHeight="251658241"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37"/>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drawing>
          <wp:anchor distT="0" distB="0" distL="114300" distR="114300" simplePos="0" relativeHeight="251658245"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15"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38"/>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39"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05AA0AF2" w14:textId="77777777" w:rsidR="001F0384" w:rsidRDefault="00F02888" w:rsidP="00C11A25">
      <w:pPr>
        <w:shd w:val="clear" w:color="auto" w:fill="FFFFFF"/>
        <w:spacing w:before="480" w:line="240" w:lineRule="atLeast"/>
        <w:rPr>
          <w:rFonts w:cs="Arial"/>
          <w:color w:val="313131"/>
          <w:szCs w:val="21"/>
          <w:lang w:eastAsia="en-AU"/>
        </w:rPr>
      </w:pPr>
      <w:r>
        <w:t xml:space="preserve">Image </w:t>
      </w:r>
      <w:hyperlink r:id="rId40" w:history="1">
        <w:r>
          <w:rPr>
            <w:rStyle w:val="Hyperlink"/>
            <w:rFonts w:cs="Arial"/>
            <w:szCs w:val="21"/>
            <w:lang w:eastAsia="en-AU"/>
          </w:rPr>
          <w:t xml:space="preserve">Australian Immunisation Handbook </w:t>
        </w:r>
      </w:hyperlink>
      <w:r>
        <w:rPr>
          <w:rFonts w:cs="Arial"/>
          <w:color w:val="313131"/>
          <w:szCs w:val="21"/>
          <w:lang w:eastAsia="en-AU"/>
        </w:rPr>
        <w:t xml:space="preserve"> </w:t>
      </w:r>
    </w:p>
    <w:p w14:paraId="40335C60" w14:textId="77777777" w:rsidR="001F0384" w:rsidRDefault="001F0384" w:rsidP="00C11A25">
      <w:pPr>
        <w:shd w:val="clear" w:color="auto" w:fill="FFFFFF"/>
        <w:spacing w:before="480" w:line="240" w:lineRule="atLeast"/>
        <w:rPr>
          <w:rFonts w:cs="Arial"/>
          <w:color w:val="313131"/>
          <w:szCs w:val="21"/>
          <w:lang w:eastAsia="en-AU"/>
        </w:rPr>
      </w:pPr>
    </w:p>
    <w:p w14:paraId="3714B963" w14:textId="77777777" w:rsidR="001F0384" w:rsidRDefault="001F0384" w:rsidP="00C11A25">
      <w:pPr>
        <w:shd w:val="clear" w:color="auto" w:fill="FFFFFF"/>
        <w:spacing w:before="480" w:line="240" w:lineRule="atLeast"/>
        <w:rPr>
          <w:rFonts w:cs="Arial"/>
          <w:color w:val="313131"/>
          <w:szCs w:val="21"/>
          <w:lang w:eastAsia="en-AU"/>
        </w:rPr>
      </w:pPr>
    </w:p>
    <w:p w14:paraId="214F986A" w14:textId="77777777" w:rsidR="001F0384" w:rsidRDefault="001F0384" w:rsidP="00C11A25">
      <w:pPr>
        <w:shd w:val="clear" w:color="auto" w:fill="FFFFFF"/>
        <w:spacing w:before="480" w:line="240" w:lineRule="atLeast"/>
        <w:rPr>
          <w:rFonts w:cs="Arial"/>
          <w:color w:val="313131"/>
          <w:szCs w:val="21"/>
          <w:lang w:eastAsia="en-AU"/>
        </w:rPr>
      </w:pPr>
    </w:p>
    <w:p w14:paraId="17E7EB60" w14:textId="77777777" w:rsidR="001F0384" w:rsidRDefault="001F0384" w:rsidP="00C11A25">
      <w:pPr>
        <w:shd w:val="clear" w:color="auto" w:fill="FFFFFF"/>
        <w:spacing w:before="480" w:line="240" w:lineRule="atLeast"/>
        <w:rPr>
          <w:rFonts w:cs="Arial"/>
          <w:color w:val="313131"/>
          <w:szCs w:val="21"/>
          <w:lang w:eastAsia="en-AU"/>
        </w:rPr>
      </w:pPr>
    </w:p>
    <w:p w14:paraId="63E66A00" w14:textId="77777777" w:rsidR="001F0384" w:rsidRDefault="001F0384" w:rsidP="00C11A25">
      <w:pPr>
        <w:shd w:val="clear" w:color="auto" w:fill="FFFFFF"/>
        <w:spacing w:before="480" w:line="240" w:lineRule="atLeast"/>
        <w:rPr>
          <w:rFonts w:cs="Arial"/>
          <w:color w:val="313131"/>
          <w:szCs w:val="21"/>
          <w:lang w:eastAsia="en-AU"/>
        </w:rPr>
      </w:pPr>
    </w:p>
    <w:p w14:paraId="5A305F40" w14:textId="6D940DE8" w:rsidR="00077DBB" w:rsidRPr="00175F2E" w:rsidRDefault="00F02888" w:rsidP="00C11A25">
      <w:pPr>
        <w:shd w:val="clear" w:color="auto" w:fill="FFFFFF"/>
        <w:spacing w:before="480" w:line="240" w:lineRule="atLeast"/>
      </w:pPr>
      <w:r>
        <w:rPr>
          <w:rFonts w:cs="Arial"/>
          <w:color w:val="313131"/>
          <w:szCs w:val="21"/>
          <w:lang w:eastAsia="en-AU"/>
        </w:rPr>
        <w:br w:type="textWrapping" w:clear="all"/>
      </w:r>
      <w:bookmarkStart w:id="132" w:name="_Preparation_for_intradermal"/>
      <w:bookmarkStart w:id="133" w:name="_Toc112154588"/>
      <w:bookmarkStart w:id="134" w:name="_Toc112315650"/>
      <w:bookmarkStart w:id="135" w:name="_Toc169094198"/>
      <w:bookmarkEnd w:id="132"/>
      <w:r w:rsidR="00077DBB" w:rsidRPr="004C302F">
        <w:rPr>
          <w:rStyle w:val="Heading2Char"/>
          <w:rFonts w:eastAsia="MS Gothic"/>
        </w:rPr>
        <w:t>Preparation for intradermal administration</w:t>
      </w:r>
      <w:bookmarkEnd w:id="133"/>
      <w:bookmarkEnd w:id="134"/>
      <w:bookmarkEnd w:id="135"/>
      <w:r w:rsidR="00077DBB" w:rsidRPr="00175F2E">
        <w:t xml:space="preserve"> </w:t>
      </w:r>
    </w:p>
    <w:p w14:paraId="0CC30F5E" w14:textId="334C59EF"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sidR="00476223">
        <w:rPr>
          <w:rFonts w:cs="Arial"/>
          <w:lang w:eastAsia="en-AU"/>
        </w:rPr>
        <w:t xml:space="preserve">(ID)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1317096A"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r w:rsidR="00933A59">
        <w:rPr>
          <w:rFonts w:cs="Arial"/>
          <w:lang w:eastAsia="en-AU"/>
        </w:rPr>
        <w:t xml:space="preserve"> (check the </w:t>
      </w:r>
      <w:r w:rsidR="00933A59" w:rsidRPr="00A82DD3">
        <w:rPr>
          <w:rFonts w:cs="Arial"/>
          <w:b/>
          <w:bCs/>
          <w:lang w:eastAsia="en-AU"/>
        </w:rPr>
        <w:t>revised expiry date</w:t>
      </w:r>
      <w:r w:rsidR="00933A59">
        <w:rPr>
          <w:rFonts w:cs="Arial"/>
          <w:lang w:eastAsia="en-AU"/>
        </w:rPr>
        <w:t xml:space="preserve"> on the vaccine box) </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5854C2CF" w:rsidR="5FE40EE9" w:rsidRPr="00461EF4" w:rsidRDefault="5FE40EE9" w:rsidP="00035E03">
      <w:pPr>
        <w:pStyle w:val="Heading4"/>
        <w:ind w:left="-907"/>
      </w:pPr>
      <w:r w:rsidRPr="00461EF4">
        <w:rPr>
          <w:rStyle w:val="Heading4Char"/>
          <w:b/>
          <w:bCs/>
        </w:rPr>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vial</w:t>
      </w:r>
      <w:r w:rsidR="0008064C" w:rsidRPr="00035E03">
        <w:rPr>
          <w:rStyle w:val="FootnoteReference"/>
          <w:sz w:val="12"/>
          <w:szCs w:val="12"/>
          <w:vertAlign w:val="baseline"/>
        </w:rPr>
        <w:footnoteReference w:id="29"/>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2F191FC4" w:rsidR="001F7921" w:rsidRPr="007925F5" w:rsidRDefault="001F7921" w:rsidP="00C411AB">
            <w:pPr>
              <w:spacing w:after="60"/>
              <w:rPr>
                <w:rFonts w:cs="Arial"/>
              </w:rPr>
            </w:pPr>
            <w:r w:rsidRPr="00113C20">
              <w:rPr>
                <w:rFonts w:eastAsia="Calibri" w:cs="Arial"/>
                <w:szCs w:val="21"/>
              </w:rPr>
              <w:t>Use an aseptic technique throughout this procedure</w:t>
            </w:r>
            <w:r w:rsidR="00DD3B2A">
              <w:rPr>
                <w:rFonts w:eastAsia="Calibri" w:cs="Arial"/>
                <w:szCs w:val="21"/>
              </w:rPr>
              <w:t>.</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7059DA" w:rsidRPr="007925F5" w14:paraId="706B1213" w14:textId="77777777">
        <w:trPr>
          <w:trHeight w:val="300"/>
        </w:trPr>
        <w:tc>
          <w:tcPr>
            <w:tcW w:w="708" w:type="dxa"/>
            <w:tcBorders>
              <w:top w:val="single" w:sz="8" w:space="0" w:color="auto"/>
              <w:left w:val="single" w:sz="8" w:space="0" w:color="auto"/>
              <w:bottom w:val="single" w:sz="8" w:space="0" w:color="auto"/>
              <w:right w:val="single" w:sz="8" w:space="0" w:color="auto"/>
            </w:tcBorders>
          </w:tcPr>
          <w:p w14:paraId="37748DFC" w14:textId="77777777" w:rsidR="007059DA" w:rsidRPr="00113C20" w:rsidRDefault="007059DA" w:rsidP="00AB70CA">
            <w:pPr>
              <w:rPr>
                <w:rFonts w:eastAsia="Calibri" w:cs="Arial"/>
                <w:szCs w:val="21"/>
              </w:rPr>
            </w:pPr>
          </w:p>
        </w:tc>
        <w:tc>
          <w:tcPr>
            <w:tcW w:w="10065" w:type="dxa"/>
            <w:gridSpan w:val="3"/>
            <w:tcBorders>
              <w:top w:val="single" w:sz="8" w:space="0" w:color="auto"/>
              <w:left w:val="single" w:sz="8" w:space="0" w:color="auto"/>
              <w:bottom w:val="single" w:sz="8" w:space="0" w:color="auto"/>
              <w:right w:val="single" w:sz="8" w:space="0" w:color="auto"/>
            </w:tcBorders>
          </w:tcPr>
          <w:p w14:paraId="31ADB7A5" w14:textId="265997D3" w:rsidR="007059DA" w:rsidRDefault="007059DA" w:rsidP="00717DE6">
            <w:pPr>
              <w:spacing w:after="60"/>
              <w:jc w:val="center"/>
            </w:pPr>
            <w:r>
              <w:rPr>
                <w:rFonts w:eastAsia="Calibri" w:cs="Arial"/>
                <w:szCs w:val="21"/>
              </w:rPr>
              <w:t xml:space="preserve">Always </w:t>
            </w:r>
            <w:r w:rsidR="00717DE6">
              <w:rPr>
                <w:rFonts w:eastAsia="Calibri" w:cs="Arial"/>
                <w:szCs w:val="21"/>
              </w:rPr>
              <w:t>c</w:t>
            </w:r>
            <w:r>
              <w:rPr>
                <w:rFonts w:eastAsia="Calibri" w:cs="Arial"/>
                <w:szCs w:val="21"/>
              </w:rPr>
              <w:t xml:space="preserve">heck the </w:t>
            </w:r>
            <w:r w:rsidRPr="00717DE6">
              <w:rPr>
                <w:rFonts w:eastAsia="Calibri" w:cs="Arial"/>
                <w:b/>
                <w:bCs/>
                <w:szCs w:val="21"/>
              </w:rPr>
              <w:t>revised expiry date</w:t>
            </w:r>
            <w:r>
              <w:rPr>
                <w:rFonts w:eastAsia="Calibri" w:cs="Arial"/>
                <w:szCs w:val="21"/>
              </w:rPr>
              <w:t xml:space="preserve"> on the </w:t>
            </w:r>
            <w:r w:rsidR="00717DE6">
              <w:rPr>
                <w:rFonts w:eastAsia="Calibri" w:cs="Arial"/>
                <w:szCs w:val="21"/>
              </w:rPr>
              <w:t xml:space="preserve">original </w:t>
            </w:r>
            <w:r>
              <w:rPr>
                <w:rFonts w:eastAsia="Calibri" w:cs="Arial"/>
                <w:szCs w:val="21"/>
              </w:rPr>
              <w:t xml:space="preserve">vaccine </w:t>
            </w:r>
            <w:r w:rsidR="00717DE6">
              <w:rPr>
                <w:rFonts w:eastAsia="Calibri" w:cs="Arial"/>
                <w:szCs w:val="21"/>
              </w:rPr>
              <w:t>box (containing 20 vials)</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2A636F23" w14:textId="73F59319" w:rsidR="001F7921" w:rsidRPr="007925F5" w:rsidRDefault="001F7921" w:rsidP="00AB70CA">
            <w:pPr>
              <w:rPr>
                <w:rFonts w:cs="Arial"/>
              </w:rPr>
            </w:pPr>
            <w:r w:rsidRPr="00921446">
              <w:rPr>
                <w:rFonts w:eastAsia="Calibri" w:cs="Arial"/>
                <w:bCs/>
                <w:szCs w:val="21"/>
              </w:rPr>
              <w:t xml:space="preserve">Do not leave the drawing up needle in the vial. </w:t>
            </w: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t xml:space="preserve">Mark the vial with time of first puncture. </w:t>
            </w:r>
          </w:p>
          <w:p w14:paraId="1D6631F4" w14:textId="1A0F4959" w:rsidR="001F7921" w:rsidRDefault="001F7921" w:rsidP="006513D7">
            <w:pPr>
              <w:spacing w:after="60"/>
              <w:rPr>
                <w:rFonts w:cs="Arial"/>
              </w:rPr>
            </w:pPr>
            <w:r>
              <w:rPr>
                <w:rFonts w:cs="Arial"/>
              </w:rPr>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7" w:name="_Toc112154589"/>
      <w:bookmarkStart w:id="138" w:name="_Toc112315651"/>
      <w:bookmarkStart w:id="139" w:name="_Toc169094199"/>
      <w:r w:rsidRPr="00175F2E">
        <w:t xml:space="preserve">Considerations </w:t>
      </w:r>
      <w:r w:rsidRPr="00D46A8E">
        <w:t>for multi</w:t>
      </w:r>
      <w:r w:rsidRPr="00BD4AA3">
        <w:t>-use vials</w:t>
      </w:r>
      <w:bookmarkEnd w:id="137"/>
      <w:bookmarkEnd w:id="138"/>
      <w:bookmarkEnd w:id="139"/>
      <w:r w:rsidRPr="00BD4AA3">
        <w:t xml:space="preserve"> </w:t>
      </w:r>
    </w:p>
    <w:p w14:paraId="79058CFA" w14:textId="77777777" w:rsidR="00077DBB" w:rsidRPr="006E6DA2" w:rsidRDefault="00077DBB" w:rsidP="00CB56D8">
      <w:pPr>
        <w:pStyle w:val="Heading3"/>
        <w:spacing w:before="240"/>
      </w:pPr>
      <w:bookmarkStart w:id="140" w:name="_Toc112154590"/>
      <w:bookmarkStart w:id="141" w:name="_Toc112315652"/>
      <w:r w:rsidRPr="006E6DA2">
        <w:t>Infection control</w:t>
      </w:r>
      <w:bookmarkEnd w:id="140"/>
      <w:bookmarkEnd w:id="141"/>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4CB4BF18"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2" w:name="_Toc112154591"/>
      <w:bookmarkStart w:id="143" w:name="_Toc112315653"/>
      <w:r w:rsidRPr="00175F2E">
        <w:t>Pre-</w:t>
      </w:r>
      <w:r>
        <w:t>preparing</w:t>
      </w:r>
      <w:r w:rsidRPr="00175F2E">
        <w:t xml:space="preserve"> syringes</w:t>
      </w:r>
      <w:bookmarkEnd w:id="142"/>
      <w:bookmarkEnd w:id="143"/>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4" w:name="_Toc112154592"/>
      <w:bookmarkStart w:id="145" w:name="_Toc112315654"/>
      <w:r w:rsidRPr="00F27BE7">
        <w:t>Storage and usage</w:t>
      </w:r>
      <w:bookmarkEnd w:id="144"/>
      <w:bookmarkEnd w:id="145"/>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7B911B3"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 xml:space="preserve">Store vial in original box, with </w:t>
      </w:r>
      <w:r w:rsidR="00AF6C25">
        <w:rPr>
          <w:rFonts w:eastAsia="SimSun" w:cs="Arial"/>
          <w:szCs w:val="21"/>
        </w:rPr>
        <w:t xml:space="preserve">the </w:t>
      </w:r>
      <w:r w:rsidRPr="00AF6C25">
        <w:rPr>
          <w:rFonts w:eastAsia="SimSun" w:cs="Arial"/>
          <w:b/>
          <w:bCs/>
          <w:szCs w:val="21"/>
        </w:rPr>
        <w:t>revised expiry date</w:t>
      </w:r>
      <w:r w:rsidR="00AF6C25">
        <w:rPr>
          <w:rFonts w:eastAsia="SimSun" w:cs="Arial"/>
          <w:b/>
          <w:bCs/>
          <w:szCs w:val="21"/>
        </w:rPr>
        <w:t>.</w:t>
      </w:r>
      <w:r w:rsidRPr="7CA344CC">
        <w:rPr>
          <w:rFonts w:eastAsia="SimSun" w:cs="Arial"/>
          <w:szCs w:val="21"/>
        </w:rPr>
        <w:t xml:space="preserve"> </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30"/>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6" w:name="_Intradermal_administration"/>
      <w:bookmarkStart w:id="147" w:name="_Intradermal_administration_techniqu"/>
      <w:bookmarkStart w:id="148" w:name="_Toc112154593"/>
      <w:bookmarkStart w:id="149" w:name="_Toc112315655"/>
      <w:bookmarkStart w:id="150" w:name="_Toc169094200"/>
      <w:bookmarkEnd w:id="146"/>
      <w:bookmarkEnd w:id="147"/>
      <w:r w:rsidRPr="00BD4AA3">
        <w:t>Intradermal administration</w:t>
      </w:r>
      <w:bookmarkEnd w:id="148"/>
      <w:bookmarkEnd w:id="149"/>
      <w:r w:rsidR="005F46F8">
        <w:t xml:space="preserve"> technique</w:t>
      </w:r>
      <w:bookmarkEnd w:id="150"/>
    </w:p>
    <w:p w14:paraId="413B46D5" w14:textId="77777777" w:rsidR="005B389D" w:rsidRDefault="005B389D" w:rsidP="00352A28">
      <w:pPr>
        <w:pStyle w:val="Heading3"/>
        <w:spacing w:before="240" w:after="240"/>
      </w:pPr>
      <w:bookmarkStart w:id="151" w:name="_Toc112154595"/>
      <w:bookmarkStart w:id="152" w:name="_Toc112315657"/>
      <w:bookmarkStart w:id="153" w:name="_Toc112154594"/>
      <w:bookmarkStart w:id="154" w:name="_Toc112315656"/>
      <w:r>
        <w:t>Training</w:t>
      </w:r>
      <w:bookmarkEnd w:id="151"/>
      <w:bookmarkEnd w:id="152"/>
    </w:p>
    <w:p w14:paraId="1A191DDE" w14:textId="555C24CC" w:rsidR="005B389D" w:rsidRPr="00D9644B" w:rsidRDefault="005B389D" w:rsidP="00352A28">
      <w:pPr>
        <w:pStyle w:val="BodyText"/>
        <w:spacing w:before="120" w:after="120" w:line="288" w:lineRule="auto"/>
        <w:rPr>
          <w:rFonts w:ascii="Arial" w:hAnsi="Arial" w:cs="Arial"/>
          <w:sz w:val="21"/>
          <w:szCs w:val="21"/>
        </w:rPr>
      </w:pPr>
      <w:bookmarkStart w:id="155" w:name="_Toc112154596"/>
      <w:r w:rsidRPr="00352A28">
        <w:rPr>
          <w:rFonts w:ascii="Arial" w:hAnsi="Arial" w:cs="Arial"/>
          <w:sz w:val="21"/>
          <w:szCs w:val="21"/>
        </w:rPr>
        <w:t>The intradermal injection</w:t>
      </w:r>
      <w:r w:rsidRPr="00352A28">
        <w:rPr>
          <w:rStyle w:val="Hyperlink"/>
          <w:rFonts w:ascii="Arial" w:hAnsi="Arial" w:cs="Arial"/>
          <w:sz w:val="21"/>
          <w:szCs w:val="21"/>
        </w:rPr>
        <w:t xml:space="preserve"> </w:t>
      </w:r>
      <w:r w:rsidRPr="00352A28">
        <w:rPr>
          <w:rFonts w:ascii="Arial" w:hAnsi="Arial" w:cs="Arial"/>
          <w:sz w:val="21"/>
          <w:szCs w:val="21"/>
        </w:rPr>
        <w:t xml:space="preserve">technique requires additional training. Refer to the </w:t>
      </w:r>
      <w:hyperlink w:anchor="_Workforce_requirements_2" w:history="1">
        <w:r w:rsidRPr="00352A28">
          <w:rPr>
            <w:rStyle w:val="Hyperlink"/>
            <w:rFonts w:ascii="Arial" w:hAnsi="Arial" w:cs="Arial"/>
            <w:sz w:val="21"/>
            <w:szCs w:val="21"/>
          </w:rPr>
          <w:t>Workforce and Regulation</w:t>
        </w:r>
      </w:hyperlink>
      <w:r w:rsidRPr="00352A28">
        <w:rPr>
          <w:rFonts w:ascii="Arial" w:hAnsi="Arial" w:cs="Arial"/>
          <w:sz w:val="21"/>
          <w:szCs w:val="21"/>
        </w:rPr>
        <w:t xml:space="preserve"> section of these guidelines. </w:t>
      </w:r>
      <w:r w:rsidR="009E5049" w:rsidRPr="00D9644B">
        <w:rPr>
          <w:rFonts w:ascii="Arial" w:hAnsi="Arial" w:cs="Arial"/>
          <w:color w:val="313131"/>
          <w:sz w:val="21"/>
          <w:szCs w:val="21"/>
          <w:shd w:val="clear" w:color="auto" w:fill="FFFFFF"/>
        </w:rPr>
        <w:t>Suitably qualified and experienced providers should only use the intradermal route</w:t>
      </w:r>
      <w:r w:rsidR="00352A28" w:rsidRPr="00D9644B">
        <w:rPr>
          <w:rFonts w:ascii="Arial" w:hAnsi="Arial" w:cs="Arial"/>
          <w:color w:val="313131"/>
          <w:sz w:val="21"/>
          <w:szCs w:val="21"/>
          <w:shd w:val="clear" w:color="auto" w:fill="FFFFFF"/>
        </w:rPr>
        <w:t>.</w:t>
      </w:r>
    </w:p>
    <w:bookmarkEnd w:id="155"/>
    <w:p w14:paraId="75B11BAB" w14:textId="77777777" w:rsidR="00077DBB" w:rsidRPr="00E26D18" w:rsidRDefault="00077DBB" w:rsidP="00416E0C">
      <w:pPr>
        <w:pStyle w:val="Heading3"/>
        <w:spacing w:after="240"/>
      </w:pPr>
      <w:r w:rsidRPr="00E26D18">
        <w:t>Skin cleaning</w:t>
      </w:r>
      <w:bookmarkEnd w:id="153"/>
      <w:bookmarkEnd w:id="154"/>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DE64CD">
      <w:pPr>
        <w:pStyle w:val="Heading3"/>
        <w:spacing w:before="240" w:after="240"/>
      </w:pPr>
      <w:bookmarkStart w:id="156" w:name="_Toc112154597"/>
      <w:bookmarkStart w:id="157" w:name="_Toc112315658"/>
      <w:r>
        <w:t>Identifying injection site</w:t>
      </w:r>
      <w:r w:rsidR="00B47F98">
        <w:t>s</w:t>
      </w:r>
      <w:r>
        <w:t xml:space="preserve"> – Intradermal</w:t>
      </w:r>
      <w:bookmarkEnd w:id="156"/>
      <w:bookmarkEnd w:id="157"/>
    </w:p>
    <w:p w14:paraId="59BEA533" w14:textId="2A77CE61"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A51EFD">
        <w:t>.</w:t>
      </w:r>
      <w:r w:rsidR="00A51EFD">
        <w:rPr>
          <w:vertAlign w:val="superscript"/>
        </w:rPr>
        <w:t>30</w:t>
      </w:r>
      <w:r w:rsidR="004719D3">
        <w:rPr>
          <w:rFonts w:cs="Arial"/>
        </w:rPr>
        <w:t xml:space="preserve"> </w:t>
      </w:r>
      <w:r w:rsidR="004719D3"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08EA67FF"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drawing>
          <wp:anchor distT="0" distB="0" distL="114300" distR="114300" simplePos="0" relativeHeight="251658246" behindDoc="0" locked="0" layoutInCell="1" allowOverlap="1" wp14:anchorId="7574115B" wp14:editId="6F75C55C">
            <wp:simplePos x="0" y="0"/>
            <wp:positionH relativeFrom="margin">
              <wp:posOffset>76200</wp:posOffset>
            </wp:positionH>
            <wp:positionV relativeFrom="paragraph">
              <wp:posOffset>13335</wp:posOffset>
            </wp:positionV>
            <wp:extent cx="4238625" cy="4076700"/>
            <wp:effectExtent l="0" t="0" r="9525" b="0"/>
            <wp:wrapSquare wrapText="bothSides"/>
            <wp:docPr id="26" name="Picture 26"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A51EFD">
        <w:rPr>
          <w:rFonts w:cs="Arial"/>
          <w:szCs w:val="21"/>
        </w:rPr>
        <w:t>.</w:t>
      </w:r>
      <w:r w:rsidR="00EE28B5" w:rsidRPr="00EE28B5">
        <w:rPr>
          <w:rStyle w:val="FootnoteReference"/>
          <w:rFonts w:cs="Arial"/>
        </w:rPr>
        <w:t xml:space="preserve"> </w:t>
      </w:r>
      <w:r w:rsidR="00EE28B5" w:rsidRPr="00EE28B5">
        <w:rPr>
          <w:rStyle w:val="FootnoteReference"/>
          <w:rFonts w:cs="Arial"/>
        </w:rPr>
        <w:footnoteReference w:id="31"/>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42"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drawing>
          <wp:anchor distT="0" distB="0" distL="114300" distR="114300" simplePos="0" relativeHeight="251658242"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43">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3113C62B"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00196B7F">
        <w:rPr>
          <w:rFonts w:cs="Arial"/>
        </w:rPr>
        <w:t>.</w:t>
      </w:r>
      <w:r w:rsidRPr="00061230">
        <w:rPr>
          <w:rStyle w:val="FootnoteReference"/>
          <w:rFonts w:cs="Arial"/>
          <w:sz w:val="20"/>
        </w:rPr>
        <w:footnoteReference w:id="32"/>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10167948" w14:textId="0E263E19" w:rsidR="009E15B9"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244060">
        <w:rPr>
          <w:rFonts w:cs="Arial"/>
          <w:color w:val="000000" w:themeColor="text1"/>
          <w:sz w:val="18"/>
          <w:szCs w:val="18"/>
        </w:rPr>
        <w:t>–</w:t>
      </w:r>
      <w:r w:rsidR="00895C1C">
        <w:rPr>
          <w:rFonts w:cs="Arial"/>
          <w:color w:val="000000" w:themeColor="text1"/>
          <w:sz w:val="18"/>
          <w:szCs w:val="18"/>
        </w:rPr>
        <w:t xml:space="preserve"> </w:t>
      </w:r>
      <w:r w:rsidR="00244060">
        <w:rPr>
          <w:rFonts w:cs="Arial"/>
          <w:color w:val="000000" w:themeColor="text1"/>
          <w:sz w:val="18"/>
          <w:szCs w:val="18"/>
        </w:rPr>
        <w:t>CDC</w:t>
      </w:r>
      <w:r w:rsidR="009E15B9">
        <w:rPr>
          <w:rFonts w:cs="Arial"/>
          <w:color w:val="000000" w:themeColor="text1"/>
          <w:sz w:val="18"/>
          <w:szCs w:val="18"/>
        </w:rPr>
        <w:t>,</w:t>
      </w:r>
      <w:r w:rsidR="00244060">
        <w:rPr>
          <w:rFonts w:cs="Arial"/>
          <w:color w:val="000000" w:themeColor="text1"/>
          <w:sz w:val="18"/>
          <w:szCs w:val="18"/>
        </w:rPr>
        <w:t xml:space="preserve"> </w:t>
      </w:r>
      <w:r w:rsidR="009E15B9">
        <w:rPr>
          <w:rFonts w:cs="Arial"/>
          <w:color w:val="000000" w:themeColor="text1"/>
          <w:sz w:val="18"/>
          <w:szCs w:val="18"/>
        </w:rPr>
        <w:t>Example of intradermal administration into the deltoid</w:t>
      </w:r>
      <w:r w:rsidR="00061230">
        <w:rPr>
          <w:rFonts w:cs="Arial"/>
          <w:color w:val="000000" w:themeColor="text1"/>
          <w:sz w:val="18"/>
          <w:szCs w:val="18"/>
        </w:rPr>
        <w:t>.</w:t>
      </w:r>
      <w:r w:rsidR="00B90D00">
        <w:rPr>
          <w:rStyle w:val="FootnoteReference"/>
          <w:rFonts w:cs="Arial"/>
          <w:color w:val="000000" w:themeColor="text1"/>
          <w:sz w:val="18"/>
          <w:szCs w:val="18"/>
        </w:rPr>
        <w:footnoteReference w:id="33"/>
      </w:r>
      <w:r w:rsidR="009E15B9">
        <w:rPr>
          <w:rFonts w:cs="Arial"/>
          <w:color w:val="000000" w:themeColor="text1"/>
          <w:sz w:val="18"/>
          <w:szCs w:val="18"/>
        </w:rPr>
        <w:t xml:space="preserve"> </w:t>
      </w:r>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8" w:name="_Toc112154598"/>
      <w:bookmarkStart w:id="159" w:name="_Toc112315659"/>
      <w:r w:rsidRPr="00850656">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44"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 xml:space="preserve">who presents for their second </w:t>
      </w:r>
      <w:bookmarkStart w:id="160" w:name="_Hlk157686335"/>
      <w:r w:rsidRPr="000C0551">
        <w:rPr>
          <w:rFonts w:cs="Arial"/>
          <w:color w:val="000000"/>
          <w:szCs w:val="21"/>
          <w:shd w:val="clear" w:color="auto" w:fill="FFFFFF"/>
        </w:rPr>
        <w:t>JYNNEOS</w:t>
      </w:r>
      <w:r w:rsidRPr="008D4BAC">
        <w:rPr>
          <w:rFonts w:cs="Arial"/>
          <w:color w:val="2A2736"/>
          <w:vertAlign w:val="superscript"/>
          <w:lang w:eastAsia="en-AU"/>
        </w:rPr>
        <w:t>®</w:t>
      </w:r>
      <w:r w:rsidRPr="000C0551">
        <w:rPr>
          <w:rFonts w:cs="Arial"/>
          <w:color w:val="000000"/>
          <w:szCs w:val="21"/>
          <w:shd w:val="clear" w:color="auto" w:fill="FFFFFF"/>
        </w:rPr>
        <w:t xml:space="preserve"> vaccine </w:t>
      </w:r>
      <w:bookmarkEnd w:id="160"/>
      <w:r w:rsidRPr="000C0551">
        <w:rPr>
          <w:rFonts w:cs="Arial"/>
          <w:color w:val="000000"/>
          <w:szCs w:val="21"/>
          <w:shd w:val="clear" w:color="auto" w:fill="FFFFFF"/>
        </w:rPr>
        <w:t>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49DBF34C"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r w:rsidR="004A3AC8" w:rsidRPr="007A39DC">
        <w:rPr>
          <w:rFonts w:cs="Arial"/>
          <w:szCs w:val="21"/>
        </w:rPr>
        <w:t xml:space="preserve"> to the </w:t>
      </w:r>
      <w:hyperlink r:id="rId45" w:history="1">
        <w:r w:rsidR="004A3AC8" w:rsidRPr="007A39DC">
          <w:rPr>
            <w:rStyle w:val="Hyperlink"/>
            <w:rFonts w:cs="Arial"/>
            <w:szCs w:val="21"/>
          </w:rPr>
          <w:t>Centres for Disease Prevention and Control (CDC)</w:t>
        </w:r>
      </w:hyperlink>
      <w:r w:rsidR="004A3AC8" w:rsidRPr="007A39DC">
        <w:rPr>
          <w:rFonts w:cs="Arial"/>
          <w:szCs w:val="21"/>
        </w:rPr>
        <w:t xml:space="preserve"> </w:t>
      </w:r>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r w:rsidR="006D3AEF" w:rsidRPr="007A39DC">
        <w:rPr>
          <w:rFonts w:cs="Arial"/>
          <w:szCs w:val="21"/>
        </w:rPr>
        <w:t>https://www.cdc.gov/poxvirus/monkeypox/interim-considerations/jynneos-vaccine.html</w:t>
      </w:r>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8"/>
      <w:bookmarkEnd w:id="159"/>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1"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1"/>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665CDC87">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2" w:name="_Toc112154599"/>
    <w:bookmarkStart w:id="163" w:name="_Toc112315660"/>
    <w:p w14:paraId="66DAC1AE" w14:textId="16B129DC" w:rsidR="00F02888" w:rsidRPr="00035E03" w:rsidRDefault="00E9076F" w:rsidP="00F54688">
      <w:pPr>
        <w:pStyle w:val="Heading4"/>
        <w:spacing w:before="120" w:after="240"/>
      </w:pPr>
      <w:r w:rsidRPr="00426BEA">
        <w:rPr>
          <w:rFonts w:eastAsia="Times New Roman"/>
          <w:color w:val="auto"/>
          <w:sz w:val="18"/>
          <w:szCs w:val="18"/>
        </w:rPr>
        <w:fldChar w:fldCharType="end"/>
      </w:r>
      <w:bookmarkEnd w:id="162"/>
      <w:bookmarkEnd w:id="163"/>
      <w:r w:rsidR="00F02888" w:rsidRPr="00035E03">
        <w:t>Table 4 Method of intradermal injection</w:t>
      </w:r>
    </w:p>
    <w:tbl>
      <w:tblPr>
        <w:tblStyle w:val="TableGrid"/>
        <w:tblW w:w="8622" w:type="dxa"/>
        <w:tblInd w:w="-122" w:type="dxa"/>
        <w:tblLook w:val="04A0" w:firstRow="1" w:lastRow="0" w:firstColumn="1" w:lastColumn="0" w:noHBand="0" w:noVBand="1"/>
      </w:tblPr>
      <w:tblGrid>
        <w:gridCol w:w="4635"/>
        <w:gridCol w:w="3987"/>
      </w:tblGrid>
      <w:tr w:rsidR="00077DBB" w14:paraId="35FFC4B6" w14:textId="77777777" w:rsidTr="00E34C05">
        <w:trPr>
          <w:trHeight w:val="2312"/>
        </w:trPr>
        <w:tc>
          <w:tcPr>
            <w:tcW w:w="4635"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083948388"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E34C05">
        <w:tc>
          <w:tcPr>
            <w:tcW w:w="4635"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2083948389"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49"/>
                          <a:stretch>
                            <a:fillRect/>
                          </a:stretch>
                        </pic:blipFill>
                        <pic:spPr>
                          <a:xfrm>
                            <a:off x="0" y="0"/>
                            <a:ext cx="2333422" cy="1278714"/>
                          </a:xfrm>
                          <a:prstGeom prst="rect">
                            <a:avLst/>
                          </a:prstGeom>
                        </pic:spPr>
                      </pic:pic>
                    </a:graphicData>
                  </a:graphic>
                </wp:inline>
              </w:drawing>
            </w:r>
          </w:p>
        </w:tc>
      </w:tr>
      <w:tr w:rsidR="00077DBB" w14:paraId="01102FFD" w14:textId="77777777" w:rsidTr="00E34C05">
        <w:trPr>
          <w:trHeight w:val="1976"/>
        </w:trPr>
        <w:tc>
          <w:tcPr>
            <w:tcW w:w="4635"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50"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2083948390"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51"/>
                          <a:stretch>
                            <a:fillRect/>
                          </a:stretch>
                        </pic:blipFill>
                        <pic:spPr>
                          <a:xfrm>
                            <a:off x="0" y="0"/>
                            <a:ext cx="2301325" cy="1305373"/>
                          </a:xfrm>
                          <a:prstGeom prst="rect">
                            <a:avLst/>
                          </a:prstGeom>
                        </pic:spPr>
                      </pic:pic>
                    </a:graphicData>
                  </a:graphic>
                </wp:inline>
              </w:drawing>
            </w:r>
          </w:p>
        </w:tc>
      </w:tr>
      <w:tr w:rsidR="00077DBB" w14:paraId="71CB0869" w14:textId="77777777" w:rsidTr="00E34C05">
        <w:trPr>
          <w:trHeight w:val="2108"/>
        </w:trPr>
        <w:tc>
          <w:tcPr>
            <w:tcW w:w="4635"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1980384922"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52"/>
                          <a:stretch>
                            <a:fillRect/>
                          </a:stretch>
                        </pic:blipFill>
                        <pic:spPr>
                          <a:xfrm>
                            <a:off x="0" y="0"/>
                            <a:ext cx="2298144" cy="1277806"/>
                          </a:xfrm>
                          <a:prstGeom prst="rect">
                            <a:avLst/>
                          </a:prstGeom>
                        </pic:spPr>
                      </pic:pic>
                    </a:graphicData>
                  </a:graphic>
                </wp:inline>
              </w:drawing>
            </w:r>
          </w:p>
        </w:tc>
      </w:tr>
    </w:tbl>
    <w:p w14:paraId="54D92D85" w14:textId="69CD990A" w:rsidR="00D16014" w:rsidRPr="001A39E7" w:rsidRDefault="00D16014" w:rsidP="00D16014">
      <w:pPr>
        <w:rPr>
          <w:rStyle w:val="Hyperlink"/>
          <w:rFonts w:eastAsia="Arial" w:cs="Arial"/>
          <w:sz w:val="20"/>
          <w:lang w:eastAsia="en-AU"/>
        </w:rPr>
      </w:pPr>
      <w:bookmarkStart w:id="164" w:name="_Less_than_14"/>
      <w:bookmarkStart w:id="165" w:name="_Toc71895626"/>
      <w:bookmarkStart w:id="166" w:name="_Toc73627099"/>
      <w:bookmarkStart w:id="167" w:name="_Toc2085865276"/>
      <w:bookmarkStart w:id="168" w:name="_Toc112154607"/>
      <w:bookmarkStart w:id="169" w:name="_Toc112315667"/>
      <w:bookmarkEnd w:id="164"/>
      <w:r w:rsidRPr="001A39E7">
        <w:rPr>
          <w:rFonts w:eastAsia="Arial" w:cs="Arial"/>
          <w:sz w:val="20"/>
          <w:lang w:eastAsia="en-AU"/>
        </w:rPr>
        <w:t xml:space="preserve">Images – </w:t>
      </w:r>
      <w:r w:rsidR="00736B76" w:rsidRPr="001A39E7">
        <w:rPr>
          <w:rFonts w:eastAsia="Arial" w:cs="Arial"/>
          <w:sz w:val="20"/>
          <w:lang w:eastAsia="en-AU"/>
        </w:rPr>
        <w:t>CDC How to administer JYNNEOS vaccine intradermally</w:t>
      </w:r>
      <w:r w:rsidR="00736B76" w:rsidRPr="001A39E7">
        <w:rPr>
          <w:rStyle w:val="FootnoteReference"/>
          <w:rFonts w:eastAsia="Arial" w:cs="Arial"/>
          <w:sz w:val="20"/>
          <w:lang w:eastAsia="en-AU"/>
        </w:rPr>
        <w:footnoteReference w:id="34"/>
      </w:r>
    </w:p>
    <w:p w14:paraId="63CDAAA2" w14:textId="0BE875E4" w:rsidR="0026671E" w:rsidRDefault="0026671E" w:rsidP="00A6687C">
      <w:pPr>
        <w:pStyle w:val="Heading2"/>
      </w:pPr>
      <w:bookmarkStart w:id="170" w:name="_Toc169094201"/>
      <w:r>
        <w:t>After vaccination</w:t>
      </w:r>
      <w:bookmarkEnd w:id="170"/>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35"/>
      </w:r>
      <w:r w:rsidRPr="006A0702">
        <w:rPr>
          <w:rFonts w:cs="Arial"/>
          <w:lang w:eastAsia="en-AU"/>
        </w:rPr>
        <w:t xml:space="preserve">. </w:t>
      </w:r>
    </w:p>
    <w:p w14:paraId="7C239F2A" w14:textId="6E700EFC" w:rsidR="00524372" w:rsidRDefault="001E3071" w:rsidP="001E3071">
      <w:pPr>
        <w:spacing w:after="0" w:line="288" w:lineRule="auto"/>
        <w:rPr>
          <w:rFonts w:cs="Arial"/>
          <w:color w:val="000000" w:themeColor="text1"/>
          <w:shd w:val="clear" w:color="auto" w:fill="FFFFFF"/>
        </w:rPr>
      </w:pPr>
      <w:r w:rsidRPr="001E3071">
        <w:rPr>
          <w:rFonts w:cs="Arial"/>
          <w:color w:val="000000" w:themeColor="text1"/>
          <w:shd w:val="clear" w:color="auto" w:fill="FFFFFF"/>
        </w:rPr>
        <w:t xml:space="preserve">Following vaccination, the patient should be </w:t>
      </w:r>
      <w:r w:rsidRPr="00524372">
        <w:rPr>
          <w:rFonts w:cs="Arial"/>
          <w:color w:val="000000" w:themeColor="text1"/>
          <w:shd w:val="clear" w:color="auto" w:fill="FFFFFF"/>
        </w:rPr>
        <w:t>given</w:t>
      </w:r>
      <w:r w:rsidR="00524372">
        <w:rPr>
          <w:rFonts w:cs="Arial"/>
          <w:color w:val="000000" w:themeColor="text1"/>
          <w:shd w:val="clear" w:color="auto" w:fill="FFFFFF"/>
        </w:rPr>
        <w:t xml:space="preserve"> written</w:t>
      </w:r>
      <w:r w:rsidRPr="00524372">
        <w:rPr>
          <w:rFonts w:cs="Arial"/>
          <w:color w:val="000000" w:themeColor="text1"/>
          <w:shd w:val="clear" w:color="auto" w:fill="FFFFFF"/>
        </w:rPr>
        <w:t xml:space="preserve"> </w:t>
      </w:r>
      <w:hyperlink r:id="rId53" w:history="1">
        <w:r w:rsidR="00524372">
          <w:rPr>
            <w:rStyle w:val="Hyperlink"/>
            <w:rFonts w:cs="Arial"/>
            <w:szCs w:val="21"/>
            <w:shd w:val="clear" w:color="auto" w:fill="FFFFFF"/>
          </w:rPr>
          <w:t>Information about the JYNNEOS® vaccine</w:t>
        </w:r>
      </w:hyperlink>
      <w:r w:rsidR="00524372" w:rsidRPr="000C0551">
        <w:rPr>
          <w:rFonts w:cs="Arial"/>
          <w:color w:val="000000"/>
          <w:szCs w:val="21"/>
          <w:shd w:val="clear" w:color="auto" w:fill="FFFFFF"/>
        </w:rPr>
        <w:t xml:space="preserve"> </w:t>
      </w:r>
      <w:r w:rsidRPr="001E3071">
        <w:rPr>
          <w:rFonts w:cs="Arial"/>
          <w:color w:val="000000" w:themeColor="text1"/>
          <w:shd w:val="clear" w:color="auto" w:fill="FFFFFF"/>
        </w:rPr>
        <w:t xml:space="preserve">and </w:t>
      </w:r>
      <w:r w:rsidR="00D1506A">
        <w:rPr>
          <w:rFonts w:cs="Arial"/>
          <w:color w:val="000000" w:themeColor="text1"/>
          <w:shd w:val="clear" w:color="auto" w:fill="FFFFFF"/>
        </w:rPr>
        <w:t>mpox</w:t>
      </w:r>
      <w:r w:rsidRPr="001E3071">
        <w:rPr>
          <w:rFonts w:cs="Arial"/>
          <w:color w:val="000000" w:themeColor="text1"/>
          <w:shd w:val="clear" w:color="auto" w:fill="FFFFFF"/>
        </w:rPr>
        <w:t xml:space="preserve">. </w:t>
      </w:r>
      <w:r w:rsidR="00524372">
        <w:rPr>
          <w:rFonts w:cs="Arial"/>
          <w:color w:val="000000" w:themeColor="text1"/>
          <w:shd w:val="clear" w:color="auto" w:fill="FFFFFF"/>
        </w:rPr>
        <w:t>&lt;</w:t>
      </w:r>
      <w:r w:rsidR="00524372" w:rsidRPr="00524372">
        <w:rPr>
          <w:rFonts w:cs="Arial"/>
          <w:color w:val="000000" w:themeColor="text1"/>
          <w:shd w:val="clear" w:color="auto" w:fill="FFFFFF"/>
        </w:rPr>
        <w:t>https://www.health.gov.au/resources/publications/mpox-monkeypox-information-on-jynneosr-vaccine</w:t>
      </w:r>
      <w:r w:rsidR="00524372">
        <w:rPr>
          <w:rFonts w:cs="Arial"/>
          <w:color w:val="000000" w:themeColor="text1"/>
          <w:shd w:val="clear" w:color="auto" w:fill="FFFFFF"/>
        </w:rPr>
        <w:t xml:space="preserve">&gt; </w:t>
      </w:r>
    </w:p>
    <w:p w14:paraId="1950DC42" w14:textId="7FDDD43A" w:rsidR="001E3071" w:rsidRPr="001E3071" w:rsidRDefault="001E3071" w:rsidP="00125650">
      <w:pPr>
        <w:spacing w:before="120" w:after="0" w:line="288" w:lineRule="auto"/>
        <w:rPr>
          <w:rFonts w:cs="Arial"/>
          <w:color w:val="000000" w:themeColor="text1"/>
        </w:rPr>
      </w:pPr>
      <w:r w:rsidRPr="001E3071">
        <w:rPr>
          <w:rFonts w:cs="Arial"/>
          <w:color w:val="000000" w:themeColor="text1"/>
          <w:shd w:val="clear" w:color="auto" w:fill="FFFFFF"/>
        </w:rPr>
        <w:t xml:space="preserve">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A6687C">
      <w:pPr>
        <w:pStyle w:val="Heading1"/>
        <w:spacing w:before="240" w:after="120"/>
      </w:pPr>
      <w:bookmarkStart w:id="171" w:name="_Vaccine_safety"/>
      <w:bookmarkStart w:id="172" w:name="_Toc169094202"/>
      <w:bookmarkEnd w:id="171"/>
      <w:r>
        <w:t xml:space="preserve">Vaccine </w:t>
      </w:r>
      <w:bookmarkEnd w:id="165"/>
      <w:bookmarkEnd w:id="166"/>
      <w:bookmarkEnd w:id="167"/>
      <w:r w:rsidR="20990778">
        <w:t>s</w:t>
      </w:r>
      <w:r>
        <w:t>afety</w:t>
      </w:r>
      <w:bookmarkEnd w:id="168"/>
      <w:bookmarkEnd w:id="169"/>
      <w:bookmarkEnd w:id="172"/>
    </w:p>
    <w:p w14:paraId="5C882A60" w14:textId="77777777" w:rsidR="00397E3E" w:rsidRDefault="00397E3E" w:rsidP="00A6687C">
      <w:pPr>
        <w:pStyle w:val="Heading2"/>
        <w:spacing w:before="240"/>
      </w:pPr>
      <w:bookmarkStart w:id="173" w:name="_Toc169094203"/>
      <w:r w:rsidRPr="001046A8">
        <w:t>Storage of multiple vaccine types in a shared location</w:t>
      </w:r>
      <w:bookmarkEnd w:id="173"/>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1C8B6B0E"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r w:rsidR="00125650">
        <w:t>.</w:t>
      </w:r>
    </w:p>
    <w:p w14:paraId="7EEE16C2" w14:textId="77777777" w:rsidR="00077DBB" w:rsidRPr="00D10933" w:rsidRDefault="00077DBB" w:rsidP="002659C6">
      <w:pPr>
        <w:pStyle w:val="Heading2"/>
      </w:pPr>
      <w:bookmarkStart w:id="174" w:name="_Toc1463708691"/>
      <w:bookmarkStart w:id="175" w:name="_Toc169094204"/>
      <w:r w:rsidRPr="00D10933">
        <w:t>Safety Updates</w:t>
      </w:r>
      <w:bookmarkEnd w:id="174"/>
      <w:bookmarkEnd w:id="175"/>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mpox vaccination program.</w:t>
      </w:r>
    </w:p>
    <w:p w14:paraId="112356B8" w14:textId="0BAC174C" w:rsidR="00077DBB" w:rsidRPr="00712B4F" w:rsidRDefault="00077DBB" w:rsidP="00077DBB">
      <w:pPr>
        <w:rPr>
          <w:rStyle w:val="normaltextrun"/>
          <w:rFonts w:eastAsia="MS Mincho"/>
          <w:szCs w:val="21"/>
        </w:rPr>
      </w:pPr>
      <w:r w:rsidRPr="00712B4F">
        <w:rPr>
          <w:rStyle w:val="normaltextrun"/>
          <w:rFonts w:eastAsia="MS Mincho"/>
          <w:szCs w:val="21"/>
        </w:rPr>
        <w:t xml:space="preserve">Further information and the SAEFVIC and the reporting portal may be found at </w:t>
      </w:r>
      <w:hyperlink r:id="rId54" w:history="1">
        <w:r w:rsidRPr="00712B4F">
          <w:rPr>
            <w:rStyle w:val="Hyperlink"/>
            <w:szCs w:val="21"/>
          </w:rPr>
          <w:t>SAEFVIC</w:t>
        </w:r>
      </w:hyperlink>
      <w:r w:rsidR="00BC4C88" w:rsidRPr="00712B4F">
        <w:rPr>
          <w:rStyle w:val="Hyperlink"/>
          <w:szCs w:val="21"/>
        </w:rPr>
        <w:t xml:space="preserve"> </w:t>
      </w:r>
      <w:r w:rsidR="00BC4C88" w:rsidRPr="00712B4F">
        <w:rPr>
          <w:rStyle w:val="normaltextrun"/>
          <w:rFonts w:cs="Arial"/>
          <w:szCs w:val="21"/>
        </w:rPr>
        <w:t>&lt;https://www.safevac.org.au/Home/Info/VIC</w:t>
      </w:r>
      <w:r w:rsidR="00E9076F" w:rsidRPr="00712B4F">
        <w:rPr>
          <w:rStyle w:val="normaltextrun"/>
          <w:rFonts w:cs="Arial"/>
          <w:szCs w:val="21"/>
        </w:rPr>
        <w:t>&gt;</w:t>
      </w:r>
      <w:r w:rsidR="00AA50B2" w:rsidRPr="00712B4F">
        <w:rPr>
          <w:rStyle w:val="Hyperlink"/>
          <w:color w:val="auto"/>
          <w:szCs w:val="21"/>
          <w:u w:val="none"/>
        </w:rPr>
        <w:t>.</w:t>
      </w:r>
      <w:r w:rsidRPr="00712B4F">
        <w:rPr>
          <w:rStyle w:val="normaltextrun"/>
          <w:rFonts w:eastAsia="MS Mincho"/>
          <w:szCs w:val="21"/>
        </w:rPr>
        <w:t xml:space="preserve"> </w:t>
      </w:r>
    </w:p>
    <w:p w14:paraId="19A2127E" w14:textId="0E469EA2" w:rsidR="00077DBB" w:rsidRPr="004C16EB" w:rsidRDefault="00077DBB" w:rsidP="0022423F">
      <w:pPr>
        <w:pStyle w:val="Heading2"/>
      </w:pPr>
      <w:bookmarkStart w:id="176" w:name="_Adverse_Events_Following"/>
      <w:bookmarkStart w:id="177" w:name="_Vaccine_errors"/>
      <w:bookmarkStart w:id="178" w:name="_Vaccine_administration_errors"/>
      <w:bookmarkStart w:id="179" w:name="_Toc169094205"/>
      <w:bookmarkEnd w:id="176"/>
      <w:bookmarkEnd w:id="177"/>
      <w:bookmarkEnd w:id="178"/>
      <w:r w:rsidRPr="0022423F">
        <w:t xml:space="preserve">Vaccine </w:t>
      </w:r>
      <w:r w:rsidR="00E44E85" w:rsidRPr="0091033F">
        <w:t xml:space="preserve">administration </w:t>
      </w:r>
      <w:r w:rsidRPr="0091033F">
        <w:t>erro</w:t>
      </w:r>
      <w:r w:rsidRPr="004E6A06">
        <w:t>rs</w:t>
      </w:r>
      <w:bookmarkEnd w:id="179"/>
    </w:p>
    <w:p w14:paraId="464E5638" w14:textId="2B891CE4" w:rsidR="00077DBB" w:rsidRPr="00524372" w:rsidRDefault="00077DBB" w:rsidP="007D6DA8">
      <w:pPr>
        <w:spacing w:after="0" w:line="336" w:lineRule="auto"/>
        <w:rPr>
          <w:rFonts w:cs="Arial"/>
          <w:szCs w:val="21"/>
        </w:rPr>
      </w:pPr>
      <w:r w:rsidRPr="00524372">
        <w:rPr>
          <w:rFonts w:cs="Arial"/>
          <w:szCs w:val="21"/>
        </w:rPr>
        <w:t xml:space="preserve">Immunisation errors can include errors in vaccine storage, handling, </w:t>
      </w:r>
      <w:r w:rsidR="00C611CE" w:rsidRPr="00524372">
        <w:rPr>
          <w:rFonts w:cs="Arial"/>
          <w:szCs w:val="21"/>
        </w:rPr>
        <w:t>preparation,</w:t>
      </w:r>
      <w:r w:rsidRPr="00524372">
        <w:rPr>
          <w:rFonts w:cs="Arial"/>
          <w:szCs w:val="21"/>
        </w:rPr>
        <w:t xml:space="preserve"> or administration. Vaccination administration errors should be reported to SAEFVIC for vaccine safety surveillance review.</w:t>
      </w:r>
      <w:r w:rsidR="00953BFB" w:rsidRPr="00524372">
        <w:rPr>
          <w:rFonts w:cs="Arial"/>
          <w:szCs w:val="21"/>
        </w:rPr>
        <w:t xml:space="preserve"> </w:t>
      </w:r>
      <w:r w:rsidRPr="00524372">
        <w:rPr>
          <w:rFonts w:cs="Arial"/>
          <w:szCs w:val="21"/>
        </w:rPr>
        <w:t xml:space="preserve">For more information on submitting a SAEFVIC report </w:t>
      </w:r>
      <w:r w:rsidR="00872BE3" w:rsidRPr="00524372">
        <w:rPr>
          <w:rFonts w:cs="Arial"/>
          <w:szCs w:val="21"/>
        </w:rPr>
        <w:t>refer to:</w:t>
      </w:r>
    </w:p>
    <w:p w14:paraId="464E8433" w14:textId="4CC5B558" w:rsidR="00077DBB" w:rsidRPr="00524372" w:rsidRDefault="00AD4432"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55" w:history="1">
        <w:r w:rsidR="00524372" w:rsidRPr="00524372">
          <w:rPr>
            <w:rStyle w:val="Hyperlink"/>
            <w:rFonts w:ascii="Arial" w:eastAsia="Times New Roman" w:hAnsi="Arial" w:cs="Arial"/>
            <w:sz w:val="21"/>
            <w:szCs w:val="21"/>
          </w:rPr>
          <w:t>SAFEVAC Reporting</w:t>
        </w:r>
      </w:hyperlink>
      <w:r w:rsidR="00077DBB" w:rsidRPr="00524372">
        <w:rPr>
          <w:rStyle w:val="normaltextrun"/>
          <w:rFonts w:ascii="Arial" w:eastAsia="Times New Roman" w:hAnsi="Arial" w:cs="Arial"/>
          <w:color w:val="004C97"/>
          <w:sz w:val="21"/>
          <w:szCs w:val="21"/>
        </w:rPr>
        <w:t xml:space="preserve"> </w:t>
      </w:r>
      <w:r w:rsidR="00077DBB" w:rsidRPr="00524372">
        <w:rPr>
          <w:rStyle w:val="normaltextrun"/>
          <w:rFonts w:ascii="Arial" w:eastAsia="Times New Roman" w:hAnsi="Arial" w:cs="Arial"/>
          <w:sz w:val="21"/>
          <w:szCs w:val="21"/>
        </w:rPr>
        <w:t>&lt;https://www.safevac.org.au/Home/Info/VIC&gt;</w:t>
      </w:r>
    </w:p>
    <w:p w14:paraId="4D327AE8" w14:textId="24247898" w:rsidR="00077DBB" w:rsidRPr="00524372"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524372">
        <w:rPr>
          <w:rStyle w:val="normaltextrun"/>
          <w:rFonts w:ascii="Arial" w:eastAsia="Times New Roman" w:hAnsi="Arial" w:cs="Arial"/>
          <w:sz w:val="21"/>
          <w:szCs w:val="21"/>
        </w:rPr>
        <w:t xml:space="preserve">Email: </w:t>
      </w:r>
      <w:hyperlink r:id="rId56" w:history="1">
        <w:r w:rsidR="00FD74EF" w:rsidRPr="00524372">
          <w:rPr>
            <w:rStyle w:val="Hyperlink"/>
            <w:rFonts w:ascii="Arial" w:eastAsia="Times New Roman" w:hAnsi="Arial" w:cs="Arial"/>
            <w:sz w:val="21"/>
            <w:szCs w:val="21"/>
          </w:rPr>
          <w:t>enquiries@saefvic.org.au</w:t>
        </w:r>
      </w:hyperlink>
    </w:p>
    <w:p w14:paraId="24A20314" w14:textId="77777777" w:rsidR="00077DBB" w:rsidRPr="00524372"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524372">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57">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5F0C3907" w14:textId="77777777" w:rsidR="00B81AB6" w:rsidRDefault="00B81AB6" w:rsidP="00E44E85">
      <w:pPr>
        <w:pStyle w:val="DJCSbody"/>
        <w:rPr>
          <w:sz w:val="21"/>
          <w:szCs w:val="21"/>
        </w:rPr>
      </w:pPr>
    </w:p>
    <w:p w14:paraId="2CF63C37" w14:textId="138B609A" w:rsidR="00E44E85" w:rsidRPr="00524372" w:rsidRDefault="00885A20" w:rsidP="00035E03">
      <w:pPr>
        <w:pStyle w:val="DJCSbody"/>
        <w:ind w:left="-851"/>
        <w:rPr>
          <w:sz w:val="21"/>
          <w:szCs w:val="21"/>
        </w:rPr>
      </w:pPr>
      <w:r w:rsidRPr="00035E03">
        <w:rPr>
          <w:rStyle w:val="Heading4Char"/>
        </w:rPr>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w:t>
      </w:r>
      <w:r w:rsidR="00E44E85" w:rsidRPr="00524372">
        <w:rPr>
          <w:rStyle w:val="Heading4Char"/>
        </w:rPr>
        <w:t>deviations.</w:t>
      </w:r>
      <w:r w:rsidR="00E44E85" w:rsidRPr="00524372">
        <w:rPr>
          <w:bCs/>
          <w:sz w:val="21"/>
          <w:szCs w:val="21"/>
        </w:rPr>
        <w:t xml:space="preserve"> </w:t>
      </w:r>
      <w:r w:rsidR="00035E03" w:rsidRPr="00524372">
        <w:rPr>
          <w:bCs/>
          <w:sz w:val="21"/>
          <w:szCs w:val="21"/>
        </w:rPr>
        <w:t xml:space="preserve"> </w:t>
      </w:r>
      <w:r w:rsidR="00E44E85" w:rsidRPr="00524372">
        <w:rPr>
          <w:sz w:val="18"/>
          <w:szCs w:val="18"/>
        </w:rPr>
        <w:t>Source</w:t>
      </w:r>
      <w:hyperlink r:id="rId58" w:history="1">
        <w:r w:rsidR="00EC1BEB" w:rsidRPr="00524372">
          <w:rPr>
            <w:rStyle w:val="Hyperlink"/>
            <w:sz w:val="18"/>
            <w:szCs w:val="18"/>
          </w:rPr>
          <w:t>: Centres for Disease Control and Prevention</w:t>
        </w:r>
      </w:hyperlink>
      <w:r w:rsidR="00E44E85" w:rsidRPr="00524372">
        <w:rPr>
          <w:sz w:val="18"/>
          <w:szCs w:val="18"/>
        </w:rPr>
        <w:t xml:space="preserve"> </w:t>
      </w:r>
      <w:r w:rsidR="00035E03" w:rsidRPr="00524372">
        <w:rPr>
          <w:sz w:val="18"/>
          <w:szCs w:val="18"/>
        </w:rPr>
        <w:t xml:space="preserve"> &lt;</w:t>
      </w:r>
      <w:hyperlink r:id="rId59" w:history="1">
        <w:r w:rsidR="00524372" w:rsidRPr="00524372">
          <w:rPr>
            <w:rStyle w:val="Hyperlink"/>
            <w:color w:val="auto"/>
            <w:sz w:val="18"/>
            <w:szCs w:val="18"/>
            <w:u w:val="none"/>
          </w:rPr>
          <w:t>https://www.cdc.gov/poxvirus/mpox/interim-considerations/errors-deviations.html</w:t>
        </w:r>
      </w:hyperlink>
      <w:r w:rsidR="00524372" w:rsidRPr="00524372">
        <w:rPr>
          <w:sz w:val="18"/>
          <w:szCs w:val="18"/>
        </w:rPr>
        <w:t>&gt;</w:t>
      </w:r>
      <w:r w:rsidR="00007DC9" w:rsidRPr="00524372">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7439D412"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w:t>
            </w:r>
            <w:r w:rsidR="0059447D">
              <w:rPr>
                <w:rFonts w:cs="Arial"/>
                <w:sz w:val="21"/>
                <w:szCs w:val="21"/>
              </w:rPr>
              <w:t xml:space="preserve"> </w:t>
            </w:r>
            <w:r w:rsidRPr="00BE6FD1">
              <w:rPr>
                <w:rFonts w:cs="Arial"/>
                <w:sz w:val="21"/>
                <w:szCs w:val="21"/>
              </w:rPr>
              <w:t>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36"/>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690C5829"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Vaccination_against_mpox"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05885AF1" w14:textId="0E933AFF"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00A6687C" w:rsidRPr="00BE6FD1">
              <w:rPr>
                <w:rFonts w:cs="Arial"/>
                <w:sz w:val="21"/>
                <w:szCs w:val="21"/>
              </w:rPr>
              <w:t xml:space="preserve"> </w:t>
            </w:r>
            <w:r w:rsidRPr="00BE6FD1">
              <w:rPr>
                <w:rFonts w:cs="Arial"/>
                <w:sz w:val="21"/>
                <w:szCs w:val="21"/>
              </w:rPr>
              <w:t xml:space="preserve">via email – </w:t>
            </w:r>
            <w:hyperlink r:id="rId60" w:history="1">
              <w:r w:rsidRPr="00BE6FD1">
                <w:rPr>
                  <w:rStyle w:val="Hyperlink"/>
                  <w:rFonts w:cs="Arial"/>
                  <w:sz w:val="21"/>
                  <w:szCs w:val="21"/>
                </w:rPr>
                <w:t>immunisation@health.vic.gov.au</w:t>
              </w:r>
            </w:hyperlink>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0F80708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Pr="00BE6FD1">
              <w:rPr>
                <w:rFonts w:cs="Arial"/>
                <w:sz w:val="21"/>
                <w:szCs w:val="21"/>
              </w:rPr>
              <w:t xml:space="preserve">via email – </w:t>
            </w:r>
            <w:hyperlink r:id="rId61" w:history="1">
              <w:r w:rsidRPr="00BE6FD1">
                <w:rPr>
                  <w:rStyle w:val="Hyperlink"/>
                  <w:rFonts w:cs="Arial"/>
                  <w:sz w:val="21"/>
                  <w:szCs w:val="21"/>
                </w:rPr>
                <w:t>immunisation@health.vic.gov.au</w:t>
              </w:r>
            </w:hyperlink>
          </w:p>
        </w:tc>
      </w:tr>
    </w:tbl>
    <w:p w14:paraId="64F89E8D" w14:textId="77777777" w:rsidR="00077DBB" w:rsidRPr="00955AD9" w:rsidRDefault="00077DBB" w:rsidP="002659C6">
      <w:pPr>
        <w:pStyle w:val="Heading2"/>
      </w:pPr>
      <w:bookmarkStart w:id="180" w:name="_Adverse_Events_Following_2"/>
      <w:bookmarkStart w:id="181" w:name="_Toc910993091"/>
      <w:bookmarkStart w:id="182" w:name="_Toc169094206"/>
      <w:bookmarkEnd w:id="180"/>
      <w:r w:rsidRPr="00955AD9">
        <w:t>Adverse Events Following Immunisation (AEFI) – Reporting and Management</w:t>
      </w:r>
      <w:bookmarkEnd w:id="181"/>
      <w:bookmarkEnd w:id="182"/>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3" w:name="_Steps_for_managing"/>
      <w:bookmarkStart w:id="184" w:name="_Toc112154610"/>
      <w:bookmarkStart w:id="185" w:name="_Toc112315670"/>
      <w:bookmarkStart w:id="186" w:name="_Toc2030884371"/>
      <w:bookmarkEnd w:id="183"/>
      <w:r>
        <w:t>Steps for managing an adverse event following immunisation</w:t>
      </w:r>
      <w:bookmarkEnd w:id="184"/>
      <w:bookmarkEnd w:id="185"/>
      <w:r>
        <w:t xml:space="preserve"> </w:t>
      </w:r>
      <w:bookmarkEnd w:id="186"/>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231E16F3" w:rsidR="00077DBB" w:rsidRPr="006314A4" w:rsidRDefault="00AD4432" w:rsidP="00603DC8">
      <w:pPr>
        <w:pStyle w:val="Bullet1"/>
        <w:numPr>
          <w:ilvl w:val="0"/>
          <w:numId w:val="15"/>
        </w:numPr>
        <w:rPr>
          <w:rStyle w:val="Hyperlink"/>
        </w:rPr>
      </w:pPr>
      <w:hyperlink r:id="rId62" w:history="1">
        <w:r w:rsidR="00077DBB" w:rsidRPr="006314A4">
          <w:rPr>
            <w:rStyle w:val="Hyperlink"/>
          </w:rPr>
          <w:t>Recognising and</w:t>
        </w:r>
        <w:bookmarkStart w:id="187" w:name="_Hlt69465751"/>
        <w:bookmarkStart w:id="188" w:name="_Hlt69465752"/>
        <w:bookmarkEnd w:id="187"/>
        <w:bookmarkEnd w:id="188"/>
        <w:r w:rsidR="00077DBB" w:rsidRPr="006314A4">
          <w:rPr>
            <w:rStyle w:val="Hyperlink"/>
          </w:rPr>
          <w:t xml:space="preserve"> treating anaphylaxis</w:t>
        </w:r>
        <w:r w:rsidR="00D35FB3">
          <w:rPr>
            <w:rStyle w:val="Hyperlink"/>
          </w:rPr>
          <w:t xml:space="preserve"> </w:t>
        </w:r>
        <w:r w:rsidR="00077DBB" w:rsidRPr="00955AD9">
          <w:rPr>
            <w:rStyle w:val="FootnoteReference"/>
          </w:rPr>
          <w:footnoteReference w:id="37"/>
        </w:r>
        <w:r w:rsidR="00077DBB" w:rsidRPr="00955AD9">
          <w:rPr>
            <w:rStyle w:val="FootnoteReference"/>
          </w:rPr>
          <w:t xml:space="preserve"> </w:t>
        </w:r>
      </w:hyperlink>
    </w:p>
    <w:p w14:paraId="7ADF90A8" w14:textId="1AC75A49" w:rsidR="00077DBB" w:rsidRPr="006314A4" w:rsidRDefault="00AD4432" w:rsidP="00603DC8">
      <w:pPr>
        <w:pStyle w:val="Bullet1"/>
        <w:numPr>
          <w:ilvl w:val="0"/>
          <w:numId w:val="15"/>
        </w:numPr>
      </w:pPr>
      <w:hyperlink r:id="rId63">
        <w:r w:rsidR="002D100C">
          <w:rPr>
            <w:rStyle w:val="Hyperlink"/>
          </w:rPr>
          <w:t>ATAGI (2022) Managing anaphylaxis</w:t>
        </w:r>
        <w:r w:rsidR="002D100C" w:rsidRPr="00955AD9">
          <w:rPr>
            <w:rStyle w:val="FootnoteReference"/>
          </w:rPr>
          <w:footnoteReference w:id="38"/>
        </w:r>
        <w:r w:rsidR="00F40D26" w:rsidRPr="00955AD9">
          <w:rPr>
            <w:rStyle w:val="Hyperlink"/>
            <w:color w:val="auto"/>
            <w:u w:val="none"/>
          </w:rPr>
          <w:t xml:space="preserve"> </w:t>
        </w:r>
      </w:hyperlink>
    </w:p>
    <w:p w14:paraId="6DBD7045" w14:textId="5ECFCE41" w:rsidR="00077DBB" w:rsidRPr="004B6983" w:rsidRDefault="004B6983" w:rsidP="00603DC8">
      <w:pPr>
        <w:pStyle w:val="Bullet1"/>
        <w:numPr>
          <w:ilvl w:val="0"/>
          <w:numId w:val="15"/>
        </w:numPr>
        <w:rPr>
          <w:rStyle w:val="Hyperlink"/>
        </w:rPr>
      </w:pPr>
      <w:r>
        <w:fldChar w:fldCharType="begin"/>
      </w:r>
      <w:r>
        <w:instrText>HYPERLINK "https://immunisationhandbook.health.gov.au/resources/publications/preparing-an-anaphylaxis-response-kit"</w:instrText>
      </w:r>
      <w:r>
        <w:fldChar w:fldCharType="separate"/>
      </w:r>
      <w:r w:rsidR="00077DBB" w:rsidRPr="004B6983">
        <w:rPr>
          <w:rStyle w:val="Hyperlink"/>
        </w:rPr>
        <w:t>Preparing an anaphylaxis response kit</w:t>
      </w:r>
      <w:r w:rsidR="00F5320A" w:rsidRPr="004B6983">
        <w:rPr>
          <w:rStyle w:val="Hyperlink"/>
          <w:vertAlign w:val="superscript"/>
        </w:rPr>
        <w:footnoteReference w:id="39"/>
      </w:r>
      <w:r w:rsidR="00077DBB" w:rsidRPr="004B6983">
        <w:rPr>
          <w:rStyle w:val="Hyperlink"/>
        </w:rPr>
        <w:t xml:space="preserve">  </w:t>
      </w:r>
    </w:p>
    <w:p w14:paraId="1788EEFF" w14:textId="403A6953" w:rsidR="00077DBB" w:rsidRPr="006314A4" w:rsidRDefault="004B6983" w:rsidP="00603DC8">
      <w:pPr>
        <w:pStyle w:val="Bullet1"/>
        <w:numPr>
          <w:ilvl w:val="0"/>
          <w:numId w:val="15"/>
        </w:numPr>
      </w:pPr>
      <w:r>
        <w:fldChar w:fldCharType="end"/>
      </w:r>
      <w:hyperlink r:id="rId64">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40"/>
      </w:r>
    </w:p>
    <w:bookmarkStart w:id="189" w:name="_Hlk73829506"/>
    <w:p w14:paraId="7B455DB6" w14:textId="488F038F" w:rsidR="00077DBB" w:rsidRPr="006314A4" w:rsidRDefault="009D0D3F" w:rsidP="00603DC8">
      <w:pPr>
        <w:pStyle w:val="Bullet1"/>
        <w:numPr>
          <w:ilvl w:val="0"/>
          <w:numId w:val="15"/>
        </w:numPr>
        <w:rPr>
          <w:rStyle w:val="Hyperlink"/>
        </w:rPr>
      </w:pPr>
      <w:r>
        <w:fldChar w:fldCharType="begin"/>
      </w:r>
      <w:r>
        <w:instrText>HYPERLINK \l "_Appendix_11:_Factsheet" \h</w:instrText>
      </w:r>
      <w:r>
        <w:fldChar w:fldCharType="separate"/>
      </w:r>
      <w:r>
        <w:rPr>
          <w:rStyle w:val="Hyperlink"/>
        </w:rPr>
        <w:t>Table.</w:t>
      </w:r>
      <w:r>
        <w:rPr>
          <w:rStyle w:val="Hyperlink"/>
        </w:rPr>
        <w:fldChar w:fldCharType="end"/>
      </w:r>
      <w:r>
        <w:rPr>
          <w:rStyle w:val="Hyperlink"/>
        </w:rPr>
        <w:t xml:space="preserve"> Clinical features that may help differentiate between a vasovagal episode and anaphylaxis</w:t>
      </w:r>
      <w:r w:rsidRPr="00CC37BE">
        <w:rPr>
          <w:rStyle w:val="FootnoteReference"/>
        </w:rPr>
        <w:footnoteReference w:id="41"/>
      </w:r>
    </w:p>
    <w:p w14:paraId="1C017D6C" w14:textId="77777777" w:rsidR="00077DBB" w:rsidRPr="006314A4" w:rsidRDefault="00077DBB" w:rsidP="00077DBB">
      <w:pPr>
        <w:pStyle w:val="Heading3"/>
      </w:pPr>
      <w:bookmarkStart w:id="190" w:name="_Fainting_and_syncopal"/>
      <w:bookmarkStart w:id="191" w:name="_Toc1312165668"/>
      <w:bookmarkStart w:id="192" w:name="_Toc112154611"/>
      <w:bookmarkStart w:id="193" w:name="_Toc112315671"/>
      <w:bookmarkEnd w:id="189"/>
      <w:bookmarkEnd w:id="190"/>
      <w:r>
        <w:t>Fainting and syncopal seizures</w:t>
      </w:r>
      <w:bookmarkEnd w:id="191"/>
      <w:bookmarkEnd w:id="192"/>
      <w:bookmarkEnd w:id="193"/>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42"/>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47E24AE6"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65"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2D3706" w:rsidRPr="003976E1">
        <w:rPr>
          <w:rFonts w:ascii="Arial" w:eastAsia="Times New Roman" w:hAnsi="Arial" w:cs="Arial"/>
          <w:sz w:val="21"/>
          <w:szCs w:val="21"/>
        </w:rPr>
        <w:t>&lt;https://www.safevac.org.au/Home/Info/VIC&gt;</w:t>
      </w:r>
    </w:p>
    <w:p w14:paraId="50D4967C" w14:textId="3A871B98"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p>
    <w:p w14:paraId="069DE266" w14:textId="77777777" w:rsidR="00077DBB" w:rsidRPr="006314A4" w:rsidRDefault="00077DBB" w:rsidP="00077DBB">
      <w:pPr>
        <w:pStyle w:val="Heading3"/>
      </w:pPr>
      <w:bookmarkStart w:id="194" w:name="_Toc2138359726"/>
      <w:bookmarkStart w:id="195" w:name="_Toc112154612"/>
      <w:bookmarkStart w:id="196" w:name="_Toc112315672"/>
      <w:r w:rsidRPr="006314A4">
        <w:t>Reporting an immediate AEFI (at place of vaccination)</w:t>
      </w:r>
      <w:bookmarkEnd w:id="194"/>
      <w:bookmarkEnd w:id="195"/>
      <w:bookmarkEnd w:id="196"/>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7" w:name="_Toc656743643"/>
      <w:bookmarkStart w:id="198" w:name="_Toc112154613"/>
      <w:bookmarkStart w:id="199" w:name="_Toc112315673"/>
      <w:r w:rsidRPr="004A7B9F">
        <w:rPr>
          <w:bCs w:val="0"/>
        </w:rPr>
        <w:t>Reporting</w:t>
      </w:r>
      <w:r>
        <w:t xml:space="preserve"> a delayed AEFI (outside place of vaccination)</w:t>
      </w:r>
      <w:bookmarkEnd w:id="197"/>
      <w:bookmarkEnd w:id="198"/>
      <w:bookmarkEnd w:id="199"/>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66" w:history="1">
        <w:r w:rsidRPr="00E80CA7">
          <w:rPr>
            <w:rStyle w:val="Hyperlink"/>
          </w:rPr>
          <w:t>www.saefvic.org.au</w:t>
        </w:r>
      </w:hyperlink>
      <w:r w:rsidRPr="00E80CA7">
        <w:t xml:space="preserve"> or by phone call (as above). Vaccinees can find more information online at </w:t>
      </w:r>
      <w:hyperlink r:id="rId67"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0" w:name="_Toc623573678"/>
      <w:bookmarkStart w:id="201" w:name="_Toc112154614"/>
      <w:bookmarkStart w:id="202" w:name="_Toc112315674"/>
      <w:bookmarkStart w:id="203" w:name="_Toc71895628"/>
      <w:bookmarkStart w:id="204" w:name="_Toc73627101"/>
      <w:r>
        <w:t>Managing anaphylaxis and other serious AEFI</w:t>
      </w:r>
      <w:bookmarkEnd w:id="200"/>
      <w:bookmarkEnd w:id="201"/>
      <w:bookmarkEnd w:id="202"/>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68">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69"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3"/>
      <w:bookmarkEnd w:id="204"/>
    </w:p>
    <w:p w14:paraId="0BEA9785" w14:textId="77777777" w:rsidR="59B7C61D" w:rsidRDefault="59B7C61D" w:rsidP="3961303B">
      <w:pPr>
        <w:pStyle w:val="Heading1"/>
      </w:pPr>
      <w:bookmarkStart w:id="205" w:name="_Toc169094207"/>
      <w:r>
        <w:t>Workforce and Regulation</w:t>
      </w:r>
      <w:bookmarkEnd w:id="205"/>
      <w:r>
        <w:t xml:space="preserve"> </w:t>
      </w:r>
    </w:p>
    <w:p w14:paraId="6E71AF15" w14:textId="77777777" w:rsidR="59B7C61D" w:rsidRDefault="59B7C61D" w:rsidP="3961303B">
      <w:pPr>
        <w:pStyle w:val="Heading2"/>
      </w:pPr>
      <w:bookmarkStart w:id="206" w:name="_Toc169094208"/>
      <w:r>
        <w:t>Legislative and regulatory framework</w:t>
      </w:r>
      <w:bookmarkEnd w:id="206"/>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3F0B5F8D"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sidRPr="00E81DEF">
        <w:rPr>
          <w:rStyle w:val="FootnoteReference"/>
          <w:lang w:val="en-US"/>
        </w:rPr>
        <w:footnoteReference w:id="43"/>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00A673CE">
        <w:rPr>
          <w:rStyle w:val="FootnoteReference"/>
          <w:lang w:val="en-US"/>
        </w:rPr>
        <w:footnoteReference w:id="44"/>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48B76D44"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mpox vaccination. In accordance with </w:t>
      </w:r>
      <w:r w:rsidRPr="00903DDA">
        <w:t xml:space="preserve">the </w:t>
      </w:r>
      <w:hyperlink r:id="rId70">
        <w:r w:rsidRPr="00903DDA">
          <w:rPr>
            <w:rStyle w:val="Hyperlink"/>
            <w:i/>
            <w:iCs/>
          </w:rPr>
          <w:t>Medical Treatment Planning and Decisions Act 2016 (Vic)</w:t>
        </w:r>
      </w:hyperlink>
      <w:r>
        <w:t xml:space="preserve"> (MTPD Act) </w:t>
      </w:r>
      <w:r w:rsidR="00903DDA" w:rsidRPr="00903DDA">
        <w:t>&lt;</w:t>
      </w:r>
      <w:hyperlink r:id="rId71" w:history="1">
        <w:r w:rsidR="00903DDA" w:rsidRPr="00903DDA">
          <w:rPr>
            <w:rStyle w:val="Hyperlink"/>
            <w:color w:val="auto"/>
            <w:u w:val="none"/>
          </w:rPr>
          <w:t>https://www.legislation.vic.gov.au/in-force/acts/medical-treatment-planning-and-decisions-act-2016/009</w:t>
        </w:r>
      </w:hyperlink>
      <w:r w:rsidR="00903DDA" w:rsidRPr="00903DDA">
        <w:t>&gt;</w:t>
      </w:r>
      <w:r w:rsidR="00903DDA">
        <w:t>,</w:t>
      </w:r>
      <w:r w:rsidR="00903DDA" w:rsidRPr="00903DDA">
        <w:t xml:space="preserve"> </w:t>
      </w:r>
      <w:r>
        <w:t>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mpox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mpox vaccination</w:t>
      </w:r>
      <w:r w:rsidRPr="3961303B">
        <w:rPr>
          <w:rStyle w:val="FootnoteReference"/>
        </w:rPr>
        <w:footnoteReference w:id="45"/>
      </w:r>
      <w:r>
        <w:t>. These principles are enshrined in section 4 of the MTPD Act.</w:t>
      </w:r>
    </w:p>
    <w:p w14:paraId="08B2D782" w14:textId="5EA42B19" w:rsidR="59B7C61D" w:rsidRDefault="59B7C61D" w:rsidP="3961303B">
      <w:pPr>
        <w:pStyle w:val="Body"/>
        <w:spacing w:before="120" w:line="288" w:lineRule="auto"/>
        <w:rPr>
          <w:highlight w:val="yellow"/>
        </w:rPr>
      </w:pPr>
      <w:r>
        <w:t>Where possible, mpox vaccination providers will use experienced immunisers to provide information about the mpox vaccine and obtain consent for the vaccination of adolescents against mpox.</w:t>
      </w:r>
    </w:p>
    <w:p w14:paraId="46246E4D" w14:textId="02AAB986" w:rsidR="59B7C61D" w:rsidRDefault="59B7C61D" w:rsidP="3961303B">
      <w:pPr>
        <w:pStyle w:val="Body"/>
        <w:spacing w:before="120" w:line="288" w:lineRule="auto"/>
      </w:pPr>
      <w:r>
        <w:t xml:space="preserve">Before administering the mpox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Immunisers who decide not to administer the mpox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mpox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00AD4432" w:rsidP="00603DC8">
      <w:pPr>
        <w:pStyle w:val="Bullet1"/>
        <w:numPr>
          <w:ilvl w:val="0"/>
          <w:numId w:val="15"/>
        </w:numPr>
      </w:pPr>
      <w:hyperlink r:id="rId72">
        <w:r w:rsidR="59B7C61D"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73" w:history="1">
        <w:r w:rsidR="00F823D5" w:rsidRPr="00033401">
          <w:rPr>
            <w:rStyle w:val="Hyperlink"/>
            <w:rFonts w:cs="Arial"/>
            <w:color w:val="auto"/>
            <w:u w:val="none"/>
          </w:rPr>
          <w:t>https://www.legislation.vic.gov.au/in-force/acts/public-records-act-1973/041</w:t>
        </w:r>
      </w:hyperlink>
    </w:p>
    <w:p w14:paraId="2C86CA44" w14:textId="11478028" w:rsidR="59B7C61D" w:rsidRDefault="00AD4432" w:rsidP="00603DC8">
      <w:pPr>
        <w:pStyle w:val="Bullet1"/>
        <w:numPr>
          <w:ilvl w:val="0"/>
          <w:numId w:val="15"/>
        </w:numPr>
        <w:rPr>
          <w:rStyle w:val="Hyperlink"/>
          <w:rFonts w:cs="Arial"/>
        </w:rPr>
      </w:pPr>
      <w:hyperlink r:id="rId74">
        <w:r w:rsidR="59B7C61D"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75"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B5E4387" w14:textId="7D6410DA" w:rsidR="000E4655" w:rsidRPr="000E4655" w:rsidRDefault="00AD4432" w:rsidP="000E4655">
      <w:pPr>
        <w:pStyle w:val="Bullet1"/>
        <w:numPr>
          <w:ilvl w:val="0"/>
          <w:numId w:val="15"/>
        </w:numPr>
        <w:rPr>
          <w:rFonts w:cs="Arial"/>
        </w:rPr>
      </w:pPr>
      <w:hyperlink r:id="rId76" w:history="1">
        <w:r w:rsidR="59B7C61D" w:rsidRPr="00AE6920">
          <w:rPr>
            <w:rStyle w:val="Hyperlink"/>
            <w:rFonts w:cs="Arial"/>
          </w:rPr>
          <w:t>Australian Standards for Record Management</w:t>
        </w:r>
      </w:hyperlink>
      <w:r w:rsidR="59B7C61D" w:rsidRPr="3961303B">
        <w:rPr>
          <w:rFonts w:cs="Arial"/>
        </w:rPr>
        <w:t xml:space="preserve"> </w:t>
      </w:r>
      <w:r w:rsidR="00B96D08">
        <w:rPr>
          <w:rFonts w:cs="Arial"/>
        </w:rPr>
        <w:t>–</w:t>
      </w:r>
      <w:r w:rsidR="59B7C61D" w:rsidRPr="3961303B">
        <w:rPr>
          <w:rFonts w:cs="Arial"/>
        </w:rPr>
        <w:t xml:space="preserve"> AS ISO 15489</w:t>
      </w:r>
      <w:r w:rsidR="00033401">
        <w:rPr>
          <w:rFonts w:cs="Arial"/>
        </w:rPr>
        <w:t xml:space="preserve"> </w:t>
      </w:r>
      <w:r w:rsidR="000A5B49">
        <w:rPr>
          <w:rFonts w:cs="Arial"/>
        </w:rPr>
        <w:t>&lt;</w:t>
      </w:r>
      <w:r w:rsidR="000E4655" w:rsidRPr="000E4655">
        <w:rPr>
          <w:rFonts w:cs="Arial"/>
        </w:rPr>
        <w:t>https://store.standards.org.au/product/as-iso-15489-1-2017?queryID=ac2a025159639306cf3c18747bc37755&amp;objectID=2015</w:t>
      </w:r>
      <w:r w:rsidR="000E4655" w:rsidDel="000E4655">
        <w:t xml:space="preserve"> </w:t>
      </w:r>
      <w:r w:rsidR="000E4655" w:rsidRPr="000E4655">
        <w:t>&gt;</w:t>
      </w:r>
    </w:p>
    <w:p w14:paraId="69CFB3B7" w14:textId="6A51905F" w:rsidR="59B7C61D" w:rsidRDefault="59B7C61D" w:rsidP="3961303B">
      <w:pPr>
        <w:pStyle w:val="Body"/>
        <w:spacing w:before="240"/>
      </w:pPr>
      <w:r>
        <w:t xml:space="preserve">Health services are also subject to confidentiality obligations pursuant to the </w:t>
      </w:r>
      <w:hyperlink r:id="rId77">
        <w:r w:rsidRPr="00903DDA">
          <w:rPr>
            <w:rStyle w:val="Hyperlink"/>
            <w:rFonts w:cs="Arial"/>
            <w:i/>
            <w:iCs/>
          </w:rPr>
          <w:t>Health Service Act 1988</w:t>
        </w:r>
      </w:hyperlink>
      <w:r w:rsidR="00903DDA" w:rsidRPr="00903DDA">
        <w:t xml:space="preserve"> &lt;https://www.legislation.vic.gov.au/in-force/acts/health-services-act-1988/180&gt;. </w:t>
      </w:r>
      <w:r w:rsidRPr="00903DDA">
        <w:t>A health</w:t>
      </w:r>
      <w:r>
        <w:t xml:space="preserve">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46"/>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t>Reporting data to the Australian Immunisation Register (AIR)</w:t>
      </w:r>
    </w:p>
    <w:p w14:paraId="0BD4644F" w14:textId="4AAA73A6" w:rsidR="59B7C61D" w:rsidRDefault="59B7C61D" w:rsidP="3961303B">
      <w:pPr>
        <w:pStyle w:val="Body"/>
      </w:pPr>
      <w:r>
        <w:t>It is strongly recommended vaccination service providers report all monkeypox vaccinations to the AIR. Due to the modes of transmission of mpox, it is recognised that some people may not wish for their record of vaccination for mpox be uploaded to AIR. In such cases, respect the 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78"/>
                    <a:stretch>
                      <a:fillRect/>
                    </a:stretch>
                  </pic:blipFill>
                  <pic:spPr>
                    <a:xfrm>
                      <a:off x="0" y="0"/>
                      <a:ext cx="4943730" cy="2171812"/>
                    </a:xfrm>
                    <a:prstGeom prst="rect">
                      <a:avLst/>
                    </a:prstGeom>
                  </pic:spPr>
                </pic:pic>
              </a:graphicData>
            </a:graphic>
          </wp:inline>
        </w:drawing>
      </w:r>
    </w:p>
    <w:p w14:paraId="62D2EADA" w14:textId="54C8C894"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79" w:history="1">
        <w:r w:rsidRPr="00903DDA">
          <w:rPr>
            <w:rStyle w:val="Hyperlink"/>
          </w:rPr>
          <w:t>Health Professional Online Services (HPOS)</w:t>
        </w:r>
      </w:hyperlink>
      <w:r w:rsidR="00903DDA">
        <w:t xml:space="preserve"> </w:t>
      </w:r>
      <w:r w:rsidR="00903DDA" w:rsidRPr="00903DDA">
        <w:t>&lt;</w:t>
      </w:r>
      <w:hyperlink r:id="rId80" w:history="1">
        <w:r w:rsidR="00903DDA" w:rsidRPr="00903DDA">
          <w:rPr>
            <w:rStyle w:val="Hyperlink"/>
            <w:color w:val="auto"/>
            <w:u w:val="none"/>
          </w:rPr>
          <w:t>https://www.servicesaustralia.gov.au/hpos</w:t>
        </w:r>
      </w:hyperlink>
      <w:r w:rsidR="00903DDA">
        <w:t>&gt;</w:t>
      </w:r>
      <w:r w:rsidRPr="00903DDA">
        <w:t>.</w:t>
      </w:r>
      <w:r>
        <w:t xml:space="preserve"> Further information about how to register and access the AIR is available from </w:t>
      </w:r>
      <w:r w:rsidR="001F3B79">
        <w:t xml:space="preserve">Services Australia </w:t>
      </w:r>
      <w:r w:rsidR="00903DDA">
        <w:t xml:space="preserve">refer to </w:t>
      </w:r>
      <w:hyperlink r:id="rId81" w:history="1">
        <w:r w:rsidR="00903DDA" w:rsidRPr="00903DDA">
          <w:rPr>
            <w:rStyle w:val="Hyperlink"/>
          </w:rPr>
          <w:t>PRODA (Provider digital access)</w:t>
        </w:r>
      </w:hyperlink>
      <w:r w:rsidR="00903DDA">
        <w:t xml:space="preserve">  </w:t>
      </w:r>
      <w:r w:rsidR="00A003A3" w:rsidRPr="00903DDA">
        <w:t>&lt;https://www.servicesaustralia.gov.au/organisations/business/services/proda-provider-digital-access</w:t>
      </w:r>
      <w:r w:rsidR="00903DDA" w:rsidRPr="00903DDA">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3F25990" w:rsidR="59B7C61D" w:rsidRDefault="59B7C61D" w:rsidP="00603DC8">
      <w:pPr>
        <w:pStyle w:val="Bullet1"/>
        <w:numPr>
          <w:ilvl w:val="0"/>
          <w:numId w:val="15"/>
        </w:numPr>
      </w:pPr>
      <w:r>
        <w:t xml:space="preserve">the rights and responsibilities of consumers are respected and promoted to the community, consumers, carers, clinicians and other health service staff, as required by the </w:t>
      </w:r>
      <w:r w:rsidR="00903DDA">
        <w:t>Australian Commission on Safety and Quality in H</w:t>
      </w:r>
      <w:r w:rsidR="00903DDA" w:rsidRPr="00903DDA">
        <w:t xml:space="preserve">ealth Care </w:t>
      </w:r>
      <w:hyperlink r:id="rId82">
        <w:r w:rsidRPr="00903DDA">
          <w:rPr>
            <w:rStyle w:val="Hyperlink"/>
          </w:rPr>
          <w:t>Australian Charter of Healthcare Rights</w:t>
        </w:r>
      </w:hyperlink>
      <w:r w:rsidRPr="00903DDA">
        <w:t xml:space="preserve"> </w:t>
      </w:r>
      <w:r w:rsidR="00903DDA" w:rsidRPr="00903DDA">
        <w:t xml:space="preserve"> &lt;https://www.safetyandquality.gov.au/our-work/partnering-consumers/australian-charter-healthcare-rights</w:t>
      </w:r>
      <w:r w:rsidR="00903DDA">
        <w:t>&gt;</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00AD4432" w:rsidP="3961303B">
      <w:pPr>
        <w:pStyle w:val="Body"/>
      </w:pPr>
      <w:hyperlink r:id="rId83">
        <w:r w:rsidR="59B7C61D" w:rsidRPr="3961303B">
          <w:rPr>
            <w:rStyle w:val="Hyperlink"/>
            <w:i/>
            <w:iCs/>
          </w:rPr>
          <w:t>The Occupational Health and Safety Act 2004</w:t>
        </w:r>
      </w:hyperlink>
      <w:r w:rsidR="59B7C61D" w:rsidRPr="3961303B">
        <w:rPr>
          <w:rStyle w:val="FootnoteReference"/>
          <w:i/>
          <w:iCs/>
        </w:rPr>
        <w:footnoteReference w:id="47"/>
      </w:r>
      <w:r w:rsidR="59B7C61D">
        <w:t xml:space="preserve"> and related regulations aim to keep Victorian workplaces safe. The Act, in conjunction with the </w:t>
      </w:r>
      <w:hyperlink r:id="rId84">
        <w:r w:rsidR="59B7C61D" w:rsidRPr="3961303B">
          <w:rPr>
            <w:rStyle w:val="Hyperlink"/>
          </w:rPr>
          <w:t>Australian Guidelines for the Prevention and Control of infection in Healthcare 2019</w:t>
        </w:r>
      </w:hyperlink>
      <w:r w:rsidR="59B7C61D" w:rsidRPr="3961303B">
        <w:rPr>
          <w:rStyle w:val="FootnoteReference"/>
        </w:rPr>
        <w:footnoteReference w:id="48"/>
      </w:r>
      <w:r w:rsidR="59B7C61D">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t>All staff should be familiar with the content of the protocols and how to follow them.</w:t>
      </w:r>
    </w:p>
    <w:p w14:paraId="53D75969" w14:textId="77777777" w:rsidR="59B7C61D" w:rsidRDefault="59B7C61D" w:rsidP="00474D13">
      <w:pPr>
        <w:pStyle w:val="Heading3"/>
        <w:spacing w:before="120" w:line="288" w:lineRule="auto"/>
      </w:pPr>
      <w:r>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party/ies.</w:t>
      </w:r>
    </w:p>
    <w:p w14:paraId="7402CFCC" w14:textId="0EAFA2C6" w:rsidR="59B7C61D" w:rsidRPr="00FD1889" w:rsidRDefault="59B7C61D" w:rsidP="00FD1889">
      <w:pPr>
        <w:pStyle w:val="Heading2"/>
      </w:pPr>
      <w:bookmarkStart w:id="207" w:name="_Workforce_requirements_2"/>
      <w:bookmarkStart w:id="208" w:name="_Toc169094209"/>
      <w:bookmarkEnd w:id="207"/>
      <w:r w:rsidRPr="00FD1889">
        <w:t>Workforce requirements</w:t>
      </w:r>
      <w:bookmarkEnd w:id="208"/>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mpox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mpox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9"/>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50"/>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0B9D6A08" w14:textId="38495368" w:rsidR="59B7C61D"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mpox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51"/>
      </w:r>
      <w:r w:rsidR="00C23B9C" w:rsidRPr="00DC4887">
        <w:t xml:space="preserve"> and </w:t>
      </w:r>
      <w:r w:rsidR="00BE69A5" w:rsidRPr="00DC4887">
        <w:t>Secretary Approval: Pharmacist Immuniser</w:t>
      </w:r>
      <w:r w:rsidR="00BE69A5" w:rsidRPr="00DC4887">
        <w:rPr>
          <w:rStyle w:val="FootnoteReference"/>
        </w:rPr>
        <w:footnoteReference w:id="52"/>
      </w:r>
      <w:r w:rsidR="00C23B9C" w:rsidRPr="00DC4887">
        <w:t>, respectively.</w:t>
      </w:r>
      <w:r w:rsidR="00A86799" w:rsidRPr="00DC4887">
        <w:t xml:space="preserve"> </w:t>
      </w:r>
      <w:r w:rsidR="005F480A" w:rsidRPr="00DC4887">
        <w:t>Mandatory training</w:t>
      </w:r>
      <w:r w:rsidR="00632FFC" w:rsidRPr="00DC4887">
        <w:t xml:space="preserve"> </w:t>
      </w:r>
      <w:r w:rsidR="000B4404" w:rsidRPr="00DC4887">
        <w:t xml:space="preserve">and limitations apply. </w:t>
      </w:r>
      <w:r w:rsidR="00CF5935" w:rsidRPr="00DC4887">
        <w:t>Nurse immunisers and pharmacist immunisers undertaking intradermal mpox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00CF5935" w:rsidRPr="00DC4887">
        <w:t xml:space="preserve">. </w:t>
      </w:r>
      <w:r w:rsidR="000B4404" w:rsidRPr="00DC4887">
        <w:t>Further detail</w:t>
      </w:r>
      <w:r w:rsidR="00D8720A" w:rsidRPr="00DC4887">
        <w:t>s</w:t>
      </w:r>
      <w:r w:rsidR="000B4404" w:rsidRPr="00DC4887">
        <w:t xml:space="preserve"> about </w:t>
      </w:r>
      <w:r w:rsidR="001B6A6D" w:rsidRPr="00DC4887">
        <w:t xml:space="preserve">nurse immunisers and pharmacist immunisers </w:t>
      </w:r>
      <w:r w:rsidR="00D8720A" w:rsidRPr="00DC4887">
        <w:t>are</w:t>
      </w:r>
      <w:r w:rsidR="001B6A6D" w:rsidRPr="00DC4887">
        <w:t xml:space="preserve"> available </w:t>
      </w:r>
      <w:r w:rsidR="001B6A6D" w:rsidRPr="00903DDA">
        <w:t>from</w:t>
      </w:r>
      <w:r w:rsidR="00783F72" w:rsidRPr="00903DDA">
        <w:t xml:space="preserve"> the </w:t>
      </w:r>
      <w:r w:rsidR="00903DDA" w:rsidRPr="00903DDA">
        <w:t>d</w:t>
      </w:r>
      <w:r w:rsidR="00783F72" w:rsidRPr="00903DDA">
        <w:t xml:space="preserve">epartment’s </w:t>
      </w:r>
      <w:hyperlink r:id="rId85" w:history="1">
        <w:r w:rsidR="00783F72" w:rsidRPr="00903DDA">
          <w:rPr>
            <w:rStyle w:val="Hyperlink"/>
          </w:rPr>
          <w:t>Immunisers in Victoria</w:t>
        </w:r>
      </w:hyperlink>
      <w:r w:rsidR="00783F72" w:rsidRPr="00903DDA">
        <w:t xml:space="preserve"> webpage at: </w:t>
      </w:r>
      <w:r w:rsidR="000B2880" w:rsidRPr="00903DDA">
        <w:t>&lt;https://www.health.vic.gov.au/immunisation/immunisers-in-victoria&gt;.</w:t>
      </w:r>
      <w:r w:rsidR="002D331D">
        <w:t xml:space="preserve"> </w:t>
      </w:r>
    </w:p>
    <w:p w14:paraId="6BB29B9D" w14:textId="77777777" w:rsidR="00903DDA" w:rsidRDefault="00903DDA" w:rsidP="3961303B">
      <w:pPr>
        <w:shd w:val="clear" w:color="auto" w:fill="FFFFFF" w:themeFill="background1"/>
        <w:spacing w:line="288" w:lineRule="auto"/>
        <w:rPr>
          <w:b/>
          <w:bCs/>
        </w:rPr>
      </w:pPr>
    </w:p>
    <w:p w14:paraId="3C15C1A0" w14:textId="7011889B" w:rsidR="003D161D" w:rsidRDefault="003D161D" w:rsidP="3961303B">
      <w:pPr>
        <w:shd w:val="clear" w:color="auto" w:fill="FFFFFF" w:themeFill="background1"/>
        <w:spacing w:line="288" w:lineRule="auto"/>
        <w:rPr>
          <w:b/>
          <w:bCs/>
        </w:rPr>
      </w:pPr>
      <w:r>
        <w:rPr>
          <w:b/>
          <w:bCs/>
        </w:rPr>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77777777" w:rsidR="59B7C61D" w:rsidRDefault="59B7C61D" w:rsidP="3961303B">
      <w:pPr>
        <w:pStyle w:val="Heading3"/>
      </w:pPr>
      <w:r>
        <w:t>Training requirements</w:t>
      </w:r>
    </w:p>
    <w:p w14:paraId="687C4DDA" w14:textId="7CAD3C09"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the pre-requisite training modules, and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p>
    <w:p w14:paraId="729FD495" w14:textId="61916ECB" w:rsidR="59B7C61D" w:rsidRDefault="59B7C61D" w:rsidP="3961303B">
      <w:pPr>
        <w:pStyle w:val="Body"/>
        <w:rPr>
          <w:i/>
          <w:iCs/>
        </w:rPr>
      </w:pPr>
      <w:r>
        <w:t>It is the responsibility of each mpox vaccination provider to:</w:t>
      </w:r>
    </w:p>
    <w:p w14:paraId="1EA89477" w14:textId="75E58877" w:rsidR="59B7C61D" w:rsidRDefault="00EB681F" w:rsidP="00603DC8">
      <w:pPr>
        <w:pStyle w:val="Bullet1"/>
        <w:numPr>
          <w:ilvl w:val="0"/>
          <w:numId w:val="15"/>
        </w:numPr>
      </w:pPr>
      <w:r>
        <w:t>i</w:t>
      </w:r>
      <w:r w:rsidR="59B7C61D">
        <w:t>dentify members of the workforce who need to complete pre-requisite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122D402D" w:rsidR="59B7C61D" w:rsidRDefault="59B7C61D" w:rsidP="3961303B">
      <w:r w:rsidRPr="3961303B">
        <w:rPr>
          <w:rFonts w:eastAsia="Calibri" w:cs="Arial"/>
        </w:rPr>
        <w:t xml:space="preserve">The </w:t>
      </w:r>
      <w:r w:rsidR="00654013">
        <w:rPr>
          <w:rFonts w:eastAsia="Calibri" w:cs="Arial"/>
        </w:rPr>
        <w:t>d</w:t>
      </w:r>
      <w:r w:rsidRPr="3961303B">
        <w:rPr>
          <w:rFonts w:eastAsia="Calibri" w:cs="Arial"/>
        </w:rPr>
        <w:t>epartment</w:t>
      </w:r>
      <w:r w:rsidR="00095CEE">
        <w:rPr>
          <w:rFonts w:eastAsia="Calibri" w:cs="Arial"/>
        </w:rPr>
        <w:t>’s</w:t>
      </w:r>
      <w:r w:rsidRPr="3961303B">
        <w:rPr>
          <w:rFonts w:eastAsia="Calibri" w:cs="Arial"/>
        </w:rPr>
        <w:t xml:space="preserve"> mpox vaccination eLearning module</w:t>
      </w:r>
      <w:r w:rsidR="00095CEE">
        <w:rPr>
          <w:rFonts w:eastAsia="Calibri" w:cs="Arial"/>
        </w:rPr>
        <w:t xml:space="preserve"> is now</w:t>
      </w:r>
      <w:r w:rsidRPr="3961303B">
        <w:rPr>
          <w:rFonts w:eastAsia="Calibri" w:cs="Arial"/>
        </w:rPr>
        <w:t xml:space="preserve"> available through the </w:t>
      </w:r>
      <w:hyperlink r:id="rId86">
        <w:r w:rsidRPr="3961303B">
          <w:rPr>
            <w:rStyle w:val="Hyperlink"/>
          </w:rPr>
          <w:t>Victorian Immunisation Learning Hub</w:t>
        </w:r>
      </w:hyperlink>
      <w:r w:rsidR="0091034B">
        <w:rPr>
          <w:rStyle w:val="Hyperlink"/>
        </w:rPr>
        <w:t>.</w:t>
      </w:r>
      <w:r>
        <w:t xml:space="preserve"> </w:t>
      </w:r>
      <w:r w:rsidR="00DE5494">
        <w:t>&lt;</w:t>
      </w:r>
      <w:r w:rsidR="00A50CF2" w:rsidRPr="00A50CF2">
        <w:t>https://vic-immunisation-learning.com/</w:t>
      </w:r>
      <w:r w:rsidR="00A50CF2">
        <w:t>&gt;</w:t>
      </w:r>
    </w:p>
    <w:p w14:paraId="619B4F16" w14:textId="315DAD94" w:rsidR="00AD613C" w:rsidRPr="00654013" w:rsidRDefault="00AD613C" w:rsidP="00C370CC">
      <w:pPr>
        <w:spacing w:before="120" w:line="288" w:lineRule="auto"/>
        <w:rPr>
          <w:rFonts w:cs="Arial"/>
          <w:szCs w:val="21"/>
          <w:shd w:val="clear" w:color="auto" w:fill="FFFFFF"/>
        </w:rPr>
      </w:pPr>
      <w:r w:rsidRPr="00654013">
        <w:rPr>
          <w:rFonts w:cs="Arial"/>
          <w:szCs w:val="21"/>
          <w:shd w:val="clear" w:color="auto" w:fill="FFFFFF"/>
        </w:rPr>
        <w:t xml:space="preserve">The proposed training will not equip nurse immunisers or pharmacist immunisers to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6A6FCE">
        <w:rPr>
          <w:lang w:eastAsia="zh-CN"/>
        </w:rPr>
        <w:t xml:space="preserve"> </w:t>
      </w:r>
      <w:r w:rsidRPr="00654013">
        <w:rPr>
          <w:rFonts w:cs="Arial"/>
          <w:b/>
          <w:bCs/>
          <w:szCs w:val="21"/>
          <w:shd w:val="clear" w:color="auto" w:fill="FFFFFF"/>
        </w:rPr>
        <w:t xml:space="preserve">for high-risk close contacts </w:t>
      </w:r>
      <w:r w:rsidRPr="00654013">
        <w:rPr>
          <w:rFonts w:cs="Arial"/>
          <w:szCs w:val="21"/>
          <w:shd w:val="clear" w:color="auto" w:fill="FFFFFF"/>
        </w:rPr>
        <w:t xml:space="preserve">of mpox cases. This process requires specialist counselling and comprehensive public health measures to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mpox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Mpox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87">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0" w:name="_Toc169094210"/>
      <w:r>
        <w:t>Emergency response</w:t>
      </w:r>
      <w:bookmarkEnd w:id="210"/>
    </w:p>
    <w:p w14:paraId="60CE16E8" w14:textId="75687BE4" w:rsidR="6049A002" w:rsidRDefault="6049A002" w:rsidP="3961303B">
      <w:pPr>
        <w:pStyle w:val="Body"/>
      </w:pPr>
      <w:r>
        <w:t xml:space="preserve">Mpox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00AD4432" w:rsidP="3961303B">
      <w:pPr>
        <w:pStyle w:val="Bullet1"/>
        <w:numPr>
          <w:ilvl w:val="0"/>
          <w:numId w:val="0"/>
        </w:numPr>
      </w:pPr>
      <w:hyperlink w:anchor="_Appendix_5:_Guidance">
        <w:r w:rsidR="6049A002" w:rsidRPr="3961303B">
          <w:rPr>
            <w:rStyle w:val="Hyperlink"/>
          </w:rPr>
          <w:t>Appendix 5- Guidance – differentiating anaphylaxis from acute stress response for vaccine providers and emergency departments</w:t>
        </w:r>
      </w:hyperlink>
    </w:p>
    <w:p w14:paraId="18FFA4C9" w14:textId="327B7D73" w:rsidR="6049A002" w:rsidRDefault="00AD4432" w:rsidP="3961303B">
      <w:pPr>
        <w:pStyle w:val="Bullet1"/>
        <w:numPr>
          <w:ilvl w:val="0"/>
          <w:numId w:val="0"/>
        </w:numPr>
      </w:pPr>
      <w:hyperlink w:anchor="_Appendix_6:_Factsheet">
        <w:r w:rsidR="6049A002" w:rsidRPr="3961303B">
          <w:rPr>
            <w:rStyle w:val="Hyperlink"/>
          </w:rPr>
          <w:t>Appendix 6 Factsheet – Adverse events following immunisation (AEFI)</w:t>
        </w:r>
      </w:hyperlink>
    </w:p>
    <w:p w14:paraId="66D88415" w14:textId="3A604418" w:rsidR="00077DBB" w:rsidRPr="006F1A2A" w:rsidRDefault="00077DBB" w:rsidP="00807295">
      <w:pPr>
        <w:pStyle w:val="Heading1"/>
        <w:spacing w:before="240"/>
      </w:pPr>
      <w:bookmarkStart w:id="211" w:name="_Toc71895630"/>
      <w:bookmarkStart w:id="212" w:name="_Toc73627103"/>
      <w:bookmarkStart w:id="213" w:name="_Toc1071312717"/>
      <w:bookmarkStart w:id="214" w:name="_Toc112154615"/>
      <w:bookmarkStart w:id="215" w:name="_Toc112315675"/>
      <w:bookmarkStart w:id="216" w:name="_Toc169094211"/>
      <w:r>
        <w:t>Additional resources</w:t>
      </w:r>
      <w:bookmarkEnd w:id="211"/>
      <w:bookmarkEnd w:id="212"/>
      <w:bookmarkEnd w:id="213"/>
      <w:bookmarkEnd w:id="214"/>
      <w:bookmarkEnd w:id="215"/>
      <w:bookmarkEnd w:id="216"/>
    </w:p>
    <w:p w14:paraId="1B5013B1" w14:textId="77777777" w:rsidR="00077DBB" w:rsidRDefault="00077DBB" w:rsidP="00077DBB">
      <w:pPr>
        <w:pStyle w:val="Body"/>
      </w:pPr>
      <w:r w:rsidRPr="006F1A2A">
        <w:t xml:space="preserve">The Commonwealth Government and ATAGI have developed a collection of resources containing advice and guidance for </w:t>
      </w:r>
      <w:r>
        <w:t>providers:</w:t>
      </w:r>
    </w:p>
    <w:p w14:paraId="0E49B2A6" w14:textId="30A9BA49" w:rsidR="00FB6CA5" w:rsidRPr="00FB6CA5" w:rsidRDefault="006126B7" w:rsidP="009D20F2">
      <w:pPr>
        <w:pStyle w:val="Body"/>
        <w:numPr>
          <w:ilvl w:val="0"/>
          <w:numId w:val="34"/>
        </w:numPr>
        <w:spacing w:after="0" w:line="276" w:lineRule="auto"/>
        <w:ind w:left="360"/>
        <w:rPr>
          <w:rStyle w:val="Hyperlink"/>
          <w:szCs w:val="21"/>
        </w:rPr>
      </w:pPr>
      <w:r w:rsidRPr="00FB6CA5">
        <w:rPr>
          <w:szCs w:val="21"/>
        </w:rPr>
        <w:t>ATAGI 2022</w:t>
      </w:r>
      <w:r w:rsidRPr="00FB6CA5">
        <w:rPr>
          <w:color w:val="313131"/>
          <w:szCs w:val="21"/>
          <w:shd w:val="clear" w:color="auto" w:fill="FFFFFF"/>
        </w:rPr>
        <w:t xml:space="preserve">. Mpox, Australian Immunisation Handbook, Australian Government Department of Health and Aged Care, Canberra, (updated May 2024) </w:t>
      </w:r>
      <w:r w:rsidR="00FB6CA5">
        <w:rPr>
          <w:color w:val="313131"/>
          <w:szCs w:val="21"/>
          <w:shd w:val="clear" w:color="auto" w:fill="FFFFFF"/>
        </w:rPr>
        <w:t>&lt;</w:t>
      </w:r>
      <w:hyperlink r:id="rId88" w:history="1">
        <w:r w:rsidRPr="00FB6CA5">
          <w:rPr>
            <w:rStyle w:val="Hyperlink"/>
            <w:szCs w:val="21"/>
            <w:shd w:val="clear" w:color="auto" w:fill="FFFFFF"/>
          </w:rPr>
          <w:t>https://immunisationhandbook.health.gov.au/contents/vaccine-preventable-diseases/mpox-previously-known-as-monkeypox</w:t>
        </w:r>
      </w:hyperlink>
      <w:r w:rsidRPr="00FB6CA5">
        <w:rPr>
          <w:rStyle w:val="Hyperlink"/>
          <w:szCs w:val="21"/>
          <w:shd w:val="clear" w:color="auto" w:fill="FFFFFF"/>
        </w:rPr>
        <w:t>&gt;</w:t>
      </w:r>
    </w:p>
    <w:p w14:paraId="2D8CD7BA" w14:textId="1EDC8E3E" w:rsidR="00C20A51" w:rsidRPr="002735A0" w:rsidRDefault="00077DBB" w:rsidP="009D20F2">
      <w:pPr>
        <w:pStyle w:val="Body"/>
        <w:numPr>
          <w:ilvl w:val="0"/>
          <w:numId w:val="34"/>
        </w:numPr>
        <w:spacing w:after="0" w:line="276" w:lineRule="auto"/>
        <w:ind w:left="360"/>
        <w:rPr>
          <w:rStyle w:val="Hyperlink"/>
        </w:rPr>
      </w:pPr>
      <w:r w:rsidRPr="001F60AB">
        <w:t xml:space="preserve">ATAGI </w:t>
      </w:r>
      <w:r w:rsidR="00E56825" w:rsidRPr="0066265A">
        <w:t xml:space="preserve">Updated clinical guidance </w:t>
      </w:r>
      <w:r w:rsidR="00767F9E" w:rsidRPr="0066265A">
        <w:t xml:space="preserve">on vaccination against </w:t>
      </w:r>
      <w:r w:rsidR="0030600C" w:rsidRPr="0066265A">
        <w:t>m</w:t>
      </w:r>
      <w:r w:rsidR="00767F9E" w:rsidRPr="0066265A">
        <w:t>onkeypox</w:t>
      </w:r>
      <w:r w:rsidR="0030600C" w:rsidRPr="0066265A">
        <w:t xml:space="preserve"> (mpox)</w:t>
      </w:r>
      <w:r w:rsidR="00767F9E">
        <w:t xml:space="preserve"> Version </w:t>
      </w:r>
      <w:r w:rsidR="009705A2">
        <w:t>4</w:t>
      </w:r>
      <w:r w:rsidR="00767F9E">
        <w:t>.0</w:t>
      </w:r>
      <w:r w:rsidR="00930FAE">
        <w:t xml:space="preserve">, </w:t>
      </w:r>
      <w:r w:rsidR="009705A2">
        <w:t>12</w:t>
      </w:r>
      <w:r w:rsidRPr="001F60AB">
        <w:t xml:space="preserve"> </w:t>
      </w:r>
      <w:r w:rsidR="009705A2">
        <w:t>December</w:t>
      </w:r>
      <w:r w:rsidRPr="001F60AB">
        <w:t xml:space="preserve"> 2022</w:t>
      </w:r>
      <w:r w:rsidR="00DD0391">
        <w:t xml:space="preserve"> &lt;</w:t>
      </w:r>
      <w:hyperlink r:id="rId89" w:history="1">
        <w:r w:rsidR="00DD0391" w:rsidRPr="00DD0391">
          <w:rPr>
            <w:rStyle w:val="Hyperlink"/>
          </w:rPr>
          <w:t>https://www.health.gov.au/resources/publications/atagi-clinical-guidance-on-vaccination-against-monkeypox?language=en</w:t>
        </w:r>
      </w:hyperlink>
      <w:r w:rsidR="00C20A51">
        <w:fldChar w:fldCharType="begin"/>
      </w:r>
      <w:r w:rsidR="00DD0391">
        <w:instrText>HYPERLINK "https://www.health.gov.au/resources/publications/atagi-clinical-guidance-on-vaccination-against-monkeypox?language=en"</w:instrText>
      </w:r>
      <w:r w:rsidR="00C20A51">
        <w:fldChar w:fldCharType="separate"/>
      </w:r>
    </w:p>
    <w:p w14:paraId="24D15CA5" w14:textId="4DA52B71" w:rsidR="00D62C93" w:rsidRDefault="00C20A51" w:rsidP="00603DC8">
      <w:pPr>
        <w:pStyle w:val="Body"/>
        <w:numPr>
          <w:ilvl w:val="0"/>
          <w:numId w:val="34"/>
        </w:numPr>
        <w:spacing w:after="0" w:line="276" w:lineRule="auto"/>
        <w:ind w:left="360"/>
      </w:pPr>
      <w:r>
        <w:fldChar w:fldCharType="end"/>
      </w:r>
      <w:r w:rsidR="00601E93">
        <w:t>M</w:t>
      </w:r>
      <w:r w:rsidR="009F68E8">
        <w:t>pox (monkeypox)</w:t>
      </w:r>
      <w:r w:rsidR="00401C1C">
        <w:t xml:space="preserve"> – Consent form for </w:t>
      </w:r>
      <w:r w:rsidR="00401C1C" w:rsidRPr="3961303B">
        <w:rPr>
          <w:rFonts w:cs="Arial"/>
          <w:color w:val="313131"/>
          <w:lang w:eastAsia="en-AU"/>
        </w:rPr>
        <w:t>JYNNEOS</w:t>
      </w:r>
      <w:r w:rsidR="00401C1C" w:rsidRPr="008D4BAC">
        <w:rPr>
          <w:rFonts w:cs="Arial"/>
          <w:color w:val="2A2736"/>
          <w:vertAlign w:val="superscript"/>
          <w:lang w:eastAsia="en-AU"/>
        </w:rPr>
        <w:t>®</w:t>
      </w:r>
      <w:r w:rsidR="00401C1C" w:rsidRPr="3961303B">
        <w:rPr>
          <w:rFonts w:cs="Arial"/>
          <w:color w:val="313131"/>
          <w:lang w:eastAsia="en-AU"/>
        </w:rPr>
        <w:t xml:space="preserve"> </w:t>
      </w:r>
      <w:r w:rsidR="00401C1C">
        <w:t>vaccine</w:t>
      </w:r>
      <w:r w:rsidR="00613209">
        <w:t xml:space="preserve"> </w:t>
      </w:r>
      <w:r w:rsidR="00F7719B">
        <w:t>26 August 2022</w:t>
      </w:r>
      <w:r w:rsidR="00112EF9">
        <w:t xml:space="preserve"> &lt;</w:t>
      </w:r>
      <w:hyperlink r:id="rId90" w:history="1">
        <w:r w:rsidR="009F68E8">
          <w:rPr>
            <w:rStyle w:val="Hyperlink"/>
          </w:rPr>
          <w:t>https://www.health.gov.au/resources/publications/mpox-monkeypox-consent-form-for-jynneosr-vaccination</w:t>
        </w:r>
      </w:hyperlink>
      <w:r w:rsidR="00112EF9">
        <w:t>&gt;</w:t>
      </w:r>
    </w:p>
    <w:p w14:paraId="1523D322" w14:textId="77777777" w:rsidR="00240308" w:rsidRDefault="00240308" w:rsidP="00240308">
      <w:pPr>
        <w:pStyle w:val="ListParagraph"/>
        <w:numPr>
          <w:ilvl w:val="0"/>
          <w:numId w:val="34"/>
        </w:numPr>
        <w:spacing w:after="0" w:line="276" w:lineRule="auto"/>
        <w:ind w:left="357"/>
      </w:pPr>
      <w:r w:rsidRPr="001F60AB">
        <w:t>Interim guidance provided by the Infection Prevention and Control Expert Group (ICEG) on Monkeypox (MPX) for healthcare workers</w:t>
      </w:r>
      <w:r>
        <w:t xml:space="preserve"> </w:t>
      </w:r>
      <w:r w:rsidRPr="00034F20">
        <w:t xml:space="preserve">| Australian Government </w:t>
      </w:r>
      <w:r>
        <w:t>&lt;</w:t>
      </w:r>
      <w:hyperlink r:id="rId91" w:history="1">
        <w:r w:rsidRPr="001F53FC">
          <w:rPr>
            <w:rStyle w:val="Hyperlink"/>
          </w:rPr>
          <w:t>https://www.health.gov.au/resources/publications/iceg-interim-guidance-on-monkeypox-for-health-workers</w:t>
        </w:r>
      </w:hyperlink>
      <w:r>
        <w:rPr>
          <w:rStyle w:val="Hyperlink"/>
        </w:rPr>
        <w:t>&gt;</w:t>
      </w:r>
    </w:p>
    <w:p w14:paraId="2B097423" w14:textId="0095D1B5" w:rsidR="00077DBB" w:rsidRDefault="00077DBB" w:rsidP="00603DC8">
      <w:pPr>
        <w:pStyle w:val="Body"/>
        <w:numPr>
          <w:ilvl w:val="0"/>
          <w:numId w:val="34"/>
        </w:numPr>
        <w:spacing w:after="0" w:line="276" w:lineRule="auto"/>
        <w:ind w:left="360"/>
      </w:pPr>
      <w:r w:rsidRPr="001F60AB">
        <w:t>Information on JYNNEOS</w:t>
      </w:r>
      <w:r w:rsidRPr="008D4BAC">
        <w:rPr>
          <w:rFonts w:cs="Arial"/>
          <w:color w:val="2A2736"/>
          <w:vertAlign w:val="superscript"/>
          <w:lang w:eastAsia="en-AU"/>
        </w:rPr>
        <w:t>®</w:t>
      </w:r>
      <w:r w:rsidRPr="001F60AB">
        <w:t xml:space="preserve"> (modified vaccinia Ankara – Bavarian Nordic, MVABN) vaccine</w:t>
      </w:r>
      <w:r w:rsidR="00F94CB2">
        <w:t>. Updated 26 August 2022</w:t>
      </w:r>
    </w:p>
    <w:p w14:paraId="08680D79" w14:textId="2707833D" w:rsidR="00FD3537" w:rsidRDefault="00FD3537" w:rsidP="009207E0">
      <w:pPr>
        <w:pStyle w:val="ListParagraph"/>
        <w:shd w:val="clear" w:color="auto" w:fill="FFFFFF" w:themeFill="background1"/>
        <w:spacing w:after="0" w:line="276" w:lineRule="auto"/>
        <w:ind w:left="360"/>
        <w:outlineLvl w:val="0"/>
      </w:pPr>
      <w:r>
        <w:t>&lt;</w:t>
      </w:r>
      <w:hyperlink r:id="rId92" w:history="1">
        <w:r w:rsidR="005B777F">
          <w:rPr>
            <w:rStyle w:val="Hyperlink"/>
          </w:rPr>
          <w:t>https://www.health.gov.au/resources/publications/mpox-monkeypox-information-on-jynneosr-vaccine?language=en</w:t>
        </w:r>
      </w:hyperlink>
      <w:r w:rsidR="00F94CB2">
        <w:t>&gt;</w:t>
      </w:r>
    </w:p>
    <w:p w14:paraId="6C80DCDE" w14:textId="0C2616F3" w:rsidR="00077DBB" w:rsidRPr="001F60AB" w:rsidRDefault="00077DBB" w:rsidP="00603DC8">
      <w:pPr>
        <w:pStyle w:val="Body"/>
        <w:numPr>
          <w:ilvl w:val="0"/>
          <w:numId w:val="34"/>
        </w:numPr>
        <w:spacing w:after="0" w:line="276" w:lineRule="auto"/>
        <w:ind w:left="357"/>
      </w:pPr>
      <w:r w:rsidRPr="001F60AB">
        <w:t xml:space="preserve">Victorian Government; Disease Information and advice </w:t>
      </w:r>
      <w:r w:rsidR="00B96D08">
        <w:t>–</w:t>
      </w:r>
      <w:r w:rsidRPr="001F60AB">
        <w:t xml:space="preserve"> </w:t>
      </w:r>
      <w:r w:rsidR="00EF4016">
        <w:t>Mpox (monkeypox)</w:t>
      </w:r>
      <w:r w:rsidR="007A4A13">
        <w:t xml:space="preserve"> &lt;</w:t>
      </w:r>
      <w:hyperlink r:id="rId93" w:history="1">
        <w:r w:rsidR="007A4A13" w:rsidRPr="007A4A13">
          <w:rPr>
            <w:rStyle w:val="Hyperlink"/>
          </w:rPr>
          <w:t>https://www.health.vic.gov.au/infectious-diseases/mpox-monkeypox</w:t>
        </w:r>
      </w:hyperlink>
      <w:r w:rsidR="007A4A13">
        <w:t>&gt;</w:t>
      </w:r>
    </w:p>
    <w:p w14:paraId="2BF0364F" w14:textId="5202877D" w:rsidR="007F1E03" w:rsidRDefault="007F1E03" w:rsidP="00603DC8">
      <w:pPr>
        <w:pStyle w:val="ListParagraph"/>
        <w:numPr>
          <w:ilvl w:val="0"/>
          <w:numId w:val="34"/>
        </w:numPr>
        <w:spacing w:after="0" w:line="276" w:lineRule="auto"/>
        <w:ind w:left="351" w:hanging="357"/>
      </w:pPr>
      <w:r>
        <w:t>Victorian Government – Clinical and related waste guidance- Supplement for healthcare staff</w:t>
      </w:r>
    </w:p>
    <w:p w14:paraId="53570BB4" w14:textId="15C1650E" w:rsidR="00AA7470" w:rsidRDefault="00175F9C" w:rsidP="009207E0">
      <w:pPr>
        <w:pStyle w:val="ListParagraph"/>
        <w:spacing w:after="0" w:line="276" w:lineRule="auto"/>
        <w:ind w:left="357"/>
      </w:pPr>
      <w:bookmarkStart w:id="217" w:name="_Appendix_1:_Contact"/>
      <w:bookmarkStart w:id="218" w:name="_Toc71895631"/>
      <w:bookmarkStart w:id="219" w:name="_Toc73627104"/>
      <w:bookmarkStart w:id="220" w:name="_Toc112154617"/>
      <w:bookmarkStart w:id="221" w:name="_Toc112315677"/>
      <w:bookmarkStart w:id="222" w:name="_Toc2040561969"/>
      <w:bookmarkEnd w:id="217"/>
      <w:r>
        <w:t xml:space="preserve">&lt; </w:t>
      </w:r>
      <w:hyperlink r:id="rId94" w:history="1">
        <w:r w:rsidR="001D4FD3" w:rsidRPr="001F53FC">
          <w:rPr>
            <w:rStyle w:val="Hyperlink"/>
          </w:rPr>
          <w:t>https://www.health.vic.gov.au/publications/clinical-and-related-waste-guidance-supplement-for-healthcare-staff</w:t>
        </w:r>
      </w:hyperlink>
      <w:r>
        <w:t>&gt;</w:t>
      </w:r>
    </w:p>
    <w:p w14:paraId="55888AF8" w14:textId="5D6E7CA6" w:rsidR="003C49D0" w:rsidRDefault="00863CF5" w:rsidP="00603DC8">
      <w:pPr>
        <w:pStyle w:val="ListParagraph"/>
        <w:numPr>
          <w:ilvl w:val="0"/>
          <w:numId w:val="34"/>
        </w:numPr>
        <w:spacing w:after="0" w:line="276" w:lineRule="auto"/>
        <w:ind w:left="351" w:hanging="357"/>
      </w:pPr>
      <w:r>
        <w:t xml:space="preserve">Victorian Government </w:t>
      </w:r>
      <w:r w:rsidR="003100E3">
        <w:t>Mpox (monkeypox)</w:t>
      </w:r>
      <w:r>
        <w:t xml:space="preserve"> </w:t>
      </w:r>
      <w:r w:rsidR="00B96D08">
        <w:t>–</w:t>
      </w:r>
      <w:r>
        <w:t xml:space="preserve"> </w:t>
      </w:r>
      <w:r w:rsidR="003C49D0">
        <w:t xml:space="preserve">Better Health Channel </w:t>
      </w:r>
    </w:p>
    <w:p w14:paraId="6B581460" w14:textId="1E94EDD5" w:rsidR="00863CF5" w:rsidRDefault="00863CF5" w:rsidP="009207E0">
      <w:pPr>
        <w:pStyle w:val="ListParagraph"/>
        <w:spacing w:after="0" w:line="276" w:lineRule="auto"/>
        <w:ind w:left="357"/>
      </w:pPr>
      <w:r>
        <w:t>&lt;</w:t>
      </w:r>
      <w:r w:rsidRPr="00863CF5">
        <w:t xml:space="preserve"> </w:t>
      </w:r>
      <w:hyperlink r:id="rId95" w:history="1">
        <w:r w:rsidR="003100E3">
          <w:rPr>
            <w:rStyle w:val="Hyperlink"/>
          </w:rPr>
          <w:t>https://www.betterhealth.vic.gov.au/mpox-monkeypox</w:t>
        </w:r>
      </w:hyperlink>
      <w:r>
        <w:t>&gt;</w:t>
      </w:r>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3" w:name="_Toc112328351"/>
      <w:r w:rsidRPr="00044B70">
        <w:rPr>
          <w:rFonts w:eastAsia="MS Gothic" w:cs="Arial"/>
          <w:bCs/>
          <w:color w:val="C5511A"/>
          <w:kern w:val="32"/>
          <w:sz w:val="40"/>
          <w:szCs w:val="40"/>
        </w:rPr>
        <w:t>Contact information</w:t>
      </w:r>
      <w:bookmarkEnd w:id="223"/>
    </w:p>
    <w:p w14:paraId="42091D15" w14:textId="09331044" w:rsidR="00044B70" w:rsidRDefault="00044B70" w:rsidP="5890BB43">
      <w:pPr>
        <w:spacing w:before="120" w:line="288" w:lineRule="auto"/>
        <w:rPr>
          <w:rFonts w:eastAsia="Times"/>
        </w:rPr>
        <w:sectPr w:rsidR="00044B70" w:rsidSect="00633A57">
          <w:headerReference w:type="default" r:id="rId96"/>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 xml:space="preserve">contact the Immunisation </w:t>
      </w:r>
      <w:r w:rsidR="005C0E11">
        <w:rPr>
          <w:rFonts w:eastAsia="Times"/>
        </w:rPr>
        <w:t>Program</w:t>
      </w:r>
      <w:r w:rsidR="005C0E11" w:rsidRPr="000C529F">
        <w:rPr>
          <w:rFonts w:eastAsia="Times"/>
        </w:rPr>
        <w:t xml:space="preserve"> </w:t>
      </w:r>
      <w:r w:rsidR="437609D4" w:rsidRPr="000C529F">
        <w:rPr>
          <w:rFonts w:eastAsia="Times"/>
        </w:rPr>
        <w:t>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4" w:name="_Appendix_1:_Contact_1"/>
      <w:bookmarkStart w:id="225" w:name="_Toc169094212"/>
      <w:bookmarkEnd w:id="224"/>
      <w:r w:rsidRPr="00BD4AA3">
        <w:t>Appendix 1: Contact information</w:t>
      </w:r>
      <w:bookmarkEnd w:id="218"/>
      <w:bookmarkEnd w:id="219"/>
      <w:bookmarkEnd w:id="220"/>
      <w:bookmarkEnd w:id="221"/>
      <w:bookmarkEnd w:id="225"/>
      <w:r>
        <w:t xml:space="preserve"> </w:t>
      </w:r>
      <w:bookmarkEnd w:id="222"/>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77C20E41"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9am </w:t>
            </w:r>
            <w:r w:rsidR="007764E9">
              <w:rPr>
                <w:lang w:val="en-US"/>
              </w:rPr>
              <w:t>–</w:t>
            </w:r>
            <w:r w:rsidRPr="006F1A2A">
              <w:rPr>
                <w:lang w:val="en-US"/>
              </w:rPr>
              <w:t xml:space="preserve"> </w:t>
            </w:r>
            <w:r w:rsidR="007764E9">
              <w:rPr>
                <w:lang w:val="en-US"/>
              </w:rPr>
              <w:t>4.30</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97"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10FE4A10" w:rsidR="00077DBB" w:rsidRPr="00BD4AA3" w:rsidRDefault="00077DBB" w:rsidP="00603DC8">
            <w:pPr>
              <w:pStyle w:val="Bullet1"/>
              <w:numPr>
                <w:ilvl w:val="0"/>
                <w:numId w:val="15"/>
              </w:numPr>
              <w:rPr>
                <w:lang w:val="en-US"/>
              </w:rPr>
            </w:pPr>
            <w:r w:rsidRPr="00BD4AA3">
              <w:rPr>
                <w:lang w:val="en-US"/>
              </w:rPr>
              <w:t xml:space="preserve">Vaccine </w:t>
            </w:r>
            <w:r w:rsidR="002C3E21">
              <w:rPr>
                <w:lang w:val="en-US"/>
              </w:rPr>
              <w:t>ordering</w:t>
            </w:r>
            <w:r w:rsidR="002C3E21" w:rsidRPr="00BD4AA3">
              <w:rPr>
                <w:lang w:val="en-US"/>
              </w:rPr>
              <w:t xml:space="preserve"> </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33B14A87" w14:textId="09FCF598" w:rsidR="002C3E21" w:rsidRPr="001C58F9" w:rsidRDefault="002C3E21" w:rsidP="00FF5967">
            <w:pPr>
              <w:pStyle w:val="Body"/>
              <w:rPr>
                <w:rStyle w:val="Hyperlink"/>
                <w:b/>
                <w:color w:val="auto"/>
                <w:u w:val="none"/>
                <w:lang w:val="en-US"/>
              </w:rPr>
            </w:pPr>
            <w:r w:rsidRPr="001C58F9">
              <w:rPr>
                <w:rStyle w:val="Hyperlink"/>
                <w:b/>
                <w:color w:val="auto"/>
                <w:u w:val="none"/>
                <w:lang w:val="en-US"/>
              </w:rPr>
              <w:t>Onelink online</w:t>
            </w:r>
            <w:r w:rsidR="0098462C">
              <w:rPr>
                <w:rStyle w:val="Hyperlink"/>
                <w:b/>
                <w:color w:val="auto"/>
                <w:u w:val="none"/>
                <w:lang w:val="en-US"/>
              </w:rPr>
              <w:t>:</w:t>
            </w:r>
            <w:r w:rsidR="0098462C" w:rsidRPr="001C58F9">
              <w:rPr>
                <w:rStyle w:val="Hyperlink"/>
                <w:bCs/>
                <w:lang w:val="en-US"/>
              </w:rPr>
              <w:t xml:space="preserve"> </w:t>
            </w:r>
            <w:r w:rsidRPr="001C58F9">
              <w:rPr>
                <w:rStyle w:val="Hyperlink"/>
                <w:bCs/>
                <w:color w:val="auto"/>
                <w:u w:val="none"/>
                <w:lang w:val="en-US"/>
              </w:rPr>
              <w:t xml:space="preserve"> </w:t>
            </w:r>
            <w:hyperlink r:id="rId98" w:history="1">
              <w:r w:rsidR="001C58F9" w:rsidRPr="001C58F9">
                <w:rPr>
                  <w:rStyle w:val="Hyperlink"/>
                  <w:bCs/>
                  <w:lang w:val="en-US"/>
                </w:rPr>
                <w:t>https://www.onelinkonline.net/</w:t>
              </w:r>
            </w:hyperlink>
          </w:p>
          <w:p w14:paraId="2B3D59BF" w14:textId="5AACD697" w:rsidR="001D4C5C" w:rsidRPr="00BD4AA3" w:rsidRDefault="00077DBB" w:rsidP="00FF5967">
            <w:pPr>
              <w:pStyle w:val="Body"/>
            </w:pPr>
            <w:r w:rsidRPr="001C58F9">
              <w:rPr>
                <w:rStyle w:val="Hyperlink"/>
                <w:b/>
                <w:color w:val="auto"/>
                <w:u w:val="none"/>
                <w:lang w:val="en-US"/>
              </w:rPr>
              <w:t>Clinical advice</w:t>
            </w:r>
            <w:r w:rsidRPr="00A857E2">
              <w:rPr>
                <w:rStyle w:val="Hyperlink"/>
                <w:b/>
                <w:lang w:val="en-US"/>
              </w:rPr>
              <w:t xml:space="preserve">: </w:t>
            </w:r>
            <w:hyperlink r:id="rId99"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2165BBBF" w:rsidR="00077DBB" w:rsidRPr="00467B19" w:rsidRDefault="00471CBE" w:rsidP="00FF5967">
            <w:pPr>
              <w:pStyle w:val="Bullet1"/>
              <w:numPr>
                <w:ilvl w:val="0"/>
                <w:numId w:val="15"/>
              </w:numPr>
            </w:pPr>
            <w:r>
              <w:rPr>
                <w:lang w:val="en-US"/>
              </w:rPr>
              <w:t>All c</w:t>
            </w:r>
            <w:r w:rsidR="00077DBB" w:rsidRPr="00467B19">
              <w:rPr>
                <w:lang w:val="en-US"/>
              </w:rPr>
              <w:t xml:space="preserve">old chain breaches should be </w:t>
            </w:r>
            <w:r w:rsidR="000A3360">
              <w:rPr>
                <w:lang w:val="en-US"/>
              </w:rPr>
              <w:t>reported</w:t>
            </w:r>
            <w:r w:rsidR="000A3360" w:rsidRPr="00467B19">
              <w:rPr>
                <w:lang w:val="en-US"/>
              </w:rPr>
              <w:t xml:space="preserve"> </w:t>
            </w:r>
            <w:r w:rsidR="00077DBB" w:rsidRPr="00467B19">
              <w:rPr>
                <w:lang w:val="en-US"/>
              </w:rPr>
              <w:t>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094F73CF" w:rsidR="00077DBB" w:rsidRPr="005E374B" w:rsidRDefault="00077DBB" w:rsidP="00FF5967">
            <w:pPr>
              <w:pStyle w:val="Body"/>
              <w:rPr>
                <w:highlight w:val="yellow"/>
              </w:rPr>
            </w:pPr>
            <w:r w:rsidRPr="295BC450">
              <w:rPr>
                <w:b/>
                <w:bCs/>
                <w:lang w:val="en-US"/>
              </w:rPr>
              <w:t xml:space="preserve">Email: </w:t>
            </w:r>
            <w:hyperlink r:id="rId100">
              <w:r w:rsidRPr="295BC450">
                <w:rPr>
                  <w:rStyle w:val="Hyperlink"/>
                  <w:lang w:val="en-US"/>
                </w:rPr>
                <w:t>immunisation@health.vic.gov.au</w:t>
              </w:r>
            </w:hyperlink>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01">
              <w:r w:rsidRPr="107A7293">
                <w:rPr>
                  <w:rStyle w:val="Hyperlink"/>
                </w:rPr>
                <w:t>PRODA</w:t>
              </w:r>
            </w:hyperlink>
            <w:r>
              <w:t xml:space="preserve"> account </w:t>
            </w:r>
            <w:r w:rsidR="00B96D08">
              <w:t>–</w:t>
            </w:r>
            <w:r>
              <w:t xml:space="preserve"> </w:t>
            </w:r>
            <w:hyperlink r:id="rId102">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03"/>
          <w:pgSz w:w="16838" w:h="11906" w:orient="landscape" w:code="9"/>
          <w:pgMar w:top="851" w:right="1418" w:bottom="851" w:left="1418" w:header="680" w:footer="851" w:gutter="0"/>
          <w:cols w:space="340"/>
          <w:docGrid w:linePitch="360"/>
        </w:sectPr>
      </w:pPr>
      <w:bookmarkStart w:id="226" w:name="_Appendix_4:_Factsheet"/>
      <w:bookmarkStart w:id="227" w:name="_Appendix_2:_Data"/>
      <w:bookmarkStart w:id="228" w:name="_Toc71895635"/>
      <w:bookmarkStart w:id="229" w:name="_Toc73627108"/>
      <w:bookmarkStart w:id="230" w:name="_Toc1552291514"/>
      <w:bookmarkStart w:id="231" w:name="_Toc112154618"/>
      <w:bookmarkStart w:id="232" w:name="_Toc112315678"/>
      <w:bookmarkEnd w:id="226"/>
      <w:bookmarkEnd w:id="227"/>
    </w:p>
    <w:p w14:paraId="7B882431" w14:textId="77777777" w:rsidR="00077DBB" w:rsidRPr="00833C15" w:rsidRDefault="00077DBB" w:rsidP="00077DBB">
      <w:pPr>
        <w:pStyle w:val="Heading1"/>
        <w:rPr>
          <w:rFonts w:eastAsia="Times"/>
        </w:rPr>
      </w:pPr>
      <w:bookmarkStart w:id="233" w:name="_Toc169094213"/>
      <w:r w:rsidRPr="00833C15">
        <w:rPr>
          <w:rStyle w:val="Heading1Char"/>
        </w:rPr>
        <w:t>Appendix 2: Safe vaccine storage</w:t>
      </w:r>
      <w:r>
        <w:rPr>
          <w:rStyle w:val="Heading1Char"/>
        </w:rPr>
        <w:t xml:space="preserve"> – data loggers</w:t>
      </w:r>
      <w:bookmarkEnd w:id="228"/>
      <w:bookmarkEnd w:id="229"/>
      <w:bookmarkEnd w:id="230"/>
      <w:bookmarkEnd w:id="231"/>
      <w:bookmarkEnd w:id="232"/>
      <w:bookmarkEnd w:id="233"/>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53"/>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4" w:name="_Toc349632636"/>
      <w:r w:rsidRPr="00FD6868">
        <w:t>What information do data loggers provide?</w:t>
      </w:r>
      <w:bookmarkEnd w:id="234"/>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5" w:name="_Toc349632637"/>
      <w:r w:rsidRPr="00091A86">
        <w:t>Using a data logger</w:t>
      </w:r>
      <w:bookmarkEnd w:id="235"/>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6" w:name="_Hlk112397049"/>
      <w:r w:rsidRPr="00887871">
        <w:t>°</w:t>
      </w:r>
      <w:bookmarkEnd w:id="236"/>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939D4C0" w:rsidR="00077DBB" w:rsidRPr="0093312E" w:rsidRDefault="001E1F71" w:rsidP="00077DBB">
      <w:pPr>
        <w:pStyle w:val="Body"/>
      </w:pPr>
      <w:r w:rsidRPr="00851C49">
        <w:t>National vaccine storage guidelines – Strive for 5</w:t>
      </w:r>
      <w:r w:rsidR="00EE77A1">
        <w:rPr>
          <w:rStyle w:val="Hyperlink"/>
        </w:rPr>
        <w:t xml:space="preserve"> &lt;</w:t>
      </w:r>
      <w:hyperlink r:id="rId104" w:history="1">
        <w:r w:rsidRPr="001E1F71">
          <w:rPr>
            <w:rStyle w:val="Hyperlink"/>
          </w:rPr>
          <w:t>https://www.health.gov.au/resources/publications/national-vaccine-storage-guidelines-strive-for-5</w:t>
        </w:r>
      </w:hyperlink>
      <w:r>
        <w:rPr>
          <w:rStyle w:val="Hyperlink"/>
        </w:rPr>
        <w:t>&gt;</w:t>
      </w:r>
    </w:p>
    <w:p w14:paraId="728A790D" w14:textId="5F21C830" w:rsidR="00077DBB" w:rsidRDefault="00D70C53" w:rsidP="4416F9D8">
      <w:pPr>
        <w:spacing w:line="240" w:lineRule="auto"/>
        <w:rPr>
          <w:rStyle w:val="Hyperlink"/>
          <w:color w:val="auto"/>
          <w:szCs w:val="21"/>
          <w:u w:val="none"/>
        </w:rPr>
      </w:pPr>
      <w:r w:rsidRPr="00D70C53">
        <w:rPr>
          <w:snapToGrid w:val="0"/>
        </w:rPr>
        <w:t xml:space="preserve">Department of Health – Cold </w:t>
      </w:r>
      <w:r w:rsidR="00851C49">
        <w:rPr>
          <w:snapToGrid w:val="0"/>
        </w:rPr>
        <w:t>c</w:t>
      </w:r>
      <w:r w:rsidR="00851C49" w:rsidRPr="00D70C53">
        <w:rPr>
          <w:snapToGrid w:val="0"/>
        </w:rPr>
        <w:t xml:space="preserve">hain </w:t>
      </w:r>
      <w:r w:rsidR="00851C49">
        <w:rPr>
          <w:snapToGrid w:val="0"/>
        </w:rPr>
        <w:t>m</w:t>
      </w:r>
      <w:r w:rsidR="00851C49" w:rsidRPr="00D70C53">
        <w:rPr>
          <w:snapToGrid w:val="0"/>
        </w:rPr>
        <w:t>anagement</w:t>
      </w:r>
      <w:r w:rsidR="00851C49">
        <w:rPr>
          <w:rStyle w:val="Hyperlink"/>
          <w:snapToGrid w:val="0"/>
        </w:rPr>
        <w:t xml:space="preserve"> </w:t>
      </w:r>
      <w:r>
        <w:rPr>
          <w:rStyle w:val="Hyperlink"/>
          <w:snapToGrid w:val="0"/>
        </w:rPr>
        <w:t>&lt;</w:t>
      </w:r>
      <w:r w:rsidRPr="00D70C53">
        <w:t xml:space="preserve"> </w:t>
      </w:r>
      <w:hyperlink r:id="rId105" w:history="1">
        <w:r>
          <w:rPr>
            <w:rStyle w:val="Hyperlink"/>
            <w:rFonts w:eastAsia="MS Gothic"/>
          </w:rPr>
          <w:t>https://www.health.vic.gov.au/immunisation/cold-chain-management</w:t>
        </w:r>
      </w:hyperlink>
      <w:r>
        <w:t>&gt;</w:t>
      </w:r>
    </w:p>
    <w:p w14:paraId="6A1BB7D5" w14:textId="4FE720FD" w:rsidR="00410A56" w:rsidRDefault="00D70C53" w:rsidP="007604F4">
      <w:pPr>
        <w:spacing w:line="240" w:lineRule="auto"/>
      </w:pPr>
      <w:r>
        <w:t xml:space="preserve">Department of Health - </w:t>
      </w:r>
      <w:r w:rsidR="007604F4">
        <w:t xml:space="preserve">Cold chain </w:t>
      </w:r>
      <w:r w:rsidR="00851C49">
        <w:t xml:space="preserve">breach </w:t>
      </w:r>
      <w:r w:rsidR="007604F4">
        <w:t xml:space="preserve">reporting </w:t>
      </w:r>
      <w:r w:rsidR="00410A56">
        <w:t>&lt;</w:t>
      </w:r>
      <w:hyperlink r:id="rId106" w:history="1">
        <w:r w:rsidR="00410A56" w:rsidRPr="00410A56">
          <w:rPr>
            <w:rStyle w:val="Hyperlink"/>
          </w:rPr>
          <w:t>https://www.health.vic.gov.au/immunisation/cold-chain-breach-reporting</w:t>
        </w:r>
      </w:hyperlink>
      <w:r w:rsidR="00410A56">
        <w:t>&gt;</w:t>
      </w:r>
    </w:p>
    <w:p w14:paraId="5444E4B1" w14:textId="60CA42CD" w:rsidR="007604F4" w:rsidRDefault="00851C49" w:rsidP="007604F4">
      <w:pPr>
        <w:spacing w:line="240" w:lineRule="auto"/>
      </w:pPr>
      <w:r>
        <w:t>Department of Health – Immunisation Program &lt;</w:t>
      </w:r>
      <w:r w:rsidR="007604F4">
        <w:t xml:space="preserve"> </w:t>
      </w:r>
      <w:hyperlink r:id="rId107" w:history="1">
        <w:r w:rsidR="007604F4" w:rsidRPr="00006F94">
          <w:rPr>
            <w:rStyle w:val="Hyperlink"/>
          </w:rPr>
          <w:t>immunisation@health.vic.gov.au</w:t>
        </w:r>
      </w:hyperlink>
      <w:r>
        <w:rPr>
          <w:rStyle w:val="Hyperlink"/>
        </w:rPr>
        <w:t>&gt;</w:t>
      </w:r>
    </w:p>
    <w:p w14:paraId="52CA0138" w14:textId="2C736714" w:rsidR="00077DBB" w:rsidRDefault="00851C49" w:rsidP="00077DBB">
      <w:pPr>
        <w:spacing w:line="240" w:lineRule="auto"/>
        <w:rPr>
          <w:snapToGrid w:val="0"/>
        </w:rPr>
      </w:pPr>
      <w:r w:rsidRPr="00851C49">
        <w:rPr>
          <w:rFonts w:cs="Arial"/>
        </w:rPr>
        <w:t>TagAlert</w:t>
      </w:r>
      <w:r w:rsidRPr="00851C49">
        <w:rPr>
          <w:rFonts w:cs="Arial"/>
          <w:sz w:val="18"/>
          <w:szCs w:val="18"/>
          <w:vertAlign w:val="superscript"/>
        </w:rPr>
        <w:t>®</w:t>
      </w:r>
      <w:r w:rsidRPr="00851C49">
        <w:rPr>
          <w:rFonts w:cs="Arial"/>
        </w:rPr>
        <w:t xml:space="preserve"> - </w:t>
      </w:r>
      <w:r w:rsidR="00CE0F2A">
        <w:rPr>
          <w:rFonts w:cs="Arial"/>
        </w:rPr>
        <w:t>C</w:t>
      </w:r>
      <w:r w:rsidRPr="00851C49">
        <w:rPr>
          <w:rFonts w:cs="Arial"/>
        </w:rPr>
        <w:t xml:space="preserve">old chain management </w:t>
      </w:r>
      <w:r w:rsidR="00CE0F2A">
        <w:rPr>
          <w:rFonts w:cs="Arial"/>
        </w:rPr>
        <w:t>during vaccine transport</w:t>
      </w:r>
      <w:r w:rsidR="00EE77A1">
        <w:rPr>
          <w:rStyle w:val="Hyperlink"/>
          <w:rFonts w:cs="Arial"/>
        </w:rPr>
        <w:t xml:space="preserve"> &lt;</w:t>
      </w:r>
      <w:hyperlink r:id="rId108" w:history="1">
        <w:r w:rsidR="00EE77A1" w:rsidRPr="00EE77A1">
          <w:rPr>
            <w:rStyle w:val="Hyperlink"/>
            <w:rFonts w:cs="Arial"/>
          </w:rPr>
          <w:t>https://www.health.vic.gov.au/immunisation/cold-chain-monitoring-during-vaccine-transport</w:t>
        </w:r>
      </w:hyperlink>
      <w:r w:rsidR="00EE77A1">
        <w:rPr>
          <w:rStyle w:val="Hyperlink"/>
          <w:rFonts w:cs="Arial"/>
        </w:rPr>
        <w:t>&gt;</w:t>
      </w:r>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1725F0D1"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09"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10"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DE677D">
        <w:rPr>
          <w:rFonts w:ascii="Arial" w:hAnsi="Arial" w:cs="Arial"/>
          <w:snapToGrid w:val="0"/>
          <w:sz w:val="21"/>
          <w:szCs w:val="21"/>
        </w:rPr>
        <w:t>Program</w:t>
      </w:r>
      <w:r w:rsidR="00DE677D" w:rsidRPr="007B30E4">
        <w:rPr>
          <w:rFonts w:ascii="Arial" w:hAnsi="Arial" w:cs="Arial"/>
          <w:snapToGrid w:val="0"/>
          <w:sz w:val="21"/>
          <w:szCs w:val="21"/>
        </w:rPr>
        <w:t xml:space="preserve"> </w:t>
      </w:r>
      <w:r w:rsidR="548649D0" w:rsidRPr="007B30E4">
        <w:rPr>
          <w:rFonts w:ascii="Arial" w:hAnsi="Arial" w:cs="Arial"/>
          <w:snapToGrid w:val="0"/>
          <w:sz w:val="21"/>
          <w:szCs w:val="21"/>
        </w:rPr>
        <w:t xml:space="preserve">directly via </w:t>
      </w:r>
      <w:hyperlink r:id="rId111">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12"/>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7" w:name="_Appendix_3:_Cold"/>
      <w:bookmarkStart w:id="238" w:name="_Toc73627109"/>
      <w:bookmarkStart w:id="239" w:name="_Toc71895636"/>
      <w:bookmarkStart w:id="240" w:name="_Toc1870334152"/>
      <w:bookmarkStart w:id="241" w:name="_Toc112154619"/>
      <w:bookmarkStart w:id="242" w:name="_Toc112315679"/>
      <w:bookmarkStart w:id="243" w:name="_Toc169094214"/>
      <w:bookmarkEnd w:id="237"/>
      <w:r w:rsidRPr="00D52156">
        <w:t>Appendix 3: Cold chain management checklists</w:t>
      </w:r>
      <w:bookmarkEnd w:id="238"/>
      <w:bookmarkEnd w:id="239"/>
      <w:bookmarkEnd w:id="240"/>
      <w:bookmarkEnd w:id="241"/>
      <w:bookmarkEnd w:id="242"/>
      <w:bookmarkEnd w:id="243"/>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4" w:name="_Toc65779349"/>
      <w:bookmarkStart w:id="245" w:name="_Toc67663934"/>
      <w:bookmarkStart w:id="246" w:name="_Toc68865013"/>
      <w:bookmarkStart w:id="247" w:name="_Toc68869094"/>
      <w:bookmarkStart w:id="248" w:name="_Toc69476626"/>
      <w:bookmarkStart w:id="249" w:name="_Toc70353688"/>
      <w:bookmarkStart w:id="250" w:name="_Toc70676158"/>
      <w:bookmarkStart w:id="251" w:name="_Toc71194526"/>
      <w:bookmarkStart w:id="252" w:name="_Toc71548311"/>
      <w:bookmarkStart w:id="253"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4"/>
      <w:bookmarkEnd w:id="245"/>
      <w:bookmarkEnd w:id="246"/>
      <w:bookmarkEnd w:id="247"/>
      <w:bookmarkEnd w:id="248"/>
      <w:bookmarkEnd w:id="249"/>
      <w:bookmarkEnd w:id="250"/>
      <w:bookmarkEnd w:id="251"/>
      <w:bookmarkEnd w:id="252"/>
      <w:bookmarkEnd w:id="253"/>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4"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13">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4"/>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5"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5"/>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6"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35B688B1"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r w:rsidR="00023E32">
              <w:rPr>
                <w:lang w:val="en-US"/>
              </w:rPr>
              <w:t>.</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6"/>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7" w:name="_Toc112154620"/>
      <w:bookmarkStart w:id="258"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9" w:name="_Appendix_4_Vaccine"/>
      <w:bookmarkStart w:id="260" w:name="_Toc169094215"/>
      <w:bookmarkEnd w:id="259"/>
      <w:r w:rsidRPr="006F1A2A">
        <w:t>Appendix</w:t>
      </w:r>
      <w:r w:rsidRPr="00B040C8">
        <w:t xml:space="preserve"> 4 </w:t>
      </w:r>
      <w:r w:rsidRPr="006F1A2A">
        <w:t>Vaccine temperature monitoring form</w:t>
      </w:r>
      <w:r w:rsidRPr="00B040C8">
        <w:t xml:space="preserve"> for outreach mobile services</w:t>
      </w:r>
      <w:bookmarkEnd w:id="257"/>
      <w:bookmarkEnd w:id="258"/>
      <w:bookmarkEnd w:id="260"/>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1" w:name="_Toc71895641"/>
      <w:bookmarkStart w:id="262" w:name="_Toc73627113"/>
      <w:bookmarkStart w:id="263" w:name="_Toc2076093663"/>
      <w:bookmarkStart w:id="264" w:name="_Toc112154629"/>
      <w:bookmarkStart w:id="265" w:name="_Toc112315681"/>
    </w:p>
    <w:p w14:paraId="1FD7B17D" w14:textId="2031D3A6" w:rsidR="00077DBB" w:rsidRPr="00F17AC5" w:rsidRDefault="00077DBB" w:rsidP="00077DBB">
      <w:pPr>
        <w:pStyle w:val="Heading1"/>
        <w:rPr>
          <w:rStyle w:val="normaltextrun"/>
          <w:sz w:val="40"/>
          <w:szCs w:val="40"/>
        </w:rPr>
      </w:pPr>
      <w:bookmarkStart w:id="266" w:name="_Appendix_5:_Guidance"/>
      <w:bookmarkStart w:id="267" w:name="_Toc169094216"/>
      <w:bookmarkEnd w:id="266"/>
      <w:r w:rsidRPr="00F17AC5">
        <w:rPr>
          <w:rStyle w:val="normaltextrun"/>
          <w:sz w:val="40"/>
          <w:szCs w:val="40"/>
        </w:rPr>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1"/>
      <w:bookmarkEnd w:id="262"/>
      <w:bookmarkEnd w:id="263"/>
      <w:bookmarkEnd w:id="264"/>
      <w:bookmarkEnd w:id="265"/>
      <w:bookmarkEnd w:id="267"/>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14"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CCF3E2F"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Mon-Fri 9am to 4.30pm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15"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16"/>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r w:rsidR="00755924">
              <w:rPr>
                <w:rFonts w:eastAsiaTheme="minorHAnsi"/>
                <w:szCs w:val="21"/>
              </w:rPr>
              <w:t>C</w:t>
            </w:r>
            <w:r w:rsidRPr="005D0328">
              <w:rPr>
                <w:rFonts w:eastAsiaTheme="minorHAnsi"/>
                <w:szCs w:val="21"/>
              </w:rPr>
              <w:t>lonic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08394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083948384"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C841D7">
      <w:pPr>
        <w:pStyle w:val="Body"/>
        <w:spacing w:line="240" w:lineRule="auto"/>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BD169CD" w:rsidR="0001641B" w:rsidRPr="00B9256C" w:rsidRDefault="00E213F3" w:rsidP="00C841D7">
      <w:pPr>
        <w:pStyle w:val="Body"/>
        <w:spacing w:after="0" w:line="240" w:lineRule="auto"/>
        <w:rPr>
          <w:i/>
          <w:iCs/>
          <w:sz w:val="16"/>
          <w:szCs w:val="16"/>
        </w:rPr>
      </w:pPr>
      <w:r w:rsidRPr="00B9256C">
        <w:rPr>
          <w:i/>
          <w:iCs/>
          <w:sz w:val="16"/>
          <w:szCs w:val="16"/>
        </w:rPr>
        <w:t xml:space="preserve">Guidance </w:t>
      </w:r>
      <w:r w:rsidR="00B96D08">
        <w:rPr>
          <w:i/>
          <w:iCs/>
          <w:sz w:val="16"/>
          <w:szCs w:val="16"/>
        </w:rPr>
        <w:t>–</w:t>
      </w:r>
      <w:r w:rsidRPr="00B9256C">
        <w:rPr>
          <w:i/>
          <w:iCs/>
          <w:sz w:val="16"/>
          <w:szCs w:val="16"/>
        </w:rPr>
        <w:t xml:space="preserve"> differentiating anaphylaxis from acute stress response for vaccine providers and emergency departments</w:t>
      </w:r>
    </w:p>
    <w:p w14:paraId="1F85836B" w14:textId="2289298F" w:rsidR="00077DBB" w:rsidRPr="006F1A2A" w:rsidRDefault="00C841D7" w:rsidP="00C841D7">
      <w:pPr>
        <w:pStyle w:val="Body"/>
        <w:spacing w:after="0"/>
        <w:rPr>
          <w:sz w:val="16"/>
          <w:szCs w:val="16"/>
        </w:rPr>
        <w:sectPr w:rsidR="00077DBB" w:rsidRPr="006F1A2A" w:rsidSect="00034A4D">
          <w:pgSz w:w="16838" w:h="11906" w:orient="landscape" w:code="9"/>
          <w:pgMar w:top="1440" w:right="1440" w:bottom="1440" w:left="1440" w:header="680" w:footer="57" w:gutter="0"/>
          <w:cols w:space="340"/>
          <w:docGrid w:linePitch="360"/>
        </w:sectPr>
      </w:pPr>
      <w:r>
        <w:rPr>
          <w:sz w:val="16"/>
          <w:szCs w:val="16"/>
        </w:rPr>
        <w:t>&lt;</w:t>
      </w:r>
      <w:hyperlink r:id="rId117" w:history="1">
        <w:r w:rsidRPr="00C841D7">
          <w:rPr>
            <w:rStyle w:val="Hyperlink"/>
            <w:sz w:val="16"/>
            <w:szCs w:val="16"/>
          </w:rPr>
          <w:t xml:space="preserve"> https://mvec.mcri.edu.au/wp-content/uploads/2021/10/Guidance-for-differentiating-anaphylaxis-and-acute-stress-response-for-vaccine-providers_updated-converted.pdf</w:t>
        </w:r>
      </w:hyperlink>
      <w:r>
        <w:rPr>
          <w:sz w:val="16"/>
          <w:szCs w:val="16"/>
        </w:rPr>
        <w:t>&gt;</w:t>
      </w:r>
    </w:p>
    <w:p w14:paraId="47480BA4" w14:textId="4CF639B1" w:rsidR="00077DBB" w:rsidRPr="006F1A2A" w:rsidRDefault="00077DBB" w:rsidP="00077DBB">
      <w:pPr>
        <w:pStyle w:val="Heading1"/>
        <w:rPr>
          <w:rStyle w:val="normaltextrun"/>
        </w:rPr>
      </w:pPr>
      <w:bookmarkStart w:id="268" w:name="_Appendix_11:_Factsheet"/>
      <w:bookmarkStart w:id="269" w:name="_Appendix_7:_Factsheet"/>
      <w:bookmarkStart w:id="270" w:name="_Appendix_6:_Factsheet"/>
      <w:bookmarkStart w:id="271" w:name="_Toc71895642"/>
      <w:bookmarkStart w:id="272" w:name="_Toc73627114"/>
      <w:bookmarkStart w:id="273" w:name="_Toc112154630"/>
      <w:bookmarkStart w:id="274" w:name="_Toc112315682"/>
      <w:bookmarkStart w:id="275" w:name="_Toc1391571136"/>
      <w:bookmarkStart w:id="276" w:name="_Toc169094217"/>
      <w:bookmarkEnd w:id="268"/>
      <w:bookmarkEnd w:id="269"/>
      <w:bookmarkEnd w:id="270"/>
      <w:r w:rsidRPr="005F0118">
        <w:rPr>
          <w:rStyle w:val="normaltextrun"/>
        </w:rPr>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1"/>
      <w:bookmarkEnd w:id="272"/>
      <w:bookmarkEnd w:id="273"/>
      <w:bookmarkEnd w:id="274"/>
      <w:r w:rsidRPr="7723F669">
        <w:rPr>
          <w:rStyle w:val="normaltextrun"/>
        </w:rPr>
        <w:t xml:space="preserve"> </w:t>
      </w:r>
      <w:bookmarkEnd w:id="275"/>
      <w:r w:rsidR="00350BE3">
        <w:rPr>
          <w:rStyle w:val="normaltextrun"/>
        </w:rPr>
        <w:t xml:space="preserve">- </w:t>
      </w:r>
      <w:r w:rsidR="00461EF4">
        <w:rPr>
          <w:rStyle w:val="normaltextrun"/>
        </w:rPr>
        <w:t>including vaccine error</w:t>
      </w:r>
      <w:bookmarkEnd w:id="276"/>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18"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77777777"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9am to 4.30pm)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19"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7" w:name="_Appendix_22:_Guidance"/>
      <w:bookmarkStart w:id="278" w:name="_Appendix_14:_Guidance"/>
      <w:bookmarkStart w:id="279" w:name="_Appendix_23:_Guidance"/>
      <w:bookmarkStart w:id="280" w:name="_Appendix_21:_Safety"/>
      <w:bookmarkStart w:id="281" w:name="_Appendix_22:_Victorian"/>
      <w:bookmarkStart w:id="282" w:name="_Appendix_23_-"/>
      <w:bookmarkStart w:id="283" w:name="_Supervision_requirements"/>
      <w:bookmarkEnd w:id="277"/>
      <w:bookmarkEnd w:id="278"/>
      <w:bookmarkEnd w:id="279"/>
      <w:bookmarkEnd w:id="280"/>
      <w:bookmarkEnd w:id="281"/>
      <w:bookmarkEnd w:id="282"/>
      <w:bookmarkEnd w:id="283"/>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AD4432"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20" w:history="1">
        <w:r w:rsidR="00CD4F99" w:rsidRPr="00615048">
          <w:rPr>
            <w:rStyle w:val="Hyperlink"/>
          </w:rPr>
          <w:t xml:space="preserve"> </w:t>
        </w:r>
        <w:r w:rsidR="00CD4F99"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21" w:history="1">
        <w:r w:rsidR="00143F6E" w:rsidRPr="003151F0">
          <w:rPr>
            <w:rStyle w:val="Hyperlink"/>
            <w:rFonts w:ascii="Arial" w:eastAsia="Times New Roman" w:hAnsi="Arial" w:cs="Arial"/>
            <w:sz w:val="21"/>
            <w:szCs w:val="21"/>
          </w:rPr>
          <w:t>enquiries@saefvic.org.au</w:t>
        </w:r>
      </w:hyperlink>
    </w:p>
    <w:p w14:paraId="58745A2B" w14:textId="77777777"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4" w:name="_Appendix_7:_Intradermal"/>
      <w:bookmarkStart w:id="285" w:name="_Toc73627119"/>
      <w:bookmarkStart w:id="286" w:name="_Toc760868342"/>
      <w:bookmarkStart w:id="287" w:name="_Toc105750916"/>
      <w:bookmarkStart w:id="288" w:name="_Toc169094218"/>
      <w:bookmarkEnd w:id="284"/>
      <w:r w:rsidRPr="003440B5">
        <w:t xml:space="preserve">Appendix 7: </w:t>
      </w:r>
      <w:bookmarkEnd w:id="285"/>
      <w:bookmarkEnd w:id="286"/>
      <w:bookmarkEnd w:id="287"/>
      <w:r w:rsidR="004074CA" w:rsidRPr="003440B5">
        <w:t>Intradermal injection – skills and competenc</w:t>
      </w:r>
      <w:r w:rsidR="00F9747C" w:rsidRPr="003440B5">
        <w:t>y checklist</w:t>
      </w:r>
      <w:bookmarkEnd w:id="288"/>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mpox and the </w:t>
      </w:r>
      <w:r w:rsidRPr="00123116">
        <w:rPr>
          <w:i/>
          <w:iCs/>
        </w:rPr>
        <w:t>Victorian mpox vaccination program</w:t>
      </w:r>
      <w:r w:rsidRPr="00123116">
        <w:rPr>
          <w:rFonts w:eastAsia="Times"/>
          <w:i/>
          <w:iCs/>
          <w:lang w:eastAsia="en-AU"/>
        </w:rPr>
        <w:t xml:space="preserve"> guidelines</w:t>
      </w:r>
      <w:r w:rsidRPr="00123116">
        <w:rPr>
          <w:rFonts w:eastAsia="Times"/>
          <w:lang w:eastAsia="en-AU"/>
        </w:rPr>
        <w:t xml:space="preserve"> refer to the Department of Health Mpox </w:t>
      </w:r>
      <w:r w:rsidR="00482811">
        <w:rPr>
          <w:rFonts w:eastAsia="Times"/>
          <w:lang w:eastAsia="en-AU"/>
        </w:rPr>
        <w:t>web page</w:t>
      </w:r>
      <w:r w:rsidRPr="00123116">
        <w:rPr>
          <w:rFonts w:eastAsia="Times"/>
          <w:i/>
          <w:iCs/>
          <w:lang w:eastAsia="en-AU"/>
        </w:rPr>
        <w:t xml:space="preserve"> </w:t>
      </w:r>
      <w:hyperlink r:id="rId122">
        <w:r w:rsidRPr="00123116">
          <w:rPr>
            <w:color w:val="0000FF"/>
            <w:u w:val="single"/>
          </w:rPr>
          <w:t>Monkeypox | health.vic.gov.au</w:t>
        </w:r>
      </w:hyperlink>
      <w:r w:rsidRPr="00123116">
        <w:t xml:space="preserve"> &lt;</w:t>
      </w:r>
      <w:hyperlink r:id="rId123"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End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End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AD4432"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End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AD4432"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End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AD4432"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End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AD4432"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End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AD4432"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AD4432"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AD4432"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AD4432"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AD4432"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AD4432"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End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AD4432"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End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AD4432"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End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End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End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End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32FAC66B" w14:textId="77777777" w:rsidR="004074CA" w:rsidRDefault="004074CA" w:rsidP="00611939">
      <w:pPr>
        <w:pStyle w:val="Body"/>
      </w:pPr>
    </w:p>
    <w:p w14:paraId="762F902B" w14:textId="255B1D79" w:rsidR="004074CA" w:rsidRDefault="004074CA" w:rsidP="004074CA">
      <w:pPr>
        <w:pStyle w:val="Heading1"/>
      </w:pPr>
      <w:bookmarkStart w:id="289" w:name="_Toc169094219"/>
      <w:r w:rsidRPr="000E573A">
        <w:t xml:space="preserve">Appendix </w:t>
      </w:r>
      <w:r>
        <w:t>8</w:t>
      </w:r>
      <w:r w:rsidRPr="000E573A">
        <w:t>: Document history and control</w:t>
      </w:r>
      <w:bookmarkEnd w:id="289"/>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C016B5">
            <w:pPr>
              <w:pStyle w:val="Body"/>
              <w:rPr>
                <w:rFonts w:cs="Arial"/>
                <w:szCs w:val="21"/>
              </w:rPr>
            </w:pPr>
            <w:r w:rsidRPr="00FF3141">
              <w:rPr>
                <w:rFonts w:cs="Arial"/>
                <w:b/>
                <w:bCs/>
                <w:szCs w:val="21"/>
              </w:rPr>
              <w:t>Version</w:t>
            </w:r>
          </w:p>
        </w:tc>
        <w:tc>
          <w:tcPr>
            <w:tcW w:w="1843" w:type="dxa"/>
          </w:tcPr>
          <w:p w14:paraId="10425406" w14:textId="77777777" w:rsidR="004074CA" w:rsidRPr="00FF3141" w:rsidRDefault="004074CA" w:rsidP="00C016B5">
            <w:pPr>
              <w:pStyle w:val="Body"/>
              <w:rPr>
                <w:rFonts w:cs="Arial"/>
                <w:szCs w:val="21"/>
              </w:rPr>
            </w:pPr>
            <w:r w:rsidRPr="00FF3141">
              <w:rPr>
                <w:rFonts w:cs="Arial"/>
                <w:b/>
                <w:bCs/>
                <w:szCs w:val="21"/>
              </w:rPr>
              <w:t>Publishing date</w:t>
            </w:r>
          </w:p>
        </w:tc>
        <w:tc>
          <w:tcPr>
            <w:tcW w:w="6520" w:type="dxa"/>
          </w:tcPr>
          <w:p w14:paraId="5B9E3242" w14:textId="77777777" w:rsidR="004074CA" w:rsidRPr="00FF3141" w:rsidRDefault="004074CA" w:rsidP="00C016B5">
            <w:pPr>
              <w:pStyle w:val="Body"/>
              <w:rPr>
                <w:rFonts w:cs="Arial"/>
                <w:szCs w:val="21"/>
              </w:rPr>
            </w:pPr>
            <w:r w:rsidRPr="00FF3141">
              <w:rPr>
                <w:rFonts w:cs="Arial"/>
                <w:b/>
                <w:bCs/>
                <w:szCs w:val="21"/>
              </w:rPr>
              <w:t>New updates</w:t>
            </w:r>
          </w:p>
        </w:tc>
      </w:tr>
      <w:tr w:rsidR="004074CA" w14:paraId="3A0519A4" w14:textId="77777777" w:rsidTr="001F4B9C">
        <w:tc>
          <w:tcPr>
            <w:tcW w:w="1271" w:type="dxa"/>
          </w:tcPr>
          <w:p w14:paraId="5EDA9DB6" w14:textId="77777777" w:rsidR="004074CA" w:rsidRPr="00FF3141" w:rsidRDefault="004074CA" w:rsidP="00C016B5">
            <w:pPr>
              <w:pStyle w:val="Body"/>
              <w:rPr>
                <w:rFonts w:cs="Arial"/>
                <w:szCs w:val="21"/>
              </w:rPr>
            </w:pPr>
            <w:r w:rsidRPr="00FF3141">
              <w:rPr>
                <w:rFonts w:cs="Arial"/>
                <w:szCs w:val="21"/>
              </w:rPr>
              <w:t>4</w:t>
            </w:r>
          </w:p>
        </w:tc>
        <w:tc>
          <w:tcPr>
            <w:tcW w:w="1843" w:type="dxa"/>
          </w:tcPr>
          <w:p w14:paraId="03E137A5" w14:textId="77777777" w:rsidR="004074CA" w:rsidRPr="00FF3141" w:rsidRDefault="004074CA" w:rsidP="00C016B5">
            <w:pPr>
              <w:pStyle w:val="Body"/>
              <w:rPr>
                <w:rFonts w:cs="Arial"/>
                <w:szCs w:val="21"/>
              </w:rPr>
            </w:pPr>
            <w:r w:rsidRPr="00FF3141">
              <w:rPr>
                <w:rFonts w:cs="Arial"/>
                <w:szCs w:val="21"/>
              </w:rPr>
              <w:t>09/09/2022</w:t>
            </w:r>
          </w:p>
        </w:tc>
        <w:tc>
          <w:tcPr>
            <w:tcW w:w="6520" w:type="dxa"/>
          </w:tcPr>
          <w:p w14:paraId="72207753" w14:textId="77777777" w:rsidR="004074CA" w:rsidRPr="00FF3141" w:rsidRDefault="004074CA" w:rsidP="00C527A1">
            <w:pPr>
              <w:spacing w:after="0" w:line="240" w:lineRule="auto"/>
              <w:textAlignment w:val="baseline"/>
              <w:rPr>
                <w:rFonts w:cs="Arial"/>
                <w:szCs w:val="21"/>
                <w:lang w:eastAsia="en-AU"/>
              </w:rPr>
            </w:pPr>
            <w:r w:rsidRPr="00FF3141">
              <w:rPr>
                <w:rFonts w:cs="Arial"/>
                <w:b/>
                <w:bCs/>
                <w:szCs w:val="21"/>
                <w:lang w:eastAsia="en-AU"/>
              </w:rPr>
              <w:t xml:space="preserve">Schedule – </w:t>
            </w:r>
            <w:r w:rsidRPr="00FF3141">
              <w:rPr>
                <w:rFonts w:cs="Arial"/>
                <w:szCs w:val="21"/>
                <w:lang w:eastAsia="en-AU"/>
              </w:rPr>
              <w:t>added ATAGI guidance</w:t>
            </w:r>
          </w:p>
          <w:p w14:paraId="628EA8CE" w14:textId="77777777" w:rsidR="004074CA" w:rsidRPr="00FF3141" w:rsidRDefault="004074CA" w:rsidP="00C527A1">
            <w:pPr>
              <w:spacing w:after="0" w:line="240" w:lineRule="auto"/>
              <w:textAlignment w:val="baseline"/>
              <w:rPr>
                <w:rFonts w:cs="Arial"/>
                <w:szCs w:val="21"/>
                <w:lang w:eastAsia="en-AU"/>
              </w:rPr>
            </w:pPr>
            <w:r w:rsidRPr="00FF3141">
              <w:rPr>
                <w:rFonts w:cs="Arial"/>
                <w:szCs w:val="21"/>
                <w:lang w:eastAsia="en-AU"/>
              </w:rPr>
              <w:t>Advice if dose 2 given after 28 days</w:t>
            </w:r>
          </w:p>
          <w:p w14:paraId="06E915EA" w14:textId="77777777" w:rsidR="004074CA" w:rsidRPr="00FF3141" w:rsidRDefault="004074CA" w:rsidP="00C527A1">
            <w:pPr>
              <w:spacing w:after="0" w:line="240" w:lineRule="auto"/>
              <w:textAlignment w:val="baseline"/>
              <w:rPr>
                <w:rFonts w:cs="Arial"/>
                <w:b/>
                <w:bCs/>
                <w:szCs w:val="21"/>
                <w:lang w:eastAsia="en-AU"/>
              </w:rPr>
            </w:pPr>
            <w:r w:rsidRPr="00FF3141">
              <w:rPr>
                <w:rFonts w:cs="Arial"/>
                <w:b/>
                <w:bCs/>
                <w:szCs w:val="21"/>
                <w:lang w:eastAsia="en-AU"/>
              </w:rPr>
              <w:t>Addition of table</w:t>
            </w:r>
          </w:p>
          <w:p w14:paraId="36FA6F60" w14:textId="77777777" w:rsidR="004074CA" w:rsidRPr="00FF3141" w:rsidRDefault="004074CA" w:rsidP="00C527A1">
            <w:pPr>
              <w:pStyle w:val="Body"/>
              <w:spacing w:after="0"/>
              <w:rPr>
                <w:rFonts w:eastAsia="Times New Roman" w:cs="Arial"/>
                <w:szCs w:val="21"/>
                <w:lang w:eastAsia="en-AU"/>
              </w:rPr>
            </w:pPr>
            <w:r w:rsidRPr="00FF3141">
              <w:rPr>
                <w:rFonts w:eastAsia="Times New Roman" w:cs="Arial"/>
                <w:szCs w:val="21"/>
                <w:lang w:eastAsia="en-AU"/>
              </w:rPr>
              <w:t xml:space="preserve">Table 4 – Codes for adding </w:t>
            </w:r>
            <w:r w:rsidRPr="00FF3141">
              <w:rPr>
                <w:rFonts w:eastAsia="Times New Roman" w:cs="Arial"/>
                <w:szCs w:val="21"/>
                <w:lang w:val="en-US" w:eastAsia="en-AU"/>
              </w:rPr>
              <w:t>JYNNEOS</w:t>
            </w:r>
            <w:r w:rsidRPr="00FF3141">
              <w:rPr>
                <w:rFonts w:eastAsia="Times New Roman" w:cs="Arial"/>
                <w:color w:val="313131"/>
                <w:szCs w:val="21"/>
                <w:vertAlign w:val="superscript"/>
                <w:lang w:eastAsia="en-AU"/>
              </w:rPr>
              <w:t xml:space="preserve">® </w:t>
            </w:r>
            <w:r w:rsidRPr="00FF3141">
              <w:rPr>
                <w:rFonts w:eastAsia="Times New Roman" w:cs="Arial"/>
                <w:szCs w:val="21"/>
                <w:lang w:eastAsia="en-AU"/>
              </w:rPr>
              <w:t>vaccine doses to AIR</w:t>
            </w:r>
          </w:p>
          <w:p w14:paraId="408F86A6" w14:textId="77777777" w:rsidR="004074CA" w:rsidRPr="00FF3141" w:rsidRDefault="004074CA" w:rsidP="00C527A1">
            <w:pPr>
              <w:pStyle w:val="Body"/>
              <w:spacing w:after="0"/>
              <w:rPr>
                <w:rFonts w:cs="Arial"/>
                <w:szCs w:val="21"/>
              </w:rPr>
            </w:pPr>
            <w:r w:rsidRPr="00FF3141">
              <w:rPr>
                <w:rFonts w:cs="Arial"/>
                <w:b/>
                <w:bCs/>
                <w:szCs w:val="21"/>
              </w:rPr>
              <w:t>SAEFVIC contact details</w:t>
            </w:r>
            <w:r w:rsidRPr="00FF3141">
              <w:rPr>
                <w:rFonts w:cs="Arial"/>
                <w:szCs w:val="21"/>
              </w:rPr>
              <w:t xml:space="preserve"> updated </w:t>
            </w:r>
          </w:p>
          <w:p w14:paraId="5D2D60CD" w14:textId="77777777" w:rsidR="004074CA" w:rsidRPr="00FF3141" w:rsidRDefault="004074CA" w:rsidP="00C527A1">
            <w:pPr>
              <w:pStyle w:val="Body"/>
              <w:spacing w:after="0"/>
              <w:rPr>
                <w:rFonts w:cs="Arial"/>
                <w:b/>
                <w:bCs/>
                <w:szCs w:val="21"/>
              </w:rPr>
            </w:pPr>
            <w:r w:rsidRPr="00FF3141">
              <w:rPr>
                <w:rFonts w:cs="Arial"/>
                <w:b/>
                <w:bCs/>
                <w:szCs w:val="21"/>
              </w:rPr>
              <w:t>Addition of Appendix 7</w:t>
            </w:r>
          </w:p>
          <w:p w14:paraId="30E771CA" w14:textId="77777777" w:rsidR="004074CA" w:rsidRPr="00FF3141" w:rsidRDefault="004074CA" w:rsidP="00C527A1">
            <w:pPr>
              <w:pStyle w:val="Body"/>
              <w:spacing w:after="0"/>
              <w:rPr>
                <w:rFonts w:cs="Arial"/>
                <w:szCs w:val="21"/>
              </w:rPr>
            </w:pPr>
            <w:r w:rsidRPr="00FF3141">
              <w:rPr>
                <w:rFonts w:cs="Arial"/>
                <w:szCs w:val="21"/>
              </w:rPr>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C016B5">
            <w:pPr>
              <w:pStyle w:val="Body"/>
              <w:rPr>
                <w:rFonts w:cs="Arial"/>
                <w:szCs w:val="21"/>
              </w:rPr>
            </w:pPr>
            <w:r w:rsidRPr="00FF3141">
              <w:rPr>
                <w:rFonts w:cs="Arial"/>
                <w:szCs w:val="21"/>
              </w:rPr>
              <w:t>4.1</w:t>
            </w:r>
          </w:p>
        </w:tc>
        <w:tc>
          <w:tcPr>
            <w:tcW w:w="1843" w:type="dxa"/>
          </w:tcPr>
          <w:p w14:paraId="6E75CF7E" w14:textId="66301734" w:rsidR="00620E6B" w:rsidRPr="00FF3141" w:rsidRDefault="00620E6B" w:rsidP="00C016B5">
            <w:pPr>
              <w:pStyle w:val="Body"/>
              <w:rPr>
                <w:rFonts w:cs="Arial"/>
                <w:szCs w:val="21"/>
              </w:rPr>
            </w:pPr>
            <w:r w:rsidRPr="00FF3141">
              <w:rPr>
                <w:rFonts w:cs="Arial"/>
                <w:szCs w:val="21"/>
              </w:rPr>
              <w:t>12/09/2022</w:t>
            </w:r>
          </w:p>
        </w:tc>
        <w:tc>
          <w:tcPr>
            <w:tcW w:w="6520" w:type="dxa"/>
          </w:tcPr>
          <w:p w14:paraId="0468ABF3" w14:textId="77777777" w:rsidR="00620E6B" w:rsidRPr="00FF3141" w:rsidRDefault="00620E6B" w:rsidP="00620E6B">
            <w:pPr>
              <w:spacing w:after="0" w:line="240" w:lineRule="auto"/>
              <w:textAlignment w:val="baseline"/>
              <w:rPr>
                <w:rFonts w:cs="Arial"/>
                <w:szCs w:val="21"/>
                <w:lang w:eastAsia="en-AU"/>
              </w:rPr>
            </w:pPr>
            <w:r w:rsidRPr="00FF3141">
              <w:rPr>
                <w:rFonts w:cs="Arial"/>
                <w:b/>
                <w:bCs/>
                <w:szCs w:val="21"/>
                <w:lang w:eastAsia="en-AU"/>
              </w:rPr>
              <w:t>Cold chain reporting</w:t>
            </w:r>
            <w:r w:rsidRPr="00FF3141">
              <w:rPr>
                <w:rFonts w:cs="Arial"/>
                <w:szCs w:val="21"/>
                <w:lang w:eastAsia="en-AU"/>
              </w:rPr>
              <w:t> </w:t>
            </w:r>
          </w:p>
          <w:p w14:paraId="38A6004C" w14:textId="1D39E314" w:rsidR="00620E6B" w:rsidRPr="00FF3141" w:rsidRDefault="00620E6B" w:rsidP="00C527A1">
            <w:pPr>
              <w:spacing w:after="0" w:line="240" w:lineRule="auto"/>
              <w:textAlignment w:val="baseline"/>
              <w:rPr>
                <w:rFonts w:cs="Arial"/>
                <w:b/>
                <w:bCs/>
                <w:szCs w:val="21"/>
                <w:lang w:eastAsia="en-AU"/>
              </w:rPr>
            </w:pPr>
            <w:r w:rsidRPr="00FF3141">
              <w:rPr>
                <w:rFonts w:cs="Arial"/>
                <w:szCs w:val="21"/>
                <w:lang w:eastAsia="en-AU"/>
              </w:rPr>
              <w:t xml:space="preserve">Revised contact details </w:t>
            </w:r>
            <w:r w:rsidRPr="00FF3141">
              <w:rPr>
                <w:rFonts w:cs="Arial"/>
                <w:szCs w:val="21"/>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C016B5">
            <w:pPr>
              <w:pStyle w:val="Body"/>
              <w:rPr>
                <w:rFonts w:cs="Arial"/>
                <w:szCs w:val="21"/>
              </w:rPr>
            </w:pPr>
            <w:r w:rsidRPr="00FF3141">
              <w:rPr>
                <w:rFonts w:cs="Arial"/>
                <w:szCs w:val="21"/>
              </w:rPr>
              <w:t>4.</w:t>
            </w:r>
            <w:r w:rsidR="007E2F5A" w:rsidRPr="00FF3141">
              <w:rPr>
                <w:rFonts w:cs="Arial"/>
                <w:szCs w:val="21"/>
              </w:rPr>
              <w:t>2</w:t>
            </w:r>
          </w:p>
        </w:tc>
        <w:tc>
          <w:tcPr>
            <w:tcW w:w="1843" w:type="dxa"/>
          </w:tcPr>
          <w:p w14:paraId="7CDAC5BD" w14:textId="43EC0521" w:rsidR="004074CA" w:rsidRPr="00FF3141" w:rsidRDefault="00620E6B" w:rsidP="00C016B5">
            <w:pPr>
              <w:pStyle w:val="Body"/>
              <w:rPr>
                <w:rFonts w:cs="Arial"/>
                <w:szCs w:val="21"/>
              </w:rPr>
            </w:pPr>
            <w:r w:rsidRPr="00FF3141">
              <w:rPr>
                <w:rFonts w:cs="Arial"/>
                <w:szCs w:val="21"/>
              </w:rPr>
              <w:t>16/09/2022</w:t>
            </w:r>
            <w:r w:rsidR="00A82E30" w:rsidRPr="00FF3141">
              <w:rPr>
                <w:rFonts w:cs="Arial"/>
                <w:szCs w:val="21"/>
              </w:rPr>
              <w:t xml:space="preserve"> </w:t>
            </w:r>
          </w:p>
        </w:tc>
        <w:tc>
          <w:tcPr>
            <w:tcW w:w="6520" w:type="dxa"/>
          </w:tcPr>
          <w:p w14:paraId="2B5513B2" w14:textId="77777777" w:rsidR="007E2F5A" w:rsidRPr="00FF3141" w:rsidRDefault="007E2F5A" w:rsidP="007E2F5A">
            <w:pPr>
              <w:spacing w:line="240" w:lineRule="auto"/>
              <w:textAlignment w:val="baseline"/>
              <w:rPr>
                <w:rFonts w:cs="Arial"/>
                <w:b/>
                <w:bCs/>
                <w:szCs w:val="21"/>
                <w:lang w:eastAsia="en-AU"/>
              </w:rPr>
            </w:pPr>
            <w:r w:rsidRPr="00FF3141">
              <w:rPr>
                <w:rFonts w:cs="Arial"/>
                <w:b/>
                <w:bCs/>
                <w:szCs w:val="21"/>
                <w:lang w:eastAsia="en-AU"/>
              </w:rPr>
              <w:t>Preparation of equipment</w:t>
            </w:r>
          </w:p>
          <w:p w14:paraId="79E1694E" w14:textId="77777777" w:rsidR="007E2F5A" w:rsidRPr="00FF3141" w:rsidRDefault="007E2F5A" w:rsidP="007E2F5A">
            <w:pPr>
              <w:spacing w:line="240" w:lineRule="auto"/>
              <w:textAlignment w:val="baseline"/>
              <w:rPr>
                <w:rFonts w:cs="Arial"/>
                <w:szCs w:val="21"/>
                <w:lang w:eastAsia="en-AU"/>
              </w:rPr>
            </w:pPr>
            <w:r w:rsidRPr="00FF3141">
              <w:rPr>
                <w:rFonts w:cs="Arial"/>
                <w:szCs w:val="21"/>
                <w:lang w:eastAsia="en-AU"/>
              </w:rPr>
              <w:t>Use of a 25-27 gauge needle to extract vaccine may minimise vaccine wastage</w:t>
            </w:r>
          </w:p>
          <w:p w14:paraId="5791C6C7" w14:textId="77777777" w:rsidR="007E2F5A" w:rsidRPr="00FF3141" w:rsidRDefault="007E2F5A" w:rsidP="007E2F5A">
            <w:pPr>
              <w:spacing w:line="254" w:lineRule="auto"/>
              <w:rPr>
                <w:rFonts w:eastAsia="Calibri" w:cs="Arial"/>
                <w:b/>
                <w:bCs/>
                <w:szCs w:val="21"/>
                <w:lang w:eastAsia="en-AU"/>
              </w:rPr>
            </w:pPr>
            <w:r w:rsidRPr="00FF3141">
              <w:rPr>
                <w:rFonts w:cs="Arial"/>
                <w:b/>
                <w:bCs/>
                <w:szCs w:val="21"/>
                <w:lang w:eastAsia="en-AU"/>
              </w:rPr>
              <w:t xml:space="preserve">Table 3 </w:t>
            </w:r>
            <w:r w:rsidRPr="00FF3141">
              <w:rPr>
                <w:rFonts w:eastAsia="Calibri" w:cs="Arial"/>
                <w:b/>
                <w:bCs/>
                <w:szCs w:val="21"/>
              </w:rPr>
              <w:t xml:space="preserve">Methods of dose extraction for multidose vials </w:t>
            </w:r>
          </w:p>
          <w:p w14:paraId="6FE0EE80" w14:textId="0E839A6F" w:rsidR="004074CA" w:rsidRPr="00FF3141" w:rsidRDefault="007E2F5A" w:rsidP="007E2F5A">
            <w:pPr>
              <w:spacing w:after="0" w:line="240" w:lineRule="auto"/>
              <w:textAlignment w:val="baseline"/>
              <w:rPr>
                <w:rFonts w:cs="Arial"/>
                <w:szCs w:val="21"/>
              </w:rPr>
            </w:pPr>
            <w:r w:rsidRPr="00FF3141">
              <w:rPr>
                <w:rFonts w:cs="Arial"/>
                <w:szCs w:val="21"/>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C016B5">
            <w:pPr>
              <w:pStyle w:val="Body"/>
              <w:rPr>
                <w:rFonts w:cs="Arial"/>
                <w:szCs w:val="21"/>
              </w:rPr>
            </w:pPr>
            <w:r w:rsidRPr="00FF3141">
              <w:rPr>
                <w:rFonts w:cs="Arial"/>
                <w:szCs w:val="21"/>
              </w:rPr>
              <w:t>4.</w:t>
            </w:r>
            <w:r w:rsidRPr="00FF3141">
              <w:rPr>
                <w:rFonts w:eastAsia="Times New Roman" w:cs="Arial"/>
                <w:color w:val="2B579A"/>
                <w:szCs w:val="21"/>
                <w:shd w:val="clear" w:color="auto" w:fill="E6E6E6"/>
              </w:rPr>
              <w:t>3</w:t>
            </w:r>
          </w:p>
        </w:tc>
        <w:tc>
          <w:tcPr>
            <w:tcW w:w="1843" w:type="dxa"/>
          </w:tcPr>
          <w:p w14:paraId="22F922A6" w14:textId="1EC08A6E" w:rsidR="00B96D08" w:rsidRPr="00FF3141" w:rsidRDefault="00B96D08" w:rsidP="00C016B5">
            <w:pPr>
              <w:pStyle w:val="Body"/>
              <w:rPr>
                <w:rFonts w:cs="Arial"/>
                <w:szCs w:val="21"/>
              </w:rPr>
            </w:pPr>
            <w:r w:rsidRPr="00FF3141">
              <w:rPr>
                <w:rFonts w:cs="Arial"/>
                <w:szCs w:val="21"/>
              </w:rPr>
              <w:t>19/09/2022</w:t>
            </w:r>
          </w:p>
        </w:tc>
        <w:tc>
          <w:tcPr>
            <w:tcW w:w="6520" w:type="dxa"/>
          </w:tcPr>
          <w:p w14:paraId="29E380BB" w14:textId="77777777" w:rsidR="00B96D08" w:rsidRPr="00FF3141" w:rsidRDefault="00B96D08" w:rsidP="007E2F5A">
            <w:pPr>
              <w:spacing w:line="240" w:lineRule="auto"/>
              <w:textAlignment w:val="baseline"/>
              <w:rPr>
                <w:rFonts w:cs="Arial"/>
                <w:b/>
                <w:bCs/>
                <w:szCs w:val="21"/>
                <w:lang w:eastAsia="en-AU"/>
              </w:rPr>
            </w:pPr>
            <w:r w:rsidRPr="00FF3141">
              <w:rPr>
                <w:rFonts w:cs="Arial"/>
                <w:b/>
                <w:bCs/>
                <w:szCs w:val="21"/>
                <w:lang w:eastAsia="en-AU"/>
              </w:rPr>
              <w:t>Eligibility for pre-exposure vaccination</w:t>
            </w:r>
          </w:p>
          <w:p w14:paraId="4AB31245" w14:textId="7B92FC40" w:rsidR="00B96D08" w:rsidRPr="00FF3141" w:rsidRDefault="00B96D08" w:rsidP="007E2F5A">
            <w:pPr>
              <w:spacing w:line="240" w:lineRule="auto"/>
              <w:textAlignment w:val="baseline"/>
              <w:rPr>
                <w:rFonts w:cs="Arial"/>
                <w:szCs w:val="21"/>
                <w:lang w:eastAsia="en-AU"/>
              </w:rPr>
            </w:pPr>
            <w:r w:rsidRPr="00FF3141">
              <w:rPr>
                <w:rFonts w:cs="Arial"/>
                <w:szCs w:val="21"/>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43A706D2">
            <w:pPr>
              <w:pStyle w:val="Body"/>
              <w:rPr>
                <w:rFonts w:cs="Arial"/>
                <w:szCs w:val="21"/>
              </w:rPr>
            </w:pPr>
            <w:r w:rsidRPr="00FF3141">
              <w:rPr>
                <w:rFonts w:cs="Arial"/>
                <w:szCs w:val="21"/>
              </w:rPr>
              <w:t>5</w:t>
            </w:r>
          </w:p>
        </w:tc>
        <w:tc>
          <w:tcPr>
            <w:tcW w:w="1843" w:type="dxa"/>
          </w:tcPr>
          <w:p w14:paraId="2CE9669C" w14:textId="3BB3D053" w:rsidR="06E0321B" w:rsidRPr="00FF3141" w:rsidRDefault="006A1BAE" w:rsidP="06E0321B">
            <w:pPr>
              <w:pStyle w:val="Body"/>
              <w:rPr>
                <w:rFonts w:cs="Arial"/>
                <w:szCs w:val="21"/>
              </w:rPr>
            </w:pPr>
            <w:r w:rsidRPr="00FF3141">
              <w:rPr>
                <w:rFonts w:cs="Arial"/>
                <w:szCs w:val="21"/>
              </w:rPr>
              <w:t>4</w:t>
            </w:r>
            <w:r w:rsidR="004C16EB" w:rsidRPr="00FF3141">
              <w:rPr>
                <w:rFonts w:cs="Arial"/>
                <w:szCs w:val="21"/>
              </w:rPr>
              <w:t>/10/2022</w:t>
            </w:r>
          </w:p>
        </w:tc>
        <w:tc>
          <w:tcPr>
            <w:tcW w:w="6520" w:type="dxa"/>
          </w:tcPr>
          <w:p w14:paraId="1487D960" w14:textId="1175A1D6" w:rsidR="06E0321B" w:rsidRPr="00FF3141" w:rsidRDefault="004C16EB" w:rsidP="06E0321B">
            <w:pPr>
              <w:spacing w:line="240" w:lineRule="auto"/>
              <w:rPr>
                <w:rFonts w:cs="Arial"/>
                <w:b/>
                <w:bCs/>
                <w:szCs w:val="21"/>
                <w:lang w:eastAsia="en-AU"/>
              </w:rPr>
            </w:pPr>
            <w:r w:rsidRPr="00FF3141">
              <w:rPr>
                <w:rFonts w:cs="Arial"/>
                <w:szCs w:val="21"/>
              </w:rPr>
              <w:t>Nurse immunisers and pharmacist immunisers – Secretary Approvals amended to enable monkeypox vaccine administration</w:t>
            </w:r>
            <w:r w:rsidR="00C6298D">
              <w:rPr>
                <w:rFonts w:cs="Arial"/>
                <w:szCs w:val="21"/>
              </w:rPr>
              <w:t xml:space="preserve"> 03/10/2022</w:t>
            </w:r>
          </w:p>
        </w:tc>
      </w:tr>
      <w:tr w:rsidR="06E0321B" w14:paraId="22CBF9C6" w14:textId="77777777" w:rsidTr="001F4B9C">
        <w:trPr>
          <w:trHeight w:val="300"/>
        </w:trPr>
        <w:tc>
          <w:tcPr>
            <w:tcW w:w="1271" w:type="dxa"/>
          </w:tcPr>
          <w:p w14:paraId="00A11353" w14:textId="3B08895B" w:rsidR="06E0321B" w:rsidRPr="00FF3141" w:rsidRDefault="2C58FE0A" w:rsidP="43A706D2">
            <w:pPr>
              <w:pStyle w:val="Body"/>
              <w:rPr>
                <w:rFonts w:cs="Arial"/>
                <w:szCs w:val="21"/>
              </w:rPr>
            </w:pPr>
            <w:r w:rsidRPr="00FF3141">
              <w:rPr>
                <w:rFonts w:cs="Arial"/>
                <w:szCs w:val="21"/>
              </w:rPr>
              <w:t>5</w:t>
            </w:r>
          </w:p>
        </w:tc>
        <w:tc>
          <w:tcPr>
            <w:tcW w:w="1843" w:type="dxa"/>
          </w:tcPr>
          <w:p w14:paraId="29442F19" w14:textId="018FBE23" w:rsidR="06E0321B" w:rsidRPr="00FF3141" w:rsidRDefault="006A1BAE" w:rsidP="06E0321B">
            <w:pPr>
              <w:pStyle w:val="Body"/>
              <w:rPr>
                <w:rFonts w:cs="Arial"/>
                <w:szCs w:val="21"/>
              </w:rPr>
            </w:pPr>
            <w:r w:rsidRPr="00FF3141">
              <w:rPr>
                <w:rFonts w:cs="Arial"/>
                <w:szCs w:val="21"/>
              </w:rPr>
              <w:t>4</w:t>
            </w:r>
            <w:r w:rsidR="00ED3D87" w:rsidRPr="00FF3141">
              <w:rPr>
                <w:rFonts w:cs="Arial"/>
                <w:szCs w:val="21"/>
              </w:rPr>
              <w:t>/10/2022</w:t>
            </w:r>
          </w:p>
        </w:tc>
        <w:tc>
          <w:tcPr>
            <w:tcW w:w="6520" w:type="dxa"/>
          </w:tcPr>
          <w:p w14:paraId="4F274AAE" w14:textId="59B56366" w:rsidR="06E0321B" w:rsidRPr="00FF3141" w:rsidRDefault="00ED3D87" w:rsidP="06E0321B">
            <w:pPr>
              <w:spacing w:line="240" w:lineRule="auto"/>
              <w:rPr>
                <w:rFonts w:cs="Arial"/>
                <w:b/>
                <w:bCs/>
                <w:szCs w:val="21"/>
                <w:lang w:eastAsia="en-AU"/>
              </w:rPr>
            </w:pPr>
            <w:r w:rsidRPr="00FF3141">
              <w:rPr>
                <w:rFonts w:cs="Arial"/>
                <w:szCs w:val="21"/>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6EEBAB2B">
            <w:pPr>
              <w:pStyle w:val="Body"/>
              <w:rPr>
                <w:rFonts w:cs="Arial"/>
                <w:szCs w:val="21"/>
              </w:rPr>
            </w:pPr>
            <w:r w:rsidRPr="00FF3141">
              <w:rPr>
                <w:rFonts w:cs="Arial"/>
                <w:szCs w:val="21"/>
              </w:rPr>
              <w:t>6</w:t>
            </w:r>
          </w:p>
        </w:tc>
        <w:tc>
          <w:tcPr>
            <w:tcW w:w="1843" w:type="dxa"/>
          </w:tcPr>
          <w:p w14:paraId="1EBEEBC6" w14:textId="400D7611" w:rsidR="62EF5EAA" w:rsidRPr="00FF3141" w:rsidRDefault="62EF5EAA" w:rsidP="6EEBAB2B">
            <w:pPr>
              <w:pStyle w:val="Body"/>
              <w:rPr>
                <w:rFonts w:cs="Arial"/>
                <w:szCs w:val="21"/>
              </w:rPr>
            </w:pPr>
            <w:r w:rsidRPr="00FF3141">
              <w:rPr>
                <w:rFonts w:cs="Arial"/>
                <w:szCs w:val="21"/>
              </w:rPr>
              <w:t>11/10/2</w:t>
            </w:r>
            <w:r w:rsidR="5B97963D" w:rsidRPr="00FF3141">
              <w:rPr>
                <w:rFonts w:cs="Arial"/>
                <w:szCs w:val="21"/>
              </w:rPr>
              <w:t>0</w:t>
            </w:r>
            <w:r w:rsidRPr="00FF3141">
              <w:rPr>
                <w:rFonts w:cs="Arial"/>
                <w:szCs w:val="21"/>
              </w:rPr>
              <w:t>2</w:t>
            </w:r>
            <w:r w:rsidR="37C9B8D2" w:rsidRPr="00FF3141">
              <w:rPr>
                <w:rFonts w:cs="Arial"/>
                <w:szCs w:val="21"/>
              </w:rPr>
              <w:t>2</w:t>
            </w:r>
          </w:p>
        </w:tc>
        <w:tc>
          <w:tcPr>
            <w:tcW w:w="6520" w:type="dxa"/>
          </w:tcPr>
          <w:p w14:paraId="26A35545" w14:textId="25A9AAA9" w:rsidR="62EF5EAA" w:rsidRPr="00FF3141" w:rsidRDefault="62EF5EAA" w:rsidP="6EEBAB2B">
            <w:pPr>
              <w:pStyle w:val="Body"/>
              <w:rPr>
                <w:rFonts w:cs="Arial"/>
                <w:szCs w:val="21"/>
              </w:rPr>
            </w:pPr>
            <w:r w:rsidRPr="00FF3141">
              <w:rPr>
                <w:rFonts w:cs="Arial"/>
                <w:b/>
                <w:bCs/>
                <w:szCs w:val="21"/>
              </w:rPr>
              <w:t xml:space="preserve">Eligibility for vaccination – </w:t>
            </w:r>
            <w:r w:rsidRPr="00FF3141">
              <w:rPr>
                <w:rFonts w:cs="Arial"/>
                <w:szCs w:val="21"/>
              </w:rPr>
              <w:t>as per vaccine supply</w:t>
            </w:r>
          </w:p>
        </w:tc>
      </w:tr>
      <w:tr w:rsidR="06E0321B" w14:paraId="0116DCFD" w14:textId="77777777" w:rsidTr="001F4B9C">
        <w:trPr>
          <w:trHeight w:val="300"/>
        </w:trPr>
        <w:tc>
          <w:tcPr>
            <w:tcW w:w="1271" w:type="dxa"/>
          </w:tcPr>
          <w:p w14:paraId="093B8D67" w14:textId="097ACC19" w:rsidR="06E0321B" w:rsidRPr="00FF3141" w:rsidRDefault="007415C7" w:rsidP="06E0321B">
            <w:pPr>
              <w:pStyle w:val="Body"/>
              <w:rPr>
                <w:rFonts w:cs="Arial"/>
                <w:szCs w:val="21"/>
              </w:rPr>
            </w:pPr>
            <w:r w:rsidRPr="00FF3141">
              <w:rPr>
                <w:rFonts w:cs="Arial"/>
                <w:szCs w:val="21"/>
              </w:rPr>
              <w:t>6</w:t>
            </w:r>
          </w:p>
        </w:tc>
        <w:tc>
          <w:tcPr>
            <w:tcW w:w="1843" w:type="dxa"/>
          </w:tcPr>
          <w:p w14:paraId="5556E5B9" w14:textId="02C147DB" w:rsidR="06E0321B" w:rsidRPr="00FF3141" w:rsidRDefault="3DE2AFF9" w:rsidP="6EEBAB2B">
            <w:pPr>
              <w:pStyle w:val="Body"/>
              <w:rPr>
                <w:rFonts w:cs="Arial"/>
                <w:szCs w:val="21"/>
              </w:rPr>
            </w:pPr>
            <w:r w:rsidRPr="00FF3141">
              <w:rPr>
                <w:rFonts w:cs="Arial"/>
                <w:szCs w:val="21"/>
              </w:rPr>
              <w:t>11</w:t>
            </w:r>
            <w:r w:rsidR="21CB3E16" w:rsidRPr="00FF3141">
              <w:rPr>
                <w:rFonts w:cs="Arial"/>
                <w:szCs w:val="21"/>
              </w:rPr>
              <w:t>/10/2022</w:t>
            </w:r>
          </w:p>
        </w:tc>
        <w:tc>
          <w:tcPr>
            <w:tcW w:w="6520" w:type="dxa"/>
          </w:tcPr>
          <w:p w14:paraId="700BCCF5" w14:textId="1CE3C92B" w:rsidR="06E0321B" w:rsidRPr="00FF3141" w:rsidRDefault="008C4016" w:rsidP="3532A975">
            <w:pPr>
              <w:pStyle w:val="Body"/>
              <w:spacing w:line="240" w:lineRule="auto"/>
              <w:rPr>
                <w:rFonts w:eastAsia="Arial" w:cs="Arial"/>
                <w:szCs w:val="21"/>
                <w:lang w:eastAsia="en-AU"/>
              </w:rPr>
            </w:pPr>
            <w:r w:rsidRPr="00FF3141">
              <w:rPr>
                <w:rFonts w:eastAsia="Arial" w:cs="Arial"/>
                <w:b/>
                <w:szCs w:val="21"/>
              </w:rPr>
              <w:t xml:space="preserve">Identifying </w:t>
            </w:r>
            <w:r w:rsidR="6605589A" w:rsidRPr="00FF3141">
              <w:rPr>
                <w:rFonts w:eastAsia="Arial" w:cs="Arial"/>
                <w:b/>
                <w:bCs/>
                <w:szCs w:val="21"/>
              </w:rPr>
              <w:t>sites</w:t>
            </w:r>
            <w:r w:rsidRPr="00FF3141">
              <w:rPr>
                <w:rFonts w:eastAsia="Arial" w:cs="Arial"/>
                <w:b/>
                <w:szCs w:val="21"/>
              </w:rPr>
              <w:t xml:space="preserve"> for Intradermal injection</w:t>
            </w:r>
            <w:r w:rsidRPr="00FF3141">
              <w:rPr>
                <w:rFonts w:eastAsia="Arial" w:cs="Arial"/>
                <w:szCs w:val="21"/>
              </w:rPr>
              <w:t xml:space="preserve"> – description of </w:t>
            </w:r>
            <w:r w:rsidR="6605589A" w:rsidRPr="00FF3141">
              <w:rPr>
                <w:rFonts w:eastAsia="Arial" w:cs="Arial"/>
                <w:szCs w:val="21"/>
              </w:rPr>
              <w:t xml:space="preserve">landmarks over the deltoid as an </w:t>
            </w:r>
            <w:r w:rsidRPr="00FF3141">
              <w:rPr>
                <w:rFonts w:eastAsia="Arial" w:cs="Arial"/>
                <w:szCs w:val="21"/>
              </w:rPr>
              <w:t xml:space="preserve">alternative site </w:t>
            </w:r>
            <w:r w:rsidR="6605589A" w:rsidRPr="00FF3141">
              <w:rPr>
                <w:rFonts w:eastAsia="Arial" w:cs="Arial"/>
                <w:szCs w:val="21"/>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6E0321B">
            <w:pPr>
              <w:pStyle w:val="Body"/>
              <w:rPr>
                <w:rFonts w:cs="Arial"/>
                <w:szCs w:val="21"/>
              </w:rPr>
            </w:pPr>
            <w:r w:rsidRPr="00FF3141">
              <w:rPr>
                <w:rFonts w:cs="Arial"/>
                <w:szCs w:val="21"/>
              </w:rPr>
              <w:t>7</w:t>
            </w:r>
          </w:p>
        </w:tc>
        <w:tc>
          <w:tcPr>
            <w:tcW w:w="1843" w:type="dxa"/>
          </w:tcPr>
          <w:p w14:paraId="4713473A" w14:textId="07172101" w:rsidR="00692275" w:rsidRPr="00FF3141" w:rsidRDefault="00B451FA" w:rsidP="6EEBAB2B">
            <w:pPr>
              <w:pStyle w:val="Body"/>
              <w:rPr>
                <w:rFonts w:cs="Arial"/>
                <w:szCs w:val="21"/>
              </w:rPr>
            </w:pPr>
            <w:r w:rsidRPr="00FF3141">
              <w:rPr>
                <w:rFonts w:cs="Arial"/>
                <w:szCs w:val="21"/>
              </w:rPr>
              <w:t>21</w:t>
            </w:r>
            <w:r w:rsidR="00C527A1" w:rsidRPr="00FF3141">
              <w:rPr>
                <w:rFonts w:cs="Arial"/>
                <w:szCs w:val="21"/>
              </w:rPr>
              <w:t>/10/2022</w:t>
            </w:r>
          </w:p>
        </w:tc>
        <w:tc>
          <w:tcPr>
            <w:tcW w:w="6520" w:type="dxa"/>
          </w:tcPr>
          <w:p w14:paraId="23CAE533" w14:textId="77777777" w:rsidR="00692275" w:rsidRPr="00FF3141" w:rsidRDefault="00692275" w:rsidP="00692275">
            <w:pPr>
              <w:pStyle w:val="Body"/>
              <w:rPr>
                <w:rFonts w:cs="Arial"/>
                <w:szCs w:val="21"/>
              </w:rPr>
            </w:pPr>
            <w:r w:rsidRPr="00FF3141">
              <w:rPr>
                <w:rFonts w:cs="Arial"/>
                <w:b/>
                <w:bCs/>
                <w:szCs w:val="21"/>
              </w:rPr>
              <w:t>Coadministration</w:t>
            </w:r>
            <w:r w:rsidRPr="00FF3141">
              <w:rPr>
                <w:rFonts w:cs="Arial"/>
                <w:szCs w:val="21"/>
              </w:rPr>
              <w:t xml:space="preserve"> </w:t>
            </w:r>
          </w:p>
          <w:p w14:paraId="49A0614C" w14:textId="0CB35BD8" w:rsidR="00692275" w:rsidRPr="00FF3141" w:rsidRDefault="00692275" w:rsidP="008770A7">
            <w:pPr>
              <w:pStyle w:val="Body"/>
              <w:rPr>
                <w:rFonts w:eastAsia="Arial" w:cs="Arial"/>
                <w:b/>
                <w:szCs w:val="21"/>
              </w:rPr>
            </w:pPr>
            <w:r w:rsidRPr="00FF3141">
              <w:rPr>
                <w:rFonts w:cs="Arial"/>
                <w:szCs w:val="21"/>
              </w:rPr>
              <w:t xml:space="preserve">Clarification of considerations </w:t>
            </w:r>
            <w:r w:rsidR="00B451FA" w:rsidRPr="00FF3141">
              <w:rPr>
                <w:rFonts w:cs="Arial"/>
                <w:szCs w:val="21"/>
              </w:rPr>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6E0321B">
            <w:pPr>
              <w:pStyle w:val="Body"/>
              <w:rPr>
                <w:rFonts w:cs="Arial"/>
                <w:szCs w:val="21"/>
              </w:rPr>
            </w:pPr>
            <w:r w:rsidRPr="00FF3141">
              <w:rPr>
                <w:rFonts w:cs="Arial"/>
                <w:szCs w:val="21"/>
              </w:rPr>
              <w:t>8</w:t>
            </w:r>
          </w:p>
        </w:tc>
        <w:tc>
          <w:tcPr>
            <w:tcW w:w="1843" w:type="dxa"/>
          </w:tcPr>
          <w:p w14:paraId="7F959D75" w14:textId="50192F45"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9C67DDA" w14:textId="547CB7B4" w:rsidR="00232737" w:rsidRPr="00FF3141" w:rsidRDefault="00232737" w:rsidP="00692275">
            <w:pPr>
              <w:pStyle w:val="Body"/>
              <w:rPr>
                <w:rFonts w:cs="Arial"/>
                <w:b/>
                <w:bCs/>
                <w:szCs w:val="21"/>
              </w:rPr>
            </w:pPr>
            <w:r w:rsidRPr="00FF3141">
              <w:rPr>
                <w:rFonts w:cs="Arial"/>
                <w:szCs w:val="21"/>
              </w:rPr>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6E0321B">
            <w:pPr>
              <w:pStyle w:val="Body"/>
              <w:rPr>
                <w:rFonts w:cs="Arial"/>
                <w:szCs w:val="21"/>
              </w:rPr>
            </w:pPr>
            <w:r w:rsidRPr="00FF3141">
              <w:rPr>
                <w:rFonts w:cs="Arial"/>
                <w:szCs w:val="21"/>
              </w:rPr>
              <w:t>8</w:t>
            </w:r>
          </w:p>
        </w:tc>
        <w:tc>
          <w:tcPr>
            <w:tcW w:w="1843" w:type="dxa"/>
          </w:tcPr>
          <w:p w14:paraId="28A07C17" w14:textId="6EEA5BD3"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FC5586C" w14:textId="21B7695F" w:rsidR="00232737" w:rsidRPr="00FF3141" w:rsidRDefault="00232737" w:rsidP="00692275">
            <w:pPr>
              <w:pStyle w:val="Body"/>
              <w:rPr>
                <w:rFonts w:cs="Arial"/>
                <w:szCs w:val="21"/>
              </w:rPr>
            </w:pPr>
            <w:r w:rsidRPr="00FF3141">
              <w:rPr>
                <w:rFonts w:cs="Arial"/>
                <w:szCs w:val="21"/>
              </w:rPr>
              <w:t xml:space="preserve">Clarification  </w:t>
            </w:r>
            <w:r w:rsidR="00C14016" w:rsidRPr="00FF3141">
              <w:rPr>
                <w:rFonts w:cs="Arial"/>
                <w:szCs w:val="21"/>
              </w:rPr>
              <w:t xml:space="preserve">Interval between </w:t>
            </w:r>
            <w:r w:rsidRPr="00FF3141">
              <w:rPr>
                <w:rFonts w:eastAsia="Arial" w:cs="Arial"/>
                <w:szCs w:val="21"/>
              </w:rPr>
              <w:t>JYNNEOS</w:t>
            </w:r>
            <w:r w:rsidRPr="00FF3141">
              <w:rPr>
                <w:rFonts w:eastAsia="Arial" w:cs="Arial"/>
                <w:b/>
                <w:bCs/>
                <w:szCs w:val="21"/>
                <w:vertAlign w:val="superscript"/>
              </w:rPr>
              <w:t>®</w:t>
            </w:r>
            <w:r w:rsidRPr="00FF3141">
              <w:rPr>
                <w:rFonts w:eastAsia="Arial" w:cs="Arial"/>
                <w:b/>
                <w:bCs/>
                <w:szCs w:val="21"/>
              </w:rPr>
              <w:t xml:space="preserve"> </w:t>
            </w:r>
            <w:r w:rsidRPr="00FF3141">
              <w:rPr>
                <w:rFonts w:eastAsia="Arial" w:cs="Arial"/>
                <w:szCs w:val="21"/>
              </w:rPr>
              <w:t>vaccine and other live vaccines</w:t>
            </w:r>
            <w:r w:rsidR="00C14016" w:rsidRPr="00FF3141">
              <w:rPr>
                <w:rFonts w:eastAsia="Arial" w:cs="Arial"/>
                <w:szCs w:val="21"/>
              </w:rPr>
              <w:t xml:space="preserve"> not required</w:t>
            </w:r>
            <w:r w:rsidRPr="00FF3141">
              <w:rPr>
                <w:rFonts w:eastAsia="Arial" w:cs="Arial"/>
                <w:szCs w:val="21"/>
              </w:rPr>
              <w:t>.</w:t>
            </w:r>
          </w:p>
        </w:tc>
      </w:tr>
      <w:tr w:rsidR="009E0856" w14:paraId="623F7BF1" w14:textId="77777777" w:rsidTr="001F4B9C">
        <w:trPr>
          <w:trHeight w:val="300"/>
        </w:trPr>
        <w:tc>
          <w:tcPr>
            <w:tcW w:w="1271" w:type="dxa"/>
          </w:tcPr>
          <w:p w14:paraId="7A99BC1D" w14:textId="6B8A3119" w:rsidR="009E0856" w:rsidRPr="00FF3141" w:rsidRDefault="00796813" w:rsidP="06E0321B">
            <w:pPr>
              <w:pStyle w:val="Body"/>
              <w:rPr>
                <w:rFonts w:cs="Arial"/>
                <w:szCs w:val="21"/>
              </w:rPr>
            </w:pPr>
            <w:r w:rsidRPr="00FF3141">
              <w:rPr>
                <w:rFonts w:cs="Arial"/>
                <w:szCs w:val="21"/>
              </w:rPr>
              <w:t>9</w:t>
            </w:r>
          </w:p>
        </w:tc>
        <w:tc>
          <w:tcPr>
            <w:tcW w:w="1843" w:type="dxa"/>
          </w:tcPr>
          <w:p w14:paraId="76D2A705" w14:textId="3A91A405" w:rsidR="009E0856" w:rsidRPr="00FF3141" w:rsidRDefault="00E90124" w:rsidP="6EEBAB2B">
            <w:pPr>
              <w:pStyle w:val="Body"/>
              <w:rPr>
                <w:rFonts w:cs="Arial"/>
                <w:szCs w:val="21"/>
              </w:rPr>
            </w:pPr>
            <w:r w:rsidRPr="00FF3141">
              <w:rPr>
                <w:rFonts w:cs="Arial"/>
                <w:szCs w:val="21"/>
              </w:rPr>
              <w:t>09</w:t>
            </w:r>
            <w:r w:rsidR="00796813" w:rsidRPr="00FF3141">
              <w:rPr>
                <w:rFonts w:cs="Arial"/>
                <w:szCs w:val="21"/>
              </w:rPr>
              <w:t>/12/2022</w:t>
            </w:r>
          </w:p>
        </w:tc>
        <w:tc>
          <w:tcPr>
            <w:tcW w:w="6520" w:type="dxa"/>
          </w:tcPr>
          <w:p w14:paraId="32905C7A" w14:textId="77777777" w:rsidR="009E0856" w:rsidRPr="00FF3141" w:rsidRDefault="00796813" w:rsidP="00692275">
            <w:pPr>
              <w:pStyle w:val="Body"/>
              <w:rPr>
                <w:rFonts w:cs="Arial"/>
                <w:szCs w:val="21"/>
              </w:rPr>
            </w:pPr>
            <w:r w:rsidRPr="00FF3141">
              <w:rPr>
                <w:rFonts w:cs="Arial"/>
                <w:szCs w:val="21"/>
              </w:rPr>
              <w:t>Update – Monkeypox to mpox</w:t>
            </w:r>
            <w:r w:rsidR="00E558A2" w:rsidRPr="00FF3141">
              <w:rPr>
                <w:rFonts w:cs="Arial"/>
                <w:szCs w:val="21"/>
              </w:rPr>
              <w:t xml:space="preserve"> as per </w:t>
            </w:r>
            <w:r w:rsidR="00592FB7" w:rsidRPr="00FF3141">
              <w:rPr>
                <w:rFonts w:cs="Arial"/>
                <w:szCs w:val="21"/>
              </w:rPr>
              <w:t>WHO recommendations</w:t>
            </w:r>
          </w:p>
          <w:p w14:paraId="0A5E646E" w14:textId="67389580" w:rsidR="00D26BB5" w:rsidRPr="00FF3141" w:rsidRDefault="00D26BB5" w:rsidP="00692275">
            <w:pPr>
              <w:pStyle w:val="Body"/>
              <w:rPr>
                <w:rFonts w:cs="Arial"/>
                <w:szCs w:val="21"/>
              </w:rPr>
            </w:pPr>
            <w:r w:rsidRPr="00FF3141">
              <w:rPr>
                <w:rFonts w:cs="Arial"/>
                <w:szCs w:val="21"/>
              </w:rPr>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6E0321B">
            <w:pPr>
              <w:pStyle w:val="Body"/>
              <w:rPr>
                <w:rFonts w:cs="Arial"/>
                <w:szCs w:val="21"/>
              </w:rPr>
            </w:pPr>
            <w:r>
              <w:rPr>
                <w:rFonts w:cs="Arial"/>
                <w:szCs w:val="21"/>
              </w:rPr>
              <w:t>10</w:t>
            </w:r>
          </w:p>
        </w:tc>
        <w:tc>
          <w:tcPr>
            <w:tcW w:w="1843" w:type="dxa"/>
          </w:tcPr>
          <w:p w14:paraId="7B3ABEC8" w14:textId="233E5EF1" w:rsidR="00473D6D" w:rsidRPr="00FF3141" w:rsidRDefault="00473D6D" w:rsidP="6EEBAB2B">
            <w:pPr>
              <w:pStyle w:val="Body"/>
              <w:rPr>
                <w:rFonts w:cs="Arial"/>
                <w:szCs w:val="21"/>
              </w:rPr>
            </w:pPr>
            <w:r>
              <w:rPr>
                <w:rFonts w:cs="Arial"/>
                <w:szCs w:val="21"/>
              </w:rPr>
              <w:t>16/12/2022</w:t>
            </w:r>
          </w:p>
        </w:tc>
        <w:tc>
          <w:tcPr>
            <w:tcW w:w="6520" w:type="dxa"/>
          </w:tcPr>
          <w:p w14:paraId="3C59AA2E" w14:textId="77777777" w:rsidR="00473D6D" w:rsidRPr="00FF3141" w:rsidRDefault="00473D6D" w:rsidP="00473D6D">
            <w:pPr>
              <w:pStyle w:val="Body"/>
              <w:spacing w:before="40" w:after="40"/>
              <w:rPr>
                <w:rFonts w:cs="Arial"/>
                <w:color w:val="000000"/>
                <w:szCs w:val="21"/>
                <w:lang w:eastAsia="en-AU"/>
              </w:rPr>
            </w:pPr>
            <w:r w:rsidRPr="00FF3141">
              <w:rPr>
                <w:rFonts w:cs="Arial"/>
                <w:color w:val="000000"/>
                <w:szCs w:val="21"/>
                <w:lang w:eastAsia="en-AU"/>
              </w:rPr>
              <w:t>Updated terminology on mpox vaccines for pre-exposure and post-exposure prophylaxis</w:t>
            </w:r>
            <w:r>
              <w:rPr>
                <w:rFonts w:cs="Arial"/>
                <w:color w:val="000000"/>
                <w:szCs w:val="21"/>
                <w:lang w:eastAsia="en-AU"/>
              </w:rPr>
              <w:t xml:space="preserve"> (PPV, PEPV)</w:t>
            </w:r>
          </w:p>
          <w:p w14:paraId="56E27B9B" w14:textId="77777777" w:rsidR="00473D6D" w:rsidRPr="00FF3141" w:rsidRDefault="00473D6D" w:rsidP="00473D6D">
            <w:pPr>
              <w:pStyle w:val="Body"/>
              <w:spacing w:before="40" w:after="40"/>
              <w:rPr>
                <w:rFonts w:cs="Arial"/>
                <w:szCs w:val="21"/>
              </w:rPr>
            </w:pPr>
            <w:r w:rsidRPr="00FF3141">
              <w:rPr>
                <w:rFonts w:cs="Arial"/>
                <w:szCs w:val="21"/>
              </w:rPr>
              <w:t xml:space="preserve">Updated eligibility to receive vaccine </w:t>
            </w:r>
          </w:p>
          <w:p w14:paraId="49ACBB6E" w14:textId="77777777" w:rsidR="00473D6D" w:rsidRPr="007A0952" w:rsidRDefault="00473D6D" w:rsidP="00473D6D">
            <w:pPr>
              <w:pStyle w:val="Body"/>
              <w:rPr>
                <w:rFonts w:cs="Arial"/>
                <w:color w:val="000000"/>
                <w:szCs w:val="21"/>
                <w:lang w:eastAsia="en-AU"/>
              </w:rPr>
            </w:pPr>
            <w:r w:rsidRPr="007A0952">
              <w:rPr>
                <w:rFonts w:cs="Arial"/>
                <w:color w:val="000000"/>
                <w:szCs w:val="21"/>
                <w:lang w:eastAsia="en-AU"/>
              </w:rPr>
              <w:t xml:space="preserve">Updated recommendations for people with severe immunocompromise – can receive ID </w:t>
            </w:r>
            <w:r w:rsidRPr="007A0952">
              <w:rPr>
                <w:rFonts w:eastAsia="Arial" w:cs="Arial"/>
                <w:szCs w:val="21"/>
              </w:rPr>
              <w:t>JYNNEOS</w:t>
            </w:r>
            <w:r w:rsidRPr="007A0952">
              <w:rPr>
                <w:rFonts w:eastAsia="Arial" w:cs="Arial"/>
                <w:szCs w:val="21"/>
                <w:vertAlign w:val="superscript"/>
              </w:rPr>
              <w:t>®</w:t>
            </w:r>
            <w:r w:rsidRPr="007A0952">
              <w:rPr>
                <w:rFonts w:eastAsia="Arial" w:cs="Arial"/>
                <w:szCs w:val="21"/>
              </w:rPr>
              <w:t xml:space="preserve"> vaccine</w:t>
            </w:r>
          </w:p>
          <w:p w14:paraId="029F47CD"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co-administration guidance for COVID-19 vaccines</w:t>
            </w:r>
          </w:p>
          <w:p w14:paraId="339238F9"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3  -</w:t>
            </w:r>
            <w:r w:rsidRPr="00FF3141">
              <w:rPr>
                <w:rFonts w:cs="Arial"/>
                <w:color w:val="000000"/>
                <w:szCs w:val="21"/>
                <w:lang w:eastAsia="en-AU"/>
              </w:rPr>
              <w:t xml:space="preserve"> Minor updates handling  procedures for use of </w:t>
            </w:r>
            <w:r w:rsidRPr="007A0952">
              <w:rPr>
                <w:rFonts w:cs="Arial"/>
                <w:color w:val="000000"/>
                <w:szCs w:val="21"/>
                <w:lang w:eastAsia="en-AU"/>
              </w:rPr>
              <w:t>multidose vials (section E)</w:t>
            </w:r>
          </w:p>
          <w:p w14:paraId="0BA07677"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5 – Vaccine errors and deviations – Clarity regarding recommendations after incorrect route ID administration</w:t>
            </w:r>
          </w:p>
          <w:p w14:paraId="17B5F665" w14:textId="25ED5AB8" w:rsidR="00473D6D" w:rsidRPr="00FF3141" w:rsidRDefault="00473D6D" w:rsidP="00473D6D">
            <w:pPr>
              <w:pStyle w:val="Body"/>
              <w:spacing w:before="40" w:after="40"/>
              <w:rPr>
                <w:rFonts w:cs="Arial"/>
                <w:color w:val="000000"/>
                <w:szCs w:val="21"/>
                <w:lang w:eastAsia="en-AU"/>
              </w:rPr>
            </w:pPr>
            <w:r w:rsidRPr="007A0952">
              <w:rPr>
                <w:rFonts w:cs="Arial"/>
                <w:color w:val="000000"/>
                <w:szCs w:val="21"/>
                <w:lang w:eastAsia="en-AU"/>
              </w:rPr>
              <w:t>Updated Appendix 6 – Updated</w:t>
            </w:r>
            <w:r w:rsidRPr="00FF3141">
              <w:rPr>
                <w:rFonts w:cs="Arial"/>
                <w:color w:val="000000"/>
                <w:szCs w:val="21"/>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6E0321B">
            <w:pPr>
              <w:pStyle w:val="Body"/>
              <w:rPr>
                <w:rFonts w:cs="Arial"/>
                <w:szCs w:val="21"/>
              </w:rPr>
            </w:pPr>
            <w:r w:rsidRPr="00FF3141">
              <w:rPr>
                <w:rFonts w:cs="Arial"/>
                <w:szCs w:val="21"/>
              </w:rPr>
              <w:t>1</w:t>
            </w:r>
            <w:r w:rsidR="00473D6D">
              <w:rPr>
                <w:rFonts w:cs="Arial"/>
                <w:szCs w:val="21"/>
              </w:rPr>
              <w:t>1</w:t>
            </w:r>
          </w:p>
        </w:tc>
        <w:tc>
          <w:tcPr>
            <w:tcW w:w="1843" w:type="dxa"/>
          </w:tcPr>
          <w:p w14:paraId="46A2BC6E" w14:textId="434486AA" w:rsidR="00E90124" w:rsidRPr="00FF3141" w:rsidRDefault="00E90124" w:rsidP="6EEBAB2B">
            <w:pPr>
              <w:pStyle w:val="Body"/>
              <w:rPr>
                <w:rFonts w:cs="Arial"/>
                <w:szCs w:val="21"/>
              </w:rPr>
            </w:pPr>
            <w:r w:rsidRPr="00FF3141">
              <w:rPr>
                <w:rFonts w:cs="Arial"/>
                <w:szCs w:val="21"/>
              </w:rPr>
              <w:t>16/</w:t>
            </w:r>
            <w:r w:rsidR="00473D6D">
              <w:rPr>
                <w:rFonts w:cs="Arial"/>
                <w:szCs w:val="21"/>
              </w:rPr>
              <w:t>01/2023</w:t>
            </w:r>
          </w:p>
        </w:tc>
        <w:tc>
          <w:tcPr>
            <w:tcW w:w="6520" w:type="dxa"/>
          </w:tcPr>
          <w:p w14:paraId="6C23B4E8" w14:textId="71A4C9CA" w:rsidR="005618FA" w:rsidRPr="00FF3141" w:rsidRDefault="00473D6D" w:rsidP="002D4312">
            <w:pPr>
              <w:pStyle w:val="Body"/>
              <w:spacing w:before="40" w:after="40" w:line="240" w:lineRule="atLeast"/>
              <w:rPr>
                <w:rFonts w:cs="Arial"/>
                <w:szCs w:val="21"/>
              </w:rPr>
            </w:pPr>
            <w:r>
              <w:rPr>
                <w:rFonts w:cs="Arial"/>
                <w:color w:val="000000"/>
                <w:szCs w:val="21"/>
                <w:lang w:eastAsia="en-AU"/>
              </w:rPr>
              <w:t>Updated background</w:t>
            </w:r>
            <w:r w:rsidR="002D4312">
              <w:rPr>
                <w:rFonts w:cs="Arial"/>
                <w:color w:val="000000"/>
                <w:szCs w:val="21"/>
                <w:lang w:eastAsia="en-AU"/>
              </w:rPr>
              <w:t xml:space="preserve">, </w:t>
            </w:r>
            <w:r w:rsidRPr="00FF3141">
              <w:rPr>
                <w:rFonts w:cs="Arial"/>
                <w:color w:val="000000"/>
                <w:szCs w:val="21"/>
                <w:lang w:eastAsia="en-AU"/>
              </w:rPr>
              <w:t xml:space="preserve">Updated </w:t>
            </w:r>
            <w:r>
              <w:rPr>
                <w:rFonts w:cs="Arial"/>
                <w:color w:val="000000"/>
                <w:szCs w:val="21"/>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6E0321B">
            <w:pPr>
              <w:pStyle w:val="Body"/>
              <w:rPr>
                <w:rFonts w:cs="Arial"/>
                <w:szCs w:val="21"/>
              </w:rPr>
            </w:pPr>
            <w:r>
              <w:rPr>
                <w:rFonts w:cs="Arial"/>
                <w:szCs w:val="21"/>
              </w:rPr>
              <w:t>12</w:t>
            </w:r>
          </w:p>
        </w:tc>
        <w:tc>
          <w:tcPr>
            <w:tcW w:w="1843" w:type="dxa"/>
          </w:tcPr>
          <w:p w14:paraId="58D89D4C" w14:textId="54764BF4" w:rsidR="007775C1" w:rsidRPr="00FF3141" w:rsidRDefault="007775C1" w:rsidP="6EEBAB2B">
            <w:pPr>
              <w:pStyle w:val="Body"/>
              <w:rPr>
                <w:rFonts w:cs="Arial"/>
                <w:szCs w:val="21"/>
              </w:rPr>
            </w:pPr>
            <w:r>
              <w:rPr>
                <w:rFonts w:cs="Arial"/>
                <w:szCs w:val="21"/>
              </w:rPr>
              <w:t>01/02/2023</w:t>
            </w:r>
          </w:p>
        </w:tc>
        <w:tc>
          <w:tcPr>
            <w:tcW w:w="6520" w:type="dxa"/>
          </w:tcPr>
          <w:p w14:paraId="09174DB8" w14:textId="3C9DF655" w:rsidR="007775C1" w:rsidRDefault="007775C1" w:rsidP="002D4312">
            <w:pPr>
              <w:pStyle w:val="Body"/>
              <w:spacing w:before="40" w:after="40" w:line="240" w:lineRule="atLeast"/>
              <w:rPr>
                <w:rFonts w:cs="Arial"/>
                <w:color w:val="000000"/>
                <w:szCs w:val="21"/>
                <w:lang w:eastAsia="en-AU"/>
              </w:rPr>
            </w:pPr>
            <w:r w:rsidRPr="00852563">
              <w:rPr>
                <w:rFonts w:cs="Arial"/>
                <w:szCs w:val="21"/>
              </w:rPr>
              <w:t>JYNNEOS</w:t>
            </w:r>
            <w:r w:rsidRPr="008D4BAC">
              <w:rPr>
                <w:rFonts w:cs="Arial"/>
                <w:szCs w:val="21"/>
                <w:vertAlign w:val="superscript"/>
              </w:rPr>
              <w:t>®</w:t>
            </w:r>
            <w:r>
              <w:rPr>
                <w:rFonts w:cs="Arial"/>
                <w:szCs w:val="21"/>
                <w:vertAlign w:val="superscript"/>
              </w:rPr>
              <w:t xml:space="preserve"> </w:t>
            </w:r>
            <w:r>
              <w:rPr>
                <w:rFonts w:cs="Arial"/>
                <w:color w:val="000000"/>
                <w:szCs w:val="21"/>
                <w:lang w:eastAsia="en-AU"/>
              </w:rPr>
              <w:t xml:space="preserve">vaccine may be given via subcutaneous route </w:t>
            </w:r>
            <w:r w:rsidR="00D76A7D">
              <w:rPr>
                <w:rFonts w:cs="Arial"/>
                <w:color w:val="000000"/>
                <w:szCs w:val="21"/>
                <w:lang w:eastAsia="en-AU"/>
              </w:rPr>
              <w:t xml:space="preserve">for </w:t>
            </w:r>
            <w:r>
              <w:rPr>
                <w:rFonts w:cs="Arial"/>
                <w:color w:val="000000"/>
                <w:szCs w:val="21"/>
                <w:lang w:eastAsia="en-AU"/>
              </w:rPr>
              <w:t>PPV &amp; PEPV to all people</w:t>
            </w:r>
          </w:p>
        </w:tc>
      </w:tr>
      <w:tr w:rsidR="00C00C8B" w14:paraId="6221F0AF" w14:textId="77777777" w:rsidTr="001F4B9C">
        <w:trPr>
          <w:trHeight w:val="300"/>
        </w:trPr>
        <w:tc>
          <w:tcPr>
            <w:tcW w:w="1271" w:type="dxa"/>
          </w:tcPr>
          <w:p w14:paraId="60BED38A" w14:textId="7382624F" w:rsidR="00C00C8B" w:rsidRDefault="00C00C8B" w:rsidP="06E0321B">
            <w:pPr>
              <w:pStyle w:val="Body"/>
              <w:rPr>
                <w:rFonts w:cs="Arial"/>
                <w:szCs w:val="21"/>
              </w:rPr>
            </w:pPr>
            <w:r>
              <w:rPr>
                <w:rFonts w:cs="Arial"/>
                <w:szCs w:val="21"/>
              </w:rPr>
              <w:t>13</w:t>
            </w:r>
          </w:p>
        </w:tc>
        <w:tc>
          <w:tcPr>
            <w:tcW w:w="1843" w:type="dxa"/>
          </w:tcPr>
          <w:p w14:paraId="13C64561" w14:textId="50372820" w:rsidR="00C00C8B" w:rsidRDefault="00C00C8B" w:rsidP="6EEBAB2B">
            <w:pPr>
              <w:pStyle w:val="Body"/>
              <w:rPr>
                <w:rFonts w:cs="Arial"/>
                <w:szCs w:val="21"/>
              </w:rPr>
            </w:pPr>
            <w:r>
              <w:rPr>
                <w:rFonts w:cs="Arial"/>
                <w:szCs w:val="21"/>
              </w:rPr>
              <w:t>2</w:t>
            </w:r>
            <w:r w:rsidR="008302B0">
              <w:rPr>
                <w:rFonts w:cs="Arial"/>
                <w:szCs w:val="21"/>
              </w:rPr>
              <w:t>7</w:t>
            </w:r>
            <w:r>
              <w:rPr>
                <w:rFonts w:cs="Arial"/>
                <w:szCs w:val="21"/>
              </w:rPr>
              <w:t>/02/2023</w:t>
            </w:r>
          </w:p>
        </w:tc>
        <w:tc>
          <w:tcPr>
            <w:tcW w:w="6520" w:type="dxa"/>
          </w:tcPr>
          <w:p w14:paraId="38605176" w14:textId="62C14855" w:rsidR="00C00C8B" w:rsidRPr="00852563" w:rsidRDefault="008302B0" w:rsidP="002D4312">
            <w:pPr>
              <w:pStyle w:val="Body"/>
              <w:spacing w:before="40" w:after="40" w:line="240" w:lineRule="atLeast"/>
              <w:rPr>
                <w:rFonts w:cs="Arial"/>
                <w:szCs w:val="21"/>
              </w:rPr>
            </w:pPr>
            <w:r>
              <w:rPr>
                <w:rFonts w:eastAsia="Arial" w:cs="Arial"/>
              </w:rPr>
              <w:t>Expanded eligibility</w:t>
            </w:r>
            <w:r w:rsidRPr="00511C4A">
              <w:rPr>
                <w:rFonts w:eastAsia="Arial" w:cs="Arial"/>
              </w:rPr>
              <w:t xml:space="preserve"> </w:t>
            </w:r>
            <w:r>
              <w:rPr>
                <w:rFonts w:eastAsia="Arial" w:cs="Arial"/>
              </w:rPr>
              <w:t>for Primary preventative vaccination</w:t>
            </w:r>
          </w:p>
        </w:tc>
      </w:tr>
      <w:tr w:rsidR="0068204A" w14:paraId="422A5674" w14:textId="77777777" w:rsidTr="001F4B9C">
        <w:trPr>
          <w:trHeight w:val="300"/>
        </w:trPr>
        <w:tc>
          <w:tcPr>
            <w:tcW w:w="1271" w:type="dxa"/>
          </w:tcPr>
          <w:p w14:paraId="68896DF2" w14:textId="3FE877D5" w:rsidR="0068204A" w:rsidRDefault="0068204A" w:rsidP="06E0321B">
            <w:pPr>
              <w:pStyle w:val="Body"/>
              <w:rPr>
                <w:rFonts w:cs="Arial"/>
                <w:szCs w:val="21"/>
              </w:rPr>
            </w:pPr>
            <w:r>
              <w:rPr>
                <w:rFonts w:cs="Arial"/>
                <w:szCs w:val="21"/>
              </w:rPr>
              <w:t>14</w:t>
            </w:r>
          </w:p>
        </w:tc>
        <w:tc>
          <w:tcPr>
            <w:tcW w:w="1843" w:type="dxa"/>
          </w:tcPr>
          <w:p w14:paraId="7B4BD013" w14:textId="197BD8D8" w:rsidR="0068204A" w:rsidRDefault="0068204A" w:rsidP="6EEBAB2B">
            <w:pPr>
              <w:pStyle w:val="Body"/>
              <w:rPr>
                <w:rFonts w:cs="Arial"/>
                <w:szCs w:val="21"/>
              </w:rPr>
            </w:pPr>
            <w:r>
              <w:rPr>
                <w:rFonts w:cs="Arial"/>
                <w:szCs w:val="21"/>
              </w:rPr>
              <w:t>08/08/2023</w:t>
            </w:r>
          </w:p>
        </w:tc>
        <w:tc>
          <w:tcPr>
            <w:tcW w:w="6520" w:type="dxa"/>
          </w:tcPr>
          <w:p w14:paraId="267A7013" w14:textId="7A62452B" w:rsidR="0068204A" w:rsidRPr="0068204A" w:rsidRDefault="0068204A" w:rsidP="002D4312">
            <w:pPr>
              <w:pStyle w:val="Body"/>
              <w:spacing w:before="40" w:after="40" w:line="240" w:lineRule="atLeast"/>
              <w:rPr>
                <w:rFonts w:eastAsia="Arial" w:cs="Arial"/>
                <w:b/>
                <w:bCs/>
              </w:rPr>
            </w:pPr>
            <w:r w:rsidRPr="00ED6AC2">
              <w:rPr>
                <w:rFonts w:eastAsia="Arial" w:cs="Arial"/>
              </w:rPr>
              <w:t>Clarification regarding PEPV dose timing after exposure</w:t>
            </w:r>
            <w:r>
              <w:rPr>
                <w:rFonts w:eastAsia="Arial" w:cs="Arial"/>
              </w:rPr>
              <w:t xml:space="preserve"> – link to ATAGI guidance</w:t>
            </w:r>
          </w:p>
        </w:tc>
      </w:tr>
      <w:tr w:rsidR="00C22675" w14:paraId="0716C84C" w14:textId="77777777" w:rsidTr="001F4B9C">
        <w:trPr>
          <w:trHeight w:val="300"/>
        </w:trPr>
        <w:tc>
          <w:tcPr>
            <w:tcW w:w="1271" w:type="dxa"/>
          </w:tcPr>
          <w:p w14:paraId="661EBAD7" w14:textId="36840FAE" w:rsidR="00C22675" w:rsidRDefault="00C22675" w:rsidP="06E0321B">
            <w:pPr>
              <w:pStyle w:val="Body"/>
              <w:rPr>
                <w:rFonts w:cs="Arial"/>
                <w:szCs w:val="21"/>
              </w:rPr>
            </w:pPr>
            <w:r>
              <w:rPr>
                <w:rFonts w:cs="Arial"/>
                <w:szCs w:val="21"/>
              </w:rPr>
              <w:t>1</w:t>
            </w:r>
            <w:r w:rsidR="0068204A">
              <w:rPr>
                <w:rFonts w:cs="Arial"/>
                <w:szCs w:val="21"/>
              </w:rPr>
              <w:t>5</w:t>
            </w:r>
          </w:p>
        </w:tc>
        <w:tc>
          <w:tcPr>
            <w:tcW w:w="1843" w:type="dxa"/>
          </w:tcPr>
          <w:p w14:paraId="43F2ABE3" w14:textId="5E9E3D7F" w:rsidR="00C22675" w:rsidRDefault="0068204A" w:rsidP="6EEBAB2B">
            <w:pPr>
              <w:pStyle w:val="Body"/>
              <w:rPr>
                <w:rFonts w:cs="Arial"/>
                <w:szCs w:val="21"/>
              </w:rPr>
            </w:pPr>
            <w:r>
              <w:rPr>
                <w:rFonts w:cs="Arial"/>
                <w:szCs w:val="21"/>
              </w:rPr>
              <w:t>22</w:t>
            </w:r>
            <w:r w:rsidR="00C22675">
              <w:rPr>
                <w:rFonts w:cs="Arial"/>
                <w:szCs w:val="21"/>
              </w:rPr>
              <w:t>/08/2023</w:t>
            </w:r>
          </w:p>
        </w:tc>
        <w:tc>
          <w:tcPr>
            <w:tcW w:w="6520" w:type="dxa"/>
          </w:tcPr>
          <w:p w14:paraId="4FB8FEE0" w14:textId="58BDCCE0" w:rsidR="00C22675" w:rsidRDefault="0068204A" w:rsidP="00ED6AC2">
            <w:pPr>
              <w:spacing w:before="120" w:line="240" w:lineRule="auto"/>
              <w:rPr>
                <w:rFonts w:eastAsia="Arial" w:cs="Arial"/>
              </w:rPr>
            </w:pPr>
            <w:r>
              <w:rPr>
                <w:rFonts w:eastAsia="Arial" w:cs="Arial"/>
              </w:rPr>
              <w:t>Vaccine program -  How to access the mpox vaccine (updated)</w:t>
            </w:r>
          </w:p>
        </w:tc>
      </w:tr>
      <w:tr w:rsidR="008B7E92" w14:paraId="44CB4CC5" w14:textId="77777777" w:rsidTr="00EA3E90">
        <w:tblPrEx>
          <w:tblCellMar>
            <w:bottom w:w="108" w:type="dxa"/>
          </w:tblCellMar>
          <w:tblLook w:val="0600" w:firstRow="0" w:lastRow="0" w:firstColumn="0" w:lastColumn="0" w:noHBand="1" w:noVBand="1"/>
        </w:tblPrEx>
        <w:tc>
          <w:tcPr>
            <w:tcW w:w="1271" w:type="dxa"/>
          </w:tcPr>
          <w:p w14:paraId="4DFCF8F0" w14:textId="46C35F19" w:rsidR="008B7E92" w:rsidRDefault="008B7E92" w:rsidP="00C016B5">
            <w:pPr>
              <w:spacing w:after="200" w:line="300" w:lineRule="atLeast"/>
              <w:rPr>
                <w:rFonts w:eastAsia="Times" w:cs="Arial"/>
                <w:szCs w:val="21"/>
              </w:rPr>
            </w:pPr>
            <w:r>
              <w:rPr>
                <w:rFonts w:eastAsia="Times" w:cs="Arial"/>
                <w:szCs w:val="21"/>
              </w:rPr>
              <w:t>16</w:t>
            </w:r>
          </w:p>
        </w:tc>
        <w:tc>
          <w:tcPr>
            <w:tcW w:w="1843" w:type="dxa"/>
          </w:tcPr>
          <w:p w14:paraId="7CE6EA39" w14:textId="5EE62B23" w:rsidR="008B7E92" w:rsidRDefault="008B7E92" w:rsidP="00C016B5">
            <w:pPr>
              <w:spacing w:after="200" w:line="300" w:lineRule="atLeast"/>
              <w:rPr>
                <w:rFonts w:eastAsia="Times" w:cs="Arial"/>
                <w:szCs w:val="21"/>
              </w:rPr>
            </w:pPr>
            <w:r>
              <w:rPr>
                <w:rFonts w:eastAsia="Times" w:cs="Arial"/>
                <w:szCs w:val="21"/>
              </w:rPr>
              <w:t>01/02/2024</w:t>
            </w:r>
          </w:p>
        </w:tc>
        <w:tc>
          <w:tcPr>
            <w:tcW w:w="6520" w:type="dxa"/>
          </w:tcPr>
          <w:p w14:paraId="41B48125" w14:textId="70A3668B" w:rsidR="008B7E92" w:rsidRDefault="008B7E92" w:rsidP="00C016B5">
            <w:pPr>
              <w:spacing w:after="200" w:line="300" w:lineRule="atLeast"/>
              <w:rPr>
                <w:rFonts w:eastAsia="Arial" w:cs="Arial"/>
              </w:rPr>
            </w:pPr>
            <w:r>
              <w:rPr>
                <w:rFonts w:eastAsia="Arial" w:cs="Arial"/>
              </w:rPr>
              <w:t>Vaccine ordering -  How to order the mpox vaccine (updated)</w:t>
            </w:r>
          </w:p>
        </w:tc>
      </w:tr>
      <w:tr w:rsidR="00EA3E90" w14:paraId="147127D7" w14:textId="77777777" w:rsidTr="00EA3E90">
        <w:tblPrEx>
          <w:tblCellMar>
            <w:bottom w:w="108" w:type="dxa"/>
          </w:tblCellMar>
          <w:tblLook w:val="0600" w:firstRow="0" w:lastRow="0" w:firstColumn="0" w:lastColumn="0" w:noHBand="1" w:noVBand="1"/>
        </w:tblPrEx>
        <w:tc>
          <w:tcPr>
            <w:tcW w:w="1271" w:type="dxa"/>
          </w:tcPr>
          <w:p w14:paraId="0674FCCD" w14:textId="2E6DA035" w:rsidR="00EA3E90" w:rsidRPr="00FF3141" w:rsidRDefault="008B7E92" w:rsidP="00C016B5">
            <w:pPr>
              <w:spacing w:after="200" w:line="300" w:lineRule="atLeast"/>
              <w:rPr>
                <w:rFonts w:eastAsia="Times" w:cs="Arial"/>
                <w:szCs w:val="21"/>
              </w:rPr>
            </w:pPr>
            <w:r>
              <w:rPr>
                <w:rFonts w:eastAsia="Times" w:cs="Arial"/>
                <w:szCs w:val="21"/>
              </w:rPr>
              <w:t>17</w:t>
            </w:r>
          </w:p>
        </w:tc>
        <w:tc>
          <w:tcPr>
            <w:tcW w:w="1843" w:type="dxa"/>
          </w:tcPr>
          <w:p w14:paraId="5112EAC3" w14:textId="6B7AFBC5" w:rsidR="00EA3E90" w:rsidRPr="00FF3141" w:rsidRDefault="003440B5" w:rsidP="00C016B5">
            <w:pPr>
              <w:spacing w:after="200" w:line="300" w:lineRule="atLeast"/>
              <w:rPr>
                <w:rFonts w:eastAsia="Times" w:cs="Arial"/>
                <w:szCs w:val="21"/>
              </w:rPr>
            </w:pPr>
            <w:r>
              <w:rPr>
                <w:rFonts w:eastAsia="Times" w:cs="Arial"/>
                <w:szCs w:val="21"/>
              </w:rPr>
              <w:t>11</w:t>
            </w:r>
            <w:r w:rsidR="00EA3E90">
              <w:rPr>
                <w:rFonts w:eastAsia="Times" w:cs="Arial"/>
                <w:szCs w:val="21"/>
              </w:rPr>
              <w:t>/0</w:t>
            </w:r>
            <w:r w:rsidR="008B7E92">
              <w:rPr>
                <w:rFonts w:eastAsia="Times" w:cs="Arial"/>
                <w:szCs w:val="21"/>
              </w:rPr>
              <w:t>6</w:t>
            </w:r>
            <w:r w:rsidR="00EA3E90">
              <w:rPr>
                <w:rFonts w:eastAsia="Times" w:cs="Arial"/>
                <w:szCs w:val="21"/>
              </w:rPr>
              <w:t>/2024</w:t>
            </w:r>
          </w:p>
        </w:tc>
        <w:tc>
          <w:tcPr>
            <w:tcW w:w="6520" w:type="dxa"/>
          </w:tcPr>
          <w:p w14:paraId="1B281622" w14:textId="77777777" w:rsidR="00CB6A7A" w:rsidRDefault="00CB6A7A" w:rsidP="00CB6A7A">
            <w:pPr>
              <w:spacing w:before="120" w:line="240" w:lineRule="auto"/>
              <w:rPr>
                <w:rFonts w:eastAsia="Arial" w:cs="Arial"/>
              </w:rPr>
            </w:pPr>
            <w:r>
              <w:rPr>
                <w:rFonts w:eastAsia="Arial" w:cs="Arial"/>
              </w:rPr>
              <w:t>Vaccine eligibility criteria expanded.</w:t>
            </w:r>
          </w:p>
          <w:p w14:paraId="47B4750A" w14:textId="77777777" w:rsidR="00CB6A7A" w:rsidRDefault="00CB6A7A" w:rsidP="00C016B5">
            <w:pPr>
              <w:spacing w:after="200" w:line="300" w:lineRule="atLeast"/>
              <w:rPr>
                <w:rFonts w:eastAsia="Arial" w:cs="Arial"/>
                <w:szCs w:val="21"/>
              </w:rPr>
            </w:pPr>
            <w:r w:rsidRPr="00DE5333">
              <w:rPr>
                <w:rFonts w:eastAsia="Arial" w:cs="Arial"/>
                <w:szCs w:val="21"/>
              </w:rPr>
              <w:t xml:space="preserve">Contraindications and precautions updated with latest ATAGI guidance </w:t>
            </w:r>
          </w:p>
          <w:p w14:paraId="79ED01F6" w14:textId="396A8D1D" w:rsidR="003440B5" w:rsidRPr="00FF3141" w:rsidRDefault="00CB6A7A" w:rsidP="00C016B5">
            <w:pPr>
              <w:spacing w:after="200" w:line="300" w:lineRule="atLeast"/>
              <w:rPr>
                <w:rFonts w:eastAsia="Times" w:cs="Arial"/>
                <w:szCs w:val="21"/>
              </w:rPr>
            </w:pPr>
            <w:r>
              <w:rPr>
                <w:rFonts w:eastAsia="Arial" w:cs="Arial"/>
                <w:szCs w:val="21"/>
              </w:rPr>
              <w:t>Updated Vaccine logistics</w:t>
            </w:r>
          </w:p>
        </w:tc>
      </w:tr>
      <w:tr w:rsidR="00996B34" w14:paraId="23E76439" w14:textId="77777777" w:rsidTr="001F4B9C">
        <w:tblPrEx>
          <w:tblCellMar>
            <w:bottom w:w="108" w:type="dxa"/>
          </w:tblCellMar>
          <w:tblLook w:val="0600" w:firstRow="0" w:lastRow="0" w:firstColumn="0" w:lastColumn="0" w:noHBand="1" w:noVBand="1"/>
        </w:tblPrEx>
        <w:tc>
          <w:tcPr>
            <w:tcW w:w="9634" w:type="dxa"/>
            <w:gridSpan w:val="3"/>
          </w:tcPr>
          <w:p w14:paraId="5C5FDC57" w14:textId="11EE391E" w:rsidR="00996B34" w:rsidRPr="00FF3141" w:rsidRDefault="00996B34" w:rsidP="00C016B5">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90" w:name="_Hlk34293438"/>
            <w:r w:rsidR="00E62334" w:rsidRPr="00B3225E">
              <w:rPr>
                <w:rStyle w:val="Hyperlink"/>
                <w:rFonts w:eastAsia="Times"/>
                <w:color w:val="auto"/>
                <w:u w:val="none"/>
              </w:rPr>
              <w:t xml:space="preserve">email the </w:t>
            </w:r>
            <w:r w:rsidR="0015145A" w:rsidRPr="00B3225E">
              <w:rPr>
                <w:rStyle w:val="Hyperlink"/>
                <w:rFonts w:eastAsia="Times"/>
                <w:color w:val="auto"/>
                <w:u w:val="none"/>
              </w:rPr>
              <w:t>Department of Health</w:t>
            </w:r>
            <w:r w:rsidR="0015145A">
              <w:rPr>
                <w:rStyle w:val="Hyperlink"/>
                <w:rFonts w:eastAsia="Times"/>
                <w:color w:val="auto"/>
              </w:rPr>
              <w:t>,</w:t>
            </w:r>
            <w:r w:rsidR="0015145A" w:rsidRPr="0015145A">
              <w:rPr>
                <w:rFonts w:eastAsia="Times" w:cs="Arial"/>
                <w:szCs w:val="21"/>
              </w:rPr>
              <w:t xml:space="preserve"> </w:t>
            </w:r>
            <w:r w:rsidR="00E62334">
              <w:rPr>
                <w:rFonts w:eastAsia="Times" w:cs="Arial"/>
                <w:szCs w:val="21"/>
              </w:rPr>
              <w:t xml:space="preserve">Immunisation </w:t>
            </w:r>
            <w:hyperlink r:id="rId124" w:history="1">
              <w:r w:rsidR="00E62334" w:rsidRPr="00E62334">
                <w:rPr>
                  <w:rStyle w:val="Hyperlink"/>
                  <w:rFonts w:eastAsia="Times" w:cs="Arial"/>
                  <w:szCs w:val="21"/>
                </w:rPr>
                <w:t>program</w:t>
              </w:r>
            </w:hyperlink>
            <w:r w:rsidR="00E62334">
              <w:rPr>
                <w:rFonts w:eastAsia="Times" w:cs="Arial"/>
                <w:szCs w:val="21"/>
              </w:rPr>
              <w:t xml:space="preserve"> </w:t>
            </w:r>
            <w:r w:rsidRPr="00FF3141">
              <w:rPr>
                <w:rFonts w:eastAsia="Times" w:cs="Arial"/>
                <w:szCs w:val="21"/>
              </w:rPr>
              <w:t xml:space="preserve"> &lt;i</w:t>
            </w:r>
            <w:r w:rsidR="00405AB5" w:rsidRPr="00FF3141">
              <w:rPr>
                <w:rFonts w:eastAsia="Times" w:cs="Arial"/>
                <w:szCs w:val="21"/>
              </w:rPr>
              <w:t>mmunisation</w:t>
            </w:r>
            <w:r w:rsidRPr="00FF3141">
              <w:rPr>
                <w:rFonts w:eastAsia="Times" w:cs="Arial"/>
                <w:szCs w:val="21"/>
              </w:rPr>
              <w:t>@health.vic.gov.au&gt;.</w:t>
            </w:r>
          </w:p>
          <w:bookmarkEnd w:id="290"/>
          <w:p w14:paraId="6494DF7A" w14:textId="77777777" w:rsidR="00996B34" w:rsidRPr="00FF3141" w:rsidRDefault="00996B34" w:rsidP="00C016B5">
            <w:pPr>
              <w:pStyle w:val="Imprint"/>
              <w:rPr>
                <w:rFonts w:cs="Arial"/>
                <w:sz w:val="21"/>
                <w:szCs w:val="21"/>
              </w:rPr>
            </w:pPr>
            <w:r w:rsidRPr="00FF3141">
              <w:rPr>
                <w:rFonts w:cs="Arial"/>
                <w:sz w:val="21"/>
                <w:szCs w:val="21"/>
              </w:rPr>
              <w:t>Authorised and published by the Victorian Government, 1 Treasury Place, Melbourne.</w:t>
            </w:r>
          </w:p>
          <w:p w14:paraId="3E4E3E69" w14:textId="013406F9" w:rsidR="00996B34" w:rsidRPr="00FF3141" w:rsidRDefault="00996B34" w:rsidP="00C016B5">
            <w:pPr>
              <w:pStyle w:val="Imprint"/>
              <w:rPr>
                <w:rFonts w:cs="Arial"/>
                <w:sz w:val="21"/>
                <w:szCs w:val="21"/>
              </w:rPr>
            </w:pPr>
            <w:r w:rsidRPr="00FF3141">
              <w:rPr>
                <w:rFonts w:cs="Arial"/>
                <w:sz w:val="21"/>
                <w:szCs w:val="21"/>
              </w:rPr>
              <w:t xml:space="preserve">© State of Victoria, Australia, Department of Health </w:t>
            </w:r>
            <w:r w:rsidR="00405AB5" w:rsidRPr="00FF3141">
              <w:rPr>
                <w:rFonts w:cs="Arial"/>
                <w:sz w:val="21"/>
                <w:szCs w:val="21"/>
              </w:rPr>
              <w:t>September</w:t>
            </w:r>
            <w:r w:rsidRPr="00FF3141">
              <w:rPr>
                <w:rFonts w:cs="Arial"/>
                <w:sz w:val="21"/>
                <w:szCs w:val="21"/>
              </w:rPr>
              <w:t xml:space="preserve"> 2022.</w:t>
            </w:r>
          </w:p>
          <w:p w14:paraId="5ABD1BFB" w14:textId="77777777" w:rsidR="00996B34" w:rsidRPr="00FF3141" w:rsidRDefault="00996B34" w:rsidP="00C016B5">
            <w:pPr>
              <w:pStyle w:val="Imprint"/>
              <w:rPr>
                <w:rFonts w:cs="Arial"/>
                <w:sz w:val="21"/>
                <w:szCs w:val="21"/>
              </w:rPr>
            </w:pPr>
            <w:r w:rsidRPr="00FF3141">
              <w:rPr>
                <w:rFonts w:cs="Arial"/>
                <w:sz w:val="21"/>
                <w:szCs w:val="21"/>
              </w:rPr>
              <w:t xml:space="preserve">Available at </w:t>
            </w:r>
            <w:hyperlink r:id="rId125" w:history="1">
              <w:r w:rsidRPr="00FF3141">
                <w:rPr>
                  <w:rStyle w:val="Hyperlink"/>
                  <w:rFonts w:cs="Arial"/>
                  <w:sz w:val="21"/>
                  <w:szCs w:val="21"/>
                </w:rPr>
                <w:t>Monkeypox</w:t>
              </w:r>
            </w:hyperlink>
            <w:r w:rsidRPr="00FF3141">
              <w:rPr>
                <w:rFonts w:cs="Arial"/>
                <w:sz w:val="21"/>
                <w:szCs w:val="21"/>
              </w:rPr>
              <w:t xml:space="preserve"> </w:t>
            </w:r>
            <w:r w:rsidRPr="00FF3141">
              <w:rPr>
                <w:rFonts w:cs="Arial"/>
                <w:color w:val="000000"/>
                <w:sz w:val="21"/>
                <w:szCs w:val="21"/>
              </w:rPr>
              <w:t>&lt;</w:t>
            </w:r>
            <w:r w:rsidRPr="00FF3141">
              <w:rPr>
                <w:rFonts w:cs="Arial"/>
                <w:sz w:val="21"/>
                <w:szCs w:val="21"/>
              </w:rPr>
              <w:t xml:space="preserve"> </w:t>
            </w:r>
            <w:r w:rsidRPr="00FF3141">
              <w:rPr>
                <w:rFonts w:cs="Arial"/>
                <w:color w:val="000000"/>
                <w:sz w:val="21"/>
                <w:szCs w:val="21"/>
              </w:rPr>
              <w:t>https://www.health.vic.gov.au/infectious-diseases/monkeypox &gt;</w:t>
            </w:r>
          </w:p>
        </w:tc>
      </w:tr>
    </w:tbl>
    <w:p w14:paraId="3FAF2AAC" w14:textId="77777777" w:rsidR="00996B34" w:rsidRDefault="00996B34" w:rsidP="00611939">
      <w:pPr>
        <w:pStyle w:val="Body"/>
      </w:pPr>
    </w:p>
    <w:sectPr w:rsidR="00996B34" w:rsidSect="00454A7D">
      <w:headerReference w:type="even" r:id="rId126"/>
      <w:headerReference w:type="default" r:id="rId127"/>
      <w:footerReference w:type="even" r:id="rId128"/>
      <w:footerReference w:type="default" r:id="rId129"/>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DC6FB" w14:textId="77777777" w:rsidR="00E26E4E" w:rsidRDefault="00E26E4E">
      <w:r>
        <w:separator/>
      </w:r>
    </w:p>
    <w:p w14:paraId="22773E36" w14:textId="77777777" w:rsidR="00E26E4E" w:rsidRDefault="00E26E4E"/>
  </w:endnote>
  <w:endnote w:type="continuationSeparator" w:id="0">
    <w:p w14:paraId="66280938" w14:textId="77777777" w:rsidR="00E26E4E" w:rsidRDefault="00E26E4E">
      <w:r>
        <w:continuationSeparator/>
      </w:r>
    </w:p>
    <w:p w14:paraId="28F69BB0" w14:textId="77777777" w:rsidR="00E26E4E" w:rsidRDefault="00E26E4E"/>
  </w:endnote>
  <w:endnote w:type="continuationNotice" w:id="1">
    <w:p w14:paraId="253D8206" w14:textId="77777777" w:rsidR="00E26E4E" w:rsidRDefault="00E26E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6EA5"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73B6432F" wp14:editId="58A311D3">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DE46" w14:textId="50C25DF3" w:rsidR="00E57F5B" w:rsidRDefault="005E6BE8">
    <w:pPr>
      <w:pStyle w:val="Footer"/>
    </w:pPr>
    <w:r>
      <w:rPr>
        <w:noProof/>
      </w:rPr>
      <mc:AlternateContent>
        <mc:Choice Requires="wps">
          <w:drawing>
            <wp:anchor distT="0" distB="0" distL="114300" distR="114300" simplePos="0" relativeHeight="251658247" behindDoc="0" locked="0" layoutInCell="0" allowOverlap="1" wp14:anchorId="4B9B02ED" wp14:editId="75CAD48D">
              <wp:simplePos x="0" y="0"/>
              <wp:positionH relativeFrom="page">
                <wp:align>center</wp:align>
              </wp:positionH>
              <wp:positionV relativeFrom="page">
                <wp:align>bottom</wp:align>
              </wp:positionV>
              <wp:extent cx="7772400" cy="502285"/>
              <wp:effectExtent l="0" t="0" r="0" b="12065"/>
              <wp:wrapNone/>
              <wp:docPr id="13" name="MSIPCMcfc54f53957528ce3e55b63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B02ED" id="_x0000_t202" coordsize="21600,21600" o:spt="202" path="m,l,21600r21600,l21600,xe">
              <v:stroke joinstyle="miter"/>
              <v:path gradientshapeok="t" o:connecttype="rect"/>
            </v:shapetype>
            <v:shape id="MSIPCMcfc54f53957528ce3e55b637"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0" behindDoc="0" locked="0" layoutInCell="0" allowOverlap="1" wp14:anchorId="747E7A38" wp14:editId="40B7DB4B">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7E7A38" id="Text Box 1"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F82" w14:textId="38788435" w:rsidR="00EB4BC7" w:rsidRDefault="005E6BE8">
    <w:pPr>
      <w:pStyle w:val="Footer"/>
    </w:pPr>
    <w:r>
      <w:rPr>
        <w:noProof/>
      </w:rPr>
      <mc:AlternateContent>
        <mc:Choice Requires="wps">
          <w:drawing>
            <wp:anchor distT="0" distB="0" distL="114300" distR="114300" simplePos="0" relativeHeight="251658249" behindDoc="0" locked="0" layoutInCell="0" allowOverlap="1" wp14:anchorId="0274B8BA" wp14:editId="589AC7C2">
              <wp:simplePos x="0" y="9365456"/>
              <wp:positionH relativeFrom="page">
                <wp:align>center</wp:align>
              </wp:positionH>
              <wp:positionV relativeFrom="page">
                <wp:align>bottom</wp:align>
              </wp:positionV>
              <wp:extent cx="7772400" cy="502285"/>
              <wp:effectExtent l="0" t="0" r="0" b="12065"/>
              <wp:wrapNone/>
              <wp:docPr id="21" name="MSIPCM8e6a4582b95338df76b1a97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74B8BA" id="_x0000_t202" coordsize="21600,21600" o:spt="202" path="m,l,21600r21600,l21600,xe">
              <v:stroke joinstyle="miter"/>
              <v:path gradientshapeok="t" o:connecttype="rect"/>
            </v:shapetype>
            <v:shape id="MSIPCM8e6a4582b95338df76b1a97a"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077DBB">
      <w:rPr>
        <w:noProof/>
      </w:rPr>
      <mc:AlternateContent>
        <mc:Choice Requires="wps">
          <w:drawing>
            <wp:anchor distT="0" distB="0" distL="114300" distR="114300" simplePos="0" relativeHeight="251658246" behindDoc="0" locked="0" layoutInCell="0" allowOverlap="1" wp14:anchorId="3F2C8C53" wp14:editId="7A106DF9">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2C8C53" id="Text Box 23" o:spid="_x0000_s103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E8EF" w14:textId="0EE7E1AE" w:rsidR="00E57F5B" w:rsidRDefault="005E6BE8">
    <w:pPr>
      <w:pStyle w:val="Footer"/>
    </w:pPr>
    <w:r>
      <w:rPr>
        <w:noProof/>
      </w:rPr>
      <mc:AlternateContent>
        <mc:Choice Requires="wps">
          <w:drawing>
            <wp:anchor distT="0" distB="0" distL="114300" distR="114300" simplePos="0" relativeHeight="251658248" behindDoc="0" locked="0" layoutInCell="0" allowOverlap="1" wp14:anchorId="70C996B7" wp14:editId="156AF935">
              <wp:simplePos x="0" y="0"/>
              <wp:positionH relativeFrom="page">
                <wp:align>center</wp:align>
              </wp:positionH>
              <wp:positionV relativeFrom="page">
                <wp:align>bottom</wp:align>
              </wp:positionV>
              <wp:extent cx="7772400" cy="502285"/>
              <wp:effectExtent l="0" t="0" r="0" b="12065"/>
              <wp:wrapNone/>
              <wp:docPr id="22" name="MSIPCM215f40c4924f856a05206ba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996B7" id="_x0000_t202" coordsize="21600,21600" o:spt="202" path="m,l,21600r21600,l21600,xe">
              <v:stroke joinstyle="miter"/>
              <v:path gradientshapeok="t" o:connecttype="rect"/>
            </v:shapetype>
            <v:shape id="MSIPCM215f40c4924f856a05206bad"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1" behindDoc="0" locked="0" layoutInCell="0" allowOverlap="1" wp14:anchorId="4F3827F7" wp14:editId="3C2AC6E8">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827F7" id="Text Box 5"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4A1BAC0C" wp14:editId="501D89F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Text Box 4"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561F" w14:textId="17499C2C" w:rsidR="00431A70" w:rsidRDefault="005E6BE8">
    <w:pPr>
      <w:pStyle w:val="Footer"/>
    </w:pPr>
    <w:r>
      <w:rPr>
        <w:noProof/>
      </w:rPr>
      <mc:AlternateContent>
        <mc:Choice Requires="wps">
          <w:drawing>
            <wp:anchor distT="0" distB="0" distL="114300" distR="114300" simplePos="0" relativeHeight="251658250" behindDoc="0" locked="0" layoutInCell="0" allowOverlap="1" wp14:anchorId="7DF90FA9" wp14:editId="55128461">
              <wp:simplePos x="0" y="0"/>
              <wp:positionH relativeFrom="page">
                <wp:align>center</wp:align>
              </wp:positionH>
              <wp:positionV relativeFrom="page">
                <wp:align>bottom</wp:align>
              </wp:positionV>
              <wp:extent cx="7772400" cy="502285"/>
              <wp:effectExtent l="0" t="0" r="0" b="12065"/>
              <wp:wrapNone/>
              <wp:docPr id="25" name="MSIPCM36064912b16e4787aa9e3fa7"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90FA9" id="_x0000_t202" coordsize="21600,21600" o:spt="202" path="m,l,21600r21600,l21600,xe">
              <v:stroke joinstyle="miter"/>
              <v:path gradientshapeok="t" o:connecttype="rect"/>
            </v:shapetype>
            <v:shape id="MSIPCM36064912b16e4787aa9e3fa7" o:spid="_x0000_s1035"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625DEC">
      <w:rPr>
        <w:noProof/>
      </w:rPr>
      <mc:AlternateContent>
        <mc:Choice Requires="wps">
          <w:drawing>
            <wp:anchor distT="0" distB="0" distL="114300" distR="114300" simplePos="0" relativeHeight="251658245" behindDoc="0" locked="0" layoutInCell="0" allowOverlap="1" wp14:anchorId="3F9E53E7" wp14:editId="35A17563">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9E53E7" id="Text Box 2" o:spid="_x0000_s1036"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4" behindDoc="0" locked="0" layoutInCell="0" allowOverlap="1" wp14:anchorId="3AB64DA9" wp14:editId="0E211A54">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Text Box 30" o:spid="_x0000_s1037"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B628" w14:textId="77777777" w:rsidR="00E26E4E" w:rsidRDefault="00E26E4E" w:rsidP="00207717">
      <w:pPr>
        <w:spacing w:before="120"/>
      </w:pPr>
      <w:r>
        <w:separator/>
      </w:r>
    </w:p>
  </w:footnote>
  <w:footnote w:type="continuationSeparator" w:id="0">
    <w:p w14:paraId="28A53991" w14:textId="77777777" w:rsidR="00E26E4E" w:rsidRDefault="00E26E4E">
      <w:r>
        <w:continuationSeparator/>
      </w:r>
    </w:p>
    <w:p w14:paraId="659E2579" w14:textId="77777777" w:rsidR="00E26E4E" w:rsidRDefault="00E26E4E"/>
  </w:footnote>
  <w:footnote w:type="continuationNotice" w:id="1">
    <w:p w14:paraId="3691C41B" w14:textId="77777777" w:rsidR="00E26E4E" w:rsidRDefault="00E26E4E">
      <w:pPr>
        <w:spacing w:after="0" w:line="240" w:lineRule="auto"/>
      </w:pPr>
    </w:p>
  </w:footnote>
  <w:footnote w:id="2">
    <w:p w14:paraId="23CD2A6E" w14:textId="6FA62953" w:rsidR="002C1D9D" w:rsidRPr="009D4284" w:rsidRDefault="00077DBB" w:rsidP="007760CD">
      <w:pPr>
        <w:spacing w:after="0" w:line="240" w:lineRule="auto"/>
        <w:rPr>
          <w:sz w:val="16"/>
        </w:rPr>
      </w:pPr>
      <w:r w:rsidRPr="009D4284">
        <w:rPr>
          <w:rStyle w:val="FootnoteReference"/>
          <w:sz w:val="16"/>
        </w:rPr>
        <w:footnoteRef/>
      </w:r>
      <w:r w:rsidR="00665212">
        <w:rPr>
          <w:sz w:val="16"/>
        </w:rPr>
        <w:t xml:space="preserve"> Australian</w:t>
      </w:r>
      <w:r w:rsidR="006559C9">
        <w:rPr>
          <w:sz w:val="16"/>
        </w:rPr>
        <w:t xml:space="preserve"> Technical Advisory Group on Immunisation </w:t>
      </w:r>
      <w:r w:rsidR="008729B0">
        <w:rPr>
          <w:sz w:val="16"/>
        </w:rPr>
        <w:t>(ATAGI)</w:t>
      </w:r>
      <w:r w:rsidR="006559C9">
        <w:rPr>
          <w:sz w:val="16"/>
        </w:rPr>
        <w:t xml:space="preserve"> </w:t>
      </w:r>
      <w:r w:rsidR="00AB57A0">
        <w:rPr>
          <w:sz w:val="16"/>
        </w:rPr>
        <w:t xml:space="preserve">Dec </w:t>
      </w:r>
      <w:r w:rsidR="006559C9">
        <w:rPr>
          <w:sz w:val="16"/>
        </w:rPr>
        <w:t xml:space="preserve">2022 </w:t>
      </w:r>
      <w:r w:rsidR="00AB57A0" w:rsidRPr="00AB57A0">
        <w:rPr>
          <w:i/>
          <w:iCs/>
          <w:sz w:val="16"/>
        </w:rPr>
        <w:t xml:space="preserve">Updated </w:t>
      </w:r>
      <w:r w:rsidR="006559C9" w:rsidRPr="006559C9">
        <w:rPr>
          <w:i/>
          <w:iCs/>
          <w:sz w:val="16"/>
        </w:rPr>
        <w:t>ATAGI clinical guidance on vaccination against Monkeypox</w:t>
      </w:r>
      <w:r w:rsidR="006559C9">
        <w:rPr>
          <w:sz w:val="16"/>
        </w:rPr>
        <w:t xml:space="preserve">. Australian Government. </w:t>
      </w:r>
      <w:r w:rsidR="002C1D9D" w:rsidRPr="00FA70FC">
        <w:rPr>
          <w:sz w:val="16"/>
        </w:rPr>
        <w:t>&lt;</w:t>
      </w:r>
      <w:hyperlink r:id="rId1" w:history="1">
        <w:r w:rsidR="002C1D9D" w:rsidRPr="00352CB1">
          <w:rPr>
            <w:rStyle w:val="Hyperlink"/>
            <w:sz w:val="16"/>
          </w:rPr>
          <w:t>https://www.health.gov.au/resources/publications/atagi-clinical-guidance-on-vaccination-against-monkeypox</w:t>
        </w:r>
      </w:hyperlink>
      <w:r w:rsidR="002C1D9D" w:rsidRPr="00FA70FC">
        <w:rPr>
          <w:sz w:val="16"/>
        </w:rPr>
        <w:t>&gt;</w:t>
      </w:r>
    </w:p>
  </w:footnote>
  <w:footnote w:id="3">
    <w:p w14:paraId="535195B3" w14:textId="33C15BC3" w:rsidR="00077DBB" w:rsidRPr="009D4284" w:rsidRDefault="00077DBB" w:rsidP="007760CD">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2A571A">
        <w:rPr>
          <w:sz w:val="16"/>
        </w:rPr>
        <w:t xml:space="preserve">2024 </w:t>
      </w:r>
      <w:r w:rsidR="002075DA">
        <w:rPr>
          <w:i/>
          <w:iCs/>
          <w:sz w:val="16"/>
        </w:rPr>
        <w:t>Mpox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7F694C3C" w14:textId="7761ED26" w:rsidR="002F160A" w:rsidRDefault="002F160A" w:rsidP="007760CD">
      <w:pPr>
        <w:pStyle w:val="FootnoteText"/>
        <w:spacing w:before="0" w:after="0" w:line="240" w:lineRule="auto"/>
      </w:pPr>
      <w:r>
        <w:rPr>
          <w:rStyle w:val="FootnoteReference"/>
        </w:rPr>
        <w:footnoteRef/>
      </w:r>
      <w:r>
        <w:t xml:space="preserve"> </w:t>
      </w:r>
      <w:r>
        <w:rPr>
          <w:rFonts w:ascii="Segoe UI" w:hAnsi="Segoe UI" w:cs="Segoe UI"/>
          <w:color w:val="313131"/>
          <w:shd w:val="clear" w:color="auto" w:fill="FFFFFF"/>
        </w:rPr>
        <w:t> </w:t>
      </w:r>
      <w:r w:rsidRPr="002F160A" w:rsidDel="002F160A">
        <w:rPr>
          <w:color w:val="313131"/>
          <w:sz w:val="16"/>
          <w:shd w:val="clear" w:color="auto" w:fill="FFFFFF"/>
        </w:rPr>
        <w:t xml:space="preserve"> </w:t>
      </w:r>
      <w:r w:rsidRPr="006A0B64">
        <w:rPr>
          <w:sz w:val="16"/>
        </w:rPr>
        <w:t>ATAGI</w:t>
      </w:r>
      <w:r>
        <w:rPr>
          <w:sz w:val="16"/>
        </w:rPr>
        <w:t xml:space="preserve"> </w:t>
      </w:r>
      <w:r w:rsidR="006A0B64">
        <w:rPr>
          <w:sz w:val="16"/>
        </w:rPr>
        <w:t>2022</w:t>
      </w:r>
      <w:r w:rsidRPr="006A0B64">
        <w:rPr>
          <w:color w:val="313131"/>
          <w:sz w:val="16"/>
          <w:shd w:val="clear" w:color="auto" w:fill="FFFFFF"/>
        </w:rPr>
        <w:t xml:space="preserve">. </w:t>
      </w:r>
      <w:r w:rsidR="00F5421F"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sidR="006A0B64">
        <w:rPr>
          <w:color w:val="313131"/>
          <w:sz w:val="16"/>
          <w:shd w:val="clear" w:color="auto" w:fill="FFFFFF"/>
        </w:rPr>
        <w:t xml:space="preserve"> (updated May 2024)</w:t>
      </w:r>
      <w:r w:rsidR="00C635FB">
        <w:rPr>
          <w:color w:val="313131"/>
          <w:sz w:val="16"/>
          <w:shd w:val="clear" w:color="auto" w:fill="FFFFFF"/>
        </w:rPr>
        <w:t xml:space="preserve"> </w:t>
      </w:r>
      <w:r>
        <w:rPr>
          <w:color w:val="313131"/>
          <w:sz w:val="16"/>
          <w:shd w:val="clear" w:color="auto" w:fill="FFFFFF"/>
        </w:rPr>
        <w:t>&lt;</w:t>
      </w:r>
      <w:r w:rsidRPr="002F160A">
        <w:rPr>
          <w:color w:val="313131"/>
          <w:sz w:val="16"/>
          <w:shd w:val="clear" w:color="auto" w:fill="FFFFFF"/>
        </w:rPr>
        <w:t xml:space="preserve"> </w:t>
      </w:r>
      <w:hyperlink r:id="rId3"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5">
    <w:p w14:paraId="686983EE" w14:textId="0F121B5A"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6A0B64" w:rsidRPr="00E67D06">
        <w:rPr>
          <w:sz w:val="16"/>
        </w:rPr>
        <w:t>202</w:t>
      </w:r>
      <w:r w:rsidR="006A0B64">
        <w:rPr>
          <w:sz w:val="16"/>
        </w:rPr>
        <w:t>4</w:t>
      </w:r>
      <w:r w:rsidR="006A0B64" w:rsidRPr="00E67D06">
        <w:rPr>
          <w:sz w:val="16"/>
        </w:rPr>
        <w:t xml:space="preserve"> </w:t>
      </w:r>
      <w:r w:rsidR="00864B7B" w:rsidRPr="009C1FD6">
        <w:rPr>
          <w:i/>
          <w:iCs/>
          <w:sz w:val="16"/>
        </w:rPr>
        <w:t>Mpox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4" w:history="1">
        <w:r w:rsidR="00864B7B">
          <w:rPr>
            <w:rStyle w:val="Hyperlink"/>
            <w:sz w:val="16"/>
          </w:rPr>
          <w:t>https://www.health.vic.gov.au/infectious-diseases/mpox-monkeypox</w:t>
        </w:r>
      </w:hyperlink>
      <w:r w:rsidR="00E67D06" w:rsidRPr="00E67D06">
        <w:rPr>
          <w:sz w:val="16"/>
        </w:rPr>
        <w:t>&gt;</w:t>
      </w:r>
    </w:p>
  </w:footnote>
  <w:footnote w:id="6">
    <w:p w14:paraId="51B69FCB" w14:textId="1D2ED1DF" w:rsidR="00246AB5" w:rsidRPr="00246AB5" w:rsidRDefault="007760CD">
      <w:pPr>
        <w:pStyle w:val="FootnoteText"/>
        <w:rPr>
          <w:vertAlign w:val="superscript"/>
        </w:rPr>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00246AB5" w:rsidRPr="00246AB5">
        <w:rPr>
          <w:i/>
          <w:iCs/>
          <w:color w:val="313131"/>
          <w:sz w:val="16"/>
          <w:shd w:val="clear" w:color="auto" w:fill="FFFFFF"/>
        </w:rPr>
        <w:t>Mpox</w:t>
      </w:r>
      <w:r w:rsidR="00246AB5">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5"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7">
    <w:p w14:paraId="71933E6D" w14:textId="289C354F" w:rsidR="002A571A" w:rsidRDefault="002A571A">
      <w:pPr>
        <w:pStyle w:val="FootnoteText"/>
      </w:pPr>
      <w:r>
        <w:rPr>
          <w:rStyle w:val="FootnoteReference"/>
        </w:rPr>
        <w:footnoteRef/>
      </w:r>
      <w:r>
        <w:t xml:space="preserve"> </w:t>
      </w:r>
      <w:r w:rsidRPr="006A4980">
        <w:rPr>
          <w:sz w:val="16"/>
        </w:rPr>
        <w:t>Department of Health and Aged Care 2022</w:t>
      </w:r>
      <w:r w:rsidRPr="006A4980">
        <w:rPr>
          <w:i/>
          <w:iCs/>
          <w:sz w:val="16"/>
        </w:rPr>
        <w:t>, Infection Prevention and Control Expert Group - Interim Guidance on Monkeypox</w:t>
      </w:r>
      <w:r w:rsidRPr="006A4980">
        <w:rPr>
          <w:sz w:val="16"/>
        </w:rPr>
        <w:t xml:space="preserve"> </w:t>
      </w:r>
      <w:r w:rsidRPr="006A4980">
        <w:rPr>
          <w:i/>
          <w:iCs/>
          <w:sz w:val="16"/>
        </w:rPr>
        <w:t>for Health Workers,</w:t>
      </w:r>
      <w:r w:rsidRPr="006A4980">
        <w:rPr>
          <w:sz w:val="16"/>
        </w:rPr>
        <w:t xml:space="preserve"> Australian Government &lt;</w:t>
      </w:r>
      <w:hyperlink r:id="rId6" w:history="1">
        <w:r w:rsidRPr="006A4980">
          <w:rPr>
            <w:rStyle w:val="Hyperlink"/>
            <w:sz w:val="16"/>
          </w:rPr>
          <w:t>https://www.health.gov.au/resources/publications/iceg-interim-guidance-on-monkeypox-for-health-workers</w:t>
        </w:r>
      </w:hyperlink>
      <w:r w:rsidRPr="006A4980">
        <w:rPr>
          <w:sz w:val="16"/>
        </w:rPr>
        <w:t>&gt;</w:t>
      </w:r>
    </w:p>
  </w:footnote>
  <w:footnote w:id="8">
    <w:p w14:paraId="6182B8A9" w14:textId="4C1D661B" w:rsidR="00282EAE" w:rsidRDefault="007B2903" w:rsidP="001E216B">
      <w:pPr>
        <w:spacing w:after="0" w:line="240" w:lineRule="auto"/>
      </w:pPr>
      <w:r w:rsidRPr="00867196">
        <w:rPr>
          <w:rStyle w:val="FootnoteReference"/>
          <w:sz w:val="16"/>
        </w:rPr>
        <w:footnoteRef/>
      </w:r>
      <w:r w:rsidRPr="00867196">
        <w:rPr>
          <w:sz w:val="16"/>
        </w:rPr>
        <w:t xml:space="preserve"> </w:t>
      </w:r>
      <w:r w:rsidR="002460CE" w:rsidRPr="004C1394">
        <w:rPr>
          <w:rFonts w:cs="Arial"/>
          <w:sz w:val="16"/>
          <w:szCs w:val="16"/>
        </w:rPr>
        <w:t>ATAGI</w:t>
      </w:r>
      <w:r w:rsidR="002460CE">
        <w:rPr>
          <w:sz w:val="16"/>
        </w:rPr>
        <w:t xml:space="preserve"> 2022</w:t>
      </w:r>
      <w:r w:rsidR="002460CE" w:rsidRPr="004C1394">
        <w:rPr>
          <w:rFonts w:cs="Arial"/>
          <w:color w:val="313131"/>
          <w:sz w:val="16"/>
          <w:szCs w:val="16"/>
          <w:shd w:val="clear" w:color="auto" w:fill="FFFFFF"/>
        </w:rPr>
        <w:t xml:space="preserve">. </w:t>
      </w:r>
      <w:r w:rsidR="00F5421F" w:rsidRPr="00F5421F">
        <w:rPr>
          <w:rFonts w:cs="Arial"/>
          <w:i/>
          <w:iCs/>
          <w:color w:val="313131"/>
          <w:sz w:val="16"/>
          <w:szCs w:val="16"/>
          <w:shd w:val="clear" w:color="auto" w:fill="FFFFFF"/>
        </w:rPr>
        <w:t xml:space="preserve">Mpox, </w:t>
      </w:r>
      <w:r w:rsidR="002460CE" w:rsidRPr="00F5421F">
        <w:rPr>
          <w:rFonts w:cs="Arial"/>
          <w:i/>
          <w:iCs/>
          <w:color w:val="313131"/>
          <w:sz w:val="16"/>
          <w:szCs w:val="16"/>
          <w:shd w:val="clear" w:color="auto" w:fill="FFFFFF"/>
        </w:rPr>
        <w:t>Australian Immunisation Handbook</w:t>
      </w:r>
      <w:r w:rsidR="002460CE" w:rsidRPr="004C1394">
        <w:rPr>
          <w:rFonts w:cs="Arial"/>
          <w:color w:val="313131"/>
          <w:sz w:val="16"/>
          <w:szCs w:val="16"/>
          <w:shd w:val="clear" w:color="auto" w:fill="FFFFFF"/>
        </w:rPr>
        <w:t xml:space="preserve">, Australian Government Department of Health and Aged Care, Canberra, </w:t>
      </w:r>
      <w:r w:rsidR="002460CE">
        <w:rPr>
          <w:color w:val="313131"/>
          <w:sz w:val="16"/>
          <w:shd w:val="clear" w:color="auto" w:fill="FFFFFF"/>
        </w:rPr>
        <w:t xml:space="preserve"> </w:t>
      </w:r>
      <w:r w:rsidR="00F5421F">
        <w:rPr>
          <w:color w:val="313131"/>
          <w:sz w:val="16"/>
          <w:shd w:val="clear" w:color="auto" w:fill="FFFFFF"/>
        </w:rPr>
        <w:t xml:space="preserve">(updated May 2024) </w:t>
      </w:r>
      <w:r w:rsidR="002460CE">
        <w:rPr>
          <w:color w:val="313131"/>
          <w:sz w:val="16"/>
          <w:shd w:val="clear" w:color="auto" w:fill="FFFFFF"/>
        </w:rPr>
        <w:t>&lt;</w:t>
      </w:r>
      <w:r w:rsidR="002460CE" w:rsidRPr="002F160A">
        <w:rPr>
          <w:rFonts w:cs="Arial"/>
          <w:color w:val="313131"/>
          <w:sz w:val="16"/>
          <w:szCs w:val="16"/>
          <w:shd w:val="clear" w:color="auto" w:fill="FFFFFF"/>
        </w:rPr>
        <w:t xml:space="preserve"> </w:t>
      </w:r>
      <w:hyperlink r:id="rId7" w:history="1">
        <w:r w:rsidR="002460CE" w:rsidRPr="002F160A">
          <w:rPr>
            <w:rStyle w:val="Hyperlink"/>
            <w:sz w:val="16"/>
            <w:shd w:val="clear" w:color="auto" w:fill="FFFFFF"/>
          </w:rPr>
          <w:t>https://immunisationhandbook.health.gov.au/contents/vaccine-preventable-diseases/mpox-previously-known-as-monkeypox</w:t>
        </w:r>
      </w:hyperlink>
      <w:r w:rsidR="002460CE">
        <w:rPr>
          <w:color w:val="313131"/>
          <w:sz w:val="16"/>
          <w:shd w:val="clear" w:color="auto" w:fill="FFFFFF"/>
        </w:rPr>
        <w:t>&gt;</w:t>
      </w:r>
    </w:p>
  </w:footnote>
  <w:footnote w:id="9">
    <w:p w14:paraId="79287CCB" w14:textId="636EF46E" w:rsidR="004C2D89" w:rsidRDefault="004C2D89">
      <w:pPr>
        <w:pStyle w:val="FootnoteText"/>
      </w:pPr>
      <w:r>
        <w:rPr>
          <w:rStyle w:val="FootnoteReference"/>
        </w:rPr>
        <w:footnoteRef/>
      </w:r>
      <w:r>
        <w:t xml:space="preserve"> </w:t>
      </w:r>
      <w:r w:rsidR="008A7A12" w:rsidRPr="00B8099E">
        <w:rPr>
          <w:sz w:val="16"/>
        </w:rPr>
        <w:t>ATAGI</w:t>
      </w:r>
      <w:r w:rsidR="008A7A12">
        <w:rPr>
          <w:sz w:val="16"/>
        </w:rPr>
        <w:t xml:space="preserve"> 2022</w:t>
      </w:r>
      <w:r w:rsidR="008A7A12" w:rsidRPr="00B8099E">
        <w:rPr>
          <w:color w:val="313131"/>
          <w:sz w:val="16"/>
          <w:shd w:val="clear" w:color="auto" w:fill="FFFFFF"/>
        </w:rPr>
        <w:t xml:space="preserve">. </w:t>
      </w:r>
      <w:r w:rsidR="008A7A12" w:rsidRPr="009717DF">
        <w:rPr>
          <w:i/>
          <w:iCs/>
          <w:color w:val="313131"/>
          <w:sz w:val="16"/>
          <w:shd w:val="clear" w:color="auto" w:fill="FFFFFF"/>
        </w:rPr>
        <w:t>Mpox, Australian Immunisation Handbook</w:t>
      </w:r>
      <w:r w:rsidR="008A7A12" w:rsidRPr="00B8099E">
        <w:rPr>
          <w:color w:val="313131"/>
          <w:sz w:val="16"/>
          <w:shd w:val="clear" w:color="auto" w:fill="FFFFFF"/>
        </w:rPr>
        <w:t xml:space="preserve">, Australian Government Department of Health and Aged Care, Canberra, </w:t>
      </w:r>
      <w:r w:rsidR="008A7A12">
        <w:rPr>
          <w:color w:val="313131"/>
          <w:sz w:val="16"/>
          <w:shd w:val="clear" w:color="auto" w:fill="FFFFFF"/>
        </w:rPr>
        <w:t>(updated May 2024) &lt;</w:t>
      </w:r>
      <w:r w:rsidR="008A7A12" w:rsidRPr="002F160A">
        <w:rPr>
          <w:color w:val="313131"/>
          <w:sz w:val="16"/>
          <w:shd w:val="clear" w:color="auto" w:fill="FFFFFF"/>
        </w:rPr>
        <w:t xml:space="preserve"> </w:t>
      </w:r>
      <w:hyperlink r:id="rId8" w:history="1">
        <w:r w:rsidR="008A7A12" w:rsidRPr="002F160A">
          <w:rPr>
            <w:rStyle w:val="Hyperlink"/>
            <w:sz w:val="16"/>
            <w:shd w:val="clear" w:color="auto" w:fill="FFFFFF"/>
          </w:rPr>
          <w:t>https://immunisationhandbook.health.gov.au/contents/vaccine-preventable-diseases/mpox-previously-known-as-monkeypox</w:t>
        </w:r>
      </w:hyperlink>
      <w:r w:rsidR="008A7A12">
        <w:rPr>
          <w:rStyle w:val="Hyperlink"/>
          <w:sz w:val="16"/>
          <w:shd w:val="clear" w:color="auto" w:fill="FFFFFF"/>
        </w:rPr>
        <w:t>&gt;</w:t>
      </w:r>
      <w:r w:rsidR="00236E2E" w:rsidRPr="008F4BDC" w:rsidDel="00236E2E">
        <w:rPr>
          <w:sz w:val="16"/>
        </w:rPr>
        <w:t xml:space="preserve"> </w:t>
      </w:r>
    </w:p>
  </w:footnote>
  <w:footnote w:id="10">
    <w:p w14:paraId="42863963" w14:textId="7416DD03" w:rsidR="008A7A12" w:rsidRDefault="00D8354F" w:rsidP="008A7A12">
      <w:pPr>
        <w:pStyle w:val="FootnoteText"/>
      </w:pPr>
      <w:r>
        <w:rPr>
          <w:rStyle w:val="FootnoteReference"/>
        </w:rPr>
        <w:footnoteRef/>
      </w:r>
      <w:r>
        <w:t xml:space="preserve"> </w:t>
      </w:r>
      <w:r w:rsidR="008A7A12" w:rsidRPr="008A7A12">
        <w:rPr>
          <w:sz w:val="16"/>
        </w:rPr>
        <w:t xml:space="preserve"> </w:t>
      </w:r>
      <w:r w:rsidR="008A7A12" w:rsidRPr="008F4BDC">
        <w:rPr>
          <w:sz w:val="16"/>
        </w:rPr>
        <w:t xml:space="preserve">ATAGI Dec 2022 </w:t>
      </w:r>
      <w:r w:rsidR="008A7A12" w:rsidRPr="008F4BDC">
        <w:rPr>
          <w:i/>
          <w:iCs/>
          <w:sz w:val="16"/>
        </w:rPr>
        <w:t>Updated ATAGI clinical guidance on vaccination against Monkeypox (mpox)</w:t>
      </w:r>
      <w:r w:rsidR="008A7A12" w:rsidRPr="008F4BDC">
        <w:rPr>
          <w:sz w:val="16"/>
        </w:rPr>
        <w:t>. Australian Government. &lt;</w:t>
      </w:r>
      <w:hyperlink r:id="rId9" w:history="1">
        <w:r w:rsidR="008A7A12" w:rsidRPr="008F4BDC">
          <w:rPr>
            <w:rStyle w:val="Hyperlink"/>
            <w:sz w:val="16"/>
          </w:rPr>
          <w:t>https://www.health.gov.au/resources/publications/atagi-clinical-guidance-on-vaccination-against-monkeypox</w:t>
        </w:r>
      </w:hyperlink>
      <w:r w:rsidR="008A7A12" w:rsidRPr="008F4BDC">
        <w:rPr>
          <w:sz w:val="16"/>
        </w:rPr>
        <w:t>&gt;</w:t>
      </w:r>
    </w:p>
    <w:p w14:paraId="10163F0D" w14:textId="3254627B" w:rsidR="00D8354F" w:rsidRDefault="00D8354F">
      <w:pPr>
        <w:pStyle w:val="FootnoteText"/>
      </w:pPr>
    </w:p>
  </w:footnote>
  <w:footnote w:id="11">
    <w:p w14:paraId="25A90E0E" w14:textId="1C1D4EBF" w:rsidR="006143F6" w:rsidRDefault="006143F6" w:rsidP="006143F6">
      <w:pPr>
        <w:spacing w:after="0" w:line="240" w:lineRule="auto"/>
      </w:pPr>
      <w:r w:rsidRPr="00867196">
        <w:rPr>
          <w:rStyle w:val="FootnoteReference"/>
          <w:sz w:val="16"/>
        </w:rPr>
        <w:footnoteRef/>
      </w:r>
      <w:r w:rsidRPr="00867196">
        <w:rPr>
          <w:sz w:val="16"/>
        </w:rPr>
        <w:t xml:space="preserve"> </w:t>
      </w:r>
      <w:r w:rsidR="008C01F7" w:rsidRPr="00B8099E">
        <w:rPr>
          <w:sz w:val="16"/>
        </w:rPr>
        <w:t>ATAGI</w:t>
      </w:r>
      <w:r w:rsidR="008C01F7">
        <w:rPr>
          <w:sz w:val="16"/>
        </w:rPr>
        <w:t xml:space="preserve"> 2022</w:t>
      </w:r>
      <w:r w:rsidR="008C01F7" w:rsidRPr="00B8099E">
        <w:rPr>
          <w:rFonts w:cs="Arial"/>
          <w:color w:val="313131"/>
          <w:sz w:val="16"/>
          <w:shd w:val="clear" w:color="auto" w:fill="FFFFFF"/>
        </w:rPr>
        <w:t xml:space="preserve">. </w:t>
      </w:r>
      <w:r w:rsidR="008C01F7" w:rsidRPr="009717DF">
        <w:rPr>
          <w:i/>
          <w:iCs/>
          <w:color w:val="313131"/>
          <w:sz w:val="16"/>
          <w:shd w:val="clear" w:color="auto" w:fill="FFFFFF"/>
        </w:rPr>
        <w:t xml:space="preserve">Mpox, </w:t>
      </w:r>
      <w:r w:rsidR="008C01F7" w:rsidRPr="009717DF">
        <w:rPr>
          <w:rFonts w:cs="Arial"/>
          <w:i/>
          <w:iCs/>
          <w:color w:val="313131"/>
          <w:sz w:val="16"/>
          <w:shd w:val="clear" w:color="auto" w:fill="FFFFFF"/>
        </w:rPr>
        <w:t>Australian Immunisation Handbook</w:t>
      </w:r>
      <w:r w:rsidR="008C01F7" w:rsidRPr="00B8099E">
        <w:rPr>
          <w:rFonts w:cs="Arial"/>
          <w:color w:val="313131"/>
          <w:sz w:val="16"/>
          <w:shd w:val="clear" w:color="auto" w:fill="FFFFFF"/>
        </w:rPr>
        <w:t xml:space="preserve">, Australian Government Department of Health and Aged Care, Canberra, </w:t>
      </w:r>
      <w:r w:rsidR="008C01F7">
        <w:rPr>
          <w:color w:val="313131"/>
          <w:sz w:val="16"/>
          <w:shd w:val="clear" w:color="auto" w:fill="FFFFFF"/>
        </w:rPr>
        <w:t>(updated May 2024) &lt;</w:t>
      </w:r>
      <w:r w:rsidR="008C01F7" w:rsidRPr="002F160A">
        <w:rPr>
          <w:color w:val="313131"/>
          <w:sz w:val="16"/>
          <w:shd w:val="clear" w:color="auto" w:fill="FFFFFF"/>
        </w:rPr>
        <w:t xml:space="preserve"> </w:t>
      </w:r>
      <w:hyperlink r:id="rId10" w:history="1">
        <w:r w:rsidR="008C01F7" w:rsidRPr="002F160A">
          <w:rPr>
            <w:rStyle w:val="Hyperlink"/>
            <w:sz w:val="16"/>
            <w:shd w:val="clear" w:color="auto" w:fill="FFFFFF"/>
          </w:rPr>
          <w:t>https://immunisationhandbook.health.gov.au/contents/vaccine-preventable-diseases/mpox-previously-known-as-monkeypox</w:t>
        </w:r>
      </w:hyperlink>
      <w:r w:rsidR="008C01F7">
        <w:rPr>
          <w:rStyle w:val="Hyperlink"/>
          <w:sz w:val="16"/>
          <w:shd w:val="clear" w:color="auto" w:fill="FFFFFF"/>
        </w:rPr>
        <w:t>&gt;</w:t>
      </w:r>
    </w:p>
  </w:footnote>
  <w:footnote w:id="12">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11"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3">
    <w:p w14:paraId="3E94EB2E" w14:textId="008F126F" w:rsidR="00110C8E" w:rsidRPr="00815128" w:rsidRDefault="00110C8E" w:rsidP="00E204CB">
      <w:pPr>
        <w:spacing w:after="0" w:line="240" w:lineRule="auto"/>
        <w:rPr>
          <w:sz w:val="16"/>
          <w:szCs w:val="16"/>
        </w:rPr>
      </w:pPr>
      <w:r w:rsidRPr="00815128">
        <w:rPr>
          <w:rStyle w:val="FootnoteReference"/>
          <w:sz w:val="16"/>
          <w:szCs w:val="16"/>
        </w:rPr>
        <w:footnoteRef/>
      </w:r>
      <w:r w:rsidRPr="00815128">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(mpox)</w:t>
      </w:r>
      <w:r w:rsidR="001E216B">
        <w:rPr>
          <w:sz w:val="16"/>
        </w:rPr>
        <w:t xml:space="preserve">. Australian Government. </w:t>
      </w:r>
      <w:r w:rsidR="001E216B" w:rsidRPr="00FA70FC">
        <w:rPr>
          <w:sz w:val="16"/>
        </w:rPr>
        <w:t>&lt;</w:t>
      </w:r>
      <w:hyperlink r:id="rId12"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14">
    <w:p w14:paraId="2173706E" w14:textId="5762E5E7" w:rsidR="0063777F" w:rsidRDefault="0063777F">
      <w:pPr>
        <w:pStyle w:val="FootnoteText"/>
      </w:pPr>
      <w:r>
        <w:rPr>
          <w:rStyle w:val="FootnoteReference"/>
        </w:rPr>
        <w:footnoteRef/>
      </w:r>
      <w:r>
        <w:t xml:space="preserve"> </w:t>
      </w:r>
      <w:r w:rsidRPr="0049243B">
        <w:rPr>
          <w:sz w:val="16"/>
        </w:rPr>
        <w:t xml:space="preserve">AusVaxSafety 2023 </w:t>
      </w:r>
      <w:r w:rsidRPr="0049243B">
        <w:rPr>
          <w:i/>
          <w:iCs/>
          <w:sz w:val="16"/>
        </w:rPr>
        <w:t>Mpox (monkeypox) vaccine</w:t>
      </w:r>
      <w:r w:rsidRPr="0049243B">
        <w:rPr>
          <w:sz w:val="16"/>
        </w:rPr>
        <w:t>. &lt;</w:t>
      </w:r>
      <w:hyperlink r:id="rId13" w:history="1">
        <w:r w:rsidRPr="0049243B">
          <w:rPr>
            <w:rStyle w:val="Hyperlink"/>
            <w:sz w:val="16"/>
          </w:rPr>
          <w:t>https://ausvaxsafety.org.au/vaccine-safety-data/mpox-monkeypox-vaccine</w:t>
        </w:r>
      </w:hyperlink>
      <w:r w:rsidRPr="0049243B">
        <w:rPr>
          <w:sz w:val="16"/>
        </w:rPr>
        <w:t>&gt;</w:t>
      </w:r>
    </w:p>
  </w:footnote>
  <w:footnote w:id="15">
    <w:p w14:paraId="28E998BA" w14:textId="327024FD" w:rsidR="0049243B" w:rsidRDefault="0049243B">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4"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6">
    <w:p w14:paraId="4221179D" w14:textId="0716ACBB" w:rsidR="001E2DC1" w:rsidRDefault="001E2DC1">
      <w:pPr>
        <w:pStyle w:val="FootnoteText"/>
      </w:pPr>
      <w:r>
        <w:rPr>
          <w:rStyle w:val="FootnoteReference"/>
        </w:rPr>
        <w:footnoteRef/>
      </w:r>
      <w:r>
        <w:t xml:space="preserve"> </w:t>
      </w:r>
      <w:r w:rsidR="003D3589" w:rsidRPr="008F4BDC">
        <w:rPr>
          <w:sz w:val="16"/>
        </w:rPr>
        <w:t xml:space="preserve">ATAGI Dec 2022 </w:t>
      </w:r>
      <w:r w:rsidR="003D3589" w:rsidRPr="008F4BDC">
        <w:rPr>
          <w:i/>
          <w:iCs/>
          <w:sz w:val="16"/>
        </w:rPr>
        <w:t>Updated ATAGI clinical guidance on vaccination against Monkeypox (mpox)</w:t>
      </w:r>
      <w:r w:rsidR="003D3589" w:rsidRPr="008F4BDC">
        <w:rPr>
          <w:sz w:val="16"/>
        </w:rPr>
        <w:t>. Australian Government. &lt;</w:t>
      </w:r>
      <w:hyperlink r:id="rId15" w:history="1">
        <w:r w:rsidR="003D3589" w:rsidRPr="008F4BDC">
          <w:rPr>
            <w:rStyle w:val="Hyperlink"/>
            <w:sz w:val="16"/>
          </w:rPr>
          <w:t>https://www.health.gov.au/resources/publications/atagi-clinical-guidance-on-vaccination-against-monkeypox</w:t>
        </w:r>
      </w:hyperlink>
      <w:r w:rsidR="003D3589" w:rsidRPr="008F4BDC">
        <w:rPr>
          <w:sz w:val="16"/>
        </w:rPr>
        <w:t>&gt;</w:t>
      </w:r>
    </w:p>
  </w:footnote>
  <w:footnote w:id="17">
    <w:p w14:paraId="4726B174" w14:textId="77777777" w:rsidR="00EC31B1" w:rsidRDefault="00EC31B1" w:rsidP="00EC31B1">
      <w:pPr>
        <w:pStyle w:val="FootnoteText"/>
      </w:pPr>
      <w:r>
        <w:rPr>
          <w:rStyle w:val="FootnoteReference"/>
        </w:rPr>
        <w:footnoteRef/>
      </w:r>
      <w:r>
        <w:t xml:space="preserve"> </w:t>
      </w:r>
      <w:r w:rsidRPr="001078AA">
        <w:rPr>
          <w:sz w:val="16"/>
        </w:rPr>
        <w:t xml:space="preserve">Department of Health and Aged Care 2019,  </w:t>
      </w:r>
      <w:r w:rsidRPr="001078AA">
        <w:rPr>
          <w:i/>
          <w:iCs/>
          <w:sz w:val="16"/>
        </w:rPr>
        <w:t>National Vaccine Storage Guidelines ‘Strive for 5’</w:t>
      </w:r>
      <w:r w:rsidRPr="001078AA">
        <w:rPr>
          <w:sz w:val="16"/>
        </w:rPr>
        <w:t>, Australian Government, &lt;</w:t>
      </w:r>
      <w:hyperlink r:id="rId16" w:history="1">
        <w:r w:rsidRPr="001078AA">
          <w:rPr>
            <w:rStyle w:val="Hyperlink"/>
            <w:sz w:val="16"/>
          </w:rPr>
          <w:t>https://www.health.gov.au/resources/publications/national-vaccine-storage-guidelines-strive-for-5</w:t>
        </w:r>
      </w:hyperlink>
      <w:r w:rsidRPr="001078AA">
        <w:rPr>
          <w:sz w:val="16"/>
        </w:rPr>
        <w:t xml:space="preserve"> &gt;</w:t>
      </w:r>
    </w:p>
  </w:footnote>
  <w:footnote w:id="18">
    <w:p w14:paraId="372F874D" w14:textId="33E9C13E" w:rsidR="00DE5333" w:rsidRDefault="00DE5333" w:rsidP="00FA4135">
      <w:pPr>
        <w:pStyle w:val="FootnoteText"/>
        <w:spacing w:before="0" w:after="0" w:line="240" w:lineRule="auto"/>
      </w:pPr>
      <w:r>
        <w:rPr>
          <w:rStyle w:val="FootnoteReference"/>
        </w:rPr>
        <w:footnoteRef/>
      </w:r>
      <w:r>
        <w:t xml:space="preserve"> </w:t>
      </w:r>
      <w:r w:rsidRPr="00C33CCC">
        <w:rPr>
          <w:color w:val="050505"/>
          <w:sz w:val="16"/>
          <w:shd w:val="clear" w:color="auto" w:fill="FFFFFF"/>
        </w:rPr>
        <w:t xml:space="preserve">National Health and Medical Research Council 2019 </w:t>
      </w:r>
      <w:r w:rsidRPr="00DE5333">
        <w:rPr>
          <w:i/>
          <w:iCs/>
          <w:sz w:val="16"/>
        </w:rPr>
        <w:t>Australian Guidelines for the Prevention and Control of Infection in Healthcare</w:t>
      </w:r>
      <w:r w:rsidRPr="00A5039C">
        <w:rPr>
          <w:rStyle w:val="Hyperlink"/>
          <w:i/>
          <w:iCs/>
          <w:sz w:val="16"/>
          <w:u w:val="none"/>
        </w:rPr>
        <w:t>.</w:t>
      </w:r>
      <w:r w:rsidR="00F7601D" w:rsidRPr="00A5039C">
        <w:rPr>
          <w:rStyle w:val="Hyperlink"/>
          <w:i/>
          <w:iCs/>
          <w:sz w:val="16"/>
          <w:u w:val="none"/>
        </w:rPr>
        <w:t xml:space="preserve"> </w:t>
      </w:r>
      <w:r w:rsidR="00F7601D" w:rsidRPr="007045B8">
        <w:rPr>
          <w:rStyle w:val="Hyperlink"/>
          <w:color w:val="auto"/>
          <w:sz w:val="16"/>
          <w:u w:val="none"/>
        </w:rPr>
        <w:t>Australian Government</w:t>
      </w:r>
      <w:r w:rsidR="00A5039C">
        <w:rPr>
          <w:rStyle w:val="Hyperlink"/>
          <w:color w:val="auto"/>
          <w:sz w:val="16"/>
          <w:u w:val="none"/>
        </w:rPr>
        <w:t xml:space="preserve"> </w:t>
      </w:r>
      <w:hyperlink r:id="rId17" w:history="1">
        <w:r w:rsidRPr="00BE3F2C">
          <w:rPr>
            <w:rStyle w:val="Hyperlink"/>
            <w:sz w:val="16"/>
          </w:rPr>
          <w:t>&lt;https://www.nhmrc.gov.au/about-us/publications/australian-guidelines-prevention-and-control-infection-healthcare-2019</w:t>
        </w:r>
      </w:hyperlink>
      <w:r w:rsidRPr="00F7601D">
        <w:rPr>
          <w:rStyle w:val="Hyperlink"/>
          <w:sz w:val="16"/>
        </w:rPr>
        <w:t>&gt;</w:t>
      </w:r>
    </w:p>
  </w:footnote>
  <w:footnote w:id="19">
    <w:p w14:paraId="38D980DD" w14:textId="3E1EF6D0" w:rsidR="00DE5333" w:rsidRPr="00C33CCC" w:rsidRDefault="00DE5333" w:rsidP="00FA4135">
      <w:pPr>
        <w:pStyle w:val="Heading1"/>
        <w:shd w:val="clear" w:color="auto" w:fill="FFFFFF"/>
        <w:spacing w:before="0" w:after="0" w:line="240" w:lineRule="auto"/>
        <w:rPr>
          <w:sz w:val="16"/>
          <w:szCs w:val="16"/>
        </w:rPr>
      </w:pPr>
      <w:r w:rsidRPr="00C33CCC">
        <w:rPr>
          <w:rStyle w:val="FootnoteReference"/>
          <w:color w:val="auto"/>
          <w:sz w:val="16"/>
          <w:szCs w:val="16"/>
        </w:rPr>
        <w:footnoteRef/>
      </w:r>
      <w:r w:rsidRPr="00C33CCC">
        <w:rPr>
          <w:color w:val="auto"/>
          <w:sz w:val="16"/>
          <w:szCs w:val="16"/>
        </w:rPr>
        <w:t xml:space="preserve"> </w:t>
      </w:r>
      <w:r w:rsidR="00C33CCC" w:rsidRPr="00C33CCC">
        <w:rPr>
          <w:color w:val="auto"/>
          <w:sz w:val="16"/>
          <w:szCs w:val="16"/>
        </w:rPr>
        <w:t xml:space="preserve">Australian Commission on Safety and Quality in Health Care 2024 </w:t>
      </w:r>
      <w:r w:rsidR="00C33CCC" w:rsidRPr="00C33CCC">
        <w:rPr>
          <w:rFonts w:eastAsia="Times New Roman"/>
          <w:bCs w:val="0"/>
          <w:i/>
          <w:iCs/>
          <w:color w:val="auto"/>
          <w:kern w:val="36"/>
          <w:sz w:val="16"/>
          <w:szCs w:val="16"/>
          <w:lang w:eastAsia="en-AU"/>
        </w:rPr>
        <w:t xml:space="preserve">Materials to support improved hand hygiene in Australia – NHHI </w:t>
      </w:r>
      <w:r w:rsidR="00C10359" w:rsidRPr="00C10359">
        <w:rPr>
          <w:rFonts w:eastAsia="Times New Roman"/>
          <w:bCs w:val="0"/>
          <w:color w:val="auto"/>
          <w:kern w:val="36"/>
          <w:sz w:val="16"/>
          <w:szCs w:val="16"/>
          <w:lang w:eastAsia="en-AU"/>
        </w:rPr>
        <w:t>Australian Government</w:t>
      </w:r>
      <w:r w:rsidR="00C10359">
        <w:rPr>
          <w:rFonts w:eastAsia="Times New Roman"/>
          <w:bCs w:val="0"/>
          <w:i/>
          <w:iCs/>
          <w:color w:val="auto"/>
          <w:kern w:val="36"/>
          <w:sz w:val="16"/>
          <w:szCs w:val="16"/>
          <w:lang w:eastAsia="en-AU"/>
        </w:rPr>
        <w:t xml:space="preserve"> </w:t>
      </w:r>
      <w:r w:rsidR="00C33CCC" w:rsidRPr="00C33CCC">
        <w:rPr>
          <w:rFonts w:eastAsia="Times New Roman"/>
          <w:bCs w:val="0"/>
          <w:color w:val="auto"/>
          <w:kern w:val="36"/>
          <w:sz w:val="16"/>
          <w:szCs w:val="16"/>
          <w:lang w:eastAsia="en-AU"/>
        </w:rPr>
        <w:t>&lt;</w:t>
      </w:r>
      <w:r w:rsidR="00C33CCC" w:rsidRPr="00C33CCC">
        <w:rPr>
          <w:rFonts w:eastAsia="Times New Roman" w:cs="Times New Roman"/>
          <w:bCs w:val="0"/>
          <w:color w:val="auto"/>
          <w:kern w:val="0"/>
          <w:sz w:val="16"/>
          <w:szCs w:val="16"/>
        </w:rPr>
        <w:t xml:space="preserve"> </w:t>
      </w:r>
      <w:hyperlink r:id="rId18" w:history="1">
        <w:r w:rsidR="00C33CCC" w:rsidRPr="00C33CCC">
          <w:rPr>
            <w:rStyle w:val="Hyperlink"/>
            <w:rFonts w:eastAsia="Times New Roman" w:cs="Times New Roman"/>
            <w:bCs w:val="0"/>
            <w:kern w:val="0"/>
            <w:sz w:val="16"/>
            <w:szCs w:val="16"/>
          </w:rPr>
          <w:t>https://www.safetyandquality.gov.au/our-work/infection-prevention-and-control/national-hand-hygiene-initiative/materials-support-improved-hand-hygiene-australia-nhhi</w:t>
        </w:r>
      </w:hyperlink>
      <w:r w:rsidR="00C33CCC">
        <w:rPr>
          <w:rFonts w:eastAsia="Times New Roman" w:cs="Times New Roman"/>
          <w:bCs w:val="0"/>
          <w:color w:val="auto"/>
          <w:kern w:val="0"/>
          <w:sz w:val="16"/>
          <w:szCs w:val="16"/>
        </w:rPr>
        <w:t>&gt;</w:t>
      </w:r>
    </w:p>
  </w:footnote>
  <w:footnote w:id="20">
    <w:p w14:paraId="64C277E1" w14:textId="3C5E032D" w:rsidR="003A2861" w:rsidRPr="00C317A5" w:rsidRDefault="003A2861">
      <w:pPr>
        <w:pStyle w:val="FootnoteText"/>
        <w:rPr>
          <w:sz w:val="16"/>
        </w:rPr>
      </w:pPr>
      <w:r w:rsidRPr="00C317A5">
        <w:rPr>
          <w:rStyle w:val="FootnoteReference"/>
          <w:sz w:val="16"/>
        </w:rPr>
        <w:footnoteRef/>
      </w:r>
      <w:r w:rsidRPr="00C317A5">
        <w:rPr>
          <w:sz w:val="16"/>
        </w:rPr>
        <w:t xml:space="preserve"> </w:t>
      </w:r>
      <w:r w:rsidR="00C317A5" w:rsidRPr="00C317A5">
        <w:rPr>
          <w:sz w:val="16"/>
        </w:rPr>
        <w:t xml:space="preserve">Department of Health 2023, </w:t>
      </w:r>
      <w:r w:rsidR="00C317A5" w:rsidRPr="00C317A5">
        <w:rPr>
          <w:i/>
          <w:iCs/>
          <w:sz w:val="16"/>
        </w:rPr>
        <w:t>Personal protective equipment (PPE),</w:t>
      </w:r>
      <w:r w:rsidR="00C317A5" w:rsidRPr="00C317A5">
        <w:rPr>
          <w:sz w:val="16"/>
        </w:rPr>
        <w:t xml:space="preserve"> State Government of Victoria. &lt;</w:t>
      </w:r>
      <w:hyperlink r:id="rId19" w:history="1">
        <w:r w:rsidR="00C317A5" w:rsidRPr="00C317A5">
          <w:rPr>
            <w:rStyle w:val="Hyperlink"/>
            <w:sz w:val="16"/>
          </w:rPr>
          <w:t>https://www.health.vic.gov.au/covid-19-infection-prevention-control-guidelines/personal-protective-equipment-ppe</w:t>
        </w:r>
      </w:hyperlink>
      <w:r w:rsidR="00C317A5">
        <w:rPr>
          <w:sz w:val="16"/>
        </w:rPr>
        <w:t>&gt;</w:t>
      </w:r>
      <w:r w:rsidR="00C317A5" w:rsidRPr="00C317A5">
        <w:rPr>
          <w:sz w:val="16"/>
        </w:rPr>
        <w:t xml:space="preserve"> </w:t>
      </w:r>
      <w:r w:rsidRPr="00C317A5">
        <w:rPr>
          <w:sz w:val="16"/>
        </w:rPr>
        <w:t xml:space="preserve"> </w:t>
      </w:r>
    </w:p>
  </w:footnote>
  <w:footnote w:id="21">
    <w:p w14:paraId="4F31D5BF" w14:textId="1B3E5F80" w:rsidR="00C317A5" w:rsidRPr="006A4980" w:rsidRDefault="00C317A5">
      <w:pPr>
        <w:pStyle w:val="FootnoteText"/>
        <w:rPr>
          <w:sz w:val="16"/>
        </w:rPr>
      </w:pPr>
      <w:r w:rsidRPr="006A4980">
        <w:rPr>
          <w:rStyle w:val="FootnoteReference"/>
          <w:sz w:val="16"/>
        </w:rPr>
        <w:footnoteRef/>
      </w:r>
      <w:r w:rsidRPr="006A4980">
        <w:rPr>
          <w:sz w:val="16"/>
        </w:rPr>
        <w:t xml:space="preserve"> Department of Health and Aged Care 2022</w:t>
      </w:r>
      <w:r w:rsidRPr="006A4980">
        <w:rPr>
          <w:i/>
          <w:iCs/>
          <w:sz w:val="16"/>
        </w:rPr>
        <w:t>, Infection Prevention and Control Expert Group - Interim Guidance on Monkeypox</w:t>
      </w:r>
      <w:r w:rsidRPr="006A4980">
        <w:rPr>
          <w:sz w:val="16"/>
        </w:rPr>
        <w:t xml:space="preserve"> </w:t>
      </w:r>
      <w:r w:rsidRPr="006A4980">
        <w:rPr>
          <w:i/>
          <w:iCs/>
          <w:sz w:val="16"/>
        </w:rPr>
        <w:t>for Health</w:t>
      </w:r>
      <w:r w:rsidR="006A4980" w:rsidRPr="006A4980">
        <w:rPr>
          <w:i/>
          <w:iCs/>
          <w:sz w:val="16"/>
        </w:rPr>
        <w:t xml:space="preserve"> Workers,</w:t>
      </w:r>
      <w:r w:rsidRPr="006A4980">
        <w:rPr>
          <w:sz w:val="16"/>
        </w:rPr>
        <w:t xml:space="preserve"> Australian Government</w:t>
      </w:r>
      <w:r w:rsidR="006A4980" w:rsidRPr="006A4980">
        <w:rPr>
          <w:sz w:val="16"/>
        </w:rPr>
        <w:t xml:space="preserve"> &lt;</w:t>
      </w:r>
      <w:hyperlink r:id="rId20" w:history="1">
        <w:r w:rsidR="006A4980" w:rsidRPr="006A4980">
          <w:rPr>
            <w:rStyle w:val="Hyperlink"/>
            <w:sz w:val="16"/>
          </w:rPr>
          <w:t>https://www.health.gov.au/resources/publications/iceg-interim-guidance-on-monkeypox-for-health-workers</w:t>
        </w:r>
      </w:hyperlink>
      <w:r w:rsidR="006A4980" w:rsidRPr="006A4980">
        <w:rPr>
          <w:sz w:val="16"/>
        </w:rPr>
        <w:t>&gt;</w:t>
      </w:r>
    </w:p>
  </w:footnote>
  <w:footnote w:id="22">
    <w:p w14:paraId="6BC148A5" w14:textId="2D691194" w:rsidR="006A4980" w:rsidRDefault="006A4980" w:rsidP="006A4980">
      <w:pPr>
        <w:pStyle w:val="FootnoteText"/>
      </w:pPr>
      <w:r>
        <w:rPr>
          <w:rStyle w:val="FootnoteReference"/>
        </w:rPr>
        <w:footnoteRef/>
      </w:r>
      <w:r>
        <w:t xml:space="preserve"> </w:t>
      </w:r>
      <w:r w:rsidRPr="006A4980">
        <w:rPr>
          <w:sz w:val="16"/>
        </w:rPr>
        <w:t>Department of Health 2023</w:t>
      </w:r>
      <w:r w:rsidR="00E17BC1">
        <w:rPr>
          <w:sz w:val="16"/>
        </w:rPr>
        <w:t xml:space="preserve">, </w:t>
      </w:r>
      <w:r w:rsidRPr="006A4980">
        <w:rPr>
          <w:sz w:val="16"/>
        </w:rPr>
        <w:t xml:space="preserve"> </w:t>
      </w:r>
      <w:r w:rsidRPr="006A4980">
        <w:rPr>
          <w:i/>
          <w:iCs/>
          <w:sz w:val="16"/>
        </w:rPr>
        <w:t>Standard and transmission</w:t>
      </w:r>
      <w:r>
        <w:rPr>
          <w:i/>
          <w:iCs/>
          <w:sz w:val="16"/>
        </w:rPr>
        <w:t>-</w:t>
      </w:r>
      <w:r w:rsidRPr="006A4980">
        <w:rPr>
          <w:i/>
          <w:iCs/>
          <w:sz w:val="16"/>
        </w:rPr>
        <w:t>based precautions</w:t>
      </w:r>
      <w:r>
        <w:rPr>
          <w:i/>
          <w:iCs/>
          <w:sz w:val="16"/>
        </w:rPr>
        <w:t xml:space="preserve">, </w:t>
      </w:r>
      <w:r w:rsidRPr="00C317A5">
        <w:rPr>
          <w:sz w:val="16"/>
        </w:rPr>
        <w:t>State Government of Victoria.</w:t>
      </w:r>
      <w:r>
        <w:rPr>
          <w:sz w:val="16"/>
        </w:rPr>
        <w:t xml:space="preserve"> &lt;</w:t>
      </w:r>
      <w:hyperlink r:id="rId21" w:history="1">
        <w:r w:rsidRPr="006A4980">
          <w:rPr>
            <w:rStyle w:val="Hyperlink"/>
            <w:sz w:val="16"/>
          </w:rPr>
          <w:t>https://www.health.vic.gov.au/covid-19-infection-prevention-control-guidelines/standard-and-transmission-based-precautions</w:t>
        </w:r>
      </w:hyperlink>
      <w:r>
        <w:rPr>
          <w:sz w:val="16"/>
        </w:rPr>
        <w:t>&gt;</w:t>
      </w:r>
    </w:p>
  </w:footnote>
  <w:footnote w:id="23">
    <w:p w14:paraId="09C914E2" w14:textId="03C90B1A" w:rsidR="00E17BC1" w:rsidRDefault="00E17BC1">
      <w:pPr>
        <w:pStyle w:val="FootnoteText"/>
      </w:pPr>
      <w:r>
        <w:rPr>
          <w:rStyle w:val="FootnoteReference"/>
        </w:rPr>
        <w:footnoteRef/>
      </w:r>
      <w:r>
        <w:t xml:space="preserve"> </w:t>
      </w:r>
      <w:r w:rsidRPr="006A4980">
        <w:rPr>
          <w:sz w:val="16"/>
        </w:rPr>
        <w:t>Department of Health 2023</w:t>
      </w:r>
      <w:r>
        <w:rPr>
          <w:sz w:val="16"/>
        </w:rPr>
        <w:t xml:space="preserve">, </w:t>
      </w:r>
      <w:r w:rsidRPr="00F23471">
        <w:rPr>
          <w:i/>
          <w:iCs/>
          <w:sz w:val="16"/>
        </w:rPr>
        <w:t>Clinical and Related Waste Guidance – Supplement for Healthcare Staff</w:t>
      </w:r>
      <w:r>
        <w:rPr>
          <w:sz w:val="16"/>
        </w:rPr>
        <w:t xml:space="preserve">, </w:t>
      </w:r>
      <w:r w:rsidRPr="00C317A5">
        <w:rPr>
          <w:sz w:val="16"/>
        </w:rPr>
        <w:t>State Government of Victoria</w:t>
      </w:r>
      <w:r>
        <w:rPr>
          <w:sz w:val="16"/>
        </w:rPr>
        <w:t xml:space="preserve"> &lt;</w:t>
      </w:r>
      <w:hyperlink r:id="rId22" w:history="1">
        <w:r w:rsidRPr="00E17BC1">
          <w:rPr>
            <w:rStyle w:val="Hyperlink"/>
            <w:sz w:val="16"/>
          </w:rPr>
          <w:t>https://www.health.vic.gov.au/publications/clinical-and-related-waste-guidance-supplement-for-healthcare-staff</w:t>
        </w:r>
      </w:hyperlink>
      <w:r>
        <w:rPr>
          <w:sz w:val="16"/>
        </w:rPr>
        <w:t>&gt;</w:t>
      </w:r>
    </w:p>
  </w:footnote>
  <w:footnote w:id="24">
    <w:p w14:paraId="2F01DCD2" w14:textId="4D5FEDEC" w:rsidR="00F23471" w:rsidRPr="00F23471" w:rsidRDefault="00F23471">
      <w:pPr>
        <w:pStyle w:val="FootnoteText"/>
        <w:rPr>
          <w:sz w:val="16"/>
        </w:rPr>
      </w:pPr>
      <w:r w:rsidRPr="00F23471">
        <w:rPr>
          <w:rStyle w:val="FootnoteReference"/>
          <w:sz w:val="16"/>
        </w:rPr>
        <w:footnoteRef/>
      </w:r>
      <w:r w:rsidRPr="00F23471">
        <w:rPr>
          <w:sz w:val="16"/>
        </w:rPr>
        <w:t xml:space="preserve"> Environment Protection Authority 2009, </w:t>
      </w:r>
      <w:r w:rsidRPr="00F23471">
        <w:rPr>
          <w:i/>
          <w:iCs/>
          <w:sz w:val="16"/>
        </w:rPr>
        <w:t>Clinical and related waste</w:t>
      </w:r>
      <w:r w:rsidRPr="00F23471">
        <w:rPr>
          <w:sz w:val="16"/>
        </w:rPr>
        <w:t>: Operational guidance, State Government of Victoria, &lt;</w:t>
      </w:r>
      <w:hyperlink r:id="rId23" w:history="1">
        <w:r w:rsidRPr="00F23471">
          <w:rPr>
            <w:rStyle w:val="Hyperlink"/>
            <w:sz w:val="16"/>
          </w:rPr>
          <w:t>https://www.epa.vic.gov.au/about-epa/publications/iwrg612-1</w:t>
        </w:r>
      </w:hyperlink>
      <w:r w:rsidRPr="00F23471">
        <w:rPr>
          <w:sz w:val="16"/>
        </w:rPr>
        <w:t>&gt;</w:t>
      </w:r>
    </w:p>
  </w:footnote>
  <w:footnote w:id="25">
    <w:p w14:paraId="4E038B49" w14:textId="0A58E732" w:rsidR="00F23471" w:rsidRDefault="00F23471">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24"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26">
    <w:p w14:paraId="31E7716B" w14:textId="0577ABF3" w:rsidR="001078AA" w:rsidRDefault="001078AA">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1078AA">
        <w:rPr>
          <w:i/>
          <w:iCs/>
          <w:color w:val="313131"/>
          <w:sz w:val="16"/>
          <w:shd w:val="clear" w:color="auto" w:fill="FFFFFF"/>
        </w:rPr>
        <w:t>Vaccination procedures</w:t>
      </w:r>
      <w:r w:rsidR="0067058C">
        <w:rPr>
          <w:i/>
          <w:iCs/>
          <w:color w:val="313131"/>
          <w:sz w:val="16"/>
          <w:shd w:val="clear" w:color="auto" w:fill="FFFFFF"/>
        </w:rPr>
        <w:t>,</w:t>
      </w:r>
      <w:r>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&lt;</w:t>
      </w:r>
      <w:hyperlink r:id="rId25" w:history="1">
        <w:r w:rsidRPr="001078AA">
          <w:rPr>
            <w:rStyle w:val="Hyperlink"/>
            <w:sz w:val="16"/>
            <w:shd w:val="clear" w:color="auto" w:fill="FFFFFF"/>
          </w:rPr>
          <w:t>https://immunisationhandbook.health.gov.au/contents/vaccination-procedures</w:t>
        </w:r>
      </w:hyperlink>
      <w:r>
        <w:rPr>
          <w:color w:val="313131"/>
          <w:sz w:val="16"/>
          <w:shd w:val="clear" w:color="auto" w:fill="FFFFFF"/>
        </w:rPr>
        <w:t>&gt;</w:t>
      </w:r>
    </w:p>
  </w:footnote>
  <w:footnote w:id="27">
    <w:p w14:paraId="71C96C9E" w14:textId="3101301A" w:rsidR="001078AA" w:rsidRPr="001078AA" w:rsidRDefault="001078AA">
      <w:pPr>
        <w:pStyle w:val="FootnoteText"/>
        <w:rPr>
          <w:sz w:val="16"/>
        </w:rPr>
      </w:pPr>
      <w:r w:rsidRPr="001078AA">
        <w:rPr>
          <w:rStyle w:val="FootnoteReference"/>
          <w:sz w:val="16"/>
        </w:rPr>
        <w:footnoteRef/>
      </w:r>
      <w:r w:rsidRPr="001078AA">
        <w:rPr>
          <w:sz w:val="16"/>
        </w:rPr>
        <w:t xml:space="preserve"> Department of Health and Aged Care 2019,  </w:t>
      </w:r>
      <w:r w:rsidRPr="001078AA">
        <w:rPr>
          <w:i/>
          <w:iCs/>
          <w:sz w:val="16"/>
        </w:rPr>
        <w:t>National Vaccine Storage Guidelines ‘Strive for 5’</w:t>
      </w:r>
      <w:r w:rsidRPr="001078AA">
        <w:rPr>
          <w:sz w:val="16"/>
        </w:rPr>
        <w:t>, Australian Government, &lt;</w:t>
      </w:r>
      <w:hyperlink r:id="rId26" w:history="1">
        <w:r w:rsidRPr="001078AA">
          <w:rPr>
            <w:rStyle w:val="Hyperlink"/>
            <w:sz w:val="16"/>
          </w:rPr>
          <w:t>https://www.health.gov.au/resources/publications/national-vaccine-storage-guidelines-strive-for-5</w:t>
        </w:r>
      </w:hyperlink>
      <w:r w:rsidRPr="001078AA">
        <w:rPr>
          <w:sz w:val="16"/>
        </w:rPr>
        <w:t xml:space="preserve"> &gt;</w:t>
      </w:r>
    </w:p>
  </w:footnote>
  <w:footnote w:id="28">
    <w:p w14:paraId="7079869F" w14:textId="294450CE"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xml:space="preserve">. 2022 </w:t>
      </w:r>
      <w:r w:rsidR="00E75DED" w:rsidRPr="001078AA">
        <w:rPr>
          <w:i/>
          <w:iCs/>
          <w:color w:val="313131"/>
          <w:sz w:val="16"/>
          <w:shd w:val="clear" w:color="auto" w:fill="FFFFFF"/>
        </w:rPr>
        <w:t>Vaccination procedures</w:t>
      </w:r>
      <w:r w:rsidR="00E75DED">
        <w:rPr>
          <w:i/>
          <w:iCs/>
          <w:color w:val="313131"/>
          <w:sz w:val="16"/>
          <w:shd w:val="clear" w:color="auto" w:fill="FFFFFF"/>
        </w:rPr>
        <w:t>,</w:t>
      </w:r>
      <w:r w:rsidR="00E75DED">
        <w:rPr>
          <w:color w:val="313131"/>
          <w:sz w:val="16"/>
          <w:shd w:val="clear" w:color="auto" w:fill="FFFFFF"/>
        </w:rPr>
        <w:t xml:space="preserve"> </w:t>
      </w:r>
      <w:r w:rsidR="00351E84" w:rsidRPr="00351E84">
        <w:rPr>
          <w:color w:val="313131"/>
          <w:sz w:val="16"/>
          <w:shd w:val="clear" w:color="auto" w:fill="FFFFFF"/>
        </w:rPr>
        <w:t>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27"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9">
    <w:p w14:paraId="581AEE88" w14:textId="416646A7"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6" w:name="_Hlk122332219"/>
      <w:r w:rsidRPr="00953BA0">
        <w:rPr>
          <w:sz w:val="16"/>
        </w:rPr>
        <w:t xml:space="preserve"> </w:t>
      </w:r>
      <w:r w:rsidR="008A4A90">
        <w:rPr>
          <w:sz w:val="16"/>
        </w:rPr>
        <w:t xml:space="preserve">ATAGI 2024 </w:t>
      </w:r>
      <w:r w:rsidR="008A4A90" w:rsidRPr="008A4A90">
        <w:rPr>
          <w:i/>
          <w:iCs/>
          <w:sz w:val="16"/>
        </w:rPr>
        <w:t>Guidance on the use of multidose vials for COVID-19 vaccination</w:t>
      </w:r>
      <w:r w:rsidR="00DD3B2A">
        <w:rPr>
          <w:i/>
          <w:iCs/>
          <w:sz w:val="16"/>
        </w:rPr>
        <w:t xml:space="preserve"> V5.1</w:t>
      </w:r>
      <w:r w:rsidR="008A4A90" w:rsidRPr="008A4A90">
        <w:rPr>
          <w:sz w:val="16"/>
        </w:rPr>
        <w:t xml:space="preserve">. Australian </w:t>
      </w:r>
      <w:r w:rsidR="008A4A90">
        <w:rPr>
          <w:sz w:val="16"/>
        </w:rPr>
        <w:t>G</w:t>
      </w:r>
      <w:r w:rsidR="008A4A90" w:rsidRPr="008A4A90">
        <w:rPr>
          <w:sz w:val="16"/>
        </w:rPr>
        <w:t>overnment</w:t>
      </w:r>
      <w:r w:rsidR="008A4A90">
        <w:rPr>
          <w:sz w:val="16"/>
        </w:rPr>
        <w:t xml:space="preserve"> </w:t>
      </w:r>
      <w:bookmarkEnd w:id="136"/>
      <w:r w:rsidR="008A4A90">
        <w:rPr>
          <w:rStyle w:val="Hyperlink"/>
          <w:sz w:val="16"/>
        </w:rPr>
        <w:t xml:space="preserve"> &lt;</w:t>
      </w:r>
      <w:hyperlink r:id="rId28" w:history="1">
        <w:r w:rsidR="008A4A90" w:rsidRPr="008A4A90">
          <w:rPr>
            <w:rStyle w:val="Hyperlink"/>
            <w:sz w:val="16"/>
          </w:rPr>
          <w:t>https://www.health.gov.au/sites/default/files/2024-01/atagi-guidance-on-the-use-of-multi-dose-vials-for-covid-19-vaccination.pdf</w:t>
        </w:r>
      </w:hyperlink>
      <w:r w:rsidR="008A4A90">
        <w:rPr>
          <w:rStyle w:val="Hyperlink"/>
          <w:sz w:val="16"/>
        </w:rPr>
        <w:t>&gt;</w:t>
      </w:r>
    </w:p>
  </w:footnote>
  <w:footnote w:id="30">
    <w:p w14:paraId="3BEE33D3" w14:textId="2E8CA14D" w:rsidR="00B12D35" w:rsidRPr="0043358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652036" w:rsidRPr="00953BA0">
        <w:rPr>
          <w:sz w:val="16"/>
        </w:rPr>
        <w:t xml:space="preserve">ATAGI </w:t>
      </w:r>
      <w:r w:rsidR="00652036">
        <w:rPr>
          <w:sz w:val="16"/>
        </w:rPr>
        <w:t xml:space="preserve">Dec 2022 </w:t>
      </w:r>
      <w:r w:rsidR="00652036" w:rsidRPr="00953BA0">
        <w:rPr>
          <w:i/>
          <w:iCs/>
          <w:sz w:val="16"/>
        </w:rPr>
        <w:t>Updated ATAGI clinical guidance on vaccination against monkeypox (mpox)</w:t>
      </w:r>
      <w:r w:rsidR="00652036" w:rsidRPr="00953BA0">
        <w:rPr>
          <w:sz w:val="16"/>
        </w:rPr>
        <w:t xml:space="preserve"> </w:t>
      </w:r>
      <w:hyperlink r:id="rId29" w:history="1">
        <w:r w:rsidR="00652036">
          <w:rPr>
            <w:rStyle w:val="Hyperlink"/>
            <w:sz w:val="16"/>
          </w:rPr>
          <w:t>https://www.health.gov.au/resources/publications/atagi-clinical-guidance-on-vaccination-against-monkeypox?language=en</w:t>
        </w:r>
      </w:hyperlink>
    </w:p>
  </w:footnote>
  <w:footnote w:id="31">
    <w:p w14:paraId="1FB8C9C4" w14:textId="42234DFB" w:rsidR="00EE28B5" w:rsidRPr="00450B24" w:rsidRDefault="00EE28B5" w:rsidP="00EE28B5">
      <w:pPr>
        <w:pStyle w:val="FootnoteText"/>
        <w:rPr>
          <w:sz w:val="16"/>
        </w:rPr>
      </w:pPr>
      <w:r w:rsidRPr="00450B24">
        <w:rPr>
          <w:rStyle w:val="FootnoteReference"/>
          <w:sz w:val="16"/>
        </w:rPr>
        <w:footnoteRef/>
      </w:r>
      <w:r w:rsidRPr="00450B24">
        <w:rPr>
          <w:sz w:val="16"/>
        </w:rPr>
        <w:t xml:space="preserve"> Centers for Disease Control and Prevention (CDC) </w:t>
      </w:r>
      <w:r w:rsidR="00301135" w:rsidRPr="00450B24">
        <w:rPr>
          <w:sz w:val="16"/>
        </w:rPr>
        <w:t>202</w:t>
      </w:r>
      <w:r w:rsidR="00301135">
        <w:rPr>
          <w:sz w:val="16"/>
        </w:rPr>
        <w:t xml:space="preserve">4, JYNNEOS Vaccine Additional Considerations </w:t>
      </w:r>
      <w:r w:rsidR="00576784">
        <w:rPr>
          <w:sz w:val="16"/>
        </w:rPr>
        <w:t xml:space="preserve">for </w:t>
      </w:r>
      <w:r w:rsidR="00301135">
        <w:rPr>
          <w:sz w:val="16"/>
        </w:rPr>
        <w:t xml:space="preserve">Intradermal </w:t>
      </w:r>
      <w:r w:rsidR="00576784">
        <w:rPr>
          <w:sz w:val="16"/>
        </w:rPr>
        <w:t>A</w:t>
      </w:r>
      <w:r w:rsidR="00301135">
        <w:rPr>
          <w:sz w:val="16"/>
        </w:rPr>
        <w:t>dministration</w:t>
      </w:r>
      <w:r w:rsidR="00301135" w:rsidRPr="00450B24">
        <w:rPr>
          <w:sz w:val="16"/>
        </w:rPr>
        <w:t xml:space="preserve"> </w:t>
      </w:r>
      <w:r w:rsidRPr="00450B24">
        <w:rPr>
          <w:sz w:val="16"/>
        </w:rPr>
        <w:t>&lt;</w:t>
      </w:r>
      <w:hyperlink r:id="rId30" w:history="1">
        <w:r w:rsidRPr="00450B24">
          <w:rPr>
            <w:rStyle w:val="Hyperlink"/>
            <w:sz w:val="16"/>
          </w:rPr>
          <w:t>https://www.cdc.gov/poxvirus/monkeypox/interim-considerations/jynneos-vaccine.html</w:t>
        </w:r>
      </w:hyperlink>
      <w:r w:rsidRPr="00450B24">
        <w:rPr>
          <w:sz w:val="16"/>
        </w:rPr>
        <w:t>&gt;</w:t>
      </w:r>
    </w:p>
  </w:footnote>
  <w:footnote w:id="32">
    <w:p w14:paraId="47EFDEFC" w14:textId="08D73AF1"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xml:space="preserve">. 2022 </w:t>
      </w:r>
      <w:r w:rsidR="00B90D00" w:rsidRPr="00B90D00">
        <w:rPr>
          <w:i/>
          <w:iCs/>
          <w:color w:val="313131"/>
          <w:sz w:val="16"/>
          <w:shd w:val="clear" w:color="auto" w:fill="FFFFFF"/>
        </w:rPr>
        <w:t>Vaccination procedures,</w:t>
      </w:r>
      <w:r w:rsidR="00B90D00">
        <w:rPr>
          <w:color w:val="313131"/>
          <w:sz w:val="16"/>
          <w:shd w:val="clear" w:color="auto" w:fill="FFFFFF"/>
        </w:rPr>
        <w:t xml:space="preserve"> </w:t>
      </w:r>
      <w:r w:rsidRPr="00351E84">
        <w:rPr>
          <w:color w:val="313131"/>
          <w:sz w:val="16"/>
          <w:shd w:val="clear" w:color="auto" w:fill="FFFFFF"/>
        </w:rPr>
        <w:t>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31" w:history="1">
        <w:r w:rsidRPr="00351E84">
          <w:rPr>
            <w:rStyle w:val="Hyperlink"/>
            <w:sz w:val="16"/>
            <w:lang w:eastAsia="en-AU"/>
          </w:rPr>
          <w:t>https://immunisationhandbook.health.gov.au/contents/vaccination-procedures/administration-of-vaccines</w:t>
        </w:r>
      </w:hyperlink>
    </w:p>
  </w:footnote>
  <w:footnote w:id="33">
    <w:p w14:paraId="09C82F58" w14:textId="1B92607A" w:rsidR="00B90D00" w:rsidRDefault="00B90D00">
      <w:pPr>
        <w:pStyle w:val="FootnoteText"/>
      </w:pPr>
      <w:r>
        <w:rPr>
          <w:rStyle w:val="FootnoteReference"/>
        </w:rPr>
        <w:footnoteRef/>
      </w:r>
      <w:r>
        <w:t xml:space="preserve"> </w:t>
      </w:r>
      <w:r w:rsidR="00061230" w:rsidRPr="00450B24">
        <w:rPr>
          <w:sz w:val="16"/>
        </w:rPr>
        <w:t>Centers for Disease Control and Prevention (CDC) 202</w:t>
      </w:r>
      <w:r w:rsidR="00061230">
        <w:rPr>
          <w:sz w:val="16"/>
        </w:rPr>
        <w:t>4, JYNNEOS Vaccine Additional Considerations for Intradermal Administration</w:t>
      </w:r>
      <w:r w:rsidR="00061230" w:rsidRPr="00450B24">
        <w:rPr>
          <w:sz w:val="16"/>
        </w:rPr>
        <w:t xml:space="preserve"> &lt;</w:t>
      </w:r>
      <w:hyperlink r:id="rId32" w:history="1">
        <w:r w:rsidR="00061230" w:rsidRPr="00450B24">
          <w:rPr>
            <w:rStyle w:val="Hyperlink"/>
            <w:sz w:val="16"/>
          </w:rPr>
          <w:t>https://www.cdc.gov/poxvirus/monkeypox/interim-considerations/jynneos-vaccine.html</w:t>
        </w:r>
      </w:hyperlink>
      <w:r w:rsidR="00061230" w:rsidRPr="00450B24">
        <w:rPr>
          <w:sz w:val="16"/>
        </w:rPr>
        <w:t>&gt;</w:t>
      </w:r>
    </w:p>
  </w:footnote>
  <w:footnote w:id="34">
    <w:p w14:paraId="0F74F811" w14:textId="43E61139" w:rsidR="00736B76" w:rsidRDefault="00736B76">
      <w:pPr>
        <w:pStyle w:val="FootnoteText"/>
      </w:pPr>
      <w:r>
        <w:rPr>
          <w:rStyle w:val="FootnoteReference"/>
        </w:rPr>
        <w:footnoteRef/>
      </w:r>
      <w:r>
        <w:t xml:space="preserve"> </w:t>
      </w:r>
      <w:r w:rsidR="00F54688" w:rsidRPr="00450B24">
        <w:rPr>
          <w:sz w:val="16"/>
        </w:rPr>
        <w:t>Centers for Disease Control and Prevention (CDC) 202</w:t>
      </w:r>
      <w:r w:rsidR="00F54688">
        <w:rPr>
          <w:sz w:val="16"/>
        </w:rPr>
        <w:t>4, JYNNEOS Vaccine Additional Considerations for Intradermal Administration</w:t>
      </w:r>
      <w:r w:rsidR="00F54688" w:rsidRPr="00450B24">
        <w:rPr>
          <w:sz w:val="16"/>
        </w:rPr>
        <w:t xml:space="preserve"> &lt;</w:t>
      </w:r>
      <w:hyperlink r:id="rId33" w:history="1">
        <w:r w:rsidR="00F54688" w:rsidRPr="00450B24">
          <w:rPr>
            <w:rStyle w:val="Hyperlink"/>
            <w:sz w:val="16"/>
          </w:rPr>
          <w:t>https://www.cdc.gov/poxvirus/monkeypox/interim-considerations/jynneos-vaccine.html</w:t>
        </w:r>
      </w:hyperlink>
      <w:r w:rsidR="00F54688" w:rsidRPr="00450B24">
        <w:rPr>
          <w:sz w:val="16"/>
        </w:rPr>
        <w:t>&gt;</w:t>
      </w:r>
    </w:p>
  </w:footnote>
  <w:footnote w:id="35">
    <w:p w14:paraId="33F90F9F" w14:textId="3F723AAC" w:rsidR="00684AF6" w:rsidRDefault="00684AF6">
      <w:pPr>
        <w:pStyle w:val="FootnoteText"/>
      </w:pPr>
      <w:r>
        <w:rPr>
          <w:rStyle w:val="FootnoteReference"/>
        </w:rPr>
        <w:footnoteRef/>
      </w:r>
      <w:r>
        <w:t xml:space="preserve"> </w:t>
      </w:r>
      <w:r w:rsidR="00D44CA2" w:rsidRPr="00953BA0">
        <w:rPr>
          <w:sz w:val="16"/>
        </w:rPr>
        <w:t xml:space="preserve">ATAGI </w:t>
      </w:r>
      <w:r w:rsidR="00D44CA2">
        <w:rPr>
          <w:sz w:val="16"/>
        </w:rPr>
        <w:t xml:space="preserve">Dec 2022 </w:t>
      </w:r>
      <w:r w:rsidR="00D44CA2" w:rsidRPr="00953BA0">
        <w:rPr>
          <w:i/>
          <w:iCs/>
          <w:sz w:val="16"/>
        </w:rPr>
        <w:t>Updated ATAGI clinical guidance on vaccination against monkeypox (mpox)</w:t>
      </w:r>
      <w:r w:rsidR="00D44CA2" w:rsidRPr="00953BA0">
        <w:rPr>
          <w:sz w:val="16"/>
        </w:rPr>
        <w:t xml:space="preserve"> </w:t>
      </w:r>
      <w:hyperlink r:id="rId34" w:history="1">
        <w:r w:rsidR="00D44CA2">
          <w:rPr>
            <w:rStyle w:val="Hyperlink"/>
            <w:sz w:val="16"/>
          </w:rPr>
          <w:t>https://www.health.gov.au/resources/publications/atagi-clinical-guidance-on-vaccination-against-monkeypox?language=en</w:t>
        </w:r>
      </w:hyperlink>
    </w:p>
  </w:footnote>
  <w:footnote w:id="36">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35"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37">
    <w:p w14:paraId="472EF3A3" w14:textId="0AEB7D46" w:rsidR="00077DBB" w:rsidRPr="000A63AE" w:rsidRDefault="00077DBB"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36"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8">
    <w:p w14:paraId="56C095DB" w14:textId="20674FED" w:rsidR="002D100C" w:rsidRPr="000A63AE" w:rsidRDefault="002D100C" w:rsidP="00A673CE">
      <w:pPr>
        <w:pStyle w:val="Bullet1"/>
        <w:numPr>
          <w:ilvl w:val="0"/>
          <w:numId w:val="0"/>
        </w:numPr>
        <w:spacing w:after="0" w:line="240" w:lineRule="atLeast"/>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37"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9">
    <w:p w14:paraId="020F60C7" w14:textId="5CED473C" w:rsidR="00684CB9" w:rsidRPr="000A63AE" w:rsidRDefault="00F5320A"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38" w:history="1">
        <w:r w:rsidR="00684CB9" w:rsidRPr="00974AF9">
          <w:rPr>
            <w:rStyle w:val="Hyperlink"/>
            <w:sz w:val="16"/>
          </w:rPr>
          <w:t>https://immunisationhandbook.health.gov.au/resources/publications/preparing-an-anaphylaxis-response-kit</w:t>
        </w:r>
      </w:hyperlink>
      <w:r w:rsidR="00EF7E03">
        <w:rPr>
          <w:sz w:val="16"/>
        </w:rPr>
        <w:t>&gt;</w:t>
      </w:r>
    </w:p>
  </w:footnote>
  <w:footnote w:id="40">
    <w:p w14:paraId="3C810F41" w14:textId="1E126F43" w:rsidR="00987DD3" w:rsidRPr="000A63AE" w:rsidRDefault="00746F84"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9" w:history="1">
        <w:r w:rsidR="00EF7E03" w:rsidRPr="004A2514">
          <w:rPr>
            <w:rStyle w:val="Hyperlink"/>
            <w:sz w:val="16"/>
          </w:rPr>
          <w:t>https://www.bettersafercare.vic.gov.au/clinical-guidance/emergency/anaphylaxis-adults</w:t>
        </w:r>
      </w:hyperlink>
      <w:r w:rsidR="005F68D3">
        <w:rPr>
          <w:sz w:val="16"/>
        </w:rPr>
        <w:t>&gt;</w:t>
      </w:r>
    </w:p>
  </w:footnote>
  <w:footnote w:id="41">
    <w:p w14:paraId="31886D2D" w14:textId="3FF58EC3" w:rsidR="009D0D3F" w:rsidRPr="004F142D" w:rsidRDefault="009D0D3F" w:rsidP="00A673CE">
      <w:pPr>
        <w:shd w:val="clear" w:color="auto" w:fill="FFFFFF"/>
        <w:spacing w:after="0" w:line="240" w:lineRule="atLeast"/>
        <w:outlineLvl w:val="0"/>
        <w:rPr>
          <w:sz w:val="16"/>
          <w:szCs w:val="16"/>
        </w:rPr>
      </w:pPr>
      <w:r w:rsidRPr="004F142D">
        <w:rPr>
          <w:rStyle w:val="FootnoteReference"/>
          <w:sz w:val="16"/>
          <w:szCs w:val="16"/>
        </w:rPr>
        <w:footnoteRef/>
      </w:r>
      <w:r w:rsidRPr="004F142D">
        <w:rPr>
          <w:sz w:val="16"/>
          <w:szCs w:val="16"/>
        </w:rPr>
        <w:t xml:space="preserve"> </w:t>
      </w:r>
      <w:r w:rsidR="003A7E2A" w:rsidRPr="00183970">
        <w:rPr>
          <w:rFonts w:cs="Arial"/>
          <w:color w:val="313131"/>
          <w:sz w:val="16"/>
          <w:szCs w:val="16"/>
          <w:shd w:val="clear" w:color="auto" w:fill="FFFFFF"/>
        </w:rPr>
        <w:t xml:space="preserve">ATAGI 2022 </w:t>
      </w:r>
      <w:r w:rsidR="00183970" w:rsidRPr="00183970">
        <w:rPr>
          <w:rFonts w:cs="Arial"/>
          <w:color w:val="313131"/>
          <w:kern w:val="36"/>
          <w:sz w:val="16"/>
          <w:szCs w:val="16"/>
          <w:lang w:eastAsia="en-AU"/>
        </w:rPr>
        <w:t xml:space="preserve">Table. </w:t>
      </w:r>
      <w:r w:rsidR="00183970" w:rsidRPr="004F142D">
        <w:rPr>
          <w:rFonts w:cs="Arial"/>
          <w:i/>
          <w:iCs/>
          <w:color w:val="313131"/>
          <w:kern w:val="36"/>
          <w:sz w:val="16"/>
          <w:szCs w:val="16"/>
          <w:lang w:eastAsia="en-AU"/>
        </w:rPr>
        <w:t>Clinical features that may help differentiate between a vasovagal episode and anaphylaxis</w:t>
      </w:r>
      <w:r w:rsidR="00183970" w:rsidRPr="00183970">
        <w:rPr>
          <w:rFonts w:cs="Arial"/>
          <w:color w:val="313131"/>
          <w:kern w:val="36"/>
          <w:sz w:val="16"/>
          <w:szCs w:val="16"/>
          <w:lang w:eastAsia="en-AU"/>
        </w:rPr>
        <w:t xml:space="preserve">, </w:t>
      </w:r>
      <w:r w:rsidR="003A7E2A" w:rsidRPr="00183970">
        <w:rPr>
          <w:rFonts w:cs="Arial"/>
          <w:color w:val="313131"/>
          <w:sz w:val="16"/>
          <w:szCs w:val="16"/>
          <w:shd w:val="clear" w:color="auto" w:fill="FFFFFF"/>
        </w:rPr>
        <w:t>A</w:t>
      </w:r>
      <w:r w:rsidR="003A7E2A" w:rsidRPr="00183970">
        <w:rPr>
          <w:rFonts w:cs="Arial"/>
          <w:i/>
          <w:iCs/>
          <w:color w:val="313131"/>
          <w:sz w:val="16"/>
          <w:szCs w:val="16"/>
          <w:shd w:val="clear" w:color="auto" w:fill="FFFFFF"/>
        </w:rPr>
        <w:t>ustralian Immunisation Handbook,</w:t>
      </w:r>
      <w:r w:rsidR="003A7E2A" w:rsidRPr="00183970">
        <w:rPr>
          <w:rFonts w:cs="Arial"/>
          <w:color w:val="313131"/>
          <w:sz w:val="16"/>
          <w:szCs w:val="16"/>
          <w:shd w:val="clear" w:color="auto" w:fill="FFFFFF"/>
        </w:rPr>
        <w:t xml:space="preserve"> Australian Government Department of Health and Aged Care</w:t>
      </w:r>
      <w:r w:rsidR="00FB70E8">
        <w:rPr>
          <w:rFonts w:cs="Arial"/>
          <w:color w:val="313131"/>
          <w:sz w:val="16"/>
          <w:szCs w:val="16"/>
          <w:shd w:val="clear" w:color="auto" w:fill="FFFFFF"/>
        </w:rPr>
        <w:t>.</w:t>
      </w:r>
      <w:r w:rsidR="003A7E2A" w:rsidRPr="00183970">
        <w:rPr>
          <w:color w:val="365F91" w:themeColor="accent1" w:themeShade="BF"/>
          <w:sz w:val="16"/>
          <w:szCs w:val="16"/>
        </w:rPr>
        <w:t xml:space="preserve"> </w:t>
      </w:r>
      <w:r w:rsidR="00FB70E8">
        <w:rPr>
          <w:color w:val="365F91" w:themeColor="accent1" w:themeShade="BF"/>
          <w:sz w:val="16"/>
          <w:szCs w:val="16"/>
        </w:rPr>
        <w:t>&lt;</w:t>
      </w:r>
      <w:hyperlink r:id="rId40" w:history="1">
        <w:r w:rsidR="00FB70E8" w:rsidRPr="00FB70E8">
          <w:rPr>
            <w:rStyle w:val="Hyperlink"/>
            <w:sz w:val="16"/>
            <w:szCs w:val="16"/>
          </w:rPr>
          <w:t>https://immunisationhandbook.health.gov.au/resources/tables/table-clinical-features-that-may-help-differentiate-between-a-vasovagal-episode-and-anaphylaxis</w:t>
        </w:r>
      </w:hyperlink>
      <w:r w:rsidR="00FB70E8">
        <w:rPr>
          <w:color w:val="365F91" w:themeColor="accent1" w:themeShade="BF"/>
          <w:sz w:val="16"/>
          <w:szCs w:val="16"/>
        </w:rPr>
        <w:t>&gt;</w:t>
      </w:r>
      <w:r w:rsidR="003A7E2A" w:rsidRPr="00183970">
        <w:rPr>
          <w:color w:val="365F91" w:themeColor="accent1" w:themeShade="BF"/>
          <w:sz w:val="16"/>
          <w:szCs w:val="16"/>
        </w:rPr>
        <w:t xml:space="preserve"> </w:t>
      </w:r>
    </w:p>
  </w:footnote>
  <w:footnote w:id="42">
    <w:p w14:paraId="6F457F71" w14:textId="1ECF4502" w:rsidR="00077DBB" w:rsidRPr="00F53379" w:rsidRDefault="00077DBB" w:rsidP="00A673CE">
      <w:pPr>
        <w:pStyle w:val="FootnoteText"/>
        <w:spacing w:before="0" w:after="0" w:line="240" w:lineRule="atLeas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41"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43">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657112">
        <w:rPr>
          <w:i/>
          <w:iCs/>
          <w:sz w:val="16"/>
        </w:rPr>
        <w:t>Mpox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42"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44">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43" w:history="1">
        <w:r w:rsidR="001C6BF1" w:rsidRPr="00A13632">
          <w:rPr>
            <w:rStyle w:val="Hyperlink"/>
            <w:sz w:val="16"/>
          </w:rPr>
          <w:t>https://immunisationhandbook.health.gov.au/</w:t>
        </w:r>
      </w:hyperlink>
    </w:p>
  </w:footnote>
  <w:footnote w:id="45">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44"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46">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45" w:history="1">
        <w:r w:rsidR="007A1D30" w:rsidRPr="004D7C0F">
          <w:rPr>
            <w:rStyle w:val="Hyperlink"/>
            <w:sz w:val="16"/>
          </w:rPr>
          <w:t>https://www.legislation.vic.gov.au/in-force/acts/health-records-act-2001/046</w:t>
        </w:r>
      </w:hyperlink>
      <w:r w:rsidR="00C15314">
        <w:rPr>
          <w:rStyle w:val="Hyperlink"/>
          <w:sz w:val="16"/>
        </w:rPr>
        <w:t>&gt;</w:t>
      </w:r>
    </w:p>
  </w:footnote>
  <w:footnote w:id="47">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46" w:history="1">
        <w:r w:rsidR="004D7C0F" w:rsidRPr="00E60248">
          <w:rPr>
            <w:rStyle w:val="Hyperlink"/>
            <w:sz w:val="16"/>
          </w:rPr>
          <w:t>https://www.worksafe.vic.gov.au/occupational-health-and-safety-act-and-regulations</w:t>
        </w:r>
      </w:hyperlink>
      <w:r w:rsidR="00462100">
        <w:rPr>
          <w:sz w:val="16"/>
        </w:rPr>
        <w:t>&gt;</w:t>
      </w:r>
    </w:p>
  </w:footnote>
  <w:footnote w:id="48">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47"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9">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48" w:history="1">
        <w:r w:rsidR="00B42401" w:rsidRPr="009202D3">
          <w:rPr>
            <w:rStyle w:val="Hyperlink"/>
            <w:sz w:val="16"/>
          </w:rPr>
          <w:t>https://www.health.vic.gov.au/drugs-and-poisons/nurse-practitioners-legislative-requirements</w:t>
        </w:r>
      </w:hyperlink>
      <w:r w:rsidR="00B42401" w:rsidRPr="009202D3">
        <w:rPr>
          <w:sz w:val="16"/>
        </w:rPr>
        <w:t>&gt;</w:t>
      </w:r>
    </w:p>
  </w:footnote>
  <w:footnote w:id="50">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09" w:name="_Hlk115877333"/>
      <w:r w:rsidR="0053604E" w:rsidRPr="009202D3">
        <w:rPr>
          <w:sz w:val="16"/>
        </w:rPr>
        <w:t>State Gover</w:t>
      </w:r>
      <w:r w:rsidR="0007001A" w:rsidRPr="009202D3">
        <w:rPr>
          <w:sz w:val="16"/>
        </w:rPr>
        <w:t>n</w:t>
      </w:r>
      <w:r w:rsidR="0053604E" w:rsidRPr="009202D3">
        <w:rPr>
          <w:sz w:val="16"/>
        </w:rPr>
        <w:t xml:space="preserve">ment of Victoria </w:t>
      </w:r>
      <w:bookmarkEnd w:id="209"/>
      <w:r w:rsidR="0099708D" w:rsidRPr="009202D3">
        <w:rPr>
          <w:sz w:val="16"/>
        </w:rPr>
        <w:t>&lt;</w:t>
      </w:r>
      <w:hyperlink r:id="rId49"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51">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50"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52">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51"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53">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52"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B2C2" w14:textId="77777777" w:rsidR="002125D0" w:rsidRDefault="0021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ABF2" w14:textId="77777777" w:rsidR="002125D0" w:rsidRDefault="00212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42F"/>
    <w:multiLevelType w:val="hybridMultilevel"/>
    <w:tmpl w:val="2216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423AC"/>
    <w:multiLevelType w:val="hybridMultilevel"/>
    <w:tmpl w:val="777EC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3" w15:restartNumberingAfterBreak="0">
    <w:nsid w:val="45C422F8"/>
    <w:multiLevelType w:val="multilevel"/>
    <w:tmpl w:val="547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29"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B92757"/>
    <w:multiLevelType w:val="hybridMultilevel"/>
    <w:tmpl w:val="F2C64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39" w15:restartNumberingAfterBreak="0">
    <w:nsid w:val="5D4D147C"/>
    <w:multiLevelType w:val="hybridMultilevel"/>
    <w:tmpl w:val="394C8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41"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42"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C472417"/>
    <w:multiLevelType w:val="hybridMultilevel"/>
    <w:tmpl w:val="9E4E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50"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51"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0"/>
  </w:num>
  <w:num w:numId="2" w16cid:durableId="1137651004">
    <w:abstractNumId w:val="32"/>
  </w:num>
  <w:num w:numId="3" w16cid:durableId="1247033177">
    <w:abstractNumId w:val="31"/>
  </w:num>
  <w:num w:numId="4" w16cid:durableId="2146308957">
    <w:abstractNumId w:val="45"/>
  </w:num>
  <w:num w:numId="5" w16cid:durableId="2147121850">
    <w:abstractNumId w:val="21"/>
  </w:num>
  <w:num w:numId="6" w16cid:durableId="1878078393">
    <w:abstractNumId w:val="1"/>
  </w:num>
  <w:num w:numId="7" w16cid:durableId="232279847">
    <w:abstractNumId w:val="50"/>
  </w:num>
  <w:num w:numId="8" w16cid:durableId="1480684692">
    <w:abstractNumId w:val="49"/>
  </w:num>
  <w:num w:numId="9" w16cid:durableId="397673636">
    <w:abstractNumId w:val="38"/>
  </w:num>
  <w:num w:numId="10" w16cid:durableId="1991054910">
    <w:abstractNumId w:val="43"/>
  </w:num>
  <w:num w:numId="11" w16cid:durableId="1867786047">
    <w:abstractNumId w:val="28"/>
  </w:num>
  <w:num w:numId="12" w16cid:durableId="416100910">
    <w:abstractNumId w:val="4"/>
  </w:num>
  <w:num w:numId="13" w16cid:durableId="481849233">
    <w:abstractNumId w:val="33"/>
  </w:num>
  <w:num w:numId="14" w16cid:durableId="894656734">
    <w:abstractNumId w:val="41"/>
  </w:num>
  <w:num w:numId="15" w16cid:durableId="1935816512">
    <w:abstractNumId w:val="18"/>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4"/>
  </w:num>
  <w:num w:numId="17" w16cid:durableId="1976593946">
    <w:abstractNumId w:val="42"/>
  </w:num>
  <w:num w:numId="18" w16cid:durableId="1406756740">
    <w:abstractNumId w:val="19"/>
  </w:num>
  <w:num w:numId="19" w16cid:durableId="14694134">
    <w:abstractNumId w:val="44"/>
  </w:num>
  <w:num w:numId="20" w16cid:durableId="1285883988">
    <w:abstractNumId w:val="17"/>
  </w:num>
  <w:num w:numId="21" w16cid:durableId="1015575956">
    <w:abstractNumId w:val="40"/>
  </w:num>
  <w:num w:numId="22" w16cid:durableId="1847163716">
    <w:abstractNumId w:val="55"/>
  </w:num>
  <w:num w:numId="23" w16cid:durableId="1639727673">
    <w:abstractNumId w:val="22"/>
  </w:num>
  <w:num w:numId="24" w16cid:durableId="65929859">
    <w:abstractNumId w:val="46"/>
  </w:num>
  <w:num w:numId="25" w16cid:durableId="906183810">
    <w:abstractNumId w:val="26"/>
  </w:num>
  <w:num w:numId="26" w16cid:durableId="1652173048">
    <w:abstractNumId w:val="11"/>
  </w:num>
  <w:num w:numId="27" w16cid:durableId="380594117">
    <w:abstractNumId w:val="14"/>
  </w:num>
  <w:num w:numId="28" w16cid:durableId="50471302">
    <w:abstractNumId w:val="53"/>
  </w:num>
  <w:num w:numId="29" w16cid:durableId="217742847">
    <w:abstractNumId w:val="13"/>
  </w:num>
  <w:num w:numId="30" w16cid:durableId="805439618">
    <w:abstractNumId w:val="52"/>
  </w:num>
  <w:num w:numId="31" w16cid:durableId="1909530783">
    <w:abstractNumId w:val="10"/>
  </w:num>
  <w:num w:numId="32" w16cid:durableId="1375275884">
    <w:abstractNumId w:val="30"/>
  </w:num>
  <w:num w:numId="33" w16cid:durableId="719598892">
    <w:abstractNumId w:val="27"/>
  </w:num>
  <w:num w:numId="34" w16cid:durableId="1931230610">
    <w:abstractNumId w:val="15"/>
  </w:num>
  <w:num w:numId="35" w16cid:durableId="122507421">
    <w:abstractNumId w:val="16"/>
  </w:num>
  <w:num w:numId="36" w16cid:durableId="378944007">
    <w:abstractNumId w:val="25"/>
  </w:num>
  <w:num w:numId="37" w16cid:durableId="1596938625">
    <w:abstractNumId w:val="9"/>
  </w:num>
  <w:num w:numId="38" w16cid:durableId="663777035">
    <w:abstractNumId w:val="54"/>
  </w:num>
  <w:num w:numId="39" w16cid:durableId="1905067274">
    <w:abstractNumId w:val="12"/>
  </w:num>
  <w:num w:numId="40" w16cid:durableId="1723209860">
    <w:abstractNumId w:val="8"/>
  </w:num>
  <w:num w:numId="41" w16cid:durableId="501236457">
    <w:abstractNumId w:val="7"/>
  </w:num>
  <w:num w:numId="42" w16cid:durableId="638270356">
    <w:abstractNumId w:val="35"/>
  </w:num>
  <w:num w:numId="43" w16cid:durableId="1184901889">
    <w:abstractNumId w:val="5"/>
  </w:num>
  <w:num w:numId="44" w16cid:durableId="1929461466">
    <w:abstractNumId w:val="48"/>
  </w:num>
  <w:num w:numId="45" w16cid:durableId="1079476152">
    <w:abstractNumId w:val="29"/>
  </w:num>
  <w:num w:numId="46" w16cid:durableId="557933213">
    <w:abstractNumId w:val="6"/>
  </w:num>
  <w:num w:numId="47" w16cid:durableId="1892694182">
    <w:abstractNumId w:val="24"/>
  </w:num>
  <w:num w:numId="48" w16cid:durableId="1912348865">
    <w:abstractNumId w:val="37"/>
  </w:num>
  <w:num w:numId="49" w16cid:durableId="2096432133">
    <w:abstractNumId w:val="2"/>
  </w:num>
  <w:num w:numId="50" w16cid:durableId="4798552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07723996">
    <w:abstractNumId w:val="36"/>
  </w:num>
  <w:num w:numId="52" w16cid:durableId="2008895416">
    <w:abstractNumId w:val="0"/>
  </w:num>
  <w:num w:numId="53" w16cid:durableId="101264772">
    <w:abstractNumId w:val="23"/>
  </w:num>
  <w:num w:numId="54" w16cid:durableId="1440418645">
    <w:abstractNumId w:val="47"/>
  </w:num>
  <w:num w:numId="55" w16cid:durableId="1452474649">
    <w:abstractNumId w:val="39"/>
  </w:num>
  <w:num w:numId="56" w16cid:durableId="1127889179">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6EE1"/>
    <w:rsid w:val="000072B6"/>
    <w:rsid w:val="00007DC9"/>
    <w:rsid w:val="0001021B"/>
    <w:rsid w:val="0001173E"/>
    <w:rsid w:val="0001179B"/>
    <w:rsid w:val="00011A00"/>
    <w:rsid w:val="00011D89"/>
    <w:rsid w:val="000124CF"/>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32"/>
    <w:rsid w:val="00023E44"/>
    <w:rsid w:val="000242D9"/>
    <w:rsid w:val="00024AF3"/>
    <w:rsid w:val="00024D89"/>
    <w:rsid w:val="000250B6"/>
    <w:rsid w:val="00025384"/>
    <w:rsid w:val="00025E0B"/>
    <w:rsid w:val="0002657B"/>
    <w:rsid w:val="000268F9"/>
    <w:rsid w:val="000278F8"/>
    <w:rsid w:val="00027A28"/>
    <w:rsid w:val="00030CDD"/>
    <w:rsid w:val="00031009"/>
    <w:rsid w:val="0003146B"/>
    <w:rsid w:val="00031E51"/>
    <w:rsid w:val="00032368"/>
    <w:rsid w:val="000324C2"/>
    <w:rsid w:val="00032651"/>
    <w:rsid w:val="000328AE"/>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AC7"/>
    <w:rsid w:val="00060B37"/>
    <w:rsid w:val="00060C8F"/>
    <w:rsid w:val="00061230"/>
    <w:rsid w:val="0006154A"/>
    <w:rsid w:val="000618A8"/>
    <w:rsid w:val="00061DFC"/>
    <w:rsid w:val="00062522"/>
    <w:rsid w:val="0006269C"/>
    <w:rsid w:val="0006298A"/>
    <w:rsid w:val="000641BF"/>
    <w:rsid w:val="0006582B"/>
    <w:rsid w:val="00065A25"/>
    <w:rsid w:val="00065D84"/>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543"/>
    <w:rsid w:val="000A186C"/>
    <w:rsid w:val="000A189B"/>
    <w:rsid w:val="000A1EA4"/>
    <w:rsid w:val="000A2476"/>
    <w:rsid w:val="000A2497"/>
    <w:rsid w:val="000A3360"/>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4480"/>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4655"/>
    <w:rsid w:val="000E524E"/>
    <w:rsid w:val="000E54DF"/>
    <w:rsid w:val="000E62A2"/>
    <w:rsid w:val="000E6AC6"/>
    <w:rsid w:val="000E6BD4"/>
    <w:rsid w:val="000E6D6D"/>
    <w:rsid w:val="000E7E3A"/>
    <w:rsid w:val="000F1686"/>
    <w:rsid w:val="000F1F1E"/>
    <w:rsid w:val="000F2259"/>
    <w:rsid w:val="000F2DDA"/>
    <w:rsid w:val="000F2EA0"/>
    <w:rsid w:val="000F30D2"/>
    <w:rsid w:val="000F42BA"/>
    <w:rsid w:val="000F47E3"/>
    <w:rsid w:val="000F4C96"/>
    <w:rsid w:val="000F5141"/>
    <w:rsid w:val="000F5213"/>
    <w:rsid w:val="000F52BE"/>
    <w:rsid w:val="000F54CD"/>
    <w:rsid w:val="000F5AF7"/>
    <w:rsid w:val="000F6370"/>
    <w:rsid w:val="000F6CDA"/>
    <w:rsid w:val="000F6DAC"/>
    <w:rsid w:val="000F7A03"/>
    <w:rsid w:val="000F7F6F"/>
    <w:rsid w:val="001004E6"/>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8AA"/>
    <w:rsid w:val="00107F8A"/>
    <w:rsid w:val="00110BDF"/>
    <w:rsid w:val="00110C8E"/>
    <w:rsid w:val="00110F21"/>
    <w:rsid w:val="00111082"/>
    <w:rsid w:val="0011150D"/>
    <w:rsid w:val="0011202A"/>
    <w:rsid w:val="001120C5"/>
    <w:rsid w:val="00112EF9"/>
    <w:rsid w:val="001130BB"/>
    <w:rsid w:val="00113C20"/>
    <w:rsid w:val="00113E65"/>
    <w:rsid w:val="00113FB0"/>
    <w:rsid w:val="00114717"/>
    <w:rsid w:val="00114926"/>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650"/>
    <w:rsid w:val="00125CBE"/>
    <w:rsid w:val="00125DB5"/>
    <w:rsid w:val="0012645D"/>
    <w:rsid w:val="00126747"/>
    <w:rsid w:val="001276FA"/>
    <w:rsid w:val="00127D2B"/>
    <w:rsid w:val="00130629"/>
    <w:rsid w:val="00131525"/>
    <w:rsid w:val="001322C5"/>
    <w:rsid w:val="00133A66"/>
    <w:rsid w:val="00134DBD"/>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45A"/>
    <w:rsid w:val="001515EF"/>
    <w:rsid w:val="00152073"/>
    <w:rsid w:val="00152329"/>
    <w:rsid w:val="00152450"/>
    <w:rsid w:val="001529D9"/>
    <w:rsid w:val="00152B58"/>
    <w:rsid w:val="00152D80"/>
    <w:rsid w:val="00153745"/>
    <w:rsid w:val="001539DE"/>
    <w:rsid w:val="0015456E"/>
    <w:rsid w:val="001546CD"/>
    <w:rsid w:val="0015595B"/>
    <w:rsid w:val="001560A7"/>
    <w:rsid w:val="00156598"/>
    <w:rsid w:val="00156E5B"/>
    <w:rsid w:val="00156FA0"/>
    <w:rsid w:val="00157709"/>
    <w:rsid w:val="00157876"/>
    <w:rsid w:val="00157CE2"/>
    <w:rsid w:val="00160B11"/>
    <w:rsid w:val="00161259"/>
    <w:rsid w:val="00161285"/>
    <w:rsid w:val="00161552"/>
    <w:rsid w:val="00161939"/>
    <w:rsid w:val="00161AA0"/>
    <w:rsid w:val="00161D2E"/>
    <w:rsid w:val="00161E30"/>
    <w:rsid w:val="00161F3E"/>
    <w:rsid w:val="00162093"/>
    <w:rsid w:val="001627ED"/>
    <w:rsid w:val="00162CA9"/>
    <w:rsid w:val="00163438"/>
    <w:rsid w:val="0016376A"/>
    <w:rsid w:val="00163A0A"/>
    <w:rsid w:val="00163E43"/>
    <w:rsid w:val="00163FE7"/>
    <w:rsid w:val="00165258"/>
    <w:rsid w:val="00165459"/>
    <w:rsid w:val="001657EC"/>
    <w:rsid w:val="00165A57"/>
    <w:rsid w:val="00165CF0"/>
    <w:rsid w:val="00166238"/>
    <w:rsid w:val="00166AF6"/>
    <w:rsid w:val="00167390"/>
    <w:rsid w:val="00170547"/>
    <w:rsid w:val="0017058E"/>
    <w:rsid w:val="0017106C"/>
    <w:rsid w:val="001712C2"/>
    <w:rsid w:val="0017159D"/>
    <w:rsid w:val="001719AE"/>
    <w:rsid w:val="001723BB"/>
    <w:rsid w:val="001723C4"/>
    <w:rsid w:val="00172A17"/>
    <w:rsid w:val="00172BAF"/>
    <w:rsid w:val="00172C03"/>
    <w:rsid w:val="00173C67"/>
    <w:rsid w:val="00174193"/>
    <w:rsid w:val="001755C0"/>
    <w:rsid w:val="00175F9C"/>
    <w:rsid w:val="0017674D"/>
    <w:rsid w:val="001771DD"/>
    <w:rsid w:val="00177995"/>
    <w:rsid w:val="00177A8C"/>
    <w:rsid w:val="00180B38"/>
    <w:rsid w:val="00180D28"/>
    <w:rsid w:val="0018162A"/>
    <w:rsid w:val="0018244E"/>
    <w:rsid w:val="001828F6"/>
    <w:rsid w:val="00182C90"/>
    <w:rsid w:val="0018397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85"/>
    <w:rsid w:val="00196694"/>
    <w:rsid w:val="00196B7F"/>
    <w:rsid w:val="00196EB8"/>
    <w:rsid w:val="00196EFB"/>
    <w:rsid w:val="001979FF"/>
    <w:rsid w:val="00197B17"/>
    <w:rsid w:val="001A0A20"/>
    <w:rsid w:val="001A1950"/>
    <w:rsid w:val="001A1C54"/>
    <w:rsid w:val="001A1D8D"/>
    <w:rsid w:val="001A2A3A"/>
    <w:rsid w:val="001A32A4"/>
    <w:rsid w:val="001A3745"/>
    <w:rsid w:val="001A39E7"/>
    <w:rsid w:val="001A3ACE"/>
    <w:rsid w:val="001A4DA6"/>
    <w:rsid w:val="001A4F61"/>
    <w:rsid w:val="001A583A"/>
    <w:rsid w:val="001A5D39"/>
    <w:rsid w:val="001A6272"/>
    <w:rsid w:val="001A638E"/>
    <w:rsid w:val="001A6F86"/>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8F9"/>
    <w:rsid w:val="001C5C36"/>
    <w:rsid w:val="001C65E3"/>
    <w:rsid w:val="001C6BF1"/>
    <w:rsid w:val="001C6DFB"/>
    <w:rsid w:val="001C783F"/>
    <w:rsid w:val="001C7F47"/>
    <w:rsid w:val="001D05A3"/>
    <w:rsid w:val="001D0B75"/>
    <w:rsid w:val="001D0C00"/>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D59"/>
    <w:rsid w:val="001E0F4B"/>
    <w:rsid w:val="001E1331"/>
    <w:rsid w:val="001E1F5D"/>
    <w:rsid w:val="001E1F71"/>
    <w:rsid w:val="001E216B"/>
    <w:rsid w:val="001E224F"/>
    <w:rsid w:val="001E2DC1"/>
    <w:rsid w:val="001E3071"/>
    <w:rsid w:val="001E3BE0"/>
    <w:rsid w:val="001E3ECF"/>
    <w:rsid w:val="001E44DF"/>
    <w:rsid w:val="001E479B"/>
    <w:rsid w:val="001E68A5"/>
    <w:rsid w:val="001E6BB0"/>
    <w:rsid w:val="001E7282"/>
    <w:rsid w:val="001F0384"/>
    <w:rsid w:val="001F04DB"/>
    <w:rsid w:val="001F0777"/>
    <w:rsid w:val="001F0E74"/>
    <w:rsid w:val="001F0F7B"/>
    <w:rsid w:val="001F1B2C"/>
    <w:rsid w:val="001F1C31"/>
    <w:rsid w:val="001F2950"/>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5D0"/>
    <w:rsid w:val="002129AF"/>
    <w:rsid w:val="00212B95"/>
    <w:rsid w:val="00213164"/>
    <w:rsid w:val="00214481"/>
    <w:rsid w:val="00214DB8"/>
    <w:rsid w:val="00214E0C"/>
    <w:rsid w:val="002150E7"/>
    <w:rsid w:val="00215CC8"/>
    <w:rsid w:val="00215F7B"/>
    <w:rsid w:val="0021607B"/>
    <w:rsid w:val="00216C03"/>
    <w:rsid w:val="00217102"/>
    <w:rsid w:val="00220541"/>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629"/>
    <w:rsid w:val="00227728"/>
    <w:rsid w:val="00227C68"/>
    <w:rsid w:val="002300EE"/>
    <w:rsid w:val="00230396"/>
    <w:rsid w:val="00231377"/>
    <w:rsid w:val="002315D0"/>
    <w:rsid w:val="00232737"/>
    <w:rsid w:val="00232830"/>
    <w:rsid w:val="002330FF"/>
    <w:rsid w:val="002333F5"/>
    <w:rsid w:val="00233724"/>
    <w:rsid w:val="00233F35"/>
    <w:rsid w:val="002343BB"/>
    <w:rsid w:val="00234637"/>
    <w:rsid w:val="0023485F"/>
    <w:rsid w:val="00234DA7"/>
    <w:rsid w:val="00235267"/>
    <w:rsid w:val="00235ED2"/>
    <w:rsid w:val="00236199"/>
    <w:rsid w:val="00236270"/>
    <w:rsid w:val="002365B4"/>
    <w:rsid w:val="0023686A"/>
    <w:rsid w:val="00236926"/>
    <w:rsid w:val="00236E2E"/>
    <w:rsid w:val="00237630"/>
    <w:rsid w:val="00237EF0"/>
    <w:rsid w:val="002401B9"/>
    <w:rsid w:val="00240308"/>
    <w:rsid w:val="002432BB"/>
    <w:rsid w:val="002432E1"/>
    <w:rsid w:val="00243BD5"/>
    <w:rsid w:val="00243C1B"/>
    <w:rsid w:val="00244060"/>
    <w:rsid w:val="002460CE"/>
    <w:rsid w:val="00246207"/>
    <w:rsid w:val="00246564"/>
    <w:rsid w:val="00246AB5"/>
    <w:rsid w:val="00246C5E"/>
    <w:rsid w:val="0024753D"/>
    <w:rsid w:val="0025038C"/>
    <w:rsid w:val="00250960"/>
    <w:rsid w:val="00250C8F"/>
    <w:rsid w:val="00251343"/>
    <w:rsid w:val="00251A62"/>
    <w:rsid w:val="00251BA0"/>
    <w:rsid w:val="0025224B"/>
    <w:rsid w:val="002525A3"/>
    <w:rsid w:val="0025269B"/>
    <w:rsid w:val="00253028"/>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1696"/>
    <w:rsid w:val="0028213D"/>
    <w:rsid w:val="00282EAE"/>
    <w:rsid w:val="00283C45"/>
    <w:rsid w:val="00284FD6"/>
    <w:rsid w:val="00285025"/>
    <w:rsid w:val="00285778"/>
    <w:rsid w:val="002862F1"/>
    <w:rsid w:val="00287FFA"/>
    <w:rsid w:val="00291024"/>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628"/>
    <w:rsid w:val="002A0A9C"/>
    <w:rsid w:val="002A1108"/>
    <w:rsid w:val="002A1F6E"/>
    <w:rsid w:val="002A483C"/>
    <w:rsid w:val="002A48A3"/>
    <w:rsid w:val="002A51BE"/>
    <w:rsid w:val="002A571A"/>
    <w:rsid w:val="002A5725"/>
    <w:rsid w:val="002A75DA"/>
    <w:rsid w:val="002B0C7C"/>
    <w:rsid w:val="002B0D5D"/>
    <w:rsid w:val="002B1376"/>
    <w:rsid w:val="002B1729"/>
    <w:rsid w:val="002B23F7"/>
    <w:rsid w:val="002B2723"/>
    <w:rsid w:val="002B27F5"/>
    <w:rsid w:val="002B3580"/>
    <w:rsid w:val="002B36C7"/>
    <w:rsid w:val="002B3B8A"/>
    <w:rsid w:val="002B3BEB"/>
    <w:rsid w:val="002B3CC7"/>
    <w:rsid w:val="002B4203"/>
    <w:rsid w:val="002B4768"/>
    <w:rsid w:val="002B4DD4"/>
    <w:rsid w:val="002B5277"/>
    <w:rsid w:val="002B5314"/>
    <w:rsid w:val="002B5325"/>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3E21"/>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8C4"/>
    <w:rsid w:val="002E7C36"/>
    <w:rsid w:val="002E7D5A"/>
    <w:rsid w:val="002E7E62"/>
    <w:rsid w:val="002F0296"/>
    <w:rsid w:val="002F04F9"/>
    <w:rsid w:val="002F160A"/>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1135"/>
    <w:rsid w:val="00301D94"/>
    <w:rsid w:val="00302216"/>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2E"/>
    <w:rsid w:val="00342A8C"/>
    <w:rsid w:val="003434EE"/>
    <w:rsid w:val="003440B5"/>
    <w:rsid w:val="003459BD"/>
    <w:rsid w:val="00346262"/>
    <w:rsid w:val="00346E59"/>
    <w:rsid w:val="00347AB5"/>
    <w:rsid w:val="00347CF1"/>
    <w:rsid w:val="00350BE3"/>
    <w:rsid w:val="00350D38"/>
    <w:rsid w:val="00350D8F"/>
    <w:rsid w:val="0035103D"/>
    <w:rsid w:val="00351715"/>
    <w:rsid w:val="00351B36"/>
    <w:rsid w:val="00351E84"/>
    <w:rsid w:val="00352A28"/>
    <w:rsid w:val="00352CB1"/>
    <w:rsid w:val="00354C4D"/>
    <w:rsid w:val="0035532D"/>
    <w:rsid w:val="00355AE6"/>
    <w:rsid w:val="003572B0"/>
    <w:rsid w:val="00357B4E"/>
    <w:rsid w:val="00360320"/>
    <w:rsid w:val="00360610"/>
    <w:rsid w:val="00360F10"/>
    <w:rsid w:val="003615D8"/>
    <w:rsid w:val="0036197D"/>
    <w:rsid w:val="00362606"/>
    <w:rsid w:val="00362882"/>
    <w:rsid w:val="00362CDB"/>
    <w:rsid w:val="00362CE2"/>
    <w:rsid w:val="00362D9A"/>
    <w:rsid w:val="00363C5B"/>
    <w:rsid w:val="003641BB"/>
    <w:rsid w:val="0036465D"/>
    <w:rsid w:val="0036469F"/>
    <w:rsid w:val="00364D03"/>
    <w:rsid w:val="00364E73"/>
    <w:rsid w:val="00365B63"/>
    <w:rsid w:val="0036624A"/>
    <w:rsid w:val="00367DB8"/>
    <w:rsid w:val="00371124"/>
    <w:rsid w:val="003712C4"/>
    <w:rsid w:val="00371499"/>
    <w:rsid w:val="003716FD"/>
    <w:rsid w:val="00371EB1"/>
    <w:rsid w:val="0037204B"/>
    <w:rsid w:val="003741C6"/>
    <w:rsid w:val="0037420C"/>
    <w:rsid w:val="003744CF"/>
    <w:rsid w:val="00374717"/>
    <w:rsid w:val="003764BA"/>
    <w:rsid w:val="0037676C"/>
    <w:rsid w:val="00377F8D"/>
    <w:rsid w:val="0038074C"/>
    <w:rsid w:val="00381043"/>
    <w:rsid w:val="00381151"/>
    <w:rsid w:val="0038282F"/>
    <w:rsid w:val="003829E5"/>
    <w:rsid w:val="00382BB1"/>
    <w:rsid w:val="00383371"/>
    <w:rsid w:val="003850CC"/>
    <w:rsid w:val="0038557A"/>
    <w:rsid w:val="00385899"/>
    <w:rsid w:val="00385DDB"/>
    <w:rsid w:val="0038600C"/>
    <w:rsid w:val="00386109"/>
    <w:rsid w:val="00386944"/>
    <w:rsid w:val="00386DDA"/>
    <w:rsid w:val="0038712F"/>
    <w:rsid w:val="00387611"/>
    <w:rsid w:val="003877C1"/>
    <w:rsid w:val="003905D0"/>
    <w:rsid w:val="003910DA"/>
    <w:rsid w:val="003911FA"/>
    <w:rsid w:val="003917CC"/>
    <w:rsid w:val="003928B5"/>
    <w:rsid w:val="00393CC2"/>
    <w:rsid w:val="00394CD5"/>
    <w:rsid w:val="003956CC"/>
    <w:rsid w:val="00395C9A"/>
    <w:rsid w:val="00396395"/>
    <w:rsid w:val="003976E1"/>
    <w:rsid w:val="0039778D"/>
    <w:rsid w:val="00397E3E"/>
    <w:rsid w:val="003A0853"/>
    <w:rsid w:val="003A16FE"/>
    <w:rsid w:val="003A18E6"/>
    <w:rsid w:val="003A2861"/>
    <w:rsid w:val="003A2D75"/>
    <w:rsid w:val="003A2E16"/>
    <w:rsid w:val="003A3001"/>
    <w:rsid w:val="003A3423"/>
    <w:rsid w:val="003A3F32"/>
    <w:rsid w:val="003A5DEC"/>
    <w:rsid w:val="003A6026"/>
    <w:rsid w:val="003A6B67"/>
    <w:rsid w:val="003A7809"/>
    <w:rsid w:val="003A7E2A"/>
    <w:rsid w:val="003AF685"/>
    <w:rsid w:val="003B0032"/>
    <w:rsid w:val="003B0B1E"/>
    <w:rsid w:val="003B0F1C"/>
    <w:rsid w:val="003B13B6"/>
    <w:rsid w:val="003B14C3"/>
    <w:rsid w:val="003B1580"/>
    <w:rsid w:val="003B15E6"/>
    <w:rsid w:val="003B1B14"/>
    <w:rsid w:val="003B22EF"/>
    <w:rsid w:val="003B23CC"/>
    <w:rsid w:val="003B2488"/>
    <w:rsid w:val="003B26A2"/>
    <w:rsid w:val="003B2B68"/>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589"/>
    <w:rsid w:val="003D3D88"/>
    <w:rsid w:val="003D3E8F"/>
    <w:rsid w:val="003D4A6F"/>
    <w:rsid w:val="003D52B4"/>
    <w:rsid w:val="003D5C2D"/>
    <w:rsid w:val="003D60FF"/>
    <w:rsid w:val="003D6475"/>
    <w:rsid w:val="003D65DF"/>
    <w:rsid w:val="003D6EE6"/>
    <w:rsid w:val="003E063B"/>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4CA"/>
    <w:rsid w:val="00407C2E"/>
    <w:rsid w:val="00410991"/>
    <w:rsid w:val="004109A5"/>
    <w:rsid w:val="00410A56"/>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728"/>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208"/>
    <w:rsid w:val="00437EAF"/>
    <w:rsid w:val="004406BD"/>
    <w:rsid w:val="004407D2"/>
    <w:rsid w:val="0044080B"/>
    <w:rsid w:val="00441C17"/>
    <w:rsid w:val="00441C9D"/>
    <w:rsid w:val="00442447"/>
    <w:rsid w:val="00442657"/>
    <w:rsid w:val="0044292F"/>
    <w:rsid w:val="00442C6C"/>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5741E"/>
    <w:rsid w:val="00460087"/>
    <w:rsid w:val="004605B6"/>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9D3"/>
    <w:rsid w:val="00471CBE"/>
    <w:rsid w:val="00471FD9"/>
    <w:rsid w:val="0047372D"/>
    <w:rsid w:val="00473BA3"/>
    <w:rsid w:val="00473D6D"/>
    <w:rsid w:val="004743DD"/>
    <w:rsid w:val="00474CEA"/>
    <w:rsid w:val="00474D13"/>
    <w:rsid w:val="0047519D"/>
    <w:rsid w:val="004757F1"/>
    <w:rsid w:val="00475B2F"/>
    <w:rsid w:val="00475E2F"/>
    <w:rsid w:val="00476223"/>
    <w:rsid w:val="004771BD"/>
    <w:rsid w:val="00477654"/>
    <w:rsid w:val="00480978"/>
    <w:rsid w:val="00482811"/>
    <w:rsid w:val="00483968"/>
    <w:rsid w:val="00483F30"/>
    <w:rsid w:val="00483FD3"/>
    <w:rsid w:val="004841BE"/>
    <w:rsid w:val="004846A8"/>
    <w:rsid w:val="00484C8D"/>
    <w:rsid w:val="00484F86"/>
    <w:rsid w:val="004855A6"/>
    <w:rsid w:val="004855BC"/>
    <w:rsid w:val="00486012"/>
    <w:rsid w:val="0048620A"/>
    <w:rsid w:val="00487028"/>
    <w:rsid w:val="0049004D"/>
    <w:rsid w:val="0049061D"/>
    <w:rsid w:val="00490746"/>
    <w:rsid w:val="00490852"/>
    <w:rsid w:val="00490C12"/>
    <w:rsid w:val="00491045"/>
    <w:rsid w:val="00491240"/>
    <w:rsid w:val="00491C9C"/>
    <w:rsid w:val="0049243B"/>
    <w:rsid w:val="00492F30"/>
    <w:rsid w:val="0049422C"/>
    <w:rsid w:val="004946F4"/>
    <w:rsid w:val="0049487E"/>
    <w:rsid w:val="00494AAB"/>
    <w:rsid w:val="00494BB3"/>
    <w:rsid w:val="004963E2"/>
    <w:rsid w:val="004A055A"/>
    <w:rsid w:val="004A160D"/>
    <w:rsid w:val="004A2514"/>
    <w:rsid w:val="004A27AE"/>
    <w:rsid w:val="004A3AC8"/>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4185"/>
    <w:rsid w:val="004B4552"/>
    <w:rsid w:val="004B504C"/>
    <w:rsid w:val="004B5AE7"/>
    <w:rsid w:val="004B5BDF"/>
    <w:rsid w:val="004B60A7"/>
    <w:rsid w:val="004B6768"/>
    <w:rsid w:val="004B6983"/>
    <w:rsid w:val="004B719B"/>
    <w:rsid w:val="004C119A"/>
    <w:rsid w:val="004C16EB"/>
    <w:rsid w:val="004C177F"/>
    <w:rsid w:val="004C2D89"/>
    <w:rsid w:val="004C302F"/>
    <w:rsid w:val="004C46BB"/>
    <w:rsid w:val="004C53C6"/>
    <w:rsid w:val="004C5541"/>
    <w:rsid w:val="004C59FB"/>
    <w:rsid w:val="004C6853"/>
    <w:rsid w:val="004C6EEE"/>
    <w:rsid w:val="004C702B"/>
    <w:rsid w:val="004D0033"/>
    <w:rsid w:val="004D016B"/>
    <w:rsid w:val="004D09AC"/>
    <w:rsid w:val="004D0C5D"/>
    <w:rsid w:val="004D0EC1"/>
    <w:rsid w:val="004D1B22"/>
    <w:rsid w:val="004D23CC"/>
    <w:rsid w:val="004D2CF4"/>
    <w:rsid w:val="004D2F9D"/>
    <w:rsid w:val="004D32F6"/>
    <w:rsid w:val="004D362C"/>
    <w:rsid w:val="004D36F2"/>
    <w:rsid w:val="004D3B60"/>
    <w:rsid w:val="004D3E1D"/>
    <w:rsid w:val="004D5D21"/>
    <w:rsid w:val="004D7C0F"/>
    <w:rsid w:val="004E0587"/>
    <w:rsid w:val="004E096C"/>
    <w:rsid w:val="004E1106"/>
    <w:rsid w:val="004E138F"/>
    <w:rsid w:val="004E17A9"/>
    <w:rsid w:val="004E1CA6"/>
    <w:rsid w:val="004E42CC"/>
    <w:rsid w:val="004E4649"/>
    <w:rsid w:val="004E48B8"/>
    <w:rsid w:val="004E5C12"/>
    <w:rsid w:val="004E5C2B"/>
    <w:rsid w:val="004E627D"/>
    <w:rsid w:val="004E6A06"/>
    <w:rsid w:val="004E6AA7"/>
    <w:rsid w:val="004E76D2"/>
    <w:rsid w:val="004E7876"/>
    <w:rsid w:val="004F00DD"/>
    <w:rsid w:val="004F0AB8"/>
    <w:rsid w:val="004F0E56"/>
    <w:rsid w:val="004F11F9"/>
    <w:rsid w:val="004F142D"/>
    <w:rsid w:val="004F2133"/>
    <w:rsid w:val="004F2CFD"/>
    <w:rsid w:val="004F2D38"/>
    <w:rsid w:val="004F430A"/>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860"/>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372"/>
    <w:rsid w:val="0052453E"/>
    <w:rsid w:val="00525284"/>
    <w:rsid w:val="00525AAC"/>
    <w:rsid w:val="00525EAA"/>
    <w:rsid w:val="00526826"/>
    <w:rsid w:val="00526AC7"/>
    <w:rsid w:val="00526C15"/>
    <w:rsid w:val="00530086"/>
    <w:rsid w:val="00530EE4"/>
    <w:rsid w:val="00531C4E"/>
    <w:rsid w:val="00532A66"/>
    <w:rsid w:val="00533993"/>
    <w:rsid w:val="00533F9F"/>
    <w:rsid w:val="005359AA"/>
    <w:rsid w:val="0053604E"/>
    <w:rsid w:val="00536499"/>
    <w:rsid w:val="0053675F"/>
    <w:rsid w:val="00536BFB"/>
    <w:rsid w:val="00540114"/>
    <w:rsid w:val="005402C7"/>
    <w:rsid w:val="00540AB8"/>
    <w:rsid w:val="00540FCE"/>
    <w:rsid w:val="00541988"/>
    <w:rsid w:val="0054211F"/>
    <w:rsid w:val="00542A03"/>
    <w:rsid w:val="00542A81"/>
    <w:rsid w:val="00543903"/>
    <w:rsid w:val="00543BCC"/>
    <w:rsid w:val="00543C07"/>
    <w:rsid w:val="00543C34"/>
    <w:rsid w:val="00543F11"/>
    <w:rsid w:val="0054408C"/>
    <w:rsid w:val="00544135"/>
    <w:rsid w:val="00544E55"/>
    <w:rsid w:val="00544E60"/>
    <w:rsid w:val="005457F2"/>
    <w:rsid w:val="00545D21"/>
    <w:rsid w:val="00546305"/>
    <w:rsid w:val="0054708D"/>
    <w:rsid w:val="00547A95"/>
    <w:rsid w:val="0055119B"/>
    <w:rsid w:val="00551E6A"/>
    <w:rsid w:val="0055258B"/>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784"/>
    <w:rsid w:val="00576897"/>
    <w:rsid w:val="00576A74"/>
    <w:rsid w:val="00576E84"/>
    <w:rsid w:val="0057755E"/>
    <w:rsid w:val="0057AC49"/>
    <w:rsid w:val="00580394"/>
    <w:rsid w:val="005809CD"/>
    <w:rsid w:val="00581BA6"/>
    <w:rsid w:val="00582876"/>
    <w:rsid w:val="005828BF"/>
    <w:rsid w:val="00582B8C"/>
    <w:rsid w:val="00582D99"/>
    <w:rsid w:val="00583549"/>
    <w:rsid w:val="00583C76"/>
    <w:rsid w:val="00584664"/>
    <w:rsid w:val="00585999"/>
    <w:rsid w:val="005859AB"/>
    <w:rsid w:val="005867C0"/>
    <w:rsid w:val="0058757E"/>
    <w:rsid w:val="00590BA5"/>
    <w:rsid w:val="005912F3"/>
    <w:rsid w:val="00592FB7"/>
    <w:rsid w:val="0059332D"/>
    <w:rsid w:val="0059447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0E11"/>
    <w:rsid w:val="005C24F0"/>
    <w:rsid w:val="005C49DA"/>
    <w:rsid w:val="005C50F3"/>
    <w:rsid w:val="005C54B5"/>
    <w:rsid w:val="005C5559"/>
    <w:rsid w:val="005C5D80"/>
    <w:rsid w:val="005C5D91"/>
    <w:rsid w:val="005C6AB1"/>
    <w:rsid w:val="005C6B4E"/>
    <w:rsid w:val="005C72A9"/>
    <w:rsid w:val="005D07B8"/>
    <w:rsid w:val="005D087E"/>
    <w:rsid w:val="005D12D3"/>
    <w:rsid w:val="005D3721"/>
    <w:rsid w:val="005D5520"/>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861"/>
    <w:rsid w:val="005E6A66"/>
    <w:rsid w:val="005E6BE8"/>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21A7"/>
    <w:rsid w:val="00602475"/>
    <w:rsid w:val="00603408"/>
    <w:rsid w:val="00603844"/>
    <w:rsid w:val="00603DC8"/>
    <w:rsid w:val="006041AD"/>
    <w:rsid w:val="00604C90"/>
    <w:rsid w:val="00604EEA"/>
    <w:rsid w:val="00605908"/>
    <w:rsid w:val="0060698C"/>
    <w:rsid w:val="00606B12"/>
    <w:rsid w:val="00606C54"/>
    <w:rsid w:val="00607317"/>
    <w:rsid w:val="00607850"/>
    <w:rsid w:val="00607EF7"/>
    <w:rsid w:val="00610022"/>
    <w:rsid w:val="00610993"/>
    <w:rsid w:val="00610D7C"/>
    <w:rsid w:val="006110E2"/>
    <w:rsid w:val="00611939"/>
    <w:rsid w:val="00611C14"/>
    <w:rsid w:val="0061258E"/>
    <w:rsid w:val="006126B7"/>
    <w:rsid w:val="00612768"/>
    <w:rsid w:val="00612B65"/>
    <w:rsid w:val="00612C2A"/>
    <w:rsid w:val="00613209"/>
    <w:rsid w:val="00613414"/>
    <w:rsid w:val="006143F6"/>
    <w:rsid w:val="0061440D"/>
    <w:rsid w:val="00615048"/>
    <w:rsid w:val="006157E8"/>
    <w:rsid w:val="00615839"/>
    <w:rsid w:val="0061583F"/>
    <w:rsid w:val="00615C3D"/>
    <w:rsid w:val="00616042"/>
    <w:rsid w:val="00616409"/>
    <w:rsid w:val="00620154"/>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5A8"/>
    <w:rsid w:val="00627DA7"/>
    <w:rsid w:val="006308C6"/>
    <w:rsid w:val="00630DA4"/>
    <w:rsid w:val="0063109E"/>
    <w:rsid w:val="00631CD4"/>
    <w:rsid w:val="00632597"/>
    <w:rsid w:val="00632FFC"/>
    <w:rsid w:val="00633A57"/>
    <w:rsid w:val="00634D13"/>
    <w:rsid w:val="006358B4"/>
    <w:rsid w:val="00636097"/>
    <w:rsid w:val="006367F9"/>
    <w:rsid w:val="006372F6"/>
    <w:rsid w:val="0063736F"/>
    <w:rsid w:val="0063777F"/>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1B6"/>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8C"/>
    <w:rsid w:val="00670597"/>
    <w:rsid w:val="006706D0"/>
    <w:rsid w:val="00670CDC"/>
    <w:rsid w:val="00673721"/>
    <w:rsid w:val="00673B4B"/>
    <w:rsid w:val="00673FC0"/>
    <w:rsid w:val="006768BD"/>
    <w:rsid w:val="006772DD"/>
    <w:rsid w:val="00677574"/>
    <w:rsid w:val="006808E9"/>
    <w:rsid w:val="006812ED"/>
    <w:rsid w:val="0068204A"/>
    <w:rsid w:val="00682C98"/>
    <w:rsid w:val="00683878"/>
    <w:rsid w:val="00683ACD"/>
    <w:rsid w:val="00683CA9"/>
    <w:rsid w:val="00684380"/>
    <w:rsid w:val="00684512"/>
    <w:rsid w:val="0068454C"/>
    <w:rsid w:val="00684AF6"/>
    <w:rsid w:val="00684CB9"/>
    <w:rsid w:val="00684DB1"/>
    <w:rsid w:val="006851C5"/>
    <w:rsid w:val="006855CC"/>
    <w:rsid w:val="0068611D"/>
    <w:rsid w:val="00687225"/>
    <w:rsid w:val="00690110"/>
    <w:rsid w:val="00690690"/>
    <w:rsid w:val="00690F8B"/>
    <w:rsid w:val="006911BB"/>
    <w:rsid w:val="00691B62"/>
    <w:rsid w:val="00692014"/>
    <w:rsid w:val="00692275"/>
    <w:rsid w:val="006933B5"/>
    <w:rsid w:val="00693D14"/>
    <w:rsid w:val="00694A8F"/>
    <w:rsid w:val="00695A63"/>
    <w:rsid w:val="00696B49"/>
    <w:rsid w:val="00696F27"/>
    <w:rsid w:val="006973B7"/>
    <w:rsid w:val="006A0702"/>
    <w:rsid w:val="006A0B64"/>
    <w:rsid w:val="006A0E8A"/>
    <w:rsid w:val="006A1578"/>
    <w:rsid w:val="006A18C2"/>
    <w:rsid w:val="006A18E2"/>
    <w:rsid w:val="006A1BAE"/>
    <w:rsid w:val="006A2A3E"/>
    <w:rsid w:val="006A32F3"/>
    <w:rsid w:val="006A3383"/>
    <w:rsid w:val="006A411A"/>
    <w:rsid w:val="006A4980"/>
    <w:rsid w:val="006A6FCE"/>
    <w:rsid w:val="006B00F3"/>
    <w:rsid w:val="006B077C"/>
    <w:rsid w:val="006B0FD0"/>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3AEF"/>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BFA"/>
    <w:rsid w:val="00701E8B"/>
    <w:rsid w:val="0070264F"/>
    <w:rsid w:val="007045B8"/>
    <w:rsid w:val="007047AD"/>
    <w:rsid w:val="00705312"/>
    <w:rsid w:val="007055BD"/>
    <w:rsid w:val="007055DA"/>
    <w:rsid w:val="007059DA"/>
    <w:rsid w:val="00705C2E"/>
    <w:rsid w:val="00705F75"/>
    <w:rsid w:val="0070661E"/>
    <w:rsid w:val="00706D2A"/>
    <w:rsid w:val="007071E7"/>
    <w:rsid w:val="007072C7"/>
    <w:rsid w:val="00707A80"/>
    <w:rsid w:val="00707D1A"/>
    <w:rsid w:val="007118EF"/>
    <w:rsid w:val="00712B4F"/>
    <w:rsid w:val="00712D16"/>
    <w:rsid w:val="00712DAA"/>
    <w:rsid w:val="00712F28"/>
    <w:rsid w:val="00712FA7"/>
    <w:rsid w:val="00713633"/>
    <w:rsid w:val="00715730"/>
    <w:rsid w:val="00716316"/>
    <w:rsid w:val="0071648B"/>
    <w:rsid w:val="00716960"/>
    <w:rsid w:val="00716B8D"/>
    <w:rsid w:val="00717227"/>
    <w:rsid w:val="007173CA"/>
    <w:rsid w:val="00717D71"/>
    <w:rsid w:val="00717DE6"/>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688"/>
    <w:rsid w:val="0073382A"/>
    <w:rsid w:val="007346E4"/>
    <w:rsid w:val="00735564"/>
    <w:rsid w:val="00735D8A"/>
    <w:rsid w:val="00735D94"/>
    <w:rsid w:val="00736B76"/>
    <w:rsid w:val="007370B6"/>
    <w:rsid w:val="00740452"/>
    <w:rsid w:val="00740F22"/>
    <w:rsid w:val="007415C7"/>
    <w:rsid w:val="00741CF0"/>
    <w:rsid w:val="00741DC0"/>
    <w:rsid w:val="00741F1A"/>
    <w:rsid w:val="00742225"/>
    <w:rsid w:val="007427E7"/>
    <w:rsid w:val="007447DA"/>
    <w:rsid w:val="00744DB7"/>
    <w:rsid w:val="007450F8"/>
    <w:rsid w:val="00745A60"/>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787"/>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4AC4"/>
    <w:rsid w:val="007760CD"/>
    <w:rsid w:val="0077624B"/>
    <w:rsid w:val="007764E9"/>
    <w:rsid w:val="00776928"/>
    <w:rsid w:val="00776D56"/>
    <w:rsid w:val="00776E0F"/>
    <w:rsid w:val="00776E7B"/>
    <w:rsid w:val="007774B1"/>
    <w:rsid w:val="007775C1"/>
    <w:rsid w:val="00777BE1"/>
    <w:rsid w:val="00780F12"/>
    <w:rsid w:val="0078102D"/>
    <w:rsid w:val="00781F2A"/>
    <w:rsid w:val="00782222"/>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9DC"/>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2E93"/>
    <w:rsid w:val="007F31B6"/>
    <w:rsid w:val="007F5123"/>
    <w:rsid w:val="007F546C"/>
    <w:rsid w:val="007F5B09"/>
    <w:rsid w:val="007F5BF4"/>
    <w:rsid w:val="007F625F"/>
    <w:rsid w:val="007F665E"/>
    <w:rsid w:val="007F697A"/>
    <w:rsid w:val="007F7BFE"/>
    <w:rsid w:val="00800412"/>
    <w:rsid w:val="008004BC"/>
    <w:rsid w:val="0080142A"/>
    <w:rsid w:val="00801BE1"/>
    <w:rsid w:val="0080247E"/>
    <w:rsid w:val="008036FF"/>
    <w:rsid w:val="00803E56"/>
    <w:rsid w:val="0080587B"/>
    <w:rsid w:val="00805BFB"/>
    <w:rsid w:val="00806395"/>
    <w:rsid w:val="008063DE"/>
    <w:rsid w:val="00806468"/>
    <w:rsid w:val="00806E51"/>
    <w:rsid w:val="00807295"/>
    <w:rsid w:val="00807E8C"/>
    <w:rsid w:val="00810F51"/>
    <w:rsid w:val="008119CA"/>
    <w:rsid w:val="0081239F"/>
    <w:rsid w:val="008130C4"/>
    <w:rsid w:val="00813D56"/>
    <w:rsid w:val="00813FF2"/>
    <w:rsid w:val="00814414"/>
    <w:rsid w:val="00815128"/>
    <w:rsid w:val="008153A6"/>
    <w:rsid w:val="008155F0"/>
    <w:rsid w:val="00815BD9"/>
    <w:rsid w:val="008161C3"/>
    <w:rsid w:val="00816735"/>
    <w:rsid w:val="008178F6"/>
    <w:rsid w:val="00820141"/>
    <w:rsid w:val="00820180"/>
    <w:rsid w:val="008209C9"/>
    <w:rsid w:val="00820E0C"/>
    <w:rsid w:val="00821D0B"/>
    <w:rsid w:val="0082229C"/>
    <w:rsid w:val="0082291A"/>
    <w:rsid w:val="00823275"/>
    <w:rsid w:val="0082366F"/>
    <w:rsid w:val="0082429B"/>
    <w:rsid w:val="008257B6"/>
    <w:rsid w:val="008269A7"/>
    <w:rsid w:val="00830248"/>
    <w:rsid w:val="008302B0"/>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4247"/>
    <w:rsid w:val="008453AE"/>
    <w:rsid w:val="00846D8F"/>
    <w:rsid w:val="008474FE"/>
    <w:rsid w:val="00847E2F"/>
    <w:rsid w:val="00851C49"/>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7F"/>
    <w:rsid w:val="008628DC"/>
    <w:rsid w:val="00862E53"/>
    <w:rsid w:val="008633F0"/>
    <w:rsid w:val="00863AC6"/>
    <w:rsid w:val="00863CF5"/>
    <w:rsid w:val="008649D4"/>
    <w:rsid w:val="00864B7B"/>
    <w:rsid w:val="00865031"/>
    <w:rsid w:val="008659E0"/>
    <w:rsid w:val="00865ED2"/>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88"/>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4A90"/>
    <w:rsid w:val="008A54AC"/>
    <w:rsid w:val="008A5B32"/>
    <w:rsid w:val="008A5D36"/>
    <w:rsid w:val="008A7A12"/>
    <w:rsid w:val="008B2029"/>
    <w:rsid w:val="008B2EE4"/>
    <w:rsid w:val="008B36EA"/>
    <w:rsid w:val="008B372D"/>
    <w:rsid w:val="008B3821"/>
    <w:rsid w:val="008B4D3D"/>
    <w:rsid w:val="008B57C7"/>
    <w:rsid w:val="008B7B89"/>
    <w:rsid w:val="008B7B9C"/>
    <w:rsid w:val="008B7E92"/>
    <w:rsid w:val="008C0155"/>
    <w:rsid w:val="008C01F7"/>
    <w:rsid w:val="008C0EE3"/>
    <w:rsid w:val="008C1031"/>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1839"/>
    <w:rsid w:val="008E2C27"/>
    <w:rsid w:val="008E2D57"/>
    <w:rsid w:val="008E3D7D"/>
    <w:rsid w:val="008E3EFA"/>
    <w:rsid w:val="008E4376"/>
    <w:rsid w:val="008E4677"/>
    <w:rsid w:val="008E47E2"/>
    <w:rsid w:val="008E5D7C"/>
    <w:rsid w:val="008E5D9D"/>
    <w:rsid w:val="008E667E"/>
    <w:rsid w:val="008E6F32"/>
    <w:rsid w:val="008E74C5"/>
    <w:rsid w:val="008E7719"/>
    <w:rsid w:val="008E7A0A"/>
    <w:rsid w:val="008E7B49"/>
    <w:rsid w:val="008F05C5"/>
    <w:rsid w:val="008F0959"/>
    <w:rsid w:val="008F183F"/>
    <w:rsid w:val="008F18C8"/>
    <w:rsid w:val="008F28E5"/>
    <w:rsid w:val="008F32E1"/>
    <w:rsid w:val="008F42D9"/>
    <w:rsid w:val="008F4BDC"/>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31C5"/>
    <w:rsid w:val="00903DD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22B"/>
    <w:rsid w:val="0093338F"/>
    <w:rsid w:val="00933398"/>
    <w:rsid w:val="00933A59"/>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4DD"/>
    <w:rsid w:val="0095379E"/>
    <w:rsid w:val="00953BA0"/>
    <w:rsid w:val="00953BFB"/>
    <w:rsid w:val="0095470B"/>
    <w:rsid w:val="00954874"/>
    <w:rsid w:val="00954EE4"/>
    <w:rsid w:val="009553D7"/>
    <w:rsid w:val="0095562F"/>
    <w:rsid w:val="009557A9"/>
    <w:rsid w:val="00955968"/>
    <w:rsid w:val="00955A81"/>
    <w:rsid w:val="00955AD9"/>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4A28"/>
    <w:rsid w:val="00965060"/>
    <w:rsid w:val="0096632D"/>
    <w:rsid w:val="00966CA0"/>
    <w:rsid w:val="00967124"/>
    <w:rsid w:val="0096726E"/>
    <w:rsid w:val="009701D0"/>
    <w:rsid w:val="009705A2"/>
    <w:rsid w:val="00970D15"/>
    <w:rsid w:val="0097166C"/>
    <w:rsid w:val="009717DF"/>
    <w:rsid w:val="009718C7"/>
    <w:rsid w:val="00972A1B"/>
    <w:rsid w:val="00972FFE"/>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62C"/>
    <w:rsid w:val="00984754"/>
    <w:rsid w:val="009853E1"/>
    <w:rsid w:val="009856FC"/>
    <w:rsid w:val="00985E11"/>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143A"/>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E0E"/>
    <w:rsid w:val="009C1FD6"/>
    <w:rsid w:val="009C2362"/>
    <w:rsid w:val="009C245E"/>
    <w:rsid w:val="009C323C"/>
    <w:rsid w:val="009C3263"/>
    <w:rsid w:val="009C356F"/>
    <w:rsid w:val="009C4EF4"/>
    <w:rsid w:val="009C5CF1"/>
    <w:rsid w:val="009C5E77"/>
    <w:rsid w:val="009C5F30"/>
    <w:rsid w:val="009C7A7E"/>
    <w:rsid w:val="009D02E8"/>
    <w:rsid w:val="009D0C45"/>
    <w:rsid w:val="009D0D3F"/>
    <w:rsid w:val="009D1073"/>
    <w:rsid w:val="009D16AB"/>
    <w:rsid w:val="009D20C9"/>
    <w:rsid w:val="009D20F2"/>
    <w:rsid w:val="009D3892"/>
    <w:rsid w:val="009D397D"/>
    <w:rsid w:val="009D4284"/>
    <w:rsid w:val="009D51D0"/>
    <w:rsid w:val="009D5774"/>
    <w:rsid w:val="009D683E"/>
    <w:rsid w:val="009D70A4"/>
    <w:rsid w:val="009D7B14"/>
    <w:rsid w:val="009E0403"/>
    <w:rsid w:val="009E05B3"/>
    <w:rsid w:val="009E0856"/>
    <w:rsid w:val="009E08D1"/>
    <w:rsid w:val="009E0B33"/>
    <w:rsid w:val="009E0D96"/>
    <w:rsid w:val="009E14B2"/>
    <w:rsid w:val="009E15B9"/>
    <w:rsid w:val="009E1B95"/>
    <w:rsid w:val="009E25E8"/>
    <w:rsid w:val="009E2EC1"/>
    <w:rsid w:val="009E3477"/>
    <w:rsid w:val="009E3D08"/>
    <w:rsid w:val="009E3EB4"/>
    <w:rsid w:val="009E433D"/>
    <w:rsid w:val="009E496F"/>
    <w:rsid w:val="009E4B0D"/>
    <w:rsid w:val="009E4D8B"/>
    <w:rsid w:val="009E5049"/>
    <w:rsid w:val="009E5250"/>
    <w:rsid w:val="009E5370"/>
    <w:rsid w:val="009E582A"/>
    <w:rsid w:val="009E6A5B"/>
    <w:rsid w:val="009E7A69"/>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3D"/>
    <w:rsid w:val="00A03A92"/>
    <w:rsid w:val="00A04659"/>
    <w:rsid w:val="00A04708"/>
    <w:rsid w:val="00A04C6D"/>
    <w:rsid w:val="00A04CCE"/>
    <w:rsid w:val="00A04E14"/>
    <w:rsid w:val="00A052CE"/>
    <w:rsid w:val="00A05347"/>
    <w:rsid w:val="00A05537"/>
    <w:rsid w:val="00A05741"/>
    <w:rsid w:val="00A06EB7"/>
    <w:rsid w:val="00A07421"/>
    <w:rsid w:val="00A0776B"/>
    <w:rsid w:val="00A07B21"/>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6F78"/>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39C"/>
    <w:rsid w:val="00A50CF2"/>
    <w:rsid w:val="00A5179E"/>
    <w:rsid w:val="00A51D1D"/>
    <w:rsid w:val="00A51EFD"/>
    <w:rsid w:val="00A5267D"/>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87C"/>
    <w:rsid w:val="00A66F43"/>
    <w:rsid w:val="00A67263"/>
    <w:rsid w:val="00A673CE"/>
    <w:rsid w:val="00A67625"/>
    <w:rsid w:val="00A6787D"/>
    <w:rsid w:val="00A67F61"/>
    <w:rsid w:val="00A703DE"/>
    <w:rsid w:val="00A70AE4"/>
    <w:rsid w:val="00A715C4"/>
    <w:rsid w:val="00A7161C"/>
    <w:rsid w:val="00A71CE4"/>
    <w:rsid w:val="00A72702"/>
    <w:rsid w:val="00A72780"/>
    <w:rsid w:val="00A73A9D"/>
    <w:rsid w:val="00A756F3"/>
    <w:rsid w:val="00A75ED6"/>
    <w:rsid w:val="00A762CC"/>
    <w:rsid w:val="00A76BDB"/>
    <w:rsid w:val="00A7725E"/>
    <w:rsid w:val="00A7794F"/>
    <w:rsid w:val="00A77AA3"/>
    <w:rsid w:val="00A802E0"/>
    <w:rsid w:val="00A80F64"/>
    <w:rsid w:val="00A820BF"/>
    <w:rsid w:val="00A8236D"/>
    <w:rsid w:val="00A82DD3"/>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BFE"/>
    <w:rsid w:val="00AC5E6F"/>
    <w:rsid w:val="00AC64FD"/>
    <w:rsid w:val="00AC6D36"/>
    <w:rsid w:val="00AC7882"/>
    <w:rsid w:val="00AC7A6C"/>
    <w:rsid w:val="00AC7FF1"/>
    <w:rsid w:val="00AD03CF"/>
    <w:rsid w:val="00AD0CBA"/>
    <w:rsid w:val="00AD1960"/>
    <w:rsid w:val="00AD1E76"/>
    <w:rsid w:val="00AD26E2"/>
    <w:rsid w:val="00AD402A"/>
    <w:rsid w:val="00AD4432"/>
    <w:rsid w:val="00AD4708"/>
    <w:rsid w:val="00AD4758"/>
    <w:rsid w:val="00AD4E20"/>
    <w:rsid w:val="00AD613C"/>
    <w:rsid w:val="00AD63A0"/>
    <w:rsid w:val="00AD6AF4"/>
    <w:rsid w:val="00AD784C"/>
    <w:rsid w:val="00AE003C"/>
    <w:rsid w:val="00AE0F8E"/>
    <w:rsid w:val="00AE0FAF"/>
    <w:rsid w:val="00AE126A"/>
    <w:rsid w:val="00AE18B3"/>
    <w:rsid w:val="00AE1A74"/>
    <w:rsid w:val="00AE1BAE"/>
    <w:rsid w:val="00AE2752"/>
    <w:rsid w:val="00AE2F71"/>
    <w:rsid w:val="00AE3005"/>
    <w:rsid w:val="00AE3BD5"/>
    <w:rsid w:val="00AE4D31"/>
    <w:rsid w:val="00AE59A0"/>
    <w:rsid w:val="00AE616B"/>
    <w:rsid w:val="00AE6920"/>
    <w:rsid w:val="00AE7D2C"/>
    <w:rsid w:val="00AE7F68"/>
    <w:rsid w:val="00AE7F7B"/>
    <w:rsid w:val="00AF07F8"/>
    <w:rsid w:val="00AF0C57"/>
    <w:rsid w:val="00AF1F87"/>
    <w:rsid w:val="00AF26F3"/>
    <w:rsid w:val="00AF5441"/>
    <w:rsid w:val="00AF58E2"/>
    <w:rsid w:val="00AF5F04"/>
    <w:rsid w:val="00AF6C25"/>
    <w:rsid w:val="00AF7367"/>
    <w:rsid w:val="00AF78AB"/>
    <w:rsid w:val="00AF7AA7"/>
    <w:rsid w:val="00AF7B23"/>
    <w:rsid w:val="00B00672"/>
    <w:rsid w:val="00B01967"/>
    <w:rsid w:val="00B01B4D"/>
    <w:rsid w:val="00B01E7C"/>
    <w:rsid w:val="00B04489"/>
    <w:rsid w:val="00B059F7"/>
    <w:rsid w:val="00B05BA0"/>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963"/>
    <w:rsid w:val="00B24BB4"/>
    <w:rsid w:val="00B24E6F"/>
    <w:rsid w:val="00B26CB5"/>
    <w:rsid w:val="00B26E44"/>
    <w:rsid w:val="00B2752E"/>
    <w:rsid w:val="00B307CC"/>
    <w:rsid w:val="00B309A5"/>
    <w:rsid w:val="00B30DB2"/>
    <w:rsid w:val="00B31225"/>
    <w:rsid w:val="00B3176B"/>
    <w:rsid w:val="00B31A9D"/>
    <w:rsid w:val="00B3225E"/>
    <w:rsid w:val="00B326A5"/>
    <w:rsid w:val="00B326B7"/>
    <w:rsid w:val="00B3284E"/>
    <w:rsid w:val="00B3292D"/>
    <w:rsid w:val="00B3355B"/>
    <w:rsid w:val="00B34715"/>
    <w:rsid w:val="00B34F4E"/>
    <w:rsid w:val="00B35005"/>
    <w:rsid w:val="00B3588E"/>
    <w:rsid w:val="00B37267"/>
    <w:rsid w:val="00B37FE0"/>
    <w:rsid w:val="00B4092F"/>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73A"/>
    <w:rsid w:val="00B546A5"/>
    <w:rsid w:val="00B54E53"/>
    <w:rsid w:val="00B55CC7"/>
    <w:rsid w:val="00B55E0C"/>
    <w:rsid w:val="00B55FDF"/>
    <w:rsid w:val="00B564D6"/>
    <w:rsid w:val="00B56E4D"/>
    <w:rsid w:val="00B57259"/>
    <w:rsid w:val="00B5731E"/>
    <w:rsid w:val="00B57329"/>
    <w:rsid w:val="00B578FD"/>
    <w:rsid w:val="00B57CCC"/>
    <w:rsid w:val="00B60B16"/>
    <w:rsid w:val="00B60BCB"/>
    <w:rsid w:val="00B60C4D"/>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AB6"/>
    <w:rsid w:val="00B824A4"/>
    <w:rsid w:val="00B82F08"/>
    <w:rsid w:val="00B83AF1"/>
    <w:rsid w:val="00B83C57"/>
    <w:rsid w:val="00B83CC0"/>
    <w:rsid w:val="00B8411F"/>
    <w:rsid w:val="00B848AE"/>
    <w:rsid w:val="00B85EC0"/>
    <w:rsid w:val="00B86A34"/>
    <w:rsid w:val="00B90582"/>
    <w:rsid w:val="00B90729"/>
    <w:rsid w:val="00B907DA"/>
    <w:rsid w:val="00B90B09"/>
    <w:rsid w:val="00B90D00"/>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5C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1AF8"/>
    <w:rsid w:val="00BE28D2"/>
    <w:rsid w:val="00BE2F23"/>
    <w:rsid w:val="00BE32C8"/>
    <w:rsid w:val="00BE3991"/>
    <w:rsid w:val="00BE3F2C"/>
    <w:rsid w:val="00BE40EF"/>
    <w:rsid w:val="00BE4A64"/>
    <w:rsid w:val="00BE552B"/>
    <w:rsid w:val="00BE555F"/>
    <w:rsid w:val="00BE5E43"/>
    <w:rsid w:val="00BE69A5"/>
    <w:rsid w:val="00BE6C34"/>
    <w:rsid w:val="00BE6FD1"/>
    <w:rsid w:val="00BF08C1"/>
    <w:rsid w:val="00BF10F8"/>
    <w:rsid w:val="00BF2266"/>
    <w:rsid w:val="00BF2B02"/>
    <w:rsid w:val="00BF30AE"/>
    <w:rsid w:val="00BF3D2E"/>
    <w:rsid w:val="00BF557D"/>
    <w:rsid w:val="00BF5947"/>
    <w:rsid w:val="00BF658D"/>
    <w:rsid w:val="00BF661C"/>
    <w:rsid w:val="00BF7078"/>
    <w:rsid w:val="00BF7766"/>
    <w:rsid w:val="00BF7A34"/>
    <w:rsid w:val="00BF7F58"/>
    <w:rsid w:val="00C00C8B"/>
    <w:rsid w:val="00C01381"/>
    <w:rsid w:val="00C016B5"/>
    <w:rsid w:val="00C01AB1"/>
    <w:rsid w:val="00C026A0"/>
    <w:rsid w:val="00C033C7"/>
    <w:rsid w:val="00C042AE"/>
    <w:rsid w:val="00C04341"/>
    <w:rsid w:val="00C05822"/>
    <w:rsid w:val="00C05983"/>
    <w:rsid w:val="00C05AB2"/>
    <w:rsid w:val="00C06137"/>
    <w:rsid w:val="00C067A4"/>
    <w:rsid w:val="00C0690B"/>
    <w:rsid w:val="00C06929"/>
    <w:rsid w:val="00C06D06"/>
    <w:rsid w:val="00C07420"/>
    <w:rsid w:val="00C079B8"/>
    <w:rsid w:val="00C10037"/>
    <w:rsid w:val="00C10359"/>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675"/>
    <w:rsid w:val="00C227D5"/>
    <w:rsid w:val="00C22CB6"/>
    <w:rsid w:val="00C2308B"/>
    <w:rsid w:val="00C2313B"/>
    <w:rsid w:val="00C23B9C"/>
    <w:rsid w:val="00C244F6"/>
    <w:rsid w:val="00C24DC5"/>
    <w:rsid w:val="00C251D6"/>
    <w:rsid w:val="00C2638D"/>
    <w:rsid w:val="00C26507"/>
    <w:rsid w:val="00C26588"/>
    <w:rsid w:val="00C2677D"/>
    <w:rsid w:val="00C26D08"/>
    <w:rsid w:val="00C27636"/>
    <w:rsid w:val="00C27646"/>
    <w:rsid w:val="00C27945"/>
    <w:rsid w:val="00C27DE9"/>
    <w:rsid w:val="00C317A5"/>
    <w:rsid w:val="00C31C1D"/>
    <w:rsid w:val="00C324B6"/>
    <w:rsid w:val="00C32989"/>
    <w:rsid w:val="00C331E0"/>
    <w:rsid w:val="00C33388"/>
    <w:rsid w:val="00C33CCC"/>
    <w:rsid w:val="00C3404B"/>
    <w:rsid w:val="00C34256"/>
    <w:rsid w:val="00C34447"/>
    <w:rsid w:val="00C34953"/>
    <w:rsid w:val="00C35484"/>
    <w:rsid w:val="00C3559C"/>
    <w:rsid w:val="00C35681"/>
    <w:rsid w:val="00C35BE1"/>
    <w:rsid w:val="00C367B0"/>
    <w:rsid w:val="00C36859"/>
    <w:rsid w:val="00C36B58"/>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6F17"/>
    <w:rsid w:val="00C47653"/>
    <w:rsid w:val="00C500F4"/>
    <w:rsid w:val="00C5016F"/>
    <w:rsid w:val="00C502C4"/>
    <w:rsid w:val="00C509BE"/>
    <w:rsid w:val="00C50DED"/>
    <w:rsid w:val="00C51AD2"/>
    <w:rsid w:val="00C51E16"/>
    <w:rsid w:val="00C520F9"/>
    <w:rsid w:val="00C52217"/>
    <w:rsid w:val="00C52784"/>
    <w:rsid w:val="00C527A1"/>
    <w:rsid w:val="00C52BBA"/>
    <w:rsid w:val="00C52F93"/>
    <w:rsid w:val="00C5457A"/>
    <w:rsid w:val="00C54EFC"/>
    <w:rsid w:val="00C554CC"/>
    <w:rsid w:val="00C55824"/>
    <w:rsid w:val="00C55B36"/>
    <w:rsid w:val="00C602FF"/>
    <w:rsid w:val="00C60411"/>
    <w:rsid w:val="00C60536"/>
    <w:rsid w:val="00C60A34"/>
    <w:rsid w:val="00C60E8C"/>
    <w:rsid w:val="00C61174"/>
    <w:rsid w:val="00C611CE"/>
    <w:rsid w:val="00C6148F"/>
    <w:rsid w:val="00C6189F"/>
    <w:rsid w:val="00C621B1"/>
    <w:rsid w:val="00C62347"/>
    <w:rsid w:val="00C6298D"/>
    <w:rsid w:val="00C62F7A"/>
    <w:rsid w:val="00C634F6"/>
    <w:rsid w:val="00C635FB"/>
    <w:rsid w:val="00C63B9C"/>
    <w:rsid w:val="00C64213"/>
    <w:rsid w:val="00C656DA"/>
    <w:rsid w:val="00C65820"/>
    <w:rsid w:val="00C658C8"/>
    <w:rsid w:val="00C6601D"/>
    <w:rsid w:val="00C66704"/>
    <w:rsid w:val="00C6682F"/>
    <w:rsid w:val="00C66F5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41D7"/>
    <w:rsid w:val="00C8575F"/>
    <w:rsid w:val="00C85ED3"/>
    <w:rsid w:val="00C861E4"/>
    <w:rsid w:val="00C86215"/>
    <w:rsid w:val="00C8625B"/>
    <w:rsid w:val="00C863C4"/>
    <w:rsid w:val="00C87D2D"/>
    <w:rsid w:val="00C87E8C"/>
    <w:rsid w:val="00C908D6"/>
    <w:rsid w:val="00C90DAB"/>
    <w:rsid w:val="00C920EA"/>
    <w:rsid w:val="00C93259"/>
    <w:rsid w:val="00C93A30"/>
    <w:rsid w:val="00C93C3E"/>
    <w:rsid w:val="00C944E5"/>
    <w:rsid w:val="00C9514C"/>
    <w:rsid w:val="00C96001"/>
    <w:rsid w:val="00C9677E"/>
    <w:rsid w:val="00C97853"/>
    <w:rsid w:val="00C97D31"/>
    <w:rsid w:val="00C97E80"/>
    <w:rsid w:val="00CA0CB4"/>
    <w:rsid w:val="00CA0E5C"/>
    <w:rsid w:val="00CA101F"/>
    <w:rsid w:val="00CA129F"/>
    <w:rsid w:val="00CA12E3"/>
    <w:rsid w:val="00CA1476"/>
    <w:rsid w:val="00CA14BE"/>
    <w:rsid w:val="00CA14E2"/>
    <w:rsid w:val="00CA1F5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C6B"/>
    <w:rsid w:val="00CB6A7A"/>
    <w:rsid w:val="00CC0082"/>
    <w:rsid w:val="00CC0A74"/>
    <w:rsid w:val="00CC0C72"/>
    <w:rsid w:val="00CC121B"/>
    <w:rsid w:val="00CC1CD9"/>
    <w:rsid w:val="00CC2907"/>
    <w:rsid w:val="00CC2BFD"/>
    <w:rsid w:val="00CC315C"/>
    <w:rsid w:val="00CC32B0"/>
    <w:rsid w:val="00CC37BE"/>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0F2A"/>
    <w:rsid w:val="00CE187E"/>
    <w:rsid w:val="00CE1CFC"/>
    <w:rsid w:val="00CE225F"/>
    <w:rsid w:val="00CE3BCF"/>
    <w:rsid w:val="00CE3CDF"/>
    <w:rsid w:val="00CE4884"/>
    <w:rsid w:val="00CE4BE4"/>
    <w:rsid w:val="00CE4F50"/>
    <w:rsid w:val="00CE5A7A"/>
    <w:rsid w:val="00CE5FD4"/>
    <w:rsid w:val="00CE63DC"/>
    <w:rsid w:val="00CE6A2C"/>
    <w:rsid w:val="00CE6C87"/>
    <w:rsid w:val="00CE7E76"/>
    <w:rsid w:val="00CF0846"/>
    <w:rsid w:val="00CF13E7"/>
    <w:rsid w:val="00CF145D"/>
    <w:rsid w:val="00CF2F50"/>
    <w:rsid w:val="00CF3054"/>
    <w:rsid w:val="00CF30B5"/>
    <w:rsid w:val="00CF3108"/>
    <w:rsid w:val="00CF37C9"/>
    <w:rsid w:val="00CF3C56"/>
    <w:rsid w:val="00CF3DFD"/>
    <w:rsid w:val="00CF46B6"/>
    <w:rsid w:val="00CF4AE0"/>
    <w:rsid w:val="00CF516C"/>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D61"/>
    <w:rsid w:val="00D01F98"/>
    <w:rsid w:val="00D02919"/>
    <w:rsid w:val="00D03E60"/>
    <w:rsid w:val="00D0449A"/>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5FB3"/>
    <w:rsid w:val="00D361B5"/>
    <w:rsid w:val="00D362C7"/>
    <w:rsid w:val="00D36A55"/>
    <w:rsid w:val="00D36F01"/>
    <w:rsid w:val="00D37415"/>
    <w:rsid w:val="00D411A2"/>
    <w:rsid w:val="00D413D0"/>
    <w:rsid w:val="00D41B59"/>
    <w:rsid w:val="00D44483"/>
    <w:rsid w:val="00D44503"/>
    <w:rsid w:val="00D445F7"/>
    <w:rsid w:val="00D448A6"/>
    <w:rsid w:val="00D44CA2"/>
    <w:rsid w:val="00D4606D"/>
    <w:rsid w:val="00D46801"/>
    <w:rsid w:val="00D46DE3"/>
    <w:rsid w:val="00D47D30"/>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1AD7"/>
    <w:rsid w:val="00D62239"/>
    <w:rsid w:val="00D62C93"/>
    <w:rsid w:val="00D63636"/>
    <w:rsid w:val="00D63D1B"/>
    <w:rsid w:val="00D647C0"/>
    <w:rsid w:val="00D660CC"/>
    <w:rsid w:val="00D66E7D"/>
    <w:rsid w:val="00D67239"/>
    <w:rsid w:val="00D6751D"/>
    <w:rsid w:val="00D70C53"/>
    <w:rsid w:val="00D714CC"/>
    <w:rsid w:val="00D72660"/>
    <w:rsid w:val="00D72C32"/>
    <w:rsid w:val="00D72CB6"/>
    <w:rsid w:val="00D736B4"/>
    <w:rsid w:val="00D740AE"/>
    <w:rsid w:val="00D74431"/>
    <w:rsid w:val="00D745BF"/>
    <w:rsid w:val="00D75EA7"/>
    <w:rsid w:val="00D76A7D"/>
    <w:rsid w:val="00D76BB2"/>
    <w:rsid w:val="00D76D5D"/>
    <w:rsid w:val="00D76DCB"/>
    <w:rsid w:val="00D76E88"/>
    <w:rsid w:val="00D76ECC"/>
    <w:rsid w:val="00D773C6"/>
    <w:rsid w:val="00D81224"/>
    <w:rsid w:val="00D815CC"/>
    <w:rsid w:val="00D81ADF"/>
    <w:rsid w:val="00D81F21"/>
    <w:rsid w:val="00D82DC1"/>
    <w:rsid w:val="00D832A9"/>
    <w:rsid w:val="00D8354F"/>
    <w:rsid w:val="00D846A2"/>
    <w:rsid w:val="00D84F05"/>
    <w:rsid w:val="00D8649E"/>
    <w:rsid w:val="00D864F2"/>
    <w:rsid w:val="00D86656"/>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44B"/>
    <w:rsid w:val="00D96843"/>
    <w:rsid w:val="00D96B55"/>
    <w:rsid w:val="00D97530"/>
    <w:rsid w:val="00DA0573"/>
    <w:rsid w:val="00DA13B4"/>
    <w:rsid w:val="00DA17E0"/>
    <w:rsid w:val="00DA2619"/>
    <w:rsid w:val="00DA2715"/>
    <w:rsid w:val="00DA4239"/>
    <w:rsid w:val="00DA4A4D"/>
    <w:rsid w:val="00DA588C"/>
    <w:rsid w:val="00DA6307"/>
    <w:rsid w:val="00DA65DE"/>
    <w:rsid w:val="00DA6B5D"/>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B2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333"/>
    <w:rsid w:val="00DE5494"/>
    <w:rsid w:val="00DE5FD6"/>
    <w:rsid w:val="00DE6028"/>
    <w:rsid w:val="00DE64CD"/>
    <w:rsid w:val="00DE677D"/>
    <w:rsid w:val="00DE6C85"/>
    <w:rsid w:val="00DE6F1D"/>
    <w:rsid w:val="00DE75FE"/>
    <w:rsid w:val="00DE78A3"/>
    <w:rsid w:val="00DF0A6E"/>
    <w:rsid w:val="00DF0AB3"/>
    <w:rsid w:val="00DF18DD"/>
    <w:rsid w:val="00DF1982"/>
    <w:rsid w:val="00DF1A71"/>
    <w:rsid w:val="00DF2001"/>
    <w:rsid w:val="00DF2C7A"/>
    <w:rsid w:val="00DF34FA"/>
    <w:rsid w:val="00DF3C37"/>
    <w:rsid w:val="00DF4D8F"/>
    <w:rsid w:val="00DF50FC"/>
    <w:rsid w:val="00DF68C7"/>
    <w:rsid w:val="00DF731A"/>
    <w:rsid w:val="00E00C5E"/>
    <w:rsid w:val="00E00D0F"/>
    <w:rsid w:val="00E021BF"/>
    <w:rsid w:val="00E02352"/>
    <w:rsid w:val="00E023BD"/>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17BC1"/>
    <w:rsid w:val="00E204CB"/>
    <w:rsid w:val="00E2050E"/>
    <w:rsid w:val="00E205CB"/>
    <w:rsid w:val="00E20D8F"/>
    <w:rsid w:val="00E210B5"/>
    <w:rsid w:val="00E213F3"/>
    <w:rsid w:val="00E21491"/>
    <w:rsid w:val="00E24058"/>
    <w:rsid w:val="00E261B3"/>
    <w:rsid w:val="00E2633D"/>
    <w:rsid w:val="00E26818"/>
    <w:rsid w:val="00E2684F"/>
    <w:rsid w:val="00E26E4E"/>
    <w:rsid w:val="00E27050"/>
    <w:rsid w:val="00E27BAA"/>
    <w:rsid w:val="00E27FFC"/>
    <w:rsid w:val="00E30B15"/>
    <w:rsid w:val="00E329CF"/>
    <w:rsid w:val="00E33237"/>
    <w:rsid w:val="00E3402D"/>
    <w:rsid w:val="00E34C05"/>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0FD"/>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334"/>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ED"/>
    <w:rsid w:val="00E75DF6"/>
    <w:rsid w:val="00E75E66"/>
    <w:rsid w:val="00E76B99"/>
    <w:rsid w:val="00E773AC"/>
    <w:rsid w:val="00E77826"/>
    <w:rsid w:val="00E803A4"/>
    <w:rsid w:val="00E808DB"/>
    <w:rsid w:val="00E80B40"/>
    <w:rsid w:val="00E80D2D"/>
    <w:rsid w:val="00E80DE3"/>
    <w:rsid w:val="00E80E66"/>
    <w:rsid w:val="00E81DEF"/>
    <w:rsid w:val="00E82392"/>
    <w:rsid w:val="00E82C55"/>
    <w:rsid w:val="00E82C5D"/>
    <w:rsid w:val="00E83362"/>
    <w:rsid w:val="00E839A4"/>
    <w:rsid w:val="00E83F99"/>
    <w:rsid w:val="00E84AAD"/>
    <w:rsid w:val="00E850DB"/>
    <w:rsid w:val="00E86338"/>
    <w:rsid w:val="00E8645F"/>
    <w:rsid w:val="00E867D8"/>
    <w:rsid w:val="00E877BA"/>
    <w:rsid w:val="00E8787E"/>
    <w:rsid w:val="00E90124"/>
    <w:rsid w:val="00E9042A"/>
    <w:rsid w:val="00E9076F"/>
    <w:rsid w:val="00E907A4"/>
    <w:rsid w:val="00E90F9D"/>
    <w:rsid w:val="00E912A8"/>
    <w:rsid w:val="00E91988"/>
    <w:rsid w:val="00E91AE3"/>
    <w:rsid w:val="00E920F0"/>
    <w:rsid w:val="00E92AC3"/>
    <w:rsid w:val="00E93D8C"/>
    <w:rsid w:val="00E9428D"/>
    <w:rsid w:val="00E95068"/>
    <w:rsid w:val="00E95591"/>
    <w:rsid w:val="00E95BED"/>
    <w:rsid w:val="00E9644B"/>
    <w:rsid w:val="00E96852"/>
    <w:rsid w:val="00E973BB"/>
    <w:rsid w:val="00E974D2"/>
    <w:rsid w:val="00EA0405"/>
    <w:rsid w:val="00EA16CF"/>
    <w:rsid w:val="00EA23E8"/>
    <w:rsid w:val="00EA2F6A"/>
    <w:rsid w:val="00EA3012"/>
    <w:rsid w:val="00EA308E"/>
    <w:rsid w:val="00EA3542"/>
    <w:rsid w:val="00EA3809"/>
    <w:rsid w:val="00EA3E90"/>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3ED"/>
    <w:rsid w:val="00EC059F"/>
    <w:rsid w:val="00EC070F"/>
    <w:rsid w:val="00EC1159"/>
    <w:rsid w:val="00EC1620"/>
    <w:rsid w:val="00EC1BEB"/>
    <w:rsid w:val="00EC1D53"/>
    <w:rsid w:val="00EC1F24"/>
    <w:rsid w:val="00EC22F6"/>
    <w:rsid w:val="00EC24A7"/>
    <w:rsid w:val="00EC25D7"/>
    <w:rsid w:val="00EC31B1"/>
    <w:rsid w:val="00EC3DB9"/>
    <w:rsid w:val="00EC456E"/>
    <w:rsid w:val="00EC4B20"/>
    <w:rsid w:val="00EC5409"/>
    <w:rsid w:val="00EC5DA0"/>
    <w:rsid w:val="00EC677C"/>
    <w:rsid w:val="00EC74D9"/>
    <w:rsid w:val="00EC7694"/>
    <w:rsid w:val="00ED03AD"/>
    <w:rsid w:val="00ED08DC"/>
    <w:rsid w:val="00ED236E"/>
    <w:rsid w:val="00ED2642"/>
    <w:rsid w:val="00ED352D"/>
    <w:rsid w:val="00ED36CC"/>
    <w:rsid w:val="00ED3D87"/>
    <w:rsid w:val="00ED4212"/>
    <w:rsid w:val="00ED5B9B"/>
    <w:rsid w:val="00ED6AC2"/>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0F1"/>
    <w:rsid w:val="00EE4D5D"/>
    <w:rsid w:val="00EE5131"/>
    <w:rsid w:val="00EE6706"/>
    <w:rsid w:val="00EE7459"/>
    <w:rsid w:val="00EE77A1"/>
    <w:rsid w:val="00EF00EA"/>
    <w:rsid w:val="00EF0514"/>
    <w:rsid w:val="00EF08B7"/>
    <w:rsid w:val="00EF0E3E"/>
    <w:rsid w:val="00EF109B"/>
    <w:rsid w:val="00EF13D6"/>
    <w:rsid w:val="00EF17E3"/>
    <w:rsid w:val="00EF1807"/>
    <w:rsid w:val="00EF201C"/>
    <w:rsid w:val="00EF2118"/>
    <w:rsid w:val="00EF22B0"/>
    <w:rsid w:val="00EF239C"/>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06B6"/>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471"/>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33F9"/>
    <w:rsid w:val="00F34258"/>
    <w:rsid w:val="00F3482F"/>
    <w:rsid w:val="00F35222"/>
    <w:rsid w:val="00F35287"/>
    <w:rsid w:val="00F35C0D"/>
    <w:rsid w:val="00F36E71"/>
    <w:rsid w:val="00F40163"/>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21F"/>
    <w:rsid w:val="00F5462D"/>
    <w:rsid w:val="00F54688"/>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01D"/>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2C46"/>
    <w:rsid w:val="00FA2D3F"/>
    <w:rsid w:val="00FA347E"/>
    <w:rsid w:val="00FA3525"/>
    <w:rsid w:val="00FA4135"/>
    <w:rsid w:val="00FA4173"/>
    <w:rsid w:val="00FA42D4"/>
    <w:rsid w:val="00FA50C7"/>
    <w:rsid w:val="00FA5101"/>
    <w:rsid w:val="00FA5353"/>
    <w:rsid w:val="00FA5530"/>
    <w:rsid w:val="00FA5A53"/>
    <w:rsid w:val="00FA6CC6"/>
    <w:rsid w:val="00FA70FC"/>
    <w:rsid w:val="00FA763E"/>
    <w:rsid w:val="00FA7D1D"/>
    <w:rsid w:val="00FB02D3"/>
    <w:rsid w:val="00FB0987"/>
    <w:rsid w:val="00FB0AF1"/>
    <w:rsid w:val="00FB1F6E"/>
    <w:rsid w:val="00FB25FF"/>
    <w:rsid w:val="00FB2629"/>
    <w:rsid w:val="00FB2A32"/>
    <w:rsid w:val="00FB3E1B"/>
    <w:rsid w:val="00FB41A6"/>
    <w:rsid w:val="00FB43C2"/>
    <w:rsid w:val="00FB46F6"/>
    <w:rsid w:val="00FB4769"/>
    <w:rsid w:val="00FB4CDA"/>
    <w:rsid w:val="00FB58B0"/>
    <w:rsid w:val="00FB633D"/>
    <w:rsid w:val="00FB6481"/>
    <w:rsid w:val="00FB6CA5"/>
    <w:rsid w:val="00FB6D36"/>
    <w:rsid w:val="00FB70E8"/>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2A8"/>
    <w:rsid w:val="00FD0439"/>
    <w:rsid w:val="00FD0AC6"/>
    <w:rsid w:val="00FD101B"/>
    <w:rsid w:val="00FD17F5"/>
    <w:rsid w:val="00FD1889"/>
    <w:rsid w:val="00FD262E"/>
    <w:rsid w:val="00FD2C2C"/>
    <w:rsid w:val="00FD2DDA"/>
    <w:rsid w:val="00FD3537"/>
    <w:rsid w:val="00FD3608"/>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1B8B"/>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6C20DF0"/>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85515E"/>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0DD82E97-C1D4-4553-9BDD-A90CA315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uiPriority w:val="1"/>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32062449">
      <w:bodyDiv w:val="1"/>
      <w:marLeft w:val="0"/>
      <w:marRight w:val="0"/>
      <w:marTop w:val="0"/>
      <w:marBottom w:val="0"/>
      <w:divBdr>
        <w:top w:val="none" w:sz="0" w:space="0" w:color="auto"/>
        <w:left w:val="none" w:sz="0" w:space="0" w:color="auto"/>
        <w:bottom w:val="none" w:sz="0" w:space="0" w:color="auto"/>
        <w:right w:val="none" w:sz="0" w:space="0" w:color="auto"/>
      </w:divBdr>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41157921">
      <w:bodyDiv w:val="1"/>
      <w:marLeft w:val="0"/>
      <w:marRight w:val="0"/>
      <w:marTop w:val="0"/>
      <w:marBottom w:val="0"/>
      <w:divBdr>
        <w:top w:val="none" w:sz="0" w:space="0" w:color="auto"/>
        <w:left w:val="none" w:sz="0" w:space="0" w:color="auto"/>
        <w:bottom w:val="none" w:sz="0" w:space="0" w:color="auto"/>
        <w:right w:val="none" w:sz="0" w:space="0" w:color="auto"/>
      </w:divBdr>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6743100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69918970">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41689212">
      <w:bodyDiv w:val="1"/>
      <w:marLeft w:val="0"/>
      <w:marRight w:val="0"/>
      <w:marTop w:val="0"/>
      <w:marBottom w:val="0"/>
      <w:divBdr>
        <w:top w:val="none" w:sz="0" w:space="0" w:color="auto"/>
        <w:left w:val="none" w:sz="0" w:space="0" w:color="auto"/>
        <w:bottom w:val="none" w:sz="0" w:space="0" w:color="auto"/>
        <w:right w:val="none" w:sz="0" w:space="0" w:color="auto"/>
      </w:divBdr>
    </w:div>
    <w:div w:id="1662347378">
      <w:bodyDiv w:val="1"/>
      <w:marLeft w:val="0"/>
      <w:marRight w:val="0"/>
      <w:marTop w:val="0"/>
      <w:marBottom w:val="0"/>
      <w:divBdr>
        <w:top w:val="none" w:sz="0" w:space="0" w:color="auto"/>
        <w:left w:val="none" w:sz="0" w:space="0" w:color="auto"/>
        <w:bottom w:val="none" w:sz="0" w:space="0" w:color="auto"/>
        <w:right w:val="none" w:sz="0" w:space="0" w:color="auto"/>
      </w:divBdr>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011442236">
      <w:bodyDiv w:val="1"/>
      <w:marLeft w:val="0"/>
      <w:marRight w:val="0"/>
      <w:marTop w:val="0"/>
      <w:marBottom w:val="0"/>
      <w:divBdr>
        <w:top w:val="none" w:sz="0" w:space="0" w:color="auto"/>
        <w:left w:val="none" w:sz="0" w:space="0" w:color="auto"/>
        <w:bottom w:val="none" w:sz="0" w:space="0" w:color="auto"/>
        <w:right w:val="none" w:sz="0" w:space="0" w:color="auto"/>
      </w:divBdr>
    </w:div>
    <w:div w:id="2053652472">
      <w:bodyDiv w:val="1"/>
      <w:marLeft w:val="0"/>
      <w:marRight w:val="0"/>
      <w:marTop w:val="0"/>
      <w:marBottom w:val="0"/>
      <w:divBdr>
        <w:top w:val="none" w:sz="0" w:space="0" w:color="auto"/>
        <w:left w:val="none" w:sz="0" w:space="0" w:color="auto"/>
        <w:bottom w:val="none" w:sz="0" w:space="0" w:color="auto"/>
        <w:right w:val="none" w:sz="0" w:space="0" w:color="auto"/>
      </w:divBdr>
    </w:div>
    <w:div w:id="2081294797">
      <w:bodyDiv w:val="1"/>
      <w:marLeft w:val="0"/>
      <w:marRight w:val="0"/>
      <w:marTop w:val="0"/>
      <w:marBottom w:val="0"/>
      <w:divBdr>
        <w:top w:val="none" w:sz="0" w:space="0" w:color="auto"/>
        <w:left w:val="none" w:sz="0" w:space="0" w:color="auto"/>
        <w:bottom w:val="none" w:sz="0" w:space="0" w:color="auto"/>
        <w:right w:val="none" w:sz="0" w:space="0" w:color="auto"/>
      </w:divBdr>
      <w:divsChild>
        <w:div w:id="270667386">
          <w:marLeft w:val="0"/>
          <w:marRight w:val="0"/>
          <w:marTop w:val="0"/>
          <w:marBottom w:val="0"/>
          <w:divBdr>
            <w:top w:val="none" w:sz="0" w:space="0" w:color="auto"/>
            <w:left w:val="none" w:sz="0" w:space="0" w:color="auto"/>
            <w:bottom w:val="none" w:sz="0" w:space="0" w:color="auto"/>
            <w:right w:val="none" w:sz="0" w:space="0" w:color="auto"/>
          </w:divBdr>
          <w:divsChild>
            <w:div w:id="1943999883">
              <w:marLeft w:val="0"/>
              <w:marRight w:val="0"/>
              <w:marTop w:val="0"/>
              <w:marBottom w:val="0"/>
              <w:divBdr>
                <w:top w:val="none" w:sz="0" w:space="0" w:color="auto"/>
                <w:left w:val="none" w:sz="0" w:space="0" w:color="auto"/>
                <w:bottom w:val="none" w:sz="0" w:space="0" w:color="auto"/>
                <w:right w:val="none" w:sz="0" w:space="0" w:color="auto"/>
              </w:divBdr>
              <w:divsChild>
                <w:div w:id="3609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immunisation/cold-chain-breach-reporting" TargetMode="External"/><Relationship Id="rId117" Type="http://schemas.openxmlformats.org/officeDocument/2006/relationships/hyperlink" Target="https://mvec.mcri.edu.au/wp-content/uploads/2021/10/Guidance-for-differentiating-anaphylaxis-and-acute-stress-response-for-vaccine-providers_updated-converted.pdf" TargetMode="External"/><Relationship Id="rId21" Type="http://schemas.openxmlformats.org/officeDocument/2006/relationships/hyperlink" Target="https://www.health.gov.au/resources/publications/atagi-clinical-guidance-on-vaccination-against-monkeypox?language=en" TargetMode="External"/><Relationship Id="rId42" Type="http://schemas.openxmlformats.org/officeDocument/2006/relationships/hyperlink" Target="https://www.verywellhealth.com/monkeypox-intradermal-jynneos-vaccine-6455582" TargetMode="External"/><Relationship Id="rId47" Type="http://schemas.openxmlformats.org/officeDocument/2006/relationships/image" Target="media/image16.jpeg"/><Relationship Id="rId63" Type="http://schemas.openxmlformats.org/officeDocument/2006/relationships/hyperlink" Target="https://immunisationhandbook.health.gov.au/resources/tables/table-recognition-and-treatment-of-anaphylaxis" TargetMode="External"/><Relationship Id="rId68" Type="http://schemas.openxmlformats.org/officeDocument/2006/relationships/hyperlink" Target="http://etraininghp.ascia.org.au/anaphylaxis" TargetMode="External"/><Relationship Id="rId84" Type="http://schemas.openxmlformats.org/officeDocument/2006/relationships/hyperlink" Target="https://www.nhmrc.gov.au/about-us/publications/australian-guidelines-prevention-and-control-infection-healthcare-2019" TargetMode="External"/><Relationship Id="rId89" Type="http://schemas.openxmlformats.org/officeDocument/2006/relationships/hyperlink" Target="https://www.health.gov.au/resources/publications/atagi-clinical-guidance-on-vaccination-against-monkeypox?language=en" TargetMode="External"/><Relationship Id="rId112" Type="http://schemas.openxmlformats.org/officeDocument/2006/relationships/header" Target="header5.xml"/><Relationship Id="rId133" Type="http://schemas.microsoft.com/office/2020/10/relationships/intelligence" Target="intelligence2.xml"/><Relationship Id="rId16" Type="http://schemas.openxmlformats.org/officeDocument/2006/relationships/header" Target="header3.xml"/><Relationship Id="rId107" Type="http://schemas.openxmlformats.org/officeDocument/2006/relationships/hyperlink" Target="mailto:immunisation@health.vic.gov.au" TargetMode="External"/><Relationship Id="rId11" Type="http://schemas.openxmlformats.org/officeDocument/2006/relationships/image" Target="media/image1.jpg"/><Relationship Id="rId32" Type="http://schemas.openxmlformats.org/officeDocument/2006/relationships/image" Target="media/image8.jpeg"/><Relationship Id="rId37" Type="http://schemas.openxmlformats.org/officeDocument/2006/relationships/image" Target="media/image11.png"/><Relationship Id="rId53" Type="http://schemas.openxmlformats.org/officeDocument/2006/relationships/hyperlink" Target="https://www.health.gov.au/resources/publications/mpox-monkeypox-information-on-jynneosr-vaccine" TargetMode="External"/><Relationship Id="rId58" Type="http://schemas.openxmlformats.org/officeDocument/2006/relationships/hyperlink" Target="https://www.cdc.gov/poxvirus/mpox/interim-considerations/errors-deviations.html" TargetMode="External"/><Relationship Id="rId74"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79" Type="http://schemas.openxmlformats.org/officeDocument/2006/relationships/hyperlink" Target="https://www.servicesaustralia.gov.au/organisations/health-professionals/services/medicare/hpos" TargetMode="External"/><Relationship Id="rId102" Type="http://schemas.openxmlformats.org/officeDocument/2006/relationships/hyperlink" Target="https://www.servicesaustralia.gov.au/australian-immunisation-register-for-health-professionals" TargetMode="External"/><Relationship Id="rId123" Type="http://schemas.openxmlformats.org/officeDocument/2006/relationships/hyperlink" Target="https://health.vic.gov.au/infectious-diseases/monkeypox" TargetMode="External"/><Relationship Id="rId128" Type="http://schemas.openxmlformats.org/officeDocument/2006/relationships/footer" Target="footer6.xml"/><Relationship Id="rId5" Type="http://schemas.openxmlformats.org/officeDocument/2006/relationships/numbering" Target="numbering.xml"/><Relationship Id="rId90" Type="http://schemas.openxmlformats.org/officeDocument/2006/relationships/hyperlink" Target="https://www.health.gov.au/resources/publications/mpox-monkeypox-consent-form-for-jynneosr-vaccination" TargetMode="External"/><Relationship Id="rId95" Type="http://schemas.openxmlformats.org/officeDocument/2006/relationships/hyperlink" Target="https://www.betterhealth.vic.gov.au/mpox-monkeypox"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30" Type="http://schemas.openxmlformats.org/officeDocument/2006/relationships/image" Target="media/image6.jpeg"/><Relationship Id="rId35" Type="http://schemas.openxmlformats.org/officeDocument/2006/relationships/hyperlink" Target="https://immunisationhandbook.health.gov.au/technical-terms"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mailto:enquiries@saefvic.org.au" TargetMode="External"/><Relationship Id="rId64" Type="http://schemas.openxmlformats.org/officeDocument/2006/relationships/hyperlink" Target="https://www.bettersafercare.vic.gov.au/clinical-guidance/emergency/anaphylaxis-adults" TargetMode="External"/><Relationship Id="rId69" Type="http://schemas.openxmlformats.org/officeDocument/2006/relationships/hyperlink" Target="https://www.safevac.org.au/Home/Info/VIC" TargetMode="External"/><Relationship Id="rId77" Type="http://schemas.openxmlformats.org/officeDocument/2006/relationships/hyperlink" Target="https://www.legislation.vic.gov.au/in-force/acts/health-services-act-1988/180" TargetMode="External"/><Relationship Id="rId100" Type="http://schemas.openxmlformats.org/officeDocument/2006/relationships/hyperlink" Target="mailto:immunisation@health.vic.gov.au" TargetMode="External"/><Relationship Id="rId105" Type="http://schemas.openxmlformats.org/officeDocument/2006/relationships/hyperlink" Target="https://www.health.vic.gov.au/immunisation/cold-chain-management" TargetMode="External"/><Relationship Id="rId113" Type="http://schemas.openxmlformats.org/officeDocument/2006/relationships/hyperlink" Target="https://www.health.gov.au/resources/publications/national-vaccine-storage-guidelines-strive-for-5" TargetMode="External"/><Relationship Id="rId118" Type="http://schemas.openxmlformats.org/officeDocument/2006/relationships/hyperlink" Target="https://www.safevac.org.au/Home/Info/VIC" TargetMode="External"/><Relationship Id="rId12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legislation.vic.gov.au/in-force/acts/public-records-act-1973/041" TargetMode="External"/><Relationship Id="rId80" Type="http://schemas.openxmlformats.org/officeDocument/2006/relationships/hyperlink" Target="https://www.servicesaustralia.gov.au/hpos" TargetMode="External"/><Relationship Id="rId85" Type="http://schemas.openxmlformats.org/officeDocument/2006/relationships/hyperlink" Target="https://www.health.vic.gov.au/immunisation/immunisers-in-victoria" TargetMode="External"/><Relationship Id="rId93" Type="http://schemas.openxmlformats.org/officeDocument/2006/relationships/hyperlink" Target="https://www.health.vic.gov.au/infectious-diseases/mpox-monkeypox" TargetMode="External"/><Relationship Id="rId98" Type="http://schemas.openxmlformats.org/officeDocument/2006/relationships/hyperlink" Target="https://www.onelinkonline.net/" TargetMode="External"/><Relationship Id="rId121" Type="http://schemas.openxmlformats.org/officeDocument/2006/relationships/hyperlink" Target="mailto:enquiries@saefvic.org.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elinkonline.net/" TargetMode="External"/><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image" Target="media/image15.jpeg"/><Relationship Id="rId59" Type="http://schemas.openxmlformats.org/officeDocument/2006/relationships/hyperlink" Target="https://www.cdc.gov/poxvirus/mpox/interim-considerations/errors-deviations.html" TargetMode="External"/><Relationship Id="rId67"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103" Type="http://schemas.openxmlformats.org/officeDocument/2006/relationships/footer" Target="footer4.xml"/><Relationship Id="rId108" Type="http://schemas.openxmlformats.org/officeDocument/2006/relationships/hyperlink" Target="https://www.health.vic.gov.au/immunisation/cold-chain-monitoring-during-vaccine-transport" TargetMode="External"/><Relationship Id="rId116" Type="http://schemas.openxmlformats.org/officeDocument/2006/relationships/footer" Target="footer5.xml"/><Relationship Id="rId124" Type="http://schemas.openxmlformats.org/officeDocument/2006/relationships/hyperlink" Target="mailto:program" TargetMode="External"/><Relationship Id="rId129" Type="http://schemas.openxmlformats.org/officeDocument/2006/relationships/footer" Target="footer7.xml"/><Relationship Id="rId20" Type="http://schemas.openxmlformats.org/officeDocument/2006/relationships/hyperlink" Target="https://immunisationhandbook.health.gov.au/contents/vaccine-preventable-diseases/mpox-previously-known-as-monkeypox" TargetMode="External"/><Relationship Id="rId41" Type="http://schemas.openxmlformats.org/officeDocument/2006/relationships/image" Target="media/image13.png"/><Relationship Id="rId54" Type="http://schemas.openxmlformats.org/officeDocument/2006/relationships/hyperlink" Target="https://www.mcri.edu.au/research/research-areas/infection-and-immunity/saefvic" TargetMode="External"/><Relationship Id="rId62" Type="http://schemas.openxmlformats.org/officeDocument/2006/relationships/hyperlink" Target="https://immunisationhandbook.health.gov.au/resources/handbook-tables/table-recognition-and-treatment-of-anaphylaxis" TargetMode="External"/><Relationship Id="rId70" Type="http://schemas.openxmlformats.org/officeDocument/2006/relationships/hyperlink" Target="https://www.legislation.vic.gov.au/in-force/acts/medical-treatment-planning-and-decisions-act-2016/009" TargetMode="External"/><Relationship Id="rId75" Type="http://schemas.openxmlformats.org/officeDocument/2006/relationships/hyperlink" Target="https://www.legislation.gov.au/Details/C2004A00100" TargetMode="External"/><Relationship Id="rId83" Type="http://schemas.openxmlformats.org/officeDocument/2006/relationships/hyperlink" Target="https://www.worksafe.vic.gov.au/occupational-health-and-safety-act-and-regulations" TargetMode="External"/><Relationship Id="rId88" Type="http://schemas.openxmlformats.org/officeDocument/2006/relationships/hyperlink" Target="https://immunisationhandbook.health.gov.au/contents/vaccine-preventable-diseases/mpox-previously-known-as-monkeypox" TargetMode="External"/><Relationship Id="rId91" Type="http://schemas.openxmlformats.org/officeDocument/2006/relationships/hyperlink" Target="https://www.health.gov.au/resources/publications/iceg-interim-guidance-on-monkeypox-for-health-workers" TargetMode="External"/><Relationship Id="rId96" Type="http://schemas.openxmlformats.org/officeDocument/2006/relationships/header" Target="header4.xml"/><Relationship Id="rId111" Type="http://schemas.openxmlformats.org/officeDocument/2006/relationships/hyperlink" Target="mailto:immunisation@health.vic.gov.au"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www.safevac.org.au/Home/Info/VIC" TargetMode="External"/><Relationship Id="rId36" Type="http://schemas.openxmlformats.org/officeDocument/2006/relationships/hyperlink" Target="https://www.cdc.gov/vaccines/hcp/admin/downloads/IM-Injection-adult.pdf" TargetMode="External"/><Relationship Id="rId49" Type="http://schemas.openxmlformats.org/officeDocument/2006/relationships/image" Target="media/image18.PNG"/><Relationship Id="rId57" Type="http://schemas.openxmlformats.org/officeDocument/2006/relationships/hyperlink" Target="mailto:immunisation@health.vic.gov.au" TargetMode="External"/><Relationship Id="rId106" Type="http://schemas.openxmlformats.org/officeDocument/2006/relationships/hyperlink" Target="https://www.health.vic.gov.au/immunisation/cold-chain-breach-reporting" TargetMode="External"/><Relationship Id="rId114" Type="http://schemas.openxmlformats.org/officeDocument/2006/relationships/hyperlink" Target="https://www.safevac.org.au/Home/Info/VIC" TargetMode="External"/><Relationship Id="rId119" Type="http://schemas.openxmlformats.org/officeDocument/2006/relationships/hyperlink" Target="https://www.safevac.org.au/Home/Info/VIC" TargetMode="External"/><Relationship Id="rId12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immunisationhandbook.health.gov.au/technical-terms" TargetMode="External"/><Relationship Id="rId52" Type="http://schemas.openxmlformats.org/officeDocument/2006/relationships/image" Target="media/image20.PNG"/><Relationship Id="rId60" Type="http://schemas.openxmlformats.org/officeDocument/2006/relationships/hyperlink" Target="mailto:immunisation@health.vic.gov.au" TargetMode="External"/><Relationship Id="rId65" Type="http://schemas.openxmlformats.org/officeDocument/2006/relationships/hyperlink" Target="https://www.safevac.org.au/Home/Info/VIC" TargetMode="External"/><Relationship Id="rId73" Type="http://schemas.openxmlformats.org/officeDocument/2006/relationships/hyperlink" Target="https://www.legislation.vic.gov.au/in-force/acts/public-records-act-1973/041" TargetMode="External"/><Relationship Id="rId78" Type="http://schemas.openxmlformats.org/officeDocument/2006/relationships/image" Target="media/image21.png"/><Relationship Id="rId81" Type="http://schemas.openxmlformats.org/officeDocument/2006/relationships/hyperlink" Target="https://www.servicesaustralia.gov.au/organisations/business/services/proda-provider-digital-access" TargetMode="External"/><Relationship Id="rId86" Type="http://schemas.openxmlformats.org/officeDocument/2006/relationships/hyperlink" Target="https://vic-immunisation-learning.com/" TargetMode="External"/><Relationship Id="rId94" Type="http://schemas.openxmlformats.org/officeDocument/2006/relationships/hyperlink" Target="https://www.health.vic.gov.au/publications/clinical-and-related-waste-guidance-supplement-for-healthcare-staff" TargetMode="External"/><Relationship Id="rId99" Type="http://schemas.openxmlformats.org/officeDocument/2006/relationships/hyperlink" Target="mailto:immunisation@health.vic.gov.au" TargetMode="External"/><Relationship Id="rId101" Type="http://schemas.openxmlformats.org/officeDocument/2006/relationships/hyperlink" Target="https://www.servicesaustralia.gov.au/how-to-set-up-your-access-to-air?context=23401" TargetMode="External"/><Relationship Id="rId122" Type="http://schemas.openxmlformats.org/officeDocument/2006/relationships/hyperlink" Target="https://www.health.vic.gov.au/infectious-diseases/monkeypox"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immunisationhandbook.health.gov.au/technical-terms" TargetMode="External"/><Relationship Id="rId39" Type="http://schemas.openxmlformats.org/officeDocument/2006/relationships/hyperlink" Target="https://immunisationhandbook.health.gov.au/node/505" TargetMode="External"/><Relationship Id="rId109" Type="http://schemas.openxmlformats.org/officeDocument/2006/relationships/hyperlink" Target="https://www.health.gov.au/resources/publications/national-vaccine-storage-guidelines-strive-for-5" TargetMode="External"/><Relationship Id="rId34" Type="http://schemas.openxmlformats.org/officeDocument/2006/relationships/image" Target="media/image10.jpeg"/><Relationship Id="rId50" Type="http://schemas.openxmlformats.org/officeDocument/2006/relationships/hyperlink" Target="https://immunisationhandbook.health.gov.au/technical-terms" TargetMode="External"/><Relationship Id="rId55" Type="http://schemas.openxmlformats.org/officeDocument/2006/relationships/hyperlink" Target="https://www.safevac.org.au/Home/Info/VIC" TargetMode="External"/><Relationship Id="rId76" Type="http://schemas.openxmlformats.org/officeDocument/2006/relationships/hyperlink" Target="https://store.standards.org.au/product/as-iso-15489-1-2017" TargetMode="External"/><Relationship Id="rId97" Type="http://schemas.openxmlformats.org/officeDocument/2006/relationships/hyperlink" Target="http://www.saefvic.org.au" TargetMode="External"/><Relationship Id="rId104" Type="http://schemas.openxmlformats.org/officeDocument/2006/relationships/hyperlink" Target="https://www.health.gov.au/resources/publications/national-vaccine-storage-guidelines-strive-for-5" TargetMode="External"/><Relationship Id="rId120" Type="http://schemas.openxmlformats.org/officeDocument/2006/relationships/hyperlink" Target="https://www.safevac.org.au/Home/Info/VIC" TargetMode="External"/><Relationship Id="rId125" Type="http://schemas.openxmlformats.org/officeDocument/2006/relationships/hyperlink" Target="https://www.health.vic.gov.au/infectious-diseases/monkeypox" TargetMode="External"/><Relationship Id="rId7" Type="http://schemas.openxmlformats.org/officeDocument/2006/relationships/settings" Target="settings.xml"/><Relationship Id="rId71" Type="http://schemas.openxmlformats.org/officeDocument/2006/relationships/hyperlink" Target="https://www.legislation.vic.gov.au/in-force/acts/medical-treatment-planning-and-decisions-act-2016/009" TargetMode="External"/><Relationship Id="rId92" Type="http://schemas.openxmlformats.org/officeDocument/2006/relationships/hyperlink" Target="https://www.health.gov.au/resources/publications/mpox-monkeypox-information-on-jynneosr-vaccine?language=en"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4.jpeg"/><Relationship Id="rId40" Type="http://schemas.openxmlformats.org/officeDocument/2006/relationships/hyperlink" Target="https://immunisationhandbook.health.gov.au/contents/vaccination-procedures/administration-of-vaccines" TargetMode="External"/><Relationship Id="rId45" Type="http://schemas.openxmlformats.org/officeDocument/2006/relationships/hyperlink" Target="https://www.cdc.gov/poxvirus/monkeypox/interim-considerations/jynneos-vaccine.html" TargetMode="External"/><Relationship Id="rId66" Type="http://schemas.openxmlformats.org/officeDocument/2006/relationships/hyperlink" Target="http://www.saefvic.org.au" TargetMode="External"/><Relationship Id="rId87" Type="http://schemas.openxmlformats.org/officeDocument/2006/relationships/hyperlink" Target="mailto:immunisation@health.vic.gov.au" TargetMode="External"/><Relationship Id="rId110" Type="http://schemas.openxmlformats.org/officeDocument/2006/relationships/hyperlink" Target="mailto:Appendix%203" TargetMode="External"/><Relationship Id="rId115" Type="http://schemas.openxmlformats.org/officeDocument/2006/relationships/hyperlink" Target="https://www.safevac.org.au/Home/Info/VIC" TargetMode="External"/><Relationship Id="rId131" Type="http://schemas.openxmlformats.org/officeDocument/2006/relationships/glossaryDocument" Target="glossary/document.xml"/><Relationship Id="rId61" Type="http://schemas.openxmlformats.org/officeDocument/2006/relationships/hyperlink" Target="mailto:immunisation@health.vic.gov.au" TargetMode="External"/><Relationship Id="rId82" Type="http://schemas.openxmlformats.org/officeDocument/2006/relationships/hyperlink" Target="https://www.safetyandquality.gov.au/consumers/working-your-healthcare-provider/australian-charter-healthcare-rights" TargetMode="External"/><Relationship Id="rId19" Type="http://schemas.openxmlformats.org/officeDocument/2006/relationships/hyperlink" Target="https://www.health.vic.gov.au/infectious-diseases/mpox-monkeypo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usvaxsafety.org.au/vaccine-safety-data/mpox-monkeypox-vaccine" TargetMode="External"/><Relationship Id="rId18" Type="http://schemas.openxmlformats.org/officeDocument/2006/relationships/hyperlink" Target="https://www.safetyandquality.gov.au/our-work/infection-prevention-and-control/national-hand-hygiene-initiative/materials-support-improved-hand-hygiene-australia-nhhi" TargetMode="External"/><Relationship Id="rId26" Type="http://schemas.openxmlformats.org/officeDocument/2006/relationships/hyperlink" Target="https://www.health.gov.au/resources/publications/national-vaccine-storage-guidelines-strive-for-5" TargetMode="External"/><Relationship Id="rId39" Type="http://schemas.openxmlformats.org/officeDocument/2006/relationships/hyperlink" Target="https://www.bettersafercare.vic.gov.au/clinical-guidance/emergency/anaphylaxis-adults" TargetMode="External"/><Relationship Id="rId3" Type="http://schemas.openxmlformats.org/officeDocument/2006/relationships/hyperlink" Target="https://immunisationhandbook.health.gov.au/contents/vaccine-preventable-diseases/mpox-previously-known-as-monkeypox" TargetMode="External"/><Relationship Id="rId21" Type="http://schemas.openxmlformats.org/officeDocument/2006/relationships/hyperlink" Target="https://www.health.vic.gov.au/covid-19-infection-prevention-control-guidelines/standard-and-transmission-based-precautions" TargetMode="External"/><Relationship Id="rId34" Type="http://schemas.openxmlformats.org/officeDocument/2006/relationships/hyperlink" Target="https://www.health.gov.au/resources/publications/atagi-clinical-guidance-on-vaccination-against-monkeypox?language=en" TargetMode="External"/><Relationship Id="rId42" Type="http://schemas.openxmlformats.org/officeDocument/2006/relationships/hyperlink" Target="https://www.health.gov.au/resources/publications/mpox-monkeypox-consent-form-for-jynneosr-vaccination" TargetMode="External"/><Relationship Id="rId47" Type="http://schemas.openxmlformats.org/officeDocument/2006/relationships/hyperlink" Target="https://www.nhmrc.gov.au/about-us/publications/australian-guidelines-prevention-and-control-infection-healthcare-2019" TargetMode="External"/><Relationship Id="rId50" Type="http://schemas.openxmlformats.org/officeDocument/2006/relationships/hyperlink" Target="https://www.health.vic.gov.au/immunisation/nurse-immunisers-requirements-and-responsibilities" TargetMode="External"/><Relationship Id="rId7" Type="http://schemas.openxmlformats.org/officeDocument/2006/relationships/hyperlink" Target="https://immunisationhandbook.health.gov.au/contents/vaccine-preventable-diseases/mpox-previously-known-as-monkeypox" TargetMode="External"/><Relationship Id="rId12" Type="http://schemas.openxmlformats.org/officeDocument/2006/relationships/hyperlink" Target="https://www.health.gov.au/resources/publications/atagi-clinical-guidance-on-vaccination-against-monkeypox?language=en" TargetMode="External"/><Relationship Id="rId17" Type="http://schemas.openxmlformats.org/officeDocument/2006/relationships/hyperlink" Target="https://www.nhmrc.gov.au/about-us/publications/australian-guidelines-prevention-and-control-infection-healthcare-2019" TargetMode="External"/><Relationship Id="rId25" Type="http://schemas.openxmlformats.org/officeDocument/2006/relationships/hyperlink" Target="https://immunisationhandbook.health.gov.au/contents/vaccination-procedures" TargetMode="External"/><Relationship Id="rId33" Type="http://schemas.openxmlformats.org/officeDocument/2006/relationships/hyperlink" Target="https://www.cdc.gov/poxvirus/monkeypox/interim-considerations/jynneos-vaccine.html" TargetMode="External"/><Relationship Id="rId38" Type="http://schemas.openxmlformats.org/officeDocument/2006/relationships/hyperlink" Target="https://immunisationhandbook.health.gov.au/resources/publications/preparing-an-anaphylaxis-response-kit" TargetMode="External"/><Relationship Id="rId46" Type="http://schemas.openxmlformats.org/officeDocument/2006/relationships/hyperlink" Target="https://www.worksafe.vic.gov.au/occupational-health-and-safety-act-and-regulations"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www.health.gov.au/resources/publications/national-vaccine-storage-guidelines-strive-for-5" TargetMode="External"/><Relationship Id="rId20" Type="http://schemas.openxmlformats.org/officeDocument/2006/relationships/hyperlink" Target="https://www.health.gov.au/resources/publications/iceg-interim-guidance-on-monkeypox-for-health-workers" TargetMode="External"/><Relationship Id="rId29" Type="http://schemas.openxmlformats.org/officeDocument/2006/relationships/hyperlink" Target="https://www.health.gov.au/resources/publications/atagi-clinical-guidance-on-vaccination-against-monkeypox?language=en" TargetMode="External"/><Relationship Id="rId41" Type="http://schemas.openxmlformats.org/officeDocument/2006/relationships/hyperlink" Target="https://www.mja.com.au/journal/2011/194/1/syncope-and-seizures-following-human-papillomavirus-vaccination-retrospective" TargetMode="External"/><Relationship Id="rId1" Type="http://schemas.openxmlformats.org/officeDocument/2006/relationships/hyperlink" Target="https://www.health.gov.au/resources/publications/atagi-clinical-guidance-on-vaccination-against-monkeypox?language=en" TargetMode="External"/><Relationship Id="rId6" Type="http://schemas.openxmlformats.org/officeDocument/2006/relationships/hyperlink" Target="https://www.health.gov.au/resources/publications/iceg-interim-guidance-on-monkeypox-for-health-workers" TargetMode="External"/><Relationship Id="rId11" Type="http://schemas.openxmlformats.org/officeDocument/2006/relationships/hyperlink" Target="https://www.sciencedirect.com/science/article/pii/S0264410X15008762" TargetMode="External"/><Relationship Id="rId24" Type="http://schemas.openxmlformats.org/officeDocument/2006/relationships/hyperlink" Target="https://immunisationhandbook.health.gov.au/contents/vaccine-preventable-diseases/mpox-previously-known-as-monkeypox" TargetMode="External"/><Relationship Id="rId32" Type="http://schemas.openxmlformats.org/officeDocument/2006/relationships/hyperlink" Target="https://www.cdc.gov/poxvirus/monkeypox/interim-considerations/jynneos-vaccine.html" TargetMode="External"/><Relationship Id="rId37" Type="http://schemas.openxmlformats.org/officeDocument/2006/relationships/hyperlink" Target="https://immunisationhandbook.health.gov.au/resources/tables/table-recognition-and-treatment-of-anaphylaxis" TargetMode="External"/><Relationship Id="rId40" Type="http://schemas.openxmlformats.org/officeDocument/2006/relationships/hyperlink" Target="https://immunisationhandbook.health.gov.au/resources/tables/table-clinical-features-that-may-help-differentiate-between-a-vasovagal-episode-and-anaphylaxis" TargetMode="External"/><Relationship Id="rId45" Type="http://schemas.openxmlformats.org/officeDocument/2006/relationships/hyperlink" Target="https://www.legislation.vic.gov.au/in-force/acts/health-records-act-2001/046" TargetMode="External"/><Relationship Id="rId5" Type="http://schemas.openxmlformats.org/officeDocument/2006/relationships/hyperlink" Target="https://immunisationhandbook.health.gov.au/contents/vaccine-preventable-diseases/mpox-previously-known-as-monkeypox" TargetMode="External"/><Relationship Id="rId15" Type="http://schemas.openxmlformats.org/officeDocument/2006/relationships/hyperlink" Target="https://www.health.gov.au/resources/publications/atagi-clinical-guidance-on-vaccination-against-monkeypox?language=en" TargetMode="External"/><Relationship Id="rId23" Type="http://schemas.openxmlformats.org/officeDocument/2006/relationships/hyperlink" Target="https://www.epa.vic.gov.au/about-epa/publications/iwrg612-1" TargetMode="External"/><Relationship Id="rId28" Type="http://schemas.openxmlformats.org/officeDocument/2006/relationships/hyperlink" Target="https://www.health.gov.au/sites/default/files/2024-01/atagi-guidance-on-the-use-of-multi-dose-vials-for-covid-19-vaccination.pdf" TargetMode="External"/><Relationship Id="rId36" Type="http://schemas.openxmlformats.org/officeDocument/2006/relationships/hyperlink" Target="https://immunisationhandbook.health.gov.au/resources/tables/table-recognition-and-treatment-of-anaphylaxis" TargetMode="External"/><Relationship Id="rId49" Type="http://schemas.openxmlformats.org/officeDocument/2006/relationships/hyperlink" Target="https://www.health.vic.gov.au/publications/medical-practitioners-key-requirements-in-victoria" TargetMode="External"/><Relationship Id="rId10" Type="http://schemas.openxmlformats.org/officeDocument/2006/relationships/hyperlink" Target="https://immunisationhandbook.health.gov.au/contents/vaccine-preventable-diseases/mpox-previously-known-as-monkeypox" TargetMode="External"/><Relationship Id="rId19" Type="http://schemas.openxmlformats.org/officeDocument/2006/relationships/hyperlink" Target="https://www.health.vic.gov.au/covid-19-infection-prevention-control-guidelines/personal-protective-equipment-ppe" TargetMode="External"/><Relationship Id="rId31" Type="http://schemas.openxmlformats.org/officeDocument/2006/relationships/hyperlink" Target="https://immunisationhandbook.health.gov.au/contents/vaccination-procedures/administration-of-vaccines" TargetMode="External"/><Relationship Id="rId44" Type="http://schemas.openxmlformats.org/officeDocument/2006/relationships/hyperlink" Target="https://www.racgp.org.au/afp/2011/march/consent-to-medical-treatment-the-mature-minor/" TargetMode="External"/><Relationship Id="rId52" Type="http://schemas.openxmlformats.org/officeDocument/2006/relationships/hyperlink" Target="https://www.health.gov.au/resources/publications/national-vaccine-storage-guidelines-strive-for-5" TargetMode="External"/><Relationship Id="rId4" Type="http://schemas.openxmlformats.org/officeDocument/2006/relationships/hyperlink" Target="https://www.health.vic.gov.au/infectious-diseases/mpox-monkeypox" TargetMode="External"/><Relationship Id="rId9" Type="http://schemas.openxmlformats.org/officeDocument/2006/relationships/hyperlink" Target="https://www.health.gov.au/resources/publications/atagi-clinical-guidance-on-vaccination-against-monkeypox?language=en" TargetMode="External"/><Relationship Id="rId14" Type="http://schemas.openxmlformats.org/officeDocument/2006/relationships/hyperlink" Target="https://immunisationhandbook.health.gov.au/contents/vaccine-preventable-diseases/mpox-previously-known-as-monkeypox" TargetMode="External"/><Relationship Id="rId22" Type="http://schemas.openxmlformats.org/officeDocument/2006/relationships/hyperlink" Target="https://www.health.vic.gov.au/publications/clinical-and-related-waste-guidance-supplement-for-healthcare-staff" TargetMode="External"/><Relationship Id="rId27" Type="http://schemas.openxmlformats.org/officeDocument/2006/relationships/hyperlink" Target="https://immunisationhandbook.health.gov.au/contents/vaccination-procedures/administration-of-vaccines" TargetMode="External"/><Relationship Id="rId30" Type="http://schemas.openxmlformats.org/officeDocument/2006/relationships/hyperlink" Target="https://www.cdc.gov/poxvirus/monkeypox/interim-considerations/jynneos-vaccine.html" TargetMode="External"/><Relationship Id="rId35" Type="http://schemas.openxmlformats.org/officeDocument/2006/relationships/hyperlink" Target="https://immunisationhandbook.health.gov.au/contents/vaccination-procedures/administration-of-vaccines" TargetMode="External"/><Relationship Id="rId43" Type="http://schemas.openxmlformats.org/officeDocument/2006/relationships/hyperlink" Target="https://immunisationhandbook.health.gov.au/" TargetMode="External"/><Relationship Id="rId48" Type="http://schemas.openxmlformats.org/officeDocument/2006/relationships/hyperlink" Target="https://www.health.vic.gov.au/drugs-and-poisons/nurse-practitioners-legislative-requirements" TargetMode="External"/><Relationship Id="rId8" Type="http://schemas.openxmlformats.org/officeDocument/2006/relationships/hyperlink" Target="https://immunisationhandbook.health.gov.au/contents/vaccine-preventable-diseases/mpox-previously-known-as-monkeypox" TargetMode="External"/><Relationship Id="rId51" Type="http://schemas.openxmlformats.org/officeDocument/2006/relationships/hyperlink" Target="https://www.health.vic.gov.au/immunisation/pharmacist-immunise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025E86"/>
    <w:rsid w:val="00071569"/>
    <w:rsid w:val="001043C6"/>
    <w:rsid w:val="001548E9"/>
    <w:rsid w:val="00176EE5"/>
    <w:rsid w:val="001D449C"/>
    <w:rsid w:val="001D6290"/>
    <w:rsid w:val="00202E86"/>
    <w:rsid w:val="00203318"/>
    <w:rsid w:val="0027750B"/>
    <w:rsid w:val="00291AC3"/>
    <w:rsid w:val="00396972"/>
    <w:rsid w:val="003B43B4"/>
    <w:rsid w:val="003C3413"/>
    <w:rsid w:val="003D225A"/>
    <w:rsid w:val="003D2BB4"/>
    <w:rsid w:val="00431739"/>
    <w:rsid w:val="00435947"/>
    <w:rsid w:val="004A7463"/>
    <w:rsid w:val="0055551D"/>
    <w:rsid w:val="0055603F"/>
    <w:rsid w:val="0058548A"/>
    <w:rsid w:val="005A297F"/>
    <w:rsid w:val="005B320B"/>
    <w:rsid w:val="00626875"/>
    <w:rsid w:val="00651261"/>
    <w:rsid w:val="00685099"/>
    <w:rsid w:val="006E54EB"/>
    <w:rsid w:val="006F0477"/>
    <w:rsid w:val="006F7AFE"/>
    <w:rsid w:val="00745713"/>
    <w:rsid w:val="007A7EA2"/>
    <w:rsid w:val="007E0343"/>
    <w:rsid w:val="008253C8"/>
    <w:rsid w:val="00861CC2"/>
    <w:rsid w:val="00887679"/>
    <w:rsid w:val="008C1393"/>
    <w:rsid w:val="008C1C32"/>
    <w:rsid w:val="008E50A7"/>
    <w:rsid w:val="00A0003D"/>
    <w:rsid w:val="00A22DFC"/>
    <w:rsid w:val="00A57157"/>
    <w:rsid w:val="00AF0031"/>
    <w:rsid w:val="00AF2F1E"/>
    <w:rsid w:val="00B601DD"/>
    <w:rsid w:val="00B61B95"/>
    <w:rsid w:val="00BE0B5B"/>
    <w:rsid w:val="00C16931"/>
    <w:rsid w:val="00C5077B"/>
    <w:rsid w:val="00C600D1"/>
    <w:rsid w:val="00D4357C"/>
    <w:rsid w:val="00D4604C"/>
    <w:rsid w:val="00D67E32"/>
    <w:rsid w:val="00D75629"/>
    <w:rsid w:val="00DC0E78"/>
    <w:rsid w:val="00DD3506"/>
    <w:rsid w:val="00E71C56"/>
    <w:rsid w:val="00E91B95"/>
    <w:rsid w:val="00EE43CA"/>
    <w:rsid w:val="00EE5FAA"/>
    <w:rsid w:val="00F077E6"/>
    <w:rsid w:val="00F30225"/>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UserInfo>
        <DisplayName>Min-Ho Jung (Health)</DisplayName>
        <AccountId>930</AccountId>
        <AccountType/>
      </UserInfo>
    </SharedWithUsers>
    <ReconciledwithInvoice xmlns="56f13c3b-1a5e-4b20-8813-0ef8710fa369" xsi:nil="true"/>
    <TRIMNumber xmlns="56f13c3b-1a5e-4b20-8813-0ef8710fa36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28867-B2D5-4245-8DE6-BC0EAE4F6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bef801f1-2872-443b-a104-0f84f9fd089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56f13c3b-1a5e-4b20-8813-0ef8710fa369"/>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15744</Words>
  <Characters>93209</Characters>
  <Application>Microsoft Office Word</Application>
  <DocSecurity>0</DocSecurity>
  <Lines>2452</Lines>
  <Paragraphs>1433</Paragraphs>
  <ScaleCrop>false</ScaleCrop>
  <HeadingPairs>
    <vt:vector size="4" baseType="variant">
      <vt:variant>
        <vt:lpstr>Title</vt:lpstr>
      </vt:variant>
      <vt:variant>
        <vt:i4>1</vt:i4>
      </vt:variant>
      <vt:variant>
        <vt:lpstr>Headings</vt:lpstr>
      </vt:variant>
      <vt:variant>
        <vt:i4>92</vt:i4>
      </vt:variant>
    </vt:vector>
  </HeadingPairs>
  <TitlesOfParts>
    <vt:vector size="93" baseType="lpstr">
      <vt:lpstr>Victorian Monkeypox Vaccination Program - Guidelines</vt:lpstr>
      <vt:lpstr>Introduction</vt:lpstr>
      <vt:lpstr>    Background</vt:lpstr>
      <vt:lpstr>Vaccine program</vt:lpstr>
      <vt:lpstr>    Mpox vaccines approved for use in Australia </vt:lpstr>
      <vt:lpstr>    Mpox vaccine eligibility</vt:lpstr>
      <vt:lpstr>Mpox vaccine for use in Victoria </vt:lpstr>
      <vt:lpstr>    Mpox vaccines for use in Victoria</vt:lpstr>
      <vt:lpstr>    Contraindications</vt:lpstr>
      <vt:lpstr>    Precautions</vt:lpstr>
      <vt:lpstr>        People who are immunocompromised, including people living with HIV </vt:lpstr>
      <vt:lpstr>        Vaccination against mpox for people who are immunocompromised </vt:lpstr>
      <vt:lpstr>        Atopic dermatitis</vt:lpstr>
      <vt:lpstr>        Confirmed anaphylaxis to chicken or egg protein</vt:lpstr>
      <vt:lpstr>        History of atopic dermatitis or keloid scarring</vt:lpstr>
      <vt:lpstr>        Variation from product information</vt:lpstr>
      <vt:lpstr>    Route</vt:lpstr>
      <vt:lpstr>    Schedule </vt:lpstr>
      <vt:lpstr>    Common side effects</vt:lpstr>
      <vt:lpstr>Other considerations</vt:lpstr>
      <vt:lpstr>    Previous smallpox vaccination</vt:lpstr>
      <vt:lpstr>    Interval after infection</vt:lpstr>
      <vt:lpstr>    Coadministration </vt:lpstr>
      <vt:lpstr>    Completing schedules commenced overseas</vt:lpstr>
      <vt:lpstr>    Presentation</vt:lpstr>
      <vt:lpstr>    Storage</vt:lpstr>
      <vt:lpstr>    Vaccine procurement </vt:lpstr>
      <vt:lpstr>Cold chain management </vt:lpstr>
      <vt:lpstr>    Identifying a cold chain breach</vt:lpstr>
      <vt:lpstr>    Reporting a vaccine cold chain breach</vt:lpstr>
      <vt:lpstr>Clinical Guidelines</vt:lpstr>
      <vt:lpstr>    Infection prevention and control</vt:lpstr>
      <vt:lpstr>    Hand hygiene	 </vt:lpstr>
      <vt:lpstr>    Personal protective equipment (PPE)</vt:lpstr>
      <vt:lpstr>    Cleaning and disinfection</vt:lpstr>
      <vt:lpstr>    Waste management and disposal</vt:lpstr>
      <vt:lpstr>Vaccination procedures</vt:lpstr>
      <vt:lpstr>    Preparation </vt:lpstr>
      <vt:lpstr>    Preparation for subcutaneous administration  </vt:lpstr>
      <vt:lpstr>    Subcutaneous administration</vt:lpstr>
      <vt:lpstr>        Skin cleaning</vt:lpstr>
      <vt:lpstr>        Subcutaneous injection technique</vt:lpstr>
      <vt:lpstr>        Injection sites – adolescents and adults</vt:lpstr>
      <vt:lpstr>    Considerations for multi-use vials </vt:lpstr>
      <vt:lpstr>        Infection control </vt:lpstr>
      <vt:lpstr>        Pre-preparing syringes</vt:lpstr>
      <vt:lpstr>        Storage and usage</vt:lpstr>
      <vt:lpstr>    Intradermal administration technique</vt:lpstr>
      <vt:lpstr>        Training</vt:lpstr>
      <vt:lpstr>        Skin cleaning</vt:lpstr>
      <vt:lpstr>        Identifying injection sites – Intradermal</vt:lpstr>
      <vt:lpstr>        /Alternative site for Intradermal injection </vt:lpstr>
      <vt:lpstr>        Intradermal injection technique overview</vt:lpstr>
      <vt:lpstr>        Angle of insertion – Intradermal</vt:lpstr>
      <vt:lpstr>    After vaccination </vt:lpstr>
      <vt:lpstr>Vaccine safety</vt:lpstr>
      <vt:lpstr>    Storage of multiple vaccine types in a shared location</vt:lpstr>
      <vt:lpstr>    Safety Updates</vt:lpstr>
      <vt:lpstr>    Vaccine administration errors</vt:lpstr>
      <vt:lpstr>    Adverse Events Following Immunisation (AEFI) – Reporting and Management</vt:lpstr>
      <vt:lpstr>        Steps for managing an adverse event following immunisation </vt:lpstr>
      <vt:lpstr>        Fainting and syncopal seizures</vt:lpstr>
      <vt:lpstr>        Serious or unexpected AEFI </vt:lpstr>
      <vt:lpstr>        Reporting an immediate AEFI (at place of vaccination)</vt:lpstr>
      <vt:lpstr>        Reporting a delayed AEFI (outside place of vaccination)</vt:lpstr>
      <vt:lpstr>        Managing anaphylaxis and other serious AEFI</vt:lpstr>
      <vt:lpstr>Workforce and Regulation </vt:lpstr>
      <vt:lpstr>    Legislative and regulatory framework</vt:lpstr>
      <vt:lpstr>        Obtaining consent for vaccination</vt:lpstr>
      <vt:lpstr>        Consent for persons aged under 18 years</vt:lpstr>
      <vt:lpstr>        Keeping and accessing records related to vaccination</vt:lpstr>
      <vt:lpstr>        Privacy</vt:lpstr>
      <vt:lpstr>        Privacy notification</vt:lpstr>
      <vt:lpstr>        Reporting data to the Australian Immunisation Register (AIR)</vt:lpstr>
      <vt:lpstr>        Feedback and complaints</vt:lpstr>
      <vt:lpstr>        Occupational health and safety</vt:lpstr>
      <vt:lpstr>        Professional indemnity insurance</vt:lpstr>
      <vt:lpstr>    Workforce requirements</vt:lpstr>
      <vt:lpstr>        Training requirements</vt:lpstr>
      <vt:lpstr>        Training activities</vt:lpstr>
      <vt:lpstr>        Victorian Mpox Intradermal technique competency checklist </vt:lpstr>
      <vt:lpstr>    Emergency response</vt:lpstr>
      <vt:lpstr>Additional resources</vt:lpstr>
      <vt:lpstr>&lt;https://www.health.gov.au/resources/publications/mpox-monkeypox-information-on-</vt:lpstr>
      <vt:lpstr>Contact information</vt:lpstr>
      <vt:lpstr>Appendix 1: Contact information </vt:lpstr>
      <vt:lpstr/>
      <vt:lpstr>Appendix 2: Safe vaccine storage – data loggers</vt:lpstr>
      <vt:lpstr>Appendix 3: Cold chain management checklists</vt:lpstr>
      <vt:lpstr/>
      <vt:lpstr>Appendix 4 Vaccine temperature monitoring form for outreach mobile services</vt:lpstr>
      <vt:lpstr/>
      <vt:lpstr>Appendix 5: Guidance – differentiating anaphylaxis from acute stress response fo</vt:lpstr>
    </vt:vector>
  </TitlesOfParts>
  <Manager/>
  <Company>Victoria State Government, Department of Health</Company>
  <LinksUpToDate>false</LinksUpToDate>
  <CharactersWithSpaces>107520</CharactersWithSpaces>
  <SharedDoc>false</SharedDoc>
  <HyperlinkBase/>
  <HLinks>
    <vt:vector size="1308" baseType="variant">
      <vt:variant>
        <vt:i4>3014695</vt:i4>
      </vt:variant>
      <vt:variant>
        <vt:i4>669</vt:i4>
      </vt:variant>
      <vt:variant>
        <vt:i4>0</vt:i4>
      </vt:variant>
      <vt:variant>
        <vt:i4>5</vt:i4>
      </vt:variant>
      <vt:variant>
        <vt:lpwstr>https://www.health.vic.gov.au/infectious-diseases/monkeypox</vt:lpwstr>
      </vt:variant>
      <vt:variant>
        <vt:lpwstr/>
      </vt:variant>
      <vt:variant>
        <vt:i4>6422590</vt:i4>
      </vt:variant>
      <vt:variant>
        <vt:i4>666</vt:i4>
      </vt:variant>
      <vt:variant>
        <vt:i4>0</vt:i4>
      </vt:variant>
      <vt:variant>
        <vt:i4>5</vt:i4>
      </vt:variant>
      <vt:variant>
        <vt:lpwstr>mailto:program</vt:lpwstr>
      </vt:variant>
      <vt:variant>
        <vt:lpwstr/>
      </vt:variant>
      <vt:variant>
        <vt:i4>7798823</vt:i4>
      </vt:variant>
      <vt:variant>
        <vt:i4>663</vt:i4>
      </vt:variant>
      <vt:variant>
        <vt:i4>0</vt:i4>
      </vt:variant>
      <vt:variant>
        <vt:i4>5</vt:i4>
      </vt:variant>
      <vt:variant>
        <vt:lpwstr>https://health.vic.gov.au/infectious-diseases/monkeypox</vt:lpwstr>
      </vt:variant>
      <vt:variant>
        <vt:lpwstr/>
      </vt:variant>
      <vt:variant>
        <vt:i4>3014695</vt:i4>
      </vt:variant>
      <vt:variant>
        <vt:i4>660</vt:i4>
      </vt:variant>
      <vt:variant>
        <vt:i4>0</vt:i4>
      </vt:variant>
      <vt:variant>
        <vt:i4>5</vt:i4>
      </vt:variant>
      <vt:variant>
        <vt:lpwstr>https://www.health.vic.gov.au/infectious-diseases/monkeypox</vt:lpwstr>
      </vt:variant>
      <vt:variant>
        <vt:lpwstr/>
      </vt:variant>
      <vt:variant>
        <vt:i4>7274522</vt:i4>
      </vt:variant>
      <vt:variant>
        <vt:i4>657</vt:i4>
      </vt:variant>
      <vt:variant>
        <vt:i4>0</vt:i4>
      </vt:variant>
      <vt:variant>
        <vt:i4>5</vt:i4>
      </vt:variant>
      <vt:variant>
        <vt:lpwstr>mailto:enquiries@saefvic.org.au</vt:lpwstr>
      </vt:variant>
      <vt:variant>
        <vt:lpwstr/>
      </vt:variant>
      <vt:variant>
        <vt:i4>1310789</vt:i4>
      </vt:variant>
      <vt:variant>
        <vt:i4>654</vt:i4>
      </vt:variant>
      <vt:variant>
        <vt:i4>0</vt:i4>
      </vt:variant>
      <vt:variant>
        <vt:i4>5</vt:i4>
      </vt:variant>
      <vt:variant>
        <vt:lpwstr>https://www.safevac.org.au/Home/Info/VIC</vt:lpwstr>
      </vt:variant>
      <vt:variant>
        <vt:lpwstr/>
      </vt:variant>
      <vt:variant>
        <vt:i4>7864424</vt:i4>
      </vt:variant>
      <vt:variant>
        <vt:i4>651</vt:i4>
      </vt:variant>
      <vt:variant>
        <vt:i4>0</vt:i4>
      </vt:variant>
      <vt:variant>
        <vt:i4>5</vt:i4>
      </vt:variant>
      <vt:variant>
        <vt:lpwstr/>
      </vt:variant>
      <vt:variant>
        <vt:lpwstr>_Vaccine_safety</vt:lpwstr>
      </vt:variant>
      <vt:variant>
        <vt:i4>1310789</vt:i4>
      </vt:variant>
      <vt:variant>
        <vt:i4>648</vt:i4>
      </vt:variant>
      <vt:variant>
        <vt:i4>0</vt:i4>
      </vt:variant>
      <vt:variant>
        <vt:i4>5</vt:i4>
      </vt:variant>
      <vt:variant>
        <vt:lpwstr>https://www.safevac.org.au/Home/Info/VIC</vt:lpwstr>
      </vt:variant>
      <vt:variant>
        <vt:lpwstr/>
      </vt:variant>
      <vt:variant>
        <vt:i4>1310789</vt:i4>
      </vt:variant>
      <vt:variant>
        <vt:i4>645</vt:i4>
      </vt:variant>
      <vt:variant>
        <vt:i4>0</vt:i4>
      </vt:variant>
      <vt:variant>
        <vt:i4>5</vt:i4>
      </vt:variant>
      <vt:variant>
        <vt:lpwstr>https://www.safevac.org.au/Home/Info/VIC</vt:lpwstr>
      </vt:variant>
      <vt:variant>
        <vt:lpwstr/>
      </vt:variant>
      <vt:variant>
        <vt:i4>7209054</vt:i4>
      </vt:variant>
      <vt:variant>
        <vt:i4>642</vt:i4>
      </vt:variant>
      <vt:variant>
        <vt:i4>0</vt:i4>
      </vt:variant>
      <vt:variant>
        <vt:i4>5</vt:i4>
      </vt:variant>
      <vt:variant>
        <vt:lpwstr>https://mvec.mcri.edu.au/wp-content/uploads/2021/10/Guidance-for-differentiating-anaphylaxis-and-acute-stress-response-for-vaccine-providers_updated-converted.pdf</vt:lpwstr>
      </vt:variant>
      <vt:variant>
        <vt:lpwstr/>
      </vt:variant>
      <vt:variant>
        <vt:i4>1310789</vt:i4>
      </vt:variant>
      <vt:variant>
        <vt:i4>639</vt:i4>
      </vt:variant>
      <vt:variant>
        <vt:i4>0</vt:i4>
      </vt:variant>
      <vt:variant>
        <vt:i4>5</vt:i4>
      </vt:variant>
      <vt:variant>
        <vt:lpwstr>https://www.safevac.org.au/Home/Info/VIC</vt:lpwstr>
      </vt:variant>
      <vt:variant>
        <vt:lpwstr/>
      </vt:variant>
      <vt:variant>
        <vt:i4>1310789</vt:i4>
      </vt:variant>
      <vt:variant>
        <vt:i4>636</vt:i4>
      </vt:variant>
      <vt:variant>
        <vt:i4>0</vt:i4>
      </vt:variant>
      <vt:variant>
        <vt:i4>5</vt:i4>
      </vt:variant>
      <vt:variant>
        <vt:lpwstr>https://www.safevac.org.au/Home/Info/VIC</vt:lpwstr>
      </vt:variant>
      <vt:variant>
        <vt:lpwstr/>
      </vt:variant>
      <vt:variant>
        <vt:i4>7995422</vt:i4>
      </vt:variant>
      <vt:variant>
        <vt:i4>633</vt:i4>
      </vt:variant>
      <vt:variant>
        <vt:i4>0</vt:i4>
      </vt:variant>
      <vt:variant>
        <vt:i4>5</vt:i4>
      </vt:variant>
      <vt:variant>
        <vt:lpwstr/>
      </vt:variant>
      <vt:variant>
        <vt:lpwstr>_Appendix_4_Vaccine</vt:lpwstr>
      </vt:variant>
      <vt:variant>
        <vt:i4>1704028</vt:i4>
      </vt:variant>
      <vt:variant>
        <vt:i4>630</vt:i4>
      </vt:variant>
      <vt:variant>
        <vt:i4>0</vt:i4>
      </vt:variant>
      <vt:variant>
        <vt:i4>5</vt:i4>
      </vt:variant>
      <vt:variant>
        <vt:lpwstr>https://www.health.gov.au/resources/publications/national-vaccine-storage-guidelines-strive-for-5</vt:lpwstr>
      </vt:variant>
      <vt:variant>
        <vt:lpwstr/>
      </vt:variant>
      <vt:variant>
        <vt:i4>2359304</vt:i4>
      </vt:variant>
      <vt:variant>
        <vt:i4>627</vt:i4>
      </vt:variant>
      <vt:variant>
        <vt:i4>0</vt:i4>
      </vt:variant>
      <vt:variant>
        <vt:i4>5</vt:i4>
      </vt:variant>
      <vt:variant>
        <vt:lpwstr>mailto:immunisation@health.vic.gov.au</vt:lpwstr>
      </vt:variant>
      <vt:variant>
        <vt:lpwstr/>
      </vt:variant>
      <vt:variant>
        <vt:i4>6357105</vt:i4>
      </vt:variant>
      <vt:variant>
        <vt:i4>624</vt:i4>
      </vt:variant>
      <vt:variant>
        <vt:i4>0</vt:i4>
      </vt:variant>
      <vt:variant>
        <vt:i4>5</vt:i4>
      </vt:variant>
      <vt:variant>
        <vt:lpwstr>mailto:Appendix%203</vt:lpwstr>
      </vt:variant>
      <vt:variant>
        <vt:lpwstr/>
      </vt:variant>
      <vt:variant>
        <vt:i4>1704028</vt:i4>
      </vt:variant>
      <vt:variant>
        <vt:i4>621</vt:i4>
      </vt:variant>
      <vt:variant>
        <vt:i4>0</vt:i4>
      </vt:variant>
      <vt:variant>
        <vt:i4>5</vt:i4>
      </vt:variant>
      <vt:variant>
        <vt:lpwstr>https://www.health.gov.au/resources/publications/national-vaccine-storage-guidelines-strive-for-5</vt:lpwstr>
      </vt:variant>
      <vt:variant>
        <vt:lpwstr/>
      </vt:variant>
      <vt:variant>
        <vt:i4>1507335</vt:i4>
      </vt:variant>
      <vt:variant>
        <vt:i4>618</vt:i4>
      </vt:variant>
      <vt:variant>
        <vt:i4>0</vt:i4>
      </vt:variant>
      <vt:variant>
        <vt:i4>5</vt:i4>
      </vt:variant>
      <vt:variant>
        <vt:lpwstr>https://www.health.vic.gov.au/immunisation/cold-chain-monitoring-during-vaccine-transport</vt:lpwstr>
      </vt:variant>
      <vt:variant>
        <vt:lpwstr/>
      </vt:variant>
      <vt:variant>
        <vt:i4>2359304</vt:i4>
      </vt:variant>
      <vt:variant>
        <vt:i4>615</vt:i4>
      </vt:variant>
      <vt:variant>
        <vt:i4>0</vt:i4>
      </vt:variant>
      <vt:variant>
        <vt:i4>5</vt:i4>
      </vt:variant>
      <vt:variant>
        <vt:lpwstr>mailto:immunisation@health.vic.gov.au</vt:lpwstr>
      </vt:variant>
      <vt:variant>
        <vt:lpwstr/>
      </vt:variant>
      <vt:variant>
        <vt:i4>8323187</vt:i4>
      </vt:variant>
      <vt:variant>
        <vt:i4>612</vt:i4>
      </vt:variant>
      <vt:variant>
        <vt:i4>0</vt:i4>
      </vt:variant>
      <vt:variant>
        <vt:i4>5</vt:i4>
      </vt:variant>
      <vt:variant>
        <vt:lpwstr>https://www.health.vic.gov.au/immunisation/cold-chain-breach-reporting</vt:lpwstr>
      </vt:variant>
      <vt:variant>
        <vt:lpwstr/>
      </vt:variant>
      <vt:variant>
        <vt:i4>917581</vt:i4>
      </vt:variant>
      <vt:variant>
        <vt:i4>609</vt:i4>
      </vt:variant>
      <vt:variant>
        <vt:i4>0</vt:i4>
      </vt:variant>
      <vt:variant>
        <vt:i4>5</vt:i4>
      </vt:variant>
      <vt:variant>
        <vt:lpwstr>https://www.health.vic.gov.au/immunisation/cold-chain-management</vt:lpwstr>
      </vt:variant>
      <vt:variant>
        <vt:lpwstr/>
      </vt:variant>
      <vt:variant>
        <vt:i4>1704028</vt:i4>
      </vt:variant>
      <vt:variant>
        <vt:i4>606</vt:i4>
      </vt:variant>
      <vt:variant>
        <vt:i4>0</vt:i4>
      </vt:variant>
      <vt:variant>
        <vt:i4>5</vt:i4>
      </vt:variant>
      <vt:variant>
        <vt:lpwstr>https://www.health.gov.au/resources/publications/national-vaccine-storage-guidelines-strive-for-5</vt:lpwstr>
      </vt:variant>
      <vt:variant>
        <vt:lpwstr/>
      </vt:variant>
      <vt:variant>
        <vt:i4>7733365</vt:i4>
      </vt:variant>
      <vt:variant>
        <vt:i4>603</vt:i4>
      </vt:variant>
      <vt:variant>
        <vt:i4>0</vt:i4>
      </vt:variant>
      <vt:variant>
        <vt:i4>5</vt:i4>
      </vt:variant>
      <vt:variant>
        <vt:lpwstr>https://www.servicesaustralia.gov.au/australian-immunisation-register-for-health-professionals</vt:lpwstr>
      </vt:variant>
      <vt:variant>
        <vt:lpwstr/>
      </vt:variant>
      <vt:variant>
        <vt:i4>2097194</vt:i4>
      </vt:variant>
      <vt:variant>
        <vt:i4>600</vt:i4>
      </vt:variant>
      <vt:variant>
        <vt:i4>0</vt:i4>
      </vt:variant>
      <vt:variant>
        <vt:i4>5</vt:i4>
      </vt:variant>
      <vt:variant>
        <vt:lpwstr>https://www.servicesaustralia.gov.au/how-to-set-up-your-access-to-air?context=23401</vt:lpwstr>
      </vt:variant>
      <vt:variant>
        <vt:lpwstr/>
      </vt:variant>
      <vt:variant>
        <vt:i4>2359304</vt:i4>
      </vt:variant>
      <vt:variant>
        <vt:i4>597</vt:i4>
      </vt:variant>
      <vt:variant>
        <vt:i4>0</vt:i4>
      </vt:variant>
      <vt:variant>
        <vt:i4>5</vt:i4>
      </vt:variant>
      <vt:variant>
        <vt:lpwstr>mailto:immunisation@health.vic.gov.au</vt:lpwstr>
      </vt:variant>
      <vt:variant>
        <vt:lpwstr/>
      </vt:variant>
      <vt:variant>
        <vt:i4>2359304</vt:i4>
      </vt:variant>
      <vt:variant>
        <vt:i4>594</vt:i4>
      </vt:variant>
      <vt:variant>
        <vt:i4>0</vt:i4>
      </vt:variant>
      <vt:variant>
        <vt:i4>5</vt:i4>
      </vt:variant>
      <vt:variant>
        <vt:lpwstr>mailto:immunisation@health.vic.gov.au</vt:lpwstr>
      </vt:variant>
      <vt:variant>
        <vt:lpwstr/>
      </vt:variant>
      <vt:variant>
        <vt:i4>2949168</vt:i4>
      </vt:variant>
      <vt:variant>
        <vt:i4>591</vt:i4>
      </vt:variant>
      <vt:variant>
        <vt:i4>0</vt:i4>
      </vt:variant>
      <vt:variant>
        <vt:i4>5</vt:i4>
      </vt:variant>
      <vt:variant>
        <vt:lpwstr>https://www.onelinkonline.net/</vt:lpwstr>
      </vt:variant>
      <vt:variant>
        <vt:lpwstr/>
      </vt:variant>
      <vt:variant>
        <vt:i4>7209017</vt:i4>
      </vt:variant>
      <vt:variant>
        <vt:i4>588</vt:i4>
      </vt:variant>
      <vt:variant>
        <vt:i4>0</vt:i4>
      </vt:variant>
      <vt:variant>
        <vt:i4>5</vt:i4>
      </vt:variant>
      <vt:variant>
        <vt:lpwstr>http://www.saefvic.org.au/</vt:lpwstr>
      </vt:variant>
      <vt:variant>
        <vt:lpwstr/>
      </vt:variant>
      <vt:variant>
        <vt:i4>6684718</vt:i4>
      </vt:variant>
      <vt:variant>
        <vt:i4>585</vt:i4>
      </vt:variant>
      <vt:variant>
        <vt:i4>0</vt:i4>
      </vt:variant>
      <vt:variant>
        <vt:i4>5</vt:i4>
      </vt:variant>
      <vt:variant>
        <vt:lpwstr>https://www.betterhealth.vic.gov.au/mpox-monkeypox</vt:lpwstr>
      </vt:variant>
      <vt:variant>
        <vt:lpwstr/>
      </vt:variant>
      <vt:variant>
        <vt:i4>6357026</vt:i4>
      </vt:variant>
      <vt:variant>
        <vt:i4>582</vt:i4>
      </vt:variant>
      <vt:variant>
        <vt:i4>0</vt:i4>
      </vt:variant>
      <vt:variant>
        <vt:i4>5</vt:i4>
      </vt:variant>
      <vt:variant>
        <vt:lpwstr>https://www.health.vic.gov.au/publications/clinical-and-related-waste-guidance-supplement-for-healthcare-staff</vt:lpwstr>
      </vt:variant>
      <vt:variant>
        <vt:lpwstr/>
      </vt:variant>
      <vt:variant>
        <vt:i4>5898252</vt:i4>
      </vt:variant>
      <vt:variant>
        <vt:i4>579</vt:i4>
      </vt:variant>
      <vt:variant>
        <vt:i4>0</vt:i4>
      </vt:variant>
      <vt:variant>
        <vt:i4>5</vt:i4>
      </vt:variant>
      <vt:variant>
        <vt:lpwstr>https://www.health.vic.gov.au/infectious-diseases/mpox-monkeypox</vt:lpwstr>
      </vt:variant>
      <vt:variant>
        <vt:lpwstr/>
      </vt:variant>
      <vt:variant>
        <vt:i4>7929968</vt:i4>
      </vt:variant>
      <vt:variant>
        <vt:i4>576</vt:i4>
      </vt:variant>
      <vt:variant>
        <vt:i4>0</vt:i4>
      </vt:variant>
      <vt:variant>
        <vt:i4>5</vt:i4>
      </vt:variant>
      <vt:variant>
        <vt:lpwstr>https://www.health.gov.au/resources/publications/mpox-monkeypox-information-on-jynneosr-vaccine?language=en</vt:lpwstr>
      </vt:variant>
      <vt:variant>
        <vt:lpwstr/>
      </vt:variant>
      <vt:variant>
        <vt:i4>7274596</vt:i4>
      </vt:variant>
      <vt:variant>
        <vt:i4>573</vt:i4>
      </vt:variant>
      <vt:variant>
        <vt:i4>0</vt:i4>
      </vt:variant>
      <vt:variant>
        <vt:i4>5</vt:i4>
      </vt:variant>
      <vt:variant>
        <vt:lpwstr>https://www.health.gov.au/resources/publications/iceg-interim-guidance-on-monkeypox-for-health-workers</vt:lpwstr>
      </vt:variant>
      <vt:variant>
        <vt:lpwstr/>
      </vt:variant>
      <vt:variant>
        <vt:i4>4653070</vt:i4>
      </vt:variant>
      <vt:variant>
        <vt:i4>570</vt:i4>
      </vt:variant>
      <vt:variant>
        <vt:i4>0</vt:i4>
      </vt:variant>
      <vt:variant>
        <vt:i4>5</vt:i4>
      </vt:variant>
      <vt:variant>
        <vt:lpwstr>https://www.health.gov.au/resources/publications/mpox-monkeypox-consent-form-for-jynneosr-vaccination</vt:lpwstr>
      </vt:variant>
      <vt:variant>
        <vt:lpwstr/>
      </vt:variant>
      <vt:variant>
        <vt:i4>524366</vt:i4>
      </vt:variant>
      <vt:variant>
        <vt:i4>567</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564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561</vt:i4>
      </vt:variant>
      <vt:variant>
        <vt:i4>0</vt:i4>
      </vt:variant>
      <vt:variant>
        <vt:i4>5</vt:i4>
      </vt:variant>
      <vt:variant>
        <vt:lpwstr>https://immunisationhandbook.health.gov.au/contents/vaccine-preventable-diseases/mpox-previously-known-as-monkeypox</vt:lpwstr>
      </vt:variant>
      <vt:variant>
        <vt:lpwstr/>
      </vt:variant>
      <vt:variant>
        <vt:i4>1310759</vt:i4>
      </vt:variant>
      <vt:variant>
        <vt:i4>558</vt:i4>
      </vt:variant>
      <vt:variant>
        <vt:i4>0</vt:i4>
      </vt:variant>
      <vt:variant>
        <vt:i4>5</vt:i4>
      </vt:variant>
      <vt:variant>
        <vt:lpwstr/>
      </vt:variant>
      <vt:variant>
        <vt:lpwstr>_Appendix_6:_Factsheet</vt:lpwstr>
      </vt:variant>
      <vt:variant>
        <vt:i4>8323139</vt:i4>
      </vt:variant>
      <vt:variant>
        <vt:i4>555</vt:i4>
      </vt:variant>
      <vt:variant>
        <vt:i4>0</vt:i4>
      </vt:variant>
      <vt:variant>
        <vt:i4>5</vt:i4>
      </vt:variant>
      <vt:variant>
        <vt:lpwstr/>
      </vt:variant>
      <vt:variant>
        <vt:lpwstr>_Appendix_5:_Guidance</vt:lpwstr>
      </vt:variant>
      <vt:variant>
        <vt:i4>2359304</vt:i4>
      </vt:variant>
      <vt:variant>
        <vt:i4>552</vt:i4>
      </vt:variant>
      <vt:variant>
        <vt:i4>0</vt:i4>
      </vt:variant>
      <vt:variant>
        <vt:i4>5</vt:i4>
      </vt:variant>
      <vt:variant>
        <vt:lpwstr>mailto:immunisation@health.vic.gov.au</vt:lpwstr>
      </vt:variant>
      <vt:variant>
        <vt:lpwstr/>
      </vt:variant>
      <vt:variant>
        <vt:i4>7012437</vt:i4>
      </vt:variant>
      <vt:variant>
        <vt:i4>549</vt:i4>
      </vt:variant>
      <vt:variant>
        <vt:i4>0</vt:i4>
      </vt:variant>
      <vt:variant>
        <vt:i4>5</vt:i4>
      </vt:variant>
      <vt:variant>
        <vt:lpwstr/>
      </vt:variant>
      <vt:variant>
        <vt:lpwstr>_Appendix_7:_Intradermal</vt:lpwstr>
      </vt:variant>
      <vt:variant>
        <vt:i4>2162797</vt:i4>
      </vt:variant>
      <vt:variant>
        <vt:i4>546</vt:i4>
      </vt:variant>
      <vt:variant>
        <vt:i4>0</vt:i4>
      </vt:variant>
      <vt:variant>
        <vt:i4>5</vt:i4>
      </vt:variant>
      <vt:variant>
        <vt:lpwstr>https://vic-immunisation-learning.com/</vt:lpwstr>
      </vt:variant>
      <vt:variant>
        <vt:lpwstr/>
      </vt:variant>
      <vt:variant>
        <vt:i4>5177345</vt:i4>
      </vt:variant>
      <vt:variant>
        <vt:i4>543</vt:i4>
      </vt:variant>
      <vt:variant>
        <vt:i4>0</vt:i4>
      </vt:variant>
      <vt:variant>
        <vt:i4>5</vt:i4>
      </vt:variant>
      <vt:variant>
        <vt:lpwstr>https://www.health.vic.gov.au/immunisation/immunisers-in-victoria</vt:lpwstr>
      </vt:variant>
      <vt:variant>
        <vt:lpwstr/>
      </vt:variant>
      <vt:variant>
        <vt:i4>6094920</vt:i4>
      </vt:variant>
      <vt:variant>
        <vt:i4>540</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537</vt:i4>
      </vt:variant>
      <vt:variant>
        <vt:i4>0</vt:i4>
      </vt:variant>
      <vt:variant>
        <vt:i4>5</vt:i4>
      </vt:variant>
      <vt:variant>
        <vt:lpwstr>https://www.worksafe.vic.gov.au/occupational-health-and-safety-act-and-regulations</vt:lpwstr>
      </vt:variant>
      <vt:variant>
        <vt:lpwstr/>
      </vt:variant>
      <vt:variant>
        <vt:i4>5898271</vt:i4>
      </vt:variant>
      <vt:variant>
        <vt:i4>534</vt:i4>
      </vt:variant>
      <vt:variant>
        <vt:i4>0</vt:i4>
      </vt:variant>
      <vt:variant>
        <vt:i4>5</vt:i4>
      </vt:variant>
      <vt:variant>
        <vt:lpwstr/>
      </vt:variant>
      <vt:variant>
        <vt:lpwstr>_Appendix_1:_Contact_1</vt:lpwstr>
      </vt:variant>
      <vt:variant>
        <vt:i4>3604589</vt:i4>
      </vt:variant>
      <vt:variant>
        <vt:i4>531</vt:i4>
      </vt:variant>
      <vt:variant>
        <vt:i4>0</vt:i4>
      </vt:variant>
      <vt:variant>
        <vt:i4>5</vt:i4>
      </vt:variant>
      <vt:variant>
        <vt:lpwstr>https://www.safetyandquality.gov.au/consumers/working-your-healthcare-provider/australian-charter-healthcare-rights</vt:lpwstr>
      </vt:variant>
      <vt:variant>
        <vt:lpwstr/>
      </vt:variant>
      <vt:variant>
        <vt:i4>8126503</vt:i4>
      </vt:variant>
      <vt:variant>
        <vt:i4>528</vt:i4>
      </vt:variant>
      <vt:variant>
        <vt:i4>0</vt:i4>
      </vt:variant>
      <vt:variant>
        <vt:i4>5</vt:i4>
      </vt:variant>
      <vt:variant>
        <vt:lpwstr>https://www.servicesaustralia.gov.au/organisations/business/services/proda-provider-digital-access</vt:lpwstr>
      </vt:variant>
      <vt:variant>
        <vt:lpwstr/>
      </vt:variant>
      <vt:variant>
        <vt:i4>6225935</vt:i4>
      </vt:variant>
      <vt:variant>
        <vt:i4>525</vt:i4>
      </vt:variant>
      <vt:variant>
        <vt:i4>0</vt:i4>
      </vt:variant>
      <vt:variant>
        <vt:i4>5</vt:i4>
      </vt:variant>
      <vt:variant>
        <vt:lpwstr>https://www.servicesaustralia.gov.au/hpos</vt:lpwstr>
      </vt:variant>
      <vt:variant>
        <vt:lpwstr/>
      </vt:variant>
      <vt:variant>
        <vt:i4>6357108</vt:i4>
      </vt:variant>
      <vt:variant>
        <vt:i4>522</vt:i4>
      </vt:variant>
      <vt:variant>
        <vt:i4>0</vt:i4>
      </vt:variant>
      <vt:variant>
        <vt:i4>5</vt:i4>
      </vt:variant>
      <vt:variant>
        <vt:lpwstr>https://www.servicesaustralia.gov.au/organisations/health-professionals/services/medicare/hpos</vt:lpwstr>
      </vt:variant>
      <vt:variant>
        <vt:lpwstr/>
      </vt:variant>
      <vt:variant>
        <vt:i4>4259854</vt:i4>
      </vt:variant>
      <vt:variant>
        <vt:i4>519</vt:i4>
      </vt:variant>
      <vt:variant>
        <vt:i4>0</vt:i4>
      </vt:variant>
      <vt:variant>
        <vt:i4>5</vt:i4>
      </vt:variant>
      <vt:variant>
        <vt:lpwstr>https://www.legislation.vic.gov.au/in-force/acts/health-services-act-1988/180</vt:lpwstr>
      </vt:variant>
      <vt:variant>
        <vt:lpwstr/>
      </vt:variant>
      <vt:variant>
        <vt:i4>2555945</vt:i4>
      </vt:variant>
      <vt:variant>
        <vt:i4>516</vt:i4>
      </vt:variant>
      <vt:variant>
        <vt:i4>0</vt:i4>
      </vt:variant>
      <vt:variant>
        <vt:i4>5</vt:i4>
      </vt:variant>
      <vt:variant>
        <vt:lpwstr>https://store.standards.org.au/product/as-iso-15489-1-2017</vt:lpwstr>
      </vt:variant>
      <vt:variant>
        <vt:lpwstr/>
      </vt:variant>
      <vt:variant>
        <vt:i4>7667749</vt:i4>
      </vt:variant>
      <vt:variant>
        <vt:i4>513</vt:i4>
      </vt:variant>
      <vt:variant>
        <vt:i4>0</vt:i4>
      </vt:variant>
      <vt:variant>
        <vt:i4>5</vt:i4>
      </vt:variant>
      <vt:variant>
        <vt:lpwstr>https://www.legislation.gov.au/Details/C2004A00100</vt:lpwstr>
      </vt:variant>
      <vt:variant>
        <vt:lpwstr/>
      </vt:variant>
      <vt:variant>
        <vt:i4>1966197</vt:i4>
      </vt:variant>
      <vt:variant>
        <vt:i4>510</vt:i4>
      </vt:variant>
      <vt:variant>
        <vt:i4>0</vt:i4>
      </vt:variant>
      <vt:variant>
        <vt:i4>5</vt:i4>
      </vt:variant>
      <vt:variant>
        <vt:lpwstr>https://urldefense.proofpoint.com/v2/url?u=https-3A__www.legislation.gov.au_Details_C2004A00100&amp;d=DwMGaQ&amp;c=JnBkUqWXzx2bz-3a05d47Q&amp;r=zQI8nIUxsvUTvUnJCXgiVSy5OkIlD-RWtx5voOru6N0&amp;m=jJt8K5iQQeOnfA8OZU2YDCRaP83ffR3oiQMvqceCQck&amp;s=rz_kdWrVrFKBWQ5Vxrx-5b7SM4we53F4LKM7PsYPsuE&amp;e=</vt:lpwstr>
      </vt:variant>
      <vt:variant>
        <vt:lpwstr/>
      </vt:variant>
      <vt:variant>
        <vt:i4>4784211</vt:i4>
      </vt:variant>
      <vt:variant>
        <vt:i4>507</vt:i4>
      </vt:variant>
      <vt:variant>
        <vt:i4>0</vt:i4>
      </vt:variant>
      <vt:variant>
        <vt:i4>5</vt:i4>
      </vt:variant>
      <vt:variant>
        <vt:lpwstr>https://www.legislation.vic.gov.au/in-force/acts/public-records-act-1973/041</vt:lpwstr>
      </vt:variant>
      <vt:variant>
        <vt:lpwstr/>
      </vt:variant>
      <vt:variant>
        <vt:i4>4784211</vt:i4>
      </vt:variant>
      <vt:variant>
        <vt:i4>504</vt:i4>
      </vt:variant>
      <vt:variant>
        <vt:i4>0</vt:i4>
      </vt:variant>
      <vt:variant>
        <vt:i4>5</vt:i4>
      </vt:variant>
      <vt:variant>
        <vt:lpwstr>https://www.legislation.vic.gov.au/in-force/acts/public-records-act-1973/041</vt:lpwstr>
      </vt:variant>
      <vt:variant>
        <vt:lpwstr/>
      </vt:variant>
      <vt:variant>
        <vt:i4>7536676</vt:i4>
      </vt:variant>
      <vt:variant>
        <vt:i4>501</vt:i4>
      </vt:variant>
      <vt:variant>
        <vt:i4>0</vt:i4>
      </vt:variant>
      <vt:variant>
        <vt:i4>5</vt:i4>
      </vt:variant>
      <vt:variant>
        <vt:lpwstr>https://www.legislation.vic.gov.au/in-force/acts/medical-treatment-planning-and-decisions-act-2016/009</vt:lpwstr>
      </vt:variant>
      <vt:variant>
        <vt:lpwstr/>
      </vt:variant>
      <vt:variant>
        <vt:i4>7536676</vt:i4>
      </vt:variant>
      <vt:variant>
        <vt:i4>498</vt:i4>
      </vt:variant>
      <vt:variant>
        <vt:i4>0</vt:i4>
      </vt:variant>
      <vt:variant>
        <vt:i4>5</vt:i4>
      </vt:variant>
      <vt:variant>
        <vt:lpwstr>https://www.legislation.vic.gov.au/in-force/acts/medical-treatment-planning-and-decisions-act-2016/009</vt:lpwstr>
      </vt:variant>
      <vt:variant>
        <vt:lpwstr/>
      </vt:variant>
      <vt:variant>
        <vt:i4>1310789</vt:i4>
      </vt:variant>
      <vt:variant>
        <vt:i4>495</vt:i4>
      </vt:variant>
      <vt:variant>
        <vt:i4>0</vt:i4>
      </vt:variant>
      <vt:variant>
        <vt:i4>5</vt:i4>
      </vt:variant>
      <vt:variant>
        <vt:lpwstr>https://www.safevac.org.au/Home/Info/VIC</vt:lpwstr>
      </vt:variant>
      <vt:variant>
        <vt:lpwstr/>
      </vt:variant>
      <vt:variant>
        <vt:i4>6357051</vt:i4>
      </vt:variant>
      <vt:variant>
        <vt:i4>492</vt:i4>
      </vt:variant>
      <vt:variant>
        <vt:i4>0</vt:i4>
      </vt:variant>
      <vt:variant>
        <vt:i4>5</vt:i4>
      </vt:variant>
      <vt:variant>
        <vt:lpwstr>http://etraininghp.ascia.org.au/anaphylaxis</vt:lpwstr>
      </vt:variant>
      <vt:variant>
        <vt:lpwstr/>
      </vt:variant>
      <vt:variant>
        <vt:i4>8323139</vt:i4>
      </vt:variant>
      <vt:variant>
        <vt:i4>489</vt:i4>
      </vt:variant>
      <vt:variant>
        <vt:i4>0</vt:i4>
      </vt:variant>
      <vt:variant>
        <vt:i4>5</vt:i4>
      </vt:variant>
      <vt:variant>
        <vt:lpwstr/>
      </vt:variant>
      <vt:variant>
        <vt:lpwstr>_Appendix_5:_Guidance</vt:lpwstr>
      </vt:variant>
      <vt:variant>
        <vt:i4>5963847</vt:i4>
      </vt:variant>
      <vt:variant>
        <vt:i4>486</vt:i4>
      </vt:variant>
      <vt:variant>
        <vt:i4>0</vt:i4>
      </vt:variant>
      <vt:variant>
        <vt:i4>5</vt:i4>
      </vt:variant>
      <vt:variant>
        <vt:lpwstr>https://urldefense.proofpoint.com/v2/url?u=https-3A__saefvic.online_report&amp;d=DwMFaQ&amp;c=JnBkUqWXzx2bz-3a05d47Q&amp;r=Prstbg9FDDpDwrfiVC5_3hkxcuzTzLWe8RCWlj3iF4M&amp;m=oNYP1VPAYmyOgkSydAaKPAAWu3xAeONRn3GAhmmzzCk&amp;s=ba84EnFRi1WH_Ayf00F5LLHEVBOr5KlQEn3JPbqY_Tk&amp;e=</vt:lpwstr>
      </vt:variant>
      <vt:variant>
        <vt:lpwstr/>
      </vt:variant>
      <vt:variant>
        <vt:i4>7209017</vt:i4>
      </vt:variant>
      <vt:variant>
        <vt:i4>483</vt:i4>
      </vt:variant>
      <vt:variant>
        <vt:i4>0</vt:i4>
      </vt:variant>
      <vt:variant>
        <vt:i4>5</vt:i4>
      </vt:variant>
      <vt:variant>
        <vt:lpwstr>http://www.saefvic.org.au/</vt:lpwstr>
      </vt:variant>
      <vt:variant>
        <vt:lpwstr/>
      </vt:variant>
      <vt:variant>
        <vt:i4>4128846</vt:i4>
      </vt:variant>
      <vt:variant>
        <vt:i4>480</vt:i4>
      </vt:variant>
      <vt:variant>
        <vt:i4>0</vt:i4>
      </vt:variant>
      <vt:variant>
        <vt:i4>5</vt:i4>
      </vt:variant>
      <vt:variant>
        <vt:lpwstr/>
      </vt:variant>
      <vt:variant>
        <vt:lpwstr>_Appendix_11:_Factsheet</vt:lpwstr>
      </vt:variant>
      <vt:variant>
        <vt:i4>1310789</vt:i4>
      </vt:variant>
      <vt:variant>
        <vt:i4>477</vt:i4>
      </vt:variant>
      <vt:variant>
        <vt:i4>0</vt:i4>
      </vt:variant>
      <vt:variant>
        <vt:i4>5</vt:i4>
      </vt:variant>
      <vt:variant>
        <vt:lpwstr>https://www.safevac.org.au/Home/Info/VIC</vt:lpwstr>
      </vt:variant>
      <vt:variant>
        <vt:lpwstr/>
      </vt:variant>
      <vt:variant>
        <vt:i4>4128846</vt:i4>
      </vt:variant>
      <vt:variant>
        <vt:i4>474</vt:i4>
      </vt:variant>
      <vt:variant>
        <vt:i4>0</vt:i4>
      </vt:variant>
      <vt:variant>
        <vt:i4>5</vt:i4>
      </vt:variant>
      <vt:variant>
        <vt:lpwstr/>
      </vt:variant>
      <vt:variant>
        <vt:lpwstr>_Appendix_11:_Factsheet</vt:lpwstr>
      </vt:variant>
      <vt:variant>
        <vt:i4>4784200</vt:i4>
      </vt:variant>
      <vt:variant>
        <vt:i4>471</vt:i4>
      </vt:variant>
      <vt:variant>
        <vt:i4>0</vt:i4>
      </vt:variant>
      <vt:variant>
        <vt:i4>5</vt:i4>
      </vt:variant>
      <vt:variant>
        <vt:lpwstr>https://www.bettersafercare.vic.gov.au/clinical-guidance/emergency/anaphylaxis-adults</vt:lpwstr>
      </vt:variant>
      <vt:variant>
        <vt:lpwstr/>
      </vt:variant>
      <vt:variant>
        <vt:i4>3997816</vt:i4>
      </vt:variant>
      <vt:variant>
        <vt:i4>468</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465</vt:i4>
      </vt:variant>
      <vt:variant>
        <vt:i4>0</vt:i4>
      </vt:variant>
      <vt:variant>
        <vt:i4>5</vt:i4>
      </vt:variant>
      <vt:variant>
        <vt:lpwstr>https://immunisationhandbook.health.gov.au/resources/tables/table-recognition-and-treatment-of-anaphylaxis</vt:lpwstr>
      </vt:variant>
      <vt:variant>
        <vt:lpwstr/>
      </vt:variant>
      <vt:variant>
        <vt:i4>7012384</vt:i4>
      </vt:variant>
      <vt:variant>
        <vt:i4>462</vt:i4>
      </vt:variant>
      <vt:variant>
        <vt:i4>0</vt:i4>
      </vt:variant>
      <vt:variant>
        <vt:i4>5</vt:i4>
      </vt:variant>
      <vt:variant>
        <vt:lpwstr>https://immunisationhandbook.health.gov.au/resources/handbook-tables/table-recognition-and-treatment-of-anaphylaxis</vt:lpwstr>
      </vt:variant>
      <vt:variant>
        <vt:lpwstr/>
      </vt:variant>
      <vt:variant>
        <vt:i4>2359304</vt:i4>
      </vt:variant>
      <vt:variant>
        <vt:i4>459</vt:i4>
      </vt:variant>
      <vt:variant>
        <vt:i4>0</vt:i4>
      </vt:variant>
      <vt:variant>
        <vt:i4>5</vt:i4>
      </vt:variant>
      <vt:variant>
        <vt:lpwstr>mailto:immunisation@health.vic.gov.au</vt:lpwstr>
      </vt:variant>
      <vt:variant>
        <vt:lpwstr/>
      </vt:variant>
      <vt:variant>
        <vt:i4>2359304</vt:i4>
      </vt:variant>
      <vt:variant>
        <vt:i4>456</vt:i4>
      </vt:variant>
      <vt:variant>
        <vt:i4>0</vt:i4>
      </vt:variant>
      <vt:variant>
        <vt:i4>5</vt:i4>
      </vt:variant>
      <vt:variant>
        <vt:lpwstr>mailto:immunisation@health.vic.gov.au</vt:lpwstr>
      </vt:variant>
      <vt:variant>
        <vt:lpwstr/>
      </vt:variant>
      <vt:variant>
        <vt:i4>131109</vt:i4>
      </vt:variant>
      <vt:variant>
        <vt:i4>453</vt:i4>
      </vt:variant>
      <vt:variant>
        <vt:i4>0</vt:i4>
      </vt:variant>
      <vt:variant>
        <vt:i4>5</vt:i4>
      </vt:variant>
      <vt:variant>
        <vt:lpwstr/>
      </vt:variant>
      <vt:variant>
        <vt:lpwstr>_Vaccination_against_mpox</vt:lpwstr>
      </vt:variant>
      <vt:variant>
        <vt:i4>7536744</vt:i4>
      </vt:variant>
      <vt:variant>
        <vt:i4>450</vt:i4>
      </vt:variant>
      <vt:variant>
        <vt:i4>0</vt:i4>
      </vt:variant>
      <vt:variant>
        <vt:i4>5</vt:i4>
      </vt:variant>
      <vt:variant>
        <vt:lpwstr>https://www.cdc.gov/poxvirus/mpox/interim-considerations/errors-deviations.html</vt:lpwstr>
      </vt:variant>
      <vt:variant>
        <vt:lpwstr/>
      </vt:variant>
      <vt:variant>
        <vt:i4>7536744</vt:i4>
      </vt:variant>
      <vt:variant>
        <vt:i4>447</vt:i4>
      </vt:variant>
      <vt:variant>
        <vt:i4>0</vt:i4>
      </vt:variant>
      <vt:variant>
        <vt:i4>5</vt:i4>
      </vt:variant>
      <vt:variant>
        <vt:lpwstr>https://www.cdc.gov/poxvirus/mpox/interim-considerations/errors-deviations.html</vt:lpwstr>
      </vt:variant>
      <vt:variant>
        <vt:lpwstr/>
      </vt:variant>
      <vt:variant>
        <vt:i4>2359304</vt:i4>
      </vt:variant>
      <vt:variant>
        <vt:i4>444</vt:i4>
      </vt:variant>
      <vt:variant>
        <vt:i4>0</vt:i4>
      </vt:variant>
      <vt:variant>
        <vt:i4>5</vt:i4>
      </vt:variant>
      <vt:variant>
        <vt:lpwstr>mailto:immunisation@health.vic.gov.au</vt:lpwstr>
      </vt:variant>
      <vt:variant>
        <vt:lpwstr/>
      </vt:variant>
      <vt:variant>
        <vt:i4>7274522</vt:i4>
      </vt:variant>
      <vt:variant>
        <vt:i4>441</vt:i4>
      </vt:variant>
      <vt:variant>
        <vt:i4>0</vt:i4>
      </vt:variant>
      <vt:variant>
        <vt:i4>5</vt:i4>
      </vt:variant>
      <vt:variant>
        <vt:lpwstr>mailto:enquiries@saefvic.org.au</vt:lpwstr>
      </vt:variant>
      <vt:variant>
        <vt:lpwstr/>
      </vt:variant>
      <vt:variant>
        <vt:i4>1310789</vt:i4>
      </vt:variant>
      <vt:variant>
        <vt:i4>438</vt:i4>
      </vt:variant>
      <vt:variant>
        <vt:i4>0</vt:i4>
      </vt:variant>
      <vt:variant>
        <vt:i4>5</vt:i4>
      </vt:variant>
      <vt:variant>
        <vt:lpwstr>https://www.safevac.org.au/Home/Info/VIC</vt:lpwstr>
      </vt:variant>
      <vt:variant>
        <vt:lpwstr/>
      </vt:variant>
      <vt:variant>
        <vt:i4>6357054</vt:i4>
      </vt:variant>
      <vt:variant>
        <vt:i4>435</vt:i4>
      </vt:variant>
      <vt:variant>
        <vt:i4>0</vt:i4>
      </vt:variant>
      <vt:variant>
        <vt:i4>5</vt:i4>
      </vt:variant>
      <vt:variant>
        <vt:lpwstr>https://www.mcri.edu.au/research/research-areas/infection-and-immunity/saefvic</vt:lpwstr>
      </vt:variant>
      <vt:variant>
        <vt:lpwstr/>
      </vt:variant>
      <vt:variant>
        <vt:i4>2162744</vt:i4>
      </vt:variant>
      <vt:variant>
        <vt:i4>432</vt:i4>
      </vt:variant>
      <vt:variant>
        <vt:i4>0</vt:i4>
      </vt:variant>
      <vt:variant>
        <vt:i4>5</vt:i4>
      </vt:variant>
      <vt:variant>
        <vt:lpwstr>https://www.health.gov.au/resources/publications/mpox-monkeypox-information-on-jynneosr-vaccine</vt:lpwstr>
      </vt:variant>
      <vt:variant>
        <vt:lpwstr/>
      </vt:variant>
      <vt:variant>
        <vt:i4>3473512</vt:i4>
      </vt:variant>
      <vt:variant>
        <vt:i4>429</vt:i4>
      </vt:variant>
      <vt:variant>
        <vt:i4>0</vt:i4>
      </vt:variant>
      <vt:variant>
        <vt:i4>5</vt:i4>
      </vt:variant>
      <vt:variant>
        <vt:lpwstr>https://immunisationhandbook.health.gov.au/technical-terms</vt:lpwstr>
      </vt:variant>
      <vt:variant>
        <vt:lpwstr>intradermal-injection</vt:lpwstr>
      </vt:variant>
      <vt:variant>
        <vt:i4>4587520</vt:i4>
      </vt:variant>
      <vt:variant>
        <vt:i4>426</vt:i4>
      </vt:variant>
      <vt:variant>
        <vt:i4>0</vt:i4>
      </vt:variant>
      <vt:variant>
        <vt:i4>5</vt:i4>
      </vt:variant>
      <vt:variant>
        <vt:lpwstr>https://nursekey.com/11-parenteral-administration-intradermal-subcutaneous-and-intramuscular-routes/</vt:lpwstr>
      </vt:variant>
      <vt:variant>
        <vt:lpwstr/>
      </vt:variant>
      <vt:variant>
        <vt:i4>7405684</vt:i4>
      </vt:variant>
      <vt:variant>
        <vt:i4>423</vt:i4>
      </vt:variant>
      <vt:variant>
        <vt:i4>0</vt:i4>
      </vt:variant>
      <vt:variant>
        <vt:i4>5</vt:i4>
      </vt:variant>
      <vt:variant>
        <vt:lpwstr>https://www.cdc.gov/poxvirus/monkeypox/interim-considerations/jynneos-vaccine.html</vt:lpwstr>
      </vt:variant>
      <vt:variant>
        <vt:lpwstr/>
      </vt:variant>
      <vt:variant>
        <vt:i4>3473512</vt:i4>
      </vt:variant>
      <vt:variant>
        <vt:i4>420</vt:i4>
      </vt:variant>
      <vt:variant>
        <vt:i4>0</vt:i4>
      </vt:variant>
      <vt:variant>
        <vt:i4>5</vt:i4>
      </vt:variant>
      <vt:variant>
        <vt:lpwstr>https://immunisationhandbook.health.gov.au/technical-terms</vt:lpwstr>
      </vt:variant>
      <vt:variant>
        <vt:lpwstr>intradermal-injection</vt:lpwstr>
      </vt:variant>
      <vt:variant>
        <vt:i4>4915224</vt:i4>
      </vt:variant>
      <vt:variant>
        <vt:i4>417</vt:i4>
      </vt:variant>
      <vt:variant>
        <vt:i4>0</vt:i4>
      </vt:variant>
      <vt:variant>
        <vt:i4>5</vt:i4>
      </vt:variant>
      <vt:variant>
        <vt:lpwstr>https://www.verywellhealth.com/monkeypox-intradermal-jynneos-vaccine-6455582</vt:lpwstr>
      </vt:variant>
      <vt:variant>
        <vt:lpwstr/>
      </vt:variant>
      <vt:variant>
        <vt:i4>3473434</vt:i4>
      </vt:variant>
      <vt:variant>
        <vt:i4>414</vt:i4>
      </vt:variant>
      <vt:variant>
        <vt:i4>0</vt:i4>
      </vt:variant>
      <vt:variant>
        <vt:i4>5</vt:i4>
      </vt:variant>
      <vt:variant>
        <vt:lpwstr/>
      </vt:variant>
      <vt:variant>
        <vt:lpwstr>_Workforce_requirements_2</vt:lpwstr>
      </vt:variant>
      <vt:variant>
        <vt:i4>7995487</vt:i4>
      </vt:variant>
      <vt:variant>
        <vt:i4>411</vt:i4>
      </vt:variant>
      <vt:variant>
        <vt:i4>0</vt:i4>
      </vt:variant>
      <vt:variant>
        <vt:i4>5</vt:i4>
      </vt:variant>
      <vt:variant>
        <vt:lpwstr/>
      </vt:variant>
      <vt:variant>
        <vt:lpwstr>_Cold_chain_management</vt:lpwstr>
      </vt:variant>
      <vt:variant>
        <vt:i4>1966128</vt:i4>
      </vt:variant>
      <vt:variant>
        <vt:i4>408</vt:i4>
      </vt:variant>
      <vt:variant>
        <vt:i4>0</vt:i4>
      </vt:variant>
      <vt:variant>
        <vt:i4>5</vt:i4>
      </vt:variant>
      <vt:variant>
        <vt:lpwstr/>
      </vt:variant>
      <vt:variant>
        <vt:lpwstr>_Preparation_for_intradermal</vt:lpwstr>
      </vt:variant>
      <vt:variant>
        <vt:i4>3997749</vt:i4>
      </vt:variant>
      <vt:variant>
        <vt:i4>405</vt:i4>
      </vt:variant>
      <vt:variant>
        <vt:i4>0</vt:i4>
      </vt:variant>
      <vt:variant>
        <vt:i4>5</vt:i4>
      </vt:variant>
      <vt:variant>
        <vt:lpwstr/>
      </vt:variant>
      <vt:variant>
        <vt:lpwstr>_Clinical_Guidelines</vt:lpwstr>
      </vt:variant>
      <vt:variant>
        <vt:i4>5701720</vt:i4>
      </vt:variant>
      <vt:variant>
        <vt:i4>402</vt:i4>
      </vt:variant>
      <vt:variant>
        <vt:i4>0</vt:i4>
      </vt:variant>
      <vt:variant>
        <vt:i4>5</vt:i4>
      </vt:variant>
      <vt:variant>
        <vt:lpwstr>https://immunisationhandbook.health.gov.au/contents/vaccination-procedures/administration-of-vaccines</vt:lpwstr>
      </vt:variant>
      <vt:variant>
        <vt:lpwstr/>
      </vt:variant>
      <vt:variant>
        <vt:i4>7667814</vt:i4>
      </vt:variant>
      <vt:variant>
        <vt:i4>399</vt:i4>
      </vt:variant>
      <vt:variant>
        <vt:i4>0</vt:i4>
      </vt:variant>
      <vt:variant>
        <vt:i4>5</vt:i4>
      </vt:variant>
      <vt:variant>
        <vt:lpwstr>https://immunisationhandbook.health.gov.au/node/505</vt:lpwstr>
      </vt:variant>
      <vt:variant>
        <vt:lpwstr/>
      </vt:variant>
      <vt:variant>
        <vt:i4>655378</vt:i4>
      </vt:variant>
      <vt:variant>
        <vt:i4>396</vt:i4>
      </vt:variant>
      <vt:variant>
        <vt:i4>0</vt:i4>
      </vt:variant>
      <vt:variant>
        <vt:i4>5</vt:i4>
      </vt:variant>
      <vt:variant>
        <vt:lpwstr>https://www.cdc.gov/vaccines/hcp/admin/downloads/IM-Injection-adult.pdf</vt:lpwstr>
      </vt:variant>
      <vt:variant>
        <vt:lpwstr>:~:text=%C2%83%20Recommended%20site%3A%20Deltoid%20muscle%20in%20the%20upper,below%20the%20bone%20and%20above%20the%20axillary%20fold%2Farmpit.</vt:lpwstr>
      </vt:variant>
      <vt:variant>
        <vt:i4>1310801</vt:i4>
      </vt:variant>
      <vt:variant>
        <vt:i4>393</vt:i4>
      </vt:variant>
      <vt:variant>
        <vt:i4>0</vt:i4>
      </vt:variant>
      <vt:variant>
        <vt:i4>5</vt:i4>
      </vt:variant>
      <vt:variant>
        <vt:lpwstr>https://immunisationhandbook.health.gov.au/technical-terms</vt:lpwstr>
      </vt:variant>
      <vt:variant>
        <vt:lpwstr>subcutaneous-injection</vt:lpwstr>
      </vt:variant>
      <vt:variant>
        <vt:i4>1310789</vt:i4>
      </vt:variant>
      <vt:variant>
        <vt:i4>390</vt:i4>
      </vt:variant>
      <vt:variant>
        <vt:i4>0</vt:i4>
      </vt:variant>
      <vt:variant>
        <vt:i4>5</vt:i4>
      </vt:variant>
      <vt:variant>
        <vt:lpwstr>https://www.safevac.org.au/Home/Info/VIC</vt:lpwstr>
      </vt:variant>
      <vt:variant>
        <vt:lpwstr/>
      </vt:variant>
      <vt:variant>
        <vt:i4>1835032</vt:i4>
      </vt:variant>
      <vt:variant>
        <vt:i4>387</vt:i4>
      </vt:variant>
      <vt:variant>
        <vt:i4>0</vt:i4>
      </vt:variant>
      <vt:variant>
        <vt:i4>5</vt:i4>
      </vt:variant>
      <vt:variant>
        <vt:lpwstr>https://dhhsvicgovau.sharepoint.com/sites/RHPEMImmunisationUnit-DHHS-GRP/Shared Documents/General/Mpox/Clinical/Victorian Mpox vaccination guidelines/SAEFVIC online report form</vt:lpwstr>
      </vt:variant>
      <vt:variant>
        <vt:lpwstr/>
      </vt:variant>
      <vt:variant>
        <vt:i4>3211285</vt:i4>
      </vt:variant>
      <vt:variant>
        <vt:i4>384</vt:i4>
      </vt:variant>
      <vt:variant>
        <vt:i4>0</vt:i4>
      </vt:variant>
      <vt:variant>
        <vt:i4>5</vt:i4>
      </vt:variant>
      <vt:variant>
        <vt:lpwstr/>
      </vt:variant>
      <vt:variant>
        <vt:lpwstr>_Adverse_Events_Following</vt:lpwstr>
      </vt:variant>
      <vt:variant>
        <vt:i4>8323187</vt:i4>
      </vt:variant>
      <vt:variant>
        <vt:i4>381</vt:i4>
      </vt:variant>
      <vt:variant>
        <vt:i4>0</vt:i4>
      </vt:variant>
      <vt:variant>
        <vt:i4>5</vt:i4>
      </vt:variant>
      <vt:variant>
        <vt:lpwstr>https://www.health.vic.gov.au/immunisation/cold-chain-breach-reporting</vt:lpwstr>
      </vt:variant>
      <vt:variant>
        <vt:lpwstr/>
      </vt:variant>
      <vt:variant>
        <vt:i4>8126549</vt:i4>
      </vt:variant>
      <vt:variant>
        <vt:i4>378</vt:i4>
      </vt:variant>
      <vt:variant>
        <vt:i4>0</vt:i4>
      </vt:variant>
      <vt:variant>
        <vt:i4>5</vt:i4>
      </vt:variant>
      <vt:variant>
        <vt:lpwstr/>
      </vt:variant>
      <vt:variant>
        <vt:lpwstr>_Appendix_3:_Cold</vt:lpwstr>
      </vt:variant>
      <vt:variant>
        <vt:i4>2949168</vt:i4>
      </vt:variant>
      <vt:variant>
        <vt:i4>375</vt:i4>
      </vt:variant>
      <vt:variant>
        <vt:i4>0</vt:i4>
      </vt:variant>
      <vt:variant>
        <vt:i4>5</vt:i4>
      </vt:variant>
      <vt:variant>
        <vt:lpwstr>https://www.onelinkonline.net/</vt:lpwstr>
      </vt:variant>
      <vt:variant>
        <vt:lpwstr/>
      </vt:variant>
      <vt:variant>
        <vt:i4>3211285</vt:i4>
      </vt:variant>
      <vt:variant>
        <vt:i4>372</vt:i4>
      </vt:variant>
      <vt:variant>
        <vt:i4>0</vt:i4>
      </vt:variant>
      <vt:variant>
        <vt:i4>5</vt:i4>
      </vt:variant>
      <vt:variant>
        <vt:lpwstr/>
      </vt:variant>
      <vt:variant>
        <vt:lpwstr>_Adverse_Events_Following</vt:lpwstr>
      </vt:variant>
      <vt:variant>
        <vt:i4>3932215</vt:i4>
      </vt:variant>
      <vt:variant>
        <vt:i4>369</vt:i4>
      </vt:variant>
      <vt:variant>
        <vt:i4>0</vt:i4>
      </vt:variant>
      <vt:variant>
        <vt:i4>5</vt:i4>
      </vt:variant>
      <vt:variant>
        <vt:lpwstr/>
      </vt:variant>
      <vt:variant>
        <vt:lpwstr>_Subcutaneous_administration</vt:lpwstr>
      </vt:variant>
      <vt:variant>
        <vt:i4>6881366</vt:i4>
      </vt:variant>
      <vt:variant>
        <vt:i4>366</vt:i4>
      </vt:variant>
      <vt:variant>
        <vt:i4>0</vt:i4>
      </vt:variant>
      <vt:variant>
        <vt:i4>5</vt:i4>
      </vt:variant>
      <vt:variant>
        <vt:lpwstr/>
      </vt:variant>
      <vt:variant>
        <vt:lpwstr>_People_who_are</vt:lpwstr>
      </vt:variant>
      <vt:variant>
        <vt:i4>3932215</vt:i4>
      </vt:variant>
      <vt:variant>
        <vt:i4>363</vt:i4>
      </vt:variant>
      <vt:variant>
        <vt:i4>0</vt:i4>
      </vt:variant>
      <vt:variant>
        <vt:i4>5</vt:i4>
      </vt:variant>
      <vt:variant>
        <vt:lpwstr/>
      </vt:variant>
      <vt:variant>
        <vt:lpwstr>_Subcutaneous_administration</vt:lpwstr>
      </vt:variant>
      <vt:variant>
        <vt:i4>1245228</vt:i4>
      </vt:variant>
      <vt:variant>
        <vt:i4>360</vt:i4>
      </vt:variant>
      <vt:variant>
        <vt:i4>0</vt:i4>
      </vt:variant>
      <vt:variant>
        <vt:i4>5</vt:i4>
      </vt:variant>
      <vt:variant>
        <vt:lpwstr/>
      </vt:variant>
      <vt:variant>
        <vt:lpwstr>_Schedule</vt:lpwstr>
      </vt:variant>
      <vt:variant>
        <vt:i4>4915324</vt:i4>
      </vt:variant>
      <vt:variant>
        <vt:i4>357</vt:i4>
      </vt:variant>
      <vt:variant>
        <vt:i4>0</vt:i4>
      </vt:variant>
      <vt:variant>
        <vt:i4>5</vt:i4>
      </vt:variant>
      <vt:variant>
        <vt:lpwstr/>
      </vt:variant>
      <vt:variant>
        <vt:lpwstr>_Post_exposure_prophylaxis</vt:lpwstr>
      </vt:variant>
      <vt:variant>
        <vt:i4>524366</vt:i4>
      </vt:variant>
      <vt:variant>
        <vt:i4>354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351</vt:i4>
      </vt:variant>
      <vt:variant>
        <vt:i4>0</vt:i4>
      </vt:variant>
      <vt:variant>
        <vt:i4>5</vt:i4>
      </vt:variant>
      <vt:variant>
        <vt:lpwstr>https://immunisationhandbook.health.gov.au/contents/vaccine-preventable-diseases/mpox-previously-known-as-monkeypox</vt:lpwstr>
      </vt:variant>
      <vt:variant>
        <vt:lpwstr/>
      </vt:variant>
      <vt:variant>
        <vt:i4>4915324</vt:i4>
      </vt:variant>
      <vt:variant>
        <vt:i4>348</vt:i4>
      </vt:variant>
      <vt:variant>
        <vt:i4>0</vt:i4>
      </vt:variant>
      <vt:variant>
        <vt:i4>5</vt:i4>
      </vt:variant>
      <vt:variant>
        <vt:lpwstr/>
      </vt:variant>
      <vt:variant>
        <vt:lpwstr>_Post_exposure_prophylaxis</vt:lpwstr>
      </vt:variant>
      <vt:variant>
        <vt:i4>5898252</vt:i4>
      </vt:variant>
      <vt:variant>
        <vt:i4>345</vt:i4>
      </vt:variant>
      <vt:variant>
        <vt:i4>0</vt:i4>
      </vt:variant>
      <vt:variant>
        <vt:i4>5</vt:i4>
      </vt:variant>
      <vt:variant>
        <vt:lpwstr>https://www.health.vic.gov.au/infectious-diseases/mpox-monkeypox</vt:lpwstr>
      </vt:variant>
      <vt:variant>
        <vt:lpwstr/>
      </vt:variant>
      <vt:variant>
        <vt:i4>8323197</vt:i4>
      </vt:variant>
      <vt:variant>
        <vt:i4>342</vt:i4>
      </vt:variant>
      <vt:variant>
        <vt:i4>0</vt:i4>
      </vt:variant>
      <vt:variant>
        <vt:i4>5</vt:i4>
      </vt:variant>
      <vt:variant>
        <vt:lpwstr>https://immunisationhandbook.health.gov.au/technical-terms</vt:lpwstr>
      </vt:variant>
      <vt:variant>
        <vt:lpwstr>virus</vt:lpwstr>
      </vt:variant>
      <vt:variant>
        <vt:i4>1179703</vt:i4>
      </vt:variant>
      <vt:variant>
        <vt:i4>335</vt:i4>
      </vt:variant>
      <vt:variant>
        <vt:i4>0</vt:i4>
      </vt:variant>
      <vt:variant>
        <vt:i4>5</vt:i4>
      </vt:variant>
      <vt:variant>
        <vt:lpwstr/>
      </vt:variant>
      <vt:variant>
        <vt:lpwstr>_Toc168666832</vt:lpwstr>
      </vt:variant>
      <vt:variant>
        <vt:i4>1179703</vt:i4>
      </vt:variant>
      <vt:variant>
        <vt:i4>329</vt:i4>
      </vt:variant>
      <vt:variant>
        <vt:i4>0</vt:i4>
      </vt:variant>
      <vt:variant>
        <vt:i4>5</vt:i4>
      </vt:variant>
      <vt:variant>
        <vt:lpwstr/>
      </vt:variant>
      <vt:variant>
        <vt:lpwstr>_Toc168666831</vt:lpwstr>
      </vt:variant>
      <vt:variant>
        <vt:i4>1179703</vt:i4>
      </vt:variant>
      <vt:variant>
        <vt:i4>323</vt:i4>
      </vt:variant>
      <vt:variant>
        <vt:i4>0</vt:i4>
      </vt:variant>
      <vt:variant>
        <vt:i4>5</vt:i4>
      </vt:variant>
      <vt:variant>
        <vt:lpwstr/>
      </vt:variant>
      <vt:variant>
        <vt:lpwstr>_Toc168666830</vt:lpwstr>
      </vt:variant>
      <vt:variant>
        <vt:i4>1245239</vt:i4>
      </vt:variant>
      <vt:variant>
        <vt:i4>317</vt:i4>
      </vt:variant>
      <vt:variant>
        <vt:i4>0</vt:i4>
      </vt:variant>
      <vt:variant>
        <vt:i4>5</vt:i4>
      </vt:variant>
      <vt:variant>
        <vt:lpwstr/>
      </vt:variant>
      <vt:variant>
        <vt:lpwstr>_Toc168666829</vt:lpwstr>
      </vt:variant>
      <vt:variant>
        <vt:i4>1245239</vt:i4>
      </vt:variant>
      <vt:variant>
        <vt:i4>311</vt:i4>
      </vt:variant>
      <vt:variant>
        <vt:i4>0</vt:i4>
      </vt:variant>
      <vt:variant>
        <vt:i4>5</vt:i4>
      </vt:variant>
      <vt:variant>
        <vt:lpwstr/>
      </vt:variant>
      <vt:variant>
        <vt:lpwstr>_Toc168666828</vt:lpwstr>
      </vt:variant>
      <vt:variant>
        <vt:i4>1245239</vt:i4>
      </vt:variant>
      <vt:variant>
        <vt:i4>305</vt:i4>
      </vt:variant>
      <vt:variant>
        <vt:i4>0</vt:i4>
      </vt:variant>
      <vt:variant>
        <vt:i4>5</vt:i4>
      </vt:variant>
      <vt:variant>
        <vt:lpwstr/>
      </vt:variant>
      <vt:variant>
        <vt:lpwstr>_Toc168666827</vt:lpwstr>
      </vt:variant>
      <vt:variant>
        <vt:i4>1245239</vt:i4>
      </vt:variant>
      <vt:variant>
        <vt:i4>299</vt:i4>
      </vt:variant>
      <vt:variant>
        <vt:i4>0</vt:i4>
      </vt:variant>
      <vt:variant>
        <vt:i4>5</vt:i4>
      </vt:variant>
      <vt:variant>
        <vt:lpwstr/>
      </vt:variant>
      <vt:variant>
        <vt:lpwstr>_Toc168666826</vt:lpwstr>
      </vt:variant>
      <vt:variant>
        <vt:i4>1245239</vt:i4>
      </vt:variant>
      <vt:variant>
        <vt:i4>293</vt:i4>
      </vt:variant>
      <vt:variant>
        <vt:i4>0</vt:i4>
      </vt:variant>
      <vt:variant>
        <vt:i4>5</vt:i4>
      </vt:variant>
      <vt:variant>
        <vt:lpwstr/>
      </vt:variant>
      <vt:variant>
        <vt:lpwstr>_Toc168666825</vt:lpwstr>
      </vt:variant>
      <vt:variant>
        <vt:i4>1245239</vt:i4>
      </vt:variant>
      <vt:variant>
        <vt:i4>287</vt:i4>
      </vt:variant>
      <vt:variant>
        <vt:i4>0</vt:i4>
      </vt:variant>
      <vt:variant>
        <vt:i4>5</vt:i4>
      </vt:variant>
      <vt:variant>
        <vt:lpwstr/>
      </vt:variant>
      <vt:variant>
        <vt:lpwstr>_Toc168666824</vt:lpwstr>
      </vt:variant>
      <vt:variant>
        <vt:i4>1245239</vt:i4>
      </vt:variant>
      <vt:variant>
        <vt:i4>281</vt:i4>
      </vt:variant>
      <vt:variant>
        <vt:i4>0</vt:i4>
      </vt:variant>
      <vt:variant>
        <vt:i4>5</vt:i4>
      </vt:variant>
      <vt:variant>
        <vt:lpwstr/>
      </vt:variant>
      <vt:variant>
        <vt:lpwstr>_Toc168666823</vt:lpwstr>
      </vt:variant>
      <vt:variant>
        <vt:i4>1245239</vt:i4>
      </vt:variant>
      <vt:variant>
        <vt:i4>275</vt:i4>
      </vt:variant>
      <vt:variant>
        <vt:i4>0</vt:i4>
      </vt:variant>
      <vt:variant>
        <vt:i4>5</vt:i4>
      </vt:variant>
      <vt:variant>
        <vt:lpwstr/>
      </vt:variant>
      <vt:variant>
        <vt:lpwstr>_Toc168666822</vt:lpwstr>
      </vt:variant>
      <vt:variant>
        <vt:i4>1245239</vt:i4>
      </vt:variant>
      <vt:variant>
        <vt:i4>269</vt:i4>
      </vt:variant>
      <vt:variant>
        <vt:i4>0</vt:i4>
      </vt:variant>
      <vt:variant>
        <vt:i4>5</vt:i4>
      </vt:variant>
      <vt:variant>
        <vt:lpwstr/>
      </vt:variant>
      <vt:variant>
        <vt:lpwstr>_Toc168666821</vt:lpwstr>
      </vt:variant>
      <vt:variant>
        <vt:i4>1245239</vt:i4>
      </vt:variant>
      <vt:variant>
        <vt:i4>263</vt:i4>
      </vt:variant>
      <vt:variant>
        <vt:i4>0</vt:i4>
      </vt:variant>
      <vt:variant>
        <vt:i4>5</vt:i4>
      </vt:variant>
      <vt:variant>
        <vt:lpwstr/>
      </vt:variant>
      <vt:variant>
        <vt:lpwstr>_Toc168666820</vt:lpwstr>
      </vt:variant>
      <vt:variant>
        <vt:i4>1048631</vt:i4>
      </vt:variant>
      <vt:variant>
        <vt:i4>257</vt:i4>
      </vt:variant>
      <vt:variant>
        <vt:i4>0</vt:i4>
      </vt:variant>
      <vt:variant>
        <vt:i4>5</vt:i4>
      </vt:variant>
      <vt:variant>
        <vt:lpwstr/>
      </vt:variant>
      <vt:variant>
        <vt:lpwstr>_Toc168666819</vt:lpwstr>
      </vt:variant>
      <vt:variant>
        <vt:i4>1048631</vt:i4>
      </vt:variant>
      <vt:variant>
        <vt:i4>251</vt:i4>
      </vt:variant>
      <vt:variant>
        <vt:i4>0</vt:i4>
      </vt:variant>
      <vt:variant>
        <vt:i4>5</vt:i4>
      </vt:variant>
      <vt:variant>
        <vt:lpwstr/>
      </vt:variant>
      <vt:variant>
        <vt:lpwstr>_Toc168666818</vt:lpwstr>
      </vt:variant>
      <vt:variant>
        <vt:i4>1048631</vt:i4>
      </vt:variant>
      <vt:variant>
        <vt:i4>245</vt:i4>
      </vt:variant>
      <vt:variant>
        <vt:i4>0</vt:i4>
      </vt:variant>
      <vt:variant>
        <vt:i4>5</vt:i4>
      </vt:variant>
      <vt:variant>
        <vt:lpwstr/>
      </vt:variant>
      <vt:variant>
        <vt:lpwstr>_Toc168666817</vt:lpwstr>
      </vt:variant>
      <vt:variant>
        <vt:i4>1048631</vt:i4>
      </vt:variant>
      <vt:variant>
        <vt:i4>239</vt:i4>
      </vt:variant>
      <vt:variant>
        <vt:i4>0</vt:i4>
      </vt:variant>
      <vt:variant>
        <vt:i4>5</vt:i4>
      </vt:variant>
      <vt:variant>
        <vt:lpwstr/>
      </vt:variant>
      <vt:variant>
        <vt:lpwstr>_Toc168666816</vt:lpwstr>
      </vt:variant>
      <vt:variant>
        <vt:i4>1048631</vt:i4>
      </vt:variant>
      <vt:variant>
        <vt:i4>233</vt:i4>
      </vt:variant>
      <vt:variant>
        <vt:i4>0</vt:i4>
      </vt:variant>
      <vt:variant>
        <vt:i4>5</vt:i4>
      </vt:variant>
      <vt:variant>
        <vt:lpwstr/>
      </vt:variant>
      <vt:variant>
        <vt:lpwstr>_Toc168666815</vt:lpwstr>
      </vt:variant>
      <vt:variant>
        <vt:i4>1048631</vt:i4>
      </vt:variant>
      <vt:variant>
        <vt:i4>227</vt:i4>
      </vt:variant>
      <vt:variant>
        <vt:i4>0</vt:i4>
      </vt:variant>
      <vt:variant>
        <vt:i4>5</vt:i4>
      </vt:variant>
      <vt:variant>
        <vt:lpwstr/>
      </vt:variant>
      <vt:variant>
        <vt:lpwstr>_Toc168666814</vt:lpwstr>
      </vt:variant>
      <vt:variant>
        <vt:i4>1048631</vt:i4>
      </vt:variant>
      <vt:variant>
        <vt:i4>221</vt:i4>
      </vt:variant>
      <vt:variant>
        <vt:i4>0</vt:i4>
      </vt:variant>
      <vt:variant>
        <vt:i4>5</vt:i4>
      </vt:variant>
      <vt:variant>
        <vt:lpwstr/>
      </vt:variant>
      <vt:variant>
        <vt:lpwstr>_Toc168666813</vt:lpwstr>
      </vt:variant>
      <vt:variant>
        <vt:i4>1048631</vt:i4>
      </vt:variant>
      <vt:variant>
        <vt:i4>215</vt:i4>
      </vt:variant>
      <vt:variant>
        <vt:i4>0</vt:i4>
      </vt:variant>
      <vt:variant>
        <vt:i4>5</vt:i4>
      </vt:variant>
      <vt:variant>
        <vt:lpwstr/>
      </vt:variant>
      <vt:variant>
        <vt:lpwstr>_Toc168666812</vt:lpwstr>
      </vt:variant>
      <vt:variant>
        <vt:i4>1048631</vt:i4>
      </vt:variant>
      <vt:variant>
        <vt:i4>209</vt:i4>
      </vt:variant>
      <vt:variant>
        <vt:i4>0</vt:i4>
      </vt:variant>
      <vt:variant>
        <vt:i4>5</vt:i4>
      </vt:variant>
      <vt:variant>
        <vt:lpwstr/>
      </vt:variant>
      <vt:variant>
        <vt:lpwstr>_Toc168666811</vt:lpwstr>
      </vt:variant>
      <vt:variant>
        <vt:i4>1048631</vt:i4>
      </vt:variant>
      <vt:variant>
        <vt:i4>203</vt:i4>
      </vt:variant>
      <vt:variant>
        <vt:i4>0</vt:i4>
      </vt:variant>
      <vt:variant>
        <vt:i4>5</vt:i4>
      </vt:variant>
      <vt:variant>
        <vt:lpwstr/>
      </vt:variant>
      <vt:variant>
        <vt:lpwstr>_Toc168666810</vt:lpwstr>
      </vt:variant>
      <vt:variant>
        <vt:i4>1114167</vt:i4>
      </vt:variant>
      <vt:variant>
        <vt:i4>197</vt:i4>
      </vt:variant>
      <vt:variant>
        <vt:i4>0</vt:i4>
      </vt:variant>
      <vt:variant>
        <vt:i4>5</vt:i4>
      </vt:variant>
      <vt:variant>
        <vt:lpwstr/>
      </vt:variant>
      <vt:variant>
        <vt:lpwstr>_Toc168666809</vt:lpwstr>
      </vt:variant>
      <vt:variant>
        <vt:i4>1114167</vt:i4>
      </vt:variant>
      <vt:variant>
        <vt:i4>191</vt:i4>
      </vt:variant>
      <vt:variant>
        <vt:i4>0</vt:i4>
      </vt:variant>
      <vt:variant>
        <vt:i4>5</vt:i4>
      </vt:variant>
      <vt:variant>
        <vt:lpwstr/>
      </vt:variant>
      <vt:variant>
        <vt:lpwstr>_Toc168666808</vt:lpwstr>
      </vt:variant>
      <vt:variant>
        <vt:i4>1114167</vt:i4>
      </vt:variant>
      <vt:variant>
        <vt:i4>185</vt:i4>
      </vt:variant>
      <vt:variant>
        <vt:i4>0</vt:i4>
      </vt:variant>
      <vt:variant>
        <vt:i4>5</vt:i4>
      </vt:variant>
      <vt:variant>
        <vt:lpwstr/>
      </vt:variant>
      <vt:variant>
        <vt:lpwstr>_Toc168666807</vt:lpwstr>
      </vt:variant>
      <vt:variant>
        <vt:i4>1114167</vt:i4>
      </vt:variant>
      <vt:variant>
        <vt:i4>179</vt:i4>
      </vt:variant>
      <vt:variant>
        <vt:i4>0</vt:i4>
      </vt:variant>
      <vt:variant>
        <vt:i4>5</vt:i4>
      </vt:variant>
      <vt:variant>
        <vt:lpwstr/>
      </vt:variant>
      <vt:variant>
        <vt:lpwstr>_Toc168666806</vt:lpwstr>
      </vt:variant>
      <vt:variant>
        <vt:i4>1114167</vt:i4>
      </vt:variant>
      <vt:variant>
        <vt:i4>173</vt:i4>
      </vt:variant>
      <vt:variant>
        <vt:i4>0</vt:i4>
      </vt:variant>
      <vt:variant>
        <vt:i4>5</vt:i4>
      </vt:variant>
      <vt:variant>
        <vt:lpwstr/>
      </vt:variant>
      <vt:variant>
        <vt:lpwstr>_Toc168666805</vt:lpwstr>
      </vt:variant>
      <vt:variant>
        <vt:i4>1114167</vt:i4>
      </vt:variant>
      <vt:variant>
        <vt:i4>167</vt:i4>
      </vt:variant>
      <vt:variant>
        <vt:i4>0</vt:i4>
      </vt:variant>
      <vt:variant>
        <vt:i4>5</vt:i4>
      </vt:variant>
      <vt:variant>
        <vt:lpwstr/>
      </vt:variant>
      <vt:variant>
        <vt:lpwstr>_Toc168666804</vt:lpwstr>
      </vt:variant>
      <vt:variant>
        <vt:i4>1114167</vt:i4>
      </vt:variant>
      <vt:variant>
        <vt:i4>161</vt:i4>
      </vt:variant>
      <vt:variant>
        <vt:i4>0</vt:i4>
      </vt:variant>
      <vt:variant>
        <vt:i4>5</vt:i4>
      </vt:variant>
      <vt:variant>
        <vt:lpwstr/>
      </vt:variant>
      <vt:variant>
        <vt:lpwstr>_Toc168666803</vt:lpwstr>
      </vt:variant>
      <vt:variant>
        <vt:i4>1114167</vt:i4>
      </vt:variant>
      <vt:variant>
        <vt:i4>155</vt:i4>
      </vt:variant>
      <vt:variant>
        <vt:i4>0</vt:i4>
      </vt:variant>
      <vt:variant>
        <vt:i4>5</vt:i4>
      </vt:variant>
      <vt:variant>
        <vt:lpwstr/>
      </vt:variant>
      <vt:variant>
        <vt:lpwstr>_Toc168666802</vt:lpwstr>
      </vt:variant>
      <vt:variant>
        <vt:i4>1114167</vt:i4>
      </vt:variant>
      <vt:variant>
        <vt:i4>149</vt:i4>
      </vt:variant>
      <vt:variant>
        <vt:i4>0</vt:i4>
      </vt:variant>
      <vt:variant>
        <vt:i4>5</vt:i4>
      </vt:variant>
      <vt:variant>
        <vt:lpwstr/>
      </vt:variant>
      <vt:variant>
        <vt:lpwstr>_Toc168666801</vt:lpwstr>
      </vt:variant>
      <vt:variant>
        <vt:i4>1114167</vt:i4>
      </vt:variant>
      <vt:variant>
        <vt:i4>143</vt:i4>
      </vt:variant>
      <vt:variant>
        <vt:i4>0</vt:i4>
      </vt:variant>
      <vt:variant>
        <vt:i4>5</vt:i4>
      </vt:variant>
      <vt:variant>
        <vt:lpwstr/>
      </vt:variant>
      <vt:variant>
        <vt:lpwstr>_Toc168666800</vt:lpwstr>
      </vt:variant>
      <vt:variant>
        <vt:i4>1572920</vt:i4>
      </vt:variant>
      <vt:variant>
        <vt:i4>137</vt:i4>
      </vt:variant>
      <vt:variant>
        <vt:i4>0</vt:i4>
      </vt:variant>
      <vt:variant>
        <vt:i4>5</vt:i4>
      </vt:variant>
      <vt:variant>
        <vt:lpwstr/>
      </vt:variant>
      <vt:variant>
        <vt:lpwstr>_Toc168666799</vt:lpwstr>
      </vt:variant>
      <vt:variant>
        <vt:i4>1572920</vt:i4>
      </vt:variant>
      <vt:variant>
        <vt:i4>131</vt:i4>
      </vt:variant>
      <vt:variant>
        <vt:i4>0</vt:i4>
      </vt:variant>
      <vt:variant>
        <vt:i4>5</vt:i4>
      </vt:variant>
      <vt:variant>
        <vt:lpwstr/>
      </vt:variant>
      <vt:variant>
        <vt:lpwstr>_Toc168666798</vt:lpwstr>
      </vt:variant>
      <vt:variant>
        <vt:i4>1572920</vt:i4>
      </vt:variant>
      <vt:variant>
        <vt:i4>125</vt:i4>
      </vt:variant>
      <vt:variant>
        <vt:i4>0</vt:i4>
      </vt:variant>
      <vt:variant>
        <vt:i4>5</vt:i4>
      </vt:variant>
      <vt:variant>
        <vt:lpwstr/>
      </vt:variant>
      <vt:variant>
        <vt:lpwstr>_Toc168666797</vt:lpwstr>
      </vt:variant>
      <vt:variant>
        <vt:i4>1572920</vt:i4>
      </vt:variant>
      <vt:variant>
        <vt:i4>119</vt:i4>
      </vt:variant>
      <vt:variant>
        <vt:i4>0</vt:i4>
      </vt:variant>
      <vt:variant>
        <vt:i4>5</vt:i4>
      </vt:variant>
      <vt:variant>
        <vt:lpwstr/>
      </vt:variant>
      <vt:variant>
        <vt:lpwstr>_Toc168666796</vt:lpwstr>
      </vt:variant>
      <vt:variant>
        <vt:i4>1572920</vt:i4>
      </vt:variant>
      <vt:variant>
        <vt:i4>113</vt:i4>
      </vt:variant>
      <vt:variant>
        <vt:i4>0</vt:i4>
      </vt:variant>
      <vt:variant>
        <vt:i4>5</vt:i4>
      </vt:variant>
      <vt:variant>
        <vt:lpwstr/>
      </vt:variant>
      <vt:variant>
        <vt:lpwstr>_Toc168666795</vt:lpwstr>
      </vt:variant>
      <vt:variant>
        <vt:i4>1572920</vt:i4>
      </vt:variant>
      <vt:variant>
        <vt:i4>107</vt:i4>
      </vt:variant>
      <vt:variant>
        <vt:i4>0</vt:i4>
      </vt:variant>
      <vt:variant>
        <vt:i4>5</vt:i4>
      </vt:variant>
      <vt:variant>
        <vt:lpwstr/>
      </vt:variant>
      <vt:variant>
        <vt:lpwstr>_Toc168666794</vt:lpwstr>
      </vt:variant>
      <vt:variant>
        <vt:i4>1572920</vt:i4>
      </vt:variant>
      <vt:variant>
        <vt:i4>101</vt:i4>
      </vt:variant>
      <vt:variant>
        <vt:i4>0</vt:i4>
      </vt:variant>
      <vt:variant>
        <vt:i4>5</vt:i4>
      </vt:variant>
      <vt:variant>
        <vt:lpwstr/>
      </vt:variant>
      <vt:variant>
        <vt:lpwstr>_Toc168666793</vt:lpwstr>
      </vt:variant>
      <vt:variant>
        <vt:i4>1572920</vt:i4>
      </vt:variant>
      <vt:variant>
        <vt:i4>95</vt:i4>
      </vt:variant>
      <vt:variant>
        <vt:i4>0</vt:i4>
      </vt:variant>
      <vt:variant>
        <vt:i4>5</vt:i4>
      </vt:variant>
      <vt:variant>
        <vt:lpwstr/>
      </vt:variant>
      <vt:variant>
        <vt:lpwstr>_Toc168666792</vt:lpwstr>
      </vt:variant>
      <vt:variant>
        <vt:i4>1572920</vt:i4>
      </vt:variant>
      <vt:variant>
        <vt:i4>89</vt:i4>
      </vt:variant>
      <vt:variant>
        <vt:i4>0</vt:i4>
      </vt:variant>
      <vt:variant>
        <vt:i4>5</vt:i4>
      </vt:variant>
      <vt:variant>
        <vt:lpwstr/>
      </vt:variant>
      <vt:variant>
        <vt:lpwstr>_Toc168666791</vt:lpwstr>
      </vt:variant>
      <vt:variant>
        <vt:i4>1572920</vt:i4>
      </vt:variant>
      <vt:variant>
        <vt:i4>83</vt:i4>
      </vt:variant>
      <vt:variant>
        <vt:i4>0</vt:i4>
      </vt:variant>
      <vt:variant>
        <vt:i4>5</vt:i4>
      </vt:variant>
      <vt:variant>
        <vt:lpwstr/>
      </vt:variant>
      <vt:variant>
        <vt:lpwstr>_Toc168666790</vt:lpwstr>
      </vt:variant>
      <vt:variant>
        <vt:i4>1638456</vt:i4>
      </vt:variant>
      <vt:variant>
        <vt:i4>77</vt:i4>
      </vt:variant>
      <vt:variant>
        <vt:i4>0</vt:i4>
      </vt:variant>
      <vt:variant>
        <vt:i4>5</vt:i4>
      </vt:variant>
      <vt:variant>
        <vt:lpwstr/>
      </vt:variant>
      <vt:variant>
        <vt:lpwstr>_Toc168666789</vt:lpwstr>
      </vt:variant>
      <vt:variant>
        <vt:i4>1638456</vt:i4>
      </vt:variant>
      <vt:variant>
        <vt:i4>71</vt:i4>
      </vt:variant>
      <vt:variant>
        <vt:i4>0</vt:i4>
      </vt:variant>
      <vt:variant>
        <vt:i4>5</vt:i4>
      </vt:variant>
      <vt:variant>
        <vt:lpwstr/>
      </vt:variant>
      <vt:variant>
        <vt:lpwstr>_Toc168666788</vt:lpwstr>
      </vt:variant>
      <vt:variant>
        <vt:i4>1638456</vt:i4>
      </vt:variant>
      <vt:variant>
        <vt:i4>65</vt:i4>
      </vt:variant>
      <vt:variant>
        <vt:i4>0</vt:i4>
      </vt:variant>
      <vt:variant>
        <vt:i4>5</vt:i4>
      </vt:variant>
      <vt:variant>
        <vt:lpwstr/>
      </vt:variant>
      <vt:variant>
        <vt:lpwstr>_Toc168666787</vt:lpwstr>
      </vt:variant>
      <vt:variant>
        <vt:i4>1638456</vt:i4>
      </vt:variant>
      <vt:variant>
        <vt:i4>59</vt:i4>
      </vt:variant>
      <vt:variant>
        <vt:i4>0</vt:i4>
      </vt:variant>
      <vt:variant>
        <vt:i4>5</vt:i4>
      </vt:variant>
      <vt:variant>
        <vt:lpwstr/>
      </vt:variant>
      <vt:variant>
        <vt:lpwstr>_Toc168666786</vt:lpwstr>
      </vt:variant>
      <vt:variant>
        <vt:i4>1638456</vt:i4>
      </vt:variant>
      <vt:variant>
        <vt:i4>53</vt:i4>
      </vt:variant>
      <vt:variant>
        <vt:i4>0</vt:i4>
      </vt:variant>
      <vt:variant>
        <vt:i4>5</vt:i4>
      </vt:variant>
      <vt:variant>
        <vt:lpwstr/>
      </vt:variant>
      <vt:variant>
        <vt:lpwstr>_Toc168666785</vt:lpwstr>
      </vt:variant>
      <vt:variant>
        <vt:i4>1638456</vt:i4>
      </vt:variant>
      <vt:variant>
        <vt:i4>47</vt:i4>
      </vt:variant>
      <vt:variant>
        <vt:i4>0</vt:i4>
      </vt:variant>
      <vt:variant>
        <vt:i4>5</vt:i4>
      </vt:variant>
      <vt:variant>
        <vt:lpwstr/>
      </vt:variant>
      <vt:variant>
        <vt:lpwstr>_Toc168666784</vt:lpwstr>
      </vt:variant>
      <vt:variant>
        <vt:i4>1638456</vt:i4>
      </vt:variant>
      <vt:variant>
        <vt:i4>41</vt:i4>
      </vt:variant>
      <vt:variant>
        <vt:i4>0</vt:i4>
      </vt:variant>
      <vt:variant>
        <vt:i4>5</vt:i4>
      </vt:variant>
      <vt:variant>
        <vt:lpwstr/>
      </vt:variant>
      <vt:variant>
        <vt:lpwstr>_Toc168666783</vt:lpwstr>
      </vt:variant>
      <vt:variant>
        <vt:i4>1638456</vt:i4>
      </vt:variant>
      <vt:variant>
        <vt:i4>35</vt:i4>
      </vt:variant>
      <vt:variant>
        <vt:i4>0</vt:i4>
      </vt:variant>
      <vt:variant>
        <vt:i4>5</vt:i4>
      </vt:variant>
      <vt:variant>
        <vt:lpwstr/>
      </vt:variant>
      <vt:variant>
        <vt:lpwstr>_Toc168666782</vt:lpwstr>
      </vt:variant>
      <vt:variant>
        <vt:i4>1638456</vt:i4>
      </vt:variant>
      <vt:variant>
        <vt:i4>29</vt:i4>
      </vt:variant>
      <vt:variant>
        <vt:i4>0</vt:i4>
      </vt:variant>
      <vt:variant>
        <vt:i4>5</vt:i4>
      </vt:variant>
      <vt:variant>
        <vt:lpwstr/>
      </vt:variant>
      <vt:variant>
        <vt:lpwstr>_Toc168666781</vt:lpwstr>
      </vt:variant>
      <vt:variant>
        <vt:i4>1638456</vt:i4>
      </vt:variant>
      <vt:variant>
        <vt:i4>23</vt:i4>
      </vt:variant>
      <vt:variant>
        <vt:i4>0</vt:i4>
      </vt:variant>
      <vt:variant>
        <vt:i4>5</vt:i4>
      </vt:variant>
      <vt:variant>
        <vt:lpwstr/>
      </vt:variant>
      <vt:variant>
        <vt:lpwstr>_Toc168666780</vt:lpwstr>
      </vt:variant>
      <vt:variant>
        <vt:i4>1441848</vt:i4>
      </vt:variant>
      <vt:variant>
        <vt:i4>17</vt:i4>
      </vt:variant>
      <vt:variant>
        <vt:i4>0</vt:i4>
      </vt:variant>
      <vt:variant>
        <vt:i4>5</vt:i4>
      </vt:variant>
      <vt:variant>
        <vt:lpwstr/>
      </vt:variant>
      <vt:variant>
        <vt:lpwstr>_Toc168666779</vt:lpwstr>
      </vt:variant>
      <vt:variant>
        <vt:i4>1441848</vt:i4>
      </vt:variant>
      <vt:variant>
        <vt:i4>11</vt:i4>
      </vt:variant>
      <vt:variant>
        <vt:i4>0</vt:i4>
      </vt:variant>
      <vt:variant>
        <vt:i4>5</vt:i4>
      </vt:variant>
      <vt:variant>
        <vt:lpwstr/>
      </vt:variant>
      <vt:variant>
        <vt:lpwstr>_Toc168666778</vt:lpwstr>
      </vt:variant>
      <vt:variant>
        <vt:i4>1441848</vt:i4>
      </vt:variant>
      <vt:variant>
        <vt:i4>5</vt:i4>
      </vt:variant>
      <vt:variant>
        <vt:i4>0</vt:i4>
      </vt:variant>
      <vt:variant>
        <vt:i4>5</vt:i4>
      </vt:variant>
      <vt:variant>
        <vt:lpwstr/>
      </vt:variant>
      <vt:variant>
        <vt:lpwstr>_Toc168666777</vt:lpwstr>
      </vt:variant>
      <vt:variant>
        <vt:i4>1704028</vt:i4>
      </vt:variant>
      <vt:variant>
        <vt:i4>153</vt:i4>
      </vt:variant>
      <vt:variant>
        <vt:i4>0</vt:i4>
      </vt:variant>
      <vt:variant>
        <vt:i4>5</vt:i4>
      </vt:variant>
      <vt:variant>
        <vt:lpwstr>https://www.health.gov.au/resources/publications/national-vaccine-storage-guidelines-strive-for-5</vt:lpwstr>
      </vt:variant>
      <vt:variant>
        <vt:lpwstr/>
      </vt:variant>
      <vt:variant>
        <vt:i4>5374016</vt:i4>
      </vt:variant>
      <vt:variant>
        <vt:i4>150</vt:i4>
      </vt:variant>
      <vt:variant>
        <vt:i4>0</vt:i4>
      </vt:variant>
      <vt:variant>
        <vt:i4>5</vt:i4>
      </vt:variant>
      <vt:variant>
        <vt:lpwstr>https://www.health.vic.gov.au/immunisation/pharmacist-immunisers</vt:lpwstr>
      </vt:variant>
      <vt:variant>
        <vt:lpwstr/>
      </vt:variant>
      <vt:variant>
        <vt:i4>6160394</vt:i4>
      </vt:variant>
      <vt:variant>
        <vt:i4>147</vt:i4>
      </vt:variant>
      <vt:variant>
        <vt:i4>0</vt:i4>
      </vt:variant>
      <vt:variant>
        <vt:i4>5</vt:i4>
      </vt:variant>
      <vt:variant>
        <vt:lpwstr>https://www.health.vic.gov.au/immunisation/nurse-immunisers-requirements-and-responsibilities</vt:lpwstr>
      </vt:variant>
      <vt:variant>
        <vt:lpwstr/>
      </vt:variant>
      <vt:variant>
        <vt:i4>4390979</vt:i4>
      </vt:variant>
      <vt:variant>
        <vt:i4>144</vt:i4>
      </vt:variant>
      <vt:variant>
        <vt:i4>0</vt:i4>
      </vt:variant>
      <vt:variant>
        <vt:i4>5</vt:i4>
      </vt:variant>
      <vt:variant>
        <vt:lpwstr>https://www.health.vic.gov.au/publications/medical-practitioners-key-requirements-in-victoria</vt:lpwstr>
      </vt:variant>
      <vt:variant>
        <vt:lpwstr/>
      </vt:variant>
      <vt:variant>
        <vt:i4>1245208</vt:i4>
      </vt:variant>
      <vt:variant>
        <vt:i4>141</vt:i4>
      </vt:variant>
      <vt:variant>
        <vt:i4>0</vt:i4>
      </vt:variant>
      <vt:variant>
        <vt:i4>5</vt:i4>
      </vt:variant>
      <vt:variant>
        <vt:lpwstr>https://www.health.vic.gov.au/drugs-and-poisons/nurse-practitioners-legislative-requirements</vt:lpwstr>
      </vt:variant>
      <vt:variant>
        <vt:lpwstr/>
      </vt:variant>
      <vt:variant>
        <vt:i4>6094920</vt:i4>
      </vt:variant>
      <vt:variant>
        <vt:i4>138</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135</vt:i4>
      </vt:variant>
      <vt:variant>
        <vt:i4>0</vt:i4>
      </vt:variant>
      <vt:variant>
        <vt:i4>5</vt:i4>
      </vt:variant>
      <vt:variant>
        <vt:lpwstr>https://www.worksafe.vic.gov.au/occupational-health-and-safety-act-and-regulations</vt:lpwstr>
      </vt:variant>
      <vt:variant>
        <vt:lpwstr/>
      </vt:variant>
      <vt:variant>
        <vt:i4>4390988</vt:i4>
      </vt:variant>
      <vt:variant>
        <vt:i4>132</vt:i4>
      </vt:variant>
      <vt:variant>
        <vt:i4>0</vt:i4>
      </vt:variant>
      <vt:variant>
        <vt:i4>5</vt:i4>
      </vt:variant>
      <vt:variant>
        <vt:lpwstr>https://www.legislation.vic.gov.au/in-force/acts/health-records-act-2001/046</vt:lpwstr>
      </vt:variant>
      <vt:variant>
        <vt:lpwstr/>
      </vt:variant>
      <vt:variant>
        <vt:i4>6619173</vt:i4>
      </vt:variant>
      <vt:variant>
        <vt:i4>129</vt:i4>
      </vt:variant>
      <vt:variant>
        <vt:i4>0</vt:i4>
      </vt:variant>
      <vt:variant>
        <vt:i4>5</vt:i4>
      </vt:variant>
      <vt:variant>
        <vt:lpwstr>https://www.racgp.org.au/afp/2011/march/consent-to-medical-treatment-the-mature-minor/</vt:lpwstr>
      </vt:variant>
      <vt:variant>
        <vt:lpwstr/>
      </vt:variant>
      <vt:variant>
        <vt:i4>6291574</vt:i4>
      </vt:variant>
      <vt:variant>
        <vt:i4>126</vt:i4>
      </vt:variant>
      <vt:variant>
        <vt:i4>0</vt:i4>
      </vt:variant>
      <vt:variant>
        <vt:i4>5</vt:i4>
      </vt:variant>
      <vt:variant>
        <vt:lpwstr>https://immunisationhandbook.health.gov.au/</vt:lpwstr>
      </vt:variant>
      <vt:variant>
        <vt:lpwstr/>
      </vt:variant>
      <vt:variant>
        <vt:i4>4653070</vt:i4>
      </vt:variant>
      <vt:variant>
        <vt:i4>123</vt:i4>
      </vt:variant>
      <vt:variant>
        <vt:i4>0</vt:i4>
      </vt:variant>
      <vt:variant>
        <vt:i4>5</vt:i4>
      </vt:variant>
      <vt:variant>
        <vt:lpwstr>https://www.health.gov.au/resources/publications/mpox-monkeypox-consent-form-for-jynneosr-vaccination</vt:lpwstr>
      </vt:variant>
      <vt:variant>
        <vt:lpwstr/>
      </vt:variant>
      <vt:variant>
        <vt:i4>2097190</vt:i4>
      </vt:variant>
      <vt:variant>
        <vt:i4>120</vt:i4>
      </vt:variant>
      <vt:variant>
        <vt:i4>0</vt:i4>
      </vt:variant>
      <vt:variant>
        <vt:i4>5</vt:i4>
      </vt:variant>
      <vt:variant>
        <vt:lpwstr>https://www.mja.com.au/journal/2011/194/1/syncope-and-seizures-following-human-papillomavirus-vaccination-retrospective</vt:lpwstr>
      </vt:variant>
      <vt:variant>
        <vt:lpwstr/>
      </vt:variant>
      <vt:variant>
        <vt:i4>8323121</vt:i4>
      </vt:variant>
      <vt:variant>
        <vt:i4>117</vt:i4>
      </vt:variant>
      <vt:variant>
        <vt:i4>0</vt:i4>
      </vt:variant>
      <vt:variant>
        <vt:i4>5</vt:i4>
      </vt:variant>
      <vt:variant>
        <vt:lpwstr>https://immunisationhandbook.health.gov.au/resources/tables/table-clinical-features-that-may-help-differentiate-between-a-vasovagal-episode-and-anaphylaxis</vt:lpwstr>
      </vt:variant>
      <vt:variant>
        <vt:lpwstr/>
      </vt:variant>
      <vt:variant>
        <vt:i4>4784200</vt:i4>
      </vt:variant>
      <vt:variant>
        <vt:i4>114</vt:i4>
      </vt:variant>
      <vt:variant>
        <vt:i4>0</vt:i4>
      </vt:variant>
      <vt:variant>
        <vt:i4>5</vt:i4>
      </vt:variant>
      <vt:variant>
        <vt:lpwstr>https://www.bettersafercare.vic.gov.au/clinical-guidance/emergency/anaphylaxis-adults</vt:lpwstr>
      </vt:variant>
      <vt:variant>
        <vt:lpwstr/>
      </vt:variant>
      <vt:variant>
        <vt:i4>3997816</vt:i4>
      </vt:variant>
      <vt:variant>
        <vt:i4>111</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108</vt:i4>
      </vt:variant>
      <vt:variant>
        <vt:i4>0</vt:i4>
      </vt:variant>
      <vt:variant>
        <vt:i4>5</vt:i4>
      </vt:variant>
      <vt:variant>
        <vt:lpwstr>https://immunisationhandbook.health.gov.au/resources/tables/table-recognition-and-treatment-of-anaphylaxis</vt:lpwstr>
      </vt:variant>
      <vt:variant>
        <vt:lpwstr/>
      </vt:variant>
      <vt:variant>
        <vt:i4>3997730</vt:i4>
      </vt:variant>
      <vt:variant>
        <vt:i4>105</vt:i4>
      </vt:variant>
      <vt:variant>
        <vt:i4>0</vt:i4>
      </vt:variant>
      <vt:variant>
        <vt:i4>5</vt:i4>
      </vt:variant>
      <vt:variant>
        <vt:lpwstr>https://immunisationhandbook.health.gov.au/resources/tables/table-recognition-and-treatment-of-anaphylaxis</vt:lpwstr>
      </vt:variant>
      <vt:variant>
        <vt:lpwstr/>
      </vt:variant>
      <vt:variant>
        <vt:i4>5701720</vt:i4>
      </vt:variant>
      <vt:variant>
        <vt:i4>102</vt:i4>
      </vt:variant>
      <vt:variant>
        <vt:i4>0</vt:i4>
      </vt:variant>
      <vt:variant>
        <vt:i4>5</vt:i4>
      </vt:variant>
      <vt:variant>
        <vt:lpwstr>https://immunisationhandbook.health.gov.au/contents/vaccination-procedures/administration-of-vaccines</vt:lpwstr>
      </vt:variant>
      <vt:variant>
        <vt:lpwstr/>
      </vt:variant>
      <vt:variant>
        <vt:i4>524366</vt:i4>
      </vt:variant>
      <vt:variant>
        <vt:i4>99</vt:i4>
      </vt:variant>
      <vt:variant>
        <vt:i4>0</vt:i4>
      </vt:variant>
      <vt:variant>
        <vt:i4>5</vt:i4>
      </vt:variant>
      <vt:variant>
        <vt:lpwstr>https://www.health.gov.au/resources/publications/atagi-clinical-guidance-on-vaccination-against-monkeypox?language=en</vt:lpwstr>
      </vt:variant>
      <vt:variant>
        <vt:lpwstr/>
      </vt:variant>
      <vt:variant>
        <vt:i4>7405684</vt:i4>
      </vt:variant>
      <vt:variant>
        <vt:i4>96</vt:i4>
      </vt:variant>
      <vt:variant>
        <vt:i4>0</vt:i4>
      </vt:variant>
      <vt:variant>
        <vt:i4>5</vt:i4>
      </vt:variant>
      <vt:variant>
        <vt:lpwstr>https://www.cdc.gov/poxvirus/monkeypox/interim-considerations/jynneos-vaccine.html</vt:lpwstr>
      </vt:variant>
      <vt:variant>
        <vt:lpwstr/>
      </vt:variant>
      <vt:variant>
        <vt:i4>7405684</vt:i4>
      </vt:variant>
      <vt:variant>
        <vt:i4>93</vt:i4>
      </vt:variant>
      <vt:variant>
        <vt:i4>0</vt:i4>
      </vt:variant>
      <vt:variant>
        <vt:i4>5</vt:i4>
      </vt:variant>
      <vt:variant>
        <vt:lpwstr>https://www.cdc.gov/poxvirus/monkeypox/interim-considerations/jynneos-vaccine.html</vt:lpwstr>
      </vt:variant>
      <vt:variant>
        <vt:lpwstr/>
      </vt:variant>
      <vt:variant>
        <vt:i4>5701720</vt:i4>
      </vt:variant>
      <vt:variant>
        <vt:i4>90</vt:i4>
      </vt:variant>
      <vt:variant>
        <vt:i4>0</vt:i4>
      </vt:variant>
      <vt:variant>
        <vt:i4>5</vt:i4>
      </vt:variant>
      <vt:variant>
        <vt:lpwstr>https://immunisationhandbook.health.gov.au/contents/vaccination-procedures/administration-of-vaccines</vt:lpwstr>
      </vt:variant>
      <vt:variant>
        <vt:lpwstr/>
      </vt:variant>
      <vt:variant>
        <vt:i4>7405684</vt:i4>
      </vt:variant>
      <vt:variant>
        <vt:i4>87</vt:i4>
      </vt:variant>
      <vt:variant>
        <vt:i4>0</vt:i4>
      </vt:variant>
      <vt:variant>
        <vt:i4>5</vt:i4>
      </vt:variant>
      <vt:variant>
        <vt:lpwstr>https://www.cdc.gov/poxvirus/monkeypox/interim-considerations/jynneos-vaccine.html</vt:lpwstr>
      </vt:variant>
      <vt:variant>
        <vt:lpwstr/>
      </vt:variant>
      <vt:variant>
        <vt:i4>524366</vt:i4>
      </vt:variant>
      <vt:variant>
        <vt:i4>84</vt:i4>
      </vt:variant>
      <vt:variant>
        <vt:i4>0</vt:i4>
      </vt:variant>
      <vt:variant>
        <vt:i4>5</vt:i4>
      </vt:variant>
      <vt:variant>
        <vt:lpwstr>https://www.health.gov.au/resources/publications/atagi-clinical-guidance-on-vaccination-against-monkeypox?language=en</vt:lpwstr>
      </vt:variant>
      <vt:variant>
        <vt:lpwstr/>
      </vt:variant>
      <vt:variant>
        <vt:i4>1507414</vt:i4>
      </vt:variant>
      <vt:variant>
        <vt:i4>81</vt:i4>
      </vt:variant>
      <vt:variant>
        <vt:i4>0</vt:i4>
      </vt:variant>
      <vt:variant>
        <vt:i4>5</vt:i4>
      </vt:variant>
      <vt:variant>
        <vt:lpwstr>https://www.health.gov.au/sites/default/files/2024-01/atagi-guidance-on-the-use-of-multi-dose-vials-for-covid-19-vaccination.pdf</vt:lpwstr>
      </vt:variant>
      <vt:variant>
        <vt:lpwstr/>
      </vt:variant>
      <vt:variant>
        <vt:i4>5701720</vt:i4>
      </vt:variant>
      <vt:variant>
        <vt:i4>78</vt:i4>
      </vt:variant>
      <vt:variant>
        <vt:i4>0</vt:i4>
      </vt:variant>
      <vt:variant>
        <vt:i4>5</vt:i4>
      </vt:variant>
      <vt:variant>
        <vt:lpwstr>https://immunisationhandbook.health.gov.au/contents/vaccination-procedures/administration-of-vaccines</vt:lpwstr>
      </vt:variant>
      <vt:variant>
        <vt:lpwstr/>
      </vt:variant>
      <vt:variant>
        <vt:i4>1704028</vt:i4>
      </vt:variant>
      <vt:variant>
        <vt:i4>75</vt:i4>
      </vt:variant>
      <vt:variant>
        <vt:i4>0</vt:i4>
      </vt:variant>
      <vt:variant>
        <vt:i4>5</vt:i4>
      </vt:variant>
      <vt:variant>
        <vt:lpwstr>https://www.health.gov.au/resources/publications/national-vaccine-storage-guidelines-strive-for-5</vt:lpwstr>
      </vt:variant>
      <vt:variant>
        <vt:lpwstr/>
      </vt:variant>
      <vt:variant>
        <vt:i4>8192047</vt:i4>
      </vt:variant>
      <vt:variant>
        <vt:i4>72</vt:i4>
      </vt:variant>
      <vt:variant>
        <vt:i4>0</vt:i4>
      </vt:variant>
      <vt:variant>
        <vt:i4>5</vt:i4>
      </vt:variant>
      <vt:variant>
        <vt:lpwstr>https://immunisationhandbook.health.gov.au/contents/vaccination-procedures</vt:lpwstr>
      </vt:variant>
      <vt:variant>
        <vt:lpwstr/>
      </vt:variant>
      <vt:variant>
        <vt:i4>3014760</vt:i4>
      </vt:variant>
      <vt:variant>
        <vt:i4>69</vt:i4>
      </vt:variant>
      <vt:variant>
        <vt:i4>0</vt:i4>
      </vt:variant>
      <vt:variant>
        <vt:i4>5</vt:i4>
      </vt:variant>
      <vt:variant>
        <vt:lpwstr>https://immunisationhandbook.health.gov.au/contents/vaccine-preventable-diseases/mpox-previously-known-as-monkeypox</vt:lpwstr>
      </vt:variant>
      <vt:variant>
        <vt:lpwstr/>
      </vt:variant>
      <vt:variant>
        <vt:i4>2424934</vt:i4>
      </vt:variant>
      <vt:variant>
        <vt:i4>66</vt:i4>
      </vt:variant>
      <vt:variant>
        <vt:i4>0</vt:i4>
      </vt:variant>
      <vt:variant>
        <vt:i4>5</vt:i4>
      </vt:variant>
      <vt:variant>
        <vt:lpwstr>https://www.epa.vic.gov.au/about-epa/publications/iwrg612-1</vt:lpwstr>
      </vt:variant>
      <vt:variant>
        <vt:lpwstr/>
      </vt:variant>
      <vt:variant>
        <vt:i4>6357026</vt:i4>
      </vt:variant>
      <vt:variant>
        <vt:i4>63</vt:i4>
      </vt:variant>
      <vt:variant>
        <vt:i4>0</vt:i4>
      </vt:variant>
      <vt:variant>
        <vt:i4>5</vt:i4>
      </vt:variant>
      <vt:variant>
        <vt:lpwstr>https://www.health.vic.gov.au/publications/clinical-and-related-waste-guidance-supplement-for-healthcare-staff</vt:lpwstr>
      </vt:variant>
      <vt:variant>
        <vt:lpwstr/>
      </vt:variant>
      <vt:variant>
        <vt:i4>6488168</vt:i4>
      </vt:variant>
      <vt:variant>
        <vt:i4>60</vt:i4>
      </vt:variant>
      <vt:variant>
        <vt:i4>0</vt:i4>
      </vt:variant>
      <vt:variant>
        <vt:i4>5</vt:i4>
      </vt:variant>
      <vt:variant>
        <vt:lpwstr>https://www.health.vic.gov.au/covid-19-infection-prevention-control-guidelines/standard-and-transmission-based-precautions</vt:lpwstr>
      </vt:variant>
      <vt:variant>
        <vt:lpwstr/>
      </vt:variant>
      <vt:variant>
        <vt:i4>7274596</vt:i4>
      </vt:variant>
      <vt:variant>
        <vt:i4>57</vt:i4>
      </vt:variant>
      <vt:variant>
        <vt:i4>0</vt:i4>
      </vt:variant>
      <vt:variant>
        <vt:i4>5</vt:i4>
      </vt:variant>
      <vt:variant>
        <vt:lpwstr>https://www.health.gov.au/resources/publications/iceg-interim-guidance-on-monkeypox-for-health-workers</vt:lpwstr>
      </vt:variant>
      <vt:variant>
        <vt:lpwstr/>
      </vt:variant>
      <vt:variant>
        <vt:i4>4784129</vt:i4>
      </vt:variant>
      <vt:variant>
        <vt:i4>54</vt:i4>
      </vt:variant>
      <vt:variant>
        <vt:i4>0</vt:i4>
      </vt:variant>
      <vt:variant>
        <vt:i4>5</vt:i4>
      </vt:variant>
      <vt:variant>
        <vt:lpwstr>https://www.health.vic.gov.au/covid-19-infection-prevention-control-guidelines/personal-protective-equipment-ppe</vt:lpwstr>
      </vt:variant>
      <vt:variant>
        <vt:lpwstr/>
      </vt:variant>
      <vt:variant>
        <vt:i4>5636122</vt:i4>
      </vt:variant>
      <vt:variant>
        <vt:i4>51</vt:i4>
      </vt:variant>
      <vt:variant>
        <vt:i4>0</vt:i4>
      </vt:variant>
      <vt:variant>
        <vt:i4>5</vt:i4>
      </vt:variant>
      <vt:variant>
        <vt:lpwstr>https://www.safetyandquality.gov.au/our-work/infection-prevention-and-control/national-hand-hygiene-initiative/materials-support-improved-hand-hygiene-australia-nhhi</vt:lpwstr>
      </vt:variant>
      <vt:variant>
        <vt:lpwstr/>
      </vt:variant>
      <vt:variant>
        <vt:i4>6094920</vt:i4>
      </vt:variant>
      <vt:variant>
        <vt:i4>48</vt:i4>
      </vt:variant>
      <vt:variant>
        <vt:i4>0</vt:i4>
      </vt:variant>
      <vt:variant>
        <vt:i4>5</vt:i4>
      </vt:variant>
      <vt:variant>
        <vt:lpwstr>https://www.nhmrc.gov.au/about-us/publications/australian-guidelines-prevention-and-control-infection-healthcare-2019</vt:lpwstr>
      </vt:variant>
      <vt:variant>
        <vt:lpwstr/>
      </vt:variant>
      <vt:variant>
        <vt:i4>1704028</vt:i4>
      </vt:variant>
      <vt:variant>
        <vt:i4>45</vt:i4>
      </vt:variant>
      <vt:variant>
        <vt:i4>0</vt:i4>
      </vt:variant>
      <vt:variant>
        <vt:i4>5</vt:i4>
      </vt:variant>
      <vt:variant>
        <vt:lpwstr>https://www.health.gov.au/resources/publications/national-vaccine-storage-guidelines-strive-for-5</vt:lpwstr>
      </vt:variant>
      <vt:variant>
        <vt:lpwstr/>
      </vt:variant>
      <vt:variant>
        <vt:i4>524366</vt:i4>
      </vt:variant>
      <vt:variant>
        <vt:i4>42</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39</vt:i4>
      </vt:variant>
      <vt:variant>
        <vt:i4>0</vt:i4>
      </vt:variant>
      <vt:variant>
        <vt:i4>5</vt:i4>
      </vt:variant>
      <vt:variant>
        <vt:lpwstr>https://immunisationhandbook.health.gov.au/contents/vaccine-preventable-diseases/mpox-previously-known-as-monkeypox</vt:lpwstr>
      </vt:variant>
      <vt:variant>
        <vt:lpwstr/>
      </vt:variant>
      <vt:variant>
        <vt:i4>2949244</vt:i4>
      </vt:variant>
      <vt:variant>
        <vt:i4>36</vt:i4>
      </vt:variant>
      <vt:variant>
        <vt:i4>0</vt:i4>
      </vt:variant>
      <vt:variant>
        <vt:i4>5</vt:i4>
      </vt:variant>
      <vt:variant>
        <vt:lpwstr>https://ausvaxsafety.org.au/vaccine-safety-data/mpox-monkeypox-vaccine</vt:lpwstr>
      </vt:variant>
      <vt:variant>
        <vt:lpwstr/>
      </vt:variant>
      <vt:variant>
        <vt:i4>524366</vt:i4>
      </vt:variant>
      <vt:variant>
        <vt:i4>33</vt:i4>
      </vt:variant>
      <vt:variant>
        <vt:i4>0</vt:i4>
      </vt:variant>
      <vt:variant>
        <vt:i4>5</vt:i4>
      </vt:variant>
      <vt:variant>
        <vt:lpwstr>https://www.health.gov.au/resources/publications/atagi-clinical-guidance-on-vaccination-against-monkeypox?language=en</vt:lpwstr>
      </vt:variant>
      <vt:variant>
        <vt:lpwstr/>
      </vt:variant>
      <vt:variant>
        <vt:i4>7274546</vt:i4>
      </vt:variant>
      <vt:variant>
        <vt:i4>30</vt:i4>
      </vt:variant>
      <vt:variant>
        <vt:i4>0</vt:i4>
      </vt:variant>
      <vt:variant>
        <vt:i4>5</vt:i4>
      </vt:variant>
      <vt:variant>
        <vt:lpwstr>https://www.sciencedirect.com/science/article/pii/S0264410X15008762</vt:lpwstr>
      </vt:variant>
      <vt:variant>
        <vt:lpwstr/>
      </vt:variant>
      <vt:variant>
        <vt:i4>3014760</vt:i4>
      </vt:variant>
      <vt:variant>
        <vt:i4>27</vt:i4>
      </vt:variant>
      <vt:variant>
        <vt:i4>0</vt:i4>
      </vt:variant>
      <vt:variant>
        <vt:i4>5</vt:i4>
      </vt:variant>
      <vt:variant>
        <vt:lpwstr>https://immunisationhandbook.health.gov.au/contents/vaccine-preventable-diseases/mpox-previously-known-as-monkeypox</vt:lpwstr>
      </vt:variant>
      <vt:variant>
        <vt:lpwstr/>
      </vt:variant>
      <vt:variant>
        <vt:i4>524366</vt:i4>
      </vt:variant>
      <vt:variant>
        <vt:i4>24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21</vt:i4>
      </vt:variant>
      <vt:variant>
        <vt:i4>0</vt:i4>
      </vt:variant>
      <vt:variant>
        <vt:i4>5</vt:i4>
      </vt:variant>
      <vt:variant>
        <vt:lpwstr>https://immunisationhandbook.health.gov.au/contents/vaccine-preventable-diseases/mpox-previously-known-as-monkeypox</vt:lpwstr>
      </vt:variant>
      <vt:variant>
        <vt:lpwstr/>
      </vt:variant>
      <vt:variant>
        <vt:i4>3014760</vt:i4>
      </vt:variant>
      <vt:variant>
        <vt:i4>18</vt:i4>
      </vt:variant>
      <vt:variant>
        <vt:i4>0</vt:i4>
      </vt:variant>
      <vt:variant>
        <vt:i4>5</vt:i4>
      </vt:variant>
      <vt:variant>
        <vt:lpwstr>https://immunisationhandbook.health.gov.au/contents/vaccine-preventable-diseases/mpox-previously-known-as-monkeypox</vt:lpwstr>
      </vt:variant>
      <vt:variant>
        <vt:lpwstr/>
      </vt:variant>
      <vt:variant>
        <vt:i4>7274596</vt:i4>
      </vt:variant>
      <vt:variant>
        <vt:i4>15</vt:i4>
      </vt:variant>
      <vt:variant>
        <vt:i4>0</vt:i4>
      </vt:variant>
      <vt:variant>
        <vt:i4>5</vt:i4>
      </vt:variant>
      <vt:variant>
        <vt:lpwstr>https://www.health.gov.au/resources/publications/iceg-interim-guidance-on-monkeypox-for-health-workers</vt:lpwstr>
      </vt:variant>
      <vt:variant>
        <vt:lpwstr/>
      </vt:variant>
      <vt:variant>
        <vt:i4>3014760</vt:i4>
      </vt:variant>
      <vt:variant>
        <vt:i4>12</vt:i4>
      </vt:variant>
      <vt:variant>
        <vt:i4>0</vt:i4>
      </vt:variant>
      <vt:variant>
        <vt:i4>5</vt:i4>
      </vt:variant>
      <vt:variant>
        <vt:lpwstr>https://immunisationhandbook.health.gov.au/contents/vaccine-preventable-diseases/mpox-previously-known-as-monkeypox</vt:lpwstr>
      </vt:variant>
      <vt:variant>
        <vt:lpwstr/>
      </vt:variant>
      <vt:variant>
        <vt:i4>5898252</vt:i4>
      </vt:variant>
      <vt:variant>
        <vt:i4>9</vt:i4>
      </vt:variant>
      <vt:variant>
        <vt:i4>0</vt:i4>
      </vt:variant>
      <vt:variant>
        <vt:i4>5</vt:i4>
      </vt:variant>
      <vt:variant>
        <vt:lpwstr>https://www.health.vic.gov.au/infectious-diseases/mpox-monkeypox</vt:lpwstr>
      </vt:variant>
      <vt:variant>
        <vt:lpwstr/>
      </vt:variant>
      <vt:variant>
        <vt:i4>3014760</vt:i4>
      </vt:variant>
      <vt:variant>
        <vt:i4>6</vt:i4>
      </vt:variant>
      <vt:variant>
        <vt:i4>0</vt:i4>
      </vt:variant>
      <vt:variant>
        <vt:i4>5</vt:i4>
      </vt:variant>
      <vt:variant>
        <vt:lpwstr>https://immunisationhandbook.health.gov.au/contents/vaccine-preventable-diseases/mpox-previously-known-as-monkeypox</vt:lpwstr>
      </vt:variant>
      <vt:variant>
        <vt:lpwstr/>
      </vt:variant>
      <vt:variant>
        <vt:i4>1441876</vt:i4>
      </vt:variant>
      <vt:variant>
        <vt:i4>3</vt:i4>
      </vt:variant>
      <vt:variant>
        <vt:i4>0</vt:i4>
      </vt:variant>
      <vt:variant>
        <vt:i4>5</vt:i4>
      </vt:variant>
      <vt:variant>
        <vt:lpwstr>https://www.health.gov.au/diseases/monkeypox-mpox</vt:lpwstr>
      </vt:variant>
      <vt:variant>
        <vt:lpwstr/>
      </vt:variant>
      <vt:variant>
        <vt:i4>524366</vt:i4>
      </vt:variant>
      <vt:variant>
        <vt:i4>0</vt:i4>
      </vt:variant>
      <vt:variant>
        <vt:i4>0</vt:i4>
      </vt:variant>
      <vt:variant>
        <vt:i4>5</vt:i4>
      </vt:variant>
      <vt:variant>
        <vt:lpwstr>https://www.health.gov.au/resources/publications/atagi-clinical-guidance-on-vaccination-against-monkeypox?language=en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dc:creator>Microsoft Office User</dc:creator>
  <cp:keywords>monkeypox guidelines 2022 health</cp:keywords>
  <dc:description>New versions of the Victorian Monkeypox Vaccination Guidelines are published online every Friday on the health website.</dc:description>
  <cp:lastPrinted>2022-09-04T00:00:00Z</cp:lastPrinted>
  <dcterms:created xsi:type="dcterms:W3CDTF">2024-06-12T04:25:00Z</dcterms:created>
  <dcterms:modified xsi:type="dcterms:W3CDTF">2024-06-12T04:25:00Z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2023-08-22T01:54:59Z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10bc3ca8-12cf-4d5e-b81c-395089d88276</vt:lpwstr>
  </property>
  <property fmtid="{D5CDD505-2E9C-101B-9397-08002B2CF9AE}" pid="24" name="MSIP_Label_43e64453-338c-4f93-8a4d-0039a0a41f2a_ContentBits">
    <vt:lpwstr>2</vt:lpwstr>
  </property>
  <property fmtid="{D5CDD505-2E9C-101B-9397-08002B2CF9AE}" pid="25" name="GrammarlyDocumentId">
    <vt:lpwstr>7cced329da4bb4177d8cd1529b5df95ce0e459832811f0207355f3087cdeb8f5</vt:lpwstr>
  </property>
</Properties>
</file>