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0CDF9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69D36EE1" wp14:editId="6F5193D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8AA04D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7F153EB" w14:textId="77777777" w:rsidTr="1B326792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5347174" w14:textId="6104AE32" w:rsidR="003B5733" w:rsidRPr="003B5733" w:rsidRDefault="00E212AB" w:rsidP="003B5733">
            <w:pPr>
              <w:pStyle w:val="Documenttitle"/>
            </w:pPr>
            <w:r>
              <w:t xml:space="preserve">Mpox </w:t>
            </w:r>
          </w:p>
        </w:tc>
      </w:tr>
      <w:tr w:rsidR="00E212AB" w14:paraId="63986CEE" w14:textId="77777777" w:rsidTr="1B326792">
        <w:tc>
          <w:tcPr>
            <w:tcW w:w="10348" w:type="dxa"/>
          </w:tcPr>
          <w:p w14:paraId="002D440E" w14:textId="1A39E14E" w:rsidR="00E212AB" w:rsidRPr="00A1389F" w:rsidRDefault="00E212AB" w:rsidP="00E212AB">
            <w:pPr>
              <w:pStyle w:val="Documentsubtitle"/>
            </w:pPr>
            <w:r>
              <w:t>I</w:t>
            </w:r>
            <w:r w:rsidRPr="00F63D71">
              <w:t>nformation for gay, bisexual and other men who have sex with men.</w:t>
            </w:r>
          </w:p>
        </w:tc>
      </w:tr>
      <w:tr w:rsidR="003B5733" w14:paraId="7EDB7CF7" w14:textId="77777777" w:rsidTr="1B326792">
        <w:tc>
          <w:tcPr>
            <w:tcW w:w="10348" w:type="dxa"/>
          </w:tcPr>
          <w:p w14:paraId="6997C7DE" w14:textId="77777777" w:rsidR="003B5733" w:rsidRPr="001E5058" w:rsidRDefault="00475419" w:rsidP="001E5058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E212AB">
              <w:t>OFFICIAL</w:t>
            </w:r>
            <w:r>
              <w:fldChar w:fldCharType="end"/>
            </w:r>
          </w:p>
        </w:tc>
      </w:tr>
    </w:tbl>
    <w:p w14:paraId="1A078171" w14:textId="77777777" w:rsidR="00E212AB" w:rsidRDefault="00E212AB" w:rsidP="00E212AB">
      <w:pPr>
        <w:pStyle w:val="Heading1"/>
        <w:rPr>
          <w:sz w:val="36"/>
          <w:lang w:eastAsia="en-AU"/>
        </w:rPr>
      </w:pPr>
      <w:r>
        <w:t>What is mpox?</w:t>
      </w:r>
    </w:p>
    <w:p w14:paraId="2CFD91A9" w14:textId="77777777" w:rsidR="00E212AB" w:rsidRDefault="00E212AB" w:rsidP="00E212AB">
      <w:pPr>
        <w:pStyle w:val="Body"/>
      </w:pPr>
      <w:r>
        <w:t>Mpox (formerly known as monkeypox) is a disease caused by the monkeypox virus. It usually causes a mild illness with a rash. It’s mostly spread through prolonged physical or intimate (skin-to-skin) contact with someone who has mpox. Most people recover within a few weeks.</w:t>
      </w:r>
    </w:p>
    <w:p w14:paraId="35AA3B47" w14:textId="77777777" w:rsidR="00E212AB" w:rsidRDefault="00E212AB" w:rsidP="00E212AB">
      <w:pPr>
        <w:pStyle w:val="Heading1"/>
        <w:rPr>
          <w:sz w:val="36"/>
          <w:lang w:eastAsia="en-AU"/>
        </w:rPr>
      </w:pPr>
      <w:r>
        <w:t>Prevention of mpox</w:t>
      </w:r>
    </w:p>
    <w:p w14:paraId="5EB0E909" w14:textId="366E6CA3" w:rsidR="00E212AB" w:rsidRDefault="00E212AB" w:rsidP="00E212AB">
      <w:pPr>
        <w:pStyle w:val="Body"/>
      </w:pPr>
      <w:r>
        <w:t xml:space="preserve">Vaccination against mpox is an important preventative measure. Two doses are required for optimal protection against </w:t>
      </w:r>
      <w:r w:rsidR="001C6DEC">
        <w:t xml:space="preserve">infection and </w:t>
      </w:r>
      <w:r>
        <w:t>severe disease. No vaccine is 100 per cent effective, and infection may occur in people who are vaccinated.</w:t>
      </w:r>
    </w:p>
    <w:p w14:paraId="43E8DABB" w14:textId="77777777" w:rsidR="00E212AB" w:rsidRDefault="00E212AB" w:rsidP="00E212AB">
      <w:pPr>
        <w:pStyle w:val="Body"/>
      </w:pPr>
      <w:r>
        <w:t>Avoid contact with people with suspected or confirmed mpox. This includes touching potentially contaminated materials, like bedding or towels.</w:t>
      </w:r>
    </w:p>
    <w:p w14:paraId="571C1751" w14:textId="77777777" w:rsidR="00E212AB" w:rsidRDefault="00E212AB" w:rsidP="00E212AB">
      <w:pPr>
        <w:pStyle w:val="Body"/>
      </w:pPr>
      <w:r>
        <w:t>Consider limiting your number of sexual partners and swap contact details. Consider limiting sexual partners for three weeks after returning from countries where there are mpox outbreaks.</w:t>
      </w:r>
    </w:p>
    <w:p w14:paraId="6BB76107" w14:textId="11A76584" w:rsidR="00E212AB" w:rsidRDefault="00DA303F" w:rsidP="00E212AB">
      <w:pPr>
        <w:pStyle w:val="Body"/>
      </w:pPr>
      <w:r w:rsidRPr="00DA303F">
        <w:t xml:space="preserve">Condoms may not be enough to prevent catching mpox </w:t>
      </w:r>
      <w:r w:rsidR="00C87BE4">
        <w:t xml:space="preserve">as it is spread </w:t>
      </w:r>
      <w:r w:rsidR="00572718">
        <w:t>from</w:t>
      </w:r>
      <w:r w:rsidR="00C87BE4">
        <w:t xml:space="preserve"> skin-to-skin contact. </w:t>
      </w:r>
      <w:r w:rsidR="00E212AB">
        <w:t>Maintain good hygiene by washing your hands with soap and water or using alcohol-based sanitiser.</w:t>
      </w:r>
    </w:p>
    <w:p w14:paraId="75124B3E" w14:textId="77777777" w:rsidR="00E212AB" w:rsidRDefault="00E212AB" w:rsidP="00E212AB">
      <w:pPr>
        <w:pStyle w:val="Body"/>
      </w:pPr>
      <w:r>
        <w:t>If you are unvaccinated, or have only had one dose, and have been exposed to someone with mpox, getting a vaccine (preferably within four days after exposure), may reduce your risk of getting mpox. Speak to your GP or sexual health clinic about getting vaccinated.</w:t>
      </w:r>
    </w:p>
    <w:p w14:paraId="59545F16" w14:textId="77777777" w:rsidR="00AF42A1" w:rsidRDefault="00AF42A1" w:rsidP="00AF42A1">
      <w:pPr>
        <w:pStyle w:val="Heading1"/>
        <w:rPr>
          <w:sz w:val="36"/>
          <w:lang w:eastAsia="en-AU"/>
        </w:rPr>
      </w:pPr>
      <w:r>
        <w:t>Mpox immunisation</w:t>
      </w:r>
    </w:p>
    <w:p w14:paraId="14D0C36F" w14:textId="77777777" w:rsidR="00AF42A1" w:rsidRDefault="00AF42A1" w:rsidP="00AF42A1">
      <w:pPr>
        <w:pStyle w:val="Body"/>
      </w:pPr>
      <w:r>
        <w:t>In Victoria, the mpox vaccine is available free-of-charge for eligible people.</w:t>
      </w:r>
    </w:p>
    <w:p w14:paraId="27E63724" w14:textId="77777777" w:rsidR="00AF42A1" w:rsidRDefault="00AF42A1" w:rsidP="00AF42A1">
      <w:pPr>
        <w:pStyle w:val="Body"/>
      </w:pPr>
      <w:r>
        <w:t>It helps to reduce the risk of infection and severe disease in:</w:t>
      </w:r>
    </w:p>
    <w:p w14:paraId="0BBEF75C" w14:textId="2670FD24" w:rsidR="00475419" w:rsidRPr="00475419" w:rsidRDefault="00475419" w:rsidP="00475419">
      <w:pPr>
        <w:pStyle w:val="Bullet1"/>
      </w:pPr>
      <w:hyperlink r:id="rId18" w:anchor="vaccination" w:history="1">
        <w:r w:rsidR="00AF42A1" w:rsidRPr="00AF42A1">
          <w:rPr>
            <w:rStyle w:val="rpl-text-label"/>
            <w:rFonts w:cs="Arial"/>
            <w:b/>
            <w:bCs/>
            <w:color w:val="004C97"/>
            <w:u w:val="single"/>
          </w:rPr>
          <w:t>eligible high-risk </w:t>
        </w:r>
        <w:r w:rsidR="00AF42A1" w:rsidRPr="00AF42A1">
          <w:rPr>
            <w:rStyle w:val="rpl-text-icongroup"/>
            <w:rFonts w:cs="Arial"/>
            <w:b/>
            <w:bCs/>
            <w:color w:val="004C97"/>
            <w:u w:val="single"/>
          </w:rPr>
          <w:t>groups</w:t>
        </w:r>
      </w:hyperlink>
      <w:r>
        <w:rPr>
          <w:rStyle w:val="rpl-text-icongroup"/>
          <w:color w:val="004C97"/>
        </w:rPr>
        <w:t xml:space="preserve"> </w:t>
      </w:r>
      <w:r w:rsidRPr="00475419">
        <w:t>&lt;https://www.health.vic.gov.au/infectious-diseases/monkeypox#vaccination&gt;</w:t>
      </w:r>
    </w:p>
    <w:p w14:paraId="788927BD" w14:textId="77777777" w:rsidR="00AF42A1" w:rsidRDefault="00AF42A1" w:rsidP="00AF42A1">
      <w:pPr>
        <w:pStyle w:val="Bullet1"/>
      </w:pPr>
      <w:r>
        <w:t>certain people who have had recent high-risk exposure to mpox.</w:t>
      </w:r>
    </w:p>
    <w:p w14:paraId="40C67F96" w14:textId="77777777" w:rsidR="00AF42A1" w:rsidRDefault="00AF42A1" w:rsidP="00AF42A1">
      <w:pPr>
        <w:pStyle w:val="Body"/>
      </w:pPr>
      <w:r>
        <w:t>Two doses of the vaccine, given four weeks apart, are required to lower your risk or chance of catching mpox.</w:t>
      </w:r>
    </w:p>
    <w:p w14:paraId="5DD5CB9E" w14:textId="36E2FC55" w:rsidR="00AF42A1" w:rsidRDefault="00AF42A1" w:rsidP="00AF42A1">
      <w:pPr>
        <w:pStyle w:val="Body"/>
      </w:pPr>
      <w:r>
        <w:t>The mpox vaccine takes approximately 2 weeks before it is effective.</w:t>
      </w:r>
      <w:r w:rsidR="00E33B8C">
        <w:t xml:space="preserve"> </w:t>
      </w:r>
      <w:r>
        <w:t>If you have received your first dose at least four weeks ago, make sure you get your second dose.</w:t>
      </w:r>
    </w:p>
    <w:p w14:paraId="6DF1615C" w14:textId="0E56F818" w:rsidR="00AF42A1" w:rsidRDefault="00AF42A1" w:rsidP="00AF42A1">
      <w:pPr>
        <w:pStyle w:val="Body"/>
      </w:pPr>
      <w:r>
        <w:t xml:space="preserve">Mpox vaccines are widely available through sexual health clinics, public hospitals, general practitioners, Aboriginal health services, some councils and community pharmacies. </w:t>
      </w:r>
      <w:r w:rsidR="00516C8A">
        <w:t>F</w:t>
      </w:r>
      <w:r>
        <w:t>ind a provider in your area</w:t>
      </w:r>
      <w:r w:rsidR="00516C8A">
        <w:t xml:space="preserve"> on the </w:t>
      </w:r>
      <w:hyperlink r:id="rId19" w:history="1">
        <w:r w:rsidR="00516C8A" w:rsidRPr="008C4E07">
          <w:rPr>
            <w:rStyle w:val="Hyperlink"/>
            <w:b/>
            <w:bCs/>
          </w:rPr>
          <w:t>Better Health Channel</w:t>
        </w:r>
      </w:hyperlink>
      <w:r w:rsidR="00475419">
        <w:t xml:space="preserve"> &lt;</w:t>
      </w:r>
      <w:r w:rsidR="00475419" w:rsidRPr="00475419">
        <w:t>https://www.betterhealth.vic.gov.au/mpox-immunisation-providers</w:t>
      </w:r>
      <w:r w:rsidR="00475419">
        <w:t>&gt;.</w:t>
      </w:r>
    </w:p>
    <w:p w14:paraId="5BFB499C" w14:textId="77777777" w:rsidR="00E212AB" w:rsidRPr="00E212AB" w:rsidRDefault="00E212AB" w:rsidP="00E212AB">
      <w:pPr>
        <w:pStyle w:val="Heading1"/>
      </w:pPr>
      <w:r w:rsidRPr="00E212AB">
        <w:lastRenderedPageBreak/>
        <w:t>More information</w:t>
      </w:r>
    </w:p>
    <w:p w14:paraId="5243D4CA" w14:textId="26DEC69C" w:rsidR="00E212AB" w:rsidRDefault="00E212AB" w:rsidP="00E212AB">
      <w:pPr>
        <w:pStyle w:val="Body"/>
        <w:jc w:val="center"/>
      </w:pPr>
      <w:r w:rsidRPr="00361203">
        <w:rPr>
          <w:sz w:val="22"/>
          <w:szCs w:val="22"/>
        </w:rPr>
        <w:t xml:space="preserve">Scan to read more about </w:t>
      </w:r>
      <w:r>
        <w:rPr>
          <w:sz w:val="22"/>
          <w:szCs w:val="22"/>
        </w:rPr>
        <w:t>mpox</w:t>
      </w:r>
      <w:r w:rsidRPr="00361203">
        <w:rPr>
          <w:sz w:val="22"/>
          <w:szCs w:val="22"/>
        </w:rPr>
        <w:t xml:space="preserve">, vaccinations and vaccine eligibility criteria on the </w:t>
      </w:r>
      <w:hyperlink r:id="rId20" w:history="1">
        <w:r w:rsidRPr="00361203">
          <w:rPr>
            <w:rStyle w:val="Hyperlink"/>
            <w:b/>
            <w:bCs/>
            <w:sz w:val="22"/>
            <w:szCs w:val="22"/>
          </w:rPr>
          <w:t>B</w:t>
        </w:r>
        <w:r w:rsidRPr="00AF42A1">
          <w:rPr>
            <w:rStyle w:val="Hyperlink"/>
            <w:b/>
            <w:bCs/>
            <w:sz w:val="22"/>
            <w:szCs w:val="22"/>
          </w:rPr>
          <w:t>etter Hea</w:t>
        </w:r>
        <w:r w:rsidRPr="00361203">
          <w:rPr>
            <w:rStyle w:val="Hyperlink"/>
            <w:b/>
            <w:bCs/>
            <w:sz w:val="22"/>
            <w:szCs w:val="22"/>
          </w:rPr>
          <w:t>lth Channel</w:t>
        </w:r>
      </w:hyperlink>
      <w:r>
        <w:rPr>
          <w:b/>
          <w:bCs/>
        </w:rPr>
        <w:t xml:space="preserve"> &lt;</w:t>
      </w:r>
      <w:r w:rsidRPr="00E212AB">
        <w:t xml:space="preserve"> </w:t>
      </w:r>
      <w:r w:rsidRPr="00E212AB">
        <w:rPr>
          <w:b/>
          <w:bCs/>
        </w:rPr>
        <w:t>https://www.betterhealth.vic.gov.au/mpox</w:t>
      </w:r>
      <w:r>
        <w:rPr>
          <w:b/>
          <w:bCs/>
        </w:rPr>
        <w:t>&gt;</w:t>
      </w:r>
    </w:p>
    <w:p w14:paraId="436E4240" w14:textId="545D4496" w:rsidR="00A14997" w:rsidRDefault="00A14997" w:rsidP="00E212AB">
      <w:pPr>
        <w:pStyle w:val="Body"/>
        <w:jc w:val="center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39441AAE" wp14:editId="191D1885">
            <wp:simplePos x="0" y="0"/>
            <wp:positionH relativeFrom="margin">
              <wp:align>center</wp:align>
            </wp:positionH>
            <wp:positionV relativeFrom="paragraph">
              <wp:posOffset>39370</wp:posOffset>
            </wp:positionV>
            <wp:extent cx="1257300" cy="1257300"/>
            <wp:effectExtent l="0" t="0" r="0" b="0"/>
            <wp:wrapSquare wrapText="bothSides"/>
            <wp:docPr id="3" name="Picture 3" descr="Qr code to Better Health Channel &lt;https://www.betterhealth.vic.gov.au/monkeypox-mpx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 to Better Health Channel &lt;https://www.betterhealth.vic.gov.au/monkeypox-mpx&gt;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473189" w14:textId="293AEB2F" w:rsidR="00E212AB" w:rsidRDefault="00E212AB" w:rsidP="00E212AB">
      <w:pPr>
        <w:pStyle w:val="Body"/>
        <w:jc w:val="center"/>
      </w:pPr>
    </w:p>
    <w:p w14:paraId="689B30FE" w14:textId="77777777" w:rsidR="00A14997" w:rsidRDefault="00A14997" w:rsidP="00E212AB">
      <w:pPr>
        <w:pStyle w:val="Body"/>
        <w:jc w:val="center"/>
      </w:pPr>
    </w:p>
    <w:p w14:paraId="77439E36" w14:textId="77777777" w:rsidR="00A14997" w:rsidRDefault="00A14997" w:rsidP="00E212AB">
      <w:pPr>
        <w:pStyle w:val="Body"/>
        <w:jc w:val="center"/>
      </w:pPr>
    </w:p>
    <w:p w14:paraId="1AFEFC32" w14:textId="77777777" w:rsidR="00A14997" w:rsidRDefault="00A14997" w:rsidP="00E212AB">
      <w:pPr>
        <w:pStyle w:val="Body"/>
        <w:jc w:val="center"/>
      </w:pPr>
    </w:p>
    <w:p w14:paraId="244BB5A9" w14:textId="77777777" w:rsidR="00A14997" w:rsidRDefault="00A14997" w:rsidP="00E212AB">
      <w:pPr>
        <w:pStyle w:val="Body"/>
        <w:jc w:val="center"/>
      </w:pPr>
    </w:p>
    <w:p w14:paraId="2DD1B1EF" w14:textId="77777777" w:rsidR="00A14997" w:rsidRDefault="00A14997" w:rsidP="00A14997">
      <w:pPr>
        <w:pStyle w:val="Body"/>
        <w:jc w:val="center"/>
        <w:rPr>
          <w:b/>
          <w:bCs/>
        </w:rPr>
      </w:pPr>
      <w:r>
        <w:t xml:space="preserve">More information on safer sex, social gatherings and mpox from the </w:t>
      </w:r>
      <w:hyperlink r:id="rId22" w:history="1">
        <w:r w:rsidRPr="008B7E3C">
          <w:rPr>
            <w:rStyle w:val="Hyperlink"/>
            <w:b/>
            <w:bCs/>
          </w:rPr>
          <w:t>Centers for Disease Control and Prevention</w:t>
        </w:r>
      </w:hyperlink>
      <w:r w:rsidRPr="008B7E3C">
        <w:rPr>
          <w:b/>
          <w:bCs/>
        </w:rPr>
        <w:t xml:space="preserve"> &lt;https://www.cdc.gov/poxvirus/mpox/prevention/sexual-health.html&gt; </w:t>
      </w:r>
    </w:p>
    <w:p w14:paraId="476DEA30" w14:textId="3417F013" w:rsidR="00A14997" w:rsidRPr="00A14997" w:rsidRDefault="00A14997" w:rsidP="00A14997">
      <w:pPr>
        <w:pStyle w:val="Body"/>
        <w:jc w:val="center"/>
        <w:rPr>
          <w:b/>
          <w:bCs/>
        </w:rPr>
      </w:pPr>
      <w:r>
        <w:t xml:space="preserve">General information on mpox from the </w:t>
      </w:r>
      <w:hyperlink r:id="rId23" w:history="1">
        <w:r w:rsidRPr="00862004">
          <w:rPr>
            <w:rStyle w:val="Hyperlink"/>
            <w:b/>
            <w:bCs/>
          </w:rPr>
          <w:t>World Health Organi</w:t>
        </w:r>
        <w:r w:rsidR="00E75ADC">
          <w:rPr>
            <w:rStyle w:val="Hyperlink"/>
            <w:b/>
            <w:bCs/>
          </w:rPr>
          <w:t>z</w:t>
        </w:r>
        <w:r w:rsidRPr="00862004">
          <w:rPr>
            <w:rStyle w:val="Hyperlink"/>
            <w:b/>
            <w:bCs/>
          </w:rPr>
          <w:t>ation</w:t>
        </w:r>
      </w:hyperlink>
      <w:r w:rsidRPr="00862004">
        <w:rPr>
          <w:b/>
          <w:bCs/>
        </w:rPr>
        <w:t xml:space="preserve"> &lt;https://www.who.int/news-room/questions-and-answers/item/monkeypox&gt;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72957757" w14:textId="77777777" w:rsidTr="00EC40D5">
        <w:tc>
          <w:tcPr>
            <w:tcW w:w="10194" w:type="dxa"/>
          </w:tcPr>
          <w:p w14:paraId="5BC0E225" w14:textId="77777777" w:rsidR="00E212AB" w:rsidRPr="004002A6" w:rsidRDefault="00E212AB" w:rsidP="00E212AB">
            <w:pPr>
              <w:pStyle w:val="Accessibilitypara"/>
            </w:pPr>
            <w:bookmarkStart w:id="0" w:name="_Hlk37240926"/>
            <w:r w:rsidRPr="004002A6">
              <w:t xml:space="preserve">To receive this publication in an accessible format </w:t>
            </w:r>
            <w:bookmarkStart w:id="1" w:name="_Hlk34293438"/>
            <w:r>
              <w:fldChar w:fldCharType="begin"/>
            </w:r>
            <w:r>
              <w:instrText>HYPERLINK "mailto:pph.communications@health.vic.gov.au"</w:instrText>
            </w:r>
            <w:r>
              <w:fldChar w:fldCharType="separate"/>
            </w:r>
            <w:r w:rsidRPr="00D03BE9">
              <w:rPr>
                <w:rStyle w:val="Hyperlink"/>
                <w:rFonts w:cs="Arial"/>
                <w:szCs w:val="21"/>
              </w:rPr>
              <w:t>email Public Health communications</w:t>
            </w:r>
            <w:r>
              <w:fldChar w:fldCharType="end"/>
            </w:r>
            <w:r w:rsidRPr="004002A6">
              <w:t xml:space="preserve"> &lt;</w:t>
            </w:r>
            <w:r>
              <w:t>pph.communications</w:t>
            </w:r>
            <w:r w:rsidRPr="004002A6">
              <w:t>@health.vic.gov.au&gt;.</w:t>
            </w:r>
          </w:p>
          <w:bookmarkEnd w:id="1"/>
          <w:p w14:paraId="11B081E8" w14:textId="77777777" w:rsidR="00E212AB" w:rsidRPr="00C31117" w:rsidRDefault="00E212AB" w:rsidP="00E212AB">
            <w:pPr>
              <w:pStyle w:val="Imprint"/>
            </w:pPr>
            <w:r w:rsidRPr="00C31117">
              <w:t>Authorised and published by the Victorian Government, 1 Treasury Place, Melbourne.</w:t>
            </w:r>
          </w:p>
          <w:p w14:paraId="2DDF8246" w14:textId="49427C16" w:rsidR="0055119B" w:rsidRDefault="00E212AB" w:rsidP="00E212AB">
            <w:pPr>
              <w:pStyle w:val="Imprint"/>
            </w:pPr>
            <w:r w:rsidRPr="00C31117">
              <w:t>© State of Victoria, Australia, Department of Health</w:t>
            </w:r>
            <w:r w:rsidRPr="00526450">
              <w:t xml:space="preserve"> </w:t>
            </w:r>
            <w:r>
              <w:t xml:space="preserve">July </w:t>
            </w:r>
            <w:r w:rsidRPr="00245C8C">
              <w:t>202</w:t>
            </w:r>
            <w:r>
              <w:t>4</w:t>
            </w:r>
            <w:r w:rsidRPr="00C31117">
              <w:t>.</w:t>
            </w:r>
          </w:p>
        </w:tc>
      </w:tr>
      <w:bookmarkEnd w:id="0"/>
    </w:tbl>
    <w:p w14:paraId="6B10427C" w14:textId="77777777" w:rsidR="00162CA9" w:rsidRDefault="00162CA9" w:rsidP="00162CA9">
      <w:pPr>
        <w:pStyle w:val="Body"/>
      </w:pPr>
    </w:p>
    <w:sectPr w:rsidR="00162CA9" w:rsidSect="00E314B2">
      <w:footerReference w:type="default" r:id="rId24"/>
      <w:type w:val="continuous"/>
      <w:pgSz w:w="11906" w:h="16838" w:code="9"/>
      <w:pgMar w:top="1361" w:right="851" w:bottom="1361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9DD29" w14:textId="77777777" w:rsidR="006A278E" w:rsidRDefault="006A278E">
      <w:r>
        <w:separator/>
      </w:r>
    </w:p>
  </w:endnote>
  <w:endnote w:type="continuationSeparator" w:id="0">
    <w:p w14:paraId="5E438389" w14:textId="77777777" w:rsidR="006A278E" w:rsidRDefault="006A278E">
      <w:r>
        <w:continuationSeparator/>
      </w:r>
    </w:p>
  </w:endnote>
  <w:endnote w:type="continuationNotice" w:id="1">
    <w:p w14:paraId="0520AACB" w14:textId="77777777" w:rsidR="006A278E" w:rsidRDefault="006A27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E46E5" w14:textId="77777777" w:rsidR="00FF4DE4" w:rsidRDefault="00FF4D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847C9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2A946115" wp14:editId="195D2671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5987F4A" wp14:editId="6658033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474792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987F4A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9474792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02064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59810E54" wp14:editId="470F9E2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EB7F4E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810E54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64EB7F4E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2A0D0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3D34399B" wp14:editId="1792C28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4DAD87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4399B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74DAD87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DC269" w14:textId="77777777" w:rsidR="006A278E" w:rsidRDefault="006A278E" w:rsidP="002862F1">
      <w:pPr>
        <w:spacing w:before="120"/>
      </w:pPr>
      <w:r>
        <w:separator/>
      </w:r>
    </w:p>
  </w:footnote>
  <w:footnote w:type="continuationSeparator" w:id="0">
    <w:p w14:paraId="48489315" w14:textId="77777777" w:rsidR="006A278E" w:rsidRDefault="006A278E">
      <w:r>
        <w:continuationSeparator/>
      </w:r>
    </w:p>
  </w:footnote>
  <w:footnote w:type="continuationNotice" w:id="1">
    <w:p w14:paraId="525C1A7D" w14:textId="77777777" w:rsidR="006A278E" w:rsidRDefault="006A27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8E414" w14:textId="77777777" w:rsidR="00FF4DE4" w:rsidRDefault="00FF4D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BFCD5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516D2" w14:textId="77777777" w:rsidR="00FF4DE4" w:rsidRDefault="00FF4D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9A84AD5"/>
    <w:multiLevelType w:val="multilevel"/>
    <w:tmpl w:val="1298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49254790">
    <w:abstractNumId w:val="10"/>
  </w:num>
  <w:num w:numId="2" w16cid:durableId="1105881804">
    <w:abstractNumId w:val="17"/>
  </w:num>
  <w:num w:numId="3" w16cid:durableId="301115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2841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48616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49326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2240480">
    <w:abstractNumId w:val="21"/>
  </w:num>
  <w:num w:numId="8" w16cid:durableId="1570383873">
    <w:abstractNumId w:val="16"/>
  </w:num>
  <w:num w:numId="9" w16cid:durableId="152380529">
    <w:abstractNumId w:val="20"/>
  </w:num>
  <w:num w:numId="10" w16cid:durableId="20505223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4162976">
    <w:abstractNumId w:val="23"/>
  </w:num>
  <w:num w:numId="12" w16cid:durableId="21597079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3589218">
    <w:abstractNumId w:val="18"/>
  </w:num>
  <w:num w:numId="14" w16cid:durableId="14542081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23994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62465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31894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726074">
    <w:abstractNumId w:val="25"/>
  </w:num>
  <w:num w:numId="19" w16cid:durableId="5718129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1653196">
    <w:abstractNumId w:val="14"/>
  </w:num>
  <w:num w:numId="21" w16cid:durableId="1603682183">
    <w:abstractNumId w:val="12"/>
  </w:num>
  <w:num w:numId="22" w16cid:durableId="14832377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11426931">
    <w:abstractNumId w:val="15"/>
  </w:num>
  <w:num w:numId="24" w16cid:durableId="1115908070">
    <w:abstractNumId w:val="26"/>
  </w:num>
  <w:num w:numId="25" w16cid:durableId="1239679836">
    <w:abstractNumId w:val="24"/>
  </w:num>
  <w:num w:numId="26" w16cid:durableId="1423842040">
    <w:abstractNumId w:val="19"/>
  </w:num>
  <w:num w:numId="27" w16cid:durableId="236323814">
    <w:abstractNumId w:val="11"/>
  </w:num>
  <w:num w:numId="28" w16cid:durableId="1076434961">
    <w:abstractNumId w:val="27"/>
  </w:num>
  <w:num w:numId="29" w16cid:durableId="640816697">
    <w:abstractNumId w:val="9"/>
  </w:num>
  <w:num w:numId="30" w16cid:durableId="1130635585">
    <w:abstractNumId w:val="7"/>
  </w:num>
  <w:num w:numId="31" w16cid:durableId="1385179992">
    <w:abstractNumId w:val="6"/>
  </w:num>
  <w:num w:numId="32" w16cid:durableId="1153062113">
    <w:abstractNumId w:val="5"/>
  </w:num>
  <w:num w:numId="33" w16cid:durableId="1731224499">
    <w:abstractNumId w:val="4"/>
  </w:num>
  <w:num w:numId="34" w16cid:durableId="2058964019">
    <w:abstractNumId w:val="8"/>
  </w:num>
  <w:num w:numId="35" w16cid:durableId="1152718288">
    <w:abstractNumId w:val="3"/>
  </w:num>
  <w:num w:numId="36" w16cid:durableId="9388">
    <w:abstractNumId w:val="2"/>
  </w:num>
  <w:num w:numId="37" w16cid:durableId="353767717">
    <w:abstractNumId w:val="1"/>
  </w:num>
  <w:num w:numId="38" w16cid:durableId="439566512">
    <w:abstractNumId w:val="0"/>
  </w:num>
  <w:num w:numId="39" w16cid:durableId="9670117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77539582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AB"/>
    <w:rsid w:val="00000719"/>
    <w:rsid w:val="00003403"/>
    <w:rsid w:val="00003CF8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28E6"/>
    <w:rsid w:val="000E0970"/>
    <w:rsid w:val="000E1910"/>
    <w:rsid w:val="000E3CC7"/>
    <w:rsid w:val="000E4173"/>
    <w:rsid w:val="000E6BD4"/>
    <w:rsid w:val="000E6D6D"/>
    <w:rsid w:val="000F14D6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C6DEC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5F8E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48DA"/>
    <w:rsid w:val="002763B3"/>
    <w:rsid w:val="002802E3"/>
    <w:rsid w:val="0028213D"/>
    <w:rsid w:val="00283701"/>
    <w:rsid w:val="00285D47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188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40BD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75419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D7005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16C8A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2718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3EFA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278E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35DB9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4E0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4B95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4997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57CE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42A1"/>
    <w:rsid w:val="00AF5F04"/>
    <w:rsid w:val="00B00672"/>
    <w:rsid w:val="00B01B4D"/>
    <w:rsid w:val="00B05DD9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150E6"/>
    <w:rsid w:val="00C21C6B"/>
    <w:rsid w:val="00C26588"/>
    <w:rsid w:val="00C27DE9"/>
    <w:rsid w:val="00C30F4D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285"/>
    <w:rsid w:val="00C74C5D"/>
    <w:rsid w:val="00C863C4"/>
    <w:rsid w:val="00C8746D"/>
    <w:rsid w:val="00C87BE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DD2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303F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AA5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12AB"/>
    <w:rsid w:val="00E261B3"/>
    <w:rsid w:val="00E26818"/>
    <w:rsid w:val="00E27FFC"/>
    <w:rsid w:val="00E30B15"/>
    <w:rsid w:val="00E314B2"/>
    <w:rsid w:val="00E33237"/>
    <w:rsid w:val="00E33B8C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75ADC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4EA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572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1B32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F62A7"/>
  <w15:docId w15:val="{C39CE35D-D6C4-4FE2-A058-DB443F74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ind w:left="794" w:hanging="397"/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tabs>
        <w:tab w:val="num" w:pos="397"/>
      </w:tabs>
      <w:ind w:left="397" w:hanging="397"/>
    </w:pPr>
  </w:style>
  <w:style w:type="paragraph" w:customStyle="1" w:styleId="Numberloweralphaindent">
    <w:name w:val="Number lower alpha indent"/>
    <w:basedOn w:val="Body"/>
    <w:uiPriority w:val="3"/>
    <w:rsid w:val="00721CFB"/>
    <w:pPr>
      <w:tabs>
        <w:tab w:val="num" w:pos="794"/>
      </w:tabs>
      <w:ind w:left="794" w:hanging="397"/>
    </w:pPr>
  </w:style>
  <w:style w:type="paragraph" w:customStyle="1" w:styleId="Numberdigitindent">
    <w:name w:val="Number digit indent"/>
    <w:basedOn w:val="Numberloweralphaindent"/>
    <w:uiPriority w:val="3"/>
    <w:rsid w:val="00101001"/>
  </w:style>
  <w:style w:type="paragraph" w:customStyle="1" w:styleId="Numberloweralpha">
    <w:name w:val="Number lower alpha"/>
    <w:basedOn w:val="Body"/>
    <w:uiPriority w:val="3"/>
    <w:rsid w:val="00721CFB"/>
    <w:pPr>
      <w:tabs>
        <w:tab w:val="num" w:pos="397"/>
      </w:tabs>
      <w:ind w:left="397" w:hanging="397"/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ind w:left="1191" w:hanging="397"/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styleId="NormalWeb">
    <w:name w:val="Normal (Web)"/>
    <w:basedOn w:val="Normal"/>
    <w:uiPriority w:val="99"/>
    <w:semiHidden/>
    <w:unhideWhenUsed/>
    <w:rsid w:val="00E212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rpl-text-label">
    <w:name w:val="rpl-text-label"/>
    <w:basedOn w:val="DefaultParagraphFont"/>
    <w:rsid w:val="00AF42A1"/>
  </w:style>
  <w:style w:type="character" w:customStyle="1" w:styleId="rpl-text-icongroup">
    <w:name w:val="rpl-text-icon__group"/>
    <w:basedOn w:val="DefaultParagraphFont"/>
    <w:rsid w:val="00AF4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health.vic.gov.au/infectious-diseases/monkeypo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betterhealth.vic.gov.au/mpo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who.int/news-room/questions-and-answers/item/monkeypo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betterhealth.vic.gov.au/mpox-immunisation-provider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cdc.gov/poxvirus/mpox/prevention/sexual-health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1170e85-0bf4-44d2-89d2-e3578a1c345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E5D618FF0E8D4280E3D0D634247E79" ma:contentTypeVersion="18" ma:contentTypeDescription="Create a new document." ma:contentTypeScope="" ma:versionID="c49e17e7087e98df17f3c6bbebc297ca">
  <xsd:schema xmlns:xsd="http://www.w3.org/2001/XMLSchema" xmlns:xs="http://www.w3.org/2001/XMLSchema" xmlns:p="http://schemas.microsoft.com/office/2006/metadata/properties" xmlns:ns2="01170e85-0bf4-44d2-89d2-e3578a1c345b" xmlns:ns3="12d57557-9087-45ef-b67d-448ba8bf74d3" xmlns:ns4="5ce0f2b5-5be5-4508-bce9-d7011ece0659" targetNamespace="http://schemas.microsoft.com/office/2006/metadata/properties" ma:root="true" ma:fieldsID="65254f0757cbb8c6da20a801b14df27b" ns2:_="" ns3:_="" ns4:_="">
    <xsd:import namespace="01170e85-0bf4-44d2-89d2-e3578a1c345b"/>
    <xsd:import namespace="12d57557-9087-45ef-b67d-448ba8bf74d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70e85-0bf4-44d2-89d2-e3578a1c3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57557-9087-45ef-b67d-448ba8bf7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668111f-0473-4f39-90c4-d75b6831a207}" ma:internalName="TaxCatchAll" ma:showField="CatchAllData" ma:web="12d57557-9087-45ef-b67d-448ba8bf7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purl.org/dc/elements/1.1/"/>
    <ds:schemaRef ds:uri="http://schemas.openxmlformats.org/package/2006/metadata/core-properties"/>
    <ds:schemaRef ds:uri="http://www.w3.org/XML/1998/namespace"/>
    <ds:schemaRef ds:uri="5ce0f2b5-5be5-4508-bce9-d7011ece0659"/>
    <ds:schemaRef ds:uri="http://purl.org/dc/terms/"/>
    <ds:schemaRef ds:uri="http://schemas.microsoft.com/office/infopath/2007/PartnerControls"/>
    <ds:schemaRef ds:uri="http://schemas.microsoft.com/office/2006/documentManagement/types"/>
    <ds:schemaRef ds:uri="12d57557-9087-45ef-b67d-448ba8bf74d3"/>
    <ds:schemaRef ds:uri="01170e85-0bf4-44d2-89d2-e3578a1c345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0C7057-A950-4CA7-9A06-E1D62E841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70e85-0bf4-44d2-89d2-e3578a1c345b"/>
    <ds:schemaRef ds:uri="12d57557-9087-45ef-b67d-448ba8bf74d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MPOX Information for gay, bisexual and other men who have sex with men.</vt:lpstr>
    </vt:vector>
  </TitlesOfParts>
  <Manager/>
  <Company>Victoria State Government, Department of Health</Company>
  <LinksUpToDate>false</LinksUpToDate>
  <CharactersWithSpaces>3591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MPOX Information for gay, bisexual and other men who have sex with men.</dc:title>
  <dc:subject/>
  <dc:creator>infectious.diseases@health.vic.gov.au</dc:creator>
  <cp:keywords/>
  <dc:description/>
  <cp:lastModifiedBy>Emily Hirst (Health)</cp:lastModifiedBy>
  <cp:revision>20</cp:revision>
  <cp:lastPrinted>2020-03-29T09:28:00Z</cp:lastPrinted>
  <dcterms:created xsi:type="dcterms:W3CDTF">2024-06-27T11:29:00Z</dcterms:created>
  <dcterms:modified xsi:type="dcterms:W3CDTF">2024-08-27T05:00:00Z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0x010100C0E5D618FF0E8D4280E3D0D634247E79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2021-03-12T01:24:49Z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