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A1E7C" w14:textId="77777777" w:rsidR="0074696E" w:rsidRPr="004C6EEE" w:rsidRDefault="00FC7FB6" w:rsidP="00EC40D5">
      <w:pPr>
        <w:pStyle w:val="Sectionbreakfirstpage"/>
      </w:pPr>
      <w:r>
        <w:drawing>
          <wp:anchor distT="0" distB="0" distL="114300" distR="114300" simplePos="0" relativeHeight="251658240" behindDoc="1" locked="1" layoutInCell="1" allowOverlap="1" wp14:anchorId="5EFCC0C4" wp14:editId="7F7F01AC">
            <wp:simplePos x="0" y="0"/>
            <wp:positionH relativeFrom="page">
              <wp:posOffset>0</wp:posOffset>
            </wp:positionH>
            <wp:positionV relativeFrom="page">
              <wp:posOffset>0</wp:posOffset>
            </wp:positionV>
            <wp:extent cx="7560000" cy="1728000"/>
            <wp:effectExtent l="0" t="0" r="3175"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728000"/>
                    </a:xfrm>
                    <a:prstGeom prst="rect">
                      <a:avLst/>
                    </a:prstGeom>
                  </pic:spPr>
                </pic:pic>
              </a:graphicData>
            </a:graphic>
            <wp14:sizeRelH relativeFrom="margin">
              <wp14:pctWidth>0</wp14:pctWidth>
            </wp14:sizeRelH>
            <wp14:sizeRelV relativeFrom="margin">
              <wp14:pctHeight>0</wp14:pctHeight>
            </wp14:sizeRelV>
          </wp:anchor>
        </w:drawing>
      </w:r>
    </w:p>
    <w:p w14:paraId="0A3021F0" w14:textId="77777777" w:rsidR="00A62D44" w:rsidRPr="004C6EEE" w:rsidRDefault="00A62D44" w:rsidP="00EC40D5">
      <w:pPr>
        <w:pStyle w:val="Sectionbreakfirstpage"/>
        <w:sectPr w:rsidR="00A62D44" w:rsidRPr="004C6EEE" w:rsidSect="00E62622">
          <w:headerReference w:type="default" r:id="rId12"/>
          <w:footerReference w:type="even" r:id="rId13"/>
          <w:footerReference w:type="default" r:id="rId14"/>
          <w:footerReference w:type="first" r:id="rId15"/>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5DC68474" w14:textId="77777777" w:rsidTr="008E420B">
        <w:tc>
          <w:tcPr>
            <w:tcW w:w="0" w:type="auto"/>
            <w:tcMar>
              <w:top w:w="1588" w:type="dxa"/>
              <w:left w:w="0" w:type="dxa"/>
              <w:right w:w="0" w:type="dxa"/>
            </w:tcMar>
          </w:tcPr>
          <w:p w14:paraId="7392B213" w14:textId="53262587" w:rsidR="003B5733" w:rsidRPr="003B5733" w:rsidRDefault="008E420B" w:rsidP="003B5733">
            <w:pPr>
              <w:pStyle w:val="Documenttitle"/>
            </w:pPr>
            <w:r w:rsidRPr="008E420B">
              <w:t>Non-</w:t>
            </w:r>
            <w:r w:rsidR="00C73820">
              <w:t>a</w:t>
            </w:r>
            <w:r w:rsidRPr="008E420B">
              <w:t xml:space="preserve">dmitted </w:t>
            </w:r>
            <w:r w:rsidR="00C73820">
              <w:t>p</w:t>
            </w:r>
            <w:r w:rsidR="00FB74E0">
              <w:t xml:space="preserve">ublic </w:t>
            </w:r>
            <w:r w:rsidR="00C73820">
              <w:t>f</w:t>
            </w:r>
            <w:r w:rsidR="00FB74E0">
              <w:t xml:space="preserve">ertility </w:t>
            </w:r>
            <w:r w:rsidR="00C73820">
              <w:t>c</w:t>
            </w:r>
            <w:r w:rsidR="00312303">
              <w:t>are</w:t>
            </w:r>
          </w:p>
        </w:tc>
      </w:tr>
      <w:tr w:rsidR="003B5733" w14:paraId="1E97BDFA" w14:textId="77777777" w:rsidTr="008E420B">
        <w:tc>
          <w:tcPr>
            <w:tcW w:w="0" w:type="auto"/>
          </w:tcPr>
          <w:p w14:paraId="23D4323B" w14:textId="6C505F3A" w:rsidR="003B5733" w:rsidRPr="00A1389F" w:rsidRDefault="00644777" w:rsidP="00044D6D">
            <w:pPr>
              <w:pStyle w:val="Documentsubtitle"/>
            </w:pPr>
            <w:r>
              <w:t>R</w:t>
            </w:r>
            <w:r w:rsidR="008E420B" w:rsidRPr="008E420B">
              <w:t xml:space="preserve">eporting </w:t>
            </w:r>
            <w:r w:rsidR="00BB125B">
              <w:t>g</w:t>
            </w:r>
            <w:r w:rsidR="008E420B" w:rsidRPr="008E420B">
              <w:t>uidelines</w:t>
            </w:r>
          </w:p>
        </w:tc>
      </w:tr>
      <w:tr w:rsidR="003B5733" w14:paraId="01A0A997" w14:textId="77777777" w:rsidTr="008E420B">
        <w:tc>
          <w:tcPr>
            <w:tcW w:w="0" w:type="auto"/>
          </w:tcPr>
          <w:p w14:paraId="3E5FF0AB" w14:textId="77777777" w:rsidR="003B5733" w:rsidRDefault="001070A7" w:rsidP="00044D6D">
            <w:pPr>
              <w:pStyle w:val="Bannermarking"/>
            </w:pPr>
            <w:fldSimple w:instr="FILLIN  &quot;Type the protective marking&quot; \d OFFICIAL \o  \* MERGEFORMAT">
              <w:r w:rsidR="00274726">
                <w:t>OFFICIAL</w:t>
              </w:r>
            </w:fldSimple>
          </w:p>
        </w:tc>
      </w:tr>
    </w:tbl>
    <w:p w14:paraId="4DA0AD8C" w14:textId="3460E638" w:rsidR="00016423" w:rsidRDefault="008E420B">
      <w:pPr>
        <w:pStyle w:val="TOC1"/>
        <w:rPr>
          <w:rFonts w:asciiTheme="minorHAnsi" w:eastAsiaTheme="minorEastAsia" w:hAnsiTheme="minorHAnsi" w:cstheme="minorBidi"/>
          <w:b w:val="0"/>
          <w:kern w:val="2"/>
          <w:sz w:val="24"/>
          <w:szCs w:val="24"/>
          <w:lang w:eastAsia="en-AU"/>
          <w14:ligatures w14:val="standardContextual"/>
        </w:rPr>
      </w:pPr>
      <w:r w:rsidRPr="008E420B">
        <w:fldChar w:fldCharType="begin"/>
      </w:r>
      <w:r w:rsidRPr="008E420B">
        <w:instrText xml:space="preserve"> TOC \h \z \t "Heading 1,1,Heading 2,2" </w:instrText>
      </w:r>
      <w:r w:rsidRPr="008E420B">
        <w:fldChar w:fldCharType="separate"/>
      </w:r>
      <w:hyperlink w:anchor="_Toc174520844" w:history="1">
        <w:r w:rsidR="00016423" w:rsidRPr="0035792C">
          <w:rPr>
            <w:rStyle w:val="Hyperlink"/>
          </w:rPr>
          <w:t>Introduction</w:t>
        </w:r>
        <w:r w:rsidR="00016423">
          <w:rPr>
            <w:webHidden/>
          </w:rPr>
          <w:tab/>
        </w:r>
        <w:r w:rsidR="00016423">
          <w:rPr>
            <w:webHidden/>
          </w:rPr>
          <w:fldChar w:fldCharType="begin"/>
        </w:r>
        <w:r w:rsidR="00016423">
          <w:rPr>
            <w:webHidden/>
          </w:rPr>
          <w:instrText xml:space="preserve"> PAGEREF _Toc174520844 \h </w:instrText>
        </w:r>
        <w:r w:rsidR="00016423">
          <w:rPr>
            <w:webHidden/>
          </w:rPr>
        </w:r>
        <w:r w:rsidR="00016423">
          <w:rPr>
            <w:webHidden/>
          </w:rPr>
          <w:fldChar w:fldCharType="separate"/>
        </w:r>
        <w:r w:rsidR="00016423">
          <w:rPr>
            <w:webHidden/>
          </w:rPr>
          <w:t>1</w:t>
        </w:r>
        <w:r w:rsidR="00016423">
          <w:rPr>
            <w:webHidden/>
          </w:rPr>
          <w:fldChar w:fldCharType="end"/>
        </w:r>
      </w:hyperlink>
    </w:p>
    <w:p w14:paraId="282EA588" w14:textId="648D0534" w:rsidR="00016423" w:rsidRDefault="006A0735">
      <w:pPr>
        <w:pStyle w:val="TOC1"/>
        <w:rPr>
          <w:rFonts w:asciiTheme="minorHAnsi" w:eastAsiaTheme="minorEastAsia" w:hAnsiTheme="minorHAnsi" w:cstheme="minorBidi"/>
          <w:b w:val="0"/>
          <w:kern w:val="2"/>
          <w:sz w:val="24"/>
          <w:szCs w:val="24"/>
          <w:lang w:eastAsia="en-AU"/>
          <w14:ligatures w14:val="standardContextual"/>
        </w:rPr>
      </w:pPr>
      <w:hyperlink w:anchor="_Toc174520845" w:history="1">
        <w:r w:rsidR="00016423" w:rsidRPr="0035792C">
          <w:rPr>
            <w:rStyle w:val="Hyperlink"/>
          </w:rPr>
          <w:t>Background</w:t>
        </w:r>
        <w:r w:rsidR="00016423">
          <w:rPr>
            <w:webHidden/>
          </w:rPr>
          <w:tab/>
        </w:r>
        <w:r w:rsidR="00016423">
          <w:rPr>
            <w:webHidden/>
          </w:rPr>
          <w:fldChar w:fldCharType="begin"/>
        </w:r>
        <w:r w:rsidR="00016423">
          <w:rPr>
            <w:webHidden/>
          </w:rPr>
          <w:instrText xml:space="preserve"> PAGEREF _Toc174520845 \h </w:instrText>
        </w:r>
        <w:r w:rsidR="00016423">
          <w:rPr>
            <w:webHidden/>
          </w:rPr>
        </w:r>
        <w:r w:rsidR="00016423">
          <w:rPr>
            <w:webHidden/>
          </w:rPr>
          <w:fldChar w:fldCharType="separate"/>
        </w:r>
        <w:r w:rsidR="00016423">
          <w:rPr>
            <w:webHidden/>
          </w:rPr>
          <w:t>2</w:t>
        </w:r>
        <w:r w:rsidR="00016423">
          <w:rPr>
            <w:webHidden/>
          </w:rPr>
          <w:fldChar w:fldCharType="end"/>
        </w:r>
      </w:hyperlink>
    </w:p>
    <w:p w14:paraId="20912BCC" w14:textId="0B1D8CD8" w:rsidR="00016423" w:rsidRDefault="006A0735">
      <w:pPr>
        <w:pStyle w:val="TOC2"/>
        <w:rPr>
          <w:rFonts w:asciiTheme="minorHAnsi" w:eastAsiaTheme="minorEastAsia" w:hAnsiTheme="minorHAnsi" w:cstheme="minorBidi"/>
          <w:kern w:val="2"/>
          <w:sz w:val="24"/>
          <w:szCs w:val="24"/>
          <w:lang w:eastAsia="en-AU"/>
          <w14:ligatures w14:val="standardContextual"/>
        </w:rPr>
      </w:pPr>
      <w:hyperlink w:anchor="_Toc174520846" w:history="1">
        <w:r w:rsidR="00016423" w:rsidRPr="0035792C">
          <w:rPr>
            <w:rStyle w:val="Hyperlink"/>
          </w:rPr>
          <w:t>VINAH MDS</w:t>
        </w:r>
        <w:r w:rsidR="00016423">
          <w:rPr>
            <w:webHidden/>
          </w:rPr>
          <w:tab/>
        </w:r>
        <w:r w:rsidR="00016423">
          <w:rPr>
            <w:webHidden/>
          </w:rPr>
          <w:fldChar w:fldCharType="begin"/>
        </w:r>
        <w:r w:rsidR="00016423">
          <w:rPr>
            <w:webHidden/>
          </w:rPr>
          <w:instrText xml:space="preserve"> PAGEREF _Toc174520846 \h </w:instrText>
        </w:r>
        <w:r w:rsidR="00016423">
          <w:rPr>
            <w:webHidden/>
          </w:rPr>
        </w:r>
        <w:r w:rsidR="00016423">
          <w:rPr>
            <w:webHidden/>
          </w:rPr>
          <w:fldChar w:fldCharType="separate"/>
        </w:r>
        <w:r w:rsidR="00016423">
          <w:rPr>
            <w:webHidden/>
          </w:rPr>
          <w:t>2</w:t>
        </w:r>
        <w:r w:rsidR="00016423">
          <w:rPr>
            <w:webHidden/>
          </w:rPr>
          <w:fldChar w:fldCharType="end"/>
        </w:r>
      </w:hyperlink>
    </w:p>
    <w:p w14:paraId="7C49FF55" w14:textId="71BC728B" w:rsidR="00016423" w:rsidRDefault="006A0735">
      <w:pPr>
        <w:pStyle w:val="TOC2"/>
        <w:rPr>
          <w:rFonts w:asciiTheme="minorHAnsi" w:eastAsiaTheme="minorEastAsia" w:hAnsiTheme="minorHAnsi" w:cstheme="minorBidi"/>
          <w:kern w:val="2"/>
          <w:sz w:val="24"/>
          <w:szCs w:val="24"/>
          <w:lang w:eastAsia="en-AU"/>
          <w14:ligatures w14:val="standardContextual"/>
        </w:rPr>
      </w:pPr>
      <w:hyperlink w:anchor="_Toc174520847" w:history="1">
        <w:r w:rsidR="00016423" w:rsidRPr="0035792C">
          <w:rPr>
            <w:rStyle w:val="Hyperlink"/>
          </w:rPr>
          <w:t>AIMS</w:t>
        </w:r>
        <w:r w:rsidR="00016423">
          <w:rPr>
            <w:webHidden/>
          </w:rPr>
          <w:tab/>
        </w:r>
        <w:r w:rsidR="00016423">
          <w:rPr>
            <w:webHidden/>
          </w:rPr>
          <w:fldChar w:fldCharType="begin"/>
        </w:r>
        <w:r w:rsidR="00016423">
          <w:rPr>
            <w:webHidden/>
          </w:rPr>
          <w:instrText xml:space="preserve"> PAGEREF _Toc174520847 \h </w:instrText>
        </w:r>
        <w:r w:rsidR="00016423">
          <w:rPr>
            <w:webHidden/>
          </w:rPr>
        </w:r>
        <w:r w:rsidR="00016423">
          <w:rPr>
            <w:webHidden/>
          </w:rPr>
          <w:fldChar w:fldCharType="separate"/>
        </w:r>
        <w:r w:rsidR="00016423">
          <w:rPr>
            <w:webHidden/>
          </w:rPr>
          <w:t>2</w:t>
        </w:r>
        <w:r w:rsidR="00016423">
          <w:rPr>
            <w:webHidden/>
          </w:rPr>
          <w:fldChar w:fldCharType="end"/>
        </w:r>
      </w:hyperlink>
    </w:p>
    <w:p w14:paraId="3DD551FF" w14:textId="4B450C65" w:rsidR="00016423" w:rsidRDefault="006A0735">
      <w:pPr>
        <w:pStyle w:val="TOC1"/>
        <w:rPr>
          <w:rFonts w:asciiTheme="minorHAnsi" w:eastAsiaTheme="minorEastAsia" w:hAnsiTheme="minorHAnsi" w:cstheme="minorBidi"/>
          <w:b w:val="0"/>
          <w:kern w:val="2"/>
          <w:sz w:val="24"/>
          <w:szCs w:val="24"/>
          <w:lang w:eastAsia="en-AU"/>
          <w14:ligatures w14:val="standardContextual"/>
        </w:rPr>
      </w:pPr>
      <w:hyperlink w:anchor="_Toc174520848" w:history="1">
        <w:r w:rsidR="00016423" w:rsidRPr="0035792C">
          <w:rPr>
            <w:rStyle w:val="Hyperlink"/>
          </w:rPr>
          <w:t>Reporting</w:t>
        </w:r>
        <w:r w:rsidR="00016423">
          <w:rPr>
            <w:webHidden/>
          </w:rPr>
          <w:tab/>
        </w:r>
        <w:r w:rsidR="00016423">
          <w:rPr>
            <w:webHidden/>
          </w:rPr>
          <w:fldChar w:fldCharType="begin"/>
        </w:r>
        <w:r w:rsidR="00016423">
          <w:rPr>
            <w:webHidden/>
          </w:rPr>
          <w:instrText xml:space="preserve"> PAGEREF _Toc174520848 \h </w:instrText>
        </w:r>
        <w:r w:rsidR="00016423">
          <w:rPr>
            <w:webHidden/>
          </w:rPr>
        </w:r>
        <w:r w:rsidR="00016423">
          <w:rPr>
            <w:webHidden/>
          </w:rPr>
          <w:fldChar w:fldCharType="separate"/>
        </w:r>
        <w:r w:rsidR="00016423">
          <w:rPr>
            <w:webHidden/>
          </w:rPr>
          <w:t>2</w:t>
        </w:r>
        <w:r w:rsidR="00016423">
          <w:rPr>
            <w:webHidden/>
          </w:rPr>
          <w:fldChar w:fldCharType="end"/>
        </w:r>
      </w:hyperlink>
    </w:p>
    <w:p w14:paraId="3BB76FB1" w14:textId="48BD8599" w:rsidR="00016423" w:rsidRDefault="006A0735">
      <w:pPr>
        <w:pStyle w:val="TOC2"/>
        <w:rPr>
          <w:rFonts w:asciiTheme="minorHAnsi" w:eastAsiaTheme="minorEastAsia" w:hAnsiTheme="minorHAnsi" w:cstheme="minorBidi"/>
          <w:kern w:val="2"/>
          <w:sz w:val="24"/>
          <w:szCs w:val="24"/>
          <w:lang w:eastAsia="en-AU"/>
          <w14:ligatures w14:val="standardContextual"/>
        </w:rPr>
      </w:pPr>
      <w:hyperlink w:anchor="_Toc174520849" w:history="1">
        <w:r w:rsidR="00016423" w:rsidRPr="0035792C">
          <w:rPr>
            <w:rStyle w:val="Hyperlink"/>
          </w:rPr>
          <w:t>Register clinics in NACMS</w:t>
        </w:r>
        <w:r w:rsidR="00016423">
          <w:rPr>
            <w:webHidden/>
          </w:rPr>
          <w:tab/>
        </w:r>
        <w:r w:rsidR="00016423">
          <w:rPr>
            <w:webHidden/>
          </w:rPr>
          <w:fldChar w:fldCharType="begin"/>
        </w:r>
        <w:r w:rsidR="00016423">
          <w:rPr>
            <w:webHidden/>
          </w:rPr>
          <w:instrText xml:space="preserve"> PAGEREF _Toc174520849 \h </w:instrText>
        </w:r>
        <w:r w:rsidR="00016423">
          <w:rPr>
            <w:webHidden/>
          </w:rPr>
        </w:r>
        <w:r w:rsidR="00016423">
          <w:rPr>
            <w:webHidden/>
          </w:rPr>
          <w:fldChar w:fldCharType="separate"/>
        </w:r>
        <w:r w:rsidR="00016423">
          <w:rPr>
            <w:webHidden/>
          </w:rPr>
          <w:t>3</w:t>
        </w:r>
        <w:r w:rsidR="00016423">
          <w:rPr>
            <w:webHidden/>
          </w:rPr>
          <w:fldChar w:fldCharType="end"/>
        </w:r>
      </w:hyperlink>
    </w:p>
    <w:p w14:paraId="07449ACB" w14:textId="6466D64D" w:rsidR="00016423" w:rsidRDefault="006A0735">
      <w:pPr>
        <w:pStyle w:val="TOC2"/>
        <w:rPr>
          <w:rFonts w:asciiTheme="minorHAnsi" w:eastAsiaTheme="minorEastAsia" w:hAnsiTheme="minorHAnsi" w:cstheme="minorBidi"/>
          <w:kern w:val="2"/>
          <w:sz w:val="24"/>
          <w:szCs w:val="24"/>
          <w:lang w:eastAsia="en-AU"/>
          <w14:ligatures w14:val="standardContextual"/>
        </w:rPr>
      </w:pPr>
      <w:hyperlink w:anchor="_Toc174520850" w:history="1">
        <w:r w:rsidR="00016423" w:rsidRPr="0035792C">
          <w:rPr>
            <w:rStyle w:val="Hyperlink"/>
          </w:rPr>
          <w:t>Referral management</w:t>
        </w:r>
        <w:r w:rsidR="00016423">
          <w:rPr>
            <w:webHidden/>
          </w:rPr>
          <w:tab/>
        </w:r>
        <w:r w:rsidR="00016423">
          <w:rPr>
            <w:webHidden/>
          </w:rPr>
          <w:fldChar w:fldCharType="begin"/>
        </w:r>
        <w:r w:rsidR="00016423">
          <w:rPr>
            <w:webHidden/>
          </w:rPr>
          <w:instrText xml:space="preserve"> PAGEREF _Toc174520850 \h </w:instrText>
        </w:r>
        <w:r w:rsidR="00016423">
          <w:rPr>
            <w:webHidden/>
          </w:rPr>
        </w:r>
        <w:r w:rsidR="00016423">
          <w:rPr>
            <w:webHidden/>
          </w:rPr>
          <w:fldChar w:fldCharType="separate"/>
        </w:r>
        <w:r w:rsidR="00016423">
          <w:rPr>
            <w:webHidden/>
          </w:rPr>
          <w:t>3</w:t>
        </w:r>
        <w:r w:rsidR="00016423">
          <w:rPr>
            <w:webHidden/>
          </w:rPr>
          <w:fldChar w:fldCharType="end"/>
        </w:r>
      </w:hyperlink>
    </w:p>
    <w:p w14:paraId="6DF307C7" w14:textId="6038C75B" w:rsidR="00016423" w:rsidRDefault="006A0735">
      <w:pPr>
        <w:pStyle w:val="TOC2"/>
        <w:rPr>
          <w:rFonts w:asciiTheme="minorHAnsi" w:eastAsiaTheme="minorEastAsia" w:hAnsiTheme="minorHAnsi" w:cstheme="minorBidi"/>
          <w:kern w:val="2"/>
          <w:sz w:val="24"/>
          <w:szCs w:val="24"/>
          <w:lang w:eastAsia="en-AU"/>
          <w14:ligatures w14:val="standardContextual"/>
        </w:rPr>
      </w:pPr>
      <w:hyperlink w:anchor="_Toc174520851" w:history="1">
        <w:r w:rsidR="00016423" w:rsidRPr="0035792C">
          <w:rPr>
            <w:rStyle w:val="Hyperlink"/>
          </w:rPr>
          <w:t>Program/Stream</w:t>
        </w:r>
        <w:r w:rsidR="00016423">
          <w:rPr>
            <w:webHidden/>
          </w:rPr>
          <w:tab/>
        </w:r>
        <w:r w:rsidR="00016423">
          <w:rPr>
            <w:webHidden/>
          </w:rPr>
          <w:fldChar w:fldCharType="begin"/>
        </w:r>
        <w:r w:rsidR="00016423">
          <w:rPr>
            <w:webHidden/>
          </w:rPr>
          <w:instrText xml:space="preserve"> PAGEREF _Toc174520851 \h </w:instrText>
        </w:r>
        <w:r w:rsidR="00016423">
          <w:rPr>
            <w:webHidden/>
          </w:rPr>
        </w:r>
        <w:r w:rsidR="00016423">
          <w:rPr>
            <w:webHidden/>
          </w:rPr>
          <w:fldChar w:fldCharType="separate"/>
        </w:r>
        <w:r w:rsidR="00016423">
          <w:rPr>
            <w:webHidden/>
          </w:rPr>
          <w:t>3</w:t>
        </w:r>
        <w:r w:rsidR="00016423">
          <w:rPr>
            <w:webHidden/>
          </w:rPr>
          <w:fldChar w:fldCharType="end"/>
        </w:r>
      </w:hyperlink>
    </w:p>
    <w:p w14:paraId="1F7E59AD" w14:textId="69E65770" w:rsidR="00016423" w:rsidRDefault="006A0735">
      <w:pPr>
        <w:pStyle w:val="TOC2"/>
        <w:rPr>
          <w:rFonts w:asciiTheme="minorHAnsi" w:eastAsiaTheme="minorEastAsia" w:hAnsiTheme="minorHAnsi" w:cstheme="minorBidi"/>
          <w:kern w:val="2"/>
          <w:sz w:val="24"/>
          <w:szCs w:val="24"/>
          <w:lang w:eastAsia="en-AU"/>
          <w14:ligatures w14:val="standardContextual"/>
        </w:rPr>
      </w:pPr>
      <w:hyperlink w:anchor="_Toc174520852" w:history="1">
        <w:r w:rsidR="00016423" w:rsidRPr="0035792C">
          <w:rPr>
            <w:rStyle w:val="Hyperlink"/>
          </w:rPr>
          <w:t>Contact</w:t>
        </w:r>
        <w:r w:rsidR="00016423">
          <w:rPr>
            <w:webHidden/>
          </w:rPr>
          <w:tab/>
        </w:r>
        <w:r w:rsidR="00016423">
          <w:rPr>
            <w:webHidden/>
          </w:rPr>
          <w:fldChar w:fldCharType="begin"/>
        </w:r>
        <w:r w:rsidR="00016423">
          <w:rPr>
            <w:webHidden/>
          </w:rPr>
          <w:instrText xml:space="preserve"> PAGEREF _Toc174520852 \h </w:instrText>
        </w:r>
        <w:r w:rsidR="00016423">
          <w:rPr>
            <w:webHidden/>
          </w:rPr>
        </w:r>
        <w:r w:rsidR="00016423">
          <w:rPr>
            <w:webHidden/>
          </w:rPr>
          <w:fldChar w:fldCharType="separate"/>
        </w:r>
        <w:r w:rsidR="00016423">
          <w:rPr>
            <w:webHidden/>
          </w:rPr>
          <w:t>3</w:t>
        </w:r>
        <w:r w:rsidR="00016423">
          <w:rPr>
            <w:webHidden/>
          </w:rPr>
          <w:fldChar w:fldCharType="end"/>
        </w:r>
      </w:hyperlink>
    </w:p>
    <w:p w14:paraId="4D430967" w14:textId="20ABF556" w:rsidR="00016423" w:rsidRDefault="006A0735">
      <w:pPr>
        <w:pStyle w:val="TOC1"/>
        <w:rPr>
          <w:rFonts w:asciiTheme="minorHAnsi" w:eastAsiaTheme="minorEastAsia" w:hAnsiTheme="minorHAnsi" w:cstheme="minorBidi"/>
          <w:b w:val="0"/>
          <w:kern w:val="2"/>
          <w:sz w:val="24"/>
          <w:szCs w:val="24"/>
          <w:lang w:eastAsia="en-AU"/>
          <w14:ligatures w14:val="standardContextual"/>
        </w:rPr>
      </w:pPr>
      <w:hyperlink w:anchor="_Toc174520853" w:history="1">
        <w:r w:rsidR="00016423" w:rsidRPr="0035792C">
          <w:rPr>
            <w:rStyle w:val="Hyperlink"/>
          </w:rPr>
          <w:t>Service events</w:t>
        </w:r>
        <w:r w:rsidR="00016423">
          <w:rPr>
            <w:webHidden/>
          </w:rPr>
          <w:tab/>
        </w:r>
        <w:r w:rsidR="00016423">
          <w:rPr>
            <w:webHidden/>
          </w:rPr>
          <w:fldChar w:fldCharType="begin"/>
        </w:r>
        <w:r w:rsidR="00016423">
          <w:rPr>
            <w:webHidden/>
          </w:rPr>
          <w:instrText xml:space="preserve"> PAGEREF _Toc174520853 \h </w:instrText>
        </w:r>
        <w:r w:rsidR="00016423">
          <w:rPr>
            <w:webHidden/>
          </w:rPr>
        </w:r>
        <w:r w:rsidR="00016423">
          <w:rPr>
            <w:webHidden/>
          </w:rPr>
          <w:fldChar w:fldCharType="separate"/>
        </w:r>
        <w:r w:rsidR="00016423">
          <w:rPr>
            <w:webHidden/>
          </w:rPr>
          <w:t>5</w:t>
        </w:r>
        <w:r w:rsidR="00016423">
          <w:rPr>
            <w:webHidden/>
          </w:rPr>
          <w:fldChar w:fldCharType="end"/>
        </w:r>
      </w:hyperlink>
    </w:p>
    <w:p w14:paraId="1FCCA02B" w14:textId="7176D382" w:rsidR="00016423" w:rsidRDefault="006A0735">
      <w:pPr>
        <w:pStyle w:val="TOC2"/>
        <w:rPr>
          <w:rFonts w:asciiTheme="minorHAnsi" w:eastAsiaTheme="minorEastAsia" w:hAnsiTheme="minorHAnsi" w:cstheme="minorBidi"/>
          <w:kern w:val="2"/>
          <w:sz w:val="24"/>
          <w:szCs w:val="24"/>
          <w:lang w:eastAsia="en-AU"/>
          <w14:ligatures w14:val="standardContextual"/>
        </w:rPr>
      </w:pPr>
      <w:hyperlink w:anchor="_Toc174520854" w:history="1">
        <w:r w:rsidR="00016423" w:rsidRPr="0035792C">
          <w:rPr>
            <w:rStyle w:val="Hyperlink"/>
          </w:rPr>
          <w:t>General counting rules</w:t>
        </w:r>
        <w:r w:rsidR="00016423">
          <w:rPr>
            <w:webHidden/>
          </w:rPr>
          <w:tab/>
        </w:r>
        <w:r w:rsidR="00016423">
          <w:rPr>
            <w:webHidden/>
          </w:rPr>
          <w:fldChar w:fldCharType="begin"/>
        </w:r>
        <w:r w:rsidR="00016423">
          <w:rPr>
            <w:webHidden/>
          </w:rPr>
          <w:instrText xml:space="preserve"> PAGEREF _Toc174520854 \h </w:instrText>
        </w:r>
        <w:r w:rsidR="00016423">
          <w:rPr>
            <w:webHidden/>
          </w:rPr>
        </w:r>
        <w:r w:rsidR="00016423">
          <w:rPr>
            <w:webHidden/>
          </w:rPr>
          <w:fldChar w:fldCharType="separate"/>
        </w:r>
        <w:r w:rsidR="00016423">
          <w:rPr>
            <w:webHidden/>
          </w:rPr>
          <w:t>5</w:t>
        </w:r>
        <w:r w:rsidR="00016423">
          <w:rPr>
            <w:webHidden/>
          </w:rPr>
          <w:fldChar w:fldCharType="end"/>
        </w:r>
      </w:hyperlink>
    </w:p>
    <w:p w14:paraId="08294CBE" w14:textId="523A00A8" w:rsidR="00016423" w:rsidRDefault="006A0735">
      <w:pPr>
        <w:pStyle w:val="TOC1"/>
        <w:rPr>
          <w:rFonts w:asciiTheme="minorHAnsi" w:eastAsiaTheme="minorEastAsia" w:hAnsiTheme="minorHAnsi" w:cstheme="minorBidi"/>
          <w:b w:val="0"/>
          <w:kern w:val="2"/>
          <w:sz w:val="24"/>
          <w:szCs w:val="24"/>
          <w:lang w:eastAsia="en-AU"/>
          <w14:ligatures w14:val="standardContextual"/>
        </w:rPr>
      </w:pPr>
      <w:hyperlink w:anchor="_Toc174520855" w:history="1">
        <w:r w:rsidR="00016423" w:rsidRPr="0035792C">
          <w:rPr>
            <w:rStyle w:val="Hyperlink"/>
          </w:rPr>
          <w:t>Classification</w:t>
        </w:r>
        <w:r w:rsidR="00016423">
          <w:rPr>
            <w:webHidden/>
          </w:rPr>
          <w:tab/>
        </w:r>
        <w:r w:rsidR="00016423">
          <w:rPr>
            <w:webHidden/>
          </w:rPr>
          <w:fldChar w:fldCharType="begin"/>
        </w:r>
        <w:r w:rsidR="00016423">
          <w:rPr>
            <w:webHidden/>
          </w:rPr>
          <w:instrText xml:space="preserve"> PAGEREF _Toc174520855 \h </w:instrText>
        </w:r>
        <w:r w:rsidR="00016423">
          <w:rPr>
            <w:webHidden/>
          </w:rPr>
        </w:r>
        <w:r w:rsidR="00016423">
          <w:rPr>
            <w:webHidden/>
          </w:rPr>
          <w:fldChar w:fldCharType="separate"/>
        </w:r>
        <w:r w:rsidR="00016423">
          <w:rPr>
            <w:webHidden/>
          </w:rPr>
          <w:t>6</w:t>
        </w:r>
        <w:r w:rsidR="00016423">
          <w:rPr>
            <w:webHidden/>
          </w:rPr>
          <w:fldChar w:fldCharType="end"/>
        </w:r>
      </w:hyperlink>
    </w:p>
    <w:p w14:paraId="3371D490" w14:textId="3F708C1E" w:rsidR="00016423" w:rsidRDefault="006A0735">
      <w:pPr>
        <w:pStyle w:val="TOC2"/>
        <w:rPr>
          <w:rFonts w:asciiTheme="minorHAnsi" w:eastAsiaTheme="minorEastAsia" w:hAnsiTheme="minorHAnsi" w:cstheme="minorBidi"/>
          <w:kern w:val="2"/>
          <w:sz w:val="24"/>
          <w:szCs w:val="24"/>
          <w:lang w:eastAsia="en-AU"/>
          <w14:ligatures w14:val="standardContextual"/>
        </w:rPr>
      </w:pPr>
      <w:hyperlink w:anchor="_Toc174520856" w:history="1">
        <w:r w:rsidR="00016423" w:rsidRPr="0035792C">
          <w:rPr>
            <w:rStyle w:val="Hyperlink"/>
          </w:rPr>
          <w:t>Tier 2 classes</w:t>
        </w:r>
        <w:r w:rsidR="00016423">
          <w:rPr>
            <w:webHidden/>
          </w:rPr>
          <w:tab/>
        </w:r>
        <w:r w:rsidR="00016423">
          <w:rPr>
            <w:webHidden/>
          </w:rPr>
          <w:fldChar w:fldCharType="begin"/>
        </w:r>
        <w:r w:rsidR="00016423">
          <w:rPr>
            <w:webHidden/>
          </w:rPr>
          <w:instrText xml:space="preserve"> PAGEREF _Toc174520856 \h </w:instrText>
        </w:r>
        <w:r w:rsidR="00016423">
          <w:rPr>
            <w:webHidden/>
          </w:rPr>
        </w:r>
        <w:r w:rsidR="00016423">
          <w:rPr>
            <w:webHidden/>
          </w:rPr>
          <w:fldChar w:fldCharType="separate"/>
        </w:r>
        <w:r w:rsidR="00016423">
          <w:rPr>
            <w:webHidden/>
          </w:rPr>
          <w:t>6</w:t>
        </w:r>
        <w:r w:rsidR="00016423">
          <w:rPr>
            <w:webHidden/>
          </w:rPr>
          <w:fldChar w:fldCharType="end"/>
        </w:r>
      </w:hyperlink>
    </w:p>
    <w:p w14:paraId="30F4735A" w14:textId="57A59A34" w:rsidR="00016423" w:rsidRDefault="006A0735">
      <w:pPr>
        <w:pStyle w:val="TOC2"/>
        <w:rPr>
          <w:rFonts w:asciiTheme="minorHAnsi" w:eastAsiaTheme="minorEastAsia" w:hAnsiTheme="minorHAnsi" w:cstheme="minorBidi"/>
          <w:kern w:val="2"/>
          <w:sz w:val="24"/>
          <w:szCs w:val="24"/>
          <w:lang w:eastAsia="en-AU"/>
          <w14:ligatures w14:val="standardContextual"/>
        </w:rPr>
      </w:pPr>
      <w:hyperlink w:anchor="_Toc174520857" w:history="1">
        <w:r w:rsidR="00016423" w:rsidRPr="0035792C">
          <w:rPr>
            <w:rStyle w:val="Hyperlink"/>
          </w:rPr>
          <w:t>Procedures</w:t>
        </w:r>
        <w:r w:rsidR="00016423">
          <w:rPr>
            <w:webHidden/>
          </w:rPr>
          <w:tab/>
        </w:r>
        <w:r w:rsidR="00016423">
          <w:rPr>
            <w:webHidden/>
          </w:rPr>
          <w:fldChar w:fldCharType="begin"/>
        </w:r>
        <w:r w:rsidR="00016423">
          <w:rPr>
            <w:webHidden/>
          </w:rPr>
          <w:instrText xml:space="preserve"> PAGEREF _Toc174520857 \h </w:instrText>
        </w:r>
        <w:r w:rsidR="00016423">
          <w:rPr>
            <w:webHidden/>
          </w:rPr>
        </w:r>
        <w:r w:rsidR="00016423">
          <w:rPr>
            <w:webHidden/>
          </w:rPr>
          <w:fldChar w:fldCharType="separate"/>
        </w:r>
        <w:r w:rsidR="00016423">
          <w:rPr>
            <w:webHidden/>
          </w:rPr>
          <w:t>7</w:t>
        </w:r>
        <w:r w:rsidR="00016423">
          <w:rPr>
            <w:webHidden/>
          </w:rPr>
          <w:fldChar w:fldCharType="end"/>
        </w:r>
      </w:hyperlink>
    </w:p>
    <w:p w14:paraId="2CFA11C6" w14:textId="28682B59" w:rsidR="00016423" w:rsidRDefault="006A0735">
      <w:pPr>
        <w:pStyle w:val="TOC2"/>
        <w:rPr>
          <w:rFonts w:asciiTheme="minorHAnsi" w:eastAsiaTheme="minorEastAsia" w:hAnsiTheme="minorHAnsi" w:cstheme="minorBidi"/>
          <w:kern w:val="2"/>
          <w:sz w:val="24"/>
          <w:szCs w:val="24"/>
          <w:lang w:eastAsia="en-AU"/>
          <w14:ligatures w14:val="standardContextual"/>
        </w:rPr>
      </w:pPr>
      <w:hyperlink w:anchor="_Toc174520858" w:history="1">
        <w:r w:rsidR="00016423" w:rsidRPr="0035792C">
          <w:rPr>
            <w:rStyle w:val="Hyperlink"/>
          </w:rPr>
          <w:t>Multidisciplinary case conferences</w:t>
        </w:r>
        <w:r w:rsidR="00016423">
          <w:rPr>
            <w:webHidden/>
          </w:rPr>
          <w:tab/>
        </w:r>
        <w:r w:rsidR="00016423">
          <w:rPr>
            <w:webHidden/>
          </w:rPr>
          <w:fldChar w:fldCharType="begin"/>
        </w:r>
        <w:r w:rsidR="00016423">
          <w:rPr>
            <w:webHidden/>
          </w:rPr>
          <w:instrText xml:space="preserve"> PAGEREF _Toc174520858 \h </w:instrText>
        </w:r>
        <w:r w:rsidR="00016423">
          <w:rPr>
            <w:webHidden/>
          </w:rPr>
        </w:r>
        <w:r w:rsidR="00016423">
          <w:rPr>
            <w:webHidden/>
          </w:rPr>
          <w:fldChar w:fldCharType="separate"/>
        </w:r>
        <w:r w:rsidR="00016423">
          <w:rPr>
            <w:webHidden/>
          </w:rPr>
          <w:t>7</w:t>
        </w:r>
        <w:r w:rsidR="00016423">
          <w:rPr>
            <w:webHidden/>
          </w:rPr>
          <w:fldChar w:fldCharType="end"/>
        </w:r>
      </w:hyperlink>
    </w:p>
    <w:p w14:paraId="108896C0" w14:textId="1418EA5A" w:rsidR="00016423" w:rsidRDefault="006A0735">
      <w:pPr>
        <w:pStyle w:val="TOC1"/>
        <w:rPr>
          <w:rFonts w:asciiTheme="minorHAnsi" w:eastAsiaTheme="minorEastAsia" w:hAnsiTheme="minorHAnsi" w:cstheme="minorBidi"/>
          <w:b w:val="0"/>
          <w:kern w:val="2"/>
          <w:sz w:val="24"/>
          <w:szCs w:val="24"/>
          <w:lang w:eastAsia="en-AU"/>
          <w14:ligatures w14:val="standardContextual"/>
        </w:rPr>
      </w:pPr>
      <w:hyperlink w:anchor="_Toc174520859" w:history="1">
        <w:r w:rsidR="00016423" w:rsidRPr="0035792C">
          <w:rPr>
            <w:rStyle w:val="Hyperlink"/>
          </w:rPr>
          <w:t>Appendix A - contact reporting examples</w:t>
        </w:r>
        <w:r w:rsidR="00016423">
          <w:rPr>
            <w:webHidden/>
          </w:rPr>
          <w:tab/>
        </w:r>
        <w:r w:rsidR="00016423">
          <w:rPr>
            <w:webHidden/>
          </w:rPr>
          <w:fldChar w:fldCharType="begin"/>
        </w:r>
        <w:r w:rsidR="00016423">
          <w:rPr>
            <w:webHidden/>
          </w:rPr>
          <w:instrText xml:space="preserve"> PAGEREF _Toc174520859 \h </w:instrText>
        </w:r>
        <w:r w:rsidR="00016423">
          <w:rPr>
            <w:webHidden/>
          </w:rPr>
        </w:r>
        <w:r w:rsidR="00016423">
          <w:rPr>
            <w:webHidden/>
          </w:rPr>
          <w:fldChar w:fldCharType="separate"/>
        </w:r>
        <w:r w:rsidR="00016423">
          <w:rPr>
            <w:webHidden/>
          </w:rPr>
          <w:t>8</w:t>
        </w:r>
        <w:r w:rsidR="00016423">
          <w:rPr>
            <w:webHidden/>
          </w:rPr>
          <w:fldChar w:fldCharType="end"/>
        </w:r>
      </w:hyperlink>
    </w:p>
    <w:p w14:paraId="630BF19B" w14:textId="715AC00E" w:rsidR="00016423" w:rsidRDefault="006A0735">
      <w:pPr>
        <w:pStyle w:val="TOC2"/>
        <w:rPr>
          <w:rFonts w:asciiTheme="minorHAnsi" w:eastAsiaTheme="minorEastAsia" w:hAnsiTheme="minorHAnsi" w:cstheme="minorBidi"/>
          <w:kern w:val="2"/>
          <w:sz w:val="24"/>
          <w:szCs w:val="24"/>
          <w:lang w:eastAsia="en-AU"/>
          <w14:ligatures w14:val="standardContextual"/>
        </w:rPr>
      </w:pPr>
      <w:hyperlink w:anchor="_Toc174520860" w:history="1">
        <w:r w:rsidR="00016423" w:rsidRPr="0035792C">
          <w:rPr>
            <w:rStyle w:val="Hyperlink"/>
            <w:rFonts w:eastAsia="Times"/>
          </w:rPr>
          <w:t>Accompanied patient contacts</w:t>
        </w:r>
        <w:r w:rsidR="00016423">
          <w:rPr>
            <w:webHidden/>
          </w:rPr>
          <w:tab/>
        </w:r>
        <w:r w:rsidR="00016423">
          <w:rPr>
            <w:webHidden/>
          </w:rPr>
          <w:fldChar w:fldCharType="begin"/>
        </w:r>
        <w:r w:rsidR="00016423">
          <w:rPr>
            <w:webHidden/>
          </w:rPr>
          <w:instrText xml:space="preserve"> PAGEREF _Toc174520860 \h </w:instrText>
        </w:r>
        <w:r w:rsidR="00016423">
          <w:rPr>
            <w:webHidden/>
          </w:rPr>
        </w:r>
        <w:r w:rsidR="00016423">
          <w:rPr>
            <w:webHidden/>
          </w:rPr>
          <w:fldChar w:fldCharType="separate"/>
        </w:r>
        <w:r w:rsidR="00016423">
          <w:rPr>
            <w:webHidden/>
          </w:rPr>
          <w:t>8</w:t>
        </w:r>
        <w:r w:rsidR="00016423">
          <w:rPr>
            <w:webHidden/>
          </w:rPr>
          <w:fldChar w:fldCharType="end"/>
        </w:r>
      </w:hyperlink>
    </w:p>
    <w:p w14:paraId="5C40A771" w14:textId="08E5F201" w:rsidR="00016423" w:rsidRDefault="006A0735">
      <w:pPr>
        <w:pStyle w:val="TOC2"/>
        <w:rPr>
          <w:rFonts w:asciiTheme="minorHAnsi" w:eastAsiaTheme="minorEastAsia" w:hAnsiTheme="minorHAnsi" w:cstheme="minorBidi"/>
          <w:kern w:val="2"/>
          <w:sz w:val="24"/>
          <w:szCs w:val="24"/>
          <w:lang w:eastAsia="en-AU"/>
          <w14:ligatures w14:val="standardContextual"/>
        </w:rPr>
      </w:pPr>
      <w:hyperlink w:anchor="_Toc174520861" w:history="1">
        <w:r w:rsidR="00016423" w:rsidRPr="0035792C">
          <w:rPr>
            <w:rStyle w:val="Hyperlink"/>
            <w:rFonts w:eastAsia="Times"/>
          </w:rPr>
          <w:t>Telehealth video contacts</w:t>
        </w:r>
        <w:r w:rsidR="00016423">
          <w:rPr>
            <w:webHidden/>
          </w:rPr>
          <w:tab/>
        </w:r>
        <w:r w:rsidR="00016423">
          <w:rPr>
            <w:webHidden/>
          </w:rPr>
          <w:fldChar w:fldCharType="begin"/>
        </w:r>
        <w:r w:rsidR="00016423">
          <w:rPr>
            <w:webHidden/>
          </w:rPr>
          <w:instrText xml:space="preserve"> PAGEREF _Toc174520861 \h </w:instrText>
        </w:r>
        <w:r w:rsidR="00016423">
          <w:rPr>
            <w:webHidden/>
          </w:rPr>
        </w:r>
        <w:r w:rsidR="00016423">
          <w:rPr>
            <w:webHidden/>
          </w:rPr>
          <w:fldChar w:fldCharType="separate"/>
        </w:r>
        <w:r w:rsidR="00016423">
          <w:rPr>
            <w:webHidden/>
          </w:rPr>
          <w:t>8</w:t>
        </w:r>
        <w:r w:rsidR="00016423">
          <w:rPr>
            <w:webHidden/>
          </w:rPr>
          <w:fldChar w:fldCharType="end"/>
        </w:r>
      </w:hyperlink>
    </w:p>
    <w:p w14:paraId="3764759D" w14:textId="50845F96" w:rsidR="00016423" w:rsidRDefault="006A0735">
      <w:pPr>
        <w:pStyle w:val="TOC1"/>
        <w:rPr>
          <w:rFonts w:asciiTheme="minorHAnsi" w:eastAsiaTheme="minorEastAsia" w:hAnsiTheme="minorHAnsi" w:cstheme="minorBidi"/>
          <w:b w:val="0"/>
          <w:kern w:val="2"/>
          <w:sz w:val="24"/>
          <w:szCs w:val="24"/>
          <w:lang w:eastAsia="en-AU"/>
          <w14:ligatures w14:val="standardContextual"/>
        </w:rPr>
      </w:pPr>
      <w:hyperlink w:anchor="_Toc174520862" w:history="1">
        <w:r w:rsidR="00016423" w:rsidRPr="0035792C">
          <w:rPr>
            <w:rStyle w:val="Hyperlink"/>
          </w:rPr>
          <w:t>Further information</w:t>
        </w:r>
        <w:r w:rsidR="00016423">
          <w:rPr>
            <w:webHidden/>
          </w:rPr>
          <w:tab/>
        </w:r>
        <w:r w:rsidR="00016423">
          <w:rPr>
            <w:webHidden/>
          </w:rPr>
          <w:fldChar w:fldCharType="begin"/>
        </w:r>
        <w:r w:rsidR="00016423">
          <w:rPr>
            <w:webHidden/>
          </w:rPr>
          <w:instrText xml:space="preserve"> PAGEREF _Toc174520862 \h </w:instrText>
        </w:r>
        <w:r w:rsidR="00016423">
          <w:rPr>
            <w:webHidden/>
          </w:rPr>
        </w:r>
        <w:r w:rsidR="00016423">
          <w:rPr>
            <w:webHidden/>
          </w:rPr>
          <w:fldChar w:fldCharType="separate"/>
        </w:r>
        <w:r w:rsidR="00016423">
          <w:rPr>
            <w:webHidden/>
          </w:rPr>
          <w:t>10</w:t>
        </w:r>
        <w:r w:rsidR="00016423">
          <w:rPr>
            <w:webHidden/>
          </w:rPr>
          <w:fldChar w:fldCharType="end"/>
        </w:r>
      </w:hyperlink>
    </w:p>
    <w:p w14:paraId="1EB65465" w14:textId="2400E087" w:rsidR="004F7CF3" w:rsidRDefault="008E420B" w:rsidP="004F7CF3">
      <w:pPr>
        <w:pStyle w:val="Body"/>
      </w:pPr>
      <w:r w:rsidRPr="008E420B">
        <w:fldChar w:fldCharType="end"/>
      </w:r>
    </w:p>
    <w:p w14:paraId="3E6289F8" w14:textId="3E7CB00C" w:rsidR="008E420B" w:rsidRPr="009B521F" w:rsidRDefault="008E420B" w:rsidP="009B521F">
      <w:pPr>
        <w:pStyle w:val="Heading1"/>
      </w:pPr>
      <w:bookmarkStart w:id="0" w:name="_Toc163019545"/>
      <w:bookmarkStart w:id="1" w:name="_Toc163019641"/>
      <w:bookmarkStart w:id="2" w:name="_Toc174520844"/>
      <w:r w:rsidRPr="009B521F">
        <w:t>Introduction</w:t>
      </w:r>
      <w:bookmarkEnd w:id="0"/>
      <w:bookmarkEnd w:id="1"/>
      <w:bookmarkEnd w:id="2"/>
    </w:p>
    <w:p w14:paraId="68ABB00B" w14:textId="77777777" w:rsidR="00C87F1A" w:rsidRPr="00C87F1A" w:rsidRDefault="00C87F1A" w:rsidP="00C87F1A">
      <w:pPr>
        <w:rPr>
          <w:rFonts w:eastAsia="Times"/>
        </w:rPr>
      </w:pPr>
      <w:r w:rsidRPr="00C87F1A">
        <w:rPr>
          <w:rFonts w:eastAsia="Times"/>
        </w:rPr>
        <w:t>The department maintains data around the provision of a range of non-admitted services in Victoria to:</w:t>
      </w:r>
    </w:p>
    <w:p w14:paraId="1D8D8DF5" w14:textId="77777777" w:rsidR="00C87F1A" w:rsidRPr="00C87F1A" w:rsidRDefault="00C87F1A" w:rsidP="00305DF7">
      <w:pPr>
        <w:numPr>
          <w:ilvl w:val="0"/>
          <w:numId w:val="4"/>
        </w:numPr>
        <w:spacing w:after="40"/>
        <w:ind w:left="426"/>
        <w:rPr>
          <w:rFonts w:eastAsia="Times"/>
        </w:rPr>
      </w:pPr>
      <w:r w:rsidRPr="00C87F1A">
        <w:rPr>
          <w:rFonts w:eastAsia="Times"/>
        </w:rPr>
        <w:t>provide equitable funding to public hospitals.</w:t>
      </w:r>
    </w:p>
    <w:p w14:paraId="5A8BC26C" w14:textId="77777777" w:rsidR="00C87F1A" w:rsidRDefault="00C87F1A" w:rsidP="00305DF7">
      <w:pPr>
        <w:numPr>
          <w:ilvl w:val="0"/>
          <w:numId w:val="4"/>
        </w:numPr>
        <w:spacing w:after="40"/>
        <w:ind w:left="426"/>
        <w:rPr>
          <w:rFonts w:eastAsia="Times"/>
        </w:rPr>
      </w:pPr>
      <w:r w:rsidRPr="00C87F1A">
        <w:rPr>
          <w:rFonts w:eastAsia="Times"/>
        </w:rPr>
        <w:t>support health services’ planning, policy formulation and epidemiological research.</w:t>
      </w:r>
    </w:p>
    <w:p w14:paraId="5BCE994B" w14:textId="260F0714" w:rsidR="008E420B" w:rsidRPr="008E420B" w:rsidRDefault="00C87F1A" w:rsidP="00181215">
      <w:pPr>
        <w:pStyle w:val="Bodyafterbullets"/>
        <w:rPr>
          <w:rFonts w:cs="Arial"/>
        </w:rPr>
      </w:pPr>
      <w:r>
        <w:t>A</w:t>
      </w:r>
      <w:r w:rsidRPr="00C87F1A">
        <w:t>ll public hospitals providing non-admitted services in scope for the Victorian Integrated Non-Admitted Health Minimum Data Set (VINAH MDS) must report a minimum data set of patient-level data related to their activities.</w:t>
      </w:r>
      <w:r w:rsidR="00C4678B">
        <w:t xml:space="preserve"> </w:t>
      </w:r>
      <w:r w:rsidR="008E420B" w:rsidRPr="008E420B">
        <w:rPr>
          <w:rFonts w:cs="Arial"/>
        </w:rPr>
        <w:t>These guidelines have been developed to provide health services with a</w:t>
      </w:r>
      <w:r w:rsidR="006570D5">
        <w:rPr>
          <w:rFonts w:cs="Arial"/>
        </w:rPr>
        <w:t>n</w:t>
      </w:r>
      <w:r w:rsidR="008E420B" w:rsidRPr="008E420B">
        <w:rPr>
          <w:rFonts w:cs="Arial"/>
        </w:rPr>
        <w:t xml:space="preserve"> overview of the reporting requirements</w:t>
      </w:r>
      <w:r w:rsidR="00FB74E0">
        <w:rPr>
          <w:rFonts w:cs="Arial"/>
        </w:rPr>
        <w:t xml:space="preserve"> for public fertility </w:t>
      </w:r>
      <w:r w:rsidR="00983426">
        <w:rPr>
          <w:rFonts w:cs="Arial"/>
        </w:rPr>
        <w:t>care</w:t>
      </w:r>
      <w:r w:rsidR="008E420B" w:rsidRPr="008E420B">
        <w:rPr>
          <w:rFonts w:cs="Arial"/>
        </w:rPr>
        <w:t>.</w:t>
      </w:r>
    </w:p>
    <w:p w14:paraId="1FDBC6FD" w14:textId="498CCB77" w:rsidR="008E420B" w:rsidRPr="008E420B" w:rsidRDefault="008E420B" w:rsidP="009B521F">
      <w:pPr>
        <w:pStyle w:val="Heading1"/>
      </w:pPr>
      <w:bookmarkStart w:id="3" w:name="_Toc163019546"/>
      <w:bookmarkStart w:id="4" w:name="_Toc163019642"/>
      <w:bookmarkStart w:id="5" w:name="_Toc174520845"/>
      <w:r w:rsidRPr="008E420B">
        <w:lastRenderedPageBreak/>
        <w:t>Background</w:t>
      </w:r>
      <w:bookmarkEnd w:id="3"/>
      <w:bookmarkEnd w:id="4"/>
      <w:bookmarkEnd w:id="5"/>
    </w:p>
    <w:p w14:paraId="7EA0576B" w14:textId="5E4201CE" w:rsidR="3225FB27" w:rsidRDefault="3225FB27" w:rsidP="00F81ADC">
      <w:pPr>
        <w:pStyle w:val="Body"/>
      </w:pPr>
      <w:r w:rsidRPr="30A4A7B8">
        <w:t xml:space="preserve">Victorians trying to start or grow their family </w:t>
      </w:r>
      <w:r w:rsidR="000A7A08">
        <w:t xml:space="preserve">can </w:t>
      </w:r>
      <w:r w:rsidRPr="30A4A7B8">
        <w:t xml:space="preserve">now access public fertility </w:t>
      </w:r>
      <w:r w:rsidR="00270C67">
        <w:t>care</w:t>
      </w:r>
      <w:r w:rsidR="00270C67" w:rsidRPr="30A4A7B8">
        <w:t xml:space="preserve"> </w:t>
      </w:r>
      <w:r w:rsidR="32343441" w:rsidRPr="30A4A7B8">
        <w:t>in Victoria</w:t>
      </w:r>
      <w:r w:rsidRPr="30A4A7B8">
        <w:t>.</w:t>
      </w:r>
    </w:p>
    <w:p w14:paraId="4C6D232B" w14:textId="553DBC6D" w:rsidR="3225FB27" w:rsidRDefault="3225FB27" w:rsidP="00F81ADC">
      <w:pPr>
        <w:pStyle w:val="Body"/>
      </w:pPr>
      <w:r w:rsidRPr="19493DCA">
        <w:t>Th</w:t>
      </w:r>
      <w:r w:rsidR="00AF7A3A">
        <w:t>is</w:t>
      </w:r>
      <w:r w:rsidRPr="19493DCA">
        <w:t xml:space="preserve"> service, which </w:t>
      </w:r>
      <w:r w:rsidR="000A7A08">
        <w:t>is</w:t>
      </w:r>
      <w:r w:rsidRPr="19493DCA">
        <w:t xml:space="preserve"> the first of </w:t>
      </w:r>
      <w:r w:rsidR="6D189C54" w:rsidRPr="19493DCA">
        <w:t>its</w:t>
      </w:r>
      <w:r w:rsidRPr="19493DCA">
        <w:t xml:space="preserve"> kind in the country, </w:t>
      </w:r>
      <w:r w:rsidR="00610BC1">
        <w:t>is</w:t>
      </w:r>
      <w:r w:rsidR="1186A6DA" w:rsidRPr="19493DCA">
        <w:t xml:space="preserve"> led by</w:t>
      </w:r>
      <w:r w:rsidRPr="19493DCA">
        <w:t xml:space="preserve"> </w:t>
      </w:r>
      <w:r w:rsidR="01DB2E49" w:rsidRPr="19493DCA">
        <w:t>T</w:t>
      </w:r>
      <w:r w:rsidRPr="19493DCA">
        <w:t xml:space="preserve">he Royal Women’s Hospital </w:t>
      </w:r>
      <w:r w:rsidR="00AF7A3A">
        <w:t xml:space="preserve">(The Women’s) </w:t>
      </w:r>
      <w:r w:rsidRPr="19493DCA">
        <w:t>and Monash Health from two primary hubs located at the services’ Parkville and Clayton campuses.</w:t>
      </w:r>
    </w:p>
    <w:p w14:paraId="0D59CB07" w14:textId="0EC65A1B" w:rsidR="3225FB27" w:rsidRDefault="000A7A08" w:rsidP="00F81ADC">
      <w:pPr>
        <w:pStyle w:val="Body"/>
      </w:pPr>
      <w:r>
        <w:t>P</w:t>
      </w:r>
      <w:r w:rsidR="3225FB27" w:rsidRPr="30A4A7B8">
        <w:t xml:space="preserve">artner health services across Victoria </w:t>
      </w:r>
      <w:r>
        <w:t>support</w:t>
      </w:r>
      <w:r w:rsidRPr="30A4A7B8">
        <w:t xml:space="preserve"> </w:t>
      </w:r>
      <w:r>
        <w:t xml:space="preserve">the services’ </w:t>
      </w:r>
      <w:r w:rsidR="3225FB27" w:rsidRPr="30A4A7B8">
        <w:t>statewide coverage</w:t>
      </w:r>
      <w:r>
        <w:t xml:space="preserve"> and provide a range of fertility services closer to home, particularly for rural and regional people</w:t>
      </w:r>
      <w:r w:rsidR="3225FB27" w:rsidRPr="30A4A7B8">
        <w:t xml:space="preserve">. </w:t>
      </w:r>
      <w:r>
        <w:t>The s</w:t>
      </w:r>
      <w:r w:rsidR="3225FB27" w:rsidRPr="30A4A7B8">
        <w:t xml:space="preserve">ervice </w:t>
      </w:r>
      <w:r>
        <w:t>is being implemented</w:t>
      </w:r>
      <w:r w:rsidR="3225FB27" w:rsidRPr="30A4A7B8">
        <w:t xml:space="preserve"> in a phased approach to ensure safe care for patients and allow time to build the required workforce and infrastructure.</w:t>
      </w:r>
    </w:p>
    <w:p w14:paraId="5AF965BF" w14:textId="3AB718E2" w:rsidR="3225FB27" w:rsidRDefault="000A7A08" w:rsidP="00F81ADC">
      <w:pPr>
        <w:pStyle w:val="Body"/>
      </w:pPr>
      <w:r>
        <w:t>P</w:t>
      </w:r>
      <w:r w:rsidR="3225FB27" w:rsidRPr="30A4A7B8">
        <w:t>ublic fertility care include</w:t>
      </w:r>
      <w:r>
        <w:t>s</w:t>
      </w:r>
      <w:r w:rsidR="3225FB27" w:rsidRPr="30A4A7B8">
        <w:t xml:space="preserve"> in</w:t>
      </w:r>
      <w:r w:rsidR="00F91920">
        <w:t>-</w:t>
      </w:r>
      <w:r w:rsidR="3225FB27" w:rsidRPr="30A4A7B8">
        <w:t>vitro fertilisation (IVF), fertility preservation, genetic testing, donor and surrogacy services – including Australia’s first public sperm and egg bank – and a range of other assisted reproductive treatments, counselling, information and support.</w:t>
      </w:r>
    </w:p>
    <w:p w14:paraId="7D562F41" w14:textId="48C93CB3" w:rsidR="3225FB27" w:rsidRDefault="3225FB27" w:rsidP="00F81ADC">
      <w:pPr>
        <w:pStyle w:val="Body"/>
      </w:pPr>
      <w:r w:rsidRPr="30A4A7B8">
        <w:t>To be eligible, people will need to be Victorian residents, hold a Medicare card and meet clinical criteria. Patients will need a referral from a general practitioner (GP) or relevant specialist, after which they will be placed on a waiting list for an initial appointment with a specialist at one of the participating health services</w:t>
      </w:r>
      <w:r w:rsidR="00FE1B6D">
        <w:t>.</w:t>
      </w:r>
    </w:p>
    <w:p w14:paraId="34BFA195" w14:textId="77777777" w:rsidR="00061450" w:rsidRPr="006A3031" w:rsidRDefault="00061450" w:rsidP="00C54A2C">
      <w:pPr>
        <w:pStyle w:val="Heading2"/>
        <w:rPr>
          <w:rFonts w:eastAsia="Times"/>
        </w:rPr>
      </w:pPr>
      <w:bookmarkStart w:id="6" w:name="_Toc163019547"/>
      <w:bookmarkStart w:id="7" w:name="_Toc163019643"/>
      <w:bookmarkStart w:id="8" w:name="_Toc174520846"/>
      <w:r w:rsidRPr="006A3031">
        <w:t>VINAH MDS</w:t>
      </w:r>
      <w:bookmarkEnd w:id="6"/>
      <w:bookmarkEnd w:id="7"/>
      <w:bookmarkEnd w:id="8"/>
    </w:p>
    <w:p w14:paraId="36A6B1A3" w14:textId="2EC769E0" w:rsidR="00061450" w:rsidRDefault="00061450" w:rsidP="00061450">
      <w:r>
        <w:t>The VINAH MDS model consists of an episode of care around which referral and contact information is collected</w:t>
      </w:r>
      <w:r w:rsidR="00A64555">
        <w:t xml:space="preserve"> and reported</w:t>
      </w:r>
      <w:r>
        <w:t xml:space="preserve">. </w:t>
      </w:r>
      <w:r w:rsidR="00867773">
        <w:t xml:space="preserve">The flow of information to the VINAH MDS begins </w:t>
      </w:r>
      <w:r w:rsidR="00B466F8">
        <w:t>when a</w:t>
      </w:r>
      <w:r w:rsidRPr="003D2A68">
        <w:t xml:space="preserve"> healthcare organisation receives a patient referral to their service. </w:t>
      </w:r>
      <w:r w:rsidR="00B02E16">
        <w:t>T</w:t>
      </w:r>
      <w:r w:rsidR="00B02E16" w:rsidRPr="003D2A68">
        <w:t xml:space="preserve">he patient is </w:t>
      </w:r>
      <w:r w:rsidR="00AC6CE2">
        <w:t xml:space="preserve">then </w:t>
      </w:r>
      <w:r w:rsidR="00B02E16" w:rsidRPr="003D2A68">
        <w:t xml:space="preserve">registered in the </w:t>
      </w:r>
      <w:r w:rsidR="00B02E16">
        <w:t xml:space="preserve">health service’s </w:t>
      </w:r>
      <w:r w:rsidR="00B02E16" w:rsidRPr="003D2A68">
        <w:t xml:space="preserve">patient administration system </w:t>
      </w:r>
      <w:r w:rsidR="00B02E16">
        <w:t>(PAS) or electronic medical record (EMR)</w:t>
      </w:r>
      <w:r w:rsidR="00411106">
        <w:t>.</w:t>
      </w:r>
      <w:r w:rsidR="00B02E16">
        <w:t xml:space="preserve"> </w:t>
      </w:r>
      <w:r w:rsidRPr="003D2A68">
        <w:t>If the organisation accepts the referral</w:t>
      </w:r>
      <w:r w:rsidR="00241737">
        <w:t>,</w:t>
      </w:r>
      <w:r w:rsidR="00B02E16">
        <w:t xml:space="preserve"> </w:t>
      </w:r>
      <w:r w:rsidRPr="003D2A68">
        <w:t>an episode of care begins. During the course of the episode, the organisation has various contacts with the patient during which services are delivered. At the end of the episode, the patient may be referred to another service.</w:t>
      </w:r>
    </w:p>
    <w:p w14:paraId="48BB42B2" w14:textId="77777777" w:rsidR="00125A68" w:rsidRPr="008E420B" w:rsidRDefault="00125A68" w:rsidP="00C54A2C">
      <w:pPr>
        <w:pStyle w:val="Heading2"/>
      </w:pPr>
      <w:bookmarkStart w:id="9" w:name="_Toc163019548"/>
      <w:bookmarkStart w:id="10" w:name="_Toc163019644"/>
      <w:bookmarkStart w:id="11" w:name="_Toc174520847"/>
      <w:r w:rsidRPr="008E420B">
        <w:t>AIMS</w:t>
      </w:r>
      <w:bookmarkEnd w:id="9"/>
      <w:bookmarkEnd w:id="10"/>
      <w:bookmarkEnd w:id="11"/>
    </w:p>
    <w:p w14:paraId="52FA787C" w14:textId="3CCDA011" w:rsidR="00125A68" w:rsidRPr="008E420B" w:rsidRDefault="00125A68" w:rsidP="00125A68">
      <w:pPr>
        <w:keepNext/>
        <w:keepLines/>
        <w:spacing w:after="40"/>
        <w:rPr>
          <w:rFonts w:eastAsia="Times"/>
        </w:rPr>
      </w:pPr>
      <w:r>
        <w:rPr>
          <w:rFonts w:eastAsia="Times"/>
        </w:rPr>
        <w:t>Acute n</w:t>
      </w:r>
      <w:r w:rsidRPr="0DF4BEF5">
        <w:rPr>
          <w:rFonts w:eastAsia="Times"/>
        </w:rPr>
        <w:t xml:space="preserve">on-admitted, aggregate patient service events are reported in the AIMS S10 form. </w:t>
      </w:r>
      <w:r>
        <w:rPr>
          <w:rFonts w:eastAsia="Times"/>
        </w:rPr>
        <w:t>P</w:t>
      </w:r>
      <w:r w:rsidRPr="0DF4BEF5">
        <w:rPr>
          <w:rFonts w:eastAsia="Times"/>
        </w:rPr>
        <w:t>atients who are present in the emergency department</w:t>
      </w:r>
      <w:r>
        <w:rPr>
          <w:rFonts w:eastAsia="Times"/>
        </w:rPr>
        <w:t xml:space="preserve"> and</w:t>
      </w:r>
      <w:r w:rsidRPr="003A3D74">
        <w:rPr>
          <w:rFonts w:eastAsia="Times"/>
        </w:rPr>
        <w:t xml:space="preserve"> </w:t>
      </w:r>
      <w:r>
        <w:rPr>
          <w:rFonts w:eastAsia="Times"/>
        </w:rPr>
        <w:t>services provided to patients while they are admitted</w:t>
      </w:r>
      <w:r w:rsidRPr="0DF4BEF5">
        <w:rPr>
          <w:rFonts w:eastAsia="Times"/>
        </w:rPr>
        <w:t xml:space="preserve"> are not reported on these forms.</w:t>
      </w:r>
      <w:r>
        <w:rPr>
          <w:rFonts w:eastAsia="Times"/>
        </w:rPr>
        <w:t xml:space="preserve"> Refer to the </w:t>
      </w:r>
      <w:hyperlink r:id="rId16" w:history="1">
        <w:r w:rsidRPr="00AB1148">
          <w:rPr>
            <w:rStyle w:val="Hyperlink"/>
            <w:rFonts w:eastAsia="Times"/>
          </w:rPr>
          <w:t>AIMS manual</w:t>
        </w:r>
      </w:hyperlink>
      <w:r>
        <w:rPr>
          <w:rFonts w:eastAsia="Times"/>
        </w:rPr>
        <w:t xml:space="preserve"> </w:t>
      </w:r>
      <w:r>
        <w:rPr>
          <w:rFonts w:eastAsia="Arial" w:cs="Arial"/>
          <w:szCs w:val="21"/>
        </w:rPr>
        <w:t>&lt;</w:t>
      </w:r>
      <w:r w:rsidRPr="00AE3871">
        <w:rPr>
          <w:rFonts w:eastAsia="Arial" w:cs="Arial"/>
          <w:szCs w:val="21"/>
        </w:rPr>
        <w:t>https://www.health.vic.gov.au/data-reporting/health-data-standards-and-systems</w:t>
      </w:r>
      <w:r>
        <w:rPr>
          <w:rFonts w:eastAsia="Arial" w:cs="Arial"/>
          <w:szCs w:val="21"/>
        </w:rPr>
        <w:t xml:space="preserve">&gt; </w:t>
      </w:r>
      <w:r>
        <w:rPr>
          <w:rFonts w:eastAsia="Times"/>
        </w:rPr>
        <w:t>for further inclusion and exclusion criteria.</w:t>
      </w:r>
    </w:p>
    <w:p w14:paraId="6DED145F" w14:textId="43DD569A" w:rsidR="00125A68" w:rsidRDefault="00125A68" w:rsidP="00125A68">
      <w:r>
        <w:t xml:space="preserve">Specialist clinics registered on NACMS </w:t>
      </w:r>
      <w:r w:rsidRPr="008E420B">
        <w:t xml:space="preserve">are listed in the </w:t>
      </w:r>
      <w:r w:rsidR="00554E95">
        <w:t xml:space="preserve">AIMS </w:t>
      </w:r>
      <w:r w:rsidRPr="008E420B">
        <w:t>S10</w:t>
      </w:r>
      <w:r>
        <w:t xml:space="preserve"> which r</w:t>
      </w:r>
      <w:r w:rsidRPr="008E420B">
        <w:t>ecord</w:t>
      </w:r>
      <w:r>
        <w:t>s</w:t>
      </w:r>
      <w:r w:rsidRPr="008E420B">
        <w:t xml:space="preserve"> aggregate numbers of service events calculated in accordance with the counting </w:t>
      </w:r>
      <w:r w:rsidRPr="00547E01">
        <w:t>rules detailed in this document</w:t>
      </w:r>
      <w:r w:rsidRPr="008E420B">
        <w:t>.</w:t>
      </w:r>
    </w:p>
    <w:p w14:paraId="1875A2F7" w14:textId="18F7AB0C" w:rsidR="00891537" w:rsidRDefault="0001254C" w:rsidP="009B521F">
      <w:pPr>
        <w:pStyle w:val="Heading1"/>
      </w:pPr>
      <w:bookmarkStart w:id="12" w:name="_Toc163019549"/>
      <w:bookmarkStart w:id="13" w:name="_Toc163019645"/>
      <w:bookmarkStart w:id="14" w:name="_Toc174520848"/>
      <w:r>
        <w:t>Reporting</w:t>
      </w:r>
      <w:bookmarkEnd w:id="12"/>
      <w:bookmarkEnd w:id="13"/>
      <w:bookmarkEnd w:id="14"/>
    </w:p>
    <w:p w14:paraId="4B5FBBC4" w14:textId="12E11D20" w:rsidR="000821F4" w:rsidRDefault="000821F4" w:rsidP="000821F4">
      <w:pPr>
        <w:keepNext/>
        <w:keepLines/>
        <w:rPr>
          <w:rFonts w:eastAsia="Times"/>
        </w:rPr>
      </w:pPr>
      <w:r>
        <w:rPr>
          <w:rFonts w:eastAsia="Times"/>
        </w:rPr>
        <w:t xml:space="preserve">Public fertility </w:t>
      </w:r>
      <w:r w:rsidR="00680578">
        <w:rPr>
          <w:rFonts w:eastAsia="Times"/>
        </w:rPr>
        <w:t xml:space="preserve">care </w:t>
      </w:r>
      <w:r w:rsidRPr="0DF4BEF5">
        <w:rPr>
          <w:rFonts w:eastAsia="Times"/>
        </w:rPr>
        <w:t xml:space="preserve">data </w:t>
      </w:r>
      <w:r>
        <w:rPr>
          <w:rFonts w:eastAsia="Times"/>
        </w:rPr>
        <w:t>are to</w:t>
      </w:r>
      <w:r w:rsidRPr="0DF4BEF5">
        <w:rPr>
          <w:rFonts w:eastAsia="Times"/>
        </w:rPr>
        <w:t xml:space="preserve"> be reported to the department </w:t>
      </w:r>
      <w:r>
        <w:rPr>
          <w:rFonts w:eastAsia="Times"/>
        </w:rPr>
        <w:t xml:space="preserve">via the </w:t>
      </w:r>
      <w:r w:rsidRPr="0DF4BEF5">
        <w:rPr>
          <w:rFonts w:eastAsia="Times"/>
        </w:rPr>
        <w:t>VINAH</w:t>
      </w:r>
      <w:r>
        <w:rPr>
          <w:rFonts w:eastAsia="Times"/>
        </w:rPr>
        <w:t xml:space="preserve"> MDS</w:t>
      </w:r>
      <w:r w:rsidRPr="0DF4BEF5">
        <w:rPr>
          <w:rFonts w:eastAsia="Times"/>
        </w:rPr>
        <w:t xml:space="preserve"> (patient level</w:t>
      </w:r>
      <w:r w:rsidRPr="25247926">
        <w:rPr>
          <w:rFonts w:eastAsia="Times"/>
        </w:rPr>
        <w:t>)</w:t>
      </w:r>
      <w:r w:rsidRPr="0DF4BEF5">
        <w:rPr>
          <w:rFonts w:eastAsia="Times"/>
        </w:rPr>
        <w:t xml:space="preserve"> and AIMS </w:t>
      </w:r>
      <w:r>
        <w:rPr>
          <w:rFonts w:eastAsia="Times"/>
        </w:rPr>
        <w:t xml:space="preserve">S10 </w:t>
      </w:r>
      <w:r w:rsidRPr="0DF4BEF5">
        <w:rPr>
          <w:rFonts w:eastAsia="Times"/>
        </w:rPr>
        <w:t>(aggregate</w:t>
      </w:r>
      <w:r w:rsidRPr="25247926">
        <w:rPr>
          <w:rFonts w:eastAsia="Times"/>
        </w:rPr>
        <w:t>) form.</w:t>
      </w:r>
    </w:p>
    <w:p w14:paraId="73176945" w14:textId="2652CE90" w:rsidR="00D3603E" w:rsidRDefault="003B46D5" w:rsidP="000821F4">
      <w:pPr>
        <w:keepNext/>
        <w:keepLines/>
        <w:rPr>
          <w:rFonts w:eastAsia="Times"/>
        </w:rPr>
      </w:pPr>
      <w:r>
        <w:rPr>
          <w:rFonts w:eastAsia="Times"/>
        </w:rPr>
        <w:t xml:space="preserve">At the time of writing these guidelines only two health services </w:t>
      </w:r>
      <w:r w:rsidR="00E060B1">
        <w:rPr>
          <w:rFonts w:eastAsia="Times"/>
        </w:rPr>
        <w:t xml:space="preserve">have been </w:t>
      </w:r>
      <w:r w:rsidR="00D3603E">
        <w:rPr>
          <w:rFonts w:eastAsia="Times"/>
        </w:rPr>
        <w:t>funded to provide public fertility</w:t>
      </w:r>
      <w:r w:rsidR="00EF701F">
        <w:rPr>
          <w:rFonts w:eastAsia="Times"/>
        </w:rPr>
        <w:t xml:space="preserve"> care</w:t>
      </w:r>
      <w:r w:rsidR="00D3603E">
        <w:rPr>
          <w:rFonts w:eastAsia="Times"/>
        </w:rPr>
        <w:t xml:space="preserve"> </w:t>
      </w:r>
      <w:r w:rsidR="00E060B1">
        <w:rPr>
          <w:rFonts w:eastAsia="Times"/>
        </w:rPr>
        <w:t>– The Women’s and Monash Health.</w:t>
      </w:r>
    </w:p>
    <w:p w14:paraId="1FB1757C" w14:textId="77777777" w:rsidR="00807BEB" w:rsidRDefault="00807BEB">
      <w:pPr>
        <w:spacing w:after="0" w:line="240" w:lineRule="auto"/>
        <w:rPr>
          <w:b/>
          <w:color w:val="53565A"/>
          <w:sz w:val="32"/>
          <w:szCs w:val="28"/>
        </w:rPr>
      </w:pPr>
      <w:bookmarkStart w:id="15" w:name="_Toc163019550"/>
      <w:bookmarkStart w:id="16" w:name="_Toc163019646"/>
      <w:r>
        <w:br w:type="page"/>
      </w:r>
    </w:p>
    <w:p w14:paraId="05B7548D" w14:textId="61DF8F11" w:rsidR="009C3205" w:rsidRPr="008E420B" w:rsidRDefault="009C3205" w:rsidP="00C54A2C">
      <w:pPr>
        <w:pStyle w:val="Heading2"/>
      </w:pPr>
      <w:bookmarkStart w:id="17" w:name="_Toc174520849"/>
      <w:r>
        <w:lastRenderedPageBreak/>
        <w:t xml:space="preserve">Register clinics </w:t>
      </w:r>
      <w:r w:rsidR="00241AC6">
        <w:t>i</w:t>
      </w:r>
      <w:r>
        <w:t>n NACMS</w:t>
      </w:r>
      <w:bookmarkEnd w:id="15"/>
      <w:bookmarkEnd w:id="16"/>
      <w:bookmarkEnd w:id="17"/>
    </w:p>
    <w:p w14:paraId="65335A92" w14:textId="21240DC5" w:rsidR="009C3205" w:rsidRPr="008E420B" w:rsidRDefault="009C3205" w:rsidP="009C3205">
      <w:pPr>
        <w:rPr>
          <w:rFonts w:eastAsia="Times"/>
        </w:rPr>
      </w:pPr>
      <w:r w:rsidRPr="0DF4BEF5">
        <w:rPr>
          <w:rFonts w:eastAsia="Times"/>
        </w:rPr>
        <w:t xml:space="preserve">To enable reporting of </w:t>
      </w:r>
      <w:r>
        <w:rPr>
          <w:rFonts w:eastAsia="Times"/>
        </w:rPr>
        <w:t xml:space="preserve">public fertility </w:t>
      </w:r>
      <w:r w:rsidR="00242031">
        <w:rPr>
          <w:rFonts w:eastAsia="Times"/>
        </w:rPr>
        <w:t xml:space="preserve">care </w:t>
      </w:r>
      <w:r w:rsidRPr="0DF4BEF5">
        <w:rPr>
          <w:rFonts w:eastAsia="Times"/>
        </w:rPr>
        <w:t xml:space="preserve">for specialist clinics, </w:t>
      </w:r>
      <w:r>
        <w:rPr>
          <w:rFonts w:eastAsia="Times"/>
        </w:rPr>
        <w:t xml:space="preserve">the funded agency </w:t>
      </w:r>
      <w:r w:rsidRPr="0DF4BEF5">
        <w:rPr>
          <w:rFonts w:eastAsia="Times"/>
        </w:rPr>
        <w:t xml:space="preserve">should register clinics in the Non-Admitted Clinic Management System (NACMS). </w:t>
      </w:r>
      <w:r w:rsidR="00BA22FD">
        <w:rPr>
          <w:rFonts w:eastAsia="Times"/>
        </w:rPr>
        <w:t>T</w:t>
      </w:r>
      <w:r w:rsidRPr="0DF4BEF5">
        <w:rPr>
          <w:rFonts w:eastAsia="Times"/>
        </w:rPr>
        <w:t>he</w:t>
      </w:r>
      <w:r>
        <w:rPr>
          <w:rFonts w:eastAsia="Times"/>
        </w:rPr>
        <w:t xml:space="preserve"> </w:t>
      </w:r>
      <w:r w:rsidRPr="0DF4BEF5">
        <w:rPr>
          <w:rFonts w:eastAsia="Times"/>
        </w:rPr>
        <w:t>Clinic Identifier</w:t>
      </w:r>
      <w:r w:rsidR="009048B7">
        <w:rPr>
          <w:rFonts w:eastAsia="Times"/>
        </w:rPr>
        <w:t xml:space="preserve"> </w:t>
      </w:r>
      <w:r w:rsidR="00196B08">
        <w:rPr>
          <w:rFonts w:eastAsia="Times"/>
        </w:rPr>
        <w:t>(</w:t>
      </w:r>
      <w:r w:rsidR="003751F9">
        <w:rPr>
          <w:rFonts w:eastAsia="Times"/>
        </w:rPr>
        <w:t>c</w:t>
      </w:r>
      <w:r w:rsidR="00196B08">
        <w:rPr>
          <w:rFonts w:eastAsia="Times"/>
        </w:rPr>
        <w:t xml:space="preserve">linic ID) </w:t>
      </w:r>
      <w:r w:rsidR="009048B7">
        <w:rPr>
          <w:rFonts w:eastAsia="Times"/>
        </w:rPr>
        <w:t>registered</w:t>
      </w:r>
      <w:r w:rsidRPr="0DF4BEF5">
        <w:rPr>
          <w:rFonts w:eastAsia="Times"/>
        </w:rPr>
        <w:t xml:space="preserve"> </w:t>
      </w:r>
      <w:r w:rsidR="009048B7">
        <w:rPr>
          <w:rFonts w:eastAsia="Times"/>
        </w:rPr>
        <w:t>in NACMS must be the same</w:t>
      </w:r>
      <w:r w:rsidR="00196B08">
        <w:rPr>
          <w:rFonts w:eastAsia="Times"/>
        </w:rPr>
        <w:t xml:space="preserve"> as the clinic ID </w:t>
      </w:r>
      <w:r w:rsidRPr="0DF4BEF5">
        <w:rPr>
          <w:rFonts w:eastAsia="Times"/>
        </w:rPr>
        <w:t xml:space="preserve">used for reporting through </w:t>
      </w:r>
      <w:r w:rsidR="00746D0C">
        <w:rPr>
          <w:rFonts w:eastAsia="Times"/>
        </w:rPr>
        <w:t xml:space="preserve">both </w:t>
      </w:r>
      <w:r w:rsidR="00915966">
        <w:rPr>
          <w:rFonts w:eastAsia="Times"/>
        </w:rPr>
        <w:t xml:space="preserve">the </w:t>
      </w:r>
      <w:r w:rsidRPr="0DF4BEF5">
        <w:rPr>
          <w:rFonts w:eastAsia="Times"/>
        </w:rPr>
        <w:t>AIMS S10</w:t>
      </w:r>
      <w:r>
        <w:rPr>
          <w:rFonts w:eastAsia="Times"/>
        </w:rPr>
        <w:t xml:space="preserve"> and </w:t>
      </w:r>
      <w:r w:rsidRPr="0DF4BEF5">
        <w:rPr>
          <w:rFonts w:eastAsia="Times"/>
        </w:rPr>
        <w:t>VINAH</w:t>
      </w:r>
      <w:r>
        <w:rPr>
          <w:rFonts w:eastAsia="Times"/>
        </w:rPr>
        <w:t xml:space="preserve"> MDS</w:t>
      </w:r>
      <w:r w:rsidRPr="0DF4BEF5">
        <w:rPr>
          <w:rFonts w:eastAsia="Times"/>
        </w:rPr>
        <w:t>.</w:t>
      </w:r>
    </w:p>
    <w:p w14:paraId="7E267976" w14:textId="24007AB5" w:rsidR="009C3205" w:rsidRPr="008E420B" w:rsidRDefault="009C3205" w:rsidP="009C3205">
      <w:pPr>
        <w:rPr>
          <w:rFonts w:eastAsia="Times"/>
        </w:rPr>
      </w:pPr>
      <w:r w:rsidRPr="008E420B">
        <w:rPr>
          <w:rFonts w:eastAsia="Times"/>
        </w:rPr>
        <w:t xml:space="preserve">When registering </w:t>
      </w:r>
      <w:r>
        <w:rPr>
          <w:rFonts w:eastAsia="Times"/>
        </w:rPr>
        <w:t>public fertility</w:t>
      </w:r>
      <w:r w:rsidR="00242031">
        <w:rPr>
          <w:rFonts w:eastAsia="Times"/>
        </w:rPr>
        <w:t xml:space="preserve"> care</w:t>
      </w:r>
      <w:r w:rsidRPr="008E420B">
        <w:rPr>
          <w:rFonts w:eastAsia="Times"/>
        </w:rPr>
        <w:t xml:space="preserve"> clinics in NACMS</w:t>
      </w:r>
      <w:r w:rsidR="00352295">
        <w:rPr>
          <w:rFonts w:eastAsia="Times"/>
        </w:rPr>
        <w:t xml:space="preserve"> and determining the appr</w:t>
      </w:r>
      <w:r w:rsidR="00C93E5D">
        <w:rPr>
          <w:rFonts w:eastAsia="Times"/>
        </w:rPr>
        <w:t>opriate Tier 2 class</w:t>
      </w:r>
      <w:r w:rsidRPr="008E420B">
        <w:rPr>
          <w:rFonts w:eastAsia="Times"/>
        </w:rPr>
        <w:t xml:space="preserve">, it is important to </w:t>
      </w:r>
      <w:r w:rsidR="00355602">
        <w:rPr>
          <w:rFonts w:eastAsia="Times"/>
        </w:rPr>
        <w:t>note</w:t>
      </w:r>
      <w:r w:rsidRPr="008E420B">
        <w:rPr>
          <w:rFonts w:eastAsia="Times"/>
        </w:rPr>
        <w:t xml:space="preserve"> the Inclusion</w:t>
      </w:r>
      <w:r w:rsidR="00BD3711">
        <w:rPr>
          <w:rFonts w:eastAsia="Times"/>
        </w:rPr>
        <w:t>s</w:t>
      </w:r>
      <w:r w:rsidRPr="008E420B">
        <w:rPr>
          <w:rFonts w:eastAsia="Times"/>
        </w:rPr>
        <w:t xml:space="preserve"> and Exclusion</w:t>
      </w:r>
      <w:r w:rsidR="00BD3711">
        <w:rPr>
          <w:rFonts w:eastAsia="Times"/>
        </w:rPr>
        <w:t>s</w:t>
      </w:r>
      <w:r w:rsidRPr="008E420B">
        <w:rPr>
          <w:rFonts w:eastAsia="Times"/>
        </w:rPr>
        <w:t xml:space="preserve"> for </w:t>
      </w:r>
      <w:r>
        <w:rPr>
          <w:rFonts w:eastAsia="Times"/>
        </w:rPr>
        <w:t xml:space="preserve">the </w:t>
      </w:r>
      <w:r w:rsidRPr="008E420B">
        <w:rPr>
          <w:rFonts w:eastAsia="Times"/>
        </w:rPr>
        <w:t>Tier 2 classes</w:t>
      </w:r>
      <w:r w:rsidR="00D54BDE">
        <w:rPr>
          <w:rFonts w:eastAsia="Times"/>
        </w:rPr>
        <w:t>.</w:t>
      </w:r>
    </w:p>
    <w:p w14:paraId="250EAFAF" w14:textId="1635F6BC" w:rsidR="009C3205" w:rsidRPr="008E420B" w:rsidRDefault="009C3205" w:rsidP="009C3205">
      <w:pPr>
        <w:rPr>
          <w:rFonts w:eastAsia="Times"/>
        </w:rPr>
      </w:pPr>
      <w:r w:rsidRPr="008E420B">
        <w:rPr>
          <w:rFonts w:eastAsia="Times"/>
        </w:rPr>
        <w:t xml:space="preserve">Activity </w:t>
      </w:r>
      <w:r>
        <w:rPr>
          <w:rFonts w:eastAsia="Times"/>
        </w:rPr>
        <w:t xml:space="preserve">undertaken </w:t>
      </w:r>
      <w:r w:rsidR="007F2AC1">
        <w:rPr>
          <w:rFonts w:eastAsia="Times"/>
        </w:rPr>
        <w:t>in</w:t>
      </w:r>
      <w:r w:rsidRPr="008E420B">
        <w:rPr>
          <w:rFonts w:eastAsia="Times"/>
        </w:rPr>
        <w:t xml:space="preserve"> specialist clinics must be reported </w:t>
      </w:r>
      <w:r w:rsidR="00146413">
        <w:rPr>
          <w:rFonts w:eastAsia="Times"/>
        </w:rPr>
        <w:t>against</w:t>
      </w:r>
      <w:r w:rsidRPr="008E420B">
        <w:rPr>
          <w:rFonts w:eastAsia="Times"/>
        </w:rPr>
        <w:t xml:space="preserve"> the campus registered for that clinic </w:t>
      </w:r>
      <w:r w:rsidR="00414CDD">
        <w:rPr>
          <w:rFonts w:eastAsia="Times"/>
        </w:rPr>
        <w:t>i</w:t>
      </w:r>
      <w:r w:rsidRPr="008E420B">
        <w:rPr>
          <w:rFonts w:eastAsia="Times"/>
        </w:rPr>
        <w:t>n NACMS.</w:t>
      </w:r>
    </w:p>
    <w:p w14:paraId="2DA8E886" w14:textId="41D013C5" w:rsidR="00E730FA" w:rsidRPr="008E420B" w:rsidRDefault="003B53A9" w:rsidP="00C54A2C">
      <w:pPr>
        <w:pStyle w:val="Heading2"/>
      </w:pPr>
      <w:bookmarkStart w:id="18" w:name="_Toc163019650"/>
      <w:bookmarkStart w:id="19" w:name="_Toc174520850"/>
      <w:r>
        <w:t xml:space="preserve">Referral </w:t>
      </w:r>
      <w:r w:rsidR="00BA6E7F">
        <w:t>m</w:t>
      </w:r>
      <w:r>
        <w:t>anagement</w:t>
      </w:r>
      <w:bookmarkEnd w:id="18"/>
      <w:bookmarkEnd w:id="19"/>
    </w:p>
    <w:p w14:paraId="43ED2057" w14:textId="27110578" w:rsidR="00E730FA" w:rsidRDefault="00E730FA" w:rsidP="00E730FA">
      <w:r>
        <w:t xml:space="preserve">All referrals must be managed in line with the department's </w:t>
      </w:r>
      <w:hyperlink r:id="rId17" w:history="1">
        <w:r w:rsidRPr="005A663A">
          <w:rPr>
            <w:rStyle w:val="Hyperlink"/>
          </w:rPr>
          <w:t>Managing referrals to non-admitted specialist services in Victorian public health services</w:t>
        </w:r>
      </w:hyperlink>
      <w:r w:rsidRPr="00CF2F33">
        <w:t xml:space="preserve"> </w:t>
      </w:r>
      <w:r>
        <w:t>&lt;https</w:t>
      </w:r>
      <w:r w:rsidRPr="00B119BC">
        <w:t>//www.health.vic.gov.au/publications/managing-referrals-to-non-admitted-specialist-services-in-victorian-public-health</w:t>
      </w:r>
      <w:r>
        <w:rPr>
          <w:sz w:val="20"/>
        </w:rPr>
        <w:t>&gt;</w:t>
      </w:r>
      <w:r>
        <w:t>. One referral is required for each patient receiving a non-admitted episode of care. This initially may be for the patient/client seeking fertility services. On receipt of the referral the health service will triage and accept/not accept the referral.</w:t>
      </w:r>
    </w:p>
    <w:p w14:paraId="7AFE8444" w14:textId="404FA240" w:rsidR="00E730FA" w:rsidRDefault="00E730FA" w:rsidP="00E730FA">
      <w:r>
        <w:t xml:space="preserve">Once a referral has been accepted the patient/client’s episode of care commences and they will attend/not attend the public fertility </w:t>
      </w:r>
      <w:r w:rsidR="00BA28D9">
        <w:t>care</w:t>
      </w:r>
      <w:r>
        <w:t xml:space="preserve"> clinic(s). One contact is recorded for each attendance/non-attendance. Refer to the VINAH MDS manual for the correct reporting of contacts where the patient is scheduled but does not attend an appointment.</w:t>
      </w:r>
    </w:p>
    <w:p w14:paraId="11251CAB" w14:textId="2E10BADC" w:rsidR="00E730FA" w:rsidRDefault="00E730FA" w:rsidP="00E730FA">
      <w:r>
        <w:rPr>
          <w:rFonts w:cs="Arial"/>
        </w:rPr>
        <w:t xml:space="preserve">Where it is decided that it is clinically appropriate for </w:t>
      </w:r>
      <w:r>
        <w:t xml:space="preserve">the patient/client’s family </w:t>
      </w:r>
      <w:r w:rsidR="002E107D">
        <w:t>m</w:t>
      </w:r>
      <w:r>
        <w:t>ember/partner/surrogate/</w:t>
      </w:r>
      <w:r w:rsidR="003363F1">
        <w:t xml:space="preserve"> </w:t>
      </w:r>
      <w:r>
        <w:t>donor to receive individual care or services as a patient/client in their own right (for example clinical consultation, clinical assessments, investigations, tests) a separate referral, either internal or external, is required.</w:t>
      </w:r>
    </w:p>
    <w:p w14:paraId="6210B970" w14:textId="402A85D8" w:rsidR="00DD75B5" w:rsidRDefault="00437F59" w:rsidP="00437F59">
      <w:r>
        <w:t xml:space="preserve">When the patient/client, family member, partner, surrogate, donor etc no longer require public fertility </w:t>
      </w:r>
      <w:r w:rsidR="00950BC9">
        <w:t>care</w:t>
      </w:r>
      <w:r>
        <w:t>, and it is clinically appropriate, the episode of care is closed, and they are referred elsewhere.</w:t>
      </w:r>
    </w:p>
    <w:p w14:paraId="37FFB163" w14:textId="4A52B5AE" w:rsidR="00CB0AF7" w:rsidRPr="00307BDA" w:rsidRDefault="00801E95" w:rsidP="00437F59">
      <w:r w:rsidRPr="00307BDA">
        <w:t xml:space="preserve">It is acceptable that a single episode is reported containing non-admitted contacts </w:t>
      </w:r>
      <w:r w:rsidR="00FE211B" w:rsidRPr="00307BDA">
        <w:t xml:space="preserve">covering more than one IVF </w:t>
      </w:r>
      <w:r w:rsidR="0076117E" w:rsidRPr="00307BDA">
        <w:t>cycle</w:t>
      </w:r>
      <w:r w:rsidR="008C1A5D" w:rsidRPr="00307BDA">
        <w:t xml:space="preserve">. It is appropriate for a referral to remain open </w:t>
      </w:r>
      <w:r w:rsidR="00275B03" w:rsidRPr="00307BDA">
        <w:t xml:space="preserve">if patients are not undergoing active treatment or intervention but </w:t>
      </w:r>
      <w:r w:rsidR="009B436A" w:rsidRPr="00307BDA">
        <w:t>have a potential upcoming intervention.</w:t>
      </w:r>
    </w:p>
    <w:p w14:paraId="6E697459" w14:textId="081821C9" w:rsidR="00437F59" w:rsidRDefault="00437F59" w:rsidP="00437F59">
      <w:r>
        <w:t xml:space="preserve">Refer to the department’s </w:t>
      </w:r>
      <w:hyperlink r:id="rId18">
        <w:r w:rsidRPr="005A663A">
          <w:rPr>
            <w:rStyle w:val="Hyperlink"/>
          </w:rPr>
          <w:t>Managing referrals to non-admitted specialist services in Victorian public health services</w:t>
        </w:r>
      </w:hyperlink>
      <w:r w:rsidRPr="00CF2F33">
        <w:t xml:space="preserve"> </w:t>
      </w:r>
      <w:r>
        <w:t>&lt;https</w:t>
      </w:r>
      <w:r w:rsidRPr="00B119BC">
        <w:t>//www.health.vic.gov.au/publications/managing-referrals-to-non-admitted-specialist-services-in-victorian-public-health</w:t>
      </w:r>
      <w:r w:rsidRPr="25247926">
        <w:rPr>
          <w:sz w:val="20"/>
        </w:rPr>
        <w:t>&gt;</w:t>
      </w:r>
      <w:r>
        <w:rPr>
          <w:sz w:val="20"/>
        </w:rPr>
        <w:t xml:space="preserve"> </w:t>
      </w:r>
      <w:r w:rsidRPr="00116533">
        <w:rPr>
          <w:szCs w:val="21"/>
        </w:rPr>
        <w:t>for further information regarding referral</w:t>
      </w:r>
      <w:r>
        <w:t xml:space="preserve"> discharge management.</w:t>
      </w:r>
    </w:p>
    <w:p w14:paraId="249CC999" w14:textId="77777777" w:rsidR="00515614" w:rsidRDefault="00515614" w:rsidP="00C54A2C">
      <w:pPr>
        <w:pStyle w:val="Heading2"/>
      </w:pPr>
      <w:bookmarkStart w:id="20" w:name="_Toc163019649"/>
      <w:bookmarkStart w:id="21" w:name="_Toc174520851"/>
      <w:bookmarkStart w:id="22" w:name="_Toc163019647"/>
      <w:bookmarkStart w:id="23" w:name="_Toc163019651"/>
      <w:r>
        <w:t>Program/Stream</w:t>
      </w:r>
      <w:bookmarkEnd w:id="20"/>
      <w:bookmarkEnd w:id="21"/>
    </w:p>
    <w:p w14:paraId="2DEEC4EE" w14:textId="77412E5C" w:rsidR="00515614" w:rsidRPr="008E420B" w:rsidRDefault="00515614" w:rsidP="00515614">
      <w:pPr>
        <w:pStyle w:val="Body"/>
      </w:pPr>
      <w:r w:rsidRPr="25247926">
        <w:t xml:space="preserve">Within the Specialist Clinics (Outpatients) Program/Stream, public fertility </w:t>
      </w:r>
      <w:r w:rsidR="00D15F95">
        <w:t xml:space="preserve">care </w:t>
      </w:r>
      <w:r w:rsidR="008C4D77">
        <w:t>is</w:t>
      </w:r>
      <w:r w:rsidRPr="25247926">
        <w:t xml:space="preserve"> required to be reported under code 406 </w:t>
      </w:r>
      <w:r w:rsidR="003D0D4D">
        <w:t xml:space="preserve">- </w:t>
      </w:r>
      <w:r w:rsidRPr="25247926">
        <w:t>Reproductive medicine and family planning</w:t>
      </w:r>
      <w:r w:rsidR="007C15CB">
        <w:t>.</w:t>
      </w:r>
    </w:p>
    <w:p w14:paraId="2AD9676F" w14:textId="77777777" w:rsidR="003F1B6F" w:rsidRDefault="003F1B6F" w:rsidP="00635CF7">
      <w:pPr>
        <w:pStyle w:val="Heading2"/>
      </w:pPr>
      <w:bookmarkStart w:id="24" w:name="_Toc174520852"/>
      <w:r>
        <w:t>Contact</w:t>
      </w:r>
      <w:bookmarkEnd w:id="22"/>
      <w:bookmarkEnd w:id="24"/>
    </w:p>
    <w:p w14:paraId="7161CD16" w14:textId="77777777" w:rsidR="003F1B6F" w:rsidRDefault="003F1B6F" w:rsidP="003F1B6F">
      <w:r>
        <w:t xml:space="preserve">A contact is defined as a </w:t>
      </w:r>
      <w:r w:rsidRPr="00B706FE">
        <w:t>contact between a patient/client or other relevant person (in scope), and a professional associated with a program reporting via the VINAH MD</w:t>
      </w:r>
      <w:r>
        <w:t>S</w:t>
      </w:r>
      <w:r w:rsidRPr="00B706FE">
        <w:t xml:space="preserve"> that results in a dated entry being made in the patient/client record.</w:t>
      </w:r>
    </w:p>
    <w:p w14:paraId="5005B4EF" w14:textId="77777777" w:rsidR="003F1B6F" w:rsidRDefault="003F1B6F" w:rsidP="003F1B6F">
      <w:pPr>
        <w:pStyle w:val="Tabletext"/>
      </w:pPr>
      <w:r>
        <w:t>A contact must meet all of the following criteria:</w:t>
      </w:r>
    </w:p>
    <w:p w14:paraId="05FB1D0E" w14:textId="77777777" w:rsidR="003F1B6F" w:rsidRPr="00FA3DB2" w:rsidRDefault="003F1B6F" w:rsidP="003F1B6F">
      <w:pPr>
        <w:pStyle w:val="ListParagraph"/>
        <w:rPr>
          <w:sz w:val="21"/>
          <w:szCs w:val="21"/>
        </w:rPr>
      </w:pPr>
      <w:r w:rsidRPr="00FA3DB2">
        <w:rPr>
          <w:sz w:val="21"/>
          <w:szCs w:val="21"/>
        </w:rPr>
        <w:t>clinically significant in nature;</w:t>
      </w:r>
    </w:p>
    <w:p w14:paraId="0D96489A" w14:textId="77777777" w:rsidR="003F1B6F" w:rsidRPr="00FA3DB2" w:rsidRDefault="003F1B6F" w:rsidP="003F1B6F">
      <w:pPr>
        <w:pStyle w:val="ListParagraph"/>
        <w:rPr>
          <w:sz w:val="21"/>
          <w:szCs w:val="21"/>
        </w:rPr>
      </w:pPr>
      <w:r w:rsidRPr="00FA3DB2">
        <w:rPr>
          <w:sz w:val="21"/>
          <w:szCs w:val="21"/>
        </w:rPr>
        <w:lastRenderedPageBreak/>
        <w:t>provided (or brokered) by an agency funded by a program area that requires reporting via the VINAH MDS;</w:t>
      </w:r>
    </w:p>
    <w:p w14:paraId="596BFD5B" w14:textId="77777777" w:rsidR="003F1B6F" w:rsidRPr="00FA3DB2" w:rsidRDefault="003F1B6F" w:rsidP="003F1B6F">
      <w:pPr>
        <w:pStyle w:val="ListParagraph"/>
        <w:rPr>
          <w:sz w:val="21"/>
          <w:szCs w:val="21"/>
        </w:rPr>
      </w:pPr>
      <w:r w:rsidRPr="00FA3DB2">
        <w:rPr>
          <w:sz w:val="21"/>
          <w:szCs w:val="21"/>
        </w:rPr>
        <w:t>for a patient/client who has provided consent (either implied or explicit);</w:t>
      </w:r>
    </w:p>
    <w:p w14:paraId="1EE37BDB" w14:textId="77777777" w:rsidR="003F1B6F" w:rsidRPr="00FA3DB2" w:rsidRDefault="003F1B6F" w:rsidP="003F1B6F">
      <w:pPr>
        <w:pStyle w:val="ListParagraph"/>
        <w:rPr>
          <w:sz w:val="21"/>
          <w:szCs w:val="21"/>
        </w:rPr>
      </w:pPr>
      <w:r w:rsidRPr="00FA3DB2">
        <w:rPr>
          <w:sz w:val="21"/>
          <w:szCs w:val="21"/>
        </w:rPr>
        <w:t>requires a dated entry in the clinical record of the patient/client (or a reference to a clinical record held by the brokered service);</w:t>
      </w:r>
    </w:p>
    <w:p w14:paraId="18133456" w14:textId="77777777" w:rsidR="003F1B6F" w:rsidRPr="00FA3DB2" w:rsidRDefault="003F1B6F" w:rsidP="003F1B6F">
      <w:pPr>
        <w:pStyle w:val="ListParagraph"/>
        <w:rPr>
          <w:sz w:val="21"/>
          <w:szCs w:val="21"/>
        </w:rPr>
      </w:pPr>
      <w:r w:rsidRPr="00FA3DB2">
        <w:rPr>
          <w:sz w:val="21"/>
          <w:szCs w:val="21"/>
        </w:rPr>
        <w:t>have the patient/client directly participating.</w:t>
      </w:r>
    </w:p>
    <w:p w14:paraId="24492403" w14:textId="77777777" w:rsidR="002C5851" w:rsidRDefault="003F1B6F" w:rsidP="002C5851">
      <w:r>
        <w:t xml:space="preserve">Do not report a non-admitted contact for family members, partners, surrogates, donors etc who </w:t>
      </w:r>
      <w:r w:rsidRPr="00A6035B">
        <w:rPr>
          <w:rFonts w:cs="Arial"/>
        </w:rPr>
        <w:t>accompan</w:t>
      </w:r>
      <w:r>
        <w:rPr>
          <w:rFonts w:cs="Arial"/>
        </w:rPr>
        <w:t>y</w:t>
      </w:r>
      <w:r w:rsidRPr="00A6035B">
        <w:rPr>
          <w:rFonts w:cs="Arial"/>
        </w:rPr>
        <w:t xml:space="preserve"> a patient to an appointment </w:t>
      </w:r>
      <w:r>
        <w:rPr>
          <w:rFonts w:cs="Arial"/>
        </w:rPr>
        <w:t>and who do not receive a service meeting the definition of a non-admitted contact</w:t>
      </w:r>
      <w:r w:rsidRPr="00A6035B">
        <w:rPr>
          <w:rFonts w:cs="Arial"/>
        </w:rPr>
        <w:t>.</w:t>
      </w:r>
    </w:p>
    <w:p w14:paraId="2323B481" w14:textId="24F75398" w:rsidR="003F1B6F" w:rsidRPr="00440B56" w:rsidRDefault="003F1B6F" w:rsidP="002C5851">
      <w:r w:rsidRPr="00440B56">
        <w:t xml:space="preserve">Administrative contacts are not to be reported to </w:t>
      </w:r>
      <w:r>
        <w:t xml:space="preserve">the </w:t>
      </w:r>
      <w:r w:rsidRPr="00440B56">
        <w:t>VINAH</w:t>
      </w:r>
      <w:r>
        <w:t xml:space="preserve"> MDS or to AIMS</w:t>
      </w:r>
      <w:r w:rsidRPr="00440B56">
        <w:t xml:space="preserve">. They include </w:t>
      </w:r>
      <w:r>
        <w:t xml:space="preserve">(but are not limited to) </w:t>
      </w:r>
      <w:r w:rsidRPr="00440B56">
        <w:t>activities such as</w:t>
      </w:r>
      <w:r>
        <w:t>:</w:t>
      </w:r>
    </w:p>
    <w:p w14:paraId="2BD08897" w14:textId="77777777" w:rsidR="003F1B6F" w:rsidRPr="00FA3DB2" w:rsidRDefault="003F1B6F" w:rsidP="003F1B6F">
      <w:pPr>
        <w:pStyle w:val="ListParagraph"/>
        <w:rPr>
          <w:sz w:val="21"/>
          <w:szCs w:val="21"/>
        </w:rPr>
      </w:pPr>
      <w:r w:rsidRPr="00FA3DB2">
        <w:rPr>
          <w:sz w:val="21"/>
          <w:szCs w:val="21"/>
        </w:rPr>
        <w:t>allocation meetings</w:t>
      </w:r>
    </w:p>
    <w:p w14:paraId="7A14C685" w14:textId="77777777" w:rsidR="003F1B6F" w:rsidRPr="00FA3DB2" w:rsidRDefault="003F1B6F" w:rsidP="003F1B6F">
      <w:pPr>
        <w:pStyle w:val="ListParagraph"/>
        <w:rPr>
          <w:sz w:val="21"/>
          <w:szCs w:val="21"/>
        </w:rPr>
      </w:pPr>
      <w:r w:rsidRPr="00FA3DB2">
        <w:rPr>
          <w:sz w:val="21"/>
          <w:szCs w:val="21"/>
        </w:rPr>
        <w:t>appointment scheduling</w:t>
      </w:r>
    </w:p>
    <w:p w14:paraId="0A10C8F7" w14:textId="77777777" w:rsidR="003F1B6F" w:rsidRPr="00FA3DB2" w:rsidRDefault="003F1B6F" w:rsidP="003F1B6F">
      <w:pPr>
        <w:pStyle w:val="ListParagraph"/>
        <w:rPr>
          <w:sz w:val="21"/>
          <w:szCs w:val="21"/>
        </w:rPr>
      </w:pPr>
      <w:r w:rsidRPr="00FA3DB2">
        <w:rPr>
          <w:sz w:val="21"/>
          <w:szCs w:val="21"/>
        </w:rPr>
        <w:t>administrative tasks</w:t>
      </w:r>
    </w:p>
    <w:p w14:paraId="40FA6DE4" w14:textId="77777777" w:rsidR="003F1B6F" w:rsidRPr="00FA3DB2" w:rsidRDefault="003F1B6F" w:rsidP="003F1B6F">
      <w:pPr>
        <w:pStyle w:val="ListParagraph"/>
        <w:rPr>
          <w:sz w:val="21"/>
          <w:szCs w:val="21"/>
        </w:rPr>
      </w:pPr>
      <w:r w:rsidRPr="00FA3DB2">
        <w:rPr>
          <w:sz w:val="21"/>
          <w:szCs w:val="21"/>
        </w:rPr>
        <w:t>clinically related administrative work (such as reading or researching patient notes for any purpose)</w:t>
      </w:r>
    </w:p>
    <w:p w14:paraId="6256AC93" w14:textId="77777777" w:rsidR="003F1B6F" w:rsidRPr="00FA3DB2" w:rsidRDefault="003F1B6F" w:rsidP="003F1B6F">
      <w:pPr>
        <w:pStyle w:val="ListParagraph"/>
        <w:rPr>
          <w:sz w:val="21"/>
          <w:szCs w:val="21"/>
        </w:rPr>
      </w:pPr>
      <w:r w:rsidRPr="00FA3DB2">
        <w:rPr>
          <w:sz w:val="21"/>
          <w:szCs w:val="21"/>
        </w:rPr>
        <w:t>clinical supervision</w:t>
      </w:r>
    </w:p>
    <w:p w14:paraId="3227810F" w14:textId="0A5A6276" w:rsidR="003F1B6F" w:rsidRPr="00FA3DB2" w:rsidRDefault="003F1B6F" w:rsidP="003F1B6F">
      <w:pPr>
        <w:pStyle w:val="ListParagraph"/>
        <w:rPr>
          <w:sz w:val="21"/>
          <w:szCs w:val="21"/>
        </w:rPr>
      </w:pPr>
      <w:r w:rsidRPr="00FA3DB2">
        <w:rPr>
          <w:sz w:val="21"/>
          <w:szCs w:val="21"/>
        </w:rPr>
        <w:t xml:space="preserve">organisation of </w:t>
      </w:r>
      <w:r w:rsidR="0059011D" w:rsidRPr="00FA3DB2">
        <w:rPr>
          <w:sz w:val="21"/>
          <w:szCs w:val="21"/>
        </w:rPr>
        <w:t>contracted care</w:t>
      </w:r>
      <w:r w:rsidR="0003708E" w:rsidRPr="00FA3DB2">
        <w:rPr>
          <w:sz w:val="21"/>
          <w:szCs w:val="21"/>
        </w:rPr>
        <w:t xml:space="preserve"> (including brokered/sub-contracted)</w:t>
      </w:r>
      <w:r w:rsidRPr="00FA3DB2">
        <w:rPr>
          <w:sz w:val="21"/>
          <w:szCs w:val="21"/>
        </w:rPr>
        <w:t xml:space="preserve"> services</w:t>
      </w:r>
    </w:p>
    <w:p w14:paraId="308EE761" w14:textId="77777777" w:rsidR="003F1B6F" w:rsidRPr="00FA3DB2" w:rsidRDefault="003F1B6F" w:rsidP="003F1B6F">
      <w:pPr>
        <w:pStyle w:val="ListParagraph"/>
        <w:rPr>
          <w:sz w:val="21"/>
          <w:szCs w:val="21"/>
        </w:rPr>
      </w:pPr>
      <w:r w:rsidRPr="00FA3DB2">
        <w:rPr>
          <w:sz w:val="21"/>
          <w:szCs w:val="21"/>
        </w:rPr>
        <w:t>record keeping</w:t>
      </w:r>
    </w:p>
    <w:p w14:paraId="754F404A" w14:textId="77777777" w:rsidR="003F1B6F" w:rsidRPr="00FA3DB2" w:rsidRDefault="003F1B6F" w:rsidP="003F1B6F">
      <w:pPr>
        <w:pStyle w:val="ListParagraph"/>
        <w:rPr>
          <w:sz w:val="21"/>
          <w:szCs w:val="21"/>
        </w:rPr>
      </w:pPr>
      <w:r w:rsidRPr="00FA3DB2">
        <w:rPr>
          <w:sz w:val="21"/>
          <w:szCs w:val="21"/>
        </w:rPr>
        <w:t>report writing or reviewing</w:t>
      </w:r>
    </w:p>
    <w:p w14:paraId="7C623EBB" w14:textId="77777777" w:rsidR="003F1B6F" w:rsidRPr="00FA3DB2" w:rsidRDefault="003F1B6F" w:rsidP="003F1B6F">
      <w:pPr>
        <w:pStyle w:val="ListParagraph"/>
        <w:rPr>
          <w:sz w:val="21"/>
          <w:szCs w:val="21"/>
        </w:rPr>
      </w:pPr>
      <w:r w:rsidRPr="00FA3DB2">
        <w:rPr>
          <w:sz w:val="21"/>
          <w:szCs w:val="21"/>
        </w:rPr>
        <w:t>research on any topic for any purpose</w:t>
      </w:r>
    </w:p>
    <w:p w14:paraId="600D82D8" w14:textId="77777777" w:rsidR="003F1B6F" w:rsidRPr="00FA3DB2" w:rsidRDefault="003F1B6F" w:rsidP="003F1B6F">
      <w:pPr>
        <w:pStyle w:val="ListParagraph"/>
        <w:rPr>
          <w:rFonts w:eastAsia="Times"/>
          <w:sz w:val="21"/>
          <w:szCs w:val="21"/>
        </w:rPr>
      </w:pPr>
      <w:r w:rsidRPr="00FA3DB2">
        <w:rPr>
          <w:sz w:val="21"/>
          <w:szCs w:val="21"/>
        </w:rPr>
        <w:t>travel time.</w:t>
      </w:r>
    </w:p>
    <w:p w14:paraId="01617C81" w14:textId="77777777" w:rsidR="003F1B6F" w:rsidRPr="008E420B" w:rsidRDefault="003F1B6F" w:rsidP="0058689D">
      <w:pPr>
        <w:pStyle w:val="Heading3"/>
      </w:pPr>
      <w:bookmarkStart w:id="25" w:name="_Toc163019648"/>
      <w:r>
        <w:t>Account class</w:t>
      </w:r>
      <w:bookmarkEnd w:id="25"/>
    </w:p>
    <w:p w14:paraId="493E6C54" w14:textId="600B9308" w:rsidR="00967727" w:rsidRDefault="003F1B6F" w:rsidP="003F1B6F">
      <w:pPr>
        <w:pStyle w:val="Body"/>
      </w:pPr>
      <w:r w:rsidRPr="006773F0">
        <w:t xml:space="preserve">The </w:t>
      </w:r>
      <w:r w:rsidR="00196D5A">
        <w:t xml:space="preserve">Contact </w:t>
      </w:r>
      <w:r w:rsidRPr="006773F0">
        <w:t xml:space="preserve">Account Class to be reported is MP </w:t>
      </w:r>
      <w:r>
        <w:t>–</w:t>
      </w:r>
      <w:r w:rsidRPr="006773F0">
        <w:t xml:space="preserve"> public</w:t>
      </w:r>
      <w:r>
        <w:t xml:space="preserve">. </w:t>
      </w:r>
      <w:r w:rsidRPr="006773F0">
        <w:t xml:space="preserve">The </w:t>
      </w:r>
      <w:r w:rsidR="00852448">
        <w:t>a</w:t>
      </w:r>
      <w:r w:rsidRPr="006773F0">
        <w:t xml:space="preserve">ccount </w:t>
      </w:r>
      <w:r w:rsidR="00852448">
        <w:t>c</w:t>
      </w:r>
      <w:r w:rsidRPr="006773F0">
        <w:t xml:space="preserve">lass of MP – public is in reference to patients who hold a current </w:t>
      </w:r>
      <w:r w:rsidR="000B5F63" w:rsidRPr="006773F0">
        <w:t>Medicare</w:t>
      </w:r>
      <w:r w:rsidRPr="006773F0">
        <w:t xml:space="preserve"> card.</w:t>
      </w:r>
    </w:p>
    <w:p w14:paraId="13F200C9" w14:textId="7E40BEBB" w:rsidR="003F1B6F" w:rsidRPr="00307BDA" w:rsidRDefault="00967727" w:rsidP="003F1B6F">
      <w:pPr>
        <w:pStyle w:val="Body"/>
      </w:pPr>
      <w:r w:rsidRPr="00307BDA">
        <w:t>P</w:t>
      </w:r>
      <w:r w:rsidR="003F1B6F" w:rsidRPr="00307BDA">
        <w:t xml:space="preserve">risoners </w:t>
      </w:r>
      <w:r w:rsidR="003E5433" w:rsidRPr="00307BDA">
        <w:t>participatin</w:t>
      </w:r>
      <w:r w:rsidR="00156209" w:rsidRPr="00307BDA">
        <w:t>g</w:t>
      </w:r>
      <w:r w:rsidR="003E5433" w:rsidRPr="00307BDA">
        <w:t xml:space="preserve"> in</w:t>
      </w:r>
      <w:r w:rsidR="003F1B6F" w:rsidRPr="00307BDA">
        <w:t xml:space="preserve"> this service </w:t>
      </w:r>
      <w:r w:rsidR="00271E3B" w:rsidRPr="00307BDA">
        <w:t xml:space="preserve">would </w:t>
      </w:r>
      <w:r w:rsidR="00554445" w:rsidRPr="00307BDA">
        <w:t>be at the d</w:t>
      </w:r>
      <w:r w:rsidR="003B7E0F" w:rsidRPr="00307BDA">
        <w:t>iscretion of</w:t>
      </w:r>
      <w:r w:rsidR="00271E3B" w:rsidRPr="00307BDA">
        <w:t xml:space="preserve"> </w:t>
      </w:r>
      <w:r w:rsidR="006A6280" w:rsidRPr="00307BDA">
        <w:t>Corrections</w:t>
      </w:r>
      <w:r w:rsidR="003E5433" w:rsidRPr="00307BDA">
        <w:t xml:space="preserve"> Victoria</w:t>
      </w:r>
      <w:r w:rsidR="00A71544" w:rsidRPr="00307BDA">
        <w:t xml:space="preserve">. Where a prisoner does attend the service report account class </w:t>
      </w:r>
      <w:r w:rsidR="003F1B6F" w:rsidRPr="00307BDA">
        <w:t>JP – prisoner</w:t>
      </w:r>
      <w:r w:rsidR="00A71544" w:rsidRPr="00307BDA">
        <w:t>.</w:t>
      </w:r>
    </w:p>
    <w:p w14:paraId="4614E108" w14:textId="613755FF" w:rsidR="003F1B6F" w:rsidRPr="006773F0" w:rsidRDefault="003F1B6F" w:rsidP="003F1B6F">
      <w:pPr>
        <w:pStyle w:val="Body"/>
      </w:pPr>
      <w:r>
        <w:t>N</w:t>
      </w:r>
      <w:r w:rsidRPr="006773F0">
        <w:t xml:space="preserve">o participating health service provider at </w:t>
      </w:r>
      <w:r>
        <w:t>a</w:t>
      </w:r>
      <w:r w:rsidRPr="006773F0">
        <w:t xml:space="preserve"> health service may bill MBS for their participation in </w:t>
      </w:r>
      <w:r>
        <w:t>a</w:t>
      </w:r>
      <w:r w:rsidRPr="006773F0">
        <w:t xml:space="preserve"> public </w:t>
      </w:r>
      <w:r>
        <w:t xml:space="preserve">fertility </w:t>
      </w:r>
      <w:r w:rsidR="00B56D65">
        <w:t>care</w:t>
      </w:r>
      <w:r>
        <w:t xml:space="preserve"> </w:t>
      </w:r>
      <w:r w:rsidRPr="006773F0">
        <w:t>clinic.</w:t>
      </w:r>
    </w:p>
    <w:p w14:paraId="7A780FAB" w14:textId="1F20A41E" w:rsidR="002220E5" w:rsidRDefault="008A770F" w:rsidP="0058689D">
      <w:pPr>
        <w:pStyle w:val="Heading3"/>
      </w:pPr>
      <w:r>
        <w:t>C</w:t>
      </w:r>
      <w:r w:rsidR="002220E5">
        <w:t>ontract</w:t>
      </w:r>
      <w:r>
        <w:t>ed care</w:t>
      </w:r>
      <w:r w:rsidR="002220E5">
        <w:t xml:space="preserve"> arrangements</w:t>
      </w:r>
      <w:bookmarkEnd w:id="23"/>
    </w:p>
    <w:p w14:paraId="5A7FD431" w14:textId="53D10982" w:rsidR="00BE3E28" w:rsidRDefault="00E730FA" w:rsidP="00BE3E28">
      <w:pPr>
        <w:rPr>
          <w:rFonts w:eastAsia="Times"/>
        </w:rPr>
      </w:pPr>
      <w:r>
        <w:t xml:space="preserve">Should </w:t>
      </w:r>
      <w:r w:rsidR="005C781F">
        <w:t xml:space="preserve">a </w:t>
      </w:r>
      <w:r>
        <w:t xml:space="preserve">patient/client, family member, partner, surrogate, donor etc proceed to require clinical services at either a private provider or satellite service it is the responsibility of the funded agency to report this activity. Activity is reported as being under a contract arrangement, </w:t>
      </w:r>
      <w:r w:rsidRPr="00D10165">
        <w:t xml:space="preserve">with the appropriate Contact Provider code </w:t>
      </w:r>
      <w:r>
        <w:t>of</w:t>
      </w:r>
      <w:r w:rsidRPr="00D10165">
        <w:t xml:space="preserve"> the </w:t>
      </w:r>
      <w:r w:rsidRPr="00D10165">
        <w:rPr>
          <w:rFonts w:eastAsia="Times"/>
        </w:rPr>
        <w:t xml:space="preserve">contracted </w:t>
      </w:r>
      <w:r>
        <w:rPr>
          <w:rFonts w:eastAsia="Times"/>
        </w:rPr>
        <w:t>agency</w:t>
      </w:r>
      <w:r>
        <w:t xml:space="preserve"> that has provided the contact on behalf of the funded agency.</w:t>
      </w:r>
      <w:r w:rsidR="006F6301">
        <w:t xml:space="preserve"> See Table </w:t>
      </w:r>
      <w:r w:rsidR="00186CB5">
        <w:t>1</w:t>
      </w:r>
      <w:r w:rsidR="00BE3E28" w:rsidRPr="25247926">
        <w:rPr>
          <w:rFonts w:eastAsia="Times"/>
        </w:rPr>
        <w:t>.</w:t>
      </w:r>
    </w:p>
    <w:p w14:paraId="7C54F032" w14:textId="54B461A2" w:rsidR="00437F59" w:rsidRPr="00307BDA" w:rsidRDefault="00437F59" w:rsidP="00BE3E28">
      <w:pPr>
        <w:rPr>
          <w:rFonts w:eastAsia="Times"/>
        </w:rPr>
      </w:pPr>
      <w:r>
        <w:rPr>
          <w:rFonts w:eastAsia="Times"/>
        </w:rPr>
        <w:t>A separate referral to the contract</w:t>
      </w:r>
      <w:r w:rsidR="00CA1A68">
        <w:rPr>
          <w:rFonts w:eastAsia="Times"/>
        </w:rPr>
        <w:t>ed agency/satellite site is not required</w:t>
      </w:r>
      <w:r w:rsidR="007E31A1">
        <w:rPr>
          <w:rFonts w:eastAsia="Times"/>
        </w:rPr>
        <w:t xml:space="preserve"> to be reported</w:t>
      </w:r>
      <w:r w:rsidR="00CA1A68">
        <w:rPr>
          <w:rFonts w:eastAsia="Times"/>
        </w:rPr>
        <w:t xml:space="preserve"> because the funded agency is reporting the activity.</w:t>
      </w:r>
      <w:r w:rsidR="00986DDE">
        <w:rPr>
          <w:rFonts w:eastAsia="Times"/>
        </w:rPr>
        <w:t xml:space="preserve"> </w:t>
      </w:r>
      <w:r w:rsidR="00986DDE" w:rsidRPr="00307BDA">
        <w:rPr>
          <w:rFonts w:eastAsia="Times"/>
        </w:rPr>
        <w:t>The contracted agency/satellite site is not required to register clinics in NACMS</w:t>
      </w:r>
      <w:r w:rsidR="002B1BA6" w:rsidRPr="00307BDA">
        <w:rPr>
          <w:rFonts w:eastAsia="Times"/>
        </w:rPr>
        <w:t>.</w:t>
      </w:r>
    </w:p>
    <w:p w14:paraId="014352B4" w14:textId="496207CD" w:rsidR="00986471" w:rsidRDefault="00986471" w:rsidP="00BE3E28">
      <w:pPr>
        <w:rPr>
          <w:rFonts w:eastAsia="Times"/>
        </w:rPr>
      </w:pPr>
      <w:r>
        <w:t xml:space="preserve">The funded agency reporting this activity within the VINAH MDS at patient level, </w:t>
      </w:r>
      <w:r w:rsidR="009C7967">
        <w:t>must</w:t>
      </w:r>
      <w:r>
        <w:t xml:space="preserve"> report the aggregate data </w:t>
      </w:r>
      <w:r w:rsidR="00AC1DA8">
        <w:t xml:space="preserve">on the </w:t>
      </w:r>
      <w:r w:rsidR="00321D5D">
        <w:t xml:space="preserve">AIMS </w:t>
      </w:r>
      <w:r w:rsidR="00AC1DA8">
        <w:t>S10</w:t>
      </w:r>
      <w:r w:rsidR="007B1A61">
        <w:t xml:space="preserve"> </w:t>
      </w:r>
      <w:r>
        <w:t>at service event level.</w:t>
      </w:r>
    </w:p>
    <w:p w14:paraId="60ADD78F" w14:textId="77777777" w:rsidR="00807BEB" w:rsidRDefault="00807BEB">
      <w:pPr>
        <w:spacing w:after="0" w:line="240" w:lineRule="auto"/>
        <w:rPr>
          <w:rFonts w:eastAsia="Times"/>
        </w:rPr>
      </w:pPr>
      <w:r>
        <w:rPr>
          <w:rFonts w:eastAsia="Times"/>
        </w:rPr>
        <w:br w:type="page"/>
      </w:r>
    </w:p>
    <w:p w14:paraId="67172EED" w14:textId="559B2C62" w:rsidR="00E730FA" w:rsidRDefault="00E730FA" w:rsidP="00E730FA">
      <w:pPr>
        <w:rPr>
          <w:rFonts w:eastAsia="Times"/>
        </w:rPr>
      </w:pPr>
      <w:r w:rsidRPr="25247926">
        <w:rPr>
          <w:rFonts w:eastAsia="Times"/>
        </w:rPr>
        <w:lastRenderedPageBreak/>
        <w:t xml:space="preserve">Table </w:t>
      </w:r>
      <w:r w:rsidR="00186CB5">
        <w:rPr>
          <w:rFonts w:eastAsia="Times"/>
        </w:rPr>
        <w:t>1</w:t>
      </w:r>
      <w:r w:rsidRPr="25247926">
        <w:rPr>
          <w:rFonts w:eastAsia="Times"/>
        </w:rPr>
        <w:t>: Example campus codes and provider codes:</w:t>
      </w:r>
    </w:p>
    <w:tbl>
      <w:tblPr>
        <w:tblStyle w:val="TableGrid"/>
        <w:tblW w:w="0" w:type="auto"/>
        <w:tblLook w:val="04A0" w:firstRow="1" w:lastRow="0" w:firstColumn="1" w:lastColumn="0" w:noHBand="0" w:noVBand="1"/>
      </w:tblPr>
      <w:tblGrid>
        <w:gridCol w:w="3114"/>
        <w:gridCol w:w="3260"/>
        <w:gridCol w:w="3820"/>
      </w:tblGrid>
      <w:tr w:rsidR="004E6638" w14:paraId="7879948E" w14:textId="77777777" w:rsidTr="00A13328">
        <w:trPr>
          <w:trHeight w:val="300"/>
        </w:trPr>
        <w:tc>
          <w:tcPr>
            <w:tcW w:w="3114" w:type="dxa"/>
          </w:tcPr>
          <w:p w14:paraId="7F7027B7" w14:textId="77777777" w:rsidR="00E730FA" w:rsidRDefault="00E730FA" w:rsidP="006B1424">
            <w:pPr>
              <w:rPr>
                <w:rFonts w:eastAsia="Times"/>
              </w:rPr>
            </w:pPr>
          </w:p>
        </w:tc>
        <w:tc>
          <w:tcPr>
            <w:tcW w:w="3260" w:type="dxa"/>
          </w:tcPr>
          <w:p w14:paraId="0CB08DB9" w14:textId="77777777" w:rsidR="00E730FA" w:rsidRDefault="00E730FA" w:rsidP="006B1424">
            <w:pPr>
              <w:rPr>
                <w:rFonts w:eastAsia="Times"/>
              </w:rPr>
            </w:pPr>
            <w:r w:rsidRPr="30A4A7B8">
              <w:rPr>
                <w:rFonts w:eastAsia="Times"/>
              </w:rPr>
              <w:t>Episode/Contact Campus Code:</w:t>
            </w:r>
          </w:p>
        </w:tc>
        <w:tc>
          <w:tcPr>
            <w:tcW w:w="3820" w:type="dxa"/>
          </w:tcPr>
          <w:p w14:paraId="6C399798" w14:textId="77777777" w:rsidR="00E730FA" w:rsidRDefault="00E730FA" w:rsidP="006B1424">
            <w:pPr>
              <w:rPr>
                <w:rFonts w:eastAsia="Times"/>
              </w:rPr>
            </w:pPr>
            <w:r w:rsidRPr="30A4A7B8">
              <w:rPr>
                <w:rFonts w:eastAsia="Times"/>
              </w:rPr>
              <w:t>Contact Provider Code:</w:t>
            </w:r>
          </w:p>
        </w:tc>
      </w:tr>
      <w:tr w:rsidR="004E6638" w14:paraId="3A21A3C6" w14:textId="77777777" w:rsidTr="00A13328">
        <w:trPr>
          <w:trHeight w:val="300"/>
        </w:trPr>
        <w:tc>
          <w:tcPr>
            <w:tcW w:w="3114" w:type="dxa"/>
          </w:tcPr>
          <w:p w14:paraId="6B4512FB" w14:textId="77777777" w:rsidR="00E730FA" w:rsidRDefault="00E730FA" w:rsidP="006B1424">
            <w:pPr>
              <w:rPr>
                <w:rFonts w:eastAsia="Times"/>
              </w:rPr>
            </w:pPr>
            <w:r w:rsidRPr="30A4A7B8">
              <w:rPr>
                <w:rFonts w:eastAsia="Times"/>
              </w:rPr>
              <w:t>Monash Health - Clayton</w:t>
            </w:r>
          </w:p>
        </w:tc>
        <w:tc>
          <w:tcPr>
            <w:tcW w:w="3260" w:type="dxa"/>
          </w:tcPr>
          <w:p w14:paraId="53F609B7" w14:textId="77777777" w:rsidR="00E730FA" w:rsidRDefault="00E730FA" w:rsidP="008966CB">
            <w:pPr>
              <w:jc w:val="center"/>
              <w:rPr>
                <w:rFonts w:eastAsia="Times"/>
              </w:rPr>
            </w:pPr>
            <w:r w:rsidRPr="30A4A7B8">
              <w:rPr>
                <w:rFonts w:eastAsia="Times"/>
              </w:rPr>
              <w:t>1170</w:t>
            </w:r>
          </w:p>
        </w:tc>
        <w:tc>
          <w:tcPr>
            <w:tcW w:w="3820" w:type="dxa"/>
          </w:tcPr>
          <w:p w14:paraId="20DF85ED" w14:textId="5548D6F8" w:rsidR="00E730FA" w:rsidRDefault="00603130" w:rsidP="006B1424">
            <w:pPr>
              <w:rPr>
                <w:rFonts w:eastAsia="Times"/>
              </w:rPr>
            </w:pPr>
            <w:r>
              <w:rPr>
                <w:rFonts w:eastAsia="Times"/>
              </w:rPr>
              <w:t>Monash Health Clayton, 903</w:t>
            </w:r>
          </w:p>
        </w:tc>
      </w:tr>
      <w:tr w:rsidR="00AD3ABD" w14:paraId="22047B28" w14:textId="77777777" w:rsidTr="00A13328">
        <w:trPr>
          <w:trHeight w:val="300"/>
        </w:trPr>
        <w:tc>
          <w:tcPr>
            <w:tcW w:w="3114" w:type="dxa"/>
          </w:tcPr>
          <w:p w14:paraId="76715AB4" w14:textId="720462BD" w:rsidR="00AD3ABD" w:rsidRPr="30A4A7B8" w:rsidRDefault="00AD3ABD" w:rsidP="00AD3ABD">
            <w:pPr>
              <w:rPr>
                <w:rFonts w:eastAsia="Times"/>
              </w:rPr>
            </w:pPr>
            <w:r w:rsidRPr="30A4A7B8">
              <w:rPr>
                <w:rFonts w:eastAsia="Times"/>
              </w:rPr>
              <w:t>Monash Health - Clayton</w:t>
            </w:r>
          </w:p>
        </w:tc>
        <w:tc>
          <w:tcPr>
            <w:tcW w:w="3260" w:type="dxa"/>
          </w:tcPr>
          <w:p w14:paraId="75B19869" w14:textId="2D4CE140" w:rsidR="00AD3ABD" w:rsidRPr="30A4A7B8" w:rsidRDefault="00AD3ABD" w:rsidP="008966CB">
            <w:pPr>
              <w:jc w:val="center"/>
              <w:rPr>
                <w:rFonts w:eastAsia="Times"/>
              </w:rPr>
            </w:pPr>
            <w:r w:rsidRPr="30A4A7B8">
              <w:rPr>
                <w:rFonts w:eastAsia="Times"/>
              </w:rPr>
              <w:t>1170</w:t>
            </w:r>
          </w:p>
        </w:tc>
        <w:tc>
          <w:tcPr>
            <w:tcW w:w="3820" w:type="dxa"/>
          </w:tcPr>
          <w:p w14:paraId="3930D913" w14:textId="775A9256" w:rsidR="00AD3ABD" w:rsidRDefault="00AD3ABD" w:rsidP="00AD3ABD">
            <w:pPr>
              <w:rPr>
                <w:rFonts w:eastAsia="Times"/>
              </w:rPr>
            </w:pPr>
            <w:r w:rsidRPr="30A4A7B8">
              <w:rPr>
                <w:rFonts w:eastAsia="Times"/>
              </w:rPr>
              <w:t xml:space="preserve">City Fertility </w:t>
            </w:r>
            <w:r>
              <w:rPr>
                <w:rFonts w:eastAsia="Times"/>
              </w:rPr>
              <w:t>Melbourne, 8520</w:t>
            </w:r>
          </w:p>
        </w:tc>
      </w:tr>
      <w:tr w:rsidR="00AD3ABD" w14:paraId="1D9956A8" w14:textId="77777777" w:rsidTr="00A13328">
        <w:trPr>
          <w:trHeight w:val="300"/>
        </w:trPr>
        <w:tc>
          <w:tcPr>
            <w:tcW w:w="3114" w:type="dxa"/>
          </w:tcPr>
          <w:p w14:paraId="3794B221" w14:textId="77777777" w:rsidR="00AD3ABD" w:rsidRDefault="00AD3ABD" w:rsidP="00AD3ABD">
            <w:pPr>
              <w:rPr>
                <w:rFonts w:eastAsia="Times"/>
              </w:rPr>
            </w:pPr>
            <w:r w:rsidRPr="30A4A7B8">
              <w:rPr>
                <w:rFonts w:eastAsia="Times"/>
              </w:rPr>
              <w:t>The Royal Women’s Hospital</w:t>
            </w:r>
          </w:p>
        </w:tc>
        <w:tc>
          <w:tcPr>
            <w:tcW w:w="3260" w:type="dxa"/>
          </w:tcPr>
          <w:p w14:paraId="5E82759A" w14:textId="77777777" w:rsidR="00AD3ABD" w:rsidRDefault="00AD3ABD" w:rsidP="008966CB">
            <w:pPr>
              <w:jc w:val="center"/>
              <w:rPr>
                <w:rFonts w:eastAsia="Times"/>
              </w:rPr>
            </w:pPr>
            <w:r w:rsidRPr="30A4A7B8">
              <w:rPr>
                <w:rFonts w:eastAsia="Times"/>
              </w:rPr>
              <w:t>1230</w:t>
            </w:r>
          </w:p>
        </w:tc>
        <w:tc>
          <w:tcPr>
            <w:tcW w:w="3820" w:type="dxa"/>
          </w:tcPr>
          <w:p w14:paraId="4DE67813" w14:textId="4A433ED4" w:rsidR="00AD3ABD" w:rsidRDefault="00AD3ABD" w:rsidP="00AD3ABD">
            <w:pPr>
              <w:rPr>
                <w:rFonts w:eastAsia="Times"/>
              </w:rPr>
            </w:pPr>
            <w:r>
              <w:rPr>
                <w:rFonts w:eastAsia="Times"/>
              </w:rPr>
              <w:t>Royal Women’s Hospital, 1230</w:t>
            </w:r>
          </w:p>
        </w:tc>
      </w:tr>
      <w:tr w:rsidR="0050353E" w14:paraId="1C32897D" w14:textId="77777777" w:rsidTr="00A13328">
        <w:trPr>
          <w:trHeight w:val="300"/>
        </w:trPr>
        <w:tc>
          <w:tcPr>
            <w:tcW w:w="3114" w:type="dxa"/>
          </w:tcPr>
          <w:p w14:paraId="1E9E3823" w14:textId="77777777" w:rsidR="0050353E" w:rsidRDefault="0050353E" w:rsidP="0050353E">
            <w:pPr>
              <w:rPr>
                <w:rFonts w:eastAsia="Times"/>
              </w:rPr>
            </w:pPr>
            <w:r w:rsidRPr="30A4A7B8">
              <w:rPr>
                <w:rFonts w:eastAsia="Times"/>
              </w:rPr>
              <w:t>The Royal Women’s Hospital</w:t>
            </w:r>
          </w:p>
        </w:tc>
        <w:tc>
          <w:tcPr>
            <w:tcW w:w="3260" w:type="dxa"/>
          </w:tcPr>
          <w:p w14:paraId="36DC46AB" w14:textId="77777777" w:rsidR="0050353E" w:rsidRDefault="0050353E" w:rsidP="00025F28">
            <w:pPr>
              <w:jc w:val="center"/>
              <w:rPr>
                <w:rFonts w:eastAsia="Times"/>
              </w:rPr>
            </w:pPr>
            <w:r w:rsidRPr="30A4A7B8">
              <w:rPr>
                <w:rFonts w:eastAsia="Times"/>
              </w:rPr>
              <w:t>1230</w:t>
            </w:r>
          </w:p>
        </w:tc>
        <w:tc>
          <w:tcPr>
            <w:tcW w:w="3820" w:type="dxa"/>
          </w:tcPr>
          <w:p w14:paraId="3B8FF18D" w14:textId="1743EC90" w:rsidR="0050353E" w:rsidRDefault="006A3164" w:rsidP="0050353E">
            <w:pPr>
              <w:rPr>
                <w:rFonts w:eastAsia="Times"/>
              </w:rPr>
            </w:pPr>
            <w:r>
              <w:rPr>
                <w:rFonts w:eastAsia="Times"/>
              </w:rPr>
              <w:t>s</w:t>
            </w:r>
            <w:r w:rsidR="0050353E" w:rsidRPr="30A4A7B8">
              <w:rPr>
                <w:rFonts w:eastAsia="Times"/>
              </w:rPr>
              <w:t>atellite service</w:t>
            </w:r>
            <w:r>
              <w:rPr>
                <w:rFonts w:eastAsia="Times"/>
              </w:rPr>
              <w:t>’s</w:t>
            </w:r>
            <w:r w:rsidR="0050353E" w:rsidRPr="30A4A7B8">
              <w:rPr>
                <w:rFonts w:eastAsia="Times"/>
              </w:rPr>
              <w:t xml:space="preserve"> provider code &lt;as per section 9 of VINAH MDS manual&gt;</w:t>
            </w:r>
          </w:p>
        </w:tc>
      </w:tr>
    </w:tbl>
    <w:p w14:paraId="0012CEAA" w14:textId="77777777" w:rsidR="002351CA" w:rsidRPr="002351CA" w:rsidRDefault="002351CA" w:rsidP="009B521F">
      <w:pPr>
        <w:pStyle w:val="Heading1"/>
      </w:pPr>
      <w:bookmarkStart w:id="26" w:name="_Toc163019551"/>
      <w:bookmarkStart w:id="27" w:name="_Toc163019653"/>
      <w:bookmarkStart w:id="28" w:name="_Toc174520853"/>
      <w:r w:rsidRPr="002351CA">
        <w:t>Service events</w:t>
      </w:r>
      <w:bookmarkEnd w:id="26"/>
      <w:bookmarkEnd w:id="27"/>
      <w:bookmarkEnd w:id="28"/>
    </w:p>
    <w:p w14:paraId="6CB25A02" w14:textId="77777777" w:rsidR="00A01B6B" w:rsidRDefault="002351CA" w:rsidP="0002015D">
      <w:pPr>
        <w:pStyle w:val="Body"/>
      </w:pPr>
      <w:r w:rsidRPr="002351CA">
        <w:t>The department of health derives service events from contact data reported to the VINAH MDS.</w:t>
      </w:r>
    </w:p>
    <w:p w14:paraId="6E256FBD" w14:textId="204DA838" w:rsidR="00A01B6B" w:rsidRDefault="002351CA" w:rsidP="0002015D">
      <w:pPr>
        <w:pStyle w:val="Body"/>
      </w:pPr>
      <w:r w:rsidRPr="002351CA">
        <w:t xml:space="preserve">The non-admitted patient service event is used to count health care services delivered to patients in the non-admitted sector of the public hospital system for </w:t>
      </w:r>
      <w:r w:rsidR="009A128C">
        <w:t>activity based funding (</w:t>
      </w:r>
      <w:r w:rsidRPr="002351CA">
        <w:t>ABF</w:t>
      </w:r>
      <w:r w:rsidR="009A128C">
        <w:t>)</w:t>
      </w:r>
      <w:r w:rsidRPr="002351CA">
        <w:t xml:space="preserve"> purposes.</w:t>
      </w:r>
    </w:p>
    <w:p w14:paraId="202AA702" w14:textId="77777777" w:rsidR="00A01B6B" w:rsidRDefault="002351CA" w:rsidP="0002015D">
      <w:pPr>
        <w:pStyle w:val="Body"/>
      </w:pPr>
      <w:r w:rsidRPr="002351CA">
        <w:t>A non-admitted patient service event is defined as an interaction between one or more healthcare provider(s) with one non-admitted patient, which must contain therapeutic/clinical content and result in a dated entry in the patient’s medical record. The interaction may be for assessment, examination, consultation, treatment and/or education.</w:t>
      </w:r>
    </w:p>
    <w:p w14:paraId="58F006FF" w14:textId="1035AD3B" w:rsidR="002351CA" w:rsidRPr="002351CA" w:rsidRDefault="002351CA" w:rsidP="0002015D">
      <w:pPr>
        <w:pStyle w:val="Body"/>
      </w:pPr>
      <w:r w:rsidRPr="002351CA">
        <w:t xml:space="preserve">Further information on service event derivation rules is </w:t>
      </w:r>
      <w:r w:rsidR="00147788">
        <w:t>available</w:t>
      </w:r>
      <w:r w:rsidRPr="002351CA">
        <w:t xml:space="preserve"> in the </w:t>
      </w:r>
      <w:hyperlink r:id="rId19">
        <w:r w:rsidRPr="003A57A4">
          <w:rPr>
            <w:color w:val="004C97"/>
            <w:u w:val="dotted"/>
          </w:rPr>
          <w:t>VINAH MDS manual</w:t>
        </w:r>
      </w:hyperlink>
      <w:r w:rsidRPr="003A57A4">
        <w:t xml:space="preserve"> </w:t>
      </w:r>
      <w:r w:rsidR="009901FF">
        <w:t>&lt;</w:t>
      </w:r>
      <w:r w:rsidR="00C81F8F" w:rsidRPr="009901FF">
        <w:t>https://www.health.vic.gov.au/data-reporting/victorian-integrated-non-admitted-health-vinah-dataset</w:t>
      </w:r>
      <w:r w:rsidR="009901FF">
        <w:t>&gt;</w:t>
      </w:r>
      <w:r w:rsidR="00C81F8F">
        <w:t>,</w:t>
      </w:r>
      <w:r w:rsidR="00456F1D">
        <w:t xml:space="preserve"> a</w:t>
      </w:r>
      <w:r w:rsidR="00EF5D42">
        <w:t xml:space="preserve">s well as </w:t>
      </w:r>
      <w:r w:rsidR="00F21C1C">
        <w:t xml:space="preserve">the </w:t>
      </w:r>
      <w:hyperlink r:id="rId20" w:history="1">
        <w:r w:rsidR="00F21C1C">
          <w:rPr>
            <w:rStyle w:val="Hyperlink"/>
          </w:rPr>
          <w:t>National Funding Model implementation resources</w:t>
        </w:r>
      </w:hyperlink>
      <w:r w:rsidR="00F21C1C">
        <w:t xml:space="preserve"> &lt;</w:t>
      </w:r>
      <w:r w:rsidR="006273AB" w:rsidRPr="006273AB">
        <w:t>https://www.health.vic.gov.au/data-reporting/national-funding-model-implementation-resources</w:t>
      </w:r>
      <w:r w:rsidR="00D62F6C">
        <w:t>&gt;</w:t>
      </w:r>
      <w:r w:rsidR="00451143">
        <w:t>.</w:t>
      </w:r>
    </w:p>
    <w:p w14:paraId="0B495AF4" w14:textId="77777777" w:rsidR="002351CA" w:rsidRPr="002351CA" w:rsidRDefault="002351CA" w:rsidP="00E3662F">
      <w:pPr>
        <w:pStyle w:val="Heading2"/>
      </w:pPr>
      <w:bookmarkStart w:id="29" w:name="_Toc163019552"/>
      <w:bookmarkStart w:id="30" w:name="_Toc163019654"/>
      <w:bookmarkStart w:id="31" w:name="_Toc174520854"/>
      <w:r w:rsidRPr="002351CA">
        <w:t>General counting rules</w:t>
      </w:r>
      <w:bookmarkEnd w:id="29"/>
      <w:bookmarkEnd w:id="30"/>
      <w:bookmarkEnd w:id="31"/>
    </w:p>
    <w:p w14:paraId="1832EEDA" w14:textId="28511A1D" w:rsidR="002351CA" w:rsidRPr="002351CA" w:rsidRDefault="002351CA" w:rsidP="00305DF7">
      <w:pPr>
        <w:pStyle w:val="Bullet1"/>
        <w:numPr>
          <w:ilvl w:val="0"/>
          <w:numId w:val="10"/>
        </w:numPr>
        <w:rPr>
          <w:lang w:eastAsia="en-AU"/>
        </w:rPr>
      </w:pPr>
      <w:r w:rsidRPr="002351CA">
        <w:rPr>
          <w:lang w:eastAsia="en-AU"/>
        </w:rPr>
        <w:t>Regardless of the number of healthcare providers involved, a non</w:t>
      </w:r>
      <w:r w:rsidRPr="002351CA">
        <w:rPr>
          <w:lang w:eastAsia="en-AU"/>
        </w:rPr>
        <w:noBreakHyphen/>
        <w:t>admitted patient service event must</w:t>
      </w:r>
      <w:r w:rsidR="00A77161">
        <w:rPr>
          <w:lang w:eastAsia="en-AU"/>
        </w:rPr>
        <w:t xml:space="preserve"> </w:t>
      </w:r>
      <w:r w:rsidRPr="002351CA">
        <w:rPr>
          <w:lang w:eastAsia="en-AU"/>
        </w:rPr>
        <w:t>be counted once only.</w:t>
      </w:r>
    </w:p>
    <w:p w14:paraId="7501DB1D" w14:textId="77777777" w:rsidR="002351CA" w:rsidRPr="002351CA" w:rsidRDefault="002351CA" w:rsidP="00305DF7">
      <w:pPr>
        <w:pStyle w:val="Bullet1"/>
        <w:numPr>
          <w:ilvl w:val="0"/>
          <w:numId w:val="10"/>
        </w:numPr>
        <w:rPr>
          <w:lang w:eastAsia="en-AU"/>
        </w:rPr>
      </w:pPr>
      <w:r w:rsidRPr="002351CA">
        <w:rPr>
          <w:lang w:eastAsia="en-AU"/>
        </w:rPr>
        <w:t>Only one non-admitted patient service event may be counted for a patient at a clinic on a given calendar day.</w:t>
      </w:r>
    </w:p>
    <w:p w14:paraId="633FD108" w14:textId="774A2A22" w:rsidR="002351CA" w:rsidRDefault="002351CA" w:rsidP="00305DF7">
      <w:pPr>
        <w:pStyle w:val="Bullet1"/>
        <w:numPr>
          <w:ilvl w:val="0"/>
          <w:numId w:val="10"/>
        </w:numPr>
        <w:rPr>
          <w:lang w:eastAsia="en-AU"/>
        </w:rPr>
      </w:pPr>
      <w:r w:rsidRPr="002351CA">
        <w:rPr>
          <w:lang w:eastAsia="en-AU"/>
        </w:rPr>
        <w:t>Services provided to patients in the admitted or emergency care settings must not be counted as non-admitted patient service events.</w:t>
      </w:r>
    </w:p>
    <w:p w14:paraId="4E407F56" w14:textId="64DF0A8D" w:rsidR="00DC3CCF" w:rsidRDefault="0000069F" w:rsidP="00305DF7">
      <w:pPr>
        <w:pStyle w:val="Bullet1"/>
        <w:numPr>
          <w:ilvl w:val="0"/>
          <w:numId w:val="10"/>
        </w:numPr>
        <w:rPr>
          <w:lang w:eastAsia="en-AU"/>
        </w:rPr>
      </w:pPr>
      <w:r w:rsidRPr="00DC3CCF">
        <w:rPr>
          <w:rFonts w:cs="Arial"/>
          <w:szCs w:val="21"/>
        </w:rPr>
        <w:t>Non-admitted service events delivered via telehealth where two public hospital service non</w:t>
      </w:r>
      <w:r w:rsidRPr="00DC3CCF">
        <w:rPr>
          <w:rFonts w:cs="Arial"/>
          <w:szCs w:val="21"/>
        </w:rPr>
        <w:noBreakHyphen/>
        <w:t>admitted clinics are involved are counted twice. One service event is counted at the clinic where the patient attends, and one service event is counted at the clinic providing the consultation. Please refer to Section 2.5 for further information on counting telehealth services.</w:t>
      </w:r>
    </w:p>
    <w:p w14:paraId="540A9FAD" w14:textId="71F6CD63" w:rsidR="00DC3CCF" w:rsidRDefault="002351CA" w:rsidP="00305DF7">
      <w:pPr>
        <w:pStyle w:val="Bullet1"/>
        <w:numPr>
          <w:ilvl w:val="0"/>
          <w:numId w:val="10"/>
        </w:numPr>
        <w:rPr>
          <w:lang w:eastAsia="en-AU"/>
        </w:rPr>
      </w:pPr>
      <w:r w:rsidRPr="002351CA">
        <w:rPr>
          <w:lang w:eastAsia="en-AU"/>
        </w:rPr>
        <w:t xml:space="preserve">A non-admitted patient discussed at a multidisciplinary case conference (MDCC) may be counted as a non-admitted patient service event when the patient is not present. Refer to the department’s </w:t>
      </w:r>
      <w:hyperlink r:id="rId21" w:history="1">
        <w:r w:rsidRPr="005A663A">
          <w:rPr>
            <w:color w:val="004C97"/>
            <w:u w:val="dotted"/>
            <w:lang w:eastAsia="en-AU"/>
          </w:rPr>
          <w:t>Non-Admitted Multidisciplinary Case Conferences - Reporting Guidelines</w:t>
        </w:r>
      </w:hyperlink>
      <w:r w:rsidR="00414A59">
        <w:rPr>
          <w:lang w:eastAsia="en-AU"/>
        </w:rPr>
        <w:t xml:space="preserve"> </w:t>
      </w:r>
      <w:r w:rsidRPr="002351CA">
        <w:rPr>
          <w:lang w:eastAsia="en-AU"/>
        </w:rPr>
        <w:t>&lt;https://www.health.vic.gov.au/publications/non-admitted-multidisciplinary-case-conferences-reporting-guidelines&gt; for further information.</w:t>
      </w:r>
    </w:p>
    <w:p w14:paraId="02C3B467" w14:textId="35313B44" w:rsidR="002351CA" w:rsidRPr="00DC3CCF" w:rsidRDefault="008E420B" w:rsidP="00B56EBC">
      <w:pPr>
        <w:pStyle w:val="Bodyafterbullets"/>
      </w:pPr>
      <w:r w:rsidRPr="00DC3CCF">
        <w:t xml:space="preserve">The </w:t>
      </w:r>
      <w:hyperlink r:id="rId22" w:history="1">
        <w:r w:rsidRPr="005A663A">
          <w:rPr>
            <w:rStyle w:val="Hyperlink"/>
            <w:iCs/>
          </w:rPr>
          <w:t>Tier 2 Non-Admitted Services</w:t>
        </w:r>
      </w:hyperlink>
      <w:r w:rsidRPr="005A663A">
        <w:rPr>
          <w:iCs/>
        </w:rPr>
        <w:t xml:space="preserve"> Compendium</w:t>
      </w:r>
      <w:bookmarkStart w:id="32" w:name="_Hlk173393356"/>
      <w:r w:rsidR="00414A59" w:rsidRPr="00414A59">
        <w:rPr>
          <w:iCs/>
        </w:rPr>
        <w:t xml:space="preserve"> </w:t>
      </w:r>
      <w:r w:rsidR="00110936">
        <w:t>&lt;</w:t>
      </w:r>
      <w:bookmarkEnd w:id="32"/>
      <w:r w:rsidR="00B908E1" w:rsidRPr="00110936">
        <w:t>https://www.ihacpa.gov.au/health-care/classification/non-admitted-care/tier-2-non-admitted-services-classification</w:t>
      </w:r>
      <w:r w:rsidR="00110936">
        <w:t>&gt;</w:t>
      </w:r>
      <w:r w:rsidRPr="00DC3CCF">
        <w:rPr>
          <w:i/>
        </w:rPr>
        <w:t xml:space="preserve"> </w:t>
      </w:r>
      <w:r w:rsidRPr="00DC3CCF">
        <w:t>provide</w:t>
      </w:r>
      <w:r w:rsidR="00A71451">
        <w:t>s</w:t>
      </w:r>
      <w:r w:rsidRPr="00DC3CCF">
        <w:t xml:space="preserve"> definitions and counting rules for </w:t>
      </w:r>
      <w:r w:rsidR="00E43AD6" w:rsidRPr="00DC3CCF">
        <w:t>non-admitted activity</w:t>
      </w:r>
      <w:r w:rsidRPr="00DC3CCF">
        <w:t>.</w:t>
      </w:r>
    </w:p>
    <w:p w14:paraId="76DB8515" w14:textId="57D0CB92" w:rsidR="00006934" w:rsidRDefault="00006934" w:rsidP="009B521F">
      <w:pPr>
        <w:pStyle w:val="Heading1"/>
      </w:pPr>
      <w:bookmarkStart w:id="33" w:name="_Toc163019553"/>
      <w:bookmarkStart w:id="34" w:name="_Toc163019655"/>
      <w:bookmarkStart w:id="35" w:name="_Toc174520855"/>
      <w:r>
        <w:lastRenderedPageBreak/>
        <w:t>Classification</w:t>
      </w:r>
      <w:bookmarkEnd w:id="33"/>
      <w:bookmarkEnd w:id="34"/>
      <w:bookmarkEnd w:id="35"/>
    </w:p>
    <w:p w14:paraId="76F0DA40" w14:textId="01012468" w:rsidR="000B061F" w:rsidRPr="008E420B" w:rsidRDefault="000B061F" w:rsidP="00E3662F">
      <w:pPr>
        <w:pStyle w:val="Heading2"/>
      </w:pPr>
      <w:bookmarkStart w:id="36" w:name="_Toc163019554"/>
      <w:bookmarkStart w:id="37" w:name="_Toc163019656"/>
      <w:bookmarkStart w:id="38" w:name="_Toc174520856"/>
      <w:r w:rsidRPr="008E420B">
        <w:t>Tier 2 class</w:t>
      </w:r>
      <w:r w:rsidR="00BF0EA4">
        <w:t>es</w:t>
      </w:r>
      <w:bookmarkEnd w:id="36"/>
      <w:bookmarkEnd w:id="37"/>
      <w:bookmarkEnd w:id="38"/>
    </w:p>
    <w:p w14:paraId="32B60C43" w14:textId="3BC422A1" w:rsidR="00831075" w:rsidRDefault="000B061F" w:rsidP="000B061F">
      <w:pPr>
        <w:rPr>
          <w:rFonts w:eastAsia="Times"/>
        </w:rPr>
      </w:pPr>
      <w:r w:rsidRPr="008E420B">
        <w:rPr>
          <w:rFonts w:eastAsia="Times"/>
        </w:rPr>
        <w:t xml:space="preserve">There are </w:t>
      </w:r>
      <w:r>
        <w:rPr>
          <w:rFonts w:eastAsia="Times"/>
        </w:rPr>
        <w:t>two</w:t>
      </w:r>
      <w:r w:rsidRPr="008E420B">
        <w:rPr>
          <w:rFonts w:eastAsia="Times"/>
        </w:rPr>
        <w:t xml:space="preserve"> </w:t>
      </w:r>
      <w:r>
        <w:rPr>
          <w:rFonts w:eastAsia="Times"/>
        </w:rPr>
        <w:t>main</w:t>
      </w:r>
      <w:r w:rsidRPr="008E420B">
        <w:rPr>
          <w:rFonts w:eastAsia="Times"/>
        </w:rPr>
        <w:t xml:space="preserve"> Tier 2 classes </w:t>
      </w:r>
      <w:r w:rsidR="00A111F5">
        <w:rPr>
          <w:rFonts w:eastAsia="Times"/>
        </w:rPr>
        <w:t xml:space="preserve">that </w:t>
      </w:r>
      <w:r>
        <w:rPr>
          <w:rFonts w:eastAsia="Times"/>
        </w:rPr>
        <w:t xml:space="preserve">public fertility </w:t>
      </w:r>
      <w:r w:rsidR="007B7D6F">
        <w:rPr>
          <w:rFonts w:eastAsia="Times"/>
        </w:rPr>
        <w:t xml:space="preserve">care </w:t>
      </w:r>
      <w:r w:rsidR="00A111F5">
        <w:rPr>
          <w:rFonts w:eastAsia="Times"/>
        </w:rPr>
        <w:t>should be reported under</w:t>
      </w:r>
      <w:r w:rsidRPr="008E420B">
        <w:rPr>
          <w:rFonts w:eastAsia="Times"/>
        </w:rPr>
        <w:t xml:space="preserve">. </w:t>
      </w:r>
      <w:r>
        <w:rPr>
          <w:rFonts w:eastAsia="Times"/>
        </w:rPr>
        <w:t xml:space="preserve">Public fertility </w:t>
      </w:r>
      <w:r w:rsidR="007B7D6F">
        <w:rPr>
          <w:rFonts w:eastAsia="Times"/>
        </w:rPr>
        <w:t>care</w:t>
      </w:r>
      <w:r w:rsidRPr="008E420B">
        <w:rPr>
          <w:rFonts w:eastAsia="Times"/>
        </w:rPr>
        <w:t xml:space="preserve"> clinics must be registered against one of these Tier 2 classes</w:t>
      </w:r>
      <w:r w:rsidR="00A111F5">
        <w:rPr>
          <w:rFonts w:eastAsia="Times"/>
        </w:rPr>
        <w:t xml:space="preserve"> in NACMS</w:t>
      </w:r>
      <w:r w:rsidRPr="008E420B">
        <w:rPr>
          <w:rFonts w:eastAsia="Times"/>
        </w:rPr>
        <w:t>.</w:t>
      </w:r>
      <w:r w:rsidR="00BD1BEF">
        <w:rPr>
          <w:rFonts w:eastAsia="Times"/>
        </w:rPr>
        <w:t xml:space="preserve"> </w:t>
      </w:r>
      <w:r w:rsidR="00BD1BEF">
        <w:rPr>
          <w:iCs/>
        </w:rPr>
        <w:t xml:space="preserve">The </w:t>
      </w:r>
      <w:hyperlink r:id="rId23" w:history="1">
        <w:r w:rsidR="00BD1BEF" w:rsidRPr="005A663A">
          <w:rPr>
            <w:rStyle w:val="Hyperlink"/>
            <w:iCs/>
          </w:rPr>
          <w:t>Tier 2 Non-Admitted Services</w:t>
        </w:r>
      </w:hyperlink>
      <w:r w:rsidR="00BD1BEF" w:rsidRPr="005A663A">
        <w:rPr>
          <w:iCs/>
        </w:rPr>
        <w:t xml:space="preserve"> Definition Manual</w:t>
      </w:r>
      <w:r w:rsidR="00BD1BEF" w:rsidRPr="00B53741">
        <w:rPr>
          <w:i/>
        </w:rPr>
        <w:t xml:space="preserve"> </w:t>
      </w:r>
      <w:r w:rsidR="00A71451">
        <w:t>&lt;</w:t>
      </w:r>
      <w:r w:rsidR="00BD1BEF" w:rsidRPr="00A71451">
        <w:t>https://www.ihacpa.gov.au/health-care/classification/non-admitted-care/tier-2-non-admitted-services-classification</w:t>
      </w:r>
      <w:r w:rsidR="00A71451">
        <w:t xml:space="preserve">&gt; provides further information </w:t>
      </w:r>
      <w:r w:rsidR="00086FC9">
        <w:t xml:space="preserve">around Tier 2 </w:t>
      </w:r>
      <w:r w:rsidR="0075358F">
        <w:t>classes</w:t>
      </w:r>
      <w:r w:rsidR="00086FC9">
        <w:t>.</w:t>
      </w:r>
    </w:p>
    <w:p w14:paraId="10EB1749" w14:textId="6D1B58D6" w:rsidR="009C6174" w:rsidRPr="00BB0100" w:rsidRDefault="000B061F" w:rsidP="00E3662F">
      <w:pPr>
        <w:pStyle w:val="Heading3"/>
      </w:pPr>
      <w:bookmarkStart w:id="39" w:name="_Toc163019657"/>
      <w:r w:rsidRPr="00BB0100">
        <w:rPr>
          <w:lang w:eastAsia="en-AU"/>
        </w:rPr>
        <w:t>20.37 Assisted reproductive technology</w:t>
      </w:r>
      <w:r w:rsidR="009C6174" w:rsidRPr="009C6174">
        <w:t xml:space="preserve"> </w:t>
      </w:r>
      <w:r w:rsidR="009C6174">
        <w:t>(m</w:t>
      </w:r>
      <w:r w:rsidR="009C6174" w:rsidRPr="00BB0100">
        <w:t>edical consultation</w:t>
      </w:r>
      <w:r w:rsidR="009C6174">
        <w:t>)</w:t>
      </w:r>
      <w:bookmarkEnd w:id="39"/>
    </w:p>
    <w:p w14:paraId="4A89CA17" w14:textId="77777777" w:rsidR="000B061F" w:rsidRPr="00B25253" w:rsidRDefault="000B061F" w:rsidP="002B6757">
      <w:pPr>
        <w:spacing w:after="80"/>
        <w:rPr>
          <w:rFonts w:eastAsia="Times"/>
          <w:highlight w:val="yellow"/>
        </w:rPr>
      </w:pPr>
      <w:r w:rsidRPr="009F572F">
        <w:rPr>
          <w:rFonts w:eastAsia="Times"/>
        </w:rPr>
        <w:t>Treatment or procedures (including hormone therapy) which involve the handling of human sperm, oocytes or embryos for the purpose of increasing the chance of fertilisation in the infertile or sub-fertile man, woman or couple.</w:t>
      </w:r>
    </w:p>
    <w:p w14:paraId="231AA01C" w14:textId="2890750D" w:rsidR="000B061F" w:rsidRPr="00B94EBC" w:rsidRDefault="000B061F" w:rsidP="002B6757">
      <w:pPr>
        <w:spacing w:before="60" w:after="80"/>
        <w:ind w:left="1440" w:hanging="1440"/>
        <w:rPr>
          <w:rFonts w:eastAsia="Arial"/>
          <w:szCs w:val="21"/>
        </w:rPr>
      </w:pPr>
      <w:r w:rsidRPr="00BB0100">
        <w:rPr>
          <w:rFonts w:eastAsia="Times"/>
          <w:i/>
          <w:iCs/>
        </w:rPr>
        <w:t xml:space="preserve">Inclusions: </w:t>
      </w:r>
      <w:r w:rsidRPr="00BB0100">
        <w:tab/>
      </w:r>
      <w:r w:rsidRPr="00B94EBC">
        <w:rPr>
          <w:rFonts w:eastAsia="Arial"/>
          <w:szCs w:val="21"/>
        </w:rPr>
        <w:t>Consultation on the following services</w:t>
      </w:r>
      <w:r w:rsidR="00E65F4A">
        <w:rPr>
          <w:rFonts w:eastAsia="Arial"/>
          <w:szCs w:val="21"/>
        </w:rPr>
        <w:t>:</w:t>
      </w:r>
    </w:p>
    <w:p w14:paraId="4F7D1E26" w14:textId="77777777" w:rsidR="000B061F" w:rsidRPr="00807543" w:rsidRDefault="000B061F" w:rsidP="00D728EA">
      <w:pPr>
        <w:pStyle w:val="Bullet1"/>
        <w:ind w:left="1701"/>
      </w:pPr>
      <w:r w:rsidRPr="00807543">
        <w:t>fertility assessments</w:t>
      </w:r>
    </w:p>
    <w:p w14:paraId="0DFA78B1" w14:textId="77777777" w:rsidR="000B061F" w:rsidRPr="00807543" w:rsidRDefault="000B061F" w:rsidP="00D728EA">
      <w:pPr>
        <w:pStyle w:val="Bullet1"/>
        <w:ind w:left="1701"/>
      </w:pPr>
      <w:r w:rsidRPr="00807543">
        <w:t>artificial insemination</w:t>
      </w:r>
    </w:p>
    <w:p w14:paraId="5CF4CC75" w14:textId="77777777" w:rsidR="000B061F" w:rsidRPr="00807543" w:rsidRDefault="000B061F" w:rsidP="00D728EA">
      <w:pPr>
        <w:pStyle w:val="Bullet1"/>
        <w:ind w:left="1701"/>
      </w:pPr>
      <w:r w:rsidRPr="00807543">
        <w:t>in vitro fertilisation (IVF)</w:t>
      </w:r>
    </w:p>
    <w:p w14:paraId="36547A26" w14:textId="77777777" w:rsidR="000B061F" w:rsidRPr="00807543" w:rsidRDefault="000B061F" w:rsidP="00D728EA">
      <w:pPr>
        <w:pStyle w:val="Bullet1"/>
        <w:ind w:left="1701"/>
      </w:pPr>
      <w:r w:rsidRPr="00807543">
        <w:t>gamete intra-fallopian transfer (GIFT)</w:t>
      </w:r>
    </w:p>
    <w:p w14:paraId="61DECEE2" w14:textId="77777777" w:rsidR="000B061F" w:rsidRPr="00807543" w:rsidRDefault="000B061F" w:rsidP="00D728EA">
      <w:pPr>
        <w:pStyle w:val="Bullet1"/>
        <w:ind w:left="1701"/>
      </w:pPr>
      <w:r w:rsidRPr="00807543">
        <w:t>frozen embryo transfer (FET)</w:t>
      </w:r>
    </w:p>
    <w:p w14:paraId="3BB38E17" w14:textId="59369675" w:rsidR="000B061F" w:rsidRPr="009F572F" w:rsidRDefault="000B061F" w:rsidP="001E3AC3">
      <w:pPr>
        <w:tabs>
          <w:tab w:val="left" w:pos="1701"/>
        </w:tabs>
        <w:spacing w:before="80" w:after="40"/>
        <w:ind w:left="1440" w:hanging="1440"/>
        <w:rPr>
          <w:rFonts w:eastAsia="Arial"/>
        </w:rPr>
      </w:pPr>
      <w:r w:rsidRPr="4B001B30">
        <w:rPr>
          <w:rFonts w:eastAsia="Times"/>
          <w:i/>
          <w:iCs/>
        </w:rPr>
        <w:t>Exclusions:</w:t>
      </w:r>
      <w:r>
        <w:tab/>
      </w:r>
      <w:r w:rsidR="00EA574A" w:rsidRPr="00EA574A">
        <w:rPr>
          <w:rFonts w:cs="Arial"/>
          <w:i/>
          <w:sz w:val="24"/>
          <w:szCs w:val="24"/>
        </w:rPr>
        <w:t>•</w:t>
      </w:r>
      <w:r w:rsidR="00EA574A">
        <w:rPr>
          <w:i/>
        </w:rPr>
        <w:tab/>
      </w:r>
      <w:r w:rsidR="00EA574A">
        <w:rPr>
          <w:rFonts w:eastAsia="Arial"/>
        </w:rPr>
        <w:t>p</w:t>
      </w:r>
      <w:r w:rsidRPr="4B001B30">
        <w:rPr>
          <w:rFonts w:eastAsia="Arial"/>
        </w:rPr>
        <w:t>regnancy management (20.40).</w:t>
      </w:r>
    </w:p>
    <w:p w14:paraId="3DF5BFE1" w14:textId="078570C7" w:rsidR="000B061F" w:rsidRPr="002652F5" w:rsidRDefault="000B061F" w:rsidP="00E3662F">
      <w:pPr>
        <w:pStyle w:val="Heading3"/>
        <w:rPr>
          <w:lang w:eastAsia="en-AU"/>
        </w:rPr>
      </w:pPr>
      <w:bookmarkStart w:id="40" w:name="_Toc163019658"/>
      <w:r w:rsidRPr="002652F5">
        <w:rPr>
          <w:lang w:eastAsia="en-AU"/>
        </w:rPr>
        <w:t>40.49 Gynaecology</w:t>
      </w:r>
      <w:r w:rsidR="009C6174" w:rsidRPr="009C6174">
        <w:t xml:space="preserve"> </w:t>
      </w:r>
      <w:r w:rsidR="009C6174">
        <w:t>(a</w:t>
      </w:r>
      <w:r w:rsidR="009C6174" w:rsidRPr="002652F5">
        <w:t>llied health and/or clinical nurse specialist interventions</w:t>
      </w:r>
      <w:r w:rsidR="009C6174">
        <w:t>)</w:t>
      </w:r>
      <w:bookmarkEnd w:id="40"/>
    </w:p>
    <w:p w14:paraId="17CEE9CA" w14:textId="77777777" w:rsidR="000B061F" w:rsidRPr="00B94EBC" w:rsidRDefault="000B061F" w:rsidP="002B6757">
      <w:pPr>
        <w:spacing w:after="80"/>
        <w:rPr>
          <w:rFonts w:eastAsia="Times"/>
          <w:szCs w:val="21"/>
          <w:highlight w:val="cyan"/>
        </w:rPr>
      </w:pPr>
      <w:r w:rsidRPr="00B94EBC">
        <w:rPr>
          <w:rFonts w:eastAsia="Times"/>
          <w:szCs w:val="21"/>
        </w:rPr>
        <w:t>Assessment, review, diagnosis and treatment of problems/disorders affecting the female reproductive organs.</w:t>
      </w:r>
    </w:p>
    <w:p w14:paraId="77EBB60F" w14:textId="19497B70" w:rsidR="000B061F" w:rsidRPr="00B94EBC" w:rsidRDefault="000B061F" w:rsidP="002B6757">
      <w:pPr>
        <w:spacing w:before="60" w:after="80"/>
        <w:ind w:left="1440" w:hanging="1440"/>
        <w:rPr>
          <w:rFonts w:eastAsia="Arial"/>
        </w:rPr>
      </w:pPr>
      <w:r w:rsidRPr="30A4A7B8">
        <w:rPr>
          <w:rFonts w:eastAsia="Times"/>
          <w:i/>
        </w:rPr>
        <w:t>Inclusions:</w:t>
      </w:r>
      <w:r>
        <w:tab/>
      </w:r>
      <w:r w:rsidRPr="30A4A7B8">
        <w:rPr>
          <w:rFonts w:eastAsia="Arial"/>
        </w:rPr>
        <w:t>Consultation on the following services</w:t>
      </w:r>
      <w:r w:rsidR="00091CFC">
        <w:rPr>
          <w:rFonts w:eastAsia="Arial"/>
        </w:rPr>
        <w:t>:</w:t>
      </w:r>
    </w:p>
    <w:p w14:paraId="28B448D3" w14:textId="77777777" w:rsidR="000B061F" w:rsidRPr="00807543" w:rsidRDefault="000B061F" w:rsidP="00D728EA">
      <w:pPr>
        <w:pStyle w:val="Bullet1"/>
        <w:ind w:left="1701"/>
      </w:pPr>
      <w:r w:rsidRPr="00807543">
        <w:t>early pregnancy management including complications of early pregnancy such as miscarriage, molar pregnancy, ectopic pregnancy, unsited pregnancy</w:t>
      </w:r>
    </w:p>
    <w:p w14:paraId="275A855F" w14:textId="77777777" w:rsidR="000B061F" w:rsidRPr="00807543" w:rsidRDefault="000B061F" w:rsidP="00D728EA">
      <w:pPr>
        <w:pStyle w:val="Bullet1"/>
        <w:ind w:left="1701"/>
      </w:pPr>
      <w:r w:rsidRPr="00807543">
        <w:t>hydatidiform mole</w:t>
      </w:r>
    </w:p>
    <w:p w14:paraId="56BB4243" w14:textId="77777777" w:rsidR="000B061F" w:rsidRPr="00807543" w:rsidRDefault="000B061F" w:rsidP="00D728EA">
      <w:pPr>
        <w:pStyle w:val="Bullet1"/>
        <w:ind w:left="1701"/>
      </w:pPr>
      <w:r w:rsidRPr="00807543">
        <w:t>menstrual problems</w:t>
      </w:r>
    </w:p>
    <w:p w14:paraId="68E9D962" w14:textId="77777777" w:rsidR="000B061F" w:rsidRPr="00807543" w:rsidRDefault="000B061F" w:rsidP="00D728EA">
      <w:pPr>
        <w:pStyle w:val="Bullet1"/>
        <w:ind w:left="1701"/>
      </w:pPr>
      <w:r w:rsidRPr="00807543">
        <w:t>fertility</w:t>
      </w:r>
    </w:p>
    <w:p w14:paraId="6E4564A8" w14:textId="040D29E1" w:rsidR="000B061F" w:rsidRPr="00807543" w:rsidRDefault="000B061F" w:rsidP="00D728EA">
      <w:pPr>
        <w:pStyle w:val="Bullet1"/>
        <w:ind w:left="1701"/>
      </w:pPr>
      <w:r w:rsidRPr="00807543">
        <w:t>pregnancy termination</w:t>
      </w:r>
    </w:p>
    <w:p w14:paraId="77337BFC" w14:textId="77777777" w:rsidR="000B061F" w:rsidRPr="00807543" w:rsidRDefault="000B061F" w:rsidP="00D728EA">
      <w:pPr>
        <w:pStyle w:val="Bullet1"/>
        <w:ind w:left="1701"/>
      </w:pPr>
      <w:r w:rsidRPr="00807543">
        <w:t>endocrinological conditions</w:t>
      </w:r>
    </w:p>
    <w:p w14:paraId="0D28759A" w14:textId="77777777" w:rsidR="000B061F" w:rsidRPr="00807543" w:rsidRDefault="000B061F" w:rsidP="00D728EA">
      <w:pPr>
        <w:pStyle w:val="Bullet1"/>
        <w:ind w:left="1701"/>
      </w:pPr>
      <w:r w:rsidRPr="00807543">
        <w:t>contraception including placement and removal or contraceptive devices</w:t>
      </w:r>
    </w:p>
    <w:p w14:paraId="64343C95" w14:textId="77777777" w:rsidR="000B061F" w:rsidRPr="00807543" w:rsidRDefault="000B061F" w:rsidP="00D728EA">
      <w:pPr>
        <w:pStyle w:val="Bullet1"/>
        <w:ind w:left="1701"/>
      </w:pPr>
      <w:r w:rsidRPr="00807543">
        <w:t>menopause</w:t>
      </w:r>
    </w:p>
    <w:p w14:paraId="4304FD57" w14:textId="77777777" w:rsidR="000B061F" w:rsidRPr="00807543" w:rsidRDefault="000B061F" w:rsidP="00D728EA">
      <w:pPr>
        <w:pStyle w:val="Bullet1"/>
        <w:ind w:left="1701"/>
      </w:pPr>
      <w:r w:rsidRPr="00807543">
        <w:t>management of fibroids</w:t>
      </w:r>
    </w:p>
    <w:p w14:paraId="3177CAF2" w14:textId="77777777" w:rsidR="000B061F" w:rsidRPr="00807543" w:rsidRDefault="000B061F" w:rsidP="00D728EA">
      <w:pPr>
        <w:pStyle w:val="Bullet1"/>
        <w:ind w:left="1701"/>
      </w:pPr>
      <w:r w:rsidRPr="00807543">
        <w:t>management of pelvic mass</w:t>
      </w:r>
    </w:p>
    <w:p w14:paraId="5BB185AC" w14:textId="77777777" w:rsidR="000B061F" w:rsidRPr="00807543" w:rsidRDefault="000B061F" w:rsidP="00D728EA">
      <w:pPr>
        <w:pStyle w:val="Bullet1"/>
        <w:ind w:left="1701"/>
      </w:pPr>
      <w:r w:rsidRPr="00807543">
        <w:t>endometriosis</w:t>
      </w:r>
    </w:p>
    <w:p w14:paraId="4461F692" w14:textId="77777777" w:rsidR="000B061F" w:rsidRPr="00807543" w:rsidRDefault="000B061F" w:rsidP="00D728EA">
      <w:pPr>
        <w:pStyle w:val="Bullet1"/>
        <w:ind w:left="1701"/>
      </w:pPr>
      <w:r w:rsidRPr="00807543">
        <w:t>pelvic pain.</w:t>
      </w:r>
    </w:p>
    <w:p w14:paraId="29134264" w14:textId="47ACF2F3" w:rsidR="000B061F" w:rsidRPr="00B94EBC" w:rsidRDefault="000B061F" w:rsidP="00B732EE">
      <w:pPr>
        <w:pStyle w:val="Bullet1"/>
        <w:numPr>
          <w:ilvl w:val="0"/>
          <w:numId w:val="0"/>
        </w:numPr>
        <w:tabs>
          <w:tab w:val="left" w:pos="1418"/>
          <w:tab w:val="left" w:pos="1701"/>
        </w:tabs>
        <w:spacing w:before="80"/>
      </w:pPr>
      <w:r w:rsidRPr="30A4A7B8">
        <w:rPr>
          <w:i/>
        </w:rPr>
        <w:t>Exclusions:</w:t>
      </w:r>
      <w:r w:rsidR="00BC66A7">
        <w:rPr>
          <w:i/>
        </w:rPr>
        <w:tab/>
      </w:r>
      <w:r w:rsidR="00EE76E5" w:rsidRPr="00EA574A">
        <w:rPr>
          <w:rFonts w:cs="Arial"/>
          <w:i/>
          <w:sz w:val="24"/>
          <w:szCs w:val="24"/>
        </w:rPr>
        <w:t>•</w:t>
      </w:r>
      <w:r w:rsidR="0050161A">
        <w:rPr>
          <w:i/>
        </w:rPr>
        <w:tab/>
      </w:r>
      <w:r w:rsidRPr="00B94EBC">
        <w:t>assisted reproductive technology (20.37)</w:t>
      </w:r>
    </w:p>
    <w:p w14:paraId="62E6B87D" w14:textId="77777777" w:rsidR="000B061F" w:rsidRPr="00EA574A" w:rsidRDefault="000B061F" w:rsidP="00EA574A">
      <w:pPr>
        <w:pStyle w:val="Bullet1"/>
        <w:ind w:left="1701"/>
      </w:pPr>
      <w:r w:rsidRPr="00EA574A">
        <w:t>gynaecological endoscopy (10.07)</w:t>
      </w:r>
    </w:p>
    <w:p w14:paraId="48407C29" w14:textId="77777777" w:rsidR="000B061F" w:rsidRPr="00EA574A" w:rsidRDefault="000B061F" w:rsidP="00EA574A">
      <w:pPr>
        <w:pStyle w:val="Bullet1"/>
        <w:ind w:left="1701"/>
      </w:pPr>
      <w:r w:rsidRPr="00EA574A">
        <w:t>gynaecological oncology (20.39)</w:t>
      </w:r>
    </w:p>
    <w:p w14:paraId="6CE8082F" w14:textId="77777777" w:rsidR="000B061F" w:rsidRPr="00EA574A" w:rsidRDefault="000B061F" w:rsidP="00EA574A">
      <w:pPr>
        <w:pStyle w:val="Bullet1"/>
        <w:ind w:left="1701"/>
      </w:pPr>
      <w:r w:rsidRPr="00EA574A">
        <w:t>family planning services provided by allied health and/or clinical nurse specialist (40.27)</w:t>
      </w:r>
    </w:p>
    <w:p w14:paraId="1C8EE45E" w14:textId="77777777" w:rsidR="000B061F" w:rsidRPr="00EA574A" w:rsidRDefault="000B061F" w:rsidP="00EA574A">
      <w:pPr>
        <w:pStyle w:val="Bullet1"/>
        <w:ind w:left="1701"/>
      </w:pPr>
      <w:r w:rsidRPr="00EA574A">
        <w:t>sexual health services provided by allied health and/or clinical nurse specialist (40.10)</w:t>
      </w:r>
    </w:p>
    <w:p w14:paraId="30DBB634" w14:textId="77777777" w:rsidR="000B061F" w:rsidRPr="00EA574A" w:rsidRDefault="000B061F" w:rsidP="001E3AC3">
      <w:pPr>
        <w:pStyle w:val="Bullet1"/>
        <w:ind w:left="1702"/>
      </w:pPr>
      <w:r w:rsidRPr="00EA574A">
        <w:t>management of gynaecological conditions in medical gynaecology clinic (20.38)</w:t>
      </w:r>
    </w:p>
    <w:p w14:paraId="77E9AA60" w14:textId="77777777" w:rsidR="000B061F" w:rsidRDefault="000B061F" w:rsidP="00E3662F">
      <w:pPr>
        <w:pStyle w:val="Heading2"/>
      </w:pPr>
      <w:bookmarkStart w:id="41" w:name="_Toc163019659"/>
      <w:bookmarkStart w:id="42" w:name="_Toc174520857"/>
      <w:r>
        <w:lastRenderedPageBreak/>
        <w:t>Procedures</w:t>
      </w:r>
      <w:bookmarkEnd w:id="41"/>
      <w:bookmarkEnd w:id="42"/>
    </w:p>
    <w:p w14:paraId="08DD1D53" w14:textId="0EB6D56E" w:rsidR="005D0254" w:rsidRDefault="007C29B7" w:rsidP="000B061F">
      <w:pPr>
        <w:pStyle w:val="Body"/>
        <w:rPr>
          <w:rStyle w:val="BodyChar"/>
        </w:rPr>
      </w:pPr>
      <w:r>
        <w:t>Procedures that meet the criteria for non-admitted reporting will be registered against the appropriate Tier 2 class</w:t>
      </w:r>
      <w:r w:rsidR="00536F36">
        <w:rPr>
          <w:rStyle w:val="BodyChar"/>
        </w:rPr>
        <w:t xml:space="preserve">. </w:t>
      </w:r>
      <w:r w:rsidR="005D0254" w:rsidRPr="008143A7">
        <w:rPr>
          <w:rStyle w:val="BodyChar"/>
        </w:rPr>
        <w:t xml:space="preserve">Procedures that meet the </w:t>
      </w:r>
      <w:r w:rsidR="002505FE" w:rsidRPr="008143A7">
        <w:rPr>
          <w:rStyle w:val="BodyChar"/>
        </w:rPr>
        <w:t xml:space="preserve">VAED </w:t>
      </w:r>
      <w:r w:rsidR="005D0254" w:rsidRPr="008143A7">
        <w:rPr>
          <w:rStyle w:val="BodyChar"/>
        </w:rPr>
        <w:t>Criteria for Reporting are reported to the VAED</w:t>
      </w:r>
      <w:r w:rsidR="005D0254">
        <w:rPr>
          <w:rStyle w:val="BodyChar"/>
        </w:rPr>
        <w:t>.</w:t>
      </w:r>
      <w:r w:rsidR="005B4C39">
        <w:rPr>
          <w:rStyle w:val="BodyChar"/>
        </w:rPr>
        <w:t xml:space="preserve"> Refer to the </w:t>
      </w:r>
      <w:hyperlink r:id="rId24" w:history="1">
        <w:r w:rsidR="00BD4EC0" w:rsidRPr="0092273E">
          <w:rPr>
            <w:rStyle w:val="Hyperlink"/>
            <w:u w:val="none"/>
          </w:rPr>
          <w:t>VAED Criteria for Reporting</w:t>
        </w:r>
      </w:hyperlink>
      <w:r w:rsidR="002A5719">
        <w:rPr>
          <w:rStyle w:val="BodyChar"/>
        </w:rPr>
        <w:t xml:space="preserve"> </w:t>
      </w:r>
      <w:r w:rsidR="00BD4EC0">
        <w:rPr>
          <w:rStyle w:val="BodyChar"/>
        </w:rPr>
        <w:t xml:space="preserve">document </w:t>
      </w:r>
      <w:r w:rsidR="00481805">
        <w:t>&lt;</w:t>
      </w:r>
      <w:r w:rsidR="002A5719" w:rsidRPr="002A5719">
        <w:rPr>
          <w:rStyle w:val="BodyChar"/>
        </w:rPr>
        <w:t>https://www.health.vic.gov.au/data-reporting/victorian-admitted-episodes-dataset</w:t>
      </w:r>
      <w:r w:rsidR="00481805" w:rsidRPr="002351CA">
        <w:rPr>
          <w:lang w:eastAsia="en-AU"/>
        </w:rPr>
        <w:t>&gt;</w:t>
      </w:r>
      <w:r w:rsidR="0092273E">
        <w:rPr>
          <w:lang w:eastAsia="en-AU"/>
        </w:rPr>
        <w:t>.</w:t>
      </w:r>
    </w:p>
    <w:p w14:paraId="5A3A1BA3" w14:textId="34797873" w:rsidR="000B061F" w:rsidRDefault="00536F36" w:rsidP="000B061F">
      <w:pPr>
        <w:pStyle w:val="Body"/>
        <w:rPr>
          <w:rStyle w:val="BodyChar"/>
        </w:rPr>
      </w:pPr>
      <w:r>
        <w:rPr>
          <w:rStyle w:val="BodyChar"/>
        </w:rPr>
        <w:t>Table</w:t>
      </w:r>
      <w:r w:rsidR="005D0254">
        <w:rPr>
          <w:rStyle w:val="BodyChar"/>
        </w:rPr>
        <w:t xml:space="preserve"> </w:t>
      </w:r>
      <w:r w:rsidR="00186CB5">
        <w:rPr>
          <w:rStyle w:val="BodyChar"/>
        </w:rPr>
        <w:t>2</w:t>
      </w:r>
      <w:r w:rsidR="005D0254">
        <w:rPr>
          <w:rStyle w:val="BodyChar"/>
        </w:rPr>
        <w:t xml:space="preserve">: </w:t>
      </w:r>
      <w:r w:rsidR="001240EE">
        <w:rPr>
          <w:rStyle w:val="BodyChar"/>
        </w:rPr>
        <w:t>List of common procedures</w:t>
      </w:r>
      <w:r w:rsidR="007264C1">
        <w:t xml:space="preserve"> </w:t>
      </w:r>
      <w:r w:rsidR="0048257C">
        <w:rPr>
          <w:rStyle w:val="BodyChar"/>
        </w:rPr>
        <w:t>provides a list of</w:t>
      </w:r>
      <w:r w:rsidR="000B061F" w:rsidRPr="000F62D0">
        <w:rPr>
          <w:rStyle w:val="BodyChar"/>
        </w:rPr>
        <w:t xml:space="preserve"> procedures commonly conducted in the fertility journey, and whether these </w:t>
      </w:r>
      <w:r w:rsidR="002265E5" w:rsidRPr="000F62D0">
        <w:rPr>
          <w:rStyle w:val="BodyChar"/>
        </w:rPr>
        <w:t>are</w:t>
      </w:r>
      <w:r w:rsidR="000B061F" w:rsidRPr="000F62D0">
        <w:rPr>
          <w:rStyle w:val="BodyChar"/>
        </w:rPr>
        <w:t xml:space="preserve"> admissible, diagnostic or attributed to a Tier 2 class.</w:t>
      </w:r>
      <w:r w:rsidR="005D0254" w:rsidRPr="000F62D0">
        <w:rPr>
          <w:rStyle w:val="BodyChar"/>
        </w:rPr>
        <w:t xml:space="preserve"> </w:t>
      </w:r>
      <w:r w:rsidR="005D0254" w:rsidRPr="006416F6">
        <w:rPr>
          <w:rStyle w:val="BodyChar"/>
        </w:rPr>
        <w:t>This table is not an exhaustive list. Health services should use their own discretion when determining which data set a procedure should be reported to.</w:t>
      </w:r>
    </w:p>
    <w:p w14:paraId="02431250" w14:textId="15C6C38C" w:rsidR="000B061F" w:rsidRDefault="000B061F" w:rsidP="000B061F">
      <w:pPr>
        <w:pStyle w:val="Body"/>
        <w:rPr>
          <w:rStyle w:val="BodyChar"/>
        </w:rPr>
      </w:pPr>
      <w:r w:rsidRPr="25247926">
        <w:rPr>
          <w:rStyle w:val="BodyChar"/>
        </w:rPr>
        <w:t xml:space="preserve">Table </w:t>
      </w:r>
      <w:r w:rsidR="00186CB5">
        <w:rPr>
          <w:rStyle w:val="BodyChar"/>
        </w:rPr>
        <w:t>2</w:t>
      </w:r>
      <w:r w:rsidRPr="25247926">
        <w:rPr>
          <w:rStyle w:val="BodyChar"/>
        </w:rPr>
        <w:t xml:space="preserve">: </w:t>
      </w:r>
      <w:r w:rsidR="00AB1E17">
        <w:rPr>
          <w:rStyle w:val="BodyChar"/>
        </w:rPr>
        <w:t>L</w:t>
      </w:r>
      <w:r w:rsidRPr="25247926">
        <w:rPr>
          <w:rStyle w:val="BodyChar"/>
        </w:rPr>
        <w:t>ist of common procedures</w:t>
      </w:r>
    </w:p>
    <w:tbl>
      <w:tblPr>
        <w:tblStyle w:val="TableGrid"/>
        <w:tblW w:w="0" w:type="auto"/>
        <w:tblLook w:val="04A0" w:firstRow="1" w:lastRow="0" w:firstColumn="1" w:lastColumn="0" w:noHBand="0" w:noVBand="1"/>
      </w:tblPr>
      <w:tblGrid>
        <w:gridCol w:w="4957"/>
        <w:gridCol w:w="4252"/>
      </w:tblGrid>
      <w:tr w:rsidR="000179CF" w14:paraId="4F63560A" w14:textId="77777777" w:rsidTr="00676D19">
        <w:tc>
          <w:tcPr>
            <w:tcW w:w="4957" w:type="dxa"/>
          </w:tcPr>
          <w:p w14:paraId="0E964896" w14:textId="294082AB" w:rsidR="000179CF" w:rsidRPr="00467F25" w:rsidRDefault="000179CF" w:rsidP="000B061F">
            <w:pPr>
              <w:pStyle w:val="Body"/>
              <w:rPr>
                <w:rStyle w:val="BodyChar"/>
                <w:b/>
                <w:bCs/>
              </w:rPr>
            </w:pPr>
            <w:r w:rsidRPr="00467F25">
              <w:rPr>
                <w:rStyle w:val="BodyChar"/>
                <w:b/>
                <w:bCs/>
              </w:rPr>
              <w:t>Procedure</w:t>
            </w:r>
          </w:p>
        </w:tc>
        <w:tc>
          <w:tcPr>
            <w:tcW w:w="4252" w:type="dxa"/>
          </w:tcPr>
          <w:p w14:paraId="366B59DD" w14:textId="5C8250BB" w:rsidR="000179CF" w:rsidRPr="00467F25" w:rsidRDefault="000179CF" w:rsidP="000B061F">
            <w:pPr>
              <w:pStyle w:val="Body"/>
              <w:rPr>
                <w:rStyle w:val="BodyChar"/>
                <w:b/>
                <w:bCs/>
              </w:rPr>
            </w:pPr>
            <w:r w:rsidRPr="00467F25">
              <w:rPr>
                <w:rStyle w:val="BodyChar"/>
                <w:b/>
                <w:bCs/>
              </w:rPr>
              <w:t>Reporting data set</w:t>
            </w:r>
          </w:p>
        </w:tc>
      </w:tr>
      <w:tr w:rsidR="0097709C" w14:paraId="5223D884" w14:textId="77777777" w:rsidTr="00A51B8C">
        <w:tc>
          <w:tcPr>
            <w:tcW w:w="4957" w:type="dxa"/>
          </w:tcPr>
          <w:p w14:paraId="2A88920F" w14:textId="77777777" w:rsidR="0097709C" w:rsidRPr="00307BDA" w:rsidRDefault="0097709C" w:rsidP="00A51B8C">
            <w:pPr>
              <w:pStyle w:val="Body"/>
              <w:rPr>
                <w:rStyle w:val="BodyChar"/>
              </w:rPr>
            </w:pPr>
            <w:r w:rsidRPr="00307BDA">
              <w:t>Counselling</w:t>
            </w:r>
          </w:p>
        </w:tc>
        <w:tc>
          <w:tcPr>
            <w:tcW w:w="4252" w:type="dxa"/>
          </w:tcPr>
          <w:p w14:paraId="545814D3" w14:textId="77777777" w:rsidR="0097709C" w:rsidRPr="00307BDA" w:rsidRDefault="0097709C" w:rsidP="00A51B8C">
            <w:pPr>
              <w:pStyle w:val="Body"/>
              <w:rPr>
                <w:rStyle w:val="BodyChar"/>
              </w:rPr>
            </w:pPr>
            <w:r w:rsidRPr="00307BDA">
              <w:rPr>
                <w:rStyle w:val="BodyChar"/>
              </w:rPr>
              <w:t>VINAH MDS – tier 2 class 40.11 Social work or 40.29 Psychology</w:t>
            </w:r>
          </w:p>
        </w:tc>
      </w:tr>
      <w:tr w:rsidR="000179CF" w14:paraId="6374E2C0" w14:textId="77777777" w:rsidTr="00676D19">
        <w:tc>
          <w:tcPr>
            <w:tcW w:w="4957" w:type="dxa"/>
          </w:tcPr>
          <w:p w14:paraId="2D3242BC" w14:textId="09ECCB67" w:rsidR="000179CF" w:rsidRDefault="00D413C4" w:rsidP="000B061F">
            <w:pPr>
              <w:pStyle w:val="Body"/>
              <w:rPr>
                <w:rStyle w:val="BodyChar"/>
              </w:rPr>
            </w:pPr>
            <w:r>
              <w:rPr>
                <w:rStyle w:val="BodyChar"/>
              </w:rPr>
              <w:t>Embryo Transfer (ET)</w:t>
            </w:r>
          </w:p>
        </w:tc>
        <w:tc>
          <w:tcPr>
            <w:tcW w:w="4252" w:type="dxa"/>
          </w:tcPr>
          <w:p w14:paraId="7C36F57E" w14:textId="76EAA3B5" w:rsidR="000179CF" w:rsidRDefault="00D413C4" w:rsidP="000B061F">
            <w:pPr>
              <w:pStyle w:val="Body"/>
              <w:rPr>
                <w:rStyle w:val="BodyChar"/>
              </w:rPr>
            </w:pPr>
            <w:r>
              <w:rPr>
                <w:rStyle w:val="BodyChar"/>
              </w:rPr>
              <w:t>VAED</w:t>
            </w:r>
          </w:p>
        </w:tc>
      </w:tr>
      <w:tr w:rsidR="00D413C4" w14:paraId="21C8C9B9" w14:textId="77777777" w:rsidTr="00676D19">
        <w:tc>
          <w:tcPr>
            <w:tcW w:w="4957" w:type="dxa"/>
          </w:tcPr>
          <w:p w14:paraId="463DC23A" w14:textId="14460A27" w:rsidR="00D413C4" w:rsidRPr="00307BDA" w:rsidRDefault="002337AD" w:rsidP="000B061F">
            <w:pPr>
              <w:pStyle w:val="Body"/>
              <w:rPr>
                <w:rStyle w:val="BodyChar"/>
              </w:rPr>
            </w:pPr>
            <w:r w:rsidRPr="00307BDA">
              <w:rPr>
                <w:rStyle w:val="BodyChar"/>
              </w:rPr>
              <w:t>Intrauterine Insemination (IUI)</w:t>
            </w:r>
          </w:p>
        </w:tc>
        <w:tc>
          <w:tcPr>
            <w:tcW w:w="4252" w:type="dxa"/>
          </w:tcPr>
          <w:p w14:paraId="6156334C" w14:textId="04C26ECF" w:rsidR="008F4935" w:rsidRPr="00307BDA" w:rsidRDefault="00BB62C2" w:rsidP="000B061F">
            <w:pPr>
              <w:pStyle w:val="Body"/>
              <w:rPr>
                <w:rStyle w:val="BodyChar"/>
              </w:rPr>
            </w:pPr>
            <w:r w:rsidRPr="00307BDA">
              <w:rPr>
                <w:rStyle w:val="BodyChar"/>
              </w:rPr>
              <w:t xml:space="preserve">VAED </w:t>
            </w:r>
            <w:r w:rsidR="00E10A28" w:rsidRPr="00307BDA">
              <w:rPr>
                <w:rStyle w:val="BodyChar"/>
              </w:rPr>
              <w:t xml:space="preserve">if the artificial insemination meets VAED Criteria for </w:t>
            </w:r>
            <w:r w:rsidR="00336D69">
              <w:rPr>
                <w:rStyle w:val="BodyChar"/>
              </w:rPr>
              <w:t>R</w:t>
            </w:r>
            <w:r w:rsidR="003E33D4">
              <w:rPr>
                <w:rStyle w:val="BodyChar"/>
              </w:rPr>
              <w:t>eporting</w:t>
            </w:r>
            <w:r w:rsidR="00E10A28" w:rsidRPr="00307BDA">
              <w:rPr>
                <w:rStyle w:val="BodyChar"/>
              </w:rPr>
              <w:t xml:space="preserve"> </w:t>
            </w:r>
            <w:r w:rsidR="008F4935" w:rsidRPr="00307BDA">
              <w:rPr>
                <w:rStyle w:val="BodyChar"/>
              </w:rPr>
              <w:t>e.g. performed under sedation</w:t>
            </w:r>
          </w:p>
          <w:p w14:paraId="4A5108BB" w14:textId="249F4BEE" w:rsidR="00D413C4" w:rsidRPr="00307BDA" w:rsidRDefault="002337AD" w:rsidP="000B061F">
            <w:pPr>
              <w:pStyle w:val="Body"/>
              <w:rPr>
                <w:rStyle w:val="BodyChar"/>
              </w:rPr>
            </w:pPr>
            <w:r w:rsidRPr="00307BDA">
              <w:rPr>
                <w:rStyle w:val="BodyChar"/>
              </w:rPr>
              <w:t>VINAH</w:t>
            </w:r>
            <w:r w:rsidR="00847BC9" w:rsidRPr="00307BDA">
              <w:rPr>
                <w:rStyle w:val="BodyChar"/>
              </w:rPr>
              <w:t xml:space="preserve"> MDS</w:t>
            </w:r>
            <w:r w:rsidRPr="00307BDA">
              <w:rPr>
                <w:rStyle w:val="BodyChar"/>
              </w:rPr>
              <w:t xml:space="preserve"> – tier 2 class </w:t>
            </w:r>
            <w:r w:rsidR="0064597E" w:rsidRPr="00307BDA">
              <w:rPr>
                <w:rStyle w:val="BodyChar"/>
              </w:rPr>
              <w:t>10.13 minor medical procedures</w:t>
            </w:r>
          </w:p>
        </w:tc>
      </w:tr>
      <w:tr w:rsidR="0097709C" w14:paraId="334E6A96" w14:textId="77777777" w:rsidTr="000A63B6">
        <w:tc>
          <w:tcPr>
            <w:tcW w:w="4957" w:type="dxa"/>
          </w:tcPr>
          <w:p w14:paraId="56074DB1" w14:textId="1E7E63BE" w:rsidR="0097709C" w:rsidRPr="00307BDA" w:rsidRDefault="0097709C" w:rsidP="000A63B6">
            <w:pPr>
              <w:pStyle w:val="Body"/>
              <w:rPr>
                <w:rStyle w:val="BodyChar"/>
              </w:rPr>
            </w:pPr>
            <w:r>
              <w:t>Nurse e</w:t>
            </w:r>
            <w:r w:rsidRPr="00307BDA">
              <w:t>ducation</w:t>
            </w:r>
            <w:r w:rsidR="00915250">
              <w:t>,</w:t>
            </w:r>
            <w:r w:rsidRPr="00307BDA">
              <w:t xml:space="preserve"> </w:t>
            </w:r>
            <w:r>
              <w:t>to patient/s</w:t>
            </w:r>
          </w:p>
        </w:tc>
        <w:tc>
          <w:tcPr>
            <w:tcW w:w="4252" w:type="dxa"/>
          </w:tcPr>
          <w:p w14:paraId="713C59D0" w14:textId="77777777" w:rsidR="0097709C" w:rsidRPr="00307BDA" w:rsidRDefault="0097709C" w:rsidP="000A63B6">
            <w:pPr>
              <w:pStyle w:val="Body"/>
              <w:rPr>
                <w:rStyle w:val="BodyChar"/>
              </w:rPr>
            </w:pPr>
            <w:r w:rsidRPr="00307BDA">
              <w:rPr>
                <w:rStyle w:val="BodyChar"/>
              </w:rPr>
              <w:t>VINAH MDS – tier 2 class 40.49 Gynaecology</w:t>
            </w:r>
          </w:p>
        </w:tc>
      </w:tr>
      <w:tr w:rsidR="0097709C" w14:paraId="1624AE9E" w14:textId="77777777" w:rsidTr="00E20896">
        <w:tc>
          <w:tcPr>
            <w:tcW w:w="4957" w:type="dxa"/>
          </w:tcPr>
          <w:p w14:paraId="70834AFD" w14:textId="77777777" w:rsidR="0097709C" w:rsidRDefault="0097709C" w:rsidP="00E20896">
            <w:pPr>
              <w:pStyle w:val="Body"/>
              <w:rPr>
                <w:rStyle w:val="BodyChar"/>
              </w:rPr>
            </w:pPr>
            <w:r>
              <w:rPr>
                <w:rStyle w:val="BodyChar"/>
              </w:rPr>
              <w:t>Ovarian Tissue Cryopreservation</w:t>
            </w:r>
          </w:p>
          <w:p w14:paraId="77E0C84A" w14:textId="77777777" w:rsidR="0097709C" w:rsidRPr="00676D19" w:rsidRDefault="0097709C" w:rsidP="00E20896">
            <w:pPr>
              <w:pStyle w:val="Body"/>
              <w:rPr>
                <w:rStyle w:val="BodyChar"/>
              </w:rPr>
            </w:pPr>
            <w:r w:rsidRPr="00676D19">
              <w:rPr>
                <w:rStyle w:val="BodyChar"/>
              </w:rPr>
              <w:t>1. the collection of the tissue for cryopreservation</w:t>
            </w:r>
          </w:p>
          <w:p w14:paraId="0570ACCE" w14:textId="77777777" w:rsidR="0097709C" w:rsidRPr="00676D19" w:rsidRDefault="0097709C" w:rsidP="00E20896">
            <w:pPr>
              <w:pStyle w:val="Body"/>
              <w:rPr>
                <w:rStyle w:val="BodyChar"/>
              </w:rPr>
            </w:pPr>
            <w:r w:rsidRPr="00676D19">
              <w:rPr>
                <w:rStyle w:val="BodyChar"/>
              </w:rPr>
              <w:t>2. the actual freezing of the tissue</w:t>
            </w:r>
          </w:p>
          <w:p w14:paraId="4EA2204B" w14:textId="77777777" w:rsidR="0097709C" w:rsidRDefault="0097709C" w:rsidP="00E20896">
            <w:pPr>
              <w:pStyle w:val="Body"/>
              <w:rPr>
                <w:rStyle w:val="BodyChar"/>
              </w:rPr>
            </w:pPr>
            <w:r w:rsidRPr="00676D19">
              <w:rPr>
                <w:rStyle w:val="BodyChar"/>
              </w:rPr>
              <w:t>3. the implantation of the tissue into the body</w:t>
            </w:r>
          </w:p>
        </w:tc>
        <w:tc>
          <w:tcPr>
            <w:tcW w:w="4252" w:type="dxa"/>
          </w:tcPr>
          <w:p w14:paraId="3CBDC5B2" w14:textId="77777777" w:rsidR="0097709C" w:rsidRDefault="0097709C" w:rsidP="00E20896">
            <w:pPr>
              <w:pStyle w:val="Body"/>
              <w:rPr>
                <w:rStyle w:val="BodyChar"/>
              </w:rPr>
            </w:pPr>
          </w:p>
          <w:p w14:paraId="57561F72" w14:textId="77777777" w:rsidR="0097709C" w:rsidRDefault="0097709C" w:rsidP="00E20896">
            <w:pPr>
              <w:pStyle w:val="Body"/>
              <w:rPr>
                <w:rStyle w:val="BodyChar"/>
              </w:rPr>
            </w:pPr>
            <w:r>
              <w:rPr>
                <w:rStyle w:val="BodyChar"/>
              </w:rPr>
              <w:t>VAED</w:t>
            </w:r>
          </w:p>
          <w:p w14:paraId="1E0133D4" w14:textId="77777777" w:rsidR="0097709C" w:rsidRDefault="0097709C" w:rsidP="00E20896">
            <w:pPr>
              <w:pStyle w:val="Body"/>
              <w:rPr>
                <w:rStyle w:val="BodyChar"/>
              </w:rPr>
            </w:pPr>
            <w:r>
              <w:rPr>
                <w:rStyle w:val="BodyChar"/>
              </w:rPr>
              <w:t>Not reported to VAED or VINAH MDS</w:t>
            </w:r>
          </w:p>
          <w:p w14:paraId="2F2E1692" w14:textId="77777777" w:rsidR="0097709C" w:rsidRDefault="0097709C" w:rsidP="00E20896">
            <w:pPr>
              <w:pStyle w:val="Body"/>
              <w:rPr>
                <w:rStyle w:val="BodyChar"/>
              </w:rPr>
            </w:pPr>
            <w:r>
              <w:rPr>
                <w:rStyle w:val="BodyChar"/>
              </w:rPr>
              <w:t>VAED</w:t>
            </w:r>
          </w:p>
        </w:tc>
      </w:tr>
      <w:tr w:rsidR="008A5F7B" w14:paraId="7E6844D5" w14:textId="77777777" w:rsidTr="00676D19">
        <w:tc>
          <w:tcPr>
            <w:tcW w:w="4957" w:type="dxa"/>
          </w:tcPr>
          <w:p w14:paraId="391D4763" w14:textId="120E1D88" w:rsidR="008A5F7B" w:rsidRPr="00307BDA" w:rsidRDefault="008A5F7B" w:rsidP="000B061F">
            <w:pPr>
              <w:pStyle w:val="Body"/>
              <w:rPr>
                <w:rStyle w:val="BodyChar"/>
              </w:rPr>
            </w:pPr>
            <w:r w:rsidRPr="00307BDA">
              <w:t>Scanning</w:t>
            </w:r>
            <w:r w:rsidR="001F6470" w:rsidRPr="00307BDA">
              <w:t>,</w:t>
            </w:r>
            <w:r w:rsidR="00CD1FC8" w:rsidRPr="00307BDA">
              <w:t xml:space="preserve"> including pregnancy viability scans</w:t>
            </w:r>
            <w:r w:rsidR="001F6470" w:rsidRPr="00307BDA">
              <w:t xml:space="preserve"> and </w:t>
            </w:r>
            <w:r w:rsidR="00467DA7" w:rsidRPr="00307BDA">
              <w:t>specimen collection</w:t>
            </w:r>
          </w:p>
        </w:tc>
        <w:tc>
          <w:tcPr>
            <w:tcW w:w="4252" w:type="dxa"/>
          </w:tcPr>
          <w:p w14:paraId="33487975" w14:textId="606E298F" w:rsidR="008A5F7B" w:rsidRPr="00307BDA" w:rsidRDefault="00FE43C3" w:rsidP="000B061F">
            <w:pPr>
              <w:pStyle w:val="Body"/>
              <w:rPr>
                <w:rStyle w:val="BodyChar"/>
              </w:rPr>
            </w:pPr>
            <w:r w:rsidRPr="00307BDA">
              <w:rPr>
                <w:rStyle w:val="BodyChar"/>
              </w:rPr>
              <w:t>VINAH</w:t>
            </w:r>
            <w:r w:rsidR="00847BC9" w:rsidRPr="00307BDA">
              <w:rPr>
                <w:rStyle w:val="BodyChar"/>
              </w:rPr>
              <w:t xml:space="preserve"> MDS</w:t>
            </w:r>
            <w:r w:rsidRPr="00307BDA">
              <w:rPr>
                <w:rStyle w:val="BodyChar"/>
              </w:rPr>
              <w:t xml:space="preserve"> - c</w:t>
            </w:r>
            <w:r w:rsidR="002A276B" w:rsidRPr="00307BDA">
              <w:rPr>
                <w:rStyle w:val="BodyChar"/>
              </w:rPr>
              <w:t xml:space="preserve">onsidered part of a </w:t>
            </w:r>
            <w:r w:rsidRPr="00307BDA">
              <w:rPr>
                <w:rStyle w:val="BodyChar"/>
              </w:rPr>
              <w:t xml:space="preserve">consultation </w:t>
            </w:r>
            <w:r w:rsidR="003B2D5E" w:rsidRPr="00307BDA">
              <w:rPr>
                <w:rStyle w:val="BodyChar"/>
              </w:rPr>
              <w:t>and/or diagnostic</w:t>
            </w:r>
            <w:r w:rsidR="00AE4D60">
              <w:rPr>
                <w:rStyle w:val="BodyChar"/>
              </w:rPr>
              <w:t>. I</w:t>
            </w:r>
            <w:r w:rsidR="00BD5C0A" w:rsidRPr="00307BDA">
              <w:rPr>
                <w:rStyle w:val="BodyChar"/>
              </w:rPr>
              <w:t>s not</w:t>
            </w:r>
            <w:r w:rsidR="005B7196">
              <w:rPr>
                <w:rStyle w:val="BodyChar"/>
              </w:rPr>
              <w:t xml:space="preserve"> in scope for</w:t>
            </w:r>
            <w:r w:rsidR="00BD5C0A" w:rsidRPr="00307BDA">
              <w:rPr>
                <w:rStyle w:val="BodyChar"/>
              </w:rPr>
              <w:t xml:space="preserve"> report</w:t>
            </w:r>
            <w:r w:rsidR="005B7196">
              <w:rPr>
                <w:rStyle w:val="BodyChar"/>
              </w:rPr>
              <w:t>ing</w:t>
            </w:r>
            <w:r w:rsidR="00BD5C0A" w:rsidRPr="00307BDA">
              <w:rPr>
                <w:rStyle w:val="BodyChar"/>
              </w:rPr>
              <w:t xml:space="preserve"> separate</w:t>
            </w:r>
            <w:r w:rsidR="00146D80" w:rsidRPr="00307BDA">
              <w:rPr>
                <w:rStyle w:val="BodyChar"/>
              </w:rPr>
              <w:t>ly</w:t>
            </w:r>
          </w:p>
        </w:tc>
      </w:tr>
      <w:tr w:rsidR="0097709C" w14:paraId="15F40B7F" w14:textId="77777777" w:rsidTr="007A52CB">
        <w:tc>
          <w:tcPr>
            <w:tcW w:w="4957" w:type="dxa"/>
          </w:tcPr>
          <w:p w14:paraId="63A78A52" w14:textId="77777777" w:rsidR="0097709C" w:rsidRDefault="0097709C" w:rsidP="007A52CB">
            <w:pPr>
              <w:pStyle w:val="Body"/>
              <w:rPr>
                <w:rStyle w:val="BodyChar"/>
              </w:rPr>
            </w:pPr>
            <w:r>
              <w:rPr>
                <w:rStyle w:val="BodyChar"/>
              </w:rPr>
              <w:t>Testicular biopsy procedures under LA &amp; GA</w:t>
            </w:r>
          </w:p>
        </w:tc>
        <w:tc>
          <w:tcPr>
            <w:tcW w:w="4252" w:type="dxa"/>
          </w:tcPr>
          <w:p w14:paraId="2D725357" w14:textId="77777777" w:rsidR="0097709C" w:rsidRDefault="0097709C" w:rsidP="007A52CB">
            <w:pPr>
              <w:pStyle w:val="Body"/>
              <w:rPr>
                <w:rStyle w:val="BodyChar"/>
              </w:rPr>
            </w:pPr>
            <w:r>
              <w:rPr>
                <w:rStyle w:val="BodyChar"/>
              </w:rPr>
              <w:t>VAED</w:t>
            </w:r>
          </w:p>
        </w:tc>
      </w:tr>
      <w:tr w:rsidR="0097709C" w14:paraId="3644429C" w14:textId="77777777" w:rsidTr="00FC26B6">
        <w:tc>
          <w:tcPr>
            <w:tcW w:w="4957" w:type="dxa"/>
          </w:tcPr>
          <w:p w14:paraId="3CC326D3" w14:textId="77777777" w:rsidR="0097709C" w:rsidRDefault="0097709C" w:rsidP="00FC26B6">
            <w:pPr>
              <w:pStyle w:val="Body"/>
              <w:rPr>
                <w:rStyle w:val="BodyChar"/>
              </w:rPr>
            </w:pPr>
            <w:r>
              <w:rPr>
                <w:rStyle w:val="BodyChar"/>
              </w:rPr>
              <w:t>Transvaginal oocyte retrieval</w:t>
            </w:r>
          </w:p>
        </w:tc>
        <w:tc>
          <w:tcPr>
            <w:tcW w:w="4252" w:type="dxa"/>
          </w:tcPr>
          <w:p w14:paraId="25B545D2" w14:textId="77777777" w:rsidR="0097709C" w:rsidRDefault="0097709C" w:rsidP="00FC26B6">
            <w:pPr>
              <w:pStyle w:val="Body"/>
              <w:rPr>
                <w:rStyle w:val="BodyChar"/>
              </w:rPr>
            </w:pPr>
            <w:r>
              <w:rPr>
                <w:rStyle w:val="BodyChar"/>
              </w:rPr>
              <w:t>VAED</w:t>
            </w:r>
          </w:p>
        </w:tc>
      </w:tr>
    </w:tbl>
    <w:p w14:paraId="00B81095" w14:textId="217B2085" w:rsidR="000B061F" w:rsidRPr="000B061F" w:rsidRDefault="006925B5" w:rsidP="00E3662F">
      <w:pPr>
        <w:pStyle w:val="Heading2"/>
      </w:pPr>
      <w:bookmarkStart w:id="43" w:name="_Toc163019660"/>
      <w:bookmarkStart w:id="44" w:name="_Toc174520858"/>
      <w:r>
        <w:t xml:space="preserve">Multidisciplinary </w:t>
      </w:r>
      <w:r w:rsidR="00BA6E7F">
        <w:t>c</w:t>
      </w:r>
      <w:r>
        <w:t xml:space="preserve">ase </w:t>
      </w:r>
      <w:r w:rsidR="00BA6E7F">
        <w:t>c</w:t>
      </w:r>
      <w:r>
        <w:t>onferences</w:t>
      </w:r>
      <w:bookmarkEnd w:id="43"/>
      <w:bookmarkEnd w:id="44"/>
    </w:p>
    <w:p w14:paraId="752F623A" w14:textId="3DFE64AB" w:rsidR="007C29B7" w:rsidRDefault="007C29B7" w:rsidP="007C29B7">
      <w:r>
        <w:rPr>
          <w:rFonts w:eastAsia="Times"/>
        </w:rPr>
        <w:t xml:space="preserve">Where a MDCC clinic is conducted this must meet the </w:t>
      </w:r>
      <w:hyperlink r:id="rId25" w:history="1">
        <w:r w:rsidRPr="005A312A">
          <w:rPr>
            <w:rStyle w:val="Hyperlink"/>
            <w:rFonts w:eastAsia="MS Gothic"/>
          </w:rPr>
          <w:t>Non-Admitted Multidisciplinary Case Conferences - Reporting Guidelines</w:t>
        </w:r>
      </w:hyperlink>
      <w:r>
        <w:t xml:space="preserve"> </w:t>
      </w:r>
      <w:r w:rsidR="005A312A">
        <w:t>&lt;</w:t>
      </w:r>
      <w:r w:rsidRPr="005A312A">
        <w:t>https://www.health.vic.gov.au/publications/non-admitted-multidisciplinary-case-conferences-reporting-guidelines</w:t>
      </w:r>
      <w:r w:rsidR="005A312A">
        <w:t>&gt;</w:t>
      </w:r>
      <w:r>
        <w:t xml:space="preserve">, and </w:t>
      </w:r>
      <w:r w:rsidR="00B44A5A">
        <w:t xml:space="preserve">is </w:t>
      </w:r>
      <w:r>
        <w:t xml:space="preserve">registered </w:t>
      </w:r>
      <w:r w:rsidR="00A22BA3">
        <w:t xml:space="preserve">in NACMS </w:t>
      </w:r>
      <w:r>
        <w:t>against the appropriate Tier 2 class as outlined in the guidelines.</w:t>
      </w:r>
    </w:p>
    <w:p w14:paraId="36D0F762" w14:textId="77777777" w:rsidR="008C08BC" w:rsidRDefault="008C08BC" w:rsidP="007C29B7"/>
    <w:p w14:paraId="34D20B34" w14:textId="77777777" w:rsidR="008628D5" w:rsidRDefault="008628D5" w:rsidP="006A3031">
      <w:pPr>
        <w:pStyle w:val="Heading2"/>
        <w:sectPr w:rsidR="008628D5" w:rsidSect="008E420B">
          <w:headerReference w:type="default" r:id="rId26"/>
          <w:footerReference w:type="even" r:id="rId27"/>
          <w:footerReference w:type="default" r:id="rId28"/>
          <w:footerReference w:type="first" r:id="rId29"/>
          <w:type w:val="continuous"/>
          <w:pgSz w:w="11906" w:h="16838" w:code="9"/>
          <w:pgMar w:top="1418" w:right="851" w:bottom="1418" w:left="851" w:header="851" w:footer="851" w:gutter="0"/>
          <w:cols w:space="340"/>
          <w:titlePg/>
          <w:docGrid w:linePitch="360"/>
        </w:sectPr>
      </w:pPr>
      <w:bookmarkStart w:id="45" w:name="_Toc163019661"/>
    </w:p>
    <w:p w14:paraId="69DBCB8A" w14:textId="66883B59" w:rsidR="008C08BC" w:rsidRPr="000B061F" w:rsidRDefault="008628D5" w:rsidP="009B521F">
      <w:pPr>
        <w:pStyle w:val="Heading1"/>
      </w:pPr>
      <w:bookmarkStart w:id="46" w:name="_Toc174520859"/>
      <w:r>
        <w:lastRenderedPageBreak/>
        <w:t>Appendix A</w:t>
      </w:r>
      <w:r w:rsidR="00FC02ED">
        <w:t xml:space="preserve"> - c</w:t>
      </w:r>
      <w:r w:rsidR="00DA63CE">
        <w:t>ontact reporting e</w:t>
      </w:r>
      <w:r w:rsidR="008C08BC">
        <w:t>xamples</w:t>
      </w:r>
      <w:bookmarkEnd w:id="45"/>
      <w:bookmarkEnd w:id="46"/>
    </w:p>
    <w:p w14:paraId="326A36FA" w14:textId="227EEE3D" w:rsidR="005F093E" w:rsidRDefault="00CA403E" w:rsidP="00C7644E">
      <w:pPr>
        <w:pStyle w:val="Heading2"/>
        <w:rPr>
          <w:rFonts w:eastAsia="Times"/>
        </w:rPr>
      </w:pPr>
      <w:bookmarkStart w:id="47" w:name="_Toc174520860"/>
      <w:r>
        <w:rPr>
          <w:rFonts w:eastAsia="Times"/>
        </w:rPr>
        <w:t>Accompanied patient contacts</w:t>
      </w:r>
      <w:bookmarkEnd w:id="47"/>
    </w:p>
    <w:p w14:paraId="0F8EBBC8" w14:textId="099CDCAB" w:rsidR="006D35EA" w:rsidRDefault="006D35EA" w:rsidP="006D35EA">
      <w:pPr>
        <w:pStyle w:val="Heading3"/>
      </w:pPr>
      <w:r>
        <w:t>Example 1</w:t>
      </w:r>
    </w:p>
    <w:p w14:paraId="71C6968F" w14:textId="3EBE004C" w:rsidR="006D35EA" w:rsidRPr="00562F81" w:rsidRDefault="006D35EA" w:rsidP="006D35EA">
      <w:pPr>
        <w:pStyle w:val="Body"/>
      </w:pPr>
      <w:r>
        <w:t xml:space="preserve">A couple attend a single outpatient appointment for consultation on fertility assessments. Therapeutic/clinical advice is provided for both </w:t>
      </w:r>
      <w:r w:rsidR="00D27488">
        <w:t>people</w:t>
      </w:r>
      <w:r>
        <w:t xml:space="preserve"> in attendance relevant to each </w:t>
      </w:r>
      <w:r w:rsidR="00B03C0C">
        <w:t>person’s</w:t>
      </w:r>
      <w:r>
        <w:t xml:space="preserve"> fertility and a dated entry is made in each </w:t>
      </w:r>
      <w:r w:rsidR="00B03C0C">
        <w:t>person’s</w:t>
      </w:r>
      <w:r>
        <w:t xml:space="preserve"> medical record. This session would be counted as two non-admitted service events as each patient received </w:t>
      </w:r>
      <w:r w:rsidR="00B47A4A">
        <w:t>therapeutic</w:t>
      </w:r>
      <w:r>
        <w:t>/clinical advice</w:t>
      </w:r>
      <w:r w:rsidR="00A536D7">
        <w:t xml:space="preserve"> and the service</w:t>
      </w:r>
      <w:r w:rsidR="009A33E7">
        <w:t xml:space="preserve"> provided met the definition of a non-admitted patient service event</w:t>
      </w:r>
      <w:r>
        <w:t>.</w:t>
      </w:r>
    </w:p>
    <w:p w14:paraId="10B2F17B" w14:textId="2527D714" w:rsidR="00CA403E" w:rsidRPr="00CA403E" w:rsidRDefault="00CA403E" w:rsidP="00CA403E">
      <w:pPr>
        <w:pStyle w:val="Heading3"/>
      </w:pPr>
      <w:r>
        <w:t xml:space="preserve">Example </w:t>
      </w:r>
      <w:r w:rsidR="006D35EA">
        <w:t>2</w:t>
      </w:r>
    </w:p>
    <w:p w14:paraId="1BBB9B4F" w14:textId="50032DEE" w:rsidR="00280703" w:rsidRDefault="00C124CC" w:rsidP="006F1118">
      <w:pPr>
        <w:pStyle w:val="Body"/>
      </w:pPr>
      <w:r>
        <w:t xml:space="preserve">A </w:t>
      </w:r>
      <w:r w:rsidR="00410BED">
        <w:t>couple</w:t>
      </w:r>
      <w:r>
        <w:t xml:space="preserve"> attend </w:t>
      </w:r>
      <w:r w:rsidR="00410BED">
        <w:t>a</w:t>
      </w:r>
      <w:r>
        <w:t xml:space="preserve"> </w:t>
      </w:r>
      <w:r w:rsidR="00A44929">
        <w:t xml:space="preserve">single outpatient appointment </w:t>
      </w:r>
      <w:r w:rsidR="00117284">
        <w:t>for consultation</w:t>
      </w:r>
      <w:r w:rsidR="00C76D8F">
        <w:t xml:space="preserve"> on the frozen embryo transfer (FET) process</w:t>
      </w:r>
      <w:r>
        <w:t xml:space="preserve">. </w:t>
      </w:r>
      <w:r w:rsidR="008546E9">
        <w:t>T</w:t>
      </w:r>
      <w:r>
        <w:t xml:space="preserve">herapeutic/clinical advice is provided to the </w:t>
      </w:r>
      <w:r w:rsidR="00787E73">
        <w:t>woman</w:t>
      </w:r>
      <w:r>
        <w:t xml:space="preserve"> regarding </w:t>
      </w:r>
      <w:r w:rsidR="00B523FA">
        <w:t>the</w:t>
      </w:r>
      <w:r>
        <w:t xml:space="preserve"> </w:t>
      </w:r>
      <w:r w:rsidR="00B523FA">
        <w:t>procedure</w:t>
      </w:r>
      <w:r>
        <w:t xml:space="preserve"> and a dated entry is made in the </w:t>
      </w:r>
      <w:r w:rsidR="002A0D5D">
        <w:t>woman</w:t>
      </w:r>
      <w:r>
        <w:t xml:space="preserve">’s medical record. </w:t>
      </w:r>
      <w:r w:rsidR="002A0D5D">
        <w:t>T</w:t>
      </w:r>
      <w:r>
        <w:t xml:space="preserve">his session would be counted as one non-admitted patient service event </w:t>
      </w:r>
      <w:r w:rsidR="00B94F2B">
        <w:t xml:space="preserve">only </w:t>
      </w:r>
      <w:r>
        <w:t xml:space="preserve">as the accompanying </w:t>
      </w:r>
      <w:r w:rsidR="00E56840">
        <w:t>partner</w:t>
      </w:r>
      <w:r>
        <w:t xml:space="preserve"> did not receive a service that met the definition of a non-admitted patient service event.</w:t>
      </w:r>
    </w:p>
    <w:p w14:paraId="22593F8F" w14:textId="2FCBF435" w:rsidR="008C08BC" w:rsidRPr="008C08BC" w:rsidRDefault="008C08BC" w:rsidP="00C7644E">
      <w:pPr>
        <w:pStyle w:val="Heading2"/>
        <w:rPr>
          <w:rFonts w:eastAsia="Times"/>
        </w:rPr>
      </w:pPr>
      <w:bookmarkStart w:id="48" w:name="_Toc174520861"/>
      <w:r w:rsidRPr="008C08BC">
        <w:rPr>
          <w:rFonts w:eastAsia="Times"/>
        </w:rPr>
        <w:t>Telehealth video contacts</w:t>
      </w:r>
      <w:bookmarkEnd w:id="48"/>
    </w:p>
    <w:p w14:paraId="65E0159B" w14:textId="3C896E27" w:rsidR="008C08BC" w:rsidRPr="008C08BC" w:rsidRDefault="008C08BC" w:rsidP="008C08BC">
      <w:pPr>
        <w:rPr>
          <w:rFonts w:eastAsia="Times"/>
        </w:rPr>
      </w:pPr>
      <w:r w:rsidRPr="008C08BC">
        <w:rPr>
          <w:rFonts w:eastAsia="Times"/>
        </w:rPr>
        <w:t>Non admitted activity delivered to a patient using videoconference i.e. Skype, FaceTime, Healthdirect video conference or other similar video application</w:t>
      </w:r>
      <w:r w:rsidR="00E16263">
        <w:rPr>
          <w:rFonts w:eastAsia="Times"/>
        </w:rPr>
        <w:t>,</w:t>
      </w:r>
      <w:r w:rsidRPr="008C08BC">
        <w:rPr>
          <w:rFonts w:eastAsia="Times"/>
        </w:rPr>
        <w:t xml:space="preserve"> is in scope for VINAH </w:t>
      </w:r>
      <w:r w:rsidR="006C3A0D">
        <w:rPr>
          <w:rFonts w:eastAsia="Times"/>
        </w:rPr>
        <w:t xml:space="preserve">MDS </w:t>
      </w:r>
      <w:r w:rsidRPr="008C08BC">
        <w:rPr>
          <w:rFonts w:eastAsia="Times"/>
        </w:rPr>
        <w:t>reporting provided it meets the criteria for a contact. Telehealth video is considered a mode of delivery and is used in conjunction with the contact delivery setting to identify where the patient/client experiences the telehealth video contact.</w:t>
      </w:r>
    </w:p>
    <w:p w14:paraId="6C6E83C1" w14:textId="77777777" w:rsidR="008C08BC" w:rsidRPr="00485CBD" w:rsidRDefault="008C08BC" w:rsidP="00C7644E">
      <w:pPr>
        <w:pStyle w:val="Heading3"/>
      </w:pPr>
      <w:r w:rsidRPr="00485CBD">
        <w:t>Example 1</w:t>
      </w:r>
    </w:p>
    <w:p w14:paraId="27C0B8CB" w14:textId="77777777" w:rsidR="008C08BC" w:rsidRPr="008C08BC" w:rsidRDefault="008C08BC" w:rsidP="008C08BC">
      <w:pPr>
        <w:rPr>
          <w:rFonts w:eastAsia="Times"/>
        </w:rPr>
      </w:pPr>
      <w:r w:rsidRPr="008C08BC">
        <w:rPr>
          <w:rFonts w:eastAsia="Times"/>
        </w:rPr>
        <w:t>The contact is delivered by the health care provider to the patient/client at home or another non-hospital setting.</w:t>
      </w:r>
    </w:p>
    <w:p w14:paraId="2AF1844C" w14:textId="77777777" w:rsidR="008C08BC" w:rsidRPr="008C08BC" w:rsidRDefault="008C08BC" w:rsidP="008C08BC">
      <w:pPr>
        <w:rPr>
          <w:rFonts w:eastAsia="Times"/>
        </w:rPr>
      </w:pPr>
      <w:r w:rsidRPr="008C08BC">
        <w:rPr>
          <w:rFonts w:eastAsia="Times"/>
        </w:rPr>
        <w:t>Contact Client Present Status: 13-Patient/client via telehealth video</w:t>
      </w:r>
    </w:p>
    <w:p w14:paraId="0B8257CF" w14:textId="77777777" w:rsidR="008C08BC" w:rsidRPr="008C08BC" w:rsidRDefault="008C08BC" w:rsidP="008C08BC">
      <w:pPr>
        <w:rPr>
          <w:rFonts w:eastAsia="Times"/>
        </w:rPr>
      </w:pPr>
      <w:r w:rsidRPr="008C08BC">
        <w:rPr>
          <w:rFonts w:eastAsia="Times"/>
        </w:rPr>
        <w:t>Contact Delivery Mode: 3-Telehealth video</w:t>
      </w:r>
    </w:p>
    <w:p w14:paraId="260EECD2" w14:textId="77777777" w:rsidR="008C08BC" w:rsidRPr="008C08BC" w:rsidRDefault="008C08BC" w:rsidP="008C08BC">
      <w:pPr>
        <w:rPr>
          <w:rFonts w:eastAsia="Times"/>
        </w:rPr>
      </w:pPr>
      <w:r w:rsidRPr="008C08BC">
        <w:rPr>
          <w:rFonts w:eastAsia="Times"/>
        </w:rPr>
        <w:t>Contact Delivery Setting: 31-Home or other applicable code.</w:t>
      </w:r>
    </w:p>
    <w:p w14:paraId="053FDCB6" w14:textId="77777777" w:rsidR="008C08BC" w:rsidRPr="008C08BC" w:rsidRDefault="008C08BC" w:rsidP="00485CBD">
      <w:pPr>
        <w:pStyle w:val="Heading3"/>
      </w:pPr>
      <w:r w:rsidRPr="008C08BC">
        <w:t>Example 2</w:t>
      </w:r>
    </w:p>
    <w:p w14:paraId="50C1634B" w14:textId="68853EE9" w:rsidR="008C08BC" w:rsidRPr="008C08BC" w:rsidRDefault="008C08BC" w:rsidP="008C08BC">
      <w:pPr>
        <w:rPr>
          <w:rFonts w:eastAsia="Times"/>
        </w:rPr>
      </w:pPr>
      <w:r w:rsidRPr="008C08BC">
        <w:rPr>
          <w:rFonts w:eastAsia="Times"/>
        </w:rPr>
        <w:t>The contact is delivered between a health care provider at one health service and the patient and health care provider is at another health service</w:t>
      </w:r>
      <w:r w:rsidR="007D0CAA">
        <w:rPr>
          <w:rFonts w:eastAsia="Times"/>
        </w:rPr>
        <w:t>, not under a contracted care arrangement</w:t>
      </w:r>
      <w:r w:rsidR="007E653F">
        <w:rPr>
          <w:rFonts w:eastAsia="Times"/>
        </w:rPr>
        <w:t>.</w:t>
      </w:r>
    </w:p>
    <w:p w14:paraId="141951C9" w14:textId="77777777" w:rsidR="008C08BC" w:rsidRPr="00A23A75" w:rsidRDefault="008C08BC" w:rsidP="008C08BC">
      <w:pPr>
        <w:rPr>
          <w:rFonts w:eastAsia="Times"/>
          <w:u w:val="single"/>
        </w:rPr>
      </w:pPr>
      <w:r w:rsidRPr="00A23A75">
        <w:rPr>
          <w:rFonts w:eastAsia="Times"/>
          <w:u w:val="single"/>
        </w:rPr>
        <w:t>Provider</w:t>
      </w:r>
    </w:p>
    <w:p w14:paraId="3BA1C728" w14:textId="77777777" w:rsidR="008C08BC" w:rsidRPr="008C08BC" w:rsidRDefault="008C08BC" w:rsidP="001B7498">
      <w:pPr>
        <w:pStyle w:val="Body"/>
      </w:pPr>
      <w:r w:rsidRPr="008C08BC">
        <w:t>Contact Client Present Status: 13-Patient/client via telehealth video</w:t>
      </w:r>
    </w:p>
    <w:p w14:paraId="758CA0DB" w14:textId="77777777" w:rsidR="008C08BC" w:rsidRPr="008C08BC" w:rsidRDefault="008C08BC" w:rsidP="001B7498">
      <w:pPr>
        <w:pStyle w:val="Body"/>
      </w:pPr>
      <w:r w:rsidRPr="008C08BC">
        <w:t>Contact Delivery Mode: 3-Telehealth video</w:t>
      </w:r>
    </w:p>
    <w:p w14:paraId="453C1923" w14:textId="77777777" w:rsidR="008C08BC" w:rsidRPr="008C08BC" w:rsidRDefault="008C08BC" w:rsidP="001B7498">
      <w:pPr>
        <w:pStyle w:val="Body"/>
      </w:pPr>
      <w:r w:rsidRPr="008C08BC">
        <w:t>Contact Delivery Setting: The location of the patient i.e. Hospital setting clinic/centre, Community based health facility or other applicable code.</w:t>
      </w:r>
    </w:p>
    <w:p w14:paraId="0E83E4A3" w14:textId="77777777" w:rsidR="00BA4059" w:rsidRDefault="00BA4059">
      <w:pPr>
        <w:spacing w:after="0" w:line="240" w:lineRule="auto"/>
        <w:rPr>
          <w:rFonts w:eastAsia="Times"/>
          <w:u w:val="single"/>
        </w:rPr>
      </w:pPr>
      <w:r>
        <w:rPr>
          <w:rFonts w:eastAsia="Times"/>
          <w:u w:val="single"/>
        </w:rPr>
        <w:br w:type="page"/>
      </w:r>
    </w:p>
    <w:p w14:paraId="048CF3DF" w14:textId="0E813967" w:rsidR="008C08BC" w:rsidRPr="00A23A75" w:rsidRDefault="008C08BC" w:rsidP="008C08BC">
      <w:pPr>
        <w:rPr>
          <w:rFonts w:eastAsia="Times"/>
          <w:u w:val="single"/>
        </w:rPr>
      </w:pPr>
      <w:r w:rsidRPr="00A23A75">
        <w:rPr>
          <w:rFonts w:eastAsia="Times"/>
          <w:u w:val="single"/>
        </w:rPr>
        <w:lastRenderedPageBreak/>
        <w:t>Provider where the patient is physically present</w:t>
      </w:r>
    </w:p>
    <w:p w14:paraId="40EDAF06" w14:textId="77777777" w:rsidR="008C08BC" w:rsidRPr="008C08BC" w:rsidRDefault="008C08BC" w:rsidP="008C08BC">
      <w:pPr>
        <w:rPr>
          <w:rFonts w:eastAsia="Times"/>
        </w:rPr>
      </w:pPr>
      <w:r w:rsidRPr="008C08BC">
        <w:rPr>
          <w:rFonts w:eastAsia="Times"/>
        </w:rPr>
        <w:t>Contact Client Present Status:10-Patient/client present with or without carer(s)/relative(s), 11-Patient/client present only or 12-Patient/client present with carer(s)/relative(s)</w:t>
      </w:r>
    </w:p>
    <w:p w14:paraId="7FB6D47A" w14:textId="77777777" w:rsidR="008C08BC" w:rsidRPr="008C08BC" w:rsidRDefault="008C08BC" w:rsidP="008C08BC">
      <w:pPr>
        <w:rPr>
          <w:rFonts w:eastAsia="Times"/>
        </w:rPr>
      </w:pPr>
      <w:r w:rsidRPr="008C08BC">
        <w:rPr>
          <w:rFonts w:eastAsia="Times"/>
        </w:rPr>
        <w:t>Contact Delivery Mode: 3-Telehealth video</w:t>
      </w:r>
    </w:p>
    <w:p w14:paraId="054A58EF" w14:textId="7D2561F5" w:rsidR="008C08BC" w:rsidRPr="008C08BC" w:rsidRDefault="008C08BC" w:rsidP="008C08BC">
      <w:pPr>
        <w:rPr>
          <w:rFonts w:eastAsia="Times"/>
        </w:rPr>
      </w:pPr>
      <w:r w:rsidRPr="008C08BC">
        <w:rPr>
          <w:rFonts w:eastAsia="Times"/>
        </w:rPr>
        <w:t>Contact Delivery Setting: The location of the patient i.e. Hospital setting clinic/centre, Community based health facility or other applicable code.</w:t>
      </w:r>
    </w:p>
    <w:p w14:paraId="07D87F81" w14:textId="5E624437" w:rsidR="007E653F" w:rsidRPr="00307BDA" w:rsidRDefault="007E653F" w:rsidP="007E653F">
      <w:pPr>
        <w:pStyle w:val="Heading3"/>
        <w:rPr>
          <w:color w:val="auto"/>
        </w:rPr>
      </w:pPr>
      <w:r w:rsidRPr="00307BDA">
        <w:rPr>
          <w:color w:val="auto"/>
        </w:rPr>
        <w:t>Example 3</w:t>
      </w:r>
    </w:p>
    <w:p w14:paraId="17A019E2" w14:textId="54619E1C" w:rsidR="007E653F" w:rsidRPr="00307BDA" w:rsidRDefault="004B21C5" w:rsidP="007E653F">
      <w:pPr>
        <w:rPr>
          <w:rFonts w:eastAsia="Times"/>
        </w:rPr>
      </w:pPr>
      <w:r w:rsidRPr="00307BDA">
        <w:rPr>
          <w:rFonts w:eastAsia="Times"/>
        </w:rPr>
        <w:t xml:space="preserve">The contact is delivered between a health care provider at one health service and the patient and health care provider is at another health service, under a contracted care arrangement. </w:t>
      </w:r>
      <w:r w:rsidR="007E653F" w:rsidRPr="00307BDA">
        <w:rPr>
          <w:rFonts w:eastAsia="Times"/>
        </w:rPr>
        <w:t>As the funded agency A reports data for the sate</w:t>
      </w:r>
      <w:r w:rsidR="007B1136" w:rsidRPr="00307BDA">
        <w:rPr>
          <w:rFonts w:eastAsia="Times"/>
        </w:rPr>
        <w:t>l</w:t>
      </w:r>
      <w:r w:rsidR="007E653F" w:rsidRPr="00307BDA">
        <w:rPr>
          <w:rFonts w:eastAsia="Times"/>
        </w:rPr>
        <w:t>lite service B</w:t>
      </w:r>
      <w:r w:rsidR="007B1136" w:rsidRPr="00307BDA">
        <w:rPr>
          <w:rFonts w:eastAsia="Times"/>
        </w:rPr>
        <w:t>,</w:t>
      </w:r>
      <w:r w:rsidR="007E653F" w:rsidRPr="00307BDA">
        <w:rPr>
          <w:rFonts w:eastAsia="Times"/>
        </w:rPr>
        <w:t xml:space="preserve"> only one contact is reported.</w:t>
      </w:r>
    </w:p>
    <w:p w14:paraId="740DB868" w14:textId="77777777" w:rsidR="007E653F" w:rsidRPr="00307BDA" w:rsidRDefault="007E653F" w:rsidP="007E653F">
      <w:pPr>
        <w:rPr>
          <w:rFonts w:eastAsia="Times"/>
        </w:rPr>
      </w:pPr>
      <w:r w:rsidRPr="00307BDA">
        <w:rPr>
          <w:rFonts w:eastAsia="Times"/>
        </w:rPr>
        <w:t>Contact Client Present Status: 13-Patient/client via telehealth video</w:t>
      </w:r>
    </w:p>
    <w:p w14:paraId="4D686EA8" w14:textId="77777777" w:rsidR="007E653F" w:rsidRPr="00307BDA" w:rsidRDefault="007E653F" w:rsidP="007E653F">
      <w:pPr>
        <w:rPr>
          <w:rFonts w:eastAsia="Times"/>
        </w:rPr>
      </w:pPr>
      <w:r w:rsidRPr="00307BDA">
        <w:rPr>
          <w:rFonts w:eastAsia="Times"/>
        </w:rPr>
        <w:t>Contact Delivery Mode: 3-Telehealth video</w:t>
      </w:r>
    </w:p>
    <w:p w14:paraId="3A6A0D0E" w14:textId="77777777" w:rsidR="007E653F" w:rsidRPr="00307BDA" w:rsidRDefault="007E653F" w:rsidP="007E653F">
      <w:pPr>
        <w:rPr>
          <w:rFonts w:eastAsia="Times"/>
        </w:rPr>
      </w:pPr>
      <w:r w:rsidRPr="00307BDA">
        <w:rPr>
          <w:rFonts w:eastAsia="Times"/>
        </w:rPr>
        <w:t>Contact Delivery Setting: 12–Hospital setting – clinic centre or other applicable code</w:t>
      </w:r>
    </w:p>
    <w:p w14:paraId="1183ACC1" w14:textId="77777777" w:rsidR="007E653F" w:rsidRPr="00307BDA" w:rsidRDefault="007E653F" w:rsidP="007E653F">
      <w:pPr>
        <w:rPr>
          <w:rFonts w:eastAsia="Times"/>
        </w:rPr>
      </w:pPr>
      <w:r w:rsidRPr="00307BDA">
        <w:rPr>
          <w:rFonts w:eastAsia="Times"/>
        </w:rPr>
        <w:t>Contact Professional Group: Report one code for each participating health care provider</w:t>
      </w:r>
    </w:p>
    <w:p w14:paraId="0387135A" w14:textId="589F9D82" w:rsidR="007E653F" w:rsidRPr="00307BDA" w:rsidRDefault="007E653F" w:rsidP="007E653F">
      <w:pPr>
        <w:rPr>
          <w:rFonts w:eastAsia="Times"/>
        </w:rPr>
      </w:pPr>
      <w:r w:rsidRPr="00307BDA">
        <w:rPr>
          <w:rFonts w:eastAsia="Times"/>
        </w:rPr>
        <w:t>Contact Provider Code: sate</w:t>
      </w:r>
      <w:r w:rsidR="00D1660D" w:rsidRPr="00307BDA">
        <w:rPr>
          <w:rFonts w:eastAsia="Times"/>
        </w:rPr>
        <w:t>l</w:t>
      </w:r>
      <w:r w:rsidRPr="00307BDA">
        <w:rPr>
          <w:rFonts w:eastAsia="Times"/>
        </w:rPr>
        <w:t>lite service B code</w:t>
      </w:r>
    </w:p>
    <w:p w14:paraId="60DB50D3" w14:textId="785B74C8" w:rsidR="008C08BC" w:rsidRPr="008C08BC" w:rsidRDefault="008C08BC" w:rsidP="00485CBD">
      <w:pPr>
        <w:pStyle w:val="Heading3"/>
      </w:pPr>
      <w:r w:rsidRPr="008C08BC">
        <w:t xml:space="preserve">Example </w:t>
      </w:r>
      <w:r w:rsidR="007E653F">
        <w:t>4</w:t>
      </w:r>
    </w:p>
    <w:p w14:paraId="3DE292B5" w14:textId="5EA0E452" w:rsidR="008C08BC" w:rsidRPr="008C08BC" w:rsidRDefault="008C08BC" w:rsidP="008C08BC">
      <w:pPr>
        <w:rPr>
          <w:rFonts w:eastAsia="Times"/>
        </w:rPr>
      </w:pPr>
      <w:r w:rsidRPr="008C08BC">
        <w:rPr>
          <w:rFonts w:eastAsia="Times"/>
        </w:rPr>
        <w:t>The contact is delivered between a health care provider at one location</w:t>
      </w:r>
      <w:r w:rsidR="0002432A">
        <w:rPr>
          <w:rFonts w:eastAsia="Times"/>
        </w:rPr>
        <w:t>,</w:t>
      </w:r>
      <w:r w:rsidRPr="008C08BC">
        <w:rPr>
          <w:rFonts w:eastAsia="Times"/>
        </w:rPr>
        <w:t xml:space="preserve"> campus A</w:t>
      </w:r>
      <w:r w:rsidR="0002432A">
        <w:rPr>
          <w:rFonts w:eastAsia="Times"/>
        </w:rPr>
        <w:t>,</w:t>
      </w:r>
      <w:r w:rsidRPr="008C08BC">
        <w:rPr>
          <w:rFonts w:eastAsia="Times"/>
        </w:rPr>
        <w:t xml:space="preserve"> and the patient and health service provider at another location</w:t>
      </w:r>
      <w:r w:rsidR="0002432A">
        <w:rPr>
          <w:rFonts w:eastAsia="Times"/>
        </w:rPr>
        <w:t>,</w:t>
      </w:r>
      <w:r w:rsidRPr="008C08BC">
        <w:rPr>
          <w:rFonts w:eastAsia="Times"/>
        </w:rPr>
        <w:t xml:space="preserve"> campus B. Both health care providers are from the same health service and clinic. Report one contact only. The contact should be reported by </w:t>
      </w:r>
      <w:r w:rsidR="00777660">
        <w:rPr>
          <w:rFonts w:eastAsia="Times"/>
        </w:rPr>
        <w:t>c</w:t>
      </w:r>
      <w:r w:rsidRPr="008C08BC">
        <w:rPr>
          <w:rFonts w:eastAsia="Times"/>
        </w:rPr>
        <w:t>ampus A.</w:t>
      </w:r>
    </w:p>
    <w:p w14:paraId="332B05EF" w14:textId="77777777" w:rsidR="008C08BC" w:rsidRPr="008C08BC" w:rsidRDefault="008C08BC" w:rsidP="008C08BC">
      <w:pPr>
        <w:rPr>
          <w:rFonts w:eastAsia="Times"/>
        </w:rPr>
      </w:pPr>
      <w:r w:rsidRPr="008C08BC">
        <w:rPr>
          <w:rFonts w:eastAsia="Times"/>
        </w:rPr>
        <w:t>Contact Client Present Status: 13-Patient/client via telehealth video</w:t>
      </w:r>
    </w:p>
    <w:p w14:paraId="5DE72D2E" w14:textId="77777777" w:rsidR="008C08BC" w:rsidRPr="008C08BC" w:rsidRDefault="008C08BC" w:rsidP="008C08BC">
      <w:pPr>
        <w:rPr>
          <w:rFonts w:eastAsia="Times"/>
        </w:rPr>
      </w:pPr>
      <w:r w:rsidRPr="008C08BC">
        <w:rPr>
          <w:rFonts w:eastAsia="Times"/>
        </w:rPr>
        <w:t>Contact Delivery Mode: 3-Telehealth video</w:t>
      </w:r>
    </w:p>
    <w:p w14:paraId="5C7C0885" w14:textId="77777777" w:rsidR="008C08BC" w:rsidRPr="008C08BC" w:rsidRDefault="008C08BC" w:rsidP="008C08BC">
      <w:pPr>
        <w:rPr>
          <w:rFonts w:eastAsia="Times"/>
        </w:rPr>
      </w:pPr>
      <w:r w:rsidRPr="008C08BC">
        <w:rPr>
          <w:rFonts w:eastAsia="Times"/>
        </w:rPr>
        <w:t>Contact Delivery Setting: 12–Hospital setting – clinic centre or other applicable code</w:t>
      </w:r>
    </w:p>
    <w:p w14:paraId="249C4C52" w14:textId="24411E2F" w:rsidR="008C08BC" w:rsidRDefault="008C08BC" w:rsidP="008C08BC">
      <w:pPr>
        <w:rPr>
          <w:rFonts w:eastAsia="Times"/>
        </w:rPr>
      </w:pPr>
      <w:r w:rsidRPr="008C08BC">
        <w:rPr>
          <w:rFonts w:eastAsia="Times"/>
        </w:rPr>
        <w:t>Contact Professional Group: Report one code for each participating health care provid</w:t>
      </w:r>
      <w:r w:rsidR="00485CBD">
        <w:rPr>
          <w:rFonts w:eastAsia="Times"/>
        </w:rPr>
        <w:t>er</w:t>
      </w:r>
    </w:p>
    <w:p w14:paraId="6A561BD5" w14:textId="77777777" w:rsidR="00091D91" w:rsidRDefault="00091D91" w:rsidP="00CB6EF8">
      <w:pPr>
        <w:rPr>
          <w:rFonts w:eastAsia="Times"/>
        </w:rPr>
      </w:pPr>
      <w:bookmarkStart w:id="49" w:name="_Toc163019555"/>
      <w:bookmarkStart w:id="50" w:name="_Toc163019662"/>
    </w:p>
    <w:p w14:paraId="75F6A075" w14:textId="77777777" w:rsidR="00CB6EF8" w:rsidRPr="00CB6EF8" w:rsidRDefault="00CB6EF8" w:rsidP="00CB6EF8">
      <w:pPr>
        <w:pStyle w:val="Body"/>
        <w:sectPr w:rsidR="00CB6EF8" w:rsidRPr="00CB6EF8" w:rsidSect="008628D5">
          <w:pgSz w:w="11906" w:h="16838" w:code="9"/>
          <w:pgMar w:top="1418" w:right="851" w:bottom="1418" w:left="851" w:header="851" w:footer="851" w:gutter="0"/>
          <w:cols w:space="340"/>
          <w:titlePg/>
          <w:docGrid w:linePitch="360"/>
        </w:sectPr>
      </w:pPr>
    </w:p>
    <w:p w14:paraId="0B50C356" w14:textId="77777777" w:rsidR="008E420B" w:rsidRPr="008E420B" w:rsidRDefault="008E420B" w:rsidP="009B521F">
      <w:pPr>
        <w:pStyle w:val="Heading1"/>
      </w:pPr>
      <w:bookmarkStart w:id="51" w:name="_Toc174520862"/>
      <w:r w:rsidRPr="008E420B">
        <w:lastRenderedPageBreak/>
        <w:t>Further information</w:t>
      </w:r>
      <w:bookmarkEnd w:id="49"/>
      <w:bookmarkEnd w:id="50"/>
      <w:bookmarkEnd w:id="51"/>
    </w:p>
    <w:p w14:paraId="34626673" w14:textId="36BAE444" w:rsidR="008E420B" w:rsidRPr="008E420B" w:rsidRDefault="008E420B" w:rsidP="008E420B">
      <w:pPr>
        <w:rPr>
          <w:rFonts w:eastAsia="Times"/>
        </w:rPr>
      </w:pPr>
      <w:r w:rsidRPr="008E420B">
        <w:rPr>
          <w:rFonts w:eastAsia="Times"/>
        </w:rPr>
        <w:t xml:space="preserve">For further information </w:t>
      </w:r>
      <w:r w:rsidR="007066D1">
        <w:rPr>
          <w:rFonts w:eastAsia="Times"/>
        </w:rPr>
        <w:t xml:space="preserve">regarding the </w:t>
      </w:r>
      <w:r w:rsidRPr="008E420B">
        <w:rPr>
          <w:rFonts w:eastAsia="Times"/>
        </w:rPr>
        <w:t xml:space="preserve">Tier 2 </w:t>
      </w:r>
      <w:r w:rsidR="00E06DFD">
        <w:rPr>
          <w:rFonts w:eastAsia="Times"/>
        </w:rPr>
        <w:t xml:space="preserve">non-admitted services </w:t>
      </w:r>
      <w:r w:rsidR="007066D1">
        <w:rPr>
          <w:rFonts w:eastAsia="Times"/>
        </w:rPr>
        <w:t xml:space="preserve">classification </w:t>
      </w:r>
      <w:r w:rsidRPr="008E420B">
        <w:rPr>
          <w:rFonts w:eastAsia="Times"/>
        </w:rPr>
        <w:t>refer to:</w:t>
      </w:r>
    </w:p>
    <w:p w14:paraId="3E012A10" w14:textId="64A06A6A" w:rsidR="008E420B" w:rsidRPr="00151624" w:rsidRDefault="008E420B" w:rsidP="00305DF7">
      <w:pPr>
        <w:pStyle w:val="ListParagraph"/>
        <w:numPr>
          <w:ilvl w:val="0"/>
          <w:numId w:val="11"/>
        </w:numPr>
        <w:rPr>
          <w:rFonts w:eastAsia="Times"/>
          <w:sz w:val="21"/>
          <w:szCs w:val="21"/>
        </w:rPr>
      </w:pPr>
      <w:r w:rsidRPr="00AD470C">
        <w:rPr>
          <w:rFonts w:eastAsia="Times"/>
          <w:sz w:val="21"/>
          <w:szCs w:val="21"/>
        </w:rPr>
        <w:t>Tier 2 Non-Admitted Services Definition Manual,</w:t>
      </w:r>
      <w:r w:rsidRPr="00151624">
        <w:rPr>
          <w:rFonts w:eastAsia="Times"/>
          <w:sz w:val="21"/>
          <w:szCs w:val="21"/>
        </w:rPr>
        <w:t xml:space="preserve"> Independent </w:t>
      </w:r>
      <w:r w:rsidR="000801DA" w:rsidRPr="00151624">
        <w:rPr>
          <w:rFonts w:eastAsia="Times"/>
          <w:sz w:val="21"/>
          <w:szCs w:val="21"/>
        </w:rPr>
        <w:t xml:space="preserve">Health and Aged Care </w:t>
      </w:r>
      <w:r w:rsidRPr="00151624">
        <w:rPr>
          <w:rFonts w:eastAsia="Times"/>
          <w:sz w:val="21"/>
          <w:szCs w:val="21"/>
        </w:rPr>
        <w:t>Pricing Authority</w:t>
      </w:r>
      <w:r w:rsidR="00094A67" w:rsidRPr="00151624">
        <w:rPr>
          <w:rFonts w:eastAsia="Times"/>
          <w:sz w:val="21"/>
          <w:szCs w:val="21"/>
        </w:rPr>
        <w:t>,</w:t>
      </w:r>
      <w:r w:rsidR="00DB2EDF" w:rsidRPr="00151624">
        <w:rPr>
          <w:rFonts w:eastAsia="Times"/>
          <w:sz w:val="21"/>
          <w:szCs w:val="21"/>
        </w:rPr>
        <w:t xml:space="preserve"> </w:t>
      </w:r>
      <w:r w:rsidR="00B07C8F" w:rsidRPr="00151624">
        <w:rPr>
          <w:rFonts w:eastAsia="Times"/>
          <w:sz w:val="21"/>
          <w:szCs w:val="21"/>
        </w:rPr>
        <w:t>(revised annually).</w:t>
      </w:r>
    </w:p>
    <w:p w14:paraId="4DB76AF3" w14:textId="009A03D2" w:rsidR="008E420B" w:rsidRPr="00151624" w:rsidRDefault="008E420B" w:rsidP="00305DF7">
      <w:pPr>
        <w:pStyle w:val="ListParagraph"/>
        <w:numPr>
          <w:ilvl w:val="0"/>
          <w:numId w:val="11"/>
        </w:numPr>
        <w:rPr>
          <w:rFonts w:eastAsia="Times"/>
          <w:sz w:val="21"/>
          <w:szCs w:val="21"/>
        </w:rPr>
      </w:pPr>
      <w:r w:rsidRPr="00A6427B">
        <w:rPr>
          <w:rFonts w:eastAsia="Times"/>
          <w:sz w:val="21"/>
          <w:szCs w:val="21"/>
        </w:rPr>
        <w:t>Tier 2 Non-Admitted Services Compendium,</w:t>
      </w:r>
      <w:r w:rsidRPr="00151624">
        <w:rPr>
          <w:rFonts w:eastAsia="Times"/>
          <w:sz w:val="21"/>
          <w:szCs w:val="21"/>
        </w:rPr>
        <w:t xml:space="preserve"> Independent </w:t>
      </w:r>
      <w:r w:rsidR="004E1819" w:rsidRPr="00151624">
        <w:rPr>
          <w:rFonts w:eastAsia="Times"/>
          <w:sz w:val="21"/>
          <w:szCs w:val="21"/>
        </w:rPr>
        <w:t>Health and Aged Care</w:t>
      </w:r>
      <w:r w:rsidRPr="00151624">
        <w:rPr>
          <w:rFonts w:eastAsia="Times"/>
          <w:sz w:val="21"/>
          <w:szCs w:val="21"/>
        </w:rPr>
        <w:t xml:space="preserve"> Pricing Authority </w:t>
      </w:r>
      <w:r w:rsidR="00B07C8F" w:rsidRPr="00151624">
        <w:rPr>
          <w:rFonts w:eastAsia="Times"/>
          <w:sz w:val="21"/>
          <w:szCs w:val="21"/>
        </w:rPr>
        <w:t>(revised annually)</w:t>
      </w:r>
      <w:r w:rsidRPr="00151624">
        <w:rPr>
          <w:rFonts w:eastAsia="Times"/>
          <w:sz w:val="21"/>
          <w:szCs w:val="21"/>
        </w:rPr>
        <w:t>.</w:t>
      </w:r>
    </w:p>
    <w:p w14:paraId="2C6F2C71" w14:textId="40EC63A5" w:rsidR="00CC2CBE" w:rsidRPr="00151624" w:rsidRDefault="00997F12" w:rsidP="00305DF7">
      <w:pPr>
        <w:pStyle w:val="ListParagraph"/>
        <w:numPr>
          <w:ilvl w:val="0"/>
          <w:numId w:val="11"/>
        </w:numPr>
        <w:rPr>
          <w:rFonts w:eastAsia="Times"/>
          <w:sz w:val="21"/>
          <w:szCs w:val="21"/>
        </w:rPr>
      </w:pPr>
      <w:r w:rsidRPr="00A6427B">
        <w:rPr>
          <w:rFonts w:eastAsia="Times"/>
          <w:sz w:val="21"/>
          <w:szCs w:val="21"/>
        </w:rPr>
        <w:t>Tier 2 Non-Admitted Services National Index,</w:t>
      </w:r>
      <w:r w:rsidR="00D539BB" w:rsidRPr="00151624">
        <w:rPr>
          <w:rFonts w:eastAsia="Times"/>
          <w:sz w:val="21"/>
          <w:szCs w:val="21"/>
        </w:rPr>
        <w:t xml:space="preserve"> Independent Health and Aged Care Pricing Authority</w:t>
      </w:r>
      <w:r w:rsidR="00602122" w:rsidRPr="00151624">
        <w:rPr>
          <w:rFonts w:eastAsia="Times"/>
          <w:sz w:val="21"/>
          <w:szCs w:val="21"/>
        </w:rPr>
        <w:t>.</w:t>
      </w:r>
    </w:p>
    <w:p w14:paraId="108EBC87" w14:textId="2EBBD19C" w:rsidR="008E420B" w:rsidRPr="008E420B" w:rsidRDefault="00D539BB" w:rsidP="008E420B">
      <w:pPr>
        <w:rPr>
          <w:rFonts w:eastAsia="Times"/>
        </w:rPr>
      </w:pPr>
      <w:r>
        <w:rPr>
          <w:rFonts w:eastAsia="Times"/>
        </w:rPr>
        <w:t>D</w:t>
      </w:r>
      <w:r w:rsidR="008E420B" w:rsidRPr="008E420B">
        <w:rPr>
          <w:rFonts w:eastAsia="Times"/>
        </w:rPr>
        <w:t xml:space="preserve">ocuments available on the </w:t>
      </w:r>
      <w:hyperlink r:id="rId30" w:history="1">
        <w:r w:rsidR="004535B0">
          <w:rPr>
            <w:rFonts w:eastAsia="Times"/>
            <w:color w:val="004C97"/>
            <w:u w:val="dotted"/>
          </w:rPr>
          <w:t>IHACPA</w:t>
        </w:r>
      </w:hyperlink>
      <w:r w:rsidR="008E420B" w:rsidRPr="008E420B">
        <w:rPr>
          <w:rFonts w:eastAsia="Times"/>
        </w:rPr>
        <w:t xml:space="preserve"> </w:t>
      </w:r>
      <w:r w:rsidR="004535B0">
        <w:rPr>
          <w:rFonts w:eastAsia="Times"/>
        </w:rPr>
        <w:t xml:space="preserve">website </w:t>
      </w:r>
      <w:r w:rsidR="008E420B" w:rsidRPr="008E420B">
        <w:rPr>
          <w:rFonts w:eastAsia="Times"/>
        </w:rPr>
        <w:t>&lt;</w:t>
      </w:r>
      <w:r w:rsidR="00A54CF7" w:rsidRPr="00A54CF7">
        <w:rPr>
          <w:rFonts w:eastAsia="Times"/>
        </w:rPr>
        <w:t>https://www.ihacpa.gov.au/health-care/classification/non-admitted-care/tier-2-non-admitted-services-classification</w:t>
      </w:r>
      <w:r w:rsidR="008E420B" w:rsidRPr="008E420B">
        <w:rPr>
          <w:rFonts w:eastAsia="Times"/>
        </w:rPr>
        <w:t>&gt;</w:t>
      </w:r>
      <w:r w:rsidR="004D6665">
        <w:rPr>
          <w:rFonts w:eastAsia="Times"/>
        </w:rPr>
        <w:t>.</w:t>
      </w:r>
    </w:p>
    <w:p w14:paraId="4EE34F20" w14:textId="58829D29" w:rsidR="008E420B" w:rsidRPr="0003020A" w:rsidRDefault="4D762F50" w:rsidP="008E420B">
      <w:pPr>
        <w:rPr>
          <w:rFonts w:eastAsia="Times"/>
        </w:rPr>
      </w:pPr>
      <w:r w:rsidRPr="25247926">
        <w:rPr>
          <w:rFonts w:eastAsia="Times"/>
        </w:rPr>
        <w:t xml:space="preserve">For further information </w:t>
      </w:r>
      <w:r w:rsidR="00E06DFD">
        <w:rPr>
          <w:rFonts w:eastAsia="Times"/>
        </w:rPr>
        <w:t>regarding</w:t>
      </w:r>
      <w:r w:rsidRPr="25247926">
        <w:rPr>
          <w:rFonts w:eastAsia="Times"/>
        </w:rPr>
        <w:t xml:space="preserve"> the </w:t>
      </w:r>
      <w:r w:rsidR="00983F84" w:rsidRPr="0003020A">
        <w:rPr>
          <w:rFonts w:eastAsia="Times"/>
        </w:rPr>
        <w:t xml:space="preserve">VAED, </w:t>
      </w:r>
      <w:r w:rsidRPr="0003020A">
        <w:rPr>
          <w:rFonts w:eastAsia="Times"/>
        </w:rPr>
        <w:t>VINAH MDS and the AIMS S10 refer to:</w:t>
      </w:r>
    </w:p>
    <w:p w14:paraId="6BB59BC6" w14:textId="5C100354" w:rsidR="00983F84" w:rsidRPr="00151624" w:rsidRDefault="00983F84" w:rsidP="008F16D3">
      <w:pPr>
        <w:pStyle w:val="ListParagraph"/>
        <w:numPr>
          <w:ilvl w:val="0"/>
          <w:numId w:val="1"/>
        </w:numPr>
        <w:rPr>
          <w:rFonts w:eastAsia="Arial"/>
          <w:sz w:val="21"/>
          <w:szCs w:val="21"/>
        </w:rPr>
      </w:pPr>
      <w:r w:rsidRPr="00151624">
        <w:rPr>
          <w:rFonts w:eastAsia="Arial"/>
          <w:sz w:val="21"/>
          <w:szCs w:val="21"/>
        </w:rPr>
        <w:t>Victorian Admitted Episode Dataset manual and criteria for reporting</w:t>
      </w:r>
      <w:r w:rsidR="00310E2C" w:rsidRPr="00151624">
        <w:rPr>
          <w:rFonts w:eastAsia="Arial"/>
          <w:sz w:val="21"/>
          <w:szCs w:val="21"/>
        </w:rPr>
        <w:t>.</w:t>
      </w:r>
    </w:p>
    <w:p w14:paraId="18B22AE1" w14:textId="38C153B8" w:rsidR="44BD2126" w:rsidRPr="00151624" w:rsidRDefault="44BD2126" w:rsidP="008F16D3">
      <w:pPr>
        <w:pStyle w:val="ListParagraph"/>
        <w:numPr>
          <w:ilvl w:val="0"/>
          <w:numId w:val="1"/>
        </w:numPr>
        <w:rPr>
          <w:rFonts w:eastAsia="Arial"/>
          <w:sz w:val="21"/>
          <w:szCs w:val="21"/>
        </w:rPr>
      </w:pPr>
      <w:r w:rsidRPr="00151624">
        <w:rPr>
          <w:rFonts w:eastAsia="Arial"/>
          <w:sz w:val="21"/>
          <w:szCs w:val="21"/>
        </w:rPr>
        <w:t xml:space="preserve">Victorian </w:t>
      </w:r>
      <w:r w:rsidR="6DF353B7" w:rsidRPr="00151624">
        <w:rPr>
          <w:rFonts w:eastAsia="Arial"/>
          <w:sz w:val="21"/>
          <w:szCs w:val="21"/>
        </w:rPr>
        <w:t xml:space="preserve">Integrated </w:t>
      </w:r>
      <w:r w:rsidRPr="00151624">
        <w:rPr>
          <w:rFonts w:eastAsia="Arial"/>
          <w:sz w:val="21"/>
          <w:szCs w:val="21"/>
        </w:rPr>
        <w:t>Non-Admitted</w:t>
      </w:r>
      <w:r w:rsidR="47467221" w:rsidRPr="00151624">
        <w:rPr>
          <w:rFonts w:eastAsia="Arial"/>
          <w:sz w:val="21"/>
          <w:szCs w:val="21"/>
        </w:rPr>
        <w:t xml:space="preserve"> Health Minimum Data Set manual</w:t>
      </w:r>
      <w:r w:rsidR="004D6665" w:rsidRPr="00151624">
        <w:rPr>
          <w:rFonts w:eastAsia="Arial"/>
          <w:sz w:val="21"/>
          <w:szCs w:val="21"/>
        </w:rPr>
        <w:t>.</w:t>
      </w:r>
    </w:p>
    <w:p w14:paraId="1C4CDFF9" w14:textId="649059B5" w:rsidR="44BD2126" w:rsidRPr="00151624" w:rsidRDefault="44BD2126" w:rsidP="008F16D3">
      <w:pPr>
        <w:pStyle w:val="ListParagraph"/>
        <w:numPr>
          <w:ilvl w:val="0"/>
          <w:numId w:val="1"/>
        </w:numPr>
        <w:rPr>
          <w:rFonts w:eastAsia="Arial"/>
          <w:sz w:val="21"/>
          <w:szCs w:val="21"/>
        </w:rPr>
      </w:pPr>
      <w:r w:rsidRPr="00151624">
        <w:rPr>
          <w:rFonts w:eastAsia="Arial"/>
          <w:sz w:val="21"/>
          <w:szCs w:val="21"/>
        </w:rPr>
        <w:t>Agency</w:t>
      </w:r>
      <w:r w:rsidR="673BF403" w:rsidRPr="00151624">
        <w:rPr>
          <w:rFonts w:eastAsia="Arial"/>
          <w:sz w:val="21"/>
          <w:szCs w:val="21"/>
        </w:rPr>
        <w:t xml:space="preserve"> Information Management System</w:t>
      </w:r>
      <w:r w:rsidR="6F15CFB8" w:rsidRPr="00151624">
        <w:rPr>
          <w:rFonts w:eastAsia="Arial"/>
          <w:sz w:val="21"/>
          <w:szCs w:val="21"/>
        </w:rPr>
        <w:t xml:space="preserve"> </w:t>
      </w:r>
      <w:r w:rsidR="21BE2B66" w:rsidRPr="00151624">
        <w:rPr>
          <w:rFonts w:eastAsia="Arial"/>
          <w:sz w:val="21"/>
          <w:szCs w:val="21"/>
        </w:rPr>
        <w:t>m</w:t>
      </w:r>
      <w:r w:rsidR="6F15CFB8" w:rsidRPr="00151624">
        <w:rPr>
          <w:rFonts w:eastAsia="Arial"/>
          <w:sz w:val="21"/>
          <w:szCs w:val="21"/>
        </w:rPr>
        <w:t>anual</w:t>
      </w:r>
      <w:r w:rsidR="004D6665" w:rsidRPr="00151624">
        <w:rPr>
          <w:rFonts w:eastAsia="Arial"/>
          <w:sz w:val="21"/>
          <w:szCs w:val="21"/>
        </w:rPr>
        <w:t>.</w:t>
      </w:r>
    </w:p>
    <w:p w14:paraId="6DB47876" w14:textId="38A57AFE" w:rsidR="44BD2126" w:rsidRDefault="44BD2126" w:rsidP="25247926">
      <w:pPr>
        <w:spacing w:before="120"/>
        <w:rPr>
          <w:rFonts w:eastAsia="Arial" w:cs="Arial"/>
          <w:szCs w:val="21"/>
        </w:rPr>
      </w:pPr>
      <w:r w:rsidRPr="25247926">
        <w:rPr>
          <w:rFonts w:eastAsia="Arial" w:cs="Arial"/>
          <w:szCs w:val="21"/>
        </w:rPr>
        <w:t xml:space="preserve">Available </w:t>
      </w:r>
      <w:r w:rsidR="008A6E4F">
        <w:rPr>
          <w:rFonts w:eastAsia="Arial" w:cs="Arial"/>
          <w:szCs w:val="21"/>
        </w:rPr>
        <w:t>on the</w:t>
      </w:r>
      <w:r w:rsidRPr="25247926">
        <w:rPr>
          <w:rFonts w:eastAsia="Arial" w:cs="Arial"/>
          <w:szCs w:val="21"/>
        </w:rPr>
        <w:t xml:space="preserve"> </w:t>
      </w:r>
      <w:hyperlink r:id="rId31">
        <w:r w:rsidRPr="25247926">
          <w:rPr>
            <w:rStyle w:val="Hyperlink"/>
            <w:rFonts w:eastAsia="Arial" w:cs="Arial"/>
            <w:szCs w:val="21"/>
          </w:rPr>
          <w:t>Health data standards and systems</w:t>
        </w:r>
      </w:hyperlink>
      <w:r w:rsidR="3901FDF1" w:rsidRPr="25247926">
        <w:rPr>
          <w:rFonts w:eastAsia="Arial" w:cs="Arial"/>
          <w:szCs w:val="21"/>
        </w:rPr>
        <w:t xml:space="preserve"> website &lt;https://www.health.vic.gov.au/data-reporting/health-data-standards-and-systems&gt;</w:t>
      </w:r>
      <w:r w:rsidR="00BC1D80">
        <w:rPr>
          <w:rFonts w:eastAsia="Arial" w:cs="Arial"/>
          <w:szCs w:val="21"/>
        </w:rPr>
        <w:t>.</w:t>
      </w:r>
    </w:p>
    <w:p w14:paraId="5DDD20CC" w14:textId="79E18950" w:rsidR="00B25253" w:rsidRDefault="35CA9D7A" w:rsidP="008E420B">
      <w:pPr>
        <w:rPr>
          <w:rFonts w:eastAsia="Times"/>
        </w:rPr>
      </w:pPr>
      <w:r w:rsidRPr="25247926">
        <w:rPr>
          <w:rFonts w:eastAsia="Times"/>
        </w:rPr>
        <w:t xml:space="preserve">For further information </w:t>
      </w:r>
      <w:r w:rsidR="00E06DFD">
        <w:rPr>
          <w:rFonts w:eastAsia="Times"/>
        </w:rPr>
        <w:t>regarding</w:t>
      </w:r>
      <w:r w:rsidRPr="25247926">
        <w:rPr>
          <w:rFonts w:eastAsia="Times"/>
        </w:rPr>
        <w:t xml:space="preserve"> the NACMS refer to:</w:t>
      </w:r>
    </w:p>
    <w:p w14:paraId="67957275" w14:textId="3F6C30B9" w:rsidR="7EE9FB6D" w:rsidRPr="00151624" w:rsidRDefault="006A0735" w:rsidP="008F16D3">
      <w:pPr>
        <w:pStyle w:val="ListParagraph"/>
        <w:rPr>
          <w:rFonts w:eastAsia="Arial"/>
          <w:sz w:val="21"/>
          <w:szCs w:val="21"/>
        </w:rPr>
      </w:pPr>
      <w:hyperlink r:id="rId32">
        <w:r w:rsidR="7EE9FB6D" w:rsidRPr="00151624">
          <w:rPr>
            <w:rStyle w:val="Hyperlink"/>
            <w:rFonts w:eastAsia="Arial" w:cs="Arial"/>
            <w:sz w:val="21"/>
            <w:szCs w:val="21"/>
          </w:rPr>
          <w:t>Non-Admitted Clinic Management System manual</w:t>
        </w:r>
      </w:hyperlink>
      <w:r w:rsidR="7EE9FB6D" w:rsidRPr="00151624">
        <w:rPr>
          <w:rFonts w:eastAsia="Arial"/>
          <w:sz w:val="21"/>
          <w:szCs w:val="21"/>
        </w:rPr>
        <w:t xml:space="preserve"> &lt;https://www.health.vic.gov.au/data-reporting/agency-information-management-system-aims&gt;</w:t>
      </w:r>
      <w:r w:rsidR="00BC1D80" w:rsidRPr="00151624">
        <w:rPr>
          <w:rFonts w:eastAsia="Arial"/>
          <w:sz w:val="21"/>
          <w:szCs w:val="21"/>
        </w:rPr>
        <w:t>.</w:t>
      </w:r>
    </w:p>
    <w:p w14:paraId="3029503E" w14:textId="20FF421F" w:rsidR="00257DD6" w:rsidRDefault="00257DD6" w:rsidP="008E420B">
      <w:pPr>
        <w:rPr>
          <w:rFonts w:eastAsia="Times"/>
        </w:rPr>
      </w:pPr>
      <w:r>
        <w:rPr>
          <w:rFonts w:eastAsia="Times"/>
        </w:rPr>
        <w:t xml:space="preserve">For further information </w:t>
      </w:r>
      <w:r w:rsidR="00E06DFD">
        <w:rPr>
          <w:rFonts w:eastAsia="Times"/>
        </w:rPr>
        <w:t xml:space="preserve">regarding </w:t>
      </w:r>
      <w:r w:rsidR="00CA4317">
        <w:rPr>
          <w:rFonts w:eastAsia="Times"/>
        </w:rPr>
        <w:t xml:space="preserve">non-admitted </w:t>
      </w:r>
      <w:r w:rsidR="00E06DFD">
        <w:rPr>
          <w:rFonts w:eastAsia="Times"/>
        </w:rPr>
        <w:t xml:space="preserve">specialist </w:t>
      </w:r>
      <w:r w:rsidR="00CA4317">
        <w:rPr>
          <w:rFonts w:eastAsia="Times"/>
        </w:rPr>
        <w:t>services</w:t>
      </w:r>
      <w:r>
        <w:rPr>
          <w:rFonts w:eastAsia="Times"/>
        </w:rPr>
        <w:t xml:space="preserve"> </w:t>
      </w:r>
      <w:r w:rsidR="00F3387B">
        <w:rPr>
          <w:rFonts w:eastAsia="Times"/>
        </w:rPr>
        <w:t>referral management refer to:</w:t>
      </w:r>
    </w:p>
    <w:p w14:paraId="4871000C" w14:textId="7B054942" w:rsidR="001F3E00" w:rsidRPr="00151624" w:rsidRDefault="006A0735" w:rsidP="008F16D3">
      <w:pPr>
        <w:pStyle w:val="ListParagraph"/>
        <w:rPr>
          <w:rFonts w:eastAsia="Times"/>
          <w:sz w:val="21"/>
          <w:szCs w:val="21"/>
        </w:rPr>
      </w:pPr>
      <w:hyperlink r:id="rId33" w:history="1">
        <w:r w:rsidR="00003E17" w:rsidRPr="00AF0AF9">
          <w:rPr>
            <w:rStyle w:val="Hyperlink"/>
            <w:sz w:val="21"/>
            <w:szCs w:val="21"/>
          </w:rPr>
          <w:t>Managing referrals to non-admitted specialist services in Victorian public health services</w:t>
        </w:r>
      </w:hyperlink>
      <w:r w:rsidR="001F3E00" w:rsidRPr="00151624">
        <w:rPr>
          <w:sz w:val="21"/>
          <w:szCs w:val="21"/>
        </w:rPr>
        <w:t xml:space="preserve"> &lt;https//www.health.vic.gov.au/publications/managing-referrals-to-non-admitted-specialist-services-in-victorian-public-health&gt;</w:t>
      </w:r>
      <w:r w:rsidR="00BC1D80" w:rsidRPr="00151624">
        <w:rPr>
          <w:sz w:val="21"/>
          <w:szCs w:val="21"/>
        </w:rPr>
        <w:t>.</w:t>
      </w:r>
    </w:p>
    <w:p w14:paraId="5DB2CFBE" w14:textId="77777777" w:rsidR="00F3387B" w:rsidRDefault="00F3387B" w:rsidP="008E420B">
      <w:pPr>
        <w:rPr>
          <w:rFonts w:eastAsia="Times"/>
        </w:rPr>
      </w:pPr>
    </w:p>
    <w:p w14:paraId="0DC9AD42" w14:textId="77777777" w:rsidR="00831F0F" w:rsidRDefault="00831F0F" w:rsidP="008E420B">
      <w:pPr>
        <w:rPr>
          <w:rFonts w:eastAsia="Times"/>
        </w:rPr>
      </w:pPr>
    </w:p>
    <w:p w14:paraId="18EB7703" w14:textId="77777777" w:rsidR="00831F0F" w:rsidRDefault="00831F0F" w:rsidP="008E420B">
      <w:pPr>
        <w:rPr>
          <w:rFonts w:eastAsia="Times"/>
        </w:rPr>
      </w:pPr>
    </w:p>
    <w:p w14:paraId="155111F1" w14:textId="77777777" w:rsidR="00831F0F" w:rsidRDefault="00831F0F" w:rsidP="008E420B">
      <w:pPr>
        <w:rPr>
          <w:rFonts w:eastAsia="Times"/>
        </w:rPr>
      </w:pPr>
    </w:p>
    <w:p w14:paraId="41DFD0DA" w14:textId="77777777" w:rsidR="00831F0F" w:rsidRDefault="00831F0F" w:rsidP="008E420B">
      <w:pPr>
        <w:rPr>
          <w:rFonts w:eastAsia="Times"/>
        </w:rPr>
      </w:pPr>
    </w:p>
    <w:p w14:paraId="46CE4270" w14:textId="77777777" w:rsidR="00B25253" w:rsidRDefault="00B25253" w:rsidP="008E420B">
      <w:pPr>
        <w:rPr>
          <w:rFonts w:eastAsia="Times"/>
        </w:rPr>
      </w:pPr>
    </w:p>
    <w:p w14:paraId="029AA9A9" w14:textId="77777777" w:rsidR="00A6427B" w:rsidRPr="008E420B" w:rsidRDefault="00A6427B" w:rsidP="008E420B">
      <w:pPr>
        <w:rPr>
          <w:rFonts w:eastAsia="Times"/>
        </w:rPr>
      </w:pPr>
    </w:p>
    <w:tbl>
      <w:tblPr>
        <w:tblStyle w:val="TableGrid"/>
        <w:tblW w:w="0" w:type="auto"/>
        <w:tblCellMar>
          <w:bottom w:w="108" w:type="dxa"/>
        </w:tblCellMar>
        <w:tblLook w:val="0600" w:firstRow="0" w:lastRow="0" w:firstColumn="0" w:lastColumn="0" w:noHBand="1" w:noVBand="1"/>
      </w:tblPr>
      <w:tblGrid>
        <w:gridCol w:w="10194"/>
      </w:tblGrid>
      <w:tr w:rsidR="008E420B" w:rsidRPr="008E420B" w14:paraId="17AA799F" w14:textId="77777777" w:rsidTr="0DF4BEF5">
        <w:tc>
          <w:tcPr>
            <w:tcW w:w="10194" w:type="dxa"/>
          </w:tcPr>
          <w:p w14:paraId="015F4E6E" w14:textId="67D70828" w:rsidR="008E420B" w:rsidRPr="008E420B" w:rsidRDefault="008E420B" w:rsidP="008E420B">
            <w:pPr>
              <w:spacing w:before="240" w:after="200" w:line="300" w:lineRule="atLeast"/>
              <w:rPr>
                <w:rFonts w:eastAsia="Times"/>
                <w:sz w:val="24"/>
                <w:szCs w:val="19"/>
              </w:rPr>
            </w:pPr>
            <w:r w:rsidRPr="008E420B">
              <w:rPr>
                <w:rFonts w:eastAsia="Times"/>
                <w:sz w:val="24"/>
                <w:szCs w:val="19"/>
              </w:rPr>
              <w:t xml:space="preserve">To receive this document in another format, </w:t>
            </w:r>
            <w:hyperlink r:id="rId34" w:history="1">
              <w:r w:rsidR="0035219E">
                <w:rPr>
                  <w:rFonts w:eastAsia="Times"/>
                  <w:color w:val="004C97"/>
                  <w:sz w:val="24"/>
                  <w:szCs w:val="19"/>
                  <w:u w:val="dotted"/>
                </w:rPr>
                <w:t>email HDSS helpdesk</w:t>
              </w:r>
            </w:hyperlink>
            <w:r w:rsidRPr="008E420B">
              <w:rPr>
                <w:rFonts w:eastAsia="Times"/>
                <w:sz w:val="24"/>
                <w:szCs w:val="19"/>
              </w:rPr>
              <w:t xml:space="preserve"> &lt;hdss.helpdesk@health.vic.gov.au&gt;</w:t>
            </w:r>
          </w:p>
          <w:p w14:paraId="4050703B" w14:textId="77777777" w:rsidR="008E420B" w:rsidRPr="008E420B" w:rsidRDefault="008E420B" w:rsidP="008E420B">
            <w:pPr>
              <w:spacing w:after="60" w:line="270" w:lineRule="atLeast"/>
              <w:rPr>
                <w:rFonts w:eastAsia="Times"/>
                <w:color w:val="000000" w:themeColor="text1"/>
                <w:sz w:val="20"/>
              </w:rPr>
            </w:pPr>
            <w:r w:rsidRPr="008E420B">
              <w:rPr>
                <w:rFonts w:eastAsia="Times"/>
                <w:color w:val="000000" w:themeColor="text1"/>
                <w:sz w:val="20"/>
              </w:rPr>
              <w:t>Authorised and published by the Victorian Government, 1 Treasury Place, Melbourne.</w:t>
            </w:r>
          </w:p>
          <w:p w14:paraId="68EE6FF5" w14:textId="64A88AB1" w:rsidR="008E420B" w:rsidRDefault="008E420B" w:rsidP="0DF4BEF5">
            <w:pPr>
              <w:spacing w:after="60" w:line="270" w:lineRule="atLeast"/>
              <w:rPr>
                <w:rFonts w:eastAsia="Times"/>
                <w:sz w:val="20"/>
              </w:rPr>
            </w:pPr>
            <w:r w:rsidRPr="0DF4BEF5">
              <w:rPr>
                <w:rFonts w:eastAsia="Times"/>
                <w:color w:val="000000" w:themeColor="text1"/>
                <w:sz w:val="20"/>
              </w:rPr>
              <w:t xml:space="preserve">© State of Victoria, Australia, Department </w:t>
            </w:r>
            <w:r w:rsidRPr="0DF4BEF5">
              <w:rPr>
                <w:rFonts w:eastAsia="Times"/>
                <w:sz w:val="20"/>
              </w:rPr>
              <w:t xml:space="preserve">of Health, </w:t>
            </w:r>
            <w:r w:rsidR="0042427C">
              <w:rPr>
                <w:rFonts w:eastAsia="Times"/>
                <w:sz w:val="20"/>
              </w:rPr>
              <w:t>August</w:t>
            </w:r>
            <w:r w:rsidR="008252C5">
              <w:rPr>
                <w:rFonts w:eastAsia="Times"/>
                <w:sz w:val="20"/>
              </w:rPr>
              <w:t xml:space="preserve"> 2024</w:t>
            </w:r>
          </w:p>
          <w:p w14:paraId="6EAF9A72" w14:textId="1A128F27" w:rsidR="00C048ED" w:rsidRPr="008E420B" w:rsidRDefault="004D1605" w:rsidP="0DF4BEF5">
            <w:pPr>
              <w:spacing w:after="60" w:line="270" w:lineRule="atLeast"/>
              <w:rPr>
                <w:rFonts w:eastAsia="Times"/>
                <w:color w:val="000000" w:themeColor="text1"/>
                <w:sz w:val="20"/>
              </w:rPr>
            </w:pPr>
            <w:r w:rsidRPr="004D1605">
              <w:rPr>
                <w:b/>
                <w:bCs/>
              </w:rPr>
              <w:t xml:space="preserve">ISBN </w:t>
            </w:r>
            <w:r w:rsidRPr="004D1605">
              <w:t xml:space="preserve">978-1-76131-649-4 </w:t>
            </w:r>
            <w:r w:rsidRPr="004D1605">
              <w:rPr>
                <w:b/>
                <w:bCs/>
              </w:rPr>
              <w:t>(pdf/online/MS word)</w:t>
            </w:r>
          </w:p>
          <w:p w14:paraId="1E49FE38" w14:textId="59A3BCEB" w:rsidR="008E420B" w:rsidRPr="008E420B" w:rsidRDefault="008E420B" w:rsidP="008E420B">
            <w:pPr>
              <w:spacing w:after="60" w:line="270" w:lineRule="atLeast"/>
              <w:rPr>
                <w:rFonts w:eastAsia="Times"/>
                <w:color w:val="000000" w:themeColor="text1"/>
                <w:sz w:val="20"/>
              </w:rPr>
            </w:pPr>
            <w:r w:rsidRPr="008E420B">
              <w:rPr>
                <w:rFonts w:eastAsia="Times"/>
                <w:color w:val="000000" w:themeColor="text1"/>
                <w:sz w:val="20"/>
              </w:rPr>
              <w:t xml:space="preserve">Available </w:t>
            </w:r>
            <w:r w:rsidR="004461AE">
              <w:rPr>
                <w:rFonts w:eastAsia="Times"/>
                <w:color w:val="000000" w:themeColor="text1"/>
                <w:sz w:val="20"/>
              </w:rPr>
              <w:t>at</w:t>
            </w:r>
            <w:r w:rsidRPr="008E420B">
              <w:rPr>
                <w:rFonts w:eastAsia="Times"/>
                <w:color w:val="000000" w:themeColor="text1"/>
                <w:sz w:val="20"/>
              </w:rPr>
              <w:t xml:space="preserve"> </w:t>
            </w:r>
            <w:hyperlink r:id="rId35" w:history="1">
              <w:r w:rsidRPr="008E420B">
                <w:rPr>
                  <w:rFonts w:eastAsia="Times"/>
                  <w:color w:val="004C97"/>
                  <w:sz w:val="20"/>
                  <w:u w:val="dotted"/>
                </w:rPr>
                <w:t>Health data standards and systems</w:t>
              </w:r>
            </w:hyperlink>
            <w:r w:rsidRPr="008E420B">
              <w:rPr>
                <w:rFonts w:eastAsia="Times"/>
                <w:color w:val="000000" w:themeColor="text1"/>
                <w:sz w:val="20"/>
              </w:rPr>
              <w:t xml:space="preserve"> &lt;</w:t>
            </w:r>
            <w:r w:rsidR="00785A64" w:rsidRPr="00785A64">
              <w:rPr>
                <w:rFonts w:eastAsia="Times"/>
                <w:color w:val="000000" w:themeColor="text1"/>
                <w:sz w:val="20"/>
              </w:rPr>
              <w:t>https://www.health.vic.gov.au/data-reporting/health-data-standards-and-systems</w:t>
            </w:r>
            <w:r w:rsidRPr="008E420B">
              <w:rPr>
                <w:rFonts w:eastAsia="Times"/>
                <w:color w:val="000000" w:themeColor="text1"/>
                <w:sz w:val="20"/>
              </w:rPr>
              <w:t>&gt;</w:t>
            </w:r>
          </w:p>
        </w:tc>
      </w:tr>
    </w:tbl>
    <w:p w14:paraId="020882FC" w14:textId="77777777" w:rsidR="008E420B" w:rsidRPr="008E420B" w:rsidRDefault="008E420B" w:rsidP="008E420B">
      <w:pPr>
        <w:rPr>
          <w:rFonts w:eastAsia="Times"/>
        </w:rPr>
      </w:pPr>
    </w:p>
    <w:sectPr w:rsidR="008E420B" w:rsidRPr="008E420B" w:rsidSect="008628D5">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C9DA0" w14:textId="77777777" w:rsidR="00FC0A87" w:rsidRDefault="00FC0A87">
      <w:r>
        <w:separator/>
      </w:r>
    </w:p>
  </w:endnote>
  <w:endnote w:type="continuationSeparator" w:id="0">
    <w:p w14:paraId="48AE7AE1" w14:textId="77777777" w:rsidR="00FC0A87" w:rsidRDefault="00FC0A87">
      <w:r>
        <w:continuationSeparator/>
      </w:r>
    </w:p>
  </w:endnote>
  <w:endnote w:type="continuationNotice" w:id="1">
    <w:p w14:paraId="4C80CC7B" w14:textId="77777777" w:rsidR="00FC0A87" w:rsidRDefault="00FC0A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2EF66" w14:textId="0C2BE6CF" w:rsidR="00525F54" w:rsidRDefault="00D45766">
    <w:pPr>
      <w:pStyle w:val="Footer"/>
    </w:pPr>
    <w:r>
      <w:rPr>
        <w:noProof/>
      </w:rPr>
      <mc:AlternateContent>
        <mc:Choice Requires="wps">
          <w:drawing>
            <wp:anchor distT="0" distB="0" distL="0" distR="0" simplePos="0" relativeHeight="251658244" behindDoc="0" locked="0" layoutInCell="1" allowOverlap="1" wp14:anchorId="0B424BA0" wp14:editId="56510644">
              <wp:simplePos x="635" y="635"/>
              <wp:positionH relativeFrom="page">
                <wp:align>center</wp:align>
              </wp:positionH>
              <wp:positionV relativeFrom="page">
                <wp:align>bottom</wp:align>
              </wp:positionV>
              <wp:extent cx="656590" cy="369570"/>
              <wp:effectExtent l="0" t="0" r="10160" b="0"/>
              <wp:wrapNone/>
              <wp:docPr id="31781437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546107E" w14:textId="0BF3725D" w:rsidR="00D45766" w:rsidRPr="00D45766" w:rsidRDefault="00D45766" w:rsidP="00D45766">
                          <w:pPr>
                            <w:spacing w:after="0"/>
                            <w:rPr>
                              <w:rFonts w:ascii="Arial Black" w:eastAsia="Arial Black" w:hAnsi="Arial Black" w:cs="Arial Black"/>
                              <w:noProof/>
                              <w:color w:val="000000"/>
                              <w:sz w:val="20"/>
                            </w:rPr>
                          </w:pPr>
                          <w:r w:rsidRPr="00D4576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424BA0" id="_x0000_t202" coordsize="21600,21600" o:spt="202" path="m,l,21600r21600,l21600,xe">
              <v:stroke joinstyle="miter"/>
              <v:path gradientshapeok="t" o:connecttype="rect"/>
            </v:shapetype>
            <v:shape id="Text Box 2" o:spid="_x0000_s1026" type="#_x0000_t202" alt="OFFICIAL" style="position:absolute;margin-left:0;margin-top:0;width:51.7pt;height:29.1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textbox style="mso-fit-shape-to-text:t" inset="0,0,0,15pt">
                <w:txbxContent>
                  <w:p w14:paraId="2546107E" w14:textId="0BF3725D" w:rsidR="00D45766" w:rsidRPr="00D45766" w:rsidRDefault="00D45766" w:rsidP="00D45766">
                    <w:pPr>
                      <w:spacing w:after="0"/>
                      <w:rPr>
                        <w:rFonts w:ascii="Arial Black" w:eastAsia="Arial Black" w:hAnsi="Arial Black" w:cs="Arial Black"/>
                        <w:noProof/>
                        <w:color w:val="000000"/>
                        <w:sz w:val="20"/>
                      </w:rPr>
                    </w:pPr>
                    <w:r w:rsidRPr="00D45766">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AEA0A" w14:textId="70E528B2" w:rsidR="00E261B3" w:rsidRPr="00F65AA9" w:rsidRDefault="00D45766" w:rsidP="00F84FA0">
    <w:pPr>
      <w:pStyle w:val="Footer"/>
    </w:pPr>
    <w:r>
      <w:rPr>
        <w:noProof/>
        <w:lang w:eastAsia="en-AU"/>
      </w:rPr>
      <mc:AlternateContent>
        <mc:Choice Requires="wps">
          <w:drawing>
            <wp:anchor distT="0" distB="0" distL="0" distR="0" simplePos="0" relativeHeight="251658245" behindDoc="0" locked="0" layoutInCell="1" allowOverlap="1" wp14:anchorId="22573ADD" wp14:editId="2999C38E">
              <wp:simplePos x="635" y="635"/>
              <wp:positionH relativeFrom="page">
                <wp:align>center</wp:align>
              </wp:positionH>
              <wp:positionV relativeFrom="page">
                <wp:align>bottom</wp:align>
              </wp:positionV>
              <wp:extent cx="656590" cy="369570"/>
              <wp:effectExtent l="0" t="0" r="10160" b="0"/>
              <wp:wrapNone/>
              <wp:docPr id="42015083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BFAEC4D" w14:textId="14482E0D" w:rsidR="00D45766" w:rsidRPr="00D45766" w:rsidRDefault="00D45766" w:rsidP="00D45766">
                          <w:pPr>
                            <w:spacing w:after="0"/>
                            <w:rPr>
                              <w:rFonts w:ascii="Arial Black" w:eastAsia="Arial Black" w:hAnsi="Arial Black" w:cs="Arial Black"/>
                              <w:noProof/>
                              <w:color w:val="000000"/>
                              <w:sz w:val="20"/>
                            </w:rPr>
                          </w:pPr>
                          <w:r w:rsidRPr="00D4576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573ADD" id="_x0000_t202" coordsize="21600,21600" o:spt="202" path="m,l,21600r21600,l21600,xe">
              <v:stroke joinstyle="miter"/>
              <v:path gradientshapeok="t" o:connecttype="rect"/>
            </v:shapetype>
            <v:shape id="Text Box 3" o:spid="_x0000_s1027" type="#_x0000_t202" alt="OFFICIAL" style="position:absolute;margin-left:0;margin-top:0;width:51.7pt;height:29.1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textbox style="mso-fit-shape-to-text:t" inset="0,0,0,15pt">
                <w:txbxContent>
                  <w:p w14:paraId="6BFAEC4D" w14:textId="14482E0D" w:rsidR="00D45766" w:rsidRPr="00D45766" w:rsidRDefault="00D45766" w:rsidP="00D45766">
                    <w:pPr>
                      <w:spacing w:after="0"/>
                      <w:rPr>
                        <w:rFonts w:ascii="Arial Black" w:eastAsia="Arial Black" w:hAnsi="Arial Black" w:cs="Arial Black"/>
                        <w:noProof/>
                        <w:color w:val="000000"/>
                        <w:sz w:val="20"/>
                      </w:rPr>
                    </w:pPr>
                    <w:r w:rsidRPr="00D45766">
                      <w:rPr>
                        <w:rFonts w:ascii="Arial Black" w:eastAsia="Arial Black" w:hAnsi="Arial Black" w:cs="Arial Black"/>
                        <w:noProof/>
                        <w:color w:val="000000"/>
                        <w:sz w:val="20"/>
                      </w:rPr>
                      <w:t>OFFICIAL</w:t>
                    </w:r>
                  </w:p>
                </w:txbxContent>
              </v:textbox>
              <w10:wrap anchorx="page" anchory="page"/>
            </v:shape>
          </w:pict>
        </mc:Fallback>
      </mc:AlternateContent>
    </w:r>
    <w:r w:rsidR="000C21CA">
      <w:rPr>
        <w:noProof/>
        <w:lang w:eastAsia="en-AU"/>
      </w:rPr>
      <mc:AlternateContent>
        <mc:Choice Requires="wps">
          <w:drawing>
            <wp:anchor distT="0" distB="0" distL="114300" distR="114300" simplePos="0" relativeHeight="251658240" behindDoc="0" locked="0" layoutInCell="0" allowOverlap="1" wp14:anchorId="5A846309" wp14:editId="59D1531D">
              <wp:simplePos x="0" y="0"/>
              <wp:positionH relativeFrom="page">
                <wp:posOffset>0</wp:posOffset>
              </wp:positionH>
              <wp:positionV relativeFrom="page">
                <wp:posOffset>10189845</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A846309" id="Text Box 5" o:spid="_x0000_s1028"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r w:rsidR="00FC7FB6">
      <w:rPr>
        <w:noProof/>
        <w:lang w:eastAsia="en-AU"/>
      </w:rPr>
      <w:drawing>
        <wp:anchor distT="0" distB="0" distL="114300" distR="114300" simplePos="0" relativeHeight="251658242" behindDoc="1" locked="1" layoutInCell="1" allowOverlap="1" wp14:anchorId="1CEBF41A" wp14:editId="32146C6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3C9B3" w14:textId="2D61A13A" w:rsidR="00E261B3" w:rsidRDefault="00D45766">
    <w:pPr>
      <w:pStyle w:val="Footer"/>
    </w:pPr>
    <w:r>
      <w:rPr>
        <w:noProof/>
      </w:rPr>
      <mc:AlternateContent>
        <mc:Choice Requires="wps">
          <w:drawing>
            <wp:anchor distT="0" distB="0" distL="0" distR="0" simplePos="0" relativeHeight="251658243" behindDoc="0" locked="0" layoutInCell="1" allowOverlap="1" wp14:anchorId="1572F99A" wp14:editId="4FEA7B1A">
              <wp:simplePos x="635" y="635"/>
              <wp:positionH relativeFrom="page">
                <wp:align>center</wp:align>
              </wp:positionH>
              <wp:positionV relativeFrom="page">
                <wp:align>bottom</wp:align>
              </wp:positionV>
              <wp:extent cx="656590" cy="369570"/>
              <wp:effectExtent l="0" t="0" r="10160" b="0"/>
              <wp:wrapNone/>
              <wp:docPr id="1177258080"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74AC6B3" w14:textId="1AB59493" w:rsidR="00D45766" w:rsidRPr="00D45766" w:rsidRDefault="00D45766" w:rsidP="00D45766">
                          <w:pPr>
                            <w:spacing w:after="0"/>
                            <w:rPr>
                              <w:rFonts w:ascii="Arial Black" w:eastAsia="Arial Black" w:hAnsi="Arial Black" w:cs="Arial Black"/>
                              <w:noProof/>
                              <w:color w:val="000000"/>
                              <w:sz w:val="20"/>
                            </w:rPr>
                          </w:pPr>
                          <w:r w:rsidRPr="00D4576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72F99A" id="_x0000_t202" coordsize="21600,21600" o:spt="202" path="m,l,21600r21600,l21600,xe">
              <v:stroke joinstyle="miter"/>
              <v:path gradientshapeok="t" o:connecttype="rect"/>
            </v:shapetype>
            <v:shape id="Text Box 1" o:spid="_x0000_s1029" type="#_x0000_t202" alt="OFFICIAL" style="position:absolute;margin-left:0;margin-top:0;width:51.7pt;height:29.1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textbox style="mso-fit-shape-to-text:t" inset="0,0,0,15pt">
                <w:txbxContent>
                  <w:p w14:paraId="474AC6B3" w14:textId="1AB59493" w:rsidR="00D45766" w:rsidRPr="00D45766" w:rsidRDefault="00D45766" w:rsidP="00D45766">
                    <w:pPr>
                      <w:spacing w:after="0"/>
                      <w:rPr>
                        <w:rFonts w:ascii="Arial Black" w:eastAsia="Arial Black" w:hAnsi="Arial Black" w:cs="Arial Black"/>
                        <w:noProof/>
                        <w:color w:val="000000"/>
                        <w:sz w:val="20"/>
                      </w:rPr>
                    </w:pPr>
                    <w:r w:rsidRPr="00D45766">
                      <w:rPr>
                        <w:rFonts w:ascii="Arial Black" w:eastAsia="Arial Black" w:hAnsi="Arial Black" w:cs="Arial Black"/>
                        <w:noProof/>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0" relativeHeight="251658241" behindDoc="0" locked="0" layoutInCell="0" allowOverlap="1" wp14:anchorId="38B4503F" wp14:editId="78775C99">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8B4503F" id="Text Box 6" o:spid="_x0000_s1030"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F39DB" w14:textId="08927DF6" w:rsidR="00525F54" w:rsidRDefault="00D45766">
    <w:pPr>
      <w:pStyle w:val="Footer"/>
    </w:pPr>
    <w:r>
      <w:rPr>
        <w:noProof/>
      </w:rPr>
      <mc:AlternateContent>
        <mc:Choice Requires="wps">
          <w:drawing>
            <wp:anchor distT="0" distB="0" distL="0" distR="0" simplePos="0" relativeHeight="251658247" behindDoc="0" locked="0" layoutInCell="1" allowOverlap="1" wp14:anchorId="76F70035" wp14:editId="4D75E4A2">
              <wp:simplePos x="635" y="635"/>
              <wp:positionH relativeFrom="page">
                <wp:align>center</wp:align>
              </wp:positionH>
              <wp:positionV relativeFrom="page">
                <wp:align>bottom</wp:align>
              </wp:positionV>
              <wp:extent cx="656590" cy="369570"/>
              <wp:effectExtent l="0" t="0" r="10160" b="0"/>
              <wp:wrapNone/>
              <wp:docPr id="23173962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1BC5840" w14:textId="41925E00" w:rsidR="00D45766" w:rsidRPr="00D45766" w:rsidRDefault="00D45766" w:rsidP="00D45766">
                          <w:pPr>
                            <w:spacing w:after="0"/>
                            <w:rPr>
                              <w:rFonts w:ascii="Arial Black" w:eastAsia="Arial Black" w:hAnsi="Arial Black" w:cs="Arial Black"/>
                              <w:noProof/>
                              <w:color w:val="000000"/>
                              <w:sz w:val="20"/>
                            </w:rPr>
                          </w:pPr>
                          <w:r w:rsidRPr="00D4576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F70035" id="_x0000_t202" coordsize="21600,21600" o:spt="202" path="m,l,21600r21600,l21600,xe">
              <v:stroke joinstyle="miter"/>
              <v:path gradientshapeok="t" o:connecttype="rect"/>
            </v:shapetype>
            <v:shape id="_x0000_s1031" type="#_x0000_t202" alt="OFFICIAL" style="position:absolute;margin-left:0;margin-top:0;width:51.7pt;height:29.1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textbox style="mso-fit-shape-to-text:t" inset="0,0,0,15pt">
                <w:txbxContent>
                  <w:p w14:paraId="51BC5840" w14:textId="41925E00" w:rsidR="00D45766" w:rsidRPr="00D45766" w:rsidRDefault="00D45766" w:rsidP="00D45766">
                    <w:pPr>
                      <w:spacing w:after="0"/>
                      <w:rPr>
                        <w:rFonts w:ascii="Arial Black" w:eastAsia="Arial Black" w:hAnsi="Arial Black" w:cs="Arial Black"/>
                        <w:noProof/>
                        <w:color w:val="000000"/>
                        <w:sz w:val="20"/>
                      </w:rPr>
                    </w:pPr>
                    <w:r w:rsidRPr="00D45766">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4095F" w14:textId="70147546" w:rsidR="00525F54" w:rsidRDefault="00D45766">
    <w:pPr>
      <w:pStyle w:val="Footer"/>
    </w:pPr>
    <w:r>
      <w:rPr>
        <w:noProof/>
      </w:rPr>
      <mc:AlternateContent>
        <mc:Choice Requires="wps">
          <w:drawing>
            <wp:anchor distT="0" distB="0" distL="0" distR="0" simplePos="0" relativeHeight="251658248" behindDoc="0" locked="0" layoutInCell="1" allowOverlap="1" wp14:anchorId="5BE3E2C2" wp14:editId="650F9EB8">
              <wp:simplePos x="635" y="635"/>
              <wp:positionH relativeFrom="page">
                <wp:align>center</wp:align>
              </wp:positionH>
              <wp:positionV relativeFrom="page">
                <wp:align>bottom</wp:align>
              </wp:positionV>
              <wp:extent cx="656590" cy="369570"/>
              <wp:effectExtent l="0" t="0" r="10160" b="0"/>
              <wp:wrapNone/>
              <wp:docPr id="92380801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564149D" w14:textId="5B77A339" w:rsidR="00D45766" w:rsidRPr="00D45766" w:rsidRDefault="00D45766" w:rsidP="00D45766">
                          <w:pPr>
                            <w:spacing w:after="0"/>
                            <w:rPr>
                              <w:rFonts w:ascii="Arial Black" w:eastAsia="Arial Black" w:hAnsi="Arial Black" w:cs="Arial Black"/>
                              <w:noProof/>
                              <w:color w:val="000000"/>
                              <w:sz w:val="20"/>
                            </w:rPr>
                          </w:pPr>
                          <w:r w:rsidRPr="00D4576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E3E2C2" id="_x0000_t202" coordsize="21600,21600" o:spt="202" path="m,l,21600r21600,l21600,xe">
              <v:stroke joinstyle="miter"/>
              <v:path gradientshapeok="t" o:connecttype="rect"/>
            </v:shapetype>
            <v:shape id="_x0000_s1032" type="#_x0000_t202" alt="OFFICIAL" style="position:absolute;margin-left:0;margin-top:0;width:51.7pt;height:29.1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N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CQYfotFUcsZenEtzNyVaP1Wjj/JCwIxrQQ&#10;rX/EUTbU5ZzOFmcV2V9v+UM+cEeUsw6CybmGojlrfmjwEbQ1GHYwttEYz9JJirjet3cEGY7xIoyM&#10;JrzWN4NZWmpfIOdlaISQ0BLtcr4dzDt/Ui6eg1TLZUyCjIzwa70xMpQOcAUsn/sXYc0ZcA+mHmhQ&#10;k8he4X7KDTedWe490I+kBGhPQJ4RhwQjV+fnEjT+53/Muj7qxW8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CdT+yNDgIAABwE&#10;AAAOAAAAAAAAAAAAAAAAAC4CAABkcnMvZTJvRG9jLnhtbFBLAQItABQABgAIAAAAIQDrG1UU2gAA&#10;AAQBAAAPAAAAAAAAAAAAAAAAAGgEAABkcnMvZG93bnJldi54bWxQSwUGAAAAAAQABADzAAAAbwUA&#10;AAAA&#10;" filled="f" stroked="f">
              <v:textbox style="mso-fit-shape-to-text:t" inset="0,0,0,15pt">
                <w:txbxContent>
                  <w:p w14:paraId="3564149D" w14:textId="5B77A339" w:rsidR="00D45766" w:rsidRPr="00D45766" w:rsidRDefault="00D45766" w:rsidP="00D45766">
                    <w:pPr>
                      <w:spacing w:after="0"/>
                      <w:rPr>
                        <w:rFonts w:ascii="Arial Black" w:eastAsia="Arial Black" w:hAnsi="Arial Black" w:cs="Arial Black"/>
                        <w:noProof/>
                        <w:color w:val="000000"/>
                        <w:sz w:val="20"/>
                      </w:rPr>
                    </w:pPr>
                    <w:r w:rsidRPr="00D45766">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62EEC" w14:textId="30292127" w:rsidR="00525F54" w:rsidRDefault="00D45766">
    <w:pPr>
      <w:pStyle w:val="Footer"/>
    </w:pPr>
    <w:r>
      <w:rPr>
        <w:noProof/>
      </w:rPr>
      <mc:AlternateContent>
        <mc:Choice Requires="wps">
          <w:drawing>
            <wp:anchor distT="0" distB="0" distL="0" distR="0" simplePos="0" relativeHeight="251658246" behindDoc="0" locked="0" layoutInCell="1" allowOverlap="1" wp14:anchorId="34E9B41A" wp14:editId="031A48FC">
              <wp:simplePos x="635" y="635"/>
              <wp:positionH relativeFrom="page">
                <wp:align>center</wp:align>
              </wp:positionH>
              <wp:positionV relativeFrom="page">
                <wp:align>bottom</wp:align>
              </wp:positionV>
              <wp:extent cx="656590" cy="369570"/>
              <wp:effectExtent l="0" t="0" r="10160" b="0"/>
              <wp:wrapNone/>
              <wp:docPr id="180695368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EB59002" w14:textId="2662846E" w:rsidR="00D45766" w:rsidRPr="00D45766" w:rsidRDefault="00D45766" w:rsidP="00D45766">
                          <w:pPr>
                            <w:spacing w:after="0"/>
                            <w:rPr>
                              <w:rFonts w:ascii="Arial Black" w:eastAsia="Arial Black" w:hAnsi="Arial Black" w:cs="Arial Black"/>
                              <w:noProof/>
                              <w:color w:val="000000"/>
                              <w:sz w:val="20"/>
                            </w:rPr>
                          </w:pPr>
                          <w:r w:rsidRPr="00D4576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E9B41A" id="_x0000_t202" coordsize="21600,21600" o:spt="202" path="m,l,21600r21600,l21600,xe">
              <v:stroke joinstyle="miter"/>
              <v:path gradientshapeok="t" o:connecttype="rect"/>
            </v:shapetype>
            <v:shape id="Text Box 4" o:spid="_x0000_s1033" type="#_x0000_t202" alt="OFFICIAL" style="position:absolute;margin-left:0;margin-top:0;width:51.7pt;height:29.1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w8F6wDgIAABwE&#10;AAAOAAAAAAAAAAAAAAAAAC4CAABkcnMvZTJvRG9jLnhtbFBLAQItABQABgAIAAAAIQDrG1UU2gAA&#10;AAQBAAAPAAAAAAAAAAAAAAAAAGgEAABkcnMvZG93bnJldi54bWxQSwUGAAAAAAQABADzAAAAbwUA&#10;AAAA&#10;" filled="f" stroked="f">
              <v:textbox style="mso-fit-shape-to-text:t" inset="0,0,0,15pt">
                <w:txbxContent>
                  <w:p w14:paraId="4EB59002" w14:textId="2662846E" w:rsidR="00D45766" w:rsidRPr="00D45766" w:rsidRDefault="00D45766" w:rsidP="00D45766">
                    <w:pPr>
                      <w:spacing w:after="0"/>
                      <w:rPr>
                        <w:rFonts w:ascii="Arial Black" w:eastAsia="Arial Black" w:hAnsi="Arial Black" w:cs="Arial Black"/>
                        <w:noProof/>
                        <w:color w:val="000000"/>
                        <w:sz w:val="20"/>
                      </w:rPr>
                    </w:pPr>
                    <w:r w:rsidRPr="00D45766">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A491B" w14:textId="77777777" w:rsidR="00FC0A87" w:rsidRDefault="00FC0A87" w:rsidP="002862F1">
      <w:pPr>
        <w:spacing w:before="120"/>
      </w:pPr>
      <w:r>
        <w:separator/>
      </w:r>
    </w:p>
  </w:footnote>
  <w:footnote w:type="continuationSeparator" w:id="0">
    <w:p w14:paraId="65B10475" w14:textId="77777777" w:rsidR="00FC0A87" w:rsidRDefault="00FC0A87">
      <w:r>
        <w:continuationSeparator/>
      </w:r>
    </w:p>
  </w:footnote>
  <w:footnote w:type="continuationNotice" w:id="1">
    <w:p w14:paraId="7F4BB559" w14:textId="77777777" w:rsidR="00FC0A87" w:rsidRDefault="00FC0A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8F60E" w14:textId="4873551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C7701" w14:textId="6D151E8D" w:rsidR="008E420B" w:rsidRPr="0051568D" w:rsidRDefault="008E420B" w:rsidP="0011701A">
    <w:pPr>
      <w:pStyle w:val="Header"/>
    </w:pPr>
    <w:r>
      <w:t>Non-</w:t>
    </w:r>
    <w:r w:rsidR="00D36B2F">
      <w:t>a</w:t>
    </w:r>
    <w:r>
      <w:t xml:space="preserve">dmitted </w:t>
    </w:r>
    <w:r w:rsidR="00D36B2F">
      <w:t>p</w:t>
    </w:r>
    <w:r w:rsidR="008C417D">
      <w:t xml:space="preserve">ublic </w:t>
    </w:r>
    <w:r w:rsidR="00D36B2F">
      <w:t>f</w:t>
    </w:r>
    <w:r w:rsidR="008C417D">
      <w:t xml:space="preserve">ertility </w:t>
    </w:r>
    <w:r w:rsidR="00D36B2F">
      <w:t>c</w:t>
    </w:r>
    <w:r w:rsidR="000E39D5">
      <w:t>are</w:t>
    </w:r>
    <w:r w:rsidR="00D36B2F">
      <w:t>:</w:t>
    </w:r>
    <w:r>
      <w:t xml:space="preserve"> </w:t>
    </w:r>
    <w:r w:rsidR="00D36B2F">
      <w:t>r</w:t>
    </w:r>
    <w:r>
      <w:t xml:space="preserve">eporting </w:t>
    </w:r>
    <w:r w:rsidR="00D36B2F">
      <w:t>g</w:t>
    </w:r>
    <w:r>
      <w:t xml:space="preserve">uidelines </w:t>
    </w:r>
    <w:r>
      <w:ptab w:relativeTo="margin" w:alignment="right" w:leader="none"/>
    </w:r>
    <w:r w:rsidRPr="007E1227">
      <w:rPr>
        <w:b/>
        <w:bCs/>
      </w:rPr>
      <w:fldChar w:fldCharType="begin"/>
    </w:r>
    <w:r w:rsidRPr="007E1227">
      <w:rPr>
        <w:bCs/>
      </w:rPr>
      <w:instrText xml:space="preserve"> PAGE </w:instrText>
    </w:r>
    <w:r w:rsidRPr="007E1227">
      <w:rPr>
        <w:b/>
        <w:bCs/>
      </w:rPr>
      <w:fldChar w:fldCharType="separate"/>
    </w:r>
    <w:r w:rsidRPr="007E1227">
      <w:rPr>
        <w:bCs/>
      </w:rPr>
      <w:t>3</w:t>
    </w:r>
    <w:r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0056"/>
    <w:multiLevelType w:val="multilevel"/>
    <w:tmpl w:val="4A1477D0"/>
    <w:numStyleLink w:val="ZZNumbersloweralpha"/>
  </w:abstractNum>
  <w:abstractNum w:abstractNumId="1" w15:restartNumberingAfterBreak="0">
    <w:nsid w:val="062E3719"/>
    <w:multiLevelType w:val="hybridMultilevel"/>
    <w:tmpl w:val="A774BAF6"/>
    <w:lvl w:ilvl="0" w:tplc="EEB663F8">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8D43DB"/>
    <w:multiLevelType w:val="multilevel"/>
    <w:tmpl w:val="1D06E7FE"/>
    <w:numStyleLink w:val="ZZNumbersdigit"/>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4A54116"/>
    <w:multiLevelType w:val="hybridMultilevel"/>
    <w:tmpl w:val="54FCDED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1AEE4DD6"/>
    <w:multiLevelType w:val="hybridMultilevel"/>
    <w:tmpl w:val="7BCE34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F54840F"/>
    <w:multiLevelType w:val="hybridMultilevel"/>
    <w:tmpl w:val="FFFFFFFF"/>
    <w:lvl w:ilvl="0" w:tplc="757A412E">
      <w:start w:val="1"/>
      <w:numFmt w:val="bullet"/>
      <w:lvlText w:val=""/>
      <w:lvlJc w:val="left"/>
      <w:pPr>
        <w:ind w:left="360" w:hanging="360"/>
      </w:pPr>
      <w:rPr>
        <w:rFonts w:ascii="Symbol" w:hAnsi="Symbol" w:hint="default"/>
      </w:rPr>
    </w:lvl>
    <w:lvl w:ilvl="1" w:tplc="FF0C1360">
      <w:start w:val="1"/>
      <w:numFmt w:val="bullet"/>
      <w:lvlText w:val="o"/>
      <w:lvlJc w:val="left"/>
      <w:pPr>
        <w:ind w:left="1080" w:hanging="360"/>
      </w:pPr>
      <w:rPr>
        <w:rFonts w:ascii="Courier New" w:hAnsi="Courier New" w:hint="default"/>
      </w:rPr>
    </w:lvl>
    <w:lvl w:ilvl="2" w:tplc="BAA84C90">
      <w:start w:val="1"/>
      <w:numFmt w:val="bullet"/>
      <w:lvlText w:val=""/>
      <w:lvlJc w:val="left"/>
      <w:pPr>
        <w:ind w:left="1800" w:hanging="360"/>
      </w:pPr>
      <w:rPr>
        <w:rFonts w:ascii="Wingdings" w:hAnsi="Wingdings" w:hint="default"/>
      </w:rPr>
    </w:lvl>
    <w:lvl w:ilvl="3" w:tplc="9BBE6B68">
      <w:start w:val="1"/>
      <w:numFmt w:val="bullet"/>
      <w:lvlText w:val=""/>
      <w:lvlJc w:val="left"/>
      <w:pPr>
        <w:ind w:left="2520" w:hanging="360"/>
      </w:pPr>
      <w:rPr>
        <w:rFonts w:ascii="Symbol" w:hAnsi="Symbol" w:hint="default"/>
      </w:rPr>
    </w:lvl>
    <w:lvl w:ilvl="4" w:tplc="0B949022">
      <w:start w:val="1"/>
      <w:numFmt w:val="bullet"/>
      <w:lvlText w:val="o"/>
      <w:lvlJc w:val="left"/>
      <w:pPr>
        <w:ind w:left="3240" w:hanging="360"/>
      </w:pPr>
      <w:rPr>
        <w:rFonts w:ascii="Courier New" w:hAnsi="Courier New" w:hint="default"/>
      </w:rPr>
    </w:lvl>
    <w:lvl w:ilvl="5" w:tplc="0DBA0D6A">
      <w:start w:val="1"/>
      <w:numFmt w:val="bullet"/>
      <w:lvlText w:val=""/>
      <w:lvlJc w:val="left"/>
      <w:pPr>
        <w:ind w:left="3960" w:hanging="360"/>
      </w:pPr>
      <w:rPr>
        <w:rFonts w:ascii="Wingdings" w:hAnsi="Wingdings" w:hint="default"/>
      </w:rPr>
    </w:lvl>
    <w:lvl w:ilvl="6" w:tplc="D94862F0">
      <w:start w:val="1"/>
      <w:numFmt w:val="bullet"/>
      <w:lvlText w:val=""/>
      <w:lvlJc w:val="left"/>
      <w:pPr>
        <w:ind w:left="4680" w:hanging="360"/>
      </w:pPr>
      <w:rPr>
        <w:rFonts w:ascii="Symbol" w:hAnsi="Symbol" w:hint="default"/>
      </w:rPr>
    </w:lvl>
    <w:lvl w:ilvl="7" w:tplc="ED8239D6">
      <w:start w:val="1"/>
      <w:numFmt w:val="bullet"/>
      <w:lvlText w:val="o"/>
      <w:lvlJc w:val="left"/>
      <w:pPr>
        <w:ind w:left="5400" w:hanging="360"/>
      </w:pPr>
      <w:rPr>
        <w:rFonts w:ascii="Courier New" w:hAnsi="Courier New" w:hint="default"/>
      </w:rPr>
    </w:lvl>
    <w:lvl w:ilvl="8" w:tplc="4C4441C2">
      <w:start w:val="1"/>
      <w:numFmt w:val="bullet"/>
      <w:lvlText w:val=""/>
      <w:lvlJc w:val="left"/>
      <w:pPr>
        <w:ind w:left="6120" w:hanging="360"/>
      </w:pPr>
      <w:rPr>
        <w:rFonts w:ascii="Wingdings" w:hAnsi="Wingdings" w:hint="default"/>
      </w:rPr>
    </w:lvl>
  </w:abstractNum>
  <w:abstractNum w:abstractNumId="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3356CE3"/>
    <w:multiLevelType w:val="hybridMultilevel"/>
    <w:tmpl w:val="18608C8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2F4E07"/>
    <w:multiLevelType w:val="hybridMultilevel"/>
    <w:tmpl w:val="75F8086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101216922">
    <w:abstractNumId w:val="6"/>
  </w:num>
  <w:num w:numId="2" w16cid:durableId="176045313">
    <w:abstractNumId w:val="7"/>
  </w:num>
  <w:num w:numId="3" w16cid:durableId="23657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7838002">
    <w:abstractNumId w:val="12"/>
  </w:num>
  <w:num w:numId="5" w16cid:durableId="745879394">
    <w:abstractNumId w:val="10"/>
  </w:num>
  <w:num w:numId="6" w16cid:durableId="33770686">
    <w:abstractNumId w:val="13"/>
  </w:num>
  <w:num w:numId="7" w16cid:durableId="1959487213">
    <w:abstractNumId w:val="8"/>
  </w:num>
  <w:num w:numId="8" w16cid:durableId="1863125499">
    <w:abstractNumId w:val="3"/>
  </w:num>
  <w:num w:numId="9" w16cid:durableId="14069967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2518876">
    <w:abstractNumId w:val="11"/>
  </w:num>
  <w:num w:numId="11" w16cid:durableId="1302999013">
    <w:abstractNumId w:val="5"/>
  </w:num>
  <w:num w:numId="12" w16cid:durableId="1627203492">
    <w:abstractNumId w:val="1"/>
  </w:num>
  <w:num w:numId="13" w16cid:durableId="685864511">
    <w:abstractNumId w:val="4"/>
  </w:num>
  <w:num w:numId="14" w16cid:durableId="51762060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6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726"/>
    <w:rsid w:val="0000069F"/>
    <w:rsid w:val="00000719"/>
    <w:rsid w:val="0000160D"/>
    <w:rsid w:val="00003403"/>
    <w:rsid w:val="000038F4"/>
    <w:rsid w:val="00003E17"/>
    <w:rsid w:val="00005347"/>
    <w:rsid w:val="00005BA9"/>
    <w:rsid w:val="00006934"/>
    <w:rsid w:val="000072B6"/>
    <w:rsid w:val="0001021B"/>
    <w:rsid w:val="00011D89"/>
    <w:rsid w:val="0001254C"/>
    <w:rsid w:val="000154FD"/>
    <w:rsid w:val="00016423"/>
    <w:rsid w:val="000179CF"/>
    <w:rsid w:val="0002015D"/>
    <w:rsid w:val="000202F5"/>
    <w:rsid w:val="00021D0F"/>
    <w:rsid w:val="00022271"/>
    <w:rsid w:val="00022ABD"/>
    <w:rsid w:val="00023512"/>
    <w:rsid w:val="000235E8"/>
    <w:rsid w:val="0002432A"/>
    <w:rsid w:val="00024D89"/>
    <w:rsid w:val="000250B6"/>
    <w:rsid w:val="0002554A"/>
    <w:rsid w:val="00025F28"/>
    <w:rsid w:val="000301E6"/>
    <w:rsid w:val="0003020A"/>
    <w:rsid w:val="000331D2"/>
    <w:rsid w:val="00033D81"/>
    <w:rsid w:val="0003708E"/>
    <w:rsid w:val="000372F5"/>
    <w:rsid w:val="00037366"/>
    <w:rsid w:val="000419B9"/>
    <w:rsid w:val="00041BF0"/>
    <w:rsid w:val="00042C8A"/>
    <w:rsid w:val="00044D6D"/>
    <w:rsid w:val="00044F7F"/>
    <w:rsid w:val="00044FE6"/>
    <w:rsid w:val="00044FF2"/>
    <w:rsid w:val="0004536B"/>
    <w:rsid w:val="00045663"/>
    <w:rsid w:val="00045737"/>
    <w:rsid w:val="00046B68"/>
    <w:rsid w:val="0005067C"/>
    <w:rsid w:val="000527DD"/>
    <w:rsid w:val="000578B2"/>
    <w:rsid w:val="00060959"/>
    <w:rsid w:val="00060C8F"/>
    <w:rsid w:val="00061450"/>
    <w:rsid w:val="0006145A"/>
    <w:rsid w:val="0006298A"/>
    <w:rsid w:val="0006470D"/>
    <w:rsid w:val="00064834"/>
    <w:rsid w:val="00065922"/>
    <w:rsid w:val="000663CD"/>
    <w:rsid w:val="00067ED3"/>
    <w:rsid w:val="00073183"/>
    <w:rsid w:val="000733FE"/>
    <w:rsid w:val="00074219"/>
    <w:rsid w:val="00074ED5"/>
    <w:rsid w:val="00077EEA"/>
    <w:rsid w:val="000801DA"/>
    <w:rsid w:val="000821F4"/>
    <w:rsid w:val="00083A34"/>
    <w:rsid w:val="0008508E"/>
    <w:rsid w:val="00086FC9"/>
    <w:rsid w:val="00087951"/>
    <w:rsid w:val="00087EA5"/>
    <w:rsid w:val="0009113B"/>
    <w:rsid w:val="00091CFC"/>
    <w:rsid w:val="00091D91"/>
    <w:rsid w:val="00092579"/>
    <w:rsid w:val="00093402"/>
    <w:rsid w:val="00094A67"/>
    <w:rsid w:val="00094DA3"/>
    <w:rsid w:val="00096CD1"/>
    <w:rsid w:val="000A012C"/>
    <w:rsid w:val="000A0DED"/>
    <w:rsid w:val="000A0EB9"/>
    <w:rsid w:val="000A0F67"/>
    <w:rsid w:val="000A186C"/>
    <w:rsid w:val="000A1EA4"/>
    <w:rsid w:val="000A2476"/>
    <w:rsid w:val="000A3148"/>
    <w:rsid w:val="000A3648"/>
    <w:rsid w:val="000A4146"/>
    <w:rsid w:val="000A641A"/>
    <w:rsid w:val="000A7A08"/>
    <w:rsid w:val="000B061F"/>
    <w:rsid w:val="000B3DCB"/>
    <w:rsid w:val="000B3EDB"/>
    <w:rsid w:val="000B543D"/>
    <w:rsid w:val="000B55F9"/>
    <w:rsid w:val="000B5BF7"/>
    <w:rsid w:val="000B5F63"/>
    <w:rsid w:val="000B6BC8"/>
    <w:rsid w:val="000C0303"/>
    <w:rsid w:val="000C05A3"/>
    <w:rsid w:val="000C0831"/>
    <w:rsid w:val="000C21CA"/>
    <w:rsid w:val="000C258A"/>
    <w:rsid w:val="000C3848"/>
    <w:rsid w:val="000C42EA"/>
    <w:rsid w:val="000C4546"/>
    <w:rsid w:val="000C6DFE"/>
    <w:rsid w:val="000C73AC"/>
    <w:rsid w:val="000C766B"/>
    <w:rsid w:val="000C7699"/>
    <w:rsid w:val="000D1242"/>
    <w:rsid w:val="000D7CB7"/>
    <w:rsid w:val="000E0970"/>
    <w:rsid w:val="000E0EA4"/>
    <w:rsid w:val="000E1910"/>
    <w:rsid w:val="000E2707"/>
    <w:rsid w:val="000E39D5"/>
    <w:rsid w:val="000E3B76"/>
    <w:rsid w:val="000E3CC7"/>
    <w:rsid w:val="000E5BB8"/>
    <w:rsid w:val="000E6730"/>
    <w:rsid w:val="000E6BD4"/>
    <w:rsid w:val="000E6D6D"/>
    <w:rsid w:val="000F1F1E"/>
    <w:rsid w:val="000F2259"/>
    <w:rsid w:val="000F2DDA"/>
    <w:rsid w:val="000F4059"/>
    <w:rsid w:val="000F5213"/>
    <w:rsid w:val="000F62D0"/>
    <w:rsid w:val="000F7770"/>
    <w:rsid w:val="00101001"/>
    <w:rsid w:val="001017C4"/>
    <w:rsid w:val="0010208E"/>
    <w:rsid w:val="001026B9"/>
    <w:rsid w:val="00103276"/>
    <w:rsid w:val="0010392D"/>
    <w:rsid w:val="0010447F"/>
    <w:rsid w:val="00104FE3"/>
    <w:rsid w:val="00106183"/>
    <w:rsid w:val="001065D9"/>
    <w:rsid w:val="001070A7"/>
    <w:rsid w:val="0010714F"/>
    <w:rsid w:val="0011000C"/>
    <w:rsid w:val="001100BE"/>
    <w:rsid w:val="00110441"/>
    <w:rsid w:val="00110936"/>
    <w:rsid w:val="001120C5"/>
    <w:rsid w:val="0011298D"/>
    <w:rsid w:val="001141FC"/>
    <w:rsid w:val="00115467"/>
    <w:rsid w:val="00116533"/>
    <w:rsid w:val="0011701A"/>
    <w:rsid w:val="00117284"/>
    <w:rsid w:val="00120BD3"/>
    <w:rsid w:val="00122FEA"/>
    <w:rsid w:val="001232BD"/>
    <w:rsid w:val="001240EE"/>
    <w:rsid w:val="00124ED5"/>
    <w:rsid w:val="00125A68"/>
    <w:rsid w:val="001276FA"/>
    <w:rsid w:val="00130BD2"/>
    <w:rsid w:val="00131826"/>
    <w:rsid w:val="001364A0"/>
    <w:rsid w:val="00140EB2"/>
    <w:rsid w:val="0014255B"/>
    <w:rsid w:val="001447B3"/>
    <w:rsid w:val="001453B1"/>
    <w:rsid w:val="00146413"/>
    <w:rsid w:val="00146D80"/>
    <w:rsid w:val="00147788"/>
    <w:rsid w:val="00151624"/>
    <w:rsid w:val="00152073"/>
    <w:rsid w:val="00152851"/>
    <w:rsid w:val="00154E2D"/>
    <w:rsid w:val="00154FB4"/>
    <w:rsid w:val="00156209"/>
    <w:rsid w:val="00156598"/>
    <w:rsid w:val="00161939"/>
    <w:rsid w:val="00161AA0"/>
    <w:rsid w:val="00161D2E"/>
    <w:rsid w:val="00161F3E"/>
    <w:rsid w:val="00162093"/>
    <w:rsid w:val="00162CA9"/>
    <w:rsid w:val="00165459"/>
    <w:rsid w:val="00165A57"/>
    <w:rsid w:val="001712C2"/>
    <w:rsid w:val="00171621"/>
    <w:rsid w:val="00172BAF"/>
    <w:rsid w:val="0017524B"/>
    <w:rsid w:val="00176C3B"/>
    <w:rsid w:val="001771DD"/>
    <w:rsid w:val="00177995"/>
    <w:rsid w:val="00177A8C"/>
    <w:rsid w:val="00181215"/>
    <w:rsid w:val="00184D28"/>
    <w:rsid w:val="00186B33"/>
    <w:rsid w:val="00186CB5"/>
    <w:rsid w:val="00190345"/>
    <w:rsid w:val="00191459"/>
    <w:rsid w:val="00192F9D"/>
    <w:rsid w:val="001949F1"/>
    <w:rsid w:val="001953A6"/>
    <w:rsid w:val="00196B08"/>
    <w:rsid w:val="00196D5A"/>
    <w:rsid w:val="00196EB8"/>
    <w:rsid w:val="00196EFB"/>
    <w:rsid w:val="001971CC"/>
    <w:rsid w:val="001979FF"/>
    <w:rsid w:val="00197B17"/>
    <w:rsid w:val="001A1950"/>
    <w:rsid w:val="001A1C54"/>
    <w:rsid w:val="001A2B4D"/>
    <w:rsid w:val="001A2FBC"/>
    <w:rsid w:val="001A3ACE"/>
    <w:rsid w:val="001A3BAB"/>
    <w:rsid w:val="001B058F"/>
    <w:rsid w:val="001B2DE6"/>
    <w:rsid w:val="001B5179"/>
    <w:rsid w:val="001B5289"/>
    <w:rsid w:val="001B738B"/>
    <w:rsid w:val="001B7498"/>
    <w:rsid w:val="001B7F59"/>
    <w:rsid w:val="001C09DB"/>
    <w:rsid w:val="001C174E"/>
    <w:rsid w:val="001C277E"/>
    <w:rsid w:val="001C2A72"/>
    <w:rsid w:val="001C31B7"/>
    <w:rsid w:val="001C3BF4"/>
    <w:rsid w:val="001D0B75"/>
    <w:rsid w:val="001D24D2"/>
    <w:rsid w:val="001D39A5"/>
    <w:rsid w:val="001D3C09"/>
    <w:rsid w:val="001D44E8"/>
    <w:rsid w:val="001D60EC"/>
    <w:rsid w:val="001D6F59"/>
    <w:rsid w:val="001E0C5D"/>
    <w:rsid w:val="001E19E2"/>
    <w:rsid w:val="001E2A36"/>
    <w:rsid w:val="001E3AC3"/>
    <w:rsid w:val="001E44DF"/>
    <w:rsid w:val="001E453A"/>
    <w:rsid w:val="001E662A"/>
    <w:rsid w:val="001E68A5"/>
    <w:rsid w:val="001E6BB0"/>
    <w:rsid w:val="001E7282"/>
    <w:rsid w:val="001F11B9"/>
    <w:rsid w:val="001F2285"/>
    <w:rsid w:val="001F236C"/>
    <w:rsid w:val="001F3826"/>
    <w:rsid w:val="001F38D3"/>
    <w:rsid w:val="001F396F"/>
    <w:rsid w:val="001F3E00"/>
    <w:rsid w:val="001F6470"/>
    <w:rsid w:val="001F6B8A"/>
    <w:rsid w:val="001F6E46"/>
    <w:rsid w:val="001F70E3"/>
    <w:rsid w:val="001F7C91"/>
    <w:rsid w:val="001F7FF9"/>
    <w:rsid w:val="00200246"/>
    <w:rsid w:val="00202DB5"/>
    <w:rsid w:val="00203302"/>
    <w:rsid w:val="002033B7"/>
    <w:rsid w:val="00204BA0"/>
    <w:rsid w:val="00205526"/>
    <w:rsid w:val="00206463"/>
    <w:rsid w:val="00206F2F"/>
    <w:rsid w:val="00207AB5"/>
    <w:rsid w:val="0021053D"/>
    <w:rsid w:val="00210A92"/>
    <w:rsid w:val="00210F6F"/>
    <w:rsid w:val="00212133"/>
    <w:rsid w:val="00212B35"/>
    <w:rsid w:val="002148D7"/>
    <w:rsid w:val="0021607B"/>
    <w:rsid w:val="0021639C"/>
    <w:rsid w:val="00216C03"/>
    <w:rsid w:val="00220C04"/>
    <w:rsid w:val="00221F06"/>
    <w:rsid w:val="002220E5"/>
    <w:rsid w:val="0022278D"/>
    <w:rsid w:val="002265E5"/>
    <w:rsid w:val="00226B01"/>
    <w:rsid w:val="0022701F"/>
    <w:rsid w:val="00227C68"/>
    <w:rsid w:val="002333F5"/>
    <w:rsid w:val="00233724"/>
    <w:rsid w:val="002337AD"/>
    <w:rsid w:val="00234591"/>
    <w:rsid w:val="002351CA"/>
    <w:rsid w:val="0023608F"/>
    <w:rsid w:val="002365B4"/>
    <w:rsid w:val="00241737"/>
    <w:rsid w:val="00241AC6"/>
    <w:rsid w:val="00242031"/>
    <w:rsid w:val="002432E1"/>
    <w:rsid w:val="00246207"/>
    <w:rsid w:val="00246C5E"/>
    <w:rsid w:val="0024766E"/>
    <w:rsid w:val="00247802"/>
    <w:rsid w:val="002505FE"/>
    <w:rsid w:val="00250960"/>
    <w:rsid w:val="00251343"/>
    <w:rsid w:val="00251C4D"/>
    <w:rsid w:val="00251FAB"/>
    <w:rsid w:val="002536A4"/>
    <w:rsid w:val="00254F58"/>
    <w:rsid w:val="002554DF"/>
    <w:rsid w:val="00257069"/>
    <w:rsid w:val="00257DD6"/>
    <w:rsid w:val="00261896"/>
    <w:rsid w:val="002620BC"/>
    <w:rsid w:val="00262802"/>
    <w:rsid w:val="00262DE6"/>
    <w:rsid w:val="002639EA"/>
    <w:rsid w:val="00263A90"/>
    <w:rsid w:val="00263C1F"/>
    <w:rsid w:val="0026408B"/>
    <w:rsid w:val="00264E70"/>
    <w:rsid w:val="002652F5"/>
    <w:rsid w:val="00267C3E"/>
    <w:rsid w:val="002709BB"/>
    <w:rsid w:val="00270C67"/>
    <w:rsid w:val="0027113F"/>
    <w:rsid w:val="00271E3B"/>
    <w:rsid w:val="00273BAC"/>
    <w:rsid w:val="00274726"/>
    <w:rsid w:val="00275B03"/>
    <w:rsid w:val="002763B3"/>
    <w:rsid w:val="002802E3"/>
    <w:rsid w:val="00280703"/>
    <w:rsid w:val="0028213D"/>
    <w:rsid w:val="00285019"/>
    <w:rsid w:val="00285F6E"/>
    <w:rsid w:val="002862F1"/>
    <w:rsid w:val="00291373"/>
    <w:rsid w:val="0029597D"/>
    <w:rsid w:val="002962C3"/>
    <w:rsid w:val="0029752B"/>
    <w:rsid w:val="00297EE8"/>
    <w:rsid w:val="002A07AF"/>
    <w:rsid w:val="002A0A9C"/>
    <w:rsid w:val="002A0D5D"/>
    <w:rsid w:val="002A123F"/>
    <w:rsid w:val="002A276B"/>
    <w:rsid w:val="002A483C"/>
    <w:rsid w:val="002A4CF5"/>
    <w:rsid w:val="002A5719"/>
    <w:rsid w:val="002B0C7C"/>
    <w:rsid w:val="002B1729"/>
    <w:rsid w:val="002B1BA6"/>
    <w:rsid w:val="002B2CB4"/>
    <w:rsid w:val="002B36C7"/>
    <w:rsid w:val="002B4DD4"/>
    <w:rsid w:val="002B5277"/>
    <w:rsid w:val="002B5375"/>
    <w:rsid w:val="002B6757"/>
    <w:rsid w:val="002B6FCC"/>
    <w:rsid w:val="002B77C1"/>
    <w:rsid w:val="002C0ED7"/>
    <w:rsid w:val="002C19BC"/>
    <w:rsid w:val="002C1C41"/>
    <w:rsid w:val="002C2728"/>
    <w:rsid w:val="002C2D9F"/>
    <w:rsid w:val="002C5851"/>
    <w:rsid w:val="002C7ED0"/>
    <w:rsid w:val="002D1E0D"/>
    <w:rsid w:val="002D25F1"/>
    <w:rsid w:val="002D2F6B"/>
    <w:rsid w:val="002D5006"/>
    <w:rsid w:val="002D52A6"/>
    <w:rsid w:val="002D6424"/>
    <w:rsid w:val="002D7638"/>
    <w:rsid w:val="002D7C31"/>
    <w:rsid w:val="002E01D0"/>
    <w:rsid w:val="002E1056"/>
    <w:rsid w:val="002E107D"/>
    <w:rsid w:val="002E161D"/>
    <w:rsid w:val="002E3100"/>
    <w:rsid w:val="002E5552"/>
    <w:rsid w:val="002E5F93"/>
    <w:rsid w:val="002E6C95"/>
    <w:rsid w:val="002E710A"/>
    <w:rsid w:val="002E7B83"/>
    <w:rsid w:val="002E7C36"/>
    <w:rsid w:val="002F0107"/>
    <w:rsid w:val="002F2E3C"/>
    <w:rsid w:val="002F3D32"/>
    <w:rsid w:val="002F5F31"/>
    <w:rsid w:val="002F5F46"/>
    <w:rsid w:val="002F668C"/>
    <w:rsid w:val="0030010B"/>
    <w:rsid w:val="00302216"/>
    <w:rsid w:val="00303E53"/>
    <w:rsid w:val="003052BB"/>
    <w:rsid w:val="00305CC1"/>
    <w:rsid w:val="00305DF7"/>
    <w:rsid w:val="00306E5F"/>
    <w:rsid w:val="00307BDA"/>
    <w:rsid w:val="00307E14"/>
    <w:rsid w:val="00310121"/>
    <w:rsid w:val="00310E2C"/>
    <w:rsid w:val="00312303"/>
    <w:rsid w:val="00314054"/>
    <w:rsid w:val="00315BD8"/>
    <w:rsid w:val="00316430"/>
    <w:rsid w:val="00316F27"/>
    <w:rsid w:val="00321330"/>
    <w:rsid w:val="003214F1"/>
    <w:rsid w:val="00321D5D"/>
    <w:rsid w:val="00322E4B"/>
    <w:rsid w:val="00324043"/>
    <w:rsid w:val="003251E6"/>
    <w:rsid w:val="00327870"/>
    <w:rsid w:val="0033259D"/>
    <w:rsid w:val="003333D2"/>
    <w:rsid w:val="00333867"/>
    <w:rsid w:val="0033483E"/>
    <w:rsid w:val="003350F4"/>
    <w:rsid w:val="003363F1"/>
    <w:rsid w:val="00336D69"/>
    <w:rsid w:val="00337164"/>
    <w:rsid w:val="003406C6"/>
    <w:rsid w:val="003418CC"/>
    <w:rsid w:val="00343483"/>
    <w:rsid w:val="003436E8"/>
    <w:rsid w:val="003459BD"/>
    <w:rsid w:val="00350D38"/>
    <w:rsid w:val="00351402"/>
    <w:rsid w:val="00351B36"/>
    <w:rsid w:val="0035219E"/>
    <w:rsid w:val="00352295"/>
    <w:rsid w:val="00355602"/>
    <w:rsid w:val="00357B4E"/>
    <w:rsid w:val="003624F8"/>
    <w:rsid w:val="00362FAA"/>
    <w:rsid w:val="00364872"/>
    <w:rsid w:val="003679F0"/>
    <w:rsid w:val="00367C15"/>
    <w:rsid w:val="003716FD"/>
    <w:rsid w:val="0037204B"/>
    <w:rsid w:val="003744CF"/>
    <w:rsid w:val="00374717"/>
    <w:rsid w:val="003751F9"/>
    <w:rsid w:val="0037676C"/>
    <w:rsid w:val="00377072"/>
    <w:rsid w:val="00381043"/>
    <w:rsid w:val="0038189D"/>
    <w:rsid w:val="003829E5"/>
    <w:rsid w:val="00384C23"/>
    <w:rsid w:val="00386109"/>
    <w:rsid w:val="00386944"/>
    <w:rsid w:val="00386F10"/>
    <w:rsid w:val="0039356B"/>
    <w:rsid w:val="00395519"/>
    <w:rsid w:val="003956CC"/>
    <w:rsid w:val="00395C9A"/>
    <w:rsid w:val="00397A8E"/>
    <w:rsid w:val="003A0853"/>
    <w:rsid w:val="003A08E2"/>
    <w:rsid w:val="003A1A7F"/>
    <w:rsid w:val="003A3D74"/>
    <w:rsid w:val="003A4E11"/>
    <w:rsid w:val="003A4E15"/>
    <w:rsid w:val="003A57A4"/>
    <w:rsid w:val="003A6B67"/>
    <w:rsid w:val="003B13B6"/>
    <w:rsid w:val="003B15E6"/>
    <w:rsid w:val="003B1BFD"/>
    <w:rsid w:val="003B2D5E"/>
    <w:rsid w:val="003B33CF"/>
    <w:rsid w:val="003B408A"/>
    <w:rsid w:val="003B46D5"/>
    <w:rsid w:val="003B53A9"/>
    <w:rsid w:val="003B5733"/>
    <w:rsid w:val="003B5FDC"/>
    <w:rsid w:val="003B7E0F"/>
    <w:rsid w:val="003C08A2"/>
    <w:rsid w:val="003C2045"/>
    <w:rsid w:val="003C2A15"/>
    <w:rsid w:val="003C43A1"/>
    <w:rsid w:val="003C4FC0"/>
    <w:rsid w:val="003C55F4"/>
    <w:rsid w:val="003C5936"/>
    <w:rsid w:val="003C7897"/>
    <w:rsid w:val="003C7A3F"/>
    <w:rsid w:val="003D0D4D"/>
    <w:rsid w:val="003D2766"/>
    <w:rsid w:val="003D2A74"/>
    <w:rsid w:val="003D399A"/>
    <w:rsid w:val="003D3E8F"/>
    <w:rsid w:val="003D4068"/>
    <w:rsid w:val="003D4E29"/>
    <w:rsid w:val="003D5FDA"/>
    <w:rsid w:val="003D6475"/>
    <w:rsid w:val="003D6660"/>
    <w:rsid w:val="003E02AC"/>
    <w:rsid w:val="003E33D4"/>
    <w:rsid w:val="003E375C"/>
    <w:rsid w:val="003E4086"/>
    <w:rsid w:val="003E5433"/>
    <w:rsid w:val="003E639E"/>
    <w:rsid w:val="003E71E5"/>
    <w:rsid w:val="003E77BD"/>
    <w:rsid w:val="003E7C89"/>
    <w:rsid w:val="003F0445"/>
    <w:rsid w:val="003F0CF0"/>
    <w:rsid w:val="003F14B1"/>
    <w:rsid w:val="003F1B6F"/>
    <w:rsid w:val="003F2B20"/>
    <w:rsid w:val="003F2F66"/>
    <w:rsid w:val="003F3289"/>
    <w:rsid w:val="003F3426"/>
    <w:rsid w:val="003F5485"/>
    <w:rsid w:val="003F5CB9"/>
    <w:rsid w:val="004013C7"/>
    <w:rsid w:val="00401FCF"/>
    <w:rsid w:val="0040248F"/>
    <w:rsid w:val="0040442B"/>
    <w:rsid w:val="00404706"/>
    <w:rsid w:val="004051CF"/>
    <w:rsid w:val="00406285"/>
    <w:rsid w:val="00406FE6"/>
    <w:rsid w:val="00407DE3"/>
    <w:rsid w:val="00410BED"/>
    <w:rsid w:val="00411106"/>
    <w:rsid w:val="00412FC8"/>
    <w:rsid w:val="00414005"/>
    <w:rsid w:val="004146C6"/>
    <w:rsid w:val="004148F9"/>
    <w:rsid w:val="00414A59"/>
    <w:rsid w:val="00414CB0"/>
    <w:rsid w:val="00414CDD"/>
    <w:rsid w:val="00414D4A"/>
    <w:rsid w:val="004160E5"/>
    <w:rsid w:val="0042084E"/>
    <w:rsid w:val="00420E9A"/>
    <w:rsid w:val="00421113"/>
    <w:rsid w:val="00421EEF"/>
    <w:rsid w:val="0042427C"/>
    <w:rsid w:val="00424D65"/>
    <w:rsid w:val="00425D95"/>
    <w:rsid w:val="004267FB"/>
    <w:rsid w:val="00427654"/>
    <w:rsid w:val="00427B18"/>
    <w:rsid w:val="00430585"/>
    <w:rsid w:val="00430681"/>
    <w:rsid w:val="00430F45"/>
    <w:rsid w:val="0043282E"/>
    <w:rsid w:val="0043465F"/>
    <w:rsid w:val="00437F59"/>
    <w:rsid w:val="00440D5F"/>
    <w:rsid w:val="00440E2E"/>
    <w:rsid w:val="00442C6C"/>
    <w:rsid w:val="00443CBE"/>
    <w:rsid w:val="00443E8A"/>
    <w:rsid w:val="004441BC"/>
    <w:rsid w:val="004461AE"/>
    <w:rsid w:val="004466D8"/>
    <w:rsid w:val="004468B4"/>
    <w:rsid w:val="00451143"/>
    <w:rsid w:val="0045230A"/>
    <w:rsid w:val="004535B0"/>
    <w:rsid w:val="0045444C"/>
    <w:rsid w:val="00454AD0"/>
    <w:rsid w:val="00456F1D"/>
    <w:rsid w:val="00457337"/>
    <w:rsid w:val="004604F0"/>
    <w:rsid w:val="00461F43"/>
    <w:rsid w:val="00462E3D"/>
    <w:rsid w:val="00466E79"/>
    <w:rsid w:val="00467DA7"/>
    <w:rsid w:val="00467F25"/>
    <w:rsid w:val="00470D7D"/>
    <w:rsid w:val="004719E5"/>
    <w:rsid w:val="00471F73"/>
    <w:rsid w:val="0047372D"/>
    <w:rsid w:val="00473BA3"/>
    <w:rsid w:val="00473E2A"/>
    <w:rsid w:val="004743DD"/>
    <w:rsid w:val="00474897"/>
    <w:rsid w:val="00474CEA"/>
    <w:rsid w:val="00474D6D"/>
    <w:rsid w:val="00481805"/>
    <w:rsid w:val="0048257C"/>
    <w:rsid w:val="00483968"/>
    <w:rsid w:val="00484F86"/>
    <w:rsid w:val="00485CBD"/>
    <w:rsid w:val="00487076"/>
    <w:rsid w:val="004901A0"/>
    <w:rsid w:val="00490746"/>
    <w:rsid w:val="00490852"/>
    <w:rsid w:val="00491C9C"/>
    <w:rsid w:val="00492F30"/>
    <w:rsid w:val="00493D3C"/>
    <w:rsid w:val="004946F4"/>
    <w:rsid w:val="0049487E"/>
    <w:rsid w:val="00494FEE"/>
    <w:rsid w:val="004956AD"/>
    <w:rsid w:val="004A0615"/>
    <w:rsid w:val="004A160D"/>
    <w:rsid w:val="004A161E"/>
    <w:rsid w:val="004A3323"/>
    <w:rsid w:val="004A3E81"/>
    <w:rsid w:val="004A4195"/>
    <w:rsid w:val="004A4D37"/>
    <w:rsid w:val="004A5C62"/>
    <w:rsid w:val="004A5CE5"/>
    <w:rsid w:val="004A707D"/>
    <w:rsid w:val="004A76C9"/>
    <w:rsid w:val="004A78A6"/>
    <w:rsid w:val="004A799D"/>
    <w:rsid w:val="004B04A7"/>
    <w:rsid w:val="004B1AF0"/>
    <w:rsid w:val="004B21C5"/>
    <w:rsid w:val="004B3D46"/>
    <w:rsid w:val="004C183F"/>
    <w:rsid w:val="004C5541"/>
    <w:rsid w:val="004C6EEE"/>
    <w:rsid w:val="004C702B"/>
    <w:rsid w:val="004D0033"/>
    <w:rsid w:val="004D016B"/>
    <w:rsid w:val="004D0AC2"/>
    <w:rsid w:val="004D1605"/>
    <w:rsid w:val="004D1A79"/>
    <w:rsid w:val="004D1B22"/>
    <w:rsid w:val="004D23CC"/>
    <w:rsid w:val="004D36F2"/>
    <w:rsid w:val="004D4AC9"/>
    <w:rsid w:val="004D4C3C"/>
    <w:rsid w:val="004D4FD3"/>
    <w:rsid w:val="004D5BE8"/>
    <w:rsid w:val="004D6665"/>
    <w:rsid w:val="004D7D51"/>
    <w:rsid w:val="004E1106"/>
    <w:rsid w:val="004E1357"/>
    <w:rsid w:val="004E138F"/>
    <w:rsid w:val="004E1819"/>
    <w:rsid w:val="004E40C6"/>
    <w:rsid w:val="004E4649"/>
    <w:rsid w:val="004E5120"/>
    <w:rsid w:val="004E5C2B"/>
    <w:rsid w:val="004E6638"/>
    <w:rsid w:val="004E725C"/>
    <w:rsid w:val="004E7433"/>
    <w:rsid w:val="004E7992"/>
    <w:rsid w:val="004F00DD"/>
    <w:rsid w:val="004F2133"/>
    <w:rsid w:val="004F4018"/>
    <w:rsid w:val="004F5398"/>
    <w:rsid w:val="004F55F1"/>
    <w:rsid w:val="004F5804"/>
    <w:rsid w:val="004F6936"/>
    <w:rsid w:val="004F7CF3"/>
    <w:rsid w:val="0050161A"/>
    <w:rsid w:val="0050353E"/>
    <w:rsid w:val="00503DC6"/>
    <w:rsid w:val="005057B4"/>
    <w:rsid w:val="00505B82"/>
    <w:rsid w:val="00506F5D"/>
    <w:rsid w:val="005073CB"/>
    <w:rsid w:val="00507653"/>
    <w:rsid w:val="00510633"/>
    <w:rsid w:val="00510C37"/>
    <w:rsid w:val="005120B2"/>
    <w:rsid w:val="005126D0"/>
    <w:rsid w:val="00512EC9"/>
    <w:rsid w:val="00515614"/>
    <w:rsid w:val="0051568D"/>
    <w:rsid w:val="005175CE"/>
    <w:rsid w:val="00523D0A"/>
    <w:rsid w:val="00524F86"/>
    <w:rsid w:val="00525F54"/>
    <w:rsid w:val="00526530"/>
    <w:rsid w:val="00526AC7"/>
    <w:rsid w:val="00526C15"/>
    <w:rsid w:val="00536499"/>
    <w:rsid w:val="00536BD4"/>
    <w:rsid w:val="00536F36"/>
    <w:rsid w:val="00536FEF"/>
    <w:rsid w:val="00537009"/>
    <w:rsid w:val="00540B14"/>
    <w:rsid w:val="00542820"/>
    <w:rsid w:val="00543903"/>
    <w:rsid w:val="00543F11"/>
    <w:rsid w:val="00546305"/>
    <w:rsid w:val="00547A95"/>
    <w:rsid w:val="00547E01"/>
    <w:rsid w:val="00550572"/>
    <w:rsid w:val="00550706"/>
    <w:rsid w:val="00550D10"/>
    <w:rsid w:val="0055119B"/>
    <w:rsid w:val="0055187E"/>
    <w:rsid w:val="0055319F"/>
    <w:rsid w:val="0055371D"/>
    <w:rsid w:val="00554445"/>
    <w:rsid w:val="005548B5"/>
    <w:rsid w:val="00554E95"/>
    <w:rsid w:val="00555233"/>
    <w:rsid w:val="005576FB"/>
    <w:rsid w:val="00562299"/>
    <w:rsid w:val="00562A25"/>
    <w:rsid w:val="00562F81"/>
    <w:rsid w:val="00562FEE"/>
    <w:rsid w:val="00563F00"/>
    <w:rsid w:val="00564BB9"/>
    <w:rsid w:val="00564C54"/>
    <w:rsid w:val="00566CBA"/>
    <w:rsid w:val="00567171"/>
    <w:rsid w:val="00572031"/>
    <w:rsid w:val="00572282"/>
    <w:rsid w:val="005732FA"/>
    <w:rsid w:val="0057347C"/>
    <w:rsid w:val="00573CE3"/>
    <w:rsid w:val="00576E84"/>
    <w:rsid w:val="00577F4D"/>
    <w:rsid w:val="0058038D"/>
    <w:rsid w:val="00580394"/>
    <w:rsid w:val="005809CD"/>
    <w:rsid w:val="00582B8C"/>
    <w:rsid w:val="00582BB7"/>
    <w:rsid w:val="0058689D"/>
    <w:rsid w:val="0058757E"/>
    <w:rsid w:val="0059011D"/>
    <w:rsid w:val="0059121F"/>
    <w:rsid w:val="005948E0"/>
    <w:rsid w:val="00595516"/>
    <w:rsid w:val="00596A4B"/>
    <w:rsid w:val="00597507"/>
    <w:rsid w:val="005A0FC2"/>
    <w:rsid w:val="005A312A"/>
    <w:rsid w:val="005A479D"/>
    <w:rsid w:val="005A5780"/>
    <w:rsid w:val="005A663A"/>
    <w:rsid w:val="005B049C"/>
    <w:rsid w:val="005B1C6D"/>
    <w:rsid w:val="005B21B6"/>
    <w:rsid w:val="005B361A"/>
    <w:rsid w:val="005B3A08"/>
    <w:rsid w:val="005B4C39"/>
    <w:rsid w:val="005B7196"/>
    <w:rsid w:val="005B7A63"/>
    <w:rsid w:val="005C0955"/>
    <w:rsid w:val="005C2D4D"/>
    <w:rsid w:val="005C3F92"/>
    <w:rsid w:val="005C49DA"/>
    <w:rsid w:val="005C50F3"/>
    <w:rsid w:val="005C54B5"/>
    <w:rsid w:val="005C5D80"/>
    <w:rsid w:val="005C5D91"/>
    <w:rsid w:val="005C637A"/>
    <w:rsid w:val="005C781F"/>
    <w:rsid w:val="005C7C9F"/>
    <w:rsid w:val="005C7D65"/>
    <w:rsid w:val="005D0254"/>
    <w:rsid w:val="005D07B8"/>
    <w:rsid w:val="005D129D"/>
    <w:rsid w:val="005D6597"/>
    <w:rsid w:val="005D7339"/>
    <w:rsid w:val="005E0D61"/>
    <w:rsid w:val="005E14E7"/>
    <w:rsid w:val="005E22CC"/>
    <w:rsid w:val="005E26A3"/>
    <w:rsid w:val="005E2ECB"/>
    <w:rsid w:val="005E447E"/>
    <w:rsid w:val="005E4FD1"/>
    <w:rsid w:val="005E6EAC"/>
    <w:rsid w:val="005F0775"/>
    <w:rsid w:val="005F085E"/>
    <w:rsid w:val="005F093E"/>
    <w:rsid w:val="005F0CF5"/>
    <w:rsid w:val="005F21EB"/>
    <w:rsid w:val="005F2C81"/>
    <w:rsid w:val="005F46A5"/>
    <w:rsid w:val="005F4F54"/>
    <w:rsid w:val="005F6A0A"/>
    <w:rsid w:val="005F712A"/>
    <w:rsid w:val="00601E82"/>
    <w:rsid w:val="00602122"/>
    <w:rsid w:val="00603130"/>
    <w:rsid w:val="00605366"/>
    <w:rsid w:val="00605908"/>
    <w:rsid w:val="00605968"/>
    <w:rsid w:val="00606BC3"/>
    <w:rsid w:val="00610BC1"/>
    <w:rsid w:val="00610D7C"/>
    <w:rsid w:val="00613414"/>
    <w:rsid w:val="0061590D"/>
    <w:rsid w:val="006159EB"/>
    <w:rsid w:val="0061652C"/>
    <w:rsid w:val="00620154"/>
    <w:rsid w:val="00622EE1"/>
    <w:rsid w:val="0062408D"/>
    <w:rsid w:val="006240CC"/>
    <w:rsid w:val="00624940"/>
    <w:rsid w:val="006249FD"/>
    <w:rsid w:val="006254F8"/>
    <w:rsid w:val="00626E38"/>
    <w:rsid w:val="0062710F"/>
    <w:rsid w:val="006273AB"/>
    <w:rsid w:val="00627DA7"/>
    <w:rsid w:val="00630DA4"/>
    <w:rsid w:val="00632597"/>
    <w:rsid w:val="00634AEA"/>
    <w:rsid w:val="006358B4"/>
    <w:rsid w:val="00635CF7"/>
    <w:rsid w:val="00636D80"/>
    <w:rsid w:val="006416F6"/>
    <w:rsid w:val="006419AA"/>
    <w:rsid w:val="00644777"/>
    <w:rsid w:val="00644B1F"/>
    <w:rsid w:val="00644B7E"/>
    <w:rsid w:val="006454E6"/>
    <w:rsid w:val="0064597E"/>
    <w:rsid w:val="00646235"/>
    <w:rsid w:val="00646A68"/>
    <w:rsid w:val="006505BD"/>
    <w:rsid w:val="006508EA"/>
    <w:rsid w:val="0065092E"/>
    <w:rsid w:val="00650E4D"/>
    <w:rsid w:val="006532C8"/>
    <w:rsid w:val="006532D4"/>
    <w:rsid w:val="00654ED5"/>
    <w:rsid w:val="006557A7"/>
    <w:rsid w:val="00655968"/>
    <w:rsid w:val="00656290"/>
    <w:rsid w:val="006570D5"/>
    <w:rsid w:val="006608D8"/>
    <w:rsid w:val="00660C2B"/>
    <w:rsid w:val="006621D7"/>
    <w:rsid w:val="00663020"/>
    <w:rsid w:val="0066302A"/>
    <w:rsid w:val="00663D72"/>
    <w:rsid w:val="0066566A"/>
    <w:rsid w:val="00667770"/>
    <w:rsid w:val="0067048C"/>
    <w:rsid w:val="00670597"/>
    <w:rsid w:val="006706D0"/>
    <w:rsid w:val="00672FBA"/>
    <w:rsid w:val="00673F62"/>
    <w:rsid w:val="00673FAE"/>
    <w:rsid w:val="00674EE6"/>
    <w:rsid w:val="00676D19"/>
    <w:rsid w:val="00676E5F"/>
    <w:rsid w:val="006773BB"/>
    <w:rsid w:val="006773F0"/>
    <w:rsid w:val="00677574"/>
    <w:rsid w:val="00680578"/>
    <w:rsid w:val="006816CA"/>
    <w:rsid w:val="00681874"/>
    <w:rsid w:val="0068454C"/>
    <w:rsid w:val="00685BF5"/>
    <w:rsid w:val="00687076"/>
    <w:rsid w:val="00691B62"/>
    <w:rsid w:val="006921B1"/>
    <w:rsid w:val="006925B5"/>
    <w:rsid w:val="006933B5"/>
    <w:rsid w:val="00693D14"/>
    <w:rsid w:val="00696EDF"/>
    <w:rsid w:val="00696F27"/>
    <w:rsid w:val="006A0735"/>
    <w:rsid w:val="006A11E0"/>
    <w:rsid w:val="006A18C2"/>
    <w:rsid w:val="006A3031"/>
    <w:rsid w:val="006A3164"/>
    <w:rsid w:val="006A3383"/>
    <w:rsid w:val="006A6280"/>
    <w:rsid w:val="006B077C"/>
    <w:rsid w:val="006B2D38"/>
    <w:rsid w:val="006B5C1E"/>
    <w:rsid w:val="006B6681"/>
    <w:rsid w:val="006B6803"/>
    <w:rsid w:val="006C1F4D"/>
    <w:rsid w:val="006C1F99"/>
    <w:rsid w:val="006C3A0D"/>
    <w:rsid w:val="006C6AE0"/>
    <w:rsid w:val="006C7AB6"/>
    <w:rsid w:val="006D0F16"/>
    <w:rsid w:val="006D2A3F"/>
    <w:rsid w:val="006D2FBC"/>
    <w:rsid w:val="006D35EA"/>
    <w:rsid w:val="006D7093"/>
    <w:rsid w:val="006E0541"/>
    <w:rsid w:val="006E138B"/>
    <w:rsid w:val="006E74D9"/>
    <w:rsid w:val="006E7754"/>
    <w:rsid w:val="006E77A3"/>
    <w:rsid w:val="006F0330"/>
    <w:rsid w:val="006F1118"/>
    <w:rsid w:val="006F1FDC"/>
    <w:rsid w:val="006F5998"/>
    <w:rsid w:val="006F6095"/>
    <w:rsid w:val="006F6301"/>
    <w:rsid w:val="006F6313"/>
    <w:rsid w:val="006F6B8C"/>
    <w:rsid w:val="007013EF"/>
    <w:rsid w:val="00702744"/>
    <w:rsid w:val="00702918"/>
    <w:rsid w:val="007055BD"/>
    <w:rsid w:val="007066D1"/>
    <w:rsid w:val="00707774"/>
    <w:rsid w:val="0071028B"/>
    <w:rsid w:val="00712808"/>
    <w:rsid w:val="007173CA"/>
    <w:rsid w:val="00720A76"/>
    <w:rsid w:val="007216AA"/>
    <w:rsid w:val="00721AB5"/>
    <w:rsid w:val="00721CFB"/>
    <w:rsid w:val="00721DEF"/>
    <w:rsid w:val="00723561"/>
    <w:rsid w:val="00724A43"/>
    <w:rsid w:val="007264C1"/>
    <w:rsid w:val="007273AC"/>
    <w:rsid w:val="00731AD4"/>
    <w:rsid w:val="0073315C"/>
    <w:rsid w:val="00733649"/>
    <w:rsid w:val="007346E4"/>
    <w:rsid w:val="00740F22"/>
    <w:rsid w:val="00741CF0"/>
    <w:rsid w:val="00741F1A"/>
    <w:rsid w:val="00744021"/>
    <w:rsid w:val="007447DA"/>
    <w:rsid w:val="007450F8"/>
    <w:rsid w:val="0074696E"/>
    <w:rsid w:val="00746D0C"/>
    <w:rsid w:val="00750135"/>
    <w:rsid w:val="00750EC2"/>
    <w:rsid w:val="0075117A"/>
    <w:rsid w:val="007515E8"/>
    <w:rsid w:val="0075210F"/>
    <w:rsid w:val="00752B28"/>
    <w:rsid w:val="0075358F"/>
    <w:rsid w:val="007541A9"/>
    <w:rsid w:val="00754E36"/>
    <w:rsid w:val="0076117E"/>
    <w:rsid w:val="00762532"/>
    <w:rsid w:val="00763139"/>
    <w:rsid w:val="0076660B"/>
    <w:rsid w:val="00770F37"/>
    <w:rsid w:val="007711A0"/>
    <w:rsid w:val="00772D5E"/>
    <w:rsid w:val="00773729"/>
    <w:rsid w:val="00773F4B"/>
    <w:rsid w:val="0077463E"/>
    <w:rsid w:val="00774876"/>
    <w:rsid w:val="00776928"/>
    <w:rsid w:val="00776E0F"/>
    <w:rsid w:val="007774B1"/>
    <w:rsid w:val="00777601"/>
    <w:rsid w:val="00777660"/>
    <w:rsid w:val="00777BE1"/>
    <w:rsid w:val="00777C01"/>
    <w:rsid w:val="0078158B"/>
    <w:rsid w:val="007833D8"/>
    <w:rsid w:val="00785677"/>
    <w:rsid w:val="00785A64"/>
    <w:rsid w:val="00786F16"/>
    <w:rsid w:val="00787E73"/>
    <w:rsid w:val="00791BD7"/>
    <w:rsid w:val="00792447"/>
    <w:rsid w:val="007933F7"/>
    <w:rsid w:val="00794C85"/>
    <w:rsid w:val="00796E20"/>
    <w:rsid w:val="00797C32"/>
    <w:rsid w:val="007A11E8"/>
    <w:rsid w:val="007A3F7C"/>
    <w:rsid w:val="007B0914"/>
    <w:rsid w:val="007B0B69"/>
    <w:rsid w:val="007B1136"/>
    <w:rsid w:val="007B1374"/>
    <w:rsid w:val="007B1A61"/>
    <w:rsid w:val="007B2A62"/>
    <w:rsid w:val="007B32E5"/>
    <w:rsid w:val="007B3352"/>
    <w:rsid w:val="007B3DB9"/>
    <w:rsid w:val="007B589F"/>
    <w:rsid w:val="007B6186"/>
    <w:rsid w:val="007B73BC"/>
    <w:rsid w:val="007B7D6F"/>
    <w:rsid w:val="007C14DF"/>
    <w:rsid w:val="007C15CB"/>
    <w:rsid w:val="007C1838"/>
    <w:rsid w:val="007C20B9"/>
    <w:rsid w:val="007C29B7"/>
    <w:rsid w:val="007C3A72"/>
    <w:rsid w:val="007C4B61"/>
    <w:rsid w:val="007C7244"/>
    <w:rsid w:val="007C7301"/>
    <w:rsid w:val="007C7859"/>
    <w:rsid w:val="007C7F28"/>
    <w:rsid w:val="007D0CAA"/>
    <w:rsid w:val="007D13FD"/>
    <w:rsid w:val="007D1466"/>
    <w:rsid w:val="007D2BDE"/>
    <w:rsid w:val="007D2FB6"/>
    <w:rsid w:val="007D49EB"/>
    <w:rsid w:val="007D5E1C"/>
    <w:rsid w:val="007E0DE2"/>
    <w:rsid w:val="007E1227"/>
    <w:rsid w:val="007E1757"/>
    <w:rsid w:val="007E1C72"/>
    <w:rsid w:val="007E31A1"/>
    <w:rsid w:val="007E3B98"/>
    <w:rsid w:val="007E417A"/>
    <w:rsid w:val="007E653F"/>
    <w:rsid w:val="007E7DCA"/>
    <w:rsid w:val="007F2AC1"/>
    <w:rsid w:val="007F2F40"/>
    <w:rsid w:val="007F31B6"/>
    <w:rsid w:val="007F3478"/>
    <w:rsid w:val="007F546C"/>
    <w:rsid w:val="007F625F"/>
    <w:rsid w:val="007F665E"/>
    <w:rsid w:val="00800412"/>
    <w:rsid w:val="00801E95"/>
    <w:rsid w:val="008056DD"/>
    <w:rsid w:val="0080587B"/>
    <w:rsid w:val="00806468"/>
    <w:rsid w:val="00806797"/>
    <w:rsid w:val="00807543"/>
    <w:rsid w:val="00807BEB"/>
    <w:rsid w:val="008119CA"/>
    <w:rsid w:val="00812745"/>
    <w:rsid w:val="00812C64"/>
    <w:rsid w:val="008130C4"/>
    <w:rsid w:val="008143A7"/>
    <w:rsid w:val="00814EBB"/>
    <w:rsid w:val="008155F0"/>
    <w:rsid w:val="00816118"/>
    <w:rsid w:val="00816735"/>
    <w:rsid w:val="00816FCD"/>
    <w:rsid w:val="00817658"/>
    <w:rsid w:val="00820141"/>
    <w:rsid w:val="00820E0C"/>
    <w:rsid w:val="008227AE"/>
    <w:rsid w:val="00822B0D"/>
    <w:rsid w:val="00823275"/>
    <w:rsid w:val="0082366F"/>
    <w:rsid w:val="00823AAD"/>
    <w:rsid w:val="00824406"/>
    <w:rsid w:val="008252C5"/>
    <w:rsid w:val="00825CF6"/>
    <w:rsid w:val="0083063D"/>
    <w:rsid w:val="00831075"/>
    <w:rsid w:val="00831F0F"/>
    <w:rsid w:val="008338A2"/>
    <w:rsid w:val="00835FAF"/>
    <w:rsid w:val="00837B84"/>
    <w:rsid w:val="00840781"/>
    <w:rsid w:val="0084106F"/>
    <w:rsid w:val="00841AA9"/>
    <w:rsid w:val="0084417A"/>
    <w:rsid w:val="00844806"/>
    <w:rsid w:val="008448B8"/>
    <w:rsid w:val="008474FE"/>
    <w:rsid w:val="00847BC9"/>
    <w:rsid w:val="00852448"/>
    <w:rsid w:val="008539F7"/>
    <w:rsid w:val="00853EE4"/>
    <w:rsid w:val="008546E9"/>
    <w:rsid w:val="00855535"/>
    <w:rsid w:val="00856098"/>
    <w:rsid w:val="00857C5A"/>
    <w:rsid w:val="00857C67"/>
    <w:rsid w:val="00860F0C"/>
    <w:rsid w:val="0086255E"/>
    <w:rsid w:val="008628D5"/>
    <w:rsid w:val="00862E2F"/>
    <w:rsid w:val="008633F0"/>
    <w:rsid w:val="008664C2"/>
    <w:rsid w:val="00867773"/>
    <w:rsid w:val="00867D9D"/>
    <w:rsid w:val="008707B0"/>
    <w:rsid w:val="00872321"/>
    <w:rsid w:val="008726FF"/>
    <w:rsid w:val="00872E0A"/>
    <w:rsid w:val="00872F73"/>
    <w:rsid w:val="00873594"/>
    <w:rsid w:val="00874082"/>
    <w:rsid w:val="00875285"/>
    <w:rsid w:val="00875C04"/>
    <w:rsid w:val="008770C7"/>
    <w:rsid w:val="008845D9"/>
    <w:rsid w:val="00884B62"/>
    <w:rsid w:val="0088529C"/>
    <w:rsid w:val="00885573"/>
    <w:rsid w:val="00886CB6"/>
    <w:rsid w:val="00887903"/>
    <w:rsid w:val="00887B7B"/>
    <w:rsid w:val="00891537"/>
    <w:rsid w:val="00891C8D"/>
    <w:rsid w:val="0089270A"/>
    <w:rsid w:val="00893AF6"/>
    <w:rsid w:val="00894BC4"/>
    <w:rsid w:val="008966CB"/>
    <w:rsid w:val="00896DC3"/>
    <w:rsid w:val="00897806"/>
    <w:rsid w:val="0089795A"/>
    <w:rsid w:val="00897D55"/>
    <w:rsid w:val="008A0478"/>
    <w:rsid w:val="008A0DBD"/>
    <w:rsid w:val="008A22A7"/>
    <w:rsid w:val="008A28A8"/>
    <w:rsid w:val="008A588A"/>
    <w:rsid w:val="008A5B32"/>
    <w:rsid w:val="008A5F7B"/>
    <w:rsid w:val="008A6CF7"/>
    <w:rsid w:val="008A6E4F"/>
    <w:rsid w:val="008A770F"/>
    <w:rsid w:val="008B006B"/>
    <w:rsid w:val="008B2EE4"/>
    <w:rsid w:val="008B4D3D"/>
    <w:rsid w:val="008B57C7"/>
    <w:rsid w:val="008C08BC"/>
    <w:rsid w:val="008C1A5D"/>
    <w:rsid w:val="008C2D9C"/>
    <w:rsid w:val="008C2F92"/>
    <w:rsid w:val="008C3697"/>
    <w:rsid w:val="008C417D"/>
    <w:rsid w:val="008C48C9"/>
    <w:rsid w:val="008C4D77"/>
    <w:rsid w:val="008C5557"/>
    <w:rsid w:val="008C589D"/>
    <w:rsid w:val="008C6D51"/>
    <w:rsid w:val="008D0729"/>
    <w:rsid w:val="008D2846"/>
    <w:rsid w:val="008D2B5F"/>
    <w:rsid w:val="008D4236"/>
    <w:rsid w:val="008D462F"/>
    <w:rsid w:val="008D468B"/>
    <w:rsid w:val="008D4C4A"/>
    <w:rsid w:val="008D60B2"/>
    <w:rsid w:val="008D6DCF"/>
    <w:rsid w:val="008D6E57"/>
    <w:rsid w:val="008E1F99"/>
    <w:rsid w:val="008E420B"/>
    <w:rsid w:val="008E4376"/>
    <w:rsid w:val="008E4EFA"/>
    <w:rsid w:val="008E6EC1"/>
    <w:rsid w:val="008E7A0A"/>
    <w:rsid w:val="008E7B49"/>
    <w:rsid w:val="008F16D3"/>
    <w:rsid w:val="008F188D"/>
    <w:rsid w:val="008F1A89"/>
    <w:rsid w:val="008F47B4"/>
    <w:rsid w:val="008F4935"/>
    <w:rsid w:val="008F58F5"/>
    <w:rsid w:val="008F59F6"/>
    <w:rsid w:val="00900719"/>
    <w:rsid w:val="00900E42"/>
    <w:rsid w:val="00900F30"/>
    <w:rsid w:val="009017AC"/>
    <w:rsid w:val="00902A9A"/>
    <w:rsid w:val="009043C2"/>
    <w:rsid w:val="009048B7"/>
    <w:rsid w:val="00904A1C"/>
    <w:rsid w:val="00905030"/>
    <w:rsid w:val="00906490"/>
    <w:rsid w:val="00906F8C"/>
    <w:rsid w:val="009111B2"/>
    <w:rsid w:val="00914EE8"/>
    <w:rsid w:val="00914F30"/>
    <w:rsid w:val="009151F5"/>
    <w:rsid w:val="00915250"/>
    <w:rsid w:val="00915966"/>
    <w:rsid w:val="00917D8C"/>
    <w:rsid w:val="00921C06"/>
    <w:rsid w:val="0092273E"/>
    <w:rsid w:val="0092435C"/>
    <w:rsid w:val="00924AE1"/>
    <w:rsid w:val="009250E1"/>
    <w:rsid w:val="0092558E"/>
    <w:rsid w:val="00925AA6"/>
    <w:rsid w:val="009269B1"/>
    <w:rsid w:val="0092724D"/>
    <w:rsid w:val="009272B3"/>
    <w:rsid w:val="009315BE"/>
    <w:rsid w:val="0093338F"/>
    <w:rsid w:val="00937BD9"/>
    <w:rsid w:val="00950BC9"/>
    <w:rsid w:val="00950E2C"/>
    <w:rsid w:val="00951628"/>
    <w:rsid w:val="00951986"/>
    <w:rsid w:val="00951D50"/>
    <w:rsid w:val="009525EB"/>
    <w:rsid w:val="00952F3B"/>
    <w:rsid w:val="0095470B"/>
    <w:rsid w:val="00954874"/>
    <w:rsid w:val="00955B61"/>
    <w:rsid w:val="0095615A"/>
    <w:rsid w:val="00961400"/>
    <w:rsid w:val="00963646"/>
    <w:rsid w:val="0096632D"/>
    <w:rsid w:val="00967727"/>
    <w:rsid w:val="009718C7"/>
    <w:rsid w:val="00972087"/>
    <w:rsid w:val="0097497E"/>
    <w:rsid w:val="0097559F"/>
    <w:rsid w:val="0097709C"/>
    <w:rsid w:val="0097761E"/>
    <w:rsid w:val="00982454"/>
    <w:rsid w:val="00982766"/>
    <w:rsid w:val="00982CF0"/>
    <w:rsid w:val="00983426"/>
    <w:rsid w:val="00983F84"/>
    <w:rsid w:val="009853E1"/>
    <w:rsid w:val="00986471"/>
    <w:rsid w:val="00986698"/>
    <w:rsid w:val="0098682F"/>
    <w:rsid w:val="00986DDE"/>
    <w:rsid w:val="00986E6B"/>
    <w:rsid w:val="00990032"/>
    <w:rsid w:val="009901FF"/>
    <w:rsid w:val="00990B19"/>
    <w:rsid w:val="0099153B"/>
    <w:rsid w:val="00991769"/>
    <w:rsid w:val="0099232C"/>
    <w:rsid w:val="0099297F"/>
    <w:rsid w:val="00994386"/>
    <w:rsid w:val="0099457C"/>
    <w:rsid w:val="00997871"/>
    <w:rsid w:val="00997F12"/>
    <w:rsid w:val="009A128C"/>
    <w:rsid w:val="009A13D8"/>
    <w:rsid w:val="009A19AF"/>
    <w:rsid w:val="009A279E"/>
    <w:rsid w:val="009A3015"/>
    <w:rsid w:val="009A33E7"/>
    <w:rsid w:val="009A3490"/>
    <w:rsid w:val="009A4C01"/>
    <w:rsid w:val="009A6251"/>
    <w:rsid w:val="009A6BF2"/>
    <w:rsid w:val="009B0A6F"/>
    <w:rsid w:val="009B0A94"/>
    <w:rsid w:val="009B253A"/>
    <w:rsid w:val="009B2589"/>
    <w:rsid w:val="009B2AE8"/>
    <w:rsid w:val="009B436A"/>
    <w:rsid w:val="009B4935"/>
    <w:rsid w:val="009B521F"/>
    <w:rsid w:val="009B5620"/>
    <w:rsid w:val="009B59E9"/>
    <w:rsid w:val="009B6DB8"/>
    <w:rsid w:val="009B70AA"/>
    <w:rsid w:val="009C0986"/>
    <w:rsid w:val="009C3205"/>
    <w:rsid w:val="009C5E77"/>
    <w:rsid w:val="009C6174"/>
    <w:rsid w:val="009C7188"/>
    <w:rsid w:val="009C7967"/>
    <w:rsid w:val="009C7A7E"/>
    <w:rsid w:val="009D02E8"/>
    <w:rsid w:val="009D1515"/>
    <w:rsid w:val="009D4683"/>
    <w:rsid w:val="009D4B35"/>
    <w:rsid w:val="009D51D0"/>
    <w:rsid w:val="009D5B5D"/>
    <w:rsid w:val="009D6C6B"/>
    <w:rsid w:val="009D70A4"/>
    <w:rsid w:val="009D7366"/>
    <w:rsid w:val="009D7B14"/>
    <w:rsid w:val="009E08D1"/>
    <w:rsid w:val="009E1B95"/>
    <w:rsid w:val="009E1BC2"/>
    <w:rsid w:val="009E496F"/>
    <w:rsid w:val="009E4B0D"/>
    <w:rsid w:val="009E5250"/>
    <w:rsid w:val="009E6225"/>
    <w:rsid w:val="009E6D5F"/>
    <w:rsid w:val="009E7F92"/>
    <w:rsid w:val="009F02A3"/>
    <w:rsid w:val="009F2EDC"/>
    <w:rsid w:val="009F2F27"/>
    <w:rsid w:val="009F34AA"/>
    <w:rsid w:val="009F572F"/>
    <w:rsid w:val="009F6BCB"/>
    <w:rsid w:val="009F7B78"/>
    <w:rsid w:val="00A0057A"/>
    <w:rsid w:val="00A01174"/>
    <w:rsid w:val="00A01B6B"/>
    <w:rsid w:val="00A02330"/>
    <w:rsid w:val="00A02FA1"/>
    <w:rsid w:val="00A0326F"/>
    <w:rsid w:val="00A04CCE"/>
    <w:rsid w:val="00A06879"/>
    <w:rsid w:val="00A07421"/>
    <w:rsid w:val="00A0776B"/>
    <w:rsid w:val="00A103D6"/>
    <w:rsid w:val="00A10FB9"/>
    <w:rsid w:val="00A111F5"/>
    <w:rsid w:val="00A11421"/>
    <w:rsid w:val="00A13328"/>
    <w:rsid w:val="00A1389F"/>
    <w:rsid w:val="00A157B1"/>
    <w:rsid w:val="00A1662E"/>
    <w:rsid w:val="00A169CC"/>
    <w:rsid w:val="00A22229"/>
    <w:rsid w:val="00A22BA3"/>
    <w:rsid w:val="00A23A75"/>
    <w:rsid w:val="00A24442"/>
    <w:rsid w:val="00A25C19"/>
    <w:rsid w:val="00A25D1D"/>
    <w:rsid w:val="00A265B5"/>
    <w:rsid w:val="00A2683D"/>
    <w:rsid w:val="00A31247"/>
    <w:rsid w:val="00A31F00"/>
    <w:rsid w:val="00A328AC"/>
    <w:rsid w:val="00A32D29"/>
    <w:rsid w:val="00A330BB"/>
    <w:rsid w:val="00A34C95"/>
    <w:rsid w:val="00A41F4C"/>
    <w:rsid w:val="00A44882"/>
    <w:rsid w:val="00A44929"/>
    <w:rsid w:val="00A45125"/>
    <w:rsid w:val="00A45354"/>
    <w:rsid w:val="00A51BE2"/>
    <w:rsid w:val="00A536D7"/>
    <w:rsid w:val="00A5376C"/>
    <w:rsid w:val="00A54715"/>
    <w:rsid w:val="00A54CF7"/>
    <w:rsid w:val="00A575CF"/>
    <w:rsid w:val="00A6061C"/>
    <w:rsid w:val="00A61778"/>
    <w:rsid w:val="00A62225"/>
    <w:rsid w:val="00A62D44"/>
    <w:rsid w:val="00A6427B"/>
    <w:rsid w:val="00A64555"/>
    <w:rsid w:val="00A67263"/>
    <w:rsid w:val="00A67F80"/>
    <w:rsid w:val="00A71451"/>
    <w:rsid w:val="00A71544"/>
    <w:rsid w:val="00A7161C"/>
    <w:rsid w:val="00A77161"/>
    <w:rsid w:val="00A77AA3"/>
    <w:rsid w:val="00A8236D"/>
    <w:rsid w:val="00A854EB"/>
    <w:rsid w:val="00A872E5"/>
    <w:rsid w:val="00A91406"/>
    <w:rsid w:val="00A932FF"/>
    <w:rsid w:val="00A9411C"/>
    <w:rsid w:val="00A94578"/>
    <w:rsid w:val="00A94C4C"/>
    <w:rsid w:val="00A96E65"/>
    <w:rsid w:val="00A97C72"/>
    <w:rsid w:val="00AA145F"/>
    <w:rsid w:val="00AA2353"/>
    <w:rsid w:val="00AA268E"/>
    <w:rsid w:val="00AA310B"/>
    <w:rsid w:val="00AA483D"/>
    <w:rsid w:val="00AA4E72"/>
    <w:rsid w:val="00AA63D4"/>
    <w:rsid w:val="00AA7FF0"/>
    <w:rsid w:val="00AB06CE"/>
    <w:rsid w:val="00AB06E8"/>
    <w:rsid w:val="00AB1148"/>
    <w:rsid w:val="00AB1CD3"/>
    <w:rsid w:val="00AB1E17"/>
    <w:rsid w:val="00AB352F"/>
    <w:rsid w:val="00AB68CE"/>
    <w:rsid w:val="00AC1701"/>
    <w:rsid w:val="00AC1DA8"/>
    <w:rsid w:val="00AC274B"/>
    <w:rsid w:val="00AC3C2B"/>
    <w:rsid w:val="00AC461F"/>
    <w:rsid w:val="00AC4764"/>
    <w:rsid w:val="00AC57A5"/>
    <w:rsid w:val="00AC5DCE"/>
    <w:rsid w:val="00AC6CE2"/>
    <w:rsid w:val="00AC6D36"/>
    <w:rsid w:val="00AD04A8"/>
    <w:rsid w:val="00AD0CBA"/>
    <w:rsid w:val="00AD177A"/>
    <w:rsid w:val="00AD26E2"/>
    <w:rsid w:val="00AD335A"/>
    <w:rsid w:val="00AD3ABD"/>
    <w:rsid w:val="00AD403D"/>
    <w:rsid w:val="00AD470C"/>
    <w:rsid w:val="00AD626E"/>
    <w:rsid w:val="00AD6440"/>
    <w:rsid w:val="00AD784C"/>
    <w:rsid w:val="00AE126A"/>
    <w:rsid w:val="00AE1449"/>
    <w:rsid w:val="00AE15D0"/>
    <w:rsid w:val="00AE1BAE"/>
    <w:rsid w:val="00AE3005"/>
    <w:rsid w:val="00AE3871"/>
    <w:rsid w:val="00AE3BD5"/>
    <w:rsid w:val="00AE4D60"/>
    <w:rsid w:val="00AE59A0"/>
    <w:rsid w:val="00AE6A68"/>
    <w:rsid w:val="00AF0AF9"/>
    <w:rsid w:val="00AF0C57"/>
    <w:rsid w:val="00AF26F3"/>
    <w:rsid w:val="00AF3897"/>
    <w:rsid w:val="00AF5139"/>
    <w:rsid w:val="00AF5F04"/>
    <w:rsid w:val="00AF7A3A"/>
    <w:rsid w:val="00AF7B1D"/>
    <w:rsid w:val="00B00672"/>
    <w:rsid w:val="00B01B4D"/>
    <w:rsid w:val="00B02E16"/>
    <w:rsid w:val="00B03C0C"/>
    <w:rsid w:val="00B06571"/>
    <w:rsid w:val="00B06821"/>
    <w:rsid w:val="00B068BA"/>
    <w:rsid w:val="00B07C8F"/>
    <w:rsid w:val="00B12661"/>
    <w:rsid w:val="00B13851"/>
    <w:rsid w:val="00B13B1C"/>
    <w:rsid w:val="00B14780"/>
    <w:rsid w:val="00B17E04"/>
    <w:rsid w:val="00B20194"/>
    <w:rsid w:val="00B21F90"/>
    <w:rsid w:val="00B22291"/>
    <w:rsid w:val="00B239C5"/>
    <w:rsid w:val="00B23F9A"/>
    <w:rsid w:val="00B2417B"/>
    <w:rsid w:val="00B247C4"/>
    <w:rsid w:val="00B24E6F"/>
    <w:rsid w:val="00B25253"/>
    <w:rsid w:val="00B2658A"/>
    <w:rsid w:val="00B26CB5"/>
    <w:rsid w:val="00B2745E"/>
    <w:rsid w:val="00B2752E"/>
    <w:rsid w:val="00B307CC"/>
    <w:rsid w:val="00B3262F"/>
    <w:rsid w:val="00B326B7"/>
    <w:rsid w:val="00B32760"/>
    <w:rsid w:val="00B336EB"/>
    <w:rsid w:val="00B3588E"/>
    <w:rsid w:val="00B37B76"/>
    <w:rsid w:val="00B41F3D"/>
    <w:rsid w:val="00B41FBA"/>
    <w:rsid w:val="00B431E8"/>
    <w:rsid w:val="00B4444B"/>
    <w:rsid w:val="00B44A5A"/>
    <w:rsid w:val="00B45141"/>
    <w:rsid w:val="00B453FC"/>
    <w:rsid w:val="00B466F8"/>
    <w:rsid w:val="00B46DE7"/>
    <w:rsid w:val="00B47A4A"/>
    <w:rsid w:val="00B50FE7"/>
    <w:rsid w:val="00B519CD"/>
    <w:rsid w:val="00B523FA"/>
    <w:rsid w:val="00B5273A"/>
    <w:rsid w:val="00B53741"/>
    <w:rsid w:val="00B53879"/>
    <w:rsid w:val="00B56D65"/>
    <w:rsid w:val="00B56EBC"/>
    <w:rsid w:val="00B57329"/>
    <w:rsid w:val="00B605DA"/>
    <w:rsid w:val="00B60E61"/>
    <w:rsid w:val="00B60E77"/>
    <w:rsid w:val="00B62B50"/>
    <w:rsid w:val="00B6308E"/>
    <w:rsid w:val="00B6318C"/>
    <w:rsid w:val="00B635B7"/>
    <w:rsid w:val="00B63AE8"/>
    <w:rsid w:val="00B65950"/>
    <w:rsid w:val="00B66D83"/>
    <w:rsid w:val="00B672C0"/>
    <w:rsid w:val="00B676FD"/>
    <w:rsid w:val="00B679F1"/>
    <w:rsid w:val="00B703B8"/>
    <w:rsid w:val="00B72DD9"/>
    <w:rsid w:val="00B732EE"/>
    <w:rsid w:val="00B75646"/>
    <w:rsid w:val="00B75C3E"/>
    <w:rsid w:val="00B75EEC"/>
    <w:rsid w:val="00B762D9"/>
    <w:rsid w:val="00B9004B"/>
    <w:rsid w:val="00B90729"/>
    <w:rsid w:val="00B907DA"/>
    <w:rsid w:val="00B908E1"/>
    <w:rsid w:val="00B91605"/>
    <w:rsid w:val="00B917E8"/>
    <w:rsid w:val="00B94EBC"/>
    <w:rsid w:val="00B94F2B"/>
    <w:rsid w:val="00B950BC"/>
    <w:rsid w:val="00B9714C"/>
    <w:rsid w:val="00BA22FD"/>
    <w:rsid w:val="00BA28D9"/>
    <w:rsid w:val="00BA29AD"/>
    <w:rsid w:val="00BA33CF"/>
    <w:rsid w:val="00BA3F8D"/>
    <w:rsid w:val="00BA4059"/>
    <w:rsid w:val="00BA5D4D"/>
    <w:rsid w:val="00BA6E7F"/>
    <w:rsid w:val="00BB0100"/>
    <w:rsid w:val="00BB096A"/>
    <w:rsid w:val="00BB09B7"/>
    <w:rsid w:val="00BB0B0A"/>
    <w:rsid w:val="00BB125B"/>
    <w:rsid w:val="00BB3367"/>
    <w:rsid w:val="00BB61BA"/>
    <w:rsid w:val="00BB62C2"/>
    <w:rsid w:val="00BB68C2"/>
    <w:rsid w:val="00BB7A10"/>
    <w:rsid w:val="00BC1D80"/>
    <w:rsid w:val="00BC324C"/>
    <w:rsid w:val="00BC3E8F"/>
    <w:rsid w:val="00BC60BE"/>
    <w:rsid w:val="00BC66A7"/>
    <w:rsid w:val="00BC6FE1"/>
    <w:rsid w:val="00BC7468"/>
    <w:rsid w:val="00BC7D4F"/>
    <w:rsid w:val="00BC7ED7"/>
    <w:rsid w:val="00BD1BEF"/>
    <w:rsid w:val="00BD2850"/>
    <w:rsid w:val="00BD2974"/>
    <w:rsid w:val="00BD2FE6"/>
    <w:rsid w:val="00BD3711"/>
    <w:rsid w:val="00BD3F15"/>
    <w:rsid w:val="00BD4EC0"/>
    <w:rsid w:val="00BD5C0A"/>
    <w:rsid w:val="00BD729B"/>
    <w:rsid w:val="00BE093E"/>
    <w:rsid w:val="00BE28D2"/>
    <w:rsid w:val="00BE3E28"/>
    <w:rsid w:val="00BE4A64"/>
    <w:rsid w:val="00BE5E43"/>
    <w:rsid w:val="00BF0EA4"/>
    <w:rsid w:val="00BF120A"/>
    <w:rsid w:val="00BF557D"/>
    <w:rsid w:val="00BF7302"/>
    <w:rsid w:val="00BF7F58"/>
    <w:rsid w:val="00C00BF1"/>
    <w:rsid w:val="00C01381"/>
    <w:rsid w:val="00C01AB1"/>
    <w:rsid w:val="00C02369"/>
    <w:rsid w:val="00C026A0"/>
    <w:rsid w:val="00C02C44"/>
    <w:rsid w:val="00C048ED"/>
    <w:rsid w:val="00C05870"/>
    <w:rsid w:val="00C06137"/>
    <w:rsid w:val="00C07410"/>
    <w:rsid w:val="00C079B8"/>
    <w:rsid w:val="00C10037"/>
    <w:rsid w:val="00C10ACF"/>
    <w:rsid w:val="00C123EA"/>
    <w:rsid w:val="00C124CC"/>
    <w:rsid w:val="00C12A49"/>
    <w:rsid w:val="00C133EE"/>
    <w:rsid w:val="00C14621"/>
    <w:rsid w:val="00C149D0"/>
    <w:rsid w:val="00C2025E"/>
    <w:rsid w:val="00C234CA"/>
    <w:rsid w:val="00C23CF8"/>
    <w:rsid w:val="00C257C4"/>
    <w:rsid w:val="00C26588"/>
    <w:rsid w:val="00C27DE9"/>
    <w:rsid w:val="00C32989"/>
    <w:rsid w:val="00C33388"/>
    <w:rsid w:val="00C3446F"/>
    <w:rsid w:val="00C34596"/>
    <w:rsid w:val="00C346D2"/>
    <w:rsid w:val="00C35484"/>
    <w:rsid w:val="00C4173A"/>
    <w:rsid w:val="00C4251B"/>
    <w:rsid w:val="00C42A08"/>
    <w:rsid w:val="00C4423E"/>
    <w:rsid w:val="00C448E5"/>
    <w:rsid w:val="00C4678B"/>
    <w:rsid w:val="00C50DED"/>
    <w:rsid w:val="00C54A2C"/>
    <w:rsid w:val="00C54DEB"/>
    <w:rsid w:val="00C602FF"/>
    <w:rsid w:val="00C61174"/>
    <w:rsid w:val="00C6148F"/>
    <w:rsid w:val="00C61C5C"/>
    <w:rsid w:val="00C621B1"/>
    <w:rsid w:val="00C62F7A"/>
    <w:rsid w:val="00C63B9C"/>
    <w:rsid w:val="00C6607C"/>
    <w:rsid w:val="00C6682F"/>
    <w:rsid w:val="00C66C49"/>
    <w:rsid w:val="00C67BF4"/>
    <w:rsid w:val="00C722FE"/>
    <w:rsid w:val="00C7275E"/>
    <w:rsid w:val="00C7279A"/>
    <w:rsid w:val="00C73820"/>
    <w:rsid w:val="00C74C5D"/>
    <w:rsid w:val="00C7644E"/>
    <w:rsid w:val="00C76D8F"/>
    <w:rsid w:val="00C803F2"/>
    <w:rsid w:val="00C811A8"/>
    <w:rsid w:val="00C81F8F"/>
    <w:rsid w:val="00C83712"/>
    <w:rsid w:val="00C863C4"/>
    <w:rsid w:val="00C875C8"/>
    <w:rsid w:val="00C87D4C"/>
    <w:rsid w:val="00C87F1A"/>
    <w:rsid w:val="00C90163"/>
    <w:rsid w:val="00C920EA"/>
    <w:rsid w:val="00C93C3E"/>
    <w:rsid w:val="00C93E5D"/>
    <w:rsid w:val="00C97150"/>
    <w:rsid w:val="00CA12E3"/>
    <w:rsid w:val="00CA1476"/>
    <w:rsid w:val="00CA1A68"/>
    <w:rsid w:val="00CA1F1F"/>
    <w:rsid w:val="00CA3FB5"/>
    <w:rsid w:val="00CA403E"/>
    <w:rsid w:val="00CA4317"/>
    <w:rsid w:val="00CA5AB7"/>
    <w:rsid w:val="00CA6611"/>
    <w:rsid w:val="00CA6AE6"/>
    <w:rsid w:val="00CA782F"/>
    <w:rsid w:val="00CB0AF7"/>
    <w:rsid w:val="00CB187B"/>
    <w:rsid w:val="00CB1F9E"/>
    <w:rsid w:val="00CB2835"/>
    <w:rsid w:val="00CB3285"/>
    <w:rsid w:val="00CB37C7"/>
    <w:rsid w:val="00CB4500"/>
    <w:rsid w:val="00CB6EF8"/>
    <w:rsid w:val="00CB7800"/>
    <w:rsid w:val="00CC0A96"/>
    <w:rsid w:val="00CC0BFB"/>
    <w:rsid w:val="00CC0C72"/>
    <w:rsid w:val="00CC1BE2"/>
    <w:rsid w:val="00CC2BFD"/>
    <w:rsid w:val="00CC2CBE"/>
    <w:rsid w:val="00CC3170"/>
    <w:rsid w:val="00CC44CE"/>
    <w:rsid w:val="00CC552F"/>
    <w:rsid w:val="00CC5731"/>
    <w:rsid w:val="00CD1FC8"/>
    <w:rsid w:val="00CD2C40"/>
    <w:rsid w:val="00CD3476"/>
    <w:rsid w:val="00CD4858"/>
    <w:rsid w:val="00CD4B3B"/>
    <w:rsid w:val="00CD64DF"/>
    <w:rsid w:val="00CD6E3D"/>
    <w:rsid w:val="00CE03BD"/>
    <w:rsid w:val="00CE225F"/>
    <w:rsid w:val="00CE2F5E"/>
    <w:rsid w:val="00CE3C64"/>
    <w:rsid w:val="00CE45BB"/>
    <w:rsid w:val="00CE7317"/>
    <w:rsid w:val="00CF24A5"/>
    <w:rsid w:val="00CF2F33"/>
    <w:rsid w:val="00CF2F50"/>
    <w:rsid w:val="00CF6198"/>
    <w:rsid w:val="00D004E8"/>
    <w:rsid w:val="00D02919"/>
    <w:rsid w:val="00D02FC7"/>
    <w:rsid w:val="00D03A98"/>
    <w:rsid w:val="00D04C61"/>
    <w:rsid w:val="00D05B8D"/>
    <w:rsid w:val="00D065A2"/>
    <w:rsid w:val="00D079AA"/>
    <w:rsid w:val="00D07F00"/>
    <w:rsid w:val="00D10165"/>
    <w:rsid w:val="00D10ED4"/>
    <w:rsid w:val="00D1130F"/>
    <w:rsid w:val="00D114B6"/>
    <w:rsid w:val="00D125A5"/>
    <w:rsid w:val="00D146AE"/>
    <w:rsid w:val="00D14E44"/>
    <w:rsid w:val="00D15F95"/>
    <w:rsid w:val="00D1660D"/>
    <w:rsid w:val="00D17B72"/>
    <w:rsid w:val="00D20150"/>
    <w:rsid w:val="00D27488"/>
    <w:rsid w:val="00D308F8"/>
    <w:rsid w:val="00D3185C"/>
    <w:rsid w:val="00D3205F"/>
    <w:rsid w:val="00D3318E"/>
    <w:rsid w:val="00D333F6"/>
    <w:rsid w:val="00D33E72"/>
    <w:rsid w:val="00D35BD6"/>
    <w:rsid w:val="00D3603E"/>
    <w:rsid w:val="00D361B5"/>
    <w:rsid w:val="00D36B2F"/>
    <w:rsid w:val="00D36EAD"/>
    <w:rsid w:val="00D411A2"/>
    <w:rsid w:val="00D413C4"/>
    <w:rsid w:val="00D422DD"/>
    <w:rsid w:val="00D45728"/>
    <w:rsid w:val="00D45766"/>
    <w:rsid w:val="00D45E10"/>
    <w:rsid w:val="00D4606D"/>
    <w:rsid w:val="00D46C92"/>
    <w:rsid w:val="00D47D3E"/>
    <w:rsid w:val="00D509C6"/>
    <w:rsid w:val="00D50B9C"/>
    <w:rsid w:val="00D50CD3"/>
    <w:rsid w:val="00D51451"/>
    <w:rsid w:val="00D52D73"/>
    <w:rsid w:val="00D52E58"/>
    <w:rsid w:val="00D5399A"/>
    <w:rsid w:val="00D539BB"/>
    <w:rsid w:val="00D54BDE"/>
    <w:rsid w:val="00D56244"/>
    <w:rsid w:val="00D56B20"/>
    <w:rsid w:val="00D578B3"/>
    <w:rsid w:val="00D60641"/>
    <w:rsid w:val="00D618F4"/>
    <w:rsid w:val="00D6245A"/>
    <w:rsid w:val="00D62F6C"/>
    <w:rsid w:val="00D638E7"/>
    <w:rsid w:val="00D63B43"/>
    <w:rsid w:val="00D70388"/>
    <w:rsid w:val="00D714CC"/>
    <w:rsid w:val="00D726B6"/>
    <w:rsid w:val="00D728EA"/>
    <w:rsid w:val="00D73A16"/>
    <w:rsid w:val="00D74BE9"/>
    <w:rsid w:val="00D75EA7"/>
    <w:rsid w:val="00D7660B"/>
    <w:rsid w:val="00D80F90"/>
    <w:rsid w:val="00D81ADF"/>
    <w:rsid w:val="00D81F21"/>
    <w:rsid w:val="00D84191"/>
    <w:rsid w:val="00D8466C"/>
    <w:rsid w:val="00D864F2"/>
    <w:rsid w:val="00D906CF"/>
    <w:rsid w:val="00D91F69"/>
    <w:rsid w:val="00D9350B"/>
    <w:rsid w:val="00D943F8"/>
    <w:rsid w:val="00D94987"/>
    <w:rsid w:val="00D9526C"/>
    <w:rsid w:val="00D95470"/>
    <w:rsid w:val="00D95DF2"/>
    <w:rsid w:val="00D96B55"/>
    <w:rsid w:val="00D9766B"/>
    <w:rsid w:val="00DA2619"/>
    <w:rsid w:val="00DA2CEE"/>
    <w:rsid w:val="00DA4239"/>
    <w:rsid w:val="00DA5DA8"/>
    <w:rsid w:val="00DA63CE"/>
    <w:rsid w:val="00DA65DE"/>
    <w:rsid w:val="00DB0B61"/>
    <w:rsid w:val="00DB1474"/>
    <w:rsid w:val="00DB1FBA"/>
    <w:rsid w:val="00DB2962"/>
    <w:rsid w:val="00DB2EDF"/>
    <w:rsid w:val="00DB52FB"/>
    <w:rsid w:val="00DB6593"/>
    <w:rsid w:val="00DB76B7"/>
    <w:rsid w:val="00DC013B"/>
    <w:rsid w:val="00DC0397"/>
    <w:rsid w:val="00DC090B"/>
    <w:rsid w:val="00DC1679"/>
    <w:rsid w:val="00DC219B"/>
    <w:rsid w:val="00DC25ED"/>
    <w:rsid w:val="00DC2CF1"/>
    <w:rsid w:val="00DC36C4"/>
    <w:rsid w:val="00DC3B20"/>
    <w:rsid w:val="00DC3CCF"/>
    <w:rsid w:val="00DC3EBE"/>
    <w:rsid w:val="00DC4682"/>
    <w:rsid w:val="00DC4E6E"/>
    <w:rsid w:val="00DC4FCF"/>
    <w:rsid w:val="00DC50E0"/>
    <w:rsid w:val="00DC5CB6"/>
    <w:rsid w:val="00DC6386"/>
    <w:rsid w:val="00DC646F"/>
    <w:rsid w:val="00DC6B3D"/>
    <w:rsid w:val="00DC7AB4"/>
    <w:rsid w:val="00DD1130"/>
    <w:rsid w:val="00DD1248"/>
    <w:rsid w:val="00DD1951"/>
    <w:rsid w:val="00DD31C7"/>
    <w:rsid w:val="00DD487D"/>
    <w:rsid w:val="00DD4E83"/>
    <w:rsid w:val="00DD6628"/>
    <w:rsid w:val="00DD6945"/>
    <w:rsid w:val="00DD6E69"/>
    <w:rsid w:val="00DD75B5"/>
    <w:rsid w:val="00DE0109"/>
    <w:rsid w:val="00DE048B"/>
    <w:rsid w:val="00DE2D04"/>
    <w:rsid w:val="00DE3250"/>
    <w:rsid w:val="00DE6028"/>
    <w:rsid w:val="00DE78A3"/>
    <w:rsid w:val="00DF1A71"/>
    <w:rsid w:val="00DF50FC"/>
    <w:rsid w:val="00DF68C7"/>
    <w:rsid w:val="00DF731A"/>
    <w:rsid w:val="00E00931"/>
    <w:rsid w:val="00E02904"/>
    <w:rsid w:val="00E060B1"/>
    <w:rsid w:val="00E06B75"/>
    <w:rsid w:val="00E06DFD"/>
    <w:rsid w:val="00E073E9"/>
    <w:rsid w:val="00E10142"/>
    <w:rsid w:val="00E10A28"/>
    <w:rsid w:val="00E11332"/>
    <w:rsid w:val="00E11352"/>
    <w:rsid w:val="00E16263"/>
    <w:rsid w:val="00E170DC"/>
    <w:rsid w:val="00E17546"/>
    <w:rsid w:val="00E176E3"/>
    <w:rsid w:val="00E20133"/>
    <w:rsid w:val="00E20965"/>
    <w:rsid w:val="00E210B5"/>
    <w:rsid w:val="00E250A3"/>
    <w:rsid w:val="00E261B3"/>
    <w:rsid w:val="00E26818"/>
    <w:rsid w:val="00E27FFC"/>
    <w:rsid w:val="00E30B15"/>
    <w:rsid w:val="00E33237"/>
    <w:rsid w:val="00E349AC"/>
    <w:rsid w:val="00E3662F"/>
    <w:rsid w:val="00E40181"/>
    <w:rsid w:val="00E40A12"/>
    <w:rsid w:val="00E42028"/>
    <w:rsid w:val="00E4220D"/>
    <w:rsid w:val="00E43AD6"/>
    <w:rsid w:val="00E443E6"/>
    <w:rsid w:val="00E53456"/>
    <w:rsid w:val="00E54950"/>
    <w:rsid w:val="00E56840"/>
    <w:rsid w:val="00E56A01"/>
    <w:rsid w:val="00E56E07"/>
    <w:rsid w:val="00E60E2E"/>
    <w:rsid w:val="00E625E3"/>
    <w:rsid w:val="00E62622"/>
    <w:rsid w:val="00E629A1"/>
    <w:rsid w:val="00E63F01"/>
    <w:rsid w:val="00E65F4A"/>
    <w:rsid w:val="00E66066"/>
    <w:rsid w:val="00E661DA"/>
    <w:rsid w:val="00E669E5"/>
    <w:rsid w:val="00E6794C"/>
    <w:rsid w:val="00E71591"/>
    <w:rsid w:val="00E7182D"/>
    <w:rsid w:val="00E71CEB"/>
    <w:rsid w:val="00E71F28"/>
    <w:rsid w:val="00E730FA"/>
    <w:rsid w:val="00E7474F"/>
    <w:rsid w:val="00E764D9"/>
    <w:rsid w:val="00E80DE3"/>
    <w:rsid w:val="00E821C6"/>
    <w:rsid w:val="00E82C55"/>
    <w:rsid w:val="00E831BD"/>
    <w:rsid w:val="00E83F63"/>
    <w:rsid w:val="00E83FFB"/>
    <w:rsid w:val="00E8787E"/>
    <w:rsid w:val="00E9095B"/>
    <w:rsid w:val="00E9174A"/>
    <w:rsid w:val="00E92AC3"/>
    <w:rsid w:val="00E93F1F"/>
    <w:rsid w:val="00E94252"/>
    <w:rsid w:val="00E945B4"/>
    <w:rsid w:val="00E96CA7"/>
    <w:rsid w:val="00E9724E"/>
    <w:rsid w:val="00E97FD5"/>
    <w:rsid w:val="00EA1360"/>
    <w:rsid w:val="00EA1B85"/>
    <w:rsid w:val="00EA2F6A"/>
    <w:rsid w:val="00EA574A"/>
    <w:rsid w:val="00EB00E0"/>
    <w:rsid w:val="00EC0434"/>
    <w:rsid w:val="00EC059F"/>
    <w:rsid w:val="00EC12EE"/>
    <w:rsid w:val="00EC1B91"/>
    <w:rsid w:val="00EC1F24"/>
    <w:rsid w:val="00EC2178"/>
    <w:rsid w:val="00EC22F6"/>
    <w:rsid w:val="00EC3628"/>
    <w:rsid w:val="00EC40D5"/>
    <w:rsid w:val="00ED4082"/>
    <w:rsid w:val="00ED591B"/>
    <w:rsid w:val="00ED5B9B"/>
    <w:rsid w:val="00ED5D0A"/>
    <w:rsid w:val="00ED63A6"/>
    <w:rsid w:val="00ED6BAD"/>
    <w:rsid w:val="00ED7289"/>
    <w:rsid w:val="00ED7447"/>
    <w:rsid w:val="00EE00D6"/>
    <w:rsid w:val="00EE11E7"/>
    <w:rsid w:val="00EE1488"/>
    <w:rsid w:val="00EE29AD"/>
    <w:rsid w:val="00EE322B"/>
    <w:rsid w:val="00EE3E24"/>
    <w:rsid w:val="00EE4D5D"/>
    <w:rsid w:val="00EE4EA6"/>
    <w:rsid w:val="00EE5131"/>
    <w:rsid w:val="00EE5884"/>
    <w:rsid w:val="00EE76E5"/>
    <w:rsid w:val="00EF109B"/>
    <w:rsid w:val="00EF1A93"/>
    <w:rsid w:val="00EF1C32"/>
    <w:rsid w:val="00EF201C"/>
    <w:rsid w:val="00EF36AF"/>
    <w:rsid w:val="00EF59A3"/>
    <w:rsid w:val="00EF5D42"/>
    <w:rsid w:val="00EF6675"/>
    <w:rsid w:val="00EF701F"/>
    <w:rsid w:val="00F00811"/>
    <w:rsid w:val="00F00F9C"/>
    <w:rsid w:val="00F01E5F"/>
    <w:rsid w:val="00F024F3"/>
    <w:rsid w:val="00F02ABA"/>
    <w:rsid w:val="00F0437A"/>
    <w:rsid w:val="00F07D1F"/>
    <w:rsid w:val="00F101B8"/>
    <w:rsid w:val="00F11037"/>
    <w:rsid w:val="00F118D0"/>
    <w:rsid w:val="00F14311"/>
    <w:rsid w:val="00F16F1B"/>
    <w:rsid w:val="00F17989"/>
    <w:rsid w:val="00F21C1C"/>
    <w:rsid w:val="00F250A9"/>
    <w:rsid w:val="00F25C33"/>
    <w:rsid w:val="00F267AF"/>
    <w:rsid w:val="00F30FF4"/>
    <w:rsid w:val="00F3122E"/>
    <w:rsid w:val="00F32368"/>
    <w:rsid w:val="00F331AD"/>
    <w:rsid w:val="00F3325A"/>
    <w:rsid w:val="00F3387B"/>
    <w:rsid w:val="00F35287"/>
    <w:rsid w:val="00F36C5C"/>
    <w:rsid w:val="00F37C2B"/>
    <w:rsid w:val="00F40A70"/>
    <w:rsid w:val="00F41BDB"/>
    <w:rsid w:val="00F43A37"/>
    <w:rsid w:val="00F43B23"/>
    <w:rsid w:val="00F45129"/>
    <w:rsid w:val="00F451AB"/>
    <w:rsid w:val="00F45389"/>
    <w:rsid w:val="00F45A3E"/>
    <w:rsid w:val="00F4641B"/>
    <w:rsid w:val="00F46EB8"/>
    <w:rsid w:val="00F47A26"/>
    <w:rsid w:val="00F50CD1"/>
    <w:rsid w:val="00F511E4"/>
    <w:rsid w:val="00F522BE"/>
    <w:rsid w:val="00F52D09"/>
    <w:rsid w:val="00F52E08"/>
    <w:rsid w:val="00F53212"/>
    <w:rsid w:val="00F53A66"/>
    <w:rsid w:val="00F5462D"/>
    <w:rsid w:val="00F55B21"/>
    <w:rsid w:val="00F56B7D"/>
    <w:rsid w:val="00F56EF6"/>
    <w:rsid w:val="00F60082"/>
    <w:rsid w:val="00F61A9F"/>
    <w:rsid w:val="00F61B5F"/>
    <w:rsid w:val="00F62869"/>
    <w:rsid w:val="00F64696"/>
    <w:rsid w:val="00F648EE"/>
    <w:rsid w:val="00F65A35"/>
    <w:rsid w:val="00F65AA9"/>
    <w:rsid w:val="00F6768F"/>
    <w:rsid w:val="00F71E4B"/>
    <w:rsid w:val="00F7266E"/>
    <w:rsid w:val="00F72C2C"/>
    <w:rsid w:val="00F75C53"/>
    <w:rsid w:val="00F76CAB"/>
    <w:rsid w:val="00F772C6"/>
    <w:rsid w:val="00F80B6C"/>
    <w:rsid w:val="00F80CBE"/>
    <w:rsid w:val="00F815B5"/>
    <w:rsid w:val="00F81ADC"/>
    <w:rsid w:val="00F84C70"/>
    <w:rsid w:val="00F84FA0"/>
    <w:rsid w:val="00F85195"/>
    <w:rsid w:val="00F85A95"/>
    <w:rsid w:val="00F868E3"/>
    <w:rsid w:val="00F91920"/>
    <w:rsid w:val="00F91D9F"/>
    <w:rsid w:val="00F938BA"/>
    <w:rsid w:val="00F96A6A"/>
    <w:rsid w:val="00F97919"/>
    <w:rsid w:val="00FA1ECD"/>
    <w:rsid w:val="00FA2C46"/>
    <w:rsid w:val="00FA3525"/>
    <w:rsid w:val="00FA3DB2"/>
    <w:rsid w:val="00FA40B2"/>
    <w:rsid w:val="00FA4FCB"/>
    <w:rsid w:val="00FA5A53"/>
    <w:rsid w:val="00FA6F26"/>
    <w:rsid w:val="00FB02BE"/>
    <w:rsid w:val="00FB1F12"/>
    <w:rsid w:val="00FB4769"/>
    <w:rsid w:val="00FB4CDA"/>
    <w:rsid w:val="00FB6481"/>
    <w:rsid w:val="00FB6D36"/>
    <w:rsid w:val="00FB74E0"/>
    <w:rsid w:val="00FC02ED"/>
    <w:rsid w:val="00FC032B"/>
    <w:rsid w:val="00FC0965"/>
    <w:rsid w:val="00FC0A87"/>
    <w:rsid w:val="00FC0F81"/>
    <w:rsid w:val="00FC252F"/>
    <w:rsid w:val="00FC2E29"/>
    <w:rsid w:val="00FC395C"/>
    <w:rsid w:val="00FC5E8E"/>
    <w:rsid w:val="00FC7FB6"/>
    <w:rsid w:val="00FD129C"/>
    <w:rsid w:val="00FD3766"/>
    <w:rsid w:val="00FD47C4"/>
    <w:rsid w:val="00FD4BB9"/>
    <w:rsid w:val="00FD722A"/>
    <w:rsid w:val="00FE14E2"/>
    <w:rsid w:val="00FE1B6D"/>
    <w:rsid w:val="00FE211B"/>
    <w:rsid w:val="00FE2DCF"/>
    <w:rsid w:val="00FE3FA7"/>
    <w:rsid w:val="00FE43C3"/>
    <w:rsid w:val="00FE4571"/>
    <w:rsid w:val="00FF1002"/>
    <w:rsid w:val="00FF1605"/>
    <w:rsid w:val="00FF2A4E"/>
    <w:rsid w:val="00FF2FCE"/>
    <w:rsid w:val="00FF4F7D"/>
    <w:rsid w:val="00FF54DF"/>
    <w:rsid w:val="00FF5993"/>
    <w:rsid w:val="00FF6979"/>
    <w:rsid w:val="00FF6D9D"/>
    <w:rsid w:val="00FF7DD5"/>
    <w:rsid w:val="01561370"/>
    <w:rsid w:val="01C50C68"/>
    <w:rsid w:val="01D077C1"/>
    <w:rsid w:val="01D83D42"/>
    <w:rsid w:val="01DB2E49"/>
    <w:rsid w:val="0279248C"/>
    <w:rsid w:val="030931A3"/>
    <w:rsid w:val="05D0D632"/>
    <w:rsid w:val="06128688"/>
    <w:rsid w:val="088DD481"/>
    <w:rsid w:val="0947AC67"/>
    <w:rsid w:val="09AA1FA9"/>
    <w:rsid w:val="0C58EE94"/>
    <w:rsid w:val="0C6BF51F"/>
    <w:rsid w:val="0D0FCAE9"/>
    <w:rsid w:val="0D85C3F1"/>
    <w:rsid w:val="0DF474E1"/>
    <w:rsid w:val="0DF4BEF5"/>
    <w:rsid w:val="0ECB690F"/>
    <w:rsid w:val="104C1753"/>
    <w:rsid w:val="106D70F0"/>
    <w:rsid w:val="1114411F"/>
    <w:rsid w:val="1149F626"/>
    <w:rsid w:val="1186A6DA"/>
    <w:rsid w:val="11F32528"/>
    <w:rsid w:val="128C849D"/>
    <w:rsid w:val="128F7293"/>
    <w:rsid w:val="12A80485"/>
    <w:rsid w:val="168133D4"/>
    <w:rsid w:val="172E1EF2"/>
    <w:rsid w:val="19493DCA"/>
    <w:rsid w:val="19C6403E"/>
    <w:rsid w:val="1B120928"/>
    <w:rsid w:val="1B90C3BA"/>
    <w:rsid w:val="1C5E2906"/>
    <w:rsid w:val="1D3E4DD0"/>
    <w:rsid w:val="202319CA"/>
    <w:rsid w:val="205E86CA"/>
    <w:rsid w:val="21BE2B66"/>
    <w:rsid w:val="2242000D"/>
    <w:rsid w:val="22ED2849"/>
    <w:rsid w:val="23A75BF5"/>
    <w:rsid w:val="23FD588E"/>
    <w:rsid w:val="243E8540"/>
    <w:rsid w:val="24E73913"/>
    <w:rsid w:val="25247926"/>
    <w:rsid w:val="260BF514"/>
    <w:rsid w:val="26875D8B"/>
    <w:rsid w:val="280B81F0"/>
    <w:rsid w:val="28F0D057"/>
    <w:rsid w:val="293AED41"/>
    <w:rsid w:val="29BA138D"/>
    <w:rsid w:val="29F89DCD"/>
    <w:rsid w:val="2B511C73"/>
    <w:rsid w:val="2BCDB21A"/>
    <w:rsid w:val="2C825D36"/>
    <w:rsid w:val="2D66715D"/>
    <w:rsid w:val="2D7E52B4"/>
    <w:rsid w:val="2DE77618"/>
    <w:rsid w:val="2E5B69A4"/>
    <w:rsid w:val="2E627C76"/>
    <w:rsid w:val="30A4A7B8"/>
    <w:rsid w:val="30FF8067"/>
    <w:rsid w:val="3131FC71"/>
    <w:rsid w:val="31599ADA"/>
    <w:rsid w:val="31D9906E"/>
    <w:rsid w:val="32225889"/>
    <w:rsid w:val="3225FB27"/>
    <w:rsid w:val="32343441"/>
    <w:rsid w:val="333F6BA2"/>
    <w:rsid w:val="334AB58E"/>
    <w:rsid w:val="347CAF56"/>
    <w:rsid w:val="34B8CCF7"/>
    <w:rsid w:val="3550CD75"/>
    <w:rsid w:val="35CA9D7A"/>
    <w:rsid w:val="36A7241C"/>
    <w:rsid w:val="3901FDF1"/>
    <w:rsid w:val="39317409"/>
    <w:rsid w:val="396F0C92"/>
    <w:rsid w:val="3AE005F8"/>
    <w:rsid w:val="3B022D22"/>
    <w:rsid w:val="3BA1CCF3"/>
    <w:rsid w:val="3D8B68D7"/>
    <w:rsid w:val="3F20BD4C"/>
    <w:rsid w:val="3F273938"/>
    <w:rsid w:val="3FE4CEF2"/>
    <w:rsid w:val="4103E31E"/>
    <w:rsid w:val="4149152A"/>
    <w:rsid w:val="42110E77"/>
    <w:rsid w:val="425F1AA1"/>
    <w:rsid w:val="42BA51C9"/>
    <w:rsid w:val="42D493A2"/>
    <w:rsid w:val="43FAAA5B"/>
    <w:rsid w:val="44BD2126"/>
    <w:rsid w:val="45B0E2BB"/>
    <w:rsid w:val="45D6B6A5"/>
    <w:rsid w:val="4671A524"/>
    <w:rsid w:val="46C2C3A0"/>
    <w:rsid w:val="47467221"/>
    <w:rsid w:val="475D528E"/>
    <w:rsid w:val="475DDB10"/>
    <w:rsid w:val="48132EA3"/>
    <w:rsid w:val="4A5A8809"/>
    <w:rsid w:val="4B001B30"/>
    <w:rsid w:val="4C2DB5C6"/>
    <w:rsid w:val="4D421098"/>
    <w:rsid w:val="4D762F50"/>
    <w:rsid w:val="4DD6921F"/>
    <w:rsid w:val="4DF08D5D"/>
    <w:rsid w:val="4E4D9FB3"/>
    <w:rsid w:val="4E6297A8"/>
    <w:rsid w:val="50157764"/>
    <w:rsid w:val="50E11AE9"/>
    <w:rsid w:val="50F3B8F9"/>
    <w:rsid w:val="51B14765"/>
    <w:rsid w:val="52893EE8"/>
    <w:rsid w:val="535057F5"/>
    <w:rsid w:val="535EB4BD"/>
    <w:rsid w:val="5401BC59"/>
    <w:rsid w:val="54922B37"/>
    <w:rsid w:val="54EB2A1C"/>
    <w:rsid w:val="551FA862"/>
    <w:rsid w:val="55D6ED97"/>
    <w:rsid w:val="57C6F92D"/>
    <w:rsid w:val="5829A797"/>
    <w:rsid w:val="58472426"/>
    <w:rsid w:val="599C7844"/>
    <w:rsid w:val="59BE894D"/>
    <w:rsid w:val="5A6A8E55"/>
    <w:rsid w:val="5B7C5200"/>
    <w:rsid w:val="5C5E9097"/>
    <w:rsid w:val="5CDF2118"/>
    <w:rsid w:val="5D23A01B"/>
    <w:rsid w:val="5E2B5721"/>
    <w:rsid w:val="5ED6AA26"/>
    <w:rsid w:val="5EE870F9"/>
    <w:rsid w:val="5F287A52"/>
    <w:rsid w:val="6040F601"/>
    <w:rsid w:val="6065751D"/>
    <w:rsid w:val="6094EEE0"/>
    <w:rsid w:val="6162F7E3"/>
    <w:rsid w:val="6206A05B"/>
    <w:rsid w:val="64BF1224"/>
    <w:rsid w:val="6572351B"/>
    <w:rsid w:val="65A1A2D0"/>
    <w:rsid w:val="665AE285"/>
    <w:rsid w:val="66C67E26"/>
    <w:rsid w:val="673BF403"/>
    <w:rsid w:val="67D23967"/>
    <w:rsid w:val="68018383"/>
    <w:rsid w:val="68EA5710"/>
    <w:rsid w:val="68ED6A36"/>
    <w:rsid w:val="69987EEE"/>
    <w:rsid w:val="6B224C20"/>
    <w:rsid w:val="6B763D2A"/>
    <w:rsid w:val="6C60D7FD"/>
    <w:rsid w:val="6C6DBAFF"/>
    <w:rsid w:val="6D189C54"/>
    <w:rsid w:val="6DA493AC"/>
    <w:rsid w:val="6DCFD021"/>
    <w:rsid w:val="6DF353B7"/>
    <w:rsid w:val="6E825AB0"/>
    <w:rsid w:val="6F15CFB8"/>
    <w:rsid w:val="6F29C601"/>
    <w:rsid w:val="715D052D"/>
    <w:rsid w:val="71B9A282"/>
    <w:rsid w:val="73EEC4B0"/>
    <w:rsid w:val="742A975B"/>
    <w:rsid w:val="748B06CA"/>
    <w:rsid w:val="75FCA464"/>
    <w:rsid w:val="7738752A"/>
    <w:rsid w:val="77F04AB7"/>
    <w:rsid w:val="780FD885"/>
    <w:rsid w:val="7811AD74"/>
    <w:rsid w:val="789A0A77"/>
    <w:rsid w:val="798C1B18"/>
    <w:rsid w:val="7B612509"/>
    <w:rsid w:val="7CEC4CAC"/>
    <w:rsid w:val="7E3000C6"/>
    <w:rsid w:val="7E75D55D"/>
    <w:rsid w:val="7EE9FB6D"/>
    <w:rsid w:val="7F32988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9E1BA4"/>
  <w15:docId w15:val="{01AF800B-6219-4BE8-96D0-5F0B5598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2C5851"/>
    <w:pPr>
      <w:spacing w:after="120" w:line="280" w:lineRule="atLeast"/>
    </w:pPr>
    <w:rPr>
      <w:rFonts w:ascii="Arial" w:hAnsi="Arial"/>
      <w:sz w:val="21"/>
      <w:lang w:eastAsia="en-US"/>
    </w:rPr>
  </w:style>
  <w:style w:type="paragraph" w:styleId="Heading1">
    <w:name w:val="heading 1"/>
    <w:next w:val="Body"/>
    <w:link w:val="Heading1Char"/>
    <w:uiPriority w:val="1"/>
    <w:qFormat/>
    <w:rsid w:val="009B521F"/>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6A3031"/>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9B521F"/>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6A3031"/>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AD6440"/>
    <w:pPr>
      <w:spacing w:after="300" w:line="240" w:lineRule="auto"/>
    </w:pPr>
    <w:rPr>
      <w:rFonts w:cs="Arial"/>
      <w:color w:val="53565A"/>
      <w:sz w:val="18"/>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4"/>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4"/>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5"/>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5"/>
      </w:numPr>
    </w:pPr>
  </w:style>
  <w:style w:type="numbering" w:customStyle="1" w:styleId="ZZTablebullets">
    <w:name w:val="ZZ Table bullets"/>
    <w:basedOn w:val="NoList"/>
    <w:rsid w:val="008E7B49"/>
    <w:pPr>
      <w:numPr>
        <w:numId w:val="5"/>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4"/>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6"/>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8"/>
      </w:numPr>
    </w:pPr>
  </w:style>
  <w:style w:type="paragraph" w:customStyle="1" w:styleId="Quotebullet1">
    <w:name w:val="Quote bullet 1"/>
    <w:basedOn w:val="Quotetext"/>
    <w:rsid w:val="008E7B49"/>
    <w:pPr>
      <w:numPr>
        <w:numId w:val="6"/>
      </w:numPr>
    </w:pPr>
  </w:style>
  <w:style w:type="paragraph" w:customStyle="1" w:styleId="Quotebullet2">
    <w:name w:val="Quote bullet 2"/>
    <w:basedOn w:val="Quotetext"/>
    <w:rsid w:val="008E7B49"/>
    <w:pPr>
      <w:numPr>
        <w:ilvl w:val="1"/>
        <w:numId w:val="6"/>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styleId="ListParagraph">
    <w:name w:val="List Paragraph"/>
    <w:basedOn w:val="Normal"/>
    <w:autoRedefine/>
    <w:uiPriority w:val="34"/>
    <w:qFormat/>
    <w:rsid w:val="008F16D3"/>
    <w:pPr>
      <w:numPr>
        <w:numId w:val="12"/>
      </w:numPr>
      <w:spacing w:before="120" w:line="260" w:lineRule="atLeast"/>
    </w:pPr>
    <w:rPr>
      <w:sz w:val="22"/>
      <w:szCs w:val="24"/>
      <w:lang w:eastAsia="en-AU"/>
    </w:rPr>
  </w:style>
  <w:style w:type="paragraph" w:customStyle="1" w:styleId="DHHStablebullet1">
    <w:name w:val="DHHS table bullet 1"/>
    <w:basedOn w:val="Normal"/>
    <w:uiPriority w:val="3"/>
    <w:qFormat/>
    <w:rsid w:val="00D638E7"/>
    <w:pPr>
      <w:tabs>
        <w:tab w:val="num" w:pos="360"/>
      </w:tabs>
      <w:spacing w:before="80" w:after="60" w:line="240" w:lineRule="auto"/>
      <w:ind w:left="360" w:hanging="360"/>
    </w:pPr>
  </w:style>
  <w:style w:type="numbering" w:customStyle="1" w:styleId="ZZBullets1">
    <w:name w:val="ZZ Bullets1"/>
    <w:rsid w:val="00D638E7"/>
  </w:style>
  <w:style w:type="paragraph" w:styleId="TOCHeading">
    <w:name w:val="TOC Heading"/>
    <w:basedOn w:val="Heading1"/>
    <w:next w:val="Normal"/>
    <w:uiPriority w:val="39"/>
    <w:unhideWhenUsed/>
    <w:qFormat/>
    <w:rsid w:val="008D60B2"/>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83312832">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1712632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https/www.health.vic.gov.au/publications/managing-referrals-to-non-admitted-specialist-services-in-victorian-public-health"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health.vic.gov.au/publications/non-admitted-multidisciplinary-case-conferences-reporting-guidelines" TargetMode="External"/><Relationship Id="rId34" Type="http://schemas.openxmlformats.org/officeDocument/2006/relationships/hyperlink" Target="mailto:hdss.helpdesk@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dhhsvicgovau.sharepoint.com/sites/DCU-DHHS-GRP/Shared%20Documents/General/Reporting%20Guidelines/https/www.health.vic.gov.au/publications/managing-referrals-to-non-admitted-specialist-services-in-victorian-public-health" TargetMode="External"/><Relationship Id="rId25" Type="http://schemas.openxmlformats.org/officeDocument/2006/relationships/hyperlink" Target="https://www.health.vic.gov.au/publications/non-admitted-multidisciplinary-case-conferences-reporting-guidelines" TargetMode="External"/><Relationship Id="rId33" Type="http://schemas.openxmlformats.org/officeDocument/2006/relationships/hyperlink" Target="https://dhhsvicgovau.sharepoint.com/sites/DCU-DHHS-GRP/Shared%20Documents/General/Reporting%20Guidelines/https/www.health.vic.gov.au/publications/managing-referrals-to-non-admitted-specialist-services-in-victorian-public-health" TargetMode="External"/><Relationship Id="rId2" Type="http://schemas.openxmlformats.org/officeDocument/2006/relationships/customXml" Target="../customXml/item2.xml"/><Relationship Id="rId16" Type="http://schemas.openxmlformats.org/officeDocument/2006/relationships/hyperlink" Target="https://www.health.vic.gov.au/data-reporting/agency-information-management-system-aims" TargetMode="External"/><Relationship Id="rId20" Type="http://schemas.openxmlformats.org/officeDocument/2006/relationships/hyperlink" Target="https://www.health.vic.gov.au/data-reporting/national-funding-model-implementation-resources"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data-reporting/victorian-admitted-episodes-dataset" TargetMode="External"/><Relationship Id="rId32" Type="http://schemas.openxmlformats.org/officeDocument/2006/relationships/hyperlink" Target="https://www.health.vic.gov.au/data-reporting/agency-information-management-system-aim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ihacpa.gov.au/health-care/classification/non-admitted-care/tier-2-non-admitted-services-classification" TargetMode="External"/><Relationship Id="rId28" Type="http://schemas.openxmlformats.org/officeDocument/2006/relationships/footer" Target="footer5.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vic.gov.au/data-reporting/victorian-integrated-non-admitted-health-vinah-dataset" TargetMode="External"/><Relationship Id="rId31" Type="http://schemas.openxmlformats.org/officeDocument/2006/relationships/hyperlink" Target="https://www.health.vic.gov.au/data-reporting/health-data-standards-and-syste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ihacpa.gov.au/health-care/classification/non-admitted-care/tier-2-non-admitted-services-classification" TargetMode="External"/><Relationship Id="rId27" Type="http://schemas.openxmlformats.org/officeDocument/2006/relationships/footer" Target="footer4.xml"/><Relationship Id="rId30" Type="http://schemas.openxmlformats.org/officeDocument/2006/relationships/hyperlink" Target="https://www.ihacpa.gov.au/health-care/classification/non-admitted-care/tier-2-non-admitted-services-classification" TargetMode="External"/><Relationship Id="rId35" Type="http://schemas.openxmlformats.org/officeDocument/2006/relationships/hyperlink" Target="https://www.health.vic.gov.au/data-reporting/health-data-standards-and-system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d6d6ff12-edda-4b6b-995b-9d08d1faa843" xsi:nil="true"/>
    <lcf76f155ced4ddcb4097134ff3c332f xmlns="d6d6ff12-edda-4b6b-995b-9d08d1faa843">
      <Terms xmlns="http://schemas.microsoft.com/office/infopath/2007/PartnerControls"/>
    </lcf76f155ced4ddcb4097134ff3c332f>
    <TaxCatchAll xmlns="94bc056a-3dcd-43bf-833c-9576dc02d30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CFEB13FFE90A34789A9A53D7DFC3C1E" ma:contentTypeVersion="12" ma:contentTypeDescription="Create a new document." ma:contentTypeScope="" ma:versionID="b597503e7e5aec3804a836c678d52975">
  <xsd:schema xmlns:xsd="http://www.w3.org/2001/XMLSchema" xmlns:xs="http://www.w3.org/2001/XMLSchema" xmlns:p="http://schemas.microsoft.com/office/2006/metadata/properties" xmlns:ns2="d6d6ff12-edda-4b6b-995b-9d08d1faa843" xmlns:ns3="94bc056a-3dcd-43bf-833c-9576dc02d306" targetNamespace="http://schemas.microsoft.com/office/2006/metadata/properties" ma:root="true" ma:fieldsID="9d095e390401fb4892f284823080b058" ns2:_="" ns3:_="">
    <xsd:import namespace="d6d6ff12-edda-4b6b-995b-9d08d1faa843"/>
    <xsd:import namespace="94bc056a-3dcd-43bf-833c-9576dc02d3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ff12-edda-4b6b-995b-9d08d1faa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c056a-3dcd-43bf-833c-9576dc02d3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e10aef-6c7f-4930-a143-7bd2aba27412}" ma:internalName="TaxCatchAll" ma:showField="CatchAllData" ma:web="94bc056a-3dcd-43bf-833c-9576dc02d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459D21-B6CF-4935-ACFC-CCDCC6A7D47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6d6ff12-edda-4b6b-995b-9d08d1faa843"/>
    <ds:schemaRef ds:uri="94bc056a-3dcd-43bf-833c-9576dc02d306"/>
    <ds:schemaRef ds:uri="http://www.w3.org/XML/1998/namespace"/>
    <ds:schemaRef ds:uri="http://purl.org/dc/dcmitype/"/>
  </ds:schemaRefs>
</ds:datastoreItem>
</file>

<file path=customXml/itemProps2.xml><?xml version="1.0" encoding="utf-8"?>
<ds:datastoreItem xmlns:ds="http://schemas.openxmlformats.org/officeDocument/2006/customXml" ds:itemID="{1C3BD458-B236-B24A-A168-D787D94B4E04}">
  <ds:schemaRefs>
    <ds:schemaRef ds:uri="http://schemas.openxmlformats.org/officeDocument/2006/bibliography"/>
  </ds:schemaRefs>
</ds:datastoreItem>
</file>

<file path=customXml/itemProps3.xml><?xml version="1.0" encoding="utf-8"?>
<ds:datastoreItem xmlns:ds="http://schemas.openxmlformats.org/officeDocument/2006/customXml" ds:itemID="{11B08D02-7A2A-4F34-B102-E145EA18A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ff12-edda-4b6b-995b-9d08d1faa843"/>
    <ds:schemaRef ds:uri="94bc056a-3dcd-43bf-833c-9576dc02d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87D811-C96B-4A90-AF1E-D5B14B2C1B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3416</Words>
  <Characters>21864</Characters>
  <Application>Microsoft Office Word</Application>
  <DocSecurity>2</DocSecurity>
  <Lines>437</Lines>
  <Paragraphs>300</Paragraphs>
  <ScaleCrop>false</ScaleCrop>
  <HeadingPairs>
    <vt:vector size="2" baseType="variant">
      <vt:variant>
        <vt:lpstr>Title</vt:lpstr>
      </vt:variant>
      <vt:variant>
        <vt:i4>1</vt:i4>
      </vt:variant>
    </vt:vector>
  </HeadingPairs>
  <TitlesOfParts>
    <vt:vector size="1" baseType="lpstr">
      <vt:lpstr>Non admitted public fertility care reporting guidelines</vt:lpstr>
    </vt:vector>
  </TitlesOfParts>
  <Manager/>
  <Company>Department of Health</Company>
  <LinksUpToDate>false</LinksUpToDate>
  <CharactersWithSpaces>24980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admitted public fertility care reporting guidelines</dc:title>
  <dc:subject>Non admitted public fertility care reporting guidelines</dc:subject>
  <dc:creator>Enterprise Technology</dc:creator>
  <cp:keywords>PFC, fertility, reporting, guidelines, VINAH</cp:keywords>
  <cp:lastModifiedBy>Kerran Pierce (Health)</cp:lastModifiedBy>
  <cp:revision>2</cp:revision>
  <dcterms:created xsi:type="dcterms:W3CDTF">2024-08-14T01:13:00Z</dcterms:created>
  <dcterms:modified xsi:type="dcterms:W3CDTF">2024-08-14T01:13:00Z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462b8860,12f17664,190afe30,6bb3ecd0,dd010e8,3710310b</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2024-08-14T01:03:19Z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8696af23-cb6b-4741-ba4f-34ab158d7ace</vt:lpwstr>
  </property>
  <property fmtid="{D5CDD505-2E9C-101B-9397-08002B2CF9AE}" pid="11" name="MSIP_Label_43e64453-338c-4f93-8a4d-0039a0a41f2a_ContentBits">
    <vt:lpwstr>2</vt:lpwstr>
  </property>
  <property fmtid="{D5CDD505-2E9C-101B-9397-08002B2CF9AE}" pid="12" name="Order">
    <vt:r8>1700</vt:r8>
  </property>
  <property fmtid="{D5CDD505-2E9C-101B-9397-08002B2CF9AE}" pid="13" name="xd_ProgID">
    <vt:lpwstr/>
  </property>
  <property fmtid="{D5CDD505-2E9C-101B-9397-08002B2CF9AE}" pid="14" name="MediaServiceImageTags">
    <vt:lpwstr/>
  </property>
  <property fmtid="{D5CDD505-2E9C-101B-9397-08002B2CF9AE}" pid="15" name="ContentTypeId">
    <vt:lpwstr>0x0101001CFEB13FFE90A34789A9A53D7DFC3C1E</vt:lpwstr>
  </property>
  <property fmtid="{D5CDD505-2E9C-101B-9397-08002B2CF9AE}" pid="16" name="version">
    <vt:lpwstr>v4 19022021</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TemplateVersion">
    <vt:i4>1</vt:i4>
  </property>
  <property fmtid="{D5CDD505-2E9C-101B-9397-08002B2CF9AE}" pid="22" name="Language">
    <vt:lpwstr>English</vt:lpwstr>
  </property>
  <property fmtid="{D5CDD505-2E9C-101B-9397-08002B2CF9AE}" pid="23" name="Category">
    <vt:lpwstr>Factsheet</vt:lpwstr>
  </property>
  <property fmtid="{D5CDD505-2E9C-101B-9397-08002B2CF9AE}" pid="24" name="xd_Signature">
    <vt:bool>false</vt:bool>
  </property>
  <property fmtid="{D5CDD505-2E9C-101B-9397-08002B2CF9AE}" pid="25" name="SharedWithUsers">
    <vt:lpwstr>28;#Louise Shanahan-McKenna (Health)</vt:lpwstr>
  </property>
  <property fmtid="{D5CDD505-2E9C-101B-9397-08002B2CF9AE}" pid="26" name="GrammarlyDocumentId">
    <vt:lpwstr>31f676de31e497ffe36918a5f147ff4220e28519d3217518ff68200929693c7e</vt:lpwstr>
  </property>
</Properties>
</file>