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BB2E4E" w14:textId="77777777" w:rsidR="00056EC4" w:rsidRDefault="00E9042A" w:rsidP="00056EC4">
      <w:pPr>
        <w:pStyle w:val="Body"/>
      </w:pPr>
      <w:r>
        <w:rPr>
          <w:noProof/>
        </w:rPr>
        <w:drawing>
          <wp:anchor distT="0" distB="0" distL="114300" distR="114300" simplePos="0" relativeHeight="251658243" behindDoc="1" locked="1" layoutInCell="1" allowOverlap="0" wp14:anchorId="795728EF" wp14:editId="3C6611DC">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6957BFD" w14:textId="77777777" w:rsidTr="5CB11786">
        <w:trPr>
          <w:cantSplit/>
          <w:trHeight w:val="1452"/>
        </w:trPr>
        <w:tc>
          <w:tcPr>
            <w:tcW w:w="0" w:type="auto"/>
            <w:tcMar>
              <w:top w:w="0" w:type="dxa"/>
              <w:left w:w="0" w:type="dxa"/>
              <w:right w:w="0" w:type="dxa"/>
            </w:tcMar>
          </w:tcPr>
          <w:p w14:paraId="68EC26B2" w14:textId="60EAA007" w:rsidR="00AD784C" w:rsidRPr="00077DBB" w:rsidRDefault="00077DBB" w:rsidP="00431F42">
            <w:pPr>
              <w:pStyle w:val="Documenttitle"/>
            </w:pPr>
            <w:r w:rsidRPr="5CB11786">
              <w:rPr>
                <w:b w:val="0"/>
                <w:sz w:val="52"/>
                <w:szCs w:val="52"/>
              </w:rPr>
              <w:t xml:space="preserve">Victorian mpox vaccination </w:t>
            </w:r>
            <w:r w:rsidR="001560A7" w:rsidRPr="5CB11786">
              <w:rPr>
                <w:b w:val="0"/>
                <w:sz w:val="52"/>
                <w:szCs w:val="52"/>
              </w:rPr>
              <w:t>program</w:t>
            </w:r>
          </w:p>
        </w:tc>
      </w:tr>
      <w:tr w:rsidR="00AD784C" w14:paraId="14AA1F8B" w14:textId="77777777" w:rsidTr="5CB11786">
        <w:trPr>
          <w:cantSplit/>
        </w:trPr>
        <w:tc>
          <w:tcPr>
            <w:tcW w:w="0" w:type="auto"/>
          </w:tcPr>
          <w:p w14:paraId="587732BC" w14:textId="404FEF19" w:rsidR="00077DBB" w:rsidRPr="00E653CD" w:rsidRDefault="00F80459" w:rsidP="1451F742">
            <w:pPr>
              <w:pStyle w:val="Documentsubtitle"/>
            </w:pPr>
            <w:r w:rsidRPr="00E653CD">
              <w:t>G</w:t>
            </w:r>
            <w:r w:rsidR="001560A7" w:rsidRPr="00E653CD">
              <w:t>uidelines</w:t>
            </w:r>
            <w:r w:rsidR="00077DBB" w:rsidRPr="00E653CD">
              <w:t xml:space="preserve"> – Version </w:t>
            </w:r>
            <w:r w:rsidR="008B7E92">
              <w:t>1</w:t>
            </w:r>
            <w:r w:rsidR="00532BFD">
              <w:t>9</w:t>
            </w:r>
          </w:p>
          <w:p w14:paraId="6FC28661" w14:textId="6596A539" w:rsidR="00386109" w:rsidRPr="00A1389F" w:rsidRDefault="00620E5B" w:rsidP="1451F742">
            <w:pPr>
              <w:pStyle w:val="Documentsubtitle"/>
              <w:rPr>
                <w:highlight w:val="yellow"/>
              </w:rPr>
            </w:pPr>
            <w:r>
              <w:t xml:space="preserve">4 </w:t>
            </w:r>
            <w:r w:rsidR="001757A4">
              <w:t>October</w:t>
            </w:r>
            <w:r w:rsidR="00701BFA">
              <w:t xml:space="preserve"> 2024</w:t>
            </w:r>
          </w:p>
        </w:tc>
      </w:tr>
      <w:tr w:rsidR="00430393" w14:paraId="62F98E79" w14:textId="77777777" w:rsidTr="5CB11786">
        <w:trPr>
          <w:cantSplit/>
        </w:trPr>
        <w:tc>
          <w:tcPr>
            <w:tcW w:w="0" w:type="auto"/>
          </w:tcPr>
          <w:p w14:paraId="5D88C4FA" w14:textId="77777777" w:rsidR="00430393" w:rsidRDefault="00000000" w:rsidP="00430393">
            <w:pPr>
              <w:pStyle w:val="Bannermarking"/>
            </w:pPr>
            <w:fldSimple w:instr="FILLIN  &quot;Type the protective marking&quot; \d OFFICIAL \o  \* MERGEFORMAT">
              <w:r w:rsidR="002343BB">
                <w:t>OFFICIAL</w:t>
              </w:r>
            </w:fldSimple>
          </w:p>
        </w:tc>
      </w:tr>
    </w:tbl>
    <w:p w14:paraId="77CDAA3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F6136C7" w14:textId="77777777" w:rsidR="00AD784C" w:rsidRPr="00B57329" w:rsidRDefault="00AD784C" w:rsidP="00557C42">
      <w:pPr>
        <w:pStyle w:val="TOCheadingreport"/>
        <w:spacing w:after="120" w:line="240" w:lineRule="atLeast"/>
      </w:pPr>
      <w:r w:rsidRPr="00B57329">
        <w:lastRenderedPageBreak/>
        <w:t>Contents</w:t>
      </w:r>
    </w:p>
    <w:p w14:paraId="3CCEBD3E" w14:textId="6715EB07" w:rsidR="00083C97"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76344956" w:history="1">
        <w:r w:rsidR="00083C97" w:rsidRPr="00331C83">
          <w:rPr>
            <w:rStyle w:val="Hyperlink"/>
          </w:rPr>
          <w:t>Introduction</w:t>
        </w:r>
        <w:r w:rsidR="00083C97">
          <w:rPr>
            <w:webHidden/>
          </w:rPr>
          <w:tab/>
        </w:r>
        <w:r w:rsidR="00083C97">
          <w:rPr>
            <w:webHidden/>
          </w:rPr>
          <w:fldChar w:fldCharType="begin"/>
        </w:r>
        <w:r w:rsidR="00083C97">
          <w:rPr>
            <w:webHidden/>
          </w:rPr>
          <w:instrText xml:space="preserve"> PAGEREF _Toc176344956 \h </w:instrText>
        </w:r>
        <w:r w:rsidR="00083C97">
          <w:rPr>
            <w:webHidden/>
          </w:rPr>
        </w:r>
        <w:r w:rsidR="00083C97">
          <w:rPr>
            <w:webHidden/>
          </w:rPr>
          <w:fldChar w:fldCharType="separate"/>
        </w:r>
        <w:r w:rsidR="00083C97">
          <w:rPr>
            <w:webHidden/>
          </w:rPr>
          <w:t>4</w:t>
        </w:r>
        <w:r w:rsidR="00083C97">
          <w:rPr>
            <w:webHidden/>
          </w:rPr>
          <w:fldChar w:fldCharType="end"/>
        </w:r>
      </w:hyperlink>
    </w:p>
    <w:p w14:paraId="623EB72F" w14:textId="1F1A3810"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57" w:history="1">
        <w:r w:rsidR="00083C97" w:rsidRPr="00331C83">
          <w:rPr>
            <w:rStyle w:val="Hyperlink"/>
          </w:rPr>
          <w:t>Background</w:t>
        </w:r>
        <w:r w:rsidR="00083C97">
          <w:rPr>
            <w:webHidden/>
          </w:rPr>
          <w:tab/>
        </w:r>
        <w:r w:rsidR="00083C97">
          <w:rPr>
            <w:webHidden/>
          </w:rPr>
          <w:fldChar w:fldCharType="begin"/>
        </w:r>
        <w:r w:rsidR="00083C97">
          <w:rPr>
            <w:webHidden/>
          </w:rPr>
          <w:instrText xml:space="preserve"> PAGEREF _Toc176344957 \h </w:instrText>
        </w:r>
        <w:r w:rsidR="00083C97">
          <w:rPr>
            <w:webHidden/>
          </w:rPr>
        </w:r>
        <w:r w:rsidR="00083C97">
          <w:rPr>
            <w:webHidden/>
          </w:rPr>
          <w:fldChar w:fldCharType="separate"/>
        </w:r>
        <w:r w:rsidR="00083C97">
          <w:rPr>
            <w:webHidden/>
          </w:rPr>
          <w:t>4</w:t>
        </w:r>
        <w:r w:rsidR="00083C97">
          <w:rPr>
            <w:webHidden/>
          </w:rPr>
          <w:fldChar w:fldCharType="end"/>
        </w:r>
      </w:hyperlink>
    </w:p>
    <w:p w14:paraId="1B0660BD" w14:textId="3C07711A"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4958" w:history="1">
        <w:r w:rsidR="00083C97" w:rsidRPr="00331C83">
          <w:rPr>
            <w:rStyle w:val="Hyperlink"/>
          </w:rPr>
          <w:t>Vaccine program</w:t>
        </w:r>
        <w:r w:rsidR="00083C97">
          <w:rPr>
            <w:webHidden/>
          </w:rPr>
          <w:tab/>
        </w:r>
        <w:r w:rsidR="00083C97">
          <w:rPr>
            <w:webHidden/>
          </w:rPr>
          <w:fldChar w:fldCharType="begin"/>
        </w:r>
        <w:r w:rsidR="00083C97">
          <w:rPr>
            <w:webHidden/>
          </w:rPr>
          <w:instrText xml:space="preserve"> PAGEREF _Toc176344958 \h </w:instrText>
        </w:r>
        <w:r w:rsidR="00083C97">
          <w:rPr>
            <w:webHidden/>
          </w:rPr>
        </w:r>
        <w:r w:rsidR="00083C97">
          <w:rPr>
            <w:webHidden/>
          </w:rPr>
          <w:fldChar w:fldCharType="separate"/>
        </w:r>
        <w:r w:rsidR="00083C97">
          <w:rPr>
            <w:webHidden/>
          </w:rPr>
          <w:t>5</w:t>
        </w:r>
        <w:r w:rsidR="00083C97">
          <w:rPr>
            <w:webHidden/>
          </w:rPr>
          <w:fldChar w:fldCharType="end"/>
        </w:r>
      </w:hyperlink>
    </w:p>
    <w:p w14:paraId="5EBA0441" w14:textId="2D7645C4"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59" w:history="1">
        <w:r w:rsidR="00083C97" w:rsidRPr="00331C83">
          <w:rPr>
            <w:rStyle w:val="Hyperlink"/>
          </w:rPr>
          <w:t>Mpox vaccines approved for use in Australia</w:t>
        </w:r>
        <w:r w:rsidR="00083C97">
          <w:rPr>
            <w:webHidden/>
          </w:rPr>
          <w:tab/>
        </w:r>
        <w:r w:rsidR="00083C97">
          <w:rPr>
            <w:webHidden/>
          </w:rPr>
          <w:fldChar w:fldCharType="begin"/>
        </w:r>
        <w:r w:rsidR="00083C97">
          <w:rPr>
            <w:webHidden/>
          </w:rPr>
          <w:instrText xml:space="preserve"> PAGEREF _Toc176344959 \h </w:instrText>
        </w:r>
        <w:r w:rsidR="00083C97">
          <w:rPr>
            <w:webHidden/>
          </w:rPr>
        </w:r>
        <w:r w:rsidR="00083C97">
          <w:rPr>
            <w:webHidden/>
          </w:rPr>
          <w:fldChar w:fldCharType="separate"/>
        </w:r>
        <w:r w:rsidR="00083C97">
          <w:rPr>
            <w:webHidden/>
          </w:rPr>
          <w:t>5</w:t>
        </w:r>
        <w:r w:rsidR="00083C97">
          <w:rPr>
            <w:webHidden/>
          </w:rPr>
          <w:fldChar w:fldCharType="end"/>
        </w:r>
      </w:hyperlink>
    </w:p>
    <w:p w14:paraId="21422A66" w14:textId="5C8EA258"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60" w:history="1">
        <w:r w:rsidR="00083C97" w:rsidRPr="00331C83">
          <w:rPr>
            <w:rStyle w:val="Hyperlink"/>
          </w:rPr>
          <w:t>Mpox vaccine eligibility</w:t>
        </w:r>
        <w:r w:rsidR="00083C97">
          <w:rPr>
            <w:webHidden/>
          </w:rPr>
          <w:tab/>
        </w:r>
        <w:r w:rsidR="00083C97">
          <w:rPr>
            <w:webHidden/>
          </w:rPr>
          <w:fldChar w:fldCharType="begin"/>
        </w:r>
        <w:r w:rsidR="00083C97">
          <w:rPr>
            <w:webHidden/>
          </w:rPr>
          <w:instrText xml:space="preserve"> PAGEREF _Toc176344960 \h </w:instrText>
        </w:r>
        <w:r w:rsidR="00083C97">
          <w:rPr>
            <w:webHidden/>
          </w:rPr>
        </w:r>
        <w:r w:rsidR="00083C97">
          <w:rPr>
            <w:webHidden/>
          </w:rPr>
          <w:fldChar w:fldCharType="separate"/>
        </w:r>
        <w:r w:rsidR="00083C97">
          <w:rPr>
            <w:webHidden/>
          </w:rPr>
          <w:t>5</w:t>
        </w:r>
        <w:r w:rsidR="00083C97">
          <w:rPr>
            <w:webHidden/>
          </w:rPr>
          <w:fldChar w:fldCharType="end"/>
        </w:r>
      </w:hyperlink>
    </w:p>
    <w:p w14:paraId="02615D68" w14:textId="50589B95"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4961" w:history="1">
        <w:r w:rsidR="00083C97" w:rsidRPr="00331C83">
          <w:rPr>
            <w:rStyle w:val="Hyperlink"/>
          </w:rPr>
          <w:t>Mpox vaccine for use in Victoria</w:t>
        </w:r>
        <w:r w:rsidR="00083C97">
          <w:rPr>
            <w:webHidden/>
          </w:rPr>
          <w:tab/>
        </w:r>
        <w:r w:rsidR="00083C97">
          <w:rPr>
            <w:webHidden/>
          </w:rPr>
          <w:fldChar w:fldCharType="begin"/>
        </w:r>
        <w:r w:rsidR="00083C97">
          <w:rPr>
            <w:webHidden/>
          </w:rPr>
          <w:instrText xml:space="preserve"> PAGEREF _Toc176344961 \h </w:instrText>
        </w:r>
        <w:r w:rsidR="00083C97">
          <w:rPr>
            <w:webHidden/>
          </w:rPr>
        </w:r>
        <w:r w:rsidR="00083C97">
          <w:rPr>
            <w:webHidden/>
          </w:rPr>
          <w:fldChar w:fldCharType="separate"/>
        </w:r>
        <w:r w:rsidR="00083C97">
          <w:rPr>
            <w:webHidden/>
          </w:rPr>
          <w:t>6</w:t>
        </w:r>
        <w:r w:rsidR="00083C97">
          <w:rPr>
            <w:webHidden/>
          </w:rPr>
          <w:fldChar w:fldCharType="end"/>
        </w:r>
      </w:hyperlink>
    </w:p>
    <w:p w14:paraId="6C4903CB" w14:textId="3128ED91"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62" w:history="1">
        <w:r w:rsidR="00083C97" w:rsidRPr="00331C83">
          <w:rPr>
            <w:rStyle w:val="Hyperlink"/>
          </w:rPr>
          <w:t>Mpox vaccines for use in Victoria</w:t>
        </w:r>
        <w:r w:rsidR="00083C97">
          <w:rPr>
            <w:webHidden/>
          </w:rPr>
          <w:tab/>
        </w:r>
        <w:r w:rsidR="00083C97">
          <w:rPr>
            <w:webHidden/>
          </w:rPr>
          <w:fldChar w:fldCharType="begin"/>
        </w:r>
        <w:r w:rsidR="00083C97">
          <w:rPr>
            <w:webHidden/>
          </w:rPr>
          <w:instrText xml:space="preserve"> PAGEREF _Toc176344962 \h </w:instrText>
        </w:r>
        <w:r w:rsidR="00083C97">
          <w:rPr>
            <w:webHidden/>
          </w:rPr>
        </w:r>
        <w:r w:rsidR="00083C97">
          <w:rPr>
            <w:webHidden/>
          </w:rPr>
          <w:fldChar w:fldCharType="separate"/>
        </w:r>
        <w:r w:rsidR="00083C97">
          <w:rPr>
            <w:webHidden/>
          </w:rPr>
          <w:t>6</w:t>
        </w:r>
        <w:r w:rsidR="00083C97">
          <w:rPr>
            <w:webHidden/>
          </w:rPr>
          <w:fldChar w:fldCharType="end"/>
        </w:r>
      </w:hyperlink>
    </w:p>
    <w:p w14:paraId="4823789C" w14:textId="7BAF892E"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63" w:history="1">
        <w:r w:rsidR="00083C97" w:rsidRPr="00331C83">
          <w:rPr>
            <w:rStyle w:val="Hyperlink"/>
          </w:rPr>
          <w:t>Contraindications</w:t>
        </w:r>
        <w:r w:rsidR="00083C97">
          <w:rPr>
            <w:webHidden/>
          </w:rPr>
          <w:tab/>
        </w:r>
        <w:r w:rsidR="00083C97">
          <w:rPr>
            <w:webHidden/>
          </w:rPr>
          <w:fldChar w:fldCharType="begin"/>
        </w:r>
        <w:r w:rsidR="00083C97">
          <w:rPr>
            <w:webHidden/>
          </w:rPr>
          <w:instrText xml:space="preserve"> PAGEREF _Toc176344963 \h </w:instrText>
        </w:r>
        <w:r w:rsidR="00083C97">
          <w:rPr>
            <w:webHidden/>
          </w:rPr>
        </w:r>
        <w:r w:rsidR="00083C97">
          <w:rPr>
            <w:webHidden/>
          </w:rPr>
          <w:fldChar w:fldCharType="separate"/>
        </w:r>
        <w:r w:rsidR="00083C97">
          <w:rPr>
            <w:webHidden/>
          </w:rPr>
          <w:t>7</w:t>
        </w:r>
        <w:r w:rsidR="00083C97">
          <w:rPr>
            <w:webHidden/>
          </w:rPr>
          <w:fldChar w:fldCharType="end"/>
        </w:r>
      </w:hyperlink>
    </w:p>
    <w:p w14:paraId="13D6DECD" w14:textId="2BCBBCC6"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64" w:history="1">
        <w:r w:rsidR="00083C97" w:rsidRPr="00331C83">
          <w:rPr>
            <w:rStyle w:val="Hyperlink"/>
            <w:rFonts w:eastAsia="Times"/>
          </w:rPr>
          <w:t>Prec</w:t>
        </w:r>
        <w:r w:rsidR="00083C97" w:rsidRPr="00331C83">
          <w:rPr>
            <w:rStyle w:val="Hyperlink"/>
          </w:rPr>
          <w:t>autions</w:t>
        </w:r>
        <w:r w:rsidR="00083C97">
          <w:rPr>
            <w:webHidden/>
          </w:rPr>
          <w:tab/>
        </w:r>
        <w:r w:rsidR="00083C97">
          <w:rPr>
            <w:webHidden/>
          </w:rPr>
          <w:fldChar w:fldCharType="begin"/>
        </w:r>
        <w:r w:rsidR="00083C97">
          <w:rPr>
            <w:webHidden/>
          </w:rPr>
          <w:instrText xml:space="preserve"> PAGEREF _Toc176344964 \h </w:instrText>
        </w:r>
        <w:r w:rsidR="00083C97">
          <w:rPr>
            <w:webHidden/>
          </w:rPr>
        </w:r>
        <w:r w:rsidR="00083C97">
          <w:rPr>
            <w:webHidden/>
          </w:rPr>
          <w:fldChar w:fldCharType="separate"/>
        </w:r>
        <w:r w:rsidR="00083C97">
          <w:rPr>
            <w:webHidden/>
          </w:rPr>
          <w:t>7</w:t>
        </w:r>
        <w:r w:rsidR="00083C97">
          <w:rPr>
            <w:webHidden/>
          </w:rPr>
          <w:fldChar w:fldCharType="end"/>
        </w:r>
      </w:hyperlink>
    </w:p>
    <w:p w14:paraId="352E280E" w14:textId="27F5E715"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65" w:history="1">
        <w:r w:rsidR="00083C97" w:rsidRPr="00331C83">
          <w:rPr>
            <w:rStyle w:val="Hyperlink"/>
          </w:rPr>
          <w:t>Route</w:t>
        </w:r>
        <w:r w:rsidR="00083C97">
          <w:rPr>
            <w:webHidden/>
          </w:rPr>
          <w:tab/>
        </w:r>
        <w:r w:rsidR="00083C97">
          <w:rPr>
            <w:webHidden/>
          </w:rPr>
          <w:fldChar w:fldCharType="begin"/>
        </w:r>
        <w:r w:rsidR="00083C97">
          <w:rPr>
            <w:webHidden/>
          </w:rPr>
          <w:instrText xml:space="preserve"> PAGEREF _Toc176344965 \h </w:instrText>
        </w:r>
        <w:r w:rsidR="00083C97">
          <w:rPr>
            <w:webHidden/>
          </w:rPr>
        </w:r>
        <w:r w:rsidR="00083C97">
          <w:rPr>
            <w:webHidden/>
          </w:rPr>
          <w:fldChar w:fldCharType="separate"/>
        </w:r>
        <w:r w:rsidR="00083C97">
          <w:rPr>
            <w:webHidden/>
          </w:rPr>
          <w:t>8</w:t>
        </w:r>
        <w:r w:rsidR="00083C97">
          <w:rPr>
            <w:webHidden/>
          </w:rPr>
          <w:fldChar w:fldCharType="end"/>
        </w:r>
      </w:hyperlink>
    </w:p>
    <w:p w14:paraId="46C362CC" w14:textId="34EA2BB2"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66" w:history="1">
        <w:r w:rsidR="00083C97" w:rsidRPr="00331C83">
          <w:rPr>
            <w:rStyle w:val="Hyperlink"/>
          </w:rPr>
          <w:t>Schedule</w:t>
        </w:r>
        <w:r w:rsidR="00083C97">
          <w:rPr>
            <w:webHidden/>
          </w:rPr>
          <w:tab/>
        </w:r>
        <w:r w:rsidR="00083C97">
          <w:rPr>
            <w:webHidden/>
          </w:rPr>
          <w:fldChar w:fldCharType="begin"/>
        </w:r>
        <w:r w:rsidR="00083C97">
          <w:rPr>
            <w:webHidden/>
          </w:rPr>
          <w:instrText xml:space="preserve"> PAGEREF _Toc176344966 \h </w:instrText>
        </w:r>
        <w:r w:rsidR="00083C97">
          <w:rPr>
            <w:webHidden/>
          </w:rPr>
        </w:r>
        <w:r w:rsidR="00083C97">
          <w:rPr>
            <w:webHidden/>
          </w:rPr>
          <w:fldChar w:fldCharType="separate"/>
        </w:r>
        <w:r w:rsidR="00083C97">
          <w:rPr>
            <w:webHidden/>
          </w:rPr>
          <w:t>8</w:t>
        </w:r>
        <w:r w:rsidR="00083C97">
          <w:rPr>
            <w:webHidden/>
          </w:rPr>
          <w:fldChar w:fldCharType="end"/>
        </w:r>
      </w:hyperlink>
    </w:p>
    <w:p w14:paraId="50B21169" w14:textId="5A2A5826"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67" w:history="1">
        <w:r w:rsidR="00083C97" w:rsidRPr="00331C83">
          <w:rPr>
            <w:rStyle w:val="Hyperlink"/>
          </w:rPr>
          <w:t>Common side effects</w:t>
        </w:r>
        <w:r w:rsidR="00083C97">
          <w:rPr>
            <w:webHidden/>
          </w:rPr>
          <w:tab/>
        </w:r>
        <w:r w:rsidR="00083C97">
          <w:rPr>
            <w:webHidden/>
          </w:rPr>
          <w:fldChar w:fldCharType="begin"/>
        </w:r>
        <w:r w:rsidR="00083C97">
          <w:rPr>
            <w:webHidden/>
          </w:rPr>
          <w:instrText xml:space="preserve"> PAGEREF _Toc176344967 \h </w:instrText>
        </w:r>
        <w:r w:rsidR="00083C97">
          <w:rPr>
            <w:webHidden/>
          </w:rPr>
        </w:r>
        <w:r w:rsidR="00083C97">
          <w:rPr>
            <w:webHidden/>
          </w:rPr>
          <w:fldChar w:fldCharType="separate"/>
        </w:r>
        <w:r w:rsidR="00083C97">
          <w:rPr>
            <w:webHidden/>
          </w:rPr>
          <w:t>9</w:t>
        </w:r>
        <w:r w:rsidR="00083C97">
          <w:rPr>
            <w:webHidden/>
          </w:rPr>
          <w:fldChar w:fldCharType="end"/>
        </w:r>
      </w:hyperlink>
    </w:p>
    <w:p w14:paraId="5A52D929" w14:textId="12F38162"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4968" w:history="1">
        <w:r w:rsidR="00083C97" w:rsidRPr="00331C83">
          <w:rPr>
            <w:rStyle w:val="Hyperlink"/>
          </w:rPr>
          <w:t>Other considerations</w:t>
        </w:r>
        <w:r w:rsidR="00083C97">
          <w:rPr>
            <w:webHidden/>
          </w:rPr>
          <w:tab/>
        </w:r>
        <w:r w:rsidR="00083C97">
          <w:rPr>
            <w:webHidden/>
          </w:rPr>
          <w:fldChar w:fldCharType="begin"/>
        </w:r>
        <w:r w:rsidR="00083C97">
          <w:rPr>
            <w:webHidden/>
          </w:rPr>
          <w:instrText xml:space="preserve"> PAGEREF _Toc176344968 \h </w:instrText>
        </w:r>
        <w:r w:rsidR="00083C97">
          <w:rPr>
            <w:webHidden/>
          </w:rPr>
        </w:r>
        <w:r w:rsidR="00083C97">
          <w:rPr>
            <w:webHidden/>
          </w:rPr>
          <w:fldChar w:fldCharType="separate"/>
        </w:r>
        <w:r w:rsidR="00083C97">
          <w:rPr>
            <w:webHidden/>
          </w:rPr>
          <w:t>9</w:t>
        </w:r>
        <w:r w:rsidR="00083C97">
          <w:rPr>
            <w:webHidden/>
          </w:rPr>
          <w:fldChar w:fldCharType="end"/>
        </w:r>
      </w:hyperlink>
    </w:p>
    <w:p w14:paraId="3761E8F0" w14:textId="5935664F"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69" w:history="1">
        <w:r w:rsidR="00083C97" w:rsidRPr="00331C83">
          <w:rPr>
            <w:rStyle w:val="Hyperlink"/>
          </w:rPr>
          <w:t>Previous smallpox vaccination</w:t>
        </w:r>
        <w:r w:rsidR="00083C97">
          <w:rPr>
            <w:webHidden/>
          </w:rPr>
          <w:tab/>
        </w:r>
        <w:r w:rsidR="00083C97">
          <w:rPr>
            <w:webHidden/>
          </w:rPr>
          <w:fldChar w:fldCharType="begin"/>
        </w:r>
        <w:r w:rsidR="00083C97">
          <w:rPr>
            <w:webHidden/>
          </w:rPr>
          <w:instrText xml:space="preserve"> PAGEREF _Toc176344969 \h </w:instrText>
        </w:r>
        <w:r w:rsidR="00083C97">
          <w:rPr>
            <w:webHidden/>
          </w:rPr>
        </w:r>
        <w:r w:rsidR="00083C97">
          <w:rPr>
            <w:webHidden/>
          </w:rPr>
          <w:fldChar w:fldCharType="separate"/>
        </w:r>
        <w:r w:rsidR="00083C97">
          <w:rPr>
            <w:webHidden/>
          </w:rPr>
          <w:t>9</w:t>
        </w:r>
        <w:r w:rsidR="00083C97">
          <w:rPr>
            <w:webHidden/>
          </w:rPr>
          <w:fldChar w:fldCharType="end"/>
        </w:r>
      </w:hyperlink>
    </w:p>
    <w:p w14:paraId="4232205F" w14:textId="1FBEDAD1"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70" w:history="1">
        <w:r w:rsidR="00083C97" w:rsidRPr="00331C83">
          <w:rPr>
            <w:rStyle w:val="Hyperlink"/>
          </w:rPr>
          <w:t>Interval after infection</w:t>
        </w:r>
        <w:r w:rsidR="00083C97">
          <w:rPr>
            <w:webHidden/>
          </w:rPr>
          <w:tab/>
        </w:r>
        <w:r w:rsidR="00083C97">
          <w:rPr>
            <w:webHidden/>
          </w:rPr>
          <w:fldChar w:fldCharType="begin"/>
        </w:r>
        <w:r w:rsidR="00083C97">
          <w:rPr>
            <w:webHidden/>
          </w:rPr>
          <w:instrText xml:space="preserve"> PAGEREF _Toc176344970 \h </w:instrText>
        </w:r>
        <w:r w:rsidR="00083C97">
          <w:rPr>
            <w:webHidden/>
          </w:rPr>
        </w:r>
        <w:r w:rsidR="00083C97">
          <w:rPr>
            <w:webHidden/>
          </w:rPr>
          <w:fldChar w:fldCharType="separate"/>
        </w:r>
        <w:r w:rsidR="00083C97">
          <w:rPr>
            <w:webHidden/>
          </w:rPr>
          <w:t>10</w:t>
        </w:r>
        <w:r w:rsidR="00083C97">
          <w:rPr>
            <w:webHidden/>
          </w:rPr>
          <w:fldChar w:fldCharType="end"/>
        </w:r>
      </w:hyperlink>
    </w:p>
    <w:p w14:paraId="1810A68B" w14:textId="325001A1"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71" w:history="1">
        <w:r w:rsidR="00083C97" w:rsidRPr="00331C83">
          <w:rPr>
            <w:rStyle w:val="Hyperlink"/>
          </w:rPr>
          <w:t>Coadministration</w:t>
        </w:r>
        <w:r w:rsidR="00083C97">
          <w:rPr>
            <w:webHidden/>
          </w:rPr>
          <w:tab/>
        </w:r>
        <w:r w:rsidR="00083C97">
          <w:rPr>
            <w:webHidden/>
          </w:rPr>
          <w:fldChar w:fldCharType="begin"/>
        </w:r>
        <w:r w:rsidR="00083C97">
          <w:rPr>
            <w:webHidden/>
          </w:rPr>
          <w:instrText xml:space="preserve"> PAGEREF _Toc176344971 \h </w:instrText>
        </w:r>
        <w:r w:rsidR="00083C97">
          <w:rPr>
            <w:webHidden/>
          </w:rPr>
        </w:r>
        <w:r w:rsidR="00083C97">
          <w:rPr>
            <w:webHidden/>
          </w:rPr>
          <w:fldChar w:fldCharType="separate"/>
        </w:r>
        <w:r w:rsidR="00083C97">
          <w:rPr>
            <w:webHidden/>
          </w:rPr>
          <w:t>10</w:t>
        </w:r>
        <w:r w:rsidR="00083C97">
          <w:rPr>
            <w:webHidden/>
          </w:rPr>
          <w:fldChar w:fldCharType="end"/>
        </w:r>
      </w:hyperlink>
    </w:p>
    <w:p w14:paraId="51D1E7A7" w14:textId="3A869CC4"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72" w:history="1">
        <w:r w:rsidR="00083C97" w:rsidRPr="00331C83">
          <w:rPr>
            <w:rStyle w:val="Hyperlink"/>
          </w:rPr>
          <w:t>Completing schedules commenced overseas</w:t>
        </w:r>
        <w:r w:rsidR="00083C97">
          <w:rPr>
            <w:webHidden/>
          </w:rPr>
          <w:tab/>
        </w:r>
        <w:r w:rsidR="00083C97">
          <w:rPr>
            <w:webHidden/>
          </w:rPr>
          <w:fldChar w:fldCharType="begin"/>
        </w:r>
        <w:r w:rsidR="00083C97">
          <w:rPr>
            <w:webHidden/>
          </w:rPr>
          <w:instrText xml:space="preserve"> PAGEREF _Toc176344972 \h </w:instrText>
        </w:r>
        <w:r w:rsidR="00083C97">
          <w:rPr>
            <w:webHidden/>
          </w:rPr>
        </w:r>
        <w:r w:rsidR="00083C97">
          <w:rPr>
            <w:webHidden/>
          </w:rPr>
          <w:fldChar w:fldCharType="separate"/>
        </w:r>
        <w:r w:rsidR="00083C97">
          <w:rPr>
            <w:webHidden/>
          </w:rPr>
          <w:t>10</w:t>
        </w:r>
        <w:r w:rsidR="00083C97">
          <w:rPr>
            <w:webHidden/>
          </w:rPr>
          <w:fldChar w:fldCharType="end"/>
        </w:r>
      </w:hyperlink>
    </w:p>
    <w:p w14:paraId="7CB0E49B" w14:textId="268BEA49"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73" w:history="1">
        <w:r w:rsidR="00083C97" w:rsidRPr="00331C83">
          <w:rPr>
            <w:rStyle w:val="Hyperlink"/>
            <w:rFonts w:eastAsia="Arial Narrow" w:cs="Arial Narrow"/>
            <w:lang w:val="en-US"/>
          </w:rPr>
          <w:t>Vaccine administration errors</w:t>
        </w:r>
        <w:r w:rsidR="00083C97">
          <w:rPr>
            <w:webHidden/>
          </w:rPr>
          <w:tab/>
        </w:r>
        <w:r w:rsidR="00083C97">
          <w:rPr>
            <w:webHidden/>
          </w:rPr>
          <w:fldChar w:fldCharType="begin"/>
        </w:r>
        <w:r w:rsidR="00083C97">
          <w:rPr>
            <w:webHidden/>
          </w:rPr>
          <w:instrText xml:space="preserve"> PAGEREF _Toc176344973 \h </w:instrText>
        </w:r>
        <w:r w:rsidR="00083C97">
          <w:rPr>
            <w:webHidden/>
          </w:rPr>
        </w:r>
        <w:r w:rsidR="00083C97">
          <w:rPr>
            <w:webHidden/>
          </w:rPr>
          <w:fldChar w:fldCharType="separate"/>
        </w:r>
        <w:r w:rsidR="00083C97">
          <w:rPr>
            <w:webHidden/>
          </w:rPr>
          <w:t>10</w:t>
        </w:r>
        <w:r w:rsidR="00083C97">
          <w:rPr>
            <w:webHidden/>
          </w:rPr>
          <w:fldChar w:fldCharType="end"/>
        </w:r>
      </w:hyperlink>
    </w:p>
    <w:p w14:paraId="293F0093" w14:textId="6A16D5DA"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4974" w:history="1">
        <w:r w:rsidR="00083C97" w:rsidRPr="00331C83">
          <w:rPr>
            <w:rStyle w:val="Hyperlink"/>
          </w:rPr>
          <w:t>Vaccine Logistics</w:t>
        </w:r>
        <w:r w:rsidR="00083C97">
          <w:rPr>
            <w:webHidden/>
          </w:rPr>
          <w:tab/>
        </w:r>
        <w:r w:rsidR="00083C97">
          <w:rPr>
            <w:webHidden/>
          </w:rPr>
          <w:fldChar w:fldCharType="begin"/>
        </w:r>
        <w:r w:rsidR="00083C97">
          <w:rPr>
            <w:webHidden/>
          </w:rPr>
          <w:instrText xml:space="preserve"> PAGEREF _Toc176344974 \h </w:instrText>
        </w:r>
        <w:r w:rsidR="00083C97">
          <w:rPr>
            <w:webHidden/>
          </w:rPr>
        </w:r>
        <w:r w:rsidR="00083C97">
          <w:rPr>
            <w:webHidden/>
          </w:rPr>
          <w:fldChar w:fldCharType="separate"/>
        </w:r>
        <w:r w:rsidR="00083C97">
          <w:rPr>
            <w:webHidden/>
          </w:rPr>
          <w:t>11</w:t>
        </w:r>
        <w:r w:rsidR="00083C97">
          <w:rPr>
            <w:webHidden/>
          </w:rPr>
          <w:fldChar w:fldCharType="end"/>
        </w:r>
      </w:hyperlink>
    </w:p>
    <w:p w14:paraId="7105E163" w14:textId="355ACDAA"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75" w:history="1">
        <w:r w:rsidR="00083C97" w:rsidRPr="00331C83">
          <w:rPr>
            <w:rStyle w:val="Hyperlink"/>
          </w:rPr>
          <w:t>Presentation</w:t>
        </w:r>
        <w:r w:rsidR="00083C97">
          <w:rPr>
            <w:webHidden/>
          </w:rPr>
          <w:tab/>
        </w:r>
        <w:r w:rsidR="00083C97">
          <w:rPr>
            <w:webHidden/>
          </w:rPr>
          <w:fldChar w:fldCharType="begin"/>
        </w:r>
        <w:r w:rsidR="00083C97">
          <w:rPr>
            <w:webHidden/>
          </w:rPr>
          <w:instrText xml:space="preserve"> PAGEREF _Toc176344975 \h </w:instrText>
        </w:r>
        <w:r w:rsidR="00083C97">
          <w:rPr>
            <w:webHidden/>
          </w:rPr>
        </w:r>
        <w:r w:rsidR="00083C97">
          <w:rPr>
            <w:webHidden/>
          </w:rPr>
          <w:fldChar w:fldCharType="separate"/>
        </w:r>
        <w:r w:rsidR="00083C97">
          <w:rPr>
            <w:webHidden/>
          </w:rPr>
          <w:t>11</w:t>
        </w:r>
        <w:r w:rsidR="00083C97">
          <w:rPr>
            <w:webHidden/>
          </w:rPr>
          <w:fldChar w:fldCharType="end"/>
        </w:r>
      </w:hyperlink>
    </w:p>
    <w:p w14:paraId="09A498F1" w14:textId="5EF41A75"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76" w:history="1">
        <w:r w:rsidR="00083C97" w:rsidRPr="00331C83">
          <w:rPr>
            <w:rStyle w:val="Hyperlink"/>
          </w:rPr>
          <w:t>Storage</w:t>
        </w:r>
        <w:r w:rsidR="00083C97">
          <w:rPr>
            <w:webHidden/>
          </w:rPr>
          <w:tab/>
        </w:r>
        <w:r w:rsidR="00083C97">
          <w:rPr>
            <w:webHidden/>
          </w:rPr>
          <w:fldChar w:fldCharType="begin"/>
        </w:r>
        <w:r w:rsidR="00083C97">
          <w:rPr>
            <w:webHidden/>
          </w:rPr>
          <w:instrText xml:space="preserve"> PAGEREF _Toc176344976 \h </w:instrText>
        </w:r>
        <w:r w:rsidR="00083C97">
          <w:rPr>
            <w:webHidden/>
          </w:rPr>
        </w:r>
        <w:r w:rsidR="00083C97">
          <w:rPr>
            <w:webHidden/>
          </w:rPr>
          <w:fldChar w:fldCharType="separate"/>
        </w:r>
        <w:r w:rsidR="00083C97">
          <w:rPr>
            <w:webHidden/>
          </w:rPr>
          <w:t>11</w:t>
        </w:r>
        <w:r w:rsidR="00083C97">
          <w:rPr>
            <w:webHidden/>
          </w:rPr>
          <w:fldChar w:fldCharType="end"/>
        </w:r>
      </w:hyperlink>
    </w:p>
    <w:p w14:paraId="0A8C0057" w14:textId="29DB0745"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77" w:history="1">
        <w:r w:rsidR="00083C97" w:rsidRPr="00331C83">
          <w:rPr>
            <w:rStyle w:val="Hyperlink"/>
          </w:rPr>
          <w:t>Vaccine procurement</w:t>
        </w:r>
        <w:r w:rsidR="00083C97">
          <w:rPr>
            <w:webHidden/>
          </w:rPr>
          <w:tab/>
        </w:r>
        <w:r w:rsidR="00083C97">
          <w:rPr>
            <w:webHidden/>
          </w:rPr>
          <w:fldChar w:fldCharType="begin"/>
        </w:r>
        <w:r w:rsidR="00083C97">
          <w:rPr>
            <w:webHidden/>
          </w:rPr>
          <w:instrText xml:space="preserve"> PAGEREF _Toc176344977 \h </w:instrText>
        </w:r>
        <w:r w:rsidR="00083C97">
          <w:rPr>
            <w:webHidden/>
          </w:rPr>
        </w:r>
        <w:r w:rsidR="00083C97">
          <w:rPr>
            <w:webHidden/>
          </w:rPr>
          <w:fldChar w:fldCharType="separate"/>
        </w:r>
        <w:r w:rsidR="00083C97">
          <w:rPr>
            <w:webHidden/>
          </w:rPr>
          <w:t>12</w:t>
        </w:r>
        <w:r w:rsidR="00083C97">
          <w:rPr>
            <w:webHidden/>
          </w:rPr>
          <w:fldChar w:fldCharType="end"/>
        </w:r>
      </w:hyperlink>
    </w:p>
    <w:p w14:paraId="37F5B238" w14:textId="3EA96773"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4978" w:history="1">
        <w:r w:rsidR="00083C97" w:rsidRPr="00331C83">
          <w:rPr>
            <w:rStyle w:val="Hyperlink"/>
          </w:rPr>
          <w:t>Cold chain management</w:t>
        </w:r>
        <w:r w:rsidR="00083C97">
          <w:rPr>
            <w:webHidden/>
          </w:rPr>
          <w:tab/>
        </w:r>
        <w:r w:rsidR="00083C97">
          <w:rPr>
            <w:webHidden/>
          </w:rPr>
          <w:fldChar w:fldCharType="begin"/>
        </w:r>
        <w:r w:rsidR="00083C97">
          <w:rPr>
            <w:webHidden/>
          </w:rPr>
          <w:instrText xml:space="preserve"> PAGEREF _Toc176344978 \h </w:instrText>
        </w:r>
        <w:r w:rsidR="00083C97">
          <w:rPr>
            <w:webHidden/>
          </w:rPr>
        </w:r>
        <w:r w:rsidR="00083C97">
          <w:rPr>
            <w:webHidden/>
          </w:rPr>
          <w:fldChar w:fldCharType="separate"/>
        </w:r>
        <w:r w:rsidR="00083C97">
          <w:rPr>
            <w:webHidden/>
          </w:rPr>
          <w:t>12</w:t>
        </w:r>
        <w:r w:rsidR="00083C97">
          <w:rPr>
            <w:webHidden/>
          </w:rPr>
          <w:fldChar w:fldCharType="end"/>
        </w:r>
      </w:hyperlink>
    </w:p>
    <w:p w14:paraId="67C2D30D" w14:textId="79F42912"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79" w:history="1">
        <w:r w:rsidR="00083C97" w:rsidRPr="00331C83">
          <w:rPr>
            <w:rStyle w:val="Hyperlink"/>
          </w:rPr>
          <w:t>Identifying a cold chain breach</w:t>
        </w:r>
        <w:r w:rsidR="00083C97">
          <w:rPr>
            <w:webHidden/>
          </w:rPr>
          <w:tab/>
        </w:r>
        <w:r w:rsidR="00083C97">
          <w:rPr>
            <w:webHidden/>
          </w:rPr>
          <w:fldChar w:fldCharType="begin"/>
        </w:r>
        <w:r w:rsidR="00083C97">
          <w:rPr>
            <w:webHidden/>
          </w:rPr>
          <w:instrText xml:space="preserve"> PAGEREF _Toc176344979 \h </w:instrText>
        </w:r>
        <w:r w:rsidR="00083C97">
          <w:rPr>
            <w:webHidden/>
          </w:rPr>
        </w:r>
        <w:r w:rsidR="00083C97">
          <w:rPr>
            <w:webHidden/>
          </w:rPr>
          <w:fldChar w:fldCharType="separate"/>
        </w:r>
        <w:r w:rsidR="00083C97">
          <w:rPr>
            <w:webHidden/>
          </w:rPr>
          <w:t>12</w:t>
        </w:r>
        <w:r w:rsidR="00083C97">
          <w:rPr>
            <w:webHidden/>
          </w:rPr>
          <w:fldChar w:fldCharType="end"/>
        </w:r>
      </w:hyperlink>
    </w:p>
    <w:p w14:paraId="38278937" w14:textId="26A3D496"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80" w:history="1">
        <w:r w:rsidR="00083C97" w:rsidRPr="00331C83">
          <w:rPr>
            <w:rStyle w:val="Hyperlink"/>
          </w:rPr>
          <w:t>Reporting a vaccine cold chain breach</w:t>
        </w:r>
        <w:r w:rsidR="00083C97">
          <w:rPr>
            <w:webHidden/>
          </w:rPr>
          <w:tab/>
        </w:r>
        <w:r w:rsidR="00083C97">
          <w:rPr>
            <w:webHidden/>
          </w:rPr>
          <w:fldChar w:fldCharType="begin"/>
        </w:r>
        <w:r w:rsidR="00083C97">
          <w:rPr>
            <w:webHidden/>
          </w:rPr>
          <w:instrText xml:space="preserve"> PAGEREF _Toc176344980 \h </w:instrText>
        </w:r>
        <w:r w:rsidR="00083C97">
          <w:rPr>
            <w:webHidden/>
          </w:rPr>
        </w:r>
        <w:r w:rsidR="00083C97">
          <w:rPr>
            <w:webHidden/>
          </w:rPr>
          <w:fldChar w:fldCharType="separate"/>
        </w:r>
        <w:r w:rsidR="00083C97">
          <w:rPr>
            <w:webHidden/>
          </w:rPr>
          <w:t>12</w:t>
        </w:r>
        <w:r w:rsidR="00083C97">
          <w:rPr>
            <w:webHidden/>
          </w:rPr>
          <w:fldChar w:fldCharType="end"/>
        </w:r>
      </w:hyperlink>
    </w:p>
    <w:p w14:paraId="5FC7E79C" w14:textId="323FF7FF"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4981" w:history="1">
        <w:r w:rsidR="00083C97" w:rsidRPr="00331C83">
          <w:rPr>
            <w:rStyle w:val="Hyperlink"/>
          </w:rPr>
          <w:t>Clinical Guidelines</w:t>
        </w:r>
        <w:r w:rsidR="00083C97">
          <w:rPr>
            <w:webHidden/>
          </w:rPr>
          <w:tab/>
        </w:r>
        <w:r w:rsidR="00083C97">
          <w:rPr>
            <w:webHidden/>
          </w:rPr>
          <w:fldChar w:fldCharType="begin"/>
        </w:r>
        <w:r w:rsidR="00083C97">
          <w:rPr>
            <w:webHidden/>
          </w:rPr>
          <w:instrText xml:space="preserve"> PAGEREF _Toc176344981 \h </w:instrText>
        </w:r>
        <w:r w:rsidR="00083C97">
          <w:rPr>
            <w:webHidden/>
          </w:rPr>
        </w:r>
        <w:r w:rsidR="00083C97">
          <w:rPr>
            <w:webHidden/>
          </w:rPr>
          <w:fldChar w:fldCharType="separate"/>
        </w:r>
        <w:r w:rsidR="00083C97">
          <w:rPr>
            <w:webHidden/>
          </w:rPr>
          <w:t>13</w:t>
        </w:r>
        <w:r w:rsidR="00083C97">
          <w:rPr>
            <w:webHidden/>
          </w:rPr>
          <w:fldChar w:fldCharType="end"/>
        </w:r>
      </w:hyperlink>
    </w:p>
    <w:p w14:paraId="130D2357" w14:textId="360CE085"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82" w:history="1">
        <w:r w:rsidR="00083C97" w:rsidRPr="00331C83">
          <w:rPr>
            <w:rStyle w:val="Hyperlink"/>
          </w:rPr>
          <w:t>Infection prevention and control</w:t>
        </w:r>
        <w:r w:rsidR="00083C97">
          <w:rPr>
            <w:webHidden/>
          </w:rPr>
          <w:tab/>
        </w:r>
        <w:r w:rsidR="00083C97">
          <w:rPr>
            <w:webHidden/>
          </w:rPr>
          <w:fldChar w:fldCharType="begin"/>
        </w:r>
        <w:r w:rsidR="00083C97">
          <w:rPr>
            <w:webHidden/>
          </w:rPr>
          <w:instrText xml:space="preserve"> PAGEREF _Toc176344982 \h </w:instrText>
        </w:r>
        <w:r w:rsidR="00083C97">
          <w:rPr>
            <w:webHidden/>
          </w:rPr>
        </w:r>
        <w:r w:rsidR="00083C97">
          <w:rPr>
            <w:webHidden/>
          </w:rPr>
          <w:fldChar w:fldCharType="separate"/>
        </w:r>
        <w:r w:rsidR="00083C97">
          <w:rPr>
            <w:webHidden/>
          </w:rPr>
          <w:t>13</w:t>
        </w:r>
        <w:r w:rsidR="00083C97">
          <w:rPr>
            <w:webHidden/>
          </w:rPr>
          <w:fldChar w:fldCharType="end"/>
        </w:r>
      </w:hyperlink>
    </w:p>
    <w:p w14:paraId="7A118802" w14:textId="043BC188"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83" w:history="1">
        <w:r w:rsidR="00083C97" w:rsidRPr="00331C83">
          <w:rPr>
            <w:rStyle w:val="Hyperlink"/>
          </w:rPr>
          <w:t>Hand hygiene</w:t>
        </w:r>
        <w:r w:rsidR="00083C97">
          <w:rPr>
            <w:webHidden/>
          </w:rPr>
          <w:tab/>
        </w:r>
        <w:r w:rsidR="00083C97">
          <w:rPr>
            <w:webHidden/>
          </w:rPr>
          <w:fldChar w:fldCharType="begin"/>
        </w:r>
        <w:r w:rsidR="00083C97">
          <w:rPr>
            <w:webHidden/>
          </w:rPr>
          <w:instrText xml:space="preserve"> PAGEREF _Toc176344983 \h </w:instrText>
        </w:r>
        <w:r w:rsidR="00083C97">
          <w:rPr>
            <w:webHidden/>
          </w:rPr>
        </w:r>
        <w:r w:rsidR="00083C97">
          <w:rPr>
            <w:webHidden/>
          </w:rPr>
          <w:fldChar w:fldCharType="separate"/>
        </w:r>
        <w:r w:rsidR="00083C97">
          <w:rPr>
            <w:webHidden/>
          </w:rPr>
          <w:t>13</w:t>
        </w:r>
        <w:r w:rsidR="00083C97">
          <w:rPr>
            <w:webHidden/>
          </w:rPr>
          <w:fldChar w:fldCharType="end"/>
        </w:r>
      </w:hyperlink>
    </w:p>
    <w:p w14:paraId="0D9BB8E7" w14:textId="4AF7F687"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84" w:history="1">
        <w:r w:rsidR="00083C97" w:rsidRPr="00331C83">
          <w:rPr>
            <w:rStyle w:val="Hyperlink"/>
          </w:rPr>
          <w:t>Personal protective equipment (PPE)</w:t>
        </w:r>
        <w:r w:rsidR="00083C97">
          <w:rPr>
            <w:webHidden/>
          </w:rPr>
          <w:tab/>
        </w:r>
        <w:r w:rsidR="00083C97">
          <w:rPr>
            <w:webHidden/>
          </w:rPr>
          <w:fldChar w:fldCharType="begin"/>
        </w:r>
        <w:r w:rsidR="00083C97">
          <w:rPr>
            <w:webHidden/>
          </w:rPr>
          <w:instrText xml:space="preserve"> PAGEREF _Toc176344984 \h </w:instrText>
        </w:r>
        <w:r w:rsidR="00083C97">
          <w:rPr>
            <w:webHidden/>
          </w:rPr>
        </w:r>
        <w:r w:rsidR="00083C97">
          <w:rPr>
            <w:webHidden/>
          </w:rPr>
          <w:fldChar w:fldCharType="separate"/>
        </w:r>
        <w:r w:rsidR="00083C97">
          <w:rPr>
            <w:webHidden/>
          </w:rPr>
          <w:t>14</w:t>
        </w:r>
        <w:r w:rsidR="00083C97">
          <w:rPr>
            <w:webHidden/>
          </w:rPr>
          <w:fldChar w:fldCharType="end"/>
        </w:r>
      </w:hyperlink>
    </w:p>
    <w:p w14:paraId="2A113948" w14:textId="2C50AF49"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85" w:history="1">
        <w:r w:rsidR="00083C97" w:rsidRPr="00331C83">
          <w:rPr>
            <w:rStyle w:val="Hyperlink"/>
          </w:rPr>
          <w:t>Cleaning and disinfection</w:t>
        </w:r>
        <w:r w:rsidR="00083C97">
          <w:rPr>
            <w:webHidden/>
          </w:rPr>
          <w:tab/>
        </w:r>
        <w:r w:rsidR="00083C97">
          <w:rPr>
            <w:webHidden/>
          </w:rPr>
          <w:fldChar w:fldCharType="begin"/>
        </w:r>
        <w:r w:rsidR="00083C97">
          <w:rPr>
            <w:webHidden/>
          </w:rPr>
          <w:instrText xml:space="preserve"> PAGEREF _Toc176344985 \h </w:instrText>
        </w:r>
        <w:r w:rsidR="00083C97">
          <w:rPr>
            <w:webHidden/>
          </w:rPr>
        </w:r>
        <w:r w:rsidR="00083C97">
          <w:rPr>
            <w:webHidden/>
          </w:rPr>
          <w:fldChar w:fldCharType="separate"/>
        </w:r>
        <w:r w:rsidR="00083C97">
          <w:rPr>
            <w:webHidden/>
          </w:rPr>
          <w:t>14</w:t>
        </w:r>
        <w:r w:rsidR="00083C97">
          <w:rPr>
            <w:webHidden/>
          </w:rPr>
          <w:fldChar w:fldCharType="end"/>
        </w:r>
      </w:hyperlink>
    </w:p>
    <w:p w14:paraId="71CF3DF2" w14:textId="4143D9E7"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86" w:history="1">
        <w:r w:rsidR="00083C97" w:rsidRPr="00331C83">
          <w:rPr>
            <w:rStyle w:val="Hyperlink"/>
          </w:rPr>
          <w:t>Waste management and disposal</w:t>
        </w:r>
        <w:r w:rsidR="00083C97">
          <w:rPr>
            <w:webHidden/>
          </w:rPr>
          <w:tab/>
        </w:r>
        <w:r w:rsidR="00083C97">
          <w:rPr>
            <w:webHidden/>
          </w:rPr>
          <w:fldChar w:fldCharType="begin"/>
        </w:r>
        <w:r w:rsidR="00083C97">
          <w:rPr>
            <w:webHidden/>
          </w:rPr>
          <w:instrText xml:space="preserve"> PAGEREF _Toc176344986 \h </w:instrText>
        </w:r>
        <w:r w:rsidR="00083C97">
          <w:rPr>
            <w:webHidden/>
          </w:rPr>
        </w:r>
        <w:r w:rsidR="00083C97">
          <w:rPr>
            <w:webHidden/>
          </w:rPr>
          <w:fldChar w:fldCharType="separate"/>
        </w:r>
        <w:r w:rsidR="00083C97">
          <w:rPr>
            <w:webHidden/>
          </w:rPr>
          <w:t>14</w:t>
        </w:r>
        <w:r w:rsidR="00083C97">
          <w:rPr>
            <w:webHidden/>
          </w:rPr>
          <w:fldChar w:fldCharType="end"/>
        </w:r>
      </w:hyperlink>
    </w:p>
    <w:p w14:paraId="36884EFF" w14:textId="216B1923"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4987" w:history="1">
        <w:r w:rsidR="00083C97" w:rsidRPr="00331C83">
          <w:rPr>
            <w:rStyle w:val="Hyperlink"/>
          </w:rPr>
          <w:t>Vaccination procedures</w:t>
        </w:r>
        <w:r w:rsidR="00083C97">
          <w:rPr>
            <w:webHidden/>
          </w:rPr>
          <w:tab/>
        </w:r>
        <w:r w:rsidR="00083C97">
          <w:rPr>
            <w:webHidden/>
          </w:rPr>
          <w:fldChar w:fldCharType="begin"/>
        </w:r>
        <w:r w:rsidR="00083C97">
          <w:rPr>
            <w:webHidden/>
          </w:rPr>
          <w:instrText xml:space="preserve"> PAGEREF _Toc176344987 \h </w:instrText>
        </w:r>
        <w:r w:rsidR="00083C97">
          <w:rPr>
            <w:webHidden/>
          </w:rPr>
        </w:r>
        <w:r w:rsidR="00083C97">
          <w:rPr>
            <w:webHidden/>
          </w:rPr>
          <w:fldChar w:fldCharType="separate"/>
        </w:r>
        <w:r w:rsidR="00083C97">
          <w:rPr>
            <w:webHidden/>
          </w:rPr>
          <w:t>15</w:t>
        </w:r>
        <w:r w:rsidR="00083C97">
          <w:rPr>
            <w:webHidden/>
          </w:rPr>
          <w:fldChar w:fldCharType="end"/>
        </w:r>
      </w:hyperlink>
    </w:p>
    <w:p w14:paraId="264B5DA3" w14:textId="4DCC8800"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88" w:history="1">
        <w:r w:rsidR="00083C97" w:rsidRPr="00331C83">
          <w:rPr>
            <w:rStyle w:val="Hyperlink"/>
          </w:rPr>
          <w:t>Preparation</w:t>
        </w:r>
        <w:r w:rsidR="00083C97">
          <w:rPr>
            <w:webHidden/>
          </w:rPr>
          <w:tab/>
        </w:r>
        <w:r w:rsidR="00083C97">
          <w:rPr>
            <w:webHidden/>
          </w:rPr>
          <w:fldChar w:fldCharType="begin"/>
        </w:r>
        <w:r w:rsidR="00083C97">
          <w:rPr>
            <w:webHidden/>
          </w:rPr>
          <w:instrText xml:space="preserve"> PAGEREF _Toc176344988 \h </w:instrText>
        </w:r>
        <w:r w:rsidR="00083C97">
          <w:rPr>
            <w:webHidden/>
          </w:rPr>
        </w:r>
        <w:r w:rsidR="00083C97">
          <w:rPr>
            <w:webHidden/>
          </w:rPr>
          <w:fldChar w:fldCharType="separate"/>
        </w:r>
        <w:r w:rsidR="00083C97">
          <w:rPr>
            <w:webHidden/>
          </w:rPr>
          <w:t>15</w:t>
        </w:r>
        <w:r w:rsidR="00083C97">
          <w:rPr>
            <w:webHidden/>
          </w:rPr>
          <w:fldChar w:fldCharType="end"/>
        </w:r>
      </w:hyperlink>
    </w:p>
    <w:p w14:paraId="3453F741" w14:textId="2FBE4FD5"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89" w:history="1">
        <w:r w:rsidR="00083C97" w:rsidRPr="00331C83">
          <w:rPr>
            <w:rStyle w:val="Hyperlink"/>
          </w:rPr>
          <w:t>Preparation for subcutaneous administration</w:t>
        </w:r>
        <w:r w:rsidR="00083C97">
          <w:rPr>
            <w:webHidden/>
          </w:rPr>
          <w:tab/>
        </w:r>
        <w:r w:rsidR="00083C97">
          <w:rPr>
            <w:webHidden/>
          </w:rPr>
          <w:fldChar w:fldCharType="begin"/>
        </w:r>
        <w:r w:rsidR="00083C97">
          <w:rPr>
            <w:webHidden/>
          </w:rPr>
          <w:instrText xml:space="preserve"> PAGEREF _Toc176344989 \h </w:instrText>
        </w:r>
        <w:r w:rsidR="00083C97">
          <w:rPr>
            <w:webHidden/>
          </w:rPr>
        </w:r>
        <w:r w:rsidR="00083C97">
          <w:rPr>
            <w:webHidden/>
          </w:rPr>
          <w:fldChar w:fldCharType="separate"/>
        </w:r>
        <w:r w:rsidR="00083C97">
          <w:rPr>
            <w:webHidden/>
          </w:rPr>
          <w:t>15</w:t>
        </w:r>
        <w:r w:rsidR="00083C97">
          <w:rPr>
            <w:webHidden/>
          </w:rPr>
          <w:fldChar w:fldCharType="end"/>
        </w:r>
      </w:hyperlink>
    </w:p>
    <w:p w14:paraId="14414591" w14:textId="7C876A93"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90" w:history="1">
        <w:r w:rsidR="00083C97" w:rsidRPr="00331C83">
          <w:rPr>
            <w:rStyle w:val="Hyperlink"/>
          </w:rPr>
          <w:t>Subcutaneous administration</w:t>
        </w:r>
        <w:r w:rsidR="00083C97">
          <w:rPr>
            <w:webHidden/>
          </w:rPr>
          <w:tab/>
        </w:r>
        <w:r w:rsidR="00083C97">
          <w:rPr>
            <w:webHidden/>
          </w:rPr>
          <w:fldChar w:fldCharType="begin"/>
        </w:r>
        <w:r w:rsidR="00083C97">
          <w:rPr>
            <w:webHidden/>
          </w:rPr>
          <w:instrText xml:space="preserve"> PAGEREF _Toc176344990 \h </w:instrText>
        </w:r>
        <w:r w:rsidR="00083C97">
          <w:rPr>
            <w:webHidden/>
          </w:rPr>
        </w:r>
        <w:r w:rsidR="00083C97">
          <w:rPr>
            <w:webHidden/>
          </w:rPr>
          <w:fldChar w:fldCharType="separate"/>
        </w:r>
        <w:r w:rsidR="00083C97">
          <w:rPr>
            <w:webHidden/>
          </w:rPr>
          <w:t>17</w:t>
        </w:r>
        <w:r w:rsidR="00083C97">
          <w:rPr>
            <w:webHidden/>
          </w:rPr>
          <w:fldChar w:fldCharType="end"/>
        </w:r>
      </w:hyperlink>
    </w:p>
    <w:p w14:paraId="2716940F" w14:textId="07107226"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91" w:history="1">
        <w:r w:rsidR="00083C97" w:rsidRPr="00331C83">
          <w:rPr>
            <w:rStyle w:val="Hyperlink"/>
            <w:rFonts w:eastAsia="MS Gothic"/>
          </w:rPr>
          <w:t>Preparation for intradermal administration</w:t>
        </w:r>
        <w:r w:rsidR="00083C97">
          <w:rPr>
            <w:webHidden/>
          </w:rPr>
          <w:tab/>
        </w:r>
        <w:r w:rsidR="00083C97">
          <w:rPr>
            <w:webHidden/>
          </w:rPr>
          <w:fldChar w:fldCharType="begin"/>
        </w:r>
        <w:r w:rsidR="00083C97">
          <w:rPr>
            <w:webHidden/>
          </w:rPr>
          <w:instrText xml:space="preserve"> PAGEREF _Toc176344991 \h </w:instrText>
        </w:r>
        <w:r w:rsidR="00083C97">
          <w:rPr>
            <w:webHidden/>
          </w:rPr>
        </w:r>
        <w:r w:rsidR="00083C97">
          <w:rPr>
            <w:webHidden/>
          </w:rPr>
          <w:fldChar w:fldCharType="separate"/>
        </w:r>
        <w:r w:rsidR="00083C97">
          <w:rPr>
            <w:webHidden/>
          </w:rPr>
          <w:t>18</w:t>
        </w:r>
        <w:r w:rsidR="00083C97">
          <w:rPr>
            <w:webHidden/>
          </w:rPr>
          <w:fldChar w:fldCharType="end"/>
        </w:r>
      </w:hyperlink>
    </w:p>
    <w:p w14:paraId="283AC8C2" w14:textId="46413339"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92" w:history="1">
        <w:r w:rsidR="00083C97" w:rsidRPr="00331C83">
          <w:rPr>
            <w:rStyle w:val="Hyperlink"/>
          </w:rPr>
          <w:t>Considerations for multi-use vials</w:t>
        </w:r>
        <w:r w:rsidR="00083C97">
          <w:rPr>
            <w:webHidden/>
          </w:rPr>
          <w:tab/>
        </w:r>
        <w:r w:rsidR="00083C97">
          <w:rPr>
            <w:webHidden/>
          </w:rPr>
          <w:fldChar w:fldCharType="begin"/>
        </w:r>
        <w:r w:rsidR="00083C97">
          <w:rPr>
            <w:webHidden/>
          </w:rPr>
          <w:instrText xml:space="preserve"> PAGEREF _Toc176344992 \h </w:instrText>
        </w:r>
        <w:r w:rsidR="00083C97">
          <w:rPr>
            <w:webHidden/>
          </w:rPr>
        </w:r>
        <w:r w:rsidR="00083C97">
          <w:rPr>
            <w:webHidden/>
          </w:rPr>
          <w:fldChar w:fldCharType="separate"/>
        </w:r>
        <w:r w:rsidR="00083C97">
          <w:rPr>
            <w:webHidden/>
          </w:rPr>
          <w:t>20</w:t>
        </w:r>
        <w:r w:rsidR="00083C97">
          <w:rPr>
            <w:webHidden/>
          </w:rPr>
          <w:fldChar w:fldCharType="end"/>
        </w:r>
      </w:hyperlink>
    </w:p>
    <w:p w14:paraId="723494FD" w14:textId="05C418B2"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93" w:history="1">
        <w:r w:rsidR="00083C97" w:rsidRPr="00331C83">
          <w:rPr>
            <w:rStyle w:val="Hyperlink"/>
          </w:rPr>
          <w:t>Intradermal administration technique</w:t>
        </w:r>
        <w:r w:rsidR="00083C97">
          <w:rPr>
            <w:webHidden/>
          </w:rPr>
          <w:tab/>
        </w:r>
        <w:r w:rsidR="00083C97">
          <w:rPr>
            <w:webHidden/>
          </w:rPr>
          <w:fldChar w:fldCharType="begin"/>
        </w:r>
        <w:r w:rsidR="00083C97">
          <w:rPr>
            <w:webHidden/>
          </w:rPr>
          <w:instrText xml:space="preserve"> PAGEREF _Toc176344993 \h </w:instrText>
        </w:r>
        <w:r w:rsidR="00083C97">
          <w:rPr>
            <w:webHidden/>
          </w:rPr>
        </w:r>
        <w:r w:rsidR="00083C97">
          <w:rPr>
            <w:webHidden/>
          </w:rPr>
          <w:fldChar w:fldCharType="separate"/>
        </w:r>
        <w:r w:rsidR="00083C97">
          <w:rPr>
            <w:webHidden/>
          </w:rPr>
          <w:t>21</w:t>
        </w:r>
        <w:r w:rsidR="00083C97">
          <w:rPr>
            <w:webHidden/>
          </w:rPr>
          <w:fldChar w:fldCharType="end"/>
        </w:r>
      </w:hyperlink>
    </w:p>
    <w:p w14:paraId="664497EF" w14:textId="39F8F485"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94" w:history="1">
        <w:r w:rsidR="00083C97" w:rsidRPr="00331C83">
          <w:rPr>
            <w:rStyle w:val="Hyperlink"/>
          </w:rPr>
          <w:t>After vaccination</w:t>
        </w:r>
        <w:r w:rsidR="00083C97">
          <w:rPr>
            <w:webHidden/>
          </w:rPr>
          <w:tab/>
        </w:r>
        <w:r w:rsidR="00083C97">
          <w:rPr>
            <w:webHidden/>
          </w:rPr>
          <w:fldChar w:fldCharType="begin"/>
        </w:r>
        <w:r w:rsidR="00083C97">
          <w:rPr>
            <w:webHidden/>
          </w:rPr>
          <w:instrText xml:space="preserve"> PAGEREF _Toc176344994 \h </w:instrText>
        </w:r>
        <w:r w:rsidR="00083C97">
          <w:rPr>
            <w:webHidden/>
          </w:rPr>
        </w:r>
        <w:r w:rsidR="00083C97">
          <w:rPr>
            <w:webHidden/>
          </w:rPr>
          <w:fldChar w:fldCharType="separate"/>
        </w:r>
        <w:r w:rsidR="00083C97">
          <w:rPr>
            <w:webHidden/>
          </w:rPr>
          <w:t>25</w:t>
        </w:r>
        <w:r w:rsidR="00083C97">
          <w:rPr>
            <w:webHidden/>
          </w:rPr>
          <w:fldChar w:fldCharType="end"/>
        </w:r>
      </w:hyperlink>
    </w:p>
    <w:p w14:paraId="7085868F" w14:textId="4040781D"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4995" w:history="1">
        <w:r w:rsidR="00083C97" w:rsidRPr="00331C83">
          <w:rPr>
            <w:rStyle w:val="Hyperlink"/>
          </w:rPr>
          <w:t>Vaccine safety</w:t>
        </w:r>
        <w:r w:rsidR="00083C97">
          <w:rPr>
            <w:webHidden/>
          </w:rPr>
          <w:tab/>
        </w:r>
        <w:r w:rsidR="00083C97">
          <w:rPr>
            <w:webHidden/>
          </w:rPr>
          <w:fldChar w:fldCharType="begin"/>
        </w:r>
        <w:r w:rsidR="00083C97">
          <w:rPr>
            <w:webHidden/>
          </w:rPr>
          <w:instrText xml:space="preserve"> PAGEREF _Toc176344995 \h </w:instrText>
        </w:r>
        <w:r w:rsidR="00083C97">
          <w:rPr>
            <w:webHidden/>
          </w:rPr>
        </w:r>
        <w:r w:rsidR="00083C97">
          <w:rPr>
            <w:webHidden/>
          </w:rPr>
          <w:fldChar w:fldCharType="separate"/>
        </w:r>
        <w:r w:rsidR="00083C97">
          <w:rPr>
            <w:webHidden/>
          </w:rPr>
          <w:t>26</w:t>
        </w:r>
        <w:r w:rsidR="00083C97">
          <w:rPr>
            <w:webHidden/>
          </w:rPr>
          <w:fldChar w:fldCharType="end"/>
        </w:r>
      </w:hyperlink>
    </w:p>
    <w:p w14:paraId="4D881AE1" w14:textId="4198C456"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96" w:history="1">
        <w:r w:rsidR="00083C97" w:rsidRPr="00331C83">
          <w:rPr>
            <w:rStyle w:val="Hyperlink"/>
          </w:rPr>
          <w:t>Storage of multiple vaccine types in a shared location</w:t>
        </w:r>
        <w:r w:rsidR="00083C97">
          <w:rPr>
            <w:webHidden/>
          </w:rPr>
          <w:tab/>
        </w:r>
        <w:r w:rsidR="00083C97">
          <w:rPr>
            <w:webHidden/>
          </w:rPr>
          <w:fldChar w:fldCharType="begin"/>
        </w:r>
        <w:r w:rsidR="00083C97">
          <w:rPr>
            <w:webHidden/>
          </w:rPr>
          <w:instrText xml:space="preserve"> PAGEREF _Toc176344996 \h </w:instrText>
        </w:r>
        <w:r w:rsidR="00083C97">
          <w:rPr>
            <w:webHidden/>
          </w:rPr>
        </w:r>
        <w:r w:rsidR="00083C97">
          <w:rPr>
            <w:webHidden/>
          </w:rPr>
          <w:fldChar w:fldCharType="separate"/>
        </w:r>
        <w:r w:rsidR="00083C97">
          <w:rPr>
            <w:webHidden/>
          </w:rPr>
          <w:t>26</w:t>
        </w:r>
        <w:r w:rsidR="00083C97">
          <w:rPr>
            <w:webHidden/>
          </w:rPr>
          <w:fldChar w:fldCharType="end"/>
        </w:r>
      </w:hyperlink>
    </w:p>
    <w:p w14:paraId="797BF82F" w14:textId="09A104C8"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97" w:history="1">
        <w:r w:rsidR="00083C97" w:rsidRPr="00331C83">
          <w:rPr>
            <w:rStyle w:val="Hyperlink"/>
          </w:rPr>
          <w:t>Safety Updates</w:t>
        </w:r>
        <w:r w:rsidR="00083C97">
          <w:rPr>
            <w:webHidden/>
          </w:rPr>
          <w:tab/>
        </w:r>
        <w:r w:rsidR="00083C97">
          <w:rPr>
            <w:webHidden/>
          </w:rPr>
          <w:fldChar w:fldCharType="begin"/>
        </w:r>
        <w:r w:rsidR="00083C97">
          <w:rPr>
            <w:webHidden/>
          </w:rPr>
          <w:instrText xml:space="preserve"> PAGEREF _Toc176344997 \h </w:instrText>
        </w:r>
        <w:r w:rsidR="00083C97">
          <w:rPr>
            <w:webHidden/>
          </w:rPr>
        </w:r>
        <w:r w:rsidR="00083C97">
          <w:rPr>
            <w:webHidden/>
          </w:rPr>
          <w:fldChar w:fldCharType="separate"/>
        </w:r>
        <w:r w:rsidR="00083C97">
          <w:rPr>
            <w:webHidden/>
          </w:rPr>
          <w:t>26</w:t>
        </w:r>
        <w:r w:rsidR="00083C97">
          <w:rPr>
            <w:webHidden/>
          </w:rPr>
          <w:fldChar w:fldCharType="end"/>
        </w:r>
      </w:hyperlink>
    </w:p>
    <w:p w14:paraId="23ED2A19" w14:textId="2F29B7A4"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98" w:history="1">
        <w:r w:rsidR="00083C97" w:rsidRPr="00331C83">
          <w:rPr>
            <w:rStyle w:val="Hyperlink"/>
          </w:rPr>
          <w:t>Vaccine administration errors</w:t>
        </w:r>
        <w:r w:rsidR="00083C97">
          <w:rPr>
            <w:webHidden/>
          </w:rPr>
          <w:tab/>
        </w:r>
        <w:r w:rsidR="00083C97">
          <w:rPr>
            <w:webHidden/>
          </w:rPr>
          <w:fldChar w:fldCharType="begin"/>
        </w:r>
        <w:r w:rsidR="00083C97">
          <w:rPr>
            <w:webHidden/>
          </w:rPr>
          <w:instrText xml:space="preserve"> PAGEREF _Toc176344998 \h </w:instrText>
        </w:r>
        <w:r w:rsidR="00083C97">
          <w:rPr>
            <w:webHidden/>
          </w:rPr>
        </w:r>
        <w:r w:rsidR="00083C97">
          <w:rPr>
            <w:webHidden/>
          </w:rPr>
          <w:fldChar w:fldCharType="separate"/>
        </w:r>
        <w:r w:rsidR="00083C97">
          <w:rPr>
            <w:webHidden/>
          </w:rPr>
          <w:t>26</w:t>
        </w:r>
        <w:r w:rsidR="00083C97">
          <w:rPr>
            <w:webHidden/>
          </w:rPr>
          <w:fldChar w:fldCharType="end"/>
        </w:r>
      </w:hyperlink>
    </w:p>
    <w:p w14:paraId="5C74C0D8" w14:textId="1CF3D269"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4999" w:history="1">
        <w:r w:rsidR="00083C97" w:rsidRPr="00331C83">
          <w:rPr>
            <w:rStyle w:val="Hyperlink"/>
          </w:rPr>
          <w:t>Adverse Events Following Immunisation (AEFI) – Reporting and Management</w:t>
        </w:r>
        <w:r w:rsidR="00083C97">
          <w:rPr>
            <w:webHidden/>
          </w:rPr>
          <w:tab/>
        </w:r>
        <w:r w:rsidR="00083C97">
          <w:rPr>
            <w:webHidden/>
          </w:rPr>
          <w:fldChar w:fldCharType="begin"/>
        </w:r>
        <w:r w:rsidR="00083C97">
          <w:rPr>
            <w:webHidden/>
          </w:rPr>
          <w:instrText xml:space="preserve"> PAGEREF _Toc176344999 \h </w:instrText>
        </w:r>
        <w:r w:rsidR="00083C97">
          <w:rPr>
            <w:webHidden/>
          </w:rPr>
        </w:r>
        <w:r w:rsidR="00083C97">
          <w:rPr>
            <w:webHidden/>
          </w:rPr>
          <w:fldChar w:fldCharType="separate"/>
        </w:r>
        <w:r w:rsidR="00083C97">
          <w:rPr>
            <w:webHidden/>
          </w:rPr>
          <w:t>28</w:t>
        </w:r>
        <w:r w:rsidR="00083C97">
          <w:rPr>
            <w:webHidden/>
          </w:rPr>
          <w:fldChar w:fldCharType="end"/>
        </w:r>
      </w:hyperlink>
    </w:p>
    <w:p w14:paraId="06170E6A" w14:textId="558FDD56"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00" w:history="1">
        <w:r w:rsidR="00083C97" w:rsidRPr="00331C83">
          <w:rPr>
            <w:rStyle w:val="Hyperlink"/>
          </w:rPr>
          <w:t>Workforce and Regulation</w:t>
        </w:r>
        <w:r w:rsidR="00083C97">
          <w:rPr>
            <w:webHidden/>
          </w:rPr>
          <w:tab/>
        </w:r>
        <w:r w:rsidR="00083C97">
          <w:rPr>
            <w:webHidden/>
          </w:rPr>
          <w:fldChar w:fldCharType="begin"/>
        </w:r>
        <w:r w:rsidR="00083C97">
          <w:rPr>
            <w:webHidden/>
          </w:rPr>
          <w:instrText xml:space="preserve"> PAGEREF _Toc176345000 \h </w:instrText>
        </w:r>
        <w:r w:rsidR="00083C97">
          <w:rPr>
            <w:webHidden/>
          </w:rPr>
        </w:r>
        <w:r w:rsidR="00083C97">
          <w:rPr>
            <w:webHidden/>
          </w:rPr>
          <w:fldChar w:fldCharType="separate"/>
        </w:r>
        <w:r w:rsidR="00083C97">
          <w:rPr>
            <w:webHidden/>
          </w:rPr>
          <w:t>30</w:t>
        </w:r>
        <w:r w:rsidR="00083C97">
          <w:rPr>
            <w:webHidden/>
          </w:rPr>
          <w:fldChar w:fldCharType="end"/>
        </w:r>
      </w:hyperlink>
    </w:p>
    <w:p w14:paraId="3D90BA38" w14:textId="625F4D5D"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5001" w:history="1">
        <w:r w:rsidR="00083C97" w:rsidRPr="00331C83">
          <w:rPr>
            <w:rStyle w:val="Hyperlink"/>
          </w:rPr>
          <w:t>Legislative and regulatory framework</w:t>
        </w:r>
        <w:r w:rsidR="00083C97">
          <w:rPr>
            <w:webHidden/>
          </w:rPr>
          <w:tab/>
        </w:r>
        <w:r w:rsidR="00083C97">
          <w:rPr>
            <w:webHidden/>
          </w:rPr>
          <w:fldChar w:fldCharType="begin"/>
        </w:r>
        <w:r w:rsidR="00083C97">
          <w:rPr>
            <w:webHidden/>
          </w:rPr>
          <w:instrText xml:space="preserve"> PAGEREF _Toc176345001 \h </w:instrText>
        </w:r>
        <w:r w:rsidR="00083C97">
          <w:rPr>
            <w:webHidden/>
          </w:rPr>
        </w:r>
        <w:r w:rsidR="00083C97">
          <w:rPr>
            <w:webHidden/>
          </w:rPr>
          <w:fldChar w:fldCharType="separate"/>
        </w:r>
        <w:r w:rsidR="00083C97">
          <w:rPr>
            <w:webHidden/>
          </w:rPr>
          <w:t>30</w:t>
        </w:r>
        <w:r w:rsidR="00083C97">
          <w:rPr>
            <w:webHidden/>
          </w:rPr>
          <w:fldChar w:fldCharType="end"/>
        </w:r>
      </w:hyperlink>
    </w:p>
    <w:p w14:paraId="7444DBA5" w14:textId="5D7EBC88"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5002" w:history="1">
        <w:r w:rsidR="00083C97" w:rsidRPr="00331C83">
          <w:rPr>
            <w:rStyle w:val="Hyperlink"/>
          </w:rPr>
          <w:t>Workforce requirements</w:t>
        </w:r>
        <w:r w:rsidR="00083C97">
          <w:rPr>
            <w:webHidden/>
          </w:rPr>
          <w:tab/>
        </w:r>
        <w:r w:rsidR="00083C97">
          <w:rPr>
            <w:webHidden/>
          </w:rPr>
          <w:fldChar w:fldCharType="begin"/>
        </w:r>
        <w:r w:rsidR="00083C97">
          <w:rPr>
            <w:webHidden/>
          </w:rPr>
          <w:instrText xml:space="preserve"> PAGEREF _Toc176345002 \h </w:instrText>
        </w:r>
        <w:r w:rsidR="00083C97">
          <w:rPr>
            <w:webHidden/>
          </w:rPr>
        </w:r>
        <w:r w:rsidR="00083C97">
          <w:rPr>
            <w:webHidden/>
          </w:rPr>
          <w:fldChar w:fldCharType="separate"/>
        </w:r>
        <w:r w:rsidR="00083C97">
          <w:rPr>
            <w:webHidden/>
          </w:rPr>
          <w:t>36</w:t>
        </w:r>
        <w:r w:rsidR="00083C97">
          <w:rPr>
            <w:webHidden/>
          </w:rPr>
          <w:fldChar w:fldCharType="end"/>
        </w:r>
      </w:hyperlink>
    </w:p>
    <w:p w14:paraId="10AB38F6" w14:textId="72547CC8" w:rsidR="00083C97" w:rsidRDefault="00000000">
      <w:pPr>
        <w:pStyle w:val="TOC2"/>
        <w:rPr>
          <w:rFonts w:asciiTheme="minorHAnsi" w:eastAsiaTheme="minorEastAsia" w:hAnsiTheme="minorHAnsi" w:cstheme="minorBidi"/>
          <w:kern w:val="2"/>
          <w:sz w:val="24"/>
          <w:szCs w:val="24"/>
          <w:lang w:eastAsia="en-AU"/>
          <w14:ligatures w14:val="standardContextual"/>
        </w:rPr>
      </w:pPr>
      <w:hyperlink w:anchor="_Toc176345003" w:history="1">
        <w:r w:rsidR="00083C97" w:rsidRPr="00331C83">
          <w:rPr>
            <w:rStyle w:val="Hyperlink"/>
          </w:rPr>
          <w:t>Emergency response</w:t>
        </w:r>
        <w:r w:rsidR="00083C97">
          <w:rPr>
            <w:webHidden/>
          </w:rPr>
          <w:tab/>
        </w:r>
        <w:r w:rsidR="00083C97">
          <w:rPr>
            <w:webHidden/>
          </w:rPr>
          <w:fldChar w:fldCharType="begin"/>
        </w:r>
        <w:r w:rsidR="00083C97">
          <w:rPr>
            <w:webHidden/>
          </w:rPr>
          <w:instrText xml:space="preserve"> PAGEREF _Toc176345003 \h </w:instrText>
        </w:r>
        <w:r w:rsidR="00083C97">
          <w:rPr>
            <w:webHidden/>
          </w:rPr>
        </w:r>
        <w:r w:rsidR="00083C97">
          <w:rPr>
            <w:webHidden/>
          </w:rPr>
          <w:fldChar w:fldCharType="separate"/>
        </w:r>
        <w:r w:rsidR="00083C97">
          <w:rPr>
            <w:webHidden/>
          </w:rPr>
          <w:t>37</w:t>
        </w:r>
        <w:r w:rsidR="00083C97">
          <w:rPr>
            <w:webHidden/>
          </w:rPr>
          <w:fldChar w:fldCharType="end"/>
        </w:r>
      </w:hyperlink>
    </w:p>
    <w:p w14:paraId="13B4FE20" w14:textId="313E4AC1"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04" w:history="1">
        <w:r w:rsidR="00083C97" w:rsidRPr="00331C83">
          <w:rPr>
            <w:rStyle w:val="Hyperlink"/>
          </w:rPr>
          <w:t>Additional resources</w:t>
        </w:r>
        <w:r w:rsidR="00083C97">
          <w:rPr>
            <w:webHidden/>
          </w:rPr>
          <w:tab/>
        </w:r>
        <w:r w:rsidR="00083C97">
          <w:rPr>
            <w:webHidden/>
          </w:rPr>
          <w:fldChar w:fldCharType="begin"/>
        </w:r>
        <w:r w:rsidR="00083C97">
          <w:rPr>
            <w:webHidden/>
          </w:rPr>
          <w:instrText xml:space="preserve"> PAGEREF _Toc176345004 \h </w:instrText>
        </w:r>
        <w:r w:rsidR="00083C97">
          <w:rPr>
            <w:webHidden/>
          </w:rPr>
        </w:r>
        <w:r w:rsidR="00083C97">
          <w:rPr>
            <w:webHidden/>
          </w:rPr>
          <w:fldChar w:fldCharType="separate"/>
        </w:r>
        <w:r w:rsidR="00083C97">
          <w:rPr>
            <w:webHidden/>
          </w:rPr>
          <w:t>38</w:t>
        </w:r>
        <w:r w:rsidR="00083C97">
          <w:rPr>
            <w:webHidden/>
          </w:rPr>
          <w:fldChar w:fldCharType="end"/>
        </w:r>
      </w:hyperlink>
    </w:p>
    <w:p w14:paraId="2185D36A" w14:textId="37C93019"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05" w:history="1">
        <w:r w:rsidR="00083C97" w:rsidRPr="00331C83">
          <w:rPr>
            <w:rStyle w:val="Hyperlink"/>
          </w:rPr>
          <w:t>Appendix 1: Contact information</w:t>
        </w:r>
        <w:r w:rsidR="00083C97">
          <w:rPr>
            <w:webHidden/>
          </w:rPr>
          <w:tab/>
        </w:r>
        <w:r w:rsidR="00083C97">
          <w:rPr>
            <w:webHidden/>
          </w:rPr>
          <w:fldChar w:fldCharType="begin"/>
        </w:r>
        <w:r w:rsidR="00083C97">
          <w:rPr>
            <w:webHidden/>
          </w:rPr>
          <w:instrText xml:space="preserve"> PAGEREF _Toc176345005 \h </w:instrText>
        </w:r>
        <w:r w:rsidR="00083C97">
          <w:rPr>
            <w:webHidden/>
          </w:rPr>
        </w:r>
        <w:r w:rsidR="00083C97">
          <w:rPr>
            <w:webHidden/>
          </w:rPr>
          <w:fldChar w:fldCharType="separate"/>
        </w:r>
        <w:r w:rsidR="00083C97">
          <w:rPr>
            <w:webHidden/>
          </w:rPr>
          <w:t>40</w:t>
        </w:r>
        <w:r w:rsidR="00083C97">
          <w:rPr>
            <w:webHidden/>
          </w:rPr>
          <w:fldChar w:fldCharType="end"/>
        </w:r>
      </w:hyperlink>
    </w:p>
    <w:p w14:paraId="260C4F6B" w14:textId="74CC2868"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06" w:history="1">
        <w:r w:rsidR="00083C97" w:rsidRPr="00331C83">
          <w:rPr>
            <w:rStyle w:val="Hyperlink"/>
          </w:rPr>
          <w:t>Appendix 2: Safe vaccine storage – data loggers</w:t>
        </w:r>
        <w:r w:rsidR="00083C97">
          <w:rPr>
            <w:webHidden/>
          </w:rPr>
          <w:tab/>
        </w:r>
        <w:r w:rsidR="00083C97">
          <w:rPr>
            <w:webHidden/>
          </w:rPr>
          <w:fldChar w:fldCharType="begin"/>
        </w:r>
        <w:r w:rsidR="00083C97">
          <w:rPr>
            <w:webHidden/>
          </w:rPr>
          <w:instrText xml:space="preserve"> PAGEREF _Toc176345006 \h </w:instrText>
        </w:r>
        <w:r w:rsidR="00083C97">
          <w:rPr>
            <w:webHidden/>
          </w:rPr>
        </w:r>
        <w:r w:rsidR="00083C97">
          <w:rPr>
            <w:webHidden/>
          </w:rPr>
          <w:fldChar w:fldCharType="separate"/>
        </w:r>
        <w:r w:rsidR="00083C97">
          <w:rPr>
            <w:webHidden/>
          </w:rPr>
          <w:t>41</w:t>
        </w:r>
        <w:r w:rsidR="00083C97">
          <w:rPr>
            <w:webHidden/>
          </w:rPr>
          <w:fldChar w:fldCharType="end"/>
        </w:r>
      </w:hyperlink>
    </w:p>
    <w:p w14:paraId="414F8168" w14:textId="6673F5B7"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07" w:history="1">
        <w:r w:rsidR="00083C97" w:rsidRPr="00331C83">
          <w:rPr>
            <w:rStyle w:val="Hyperlink"/>
          </w:rPr>
          <w:t>Appendix 3: Cold chain management checklists</w:t>
        </w:r>
        <w:r w:rsidR="00083C97">
          <w:rPr>
            <w:webHidden/>
          </w:rPr>
          <w:tab/>
        </w:r>
        <w:r w:rsidR="00083C97">
          <w:rPr>
            <w:webHidden/>
          </w:rPr>
          <w:fldChar w:fldCharType="begin"/>
        </w:r>
        <w:r w:rsidR="00083C97">
          <w:rPr>
            <w:webHidden/>
          </w:rPr>
          <w:instrText xml:space="preserve"> PAGEREF _Toc176345007 \h </w:instrText>
        </w:r>
        <w:r w:rsidR="00083C97">
          <w:rPr>
            <w:webHidden/>
          </w:rPr>
        </w:r>
        <w:r w:rsidR="00083C97">
          <w:rPr>
            <w:webHidden/>
          </w:rPr>
          <w:fldChar w:fldCharType="separate"/>
        </w:r>
        <w:r w:rsidR="00083C97">
          <w:rPr>
            <w:webHidden/>
          </w:rPr>
          <w:t>44</w:t>
        </w:r>
        <w:r w:rsidR="00083C97">
          <w:rPr>
            <w:webHidden/>
          </w:rPr>
          <w:fldChar w:fldCharType="end"/>
        </w:r>
      </w:hyperlink>
    </w:p>
    <w:p w14:paraId="22243BD7" w14:textId="193BE7A5"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08" w:history="1">
        <w:r w:rsidR="00083C97" w:rsidRPr="00331C83">
          <w:rPr>
            <w:rStyle w:val="Hyperlink"/>
          </w:rPr>
          <w:t>Appendix 4 Vaccine temperature monitoring form for outreach mobile services</w:t>
        </w:r>
        <w:r w:rsidR="00083C97">
          <w:rPr>
            <w:webHidden/>
          </w:rPr>
          <w:tab/>
        </w:r>
        <w:r w:rsidR="00083C97">
          <w:rPr>
            <w:webHidden/>
          </w:rPr>
          <w:fldChar w:fldCharType="begin"/>
        </w:r>
        <w:r w:rsidR="00083C97">
          <w:rPr>
            <w:webHidden/>
          </w:rPr>
          <w:instrText xml:space="preserve"> PAGEREF _Toc176345008 \h </w:instrText>
        </w:r>
        <w:r w:rsidR="00083C97">
          <w:rPr>
            <w:webHidden/>
          </w:rPr>
        </w:r>
        <w:r w:rsidR="00083C97">
          <w:rPr>
            <w:webHidden/>
          </w:rPr>
          <w:fldChar w:fldCharType="separate"/>
        </w:r>
        <w:r w:rsidR="00083C97">
          <w:rPr>
            <w:webHidden/>
          </w:rPr>
          <w:t>46</w:t>
        </w:r>
        <w:r w:rsidR="00083C97">
          <w:rPr>
            <w:webHidden/>
          </w:rPr>
          <w:fldChar w:fldCharType="end"/>
        </w:r>
      </w:hyperlink>
    </w:p>
    <w:p w14:paraId="63185E67" w14:textId="644161B8"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09" w:history="1">
        <w:r w:rsidR="00083C97" w:rsidRPr="00331C83">
          <w:rPr>
            <w:rStyle w:val="Hyperlink"/>
          </w:rPr>
          <w:t>Appendix 5: Guidance – differentiating anaphylaxis from acute stress response for vaccine providers and emergency departments</w:t>
        </w:r>
        <w:r w:rsidR="00083C97">
          <w:rPr>
            <w:webHidden/>
          </w:rPr>
          <w:tab/>
        </w:r>
        <w:r w:rsidR="00083C97">
          <w:rPr>
            <w:webHidden/>
          </w:rPr>
          <w:fldChar w:fldCharType="begin"/>
        </w:r>
        <w:r w:rsidR="00083C97">
          <w:rPr>
            <w:webHidden/>
          </w:rPr>
          <w:instrText xml:space="preserve"> PAGEREF _Toc176345009 \h </w:instrText>
        </w:r>
        <w:r w:rsidR="00083C97">
          <w:rPr>
            <w:webHidden/>
          </w:rPr>
        </w:r>
        <w:r w:rsidR="00083C97">
          <w:rPr>
            <w:webHidden/>
          </w:rPr>
          <w:fldChar w:fldCharType="separate"/>
        </w:r>
        <w:r w:rsidR="00083C97">
          <w:rPr>
            <w:webHidden/>
          </w:rPr>
          <w:t>47</w:t>
        </w:r>
        <w:r w:rsidR="00083C97">
          <w:rPr>
            <w:webHidden/>
          </w:rPr>
          <w:fldChar w:fldCharType="end"/>
        </w:r>
      </w:hyperlink>
    </w:p>
    <w:p w14:paraId="38EA7135" w14:textId="0774FA2C"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10" w:history="1">
        <w:r w:rsidR="00083C97" w:rsidRPr="00331C83">
          <w:rPr>
            <w:rStyle w:val="Hyperlink"/>
          </w:rPr>
          <w:t>Appendix 6: Factsheet – Adverse Events Following Immunisation (AEFI) - including vaccine error</w:t>
        </w:r>
        <w:r w:rsidR="00083C97">
          <w:rPr>
            <w:webHidden/>
          </w:rPr>
          <w:tab/>
        </w:r>
        <w:r w:rsidR="00083C97">
          <w:rPr>
            <w:webHidden/>
          </w:rPr>
          <w:fldChar w:fldCharType="begin"/>
        </w:r>
        <w:r w:rsidR="00083C97">
          <w:rPr>
            <w:webHidden/>
          </w:rPr>
          <w:instrText xml:space="preserve"> PAGEREF _Toc176345010 \h </w:instrText>
        </w:r>
        <w:r w:rsidR="00083C97">
          <w:rPr>
            <w:webHidden/>
          </w:rPr>
        </w:r>
        <w:r w:rsidR="00083C97">
          <w:rPr>
            <w:webHidden/>
          </w:rPr>
          <w:fldChar w:fldCharType="separate"/>
        </w:r>
        <w:r w:rsidR="00083C97">
          <w:rPr>
            <w:webHidden/>
          </w:rPr>
          <w:t>50</w:t>
        </w:r>
        <w:r w:rsidR="00083C97">
          <w:rPr>
            <w:webHidden/>
          </w:rPr>
          <w:fldChar w:fldCharType="end"/>
        </w:r>
      </w:hyperlink>
    </w:p>
    <w:p w14:paraId="1505C54A" w14:textId="3D808EDA"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11" w:history="1">
        <w:r w:rsidR="00083C97" w:rsidRPr="00331C83">
          <w:rPr>
            <w:rStyle w:val="Hyperlink"/>
          </w:rPr>
          <w:t>Appendix 7: Intradermal injection – skills and competency checklist</w:t>
        </w:r>
        <w:r w:rsidR="00083C97">
          <w:rPr>
            <w:webHidden/>
          </w:rPr>
          <w:tab/>
        </w:r>
        <w:r w:rsidR="00083C97">
          <w:rPr>
            <w:webHidden/>
          </w:rPr>
          <w:fldChar w:fldCharType="begin"/>
        </w:r>
        <w:r w:rsidR="00083C97">
          <w:rPr>
            <w:webHidden/>
          </w:rPr>
          <w:instrText xml:space="preserve"> PAGEREF _Toc176345011 \h </w:instrText>
        </w:r>
        <w:r w:rsidR="00083C97">
          <w:rPr>
            <w:webHidden/>
          </w:rPr>
        </w:r>
        <w:r w:rsidR="00083C97">
          <w:rPr>
            <w:webHidden/>
          </w:rPr>
          <w:fldChar w:fldCharType="separate"/>
        </w:r>
        <w:r w:rsidR="00083C97">
          <w:rPr>
            <w:webHidden/>
          </w:rPr>
          <w:t>51</w:t>
        </w:r>
        <w:r w:rsidR="00083C97">
          <w:rPr>
            <w:webHidden/>
          </w:rPr>
          <w:fldChar w:fldCharType="end"/>
        </w:r>
      </w:hyperlink>
    </w:p>
    <w:p w14:paraId="196E62DB" w14:textId="28311A87" w:rsidR="00083C97" w:rsidRDefault="00000000">
      <w:pPr>
        <w:pStyle w:val="TOC1"/>
        <w:rPr>
          <w:rFonts w:asciiTheme="minorHAnsi" w:eastAsiaTheme="minorEastAsia" w:hAnsiTheme="minorHAnsi" w:cstheme="minorBidi"/>
          <w:b w:val="0"/>
          <w:kern w:val="2"/>
          <w:sz w:val="24"/>
          <w:szCs w:val="24"/>
          <w:lang w:eastAsia="en-AU"/>
          <w14:ligatures w14:val="standardContextual"/>
        </w:rPr>
      </w:pPr>
      <w:hyperlink w:anchor="_Toc176345012" w:history="1">
        <w:r w:rsidR="00083C97" w:rsidRPr="00331C83">
          <w:rPr>
            <w:rStyle w:val="Hyperlink"/>
          </w:rPr>
          <w:t>Appendix 8: Document history and control</w:t>
        </w:r>
        <w:r w:rsidR="00083C97">
          <w:rPr>
            <w:webHidden/>
          </w:rPr>
          <w:tab/>
        </w:r>
        <w:r w:rsidR="00083C97">
          <w:rPr>
            <w:webHidden/>
          </w:rPr>
          <w:fldChar w:fldCharType="begin"/>
        </w:r>
        <w:r w:rsidR="00083C97">
          <w:rPr>
            <w:webHidden/>
          </w:rPr>
          <w:instrText xml:space="preserve"> PAGEREF _Toc176345012 \h </w:instrText>
        </w:r>
        <w:r w:rsidR="00083C97">
          <w:rPr>
            <w:webHidden/>
          </w:rPr>
        </w:r>
        <w:r w:rsidR="00083C97">
          <w:rPr>
            <w:webHidden/>
          </w:rPr>
          <w:fldChar w:fldCharType="separate"/>
        </w:r>
        <w:r w:rsidR="00083C97">
          <w:rPr>
            <w:webHidden/>
          </w:rPr>
          <w:t>53</w:t>
        </w:r>
        <w:r w:rsidR="00083C97">
          <w:rPr>
            <w:webHidden/>
          </w:rPr>
          <w:fldChar w:fldCharType="end"/>
        </w:r>
      </w:hyperlink>
    </w:p>
    <w:p w14:paraId="715A6094" w14:textId="3AD31D29" w:rsidR="00FB1F6E" w:rsidRDefault="00AD784C" w:rsidP="00557C42">
      <w:pPr>
        <w:pStyle w:val="Body"/>
        <w:spacing w:before="120" w:line="240" w:lineRule="atLeast"/>
      </w:pPr>
      <w:r>
        <w:fldChar w:fldCharType="end"/>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285778" w:rsidRPr="000E573A" w14:paraId="361EE153" w14:textId="032323D1" w:rsidTr="00AF07F8">
        <w:trPr>
          <w:trHeight w:val="265"/>
          <w:tblHeader/>
        </w:trPr>
        <w:tc>
          <w:tcPr>
            <w:tcW w:w="9782" w:type="dxa"/>
          </w:tcPr>
          <w:p w14:paraId="20569F02" w14:textId="38E4B221" w:rsidR="00285778" w:rsidRPr="00F669C1" w:rsidRDefault="00025E0B" w:rsidP="00787FA0">
            <w:pPr>
              <w:pStyle w:val="Body"/>
              <w:spacing w:before="40" w:after="40"/>
              <w:rPr>
                <w:rFonts w:cs="Arial"/>
                <w:b/>
                <w:bCs/>
                <w:sz w:val="22"/>
                <w:szCs w:val="22"/>
              </w:rPr>
            </w:pPr>
            <w:bookmarkStart w:id="0" w:name="_Hlk117075519"/>
            <w:bookmarkStart w:id="1" w:name="_Hlk115708435"/>
            <w:r>
              <w:rPr>
                <w:rFonts w:cs="Arial"/>
                <w:b/>
                <w:bCs/>
                <w:sz w:val="22"/>
                <w:szCs w:val="22"/>
              </w:rPr>
              <w:t>Summary of c</w:t>
            </w:r>
            <w:r w:rsidRPr="00F669C1">
              <w:rPr>
                <w:rFonts w:cs="Arial"/>
                <w:b/>
                <w:bCs/>
                <w:sz w:val="22"/>
                <w:szCs w:val="22"/>
              </w:rPr>
              <w:t xml:space="preserve">hanges </w:t>
            </w:r>
            <w:r w:rsidR="00557C42" w:rsidRPr="00F669C1">
              <w:rPr>
                <w:rFonts w:cs="Arial"/>
                <w:b/>
                <w:bCs/>
                <w:sz w:val="22"/>
                <w:szCs w:val="22"/>
              </w:rPr>
              <w:t xml:space="preserve">since previous version </w:t>
            </w:r>
            <w:r w:rsidR="00285778" w:rsidRPr="00F669C1">
              <w:rPr>
                <w:rFonts w:cs="Arial"/>
                <w:b/>
                <w:bCs/>
                <w:sz w:val="22"/>
                <w:szCs w:val="22"/>
              </w:rPr>
              <w:t xml:space="preserve"> </w:t>
            </w:r>
          </w:p>
        </w:tc>
      </w:tr>
      <w:tr w:rsidR="00C21E8E" w:rsidRPr="000E573A" w14:paraId="66BBFD29" w14:textId="77777777" w:rsidTr="00AF07F8">
        <w:trPr>
          <w:trHeight w:val="265"/>
          <w:tblHeader/>
        </w:trPr>
        <w:tc>
          <w:tcPr>
            <w:tcW w:w="9782" w:type="dxa"/>
          </w:tcPr>
          <w:p w14:paraId="652565B7" w14:textId="13FCF2DA" w:rsidR="003440B5" w:rsidRPr="00E867D8" w:rsidRDefault="00C957C8" w:rsidP="001757A4">
            <w:pPr>
              <w:spacing w:before="100" w:beforeAutospacing="1" w:after="100" w:afterAutospacing="1" w:line="360" w:lineRule="auto"/>
              <w:rPr>
                <w:rFonts w:cs="Arial"/>
                <w:szCs w:val="21"/>
                <w:highlight w:val="yellow"/>
              </w:rPr>
            </w:pPr>
            <w:bookmarkStart w:id="2" w:name="_Hlk178924340"/>
            <w:r>
              <w:rPr>
                <w:rFonts w:cs="Arial"/>
                <w:color w:val="000000"/>
                <w:szCs w:val="21"/>
              </w:rPr>
              <w:t>Mandatory</w:t>
            </w:r>
            <w:r w:rsidR="001757A4">
              <w:rPr>
                <w:rFonts w:cs="Arial"/>
                <w:color w:val="000000"/>
                <w:szCs w:val="21"/>
              </w:rPr>
              <w:t xml:space="preserve"> requirement to complete mpox eLearning training module prior to administering mpox vaccine has been removed from Secretary Approvals for all immunisers. The module remains available for immunisers wishing to access them for professional development.</w:t>
            </w:r>
            <w:bookmarkEnd w:id="2"/>
          </w:p>
        </w:tc>
      </w:tr>
    </w:tbl>
    <w:p w14:paraId="6CA3FEF5" w14:textId="77777777" w:rsidR="00163FE7" w:rsidRDefault="00163FE7" w:rsidP="00511C4A">
      <w:pPr>
        <w:spacing w:before="120" w:line="240" w:lineRule="auto"/>
      </w:pPr>
      <w:bookmarkStart w:id="3" w:name="_Toc62825414"/>
      <w:bookmarkStart w:id="4" w:name="_Toc71895574"/>
      <w:bookmarkStart w:id="5" w:name="_Toc73627044"/>
      <w:bookmarkStart w:id="6" w:name="_Toc481621483"/>
      <w:bookmarkStart w:id="7" w:name="_Toc112154537"/>
      <w:bookmarkStart w:id="8" w:name="_Toc112315603"/>
      <w:bookmarkEnd w:id="0"/>
      <w:bookmarkEnd w:id="1"/>
    </w:p>
    <w:p w14:paraId="51711A02" w14:textId="77777777" w:rsidR="007B3C0C" w:rsidRDefault="007B3C0C">
      <w:pPr>
        <w:spacing w:after="0" w:line="240" w:lineRule="auto"/>
      </w:pPr>
    </w:p>
    <w:p w14:paraId="3C8C6D54" w14:textId="77777777" w:rsidR="007B3C0C" w:rsidRDefault="007B3C0C">
      <w:pPr>
        <w:spacing w:after="0" w:line="240" w:lineRule="auto"/>
      </w:pPr>
    </w:p>
    <w:p w14:paraId="3B592305" w14:textId="77777777" w:rsidR="006F4536" w:rsidRDefault="006F4536">
      <w:pPr>
        <w:spacing w:after="0" w:line="240" w:lineRule="auto"/>
      </w:pPr>
    </w:p>
    <w:p w14:paraId="4F720065" w14:textId="77777777" w:rsidR="006F4536" w:rsidRDefault="006F4536">
      <w:pPr>
        <w:spacing w:after="0" w:line="240" w:lineRule="auto"/>
      </w:pPr>
    </w:p>
    <w:p w14:paraId="2E246E70" w14:textId="67CDECE4" w:rsidR="00077DBB" w:rsidRPr="000B5234" w:rsidRDefault="00077DBB" w:rsidP="006A0B64">
      <w:pPr>
        <w:pStyle w:val="Heading1"/>
        <w:spacing w:before="240" w:after="120"/>
      </w:pPr>
      <w:bookmarkStart w:id="9" w:name="_Toc176344956"/>
      <w:r>
        <w:t>I</w:t>
      </w:r>
      <w:r w:rsidR="00557C42">
        <w:t>n</w:t>
      </w:r>
      <w:r>
        <w:t>troduction</w:t>
      </w:r>
      <w:bookmarkEnd w:id="3"/>
      <w:bookmarkEnd w:id="4"/>
      <w:bookmarkEnd w:id="5"/>
      <w:bookmarkEnd w:id="6"/>
      <w:bookmarkEnd w:id="7"/>
      <w:bookmarkEnd w:id="8"/>
      <w:bookmarkEnd w:id="9"/>
    </w:p>
    <w:p w14:paraId="221F0FFB" w14:textId="1914A2ED" w:rsidR="00C747B0" w:rsidRDefault="00077DBB" w:rsidP="007B3C0C">
      <w:pPr>
        <w:pStyle w:val="Body"/>
      </w:pPr>
      <w:bookmarkStart w:id="10" w:name="_Toc62825415"/>
      <w:r>
        <w:t xml:space="preserve">The Victorian mpox vaccination </w:t>
      </w:r>
      <w:r w:rsidR="000D0800">
        <w:t xml:space="preserve">program </w:t>
      </w:r>
      <w:r>
        <w:t xml:space="preserve">guidelines (guidelines) provide advice and describe the minimum requirements for delivery of the </w:t>
      </w:r>
      <w:r w:rsidR="00B564D6" w:rsidRPr="2B946C6A">
        <w:rPr>
          <w:rFonts w:cs="Arial"/>
        </w:rPr>
        <w:t>mpox</w:t>
      </w:r>
      <w:r w:rsidR="60A39840">
        <w:t xml:space="preserve"> </w:t>
      </w:r>
      <w:r>
        <w:t xml:space="preserve">vaccination program </w:t>
      </w:r>
      <w:r w:rsidR="00BA11AA">
        <w:t xml:space="preserve">as part of Victoria’s Department of Health (the </w:t>
      </w:r>
      <w:r w:rsidR="00582876">
        <w:t>d</w:t>
      </w:r>
      <w:r w:rsidR="00BA11AA">
        <w:t>epartment) response to the mpox outbreak.</w:t>
      </w:r>
      <w:r>
        <w:t xml:space="preserve"> </w:t>
      </w:r>
    </w:p>
    <w:p w14:paraId="61AE8116" w14:textId="0FDDD78C" w:rsidR="00324F68" w:rsidRDefault="001560A7" w:rsidP="007B3C0C">
      <w:pPr>
        <w:pStyle w:val="Body"/>
      </w:pPr>
      <w:r w:rsidRPr="00AA7C89">
        <w:t xml:space="preserve">Considerations presented in this document will continue to be updated </w:t>
      </w:r>
      <w:r w:rsidR="00BA11AA">
        <w:t xml:space="preserve">as </w:t>
      </w:r>
      <w:r w:rsidR="78345082" w:rsidRPr="00AA7C89">
        <w:t>advised by the Australian Technical Advisory Group on Immunisation (ATAGI)</w:t>
      </w:r>
      <w:r w:rsidR="1966100C" w:rsidRPr="00AA7C89">
        <w:t xml:space="preserve"> and other</w:t>
      </w:r>
      <w:r w:rsidRPr="00AA7C89">
        <w:t xml:space="preserve"> expert opinion</w:t>
      </w:r>
      <w:r w:rsidR="3912698D" w:rsidRPr="00AA7C89">
        <w:t xml:space="preserve"> informed by</w:t>
      </w:r>
      <w:r w:rsidRPr="00AA7C89">
        <w:t xml:space="preserve"> emerging evidence.</w:t>
      </w:r>
      <w:r w:rsidR="00324F68" w:rsidRPr="00324F68">
        <w:t xml:space="preserve"> </w:t>
      </w:r>
    </w:p>
    <w:p w14:paraId="53132458" w14:textId="77777777" w:rsidR="00077DBB" w:rsidRPr="00007D53" w:rsidRDefault="00077DBB" w:rsidP="007B3C0C">
      <w:pPr>
        <w:pStyle w:val="Heading2"/>
        <w:spacing w:before="120" w:line="280" w:lineRule="atLeast"/>
      </w:pPr>
      <w:bookmarkStart w:id="11" w:name="_Toc71895575"/>
      <w:bookmarkStart w:id="12" w:name="_Toc73627045"/>
      <w:bookmarkStart w:id="13" w:name="_Toc1386940916"/>
      <w:bookmarkStart w:id="14" w:name="_Toc112154538"/>
      <w:bookmarkStart w:id="15" w:name="_Toc112315604"/>
      <w:bookmarkStart w:id="16" w:name="_Toc176344957"/>
      <w:r>
        <w:t>Background</w:t>
      </w:r>
      <w:bookmarkEnd w:id="10"/>
      <w:bookmarkEnd w:id="11"/>
      <w:bookmarkEnd w:id="12"/>
      <w:bookmarkEnd w:id="13"/>
      <w:bookmarkEnd w:id="14"/>
      <w:bookmarkEnd w:id="15"/>
      <w:bookmarkEnd w:id="16"/>
    </w:p>
    <w:p w14:paraId="20661DA9" w14:textId="7F163ACB" w:rsidR="00077DBB" w:rsidRPr="003C5C9B" w:rsidRDefault="00E702C0"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sidRPr="00E702C0">
        <w:rPr>
          <w:rFonts w:ascii="Arial" w:hAnsi="Arial" w:cs="Arial"/>
          <w:sz w:val="21"/>
          <w:szCs w:val="21"/>
        </w:rPr>
        <w:t xml:space="preserve">Mpox virus is a DNA virus in the Orthopoxvirus genus, which also includes the variola virus (which causes smallpox) and vaccinia virus (which is used in smallpox vaccines). </w:t>
      </w:r>
      <w:r w:rsidR="00B564D6" w:rsidRPr="00E702C0">
        <w:rPr>
          <w:rFonts w:ascii="Arial" w:hAnsi="Arial" w:cs="Arial"/>
          <w:sz w:val="21"/>
          <w:szCs w:val="21"/>
        </w:rPr>
        <w:t>Mpox</w:t>
      </w:r>
      <w:r w:rsidR="00077DBB" w:rsidRPr="00E702C0">
        <w:rPr>
          <w:rFonts w:ascii="Arial" w:hAnsi="Arial" w:cs="Arial"/>
          <w:sz w:val="21"/>
          <w:szCs w:val="21"/>
          <w:shd w:val="clear" w:color="auto" w:fill="FFFFFF"/>
        </w:rPr>
        <w:t xml:space="preserve"> was first discovered in 1958 and there have been small outbreaks since, predominantly in Western and Central Africa. Since the eradication of smallpox in 1980,</w:t>
      </w:r>
      <w:r w:rsidR="00077DBB" w:rsidRPr="003C5C9B">
        <w:rPr>
          <w:rFonts w:ascii="Arial" w:hAnsi="Arial" w:cs="Arial"/>
          <w:sz w:val="21"/>
          <w:szCs w:val="21"/>
          <w:shd w:val="clear" w:color="auto" w:fill="FFFFFF"/>
        </w:rPr>
        <w:t xml:space="preserve"> </w:t>
      </w:r>
      <w:r w:rsidR="00A66F43">
        <w:rPr>
          <w:rFonts w:ascii="Arial" w:hAnsi="Arial" w:cs="Arial"/>
          <w:sz w:val="21"/>
          <w:szCs w:val="21"/>
          <w:shd w:val="clear" w:color="auto" w:fill="FFFFFF"/>
        </w:rPr>
        <w:t>mpox</w:t>
      </w:r>
      <w:r w:rsidR="00077DBB" w:rsidRPr="003C5C9B">
        <w:rPr>
          <w:rFonts w:ascii="Arial" w:hAnsi="Arial" w:cs="Arial"/>
          <w:sz w:val="21"/>
          <w:szCs w:val="21"/>
          <w:shd w:val="clear" w:color="auto" w:fill="FFFFFF"/>
        </w:rPr>
        <w:t xml:space="preserve"> has become the most important </w:t>
      </w:r>
      <w:r w:rsidR="005B6058">
        <w:rPr>
          <w:rFonts w:ascii="Arial" w:hAnsi="Arial" w:cs="Arial"/>
          <w:sz w:val="21"/>
          <w:szCs w:val="21"/>
          <w:shd w:val="clear" w:color="auto" w:fill="FFFFFF"/>
        </w:rPr>
        <w:t>O</w:t>
      </w:r>
      <w:r w:rsidR="00077DBB" w:rsidRPr="003C5C9B">
        <w:rPr>
          <w:rFonts w:ascii="Arial" w:hAnsi="Arial" w:cs="Arial"/>
          <w:sz w:val="21"/>
          <w:szCs w:val="21"/>
          <w:shd w:val="clear" w:color="auto" w:fill="FFFFFF"/>
        </w:rPr>
        <w:t xml:space="preserve">rthopoxvirus affecting humans, however, </w:t>
      </w:r>
      <w:r w:rsidR="002F6006">
        <w:rPr>
          <w:rFonts w:ascii="Arial" w:hAnsi="Arial" w:cs="Arial"/>
          <w:sz w:val="21"/>
          <w:szCs w:val="21"/>
          <w:shd w:val="clear" w:color="auto" w:fill="FFFFFF"/>
        </w:rPr>
        <w:t xml:space="preserve">it </w:t>
      </w:r>
      <w:r w:rsidR="00077DBB" w:rsidRPr="003C5C9B">
        <w:rPr>
          <w:rFonts w:ascii="Arial" w:hAnsi="Arial" w:cs="Arial"/>
          <w:sz w:val="21"/>
          <w:szCs w:val="21"/>
          <w:shd w:val="clear" w:color="auto" w:fill="FFFFFF"/>
        </w:rPr>
        <w:t xml:space="preserve">causes less severe disease than smallpox. </w:t>
      </w:r>
    </w:p>
    <w:p w14:paraId="088CA022" w14:textId="35938459"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3C5C9B">
        <w:rPr>
          <w:rFonts w:ascii="Arial" w:hAnsi="Arial" w:cs="Arial"/>
          <w:sz w:val="21"/>
          <w:szCs w:val="21"/>
        </w:rPr>
        <w:t xml:space="preserve">It is hypothesised that the increase in the number of cases and geographic spread of </w:t>
      </w:r>
      <w:r w:rsidR="00A66F43">
        <w:rPr>
          <w:rFonts w:ascii="Arial" w:hAnsi="Arial" w:cs="Arial"/>
          <w:sz w:val="21"/>
          <w:szCs w:val="21"/>
          <w:shd w:val="clear" w:color="auto" w:fill="FFFFFF"/>
        </w:rPr>
        <w:t>mpox</w:t>
      </w:r>
      <w:r w:rsidRPr="003C5C9B">
        <w:rPr>
          <w:rFonts w:ascii="Arial" w:hAnsi="Arial" w:cs="Arial"/>
          <w:sz w:val="21"/>
          <w:szCs w:val="21"/>
        </w:rPr>
        <w:t xml:space="preserve"> in recent years is related to decreasing immunity due to cessation of smallpox vaccination, which has proven to be protective against other </w:t>
      </w:r>
      <w:r w:rsidR="005B6058">
        <w:rPr>
          <w:rFonts w:ascii="Arial" w:hAnsi="Arial" w:cs="Arial"/>
          <w:sz w:val="21"/>
          <w:szCs w:val="21"/>
        </w:rPr>
        <w:t>O</w:t>
      </w:r>
      <w:r w:rsidRPr="003C5C9B">
        <w:rPr>
          <w:rFonts w:ascii="Arial" w:hAnsi="Arial" w:cs="Arial"/>
          <w:sz w:val="21"/>
          <w:szCs w:val="21"/>
        </w:rPr>
        <w:t>rthopoxvirus</w:t>
      </w:r>
      <w:r w:rsidR="00CF516C">
        <w:rPr>
          <w:rFonts w:ascii="Arial" w:hAnsi="Arial" w:cs="Arial"/>
          <w:sz w:val="21"/>
          <w:szCs w:val="21"/>
        </w:rPr>
        <w:t>,</w:t>
      </w:r>
      <w:r w:rsidRPr="003C5C9B">
        <w:rPr>
          <w:rFonts w:ascii="Arial" w:hAnsi="Arial" w:cs="Arial"/>
          <w:sz w:val="21"/>
          <w:szCs w:val="21"/>
        </w:rPr>
        <w:t xml:space="preserve"> including mpox virus. This may have resulted in waning vaccine-induced population immunity and no protection for younger age groups</w:t>
      </w:r>
      <w:r w:rsidR="00AB22A9">
        <w:rPr>
          <w:rFonts w:ascii="Arial" w:hAnsi="Arial" w:cs="Arial"/>
          <w:sz w:val="21"/>
          <w:szCs w:val="21"/>
        </w:rPr>
        <w:t>.</w:t>
      </w:r>
    </w:p>
    <w:p w14:paraId="15E7F39F" w14:textId="31FD2D45" w:rsidR="00077DBB" w:rsidRPr="00620E5B" w:rsidRDefault="00A24A5D"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sidRPr="00620E5B">
        <w:rPr>
          <w:rFonts w:ascii="Arial" w:hAnsi="Arial" w:cs="Arial"/>
          <w:sz w:val="21"/>
          <w:szCs w:val="21"/>
        </w:rPr>
        <w:t>M</w:t>
      </w:r>
      <w:r w:rsidR="00B564D6" w:rsidRPr="00620E5B">
        <w:rPr>
          <w:rFonts w:ascii="Arial" w:hAnsi="Arial" w:cs="Arial"/>
          <w:sz w:val="21"/>
          <w:szCs w:val="21"/>
        </w:rPr>
        <w:t>pox</w:t>
      </w:r>
      <w:r w:rsidR="00077DBB" w:rsidRPr="00620E5B">
        <w:rPr>
          <w:rFonts w:ascii="Arial" w:hAnsi="Arial" w:cs="Arial"/>
          <w:sz w:val="21"/>
          <w:szCs w:val="21"/>
        </w:rPr>
        <w:t xml:space="preserve"> virus can be transmitted from infected animals to people, or from person to person. The natural animal reservoir for mpox virus remains unknown</w:t>
      </w:r>
      <w:r w:rsidR="00E23F24">
        <w:rPr>
          <w:rFonts w:ascii="Arial" w:hAnsi="Arial" w:cs="Arial"/>
          <w:sz w:val="21"/>
          <w:szCs w:val="21"/>
        </w:rPr>
        <w:t>.</w:t>
      </w:r>
      <w:r w:rsidR="00077DBB" w:rsidRPr="00620E5B">
        <w:rPr>
          <w:rFonts w:ascii="Arial" w:hAnsi="Arial" w:cs="Arial"/>
          <w:sz w:val="21"/>
          <w:szCs w:val="21"/>
        </w:rPr>
        <w:t xml:space="preserve"> </w:t>
      </w:r>
      <w:r w:rsidR="00B564D6" w:rsidRPr="00620E5B">
        <w:rPr>
          <w:rFonts w:ascii="Arial" w:hAnsi="Arial" w:cs="Arial"/>
          <w:sz w:val="21"/>
          <w:szCs w:val="21"/>
        </w:rPr>
        <w:t>Mpox</w:t>
      </w:r>
      <w:r w:rsidRPr="00620E5B">
        <w:rPr>
          <w:rFonts w:ascii="Arial" w:hAnsi="Arial" w:cs="Arial"/>
          <w:sz w:val="21"/>
          <w:szCs w:val="21"/>
        </w:rPr>
        <w:t xml:space="preserve"> </w:t>
      </w:r>
      <w:r w:rsidR="00077DBB" w:rsidRPr="00620E5B">
        <w:rPr>
          <w:rFonts w:ascii="Arial" w:hAnsi="Arial" w:cs="Arial"/>
          <w:sz w:val="21"/>
          <w:szCs w:val="21"/>
        </w:rPr>
        <w:t xml:space="preserve">does not spread easily between people. </w:t>
      </w:r>
      <w:r w:rsidR="00620E5B" w:rsidRPr="00620E5B">
        <w:rPr>
          <w:rFonts w:ascii="Arial" w:hAnsi="Arial" w:cs="Arial"/>
          <w:sz w:val="21"/>
          <w:szCs w:val="21"/>
          <w:shd w:val="clear" w:color="auto" w:fill="FFFFFF"/>
        </w:rPr>
        <w:t>Transmission between people occurs primarily through close contact with rash, scabs or body fluids (including from sexual contact or kissing). Transmission through respiratory droplets or contaminated objects may be possible</w:t>
      </w:r>
      <w:r w:rsidR="00E23F24">
        <w:rPr>
          <w:rFonts w:ascii="Arial" w:hAnsi="Arial" w:cs="Arial"/>
          <w:sz w:val="21"/>
          <w:szCs w:val="21"/>
          <w:shd w:val="clear" w:color="auto" w:fill="FFFFFF"/>
        </w:rPr>
        <w:t>,</w:t>
      </w:r>
      <w:r w:rsidR="00620E5B" w:rsidRPr="00620E5B">
        <w:rPr>
          <w:rFonts w:ascii="Arial" w:hAnsi="Arial" w:cs="Arial"/>
          <w:sz w:val="21"/>
          <w:szCs w:val="21"/>
          <w:shd w:val="clear" w:color="auto" w:fill="FFFFFF"/>
        </w:rPr>
        <w:t xml:space="preserve"> but current evidence suggests this is less likely to occur.</w:t>
      </w:r>
      <w:r w:rsidR="00E23F24" w:rsidRPr="00620E5B">
        <w:rPr>
          <w:rFonts w:ascii="Arial" w:hAnsi="Arial" w:cs="Arial"/>
          <w:sz w:val="21"/>
          <w:szCs w:val="21"/>
          <w:shd w:val="clear" w:color="auto" w:fill="FFFFFF"/>
        </w:rPr>
        <w:t xml:space="preserve"> </w:t>
      </w:r>
      <w:r w:rsidR="00620E5B" w:rsidRPr="00620E5B">
        <w:rPr>
          <w:rFonts w:ascii="Arial" w:hAnsi="Arial" w:cs="Arial"/>
          <w:sz w:val="21"/>
          <w:szCs w:val="21"/>
          <w:shd w:val="clear" w:color="auto" w:fill="FFFFFF"/>
        </w:rPr>
        <w:t>Vertical (mother to f</w:t>
      </w:r>
      <w:r w:rsidR="00E23F24">
        <w:rPr>
          <w:rFonts w:ascii="Arial" w:hAnsi="Arial" w:cs="Arial"/>
          <w:sz w:val="21"/>
          <w:szCs w:val="21"/>
          <w:shd w:val="clear" w:color="auto" w:fill="FFFFFF"/>
        </w:rPr>
        <w:t>o</w:t>
      </w:r>
      <w:r w:rsidR="00620E5B" w:rsidRPr="00620E5B">
        <w:rPr>
          <w:rFonts w:ascii="Arial" w:hAnsi="Arial" w:cs="Arial"/>
          <w:sz w:val="21"/>
          <w:szCs w:val="21"/>
          <w:shd w:val="clear" w:color="auto" w:fill="FFFFFF"/>
        </w:rPr>
        <w:t>etus) and peripartum transmission have also occurred</w:t>
      </w:r>
      <w:r w:rsidR="00E23F24">
        <w:rPr>
          <w:rStyle w:val="FootnoteReference"/>
          <w:rFonts w:ascii="Arial" w:hAnsi="Arial" w:cs="Arial"/>
          <w:sz w:val="21"/>
          <w:szCs w:val="21"/>
          <w:shd w:val="clear" w:color="auto" w:fill="FFFFFF"/>
        </w:rPr>
        <w:footnoteReference w:id="2"/>
      </w:r>
      <w:r w:rsidR="00620E5B" w:rsidRPr="00620E5B">
        <w:rPr>
          <w:rFonts w:ascii="Arial" w:hAnsi="Arial" w:cs="Arial"/>
          <w:sz w:val="21"/>
          <w:szCs w:val="21"/>
          <w:shd w:val="clear" w:color="auto" w:fill="FFFFFF"/>
        </w:rPr>
        <w:t>.</w:t>
      </w:r>
    </w:p>
    <w:p w14:paraId="1FE77B3A" w14:textId="77777777" w:rsidR="00620E5B" w:rsidRDefault="00077DB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C5C9B">
        <w:rPr>
          <w:rFonts w:ascii="Arial" w:eastAsia="Times New Roman" w:hAnsi="Arial" w:cs="Arial"/>
          <w:sz w:val="21"/>
          <w:szCs w:val="21"/>
        </w:rPr>
        <w:t xml:space="preserve">Since May 2022, there has been a global increase in </w:t>
      </w:r>
      <w:r w:rsidR="769E6B48">
        <w:rPr>
          <w:rFonts w:ascii="Arial" w:eastAsia="Times New Roman" w:hAnsi="Arial" w:cs="Arial"/>
          <w:sz w:val="21"/>
          <w:szCs w:val="21"/>
        </w:rPr>
        <w:t>mpox</w:t>
      </w:r>
      <w:r w:rsidRPr="003C5C9B">
        <w:rPr>
          <w:rFonts w:ascii="Arial" w:eastAsia="Times New Roman" w:hAnsi="Arial" w:cs="Arial"/>
          <w:sz w:val="21"/>
          <w:szCs w:val="21"/>
        </w:rPr>
        <w:t xml:space="preserve"> infections in multiple countries where the illness is not usually seen. </w:t>
      </w:r>
      <w:r w:rsidR="00B564D6">
        <w:rPr>
          <w:rFonts w:ascii="Arial" w:hAnsi="Arial" w:cs="Arial"/>
          <w:sz w:val="21"/>
          <w:szCs w:val="21"/>
        </w:rPr>
        <w:t>Mpox</w:t>
      </w:r>
      <w:r w:rsidRPr="003C5C9B">
        <w:rPr>
          <w:rFonts w:ascii="Arial" w:eastAsia="Times New Roman" w:hAnsi="Arial" w:cs="Arial"/>
          <w:sz w:val="21"/>
          <w:szCs w:val="21"/>
        </w:rPr>
        <w:t xml:space="preserve"> was first reported in Australia May 2022. </w:t>
      </w:r>
    </w:p>
    <w:p w14:paraId="16854465" w14:textId="2EEB95F9" w:rsidR="00620E5B" w:rsidRPr="00620E5B" w:rsidRDefault="00620E5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620E5B">
        <w:rPr>
          <w:rFonts w:ascii="Arial" w:eastAsia="Times New Roman" w:hAnsi="Arial" w:cs="Arial"/>
          <w:sz w:val="21"/>
          <w:szCs w:val="21"/>
        </w:rPr>
        <w:t xml:space="preserve">On 14 August 2024, the </w:t>
      </w:r>
      <w:r w:rsidR="00077DBB" w:rsidRPr="00620E5B">
        <w:rPr>
          <w:rFonts w:ascii="Arial" w:eastAsia="Times New Roman" w:hAnsi="Arial" w:cs="Arial"/>
          <w:sz w:val="21"/>
          <w:szCs w:val="21"/>
        </w:rPr>
        <w:t xml:space="preserve">World Health Organization (WHO) </w:t>
      </w:r>
      <w:r w:rsidRPr="00620E5B">
        <w:rPr>
          <w:rFonts w:ascii="Arial" w:eastAsia="Times New Roman" w:hAnsi="Arial" w:cs="Arial"/>
          <w:sz w:val="21"/>
          <w:szCs w:val="21"/>
        </w:rPr>
        <w:t>have updated their advice and</w:t>
      </w:r>
      <w:r w:rsidRPr="00620E5B">
        <w:rPr>
          <w:rFonts w:ascii="Arial" w:hAnsi="Arial" w:cs="Arial"/>
          <w:sz w:val="21"/>
          <w:szCs w:val="21"/>
          <w:shd w:val="clear" w:color="auto" w:fill="FFFFFF"/>
        </w:rPr>
        <w:t xml:space="preserve"> determined that the upsurge of mpox in the Democratic Republic of the Congo (DRC) and a growing number of countries in Africa constitutes a public health emergency of international concern (PHEIC) under the International Health Regulations (2005) (IHR).</w:t>
      </w:r>
    </w:p>
    <w:p w14:paraId="7E79E83C" w14:textId="744D5200" w:rsidR="00077DBB" w:rsidRPr="00253B1A" w:rsidRDefault="003A7809"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A7809">
        <w:rPr>
          <w:rFonts w:ascii="Arial" w:hAnsi="Arial" w:cs="Arial"/>
          <w:sz w:val="21"/>
          <w:szCs w:val="21"/>
        </w:rPr>
        <w:t xml:space="preserve">States and territories </w:t>
      </w:r>
      <w:r w:rsidR="00620E5B">
        <w:rPr>
          <w:rFonts w:ascii="Arial" w:hAnsi="Arial" w:cs="Arial"/>
          <w:sz w:val="21"/>
          <w:szCs w:val="21"/>
        </w:rPr>
        <w:t xml:space="preserve">in Australia </w:t>
      </w:r>
      <w:r w:rsidRPr="003A7809">
        <w:rPr>
          <w:rFonts w:ascii="Arial" w:hAnsi="Arial" w:cs="Arial"/>
          <w:sz w:val="21"/>
          <w:szCs w:val="21"/>
        </w:rPr>
        <w:t>continue to manage the risk of mpox in line with local arrangements, and people should remain vigilant and aware of mpox symptoms.</w:t>
      </w:r>
      <w:r w:rsidRPr="00253B1A">
        <w:rPr>
          <w:rFonts w:ascii="Arial" w:eastAsia="Times New Roman" w:hAnsi="Arial" w:cs="Arial"/>
          <w:sz w:val="21"/>
          <w:szCs w:val="21"/>
        </w:rPr>
        <w:t xml:space="preserve"> </w:t>
      </w:r>
      <w:r w:rsidR="00077DBB" w:rsidRPr="00253B1A">
        <w:rPr>
          <w:rStyle w:val="FootnoteReference"/>
          <w:rFonts w:ascii="Arial" w:eastAsia="Times New Roman" w:hAnsi="Arial" w:cs="Arial"/>
          <w:sz w:val="21"/>
          <w:szCs w:val="21"/>
        </w:rPr>
        <w:footnoteReference w:id="3"/>
      </w:r>
      <w:r w:rsidR="00077DBB" w:rsidRPr="00253B1A">
        <w:rPr>
          <w:rFonts w:ascii="Arial" w:eastAsia="Times New Roman" w:hAnsi="Arial" w:cs="Arial"/>
          <w:sz w:val="21"/>
          <w:szCs w:val="21"/>
        </w:rPr>
        <w:t xml:space="preserve"> </w:t>
      </w:r>
    </w:p>
    <w:p w14:paraId="25CF3EF5" w14:textId="27D0A65D" w:rsidR="00077DBB" w:rsidRPr="00E23F24" w:rsidRDefault="00C635FB" w:rsidP="007B3C0C">
      <w:pPr>
        <w:pStyle w:val="NormalWeb"/>
        <w:shd w:val="clear" w:color="auto" w:fill="FFFFFF" w:themeFill="background1"/>
        <w:spacing w:before="0" w:beforeAutospacing="0" w:after="120" w:afterAutospacing="0" w:line="280" w:lineRule="atLeast"/>
        <w:rPr>
          <w:rFonts w:ascii="Arial" w:hAnsi="Arial" w:cs="Arial"/>
          <w:sz w:val="21"/>
          <w:szCs w:val="21"/>
          <w:vertAlign w:val="superscript"/>
        </w:rPr>
      </w:pPr>
      <w:r w:rsidRPr="00877088">
        <w:rPr>
          <w:rFonts w:ascii="Arial" w:eastAsia="Times New Roman" w:hAnsi="Arial" w:cs="Arial"/>
          <w:sz w:val="21"/>
          <w:szCs w:val="20"/>
          <w:shd w:val="clear" w:color="auto" w:fill="FFFFFF"/>
          <w:lang w:eastAsia="en-US"/>
        </w:rPr>
        <w:t>Smallpox and mpox vaccines contain the vaccinia </w:t>
      </w:r>
      <w:hyperlink r:id="rId18" w:anchor="virus" w:history="1">
        <w:r w:rsidRPr="00877088">
          <w:rPr>
            <w:rFonts w:ascii="Arial" w:eastAsia="Times New Roman" w:hAnsi="Arial" w:cs="Arial"/>
            <w:sz w:val="21"/>
            <w:szCs w:val="20"/>
            <w:shd w:val="clear" w:color="auto" w:fill="FFFFFF"/>
            <w:lang w:eastAsia="en-US"/>
          </w:rPr>
          <w:t>virus</w:t>
        </w:r>
      </w:hyperlink>
      <w:r w:rsidRPr="00877088">
        <w:rPr>
          <w:rFonts w:ascii="Arial" w:eastAsia="Times New Roman" w:hAnsi="Arial" w:cs="Arial"/>
          <w:sz w:val="21"/>
          <w:szCs w:val="20"/>
          <w:shd w:val="clear" w:color="auto" w:fill="FFFFFF"/>
          <w:lang w:eastAsia="en-US"/>
        </w:rPr>
        <w:t>, an Orthopoxvirus related to both smallpox and mpox. Vaccines using the vaccinia virus for the prevention of smallpox are effective against mpox</w:t>
      </w:r>
      <w:r w:rsidRPr="00C635FB">
        <w:rPr>
          <w:rFonts w:ascii="Arial" w:eastAsia="Times New Roman" w:hAnsi="Arial" w:cs="Arial"/>
          <w:color w:val="313131"/>
          <w:sz w:val="21"/>
          <w:szCs w:val="20"/>
          <w:shd w:val="clear" w:color="auto" w:fill="FFFFFF"/>
          <w:lang w:eastAsia="en-US"/>
        </w:rPr>
        <w:t>.</w:t>
      </w:r>
      <w:r w:rsidR="00E23F24">
        <w:rPr>
          <w:rFonts w:ascii="Arial" w:eastAsia="Times New Roman" w:hAnsi="Arial" w:cs="Arial"/>
          <w:color w:val="313131"/>
          <w:sz w:val="21"/>
          <w:szCs w:val="20"/>
          <w:shd w:val="clear" w:color="auto" w:fill="FFFFFF"/>
          <w:vertAlign w:val="superscript"/>
          <w:lang w:eastAsia="en-US"/>
        </w:rPr>
        <w:t>1</w:t>
      </w:r>
    </w:p>
    <w:p w14:paraId="1AAF0BE8" w14:textId="77777777" w:rsidR="00077DBB" w:rsidRPr="00D16186" w:rsidRDefault="00077DBB" w:rsidP="003D72CF">
      <w:pPr>
        <w:pStyle w:val="Heading1"/>
        <w:spacing w:before="240"/>
      </w:pPr>
      <w:bookmarkStart w:id="17" w:name="_Toc71895576"/>
      <w:bookmarkStart w:id="18" w:name="_Toc73627046"/>
      <w:bookmarkStart w:id="19" w:name="_Toc62825416"/>
      <w:bookmarkStart w:id="20" w:name="_Toc1719592556"/>
      <w:bookmarkStart w:id="21" w:name="_Toc112154539"/>
      <w:bookmarkStart w:id="22" w:name="_Toc112315605"/>
      <w:bookmarkStart w:id="23" w:name="_Toc176344958"/>
      <w:r>
        <w:t xml:space="preserve">Vaccine </w:t>
      </w:r>
      <w:bookmarkEnd w:id="17"/>
      <w:bookmarkEnd w:id="18"/>
      <w:bookmarkEnd w:id="19"/>
      <w:bookmarkEnd w:id="20"/>
      <w:r w:rsidRPr="008C74FC">
        <w:t>program</w:t>
      </w:r>
      <w:bookmarkEnd w:id="21"/>
      <w:bookmarkEnd w:id="22"/>
      <w:bookmarkEnd w:id="23"/>
    </w:p>
    <w:p w14:paraId="48688106" w14:textId="39A8DB5C" w:rsidR="00077DBB" w:rsidRPr="00222EFB" w:rsidRDefault="00077DBB" w:rsidP="00641171">
      <w:pPr>
        <w:pStyle w:val="Heading2"/>
        <w:spacing w:before="240"/>
      </w:pPr>
      <w:bookmarkStart w:id="24" w:name="_Toc112154540"/>
      <w:bookmarkStart w:id="25" w:name="_Toc112315606"/>
      <w:bookmarkStart w:id="26" w:name="_Toc176344959"/>
      <w:r w:rsidRPr="00222EFB">
        <w:t xml:space="preserve">Mpox vaccine </w:t>
      </w:r>
      <w:r w:rsidRPr="00096E9A">
        <w:t>approved for use in Australia</w:t>
      </w:r>
      <w:bookmarkEnd w:id="24"/>
      <w:bookmarkEnd w:id="25"/>
      <w:bookmarkEnd w:id="26"/>
      <w:r w:rsidR="5262924B">
        <w:t xml:space="preserve"> </w:t>
      </w:r>
    </w:p>
    <w:p w14:paraId="3ABE5260" w14:textId="66467FFC" w:rsidR="00077DBB" w:rsidRPr="00852563" w:rsidRDefault="00077DBB" w:rsidP="00D60576">
      <w:pPr>
        <w:pStyle w:val="BodyText"/>
        <w:spacing w:before="120" w:after="120" w:line="288" w:lineRule="auto"/>
        <w:rPr>
          <w:rFonts w:ascii="Arial" w:eastAsiaTheme="minorEastAsia" w:hAnsi="Arial" w:cs="Arial"/>
          <w:sz w:val="21"/>
          <w:szCs w:val="21"/>
        </w:rPr>
      </w:pPr>
      <w:r w:rsidRPr="00852563">
        <w:rPr>
          <w:rFonts w:ascii="Arial" w:eastAsia="Times New Roman" w:hAnsi="Arial" w:cs="Arial"/>
          <w:sz w:val="21"/>
          <w:szCs w:val="21"/>
        </w:rPr>
        <w:t>JYNNEOS</w:t>
      </w:r>
      <w:r w:rsidRPr="008D4BAC">
        <w:rPr>
          <w:rFonts w:ascii="Arial" w:eastAsia="Times New Roman" w:hAnsi="Arial" w:cs="Arial"/>
          <w:sz w:val="21"/>
          <w:szCs w:val="21"/>
          <w:vertAlign w:val="superscript"/>
        </w:rPr>
        <w:t>®</w:t>
      </w:r>
      <w:r w:rsidRPr="00852563">
        <w:rPr>
          <w:rFonts w:ascii="Arial" w:eastAsia="Times New Roman" w:hAnsi="Arial" w:cs="Arial"/>
          <w:sz w:val="21"/>
          <w:szCs w:val="21"/>
        </w:rPr>
        <w:t xml:space="preserve"> </w:t>
      </w:r>
      <w:r w:rsidR="0052764E">
        <w:rPr>
          <w:rFonts w:ascii="Arial" w:eastAsia="Times New Roman" w:hAnsi="Arial" w:cs="Arial"/>
          <w:sz w:val="21"/>
          <w:szCs w:val="21"/>
        </w:rPr>
        <w:t xml:space="preserve">vaccine </w:t>
      </w:r>
      <w:r w:rsidRPr="00852563">
        <w:rPr>
          <w:rFonts w:ascii="Arial" w:hAnsi="Arial" w:cs="Arial"/>
          <w:sz w:val="21"/>
          <w:szCs w:val="21"/>
          <w:shd w:val="clear" w:color="auto" w:fill="FFFFFF"/>
        </w:rPr>
        <w:t xml:space="preserve">is the </w:t>
      </w:r>
      <w:r w:rsidR="0052764E">
        <w:rPr>
          <w:rFonts w:ascii="Arial" w:hAnsi="Arial" w:cs="Arial"/>
          <w:sz w:val="21"/>
          <w:szCs w:val="21"/>
          <w:shd w:val="clear" w:color="auto" w:fill="FFFFFF"/>
        </w:rPr>
        <w:t>available</w:t>
      </w:r>
      <w:r w:rsidRPr="00852563">
        <w:rPr>
          <w:rFonts w:ascii="Arial" w:hAnsi="Arial" w:cs="Arial"/>
          <w:sz w:val="21"/>
          <w:szCs w:val="21"/>
          <w:shd w:val="clear" w:color="auto" w:fill="FFFFFF"/>
        </w:rPr>
        <w:t xml:space="preserve"> for use in Australia bas</w:t>
      </w:r>
      <w:r w:rsidR="002330FF">
        <w:rPr>
          <w:rFonts w:ascii="Arial" w:hAnsi="Arial" w:cs="Arial"/>
          <w:sz w:val="21"/>
          <w:szCs w:val="21"/>
          <w:shd w:val="clear" w:color="auto" w:fill="FFFFFF"/>
        </w:rPr>
        <w:t>ed</w:t>
      </w:r>
      <w:r w:rsidRPr="00852563">
        <w:rPr>
          <w:rFonts w:ascii="Arial" w:hAnsi="Arial" w:cs="Arial"/>
          <w:sz w:val="21"/>
          <w:szCs w:val="21"/>
          <w:shd w:val="clear" w:color="auto" w:fill="FFFFFF"/>
        </w:rPr>
        <w:t xml:space="preserve"> </w:t>
      </w:r>
      <w:r w:rsidR="007F1985">
        <w:rPr>
          <w:rFonts w:ascii="Arial" w:hAnsi="Arial" w:cs="Arial"/>
          <w:sz w:val="21"/>
          <w:szCs w:val="21"/>
          <w:shd w:val="clear" w:color="auto" w:fill="FFFFFF"/>
        </w:rPr>
        <w:t xml:space="preserve">on the </w:t>
      </w:r>
      <w:r w:rsidRPr="00852563">
        <w:rPr>
          <w:rFonts w:ascii="Arial" w:hAnsi="Arial" w:cs="Arial"/>
          <w:sz w:val="21"/>
          <w:szCs w:val="21"/>
          <w:shd w:val="clear" w:color="auto" w:fill="FFFFFF"/>
        </w:rPr>
        <w:t xml:space="preserve">safety profile and </w:t>
      </w:r>
      <w:r w:rsidR="007F1985">
        <w:rPr>
          <w:rFonts w:ascii="Arial" w:hAnsi="Arial" w:cs="Arial"/>
          <w:sz w:val="21"/>
          <w:szCs w:val="21"/>
          <w:shd w:val="clear" w:color="auto" w:fill="FFFFFF"/>
        </w:rPr>
        <w:t xml:space="preserve">ease of </w:t>
      </w:r>
      <w:r w:rsidR="005F43C5">
        <w:rPr>
          <w:rFonts w:ascii="Arial" w:hAnsi="Arial" w:cs="Arial"/>
          <w:sz w:val="21"/>
          <w:szCs w:val="21"/>
          <w:shd w:val="clear" w:color="auto" w:fill="FFFFFF"/>
        </w:rPr>
        <w:t>administration</w:t>
      </w:r>
      <w:r w:rsidRPr="00852563">
        <w:rPr>
          <w:rFonts w:ascii="Arial" w:hAnsi="Arial" w:cs="Arial"/>
          <w:sz w:val="21"/>
          <w:szCs w:val="21"/>
          <w:shd w:val="clear" w:color="auto" w:fill="FFFFFF"/>
        </w:rPr>
        <w:t xml:space="preserve">. </w:t>
      </w:r>
      <w:r w:rsidRPr="7F324FB9">
        <w:rPr>
          <w:rFonts w:ascii="Arial" w:eastAsiaTheme="minorEastAsia" w:hAnsi="Arial" w:cs="Arial"/>
          <w:sz w:val="21"/>
          <w:szCs w:val="21"/>
        </w:rPr>
        <w:t>JYNNEOS</w:t>
      </w:r>
      <w:r w:rsidRPr="00852563">
        <w:rPr>
          <w:rFonts w:ascii="Arial" w:eastAsia="Arial" w:hAnsi="Arial" w:cs="Arial"/>
          <w:sz w:val="21"/>
          <w:szCs w:val="21"/>
          <w:vertAlign w:val="superscript"/>
        </w:rPr>
        <w:t>®</w:t>
      </w:r>
      <w:r w:rsidRPr="7F324FB9">
        <w:rPr>
          <w:rFonts w:ascii="Arial" w:eastAsiaTheme="minorEastAsia" w:hAnsi="Arial" w:cs="Arial"/>
          <w:sz w:val="21"/>
          <w:szCs w:val="21"/>
        </w:rPr>
        <w:t xml:space="preserve"> (modified vaccinia virus Ankara – Bavarian Nordic, MVA-BN) is a vaccine used to</w:t>
      </w:r>
      <w:r w:rsidRPr="7F324FB9">
        <w:rPr>
          <w:rFonts w:ascii="10.5Arial" w:eastAsiaTheme="minorEastAsia" w:hAnsi="10.5Arial" w:cs="Arial"/>
          <w:sz w:val="21"/>
          <w:szCs w:val="21"/>
        </w:rPr>
        <w:t xml:space="preserve"> </w:t>
      </w:r>
      <w:r w:rsidRPr="7F324FB9">
        <w:rPr>
          <w:rFonts w:ascii="Arial" w:eastAsiaTheme="minorEastAsia" w:hAnsi="Arial" w:cs="Arial"/>
          <w:sz w:val="21"/>
          <w:szCs w:val="21"/>
        </w:rPr>
        <w:t xml:space="preserve">prevent infection with smallpox and </w:t>
      </w:r>
      <w:r w:rsidR="004963E2">
        <w:rPr>
          <w:rFonts w:ascii="Arial" w:eastAsiaTheme="minorEastAsia" w:hAnsi="Arial" w:cs="Arial"/>
          <w:sz w:val="21"/>
          <w:szCs w:val="21"/>
        </w:rPr>
        <w:t>mpox</w:t>
      </w:r>
      <w:r w:rsidRPr="7F324FB9">
        <w:rPr>
          <w:rFonts w:ascii="Arial" w:eastAsiaTheme="minorEastAsia" w:hAnsi="Arial" w:cs="Arial"/>
          <w:sz w:val="21"/>
          <w:szCs w:val="21"/>
        </w:rPr>
        <w:t xml:space="preserve"> viruses. It is also known as IMVAMUNE</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and IMVANEX</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w:t>
      </w:r>
    </w:p>
    <w:p w14:paraId="326B0092" w14:textId="6E8537D4" w:rsidR="00077DBB" w:rsidRPr="00BD4AA3" w:rsidRDefault="00077DBB" w:rsidP="00D60576">
      <w:pPr>
        <w:spacing w:before="120" w:line="288" w:lineRule="auto"/>
        <w:rPr>
          <w:rFonts w:cs="Arial"/>
          <w:lang w:eastAsia="en-AU"/>
        </w:rPr>
      </w:pPr>
      <w:bookmarkStart w:id="27" w:name="_Toc112154541"/>
      <w:r w:rsidRPr="1B84DD6B">
        <w:rPr>
          <w:rFonts w:cs="Arial"/>
          <w:lang w:eastAsia="en-AU"/>
        </w:rPr>
        <w:t xml:space="preserve">The best time for </w:t>
      </w:r>
      <w:r w:rsidR="00583C76">
        <w:rPr>
          <w:rFonts w:cs="Arial"/>
          <w:lang w:eastAsia="en-AU"/>
        </w:rPr>
        <w:t>a person</w:t>
      </w:r>
      <w:r w:rsidR="002A1108">
        <w:rPr>
          <w:rFonts w:cs="Arial"/>
          <w:lang w:eastAsia="en-AU"/>
        </w:rPr>
        <w:t xml:space="preserve"> </w:t>
      </w:r>
      <w:r w:rsidRPr="1B84DD6B">
        <w:rPr>
          <w:rFonts w:cs="Arial"/>
          <w:lang w:eastAsia="en-AU"/>
        </w:rPr>
        <w:t xml:space="preserve">to get the vaccine is before they are exposed to </w:t>
      </w:r>
      <w:r w:rsidR="004963E2">
        <w:rPr>
          <w:rFonts w:cs="Arial"/>
          <w:lang w:eastAsia="en-AU"/>
        </w:rPr>
        <w:t>mpox</w:t>
      </w:r>
      <w:r w:rsidRPr="1B84DD6B">
        <w:rPr>
          <w:rFonts w:cs="Arial"/>
          <w:lang w:eastAsia="en-AU"/>
        </w:rPr>
        <w:t xml:space="preserve">. The vaccine takes approximately 14 days before it is effective. </w:t>
      </w:r>
      <w:r w:rsidR="00E82392">
        <w:rPr>
          <w:rFonts w:cs="Arial"/>
          <w:lang w:eastAsia="en-AU"/>
        </w:rPr>
        <w:t>People</w:t>
      </w:r>
      <w:r w:rsidRPr="1B84DD6B">
        <w:rPr>
          <w:rFonts w:cs="Arial"/>
          <w:lang w:eastAsia="en-AU"/>
        </w:rPr>
        <w:t xml:space="preserve"> who have been vaccinated should ensure they follow public health advice to minimise their risk of contracting </w:t>
      </w:r>
      <w:r w:rsidR="004963E2">
        <w:rPr>
          <w:rFonts w:cs="Arial"/>
          <w:lang w:eastAsia="en-AU"/>
        </w:rPr>
        <w:t>mpox</w:t>
      </w:r>
      <w:r w:rsidRPr="1B84DD6B">
        <w:rPr>
          <w:rFonts w:cs="Arial"/>
          <w:lang w:eastAsia="en-AU"/>
        </w:rPr>
        <w:t xml:space="preserve"> during this time, including by limiting sexual partners.</w:t>
      </w:r>
    </w:p>
    <w:p w14:paraId="4E01B6C2" w14:textId="046A17C9" w:rsidR="00077DBB" w:rsidRPr="00BD4AA3" w:rsidRDefault="00077DBB" w:rsidP="00D60576">
      <w:pPr>
        <w:spacing w:before="120" w:line="288" w:lineRule="auto"/>
        <w:rPr>
          <w:rFonts w:cs="Arial"/>
          <w:lang w:eastAsia="en-AU"/>
        </w:rPr>
      </w:pPr>
      <w:r w:rsidRPr="1B84DD6B">
        <w:rPr>
          <w:rFonts w:cs="Arial"/>
          <w:lang w:eastAsia="en-AU"/>
        </w:rPr>
        <w:t xml:space="preserve">If a person is exposed to </w:t>
      </w:r>
      <w:r w:rsidR="004963E2">
        <w:rPr>
          <w:rFonts w:cs="Arial"/>
          <w:lang w:eastAsia="en-AU"/>
        </w:rPr>
        <w:t>mpox</w:t>
      </w:r>
      <w:r w:rsidRPr="1B84DD6B">
        <w:rPr>
          <w:rFonts w:cs="Arial"/>
          <w:lang w:eastAsia="en-AU"/>
        </w:rPr>
        <w:t>, receiving a vaccination within 4 days after the first exposure, will provide the highest chance of avoiding disease.</w:t>
      </w:r>
    </w:p>
    <w:p w14:paraId="32CD0286" w14:textId="6C17CEE8" w:rsidR="00077DBB" w:rsidRPr="00BD4AA3" w:rsidRDefault="00077DBB" w:rsidP="00D60576">
      <w:pPr>
        <w:spacing w:before="120" w:line="288" w:lineRule="auto"/>
        <w:rPr>
          <w:rFonts w:cs="Arial"/>
          <w:lang w:eastAsia="en-AU"/>
        </w:rPr>
      </w:pPr>
      <w:r w:rsidRPr="1B84DD6B">
        <w:rPr>
          <w:rFonts w:cs="Arial"/>
          <w:lang w:eastAsia="en-AU"/>
        </w:rPr>
        <w:t>Anyone at-risk who is planning to travel to a country experiencing a significant outbreak should be vaccinated 4-6 weeks before they depart to allow for maximum protection</w:t>
      </w:r>
      <w:r w:rsidR="00CD6069">
        <w:rPr>
          <w:rStyle w:val="FootnoteReference"/>
          <w:rFonts w:cs="Arial"/>
          <w:lang w:eastAsia="en-AU"/>
        </w:rPr>
        <w:footnoteReference w:id="4"/>
      </w:r>
      <w:r w:rsidRPr="1B84DD6B">
        <w:rPr>
          <w:rFonts w:cs="Arial"/>
          <w:lang w:eastAsia="en-AU"/>
        </w:rPr>
        <w:t>.</w:t>
      </w:r>
    </w:p>
    <w:p w14:paraId="7DE6A48B" w14:textId="6BDB5E49" w:rsidR="00077DBB" w:rsidRPr="00C4116C" w:rsidRDefault="005D5520" w:rsidP="0076571F">
      <w:pPr>
        <w:pStyle w:val="Heading2"/>
        <w:spacing w:before="240"/>
      </w:pPr>
      <w:bookmarkStart w:id="28" w:name="_Toc176344960"/>
      <w:bookmarkEnd w:id="27"/>
      <w:r w:rsidRPr="008E47E2">
        <w:t>Mpox vaccine eligibility</w:t>
      </w:r>
      <w:bookmarkEnd w:id="28"/>
    </w:p>
    <w:p w14:paraId="14436ED8" w14:textId="69B27E19" w:rsidR="00077DBB" w:rsidRPr="00DE491D" w:rsidRDefault="006308C6" w:rsidP="00077DBB">
      <w:pPr>
        <w:shd w:val="clear" w:color="auto" w:fill="FFFFFF" w:themeFill="background1"/>
        <w:spacing w:line="240" w:lineRule="auto"/>
        <w:rPr>
          <w:rFonts w:cs="Arial"/>
          <w:lang w:eastAsia="en-AU"/>
        </w:rPr>
      </w:pPr>
      <w:r>
        <w:rPr>
          <w:rFonts w:cs="Arial"/>
          <w:lang w:eastAsia="en-AU"/>
        </w:rPr>
        <w:t>In Victoria, the free</w:t>
      </w:r>
      <w:r w:rsidRPr="00DE491D">
        <w:rPr>
          <w:rFonts w:cs="Arial"/>
          <w:lang w:eastAsia="en-AU"/>
        </w:rPr>
        <w:t xml:space="preserve"> </w:t>
      </w:r>
      <w:r w:rsidR="00DB5A2E" w:rsidRPr="00DE491D">
        <w:rPr>
          <w:rFonts w:cs="Arial"/>
          <w:lang w:eastAsia="en-AU"/>
        </w:rPr>
        <w:t>mpox</w:t>
      </w:r>
      <w:r w:rsidR="00077DBB" w:rsidRPr="00DE491D">
        <w:rPr>
          <w:rFonts w:cs="Arial"/>
          <w:lang w:eastAsia="en-AU"/>
        </w:rPr>
        <w:t xml:space="preserve"> vaccine JYNNEOS</w:t>
      </w:r>
      <w:r w:rsidR="00077DBB" w:rsidRPr="00DE491D">
        <w:rPr>
          <w:rFonts w:cs="Arial"/>
          <w:vertAlign w:val="superscript"/>
          <w:lang w:eastAsia="en-AU"/>
        </w:rPr>
        <w:t>®</w:t>
      </w:r>
      <w:r w:rsidR="00077DBB" w:rsidRPr="00DE491D">
        <w:rPr>
          <w:rFonts w:cs="Arial"/>
          <w:lang w:eastAsia="en-AU"/>
        </w:rPr>
        <w:t xml:space="preserve"> </w:t>
      </w:r>
      <w:r w:rsidR="001004E6">
        <w:rPr>
          <w:rFonts w:cs="Arial"/>
          <w:lang w:eastAsia="en-AU"/>
        </w:rPr>
        <w:t xml:space="preserve">is </w:t>
      </w:r>
      <w:r w:rsidR="00077DBB" w:rsidRPr="00DE491D">
        <w:rPr>
          <w:rFonts w:cs="Arial"/>
          <w:lang w:eastAsia="en-AU"/>
        </w:rPr>
        <w:t>available</w:t>
      </w:r>
      <w:r w:rsidR="00615839" w:rsidRPr="00DE491D">
        <w:rPr>
          <w:rFonts w:cs="Arial"/>
          <w:lang w:eastAsia="en-AU"/>
        </w:rPr>
        <w:t xml:space="preserve"> </w:t>
      </w:r>
      <w:r w:rsidR="00077DBB" w:rsidRPr="00DE491D">
        <w:rPr>
          <w:rFonts w:cs="Arial"/>
          <w:lang w:eastAsia="en-AU"/>
        </w:rPr>
        <w:t xml:space="preserve">for </w:t>
      </w:r>
      <w:r>
        <w:rPr>
          <w:rFonts w:cs="Arial"/>
          <w:lang w:eastAsia="en-AU"/>
        </w:rPr>
        <w:t>the following people:</w:t>
      </w:r>
      <w:r w:rsidR="00077DBB" w:rsidRPr="00DE491D">
        <w:rPr>
          <w:rFonts w:cs="Arial"/>
          <w:lang w:eastAsia="en-AU"/>
        </w:rPr>
        <w:t xml:space="preserve"> </w:t>
      </w:r>
    </w:p>
    <w:p w14:paraId="1A3767CE" w14:textId="0DBF2A24" w:rsidR="005D5520" w:rsidRDefault="00611C14" w:rsidP="007760CD">
      <w:pPr>
        <w:spacing w:before="240" w:line="240" w:lineRule="auto"/>
        <w:rPr>
          <w:lang w:eastAsia="zh-CN"/>
        </w:rPr>
      </w:pPr>
      <w:r w:rsidRPr="008E47E2">
        <w:rPr>
          <w:b/>
          <w:bCs/>
          <w:szCs w:val="21"/>
        </w:rPr>
        <w:t>Post-exposure preventive vaccination (PEPV)</w:t>
      </w:r>
      <w:r>
        <w:rPr>
          <w:b/>
          <w:bCs/>
          <w:sz w:val="26"/>
          <w:szCs w:val="26"/>
        </w:rPr>
        <w:t xml:space="preserve"> </w:t>
      </w:r>
      <w:r w:rsidR="001B0534">
        <w:rPr>
          <w:lang w:eastAsia="zh-CN"/>
        </w:rPr>
        <w:t xml:space="preserve"> </w:t>
      </w:r>
    </w:p>
    <w:p w14:paraId="6C0B295C" w14:textId="5604378A" w:rsidR="007760CD" w:rsidRDefault="005D5520" w:rsidP="005D5520">
      <w:pPr>
        <w:spacing w:before="120" w:line="240" w:lineRule="auto"/>
      </w:pPr>
      <w:r>
        <w:rPr>
          <w:color w:val="000000"/>
          <w:lang w:eastAsia="zh-CN"/>
        </w:rPr>
        <w:t xml:space="preserve">Vaccination </w:t>
      </w:r>
      <w:r w:rsidR="001B0534" w:rsidRPr="008E47E2">
        <w:rPr>
          <w:b/>
          <w:bCs/>
          <w:color w:val="000000"/>
          <w:lang w:eastAsia="zh-CN"/>
        </w:rPr>
        <w:t xml:space="preserve">preferably </w:t>
      </w:r>
      <w:r w:rsidR="00FB43C2" w:rsidRPr="008E47E2">
        <w:rPr>
          <w:b/>
          <w:bCs/>
          <w:color w:val="000000"/>
          <w:lang w:eastAsia="zh-CN"/>
        </w:rPr>
        <w:t>within</w:t>
      </w:r>
      <w:r w:rsidR="001B0534" w:rsidRPr="008E47E2">
        <w:rPr>
          <w:b/>
          <w:bCs/>
          <w:color w:val="000000"/>
          <w:lang w:eastAsia="zh-CN"/>
        </w:rPr>
        <w:t xml:space="preserve"> 4 days</w:t>
      </w:r>
      <w:r w:rsidR="00707A80">
        <w:rPr>
          <w:color w:val="000000"/>
          <w:lang w:eastAsia="zh-CN"/>
        </w:rPr>
        <w:t xml:space="preserve">, </w:t>
      </w:r>
      <w:r w:rsidR="00707A80" w:rsidRPr="00F106B6">
        <w:rPr>
          <w:rStyle w:val="normaltextrun"/>
          <w:rFonts w:eastAsia="MS Gothic" w:cs="Arial"/>
          <w:shd w:val="clear" w:color="auto" w:fill="FFFFFF"/>
        </w:rPr>
        <w:t xml:space="preserve">in accordance </w:t>
      </w:r>
      <w:r w:rsidR="00CF0846">
        <w:rPr>
          <w:rStyle w:val="normaltextrun"/>
          <w:rFonts w:eastAsia="MS Gothic" w:cs="Arial"/>
          <w:shd w:val="clear" w:color="auto" w:fill="FFFFFF"/>
        </w:rPr>
        <w:t xml:space="preserve">clinical guidance from </w:t>
      </w:r>
      <w:r w:rsidR="00CF0846">
        <w:t>the Australian Technical Advisory Group on Immunisation</w:t>
      </w:r>
      <w:r w:rsidR="007760CD">
        <w:rPr>
          <w:rStyle w:val="FootnoteReference"/>
        </w:rPr>
        <w:footnoteReference w:id="5"/>
      </w:r>
    </w:p>
    <w:p w14:paraId="724FFB3C" w14:textId="7AA1E5BB" w:rsidR="005D5520" w:rsidRPr="007760CD" w:rsidRDefault="005D5520" w:rsidP="00964A28">
      <w:pPr>
        <w:pStyle w:val="ListParagraph"/>
        <w:numPr>
          <w:ilvl w:val="0"/>
          <w:numId w:val="54"/>
        </w:numPr>
        <w:spacing w:before="120" w:line="240" w:lineRule="auto"/>
        <w:rPr>
          <w:rFonts w:eastAsia="Times"/>
          <w:lang w:val="en-US"/>
        </w:rPr>
      </w:pPr>
      <w:r w:rsidRPr="007760CD">
        <w:rPr>
          <w:rFonts w:eastAsia="Arial" w:cs="Arial"/>
          <w:szCs w:val="21"/>
        </w:rPr>
        <w:t>High-risk contacts of mpox cases</w:t>
      </w:r>
    </w:p>
    <w:p w14:paraId="0166140D" w14:textId="35974481" w:rsidR="005D5520" w:rsidRPr="007760CD" w:rsidRDefault="005D5520" w:rsidP="00964A28">
      <w:pPr>
        <w:pStyle w:val="ListParagraph"/>
        <w:numPr>
          <w:ilvl w:val="0"/>
          <w:numId w:val="54"/>
        </w:numPr>
        <w:spacing w:after="40"/>
        <w:rPr>
          <w:rFonts w:eastAsia="Times"/>
          <w:lang w:val="en-US"/>
        </w:rPr>
      </w:pPr>
      <w:r w:rsidRPr="007760CD">
        <w:rPr>
          <w:rFonts w:eastAsia="Arial" w:cs="Arial"/>
        </w:rPr>
        <w:t xml:space="preserve">Attendees of </w:t>
      </w:r>
      <w:r w:rsidR="00CF0846">
        <w:rPr>
          <w:rFonts w:eastAsia="Arial" w:cs="Arial"/>
        </w:rPr>
        <w:t>Sex-on-premises venues</w:t>
      </w:r>
      <w:r w:rsidR="00CF0846" w:rsidRPr="007760CD">
        <w:rPr>
          <w:rFonts w:eastAsia="Arial" w:cs="Arial"/>
        </w:rPr>
        <w:t xml:space="preserve"> </w:t>
      </w:r>
      <w:r w:rsidRPr="007760CD">
        <w:rPr>
          <w:rFonts w:eastAsia="Arial" w:cs="Arial"/>
        </w:rPr>
        <w:t xml:space="preserve">and public or private events (particularly where sexual or intimate contact </w:t>
      </w:r>
      <w:r w:rsidR="002A571A">
        <w:rPr>
          <w:rFonts w:eastAsia="Arial" w:cs="Arial"/>
        </w:rPr>
        <w:t>has occurred</w:t>
      </w:r>
      <w:r w:rsidRPr="007760CD">
        <w:rPr>
          <w:rFonts w:eastAsia="Arial" w:cs="Arial"/>
        </w:rPr>
        <w:t>) in areas where local transmission of mpox is occurring.</w:t>
      </w:r>
    </w:p>
    <w:p w14:paraId="25B9B5B7" w14:textId="167CCE2A" w:rsidR="007620BE" w:rsidRPr="00C658C8" w:rsidRDefault="0085661D" w:rsidP="0021607B">
      <w:pPr>
        <w:spacing w:before="120" w:line="276" w:lineRule="auto"/>
        <w:jc w:val="both"/>
        <w:rPr>
          <w:rFonts w:ascii="Calibri" w:hAnsi="Calibri"/>
          <w:color w:val="000000"/>
          <w:sz w:val="22"/>
          <w:lang w:eastAsia="zh-CN"/>
        </w:rPr>
      </w:pPr>
      <w:r w:rsidRPr="008E47E2">
        <w:rPr>
          <w:b/>
          <w:bCs/>
          <w:szCs w:val="21"/>
        </w:rPr>
        <w:t>Primary preventive vaccination (PPV)</w:t>
      </w:r>
      <w:r w:rsidR="007620BE">
        <w:rPr>
          <w:lang w:eastAsia="zh-CN"/>
        </w:rPr>
        <w:t xml:space="preserve"> </w:t>
      </w:r>
    </w:p>
    <w:p w14:paraId="6F9D7FFB" w14:textId="53354117" w:rsidR="004F2D38" w:rsidRPr="007760CD" w:rsidRDefault="005D5520" w:rsidP="00964A28">
      <w:pPr>
        <w:pStyle w:val="Bullet2"/>
        <w:numPr>
          <w:ilvl w:val="0"/>
          <w:numId w:val="51"/>
        </w:numPr>
        <w:rPr>
          <w:rStyle w:val="eop"/>
          <w:lang w:val="en-US"/>
        </w:rPr>
      </w:pPr>
      <w:r w:rsidRPr="000F3383">
        <w:rPr>
          <w:rStyle w:val="eop"/>
          <w:szCs w:val="21"/>
        </w:rPr>
        <w:t>Sexually active gay, bisexual and other men who have sex with men</w:t>
      </w:r>
      <w:r w:rsidR="004F2D38">
        <w:rPr>
          <w:rStyle w:val="eop"/>
          <w:szCs w:val="21"/>
        </w:rPr>
        <w:t xml:space="preserve"> (GBMSM)</w:t>
      </w:r>
    </w:p>
    <w:p w14:paraId="01B74C95" w14:textId="5DBE6086" w:rsidR="005D5520" w:rsidRPr="007760CD" w:rsidRDefault="004F2D38" w:rsidP="00964A28">
      <w:pPr>
        <w:pStyle w:val="Bullet2"/>
        <w:numPr>
          <w:ilvl w:val="0"/>
          <w:numId w:val="51"/>
        </w:numPr>
        <w:rPr>
          <w:rStyle w:val="eop"/>
          <w:lang w:val="en-US"/>
        </w:rPr>
      </w:pPr>
      <w:r>
        <w:rPr>
          <w:rStyle w:val="eop"/>
          <w:szCs w:val="21"/>
        </w:rPr>
        <w:t>S</w:t>
      </w:r>
      <w:r w:rsidR="005D5520" w:rsidRPr="000F3383">
        <w:rPr>
          <w:rStyle w:val="eop"/>
          <w:szCs w:val="21"/>
        </w:rPr>
        <w:t>exually active transgender and gender</w:t>
      </w:r>
      <w:r>
        <w:rPr>
          <w:rStyle w:val="eop"/>
          <w:szCs w:val="21"/>
        </w:rPr>
        <w:t xml:space="preserve"> </w:t>
      </w:r>
      <w:r w:rsidR="005D5520" w:rsidRPr="000F3383">
        <w:rPr>
          <w:rStyle w:val="eop"/>
          <w:szCs w:val="21"/>
        </w:rPr>
        <w:t>diverse people</w:t>
      </w:r>
      <w:r>
        <w:rPr>
          <w:rStyle w:val="eop"/>
          <w:szCs w:val="21"/>
        </w:rPr>
        <w:t>, if at risk of exposure</w:t>
      </w:r>
    </w:p>
    <w:p w14:paraId="0FDA3F7F" w14:textId="77777777" w:rsidR="004F2D38" w:rsidRDefault="004F2D38" w:rsidP="00964A28">
      <w:pPr>
        <w:numPr>
          <w:ilvl w:val="0"/>
          <w:numId w:val="51"/>
        </w:numPr>
        <w:spacing w:after="0" w:line="240" w:lineRule="auto"/>
        <w:rPr>
          <w:rFonts w:ascii="Aptos" w:hAnsi="Aptos"/>
          <w:sz w:val="22"/>
        </w:rPr>
      </w:pPr>
      <w:r>
        <w:t xml:space="preserve">Sex workers, particularly those whose clients are at risk of mpox exposure </w:t>
      </w:r>
    </w:p>
    <w:p w14:paraId="70019691" w14:textId="3E1CA8FC" w:rsidR="005D5520" w:rsidRPr="000F3383" w:rsidRDefault="005D5520" w:rsidP="00964A28">
      <w:pPr>
        <w:pStyle w:val="Bullet2"/>
        <w:numPr>
          <w:ilvl w:val="0"/>
          <w:numId w:val="51"/>
        </w:numPr>
        <w:rPr>
          <w:lang w:val="en-US"/>
        </w:rPr>
      </w:pPr>
      <w:r w:rsidRPr="000F3383">
        <w:rPr>
          <w:rStyle w:val="eop"/>
          <w:szCs w:val="21"/>
        </w:rPr>
        <w:t>Sexual partners (including anonymous sexual or intimate contacts)</w:t>
      </w:r>
      <w:r w:rsidR="004F2D38">
        <w:rPr>
          <w:rStyle w:val="eop"/>
          <w:szCs w:val="21"/>
        </w:rPr>
        <w:t xml:space="preserve"> of the above groups</w:t>
      </w:r>
    </w:p>
    <w:p w14:paraId="216752A0" w14:textId="77777777" w:rsidR="004F2D38" w:rsidRDefault="004F2D38" w:rsidP="00964A28">
      <w:pPr>
        <w:numPr>
          <w:ilvl w:val="0"/>
          <w:numId w:val="51"/>
        </w:numPr>
        <w:spacing w:after="0" w:line="240" w:lineRule="auto"/>
        <w:rPr>
          <w:rFonts w:ascii="Aptos" w:hAnsi="Aptos"/>
          <w:sz w:val="22"/>
        </w:rPr>
      </w:pPr>
      <w:r>
        <w:t xml:space="preserve">Sex-on-premises venue staff and attendees </w:t>
      </w:r>
    </w:p>
    <w:p w14:paraId="20B08EAE" w14:textId="4BE2B9CD" w:rsidR="005D5520" w:rsidRPr="000F3383" w:rsidRDefault="005D5520" w:rsidP="00964A28">
      <w:pPr>
        <w:pStyle w:val="Bullet2"/>
        <w:numPr>
          <w:ilvl w:val="0"/>
          <w:numId w:val="51"/>
        </w:numPr>
        <w:rPr>
          <w:lang w:val="en-US"/>
        </w:rPr>
      </w:pPr>
      <w:r w:rsidRPr="000F3383">
        <w:rPr>
          <w:rStyle w:val="eop"/>
          <w:szCs w:val="21"/>
        </w:rPr>
        <w:t xml:space="preserve">People living with HIV, if </w:t>
      </w:r>
      <w:r w:rsidR="004F2D38">
        <w:rPr>
          <w:rStyle w:val="eop"/>
          <w:szCs w:val="21"/>
        </w:rPr>
        <w:t xml:space="preserve">at </w:t>
      </w:r>
      <w:r w:rsidRPr="000F3383">
        <w:rPr>
          <w:rStyle w:val="eop"/>
          <w:szCs w:val="21"/>
        </w:rPr>
        <w:t>risk of mpox</w:t>
      </w:r>
      <w:r w:rsidR="004F2D38">
        <w:rPr>
          <w:rStyle w:val="eop"/>
          <w:szCs w:val="21"/>
        </w:rPr>
        <w:t xml:space="preserve"> exposure and their partners</w:t>
      </w:r>
    </w:p>
    <w:p w14:paraId="0F9E3397" w14:textId="3479B801" w:rsidR="00DF0AB3" w:rsidRPr="0021607B" w:rsidRDefault="00A85004" w:rsidP="00964A28">
      <w:pPr>
        <w:pStyle w:val="ListParagraph"/>
        <w:numPr>
          <w:ilvl w:val="0"/>
          <w:numId w:val="51"/>
        </w:numPr>
        <w:spacing w:after="0" w:line="276" w:lineRule="auto"/>
        <w:jc w:val="both"/>
        <w:rPr>
          <w:color w:val="000000"/>
          <w:lang w:eastAsia="zh-CN"/>
        </w:rPr>
      </w:pPr>
      <w:r w:rsidRPr="0021607B">
        <w:rPr>
          <w:color w:val="000000" w:themeColor="text1"/>
          <w:lang w:eastAsia="zh-CN"/>
        </w:rPr>
        <w:t>Laboratory worke</w:t>
      </w:r>
      <w:r w:rsidR="00DF0AB3" w:rsidRPr="0021607B">
        <w:rPr>
          <w:color w:val="000000" w:themeColor="text1"/>
          <w:lang w:eastAsia="zh-CN"/>
        </w:rPr>
        <w:t xml:space="preserve">rs </w:t>
      </w:r>
      <w:r w:rsidR="00CF0846">
        <w:rPr>
          <w:color w:val="000000" w:themeColor="text1"/>
          <w:lang w:eastAsia="zh-CN"/>
        </w:rPr>
        <w:t>working with orthopoxviruses</w:t>
      </w:r>
    </w:p>
    <w:p w14:paraId="10E3C279" w14:textId="1704CA09" w:rsidR="002A571A" w:rsidRPr="002A571A" w:rsidRDefault="0025269B" w:rsidP="00964A28">
      <w:pPr>
        <w:pStyle w:val="ListParagraph"/>
        <w:numPr>
          <w:ilvl w:val="0"/>
          <w:numId w:val="51"/>
        </w:numPr>
        <w:spacing w:before="120" w:after="0" w:line="288" w:lineRule="auto"/>
        <w:textAlignment w:val="baseline"/>
        <w:rPr>
          <w:rFonts w:eastAsia="MS Gothic" w:cs="Arial"/>
          <w:szCs w:val="21"/>
          <w:lang w:val="en-US"/>
        </w:rPr>
      </w:pPr>
      <w:r>
        <w:t>Vaccination may also be considered for healthcare workers at higher risk of exposure to patients with mpox</w:t>
      </w:r>
      <w:r w:rsidR="00CF0846">
        <w:t xml:space="preserve"> </w:t>
      </w:r>
      <w:r>
        <w:t xml:space="preserve">based on local risk assessments. </w:t>
      </w:r>
      <w:r w:rsidR="00CF0846">
        <w:t xml:space="preserve">This may include primary care, sexual health clinics, hospital staff and others. </w:t>
      </w:r>
      <w:r>
        <w:t xml:space="preserve">The risk of transmission should be also minimised by using </w:t>
      </w:r>
      <w:r w:rsidR="002A571A" w:rsidRPr="002A571A">
        <w:t>infection control measures</w:t>
      </w:r>
      <w:r w:rsidR="008E47E2" w:rsidRPr="002A571A">
        <w:rPr>
          <w:rStyle w:val="Hyperlink"/>
          <w:color w:val="auto"/>
          <w:u w:val="none"/>
        </w:rPr>
        <w:t>.</w:t>
      </w:r>
      <w:r w:rsidR="002A571A" w:rsidRPr="002A571A">
        <w:rPr>
          <w:rStyle w:val="FootnoteReference"/>
        </w:rPr>
        <w:footnoteReference w:id="6"/>
      </w:r>
      <w:r w:rsidR="008E3D7D">
        <w:rPr>
          <w:rStyle w:val="Hyperlink"/>
        </w:rPr>
        <w:t xml:space="preserve"> </w:t>
      </w:r>
    </w:p>
    <w:p w14:paraId="082C955D" w14:textId="7736678B" w:rsidR="001757A4" w:rsidRPr="002A571A" w:rsidRDefault="0061440D" w:rsidP="002A571A">
      <w:pPr>
        <w:spacing w:before="120" w:after="0" w:line="288" w:lineRule="auto"/>
        <w:textAlignment w:val="baseline"/>
        <w:rPr>
          <w:rStyle w:val="normaltextrun"/>
          <w:rFonts w:eastAsia="MS Gothic" w:cs="Arial"/>
          <w:szCs w:val="21"/>
          <w:lang w:val="en-US"/>
        </w:rPr>
      </w:pPr>
      <w:r w:rsidRPr="002A571A">
        <w:rPr>
          <w:rFonts w:cs="Arial"/>
          <w:color w:val="000000"/>
          <w:szCs w:val="21"/>
          <w:shd w:val="clear" w:color="auto" w:fill="FFFFFF"/>
        </w:rPr>
        <w:t>People</w:t>
      </w:r>
      <w:r w:rsidR="007F2E93" w:rsidRPr="002A571A">
        <w:rPr>
          <w:rFonts w:cs="Arial"/>
          <w:color w:val="000000"/>
          <w:szCs w:val="21"/>
          <w:shd w:val="clear" w:color="auto" w:fill="FFFFFF"/>
        </w:rPr>
        <w:t xml:space="preserve"> at risk for mpox should receive the 2-dose schedule, irrespective of administration route.</w:t>
      </w:r>
      <w:r w:rsidRPr="002A571A">
        <w:rPr>
          <w:rFonts w:eastAsia="Arial" w:cs="Arial"/>
          <w:szCs w:val="21"/>
        </w:rPr>
        <w:t xml:space="preserve"> A person will start to build protection in the days after their first dose with antibodies providing optimal protection 2 weeks of the second dose. </w:t>
      </w:r>
      <w:r w:rsidR="001757A4">
        <w:rPr>
          <w:rFonts w:eastAsia="Arial" w:cs="Arial"/>
          <w:szCs w:val="21"/>
        </w:rPr>
        <w:t xml:space="preserve">Booster doses are not currently recommended. </w:t>
      </w:r>
    </w:p>
    <w:p w14:paraId="78915CBD" w14:textId="77777777" w:rsidR="007760CD" w:rsidRDefault="00B05BA0" w:rsidP="00583549">
      <w:pPr>
        <w:spacing w:before="120" w:line="288" w:lineRule="auto"/>
        <w:textAlignment w:val="baseline"/>
        <w:rPr>
          <w:rFonts w:cs="Arial"/>
        </w:rPr>
      </w:pPr>
      <w:r w:rsidRPr="00DE491D">
        <w:rPr>
          <w:rFonts w:cs="Arial"/>
          <w:lang w:eastAsia="en-AU"/>
        </w:rPr>
        <w:t>JYNNEOS</w:t>
      </w:r>
      <w:r w:rsidRPr="00DE491D">
        <w:rPr>
          <w:rFonts w:cs="Arial"/>
          <w:vertAlign w:val="superscript"/>
          <w:lang w:eastAsia="en-AU"/>
        </w:rPr>
        <w:t>®</w:t>
      </w:r>
      <w:r w:rsidRPr="00DE491D">
        <w:rPr>
          <w:rFonts w:cs="Arial"/>
          <w:lang w:eastAsia="en-AU"/>
        </w:rPr>
        <w:t xml:space="preserve"> </w:t>
      </w:r>
      <w:r>
        <w:rPr>
          <w:rFonts w:cs="Arial"/>
        </w:rPr>
        <w:t>m</w:t>
      </w:r>
      <w:r w:rsidR="008C1031" w:rsidRPr="00B05BA0">
        <w:rPr>
          <w:rFonts w:cs="Arial"/>
        </w:rPr>
        <w:t>pox vaccines are available through sexual health clinics</w:t>
      </w:r>
      <w:r w:rsidR="00C635FB">
        <w:rPr>
          <w:rFonts w:cs="Arial"/>
        </w:rPr>
        <w:t xml:space="preserve">, public hospitals, </w:t>
      </w:r>
      <w:r w:rsidR="00E205CB">
        <w:rPr>
          <w:rFonts w:cs="Arial"/>
        </w:rPr>
        <w:t xml:space="preserve">general practitioners, </w:t>
      </w:r>
      <w:r w:rsidR="00C635FB">
        <w:rPr>
          <w:rFonts w:cs="Arial"/>
        </w:rPr>
        <w:t>Aboriginal health services, community pharmacies and some local councils.</w:t>
      </w:r>
      <w:r w:rsidR="008C1031" w:rsidRPr="00B05BA0">
        <w:rPr>
          <w:rFonts w:cs="Arial"/>
        </w:rPr>
        <w:t xml:space="preserve"> </w:t>
      </w:r>
    </w:p>
    <w:p w14:paraId="7C191BA8" w14:textId="0F6BAF87" w:rsidR="00641171" w:rsidRDefault="008C1031" w:rsidP="00583549">
      <w:pPr>
        <w:spacing w:before="120" w:line="288" w:lineRule="auto"/>
        <w:textAlignment w:val="baseline"/>
        <w:rPr>
          <w:rFonts w:cs="Arial"/>
        </w:rPr>
      </w:pPr>
      <w:r w:rsidRPr="00B05BA0">
        <w:rPr>
          <w:rFonts w:cs="Arial"/>
        </w:rPr>
        <w:t xml:space="preserve">People eligible for mpox vaccine can </w:t>
      </w:r>
      <w:r w:rsidR="007C009A">
        <w:rPr>
          <w:rFonts w:cs="Arial"/>
        </w:rPr>
        <w:t xml:space="preserve">find an immunisation provider: </w:t>
      </w:r>
    </w:p>
    <w:p w14:paraId="46EA55B5" w14:textId="7558FC4B" w:rsidR="00641171" w:rsidRPr="00641171" w:rsidRDefault="00641171" w:rsidP="00641171">
      <w:pPr>
        <w:pStyle w:val="ListParagraph"/>
        <w:numPr>
          <w:ilvl w:val="0"/>
          <w:numId w:val="58"/>
        </w:numPr>
        <w:spacing w:before="120" w:line="288" w:lineRule="auto"/>
        <w:textAlignment w:val="baseline"/>
        <w:rPr>
          <w:rFonts w:cs="Arial"/>
        </w:rPr>
      </w:pPr>
      <w:r w:rsidRPr="00641171">
        <w:rPr>
          <w:rFonts w:cs="Arial"/>
        </w:rPr>
        <w:t xml:space="preserve">refer to </w:t>
      </w:r>
      <w:hyperlink r:id="rId19" w:history="1">
        <w:r w:rsidRPr="00641171">
          <w:rPr>
            <w:rStyle w:val="Hyperlink"/>
            <w:rFonts w:cs="Arial"/>
          </w:rPr>
          <w:t>Better Health Channel Mpox immunisation providers</w:t>
        </w:r>
      </w:hyperlink>
      <w:r w:rsidRPr="00641171">
        <w:rPr>
          <w:rFonts w:cs="Arial"/>
        </w:rPr>
        <w:t xml:space="preserve">, listed by local government areas </w:t>
      </w:r>
      <w:r>
        <w:rPr>
          <w:rFonts w:cs="Arial"/>
        </w:rPr>
        <w:t>&lt;</w:t>
      </w:r>
      <w:r w:rsidRPr="00641171">
        <w:rPr>
          <w:rFonts w:cs="Arial"/>
        </w:rPr>
        <w:t>https://www.betterhealth.vic.gov.au/mpox-immunisation-providers</w:t>
      </w:r>
      <w:r>
        <w:rPr>
          <w:rFonts w:cs="Arial"/>
        </w:rPr>
        <w:t>&gt;</w:t>
      </w:r>
    </w:p>
    <w:p w14:paraId="08BE269A" w14:textId="46A2D40B" w:rsidR="008C1031" w:rsidRDefault="008C1031" w:rsidP="00641171">
      <w:pPr>
        <w:pStyle w:val="ListParagraph"/>
        <w:numPr>
          <w:ilvl w:val="0"/>
          <w:numId w:val="58"/>
        </w:numPr>
        <w:spacing w:before="120" w:line="288" w:lineRule="auto"/>
        <w:textAlignment w:val="baseline"/>
      </w:pPr>
      <w:r w:rsidRPr="00641171">
        <w:rPr>
          <w:rFonts w:cs="Arial"/>
        </w:rPr>
        <w:t xml:space="preserve">contact their Local Public Health Unit (LPHU) </w:t>
      </w:r>
      <w:r w:rsidR="007C009A">
        <w:rPr>
          <w:rFonts w:cs="Arial"/>
        </w:rPr>
        <w:t xml:space="preserve">Refer to </w:t>
      </w:r>
      <w:hyperlink r:id="rId20" w:history="1">
        <w:r w:rsidRPr="00641171">
          <w:rPr>
            <w:rStyle w:val="Hyperlink"/>
            <w:rFonts w:cs="Arial"/>
            <w:lang w:eastAsia="en-AU"/>
          </w:rPr>
          <w:t>Mpox (monkeypox)</w:t>
        </w:r>
      </w:hyperlink>
      <w:r w:rsidRPr="00641171">
        <w:rPr>
          <w:rStyle w:val="Hyperlink"/>
          <w:rFonts w:cs="Arial"/>
          <w:lang w:eastAsia="en-AU"/>
        </w:rPr>
        <w:t xml:space="preserve"> </w:t>
      </w:r>
      <w:r w:rsidRPr="00641171">
        <w:rPr>
          <w:rFonts w:cs="Arial"/>
          <w:color w:val="2A2736"/>
        </w:rPr>
        <w:t xml:space="preserve"> </w:t>
      </w:r>
      <w:r w:rsidR="008E3D7D" w:rsidRPr="00641171">
        <w:rPr>
          <w:rFonts w:cs="Arial"/>
          <w:color w:val="2A2736"/>
        </w:rPr>
        <w:t>&lt;</w:t>
      </w:r>
      <w:r w:rsidRPr="00641171">
        <w:rPr>
          <w:rFonts w:cs="Arial"/>
          <w:lang w:eastAsia="en-AU"/>
        </w:rPr>
        <w:t>https://www.health.vic.gov.au/infectious-diseases/mpox-monkeypox</w:t>
      </w:r>
      <w:r w:rsidR="008E3D7D" w:rsidRPr="00641171">
        <w:rPr>
          <w:rFonts w:cs="Arial"/>
          <w:lang w:eastAsia="en-AU"/>
        </w:rPr>
        <w:t>&gt;</w:t>
      </w:r>
      <w:r w:rsidRPr="00641171">
        <w:rPr>
          <w:rFonts w:cs="Arial"/>
          <w:lang w:eastAsia="en-AU"/>
        </w:rPr>
        <w:t xml:space="preserve"> </w:t>
      </w:r>
      <w:r w:rsidRPr="00641171">
        <w:rPr>
          <w:rFonts w:cs="Arial"/>
          <w:color w:val="2A2736"/>
        </w:rPr>
        <w:t>for LPHU details</w:t>
      </w:r>
      <w:r w:rsidR="008161C3" w:rsidRPr="00641171">
        <w:rPr>
          <w:rFonts w:cs="Arial"/>
          <w:color w:val="2A2736"/>
        </w:rPr>
        <w:t>.</w:t>
      </w:r>
    </w:p>
    <w:p w14:paraId="4400A33A" w14:textId="592793D2" w:rsidR="00077DBB" w:rsidRPr="006F1A2A" w:rsidRDefault="7BCD4BF7" w:rsidP="00C067A4">
      <w:pPr>
        <w:pStyle w:val="Heading1"/>
        <w:spacing w:before="360"/>
      </w:pPr>
      <w:bookmarkStart w:id="29" w:name="_Toc176344961"/>
      <w:r>
        <w:t>Mpox vaccine</w:t>
      </w:r>
      <w:r w:rsidR="008E47E2">
        <w:t xml:space="preserve"> for use in Victoria</w:t>
      </w:r>
      <w:bookmarkEnd w:id="29"/>
      <w:r>
        <w:t xml:space="preserve"> </w:t>
      </w:r>
    </w:p>
    <w:p w14:paraId="142A4442" w14:textId="2330543C" w:rsidR="00077DBB" w:rsidRPr="006F1A2A" w:rsidRDefault="7BCD4BF7" w:rsidP="0022510D">
      <w:pPr>
        <w:pStyle w:val="Heading2"/>
        <w:spacing w:before="240"/>
        <w:rPr>
          <w:rStyle w:val="Hyperlink"/>
          <w:color w:val="1F497D" w:themeColor="text2"/>
        </w:rPr>
      </w:pPr>
      <w:bookmarkStart w:id="30" w:name="_Toc176344962"/>
      <w:r>
        <w:t>Mpox vaccines for use in Victoria</w:t>
      </w:r>
      <w:bookmarkEnd w:id="30"/>
    </w:p>
    <w:p w14:paraId="4E4435C2" w14:textId="42A26029" w:rsidR="00077DBB" w:rsidRPr="00434356" w:rsidRDefault="7BCD4BF7" w:rsidP="0E85B56F">
      <w:pPr>
        <w:pStyle w:val="Body"/>
        <w:rPr>
          <w:rFonts w:eastAsia="Times New Roman"/>
        </w:rPr>
      </w:pPr>
      <w:r w:rsidRPr="0E85B56F">
        <w:rPr>
          <w:rFonts w:eastAsia="Times New Roman"/>
        </w:rPr>
        <w:t>JYNNEOS</w:t>
      </w:r>
      <w:r w:rsidRPr="0E85B56F">
        <w:rPr>
          <w:rFonts w:eastAsia="Times New Roman"/>
          <w:vertAlign w:val="superscript"/>
        </w:rPr>
        <w:t>®</w:t>
      </w:r>
      <w:r w:rsidRPr="0E85B56F">
        <w:rPr>
          <w:rFonts w:eastAsia="Times New Roman"/>
        </w:rPr>
        <w:t xml:space="preserve"> </w:t>
      </w:r>
      <w:r w:rsidR="008E47E2">
        <w:rPr>
          <w:rFonts w:eastAsia="Times New Roman"/>
        </w:rPr>
        <w:t xml:space="preserve">vaccine </w:t>
      </w:r>
      <w:r w:rsidRPr="00434356">
        <w:rPr>
          <w:rFonts w:eastAsia="Times New Roman"/>
        </w:rPr>
        <w:t>has been made available via a special emergency pathway under section 18A of the Therapeutic Goods Act 1989 (Cth)</w:t>
      </w:r>
      <w:r w:rsidR="007C6685" w:rsidRPr="00434356">
        <w:rPr>
          <w:rFonts w:eastAsia="Times New Roman"/>
        </w:rPr>
        <w:t>.</w:t>
      </w:r>
    </w:p>
    <w:p w14:paraId="3A888A94" w14:textId="350463B7" w:rsidR="00863AC6" w:rsidRPr="00434356" w:rsidRDefault="7BCD4BF7" w:rsidP="00964A28">
      <w:pPr>
        <w:pStyle w:val="ListParagraph"/>
        <w:numPr>
          <w:ilvl w:val="0"/>
          <w:numId w:val="50"/>
        </w:numPr>
        <w:spacing w:before="120" w:line="240" w:lineRule="auto"/>
        <w:contextualSpacing w:val="0"/>
        <w:rPr>
          <w:rFonts w:eastAsia="Arial" w:cs="Arial"/>
        </w:rPr>
      </w:pPr>
      <w:r w:rsidRPr="00434356">
        <w:rPr>
          <w:rFonts w:eastAsia="Arial" w:cs="Arial"/>
        </w:rPr>
        <w:t xml:space="preserve">The </w:t>
      </w:r>
      <w:r w:rsidR="00511C4A" w:rsidRPr="00434356">
        <w:rPr>
          <w:rFonts w:eastAsia="Arial" w:cs="Arial"/>
          <w:b/>
          <w:bCs/>
        </w:rPr>
        <w:t>preferred</w:t>
      </w:r>
      <w:r w:rsidR="00511C4A" w:rsidRPr="00434356">
        <w:rPr>
          <w:rFonts w:eastAsia="Arial" w:cs="Arial"/>
        </w:rPr>
        <w:t xml:space="preserve"> </w:t>
      </w:r>
      <w:r w:rsidRPr="00434356">
        <w:rPr>
          <w:rFonts w:eastAsia="Arial" w:cs="Arial"/>
        </w:rPr>
        <w:t xml:space="preserve">regimen for </w:t>
      </w:r>
      <w:r w:rsidR="001C0863" w:rsidRPr="00434356">
        <w:rPr>
          <w:rFonts w:eastAsia="Arial" w:cs="Arial"/>
        </w:rPr>
        <w:t xml:space="preserve">the </w:t>
      </w:r>
      <w:r w:rsidRPr="00434356">
        <w:rPr>
          <w:rFonts w:eastAsia="Arial" w:cs="Arial"/>
        </w:rPr>
        <w:t>JYNNEOS</w:t>
      </w:r>
      <w:r w:rsidR="00D846A2" w:rsidRPr="00434356">
        <w:rPr>
          <w:rFonts w:eastAsia="Arial" w:cs="Arial"/>
          <w:vertAlign w:val="superscript"/>
        </w:rPr>
        <w:t>®</w:t>
      </w:r>
      <w:r w:rsidRPr="00434356">
        <w:rPr>
          <w:rFonts w:eastAsia="Arial" w:cs="Arial"/>
        </w:rPr>
        <w:t xml:space="preserve"> </w:t>
      </w:r>
      <w:r w:rsidR="001C0863" w:rsidRPr="00434356">
        <w:rPr>
          <w:rFonts w:eastAsia="Arial" w:cs="Arial"/>
        </w:rPr>
        <w:t xml:space="preserve">vaccine </w:t>
      </w:r>
      <w:r w:rsidRPr="00434356">
        <w:rPr>
          <w:rFonts w:eastAsia="Arial" w:cs="Arial"/>
        </w:rPr>
        <w:t xml:space="preserve">involves a subcutaneous (SC) route </w:t>
      </w:r>
    </w:p>
    <w:p w14:paraId="4E02447C" w14:textId="6DD3969A" w:rsidR="001C46DB" w:rsidRPr="00434356" w:rsidRDefault="00300F1A" w:rsidP="00964A28">
      <w:pPr>
        <w:pStyle w:val="ListParagraph"/>
        <w:numPr>
          <w:ilvl w:val="0"/>
          <w:numId w:val="50"/>
        </w:numPr>
        <w:spacing w:before="120" w:line="240" w:lineRule="auto"/>
        <w:contextualSpacing w:val="0"/>
        <w:rPr>
          <w:rFonts w:eastAsia="Arial" w:cs="Arial"/>
        </w:rPr>
      </w:pPr>
      <w:r w:rsidRPr="00434356">
        <w:rPr>
          <w:rFonts w:eastAsia="Times New Roman"/>
        </w:rPr>
        <w:t>JYNNEOS</w:t>
      </w:r>
      <w:r w:rsidRPr="00434356">
        <w:rPr>
          <w:rFonts w:eastAsia="Times New Roman"/>
          <w:vertAlign w:val="superscript"/>
        </w:rPr>
        <w:t>®</w:t>
      </w:r>
      <w:r w:rsidRPr="00434356">
        <w:rPr>
          <w:rFonts w:eastAsia="Times New Roman"/>
        </w:rPr>
        <w:t xml:space="preserve"> vaccine may also be administered </w:t>
      </w:r>
      <w:r w:rsidR="0049422C">
        <w:rPr>
          <w:rFonts w:eastAsia="Times New Roman"/>
        </w:rPr>
        <w:t>by the</w:t>
      </w:r>
      <w:r w:rsidR="008E1256">
        <w:rPr>
          <w:rFonts w:eastAsia="Times New Roman"/>
        </w:rPr>
        <w:t xml:space="preserve"> </w:t>
      </w:r>
      <w:r w:rsidR="7BCD4BF7" w:rsidRPr="00434356">
        <w:rPr>
          <w:rFonts w:eastAsia="Arial" w:cs="Arial"/>
        </w:rPr>
        <w:t xml:space="preserve">intradermal (ID) </w:t>
      </w:r>
      <w:r w:rsidR="0049422C">
        <w:rPr>
          <w:rFonts w:eastAsia="Arial" w:cs="Arial"/>
        </w:rPr>
        <w:t>route</w:t>
      </w:r>
      <w:r w:rsidR="00DD2982" w:rsidRPr="00434356">
        <w:rPr>
          <w:rFonts w:eastAsia="Arial" w:cs="Arial"/>
        </w:rPr>
        <w:t>.</w:t>
      </w:r>
      <w:r w:rsidR="007B2903" w:rsidRPr="00434356">
        <w:rPr>
          <w:rStyle w:val="FootnoteReference"/>
          <w:rFonts w:eastAsia="Arial" w:cs="Arial"/>
        </w:rPr>
        <w:footnoteReference w:id="7"/>
      </w:r>
      <w:r w:rsidR="6F3A25CA" w:rsidRPr="00434356">
        <w:rPr>
          <w:rFonts w:eastAsia="Arial" w:cs="Arial"/>
        </w:rPr>
        <w:t xml:space="preserve"> </w:t>
      </w:r>
    </w:p>
    <w:p w14:paraId="7EB26690" w14:textId="17C00FD8" w:rsidR="00077DBB" w:rsidRDefault="7BCD4BF7" w:rsidP="0086287F">
      <w:pPr>
        <w:pStyle w:val="Heading4"/>
        <w:spacing w:after="120"/>
        <w:rPr>
          <w:rStyle w:val="Strong"/>
          <w:b/>
          <w:color w:val="auto"/>
          <w:sz w:val="21"/>
          <w:szCs w:val="21"/>
        </w:rPr>
      </w:pPr>
      <w:r w:rsidRPr="005D77D7">
        <w:rPr>
          <w:rStyle w:val="Strong"/>
          <w:b/>
          <w:color w:val="auto"/>
          <w:sz w:val="21"/>
          <w:szCs w:val="21"/>
        </w:rPr>
        <w:t>Table. 1- JYNNEOS</w:t>
      </w:r>
      <w:r w:rsidRPr="005D77D7">
        <w:rPr>
          <w:rStyle w:val="Strong"/>
          <w:b/>
          <w:color w:val="auto"/>
          <w:sz w:val="21"/>
          <w:szCs w:val="21"/>
          <w:vertAlign w:val="superscript"/>
        </w:rPr>
        <w:t>®</w:t>
      </w:r>
      <w:r w:rsidRPr="005D77D7">
        <w:rPr>
          <w:rStyle w:val="Strong"/>
          <w:b/>
          <w:color w:val="auto"/>
          <w:sz w:val="21"/>
          <w:szCs w:val="21"/>
        </w:rPr>
        <w:t xml:space="preserve"> </w:t>
      </w:r>
      <w:r w:rsidR="00295005" w:rsidRPr="005D77D7">
        <w:rPr>
          <w:rStyle w:val="Strong"/>
          <w:b/>
          <w:color w:val="auto"/>
          <w:sz w:val="21"/>
          <w:szCs w:val="21"/>
        </w:rPr>
        <w:t xml:space="preserve">vaccine </w:t>
      </w:r>
      <w:r w:rsidRPr="005D77D7">
        <w:rPr>
          <w:rStyle w:val="Strong"/>
          <w:b/>
          <w:color w:val="auto"/>
          <w:sz w:val="21"/>
          <w:szCs w:val="21"/>
        </w:rPr>
        <w:t>product information</w:t>
      </w:r>
    </w:p>
    <w:tbl>
      <w:tblPr>
        <w:tblW w:w="9214"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111"/>
        <w:gridCol w:w="5103"/>
      </w:tblGrid>
      <w:tr w:rsidR="00C067A4" w:rsidRPr="007C009A" w14:paraId="536D16F9" w14:textId="77777777" w:rsidTr="007C009A">
        <w:trPr>
          <w:trHeight w:val="384"/>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0CD4EFC4"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Product Information</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5FFEF796"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0.5ml vial</w:t>
            </w:r>
          </w:p>
        </w:tc>
      </w:tr>
      <w:tr w:rsidR="00C067A4" w:rsidRPr="007C009A" w14:paraId="1ABFE4F2" w14:textId="77777777" w:rsidTr="007C009A">
        <w:trPr>
          <w:trHeight w:val="289"/>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1B17345D"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Type of vaccine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64408875"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rPr>
              <w:t>attenuated, live, non-replicating</w:t>
            </w:r>
          </w:p>
        </w:tc>
      </w:tr>
      <w:tr w:rsidR="00C067A4" w:rsidRPr="007C009A" w14:paraId="2B5C274D" w14:textId="77777777" w:rsidTr="007C009A">
        <w:trPr>
          <w:trHeight w:val="348"/>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4EBED5BB"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Presentation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0A1A3B28"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Suspension </w:t>
            </w:r>
          </w:p>
        </w:tc>
      </w:tr>
      <w:tr w:rsidR="00C067A4" w:rsidRPr="007C009A" w14:paraId="637CEE6A" w14:textId="77777777" w:rsidTr="007C009A">
        <w:trPr>
          <w:trHeight w:val="374"/>
        </w:trPr>
        <w:tc>
          <w:tcPr>
            <w:tcW w:w="4111" w:type="dxa"/>
            <w:vMerge w:val="restart"/>
            <w:tcBorders>
              <w:top w:val="single" w:sz="6" w:space="0" w:color="auto"/>
              <w:left w:val="single" w:sz="6" w:space="0" w:color="auto"/>
              <w:right w:val="single" w:sz="6" w:space="0" w:color="auto"/>
            </w:tcBorders>
            <w:shd w:val="clear" w:color="auto" w:fill="auto"/>
          </w:tcPr>
          <w:p w14:paraId="15D9BA54"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 xml:space="preserve">Route &amp; dosage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5CCDEFFF"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Subcutaneous (SC) – 0.5ml (1 dose per vial)</w:t>
            </w:r>
          </w:p>
        </w:tc>
      </w:tr>
      <w:tr w:rsidR="00C067A4" w:rsidRPr="007C009A" w14:paraId="7068BA96" w14:textId="77777777" w:rsidTr="007C009A">
        <w:trPr>
          <w:trHeight w:val="384"/>
        </w:trPr>
        <w:tc>
          <w:tcPr>
            <w:tcW w:w="4111" w:type="dxa"/>
            <w:vMerge/>
          </w:tcPr>
          <w:p w14:paraId="4AD33E1C" w14:textId="77777777" w:rsidR="00C067A4" w:rsidRPr="007C009A" w:rsidRDefault="00C067A4" w:rsidP="007C009A">
            <w:pPr>
              <w:pStyle w:val="DJCSbody"/>
              <w:spacing w:before="40" w:after="0" w:line="120" w:lineRule="atLeast"/>
              <w:rPr>
                <w:rFonts w:cs="Arial"/>
                <w:b/>
                <w:sz w:val="18"/>
                <w:szCs w:val="18"/>
              </w:rPr>
            </w:pP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25029DB4"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Intradermal (ID)– 0.1ml (up to 5 doses per vial)</w:t>
            </w:r>
          </w:p>
        </w:tc>
      </w:tr>
      <w:tr w:rsidR="00C067A4" w:rsidRPr="007C009A" w14:paraId="7412D5A7" w14:textId="77777777" w:rsidTr="007C009A">
        <w:trPr>
          <w:trHeight w:val="428"/>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7CCAEF2B" w14:textId="77777777" w:rsidR="00C067A4" w:rsidRPr="007C009A" w:rsidRDefault="00C067A4" w:rsidP="007C009A">
            <w:pPr>
              <w:pStyle w:val="DJCSbody"/>
              <w:spacing w:before="40" w:after="0" w:line="120" w:lineRule="atLeast"/>
              <w:rPr>
                <w:rFonts w:cs="Arial"/>
                <w:b/>
                <w:sz w:val="18"/>
                <w:szCs w:val="18"/>
                <w:lang w:eastAsia="en-AU"/>
              </w:rPr>
            </w:pPr>
            <w:r w:rsidRPr="007C009A">
              <w:rPr>
                <w:rFonts w:cs="Arial"/>
                <w:b/>
                <w:sz w:val="18"/>
                <w:szCs w:val="18"/>
                <w:lang w:eastAsia="en-AU"/>
              </w:rPr>
              <w:t>P</w:t>
            </w:r>
            <w:r w:rsidRPr="007C009A">
              <w:rPr>
                <w:rFonts w:cs="Arial"/>
                <w:b/>
                <w:bCs/>
                <w:sz w:val="18"/>
                <w:szCs w:val="18"/>
              </w:rPr>
              <w:t xml:space="preserve">rimary preventive vaccination (PPV)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10464D5E" w14:textId="77777777"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 xml:space="preserve">Schedule - 2 doses, </w:t>
            </w:r>
            <w:r w:rsidRPr="007C009A">
              <w:rPr>
                <w:rFonts w:cs="Arial"/>
                <w:b/>
                <w:bCs/>
                <w:sz w:val="18"/>
                <w:szCs w:val="18"/>
                <w:lang w:eastAsia="en-AU"/>
              </w:rPr>
              <w:t>at least</w:t>
            </w:r>
            <w:r w:rsidRPr="007C009A">
              <w:rPr>
                <w:rFonts w:cs="Arial"/>
                <w:sz w:val="18"/>
                <w:szCs w:val="18"/>
                <w:lang w:eastAsia="en-AU"/>
              </w:rPr>
              <w:t xml:space="preserve"> 28 days apart</w:t>
            </w:r>
          </w:p>
        </w:tc>
      </w:tr>
      <w:tr w:rsidR="00C067A4" w:rsidRPr="007C009A" w14:paraId="2789430D" w14:textId="77777777" w:rsidTr="007C009A">
        <w:trPr>
          <w:trHeight w:val="600"/>
        </w:trPr>
        <w:tc>
          <w:tcPr>
            <w:tcW w:w="4111" w:type="dxa"/>
            <w:tcBorders>
              <w:top w:val="single" w:sz="6" w:space="0" w:color="auto"/>
              <w:left w:val="single" w:sz="6" w:space="0" w:color="auto"/>
              <w:bottom w:val="single" w:sz="6" w:space="0" w:color="auto"/>
              <w:right w:val="single" w:sz="6" w:space="0" w:color="auto"/>
            </w:tcBorders>
            <w:shd w:val="clear" w:color="auto" w:fill="auto"/>
          </w:tcPr>
          <w:p w14:paraId="119B64F4" w14:textId="77777777" w:rsidR="00C067A4" w:rsidRPr="007C009A" w:rsidRDefault="00000000" w:rsidP="007C009A">
            <w:pPr>
              <w:pStyle w:val="DJCSbody"/>
              <w:spacing w:before="40" w:after="0" w:line="120" w:lineRule="atLeast"/>
              <w:rPr>
                <w:rFonts w:cs="Arial"/>
                <w:b/>
                <w:sz w:val="18"/>
                <w:szCs w:val="18"/>
                <w:lang w:eastAsia="en-AU"/>
              </w:rPr>
            </w:pPr>
            <w:hyperlink w:anchor="_Post_exposure_prophylaxis" w:history="1">
              <w:r w:rsidR="00C067A4" w:rsidRPr="007C009A">
                <w:rPr>
                  <w:rFonts w:cs="Arial"/>
                  <w:sz w:val="18"/>
                  <w:szCs w:val="18"/>
                </w:rPr>
                <w:t>P</w:t>
              </w:r>
              <w:r w:rsidR="00C067A4" w:rsidRPr="007C009A">
                <w:rPr>
                  <w:rFonts w:cs="Arial"/>
                  <w:b/>
                  <w:bCs/>
                  <w:sz w:val="18"/>
                  <w:szCs w:val="18"/>
                </w:rPr>
                <w:t>ost-exposure preventive vaccination (PEPV)</w:t>
              </w:r>
            </w:hyperlink>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722F9C3A" w14:textId="3095AFAF" w:rsidR="00C067A4" w:rsidRPr="007C009A" w:rsidRDefault="00C067A4" w:rsidP="007C009A">
            <w:pPr>
              <w:pStyle w:val="DJCSbody"/>
              <w:spacing w:before="40" w:after="0" w:line="120" w:lineRule="atLeast"/>
              <w:rPr>
                <w:rFonts w:cs="Arial"/>
                <w:sz w:val="18"/>
                <w:szCs w:val="18"/>
                <w:lang w:eastAsia="en-AU"/>
              </w:rPr>
            </w:pPr>
            <w:r w:rsidRPr="007C009A">
              <w:rPr>
                <w:rFonts w:cs="Arial"/>
                <w:sz w:val="18"/>
                <w:szCs w:val="18"/>
                <w:lang w:eastAsia="en-AU"/>
              </w:rPr>
              <w:t xml:space="preserve">As recommended by the department </w:t>
            </w:r>
            <w:r w:rsidR="007C009A">
              <w:rPr>
                <w:rFonts w:cs="Arial"/>
                <w:sz w:val="18"/>
                <w:szCs w:val="18"/>
                <w:lang w:eastAsia="en-AU"/>
              </w:rPr>
              <w:t xml:space="preserve"> - </w:t>
            </w:r>
            <w:r w:rsidRPr="007C009A">
              <w:rPr>
                <w:rFonts w:cs="Arial"/>
                <w:sz w:val="18"/>
                <w:szCs w:val="18"/>
                <w:lang w:eastAsia="en-AU"/>
              </w:rPr>
              <w:t xml:space="preserve">1 dose (SC) </w:t>
            </w:r>
            <w:r w:rsidRPr="007C009A">
              <w:rPr>
                <w:rFonts w:cs="Arial"/>
                <w:b/>
                <w:sz w:val="18"/>
                <w:szCs w:val="18"/>
                <w:lang w:eastAsia="en-AU"/>
              </w:rPr>
              <w:t xml:space="preserve">OR </w:t>
            </w:r>
            <w:r w:rsidRPr="007C009A">
              <w:rPr>
                <w:rFonts w:cs="Arial"/>
                <w:sz w:val="18"/>
                <w:szCs w:val="18"/>
                <w:lang w:eastAsia="en-AU"/>
              </w:rPr>
              <w:t xml:space="preserve">2 doses ≥ 28 days apart if no infection </w:t>
            </w:r>
            <w:r w:rsidR="007C009A">
              <w:rPr>
                <w:rFonts w:cs="Arial"/>
                <w:sz w:val="18"/>
                <w:szCs w:val="18"/>
                <w:lang w:eastAsia="en-AU"/>
              </w:rPr>
              <w:t>+</w:t>
            </w:r>
            <w:r w:rsidRPr="007C009A">
              <w:rPr>
                <w:rFonts w:cs="Arial"/>
                <w:sz w:val="18"/>
                <w:szCs w:val="18"/>
                <w:lang w:eastAsia="en-AU"/>
              </w:rPr>
              <w:t xml:space="preserve"> continuing exposure</w:t>
            </w:r>
          </w:p>
        </w:tc>
      </w:tr>
    </w:tbl>
    <w:p w14:paraId="737AE780" w14:textId="6B5D1359" w:rsidR="00077DBB" w:rsidRPr="006F1A2A" w:rsidRDefault="009B143A" w:rsidP="009B143A">
      <w:pPr>
        <w:pStyle w:val="Heading2"/>
        <w:spacing w:before="720"/>
      </w:pPr>
      <w:bookmarkStart w:id="31" w:name="_Toc176344963"/>
      <w:r>
        <w:t>C</w:t>
      </w:r>
      <w:r w:rsidR="7BCD4BF7">
        <w:t>ontraindications</w:t>
      </w:r>
      <w:bookmarkEnd w:id="31"/>
    </w:p>
    <w:p w14:paraId="1D5E0DD4" w14:textId="13201576" w:rsidR="00877088" w:rsidRPr="00F5421F" w:rsidRDefault="00877088" w:rsidP="00F5421F">
      <w:pPr>
        <w:shd w:val="clear" w:color="auto" w:fill="FFFFFF"/>
        <w:spacing w:line="240" w:lineRule="auto"/>
        <w:rPr>
          <w:rFonts w:cs="Arial"/>
          <w:color w:val="313131"/>
          <w:szCs w:val="21"/>
          <w:lang w:eastAsia="en-AU"/>
        </w:rPr>
      </w:pPr>
      <w:r w:rsidRPr="00F5421F">
        <w:rPr>
          <w:rFonts w:cs="Arial"/>
          <w:color w:val="313131"/>
          <w:szCs w:val="21"/>
          <w:lang w:eastAsia="en-AU"/>
        </w:rPr>
        <w:t xml:space="preserve">The only absolute contraindications to </w:t>
      </w:r>
      <w:r w:rsidRPr="00877088">
        <w:rPr>
          <w:rFonts w:eastAsiaTheme="minorEastAsia" w:cs="Arial"/>
          <w:color w:val="000000" w:themeColor="text1"/>
          <w:szCs w:val="21"/>
        </w:rPr>
        <w:t>JYNNEOS</w:t>
      </w:r>
      <w:r w:rsidRPr="00877088">
        <w:rPr>
          <w:rFonts w:eastAsia="Arial" w:cs="Arial"/>
          <w:color w:val="000000" w:themeColor="text1"/>
          <w:szCs w:val="21"/>
          <w:vertAlign w:val="superscript"/>
        </w:rPr>
        <w:t>®</w:t>
      </w:r>
      <w:r w:rsidRPr="00877088">
        <w:rPr>
          <w:rFonts w:eastAsiaTheme="minorEastAsia" w:cs="Arial"/>
          <w:color w:val="000000" w:themeColor="text1"/>
          <w:szCs w:val="21"/>
        </w:rPr>
        <w:t xml:space="preserve"> </w:t>
      </w:r>
      <w:r w:rsidRPr="00F5421F">
        <w:rPr>
          <w:rFonts w:cs="Arial"/>
          <w:color w:val="313131"/>
          <w:szCs w:val="21"/>
          <w:lang w:eastAsia="en-AU"/>
        </w:rPr>
        <w:t>mpox vaccine are:</w:t>
      </w:r>
    </w:p>
    <w:p w14:paraId="3C454559" w14:textId="04200BBE" w:rsidR="00877088" w:rsidRPr="00F5421F" w:rsidRDefault="00F5421F" w:rsidP="00964A28">
      <w:pPr>
        <w:numPr>
          <w:ilvl w:val="0"/>
          <w:numId w:val="53"/>
        </w:numPr>
        <w:shd w:val="clear" w:color="auto" w:fill="FFFFFF"/>
        <w:spacing w:before="120" w:after="0" w:line="240" w:lineRule="auto"/>
        <w:rPr>
          <w:rFonts w:cs="Arial"/>
          <w:color w:val="313131"/>
          <w:szCs w:val="21"/>
          <w:lang w:eastAsia="en-AU"/>
        </w:rPr>
      </w:pPr>
      <w:r w:rsidRPr="00F5421F">
        <w:rPr>
          <w:rFonts w:cs="Arial"/>
          <w:szCs w:val="21"/>
          <w:lang w:eastAsia="en-AU"/>
        </w:rPr>
        <w:t>anaphylaxis</w:t>
      </w:r>
      <w:r w:rsidR="00877088" w:rsidRPr="00F5421F">
        <w:rPr>
          <w:rFonts w:cs="Arial"/>
          <w:szCs w:val="21"/>
          <w:lang w:eastAsia="en-AU"/>
        </w:rPr>
        <w:t> </w:t>
      </w:r>
      <w:r w:rsidR="00877088" w:rsidRPr="00F5421F">
        <w:rPr>
          <w:rFonts w:cs="Arial"/>
          <w:color w:val="313131"/>
          <w:szCs w:val="21"/>
          <w:lang w:eastAsia="en-AU"/>
        </w:rPr>
        <w:t xml:space="preserve">after a previous dose of any </w:t>
      </w:r>
      <w:r w:rsidR="00877088" w:rsidRPr="00877088">
        <w:rPr>
          <w:rFonts w:eastAsiaTheme="minorEastAsia" w:cs="Arial"/>
          <w:color w:val="000000" w:themeColor="text1"/>
          <w:szCs w:val="21"/>
        </w:rPr>
        <w:t>JYNNEOS</w:t>
      </w:r>
      <w:r w:rsidR="00877088" w:rsidRPr="00877088">
        <w:rPr>
          <w:rFonts w:eastAsia="Arial" w:cs="Arial"/>
          <w:color w:val="000000" w:themeColor="text1"/>
          <w:szCs w:val="21"/>
          <w:vertAlign w:val="superscript"/>
        </w:rPr>
        <w:t>®</w:t>
      </w:r>
      <w:r w:rsidR="00877088" w:rsidRPr="00877088">
        <w:rPr>
          <w:rFonts w:eastAsiaTheme="minorEastAsia" w:cs="Arial"/>
          <w:color w:val="000000" w:themeColor="text1"/>
          <w:szCs w:val="21"/>
        </w:rPr>
        <w:t xml:space="preserve"> </w:t>
      </w:r>
      <w:r w:rsidR="00877088" w:rsidRPr="00F5421F">
        <w:rPr>
          <w:rFonts w:cs="Arial"/>
          <w:color w:val="313131"/>
          <w:szCs w:val="21"/>
          <w:lang w:eastAsia="en-AU"/>
        </w:rPr>
        <w:t>mpox vaccine</w:t>
      </w:r>
    </w:p>
    <w:p w14:paraId="123AD43B" w14:textId="66437FBF" w:rsidR="00877088" w:rsidRPr="00F5421F" w:rsidRDefault="00F5421F" w:rsidP="00F5421F">
      <w:pPr>
        <w:pStyle w:val="ListParagraph"/>
        <w:numPr>
          <w:ilvl w:val="0"/>
          <w:numId w:val="23"/>
        </w:numPr>
        <w:spacing w:before="120" w:after="0" w:line="288" w:lineRule="auto"/>
        <w:rPr>
          <w:rFonts w:cs="Arial"/>
          <w:color w:val="000000" w:themeColor="text1"/>
          <w:szCs w:val="21"/>
        </w:rPr>
      </w:pPr>
      <w:r w:rsidRPr="00F5421F">
        <w:rPr>
          <w:rFonts w:cs="Arial"/>
          <w:szCs w:val="21"/>
          <w:lang w:eastAsia="en-AU"/>
        </w:rPr>
        <w:t>anaphylaxis</w:t>
      </w:r>
      <w:r w:rsidR="00877088" w:rsidRPr="00F5421F">
        <w:rPr>
          <w:rFonts w:cs="Arial"/>
          <w:color w:val="313131"/>
          <w:szCs w:val="21"/>
          <w:lang w:eastAsia="en-AU"/>
        </w:rPr>
        <w:t xml:space="preserve"> after any component or trace residue of an </w:t>
      </w:r>
      <w:r w:rsidR="00877088" w:rsidRPr="00877088">
        <w:rPr>
          <w:rFonts w:cs="Arial"/>
          <w:color w:val="000000" w:themeColor="text1"/>
          <w:szCs w:val="21"/>
        </w:rPr>
        <w:t>JYNNEOS</w:t>
      </w:r>
      <w:r w:rsidR="00877088" w:rsidRPr="00877088">
        <w:rPr>
          <w:rFonts w:eastAsia="Arial" w:cs="Arial"/>
          <w:color w:val="000000" w:themeColor="text1"/>
          <w:szCs w:val="21"/>
          <w:vertAlign w:val="superscript"/>
        </w:rPr>
        <w:t>®</w:t>
      </w:r>
      <w:r w:rsidR="00877088" w:rsidRPr="00877088">
        <w:rPr>
          <w:rFonts w:cs="Arial"/>
          <w:color w:val="000000" w:themeColor="text1"/>
          <w:szCs w:val="21"/>
        </w:rPr>
        <w:t xml:space="preserve"> </w:t>
      </w:r>
      <w:r w:rsidR="00877088" w:rsidRPr="00F5421F">
        <w:rPr>
          <w:rFonts w:cs="Arial"/>
          <w:color w:val="313131"/>
          <w:szCs w:val="21"/>
          <w:lang w:eastAsia="en-AU"/>
        </w:rPr>
        <w:t xml:space="preserve">mpox vaccine </w:t>
      </w:r>
      <w:r w:rsidR="00877088" w:rsidRPr="00877088">
        <w:rPr>
          <w:rFonts w:eastAsia="Calibri" w:cs="Arial"/>
          <w:color w:val="000000" w:themeColor="text1"/>
          <w:szCs w:val="21"/>
        </w:rPr>
        <w:t>(active substance: modified vaccinia</w:t>
      </w:r>
      <w:r w:rsidR="00877088" w:rsidRPr="00877088">
        <w:rPr>
          <w:rFonts w:cs="Arial"/>
          <w:szCs w:val="21"/>
        </w:rPr>
        <w:t xml:space="preserve"> </w:t>
      </w:r>
      <w:r w:rsidR="00877088" w:rsidRPr="00877088">
        <w:rPr>
          <w:rFonts w:eastAsia="Calibri" w:cs="Arial"/>
          <w:color w:val="000000" w:themeColor="text1"/>
          <w:szCs w:val="21"/>
        </w:rPr>
        <w:t>Ankara – Bavarian Nordic live virus; other ingredients: tromet</w:t>
      </w:r>
      <w:r w:rsidR="00C067A4">
        <w:rPr>
          <w:rFonts w:eastAsia="Calibri" w:cs="Arial"/>
          <w:color w:val="000000" w:themeColor="text1"/>
          <w:szCs w:val="21"/>
        </w:rPr>
        <w:t>hamine</w:t>
      </w:r>
      <w:r w:rsidR="00877088" w:rsidRPr="00877088">
        <w:rPr>
          <w:rFonts w:eastAsia="Calibri" w:cs="Arial"/>
          <w:color w:val="000000" w:themeColor="text1"/>
          <w:szCs w:val="21"/>
        </w:rPr>
        <w:t>, sodium chloride; contains small amounts of chicken host-cell DNA, chicken protein, benzonase, gentamicin, and ciprofloxacin)</w:t>
      </w:r>
      <w:r w:rsidR="00D86656">
        <w:rPr>
          <w:rFonts w:eastAsia="Calibri" w:cs="Arial"/>
          <w:color w:val="000000" w:themeColor="text1"/>
          <w:szCs w:val="21"/>
        </w:rPr>
        <w:t>.</w:t>
      </w:r>
      <w:r w:rsidR="00877088" w:rsidRPr="00877088">
        <w:rPr>
          <w:rFonts w:eastAsia="Calibri" w:cs="Arial"/>
          <w:color w:val="000000" w:themeColor="text1"/>
          <w:szCs w:val="21"/>
        </w:rPr>
        <w:t xml:space="preserve"> </w:t>
      </w:r>
    </w:p>
    <w:p w14:paraId="25AEF36A" w14:textId="29DEDCED" w:rsidR="00E76B99" w:rsidRPr="00851CC8" w:rsidRDefault="00E76B99" w:rsidP="000124CF">
      <w:pPr>
        <w:pStyle w:val="Heading2"/>
        <w:spacing w:before="240"/>
      </w:pPr>
      <w:bookmarkStart w:id="32" w:name="_Precautions"/>
      <w:bookmarkStart w:id="33" w:name="_Toc176344964"/>
      <w:bookmarkEnd w:id="32"/>
      <w:r w:rsidRPr="000124CF">
        <w:rPr>
          <w:rStyle w:val="DHHSbodyChar"/>
        </w:rPr>
        <w:t>Prec</w:t>
      </w:r>
      <w:r w:rsidRPr="00851CC8">
        <w:t>autions</w:t>
      </w:r>
      <w:bookmarkEnd w:id="33"/>
    </w:p>
    <w:p w14:paraId="516A66DD" w14:textId="4DECF1F1" w:rsidR="00E76B99" w:rsidRPr="00C66F5F" w:rsidRDefault="00483FD3" w:rsidP="003F30BB">
      <w:pPr>
        <w:pStyle w:val="Heading3"/>
      </w:pPr>
      <w:bookmarkStart w:id="34" w:name="_People_who_are"/>
      <w:bookmarkStart w:id="35" w:name="_People_with_conditions"/>
      <w:bookmarkStart w:id="36" w:name="_Vaccination_against_monkey"/>
      <w:bookmarkStart w:id="37" w:name="_Vaccination_against_mpox"/>
      <w:bookmarkEnd w:id="34"/>
      <w:bookmarkEnd w:id="35"/>
      <w:bookmarkEnd w:id="36"/>
      <w:bookmarkEnd w:id="37"/>
      <w:r w:rsidRPr="000124CF">
        <w:rPr>
          <w:rStyle w:val="DHHSbodyChar"/>
        </w:rPr>
        <w:t xml:space="preserve">Vaccination against mpox for people who are </w:t>
      </w:r>
      <w:r w:rsidR="00E353DD" w:rsidRPr="000124CF">
        <w:rPr>
          <w:rStyle w:val="DHHSbodyChar"/>
        </w:rPr>
        <w:t>immunocompromise</w:t>
      </w:r>
      <w:r w:rsidRPr="000124CF">
        <w:rPr>
          <w:rStyle w:val="DHHSbodyChar"/>
        </w:rPr>
        <w:t>d</w:t>
      </w:r>
      <w:r w:rsidR="00CF3108">
        <w:rPr>
          <w:rStyle w:val="DHHSbodyChar"/>
        </w:rPr>
        <w:t>,</w:t>
      </w:r>
      <w:r w:rsidR="00F40163" w:rsidRPr="000124CF">
        <w:rPr>
          <w:rStyle w:val="DHHSbodyChar"/>
        </w:rPr>
        <w:t xml:space="preserve"> incl</w:t>
      </w:r>
      <w:r w:rsidR="00F40163">
        <w:t>uding people living with HIV</w:t>
      </w:r>
    </w:p>
    <w:p w14:paraId="6A89D8DC" w14:textId="55C41236" w:rsidR="00774AC4" w:rsidRDefault="00774AC4" w:rsidP="00D41B59">
      <w:pPr>
        <w:spacing w:before="120" w:line="288" w:lineRule="auto"/>
        <w:rPr>
          <w:rFonts w:cs="Arial"/>
          <w:color w:val="313131"/>
          <w:shd w:val="clear" w:color="auto" w:fill="FFFFFF"/>
        </w:rPr>
      </w:pPr>
      <w:r w:rsidRPr="00AC64FD">
        <w:rPr>
          <w:rFonts w:cs="Arial"/>
          <w:color w:val="313131"/>
          <w:shd w:val="clear" w:color="auto" w:fill="FFFFFF"/>
        </w:rPr>
        <w:t xml:space="preserve">Although evidence is limited, the immune response to </w:t>
      </w:r>
      <w:r w:rsidR="000124CF" w:rsidRPr="00877088">
        <w:rPr>
          <w:rFonts w:eastAsiaTheme="minorEastAsia" w:cs="Arial"/>
          <w:color w:val="000000" w:themeColor="text1"/>
          <w:szCs w:val="21"/>
        </w:rPr>
        <w:t>JYNNEOS</w:t>
      </w:r>
      <w:r w:rsidR="000124CF" w:rsidRPr="00877088">
        <w:rPr>
          <w:rFonts w:eastAsia="Arial" w:cs="Arial"/>
          <w:color w:val="000000" w:themeColor="text1"/>
          <w:szCs w:val="21"/>
          <w:vertAlign w:val="superscript"/>
        </w:rPr>
        <w:t>®</w:t>
      </w:r>
      <w:r w:rsidR="000124CF" w:rsidRPr="00877088">
        <w:rPr>
          <w:rFonts w:eastAsiaTheme="minorEastAsia" w:cs="Arial"/>
          <w:color w:val="000000" w:themeColor="text1"/>
          <w:szCs w:val="21"/>
        </w:rPr>
        <w:t xml:space="preserve"> </w:t>
      </w:r>
      <w:r w:rsidR="000124CF" w:rsidRPr="00F5421F">
        <w:rPr>
          <w:rFonts w:cs="Arial"/>
          <w:color w:val="313131"/>
          <w:szCs w:val="21"/>
          <w:lang w:eastAsia="en-AU"/>
        </w:rPr>
        <w:t xml:space="preserve">mpox </w:t>
      </w:r>
      <w:r w:rsidRPr="00AC64FD">
        <w:rPr>
          <w:rFonts w:cs="Arial"/>
          <w:color w:val="313131"/>
          <w:shd w:val="clear" w:color="auto" w:fill="FFFFFF"/>
        </w:rPr>
        <w:t>vaccine is likely to be reduced in people who are immunocompromised, especially people who are severely immunocompromised. Specialist medical advice may be required, including consideration of additional doses for those at ongoing risk of exposure.</w:t>
      </w:r>
      <w:r w:rsidR="004C2D89">
        <w:rPr>
          <w:rStyle w:val="FootnoteReference"/>
          <w:rFonts w:cs="Arial"/>
          <w:color w:val="313131"/>
          <w:shd w:val="clear" w:color="auto" w:fill="FFFFFF"/>
        </w:rPr>
        <w:footnoteReference w:id="8"/>
      </w:r>
      <w:r w:rsidRPr="00AC64FD">
        <w:rPr>
          <w:rFonts w:cs="Arial"/>
          <w:color w:val="313131"/>
          <w:shd w:val="clear" w:color="auto" w:fill="FFFFFF"/>
        </w:rPr>
        <w:t> </w:t>
      </w:r>
    </w:p>
    <w:p w14:paraId="0F5CD8BC" w14:textId="05D1A283" w:rsidR="00774AC4" w:rsidRDefault="00774AC4" w:rsidP="00D41B59">
      <w:pPr>
        <w:spacing w:before="120" w:line="288" w:lineRule="auto"/>
        <w:rPr>
          <w:rFonts w:cs="Arial"/>
          <w:color w:val="313131"/>
          <w:shd w:val="clear" w:color="auto" w:fill="FFFFFF"/>
        </w:rPr>
      </w:pPr>
      <w:r>
        <w:rPr>
          <w:rFonts w:cs="Arial"/>
          <w:color w:val="313131"/>
          <w:shd w:val="clear" w:color="auto" w:fill="FFFFFF"/>
        </w:rPr>
        <w:t xml:space="preserve">Refer to </w:t>
      </w:r>
      <w:hyperlink r:id="rId21" w:history="1">
        <w:r w:rsidRPr="00F40163">
          <w:rPr>
            <w:rStyle w:val="Hyperlink"/>
            <w:rFonts w:cs="Arial"/>
            <w:shd w:val="clear" w:color="auto" w:fill="FFFFFF"/>
          </w:rPr>
          <w:t xml:space="preserve">Mpox | </w:t>
        </w:r>
        <w:r w:rsidR="00C66F5F" w:rsidRPr="00F40163">
          <w:rPr>
            <w:rStyle w:val="Hyperlink"/>
            <w:rFonts w:cs="Arial"/>
            <w:shd w:val="clear" w:color="auto" w:fill="FFFFFF"/>
          </w:rPr>
          <w:t>Australian</w:t>
        </w:r>
        <w:r w:rsidRPr="00F40163">
          <w:rPr>
            <w:rStyle w:val="Hyperlink"/>
            <w:rFonts w:cs="Arial"/>
            <w:shd w:val="clear" w:color="auto" w:fill="FFFFFF"/>
          </w:rPr>
          <w:t xml:space="preserve"> Immunisation Handbook</w:t>
        </w:r>
      </w:hyperlink>
      <w:r>
        <w:rPr>
          <w:rFonts w:cs="Arial"/>
          <w:color w:val="313131"/>
          <w:shd w:val="clear" w:color="auto" w:fill="FFFFFF"/>
        </w:rPr>
        <w:t xml:space="preserve"> </w:t>
      </w:r>
      <w:r w:rsidR="00C66F5F">
        <w:rPr>
          <w:rFonts w:cs="Arial"/>
          <w:color w:val="313131"/>
          <w:shd w:val="clear" w:color="auto" w:fill="FFFFFF"/>
        </w:rPr>
        <w:t>&lt;</w:t>
      </w:r>
      <w:r w:rsidR="0055258B" w:rsidRPr="0055258B">
        <w:rPr>
          <w:rFonts w:cs="Arial"/>
          <w:color w:val="313131"/>
          <w:shd w:val="clear" w:color="auto" w:fill="FFFFFF"/>
        </w:rPr>
        <w:t>https://immunisationhandbook.health.gov.au/contents/vaccine-preventable-diseases/mpox-previously-known-as-monkeypox</w:t>
      </w:r>
      <w:r w:rsidR="00F40163">
        <w:rPr>
          <w:rFonts w:cs="Arial"/>
          <w:color w:val="313131"/>
          <w:shd w:val="clear" w:color="auto" w:fill="FFFFFF"/>
        </w:rPr>
        <w:t>&gt;</w:t>
      </w:r>
    </w:p>
    <w:p w14:paraId="2A342CF8" w14:textId="1E9AF3B2" w:rsidR="00173C67" w:rsidRDefault="00641171" w:rsidP="009534DD">
      <w:pPr>
        <w:spacing w:before="240" w:line="288" w:lineRule="auto"/>
      </w:pPr>
      <w:r>
        <w:rPr>
          <w:rStyle w:val="Heading3Char"/>
          <w:rFonts w:eastAsiaTheme="minorEastAsia"/>
        </w:rPr>
        <w:t>Infants, children and p</w:t>
      </w:r>
      <w:r w:rsidR="00173C67" w:rsidRPr="00D61AD7">
        <w:rPr>
          <w:rStyle w:val="Heading3Char"/>
          <w:rFonts w:eastAsiaTheme="minorEastAsia"/>
        </w:rPr>
        <w:t>eople</w:t>
      </w:r>
      <w:r w:rsidR="00173C67" w:rsidRPr="00E76B99">
        <w:rPr>
          <w:rStyle w:val="Heading3Char"/>
          <w:rFonts w:eastAsiaTheme="minorEastAsia"/>
        </w:rPr>
        <w:t xml:space="preserve"> who are pregnant or breastfeeding</w:t>
      </w:r>
      <w:r w:rsidR="00173C67">
        <w:t xml:space="preserve">. </w:t>
      </w:r>
    </w:p>
    <w:p w14:paraId="2EADF8E4" w14:textId="6F904FF0" w:rsidR="00173C67" w:rsidRPr="003A16FE" w:rsidRDefault="00641171" w:rsidP="00603DC8">
      <w:pPr>
        <w:pStyle w:val="Default"/>
        <w:numPr>
          <w:ilvl w:val="0"/>
          <w:numId w:val="23"/>
        </w:numPr>
        <w:spacing w:before="120" w:after="120" w:line="288" w:lineRule="auto"/>
        <w:rPr>
          <w:sz w:val="21"/>
          <w:szCs w:val="21"/>
        </w:rPr>
      </w:pPr>
      <w:r w:rsidRPr="00641171">
        <w:rPr>
          <w:sz w:val="21"/>
          <w:szCs w:val="21"/>
        </w:rPr>
        <w:t>JYNNEOS</w:t>
      </w:r>
      <w:r>
        <w:rPr>
          <w:sz w:val="21"/>
          <w:szCs w:val="21"/>
        </w:rPr>
        <w:t>®</w:t>
      </w:r>
      <w:r w:rsidRPr="00641171">
        <w:rPr>
          <w:sz w:val="21"/>
          <w:szCs w:val="21"/>
        </w:rPr>
        <w:t xml:space="preserve"> can be given to infants, children and pregnant or breastfeeding women after a risk–benefit assessment. Although data are limited, no serious safety concerns have been observed</w:t>
      </w:r>
      <w:r>
        <w:t>.</w:t>
      </w:r>
      <w:r w:rsidR="007C009A">
        <w:rPr>
          <w:color w:val="313131"/>
          <w:sz w:val="21"/>
          <w:szCs w:val="21"/>
          <w:shd w:val="clear" w:color="auto" w:fill="FFFFFF"/>
          <w:vertAlign w:val="superscript"/>
        </w:rPr>
        <w:t>7</w:t>
      </w:r>
    </w:p>
    <w:p w14:paraId="02AA907E" w14:textId="42F18084" w:rsidR="00E76B99" w:rsidRPr="0099129F" w:rsidRDefault="00312B6D" w:rsidP="00F333F9">
      <w:pPr>
        <w:pStyle w:val="Heading3"/>
        <w:spacing w:before="240"/>
      </w:pPr>
      <w:r>
        <w:t>A</w:t>
      </w:r>
      <w:r w:rsidR="00E76B99">
        <w:t>topic dermatitis</w:t>
      </w:r>
    </w:p>
    <w:p w14:paraId="6475E83F" w14:textId="06D54E2D" w:rsidR="00E76B99" w:rsidRPr="00E76B99" w:rsidRDefault="00694A8F" w:rsidP="00603DC8">
      <w:pPr>
        <w:pStyle w:val="ListParagraph"/>
        <w:numPr>
          <w:ilvl w:val="0"/>
          <w:numId w:val="23"/>
        </w:numPr>
        <w:spacing w:before="120" w:line="288" w:lineRule="auto"/>
        <w:ind w:left="714" w:hanging="357"/>
        <w:rPr>
          <w:rFonts w:eastAsia="Calibri"/>
          <w:color w:val="000000" w:themeColor="text1"/>
          <w:szCs w:val="21"/>
        </w:rPr>
      </w:pPr>
      <w:r>
        <w:rPr>
          <w:szCs w:val="21"/>
        </w:rPr>
        <w:t>People</w:t>
      </w:r>
      <w:r w:rsidR="00E76B99" w:rsidRPr="00E76B99">
        <w:rPr>
          <w:szCs w:val="21"/>
        </w:rPr>
        <w:t xml:space="preserve"> with atopic dermatitis reported a higher frequency of local and general symptoms after vaccination compared with those without this condition.</w:t>
      </w:r>
    </w:p>
    <w:p w14:paraId="1A5B94C1" w14:textId="501A3F26" w:rsidR="00E76B99" w:rsidRPr="00E76B99" w:rsidRDefault="00E76B99" w:rsidP="00603DC8">
      <w:pPr>
        <w:pStyle w:val="ListParagraph"/>
        <w:numPr>
          <w:ilvl w:val="0"/>
          <w:numId w:val="23"/>
        </w:numPr>
        <w:spacing w:before="120" w:line="288" w:lineRule="auto"/>
        <w:ind w:left="714" w:hanging="357"/>
        <w:rPr>
          <w:rFonts w:eastAsia="Calibri"/>
          <w:color w:val="000000" w:themeColor="text1"/>
          <w:szCs w:val="21"/>
        </w:rPr>
      </w:pPr>
      <w:r w:rsidRPr="290B9022">
        <w:rPr>
          <w:rFonts w:eastAsia="Calibri"/>
          <w:color w:val="000000" w:themeColor="text1"/>
        </w:rPr>
        <w:t>JYNNEOS</w:t>
      </w:r>
      <w:r w:rsidRPr="00E76B99">
        <w:rPr>
          <w:rFonts w:eastAsia="Calibri"/>
          <w:color w:val="000000" w:themeColor="text1"/>
          <w:vertAlign w:val="superscript"/>
        </w:rPr>
        <w:t>®</w:t>
      </w:r>
      <w:r w:rsidRPr="290B9022">
        <w:rPr>
          <w:rFonts w:eastAsia="Calibri"/>
          <w:color w:val="000000" w:themeColor="text1"/>
        </w:rPr>
        <w:t xml:space="preserve"> </w:t>
      </w:r>
      <w:r w:rsidR="000B22A4" w:rsidRPr="290B9022">
        <w:rPr>
          <w:rFonts w:eastAsia="Calibri"/>
          <w:color w:val="000000" w:themeColor="text1"/>
        </w:rPr>
        <w:t xml:space="preserve">vaccine </w:t>
      </w:r>
      <w:r w:rsidRPr="290B9022">
        <w:rPr>
          <w:rFonts w:eastAsia="Calibri"/>
          <w:color w:val="000000" w:themeColor="text1"/>
        </w:rPr>
        <w:t>is considered safe to use in people with atopic dermatitis (eczema)</w:t>
      </w:r>
      <w:r w:rsidR="005E6A66" w:rsidRPr="290B9022">
        <w:rPr>
          <w:rFonts w:eastAsia="Calibri"/>
          <w:color w:val="000000" w:themeColor="text1"/>
        </w:rPr>
        <w:t>.</w:t>
      </w:r>
      <w:r w:rsidR="007C009A">
        <w:rPr>
          <w:rFonts w:eastAsia="Calibri"/>
          <w:color w:val="000000" w:themeColor="text1"/>
          <w:vertAlign w:val="superscript"/>
        </w:rPr>
        <w:t>7</w:t>
      </w:r>
    </w:p>
    <w:p w14:paraId="46666EC1" w14:textId="3ECB7FBC" w:rsidR="00E76B99" w:rsidRDefault="00312B6D" w:rsidP="00EC5409">
      <w:pPr>
        <w:pStyle w:val="Heading3"/>
        <w:spacing w:before="240"/>
      </w:pPr>
      <w:r>
        <w:t>C</w:t>
      </w:r>
      <w:r w:rsidR="00E76B99">
        <w:t xml:space="preserve">onfirmed anaphylaxis to </w:t>
      </w:r>
      <w:r w:rsidR="00165258">
        <w:t xml:space="preserve">chicken or </w:t>
      </w:r>
      <w:r w:rsidR="00E76B99">
        <w:t>egg</w:t>
      </w:r>
      <w:r w:rsidR="00165258">
        <w:t xml:space="preserve"> protein</w:t>
      </w:r>
    </w:p>
    <w:p w14:paraId="7B88931A" w14:textId="79320FA2" w:rsidR="00165258" w:rsidRPr="009717DF" w:rsidRDefault="00165258" w:rsidP="00603DC8">
      <w:pPr>
        <w:pStyle w:val="ListParagraph"/>
        <w:numPr>
          <w:ilvl w:val="0"/>
          <w:numId w:val="23"/>
        </w:numPr>
        <w:autoSpaceDE w:val="0"/>
        <w:autoSpaceDN w:val="0"/>
        <w:adjustRightInd w:val="0"/>
        <w:spacing w:before="120" w:line="288" w:lineRule="auto"/>
        <w:ind w:left="714" w:hanging="357"/>
        <w:rPr>
          <w:rFonts w:cs="Arial"/>
          <w:color w:val="000000"/>
          <w:szCs w:val="21"/>
          <w:lang w:eastAsia="en-AU"/>
        </w:rPr>
      </w:pPr>
      <w:r w:rsidRPr="009717DF">
        <w:rPr>
          <w:rFonts w:cs="Arial"/>
          <w:color w:val="313131"/>
          <w:shd w:val="clear" w:color="auto" w:fill="FFFFFF"/>
        </w:rPr>
        <w:t xml:space="preserve">People with a known severe allergy to chicken or egg protein who are recommended to receive mpox vaccine should discuss this with an immunologist or </w:t>
      </w:r>
      <w:r w:rsidRPr="00165258">
        <w:rPr>
          <w:rFonts w:cs="Arial"/>
          <w:color w:val="313131"/>
          <w:shd w:val="clear" w:color="auto" w:fill="FFFFFF"/>
        </w:rPr>
        <w:t>allergist or</w:t>
      </w:r>
      <w:r w:rsidRPr="009717DF">
        <w:rPr>
          <w:rFonts w:cs="Arial"/>
          <w:color w:val="313131"/>
          <w:shd w:val="clear" w:color="auto" w:fill="FFFFFF"/>
        </w:rPr>
        <w:t xml:space="preserve"> be referred to a specialised immunisation adverse events clinic.</w:t>
      </w:r>
      <w:r w:rsidR="007C009A">
        <w:rPr>
          <w:rFonts w:cs="Arial"/>
          <w:color w:val="313131"/>
          <w:shd w:val="clear" w:color="auto" w:fill="FFFFFF"/>
          <w:vertAlign w:val="superscript"/>
        </w:rPr>
        <w:t>7</w:t>
      </w:r>
    </w:p>
    <w:p w14:paraId="2363DB25" w14:textId="765B5D28" w:rsidR="00E76B99" w:rsidRDefault="00312B6D" w:rsidP="0071648B">
      <w:pPr>
        <w:pStyle w:val="Heading3"/>
        <w:spacing w:before="240"/>
      </w:pPr>
      <w:r>
        <w:t>H</w:t>
      </w:r>
      <w:r w:rsidR="00E76B99">
        <w:t xml:space="preserve">istory of </w:t>
      </w:r>
      <w:r w:rsidR="00165258">
        <w:t xml:space="preserve">atopic dermatitis or </w:t>
      </w:r>
      <w:r w:rsidR="00E76B99">
        <w:t>keloid scarring</w:t>
      </w:r>
    </w:p>
    <w:p w14:paraId="27380ECF" w14:textId="77777777" w:rsidR="00165258" w:rsidRPr="009717DF" w:rsidRDefault="00165258" w:rsidP="00964A28">
      <w:pPr>
        <w:pStyle w:val="ListParagraph"/>
        <w:numPr>
          <w:ilvl w:val="0"/>
          <w:numId w:val="49"/>
        </w:numPr>
        <w:autoSpaceDE w:val="0"/>
        <w:autoSpaceDN w:val="0"/>
        <w:adjustRightInd w:val="0"/>
        <w:spacing w:before="120" w:line="288" w:lineRule="auto"/>
        <w:ind w:left="714" w:hanging="357"/>
        <w:rPr>
          <w:rFonts w:cs="Arial"/>
          <w:color w:val="000000"/>
          <w:szCs w:val="21"/>
          <w:lang w:eastAsia="en-AU"/>
        </w:rPr>
      </w:pPr>
      <w:r w:rsidRPr="009717DF">
        <w:rPr>
          <w:rFonts w:cs="Arial"/>
          <w:color w:val="313131"/>
          <w:shd w:val="clear" w:color="auto" w:fill="FFFFFF"/>
        </w:rPr>
        <w:t>People with atopic dermatitis should be informed about the potential for increased local and general symptoms. </w:t>
      </w:r>
    </w:p>
    <w:p w14:paraId="503310E8" w14:textId="4ED7D902" w:rsidR="00911AB6" w:rsidRPr="0023686A" w:rsidRDefault="00911AB6" w:rsidP="00964A28">
      <w:pPr>
        <w:pStyle w:val="ListParagraph"/>
        <w:numPr>
          <w:ilvl w:val="0"/>
          <w:numId w:val="49"/>
        </w:numPr>
        <w:autoSpaceDE w:val="0"/>
        <w:autoSpaceDN w:val="0"/>
        <w:adjustRightInd w:val="0"/>
        <w:spacing w:before="120" w:line="288" w:lineRule="auto"/>
        <w:ind w:left="714" w:hanging="357"/>
        <w:rPr>
          <w:rFonts w:cs="Arial"/>
          <w:color w:val="000000"/>
          <w:szCs w:val="21"/>
          <w:lang w:eastAsia="en-AU"/>
        </w:rPr>
      </w:pPr>
      <w:r w:rsidRPr="0023686A">
        <w:rPr>
          <w:rFonts w:cs="Arial"/>
          <w:color w:val="000000"/>
          <w:szCs w:val="21"/>
          <w:lang w:eastAsia="en-AU"/>
        </w:rPr>
        <w:t xml:space="preserve">Individuals with a history of keloid scarring are not recommended to receive </w:t>
      </w:r>
      <w:r w:rsidR="0023686A" w:rsidRPr="00E76B99">
        <w:rPr>
          <w:rFonts w:cs="Arial"/>
          <w:color w:val="000000"/>
          <w:szCs w:val="21"/>
          <w:lang w:eastAsia="en-AU"/>
        </w:rPr>
        <w:t>JYNNEOS</w:t>
      </w:r>
      <w:r w:rsidR="0023686A" w:rsidRPr="003A16FE">
        <w:rPr>
          <w:rFonts w:eastAsia="Arial" w:cs="Arial"/>
          <w:color w:val="000000" w:themeColor="text1"/>
          <w:szCs w:val="21"/>
          <w:vertAlign w:val="superscript"/>
        </w:rPr>
        <w:t>®</w:t>
      </w:r>
      <w:r w:rsidR="0023686A" w:rsidRPr="00E76B99">
        <w:rPr>
          <w:rFonts w:cs="Arial"/>
          <w:color w:val="000000"/>
          <w:szCs w:val="21"/>
          <w:lang w:eastAsia="en-AU"/>
        </w:rPr>
        <w:t xml:space="preserve"> </w:t>
      </w:r>
      <w:r w:rsidRPr="0023686A">
        <w:rPr>
          <w:rFonts w:cs="Arial"/>
          <w:color w:val="000000"/>
          <w:szCs w:val="21"/>
          <w:lang w:eastAsia="en-AU"/>
        </w:rPr>
        <w:t>via the intradermal route. The subcutaneous route is preferred.</w:t>
      </w:r>
      <w:r w:rsidR="007C009A">
        <w:rPr>
          <w:rFonts w:cs="Arial"/>
          <w:color w:val="000000"/>
          <w:szCs w:val="21"/>
          <w:vertAlign w:val="superscript"/>
          <w:lang w:eastAsia="en-AU"/>
        </w:rPr>
        <w:t>8</w:t>
      </w:r>
      <w:r w:rsidR="006855CC" w:rsidRPr="0023686A">
        <w:rPr>
          <w:rFonts w:cs="Arial"/>
          <w:color w:val="000000"/>
          <w:szCs w:val="21"/>
          <w:lang w:eastAsia="en-AU"/>
        </w:rPr>
        <w:t xml:space="preserve"> </w:t>
      </w:r>
    </w:p>
    <w:p w14:paraId="0DFAB7F5" w14:textId="4DBC02F9" w:rsidR="00E76B99" w:rsidRDefault="00165258" w:rsidP="0071648B">
      <w:pPr>
        <w:pStyle w:val="Heading3"/>
        <w:spacing w:before="240"/>
      </w:pPr>
      <w:r>
        <w:t>Variation from product information</w:t>
      </w:r>
    </w:p>
    <w:p w14:paraId="38357AEB" w14:textId="49ACF6B2" w:rsidR="002B5325" w:rsidRPr="00641171" w:rsidRDefault="00641171" w:rsidP="00641171">
      <w:pPr>
        <w:pStyle w:val="ListParagraph"/>
        <w:numPr>
          <w:ilvl w:val="0"/>
          <w:numId w:val="59"/>
        </w:numPr>
        <w:spacing w:before="120" w:line="288" w:lineRule="auto"/>
        <w:rPr>
          <w:rFonts w:eastAsia="Arial" w:cs="Arial"/>
          <w:color w:val="000000" w:themeColor="text1"/>
          <w:szCs w:val="21"/>
          <w:lang w:eastAsia="en-AU"/>
        </w:rPr>
      </w:pPr>
      <w:r>
        <w:t>The ATAGI recommendations for mpox vaccination have been updated on 29 August 2024 to remove the age restriction; people of all ages who are at risk of exposure to mpox are recommended to receive the mpox vaccination.</w:t>
      </w:r>
      <w:r w:rsidR="007C009A">
        <w:rPr>
          <w:vertAlign w:val="superscript"/>
        </w:rPr>
        <w:t>8</w:t>
      </w:r>
    </w:p>
    <w:p w14:paraId="53B83B02" w14:textId="1C2D6EAC" w:rsidR="00077DBB" w:rsidRPr="006F1A2A" w:rsidRDefault="7BCD4BF7" w:rsidP="00CA1F52">
      <w:pPr>
        <w:pStyle w:val="Heading2"/>
        <w:spacing w:before="120"/>
      </w:pPr>
      <w:bookmarkStart w:id="38" w:name="_Toc176344965"/>
      <w:r>
        <w:t>Route</w:t>
      </w:r>
      <w:bookmarkEnd w:id="38"/>
    </w:p>
    <w:p w14:paraId="733AFA45" w14:textId="2D8FC73F" w:rsidR="00077DBB" w:rsidRPr="001F3D3C" w:rsidRDefault="04D81897" w:rsidP="006B3FB8">
      <w:pPr>
        <w:spacing w:before="240"/>
        <w:rPr>
          <w:rFonts w:cs="Arial"/>
          <w:color w:val="808080" w:themeColor="background1" w:themeShade="80"/>
          <w:sz w:val="24"/>
          <w:szCs w:val="24"/>
        </w:rPr>
      </w:pPr>
      <w:r w:rsidRPr="001F3D3C">
        <w:rPr>
          <w:rFonts w:cs="Arial"/>
          <w:color w:val="808080" w:themeColor="background1" w:themeShade="80"/>
          <w:sz w:val="24"/>
          <w:szCs w:val="24"/>
        </w:rPr>
        <w:t>Subcutaneous</w:t>
      </w:r>
    </w:p>
    <w:p w14:paraId="33B9A4D9" w14:textId="356F517B" w:rsidR="006143F6" w:rsidRDefault="006143F6" w:rsidP="006143F6">
      <w:pPr>
        <w:spacing w:before="120" w:line="288" w:lineRule="auto"/>
        <w:rPr>
          <w:rFonts w:eastAsia="Arial" w:cs="Arial"/>
        </w:rPr>
      </w:pPr>
      <w:r w:rsidRPr="000B519A">
        <w:rPr>
          <w:rFonts w:eastAsia="Arial" w:cs="Arial"/>
        </w:rPr>
        <w:t xml:space="preserve">The </w:t>
      </w:r>
      <w:r w:rsidR="00511C4A" w:rsidRPr="000B519A">
        <w:rPr>
          <w:rFonts w:eastAsia="Arial" w:cs="Arial"/>
          <w:b/>
          <w:bCs/>
        </w:rPr>
        <w:t xml:space="preserve">preferred </w:t>
      </w:r>
      <w:r w:rsidRPr="000B519A">
        <w:rPr>
          <w:rFonts w:eastAsia="Arial" w:cs="Arial"/>
          <w:b/>
          <w:bCs/>
        </w:rPr>
        <w:t>regimen</w:t>
      </w:r>
      <w:r w:rsidRPr="000B519A">
        <w:rPr>
          <w:rFonts w:eastAsia="Arial" w:cs="Arial"/>
        </w:rPr>
        <w:t xml:space="preserve"> for the JYNNEOS</w:t>
      </w:r>
      <w:r w:rsidRPr="000B519A">
        <w:rPr>
          <w:rFonts w:eastAsia="Arial" w:cs="Arial"/>
          <w:vertAlign w:val="superscript"/>
        </w:rPr>
        <w:t>®</w:t>
      </w:r>
      <w:r w:rsidRPr="000B519A">
        <w:rPr>
          <w:rFonts w:eastAsia="Arial" w:cs="Arial"/>
        </w:rPr>
        <w:t xml:space="preserve"> vaccine involves a subcutaneous (SC) route of administration with an injection volume of 0.5mL.</w:t>
      </w:r>
      <w:r w:rsidRPr="00732BA3">
        <w:rPr>
          <w:rFonts w:eastAsia="Arial" w:cs="Arial"/>
        </w:rPr>
        <w:t xml:space="preserve"> </w:t>
      </w:r>
    </w:p>
    <w:p w14:paraId="5DFA3DE0" w14:textId="19853887" w:rsidR="005D12D3" w:rsidRPr="003B2488" w:rsidRDefault="005D12D3" w:rsidP="005D12D3">
      <w:pPr>
        <w:rPr>
          <w:rFonts w:cs="Arial"/>
        </w:rPr>
      </w:pPr>
      <w:r>
        <w:rPr>
          <w:rFonts w:cs="Arial"/>
        </w:rPr>
        <w:t>ATAGI recommend the first dos</w:t>
      </w:r>
      <w:r w:rsidRPr="007E38AC">
        <w:rPr>
          <w:rFonts w:cs="Arial"/>
          <w:szCs w:val="21"/>
        </w:rPr>
        <w:t xml:space="preserve">e of </w:t>
      </w:r>
      <w:hyperlink w:anchor="_Post_exposure_prophylaxis" w:history="1">
        <w:r w:rsidR="007E38AC" w:rsidRPr="0011150D">
          <w:rPr>
            <w:b/>
            <w:bCs/>
            <w:szCs w:val="21"/>
          </w:rPr>
          <w:t>post-exposure preventive vaccination (PEPV)</w:t>
        </w:r>
      </w:hyperlink>
      <w:r w:rsidR="007E38AC" w:rsidRPr="0011150D">
        <w:rPr>
          <w:rStyle w:val="Hyperlink"/>
          <w:rFonts w:cs="Arial"/>
          <w:sz w:val="20"/>
          <w:lang w:eastAsia="en-AU"/>
        </w:rPr>
        <w:t xml:space="preserve"> </w:t>
      </w:r>
      <w:r w:rsidR="00BD1938">
        <w:rPr>
          <w:rFonts w:cs="Arial"/>
        </w:rPr>
        <w:t>should</w:t>
      </w:r>
      <w:r>
        <w:rPr>
          <w:rFonts w:cs="Arial"/>
        </w:rPr>
        <w:t xml:space="preserve"> be administered by the subcutaneous route. </w:t>
      </w:r>
    </w:p>
    <w:p w14:paraId="0A86E55A" w14:textId="6AAE3BD3" w:rsidR="0A9688A0" w:rsidRPr="00CA1F52" w:rsidRDefault="2396D701" w:rsidP="7F795C98">
      <w:pPr>
        <w:rPr>
          <w:rFonts w:cs="Arial"/>
          <w:vertAlign w:val="superscript"/>
        </w:rPr>
      </w:pPr>
      <w:r w:rsidRPr="00421128">
        <w:rPr>
          <w:rFonts w:eastAsia="Arial" w:cs="Arial"/>
          <w:szCs w:val="21"/>
        </w:rPr>
        <w:t>ATAGI recommends</w:t>
      </w:r>
      <w:r w:rsidRPr="003B2488">
        <w:rPr>
          <w:rFonts w:eastAsia="Arial" w:cs="Arial"/>
          <w:szCs w:val="21"/>
        </w:rPr>
        <w:t xml:space="preserve"> that all individuals with </w:t>
      </w:r>
      <w:r w:rsidR="00267E65" w:rsidRPr="003B2488">
        <w:rPr>
          <w:rFonts w:cs="Arial"/>
          <w:szCs w:val="21"/>
        </w:rPr>
        <w:t xml:space="preserve">a </w:t>
      </w:r>
      <w:r w:rsidR="00267E65" w:rsidRPr="0011150D">
        <w:rPr>
          <w:rFonts w:cs="Arial"/>
          <w:b/>
          <w:bCs/>
          <w:szCs w:val="21"/>
        </w:rPr>
        <w:t>history of keloid scarring</w:t>
      </w:r>
      <w:r w:rsidR="00C944E5">
        <w:rPr>
          <w:rFonts w:cs="Arial"/>
          <w:szCs w:val="21"/>
        </w:rPr>
        <w:t>,</w:t>
      </w:r>
      <w:r w:rsidR="00267E65" w:rsidRPr="003B2488">
        <w:rPr>
          <w:rFonts w:cs="Arial"/>
          <w:szCs w:val="21"/>
        </w:rPr>
        <w:t xml:space="preserve"> </w:t>
      </w:r>
      <w:r w:rsidRPr="003B2488">
        <w:rPr>
          <w:rFonts w:eastAsia="Arial" w:cs="Arial"/>
          <w:szCs w:val="21"/>
        </w:rPr>
        <w:t xml:space="preserve">receive the </w:t>
      </w:r>
      <w:r w:rsidRPr="003B2488">
        <w:rPr>
          <w:rFonts w:cs="Arial"/>
        </w:rPr>
        <w:t>JYNNEOS</w:t>
      </w:r>
      <w:r w:rsidRPr="008D4BAC">
        <w:rPr>
          <w:rFonts w:cs="Arial"/>
          <w:color w:val="2A2736"/>
          <w:vertAlign w:val="superscript"/>
          <w:lang w:eastAsia="en-AU"/>
        </w:rPr>
        <w:t>®</w:t>
      </w:r>
      <w:r w:rsidRPr="003B2488">
        <w:rPr>
          <w:rFonts w:cs="Arial"/>
        </w:rPr>
        <w:t xml:space="preserve"> vaccine vi</w:t>
      </w:r>
      <w:r w:rsidR="2D839B27" w:rsidRPr="003B2488">
        <w:rPr>
          <w:rFonts w:cs="Arial"/>
        </w:rPr>
        <w:t>a</w:t>
      </w:r>
      <w:r w:rsidRPr="003B2488">
        <w:rPr>
          <w:rFonts w:cs="Arial"/>
        </w:rPr>
        <w:t xml:space="preserve"> subcutaneous route</w:t>
      </w:r>
      <w:r w:rsidR="00CA1F52">
        <w:rPr>
          <w:rFonts w:cs="Arial"/>
        </w:rPr>
        <w:t>.</w:t>
      </w:r>
      <w:r w:rsidR="007C009A">
        <w:rPr>
          <w:rFonts w:cs="Arial"/>
          <w:vertAlign w:val="superscript"/>
        </w:rPr>
        <w:t>8</w:t>
      </w:r>
    </w:p>
    <w:p w14:paraId="647722B9" w14:textId="4178DF9C" w:rsidR="006143F6" w:rsidRPr="001F3D3C" w:rsidRDefault="006143F6" w:rsidP="004605B6">
      <w:pPr>
        <w:pStyle w:val="Body"/>
        <w:spacing w:before="240"/>
        <w:rPr>
          <w:color w:val="808080" w:themeColor="background1" w:themeShade="80"/>
          <w:sz w:val="24"/>
          <w:szCs w:val="24"/>
        </w:rPr>
      </w:pPr>
      <w:r w:rsidRPr="001F3D3C">
        <w:rPr>
          <w:color w:val="808080" w:themeColor="background1" w:themeShade="80"/>
          <w:sz w:val="24"/>
          <w:szCs w:val="24"/>
        </w:rPr>
        <w:t xml:space="preserve">Intradermal </w:t>
      </w:r>
    </w:p>
    <w:p w14:paraId="75CEA86C" w14:textId="46F7F374" w:rsidR="006143F6" w:rsidRDefault="006143F6" w:rsidP="00C46E64">
      <w:pPr>
        <w:spacing w:before="120" w:line="288" w:lineRule="auto"/>
        <w:rPr>
          <w:rFonts w:cs="Arial"/>
          <w:szCs w:val="21"/>
        </w:rPr>
      </w:pPr>
      <w:r w:rsidRPr="000B519A">
        <w:t>JYNNEOS</w:t>
      </w:r>
      <w:r w:rsidRPr="000B519A">
        <w:rPr>
          <w:vertAlign w:val="superscript"/>
        </w:rPr>
        <w:t>®</w:t>
      </w:r>
      <w:r w:rsidRPr="000B519A">
        <w:t xml:space="preserve"> vaccine may also be administered </w:t>
      </w:r>
      <w:r w:rsidR="0049422C">
        <w:t>by the</w:t>
      </w:r>
      <w:r w:rsidR="008E1256">
        <w:t xml:space="preserve"> </w:t>
      </w:r>
      <w:r w:rsidRPr="000B519A">
        <w:rPr>
          <w:rFonts w:eastAsia="Arial" w:cs="Arial"/>
        </w:rPr>
        <w:t xml:space="preserve">intradermal (ID) </w:t>
      </w:r>
      <w:r w:rsidR="0049422C">
        <w:rPr>
          <w:rFonts w:eastAsia="Arial" w:cs="Arial"/>
        </w:rPr>
        <w:t>route</w:t>
      </w:r>
      <w:r w:rsidRPr="000B519A">
        <w:rPr>
          <w:rFonts w:eastAsia="Arial" w:cs="Arial"/>
        </w:rPr>
        <w:t xml:space="preserve"> with an injection volume of 0.1mL in all people.</w:t>
      </w:r>
      <w:r w:rsidRPr="000B519A">
        <w:rPr>
          <w:rStyle w:val="FootnoteReference"/>
          <w:rFonts w:eastAsia="Arial" w:cs="Arial"/>
        </w:rPr>
        <w:footnoteReference w:id="9"/>
      </w:r>
      <w:r w:rsidR="00CA1F52">
        <w:rPr>
          <w:rFonts w:eastAsia="Arial" w:cs="Arial"/>
        </w:rPr>
        <w:t xml:space="preserve"> </w:t>
      </w:r>
      <w:r w:rsidRPr="000B519A">
        <w:rPr>
          <w:rStyle w:val="FootnoteReference"/>
          <w:rFonts w:cs="Arial"/>
        </w:rPr>
        <w:footnoteReference w:id="10"/>
      </w:r>
      <w:r w:rsidRPr="000B519A">
        <w:rPr>
          <w:rFonts w:cs="Arial"/>
        </w:rPr>
        <w:t>. This technique</w:t>
      </w:r>
      <w:r w:rsidRPr="003B2488">
        <w:rPr>
          <w:rFonts w:cs="Arial"/>
        </w:rPr>
        <w:t xml:space="preserve"> must only be used by trained and competent immunisers to minimise inadvertent underdosing, leakage or subcutaneous injection</w:t>
      </w:r>
      <w:r w:rsidRPr="003B2488">
        <w:rPr>
          <w:rFonts w:cs="Arial"/>
          <w:szCs w:val="21"/>
        </w:rPr>
        <w:t xml:space="preserve"> </w:t>
      </w:r>
    </w:p>
    <w:p w14:paraId="19701082" w14:textId="7CBCFB8B" w:rsidR="3502EE86" w:rsidRDefault="006143F6" w:rsidP="7F795C98">
      <w:pPr>
        <w:rPr>
          <w:szCs w:val="21"/>
        </w:rPr>
      </w:pPr>
      <w:r w:rsidRPr="003B2488">
        <w:rPr>
          <w:rFonts w:cs="Arial"/>
          <w:szCs w:val="21"/>
        </w:rPr>
        <w:t>Refer</w:t>
      </w:r>
      <w:r w:rsidR="3502EE86" w:rsidRPr="003B2488">
        <w:rPr>
          <w:rFonts w:cs="Arial"/>
          <w:szCs w:val="21"/>
        </w:rPr>
        <w:t xml:space="preserve"> to </w:t>
      </w:r>
      <w:r w:rsidR="00533993">
        <w:rPr>
          <w:rFonts w:cs="Arial"/>
          <w:szCs w:val="21"/>
        </w:rPr>
        <w:t xml:space="preserve">the </w:t>
      </w:r>
      <w:hyperlink w:anchor="_Schedule" w:history="1">
        <w:r w:rsidR="00CA1F52" w:rsidRPr="00EF239C">
          <w:rPr>
            <w:rStyle w:val="Hyperlink"/>
            <w:rFonts w:cs="Arial"/>
            <w:szCs w:val="21"/>
          </w:rPr>
          <w:t>schedule</w:t>
        </w:r>
      </w:hyperlink>
      <w:r w:rsidR="00A1602C" w:rsidRPr="00EF239C">
        <w:rPr>
          <w:rFonts w:cs="Arial"/>
          <w:szCs w:val="21"/>
        </w:rPr>
        <w:t xml:space="preserve"> </w:t>
      </w:r>
      <w:r w:rsidR="00A1602C" w:rsidRPr="003B2488">
        <w:rPr>
          <w:rFonts w:cs="Arial"/>
          <w:szCs w:val="21"/>
        </w:rPr>
        <w:t xml:space="preserve">and the </w:t>
      </w:r>
      <w:hyperlink w:anchor="_Subcutaneous_administration" w:history="1">
        <w:r w:rsidR="00CA1F52" w:rsidRPr="00EF239C">
          <w:rPr>
            <w:rStyle w:val="Hyperlink"/>
            <w:rFonts w:cs="Arial"/>
            <w:szCs w:val="21"/>
          </w:rPr>
          <w:t>subcutaneous administration</w:t>
        </w:r>
      </w:hyperlink>
      <w:r w:rsidR="3502EE86" w:rsidRPr="003B2488">
        <w:rPr>
          <w:rFonts w:cs="Arial"/>
          <w:szCs w:val="21"/>
        </w:rPr>
        <w:t xml:space="preserve"> section</w:t>
      </w:r>
      <w:r w:rsidR="00502E4C" w:rsidRPr="003B2488">
        <w:rPr>
          <w:rFonts w:cs="Arial"/>
          <w:szCs w:val="21"/>
        </w:rPr>
        <w:t>s</w:t>
      </w:r>
      <w:r w:rsidR="3502EE86" w:rsidRPr="003B2488">
        <w:rPr>
          <w:rFonts w:cs="Arial"/>
          <w:szCs w:val="21"/>
        </w:rPr>
        <w:t xml:space="preserve"> of the guidelines</w:t>
      </w:r>
      <w:r w:rsidR="00502E4C" w:rsidRPr="003B2488">
        <w:rPr>
          <w:rFonts w:cs="Arial"/>
          <w:szCs w:val="21"/>
        </w:rPr>
        <w:t xml:space="preserve"> for further information.</w:t>
      </w:r>
      <w:r w:rsidR="00A1602C">
        <w:rPr>
          <w:rFonts w:cs="Arial"/>
          <w:szCs w:val="21"/>
        </w:rPr>
        <w:t xml:space="preserve"> </w:t>
      </w:r>
    </w:p>
    <w:p w14:paraId="16B0CB44" w14:textId="086FD1EC" w:rsidR="00077DBB" w:rsidRPr="006F1A2A" w:rsidRDefault="7BCD4BF7" w:rsidP="0E85B56F">
      <w:pPr>
        <w:pStyle w:val="Heading2"/>
      </w:pPr>
      <w:bookmarkStart w:id="39" w:name="_Schedule"/>
      <w:bookmarkStart w:id="40" w:name="_Toc176344966"/>
      <w:bookmarkEnd w:id="39"/>
      <w:r>
        <w:t>Schedule</w:t>
      </w:r>
      <w:bookmarkEnd w:id="40"/>
      <w:r>
        <w:t xml:space="preserve"> </w:t>
      </w:r>
    </w:p>
    <w:p w14:paraId="65E5914E" w14:textId="77777777" w:rsidR="00DE75FE" w:rsidRDefault="00DE75FE" w:rsidP="008E03D1">
      <w:pPr>
        <w:pStyle w:val="Heading4"/>
      </w:pPr>
      <w:bookmarkStart w:id="41" w:name="_Pre-exposure_prophylaxis_(PrEP)"/>
      <w:bookmarkEnd w:id="41"/>
      <w:r w:rsidRPr="00611C14">
        <w:t>Primary preventive vaccination (PPV)</w:t>
      </w:r>
    </w:p>
    <w:p w14:paraId="131A3776" w14:textId="7AECB4EB" w:rsidR="00077DBB" w:rsidRPr="006F1A2A" w:rsidRDefault="7BCD4BF7" w:rsidP="0096726E">
      <w:pPr>
        <w:pStyle w:val="Body"/>
      </w:pPr>
      <w:r w:rsidRPr="7F795C98">
        <w:t>Emergency approval for 2 doses, at least 28 days apart</w:t>
      </w:r>
      <w:r w:rsidR="001828F6">
        <w:t>*</w:t>
      </w:r>
      <w:r w:rsidR="006372F6" w:rsidRPr="7F795C98">
        <w:t>.</w:t>
      </w:r>
      <w:r w:rsidR="75C0CE61" w:rsidRPr="7F795C98">
        <w:t xml:space="preserve"> </w:t>
      </w:r>
    </w:p>
    <w:p w14:paraId="1DD3DF7D" w14:textId="00E8D5DE" w:rsidR="125E72E5" w:rsidRPr="000B519A" w:rsidRDefault="125E72E5" w:rsidP="007C009A">
      <w:pPr>
        <w:pStyle w:val="Body"/>
        <w:numPr>
          <w:ilvl w:val="0"/>
          <w:numId w:val="27"/>
        </w:numPr>
        <w:tabs>
          <w:tab w:val="num" w:pos="926"/>
        </w:tabs>
        <w:spacing w:after="80"/>
        <w:rPr>
          <w:rFonts w:eastAsia="Arial" w:cs="Arial"/>
          <w:szCs w:val="21"/>
        </w:rPr>
      </w:pPr>
      <w:r w:rsidRPr="000B519A">
        <w:rPr>
          <w:szCs w:val="21"/>
        </w:rPr>
        <w:t>A</w:t>
      </w:r>
      <w:r w:rsidR="64C91B31" w:rsidRPr="000B519A">
        <w:rPr>
          <w:szCs w:val="21"/>
        </w:rPr>
        <w:t xml:space="preserve">dministered via </w:t>
      </w:r>
      <w:r w:rsidR="00AC594F" w:rsidRPr="000B519A">
        <w:rPr>
          <w:szCs w:val="21"/>
        </w:rPr>
        <w:t xml:space="preserve">subcutaneous </w:t>
      </w:r>
      <w:r w:rsidR="00E5046F" w:rsidRPr="000B519A">
        <w:rPr>
          <w:b/>
          <w:bCs/>
          <w:szCs w:val="21"/>
        </w:rPr>
        <w:t>(preferred)</w:t>
      </w:r>
      <w:r w:rsidR="00E5046F" w:rsidRPr="000B519A">
        <w:rPr>
          <w:szCs w:val="21"/>
        </w:rPr>
        <w:t xml:space="preserve"> </w:t>
      </w:r>
      <w:r w:rsidR="00931776" w:rsidRPr="000B519A">
        <w:rPr>
          <w:szCs w:val="21"/>
        </w:rPr>
        <w:t xml:space="preserve">or </w:t>
      </w:r>
      <w:r w:rsidR="64C91B31" w:rsidRPr="000B519A">
        <w:rPr>
          <w:szCs w:val="21"/>
        </w:rPr>
        <w:t>intradermal route</w:t>
      </w:r>
      <w:r w:rsidR="00404FAC" w:rsidRPr="000B519A">
        <w:rPr>
          <w:szCs w:val="21"/>
        </w:rPr>
        <w:t>.</w:t>
      </w:r>
      <w:r w:rsidR="00926A88" w:rsidRPr="000B519A">
        <w:rPr>
          <w:szCs w:val="21"/>
        </w:rPr>
        <w:t xml:space="preserve"> </w:t>
      </w:r>
    </w:p>
    <w:p w14:paraId="526FD794" w14:textId="77777777" w:rsidR="00236199" w:rsidRDefault="64C91B31" w:rsidP="007C009A">
      <w:pPr>
        <w:pStyle w:val="Body"/>
        <w:numPr>
          <w:ilvl w:val="0"/>
          <w:numId w:val="27"/>
        </w:numPr>
        <w:tabs>
          <w:tab w:val="num" w:pos="926"/>
        </w:tabs>
        <w:spacing w:after="80"/>
        <w:rPr>
          <w:rFonts w:eastAsia="Arial" w:cs="Arial"/>
        </w:rPr>
      </w:pPr>
      <w:r>
        <w:t xml:space="preserve">Administered via subcutaneous route </w:t>
      </w:r>
      <w:r w:rsidR="14FA0C8E" w:rsidRPr="00931776">
        <w:rPr>
          <w:b/>
          <w:bCs/>
        </w:rPr>
        <w:t xml:space="preserve">to </w:t>
      </w:r>
      <w:r w:rsidR="00335B49" w:rsidRPr="00931776">
        <w:rPr>
          <w:rFonts w:eastAsia="Arial" w:cs="Arial"/>
          <w:b/>
          <w:bCs/>
        </w:rPr>
        <w:t>people</w:t>
      </w:r>
      <w:r w:rsidR="14FA0C8E" w:rsidRPr="00931776">
        <w:rPr>
          <w:rFonts w:eastAsia="Arial" w:cs="Arial"/>
          <w:b/>
          <w:bCs/>
        </w:rPr>
        <w:t xml:space="preserve"> with </w:t>
      </w:r>
      <w:r w:rsidR="00236199" w:rsidRPr="00931776">
        <w:rPr>
          <w:rFonts w:eastAsia="Arial" w:cs="Arial"/>
          <w:b/>
          <w:bCs/>
        </w:rPr>
        <w:t>a history of keloid scarring</w:t>
      </w:r>
      <w:r w:rsidR="00236199">
        <w:rPr>
          <w:rFonts w:eastAsia="Arial" w:cs="Arial"/>
        </w:rPr>
        <w:t>.</w:t>
      </w:r>
    </w:p>
    <w:p w14:paraId="749CB213" w14:textId="682D9F5D" w:rsidR="64C91B31" w:rsidRDefault="7DEBA709" w:rsidP="007C009A">
      <w:pPr>
        <w:pStyle w:val="Body"/>
        <w:numPr>
          <w:ilvl w:val="0"/>
          <w:numId w:val="27"/>
        </w:numPr>
        <w:tabs>
          <w:tab w:val="num" w:pos="926"/>
        </w:tabs>
        <w:spacing w:after="80"/>
        <w:rPr>
          <w:rFonts w:eastAsia="Arial" w:cs="Arial"/>
        </w:rPr>
      </w:pPr>
      <w:r w:rsidRPr="31088468">
        <w:rPr>
          <w:rFonts w:eastAsia="Arial" w:cs="Arial"/>
        </w:rPr>
        <w:t xml:space="preserve">Dose 2 </w:t>
      </w:r>
      <w:r w:rsidR="00FA42D4" w:rsidRPr="31088468">
        <w:rPr>
          <w:rFonts w:eastAsia="Arial" w:cs="Arial"/>
        </w:rPr>
        <w:t>should</w:t>
      </w:r>
      <w:r w:rsidRPr="31088468">
        <w:rPr>
          <w:rFonts w:eastAsia="Arial" w:cs="Arial"/>
        </w:rPr>
        <w:t xml:space="preserve"> be administered </w:t>
      </w:r>
      <w:r w:rsidRPr="003B7BC1">
        <w:rPr>
          <w:rFonts w:eastAsia="Arial" w:cs="Arial"/>
          <w:b/>
          <w:bCs/>
        </w:rPr>
        <w:t>as close to 28 days after the first dose</w:t>
      </w:r>
      <w:r w:rsidRPr="31088468">
        <w:rPr>
          <w:rFonts w:eastAsia="Arial" w:cs="Arial"/>
        </w:rPr>
        <w:t xml:space="preserve"> as possible</w:t>
      </w:r>
      <w:r w:rsidR="00E03F49" w:rsidRPr="31088468">
        <w:rPr>
          <w:rFonts w:eastAsia="Arial" w:cs="Arial"/>
        </w:rPr>
        <w:t xml:space="preserve"> </w:t>
      </w:r>
      <w:r w:rsidR="002969C5">
        <w:t xml:space="preserve">to </w:t>
      </w:r>
      <w:r w:rsidR="002969C5" w:rsidRPr="31088468">
        <w:rPr>
          <w:rFonts w:eastAsia="Arial" w:cs="Arial"/>
        </w:rPr>
        <w:t xml:space="preserve">people with certain conditions or on therapies leading to </w:t>
      </w:r>
      <w:r w:rsidR="002969C5" w:rsidRPr="007C009A">
        <w:rPr>
          <w:rFonts w:eastAsia="Arial" w:cs="Arial"/>
        </w:rPr>
        <w:t>immunocompromise</w:t>
      </w:r>
      <w:r w:rsidR="007C009A">
        <w:rPr>
          <w:rFonts w:eastAsia="Arial" w:cs="Arial"/>
        </w:rPr>
        <w:t>.</w:t>
      </w:r>
      <w:r w:rsidRPr="31088468">
        <w:rPr>
          <w:rFonts w:eastAsia="Arial" w:cs="Arial"/>
        </w:rPr>
        <w:t xml:space="preserve"> </w:t>
      </w:r>
    </w:p>
    <w:p w14:paraId="1B075976" w14:textId="77777777" w:rsidR="00D05A78" w:rsidRDefault="00D05A78" w:rsidP="00D05A78">
      <w:pPr>
        <w:pStyle w:val="Heading4"/>
      </w:pPr>
      <w:bookmarkStart w:id="42" w:name="_Post_exposure_prophylaxis"/>
      <w:bookmarkEnd w:id="42"/>
      <w:r w:rsidRPr="00611C14">
        <w:t>Post-exposure preventive vaccination (PEPV)</w:t>
      </w:r>
    </w:p>
    <w:p w14:paraId="181DF5DC" w14:textId="7A11E190" w:rsidR="00077DBB" w:rsidRPr="006F1A2A" w:rsidRDefault="7BCD4BF7" w:rsidP="004605B6">
      <w:pPr>
        <w:pStyle w:val="Bullet1"/>
        <w:numPr>
          <w:ilvl w:val="0"/>
          <w:numId w:val="0"/>
        </w:numPr>
        <w:spacing w:before="240" w:after="0" w:line="288" w:lineRule="auto"/>
      </w:pPr>
      <w:r>
        <w:t xml:space="preserve">Emergency approval </w:t>
      </w:r>
      <w:r w:rsidR="00E41655">
        <w:t>following assessment and</w:t>
      </w:r>
      <w:r w:rsidR="48AA3421">
        <w:t xml:space="preserve"> </w:t>
      </w:r>
      <w:r>
        <w:t>contact management by the Department of Health</w:t>
      </w:r>
      <w:r w:rsidR="00E41655">
        <w:t>/Local public health units</w:t>
      </w:r>
      <w:r w:rsidR="004855BC">
        <w:t>.</w:t>
      </w:r>
    </w:p>
    <w:p w14:paraId="55E0EEE2" w14:textId="4161C9C1" w:rsidR="7075258F" w:rsidRDefault="7075258F" w:rsidP="00CA1F52">
      <w:pPr>
        <w:pStyle w:val="Bullet1"/>
        <w:numPr>
          <w:ilvl w:val="0"/>
          <w:numId w:val="27"/>
        </w:numPr>
        <w:spacing w:before="120" w:after="0" w:line="288" w:lineRule="auto"/>
        <w:ind w:left="714" w:hanging="357"/>
        <w:rPr>
          <w:rFonts w:eastAsia="Arial" w:cs="Arial"/>
          <w:szCs w:val="21"/>
        </w:rPr>
      </w:pPr>
      <w:r w:rsidRPr="7F795C98">
        <w:t xml:space="preserve">Vaccination within 4 days of first exposure to an infectious case </w:t>
      </w:r>
      <w:r w:rsidR="414569A9" w:rsidRPr="7F795C98">
        <w:t>(</w:t>
      </w:r>
      <w:r w:rsidR="00E03F49">
        <w:t>v</w:t>
      </w:r>
      <w:r w:rsidRPr="7F795C98">
        <w:t>accination between 4 to 14 days is anticipated to attenuate disease</w:t>
      </w:r>
      <w:r w:rsidR="3AC620A2" w:rsidRPr="7F795C98">
        <w:t>)</w:t>
      </w:r>
      <w:r w:rsidRPr="7F795C98">
        <w:t>.</w:t>
      </w:r>
    </w:p>
    <w:p w14:paraId="2DE06753" w14:textId="254D21AC" w:rsidR="14CABA1D" w:rsidRDefault="14CABA1D" w:rsidP="00603DC8">
      <w:pPr>
        <w:pStyle w:val="Bullet1"/>
        <w:numPr>
          <w:ilvl w:val="0"/>
          <w:numId w:val="27"/>
        </w:numPr>
        <w:spacing w:after="0" w:line="288" w:lineRule="auto"/>
        <w:ind w:left="714" w:hanging="357"/>
        <w:rPr>
          <w:rFonts w:eastAsia="Arial" w:cs="Arial"/>
          <w:szCs w:val="21"/>
        </w:rPr>
      </w:pPr>
      <w:r w:rsidRPr="7F795C98">
        <w:rPr>
          <w:szCs w:val="21"/>
        </w:rPr>
        <w:t xml:space="preserve">Administer </w:t>
      </w:r>
      <w:r w:rsidRPr="005A39BF">
        <w:rPr>
          <w:b/>
          <w:bCs/>
          <w:szCs w:val="21"/>
        </w:rPr>
        <w:t>1</w:t>
      </w:r>
      <w:r w:rsidR="01260EC9" w:rsidRPr="005A39BF">
        <w:rPr>
          <w:b/>
          <w:bCs/>
          <w:szCs w:val="21"/>
          <w:vertAlign w:val="superscript"/>
        </w:rPr>
        <w:t>st</w:t>
      </w:r>
      <w:r w:rsidRPr="005A39BF">
        <w:rPr>
          <w:b/>
          <w:bCs/>
          <w:szCs w:val="21"/>
        </w:rPr>
        <w:t xml:space="preserve"> dose via </w:t>
      </w:r>
      <w:hyperlink w:anchor="_Subcutaneous_administration" w:history="1">
        <w:r w:rsidRPr="005A39BF">
          <w:rPr>
            <w:rStyle w:val="Hyperlink"/>
            <w:b/>
            <w:bCs/>
            <w:color w:val="auto"/>
            <w:szCs w:val="21"/>
            <w:u w:val="none"/>
          </w:rPr>
          <w:t>subcutaneous route</w:t>
        </w:r>
      </w:hyperlink>
      <w:r w:rsidRPr="7F795C98">
        <w:rPr>
          <w:szCs w:val="21"/>
        </w:rPr>
        <w:t xml:space="preserve"> </w:t>
      </w:r>
      <w:r w:rsidR="01B80364" w:rsidRPr="7F795C98">
        <w:rPr>
          <w:szCs w:val="21"/>
        </w:rPr>
        <w:t xml:space="preserve">to </w:t>
      </w:r>
      <w:r w:rsidR="7265F785" w:rsidRPr="7F795C98">
        <w:rPr>
          <w:szCs w:val="21"/>
        </w:rPr>
        <w:t>all</w:t>
      </w:r>
      <w:r w:rsidR="01B80364" w:rsidRPr="7F795C98">
        <w:rPr>
          <w:szCs w:val="21"/>
        </w:rPr>
        <w:t xml:space="preserve"> </w:t>
      </w:r>
      <w:r w:rsidR="00745E96">
        <w:rPr>
          <w:szCs w:val="21"/>
        </w:rPr>
        <w:t>individuals</w:t>
      </w:r>
      <w:r w:rsidR="004855BC">
        <w:rPr>
          <w:szCs w:val="21"/>
        </w:rPr>
        <w:t>.</w:t>
      </w:r>
      <w:r w:rsidR="3580A125" w:rsidRPr="7F795C98">
        <w:rPr>
          <w:szCs w:val="21"/>
        </w:rPr>
        <w:t xml:space="preserve"> </w:t>
      </w:r>
    </w:p>
    <w:p w14:paraId="48B11252" w14:textId="004E0D70" w:rsidR="3580A125" w:rsidRDefault="3580A125" w:rsidP="00603DC8">
      <w:pPr>
        <w:pStyle w:val="Bullet1"/>
        <w:numPr>
          <w:ilvl w:val="0"/>
          <w:numId w:val="27"/>
        </w:numPr>
        <w:spacing w:after="0" w:line="288" w:lineRule="auto"/>
        <w:ind w:left="714" w:hanging="357"/>
        <w:rPr>
          <w:szCs w:val="21"/>
        </w:rPr>
      </w:pPr>
      <w:r w:rsidRPr="7F795C98">
        <w:rPr>
          <w:szCs w:val="21"/>
        </w:rPr>
        <w:t>Schedule is:</w:t>
      </w:r>
    </w:p>
    <w:p w14:paraId="475E09E9" w14:textId="77777777" w:rsidR="00077DBB" w:rsidRPr="006F1A2A" w:rsidRDefault="7BCD4BF7" w:rsidP="00603DC8">
      <w:pPr>
        <w:pStyle w:val="Bullet1"/>
        <w:numPr>
          <w:ilvl w:val="1"/>
          <w:numId w:val="27"/>
        </w:numPr>
        <w:spacing w:after="0" w:line="288" w:lineRule="auto"/>
        <w:rPr>
          <w:rFonts w:cs="Arial"/>
        </w:rPr>
      </w:pPr>
      <w:r w:rsidRPr="0E85B56F">
        <w:rPr>
          <w:rFonts w:cs="Arial"/>
        </w:rPr>
        <w:t>1 dose –</w:t>
      </w:r>
      <w:r w:rsidRPr="0E85B56F">
        <w:rPr>
          <w:rFonts w:cs="Arial"/>
          <w:b/>
          <w:bCs/>
        </w:rPr>
        <w:t xml:space="preserve"> OR</w:t>
      </w:r>
      <w:r w:rsidRPr="0E85B56F">
        <w:rPr>
          <w:rFonts w:cs="Arial"/>
        </w:rPr>
        <w:t xml:space="preserve">  </w:t>
      </w:r>
    </w:p>
    <w:p w14:paraId="4A491891" w14:textId="3C1F1F7B" w:rsidR="00411CD3" w:rsidRPr="00411CD3" w:rsidRDefault="7BCD4BF7">
      <w:pPr>
        <w:pStyle w:val="Bullet1"/>
        <w:numPr>
          <w:ilvl w:val="1"/>
          <w:numId w:val="27"/>
        </w:numPr>
        <w:spacing w:before="120" w:after="0" w:line="288" w:lineRule="auto"/>
        <w:rPr>
          <w:rFonts w:asciiTheme="minorHAnsi" w:hAnsiTheme="minorHAnsi"/>
          <w:sz w:val="22"/>
        </w:rPr>
      </w:pPr>
      <w:r w:rsidRPr="00411CD3">
        <w:rPr>
          <w:rFonts w:cs="Arial"/>
        </w:rPr>
        <w:t xml:space="preserve">2 doses </w:t>
      </w:r>
      <w:r w:rsidR="008F18C8">
        <w:rPr>
          <w:rFonts w:cs="Arial"/>
        </w:rPr>
        <w:t>(</w:t>
      </w:r>
      <w:r w:rsidRPr="00411CD3">
        <w:rPr>
          <w:rFonts w:cs="Arial"/>
        </w:rPr>
        <w:t xml:space="preserve">if </w:t>
      </w:r>
      <w:r w:rsidR="002A48A3">
        <w:rPr>
          <w:rFonts w:cs="Arial"/>
        </w:rPr>
        <w:t xml:space="preserve">mpox infection has not occurred and there is </w:t>
      </w:r>
      <w:r w:rsidRPr="00411CD3">
        <w:rPr>
          <w:rFonts w:cs="Arial"/>
        </w:rPr>
        <w:t>ongoing exposure</w:t>
      </w:r>
      <w:r w:rsidR="008F18C8">
        <w:rPr>
          <w:rFonts w:cs="Arial"/>
        </w:rPr>
        <w:t xml:space="preserve"> risk)</w:t>
      </w:r>
      <w:r w:rsidRPr="00411CD3">
        <w:rPr>
          <w:rFonts w:cs="Arial"/>
        </w:rPr>
        <w:t>, at least 28 days apart</w:t>
      </w:r>
      <w:r w:rsidR="001828F6" w:rsidRPr="00411CD3">
        <w:rPr>
          <w:rFonts w:cs="Arial"/>
        </w:rPr>
        <w:t>*</w:t>
      </w:r>
      <w:r w:rsidR="562E2E8C" w:rsidRPr="00411CD3">
        <w:rPr>
          <w:rFonts w:cs="Arial"/>
        </w:rPr>
        <w:t>. 2</w:t>
      </w:r>
      <w:r w:rsidR="562E2E8C" w:rsidRPr="00411CD3">
        <w:rPr>
          <w:rFonts w:cs="Arial"/>
          <w:vertAlign w:val="superscript"/>
        </w:rPr>
        <w:t>nd</w:t>
      </w:r>
      <w:r w:rsidR="562E2E8C" w:rsidRPr="00411CD3">
        <w:rPr>
          <w:rFonts w:cs="Arial"/>
        </w:rPr>
        <w:t xml:space="preserve"> PEP</w:t>
      </w:r>
      <w:r w:rsidR="00CC1CD9">
        <w:rPr>
          <w:rFonts w:cs="Arial"/>
        </w:rPr>
        <w:t>V</w:t>
      </w:r>
      <w:r w:rsidR="562E2E8C" w:rsidRPr="00411CD3">
        <w:rPr>
          <w:rFonts w:cs="Arial"/>
        </w:rPr>
        <w:t xml:space="preserve"> dose may be administered by the subcutaneous or intradermal route</w:t>
      </w:r>
      <w:r w:rsidR="00D156A0">
        <w:rPr>
          <w:rFonts w:cs="Arial"/>
        </w:rPr>
        <w:t>.</w:t>
      </w:r>
    </w:p>
    <w:p w14:paraId="5929D05A" w14:textId="3947A74D" w:rsidR="001828F6" w:rsidRPr="00411CD3" w:rsidRDefault="001828F6" w:rsidP="00411CD3">
      <w:pPr>
        <w:pStyle w:val="Bullet1"/>
        <w:numPr>
          <w:ilvl w:val="0"/>
          <w:numId w:val="0"/>
        </w:numPr>
        <w:spacing w:before="120" w:after="0" w:line="288" w:lineRule="auto"/>
        <w:rPr>
          <w:rFonts w:asciiTheme="minorHAnsi" w:hAnsiTheme="minorHAnsi"/>
          <w:sz w:val="22"/>
        </w:rPr>
      </w:pPr>
      <w:r>
        <w:t>*</w:t>
      </w:r>
      <w:r w:rsidRPr="00AE2752">
        <w:t>The second dose does not need to be repeated if given later than 28 days after the first dose</w:t>
      </w:r>
      <w:r w:rsidR="00AE2752">
        <w:t>.</w:t>
      </w:r>
    </w:p>
    <w:p w14:paraId="1677814A" w14:textId="2AFFCEF1" w:rsidR="00077DBB" w:rsidRPr="00766651" w:rsidRDefault="7BCD4BF7" w:rsidP="00C7560F">
      <w:pPr>
        <w:pStyle w:val="Heading2"/>
        <w:spacing w:before="240"/>
      </w:pPr>
      <w:bookmarkStart w:id="43" w:name="_Toc176344967"/>
      <w:r w:rsidRPr="00766651">
        <w:t xml:space="preserve">Common </w:t>
      </w:r>
      <w:r w:rsidR="009E14B2">
        <w:t>side effects</w:t>
      </w:r>
      <w:bookmarkEnd w:id="43"/>
    </w:p>
    <w:p w14:paraId="0D5E3F1D" w14:textId="2A705841" w:rsidR="004D0EC1" w:rsidRPr="000F30D2" w:rsidRDefault="7BCD4BF7"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w:t>
      </w:r>
      <w:r w:rsidR="003712C4" w:rsidRPr="000F30D2">
        <w:rPr>
          <w:rStyle w:val="DJCSbodyChar"/>
          <w:rFonts w:cs="Arial"/>
          <w:sz w:val="21"/>
          <w:szCs w:val="21"/>
        </w:rPr>
        <w:t xml:space="preserve">local </w:t>
      </w:r>
      <w:r w:rsidR="009E14B2" w:rsidRPr="000F30D2">
        <w:rPr>
          <w:rStyle w:val="DJCSbodyChar"/>
          <w:rFonts w:cs="Arial"/>
          <w:sz w:val="21"/>
          <w:szCs w:val="21"/>
        </w:rPr>
        <w:t>side effects</w:t>
      </w:r>
      <w:r w:rsidR="003712C4" w:rsidRPr="000F30D2">
        <w:rPr>
          <w:rStyle w:val="DJCSbodyChar"/>
          <w:rFonts w:cs="Arial"/>
          <w:sz w:val="21"/>
          <w:szCs w:val="21"/>
        </w:rPr>
        <w:t xml:space="preserve"> </w:t>
      </w:r>
      <w:r w:rsidRPr="000F30D2">
        <w:rPr>
          <w:rStyle w:val="DJCSbodyChar"/>
          <w:rFonts w:cs="Arial"/>
          <w:sz w:val="21"/>
          <w:szCs w:val="21"/>
        </w:rPr>
        <w:t xml:space="preserve">reported in clinical studies after receiving </w:t>
      </w:r>
      <w:r w:rsidR="00D04BB9" w:rsidRPr="000F30D2">
        <w:rPr>
          <w:rStyle w:val="DJCSbodyChar"/>
          <w:rFonts w:cs="Arial"/>
          <w:sz w:val="21"/>
          <w:szCs w:val="21"/>
        </w:rPr>
        <w:t xml:space="preserve">the </w:t>
      </w: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 include injection site pain, redness, swelling</w:t>
      </w:r>
      <w:r w:rsidR="00133A66" w:rsidRPr="000F30D2">
        <w:rPr>
          <w:rStyle w:val="DJCSbodyChar"/>
          <w:rFonts w:cs="Arial"/>
          <w:sz w:val="21"/>
          <w:szCs w:val="21"/>
        </w:rPr>
        <w:t>,</w:t>
      </w:r>
      <w:r w:rsidRPr="000F30D2">
        <w:rPr>
          <w:rStyle w:val="DJCSbodyChar"/>
          <w:rFonts w:cs="Arial"/>
          <w:sz w:val="21"/>
          <w:szCs w:val="21"/>
        </w:rPr>
        <w:t xml:space="preserve"> </w:t>
      </w:r>
      <w:r w:rsidR="004771BD" w:rsidRPr="000F30D2">
        <w:rPr>
          <w:rStyle w:val="DJCSbodyChar"/>
          <w:rFonts w:cs="Arial"/>
          <w:sz w:val="21"/>
          <w:szCs w:val="21"/>
        </w:rPr>
        <w:t>induration</w:t>
      </w:r>
      <w:r w:rsidR="00B37267" w:rsidRPr="000F30D2">
        <w:rPr>
          <w:rStyle w:val="DJCSbodyChar"/>
          <w:rFonts w:cs="Arial"/>
          <w:sz w:val="21"/>
          <w:szCs w:val="21"/>
        </w:rPr>
        <w:t>(hardening)</w:t>
      </w:r>
      <w:r w:rsidR="00133A66" w:rsidRPr="000F30D2">
        <w:rPr>
          <w:rStyle w:val="DJCSbodyChar"/>
          <w:rFonts w:cs="Arial"/>
          <w:sz w:val="21"/>
          <w:szCs w:val="21"/>
        </w:rPr>
        <w:t xml:space="preserve"> or itch</w:t>
      </w:r>
      <w:r w:rsidR="004771BD" w:rsidRPr="000F30D2">
        <w:rPr>
          <w:rStyle w:val="DJCSbodyChar"/>
          <w:rFonts w:cs="Arial"/>
          <w:sz w:val="21"/>
          <w:szCs w:val="21"/>
        </w:rPr>
        <w:t xml:space="preserve">. </w:t>
      </w:r>
    </w:p>
    <w:p w14:paraId="7941728D" w14:textId="77777777" w:rsidR="000F30D2" w:rsidRPr="000F30D2" w:rsidRDefault="004771BD"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systemic </w:t>
      </w:r>
      <w:r w:rsidR="009E14B2" w:rsidRPr="000F30D2">
        <w:rPr>
          <w:rStyle w:val="DJCSbodyChar"/>
          <w:rFonts w:cs="Arial"/>
          <w:sz w:val="21"/>
          <w:szCs w:val="21"/>
        </w:rPr>
        <w:t>side effects</w:t>
      </w:r>
      <w:r w:rsidRPr="000F30D2">
        <w:rPr>
          <w:rStyle w:val="DJCSbodyChar"/>
          <w:rFonts w:cs="Arial"/>
          <w:sz w:val="21"/>
          <w:szCs w:val="21"/>
        </w:rPr>
        <w:t xml:space="preserve"> include </w:t>
      </w:r>
      <w:r w:rsidR="7BCD4BF7" w:rsidRPr="000F30D2">
        <w:rPr>
          <w:rStyle w:val="DJCSbodyChar"/>
          <w:rFonts w:cs="Arial"/>
          <w:sz w:val="21"/>
          <w:szCs w:val="21"/>
        </w:rPr>
        <w:t>muscle aches, headache, fatigue, nausea, chills, fever.</w:t>
      </w:r>
    </w:p>
    <w:p w14:paraId="413B7B41" w14:textId="6E8F55F5" w:rsidR="004D0EC1" w:rsidRPr="000F30D2" w:rsidRDefault="000F30D2" w:rsidP="0072786B">
      <w:pPr>
        <w:pStyle w:val="NormalWeb"/>
        <w:spacing w:before="120" w:beforeAutospacing="0" w:after="120" w:afterAutospacing="0" w:line="288" w:lineRule="auto"/>
        <w:rPr>
          <w:rStyle w:val="DJCSbodyChar"/>
          <w:rFonts w:cs="Arial"/>
          <w:sz w:val="21"/>
          <w:szCs w:val="21"/>
        </w:rPr>
      </w:pPr>
      <w:r w:rsidRPr="000F30D2">
        <w:rPr>
          <w:rFonts w:ascii="Arial" w:hAnsi="Arial" w:cs="Arial"/>
          <w:sz w:val="21"/>
          <w:szCs w:val="21"/>
        </w:rPr>
        <w:t xml:space="preserve">People with atopic dermatitis (eczema) may be more likely to have side </w:t>
      </w:r>
      <w:r w:rsidR="0085641E">
        <w:rPr>
          <w:rFonts w:ascii="Arial" w:hAnsi="Arial" w:cs="Arial"/>
          <w:sz w:val="21"/>
          <w:szCs w:val="21"/>
        </w:rPr>
        <w:t xml:space="preserve">localised </w:t>
      </w:r>
      <w:r w:rsidRPr="000F30D2">
        <w:rPr>
          <w:rFonts w:ascii="Arial" w:hAnsi="Arial" w:cs="Arial"/>
          <w:sz w:val="21"/>
          <w:szCs w:val="21"/>
        </w:rPr>
        <w:t>effects after vaccination compared to those without this condition</w:t>
      </w:r>
      <w:r w:rsidR="00076D54" w:rsidRPr="000F30D2">
        <w:rPr>
          <w:rStyle w:val="DJCSbodyChar"/>
          <w:rFonts w:cs="Arial"/>
          <w:sz w:val="21"/>
          <w:szCs w:val="21"/>
        </w:rPr>
        <w:t xml:space="preserve"> </w:t>
      </w:r>
    </w:p>
    <w:p w14:paraId="1372BD50" w14:textId="6A668F10" w:rsidR="0063777F" w:rsidRPr="008F7ED2" w:rsidRDefault="0049243B" w:rsidP="0072786B">
      <w:pPr>
        <w:pStyle w:val="NormalWeb"/>
        <w:spacing w:before="120" w:beforeAutospacing="0" w:after="120" w:afterAutospacing="0" w:line="288" w:lineRule="auto"/>
        <w:rPr>
          <w:rFonts w:ascii="Arial" w:hAnsi="Arial" w:cs="Arial"/>
          <w:color w:val="0B0C0C"/>
          <w:sz w:val="21"/>
          <w:szCs w:val="21"/>
          <w:shd w:val="clear" w:color="auto" w:fill="FFFFFF"/>
        </w:rPr>
      </w:pP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w:t>
      </w:r>
      <w:r w:rsidR="0063777F">
        <w:rPr>
          <w:rFonts w:ascii="Arial" w:hAnsi="Arial" w:cs="Arial"/>
          <w:color w:val="0B0C0C"/>
          <w:sz w:val="21"/>
          <w:szCs w:val="21"/>
          <w:shd w:val="clear" w:color="auto" w:fill="FFFFFF"/>
        </w:rPr>
        <w:t xml:space="preserve"> safety surveillance </w:t>
      </w:r>
      <w:r>
        <w:rPr>
          <w:rFonts w:ascii="Arial" w:hAnsi="Arial" w:cs="Arial"/>
          <w:color w:val="0B0C0C"/>
          <w:sz w:val="21"/>
          <w:szCs w:val="21"/>
          <w:shd w:val="clear" w:color="auto" w:fill="FFFFFF"/>
        </w:rPr>
        <w:t xml:space="preserve">in Australia </w:t>
      </w:r>
      <w:r w:rsidR="0063777F">
        <w:rPr>
          <w:rFonts w:ascii="Arial" w:hAnsi="Arial" w:cs="Arial"/>
          <w:color w:val="0B0C0C"/>
          <w:sz w:val="21"/>
          <w:szCs w:val="21"/>
          <w:shd w:val="clear" w:color="auto" w:fill="FFFFFF"/>
        </w:rPr>
        <w:t>showed</w:t>
      </w:r>
      <w:r w:rsidR="0063777F" w:rsidRPr="0063777F">
        <w:rPr>
          <w:rFonts w:ascii="Arial" w:hAnsi="Arial" w:cs="Arial"/>
          <w:sz w:val="21"/>
          <w:szCs w:val="21"/>
        </w:rPr>
        <w:t xml:space="preserve"> </w:t>
      </w:r>
      <w:r w:rsidR="0063777F" w:rsidRPr="008F7ED2">
        <w:rPr>
          <w:rFonts w:ascii="Arial" w:hAnsi="Arial" w:cs="Arial"/>
          <w:sz w:val="21"/>
          <w:szCs w:val="21"/>
        </w:rPr>
        <w:t>slightly increased rates of injection site redness and hardening in those who received an intradermal injection</w:t>
      </w:r>
      <w:r w:rsidR="0063777F">
        <w:rPr>
          <w:rStyle w:val="FootnoteReference"/>
          <w:rFonts w:ascii="Arial" w:hAnsi="Arial" w:cs="Arial"/>
          <w:sz w:val="21"/>
          <w:szCs w:val="21"/>
        </w:rPr>
        <w:footnoteReference w:id="11"/>
      </w:r>
      <w:r w:rsidR="0063777F">
        <w:rPr>
          <w:rFonts w:ascii="Arial" w:hAnsi="Arial" w:cs="Arial"/>
          <w:sz w:val="21"/>
          <w:szCs w:val="21"/>
        </w:rPr>
        <w:t>.</w:t>
      </w:r>
    </w:p>
    <w:p w14:paraId="079E43F7" w14:textId="77777777" w:rsidR="00306FA3" w:rsidRPr="00633A11" w:rsidRDefault="00306FA3" w:rsidP="001757A4">
      <w:pPr>
        <w:pStyle w:val="Heading1"/>
        <w:spacing w:before="240"/>
      </w:pPr>
      <w:bookmarkStart w:id="44" w:name="_Toc176344968"/>
      <w:r w:rsidRPr="00701C44">
        <w:t>Other considerations</w:t>
      </w:r>
      <w:bookmarkEnd w:id="44"/>
    </w:p>
    <w:p w14:paraId="5DA20D61" w14:textId="77777777" w:rsidR="00306FA3" w:rsidRPr="002C216E" w:rsidRDefault="00306FA3" w:rsidP="00C7560F">
      <w:pPr>
        <w:pStyle w:val="Heading2"/>
        <w:spacing w:before="240"/>
      </w:pPr>
      <w:bookmarkStart w:id="45" w:name="_Toc176344969"/>
      <w:r>
        <w:t>Previous smallpox vaccination</w:t>
      </w:r>
      <w:bookmarkEnd w:id="45"/>
    </w:p>
    <w:p w14:paraId="430A3D83" w14:textId="439CCB69" w:rsidR="0049243B" w:rsidRPr="0049243B" w:rsidRDefault="0049243B" w:rsidP="0049243B">
      <w:pPr>
        <w:shd w:val="clear" w:color="auto" w:fill="FFFFFF"/>
        <w:spacing w:before="100" w:beforeAutospacing="1" w:after="100" w:afterAutospacing="1" w:line="240" w:lineRule="auto"/>
        <w:rPr>
          <w:rFonts w:cs="Arial"/>
          <w:color w:val="313131"/>
          <w:szCs w:val="21"/>
          <w:lang w:eastAsia="en-AU"/>
        </w:rPr>
      </w:pPr>
      <w:r w:rsidRPr="0049243B">
        <w:rPr>
          <w:rFonts w:cs="Arial"/>
          <w:color w:val="313131"/>
          <w:szCs w:val="21"/>
          <w:lang w:eastAsia="en-AU"/>
        </w:rPr>
        <w:t xml:space="preserve">People who have previously received a smallpox vaccine are likely to have some residual protection, however, may benefit from receiving a dose of </w:t>
      </w: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Pr="0049243B">
        <w:rPr>
          <w:rFonts w:cs="Arial"/>
          <w:color w:val="313131"/>
          <w:szCs w:val="21"/>
          <w:lang w:eastAsia="en-AU"/>
        </w:rPr>
        <w:t>mpox vaccine.</w:t>
      </w:r>
    </w:p>
    <w:p w14:paraId="7AE6A0FB" w14:textId="5F605EC9" w:rsidR="0049243B" w:rsidRPr="001757A4" w:rsidRDefault="001757A4" w:rsidP="0049243B">
      <w:pPr>
        <w:shd w:val="clear" w:color="auto" w:fill="FFFFFF"/>
        <w:spacing w:before="100" w:beforeAutospacing="1" w:after="100" w:afterAutospacing="1" w:line="240" w:lineRule="auto"/>
        <w:rPr>
          <w:rFonts w:cs="Arial"/>
          <w:szCs w:val="21"/>
          <w:lang w:eastAsia="en-AU"/>
        </w:rPr>
      </w:pPr>
      <w:r w:rsidRPr="001757A4">
        <w:rPr>
          <w:rFonts w:cs="Arial"/>
          <w:b/>
          <w:bCs/>
          <w:color w:val="313131"/>
          <w:szCs w:val="21"/>
          <w:lang w:eastAsia="en-AU"/>
        </w:rPr>
        <w:t xml:space="preserve">PPV </w:t>
      </w:r>
      <w:r>
        <w:rPr>
          <w:rFonts w:cs="Arial"/>
          <w:color w:val="313131"/>
          <w:szCs w:val="21"/>
          <w:lang w:eastAsia="en-AU"/>
        </w:rPr>
        <w:t xml:space="preserve">- </w:t>
      </w:r>
      <w:r w:rsidR="0049243B" w:rsidRPr="001757A4">
        <w:rPr>
          <w:rFonts w:cs="Arial"/>
          <w:szCs w:val="21"/>
          <w:lang w:eastAsia="en-AU"/>
        </w:rPr>
        <w:t xml:space="preserve">If a person who is recommended to receive PPV for mpox has had a smallpox vaccine in the past, 1 additional dose of </w:t>
      </w:r>
      <w:r w:rsidR="0049243B" w:rsidRPr="001757A4">
        <w:rPr>
          <w:rFonts w:eastAsia="Arial" w:cs="Arial"/>
          <w:szCs w:val="21"/>
        </w:rPr>
        <w:t>JYNNEOS</w:t>
      </w:r>
      <w:r w:rsidR="0049243B" w:rsidRPr="001757A4">
        <w:rPr>
          <w:rFonts w:eastAsia="Arial" w:cs="Arial"/>
          <w:szCs w:val="21"/>
          <w:vertAlign w:val="superscript"/>
        </w:rPr>
        <w:t>®</w:t>
      </w:r>
      <w:r w:rsidR="0049243B" w:rsidRPr="001757A4">
        <w:rPr>
          <w:rFonts w:eastAsia="Arial" w:cs="Arial"/>
          <w:szCs w:val="21"/>
        </w:rPr>
        <w:t xml:space="preserve"> </w:t>
      </w:r>
      <w:r w:rsidR="0049243B" w:rsidRPr="001757A4">
        <w:rPr>
          <w:rFonts w:cs="Arial"/>
          <w:szCs w:val="21"/>
          <w:lang w:eastAsia="en-AU"/>
        </w:rPr>
        <w:t>mpox vaccine is recommended if the previous dose of a smallpox vaccine was given more than 10 years ago.</w:t>
      </w:r>
      <w:r w:rsidR="0049243B" w:rsidRPr="001757A4">
        <w:rPr>
          <w:rStyle w:val="FootnoteReference"/>
          <w:rFonts w:cs="Arial"/>
          <w:szCs w:val="21"/>
          <w:lang w:eastAsia="en-AU"/>
        </w:rPr>
        <w:footnoteReference w:id="12"/>
      </w:r>
    </w:p>
    <w:p w14:paraId="278A32A6" w14:textId="2D4762D5" w:rsidR="001757A4" w:rsidRPr="001757A4" w:rsidRDefault="001757A4" w:rsidP="001757A4">
      <w:pPr>
        <w:shd w:val="clear" w:color="auto" w:fill="FFFFFF"/>
        <w:spacing w:before="100" w:beforeAutospacing="1" w:after="100" w:afterAutospacing="1" w:line="240" w:lineRule="auto"/>
        <w:rPr>
          <w:rFonts w:cs="Arial"/>
          <w:szCs w:val="21"/>
          <w:lang w:eastAsia="en-AU"/>
        </w:rPr>
      </w:pPr>
      <w:r w:rsidRPr="001757A4">
        <w:rPr>
          <w:rFonts w:cs="Arial"/>
          <w:b/>
          <w:bCs/>
          <w:shd w:val="clear" w:color="auto" w:fill="FFFFFF"/>
        </w:rPr>
        <w:t xml:space="preserve">PEPV </w:t>
      </w:r>
      <w:r>
        <w:rPr>
          <w:rFonts w:cs="Arial"/>
          <w:shd w:val="clear" w:color="auto" w:fill="FFFFFF"/>
        </w:rPr>
        <w:t xml:space="preserve">- </w:t>
      </w:r>
      <w:r w:rsidRPr="001757A4">
        <w:rPr>
          <w:rFonts w:cs="Arial"/>
          <w:shd w:val="clear" w:color="auto" w:fill="FFFFFF"/>
        </w:rPr>
        <w:t>People who have previously received a smallpox vaccine (before the 2022 mpox outbreak), and who are as eligible for PEPV, should receive PEPV as soon as possible, regardless of the timing of the previous smallpox vaccine dose</w:t>
      </w:r>
      <w:r>
        <w:rPr>
          <w:rFonts w:cs="Arial"/>
          <w:shd w:val="clear" w:color="auto" w:fill="FFFFFF"/>
        </w:rPr>
        <w:t>¹¹</w:t>
      </w:r>
      <w:r w:rsidRPr="001757A4">
        <w:rPr>
          <w:rFonts w:cs="Arial"/>
          <w:shd w:val="clear" w:color="auto" w:fill="FFFFFF"/>
        </w:rPr>
        <w:t>.</w:t>
      </w:r>
    </w:p>
    <w:p w14:paraId="641348B0" w14:textId="77777777" w:rsidR="00306FA3" w:rsidRPr="002C216E" w:rsidRDefault="00306FA3" w:rsidP="00C7560F">
      <w:pPr>
        <w:pStyle w:val="Heading2"/>
        <w:spacing w:before="240"/>
      </w:pPr>
      <w:bookmarkStart w:id="46" w:name="_Toc176344970"/>
      <w:r w:rsidRPr="002C216E">
        <w:t>Interval after infection</w:t>
      </w:r>
      <w:bookmarkEnd w:id="46"/>
    </w:p>
    <w:p w14:paraId="52D87867" w14:textId="48FDFCAF" w:rsidR="00306FA3" w:rsidRPr="00BD4EC6" w:rsidRDefault="0045741E" w:rsidP="00306FA3">
      <w:pPr>
        <w:rPr>
          <w:lang w:eastAsia="en-AU"/>
        </w:rPr>
      </w:pPr>
      <w:r>
        <w:t>Individuals who are diagnosed with laboratory-confirmed mpox are not recommended to receive vaccination against mpox in the short to medium term after recovery, as their immunity will be boosted by natural infection.</w:t>
      </w:r>
      <w:r w:rsidR="007C009A">
        <w:rPr>
          <w:rStyle w:val="FootnoteReference"/>
        </w:rPr>
        <w:footnoteReference w:id="13"/>
      </w:r>
      <w:r>
        <w:t xml:space="preserve"> </w:t>
      </w:r>
    </w:p>
    <w:p w14:paraId="558FF9E8" w14:textId="77777777" w:rsidR="00306FA3" w:rsidRPr="00081B8A" w:rsidRDefault="00306FA3" w:rsidP="00C7560F">
      <w:pPr>
        <w:pStyle w:val="Heading2"/>
        <w:spacing w:before="240"/>
      </w:pPr>
      <w:bookmarkStart w:id="47" w:name="_Toc176344971"/>
      <w:r w:rsidRPr="00081B8A">
        <w:t>Coadministration</w:t>
      </w:r>
      <w:bookmarkEnd w:id="47"/>
      <w:r w:rsidRPr="00081B8A">
        <w:t xml:space="preserve"> </w:t>
      </w:r>
    </w:p>
    <w:p w14:paraId="6B187D9D" w14:textId="749FD0E9" w:rsidR="00D00D0B" w:rsidRPr="000A610C" w:rsidRDefault="00306FA3" w:rsidP="00FD36E4">
      <w:pPr>
        <w:spacing w:before="120"/>
        <w:rPr>
          <w:rFonts w:eastAsia="Arial" w:cs="Arial"/>
          <w:szCs w:val="21"/>
        </w:rPr>
      </w:pP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002C4114" w:rsidRPr="00D00D0B">
        <w:rPr>
          <w:rFonts w:eastAsia="Arial" w:cs="Arial"/>
          <w:szCs w:val="21"/>
        </w:rPr>
        <w:t xml:space="preserve"> </w:t>
      </w:r>
      <w:r w:rsidR="00196685">
        <w:rPr>
          <w:rFonts w:eastAsia="Arial" w:cs="Arial"/>
          <w:szCs w:val="21"/>
        </w:rPr>
        <w:t xml:space="preserve">is </w:t>
      </w:r>
      <w:r w:rsidR="002C4114" w:rsidRPr="00D00D0B">
        <w:rPr>
          <w:rFonts w:eastAsia="Arial" w:cs="Arial"/>
          <w:szCs w:val="21"/>
        </w:rPr>
        <w:t xml:space="preserve">a </w:t>
      </w:r>
      <w:bookmarkStart w:id="48" w:name="_Hlk118107923"/>
      <w:r w:rsidR="002C4114" w:rsidRPr="00ED352D">
        <w:rPr>
          <w:rFonts w:eastAsia="Arial" w:cs="Arial"/>
          <w:szCs w:val="21"/>
        </w:rPr>
        <w:t>non-replicating vaccine</w:t>
      </w:r>
      <w:r w:rsidR="002C4114" w:rsidRPr="00D00D0B">
        <w:rPr>
          <w:rFonts w:eastAsia="Arial" w:cs="Arial"/>
          <w:szCs w:val="21"/>
        </w:rPr>
        <w:t xml:space="preserve"> </w:t>
      </w:r>
      <w:bookmarkEnd w:id="48"/>
      <w:r w:rsidR="002C4114" w:rsidRPr="00D00D0B">
        <w:rPr>
          <w:rFonts w:eastAsia="Arial" w:cs="Arial"/>
          <w:szCs w:val="21"/>
        </w:rPr>
        <w:t xml:space="preserve">that </w:t>
      </w:r>
      <w:r w:rsidRPr="00D00D0B">
        <w:rPr>
          <w:rFonts w:eastAsia="Arial" w:cs="Arial"/>
          <w:szCs w:val="21"/>
        </w:rPr>
        <w:t xml:space="preserve">may be given at the same </w:t>
      </w:r>
      <w:r w:rsidRPr="000A610C">
        <w:rPr>
          <w:rFonts w:eastAsia="Arial" w:cs="Arial"/>
          <w:szCs w:val="21"/>
        </w:rPr>
        <w:t>time as other vaccines</w:t>
      </w:r>
      <w:r w:rsidR="002C4114" w:rsidRPr="000A610C">
        <w:rPr>
          <w:rFonts w:eastAsia="Arial" w:cs="Arial"/>
          <w:szCs w:val="21"/>
        </w:rPr>
        <w:t xml:space="preserve">, preferably at different anatomical sites. </w:t>
      </w:r>
    </w:p>
    <w:p w14:paraId="1D012660" w14:textId="1D1292AE" w:rsidR="00ED352D" w:rsidRPr="00ED352D" w:rsidRDefault="00ED352D" w:rsidP="00FD36E4">
      <w:pPr>
        <w:spacing w:before="120"/>
        <w:rPr>
          <w:rFonts w:cs="Arial"/>
          <w:color w:val="000000"/>
          <w:szCs w:val="21"/>
          <w:shd w:val="clear" w:color="auto" w:fill="FFFFFF"/>
          <w:vertAlign w:val="superscript"/>
        </w:rPr>
      </w:pPr>
      <w:r w:rsidRPr="00ED352D">
        <w:rPr>
          <w:rFonts w:cs="Arial"/>
          <w:shd w:val="clear" w:color="auto" w:fill="FFFFFF"/>
        </w:rPr>
        <w:t xml:space="preserve">If the timing of mpox vaccination is not urgent, consider administering </w:t>
      </w:r>
      <w:r w:rsidRPr="00ED352D">
        <w:rPr>
          <w:rFonts w:eastAsia="Arial" w:cs="Arial"/>
          <w:szCs w:val="21"/>
        </w:rPr>
        <w:t>JYNNEOS</w:t>
      </w:r>
      <w:r w:rsidRPr="00ED352D">
        <w:rPr>
          <w:rFonts w:eastAsia="Arial" w:cs="Arial"/>
          <w:szCs w:val="21"/>
          <w:vertAlign w:val="superscript"/>
        </w:rPr>
        <w:t xml:space="preserve">® </w:t>
      </w:r>
      <w:r w:rsidRPr="00ED352D">
        <w:rPr>
          <w:rFonts w:cs="Arial"/>
          <w:shd w:val="clear" w:color="auto" w:fill="FFFFFF"/>
        </w:rPr>
        <w:t>and mRNA COVID-19 vaccines 4 weeks apart to minimise incorrect attribution of any adverse events. This is particularly relevant for people who are in a higher risk group for myocarditis, such as young males. However, this is precautionary only. Recent recipients of an mRNA vaccine should not delay administration of PEPV or PPV if protection is urgent</w:t>
      </w:r>
      <w:r w:rsidRPr="00ED352D">
        <w:rPr>
          <w:rFonts w:cs="Arial"/>
          <w:color w:val="313131"/>
          <w:shd w:val="clear" w:color="auto" w:fill="FFFFFF"/>
        </w:rPr>
        <w:t>.</w:t>
      </w:r>
    </w:p>
    <w:p w14:paraId="0958935B" w14:textId="77777777" w:rsidR="00ED352D" w:rsidRDefault="00ED352D" w:rsidP="00FD36E4">
      <w:pPr>
        <w:spacing w:before="120"/>
        <w:rPr>
          <w:rFonts w:cs="Arial"/>
          <w:color w:val="313131"/>
          <w:shd w:val="clear" w:color="auto" w:fill="FFFFFF"/>
        </w:rPr>
      </w:pPr>
      <w:r w:rsidRPr="00ED352D">
        <w:rPr>
          <w:rFonts w:cs="Arial"/>
          <w:color w:val="313131"/>
          <w:shd w:val="clear" w:color="auto" w:fill="FFFFFF"/>
        </w:rPr>
        <w:t xml:space="preserve">There are no data on co-administration of </w:t>
      </w:r>
      <w:r w:rsidRPr="00ED352D">
        <w:rPr>
          <w:rFonts w:eastAsia="Arial" w:cs="Arial"/>
          <w:szCs w:val="21"/>
        </w:rPr>
        <w:t>JYNNEOS</w:t>
      </w:r>
      <w:r w:rsidRPr="00ED352D">
        <w:rPr>
          <w:rFonts w:eastAsia="Arial" w:cs="Arial"/>
          <w:szCs w:val="21"/>
          <w:vertAlign w:val="superscript"/>
        </w:rPr>
        <w:t xml:space="preserve">® </w:t>
      </w:r>
      <w:r w:rsidRPr="00ED352D">
        <w:rPr>
          <w:rFonts w:cs="Arial"/>
          <w:color w:val="313131"/>
          <w:shd w:val="clear" w:color="auto" w:fill="FFFFFF"/>
        </w:rPr>
        <w:t xml:space="preserve">mpox vaccine, but inactivated (or non-replicating) vaccines can generally be co-administered safely with other vaccines. There may be a theoretical risk of an attenuated immune response due to vaccine interference with other live vaccines. </w:t>
      </w:r>
    </w:p>
    <w:p w14:paraId="00DF2559" w14:textId="215081FA" w:rsidR="00ED352D" w:rsidRPr="00ED352D" w:rsidRDefault="00ED352D" w:rsidP="00FD36E4">
      <w:pPr>
        <w:spacing w:before="120"/>
        <w:rPr>
          <w:rFonts w:cs="Arial"/>
          <w:color w:val="000000"/>
          <w:szCs w:val="21"/>
          <w:shd w:val="clear" w:color="auto" w:fill="FFFFFF"/>
        </w:rPr>
      </w:pPr>
      <w:r w:rsidRPr="00ED352D">
        <w:rPr>
          <w:rFonts w:cs="Arial"/>
          <w:color w:val="313131"/>
          <w:shd w:val="clear" w:color="auto" w:fill="FFFFFF"/>
        </w:rPr>
        <w:t>However, if a person has recently received another </w:t>
      </w:r>
      <w:r w:rsidRPr="00ED352D">
        <w:rPr>
          <w:rFonts w:cs="Arial"/>
          <w:shd w:val="clear" w:color="auto" w:fill="FFFFFF"/>
        </w:rPr>
        <w:t>live vaccine</w:t>
      </w:r>
      <w:r w:rsidRPr="00ED352D">
        <w:rPr>
          <w:rFonts w:cs="Arial"/>
          <w:color w:val="313131"/>
          <w:shd w:val="clear" w:color="auto" w:fill="FFFFFF"/>
        </w:rPr>
        <w:t> and they are recommended to receive mpox vaccine, they should receive MVA-BN for disease prevention. Similarly, if a person has recently received mpox vaccine, they can receive another </w:t>
      </w:r>
      <w:r w:rsidRPr="00ED352D">
        <w:rPr>
          <w:rFonts w:cs="Arial"/>
          <w:shd w:val="clear" w:color="auto" w:fill="FFFFFF"/>
        </w:rPr>
        <w:t>live vaccine </w:t>
      </w:r>
      <w:r w:rsidRPr="00ED352D">
        <w:rPr>
          <w:rFonts w:cs="Arial"/>
          <w:color w:val="313131"/>
          <w:shd w:val="clear" w:color="auto" w:fill="FFFFFF"/>
        </w:rPr>
        <w:t>if recommended.</w:t>
      </w:r>
    </w:p>
    <w:p w14:paraId="6DC8A767" w14:textId="7643EA01" w:rsidR="00306FA3" w:rsidRPr="000B0A35" w:rsidRDefault="00A20BD5" w:rsidP="00FD36E4">
      <w:pPr>
        <w:spacing w:before="120" w:line="288" w:lineRule="auto"/>
        <w:rPr>
          <w:szCs w:val="21"/>
        </w:rPr>
      </w:pPr>
      <w:r w:rsidRPr="000B0A35">
        <w:rPr>
          <w:szCs w:val="21"/>
        </w:rPr>
        <w:t xml:space="preserve">People should consult their GP for an assessment to determine any increased risk for myocarditis and/or pericarditis and recommendation to delay administration of </w:t>
      </w:r>
      <w:r w:rsidRPr="000B0A35">
        <w:rPr>
          <w:rFonts w:eastAsia="Calibri" w:cs="Arial"/>
          <w:szCs w:val="21"/>
        </w:rPr>
        <w:t>JYNNEOS</w:t>
      </w:r>
      <w:r w:rsidRPr="000B0A35">
        <w:rPr>
          <w:rFonts w:eastAsia="Calibri" w:cs="Arial"/>
          <w:szCs w:val="21"/>
          <w:vertAlign w:val="superscript"/>
        </w:rPr>
        <w:t>®</w:t>
      </w:r>
      <w:r w:rsidR="0064250A" w:rsidRPr="000B0A35">
        <w:rPr>
          <w:rFonts w:eastAsia="Calibri" w:cs="Arial"/>
          <w:szCs w:val="21"/>
          <w:vertAlign w:val="superscript"/>
        </w:rPr>
        <w:t xml:space="preserve"> </w:t>
      </w:r>
      <w:r w:rsidR="0064250A" w:rsidRPr="000B0A35">
        <w:rPr>
          <w:rFonts w:eastAsia="Calibri" w:cs="Arial"/>
          <w:szCs w:val="21"/>
        </w:rPr>
        <w:t>or</w:t>
      </w:r>
      <w:r w:rsidR="00964027" w:rsidRPr="000B0A35">
        <w:rPr>
          <w:rFonts w:eastAsia="Calibri" w:cs="Arial"/>
          <w:szCs w:val="21"/>
        </w:rPr>
        <w:t xml:space="preserve"> COVID-19 vaccines. </w:t>
      </w:r>
    </w:p>
    <w:p w14:paraId="4FD639B9" w14:textId="22155820" w:rsidR="00306FA3" w:rsidRPr="003D3589" w:rsidRDefault="00964027" w:rsidP="3396044C">
      <w:pPr>
        <w:spacing w:before="120" w:line="288" w:lineRule="auto"/>
        <w:rPr>
          <w:szCs w:val="21"/>
          <w:vertAlign w:val="superscript"/>
        </w:rPr>
      </w:pPr>
      <w:r w:rsidRPr="000B0A35">
        <w:rPr>
          <w:szCs w:val="21"/>
        </w:rPr>
        <w:t>Any</w:t>
      </w:r>
      <w:r w:rsidR="00306FA3" w:rsidRPr="000B0A35">
        <w:rPr>
          <w:szCs w:val="21"/>
        </w:rPr>
        <w:t xml:space="preserve"> decision to delay administration should be balanced against the need for earlier protection and the potential to miss an opportunity to vaccinate</w:t>
      </w:r>
      <w:r w:rsidR="000F47E3">
        <w:rPr>
          <w:szCs w:val="21"/>
        </w:rPr>
        <w:t>.</w:t>
      </w:r>
    </w:p>
    <w:p w14:paraId="68714499" w14:textId="77777777" w:rsidR="00306FA3" w:rsidRPr="00376303" w:rsidRDefault="00306FA3" w:rsidP="00306FA3">
      <w:pPr>
        <w:pStyle w:val="Heading2"/>
      </w:pPr>
      <w:bookmarkStart w:id="49" w:name="_Toc176344972"/>
      <w:r w:rsidRPr="00376303">
        <w:t>Completing schedules commenced overseas</w:t>
      </w:r>
      <w:bookmarkEnd w:id="49"/>
    </w:p>
    <w:p w14:paraId="79BB1232" w14:textId="77777777" w:rsidR="00597F01" w:rsidRDefault="00306FA3" w:rsidP="001D16F5">
      <w:pPr>
        <w:pStyle w:val="BodyText"/>
        <w:spacing w:before="120" w:after="120" w:line="288" w:lineRule="auto"/>
        <w:rPr>
          <w:rFonts w:ascii="Arial" w:eastAsia="Calibri" w:hAnsi="Arial" w:cs="Arial"/>
          <w:sz w:val="21"/>
          <w:szCs w:val="21"/>
        </w:rPr>
      </w:pPr>
      <w:r w:rsidRPr="00231321">
        <w:rPr>
          <w:rFonts w:ascii="Arial" w:eastAsia="Calibri" w:hAnsi="Arial" w:cs="Arial"/>
          <w:sz w:val="21"/>
          <w:szCs w:val="21"/>
        </w:rPr>
        <w:t>People who have received one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 xml:space="preserve"> (or equivalent vaccine) overseas should wait at least 28 days before they get a second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w:t>
      </w:r>
    </w:p>
    <w:p w14:paraId="56A7DC4E" w14:textId="71F79F45" w:rsidR="00766651" w:rsidRPr="00A21215" w:rsidRDefault="00766651" w:rsidP="00D92324">
      <w:pPr>
        <w:pStyle w:val="BodyText"/>
        <w:spacing w:before="360" w:after="120" w:line="288" w:lineRule="auto"/>
      </w:pPr>
      <w:bookmarkStart w:id="50" w:name="_Toc176344973"/>
      <w:r w:rsidRPr="00A21215">
        <w:rPr>
          <w:rStyle w:val="Heading2Char"/>
        </w:rPr>
        <w:t xml:space="preserve">Vaccine </w:t>
      </w:r>
      <w:r w:rsidR="00C96001">
        <w:rPr>
          <w:rStyle w:val="Heading2Char"/>
        </w:rPr>
        <w:t>a</w:t>
      </w:r>
      <w:r w:rsidRPr="00A21215">
        <w:rPr>
          <w:rStyle w:val="Heading2Char"/>
        </w:rPr>
        <w:t xml:space="preserve">dministration </w:t>
      </w:r>
      <w:r w:rsidR="00597F01">
        <w:rPr>
          <w:rStyle w:val="Heading2Char"/>
        </w:rPr>
        <w:t>e</w:t>
      </w:r>
      <w:r w:rsidRPr="00A21215">
        <w:rPr>
          <w:rStyle w:val="Heading2Char"/>
        </w:rPr>
        <w:t>rrors</w:t>
      </w:r>
      <w:bookmarkEnd w:id="50"/>
      <w:r w:rsidRPr="00A21215">
        <w:rPr>
          <w:rStyle w:val="Heading2Char"/>
        </w:rPr>
        <w:t xml:space="preserve"> </w:t>
      </w:r>
    </w:p>
    <w:p w14:paraId="28717C61" w14:textId="0D896492" w:rsidR="00FE09A9" w:rsidRPr="00A21215" w:rsidRDefault="00766651" w:rsidP="001D16F5">
      <w:pPr>
        <w:pStyle w:val="DJCSbody"/>
        <w:spacing w:before="120" w:line="288" w:lineRule="auto"/>
        <w:rPr>
          <w:sz w:val="21"/>
          <w:szCs w:val="21"/>
        </w:rPr>
      </w:pPr>
      <w:r w:rsidRPr="00A21215">
        <w:rPr>
          <w:sz w:val="21"/>
          <w:szCs w:val="21"/>
        </w:rPr>
        <w:t>Interim recommendations for JYNNEOS</w:t>
      </w:r>
      <w:r w:rsidR="006021A7" w:rsidRPr="00231321">
        <w:rPr>
          <w:rFonts w:eastAsia="Calibri" w:cs="Arial"/>
          <w:sz w:val="21"/>
          <w:szCs w:val="21"/>
          <w:vertAlign w:val="superscript"/>
        </w:rPr>
        <w:t>®</w:t>
      </w:r>
      <w:r w:rsidRPr="00A21215">
        <w:rPr>
          <w:sz w:val="21"/>
          <w:szCs w:val="21"/>
        </w:rPr>
        <w:t xml:space="preserve"> vaccine administration errors and deviations</w:t>
      </w:r>
      <w:r w:rsidR="004F2CFD">
        <w:rPr>
          <w:sz w:val="21"/>
          <w:szCs w:val="21"/>
        </w:rPr>
        <w:t xml:space="preserve">, reporting and management </w:t>
      </w:r>
      <w:r w:rsidR="000D2B9B">
        <w:rPr>
          <w:sz w:val="21"/>
          <w:szCs w:val="21"/>
        </w:rPr>
        <w:t xml:space="preserve">are available in the </w:t>
      </w:r>
      <w:hyperlink w:anchor="_Adverse_Events_Following" w:history="1">
        <w:r w:rsidR="00E839A4" w:rsidRPr="00061DFC">
          <w:rPr>
            <w:rStyle w:val="Hyperlink"/>
            <w:sz w:val="21"/>
            <w:szCs w:val="21"/>
          </w:rPr>
          <w:t>vaccine errors</w:t>
        </w:r>
      </w:hyperlink>
      <w:r w:rsidR="00293E12" w:rsidRPr="00E839A4">
        <w:rPr>
          <w:sz w:val="21"/>
          <w:szCs w:val="21"/>
        </w:rPr>
        <w:t xml:space="preserve"> </w:t>
      </w:r>
      <w:r w:rsidR="000D2B9B">
        <w:rPr>
          <w:sz w:val="21"/>
          <w:szCs w:val="21"/>
        </w:rPr>
        <w:t xml:space="preserve">section of these guidelines. </w:t>
      </w:r>
    </w:p>
    <w:p w14:paraId="31D586A0" w14:textId="77777777" w:rsidR="00EE6706" w:rsidRPr="007D7C8F" w:rsidRDefault="00EE6706" w:rsidP="007D7C8F">
      <w:pPr>
        <w:pStyle w:val="DJCSbody"/>
      </w:pPr>
    </w:p>
    <w:p w14:paraId="6891BF1E" w14:textId="3733DDB2" w:rsidR="00077DBB" w:rsidRPr="00B3292D" w:rsidRDefault="00513405" w:rsidP="00B3292D">
      <w:pPr>
        <w:spacing w:after="0" w:line="240" w:lineRule="auto"/>
        <w:rPr>
          <w:rStyle w:val="Heading1Char"/>
          <w:bCs w:val="0"/>
        </w:rPr>
      </w:pPr>
      <w:bookmarkStart w:id="51" w:name="_Toc1222883788"/>
      <w:bookmarkStart w:id="52" w:name="_Toc110581208"/>
      <w:bookmarkStart w:id="53" w:name="_Toc112154556"/>
      <w:bookmarkStart w:id="54" w:name="_Toc112315623"/>
      <w:r>
        <w:rPr>
          <w:rStyle w:val="Heading1Char"/>
          <w:b/>
        </w:rPr>
        <w:br w:type="page"/>
      </w:r>
      <w:bookmarkStart w:id="55" w:name="_Toc176344974"/>
      <w:r w:rsidR="00077DBB" w:rsidRPr="00B3292D">
        <w:rPr>
          <w:rStyle w:val="Heading1Char"/>
          <w:bCs w:val="0"/>
        </w:rPr>
        <w:t>Vaccine Logistics</w:t>
      </w:r>
      <w:bookmarkStart w:id="56" w:name="_Logistics"/>
      <w:bookmarkEnd w:id="51"/>
      <w:bookmarkEnd w:id="52"/>
      <w:bookmarkEnd w:id="53"/>
      <w:bookmarkEnd w:id="54"/>
      <w:bookmarkEnd w:id="55"/>
      <w:bookmarkEnd w:id="56"/>
    </w:p>
    <w:p w14:paraId="3A5DCFBE" w14:textId="6E8E37A1" w:rsidR="00077DBB" w:rsidRPr="006F1A2A" w:rsidRDefault="00077DBB" w:rsidP="001627ED">
      <w:pPr>
        <w:pStyle w:val="Body"/>
        <w:spacing w:before="120" w:line="288" w:lineRule="auto"/>
      </w:pPr>
      <w:r w:rsidRPr="006F1A2A">
        <w:t xml:space="preserve">This section provides information specific to </w:t>
      </w:r>
      <w:r>
        <w:t>the presentation</w:t>
      </w:r>
      <w:r w:rsidRPr="006F1A2A">
        <w:t xml:space="preserve"> and storage for </w:t>
      </w:r>
      <w:r w:rsidRPr="00966123">
        <w:rPr>
          <w:rFonts w:cs="Arial"/>
        </w:rPr>
        <w:t xml:space="preserve">the </w:t>
      </w:r>
      <w:r w:rsidRPr="00966123">
        <w:rPr>
          <w:rFonts w:eastAsia="Calibri" w:cs="Arial"/>
          <w:sz w:val="22"/>
          <w:szCs w:val="22"/>
          <w:lang w:val="en-US"/>
        </w:rPr>
        <w:t>JYNNEOS</w:t>
      </w:r>
      <w:r w:rsidRPr="00966123">
        <w:rPr>
          <w:rFonts w:eastAsia="Times New Roman" w:cs="Arial"/>
          <w:color w:val="313131"/>
          <w:vertAlign w:val="superscript"/>
          <w:lang w:eastAsia="en-AU"/>
        </w:rPr>
        <w:t>®</w:t>
      </w:r>
      <w:r w:rsidRPr="00966123">
        <w:rPr>
          <w:rFonts w:cs="Arial"/>
        </w:rPr>
        <w:t xml:space="preserve"> (Bavarian Nordic</w:t>
      </w:r>
      <w:r w:rsidRPr="006F1A2A">
        <w:t xml:space="preserve">) </w:t>
      </w:r>
      <w:r w:rsidR="00A17F7F">
        <w:t>m</w:t>
      </w:r>
      <w:r w:rsidRPr="006F1A2A">
        <w:t xml:space="preserve">pox vaccine.  </w:t>
      </w:r>
    </w:p>
    <w:p w14:paraId="3BF790CD" w14:textId="4C33BA36" w:rsidR="00077DBB" w:rsidRDefault="00077DBB" w:rsidP="00C9677E">
      <w:pPr>
        <w:pStyle w:val="Heading2"/>
      </w:pPr>
      <w:bookmarkStart w:id="57" w:name="_Toc112154557"/>
      <w:bookmarkStart w:id="58" w:name="_Toc112315624"/>
      <w:bookmarkStart w:id="59" w:name="_Toc176344975"/>
      <w:r>
        <w:t>Presentation</w:t>
      </w:r>
      <w:bookmarkEnd w:id="57"/>
      <w:bookmarkEnd w:id="58"/>
      <w:bookmarkEnd w:id="59"/>
    </w:p>
    <w:p w14:paraId="4D65BC4F" w14:textId="0C1A3E9A" w:rsidR="00A82EF3" w:rsidRPr="000D4DEB" w:rsidRDefault="00A82EF3" w:rsidP="00A82EF3">
      <w:pPr>
        <w:pStyle w:val="Body"/>
        <w:rPr>
          <w:b/>
          <w:bCs/>
          <w:sz w:val="20"/>
        </w:rPr>
      </w:pPr>
      <w:r w:rsidRPr="000D4DEB">
        <w:rPr>
          <w:b/>
          <w:bCs/>
          <w:sz w:val="20"/>
        </w:rPr>
        <w:t xml:space="preserve">Figure 1 </w:t>
      </w:r>
      <w:r w:rsidR="00B96D08">
        <w:rPr>
          <w:b/>
          <w:bCs/>
          <w:sz w:val="20"/>
        </w:rPr>
        <w:t>–</w:t>
      </w:r>
      <w:r w:rsidR="00E36814" w:rsidRPr="000D4DEB">
        <w:rPr>
          <w:b/>
          <w:bCs/>
          <w:sz w:val="20"/>
        </w:rPr>
        <w:t xml:space="preserve"> </w:t>
      </w:r>
      <w:r w:rsidR="00E36814" w:rsidRPr="000D4DEB">
        <w:rPr>
          <w:rFonts w:eastAsia="Calibri" w:cs="Arial"/>
          <w:b/>
          <w:bCs/>
          <w:sz w:val="20"/>
          <w:lang w:val="en-US"/>
        </w:rPr>
        <w:t>JYNNEOS</w:t>
      </w:r>
      <w:r w:rsidR="00E36814" w:rsidRPr="000D4DEB">
        <w:rPr>
          <w:rFonts w:cs="Arial"/>
          <w:b/>
          <w:bCs/>
          <w:color w:val="313131"/>
          <w:sz w:val="20"/>
          <w:vertAlign w:val="superscript"/>
          <w:lang w:eastAsia="en-AU"/>
        </w:rPr>
        <w:t xml:space="preserve">® </w:t>
      </w:r>
      <w:r w:rsidR="00E36814" w:rsidRPr="000D4DEB">
        <w:rPr>
          <w:rFonts w:cs="Arial"/>
          <w:b/>
          <w:bCs/>
          <w:sz w:val="20"/>
          <w:lang w:eastAsia="en-AU"/>
        </w:rPr>
        <w:t>vaccine presentation</w:t>
      </w:r>
    </w:p>
    <w:p w14:paraId="237AEE14" w14:textId="77777777" w:rsidR="00077DBB" w:rsidRDefault="00077DBB" w:rsidP="00077DBB">
      <w:pPr>
        <w:spacing w:after="0" w:line="240" w:lineRule="auto"/>
        <w:textAlignment w:val="baseline"/>
        <w:rPr>
          <w:rFonts w:eastAsia="SimSun" w:cs="Arial"/>
          <w:szCs w:val="21"/>
          <w:lang w:eastAsia="en-AU"/>
        </w:rPr>
      </w:pPr>
      <w:r>
        <w:rPr>
          <w:noProof/>
        </w:rPr>
        <w:drawing>
          <wp:inline distT="0" distB="0" distL="0" distR="0" wp14:anchorId="3BFCA37F" wp14:editId="6B59860C">
            <wp:extent cx="1242253" cy="1883410"/>
            <wp:effectExtent l="0" t="0" r="0" b="2540"/>
            <wp:docPr id="10" name="Picture 10" descr="JYNNEOS vaccine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JYNNEOS vaccine vial"/>
                    <pic:cNvPicPr/>
                  </pic:nvPicPr>
                  <pic:blipFill>
                    <a:blip r:embed="rId22">
                      <a:extLst>
                        <a:ext uri="{28A0092B-C50C-407E-A947-70E740481C1C}">
                          <a14:useLocalDpi xmlns:a14="http://schemas.microsoft.com/office/drawing/2010/main" val="0"/>
                        </a:ext>
                      </a:extLst>
                    </a:blip>
                    <a:stretch>
                      <a:fillRect/>
                    </a:stretch>
                  </pic:blipFill>
                  <pic:spPr>
                    <a:xfrm>
                      <a:off x="0" y="0"/>
                      <a:ext cx="1253604" cy="1900619"/>
                    </a:xfrm>
                    <a:prstGeom prst="rect">
                      <a:avLst/>
                    </a:prstGeom>
                  </pic:spPr>
                </pic:pic>
              </a:graphicData>
            </a:graphic>
          </wp:inline>
        </w:drawing>
      </w:r>
      <w:r>
        <w:rPr>
          <w:noProof/>
        </w:rPr>
        <w:drawing>
          <wp:inline distT="0" distB="0" distL="0" distR="0" wp14:anchorId="6B80EE23" wp14:editId="3158D2C0">
            <wp:extent cx="4468969" cy="1896745"/>
            <wp:effectExtent l="0" t="0" r="8255" b="8255"/>
            <wp:docPr id="407849497" name="Picture 407849497" descr="Image of JYNEEOS package of 20 vi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9497" name="Picture 2" descr="Image of JYNEEOS package of 20 vials">
                      <a:extLst>
                        <a:ext uri="{C183D7F6-B498-43B3-948B-1728B52AA6E4}">
                          <adec:decorative xmlns:adec="http://schemas.microsoft.com/office/drawing/2017/decorative" val="0"/>
                        </a:ext>
                      </a:extLst>
                    </pic:cNvPr>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4486463" cy="1904170"/>
                    </a:xfrm>
                    <a:prstGeom prst="rect">
                      <a:avLst/>
                    </a:prstGeom>
                  </pic:spPr>
                </pic:pic>
              </a:graphicData>
            </a:graphic>
          </wp:inline>
        </w:drawing>
      </w:r>
    </w:p>
    <w:p w14:paraId="3E0C346E" w14:textId="77777777" w:rsidR="00077DBB" w:rsidRPr="009A2E34" w:rsidRDefault="00077DBB" w:rsidP="00077DBB">
      <w:pPr>
        <w:spacing w:after="0" w:line="240" w:lineRule="auto"/>
        <w:textAlignment w:val="baseline"/>
        <w:rPr>
          <w:rFonts w:ascii="Segoe UI" w:hAnsi="Segoe UI" w:cs="Segoe UI"/>
          <w:color w:val="53565A"/>
          <w:sz w:val="18"/>
          <w:szCs w:val="18"/>
          <w:lang w:eastAsia="en-AU"/>
        </w:rPr>
      </w:pPr>
    </w:p>
    <w:p w14:paraId="75443E84" w14:textId="03E4E12E" w:rsidR="00077DBB" w:rsidRPr="00966123" w:rsidRDefault="00077DBB" w:rsidP="00540114">
      <w:pPr>
        <w:spacing w:before="120" w:after="0" w:line="288" w:lineRule="auto"/>
        <w:textAlignment w:val="baseline"/>
        <w:rPr>
          <w:rFonts w:cs="Arial"/>
          <w:szCs w:val="21"/>
          <w:lang w:eastAsia="en-AU"/>
        </w:rPr>
      </w:pPr>
      <w:r w:rsidRPr="00966123">
        <w:rPr>
          <w:rFonts w:eastAsia="Calibri" w:cs="Arial"/>
          <w:szCs w:val="21"/>
          <w:lang w:val="en-US"/>
        </w:rPr>
        <w:t>JYNNEOS</w:t>
      </w:r>
      <w:r w:rsidRPr="00966123">
        <w:rPr>
          <w:rFonts w:cs="Arial"/>
          <w:color w:val="313131"/>
          <w:szCs w:val="21"/>
          <w:vertAlign w:val="superscript"/>
          <w:lang w:eastAsia="en-AU"/>
        </w:rPr>
        <w:t>®</w:t>
      </w:r>
      <w:r w:rsidR="00991E22">
        <w:rPr>
          <w:rFonts w:cs="Arial"/>
          <w:color w:val="313131"/>
          <w:szCs w:val="21"/>
          <w:vertAlign w:val="superscript"/>
          <w:lang w:eastAsia="en-AU"/>
        </w:rPr>
        <w:t xml:space="preserve"> </w:t>
      </w:r>
      <w:r w:rsidR="00991E22">
        <w:rPr>
          <w:rFonts w:cs="Arial"/>
          <w:szCs w:val="21"/>
          <w:lang w:eastAsia="en-AU"/>
        </w:rPr>
        <w:t xml:space="preserve">vaccine </w:t>
      </w:r>
      <w:r w:rsidR="00E973BB">
        <w:rPr>
          <w:rFonts w:cs="Arial"/>
          <w:szCs w:val="21"/>
          <w:lang w:eastAsia="en-AU"/>
        </w:rPr>
        <w:t xml:space="preserve">vial contains </w:t>
      </w:r>
      <w:r w:rsidR="00D76D5D" w:rsidRPr="004C1343">
        <w:rPr>
          <w:rFonts w:cs="Arial"/>
          <w:szCs w:val="21"/>
          <w:lang w:eastAsia="en-AU"/>
        </w:rPr>
        <w:t>0.5 mL</w:t>
      </w:r>
      <w:r w:rsidR="00D76D5D">
        <w:rPr>
          <w:rFonts w:cs="Arial"/>
          <w:szCs w:val="21"/>
          <w:lang w:eastAsia="en-AU"/>
        </w:rPr>
        <w:t xml:space="preserve"> suspension</w:t>
      </w:r>
      <w:r w:rsidR="00D76D5D" w:rsidRPr="00966123" w:rsidDel="00D76D5D">
        <w:rPr>
          <w:rFonts w:cs="Arial"/>
          <w:szCs w:val="21"/>
          <w:lang w:eastAsia="en-AU"/>
        </w:rPr>
        <w:t xml:space="preserve"> </w:t>
      </w:r>
      <w:r w:rsidRPr="00966123">
        <w:rPr>
          <w:rFonts w:cs="Arial"/>
          <w:szCs w:val="21"/>
          <w:lang w:eastAsia="en-AU"/>
        </w:rPr>
        <w:t xml:space="preserve">for injection. </w:t>
      </w:r>
    </w:p>
    <w:p w14:paraId="0B595705" w14:textId="2C045242" w:rsidR="00077DBB" w:rsidRPr="00966123" w:rsidRDefault="00077DBB" w:rsidP="00FC135D">
      <w:pPr>
        <w:spacing w:after="0" w:line="288" w:lineRule="auto"/>
        <w:textAlignment w:val="baseline"/>
        <w:rPr>
          <w:rFonts w:cs="Arial"/>
          <w:szCs w:val="21"/>
          <w:lang w:eastAsia="en-AU"/>
        </w:rPr>
      </w:pPr>
      <w:r w:rsidRPr="009A2E34">
        <w:rPr>
          <w:rFonts w:cs="Arial"/>
          <w:szCs w:val="21"/>
          <w:lang w:eastAsia="en-AU"/>
        </w:rPr>
        <w:t xml:space="preserve">There are </w:t>
      </w:r>
      <w:r w:rsidRPr="00DE3161">
        <w:rPr>
          <w:rFonts w:cs="Arial"/>
          <w:b/>
          <w:bCs/>
          <w:szCs w:val="21"/>
          <w:lang w:eastAsia="en-AU"/>
        </w:rPr>
        <w:t>20 vials per pack</w:t>
      </w:r>
      <w:r w:rsidRPr="009A2E34">
        <w:rPr>
          <w:rFonts w:cs="Arial"/>
          <w:szCs w:val="21"/>
          <w:lang w:eastAsia="en-AU"/>
        </w:rPr>
        <w:t xml:space="preserve">. The pack dimensions </w:t>
      </w:r>
      <w:r w:rsidR="007D5952" w:rsidRPr="009A2E34">
        <w:rPr>
          <w:rFonts w:cs="Arial"/>
          <w:szCs w:val="21"/>
          <w:lang w:eastAsia="en-AU"/>
        </w:rPr>
        <w:t>are</w:t>
      </w:r>
      <w:r w:rsidRPr="009A2E34">
        <w:rPr>
          <w:rFonts w:cs="Arial"/>
          <w:szCs w:val="21"/>
          <w:lang w:eastAsia="en-AU"/>
        </w:rPr>
        <w:t xml:space="preserve"> L: 9.8 x W: 12.90 x H: 4.7 cm.</w:t>
      </w:r>
    </w:p>
    <w:p w14:paraId="7D6C213F" w14:textId="122A7891" w:rsidR="00077DBB" w:rsidRPr="00966123" w:rsidRDefault="00077DBB" w:rsidP="00FC135D">
      <w:pPr>
        <w:spacing w:after="0" w:line="288" w:lineRule="auto"/>
        <w:textAlignment w:val="baseline"/>
        <w:rPr>
          <w:rFonts w:cs="Arial"/>
          <w:szCs w:val="21"/>
          <w:lang w:eastAsia="en-AU"/>
        </w:rPr>
      </w:pPr>
      <w:r w:rsidRPr="00966123">
        <w:rPr>
          <w:rFonts w:cs="Arial"/>
          <w:szCs w:val="21"/>
          <w:lang w:eastAsia="en-AU"/>
        </w:rPr>
        <w:t>When thawed, JYNNEOS</w:t>
      </w:r>
      <w:r w:rsidRPr="00966123">
        <w:rPr>
          <w:rFonts w:cs="Arial"/>
          <w:szCs w:val="21"/>
          <w:vertAlign w:val="superscript"/>
          <w:lang w:eastAsia="en-AU"/>
        </w:rPr>
        <w:t xml:space="preserve"> ®</w:t>
      </w:r>
      <w:r w:rsidRPr="00966123">
        <w:rPr>
          <w:rFonts w:cs="Arial"/>
          <w:szCs w:val="21"/>
          <w:lang w:eastAsia="en-AU"/>
        </w:rPr>
        <w:t xml:space="preserve"> </w:t>
      </w:r>
      <w:r w:rsidR="00E973BB">
        <w:rPr>
          <w:rFonts w:cs="Arial"/>
          <w:szCs w:val="21"/>
          <w:lang w:eastAsia="en-AU"/>
        </w:rPr>
        <w:t xml:space="preserve">vaccine is </w:t>
      </w:r>
      <w:r w:rsidRPr="00966123">
        <w:rPr>
          <w:rFonts w:cs="Arial"/>
          <w:szCs w:val="21"/>
          <w:lang w:eastAsia="en-AU"/>
        </w:rPr>
        <w:t>a milky, light yellow to pale white coloured suspension.</w:t>
      </w:r>
    </w:p>
    <w:p w14:paraId="38446433" w14:textId="77777777" w:rsidR="00077DBB" w:rsidRPr="009A2E34" w:rsidRDefault="00077DBB" w:rsidP="00C9677E">
      <w:pPr>
        <w:pStyle w:val="Heading2"/>
        <w:rPr>
          <w:rFonts w:ascii="Segoe UI" w:hAnsi="Segoe UI" w:cs="Segoe UI"/>
          <w:sz w:val="18"/>
          <w:szCs w:val="18"/>
        </w:rPr>
      </w:pPr>
      <w:bookmarkStart w:id="60" w:name="_Toc112154558"/>
      <w:bookmarkStart w:id="61" w:name="_Toc112315625"/>
      <w:bookmarkStart w:id="62" w:name="_Toc176344976"/>
      <w:r w:rsidRPr="004C1343">
        <w:t>Storage</w:t>
      </w:r>
      <w:bookmarkEnd w:id="60"/>
      <w:bookmarkEnd w:id="61"/>
      <w:bookmarkEnd w:id="62"/>
    </w:p>
    <w:p w14:paraId="32C4CB2D" w14:textId="3975CED3" w:rsidR="00077DBB" w:rsidRPr="00DC02BF" w:rsidRDefault="00077DBB" w:rsidP="00AA0F0F">
      <w:pPr>
        <w:spacing w:line="288" w:lineRule="auto"/>
        <w:textAlignment w:val="baseline"/>
        <w:rPr>
          <w:rFonts w:cs="Arial"/>
          <w:szCs w:val="21"/>
          <w:lang w:eastAsia="en-AU"/>
        </w:rPr>
      </w:pPr>
      <w:r w:rsidRPr="009A2E34">
        <w:rPr>
          <w:rFonts w:cs="Arial"/>
          <w:szCs w:val="21"/>
          <w:lang w:eastAsia="en-AU"/>
        </w:rPr>
        <w:t>JYNNEOS</w:t>
      </w:r>
      <w:r w:rsidRPr="009A2E34">
        <w:rPr>
          <w:rFonts w:cs="Arial"/>
          <w:szCs w:val="21"/>
          <w:vertAlign w:val="superscript"/>
          <w:lang w:eastAsia="en-AU"/>
        </w:rPr>
        <w:t>®</w:t>
      </w:r>
      <w:r w:rsidRPr="009A2E34">
        <w:rPr>
          <w:rFonts w:cs="Arial"/>
          <w:szCs w:val="21"/>
          <w:lang w:eastAsia="en-AU"/>
        </w:rPr>
        <w:t xml:space="preserve"> </w:t>
      </w:r>
      <w:r w:rsidR="00E04A43">
        <w:rPr>
          <w:rFonts w:cs="Arial"/>
          <w:szCs w:val="21"/>
          <w:lang w:eastAsia="en-AU"/>
        </w:rPr>
        <w:t xml:space="preserve">mpox </w:t>
      </w:r>
      <w:r w:rsidR="00E973BB">
        <w:rPr>
          <w:rFonts w:cs="Arial"/>
          <w:szCs w:val="21"/>
          <w:lang w:eastAsia="en-AU"/>
        </w:rPr>
        <w:t xml:space="preserve">vaccine is </w:t>
      </w:r>
      <w:r w:rsidRPr="00E52161">
        <w:rPr>
          <w:rFonts w:cs="Arial"/>
          <w:b/>
          <w:szCs w:val="21"/>
          <w:lang w:eastAsia="en-AU"/>
        </w:rPr>
        <w:t>light sensitive</w:t>
      </w:r>
      <w:r w:rsidRPr="009A52A4">
        <w:rPr>
          <w:rFonts w:cs="Arial"/>
          <w:szCs w:val="21"/>
          <w:lang w:eastAsia="en-AU"/>
        </w:rPr>
        <w:t>. S</w:t>
      </w:r>
      <w:r w:rsidRPr="00DC02BF">
        <w:rPr>
          <w:rFonts w:cs="Arial"/>
          <w:szCs w:val="21"/>
          <w:lang w:eastAsia="en-AU"/>
        </w:rPr>
        <w:t xml:space="preserve">tore </w:t>
      </w:r>
      <w:r w:rsidRPr="009A52A4">
        <w:rPr>
          <w:rFonts w:cs="Arial"/>
          <w:szCs w:val="21"/>
          <w:lang w:eastAsia="en-AU"/>
        </w:rPr>
        <w:t xml:space="preserve">the </w:t>
      </w:r>
      <w:r w:rsidRPr="00DC02BF">
        <w:rPr>
          <w:rFonts w:cs="Arial"/>
          <w:szCs w:val="21"/>
          <w:lang w:eastAsia="en-AU"/>
        </w:rPr>
        <w:t xml:space="preserve">vaccine in the original packaging to protect </w:t>
      </w:r>
      <w:r w:rsidR="00E973BB">
        <w:rPr>
          <w:rFonts w:cs="Arial"/>
          <w:szCs w:val="21"/>
          <w:lang w:eastAsia="en-AU"/>
        </w:rPr>
        <w:t>the contents</w:t>
      </w:r>
      <w:r w:rsidR="00D76D5D">
        <w:rPr>
          <w:rFonts w:cs="Arial"/>
          <w:szCs w:val="21"/>
          <w:lang w:eastAsia="en-AU"/>
        </w:rPr>
        <w:t>.</w:t>
      </w:r>
    </w:p>
    <w:p w14:paraId="42B33E3C" w14:textId="743ABCB9" w:rsidR="00077DBB" w:rsidRPr="00DC02BF" w:rsidRDefault="00077DBB" w:rsidP="00AA0F0F">
      <w:pPr>
        <w:spacing w:line="288" w:lineRule="auto"/>
        <w:textAlignment w:val="baseline"/>
        <w:rPr>
          <w:rFonts w:cs="Arial"/>
          <w:szCs w:val="21"/>
          <w:lang w:eastAsia="en-AU"/>
        </w:rPr>
      </w:pPr>
      <w:r w:rsidRPr="00DC02BF">
        <w:rPr>
          <w:rFonts w:cs="Arial"/>
          <w:szCs w:val="21"/>
          <w:lang w:eastAsia="en-AU"/>
        </w:rPr>
        <w:t xml:space="preserve">The vaccine will be delivered thawed and should be stored </w:t>
      </w:r>
      <w:r w:rsidR="009D3892">
        <w:rPr>
          <w:rFonts w:cs="Arial"/>
          <w:szCs w:val="21"/>
          <w:lang w:eastAsia="en-AU"/>
        </w:rPr>
        <w:t>in a purpose</w:t>
      </w:r>
      <w:r w:rsidR="00C35BE1">
        <w:rPr>
          <w:rFonts w:cs="Arial"/>
          <w:szCs w:val="21"/>
          <w:lang w:eastAsia="en-AU"/>
        </w:rPr>
        <w:t>-</w:t>
      </w:r>
      <w:r w:rsidR="009D3892">
        <w:rPr>
          <w:rFonts w:cs="Arial"/>
          <w:szCs w:val="21"/>
          <w:lang w:eastAsia="en-AU"/>
        </w:rPr>
        <w:t>buil</w:t>
      </w:r>
      <w:r w:rsidR="00C35BE1">
        <w:rPr>
          <w:rFonts w:cs="Arial"/>
          <w:szCs w:val="21"/>
          <w:lang w:eastAsia="en-AU"/>
        </w:rPr>
        <w:t>t</w:t>
      </w:r>
      <w:r w:rsidR="009D3892">
        <w:rPr>
          <w:rFonts w:cs="Arial"/>
          <w:szCs w:val="21"/>
          <w:lang w:eastAsia="en-AU"/>
        </w:rPr>
        <w:t xml:space="preserve"> vaccine refrigerator at </w:t>
      </w:r>
      <w:r w:rsidRPr="00DC02BF">
        <w:rPr>
          <w:rFonts w:cs="Arial"/>
          <w:szCs w:val="21"/>
          <w:lang w:eastAsia="en-AU"/>
        </w:rPr>
        <w:t xml:space="preserve">temperature </w:t>
      </w:r>
      <w:r w:rsidR="002E2C70">
        <w:rPr>
          <w:rFonts w:cs="Arial"/>
          <w:szCs w:val="21"/>
          <w:lang w:eastAsia="en-AU"/>
        </w:rPr>
        <w:t xml:space="preserve">range </w:t>
      </w:r>
      <w:r w:rsidRPr="00DC02BF">
        <w:rPr>
          <w:rFonts w:cs="Arial"/>
          <w:szCs w:val="21"/>
          <w:lang w:eastAsia="en-AU"/>
        </w:rPr>
        <w:t xml:space="preserve">(+2°C to +8°C) and </w:t>
      </w:r>
      <w:r w:rsidRPr="00D76D5D">
        <w:rPr>
          <w:rFonts w:cs="Arial"/>
          <w:b/>
          <w:bCs/>
          <w:szCs w:val="21"/>
          <w:lang w:eastAsia="en-AU"/>
        </w:rPr>
        <w:t>not re-frozen</w:t>
      </w:r>
      <w:r w:rsidRPr="00E973BB">
        <w:rPr>
          <w:rFonts w:cs="Arial"/>
          <w:szCs w:val="21"/>
          <w:lang w:eastAsia="en-AU"/>
        </w:rPr>
        <w:t>.</w:t>
      </w:r>
      <w:r w:rsidR="00A95782" w:rsidRPr="00A95782">
        <w:rPr>
          <w:rFonts w:cs="Arial"/>
          <w:szCs w:val="21"/>
          <w:lang w:eastAsia="en-AU"/>
        </w:rPr>
        <w:t xml:space="preserve"> </w:t>
      </w:r>
    </w:p>
    <w:p w14:paraId="34641C5B" w14:textId="3C98A7F5" w:rsidR="00D76D5D" w:rsidRDefault="00077DBB" w:rsidP="00AA0F0F">
      <w:pPr>
        <w:spacing w:line="288" w:lineRule="auto"/>
        <w:textAlignment w:val="baseline"/>
        <w:rPr>
          <w:rFonts w:cs="Arial"/>
          <w:szCs w:val="21"/>
          <w:lang w:eastAsia="en-AU"/>
        </w:rPr>
      </w:pPr>
      <w:r>
        <w:rPr>
          <w:rFonts w:cs="Arial"/>
          <w:szCs w:val="21"/>
          <w:lang w:eastAsia="en-AU"/>
        </w:rPr>
        <w:t xml:space="preserve">On removal from </w:t>
      </w:r>
      <w:r w:rsidR="00D76D5D">
        <w:rPr>
          <w:rFonts w:cs="Arial"/>
          <w:szCs w:val="21"/>
          <w:lang w:eastAsia="en-AU"/>
        </w:rPr>
        <w:t>freeze storage,</w:t>
      </w:r>
      <w:r>
        <w:rPr>
          <w:rFonts w:cs="Arial"/>
          <w:szCs w:val="21"/>
          <w:lang w:eastAsia="en-AU"/>
        </w:rPr>
        <w:t xml:space="preserve"> </w:t>
      </w:r>
      <w:r w:rsidRPr="006E6816">
        <w:rPr>
          <w:rFonts w:cs="Arial"/>
          <w:bCs/>
          <w:szCs w:val="21"/>
          <w:lang w:eastAsia="en-AU"/>
        </w:rPr>
        <w:t xml:space="preserve">a </w:t>
      </w:r>
      <w:r w:rsidRPr="00C634F6">
        <w:rPr>
          <w:rFonts w:cs="Arial"/>
          <w:b/>
          <w:szCs w:val="21"/>
          <w:lang w:eastAsia="en-AU"/>
        </w:rPr>
        <w:t>revised expiry date label</w:t>
      </w:r>
      <w:r w:rsidRPr="006E6816">
        <w:rPr>
          <w:rFonts w:cs="Arial"/>
          <w:bCs/>
          <w:szCs w:val="21"/>
          <w:lang w:eastAsia="en-AU"/>
        </w:rPr>
        <w:t xml:space="preserve"> </w:t>
      </w:r>
      <w:r w:rsidR="00AF58E2">
        <w:rPr>
          <w:rFonts w:cs="Arial"/>
          <w:bCs/>
          <w:szCs w:val="21"/>
          <w:lang w:eastAsia="en-AU"/>
        </w:rPr>
        <w:t>is</w:t>
      </w:r>
      <w:r w:rsidRPr="006E6816">
        <w:rPr>
          <w:rFonts w:cs="Arial"/>
          <w:bCs/>
          <w:szCs w:val="21"/>
          <w:lang w:eastAsia="en-AU"/>
        </w:rPr>
        <w:t xml:space="preserve"> applied to the box</w:t>
      </w:r>
      <w:r w:rsidR="00D76D5D">
        <w:rPr>
          <w:rFonts w:cs="Arial"/>
          <w:bCs/>
          <w:szCs w:val="21"/>
          <w:lang w:eastAsia="en-AU"/>
        </w:rPr>
        <w:t xml:space="preserve"> (maximum 24 weeks)</w:t>
      </w:r>
      <w:r>
        <w:rPr>
          <w:rFonts w:cs="Arial"/>
          <w:szCs w:val="21"/>
          <w:lang w:eastAsia="en-AU"/>
        </w:rPr>
        <w:t xml:space="preserve">. Ensure vials are stored in the original box. </w:t>
      </w:r>
    </w:p>
    <w:p w14:paraId="273AB3F9" w14:textId="28934252" w:rsidR="00077DBB" w:rsidRDefault="009A52D1" w:rsidP="00AA0F0F">
      <w:pPr>
        <w:spacing w:line="288" w:lineRule="auto"/>
        <w:textAlignment w:val="baseline"/>
        <w:rPr>
          <w:rFonts w:cs="Arial"/>
          <w:szCs w:val="21"/>
          <w:lang w:eastAsia="en-AU"/>
        </w:rPr>
      </w:pPr>
      <w:r>
        <w:rPr>
          <w:rFonts w:cs="Arial"/>
          <w:szCs w:val="21"/>
          <w:lang w:eastAsia="en-AU"/>
        </w:rPr>
        <w:t xml:space="preserve">Refer </w:t>
      </w:r>
      <w:r w:rsidR="00922DEA">
        <w:rPr>
          <w:rFonts w:cs="Arial"/>
          <w:szCs w:val="21"/>
          <w:lang w:eastAsia="en-AU"/>
        </w:rPr>
        <w:t>to</w:t>
      </w:r>
      <w:r>
        <w:rPr>
          <w:rFonts w:cs="Arial"/>
          <w:szCs w:val="21"/>
          <w:lang w:eastAsia="en-AU"/>
        </w:rPr>
        <w:t xml:space="preserve"> the revised label to </w:t>
      </w:r>
      <w:r w:rsidR="00077DBB" w:rsidRPr="004C1343">
        <w:rPr>
          <w:rFonts w:cs="Arial"/>
          <w:szCs w:val="21"/>
          <w:lang w:eastAsia="en-AU"/>
        </w:rPr>
        <w:t>prevent vaccine administration error.</w:t>
      </w:r>
    </w:p>
    <w:p w14:paraId="3CAB6E5A" w14:textId="0F0D0579" w:rsidR="00AF58E2" w:rsidRDefault="00AF58E2" w:rsidP="00AA0F0F">
      <w:pPr>
        <w:spacing w:line="288" w:lineRule="auto"/>
        <w:textAlignment w:val="baseline"/>
        <w:rPr>
          <w:rFonts w:cs="Arial"/>
          <w:szCs w:val="21"/>
          <w:lang w:eastAsia="en-AU"/>
        </w:rPr>
      </w:pPr>
      <w:r>
        <w:rPr>
          <w:noProof/>
        </w:rPr>
        <w:drawing>
          <wp:inline distT="0" distB="0" distL="0" distR="0" wp14:anchorId="53C5A635" wp14:editId="3D322B55">
            <wp:extent cx="3810000" cy="1715893"/>
            <wp:effectExtent l="0" t="0" r="0" b="0"/>
            <wp:docPr id="377542665" name="Picture 1" descr="Picture of the revised expiry label that is applied when vaccine box is removed from freeze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2665" name="Picture 1" descr="Picture of the revised expiry label that is applied when vaccine box is removed from freeze storage "/>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3828913" cy="1724411"/>
                    </a:xfrm>
                    <a:prstGeom prst="rect">
                      <a:avLst/>
                    </a:prstGeom>
                    <a:noFill/>
                    <a:ln>
                      <a:noFill/>
                    </a:ln>
                  </pic:spPr>
                </pic:pic>
              </a:graphicData>
            </a:graphic>
          </wp:inline>
        </w:drawing>
      </w:r>
    </w:p>
    <w:p w14:paraId="12171C05" w14:textId="77777777" w:rsidR="00077DBB" w:rsidRPr="00096E9A" w:rsidRDefault="00077DBB" w:rsidP="00DE5333">
      <w:pPr>
        <w:pStyle w:val="Heading2"/>
        <w:spacing w:before="0"/>
      </w:pPr>
      <w:bookmarkStart w:id="63" w:name="_Toc112315626"/>
      <w:bookmarkStart w:id="64" w:name="_Toc176344977"/>
      <w:bookmarkStart w:id="65" w:name="_Toc112154559"/>
      <w:r w:rsidRPr="00096E9A">
        <w:t>Vaccine procurement</w:t>
      </w:r>
      <w:bookmarkEnd w:id="63"/>
      <w:bookmarkEnd w:id="64"/>
      <w:r w:rsidRPr="00096E9A">
        <w:t xml:space="preserve"> </w:t>
      </w:r>
      <w:bookmarkEnd w:id="65"/>
    </w:p>
    <w:p w14:paraId="3220C264" w14:textId="5D0D53C4" w:rsidR="008C1031" w:rsidRPr="008C1031" w:rsidRDefault="008C1031" w:rsidP="009C5F30">
      <w:pPr>
        <w:pStyle w:val="paragraph"/>
        <w:shd w:val="clear" w:color="auto" w:fill="FFFFFF"/>
        <w:spacing w:before="0" w:beforeAutospacing="0" w:after="0" w:afterAutospacing="0" w:line="276" w:lineRule="auto"/>
        <w:textAlignment w:val="baseline"/>
        <w:rPr>
          <w:rFonts w:ascii="Arial" w:eastAsia="Times New Roman" w:hAnsi="Arial" w:cs="Arial"/>
          <w:sz w:val="21"/>
          <w:szCs w:val="21"/>
        </w:rPr>
      </w:pPr>
      <w:r w:rsidRPr="008C1031">
        <w:rPr>
          <w:rFonts w:ascii="Arial" w:eastAsia="Times New Roman" w:hAnsi="Arial" w:cs="Arial"/>
          <w:color w:val="000000"/>
          <w:sz w:val="21"/>
          <w:szCs w:val="21"/>
        </w:rPr>
        <w:t>JYNNEOS® mpox vaccine is available to order through</w:t>
      </w:r>
      <w:r w:rsidR="00B05BA0">
        <w:rPr>
          <w:rFonts w:ascii="Arial" w:eastAsia="Times New Roman" w:hAnsi="Arial" w:cs="Arial"/>
          <w:color w:val="000000"/>
          <w:sz w:val="21"/>
          <w:szCs w:val="21"/>
        </w:rPr>
        <w:t xml:space="preserve"> </w:t>
      </w:r>
      <w:hyperlink r:id="rId25" w:history="1">
        <w:r w:rsidR="009C5F30" w:rsidRPr="009C5F30">
          <w:rPr>
            <w:rStyle w:val="Hyperlink"/>
            <w:rFonts w:ascii="Arial" w:eastAsia="Times New Roman" w:hAnsi="Arial" w:cs="Arial"/>
            <w:sz w:val="21"/>
            <w:szCs w:val="21"/>
          </w:rPr>
          <w:t>Onelink online</w:t>
        </w:r>
      </w:hyperlink>
      <w:r w:rsidR="009C5F30">
        <w:rPr>
          <w:rFonts w:ascii="Arial" w:eastAsia="Times New Roman" w:hAnsi="Arial" w:cs="Arial"/>
          <w:color w:val="000000"/>
          <w:sz w:val="21"/>
          <w:szCs w:val="21"/>
        </w:rPr>
        <w:t xml:space="preserve">. </w:t>
      </w:r>
      <w:r w:rsidR="00B05BA0">
        <w:rPr>
          <w:rFonts w:ascii="Arial" w:eastAsia="Times New Roman" w:hAnsi="Arial" w:cs="Arial"/>
          <w:color w:val="000000"/>
          <w:sz w:val="21"/>
          <w:szCs w:val="21"/>
        </w:rPr>
        <w:t>&lt;</w:t>
      </w:r>
      <w:r w:rsidR="00B05BA0" w:rsidRPr="00B05BA0">
        <w:rPr>
          <w:rFonts w:ascii="Arial" w:eastAsia="Times New Roman" w:hAnsi="Arial" w:cs="Arial"/>
          <w:color w:val="000000"/>
          <w:sz w:val="21"/>
          <w:szCs w:val="21"/>
        </w:rPr>
        <w:t>https://www.onelinkonline.net/</w:t>
      </w:r>
      <w:r w:rsidR="00B05BA0">
        <w:rPr>
          <w:rFonts w:ascii="Arial" w:eastAsia="Times New Roman" w:hAnsi="Arial" w:cs="Arial"/>
          <w:color w:val="000000"/>
          <w:sz w:val="21"/>
          <w:szCs w:val="21"/>
        </w:rPr>
        <w:t>&gt;</w:t>
      </w:r>
      <w:r w:rsidRPr="008C1031">
        <w:rPr>
          <w:rFonts w:ascii="Arial" w:eastAsia="Times New Roman" w:hAnsi="Arial" w:cs="Arial"/>
          <w:color w:val="000000"/>
          <w:sz w:val="21"/>
          <w:szCs w:val="21"/>
        </w:rPr>
        <w:t> </w:t>
      </w:r>
    </w:p>
    <w:p w14:paraId="2DCE4C33" w14:textId="77777777" w:rsidR="008C1031" w:rsidRPr="008C1031" w:rsidRDefault="008C1031" w:rsidP="00D76D5D">
      <w:pPr>
        <w:shd w:val="clear" w:color="auto" w:fill="FFFFFF"/>
        <w:spacing w:before="120" w:after="0" w:line="276" w:lineRule="auto"/>
        <w:textAlignment w:val="baseline"/>
        <w:rPr>
          <w:rFonts w:cs="Arial"/>
          <w:szCs w:val="21"/>
          <w:lang w:eastAsia="en-AU"/>
        </w:rPr>
      </w:pPr>
      <w:r w:rsidRPr="008C1031">
        <w:rPr>
          <w:rFonts w:cs="Arial"/>
          <w:color w:val="000000"/>
          <w:szCs w:val="21"/>
          <w:lang w:eastAsia="en-AU"/>
        </w:rPr>
        <w:t>Please note the following information before ordering the vaccine:  </w:t>
      </w:r>
    </w:p>
    <w:p w14:paraId="5E4DFA25" w14:textId="77777777" w:rsidR="008C1031" w:rsidRPr="008C1031" w:rsidRDefault="008C1031" w:rsidP="00964A28">
      <w:pPr>
        <w:pStyle w:val="ListParagraph"/>
        <w:numPr>
          <w:ilvl w:val="0"/>
          <w:numId w:val="52"/>
        </w:numPr>
        <w:shd w:val="clear" w:color="auto" w:fill="FFFFFF"/>
        <w:spacing w:after="0" w:line="276" w:lineRule="auto"/>
        <w:textAlignment w:val="baseline"/>
        <w:rPr>
          <w:rFonts w:cs="Arial"/>
          <w:szCs w:val="21"/>
          <w:lang w:eastAsia="en-AU"/>
        </w:rPr>
      </w:pPr>
      <w:r w:rsidRPr="008C1031">
        <w:rPr>
          <w:rFonts w:cs="Arial"/>
          <w:color w:val="000000"/>
          <w:szCs w:val="21"/>
          <w:lang w:eastAsia="en-AU"/>
        </w:rPr>
        <w:t>The minimum amount that can be ordered is one box, containing 20 vials. </w:t>
      </w:r>
    </w:p>
    <w:p w14:paraId="7082516E" w14:textId="77777777" w:rsidR="008C1031" w:rsidRPr="008C1031" w:rsidRDefault="008C1031" w:rsidP="00964A28">
      <w:pPr>
        <w:pStyle w:val="ListParagraph"/>
        <w:numPr>
          <w:ilvl w:val="0"/>
          <w:numId w:val="52"/>
        </w:numPr>
        <w:shd w:val="clear" w:color="auto" w:fill="FFFFFF"/>
        <w:spacing w:after="0" w:line="276" w:lineRule="auto"/>
        <w:textAlignment w:val="baseline"/>
        <w:rPr>
          <w:rFonts w:cs="Arial"/>
          <w:szCs w:val="21"/>
          <w:lang w:eastAsia="en-AU"/>
        </w:rPr>
      </w:pPr>
      <w:r w:rsidRPr="008C1031">
        <w:rPr>
          <w:rFonts w:cs="Arial"/>
          <w:color w:val="000000"/>
          <w:szCs w:val="21"/>
          <w:lang w:eastAsia="en-AU"/>
        </w:rPr>
        <w:t>Providers should commence with an order for one box and increase stock only as demand  indicates.  </w:t>
      </w:r>
    </w:p>
    <w:p w14:paraId="0AA9D67C" w14:textId="77777777" w:rsidR="00077DBB" w:rsidRPr="0053635A" w:rsidRDefault="00077DBB" w:rsidP="00540114">
      <w:pPr>
        <w:pStyle w:val="Heading1"/>
        <w:spacing w:before="240"/>
      </w:pPr>
      <w:bookmarkStart w:id="66" w:name="_Cold_chain_management"/>
      <w:bookmarkStart w:id="67" w:name="_Toc112154566"/>
      <w:bookmarkStart w:id="68" w:name="_Toc112315627"/>
      <w:bookmarkStart w:id="69" w:name="_Toc176344978"/>
      <w:bookmarkEnd w:id="66"/>
      <w:r>
        <w:t>Cold chain management</w:t>
      </w:r>
      <w:bookmarkEnd w:id="67"/>
      <w:bookmarkEnd w:id="68"/>
      <w:bookmarkEnd w:id="69"/>
      <w:r>
        <w:t xml:space="preserve"> </w:t>
      </w:r>
    </w:p>
    <w:p w14:paraId="3095F6A4" w14:textId="65822338" w:rsidR="00077DBB" w:rsidRPr="00F35CA0" w:rsidRDefault="00077DBB" w:rsidP="00077DBB">
      <w:pPr>
        <w:pStyle w:val="Body"/>
      </w:pPr>
      <w:r w:rsidRPr="00F35CA0">
        <w:t>Vaccine</w:t>
      </w:r>
      <w:r w:rsidR="008F590F">
        <w:t xml:space="preserve"> cold chain </w:t>
      </w:r>
      <w:r w:rsidRPr="00F35CA0">
        <w:t xml:space="preserve">management guidelines are contained within </w:t>
      </w:r>
      <w:r w:rsidR="00EC31B1">
        <w:t xml:space="preserve">the </w:t>
      </w:r>
      <w:r w:rsidR="00EC31B1" w:rsidRPr="00B60C4D">
        <w:t>National Vaccine Storage Guidelines ‘Strive for 5’ (2019) 3</w:t>
      </w:r>
      <w:r w:rsidR="00EC31B1" w:rsidRPr="00B60C4D">
        <w:rPr>
          <w:vertAlign w:val="superscript"/>
        </w:rPr>
        <w:t>rd</w:t>
      </w:r>
      <w:r w:rsidR="00EC31B1" w:rsidRPr="00B60C4D">
        <w:t xml:space="preserve"> Ed</w:t>
      </w:r>
      <w:r w:rsidR="00EC31B1">
        <w:t>.</w:t>
      </w:r>
      <w:r w:rsidR="00EC31B1" w:rsidRPr="00EC31B1">
        <w:rPr>
          <w:rStyle w:val="FootnoteReference"/>
        </w:rPr>
        <w:footnoteReference w:id="14"/>
      </w:r>
      <w:r w:rsidR="00FE0725" w:rsidRPr="00FE0725">
        <w:t xml:space="preserve"> </w:t>
      </w:r>
    </w:p>
    <w:p w14:paraId="0423AFC6" w14:textId="74FAFBD6" w:rsidR="00077DBB" w:rsidRPr="00F35CA0" w:rsidRDefault="00077DBB" w:rsidP="00077DBB">
      <w:pPr>
        <w:pStyle w:val="Body"/>
      </w:pPr>
      <w:r w:rsidRPr="00F35CA0">
        <w:t xml:space="preserve">These guidelines include recommendations to maintain cold chain at </w:t>
      </w:r>
      <w:r w:rsidR="008F590F">
        <w:t>+</w:t>
      </w:r>
      <w:r w:rsidRPr="00F35CA0">
        <w:t xml:space="preserve">2 to </w:t>
      </w:r>
      <w:r w:rsidR="008F590F">
        <w:t>+</w:t>
      </w:r>
      <w:r w:rsidRPr="00F35CA0">
        <w:t>8</w:t>
      </w:r>
      <w:r w:rsidRPr="00F35CA0">
        <w:rPr>
          <w:rFonts w:cs="Arial"/>
        </w:rPr>
        <w:t>°</w:t>
      </w:r>
      <w:r w:rsidRPr="00F35CA0">
        <w:t>C</w:t>
      </w:r>
      <w:r>
        <w:t>, for transport, storage and duration of any mobile or outreach clinics.</w:t>
      </w:r>
      <w:r w:rsidR="003C0364">
        <w:t xml:space="preserve"> </w:t>
      </w:r>
      <w:r w:rsidR="00EC31B1">
        <w:t>R</w:t>
      </w:r>
      <w:r w:rsidR="00455A40">
        <w:t>ecommendations for</w:t>
      </w:r>
      <w:r w:rsidR="00750509">
        <w:t xml:space="preserve"> </w:t>
      </w:r>
      <w:r w:rsidR="00F1008D">
        <w:t xml:space="preserve">mobile clinics may be found in </w:t>
      </w:r>
      <w:r w:rsidR="00F31206">
        <w:t>section</w:t>
      </w:r>
      <w:r w:rsidR="006C28AF">
        <w:t>s 7</w:t>
      </w:r>
      <w:r w:rsidR="00B5731E">
        <w:t>,</w:t>
      </w:r>
      <w:r w:rsidR="006C28AF">
        <w:t xml:space="preserve"> 9 and </w:t>
      </w:r>
      <w:r w:rsidR="00F31206">
        <w:t>Appendix 7</w:t>
      </w:r>
      <w:r w:rsidR="00A227A4">
        <w:t xml:space="preserve"> of </w:t>
      </w:r>
      <w:r w:rsidR="00B8411F">
        <w:t xml:space="preserve">the </w:t>
      </w:r>
      <w:r w:rsidR="00EC31B1" w:rsidRPr="00B60C4D">
        <w:t>Strive for 5 guidelines</w:t>
      </w:r>
      <w:r w:rsidR="00494BB3">
        <w:t xml:space="preserve">, and </w:t>
      </w:r>
      <w:hyperlink w:anchor="_Appendix_3:_Cold" w:history="1">
        <w:r w:rsidR="00494BB3" w:rsidRPr="000B6FCD">
          <w:rPr>
            <w:rStyle w:val="Hyperlink"/>
          </w:rPr>
          <w:t>Appendices 3 and 4</w:t>
        </w:r>
      </w:hyperlink>
      <w:r w:rsidR="00494BB3">
        <w:t xml:space="preserve"> of these guidelines. </w:t>
      </w:r>
    </w:p>
    <w:p w14:paraId="681AE943" w14:textId="77777777" w:rsidR="00077DBB" w:rsidRPr="0053635A" w:rsidRDefault="00077DBB" w:rsidP="00DE5333">
      <w:pPr>
        <w:pStyle w:val="Heading2"/>
        <w:spacing w:before="240"/>
      </w:pPr>
      <w:bookmarkStart w:id="70" w:name="_Toc112154567"/>
      <w:bookmarkStart w:id="71" w:name="_Toc112315628"/>
      <w:bookmarkStart w:id="72" w:name="_Toc176344979"/>
      <w:r>
        <w:t>Identifying a cold chain breach</w:t>
      </w:r>
      <w:bookmarkEnd w:id="70"/>
      <w:bookmarkEnd w:id="71"/>
      <w:bookmarkEnd w:id="72"/>
    </w:p>
    <w:p w14:paraId="6B725D90" w14:textId="0D7D220A" w:rsidR="00BE0A66" w:rsidRDefault="00077DBB" w:rsidP="00BE2F23">
      <w:pPr>
        <w:pStyle w:val="Body"/>
        <w:rPr>
          <w:rFonts w:ascii="Helvetica" w:eastAsia="Times New Roman" w:hAnsi="Helvetica" w:cs="Helvetica"/>
          <w:color w:val="505050"/>
          <w:lang w:eastAsia="en-AU"/>
        </w:rPr>
      </w:pPr>
      <w:r w:rsidRPr="00B53969">
        <w:t xml:space="preserve">A cold chain breach may </w:t>
      </w:r>
      <w:r w:rsidR="00471FD9">
        <w:t>occur</w:t>
      </w:r>
      <w:r w:rsidRPr="00B53969">
        <w:t xml:space="preserve"> when vaccine is stored outside the recommended temperature range of </w:t>
      </w:r>
      <w:r w:rsidR="00673721">
        <w:t>+</w:t>
      </w:r>
      <w:r w:rsidRPr="00B53969">
        <w:t xml:space="preserve">2 to </w:t>
      </w:r>
      <w:r w:rsidR="00673721">
        <w:t>+</w:t>
      </w:r>
      <w:r w:rsidRPr="00B53969">
        <w:t>8</w:t>
      </w:r>
      <w:r w:rsidRPr="00B53969">
        <w:rPr>
          <w:rFonts w:cs="Arial"/>
        </w:rPr>
        <w:t>°</w:t>
      </w:r>
      <w:r w:rsidRPr="00B53969">
        <w:t>C.</w:t>
      </w:r>
      <w:r w:rsidRPr="00B53969">
        <w:rPr>
          <w:rFonts w:ascii="Helvetica" w:eastAsia="Times New Roman" w:hAnsi="Helvetica" w:cs="Helvetica"/>
          <w:color w:val="505050"/>
          <w:lang w:eastAsia="en-AU"/>
        </w:rPr>
        <w:t xml:space="preserve"> </w:t>
      </w:r>
    </w:p>
    <w:p w14:paraId="4DFD31DE" w14:textId="111E12AC" w:rsidR="00077DBB" w:rsidRPr="00B53969" w:rsidRDefault="00077DBB" w:rsidP="00BE2F23">
      <w:pPr>
        <w:pStyle w:val="Body"/>
        <w:rPr>
          <w:szCs w:val="21"/>
        </w:rPr>
      </w:pPr>
      <w:r w:rsidRPr="00B53969">
        <w:t xml:space="preserve">Any service storing vaccines must have a </w:t>
      </w:r>
      <w:r w:rsidR="00251BA0">
        <w:t>plan</w:t>
      </w:r>
      <w:r w:rsidR="00251BA0" w:rsidRPr="00B53969">
        <w:t xml:space="preserve"> </w:t>
      </w:r>
      <w:r w:rsidRPr="00B53969">
        <w:t>for dealing with cold chain breaches.</w:t>
      </w:r>
      <w:r w:rsidR="00BE2F23">
        <w:t xml:space="preserve"> </w:t>
      </w:r>
      <w:r w:rsidR="00060AC7">
        <w:t>A</w:t>
      </w:r>
      <w:r w:rsidRPr="00B53969">
        <w:rPr>
          <w:szCs w:val="21"/>
        </w:rPr>
        <w:t xml:space="preserve">lternate purpose-built vaccine fridges/coolers should be able to contain the full vaccine stock supply. </w:t>
      </w:r>
      <w:r w:rsidR="00733688">
        <w:rPr>
          <w:szCs w:val="21"/>
        </w:rPr>
        <w:t xml:space="preserve">Record the </w:t>
      </w:r>
      <w:r w:rsidRPr="00B53969">
        <w:rPr>
          <w:szCs w:val="21"/>
        </w:rPr>
        <w:t xml:space="preserve">time and temperature </w:t>
      </w:r>
      <w:r w:rsidR="00733688">
        <w:rPr>
          <w:szCs w:val="21"/>
        </w:rPr>
        <w:t>as</w:t>
      </w:r>
      <w:r w:rsidRPr="00B53969">
        <w:rPr>
          <w:szCs w:val="21"/>
        </w:rPr>
        <w:t xml:space="preserve"> soon as practicable after the breach commences. </w:t>
      </w:r>
    </w:p>
    <w:p w14:paraId="056EFEF9" w14:textId="77777777" w:rsidR="00077DBB" w:rsidRPr="00E26836" w:rsidRDefault="00077DBB" w:rsidP="009701D0">
      <w:pPr>
        <w:pStyle w:val="Heading2"/>
        <w:spacing w:before="240" w:line="288" w:lineRule="auto"/>
      </w:pPr>
      <w:bookmarkStart w:id="73" w:name="_Toc112154568"/>
      <w:bookmarkStart w:id="74" w:name="_Toc112315629"/>
      <w:bookmarkStart w:id="75" w:name="_Toc176344980"/>
      <w:r w:rsidRPr="00E26836">
        <w:t>Reporting a vaccine cold chain breach</w:t>
      </w:r>
      <w:bookmarkEnd w:id="73"/>
      <w:bookmarkEnd w:id="74"/>
      <w:bookmarkEnd w:id="75"/>
    </w:p>
    <w:p w14:paraId="0E384A76" w14:textId="77777777" w:rsidR="00077DBB" w:rsidRPr="00974D1B" w:rsidRDefault="00077DBB" w:rsidP="00077DBB">
      <w:pPr>
        <w:pStyle w:val="Body"/>
      </w:pPr>
      <w:r w:rsidRPr="00974D1B">
        <w:t>The following actions must be implemented:</w:t>
      </w:r>
    </w:p>
    <w:p w14:paraId="208D4698" w14:textId="020FCD4F" w:rsidR="00077DBB" w:rsidRPr="00974D1B" w:rsidRDefault="00077DBB" w:rsidP="00DE5333">
      <w:pPr>
        <w:pStyle w:val="Bullet1"/>
        <w:numPr>
          <w:ilvl w:val="0"/>
          <w:numId w:val="15"/>
        </w:numPr>
      </w:pPr>
      <w:r>
        <w:t xml:space="preserve">Isolate affected vaccines in the recommended </w:t>
      </w:r>
      <w:r w:rsidR="00ED08DC">
        <w:t xml:space="preserve">cold chain </w:t>
      </w:r>
      <w:r>
        <w:t>temperature range.</w:t>
      </w:r>
    </w:p>
    <w:p w14:paraId="66D9F1C2" w14:textId="77777777" w:rsidR="00077DBB" w:rsidRDefault="00077DBB" w:rsidP="00DE5333">
      <w:pPr>
        <w:pStyle w:val="Bullet1"/>
        <w:numPr>
          <w:ilvl w:val="0"/>
          <w:numId w:val="15"/>
        </w:numPr>
      </w:pPr>
      <w:r>
        <w:t>Label ‘</w:t>
      </w:r>
      <w:r w:rsidRPr="000B120A">
        <w:rPr>
          <w:b/>
          <w:bCs/>
        </w:rPr>
        <w:t>Do not use’</w:t>
      </w:r>
      <w:r>
        <w:t>.</w:t>
      </w:r>
    </w:p>
    <w:p w14:paraId="302E0FB9" w14:textId="61762CBD" w:rsidR="00ED08DC" w:rsidRPr="00974D1B" w:rsidRDefault="00ED08DC" w:rsidP="00DE5333">
      <w:pPr>
        <w:pStyle w:val="Bullet1"/>
        <w:numPr>
          <w:ilvl w:val="0"/>
          <w:numId w:val="15"/>
        </w:numPr>
      </w:pPr>
      <w:r>
        <w:t xml:space="preserve">Follow the department’s </w:t>
      </w:r>
      <w:hyperlink r:id="rId26" w:history="1">
        <w:r w:rsidRPr="00ED08DC">
          <w:rPr>
            <w:rStyle w:val="Hyperlink"/>
          </w:rPr>
          <w:t>Cold Chain Breach reporting</w:t>
        </w:r>
      </w:hyperlink>
      <w:r>
        <w:t xml:space="preserve"> requirements &lt;</w:t>
      </w:r>
      <w:r w:rsidRPr="00ED08DC">
        <w:t>https://www.health.vic.gov.au/immunisation/cold-chain-breach-reporting</w:t>
      </w:r>
      <w:r>
        <w:t>&gt;</w:t>
      </w:r>
    </w:p>
    <w:p w14:paraId="4801BF9C" w14:textId="52802030" w:rsidR="00077DBB" w:rsidRPr="00974D1B" w:rsidRDefault="00716B8D" w:rsidP="005E06CA">
      <w:pPr>
        <w:pStyle w:val="Bullet1"/>
        <w:numPr>
          <w:ilvl w:val="0"/>
          <w:numId w:val="0"/>
        </w:numPr>
        <w:spacing w:before="240" w:after="120"/>
        <w:rPr>
          <w:b/>
        </w:rPr>
      </w:pPr>
      <w:r>
        <w:rPr>
          <w:b/>
        </w:rPr>
        <w:t>Inadvertent</w:t>
      </w:r>
      <w:r w:rsidR="00423728">
        <w:rPr>
          <w:b/>
        </w:rPr>
        <w:t xml:space="preserve"> administration </w:t>
      </w:r>
      <w:r>
        <w:rPr>
          <w:b/>
        </w:rPr>
        <w:t>of</w:t>
      </w:r>
      <w:r w:rsidR="00077DBB" w:rsidRPr="00974D1B">
        <w:rPr>
          <w:b/>
        </w:rPr>
        <w:t xml:space="preserve"> a cold chain breached vaccine:</w:t>
      </w:r>
    </w:p>
    <w:p w14:paraId="0620B1AC" w14:textId="2B0F8B7E" w:rsidR="00077DBB" w:rsidRPr="00974D1B" w:rsidRDefault="00077DBB" w:rsidP="00077DBB">
      <w:pPr>
        <w:pStyle w:val="Body"/>
        <w:rPr>
          <w:rFonts w:eastAsia="Arial" w:cs="Arial"/>
          <w:szCs w:val="21"/>
        </w:rPr>
      </w:pPr>
      <w:r w:rsidRPr="33B223ED">
        <w:rPr>
          <w:rFonts w:eastAsia="Arial" w:cs="Arial"/>
          <w:szCs w:val="21"/>
        </w:rPr>
        <w:t xml:space="preserve">A cold chain breached vaccine that has been administered inadvertently is consider a </w:t>
      </w:r>
      <w:hyperlink w:anchor="_Adverse_Events_Following" w:history="1">
        <w:r w:rsidRPr="003C2160">
          <w:rPr>
            <w:rStyle w:val="Hyperlink"/>
            <w:rFonts w:eastAsia="Arial" w:cs="Arial"/>
            <w:szCs w:val="21"/>
          </w:rPr>
          <w:t>vaccine administration error</w:t>
        </w:r>
      </w:hyperlink>
      <w:r w:rsidRPr="33B223ED">
        <w:rPr>
          <w:rFonts w:eastAsia="Arial" w:cs="Arial"/>
          <w:szCs w:val="21"/>
        </w:rPr>
        <w:t xml:space="preserve"> and must be reported to SAEFVIC. </w:t>
      </w:r>
    </w:p>
    <w:p w14:paraId="2F4CB979" w14:textId="5ED52B56" w:rsidR="00077DBB" w:rsidRPr="00974D1B" w:rsidRDefault="00077DBB" w:rsidP="00077DBB">
      <w:pPr>
        <w:pStyle w:val="Body"/>
        <w:rPr>
          <w:rFonts w:eastAsia="Arial" w:cs="Arial"/>
          <w:szCs w:val="21"/>
        </w:rPr>
      </w:pPr>
      <w:r w:rsidRPr="33B223ED">
        <w:rPr>
          <w:rFonts w:eastAsia="Arial" w:cs="Arial"/>
          <w:szCs w:val="21"/>
        </w:rPr>
        <w:t xml:space="preserve">SAEFVIC operating hours are 9.00am to </w:t>
      </w:r>
      <w:r w:rsidR="00B90DD1">
        <w:rPr>
          <w:rFonts w:eastAsia="Arial" w:cs="Arial"/>
          <w:szCs w:val="21"/>
        </w:rPr>
        <w:t>4.30pm</w:t>
      </w:r>
      <w:r w:rsidRPr="33B223ED">
        <w:rPr>
          <w:rFonts w:eastAsia="Arial" w:cs="Arial"/>
          <w:szCs w:val="21"/>
        </w:rPr>
        <w:t>, Monday to Friday (except public holidays). The online system is always available.</w:t>
      </w:r>
      <w:r w:rsidRPr="3C52A6A8">
        <w:rPr>
          <w:rFonts w:eastAsia="Arial" w:cs="Arial"/>
          <w:szCs w:val="21"/>
        </w:rPr>
        <w:t xml:space="preserve"> </w:t>
      </w:r>
    </w:p>
    <w:p w14:paraId="2D743452" w14:textId="2416B1DA" w:rsidR="00077DBB" w:rsidRPr="00974D1B" w:rsidRDefault="00077DBB" w:rsidP="00603DC8">
      <w:pPr>
        <w:pStyle w:val="Bullet1"/>
        <w:numPr>
          <w:ilvl w:val="0"/>
          <w:numId w:val="15"/>
        </w:numPr>
        <w:rPr>
          <w:rFonts w:asciiTheme="minorHAnsi" w:eastAsiaTheme="minorEastAsia" w:hAnsiTheme="minorHAnsi"/>
          <w:szCs w:val="21"/>
        </w:rPr>
      </w:pPr>
      <w:r>
        <w:t>call SAEFVIC Immunisation Hotline (1300 882 924 option 1)</w:t>
      </w:r>
      <w:r w:rsidR="007C009A">
        <w:t>, between 10am to 2 pm</w:t>
      </w:r>
      <w:r>
        <w:t xml:space="preserve"> and </w:t>
      </w:r>
    </w:p>
    <w:p w14:paraId="7136E9E7" w14:textId="011BE5D6" w:rsidR="00077DBB" w:rsidRPr="00B82F08" w:rsidRDefault="00077DBB" w:rsidP="00603DC8">
      <w:pPr>
        <w:pStyle w:val="Bullet1"/>
        <w:numPr>
          <w:ilvl w:val="0"/>
          <w:numId w:val="15"/>
        </w:numPr>
      </w:pPr>
      <w:r>
        <w:t xml:space="preserve">complete </w:t>
      </w:r>
      <w:hyperlink r:id="rId27">
        <w:r w:rsidR="006C1428" w:rsidRPr="6EEBAB2B">
          <w:rPr>
            <w:rStyle w:val="Hyperlink"/>
            <w:rFonts w:eastAsia="Arial" w:cs="Arial"/>
            <w:color w:val="auto"/>
            <w:u w:val="none"/>
          </w:rPr>
          <w:t xml:space="preserve">SAEFVIC online report form   </w:t>
        </w:r>
        <w:r w:rsidR="006C1428" w:rsidRPr="6EEBAB2B">
          <w:rPr>
            <w:rStyle w:val="Hyperlink"/>
            <w:color w:val="auto"/>
            <w:u w:val="none"/>
          </w:rPr>
          <w:t xml:space="preserve"> </w:t>
        </w:r>
      </w:hyperlink>
      <w:r w:rsidRPr="6EEBAB2B">
        <w:rPr>
          <w:rStyle w:val="Hyperlink"/>
        </w:rPr>
        <w:t>&lt;</w:t>
      </w:r>
      <w:hyperlink r:id="rId28">
        <w:r w:rsidRPr="6EEBAB2B">
          <w:rPr>
            <w:rStyle w:val="Hyperlink"/>
          </w:rPr>
          <w:t>https://www.safevac.org.au/Home/Info/VIC</w:t>
        </w:r>
      </w:hyperlink>
      <w:r w:rsidRPr="6EEBAB2B">
        <w:rPr>
          <w:rStyle w:val="Hyperlink"/>
        </w:rPr>
        <w:t>&gt;</w:t>
      </w:r>
    </w:p>
    <w:p w14:paraId="62B8491D" w14:textId="77777777" w:rsidR="00077DBB" w:rsidRPr="00B3292D" w:rsidRDefault="00077DBB" w:rsidP="00B3292D">
      <w:pPr>
        <w:pStyle w:val="Heading1"/>
      </w:pPr>
      <w:bookmarkStart w:id="76" w:name="_Clinical_Guidelines"/>
      <w:bookmarkStart w:id="77" w:name="_Toc1483138152"/>
      <w:bookmarkStart w:id="78" w:name="_Toc112154569"/>
      <w:bookmarkStart w:id="79" w:name="_Toc112315630"/>
      <w:bookmarkStart w:id="80" w:name="_Toc176344981"/>
      <w:bookmarkEnd w:id="76"/>
      <w:r w:rsidRPr="00B3292D">
        <w:t>Clinical Guidelines</w:t>
      </w:r>
      <w:bookmarkEnd w:id="77"/>
      <w:bookmarkEnd w:id="78"/>
      <w:bookmarkEnd w:id="79"/>
      <w:bookmarkEnd w:id="80"/>
    </w:p>
    <w:p w14:paraId="52D9C3A9" w14:textId="77777777" w:rsidR="00077DBB" w:rsidRPr="0053635A" w:rsidRDefault="00077DBB" w:rsidP="00077DBB">
      <w:pPr>
        <w:pStyle w:val="Heading2"/>
      </w:pPr>
      <w:bookmarkStart w:id="81" w:name="_National_Vaccine_Operations"/>
      <w:bookmarkStart w:id="82" w:name="_Workforce_requirements"/>
      <w:bookmarkStart w:id="83" w:name="_Workforce_requirements_1"/>
      <w:bookmarkStart w:id="84" w:name="_Toc62825435"/>
      <w:bookmarkStart w:id="85" w:name="_Toc71895620"/>
      <w:bookmarkStart w:id="86" w:name="_Toc73627090"/>
      <w:bookmarkStart w:id="87" w:name="_Toc2030836546"/>
      <w:bookmarkStart w:id="88" w:name="_Toc112154570"/>
      <w:bookmarkStart w:id="89" w:name="_Toc112315631"/>
      <w:bookmarkStart w:id="90" w:name="_Toc176344982"/>
      <w:bookmarkEnd w:id="81"/>
      <w:bookmarkEnd w:id="82"/>
      <w:bookmarkEnd w:id="83"/>
      <w:r>
        <w:t>Infection prevention and control</w:t>
      </w:r>
      <w:bookmarkEnd w:id="84"/>
      <w:bookmarkEnd w:id="85"/>
      <w:bookmarkEnd w:id="86"/>
      <w:bookmarkEnd w:id="87"/>
      <w:bookmarkEnd w:id="88"/>
      <w:bookmarkEnd w:id="89"/>
      <w:bookmarkEnd w:id="90"/>
    </w:p>
    <w:p w14:paraId="07341A57" w14:textId="77777777" w:rsidR="00077DBB" w:rsidRPr="00DD036F" w:rsidRDefault="00077DBB" w:rsidP="00077DBB">
      <w:pPr>
        <w:pStyle w:val="Body"/>
      </w:pPr>
      <w:r w:rsidRPr="00DD036F">
        <w:t>Standard precautions are work practices that achieve a basic level of infection prevention and control (IPC). IPC precautions and work practices are to be maintained by all staff, in all settings, at all times. Standard precautions include (but is not limited to):</w:t>
      </w:r>
    </w:p>
    <w:p w14:paraId="74E33D51" w14:textId="77777777" w:rsidR="00077DBB" w:rsidRPr="00DD036F" w:rsidRDefault="00077DBB" w:rsidP="00603DC8">
      <w:pPr>
        <w:pStyle w:val="Bullet1"/>
        <w:numPr>
          <w:ilvl w:val="0"/>
          <w:numId w:val="14"/>
        </w:numPr>
      </w:pPr>
      <w:r w:rsidRPr="00DD036F">
        <w:t>hand hygiene</w:t>
      </w:r>
    </w:p>
    <w:p w14:paraId="4CB431BA" w14:textId="77777777" w:rsidR="00077DBB" w:rsidRPr="00DD036F" w:rsidRDefault="00077DBB" w:rsidP="00603DC8">
      <w:pPr>
        <w:pStyle w:val="Bullet1"/>
        <w:numPr>
          <w:ilvl w:val="0"/>
          <w:numId w:val="14"/>
        </w:numPr>
      </w:pPr>
      <w:r w:rsidRPr="00DD036F">
        <w:t>use of personal protective equipment (PPE)</w:t>
      </w:r>
    </w:p>
    <w:p w14:paraId="37E49C97" w14:textId="77777777" w:rsidR="00077DBB" w:rsidRPr="00DD036F" w:rsidRDefault="00077DBB" w:rsidP="00603DC8">
      <w:pPr>
        <w:pStyle w:val="Bullet1"/>
        <w:numPr>
          <w:ilvl w:val="0"/>
          <w:numId w:val="14"/>
        </w:numPr>
      </w:pPr>
      <w:r w:rsidRPr="00DD036F">
        <w:t>safe use and disposal of sharps</w:t>
      </w:r>
    </w:p>
    <w:p w14:paraId="58581589" w14:textId="77777777" w:rsidR="00077DBB" w:rsidRPr="00DD036F" w:rsidRDefault="00077DBB" w:rsidP="00603DC8">
      <w:pPr>
        <w:pStyle w:val="Bullet1"/>
        <w:numPr>
          <w:ilvl w:val="0"/>
          <w:numId w:val="14"/>
        </w:numPr>
      </w:pPr>
      <w:r w:rsidRPr="00DD036F">
        <w:t>waste management</w:t>
      </w:r>
    </w:p>
    <w:p w14:paraId="463F09F4" w14:textId="77777777" w:rsidR="00077DBB" w:rsidRPr="00DD036F" w:rsidRDefault="00077DBB" w:rsidP="00603DC8">
      <w:pPr>
        <w:pStyle w:val="Bullet1"/>
        <w:numPr>
          <w:ilvl w:val="0"/>
          <w:numId w:val="14"/>
        </w:numPr>
      </w:pPr>
      <w:r w:rsidRPr="00DD036F">
        <w:t>aseptic technique</w:t>
      </w:r>
    </w:p>
    <w:p w14:paraId="7B6D9FAB" w14:textId="77777777" w:rsidR="00077DBB" w:rsidRPr="00DD036F" w:rsidRDefault="00077DBB" w:rsidP="00603DC8">
      <w:pPr>
        <w:pStyle w:val="Bullet1"/>
        <w:numPr>
          <w:ilvl w:val="0"/>
          <w:numId w:val="14"/>
        </w:numPr>
      </w:pPr>
      <w:r w:rsidRPr="00DD036F">
        <w:t>routine environmental cleaning.</w:t>
      </w:r>
    </w:p>
    <w:p w14:paraId="1E563389" w14:textId="6AC33726" w:rsidR="00DE5333" w:rsidRDefault="00DE5333" w:rsidP="00077DBB">
      <w:pPr>
        <w:pStyle w:val="Bodyafterbullets"/>
        <w:rPr>
          <w:rStyle w:val="Hyperlink"/>
        </w:rPr>
      </w:pPr>
      <w:r>
        <w:t xml:space="preserve">Refer to further guidance provided in the </w:t>
      </w:r>
      <w:r w:rsidRPr="00C33CCC">
        <w:t>Australian Guidelines for the Prevention and Control of Infection in Healthcare</w:t>
      </w:r>
      <w:r>
        <w:t>.</w:t>
      </w:r>
      <w:r w:rsidRPr="00C33CCC">
        <w:rPr>
          <w:rStyle w:val="FootnoteReference"/>
        </w:rPr>
        <w:footnoteReference w:id="15"/>
      </w:r>
    </w:p>
    <w:p w14:paraId="1EE78617" w14:textId="67D02817" w:rsidR="00077DBB" w:rsidRPr="0053635A" w:rsidRDefault="00077DBB" w:rsidP="00E36814">
      <w:pPr>
        <w:pStyle w:val="Heading2"/>
        <w:tabs>
          <w:tab w:val="center" w:pos="4513"/>
        </w:tabs>
      </w:pPr>
      <w:bookmarkStart w:id="91" w:name="_Toc73627091"/>
      <w:bookmarkStart w:id="92" w:name="_Toc1432810979"/>
      <w:bookmarkStart w:id="93" w:name="_Toc112154571"/>
      <w:bookmarkStart w:id="94" w:name="_Toc112315632"/>
      <w:bookmarkStart w:id="95" w:name="_Toc176344983"/>
      <w:r w:rsidRPr="0053635A">
        <w:t>Hand hygiene</w:t>
      </w:r>
      <w:bookmarkEnd w:id="91"/>
      <w:bookmarkEnd w:id="92"/>
      <w:bookmarkEnd w:id="93"/>
      <w:bookmarkEnd w:id="94"/>
      <w:bookmarkEnd w:id="95"/>
      <w:r w:rsidR="00E36814">
        <w:tab/>
        <w:t xml:space="preserve"> </w:t>
      </w:r>
    </w:p>
    <w:p w14:paraId="330FF626" w14:textId="6DF7A77C" w:rsidR="00077DBB" w:rsidRPr="00294463" w:rsidRDefault="00E36814" w:rsidP="00077DBB">
      <w:pPr>
        <w:pStyle w:val="Body"/>
      </w:pPr>
      <w:r w:rsidRPr="0053635A">
        <w:rPr>
          <w:rFonts w:cstheme="minorHAnsi"/>
          <w:noProof/>
        </w:rPr>
        <w:drawing>
          <wp:anchor distT="0" distB="0" distL="114300" distR="114300" simplePos="0" relativeHeight="251658244" behindDoc="0" locked="0" layoutInCell="1" allowOverlap="1" wp14:anchorId="4AE22793" wp14:editId="50E13190">
            <wp:simplePos x="0" y="0"/>
            <wp:positionH relativeFrom="margin">
              <wp:align>right</wp:align>
            </wp:positionH>
            <wp:positionV relativeFrom="paragraph">
              <wp:posOffset>33655</wp:posOffset>
            </wp:positionV>
            <wp:extent cx="3369945" cy="2876550"/>
            <wp:effectExtent l="0" t="0" r="1905" b="0"/>
            <wp:wrapThrough wrapText="bothSides">
              <wp:wrapPolygon edited="0">
                <wp:start x="0" y="0"/>
                <wp:lineTo x="0" y="21457"/>
                <wp:lineTo x="21490" y="21457"/>
                <wp:lineTo x="21490" y="0"/>
                <wp:lineTo x="0" y="0"/>
              </wp:wrapPolygon>
            </wp:wrapThrough>
            <wp:docPr id="24" name="Picture 24" descr="Image of 5 moments of hand hygiene. &#10;Before touching patient&#10;Before a procedure&#10;After a procedure&#10;After touching patient&#10;After touching patient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8" descr="Image of 5 moments of hand hygiene. &#10;Before touching patient&#10;Before a procedure&#10;After a procedure&#10;After touching patient&#10;After touching patient surroundings"/>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336994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BB" w:rsidRPr="00294463">
        <w:t xml:space="preserve">Staff should perform </w:t>
      </w:r>
      <w:r w:rsidR="00077DBB" w:rsidRPr="00294463">
        <w:rPr>
          <w:b/>
        </w:rPr>
        <w:t>hand hygiene</w:t>
      </w:r>
      <w:r w:rsidR="00077DBB" w:rsidRPr="00294463">
        <w:t xml:space="preserve"> before and after every encounter in accordance with the 5 Moments for Hand Hygiene. Glove use is not recommended when vaccinating. Glove use is not a substitute for hand hygiene and if used, hand hygiene must be performed before and after application of gloves and must be changed after each encounter.</w:t>
      </w:r>
    </w:p>
    <w:p w14:paraId="7BA5C454" w14:textId="0CC9E817" w:rsidR="00E36814" w:rsidRDefault="00077DBB" w:rsidP="00077DBB">
      <w:pPr>
        <w:pStyle w:val="Body"/>
      </w:pPr>
      <w:r w:rsidRPr="00294463">
        <w:t xml:space="preserve">Further information about the 5 Moments for Hand Hygiene </w:t>
      </w:r>
      <w:r w:rsidR="00F4751D">
        <w:t xml:space="preserve">and </w:t>
      </w:r>
      <w:r w:rsidR="00562893">
        <w:t xml:space="preserve">resources such as hand hygiene posters </w:t>
      </w:r>
      <w:r w:rsidRPr="00294463">
        <w:t xml:space="preserve">can be found </w:t>
      </w:r>
      <w:r w:rsidR="006D457B">
        <w:t xml:space="preserve">at </w:t>
      </w:r>
      <w:r w:rsidR="00DE5333" w:rsidRPr="00C33CCC">
        <w:t>Australian Commission on Safety and Quality in Health Care</w:t>
      </w:r>
      <w:r w:rsidRPr="00294463">
        <w:t xml:space="preserve"> </w:t>
      </w:r>
      <w:r w:rsidR="006D457B">
        <w:t>website</w:t>
      </w:r>
      <w:r w:rsidR="00DE5333">
        <w:rPr>
          <w:rStyle w:val="FootnoteReference"/>
        </w:rPr>
        <w:footnoteReference w:id="16"/>
      </w:r>
      <w:r w:rsidR="00DE5333">
        <w:t>.</w:t>
      </w:r>
      <w:r w:rsidR="006D457B">
        <w:t xml:space="preserve"> </w:t>
      </w:r>
    </w:p>
    <w:p w14:paraId="59611AE2" w14:textId="0656B2F9" w:rsidR="00E36814" w:rsidRPr="000D4DEB" w:rsidRDefault="00E36814" w:rsidP="000D4DEB">
      <w:pPr>
        <w:pStyle w:val="Body"/>
        <w:ind w:left="2880" w:firstLine="720"/>
        <w:jc w:val="center"/>
        <w:rPr>
          <w:b/>
          <w:bCs/>
          <w:sz w:val="20"/>
        </w:rPr>
      </w:pPr>
      <w:r w:rsidRPr="000D4DEB">
        <w:rPr>
          <w:b/>
          <w:bCs/>
          <w:sz w:val="20"/>
        </w:rPr>
        <w:t xml:space="preserve">Figure 2 – Five moments of hand hygiene </w:t>
      </w:r>
    </w:p>
    <w:p w14:paraId="31326CA6" w14:textId="77777777" w:rsidR="00E36814" w:rsidRDefault="00E36814" w:rsidP="00077DBB">
      <w:pPr>
        <w:pStyle w:val="Body"/>
      </w:pPr>
    </w:p>
    <w:p w14:paraId="675C4197" w14:textId="0E25A339" w:rsidR="00077DBB" w:rsidRPr="00E63533" w:rsidRDefault="00077DBB" w:rsidP="00077DBB">
      <w:pPr>
        <w:pStyle w:val="Heading2"/>
      </w:pPr>
      <w:bookmarkStart w:id="96" w:name="_Toc73627092"/>
      <w:bookmarkStart w:id="97" w:name="_Toc1842415591"/>
      <w:bookmarkStart w:id="98" w:name="_Toc112154572"/>
      <w:bookmarkStart w:id="99" w:name="_Toc112315633"/>
      <w:bookmarkStart w:id="100" w:name="_Toc176344984"/>
      <w:r w:rsidRPr="00F23471">
        <w:t xml:space="preserve">Personal </w:t>
      </w:r>
      <w:r w:rsidR="00544E60" w:rsidRPr="00F23471">
        <w:t>p</w:t>
      </w:r>
      <w:r w:rsidRPr="00F23471">
        <w:t xml:space="preserve">rotective </w:t>
      </w:r>
      <w:r w:rsidR="00544E60" w:rsidRPr="00F23471">
        <w:t>e</w:t>
      </w:r>
      <w:r w:rsidRPr="00F23471">
        <w:t>quipment (PPE)</w:t>
      </w:r>
      <w:bookmarkStart w:id="101" w:name="_Hlk63155054"/>
      <w:bookmarkEnd w:id="96"/>
      <w:bookmarkEnd w:id="97"/>
      <w:bookmarkEnd w:id="98"/>
      <w:bookmarkEnd w:id="99"/>
      <w:bookmarkEnd w:id="100"/>
    </w:p>
    <w:p w14:paraId="62917929" w14:textId="6BD4E0E4" w:rsidR="006D457B" w:rsidRDefault="00077DBB" w:rsidP="00C317A5">
      <w:pPr>
        <w:pStyle w:val="Body"/>
        <w:rPr>
          <w:rStyle w:val="Hyperlink"/>
          <w:rFonts w:cs="Arial"/>
          <w:szCs w:val="21"/>
          <w:lang w:eastAsia="en-AU"/>
        </w:rPr>
      </w:pPr>
      <w:r w:rsidRPr="00A3303A">
        <w:rPr>
          <w:lang w:eastAsia="en-AU"/>
        </w:rPr>
        <w:t>Vaccination providers must keep up to date with the latest recommendations regarding use of PPE for the Victorian health sector during the mpox outbreak response</w:t>
      </w:r>
      <w:r>
        <w:rPr>
          <w:lang w:eastAsia="en-AU"/>
        </w:rPr>
        <w:t xml:space="preserve"> and </w:t>
      </w:r>
      <w:r w:rsidR="00ED08DC">
        <w:rPr>
          <w:lang w:eastAsia="en-AU"/>
        </w:rPr>
        <w:t xml:space="preserve">circulating COVID-19 virus. </w:t>
      </w:r>
      <w:bookmarkEnd w:id="101"/>
      <w:r w:rsidR="00C317A5">
        <w:rPr>
          <w:rFonts w:cs="Arial"/>
          <w:color w:val="000000"/>
          <w:szCs w:val="21"/>
          <w:lang w:eastAsia="en-AU"/>
        </w:rPr>
        <w:t xml:space="preserve">Requirements are </w:t>
      </w:r>
      <w:r w:rsidRPr="00106055">
        <w:rPr>
          <w:rFonts w:cs="Arial"/>
          <w:color w:val="000000"/>
          <w:szCs w:val="21"/>
          <w:lang w:eastAsia="en-AU"/>
        </w:rPr>
        <w:t xml:space="preserve">detailed </w:t>
      </w:r>
      <w:r w:rsidR="006973B7">
        <w:rPr>
          <w:rFonts w:cs="Arial"/>
          <w:color w:val="000000"/>
          <w:szCs w:val="21"/>
          <w:lang w:eastAsia="en-AU"/>
        </w:rPr>
        <w:t>on</w:t>
      </w:r>
      <w:r w:rsidRPr="00106055">
        <w:rPr>
          <w:rFonts w:cs="Arial"/>
          <w:color w:val="000000"/>
          <w:szCs w:val="21"/>
          <w:lang w:eastAsia="en-AU"/>
        </w:rPr>
        <w:t xml:space="preserve"> the </w:t>
      </w:r>
      <w:r w:rsidR="006973B7">
        <w:rPr>
          <w:rFonts w:cs="Arial"/>
          <w:color w:val="000000"/>
          <w:szCs w:val="21"/>
          <w:lang w:eastAsia="en-AU"/>
        </w:rPr>
        <w:t xml:space="preserve">department’s </w:t>
      </w:r>
      <w:r w:rsidR="00C317A5" w:rsidRPr="00C317A5">
        <w:rPr>
          <w:rFonts w:cs="Arial"/>
          <w:szCs w:val="21"/>
          <w:lang w:eastAsia="en-AU"/>
        </w:rPr>
        <w:t xml:space="preserve">Personal protective equipment (PPE) </w:t>
      </w:r>
      <w:r w:rsidR="006973B7" w:rsidRPr="006973B7">
        <w:rPr>
          <w:rStyle w:val="Hyperlink"/>
          <w:rFonts w:cs="Arial"/>
          <w:color w:val="auto"/>
          <w:szCs w:val="21"/>
          <w:u w:val="none"/>
          <w:lang w:eastAsia="en-AU"/>
        </w:rPr>
        <w:t>web page</w:t>
      </w:r>
      <w:r w:rsidR="003A2861">
        <w:rPr>
          <w:rStyle w:val="FootnoteReference"/>
          <w:rFonts w:cs="Arial"/>
          <w:szCs w:val="21"/>
          <w:lang w:eastAsia="en-AU"/>
        </w:rPr>
        <w:footnoteReference w:id="17"/>
      </w:r>
      <w:r w:rsidR="006973B7" w:rsidRPr="006973B7">
        <w:rPr>
          <w:rStyle w:val="Hyperlink"/>
          <w:rFonts w:cs="Arial"/>
          <w:color w:val="auto"/>
          <w:szCs w:val="21"/>
          <w:u w:val="none"/>
          <w:lang w:eastAsia="en-AU"/>
        </w:rPr>
        <w:t>.</w:t>
      </w:r>
      <w:r w:rsidR="006D457B" w:rsidRPr="006973B7">
        <w:rPr>
          <w:rStyle w:val="Hyperlink"/>
          <w:rFonts w:cs="Arial"/>
          <w:color w:val="auto"/>
          <w:szCs w:val="21"/>
          <w:lang w:eastAsia="en-AU"/>
        </w:rPr>
        <w:t xml:space="preserve"> </w:t>
      </w:r>
    </w:p>
    <w:p w14:paraId="115761AE" w14:textId="5388EFE0" w:rsidR="00C317A5" w:rsidRDefault="00077DBB" w:rsidP="000468A1">
      <w:r w:rsidRPr="0037124F">
        <w:t xml:space="preserve">Assess risk levels associated with client health when </w:t>
      </w:r>
      <w:r w:rsidR="002B1376">
        <w:t>attending</w:t>
      </w:r>
      <w:r w:rsidRPr="0037124F">
        <w:t xml:space="preserve"> post exposure </w:t>
      </w:r>
      <w:r w:rsidR="003C759A">
        <w:t xml:space="preserve">preventative </w:t>
      </w:r>
      <w:r w:rsidR="002150E7">
        <w:t xml:space="preserve">vaccination </w:t>
      </w:r>
      <w:r w:rsidRPr="0037124F">
        <w:t>(PEP</w:t>
      </w:r>
      <w:r w:rsidR="002150E7">
        <w:t>V</w:t>
      </w:r>
      <w:r>
        <w:t>). Recommended</w:t>
      </w:r>
      <w:r w:rsidRPr="0037124F">
        <w:t xml:space="preserve"> minimum level of required PPE includ</w:t>
      </w:r>
      <w:r>
        <w:t>es</w:t>
      </w:r>
      <w:r w:rsidRPr="0037124F">
        <w:t xml:space="preserve"> fluid repellent surgical mask, eye protection such as face shield/goggles, </w:t>
      </w:r>
      <w:r w:rsidR="0093459E">
        <w:t xml:space="preserve">water repellent gown </w:t>
      </w:r>
      <w:r w:rsidRPr="0037124F">
        <w:t>and gloves.</w:t>
      </w:r>
      <w:r>
        <w:t xml:space="preserve"> </w:t>
      </w:r>
      <w:r w:rsidRPr="0037124F">
        <w:t xml:space="preserve">Further guidance is provided </w:t>
      </w:r>
      <w:r w:rsidR="00C317A5">
        <w:t>by ICEG Interim Guidance on Monkeypox for Health Workers</w:t>
      </w:r>
      <w:r w:rsidR="00C317A5">
        <w:rPr>
          <w:rStyle w:val="FootnoteReference"/>
        </w:rPr>
        <w:footnoteReference w:id="18"/>
      </w:r>
      <w:r w:rsidR="00C317A5">
        <w:t xml:space="preserve">. </w:t>
      </w:r>
    </w:p>
    <w:p w14:paraId="10C218E3" w14:textId="77777777" w:rsidR="00077DBB" w:rsidRPr="00335F2A" w:rsidRDefault="00077DBB" w:rsidP="00BB2128">
      <w:pPr>
        <w:pStyle w:val="Heading2"/>
      </w:pPr>
      <w:bookmarkStart w:id="102" w:name="_Toc73627093"/>
      <w:bookmarkStart w:id="103" w:name="_Toc515385813"/>
      <w:bookmarkStart w:id="104" w:name="_Toc112154573"/>
      <w:bookmarkStart w:id="105" w:name="_Toc112315634"/>
      <w:bookmarkStart w:id="106" w:name="_Toc176344985"/>
      <w:r w:rsidRPr="00683842">
        <w:t>Cleaning and disinfection</w:t>
      </w:r>
      <w:bookmarkEnd w:id="102"/>
      <w:bookmarkEnd w:id="103"/>
      <w:bookmarkEnd w:id="104"/>
      <w:bookmarkEnd w:id="105"/>
      <w:bookmarkEnd w:id="106"/>
    </w:p>
    <w:p w14:paraId="0141654E" w14:textId="40E1D4B9" w:rsidR="00077DBB" w:rsidRPr="00E574AB" w:rsidRDefault="00077DBB" w:rsidP="00077DBB">
      <w:pPr>
        <w:pStyle w:val="Bullet1"/>
      </w:pPr>
      <w:r w:rsidRPr="00E574AB">
        <w:t xml:space="preserve">All providers </w:t>
      </w:r>
      <w:r w:rsidR="0077297B">
        <w:t xml:space="preserve">should </w:t>
      </w:r>
      <w:r w:rsidRPr="00E574AB">
        <w:t>have an environmental cleaning and disinfection schedule. The schedule should list which surfaces are to be cleaned, how frequently, what cleaning and disinfectant product(s) to use and by whom.</w:t>
      </w:r>
    </w:p>
    <w:p w14:paraId="44D81496" w14:textId="77777777" w:rsidR="00077DBB" w:rsidRPr="00E574AB" w:rsidRDefault="00077DBB" w:rsidP="00077DBB">
      <w:pPr>
        <w:pStyle w:val="Bullet1"/>
      </w:pPr>
      <w:r w:rsidRPr="00E574AB">
        <w:t>All surfaces should be free of clutter to enable cleaning to occur.</w:t>
      </w:r>
    </w:p>
    <w:p w14:paraId="309AA1A0" w14:textId="77777777" w:rsidR="00077DBB" w:rsidRPr="00E574AB" w:rsidRDefault="00077DBB" w:rsidP="00077DBB">
      <w:pPr>
        <w:pStyle w:val="Bullet1"/>
      </w:pPr>
      <w:r w:rsidRPr="00E574AB">
        <w:t>All shared equipment is to be cleaned and disinfected between each use as per healthcare service protocols and manufacturers’ instructions.</w:t>
      </w:r>
    </w:p>
    <w:p w14:paraId="53C67388" w14:textId="7F73484B" w:rsidR="002F1E29" w:rsidRPr="006973B7" w:rsidRDefault="00077DBB" w:rsidP="002F1E29">
      <w:pPr>
        <w:rPr>
          <w:rFonts w:asciiTheme="minorHAnsi" w:hAnsiTheme="minorHAnsi"/>
          <w:sz w:val="22"/>
        </w:rPr>
      </w:pPr>
      <w:r>
        <w:rPr>
          <w:szCs w:val="21"/>
        </w:rPr>
        <w:t xml:space="preserve">Further information regarding environmental cleaning in the context of </w:t>
      </w:r>
      <w:r w:rsidR="00EC03ED">
        <w:rPr>
          <w:szCs w:val="21"/>
        </w:rPr>
        <w:t xml:space="preserve">circulating </w:t>
      </w:r>
      <w:r>
        <w:rPr>
          <w:szCs w:val="21"/>
        </w:rPr>
        <w:t xml:space="preserve">COVID-19 </w:t>
      </w:r>
      <w:r w:rsidR="00EC03ED">
        <w:rPr>
          <w:szCs w:val="21"/>
        </w:rPr>
        <w:t xml:space="preserve">virus </w:t>
      </w:r>
      <w:r w:rsidR="00E17BC1">
        <w:rPr>
          <w:szCs w:val="21"/>
        </w:rPr>
        <w:t>is provided in the</w:t>
      </w:r>
      <w:r>
        <w:rPr>
          <w:szCs w:val="21"/>
        </w:rPr>
        <w:t xml:space="preserve"> department’s</w:t>
      </w:r>
      <w:r w:rsidR="006973B7">
        <w:rPr>
          <w:szCs w:val="21"/>
        </w:rPr>
        <w:t xml:space="preserve"> </w:t>
      </w:r>
      <w:r w:rsidR="006A4980" w:rsidRPr="00E17BC1">
        <w:rPr>
          <w:szCs w:val="21"/>
        </w:rPr>
        <w:t>Standard and transmission-based precautions</w:t>
      </w:r>
      <w:r w:rsidR="00E17BC1">
        <w:rPr>
          <w:szCs w:val="21"/>
        </w:rPr>
        <w:t xml:space="preserve"> webpage</w:t>
      </w:r>
      <w:r w:rsidR="006A4980">
        <w:rPr>
          <w:szCs w:val="21"/>
        </w:rPr>
        <w:t>.</w:t>
      </w:r>
      <w:r w:rsidR="006A4980" w:rsidRPr="00E17BC1">
        <w:rPr>
          <w:rStyle w:val="FootnoteReference"/>
          <w:szCs w:val="21"/>
        </w:rPr>
        <w:footnoteReference w:id="19"/>
      </w:r>
      <w:r w:rsidR="006A4980" w:rsidRPr="00E17BC1">
        <w:rPr>
          <w:szCs w:val="21"/>
        </w:rPr>
        <w:t xml:space="preserve"> </w:t>
      </w:r>
      <w:r w:rsidR="006973B7" w:rsidRPr="006973B7">
        <w:rPr>
          <w:szCs w:val="21"/>
        </w:rPr>
        <w:t xml:space="preserve"> </w:t>
      </w:r>
    </w:p>
    <w:p w14:paraId="043702FC" w14:textId="4A364D8A" w:rsidR="003A2861" w:rsidRDefault="00E17BC1" w:rsidP="00BB2128">
      <w:r>
        <w:rPr>
          <w:szCs w:val="21"/>
        </w:rPr>
        <w:t>Refer</w:t>
      </w:r>
      <w:r w:rsidR="003A2861">
        <w:t xml:space="preserve"> to </w:t>
      </w:r>
      <w:r w:rsidR="006A4980" w:rsidRPr="006A4980">
        <w:t>ICEG interim guidance on Monkeypox for health workers</w:t>
      </w:r>
      <w:r>
        <w:t>, for f</w:t>
      </w:r>
      <w:r w:rsidRPr="00B72C9F">
        <w:t xml:space="preserve">urther information regarding environmental cleaning </w:t>
      </w:r>
      <w:r>
        <w:t>for mpox</w:t>
      </w:r>
      <w:r w:rsidR="006A4980">
        <w:t>.</w:t>
      </w:r>
      <w:r w:rsidR="006A4980">
        <w:rPr>
          <w:vertAlign w:val="superscript"/>
        </w:rPr>
        <w:t>17</w:t>
      </w:r>
      <w:r w:rsidR="003A2861">
        <w:t xml:space="preserve">  </w:t>
      </w:r>
    </w:p>
    <w:p w14:paraId="5DEAFF44" w14:textId="0504527B" w:rsidR="00077DBB" w:rsidRPr="00335F2A" w:rsidRDefault="00077DBB" w:rsidP="00770841">
      <w:pPr>
        <w:pStyle w:val="Heading2"/>
      </w:pPr>
      <w:bookmarkStart w:id="107" w:name="_Toc73627094"/>
      <w:bookmarkStart w:id="108" w:name="_Toc1664371431"/>
      <w:bookmarkStart w:id="109" w:name="_Toc112154574"/>
      <w:bookmarkStart w:id="110" w:name="_Toc112315635"/>
      <w:bookmarkStart w:id="111" w:name="_Toc176344986"/>
      <w:r w:rsidRPr="00683842">
        <w:t>Waste management</w:t>
      </w:r>
      <w:bookmarkEnd w:id="107"/>
      <w:r w:rsidRPr="00335F2A">
        <w:t xml:space="preserve"> and disposal</w:t>
      </w:r>
      <w:bookmarkEnd w:id="108"/>
      <w:bookmarkEnd w:id="109"/>
      <w:bookmarkEnd w:id="110"/>
      <w:bookmarkEnd w:id="111"/>
    </w:p>
    <w:p w14:paraId="14FCCCF8" w14:textId="6B3D9C81" w:rsidR="00F23471" w:rsidRDefault="00077DBB" w:rsidP="00897DFE">
      <w:r>
        <w:t xml:space="preserve">At minimum, standard precautions apply, and waste should be disposed of in line with state legislation regarding clinical and related waste. </w:t>
      </w:r>
      <w:r w:rsidRPr="00A627AF">
        <w:t xml:space="preserve">All waste should be segregated into appropriate waste streams, for example general waste and clinic waste, including sharps. Vaccination providers must follow their normal waste management processes for the disposal of vaccine vials. </w:t>
      </w:r>
      <w:r w:rsidR="00E17BC1">
        <w:t xml:space="preserve">Refer to the department’s </w:t>
      </w:r>
      <w:r w:rsidR="00E17BC1" w:rsidRPr="00E17BC1">
        <w:t>Clinical Waste Guid</w:t>
      </w:r>
      <w:r w:rsidR="00E17BC1">
        <w:t>elines</w:t>
      </w:r>
      <w:r w:rsidR="00E17BC1">
        <w:rPr>
          <w:rStyle w:val="FootnoteReference"/>
        </w:rPr>
        <w:footnoteReference w:id="20"/>
      </w:r>
      <w:r w:rsidR="00E17BC1">
        <w:t xml:space="preserve"> </w:t>
      </w:r>
      <w:r w:rsidR="00F23471">
        <w:t xml:space="preserve">and the </w:t>
      </w:r>
      <w:r w:rsidRPr="00A627AF">
        <w:t>Environment Protection Authority (EPA) Victoria</w:t>
      </w:r>
      <w:r w:rsidR="00F23471" w:rsidRPr="00F23471">
        <w:t xml:space="preserve"> </w:t>
      </w:r>
      <w:r w:rsidR="00F23471">
        <w:t>for further details.</w:t>
      </w:r>
      <w:r w:rsidR="00F23471">
        <w:rPr>
          <w:rStyle w:val="FootnoteReference"/>
        </w:rPr>
        <w:footnoteReference w:id="21"/>
      </w:r>
      <w:r w:rsidRPr="00A627AF">
        <w:t xml:space="preserve"> </w:t>
      </w:r>
    </w:p>
    <w:p w14:paraId="75B168ED" w14:textId="0BFF976D" w:rsidR="000909D7" w:rsidRPr="00150F45" w:rsidRDefault="000909D7" w:rsidP="00A73A9D">
      <w:pPr>
        <w:pStyle w:val="Bullet1"/>
        <w:numPr>
          <w:ilvl w:val="0"/>
          <w:numId w:val="0"/>
        </w:numPr>
        <w:spacing w:after="0" w:line="240" w:lineRule="auto"/>
      </w:pPr>
      <w:r>
        <w:br w:type="page"/>
      </w:r>
    </w:p>
    <w:p w14:paraId="5F1A2081" w14:textId="77777777" w:rsidR="00077DBB" w:rsidRPr="00D675FA" w:rsidRDefault="00077DBB" w:rsidP="001F2950">
      <w:pPr>
        <w:pStyle w:val="Heading1"/>
        <w:spacing w:before="360" w:after="120"/>
      </w:pPr>
      <w:bookmarkStart w:id="112" w:name="_Toc112154579"/>
      <w:bookmarkStart w:id="113" w:name="_Toc112315641"/>
      <w:bookmarkStart w:id="114" w:name="_Toc176344987"/>
      <w:r w:rsidRPr="00D675FA">
        <w:t>Vaccination procedures</w:t>
      </w:r>
      <w:bookmarkEnd w:id="112"/>
      <w:bookmarkEnd w:id="113"/>
      <w:bookmarkEnd w:id="114"/>
    </w:p>
    <w:p w14:paraId="561E8081" w14:textId="13CC765D" w:rsidR="001078AA" w:rsidRDefault="00F23471" w:rsidP="00604C90">
      <w:pPr>
        <w:pStyle w:val="Body"/>
        <w:rPr>
          <w:rFonts w:cs="Arial"/>
        </w:rPr>
      </w:pPr>
      <w:r>
        <w:rPr>
          <w:rFonts w:cs="Arial"/>
        </w:rPr>
        <w:t xml:space="preserve">Victorian immunisation providers </w:t>
      </w:r>
      <w:r w:rsidR="00077DBB" w:rsidRPr="00205CB0">
        <w:rPr>
          <w:rFonts w:cs="Arial"/>
        </w:rPr>
        <w:t xml:space="preserve">must administer </w:t>
      </w:r>
      <w:r w:rsidR="00C2313B" w:rsidRPr="00205CB0">
        <w:rPr>
          <w:rFonts w:cs="Arial"/>
        </w:rPr>
        <w:t xml:space="preserve">the </w:t>
      </w:r>
      <w:r w:rsidR="00C2313B" w:rsidRPr="00205CB0">
        <w:rPr>
          <w:rFonts w:cs="Arial"/>
          <w:szCs w:val="21"/>
          <w:lang w:eastAsia="en-AU"/>
        </w:rPr>
        <w:t>JYNNEOS</w:t>
      </w:r>
      <w:r w:rsidR="00C2313B" w:rsidRPr="00205CB0">
        <w:rPr>
          <w:rFonts w:cs="Arial"/>
          <w:szCs w:val="21"/>
          <w:vertAlign w:val="superscript"/>
          <w:lang w:eastAsia="en-AU"/>
        </w:rPr>
        <w:t>®</w:t>
      </w:r>
      <w:r w:rsidR="00C2313B" w:rsidRPr="00205CB0">
        <w:rPr>
          <w:rFonts w:cs="Arial"/>
          <w:szCs w:val="21"/>
          <w:lang w:eastAsia="en-AU"/>
        </w:rPr>
        <w:t xml:space="preserve"> vaccine </w:t>
      </w:r>
      <w:r w:rsidR="00077DBB" w:rsidRPr="00205CB0">
        <w:rPr>
          <w:rFonts w:cs="Arial"/>
        </w:rPr>
        <w:t xml:space="preserve">in line with </w:t>
      </w:r>
      <w:r w:rsidRPr="00F23471">
        <w:rPr>
          <w:rFonts w:cs="Arial"/>
        </w:rPr>
        <w:t xml:space="preserve">ATAGI clinical guidance </w:t>
      </w:r>
      <w:r>
        <w:rPr>
          <w:rFonts w:cs="Arial"/>
        </w:rPr>
        <w:t>in the Australian Immunisation Handbook</w:t>
      </w:r>
      <w:r>
        <w:rPr>
          <w:rStyle w:val="FootnoteReference"/>
          <w:rFonts w:cs="Arial"/>
        </w:rPr>
        <w:footnoteReference w:id="22"/>
      </w:r>
      <w:r>
        <w:rPr>
          <w:rFonts w:cs="Arial"/>
        </w:rPr>
        <w:t xml:space="preserve"> and these guidelines. </w:t>
      </w:r>
      <w:r w:rsidRPr="00F23471">
        <w:rPr>
          <w:rFonts w:cs="Arial"/>
        </w:rPr>
        <w:t xml:space="preserve"> </w:t>
      </w:r>
    </w:p>
    <w:p w14:paraId="1CE9DAF2" w14:textId="34C1CF26" w:rsidR="00F23471" w:rsidRDefault="00077DBB" w:rsidP="00604C90">
      <w:pPr>
        <w:pStyle w:val="Body"/>
        <w:rPr>
          <w:szCs w:val="21"/>
          <w:shd w:val="clear" w:color="auto" w:fill="FFFFFF"/>
        </w:rPr>
      </w:pPr>
      <w:r w:rsidRPr="00FB2629">
        <w:rPr>
          <w:szCs w:val="21"/>
        </w:rPr>
        <w:t>For general information regarding vaccination procedures refer to</w:t>
      </w:r>
      <w:r w:rsidR="00186ADA">
        <w:rPr>
          <w:szCs w:val="21"/>
        </w:rPr>
        <w:t xml:space="preserve"> the</w:t>
      </w:r>
      <w:r w:rsidRPr="00FB2629">
        <w:rPr>
          <w:szCs w:val="21"/>
        </w:rPr>
        <w:t xml:space="preserve"> </w:t>
      </w:r>
      <w:r w:rsidR="00F23471" w:rsidRPr="001078AA">
        <w:rPr>
          <w:szCs w:val="21"/>
          <w:shd w:val="clear" w:color="auto" w:fill="FFFFFF"/>
        </w:rPr>
        <w:t>Australian Immunisation Handbook</w:t>
      </w:r>
      <w:r w:rsidR="001078AA">
        <w:rPr>
          <w:szCs w:val="21"/>
          <w:shd w:val="clear" w:color="auto" w:fill="FFFFFF"/>
        </w:rPr>
        <w:t>.</w:t>
      </w:r>
      <w:r w:rsidR="001078AA">
        <w:rPr>
          <w:rStyle w:val="FootnoteReference"/>
          <w:szCs w:val="21"/>
          <w:shd w:val="clear" w:color="auto" w:fill="FFFFFF"/>
        </w:rPr>
        <w:footnoteReference w:id="23"/>
      </w:r>
    </w:p>
    <w:p w14:paraId="408B0805" w14:textId="77777777" w:rsidR="00077DBB" w:rsidRPr="000C162E" w:rsidRDefault="00077DBB" w:rsidP="001F2950">
      <w:pPr>
        <w:pStyle w:val="Heading2"/>
        <w:spacing w:before="240"/>
        <w:rPr>
          <w:highlight w:val="yellow"/>
        </w:rPr>
      </w:pPr>
      <w:bookmarkStart w:id="115" w:name="_Toc112154580"/>
      <w:bookmarkStart w:id="116" w:name="_Toc112315642"/>
      <w:bookmarkStart w:id="117" w:name="_Toc176344988"/>
      <w:r w:rsidRPr="00575F11">
        <w:t>Preparation</w:t>
      </w:r>
      <w:bookmarkEnd w:id="115"/>
      <w:bookmarkEnd w:id="116"/>
      <w:bookmarkEnd w:id="117"/>
      <w:r>
        <w:t xml:space="preserve"> </w:t>
      </w:r>
    </w:p>
    <w:p w14:paraId="5EBCAF61" w14:textId="52ACC597" w:rsidR="001078AA" w:rsidRDefault="00077DBB" w:rsidP="001F2950">
      <w:pPr>
        <w:shd w:val="clear" w:color="auto" w:fill="FFFFFF"/>
        <w:spacing w:after="0" w:line="288" w:lineRule="auto"/>
      </w:pPr>
      <w:r w:rsidRPr="008375DF">
        <w:rPr>
          <w:rFonts w:cs="Arial"/>
          <w:szCs w:val="21"/>
          <w:lang w:eastAsia="en-AU"/>
        </w:rPr>
        <w:t xml:space="preserve">Ensure </w:t>
      </w:r>
      <w:r w:rsidR="001F2950">
        <w:rPr>
          <w:rFonts w:cs="Arial"/>
          <w:szCs w:val="21"/>
          <w:lang w:eastAsia="en-AU"/>
        </w:rPr>
        <w:t xml:space="preserve">the </w:t>
      </w:r>
      <w:r w:rsidRPr="00C772DB">
        <w:rPr>
          <w:rFonts w:cs="Arial"/>
          <w:szCs w:val="21"/>
          <w:lang w:eastAsia="en-AU"/>
        </w:rPr>
        <w:t>vaccine refrigerator displays minimum/maximum temperatures within +2°C to +8°C range before removing the vaccine.</w:t>
      </w:r>
      <w:r w:rsidR="001078AA">
        <w:rPr>
          <w:rStyle w:val="FootnoteReference"/>
        </w:rPr>
        <w:footnoteReference w:id="24"/>
      </w:r>
      <w:r w:rsidR="001078AA" w:rsidRPr="001078AA">
        <w:t xml:space="preserve"> </w:t>
      </w:r>
    </w:p>
    <w:p w14:paraId="68257475" w14:textId="0F8BD3E5" w:rsidR="00077DBB" w:rsidRPr="00C772DB"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C772DB">
        <w:rPr>
          <w:rFonts w:cs="Arial"/>
          <w:szCs w:val="21"/>
          <w:lang w:eastAsia="en-AU"/>
        </w:rPr>
        <w:t>take the correct vaccine from the refrigerator </w:t>
      </w:r>
    </w:p>
    <w:p w14:paraId="7FF19267" w14:textId="7C5D33CA" w:rsidR="00077DBB" w:rsidRPr="002F499E" w:rsidRDefault="001F2950" w:rsidP="004846A8">
      <w:pPr>
        <w:pStyle w:val="ListParagraph"/>
        <w:numPr>
          <w:ilvl w:val="0"/>
          <w:numId w:val="36"/>
        </w:numPr>
        <w:shd w:val="clear" w:color="auto" w:fill="FFFFFF"/>
        <w:spacing w:before="60" w:afterLines="60" w:after="144" w:line="288" w:lineRule="auto"/>
        <w:rPr>
          <w:rFonts w:cs="Arial"/>
          <w:szCs w:val="21"/>
          <w:lang w:eastAsia="en-AU"/>
        </w:rPr>
      </w:pPr>
      <w:r>
        <w:rPr>
          <w:rFonts w:cs="Arial"/>
          <w:szCs w:val="21"/>
          <w:lang w:eastAsia="en-AU"/>
        </w:rPr>
        <w:t xml:space="preserve">check the </w:t>
      </w:r>
      <w:r w:rsidR="00077DBB" w:rsidRPr="002F499E">
        <w:rPr>
          <w:rFonts w:cs="Arial"/>
          <w:szCs w:val="21"/>
          <w:lang w:eastAsia="en-AU"/>
        </w:rPr>
        <w:t xml:space="preserve">vaccine </w:t>
      </w:r>
      <w:r w:rsidRPr="001F2950">
        <w:rPr>
          <w:rFonts w:cs="Arial"/>
          <w:b/>
          <w:bCs/>
          <w:szCs w:val="21"/>
          <w:lang w:eastAsia="en-AU"/>
        </w:rPr>
        <w:t xml:space="preserve">revised </w:t>
      </w:r>
      <w:r w:rsidR="00077DBB" w:rsidRPr="001F2950">
        <w:rPr>
          <w:rFonts w:cs="Arial"/>
          <w:b/>
          <w:bCs/>
          <w:szCs w:val="21"/>
          <w:lang w:eastAsia="en-AU"/>
        </w:rPr>
        <w:t>expiry date</w:t>
      </w:r>
      <w:r w:rsidR="00CF55A6">
        <w:rPr>
          <w:rFonts w:cs="Arial"/>
          <w:szCs w:val="21"/>
          <w:lang w:eastAsia="en-AU"/>
        </w:rPr>
        <w:t xml:space="preserve"> </w:t>
      </w:r>
      <w:r>
        <w:rPr>
          <w:rFonts w:cs="Arial"/>
          <w:szCs w:val="21"/>
          <w:lang w:eastAsia="en-AU"/>
        </w:rPr>
        <w:t xml:space="preserve">on the outside of the box </w:t>
      </w:r>
    </w:p>
    <w:p w14:paraId="718A7AD1" w14:textId="46414037" w:rsidR="00077DBB" w:rsidRPr="002F499E" w:rsidRDefault="001F2950" w:rsidP="004846A8">
      <w:pPr>
        <w:pStyle w:val="ListParagraph"/>
        <w:numPr>
          <w:ilvl w:val="0"/>
          <w:numId w:val="36"/>
        </w:numPr>
        <w:shd w:val="clear" w:color="auto" w:fill="FFFFFF"/>
        <w:spacing w:before="60" w:afterLines="60" w:after="144" w:line="288" w:lineRule="auto"/>
        <w:rPr>
          <w:rFonts w:cs="Arial"/>
          <w:szCs w:val="21"/>
          <w:lang w:eastAsia="en-AU"/>
        </w:rPr>
      </w:pPr>
      <w:r>
        <w:rPr>
          <w:rFonts w:cs="Arial"/>
          <w:szCs w:val="21"/>
          <w:lang w:eastAsia="en-AU"/>
        </w:rPr>
        <w:t xml:space="preserve">confirm at least 28 day </w:t>
      </w:r>
      <w:r w:rsidR="00077DBB" w:rsidRPr="002F499E">
        <w:rPr>
          <w:rFonts w:cs="Arial"/>
          <w:szCs w:val="21"/>
          <w:lang w:eastAsia="en-AU"/>
        </w:rPr>
        <w:t>interval between doses</w:t>
      </w:r>
    </w:p>
    <w:p w14:paraId="1988E103" w14:textId="704BB184" w:rsidR="00F17820" w:rsidRPr="001F2950" w:rsidRDefault="00077DBB" w:rsidP="001F2950">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sidRPr="001F2950">
        <w:rPr>
          <w:rFonts w:cs="Arial"/>
          <w:szCs w:val="21"/>
          <w:lang w:eastAsia="en-AU"/>
        </w:rPr>
        <w:t>complete pre vaccination screening</w:t>
      </w:r>
      <w:r w:rsidR="001F2950" w:rsidRPr="001F2950">
        <w:rPr>
          <w:rFonts w:cs="Arial"/>
          <w:szCs w:val="21"/>
          <w:lang w:eastAsia="en-AU"/>
        </w:rPr>
        <w:t xml:space="preserve"> </w:t>
      </w:r>
      <w:r w:rsidR="001F2950">
        <w:rPr>
          <w:rFonts w:cs="Arial"/>
          <w:szCs w:val="21"/>
          <w:lang w:eastAsia="en-AU"/>
        </w:rPr>
        <w:t xml:space="preserve">and </w:t>
      </w:r>
      <w:r w:rsidR="001F2950" w:rsidRPr="001F2950">
        <w:t xml:space="preserve">JYNNEOS® vaccine consent    </w:t>
      </w:r>
    </w:p>
    <w:p w14:paraId="120120B7" w14:textId="609B1B60" w:rsidR="00077DBB" w:rsidRPr="00F17820" w:rsidRDefault="00F17820" w:rsidP="004846A8">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Pr>
          <w:rFonts w:cs="Arial"/>
          <w:lang w:eastAsia="en-AU"/>
        </w:rPr>
        <w:t>w</w:t>
      </w:r>
      <w:r w:rsidR="00077DBB" w:rsidRPr="00F17820">
        <w:rPr>
          <w:rFonts w:cs="Arial"/>
          <w:lang w:eastAsia="en-AU"/>
        </w:rPr>
        <w:t>ash your hands with soap and water or use an alcohol-based hand rub.</w:t>
      </w:r>
    </w:p>
    <w:p w14:paraId="60FCFF74" w14:textId="38E16A30" w:rsidR="00077DBB" w:rsidRPr="00286B55" w:rsidRDefault="00077DBB" w:rsidP="001F2950">
      <w:pPr>
        <w:pStyle w:val="Heading2"/>
        <w:spacing w:before="240"/>
      </w:pPr>
      <w:bookmarkStart w:id="118" w:name="_Toc112154581"/>
      <w:bookmarkStart w:id="119" w:name="_Toc112315643"/>
      <w:bookmarkStart w:id="120" w:name="_Toc176344989"/>
      <w:r>
        <w:t>Preparation for subcutaneous administration</w:t>
      </w:r>
      <w:bookmarkEnd w:id="118"/>
      <w:bookmarkEnd w:id="119"/>
      <w:bookmarkEnd w:id="120"/>
      <w:r>
        <w:t xml:space="preserve"> </w:t>
      </w:r>
      <w:r w:rsidR="00682C98">
        <w:t xml:space="preserve"> </w:t>
      </w:r>
    </w:p>
    <w:p w14:paraId="6C34EB4F" w14:textId="17C08B58" w:rsidR="00682C98" w:rsidRPr="00531C4E" w:rsidRDefault="00682C98" w:rsidP="00682C98">
      <w:pPr>
        <w:shd w:val="clear" w:color="auto" w:fill="FFFFFF" w:themeFill="background1"/>
        <w:spacing w:before="100" w:beforeAutospacing="1" w:after="100" w:afterAutospacing="1" w:line="240" w:lineRule="auto"/>
        <w:rPr>
          <w:rFonts w:cs="Arial"/>
          <w:lang w:eastAsia="en-AU"/>
        </w:rPr>
      </w:pPr>
      <w:r w:rsidRPr="00531C4E">
        <w:rPr>
          <w:rFonts w:cs="Arial"/>
          <w:lang w:eastAsia="en-AU"/>
        </w:rPr>
        <w:t>Prepare the appropriate injection equipment for subcutaneous administration</w:t>
      </w:r>
      <w:r w:rsidR="000435EC" w:rsidRPr="00531C4E">
        <w:rPr>
          <w:rFonts w:cs="Arial"/>
          <w:lang w:eastAsia="en-AU"/>
        </w:rPr>
        <w:t xml:space="preserve"> as per </w:t>
      </w:r>
      <w:r w:rsidR="001F2950">
        <w:rPr>
          <w:rFonts w:cs="Arial"/>
          <w:lang w:eastAsia="en-AU"/>
        </w:rPr>
        <w:t xml:space="preserve">the Australian </w:t>
      </w:r>
      <w:r w:rsidR="000435EC" w:rsidRPr="00531C4E">
        <w:rPr>
          <w:rFonts w:cs="Arial"/>
          <w:lang w:eastAsia="en-AU"/>
        </w:rPr>
        <w:t xml:space="preserve">Immunisation </w:t>
      </w:r>
      <w:r w:rsidR="001F2950">
        <w:rPr>
          <w:rFonts w:cs="Arial"/>
          <w:lang w:eastAsia="en-AU"/>
        </w:rPr>
        <w:t>H</w:t>
      </w:r>
      <w:r w:rsidR="001F2950" w:rsidRPr="00531C4E">
        <w:rPr>
          <w:rFonts w:cs="Arial"/>
          <w:lang w:eastAsia="en-AU"/>
        </w:rPr>
        <w:t>andbook</w:t>
      </w:r>
      <w:r w:rsidR="001F2950">
        <w:rPr>
          <w:rFonts w:cs="Arial"/>
          <w:lang w:eastAsia="en-AU"/>
        </w:rPr>
        <w:t>.</w:t>
      </w:r>
      <w:r w:rsidR="0040734C">
        <w:rPr>
          <w:rFonts w:cs="Arial"/>
          <w:vertAlign w:val="superscript"/>
          <w:lang w:eastAsia="en-AU"/>
        </w:rPr>
        <w:t>22</w:t>
      </w:r>
      <w:r w:rsidR="0036197D" w:rsidRPr="00531C4E">
        <w:rPr>
          <w:rFonts w:cs="Arial"/>
          <w:lang w:eastAsia="en-AU"/>
        </w:rPr>
        <w:t xml:space="preserve"> </w:t>
      </w:r>
    </w:p>
    <w:p w14:paraId="45343407" w14:textId="6A5DFAED" w:rsidR="00682C98" w:rsidRPr="008375DF" w:rsidRDefault="00682C98" w:rsidP="766D1AF9">
      <w:pPr>
        <w:shd w:val="clear" w:color="auto" w:fill="FFFFFF" w:themeFill="background1"/>
        <w:spacing w:before="100" w:beforeAutospacing="1" w:after="0" w:line="288" w:lineRule="auto"/>
        <w:rPr>
          <w:rFonts w:cs="Arial"/>
          <w:lang w:eastAsia="en-AU"/>
        </w:rPr>
      </w:pPr>
      <w:r w:rsidRPr="766D1AF9">
        <w:rPr>
          <w:rFonts w:cs="Arial"/>
          <w:lang w:eastAsia="en-AU"/>
        </w:rPr>
        <w:t xml:space="preserve">If more than </w:t>
      </w:r>
      <w:r w:rsidR="00B34715">
        <w:rPr>
          <w:rFonts w:cs="Arial"/>
          <w:lang w:eastAsia="en-AU"/>
        </w:rPr>
        <w:t>one</w:t>
      </w:r>
      <w:r w:rsidRPr="766D1AF9">
        <w:rPr>
          <w:rFonts w:cs="Arial"/>
          <w:lang w:eastAsia="en-AU"/>
        </w:rPr>
        <w:t xml:space="preserve"> person is being vaccinated at the same visit, prepare vaccines for </w:t>
      </w:r>
      <w:r w:rsidR="00B34715">
        <w:rPr>
          <w:rFonts w:cs="Arial"/>
          <w:lang w:eastAsia="en-AU"/>
        </w:rPr>
        <w:t>one</w:t>
      </w:r>
      <w:r w:rsidRPr="766D1AF9">
        <w:rPr>
          <w:rFonts w:cs="Arial"/>
          <w:lang w:eastAsia="en-AU"/>
        </w:rPr>
        <w:t xml:space="preserve"> person at a time to avoid potential error.</w:t>
      </w:r>
    </w:p>
    <w:p w14:paraId="7EBCD3F8" w14:textId="5592E812" w:rsidR="00682C98" w:rsidRPr="00286B55" w:rsidRDefault="00682C98" w:rsidP="00603DC8">
      <w:pPr>
        <w:pStyle w:val="Body"/>
        <w:numPr>
          <w:ilvl w:val="0"/>
          <w:numId w:val="24"/>
        </w:numPr>
        <w:spacing w:before="120" w:after="0" w:line="288" w:lineRule="auto"/>
        <w:ind w:left="357" w:hanging="357"/>
        <w:rPr>
          <w:rFonts w:asciiTheme="minorHAnsi" w:eastAsiaTheme="minorEastAsia" w:hAnsiTheme="minorHAnsi"/>
          <w:lang w:eastAsia="en-AU"/>
        </w:rPr>
      </w:pPr>
      <w:r w:rsidRPr="00B520E6">
        <w:rPr>
          <w:sz w:val="20"/>
        </w:rPr>
        <w:t>JYNNEOS</w:t>
      </w:r>
      <w:r w:rsidRPr="00DD5691">
        <w:rPr>
          <w:sz w:val="20"/>
          <w:vertAlign w:val="superscript"/>
        </w:rPr>
        <w:t>®</w:t>
      </w:r>
      <w:r w:rsidRPr="00B520E6">
        <w:rPr>
          <w:sz w:val="20"/>
        </w:rPr>
        <w:t xml:space="preserve"> </w:t>
      </w:r>
      <w:r w:rsidR="00524372">
        <w:rPr>
          <w:rFonts w:cs="Arial"/>
        </w:rPr>
        <w:t>v</w:t>
      </w:r>
      <w:r w:rsidRPr="7986AA1A">
        <w:rPr>
          <w:rFonts w:cs="Arial"/>
        </w:rPr>
        <w:t xml:space="preserve">ials should be kept refrigerated until use. </w:t>
      </w:r>
    </w:p>
    <w:p w14:paraId="2D1CD2B9" w14:textId="38E16A30" w:rsidR="00682C98" w:rsidRPr="00286B55" w:rsidRDefault="00682C98" w:rsidP="00603DC8">
      <w:pPr>
        <w:pStyle w:val="Body"/>
        <w:numPr>
          <w:ilvl w:val="0"/>
          <w:numId w:val="24"/>
        </w:numPr>
        <w:spacing w:after="0" w:line="288" w:lineRule="auto"/>
        <w:ind w:left="357" w:hanging="357"/>
        <w:rPr>
          <w:lang w:eastAsia="en-AU"/>
        </w:rPr>
      </w:pPr>
      <w:r w:rsidRPr="7986AA1A">
        <w:rPr>
          <w:rFonts w:eastAsia="Times New Roman" w:cs="Arial"/>
          <w:lang w:eastAsia="en-AU"/>
        </w:rPr>
        <w:t>When</w:t>
      </w:r>
      <w:r w:rsidRPr="7986AA1A">
        <w:rPr>
          <w:rFonts w:eastAsia="Times New Roman" w:cs="Arial"/>
          <w:b/>
          <w:lang w:eastAsia="en-AU"/>
        </w:rPr>
        <w:t xml:space="preserve"> </w:t>
      </w:r>
      <w:r w:rsidRPr="7986AA1A">
        <w:rPr>
          <w:rFonts w:eastAsia="Times New Roman" w:cs="Arial"/>
          <w:lang w:eastAsia="en-AU"/>
        </w:rPr>
        <w:t>thawed, JYNNEOS</w:t>
      </w:r>
      <w:r w:rsidRPr="00DD5691">
        <w:rPr>
          <w:sz w:val="20"/>
          <w:vertAlign w:val="superscript"/>
        </w:rPr>
        <w:t>®</w:t>
      </w:r>
      <w:r w:rsidRPr="7986AA1A">
        <w:rPr>
          <w:rFonts w:eastAsia="Times New Roman" w:cs="Arial"/>
          <w:lang w:eastAsia="en-AU"/>
        </w:rPr>
        <w:t xml:space="preserve"> is a milky, light yellow to pale white </w:t>
      </w:r>
      <w:r w:rsidRPr="537E3E3B">
        <w:rPr>
          <w:rFonts w:eastAsia="Times New Roman" w:cs="Arial"/>
          <w:lang w:eastAsia="en-AU"/>
        </w:rPr>
        <w:t>coloured</w:t>
      </w:r>
      <w:r w:rsidRPr="7986AA1A">
        <w:rPr>
          <w:rFonts w:eastAsia="Times New Roman" w:cs="Arial"/>
          <w:lang w:eastAsia="en-AU"/>
        </w:rPr>
        <w:t xml:space="preserve"> suspension.</w:t>
      </w:r>
    </w:p>
    <w:p w14:paraId="020BA7AA" w14:textId="41E8DDF9" w:rsidR="00A756F3" w:rsidRPr="000435EC" w:rsidRDefault="00682C98" w:rsidP="00EC31B1">
      <w:pPr>
        <w:numPr>
          <w:ilvl w:val="0"/>
          <w:numId w:val="21"/>
        </w:numPr>
        <w:pBdr>
          <w:bottom w:val="single" w:sz="4" w:space="1" w:color="auto"/>
        </w:pBdr>
        <w:shd w:val="clear" w:color="auto" w:fill="FFFFFF" w:themeFill="background1"/>
        <w:tabs>
          <w:tab w:val="clear" w:pos="1440"/>
          <w:tab w:val="num" w:pos="1083"/>
        </w:tabs>
        <w:spacing w:after="0" w:line="288" w:lineRule="auto"/>
        <w:ind w:left="357" w:hanging="357"/>
        <w:contextualSpacing/>
        <w:rPr>
          <w:rFonts w:cs="Arial"/>
          <w:szCs w:val="21"/>
        </w:rPr>
      </w:pPr>
      <w:r w:rsidRPr="000435EC">
        <w:rPr>
          <w:rFonts w:cs="Arial"/>
          <w:lang w:eastAsia="en-AU"/>
        </w:rPr>
        <w:t xml:space="preserve">Swirl the vial gently before use for at least 30 seconds. </w:t>
      </w:r>
    </w:p>
    <w:p w14:paraId="68CC046A" w14:textId="77777777" w:rsidR="001F2950" w:rsidRDefault="00077DBB" w:rsidP="00EC31B1">
      <w:pPr>
        <w:pStyle w:val="NormalWeb"/>
        <w:pBdr>
          <w:bottom w:val="single" w:sz="4" w:space="1" w:color="auto"/>
        </w:pBdr>
        <w:shd w:val="clear" w:color="auto" w:fill="FFFFFF" w:themeFill="background1"/>
        <w:spacing w:before="120" w:beforeAutospacing="0" w:after="0" w:afterAutospacing="0" w:line="288" w:lineRule="auto"/>
        <w:rPr>
          <w:rFonts w:ascii="Arial" w:hAnsi="Arial" w:cs="Arial"/>
          <w:sz w:val="21"/>
          <w:szCs w:val="21"/>
        </w:rPr>
      </w:pPr>
      <w:r w:rsidRPr="00B33DDD">
        <w:rPr>
          <w:rFonts w:ascii="Arial" w:hAnsi="Arial" w:cs="Arial"/>
          <w:sz w:val="21"/>
          <w:szCs w:val="21"/>
        </w:rPr>
        <w:t xml:space="preserve">Remove the cap carefully to maintain sterility of the rubber bung. There is generally no need to wipe the rubber bung </w:t>
      </w:r>
      <w:r w:rsidRPr="00116949">
        <w:rPr>
          <w:rFonts w:ascii="Arial" w:hAnsi="Arial" w:cs="Arial"/>
          <w:sz w:val="21"/>
          <w:szCs w:val="21"/>
        </w:rPr>
        <w:t>of single-dose vials</w:t>
      </w:r>
      <w:r w:rsidRPr="00B33DDD">
        <w:rPr>
          <w:rFonts w:ascii="Arial" w:hAnsi="Arial" w:cs="Arial"/>
          <w:sz w:val="21"/>
          <w:szCs w:val="21"/>
        </w:rPr>
        <w:t xml:space="preserve"> with an alcohol swab if it is visibly clean. If there is visible contamination or the rubber bung is inadvertently touched, clean the bung with a single-use swab. Allow time for the bung to dry before drawing up the contents. </w:t>
      </w:r>
    </w:p>
    <w:p w14:paraId="1BD464DE" w14:textId="5F0548F0" w:rsidR="00B01967" w:rsidRPr="006C0067" w:rsidRDefault="00B01967" w:rsidP="00964A28">
      <w:pPr>
        <w:pStyle w:val="NormalWeb"/>
        <w:numPr>
          <w:ilvl w:val="0"/>
          <w:numId w:val="56"/>
        </w:numPr>
        <w:pBdr>
          <w:bottom w:val="single" w:sz="4" w:space="1" w:color="auto"/>
        </w:pBdr>
        <w:shd w:val="clear" w:color="auto" w:fill="FFFFFF" w:themeFill="background1"/>
        <w:spacing w:before="120" w:beforeAutospacing="0" w:after="0" w:afterAutospacing="0" w:line="288" w:lineRule="auto"/>
        <w:rPr>
          <w:rFonts w:ascii="Arial" w:hAnsi="Arial" w:cs="Arial"/>
          <w:sz w:val="21"/>
          <w:szCs w:val="21"/>
        </w:rPr>
      </w:pPr>
      <w:r w:rsidRPr="00B01967">
        <w:rPr>
          <w:rFonts w:ascii="Arial" w:hAnsi="Arial" w:cs="Arial"/>
          <w:sz w:val="21"/>
          <w:szCs w:val="21"/>
        </w:rPr>
        <w:t>u</w:t>
      </w:r>
      <w:r w:rsidR="00077DBB" w:rsidRPr="00B01967">
        <w:rPr>
          <w:rFonts w:ascii="Arial" w:hAnsi="Arial" w:cs="Arial"/>
          <w:sz w:val="21"/>
          <w:szCs w:val="21"/>
        </w:rPr>
        <w:t>se a new, sterile, disposable 19</w:t>
      </w:r>
      <w:r w:rsidR="00077DBB" w:rsidRPr="006C0067">
        <w:rPr>
          <w:rFonts w:ascii="Arial" w:hAnsi="Arial" w:cs="Arial"/>
          <w:sz w:val="21"/>
          <w:szCs w:val="21"/>
        </w:rPr>
        <w:t>- or 21-gauge needle</w:t>
      </w:r>
      <w:r w:rsidR="00442447" w:rsidRPr="006C0067">
        <w:rPr>
          <w:rFonts w:ascii="Arial" w:hAnsi="Arial" w:cs="Arial"/>
          <w:sz w:val="21"/>
          <w:szCs w:val="21"/>
        </w:rPr>
        <w:t xml:space="preserve"> and</w:t>
      </w:r>
      <w:r w:rsidR="00077DBB" w:rsidRPr="006C0067">
        <w:rPr>
          <w:rFonts w:ascii="Arial" w:hAnsi="Arial" w:cs="Arial"/>
          <w:sz w:val="21"/>
          <w:szCs w:val="21"/>
        </w:rPr>
        <w:t xml:space="preserve"> </w:t>
      </w:r>
      <w:r w:rsidRPr="006C0067">
        <w:rPr>
          <w:rFonts w:ascii="Arial" w:hAnsi="Arial" w:cs="Arial"/>
          <w:sz w:val="21"/>
          <w:szCs w:val="21"/>
        </w:rPr>
        <w:t xml:space="preserve">a sterile syringe </w:t>
      </w:r>
    </w:p>
    <w:p w14:paraId="6707863A" w14:textId="59F0731E" w:rsidR="00077DBB" w:rsidRPr="006C0067" w:rsidRDefault="001057D4" w:rsidP="00EC31B1">
      <w:pPr>
        <w:pStyle w:val="NormalWeb"/>
        <w:numPr>
          <w:ilvl w:val="0"/>
          <w:numId w:val="38"/>
        </w:numPr>
        <w:pBdr>
          <w:bottom w:val="single" w:sz="4" w:space="1" w:color="auto"/>
        </w:pBdr>
        <w:shd w:val="clear" w:color="auto" w:fill="FFFFFF" w:themeFill="background1"/>
        <w:spacing w:before="0" w:beforeAutospacing="0" w:after="0" w:afterAutospacing="0" w:line="288" w:lineRule="auto"/>
        <w:rPr>
          <w:rFonts w:ascii="Arial" w:hAnsi="Arial" w:cs="Arial"/>
          <w:sz w:val="21"/>
          <w:szCs w:val="21"/>
        </w:rPr>
      </w:pPr>
      <w:r w:rsidRPr="006C0067">
        <w:rPr>
          <w:rFonts w:ascii="Arial" w:hAnsi="Arial" w:cs="Arial"/>
          <w:sz w:val="21"/>
          <w:szCs w:val="21"/>
        </w:rPr>
        <w:t xml:space="preserve">enter the vial through the centre of </w:t>
      </w:r>
      <w:r w:rsidR="00077DBB" w:rsidRPr="006C0067">
        <w:rPr>
          <w:rFonts w:ascii="Arial" w:hAnsi="Arial" w:cs="Arial"/>
          <w:sz w:val="21"/>
          <w:szCs w:val="21"/>
        </w:rPr>
        <w:t xml:space="preserve">the bung </w:t>
      </w:r>
      <w:r w:rsidR="006C0067" w:rsidRPr="006C0067">
        <w:rPr>
          <w:rFonts w:ascii="Arial" w:hAnsi="Arial" w:cs="Arial"/>
          <w:sz w:val="21"/>
          <w:szCs w:val="21"/>
        </w:rPr>
        <w:t xml:space="preserve">and </w:t>
      </w:r>
      <w:r w:rsidR="00B01967" w:rsidRPr="006C0067">
        <w:rPr>
          <w:rFonts w:ascii="Arial" w:hAnsi="Arial" w:cs="Arial"/>
          <w:sz w:val="21"/>
          <w:szCs w:val="21"/>
        </w:rPr>
        <w:t>w</w:t>
      </w:r>
      <w:r w:rsidR="00077DBB" w:rsidRPr="006C0067">
        <w:rPr>
          <w:rFonts w:ascii="Arial" w:hAnsi="Arial" w:cs="Arial"/>
          <w:sz w:val="21"/>
          <w:szCs w:val="21"/>
        </w:rPr>
        <w:t xml:space="preserve">ithdraw </w:t>
      </w:r>
      <w:r w:rsidR="00077DBB" w:rsidRPr="006C0067">
        <w:rPr>
          <w:rFonts w:ascii="Arial" w:hAnsi="Arial" w:cs="Arial"/>
          <w:b/>
          <w:sz w:val="21"/>
          <w:szCs w:val="21"/>
        </w:rPr>
        <w:t>a dose of 0.5 mL</w:t>
      </w:r>
      <w:r w:rsidR="00077DBB" w:rsidRPr="006C0067">
        <w:rPr>
          <w:rFonts w:ascii="Arial" w:hAnsi="Arial" w:cs="Arial"/>
          <w:sz w:val="21"/>
          <w:szCs w:val="21"/>
        </w:rPr>
        <w:t xml:space="preserve"> </w:t>
      </w:r>
    </w:p>
    <w:p w14:paraId="26B5486C" w14:textId="77777777" w:rsidR="00077DBB" w:rsidRDefault="00077DBB" w:rsidP="00EC31B1">
      <w:pPr>
        <w:pStyle w:val="NormalWeb"/>
        <w:numPr>
          <w:ilvl w:val="0"/>
          <w:numId w:val="38"/>
        </w:numPr>
        <w:pBdr>
          <w:bottom w:val="single" w:sz="4" w:space="1" w:color="auto"/>
        </w:pBdr>
        <w:shd w:val="clear" w:color="auto" w:fill="FFFFFF" w:themeFill="background1"/>
        <w:spacing w:before="0" w:beforeAutospacing="0" w:after="0" w:afterAutospacing="0" w:line="288" w:lineRule="auto"/>
        <w:rPr>
          <w:rFonts w:ascii="Arial" w:hAnsi="Arial" w:cs="Arial"/>
          <w:sz w:val="21"/>
          <w:szCs w:val="21"/>
        </w:rPr>
      </w:pPr>
      <w:r w:rsidRPr="00BD4AA3">
        <w:rPr>
          <w:rFonts w:ascii="Arial" w:hAnsi="Arial" w:cs="Arial"/>
          <w:sz w:val="21"/>
          <w:szCs w:val="21"/>
        </w:rPr>
        <w:t xml:space="preserve">Change the needle to a </w:t>
      </w:r>
      <w:r w:rsidRPr="00BD4AA3">
        <w:rPr>
          <w:rFonts w:ascii="Arial" w:hAnsi="Arial" w:cs="Arial"/>
          <w:b/>
          <w:bCs/>
          <w:sz w:val="21"/>
          <w:szCs w:val="21"/>
        </w:rPr>
        <w:t>25-27mm gauge, 16mm length needle</w:t>
      </w:r>
      <w:r w:rsidRPr="00BD4AA3">
        <w:rPr>
          <w:rFonts w:ascii="Arial" w:hAnsi="Arial" w:cs="Arial"/>
          <w:b/>
          <w:sz w:val="21"/>
          <w:szCs w:val="21"/>
        </w:rPr>
        <w:t xml:space="preserve">, </w:t>
      </w:r>
      <w:r w:rsidRPr="00BD4AA3">
        <w:rPr>
          <w:rFonts w:ascii="Arial" w:hAnsi="Arial" w:cs="Arial"/>
          <w:sz w:val="21"/>
          <w:szCs w:val="21"/>
        </w:rPr>
        <w:t>before giving the injection. If using a safety needle system, draw up the vaccine, then draw back on the syringe to remove as much vaccine as possible from the tip of the needle. Then remove any air to the tip of the syringe without re-priming the needle.</w:t>
      </w:r>
    </w:p>
    <w:p w14:paraId="335FA355" w14:textId="16635BB8" w:rsidR="00CF3DFD" w:rsidRPr="00EC31B1" w:rsidRDefault="00D97530" w:rsidP="00EC31B1">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r w:rsidRPr="00EC31B1">
        <w:rPr>
          <w:rFonts w:ascii="Arial" w:hAnsi="Arial" w:cs="Arial"/>
          <w:b/>
          <w:bCs/>
          <w:sz w:val="20"/>
          <w:szCs w:val="20"/>
        </w:rPr>
        <w:t xml:space="preserve">Figure 3 </w:t>
      </w:r>
      <w:r w:rsidR="00F167EF" w:rsidRPr="00EC31B1">
        <w:rPr>
          <w:rFonts w:ascii="Arial" w:hAnsi="Arial" w:cs="Arial"/>
          <w:b/>
          <w:bCs/>
          <w:sz w:val="20"/>
          <w:szCs w:val="20"/>
        </w:rPr>
        <w:t>– process for checking and drawing up for subcutaneous injection</w:t>
      </w:r>
    </w:p>
    <w:tbl>
      <w:tblPr>
        <w:tblStyle w:val="TableGrid"/>
        <w:tblW w:w="0" w:type="auto"/>
        <w:tblLook w:val="04A0" w:firstRow="1" w:lastRow="0" w:firstColumn="1" w:lastColumn="0" w:noHBand="0" w:noVBand="1"/>
      </w:tblPr>
      <w:tblGrid>
        <w:gridCol w:w="4300"/>
        <w:gridCol w:w="4716"/>
      </w:tblGrid>
      <w:tr w:rsidR="006275A8" w14:paraId="38CA9860" w14:textId="77777777" w:rsidTr="006275A8">
        <w:tc>
          <w:tcPr>
            <w:tcW w:w="4300" w:type="dxa"/>
            <w:vAlign w:val="center"/>
          </w:tcPr>
          <w:p w14:paraId="6FF463A4" w14:textId="5B1708C5" w:rsidR="006275A8" w:rsidRPr="00EC31B1" w:rsidRDefault="006275A8" w:rsidP="006275A8">
            <w:pPr>
              <w:pStyle w:val="NormalWeb"/>
              <w:spacing w:before="0" w:beforeAutospacing="0" w:after="120" w:afterAutospacing="0" w:line="288" w:lineRule="auto"/>
              <w:jc w:val="center"/>
              <w:rPr>
                <w:rFonts w:ascii="Calibri" w:hAnsi="Calibri" w:cs="Calibri"/>
                <w:b/>
                <w:bCs/>
                <w:sz w:val="22"/>
                <w:szCs w:val="22"/>
              </w:rPr>
            </w:pPr>
            <w:r w:rsidRPr="00EC31B1">
              <w:rPr>
                <w:rFonts w:ascii="Calibri" w:hAnsi="Calibri" w:cs="Calibri"/>
                <w:sz w:val="22"/>
                <w:szCs w:val="22"/>
              </w:rPr>
              <w:t>Check product information</w:t>
            </w:r>
            <w:r w:rsidRPr="00EC31B1">
              <w:rPr>
                <w:rFonts w:ascii="Calibri" w:hAnsi="Calibri" w:cs="Calibri"/>
                <w:noProof/>
                <w:sz w:val="22"/>
                <w:szCs w:val="22"/>
              </w:rPr>
              <w:t xml:space="preserve"> </w:t>
            </w:r>
            <w:r w:rsidRPr="00EC31B1">
              <w:rPr>
                <w:rFonts w:ascii="Calibri" w:hAnsi="Calibri" w:cs="Calibri"/>
                <w:noProof/>
                <w:sz w:val="22"/>
                <w:szCs w:val="22"/>
              </w:rPr>
              <w:drawing>
                <wp:anchor distT="0" distB="0" distL="114300" distR="114300" simplePos="0" relativeHeight="251658247" behindDoc="1" locked="0" layoutInCell="1" allowOverlap="1" wp14:anchorId="0EBFD229" wp14:editId="68C94565">
                  <wp:simplePos x="0" y="0"/>
                  <wp:positionH relativeFrom="column">
                    <wp:posOffset>69850</wp:posOffset>
                  </wp:positionH>
                  <wp:positionV relativeFrom="paragraph">
                    <wp:posOffset>121920</wp:posOffset>
                  </wp:positionV>
                  <wp:extent cx="2590800" cy="1857375"/>
                  <wp:effectExtent l="0" t="0" r="0" b="9525"/>
                  <wp:wrapTight wrapText="bothSides">
                    <wp:wrapPolygon edited="0">
                      <wp:start x="0" y="0"/>
                      <wp:lineTo x="0" y="21489"/>
                      <wp:lineTo x="21441" y="21489"/>
                      <wp:lineTo x="21441" y="0"/>
                      <wp:lineTo x="0" y="0"/>
                    </wp:wrapPolygon>
                  </wp:wrapTight>
                  <wp:docPr id="413685806" name="Picture 413685806" descr="Check product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Check product information"/>
                          <pic:cNvPicPr preferRelativeResize="0">
                            <a:picLocks noChangeAspect="1" noChangeArrowheads="1"/>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259080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16" w:type="dxa"/>
            <w:vAlign w:val="center"/>
          </w:tcPr>
          <w:p w14:paraId="0D9F714F" w14:textId="0A9DA9C1" w:rsidR="006275A8" w:rsidRPr="00EC31B1" w:rsidRDefault="006275A8" w:rsidP="006275A8">
            <w:pPr>
              <w:pStyle w:val="NormalWeb"/>
              <w:spacing w:before="0" w:beforeAutospacing="0" w:line="288" w:lineRule="auto"/>
              <w:jc w:val="center"/>
              <w:rPr>
                <w:rFonts w:ascii="Calibri" w:hAnsi="Calibri" w:cs="Calibri"/>
                <w:sz w:val="22"/>
                <w:szCs w:val="22"/>
              </w:rPr>
            </w:pPr>
            <w:r w:rsidRPr="00EC31B1">
              <w:rPr>
                <w:rFonts w:ascii="Calibri" w:hAnsi="Calibri" w:cs="Calibri"/>
                <w:noProof/>
                <w:sz w:val="22"/>
                <w:szCs w:val="22"/>
              </w:rPr>
              <w:drawing>
                <wp:anchor distT="0" distB="0" distL="114300" distR="114300" simplePos="0" relativeHeight="251658248" behindDoc="1" locked="0" layoutInCell="1" allowOverlap="1" wp14:anchorId="542D26A1" wp14:editId="7AD86AB5">
                  <wp:simplePos x="0" y="0"/>
                  <wp:positionH relativeFrom="column">
                    <wp:posOffset>64770</wp:posOffset>
                  </wp:positionH>
                  <wp:positionV relativeFrom="paragraph">
                    <wp:posOffset>140970</wp:posOffset>
                  </wp:positionV>
                  <wp:extent cx="2505075" cy="1828800"/>
                  <wp:effectExtent l="0" t="0" r="9525" b="0"/>
                  <wp:wrapTight wrapText="bothSides">
                    <wp:wrapPolygon edited="0">
                      <wp:start x="0" y="0"/>
                      <wp:lineTo x="0" y="21375"/>
                      <wp:lineTo x="21518" y="21375"/>
                      <wp:lineTo x="21518" y="0"/>
                      <wp:lineTo x="0" y="0"/>
                    </wp:wrapPolygon>
                  </wp:wrapTight>
                  <wp:docPr id="1211434831" name="Picture 1211434831" descr="Prepare equipment, dish, syringe, 19Gdrawing up needle &amp; 25-27G needle for admini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descr="Prepare equipment, dish, syringe, 19Gdrawing up needle &amp; 25-27G needle for administration "/>
                          <pic:cNvPicPr preferRelativeResize="0">
                            <a:picLocks noChangeAspect="1" noChangeArrowheads="1"/>
                          </pic:cNvPicPr>
                        </pic:nvPicPr>
                        <pic:blipFill rotWithShape="1">
                          <a:blip r:embed="rId31" cstate="screen">
                            <a:extLst>
                              <a:ext uri="{28A0092B-C50C-407E-A947-70E740481C1C}">
                                <a14:useLocalDpi xmlns:a14="http://schemas.microsoft.com/office/drawing/2010/main" val="0"/>
                              </a:ext>
                            </a:extLst>
                          </a:blip>
                          <a:srcRect/>
                          <a:stretch/>
                        </pic:blipFill>
                        <pic:spPr bwMode="auto">
                          <a:xfrm>
                            <a:off x="0" y="0"/>
                            <a:ext cx="250507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1B1">
              <w:rPr>
                <w:rFonts w:ascii="Calibri" w:hAnsi="Calibri" w:cs="Calibri"/>
                <w:sz w:val="22"/>
                <w:szCs w:val="22"/>
              </w:rPr>
              <w:t>Prepare equipment</w:t>
            </w:r>
          </w:p>
        </w:tc>
      </w:tr>
      <w:tr w:rsidR="006275A8" w14:paraId="23195ABA" w14:textId="77777777" w:rsidTr="006275A8">
        <w:trPr>
          <w:trHeight w:val="3471"/>
        </w:trPr>
        <w:tc>
          <w:tcPr>
            <w:tcW w:w="4300" w:type="dxa"/>
          </w:tcPr>
          <w:p w14:paraId="4F4468F3" w14:textId="001B92E6" w:rsidR="006275A8" w:rsidRPr="00EC31B1" w:rsidRDefault="00EC31B1" w:rsidP="006275A8">
            <w:pPr>
              <w:pStyle w:val="NormalWeb"/>
              <w:spacing w:before="0" w:beforeAutospacing="0" w:after="240" w:afterAutospacing="0" w:line="288" w:lineRule="auto"/>
              <w:jc w:val="center"/>
              <w:rPr>
                <w:rFonts w:asciiTheme="minorHAnsi" w:hAnsiTheme="minorHAnsi" w:cstheme="minorHAnsi"/>
                <w:sz w:val="22"/>
                <w:szCs w:val="22"/>
              </w:rPr>
            </w:pPr>
            <w:r w:rsidRPr="00EC31B1">
              <w:rPr>
                <w:rFonts w:asciiTheme="minorHAnsi" w:hAnsiTheme="minorHAnsi" w:cstheme="minorHAnsi"/>
                <w:noProof/>
                <w:sz w:val="22"/>
                <w:szCs w:val="22"/>
              </w:rPr>
              <w:drawing>
                <wp:anchor distT="0" distB="0" distL="114300" distR="114300" simplePos="0" relativeHeight="251658250" behindDoc="1" locked="0" layoutInCell="1" allowOverlap="1" wp14:anchorId="26017E6E" wp14:editId="225BFFA1">
                  <wp:simplePos x="0" y="0"/>
                  <wp:positionH relativeFrom="column">
                    <wp:posOffset>383540</wp:posOffset>
                  </wp:positionH>
                  <wp:positionV relativeFrom="paragraph">
                    <wp:posOffset>-370840</wp:posOffset>
                  </wp:positionV>
                  <wp:extent cx="1833880" cy="2583180"/>
                  <wp:effectExtent l="6350" t="0" r="1270" b="1270"/>
                  <wp:wrapTight wrapText="bothSides">
                    <wp:wrapPolygon edited="0">
                      <wp:start x="75" y="21653"/>
                      <wp:lineTo x="21391" y="21653"/>
                      <wp:lineTo x="21391" y="149"/>
                      <wp:lineTo x="75" y="149"/>
                      <wp:lineTo x="75" y="21653"/>
                    </wp:wrapPolygon>
                  </wp:wrapTight>
                  <wp:docPr id="706963550" name="Picture 706963550" descr="Image JYNNEOS v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descr="Image JYNNEOS vial "/>
                          <pic:cNvPicPr preferRelativeResize="0"/>
                        </pic:nvPicPr>
                        <pic:blipFill rotWithShape="1">
                          <a:blip r:embed="rId32" cstate="screen">
                            <a:extLst>
                              <a:ext uri="{28A0092B-C50C-407E-A947-70E740481C1C}">
                                <a14:useLocalDpi xmlns:a14="http://schemas.microsoft.com/office/drawing/2010/main" val="0"/>
                              </a:ext>
                            </a:extLst>
                          </a:blip>
                          <a:srcRect/>
                          <a:stretch/>
                        </pic:blipFill>
                        <pic:spPr bwMode="auto">
                          <a:xfrm rot="5400000">
                            <a:off x="0" y="0"/>
                            <a:ext cx="1833880" cy="2583180"/>
                          </a:xfrm>
                          <a:prstGeom prst="rect">
                            <a:avLst/>
                          </a:prstGeom>
                          <a:ln>
                            <a:noFill/>
                          </a:ln>
                          <a:extLst>
                            <a:ext uri="{53640926-AAD7-44D8-BBD7-CCE9431645EC}">
                              <a14:shadowObscured xmlns:a14="http://schemas.microsoft.com/office/drawing/2010/main"/>
                            </a:ext>
                          </a:extLst>
                        </pic:spPr>
                      </pic:pic>
                    </a:graphicData>
                  </a:graphic>
                </wp:anchor>
              </w:drawing>
            </w:r>
            <w:r w:rsidRPr="00EC31B1">
              <w:rPr>
                <w:rFonts w:asciiTheme="minorHAnsi" w:hAnsiTheme="minorHAnsi" w:cstheme="minorHAnsi"/>
                <w:sz w:val="22"/>
                <w:szCs w:val="22"/>
              </w:rPr>
              <w:t>J</w:t>
            </w:r>
            <w:r>
              <w:rPr>
                <w:rFonts w:asciiTheme="minorHAnsi" w:hAnsiTheme="minorHAnsi" w:cstheme="minorHAnsi"/>
                <w:sz w:val="22"/>
                <w:szCs w:val="22"/>
              </w:rPr>
              <w:t>YNNEOS</w:t>
            </w:r>
            <w:r w:rsidR="006275A8" w:rsidRPr="00EC31B1">
              <w:rPr>
                <w:rFonts w:asciiTheme="minorHAnsi" w:hAnsiTheme="minorHAnsi" w:cstheme="minorHAnsi"/>
                <w:sz w:val="22"/>
                <w:szCs w:val="22"/>
              </w:rPr>
              <w:t>® vial</w:t>
            </w:r>
          </w:p>
        </w:tc>
        <w:tc>
          <w:tcPr>
            <w:tcW w:w="4716" w:type="dxa"/>
          </w:tcPr>
          <w:p w14:paraId="0E7B1676" w14:textId="13859562" w:rsidR="006275A8" w:rsidRPr="00EC31B1" w:rsidRDefault="006275A8" w:rsidP="006275A8">
            <w:pPr>
              <w:pStyle w:val="NormalWeb"/>
              <w:spacing w:before="0" w:beforeAutospacing="0" w:after="240" w:afterAutospacing="0" w:line="288" w:lineRule="auto"/>
              <w:jc w:val="center"/>
              <w:rPr>
                <w:rFonts w:asciiTheme="minorHAnsi" w:hAnsiTheme="minorHAnsi" w:cstheme="minorHAnsi"/>
                <w:sz w:val="22"/>
                <w:szCs w:val="22"/>
              </w:rPr>
            </w:pPr>
            <w:r w:rsidRPr="00EC31B1">
              <w:rPr>
                <w:rFonts w:asciiTheme="minorHAnsi" w:hAnsiTheme="minorHAnsi" w:cstheme="minorHAnsi"/>
                <w:noProof/>
                <w:sz w:val="22"/>
                <w:szCs w:val="22"/>
              </w:rPr>
              <w:drawing>
                <wp:anchor distT="0" distB="0" distL="114300" distR="114300" simplePos="0" relativeHeight="251658249" behindDoc="1" locked="0" layoutInCell="1" allowOverlap="1" wp14:anchorId="487DA037" wp14:editId="5A96CF14">
                  <wp:simplePos x="0" y="0"/>
                  <wp:positionH relativeFrom="column">
                    <wp:posOffset>-1905</wp:posOffset>
                  </wp:positionH>
                  <wp:positionV relativeFrom="paragraph">
                    <wp:posOffset>2540</wp:posOffset>
                  </wp:positionV>
                  <wp:extent cx="2847975" cy="1819275"/>
                  <wp:effectExtent l="0" t="0" r="9525" b="9525"/>
                  <wp:wrapTight wrapText="bothSides">
                    <wp:wrapPolygon edited="0">
                      <wp:start x="0" y="0"/>
                      <wp:lineTo x="0" y="21487"/>
                      <wp:lineTo x="21528" y="21487"/>
                      <wp:lineTo x="21528" y="0"/>
                      <wp:lineTo x="0" y="0"/>
                    </wp:wrapPolygon>
                  </wp:wrapTight>
                  <wp:docPr id="2017361488" name="Picture 1" descr="Picture of the revised expiry label that is applied when vaccine box is removed from freeze sto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42665" name="Picture 1" descr="Picture of the revised expiry label that is applied when vaccine box is removed from freeze storage "/>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2847975" cy="1819275"/>
                          </a:xfrm>
                          <a:prstGeom prst="rect">
                            <a:avLst/>
                          </a:prstGeom>
                          <a:noFill/>
                          <a:ln>
                            <a:noFill/>
                          </a:ln>
                        </pic:spPr>
                      </pic:pic>
                    </a:graphicData>
                  </a:graphic>
                </wp:anchor>
              </w:drawing>
            </w:r>
            <w:r w:rsidRPr="00EC31B1">
              <w:rPr>
                <w:rFonts w:asciiTheme="minorHAnsi" w:hAnsiTheme="minorHAnsi" w:cstheme="minorHAnsi"/>
                <w:sz w:val="22"/>
                <w:szCs w:val="22"/>
              </w:rPr>
              <w:t>Check revised expiry date on box</w:t>
            </w:r>
          </w:p>
        </w:tc>
      </w:tr>
      <w:tr w:rsidR="006275A8" w:rsidRPr="00EC31B1" w14:paraId="6A1D5E1C" w14:textId="77777777" w:rsidTr="006275A8">
        <w:tc>
          <w:tcPr>
            <w:tcW w:w="4300" w:type="dxa"/>
          </w:tcPr>
          <w:p w14:paraId="1EBA4B58" w14:textId="79B7E56B" w:rsidR="006275A8" w:rsidRPr="00EC31B1" w:rsidRDefault="00EC31B1" w:rsidP="00EC31B1">
            <w:pPr>
              <w:pStyle w:val="NormalWeb"/>
              <w:spacing w:before="0" w:beforeAutospacing="0" w:after="240" w:afterAutospacing="0" w:line="288" w:lineRule="auto"/>
              <w:jc w:val="center"/>
              <w:rPr>
                <w:rFonts w:asciiTheme="minorHAnsi" w:hAnsiTheme="minorHAnsi" w:cstheme="minorHAnsi"/>
                <w:b/>
                <w:bCs/>
                <w:sz w:val="22"/>
                <w:szCs w:val="22"/>
              </w:rPr>
            </w:pPr>
            <w:r w:rsidRPr="00EC31B1">
              <w:rPr>
                <w:rFonts w:asciiTheme="minorHAnsi" w:hAnsiTheme="minorHAnsi" w:cstheme="minorHAnsi"/>
                <w:noProof/>
                <w:sz w:val="22"/>
                <w:szCs w:val="22"/>
              </w:rPr>
              <w:drawing>
                <wp:anchor distT="0" distB="0" distL="114300" distR="114300" simplePos="0" relativeHeight="251658251" behindDoc="1" locked="0" layoutInCell="1" allowOverlap="1" wp14:anchorId="243655AA" wp14:editId="7B97EBA6">
                  <wp:simplePos x="0" y="0"/>
                  <wp:positionH relativeFrom="column">
                    <wp:posOffset>4445</wp:posOffset>
                  </wp:positionH>
                  <wp:positionV relativeFrom="paragraph">
                    <wp:posOffset>0</wp:posOffset>
                  </wp:positionV>
                  <wp:extent cx="2543175" cy="2019300"/>
                  <wp:effectExtent l="0" t="0" r="9525" b="0"/>
                  <wp:wrapTight wrapText="bothSides">
                    <wp:wrapPolygon edited="0">
                      <wp:start x="0" y="0"/>
                      <wp:lineTo x="0" y="21396"/>
                      <wp:lineTo x="21519" y="21396"/>
                      <wp:lineTo x="21519" y="0"/>
                      <wp:lineTo x="0" y="0"/>
                    </wp:wrapPolygon>
                  </wp:wrapTight>
                  <wp:docPr id="588600284" name="Picture 588600284" descr="Insert 19G needle into the rubber bung &amp; withdraw 0.5m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 descr="Insert 19G needle into the rubber bung &amp; withdraw 0.5mls"/>
                          <pic:cNvPicPr preferRelativeResize="0">
                            <a:picLocks noChangeAspect="1" noChangeArrowheads="1"/>
                          </pic:cNvPicPr>
                        </pic:nvPicPr>
                        <pic:blipFill rotWithShape="1">
                          <a:blip r:embed="rId33" cstate="screen">
                            <a:extLst>
                              <a:ext uri="{28A0092B-C50C-407E-A947-70E740481C1C}">
                                <a14:useLocalDpi xmlns:a14="http://schemas.microsoft.com/office/drawing/2010/main" val="0"/>
                              </a:ext>
                            </a:extLst>
                          </a:blip>
                          <a:srcRect/>
                          <a:stretch/>
                        </pic:blipFill>
                        <pic:spPr bwMode="auto">
                          <a:xfrm>
                            <a:off x="0" y="0"/>
                            <a:ext cx="2543175"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31B1">
              <w:rPr>
                <w:rFonts w:asciiTheme="minorHAnsi" w:hAnsiTheme="minorHAnsi" w:cstheme="minorHAnsi"/>
                <w:sz w:val="22"/>
                <w:szCs w:val="22"/>
              </w:rPr>
              <w:t xml:space="preserve">Insert </w:t>
            </w:r>
            <w:r w:rsidRPr="00EC31B1">
              <w:rPr>
                <w:rFonts w:asciiTheme="minorHAnsi" w:hAnsiTheme="minorHAnsi" w:cstheme="minorHAnsi"/>
                <w:b/>
                <w:bCs/>
                <w:sz w:val="22"/>
                <w:szCs w:val="22"/>
              </w:rPr>
              <w:t>19G needle</w:t>
            </w:r>
            <w:r w:rsidRPr="00EC31B1">
              <w:rPr>
                <w:rFonts w:asciiTheme="minorHAnsi" w:hAnsiTheme="minorHAnsi" w:cstheme="minorHAnsi"/>
                <w:sz w:val="22"/>
                <w:szCs w:val="22"/>
              </w:rPr>
              <w:t xml:space="preserve"> into rubber bung &amp; withdraw 0.5mls.</w:t>
            </w:r>
          </w:p>
        </w:tc>
        <w:tc>
          <w:tcPr>
            <w:tcW w:w="4716" w:type="dxa"/>
          </w:tcPr>
          <w:p w14:paraId="6BE9242A" w14:textId="323E7ACB" w:rsidR="006275A8" w:rsidRPr="00EC31B1" w:rsidRDefault="00EC31B1" w:rsidP="00EC31B1">
            <w:pPr>
              <w:pStyle w:val="NormalWeb"/>
              <w:spacing w:before="0" w:beforeAutospacing="0" w:after="240" w:afterAutospacing="0" w:line="288" w:lineRule="auto"/>
              <w:jc w:val="center"/>
              <w:rPr>
                <w:rFonts w:asciiTheme="minorHAnsi" w:hAnsiTheme="minorHAnsi" w:cstheme="minorHAnsi"/>
                <w:b/>
                <w:bCs/>
                <w:sz w:val="22"/>
                <w:szCs w:val="22"/>
              </w:rPr>
            </w:pPr>
            <w:r w:rsidRPr="00EC31B1">
              <w:rPr>
                <w:rFonts w:asciiTheme="minorHAnsi" w:hAnsiTheme="minorHAnsi" w:cstheme="minorHAnsi"/>
                <w:noProof/>
                <w:sz w:val="22"/>
                <w:szCs w:val="22"/>
              </w:rPr>
              <w:drawing>
                <wp:anchor distT="0" distB="0" distL="114300" distR="114300" simplePos="0" relativeHeight="251658252" behindDoc="1" locked="0" layoutInCell="1" allowOverlap="1" wp14:anchorId="443388E4" wp14:editId="51908E6E">
                  <wp:simplePos x="0" y="0"/>
                  <wp:positionH relativeFrom="column">
                    <wp:posOffset>-1905</wp:posOffset>
                  </wp:positionH>
                  <wp:positionV relativeFrom="paragraph">
                    <wp:posOffset>0</wp:posOffset>
                  </wp:positionV>
                  <wp:extent cx="2838450" cy="2019300"/>
                  <wp:effectExtent l="0" t="0" r="0" b="0"/>
                  <wp:wrapTight wrapText="bothSides">
                    <wp:wrapPolygon edited="0">
                      <wp:start x="0" y="0"/>
                      <wp:lineTo x="0" y="21396"/>
                      <wp:lineTo x="21455" y="21396"/>
                      <wp:lineTo x="21455" y="0"/>
                      <wp:lineTo x="0" y="0"/>
                    </wp:wrapPolygon>
                  </wp:wrapTight>
                  <wp:docPr id="2042455828" name="Picture 2042455828" descr="Change to 25-27mm gauge, 16mm length nee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descr="Change to 25-27mm gauge, 16mm length needle"/>
                          <pic:cNvPicPr preferRelativeResize="0">
                            <a:picLocks noChangeAspect="1" noChangeArrowheads="1"/>
                          </pic:cNvPicPr>
                        </pic:nvPicPr>
                        <pic:blipFill rotWithShape="1">
                          <a:blip r:embed="rId34" cstate="screen">
                            <a:extLst>
                              <a:ext uri="{28A0092B-C50C-407E-A947-70E740481C1C}">
                                <a14:useLocalDpi xmlns:a14="http://schemas.microsoft.com/office/drawing/2010/main" val="0"/>
                              </a:ext>
                            </a:extLst>
                          </a:blip>
                          <a:srcRect/>
                          <a:stretch/>
                        </pic:blipFill>
                        <pic:spPr bwMode="auto">
                          <a:xfrm>
                            <a:off x="0" y="0"/>
                            <a:ext cx="2838450" cy="2019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C31B1">
              <w:rPr>
                <w:rFonts w:asciiTheme="minorHAnsi" w:hAnsiTheme="minorHAnsi" w:cstheme="minorHAnsi"/>
                <w:color w:val="313131"/>
                <w:sz w:val="22"/>
                <w:szCs w:val="22"/>
              </w:rPr>
              <w:t xml:space="preserve">Change to </w:t>
            </w:r>
            <w:r w:rsidRPr="00EC31B1">
              <w:rPr>
                <w:rFonts w:asciiTheme="minorHAnsi" w:hAnsiTheme="minorHAnsi" w:cstheme="minorHAnsi"/>
                <w:b/>
                <w:bCs/>
                <w:color w:val="313131"/>
                <w:sz w:val="22"/>
                <w:szCs w:val="22"/>
              </w:rPr>
              <w:t>25-27mm gauge, 16mm length needle</w:t>
            </w:r>
            <w:r w:rsidRPr="00EC31B1">
              <w:rPr>
                <w:rFonts w:asciiTheme="minorHAnsi" w:hAnsiTheme="minorHAnsi" w:cstheme="minorHAnsi"/>
                <w:noProof/>
                <w:sz w:val="22"/>
                <w:szCs w:val="22"/>
              </w:rPr>
              <w:t xml:space="preserve"> </w:t>
            </w:r>
          </w:p>
        </w:tc>
      </w:tr>
    </w:tbl>
    <w:p w14:paraId="07F97E7E"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407FEC26"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31A290B0" w14:textId="77777777" w:rsidR="006275A8" w:rsidRDefault="006275A8" w:rsidP="006275A8">
      <w:pPr>
        <w:pStyle w:val="NormalWeb"/>
        <w:pBdr>
          <w:bottom w:val="single" w:sz="4" w:space="1" w:color="auto"/>
        </w:pBdr>
        <w:shd w:val="clear" w:color="auto" w:fill="FFFFFF" w:themeFill="background1"/>
        <w:spacing w:before="0" w:beforeAutospacing="0" w:after="240" w:afterAutospacing="0" w:line="288" w:lineRule="auto"/>
        <w:rPr>
          <w:rFonts w:ascii="Arial" w:hAnsi="Arial" w:cs="Arial"/>
          <w:b/>
          <w:bCs/>
          <w:sz w:val="20"/>
          <w:szCs w:val="20"/>
        </w:rPr>
      </w:pPr>
    </w:p>
    <w:p w14:paraId="77D973DC" w14:textId="7C198A36" w:rsidR="00077DBB" w:rsidRPr="00165C24" w:rsidRDefault="00077DBB" w:rsidP="00077DBB">
      <w:pPr>
        <w:pStyle w:val="Heading2"/>
      </w:pPr>
      <w:bookmarkStart w:id="121" w:name="_Subcutaneous_administration"/>
      <w:bookmarkStart w:id="122" w:name="_Toc112154582"/>
      <w:bookmarkStart w:id="123" w:name="_Toc112315644"/>
      <w:bookmarkStart w:id="124" w:name="_Toc176344990"/>
      <w:bookmarkEnd w:id="121"/>
      <w:r>
        <w:t>Subcutaneous administration</w:t>
      </w:r>
      <w:bookmarkEnd w:id="122"/>
      <w:bookmarkEnd w:id="123"/>
      <w:bookmarkEnd w:id="124"/>
    </w:p>
    <w:p w14:paraId="6C3EBF6C" w14:textId="77777777" w:rsidR="00077DBB" w:rsidRPr="00E26D18" w:rsidRDefault="00077DBB" w:rsidP="00077DBB">
      <w:pPr>
        <w:pStyle w:val="Heading3"/>
      </w:pPr>
      <w:bookmarkStart w:id="125" w:name="_Toc112154583"/>
      <w:bookmarkStart w:id="126" w:name="_Toc112315645"/>
      <w:r w:rsidRPr="00E26D18">
        <w:t>Skin cleaning</w:t>
      </w:r>
      <w:bookmarkEnd w:id="125"/>
      <w:bookmarkEnd w:id="126"/>
    </w:p>
    <w:p w14:paraId="3E427FDB" w14:textId="77777777" w:rsidR="00077DBB" w:rsidRPr="00531C4E" w:rsidRDefault="00077DBB" w:rsidP="00B824A4">
      <w:pPr>
        <w:shd w:val="clear" w:color="auto" w:fill="FFFFFF"/>
        <w:spacing w:before="120" w:line="288" w:lineRule="auto"/>
        <w:rPr>
          <w:rFonts w:cs="Arial"/>
          <w:szCs w:val="21"/>
          <w:lang w:eastAsia="en-AU"/>
        </w:rPr>
      </w:pPr>
      <w:r w:rsidRPr="00531C4E">
        <w:rPr>
          <w:rFonts w:cs="Arial"/>
          <w:szCs w:val="21"/>
          <w:lang w:eastAsia="en-AU"/>
        </w:rPr>
        <w:t>If the skin is visibly clean, there is no need to wipe it with an antiseptic (such as an alcohol wipe). If you use alcohol or other disinfecting agents to clean skin that is visibly dirty, the skin must</w:t>
      </w:r>
      <w:r w:rsidRPr="00531C4E">
        <w:rPr>
          <w:rFonts w:cs="Arial"/>
          <w:b/>
          <w:bCs/>
          <w:szCs w:val="21"/>
          <w:lang w:eastAsia="en-AU"/>
        </w:rPr>
        <w:t xml:space="preserve"> </w:t>
      </w:r>
      <w:r w:rsidRPr="00531C4E">
        <w:rPr>
          <w:rFonts w:cs="Arial"/>
          <w:szCs w:val="21"/>
          <w:lang w:eastAsia="en-AU"/>
        </w:rPr>
        <w:t>be allowed to dry before injecting the vaccine. This prevents inactivation of live vaccines and reduces the likelihood of irritation at the injection site.</w:t>
      </w:r>
    </w:p>
    <w:p w14:paraId="182FC483" w14:textId="31A11087" w:rsidR="00077DBB" w:rsidRPr="00EC5729" w:rsidRDefault="00077DBB" w:rsidP="00B824A4">
      <w:pPr>
        <w:pStyle w:val="Heading3"/>
        <w:spacing w:line="288" w:lineRule="auto"/>
      </w:pPr>
      <w:bookmarkStart w:id="127" w:name="_Toc112154584"/>
      <w:bookmarkStart w:id="128" w:name="_Toc112315646"/>
      <w:r w:rsidRPr="00EC5729">
        <w:t>Subcutaneous injection technique</w:t>
      </w:r>
      <w:bookmarkEnd w:id="127"/>
      <w:bookmarkEnd w:id="128"/>
    </w:p>
    <w:p w14:paraId="7B9281CB" w14:textId="01B8A8DE" w:rsidR="00077DBB" w:rsidRPr="00AE0FAF" w:rsidRDefault="00077DBB" w:rsidP="00B824A4">
      <w:pPr>
        <w:spacing w:before="120" w:line="288" w:lineRule="auto"/>
        <w:rPr>
          <w:rFonts w:cs="Arial"/>
          <w:lang w:eastAsia="en-AU"/>
        </w:rPr>
      </w:pPr>
      <w:r w:rsidRPr="00AE0FAF">
        <w:rPr>
          <w:rStyle w:val="normaltextrun"/>
          <w:rFonts w:eastAsia="MS Mincho"/>
          <w:szCs w:val="21"/>
          <w:bdr w:val="none" w:sz="0" w:space="0" w:color="auto" w:frame="1"/>
        </w:rPr>
        <w:t>JYNNEOS</w:t>
      </w:r>
      <w:r w:rsidRPr="00AE0FAF">
        <w:rPr>
          <w:rStyle w:val="normaltextrun"/>
          <w:rFonts w:eastAsia="MS Mincho"/>
          <w:szCs w:val="21"/>
          <w:bdr w:val="none" w:sz="0" w:space="0" w:color="auto" w:frame="1"/>
          <w:vertAlign w:val="superscript"/>
        </w:rPr>
        <w:t>®</w:t>
      </w:r>
      <w:r w:rsidRPr="00AE0FAF">
        <w:rPr>
          <w:rStyle w:val="normaltextrun"/>
          <w:rFonts w:eastAsia="MS Mincho" w:cs="Arial"/>
          <w:szCs w:val="21"/>
          <w:bdr w:val="none" w:sz="0" w:space="0" w:color="auto" w:frame="1"/>
        </w:rPr>
        <w:t xml:space="preserve"> vaccine is administered by subcutaneous</w:t>
      </w:r>
      <w:r w:rsidR="00476223">
        <w:rPr>
          <w:rStyle w:val="normaltextrun"/>
          <w:rFonts w:eastAsia="MS Mincho" w:cs="Arial"/>
          <w:szCs w:val="21"/>
          <w:bdr w:val="none" w:sz="0" w:space="0" w:color="auto" w:frame="1"/>
        </w:rPr>
        <w:t xml:space="preserve"> (SC)</w:t>
      </w:r>
      <w:r w:rsidRPr="00AE0FAF">
        <w:rPr>
          <w:rStyle w:val="normaltextrun"/>
          <w:rFonts w:eastAsia="MS Mincho" w:cs="Arial"/>
          <w:szCs w:val="21"/>
          <w:bdr w:val="none" w:sz="0" w:space="0" w:color="auto" w:frame="1"/>
        </w:rPr>
        <w:t xml:space="preserve"> </w:t>
      </w:r>
      <w:hyperlink r:id="rId35" w:anchor="subcutaneous-injection">
        <w:r w:rsidRPr="00AE0FAF">
          <w:rPr>
            <w:rFonts w:cs="Arial"/>
            <w:lang w:eastAsia="en-AU"/>
          </w:rPr>
          <w:t>injection</w:t>
        </w:r>
      </w:hyperlink>
      <w:r w:rsidRPr="00AE0FAF">
        <w:rPr>
          <w:rFonts w:cs="Arial"/>
          <w:lang w:eastAsia="en-AU"/>
        </w:rPr>
        <w:t xml:space="preserve"> at a 45° angle to the skin into fatty tissue. </w:t>
      </w:r>
    </w:p>
    <w:p w14:paraId="3E8A4F65" w14:textId="77777777" w:rsidR="00077DBB" w:rsidRPr="00AE0FAF" w:rsidRDefault="00077DBB" w:rsidP="00B824A4">
      <w:pPr>
        <w:spacing w:before="120" w:line="288" w:lineRule="auto"/>
        <w:rPr>
          <w:rFonts w:cs="Arial"/>
          <w:lang w:eastAsia="en-AU"/>
        </w:rPr>
      </w:pPr>
      <w:r w:rsidRPr="00AE0FAF">
        <w:rPr>
          <w:rFonts w:cs="Arial"/>
          <w:lang w:eastAsia="en-AU"/>
        </w:rPr>
        <w:t xml:space="preserve">The standard needle for administering vaccines subcutaneously is a 25–27-gauge needle, 16 mm long, in all people. </w:t>
      </w:r>
    </w:p>
    <w:p w14:paraId="5B1498E7" w14:textId="4B4BF30D" w:rsidR="00077DBB" w:rsidRPr="00AE0FAF" w:rsidRDefault="00077DBB" w:rsidP="00B824A4">
      <w:pPr>
        <w:shd w:val="clear" w:color="auto" w:fill="FFFFFF"/>
        <w:spacing w:before="120" w:line="288" w:lineRule="auto"/>
        <w:rPr>
          <w:rFonts w:cs="Arial"/>
          <w:szCs w:val="21"/>
          <w:lang w:eastAsia="en-AU"/>
        </w:rPr>
      </w:pPr>
      <w:r w:rsidRPr="290B9022">
        <w:rPr>
          <w:rFonts w:cs="Arial"/>
          <w:lang w:eastAsia="en-AU"/>
        </w:rPr>
        <w:t>If a vaccine that is registered for subcutaneous administration is inadvertently given intramuscularly, it is usually not necessary to repeat the dose. The immune response is unlikely to be affected</w:t>
      </w:r>
      <w:r w:rsidR="00E920F0" w:rsidRPr="00E920F0">
        <w:rPr>
          <w:rFonts w:cs="Arial"/>
          <w:sz w:val="20"/>
          <w:lang w:eastAsia="en-AU"/>
        </w:rPr>
        <w:t>.</w:t>
      </w:r>
      <w:r w:rsidR="00AB1362" w:rsidRPr="00E920F0">
        <w:rPr>
          <w:rStyle w:val="FootnoteReference"/>
          <w:rFonts w:cs="Arial"/>
          <w:sz w:val="20"/>
          <w:lang w:eastAsia="en-AU"/>
        </w:rPr>
        <w:footnoteReference w:id="25"/>
      </w:r>
    </w:p>
    <w:p w14:paraId="6FC84C05" w14:textId="68D05C5C" w:rsidR="00077DBB" w:rsidRPr="00AB5B74" w:rsidRDefault="00077DBB" w:rsidP="00B824A4">
      <w:pPr>
        <w:pStyle w:val="Heading3"/>
        <w:spacing w:line="288" w:lineRule="auto"/>
      </w:pPr>
      <w:bookmarkStart w:id="129" w:name="_Toc112154586"/>
      <w:bookmarkStart w:id="130" w:name="_Toc112315648"/>
      <w:r w:rsidRPr="00AB5B74">
        <w:t xml:space="preserve">Injection sites </w:t>
      </w:r>
      <w:r w:rsidR="00B96D08">
        <w:t>–</w:t>
      </w:r>
      <w:r w:rsidRPr="00AB5B74">
        <w:t xml:space="preserve"> adolescents and adults</w:t>
      </w:r>
      <w:bookmarkEnd w:id="129"/>
      <w:bookmarkEnd w:id="130"/>
    </w:p>
    <w:p w14:paraId="4A1ADADA" w14:textId="0E6DB215" w:rsidR="0005527F" w:rsidRPr="00163E43" w:rsidRDefault="00077DBB" w:rsidP="0012396B">
      <w:pPr>
        <w:shd w:val="clear" w:color="auto" w:fill="FFFFFF"/>
        <w:spacing w:before="120" w:line="288" w:lineRule="auto"/>
        <w:rPr>
          <w:rFonts w:cs="Arial"/>
          <w:szCs w:val="21"/>
          <w:lang w:eastAsia="en-AU"/>
        </w:rPr>
      </w:pPr>
      <w:r w:rsidRPr="00163E43">
        <w:rPr>
          <w:rFonts w:cs="Arial"/>
        </w:rPr>
        <w:t xml:space="preserve">The subcutaneous tissue over the deltoid muscle is the recommended site for vaccination in adolescents and adults. </w:t>
      </w:r>
      <w:r w:rsidRPr="00163E43">
        <w:rPr>
          <w:rFonts w:cs="Arial"/>
          <w:lang w:eastAsia="en-AU"/>
        </w:rPr>
        <w:t xml:space="preserve">There is no difference in efficacy between a subcutaneous injection and a </w:t>
      </w:r>
      <w:r w:rsidRPr="00163E43">
        <w:rPr>
          <w:rFonts w:cs="Arial"/>
          <w:b/>
          <w:lang w:eastAsia="en-AU"/>
        </w:rPr>
        <w:t>deep</w:t>
      </w:r>
      <w:r w:rsidRPr="00163E43">
        <w:rPr>
          <w:rFonts w:cs="Arial"/>
          <w:lang w:eastAsia="en-AU"/>
        </w:rPr>
        <w:t xml:space="preserve"> subcutaneous injection</w:t>
      </w:r>
      <w:r w:rsidR="00E75DED">
        <w:rPr>
          <w:rFonts w:cs="Arial"/>
          <w:lang w:eastAsia="en-AU"/>
        </w:rPr>
        <w:t>.</w:t>
      </w:r>
      <w:r w:rsidR="00E75DED" w:rsidRPr="00E920F0">
        <w:rPr>
          <w:rFonts w:cs="Arial"/>
          <w:sz w:val="20"/>
          <w:vertAlign w:val="superscript"/>
          <w:lang w:eastAsia="en-AU"/>
        </w:rPr>
        <w:t>27</w:t>
      </w:r>
      <w:bookmarkStart w:id="131" w:name="_Toc112154587"/>
      <w:bookmarkStart w:id="132" w:name="_Toc112315649"/>
    </w:p>
    <w:bookmarkEnd w:id="131"/>
    <w:bookmarkEnd w:id="132"/>
    <w:p w14:paraId="4E37683D" w14:textId="703B52A3" w:rsidR="00077DBB" w:rsidRPr="00373BFA" w:rsidRDefault="00077DBB" w:rsidP="0012396B">
      <w:pPr>
        <w:shd w:val="clear" w:color="auto" w:fill="FFFFFF"/>
        <w:spacing w:before="120" w:line="288" w:lineRule="auto"/>
      </w:pPr>
      <w:r w:rsidRPr="0005527F">
        <w:rPr>
          <w:b/>
          <w:bCs/>
        </w:rPr>
        <w:t>Identifying the injection site</w:t>
      </w:r>
      <w:r w:rsidRPr="007B3BEF">
        <w:t xml:space="preserve"> – Deltoid </w:t>
      </w:r>
      <w:r w:rsidR="0005527F">
        <w:t>(</w:t>
      </w:r>
      <w:hyperlink r:id="rId36" w:anchor=":~:text=%C2%83%20Recommended%20site%3A%20Deltoid%20muscle%20in%20the%20upper,below%20the%20bone%20and%20above%20the%20axillary%20fold%2Farmpit." w:history="1">
        <w:r w:rsidR="0005527F" w:rsidRPr="00D44483">
          <w:rPr>
            <w:rStyle w:val="Hyperlink"/>
          </w:rPr>
          <w:t>Image CDC</w:t>
        </w:r>
      </w:hyperlink>
      <w:r w:rsidR="0005527F">
        <w:t>)</w:t>
      </w:r>
    </w:p>
    <w:p w14:paraId="57568A09" w14:textId="77777777" w:rsidR="00705F75" w:rsidRPr="00163E43" w:rsidRDefault="00514EA6" w:rsidP="001D7D9C">
      <w:pPr>
        <w:pStyle w:val="ListParagraph"/>
        <w:numPr>
          <w:ilvl w:val="0"/>
          <w:numId w:val="48"/>
        </w:numPr>
        <w:shd w:val="clear" w:color="auto" w:fill="FFFFFF"/>
        <w:spacing w:before="120" w:line="288" w:lineRule="auto"/>
        <w:rPr>
          <w:rFonts w:cs="Arial"/>
          <w:szCs w:val="21"/>
          <w:lang w:eastAsia="en-AU"/>
        </w:rPr>
      </w:pPr>
      <w:r w:rsidRPr="00163E43">
        <w:rPr>
          <w:noProof/>
          <w:lang w:eastAsia="en-AU"/>
        </w:rPr>
        <w:drawing>
          <wp:anchor distT="0" distB="0" distL="114300" distR="114300" simplePos="0" relativeHeight="251658241" behindDoc="0" locked="0" layoutInCell="1" allowOverlap="1" wp14:anchorId="621A76D1" wp14:editId="23A8074F">
            <wp:simplePos x="914400" y="1257300"/>
            <wp:positionH relativeFrom="column">
              <wp:align>left</wp:align>
            </wp:positionH>
            <wp:positionV relativeFrom="paragraph">
              <wp:align>top</wp:align>
            </wp:positionV>
            <wp:extent cx="2990850" cy="2600225"/>
            <wp:effectExtent l="0" t="0" r="0" b="0"/>
            <wp:wrapSquare wrapText="bothSides"/>
            <wp:docPr id="11" name="Picture 11" descr="Anatomical markers for injection over the deltoid muscle in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atomical markers for injection over the deltoid muscle in an adult"/>
                    <pic:cNvPicPr/>
                  </pic:nvPicPr>
                  <pic:blipFill>
                    <a:blip r:embed="rId37"/>
                    <a:stretch>
                      <a:fillRect/>
                    </a:stretch>
                  </pic:blipFill>
                  <pic:spPr>
                    <a:xfrm>
                      <a:off x="0" y="0"/>
                      <a:ext cx="2990850" cy="2600225"/>
                    </a:xfrm>
                    <a:prstGeom prst="rect">
                      <a:avLst/>
                    </a:prstGeom>
                  </pic:spPr>
                </pic:pic>
              </a:graphicData>
            </a:graphic>
          </wp:anchor>
        </w:drawing>
      </w:r>
      <w:r w:rsidR="00705F75" w:rsidRPr="00163E43">
        <w:rPr>
          <w:rFonts w:cs="Arial"/>
          <w:szCs w:val="21"/>
          <w:lang w:eastAsia="en-AU"/>
        </w:rPr>
        <w:t>expose the person’s arm completely from top of the shoulder to the elbow</w:t>
      </w:r>
    </w:p>
    <w:p w14:paraId="3AF534F7" w14:textId="285535E9" w:rsidR="00DA13B4"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r</w:t>
      </w:r>
      <w:r w:rsidR="00DA13B4" w:rsidRPr="00163E43">
        <w:rPr>
          <w:rFonts w:cs="Arial"/>
          <w:szCs w:val="21"/>
          <w:lang w:eastAsia="en-AU"/>
        </w:rPr>
        <w:t xml:space="preserve">oll up the persons’ sleeve or remove their shirt if needed </w:t>
      </w:r>
      <w:r w:rsidR="00705F75" w:rsidRPr="00163E43">
        <w:rPr>
          <w:rFonts w:cs="Arial"/>
          <w:szCs w:val="21"/>
          <w:lang w:eastAsia="en-AU"/>
        </w:rPr>
        <w:t xml:space="preserve"> </w:t>
      </w:r>
    </w:p>
    <w:p w14:paraId="62D20BEC" w14:textId="470CB77C" w:rsidR="00947E70"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l</w:t>
      </w:r>
      <w:r w:rsidR="00DA13B4" w:rsidRPr="00163E43">
        <w:rPr>
          <w:rFonts w:cs="Arial"/>
          <w:szCs w:val="21"/>
          <w:lang w:eastAsia="en-AU"/>
        </w:rPr>
        <w:t>ocate the shoulder tip (</w:t>
      </w:r>
      <w:r w:rsidR="00A85A87" w:rsidRPr="00163E43">
        <w:rPr>
          <w:rFonts w:cs="Arial"/>
          <w:szCs w:val="21"/>
          <w:lang w:eastAsia="en-AU"/>
        </w:rPr>
        <w:t>acromion</w:t>
      </w:r>
      <w:r w:rsidR="00947E70" w:rsidRPr="00163E43">
        <w:rPr>
          <w:rFonts w:cs="Arial"/>
          <w:szCs w:val="21"/>
          <w:lang w:eastAsia="en-AU"/>
        </w:rPr>
        <w:t>) and the muscle insertion at the middle of the humer</w:t>
      </w:r>
      <w:r w:rsidR="00A85A87" w:rsidRPr="00163E43">
        <w:rPr>
          <w:rFonts w:cs="Arial"/>
          <w:szCs w:val="21"/>
          <w:lang w:eastAsia="en-AU"/>
        </w:rPr>
        <w:t>u</w:t>
      </w:r>
      <w:r w:rsidR="00947E70" w:rsidRPr="00163E43">
        <w:rPr>
          <w:rFonts w:cs="Arial"/>
          <w:szCs w:val="21"/>
          <w:lang w:eastAsia="en-AU"/>
        </w:rPr>
        <w:t>s (deltoid tuberosity)</w:t>
      </w:r>
    </w:p>
    <w:p w14:paraId="49101028" w14:textId="704C8616" w:rsidR="0083354B" w:rsidRPr="00163E43" w:rsidRDefault="00D44483"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d</w:t>
      </w:r>
      <w:r w:rsidR="00186898" w:rsidRPr="00163E43">
        <w:rPr>
          <w:rFonts w:cs="Arial"/>
          <w:szCs w:val="21"/>
          <w:lang w:eastAsia="en-AU"/>
        </w:rPr>
        <w:t>raw an</w:t>
      </w:r>
      <w:r w:rsidRPr="00163E43">
        <w:rPr>
          <w:rFonts w:cs="Arial"/>
          <w:szCs w:val="21"/>
          <w:lang w:eastAsia="en-AU"/>
        </w:rPr>
        <w:t xml:space="preserve"> </w:t>
      </w:r>
      <w:r w:rsidR="00186898" w:rsidRPr="00163E43">
        <w:rPr>
          <w:rFonts w:cs="Arial"/>
          <w:szCs w:val="21"/>
          <w:lang w:eastAsia="en-AU"/>
        </w:rPr>
        <w:t>imaginary inverted triangle below the shoulder tip using the anatomical markers</w:t>
      </w:r>
    </w:p>
    <w:p w14:paraId="6F11F15E" w14:textId="775CEE1E" w:rsidR="00CA14BE"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t</w:t>
      </w:r>
      <w:r w:rsidR="0083354B" w:rsidRPr="00163E43">
        <w:rPr>
          <w:rFonts w:cs="Arial"/>
          <w:szCs w:val="21"/>
          <w:lang w:eastAsia="en-AU"/>
        </w:rPr>
        <w:t xml:space="preserve">he deltoid injection site is halfway between the </w:t>
      </w:r>
      <w:r w:rsidR="00A85A87" w:rsidRPr="00163E43">
        <w:rPr>
          <w:rFonts w:cs="Arial"/>
          <w:szCs w:val="21"/>
          <w:lang w:eastAsia="en-AU"/>
        </w:rPr>
        <w:t>acromion</w:t>
      </w:r>
      <w:r w:rsidR="0083354B" w:rsidRPr="00163E43">
        <w:rPr>
          <w:rFonts w:cs="Arial"/>
          <w:szCs w:val="21"/>
          <w:lang w:eastAsia="en-AU"/>
        </w:rPr>
        <w:t xml:space="preserve"> </w:t>
      </w:r>
      <w:r w:rsidRPr="00163E43">
        <w:rPr>
          <w:rFonts w:cs="Arial"/>
          <w:szCs w:val="21"/>
          <w:lang w:eastAsia="en-AU"/>
        </w:rPr>
        <w:t xml:space="preserve">and deltoid </w:t>
      </w:r>
      <w:r w:rsidR="00CA14BE" w:rsidRPr="00163E43">
        <w:rPr>
          <w:rFonts w:cs="Arial"/>
          <w:szCs w:val="21"/>
          <w:lang w:eastAsia="en-AU"/>
        </w:rPr>
        <w:t>Refer to the following images</w:t>
      </w:r>
      <w:r w:rsidR="00D63D1B">
        <w:rPr>
          <w:rFonts w:cs="Arial"/>
          <w:szCs w:val="21"/>
          <w:lang w:eastAsia="en-AU"/>
        </w:rPr>
        <w:t>.</w:t>
      </w:r>
      <w:r w:rsidR="00CA14BE" w:rsidRPr="00163E43">
        <w:rPr>
          <w:rFonts w:cs="Arial"/>
          <w:szCs w:val="21"/>
          <w:lang w:eastAsia="en-AU"/>
        </w:rPr>
        <w:t xml:space="preserve"> </w:t>
      </w:r>
    </w:p>
    <w:p w14:paraId="58B2A3F1" w14:textId="65B7F7B6" w:rsidR="008F0959" w:rsidRDefault="00C2677D" w:rsidP="00B824A4">
      <w:pPr>
        <w:shd w:val="clear" w:color="auto" w:fill="FFFFFF"/>
        <w:spacing w:before="100" w:beforeAutospacing="1" w:after="100" w:afterAutospacing="1" w:line="240" w:lineRule="auto"/>
        <w:jc w:val="center"/>
        <w:rPr>
          <w:rFonts w:cs="Arial"/>
          <w:color w:val="313131"/>
          <w:szCs w:val="21"/>
          <w:lang w:eastAsia="en-AU"/>
        </w:rPr>
      </w:pPr>
      <w:r w:rsidRPr="009E120F">
        <w:rPr>
          <w:i/>
          <w:iCs/>
          <w:noProof/>
          <w:lang w:eastAsia="en-AU"/>
        </w:rPr>
        <w:drawing>
          <wp:anchor distT="0" distB="0" distL="114300" distR="114300" simplePos="0" relativeHeight="251658245" behindDoc="0" locked="0" layoutInCell="1" allowOverlap="1" wp14:anchorId="3F0ACC36" wp14:editId="4F990841">
            <wp:simplePos x="0" y="0"/>
            <wp:positionH relativeFrom="margin">
              <wp:align>left</wp:align>
            </wp:positionH>
            <wp:positionV relativeFrom="paragraph">
              <wp:posOffset>333375</wp:posOffset>
            </wp:positionV>
            <wp:extent cx="3543300" cy="2952750"/>
            <wp:effectExtent l="0" t="0" r="0" b="0"/>
            <wp:wrapSquare wrapText="bothSides"/>
            <wp:docPr id="15" name="Picture 15" descr="Image 2 - Subcutaneous injection into deltoid area, 45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age 2 - Subcutaneous injection into deltoid area, 45 degree angle"/>
                    <pic:cNvPicPr/>
                  </pic:nvPicPr>
                  <pic:blipFill>
                    <a:blip r:embed="rId38"/>
                    <a:stretch>
                      <a:fillRect/>
                    </a:stretch>
                  </pic:blipFill>
                  <pic:spPr>
                    <a:xfrm>
                      <a:off x="0" y="0"/>
                      <a:ext cx="3543300" cy="2952750"/>
                    </a:xfrm>
                    <a:prstGeom prst="rect">
                      <a:avLst/>
                    </a:prstGeom>
                  </pic:spPr>
                </pic:pic>
              </a:graphicData>
            </a:graphic>
            <wp14:sizeRelH relativeFrom="margin">
              <wp14:pctWidth>0</wp14:pctWidth>
            </wp14:sizeRelH>
            <wp14:sizeRelV relativeFrom="margin">
              <wp14:pctHeight>0</wp14:pctHeight>
            </wp14:sizeRelV>
          </wp:anchor>
        </w:drawing>
      </w:r>
      <w:hyperlink r:id="rId39" w:history="1">
        <w:r w:rsidR="00077DBB" w:rsidRPr="004D5518">
          <w:rPr>
            <w:rFonts w:cs="Arial"/>
            <w:color w:val="006FB0"/>
            <w:szCs w:val="21"/>
            <w:u w:val="single"/>
            <w:lang w:eastAsia="en-AU"/>
          </w:rPr>
          <w:t>Figure</w:t>
        </w:r>
        <w:r w:rsidR="00077DBB">
          <w:rPr>
            <w:rFonts w:cs="Arial"/>
            <w:color w:val="006FB0"/>
            <w:szCs w:val="21"/>
            <w:u w:val="single"/>
            <w:lang w:eastAsia="en-AU"/>
          </w:rPr>
          <w:t xml:space="preserve"> 2</w:t>
        </w:r>
        <w:r w:rsidR="00077DBB" w:rsidRPr="004D5518">
          <w:rPr>
            <w:rFonts w:cs="Arial"/>
            <w:color w:val="006FB0"/>
            <w:szCs w:val="21"/>
            <w:u w:val="single"/>
            <w:lang w:eastAsia="en-AU"/>
          </w:rPr>
          <w:t>. Subcutaneous injection into the deltoid area</w:t>
        </w:r>
      </w:hyperlink>
      <w:r w:rsidR="00077DBB">
        <w:rPr>
          <w:rFonts w:cs="Arial"/>
          <w:color w:val="006FB0"/>
          <w:szCs w:val="21"/>
          <w:u w:val="single"/>
          <w:lang w:eastAsia="en-AU"/>
        </w:rPr>
        <w:t xml:space="preserve"> </w:t>
      </w:r>
      <w:r w:rsidR="00077DBB">
        <w:rPr>
          <w:rFonts w:cs="Arial"/>
          <w:color w:val="313131"/>
          <w:szCs w:val="21"/>
          <w:lang w:eastAsia="en-AU"/>
        </w:rPr>
        <w:t xml:space="preserve"> -</w:t>
      </w:r>
      <w:r w:rsidR="00077DBB" w:rsidRPr="004D5518">
        <w:rPr>
          <w:rFonts w:cs="Arial"/>
          <w:color w:val="313131"/>
          <w:szCs w:val="21"/>
          <w:lang w:eastAsia="en-AU"/>
        </w:rPr>
        <w:t xml:space="preserve"> </w:t>
      </w:r>
      <w:r w:rsidR="00F02888" w:rsidRPr="00D63D1B">
        <w:rPr>
          <w:rFonts w:cs="Arial"/>
          <w:szCs w:val="21"/>
          <w:lang w:eastAsia="en-AU"/>
        </w:rPr>
        <w:t>angle of insertion</w:t>
      </w:r>
    </w:p>
    <w:p w14:paraId="05AA0AF2" w14:textId="77777777" w:rsidR="001F0384" w:rsidRDefault="00F02888" w:rsidP="00C11A25">
      <w:pPr>
        <w:shd w:val="clear" w:color="auto" w:fill="FFFFFF"/>
        <w:spacing w:before="480" w:line="240" w:lineRule="atLeast"/>
        <w:rPr>
          <w:rFonts w:cs="Arial"/>
          <w:color w:val="313131"/>
          <w:szCs w:val="21"/>
          <w:lang w:eastAsia="en-AU"/>
        </w:rPr>
      </w:pPr>
      <w:r>
        <w:t xml:space="preserve">Image </w:t>
      </w:r>
      <w:hyperlink r:id="rId40" w:history="1">
        <w:r>
          <w:rPr>
            <w:rStyle w:val="Hyperlink"/>
            <w:rFonts w:cs="Arial"/>
            <w:szCs w:val="21"/>
            <w:lang w:eastAsia="en-AU"/>
          </w:rPr>
          <w:t xml:space="preserve">Australian Immunisation Handbook </w:t>
        </w:r>
      </w:hyperlink>
      <w:r>
        <w:rPr>
          <w:rFonts w:cs="Arial"/>
          <w:color w:val="313131"/>
          <w:szCs w:val="21"/>
          <w:lang w:eastAsia="en-AU"/>
        </w:rPr>
        <w:t xml:space="preserve"> </w:t>
      </w:r>
    </w:p>
    <w:p w14:paraId="40335C60" w14:textId="77777777" w:rsidR="001F0384" w:rsidRDefault="001F0384" w:rsidP="00C11A25">
      <w:pPr>
        <w:shd w:val="clear" w:color="auto" w:fill="FFFFFF"/>
        <w:spacing w:before="480" w:line="240" w:lineRule="atLeast"/>
        <w:rPr>
          <w:rFonts w:cs="Arial"/>
          <w:color w:val="313131"/>
          <w:szCs w:val="21"/>
          <w:lang w:eastAsia="en-AU"/>
        </w:rPr>
      </w:pPr>
    </w:p>
    <w:p w14:paraId="3714B963" w14:textId="77777777" w:rsidR="001F0384" w:rsidRDefault="001F0384" w:rsidP="00C11A25">
      <w:pPr>
        <w:shd w:val="clear" w:color="auto" w:fill="FFFFFF"/>
        <w:spacing w:before="480" w:line="240" w:lineRule="atLeast"/>
        <w:rPr>
          <w:rFonts w:cs="Arial"/>
          <w:color w:val="313131"/>
          <w:szCs w:val="21"/>
          <w:lang w:eastAsia="en-AU"/>
        </w:rPr>
      </w:pPr>
    </w:p>
    <w:p w14:paraId="214F986A" w14:textId="77777777" w:rsidR="001F0384" w:rsidRDefault="001F0384" w:rsidP="00C11A25">
      <w:pPr>
        <w:shd w:val="clear" w:color="auto" w:fill="FFFFFF"/>
        <w:spacing w:before="480" w:line="240" w:lineRule="atLeast"/>
        <w:rPr>
          <w:rFonts w:cs="Arial"/>
          <w:color w:val="313131"/>
          <w:szCs w:val="21"/>
          <w:lang w:eastAsia="en-AU"/>
        </w:rPr>
      </w:pPr>
    </w:p>
    <w:p w14:paraId="17E7EB60" w14:textId="77777777" w:rsidR="001F0384" w:rsidRDefault="001F0384" w:rsidP="00C11A25">
      <w:pPr>
        <w:shd w:val="clear" w:color="auto" w:fill="FFFFFF"/>
        <w:spacing w:before="480" w:line="240" w:lineRule="atLeast"/>
        <w:rPr>
          <w:rFonts w:cs="Arial"/>
          <w:color w:val="313131"/>
          <w:szCs w:val="21"/>
          <w:lang w:eastAsia="en-AU"/>
        </w:rPr>
      </w:pPr>
    </w:p>
    <w:p w14:paraId="63E66A00" w14:textId="77777777" w:rsidR="001F0384" w:rsidRDefault="001F0384" w:rsidP="00C11A25">
      <w:pPr>
        <w:shd w:val="clear" w:color="auto" w:fill="FFFFFF"/>
        <w:spacing w:before="480" w:line="240" w:lineRule="atLeast"/>
        <w:rPr>
          <w:rFonts w:cs="Arial"/>
          <w:color w:val="313131"/>
          <w:szCs w:val="21"/>
          <w:lang w:eastAsia="en-AU"/>
        </w:rPr>
      </w:pPr>
    </w:p>
    <w:p w14:paraId="5A305F40" w14:textId="6D940DE8" w:rsidR="00077DBB" w:rsidRPr="00175F2E" w:rsidRDefault="00F02888" w:rsidP="00C11A25">
      <w:pPr>
        <w:shd w:val="clear" w:color="auto" w:fill="FFFFFF"/>
        <w:spacing w:before="480" w:line="240" w:lineRule="atLeast"/>
      </w:pPr>
      <w:r>
        <w:rPr>
          <w:rFonts w:cs="Arial"/>
          <w:color w:val="313131"/>
          <w:szCs w:val="21"/>
          <w:lang w:eastAsia="en-AU"/>
        </w:rPr>
        <w:br w:type="textWrapping" w:clear="all"/>
      </w:r>
      <w:bookmarkStart w:id="133" w:name="_Preparation_for_intradermal"/>
      <w:bookmarkStart w:id="134" w:name="_Toc112154588"/>
      <w:bookmarkStart w:id="135" w:name="_Toc112315650"/>
      <w:bookmarkStart w:id="136" w:name="_Toc176344991"/>
      <w:bookmarkEnd w:id="133"/>
      <w:r w:rsidR="00077DBB" w:rsidRPr="004C302F">
        <w:rPr>
          <w:rStyle w:val="Heading2Char"/>
          <w:rFonts w:eastAsia="MS Gothic"/>
        </w:rPr>
        <w:t>Preparation for intradermal administration</w:t>
      </w:r>
      <w:bookmarkEnd w:id="134"/>
      <w:bookmarkEnd w:id="135"/>
      <w:bookmarkEnd w:id="136"/>
      <w:r w:rsidR="00077DBB" w:rsidRPr="00175F2E">
        <w:t xml:space="preserve"> </w:t>
      </w:r>
    </w:p>
    <w:p w14:paraId="0CC30F5E" w14:textId="334C59EF" w:rsidR="00077DBB" w:rsidRPr="00EC619C" w:rsidRDefault="00077DBB" w:rsidP="002000CB">
      <w:pPr>
        <w:spacing w:before="120" w:line="240" w:lineRule="atLeast"/>
        <w:textAlignment w:val="baseline"/>
        <w:rPr>
          <w:rFonts w:cs="Arial"/>
          <w:lang w:eastAsia="en-AU"/>
        </w:rPr>
      </w:pPr>
      <w:r w:rsidRPr="00EC619C">
        <w:rPr>
          <w:rFonts w:cs="Arial"/>
          <w:lang w:eastAsia="en-AU"/>
        </w:rPr>
        <w:t>JYNNEOS</w:t>
      </w:r>
      <w:r w:rsidRPr="008D4BAC">
        <w:rPr>
          <w:rFonts w:cs="Arial"/>
          <w:color w:val="2A2736"/>
          <w:vertAlign w:val="superscript"/>
          <w:lang w:eastAsia="en-AU"/>
        </w:rPr>
        <w:t>®</w:t>
      </w:r>
      <w:r w:rsidRPr="00EC619C">
        <w:rPr>
          <w:rFonts w:cs="Arial"/>
          <w:lang w:eastAsia="en-AU"/>
        </w:rPr>
        <w:t xml:space="preserve"> </w:t>
      </w:r>
      <w:r w:rsidR="00A7725E">
        <w:rPr>
          <w:rFonts w:cs="Arial"/>
          <w:lang w:eastAsia="en-AU"/>
        </w:rPr>
        <w:t xml:space="preserve">vaccine </w:t>
      </w:r>
      <w:r w:rsidRPr="00EC619C">
        <w:rPr>
          <w:rFonts w:cs="Arial"/>
          <w:lang w:eastAsia="en-AU"/>
        </w:rPr>
        <w:t xml:space="preserve">may be </w:t>
      </w:r>
      <w:r w:rsidR="00761974">
        <w:rPr>
          <w:rFonts w:cs="Arial"/>
          <w:lang w:eastAsia="en-AU"/>
        </w:rPr>
        <w:t>administered</w:t>
      </w:r>
      <w:r w:rsidR="0084352F">
        <w:rPr>
          <w:rFonts w:cs="Arial"/>
          <w:lang w:eastAsia="en-AU"/>
        </w:rPr>
        <w:t xml:space="preserve"> via the</w:t>
      </w:r>
      <w:r>
        <w:rPr>
          <w:rFonts w:cs="Arial"/>
          <w:lang w:eastAsia="en-AU"/>
        </w:rPr>
        <w:t xml:space="preserve"> </w:t>
      </w:r>
      <w:r w:rsidRPr="00EC619C">
        <w:rPr>
          <w:rFonts w:cs="Arial"/>
          <w:lang w:eastAsia="en-AU"/>
        </w:rPr>
        <w:t xml:space="preserve">intradermal </w:t>
      </w:r>
      <w:r w:rsidR="00476223">
        <w:rPr>
          <w:rFonts w:cs="Arial"/>
          <w:lang w:eastAsia="en-AU"/>
        </w:rPr>
        <w:t xml:space="preserve">(ID) </w:t>
      </w:r>
      <w:r>
        <w:rPr>
          <w:rFonts w:cs="Arial"/>
          <w:lang w:eastAsia="en-AU"/>
        </w:rPr>
        <w:t>route</w:t>
      </w:r>
      <w:r w:rsidR="00886614">
        <w:rPr>
          <w:rFonts w:cs="Arial"/>
          <w:lang w:eastAsia="en-AU"/>
        </w:rPr>
        <w:t xml:space="preserve"> </w:t>
      </w:r>
      <w:r w:rsidR="0063736F">
        <w:rPr>
          <w:rFonts w:cs="Arial"/>
          <w:lang w:eastAsia="en-AU"/>
        </w:rPr>
        <w:t xml:space="preserve">to </w:t>
      </w:r>
      <w:r w:rsidR="00AD4E20">
        <w:rPr>
          <w:rFonts w:cs="Arial"/>
          <w:lang w:eastAsia="en-AU"/>
        </w:rPr>
        <w:t xml:space="preserve">people without </w:t>
      </w:r>
      <w:r w:rsidR="00873678">
        <w:rPr>
          <w:rFonts w:cs="Arial"/>
          <w:lang w:eastAsia="en-AU"/>
        </w:rPr>
        <w:t>a history of keloid scaring.</w:t>
      </w:r>
    </w:p>
    <w:p w14:paraId="323138F4" w14:textId="2EAAA71F" w:rsidR="00077DBB" w:rsidRPr="00EC619C" w:rsidRDefault="00077DBB" w:rsidP="002000CB">
      <w:pPr>
        <w:pStyle w:val="ListParagraph"/>
        <w:numPr>
          <w:ilvl w:val="0"/>
          <w:numId w:val="31"/>
        </w:numPr>
        <w:spacing w:before="120" w:line="240" w:lineRule="atLeast"/>
        <w:ind w:hanging="76"/>
        <w:textAlignment w:val="baseline"/>
        <w:rPr>
          <w:rFonts w:eastAsia="Times New Roman" w:cs="Arial"/>
          <w:lang w:eastAsia="en-AU"/>
        </w:rPr>
      </w:pPr>
      <w:r w:rsidRPr="5FD43474">
        <w:rPr>
          <w:rFonts w:eastAsia="Times New Roman" w:cs="Arial"/>
          <w:lang w:eastAsia="en-AU"/>
        </w:rPr>
        <w:t>A single dose 0.5 ml JYNNEOS</w:t>
      </w:r>
      <w:r w:rsidRPr="008D4BAC">
        <w:rPr>
          <w:rFonts w:cs="Arial"/>
          <w:color w:val="2A2736"/>
          <w:vertAlign w:val="superscript"/>
          <w:lang w:eastAsia="en-AU"/>
        </w:rPr>
        <w:t>®</w:t>
      </w:r>
      <w:r w:rsidRPr="5FD43474">
        <w:rPr>
          <w:rFonts w:eastAsia="Times New Roman" w:cs="Arial"/>
          <w:lang w:eastAsia="en-AU"/>
        </w:rPr>
        <w:t xml:space="preserve"> vial may be used as a JYNNEOS</w:t>
      </w:r>
      <w:r w:rsidRPr="008D4BAC">
        <w:rPr>
          <w:rFonts w:cs="Arial"/>
          <w:color w:val="2A2736"/>
          <w:vertAlign w:val="superscript"/>
          <w:lang w:eastAsia="en-AU"/>
        </w:rPr>
        <w:t>®</w:t>
      </w:r>
      <w:r w:rsidRPr="5FD43474">
        <w:rPr>
          <w:rFonts w:eastAsia="Times New Roman" w:cs="Arial"/>
          <w:lang w:eastAsia="en-AU"/>
        </w:rPr>
        <w:t xml:space="preserve"> multidose vial delivering up to five doses of 0.1 ml per injection for intradermal administration. </w:t>
      </w:r>
    </w:p>
    <w:p w14:paraId="2562BE23" w14:textId="77777777" w:rsidR="00077DBB" w:rsidRPr="00BD4AA3" w:rsidRDefault="00077DBB" w:rsidP="002000CB">
      <w:pPr>
        <w:pStyle w:val="Heading4"/>
      </w:pPr>
      <w:r w:rsidRPr="00BD4AA3">
        <w:t>Prepare equipment</w:t>
      </w:r>
    </w:p>
    <w:p w14:paraId="582501DB" w14:textId="77777777" w:rsidR="00077DBB" w:rsidRPr="00D740AE" w:rsidRDefault="00077DBB" w:rsidP="002000CB">
      <w:pPr>
        <w:shd w:val="clear" w:color="auto" w:fill="FFFFFF"/>
        <w:spacing w:before="120" w:line="240" w:lineRule="atLeast"/>
        <w:rPr>
          <w:rFonts w:cs="Arial"/>
          <w:szCs w:val="21"/>
          <w:lang w:eastAsia="en-AU"/>
        </w:rPr>
      </w:pPr>
      <w:r w:rsidRPr="00D740AE">
        <w:rPr>
          <w:rFonts w:cs="Arial"/>
          <w:szCs w:val="21"/>
          <w:lang w:eastAsia="en-AU"/>
        </w:rPr>
        <w:t xml:space="preserve">Prepare the appropriate injection equipment for the vaccine being given </w:t>
      </w:r>
    </w:p>
    <w:p w14:paraId="59B83E36" w14:textId="019AE5C9" w:rsidR="00FA7D1D" w:rsidRPr="00CE6A2C" w:rsidRDefault="00077DBB" w:rsidP="00603DC8">
      <w:pPr>
        <w:pStyle w:val="ListParagraph"/>
        <w:numPr>
          <w:ilvl w:val="0"/>
          <w:numId w:val="39"/>
        </w:numPr>
        <w:shd w:val="clear" w:color="auto" w:fill="FFFFFF" w:themeFill="background1"/>
        <w:spacing w:before="120" w:line="288" w:lineRule="auto"/>
        <w:rPr>
          <w:rFonts w:asciiTheme="minorHAnsi" w:hAnsiTheme="minorHAnsi"/>
          <w:lang w:eastAsia="en-AU"/>
        </w:rPr>
      </w:pPr>
      <w:r w:rsidRPr="00CE6A2C">
        <w:rPr>
          <w:rFonts w:cs="Arial"/>
          <w:lang w:eastAsia="en-AU"/>
        </w:rPr>
        <w:t xml:space="preserve">1 ml </w:t>
      </w:r>
      <w:r w:rsidR="000835E0">
        <w:rPr>
          <w:rFonts w:cs="Arial"/>
          <w:lang w:eastAsia="en-AU"/>
        </w:rPr>
        <w:t xml:space="preserve">low </w:t>
      </w:r>
      <w:r w:rsidR="00327E5A" w:rsidRPr="00CE6A2C">
        <w:rPr>
          <w:rFonts w:cs="Arial"/>
          <w:lang w:eastAsia="en-AU"/>
        </w:rPr>
        <w:t xml:space="preserve">dead space </w:t>
      </w:r>
      <w:r w:rsidR="00FA7D1D" w:rsidRPr="00CE6A2C">
        <w:rPr>
          <w:rFonts w:cs="Arial"/>
          <w:lang w:eastAsia="en-AU"/>
        </w:rPr>
        <w:t>syringe</w:t>
      </w:r>
      <w:r w:rsidR="000A189B">
        <w:rPr>
          <w:rFonts w:cs="Arial"/>
          <w:lang w:eastAsia="en-AU"/>
        </w:rPr>
        <w:t xml:space="preserve">. </w:t>
      </w:r>
      <w:r w:rsidR="000835E0">
        <w:rPr>
          <w:rFonts w:cs="Arial"/>
          <w:lang w:eastAsia="en-AU"/>
        </w:rPr>
        <w:t>Low d</w:t>
      </w:r>
      <w:r w:rsidR="007566C2" w:rsidRPr="607A1BA5">
        <w:rPr>
          <w:rFonts w:cs="Arial"/>
          <w:lang w:eastAsia="en-AU"/>
        </w:rPr>
        <w:t>ead</w:t>
      </w:r>
      <w:r w:rsidR="007566C2" w:rsidRPr="00CE6A2C">
        <w:rPr>
          <w:rFonts w:cs="Arial"/>
          <w:lang w:eastAsia="en-AU"/>
        </w:rPr>
        <w:t xml:space="preserve"> space syringes </w:t>
      </w:r>
      <w:r w:rsidR="00636097" w:rsidRPr="00CE6A2C">
        <w:rPr>
          <w:rFonts w:cs="Arial"/>
          <w:lang w:eastAsia="en-AU"/>
        </w:rPr>
        <w:t xml:space="preserve">minimise </w:t>
      </w:r>
      <w:r w:rsidR="006F6213" w:rsidRPr="00CE6A2C">
        <w:rPr>
          <w:rFonts w:cs="Arial"/>
          <w:lang w:eastAsia="en-AU"/>
        </w:rPr>
        <w:t xml:space="preserve">vaccine </w:t>
      </w:r>
      <w:r w:rsidR="00636097" w:rsidRPr="00CE6A2C">
        <w:rPr>
          <w:rFonts w:cs="Arial"/>
          <w:lang w:eastAsia="en-AU"/>
        </w:rPr>
        <w:t>waste</w:t>
      </w:r>
      <w:r w:rsidR="008969B4">
        <w:rPr>
          <w:rFonts w:cs="Arial"/>
          <w:lang w:eastAsia="en-AU"/>
        </w:rPr>
        <w:t xml:space="preserve">. </w:t>
      </w:r>
      <w:r w:rsidR="000B0611">
        <w:rPr>
          <w:rFonts w:cs="Arial"/>
          <w:lang w:eastAsia="en-AU"/>
        </w:rPr>
        <w:t>1</w:t>
      </w:r>
      <w:r w:rsidR="008969B4">
        <w:rPr>
          <w:rFonts w:cs="Arial"/>
          <w:lang w:eastAsia="en-AU"/>
        </w:rPr>
        <w:t xml:space="preserve">ml syringe aids visibility </w:t>
      </w:r>
      <w:r w:rsidR="00E70629">
        <w:rPr>
          <w:rFonts w:cs="Arial"/>
          <w:lang w:eastAsia="en-AU"/>
        </w:rPr>
        <w:t xml:space="preserve">of dose </w:t>
      </w:r>
      <w:r w:rsidR="008969B4">
        <w:rPr>
          <w:rFonts w:cs="Arial"/>
          <w:lang w:eastAsia="en-AU"/>
        </w:rPr>
        <w:t>and stability</w:t>
      </w:r>
      <w:r w:rsidR="00E70629">
        <w:rPr>
          <w:rFonts w:cs="Arial"/>
          <w:lang w:eastAsia="en-AU"/>
        </w:rPr>
        <w:t xml:space="preserve"> for administration</w:t>
      </w:r>
      <w:r w:rsidR="008969B4">
        <w:rPr>
          <w:rFonts w:cs="Arial"/>
          <w:lang w:eastAsia="en-AU"/>
        </w:rPr>
        <w:t xml:space="preserve">. </w:t>
      </w:r>
    </w:p>
    <w:p w14:paraId="0921F43F" w14:textId="1317096A" w:rsidR="00077DBB" w:rsidRPr="00CE6A2C" w:rsidRDefault="00077DBB" w:rsidP="00603DC8">
      <w:pPr>
        <w:pStyle w:val="ListParagraph"/>
        <w:numPr>
          <w:ilvl w:val="0"/>
          <w:numId w:val="39"/>
        </w:numPr>
        <w:shd w:val="clear" w:color="auto" w:fill="FFFFFF" w:themeFill="background1"/>
        <w:spacing w:before="120" w:line="288" w:lineRule="auto"/>
        <w:rPr>
          <w:rFonts w:cs="Arial"/>
          <w:szCs w:val="21"/>
          <w:lang w:eastAsia="en-AU"/>
        </w:rPr>
      </w:pPr>
      <w:r w:rsidRPr="00CE6A2C">
        <w:rPr>
          <w:rFonts w:cs="Arial"/>
          <w:lang w:eastAsia="en-AU"/>
        </w:rPr>
        <w:t>JYNNEOS</w:t>
      </w:r>
      <w:r w:rsidRPr="00CE6A2C">
        <w:rPr>
          <w:rFonts w:cs="Arial"/>
          <w:vertAlign w:val="superscript"/>
          <w:lang w:eastAsia="en-AU"/>
        </w:rPr>
        <w:t>®</w:t>
      </w:r>
      <w:r w:rsidRPr="00CE6A2C">
        <w:rPr>
          <w:rFonts w:cs="Arial"/>
          <w:lang w:eastAsia="en-AU"/>
        </w:rPr>
        <w:t xml:space="preserve"> vaccine vial</w:t>
      </w:r>
      <w:r w:rsidR="00933A59">
        <w:rPr>
          <w:rFonts w:cs="Arial"/>
          <w:lang w:eastAsia="en-AU"/>
        </w:rPr>
        <w:t xml:space="preserve"> (check the </w:t>
      </w:r>
      <w:r w:rsidR="00933A59" w:rsidRPr="00A82DD3">
        <w:rPr>
          <w:rFonts w:cs="Arial"/>
          <w:b/>
          <w:bCs/>
          <w:lang w:eastAsia="en-AU"/>
        </w:rPr>
        <w:t>revised expiry date</w:t>
      </w:r>
      <w:r w:rsidR="00933A59">
        <w:rPr>
          <w:rFonts w:cs="Arial"/>
          <w:lang w:eastAsia="en-AU"/>
        </w:rPr>
        <w:t xml:space="preserve"> on the vaccine box) </w:t>
      </w:r>
    </w:p>
    <w:p w14:paraId="76A3C6B6" w14:textId="6A32055F" w:rsidR="00077DBB" w:rsidRPr="00B72F82" w:rsidRDefault="00AE616B" w:rsidP="00603DC8">
      <w:pPr>
        <w:pStyle w:val="ListParagraph"/>
        <w:numPr>
          <w:ilvl w:val="0"/>
          <w:numId w:val="39"/>
        </w:numPr>
        <w:shd w:val="clear" w:color="auto" w:fill="FFFFFF"/>
        <w:spacing w:before="120" w:line="288" w:lineRule="auto"/>
        <w:rPr>
          <w:rFonts w:eastAsia="Times New Roman" w:cs="Arial"/>
          <w:szCs w:val="21"/>
          <w:lang w:eastAsia="en-AU"/>
        </w:rPr>
      </w:pPr>
      <w:r w:rsidRPr="0064684A">
        <w:rPr>
          <w:rFonts w:cs="Arial"/>
          <w:b/>
          <w:bCs/>
          <w:szCs w:val="21"/>
        </w:rPr>
        <w:t>25 – 27</w:t>
      </w:r>
      <w:r w:rsidR="008404B4" w:rsidRPr="0064684A">
        <w:rPr>
          <w:rFonts w:cs="Arial"/>
          <w:b/>
          <w:bCs/>
          <w:szCs w:val="21"/>
        </w:rPr>
        <w:t xml:space="preserve"> </w:t>
      </w:r>
      <w:r w:rsidRPr="0064684A">
        <w:rPr>
          <w:rFonts w:cs="Arial"/>
          <w:b/>
          <w:bCs/>
          <w:szCs w:val="21"/>
        </w:rPr>
        <w:t xml:space="preserve">gauge </w:t>
      </w:r>
      <w:r w:rsidR="00077DBB" w:rsidRPr="0064684A">
        <w:rPr>
          <w:rFonts w:cs="Arial"/>
          <w:b/>
          <w:bCs/>
          <w:szCs w:val="21"/>
        </w:rPr>
        <w:t>needle to draw up</w:t>
      </w:r>
      <w:r w:rsidR="00077DBB" w:rsidRPr="00B72F82">
        <w:rPr>
          <w:rFonts w:cs="Arial"/>
          <w:szCs w:val="21"/>
        </w:rPr>
        <w:t xml:space="preserve"> the recommended 0.1 ml dose</w:t>
      </w:r>
      <w:r w:rsidRPr="00B72F82">
        <w:rPr>
          <w:rFonts w:cs="Arial"/>
          <w:szCs w:val="21"/>
        </w:rPr>
        <w:t xml:space="preserve">. Larger gauge needles may be used, however </w:t>
      </w:r>
      <w:r w:rsidR="002B4203" w:rsidRPr="00B72F82">
        <w:rPr>
          <w:rFonts w:cs="Arial"/>
          <w:szCs w:val="21"/>
        </w:rPr>
        <w:t xml:space="preserve">smaller </w:t>
      </w:r>
      <w:r w:rsidRPr="00B72F82">
        <w:rPr>
          <w:rFonts w:cs="Arial"/>
          <w:szCs w:val="21"/>
        </w:rPr>
        <w:t xml:space="preserve">gauge </w:t>
      </w:r>
      <w:r w:rsidR="002B4203" w:rsidRPr="00B72F82">
        <w:rPr>
          <w:rFonts w:cs="Arial"/>
          <w:szCs w:val="21"/>
        </w:rPr>
        <w:t xml:space="preserve">needles </w:t>
      </w:r>
      <w:r w:rsidRPr="00B72F82">
        <w:rPr>
          <w:rFonts w:cs="Arial"/>
          <w:szCs w:val="21"/>
        </w:rPr>
        <w:t>may minimise vaccine wastage</w:t>
      </w:r>
      <w:r w:rsidR="008404B4" w:rsidRPr="00B72F82">
        <w:rPr>
          <w:rFonts w:cs="Arial"/>
          <w:szCs w:val="21"/>
        </w:rPr>
        <w:t>.</w:t>
      </w:r>
    </w:p>
    <w:p w14:paraId="040B2C4E" w14:textId="31652ADC" w:rsidR="00077DBB" w:rsidRPr="00B72F82" w:rsidRDefault="00077DBB" w:rsidP="00603DC8">
      <w:pPr>
        <w:pStyle w:val="ListParagraph"/>
        <w:numPr>
          <w:ilvl w:val="0"/>
          <w:numId w:val="39"/>
        </w:numPr>
        <w:shd w:val="clear" w:color="auto" w:fill="FFFFFF" w:themeFill="background1"/>
        <w:spacing w:before="120" w:line="288" w:lineRule="auto"/>
        <w:rPr>
          <w:rFonts w:eastAsia="Times New Roman" w:cs="Arial"/>
          <w:szCs w:val="21"/>
          <w:lang w:eastAsia="en-AU"/>
        </w:rPr>
      </w:pPr>
      <w:r w:rsidRPr="007671D0">
        <w:rPr>
          <w:rFonts w:cs="Arial"/>
          <w:b/>
          <w:bCs/>
          <w:szCs w:val="21"/>
        </w:rPr>
        <w:t xml:space="preserve">26 </w:t>
      </w:r>
      <w:r w:rsidR="00B96D08">
        <w:rPr>
          <w:rFonts w:cs="Arial"/>
          <w:b/>
          <w:bCs/>
          <w:szCs w:val="21"/>
        </w:rPr>
        <w:t>–</w:t>
      </w:r>
      <w:r w:rsidRPr="007671D0">
        <w:rPr>
          <w:rFonts w:cs="Arial"/>
          <w:b/>
          <w:bCs/>
          <w:szCs w:val="21"/>
        </w:rPr>
        <w:t xml:space="preserve"> 27</w:t>
      </w:r>
      <w:r w:rsidRPr="007671D0">
        <w:rPr>
          <w:rFonts w:cs="Arial"/>
          <w:b/>
          <w:bCs/>
        </w:rPr>
        <w:t>-</w:t>
      </w:r>
      <w:r w:rsidRPr="007671D0">
        <w:rPr>
          <w:rFonts w:cs="Arial"/>
          <w:b/>
          <w:bCs/>
          <w:szCs w:val="21"/>
        </w:rPr>
        <w:t>gauge 10 mm needle with short bevel</w:t>
      </w:r>
      <w:r w:rsidR="002B4203" w:rsidRPr="00B72F82">
        <w:rPr>
          <w:rFonts w:cs="Arial"/>
          <w:szCs w:val="21"/>
        </w:rPr>
        <w:t xml:space="preserve"> for administration </w:t>
      </w:r>
    </w:p>
    <w:p w14:paraId="3BAF6D4D" w14:textId="2EF692A9" w:rsidR="00077DBB" w:rsidRPr="00CE6A2C" w:rsidRDefault="00077DBB" w:rsidP="00603DC8">
      <w:pPr>
        <w:pStyle w:val="ListParagraph"/>
        <w:numPr>
          <w:ilvl w:val="0"/>
          <w:numId w:val="39"/>
        </w:numPr>
        <w:shd w:val="clear" w:color="auto" w:fill="FFFFFF" w:themeFill="background1"/>
        <w:spacing w:before="120" w:line="288" w:lineRule="auto"/>
        <w:rPr>
          <w:rFonts w:eastAsia="Times New Roman" w:cs="Arial"/>
          <w:lang w:eastAsia="en-AU"/>
        </w:rPr>
      </w:pPr>
      <w:r w:rsidRPr="00CE6A2C">
        <w:rPr>
          <w:rFonts w:cs="Arial"/>
        </w:rPr>
        <w:t>Cotton ball</w:t>
      </w:r>
      <w:r w:rsidR="7A8BE200" w:rsidRPr="00CE6A2C">
        <w:rPr>
          <w:rFonts w:cs="Arial"/>
        </w:rPr>
        <w:t xml:space="preserve"> </w:t>
      </w:r>
      <w:r w:rsidRPr="00CE6A2C">
        <w:rPr>
          <w:rFonts w:cs="Arial"/>
        </w:rPr>
        <w:t>(optional)</w:t>
      </w:r>
    </w:p>
    <w:p w14:paraId="5400E8F4" w14:textId="4DC54FD4" w:rsidR="00077DBB" w:rsidRPr="00CE6A2C" w:rsidRDefault="00077DBB" w:rsidP="00603DC8">
      <w:pPr>
        <w:pStyle w:val="ListParagraph"/>
        <w:numPr>
          <w:ilvl w:val="0"/>
          <w:numId w:val="39"/>
        </w:numPr>
        <w:shd w:val="clear" w:color="auto" w:fill="FFFFFF"/>
        <w:spacing w:before="120" w:line="288" w:lineRule="auto"/>
        <w:rPr>
          <w:rFonts w:eastAsia="Times New Roman" w:cs="Arial"/>
          <w:szCs w:val="21"/>
          <w:lang w:eastAsia="en-AU"/>
        </w:rPr>
      </w:pPr>
      <w:r w:rsidRPr="00CE6A2C">
        <w:rPr>
          <w:rFonts w:cs="Arial"/>
          <w:szCs w:val="21"/>
        </w:rPr>
        <w:t>Alcohol swab</w:t>
      </w:r>
      <w:r w:rsidR="0012555E">
        <w:rPr>
          <w:rFonts w:cs="Arial"/>
          <w:szCs w:val="21"/>
        </w:rPr>
        <w:t>s</w:t>
      </w:r>
    </w:p>
    <w:p w14:paraId="41F5CB82" w14:textId="4A863167" w:rsidR="00077DBB" w:rsidRPr="00EC619C" w:rsidRDefault="007518CC" w:rsidP="002000CB">
      <w:pPr>
        <w:shd w:val="clear" w:color="auto" w:fill="FFFFFF"/>
        <w:spacing w:before="120" w:line="288" w:lineRule="auto"/>
        <w:rPr>
          <w:rFonts w:cs="Arial"/>
          <w:szCs w:val="21"/>
          <w:lang w:eastAsia="en-AU"/>
        </w:rPr>
      </w:pPr>
      <w:r>
        <w:rPr>
          <w:rFonts w:cs="Arial"/>
          <w:szCs w:val="21"/>
          <w:lang w:eastAsia="en-AU"/>
        </w:rPr>
        <w:t>In group sessions,</w:t>
      </w:r>
      <w:r w:rsidR="00077DBB" w:rsidRPr="00EC619C">
        <w:rPr>
          <w:rFonts w:cs="Arial"/>
          <w:szCs w:val="21"/>
          <w:lang w:eastAsia="en-AU"/>
        </w:rPr>
        <w:t xml:space="preserve"> </w:t>
      </w:r>
      <w:r w:rsidR="00DE6F1D">
        <w:rPr>
          <w:rFonts w:cs="Arial"/>
          <w:szCs w:val="21"/>
          <w:lang w:eastAsia="en-AU"/>
        </w:rPr>
        <w:t>and where possible,</w:t>
      </w:r>
      <w:r w:rsidR="00077DBB" w:rsidRPr="00EC619C">
        <w:rPr>
          <w:rFonts w:cs="Arial"/>
          <w:szCs w:val="21"/>
          <w:lang w:eastAsia="en-AU"/>
        </w:rPr>
        <w:t xml:space="preserve"> prepare vaccines for </w:t>
      </w:r>
      <w:r w:rsidR="00B634F3">
        <w:rPr>
          <w:rFonts w:cs="Arial"/>
          <w:szCs w:val="21"/>
          <w:lang w:eastAsia="en-AU"/>
        </w:rPr>
        <w:t>one</w:t>
      </w:r>
      <w:r w:rsidR="00077DBB" w:rsidRPr="00EC619C">
        <w:rPr>
          <w:rFonts w:cs="Arial"/>
          <w:szCs w:val="21"/>
          <w:lang w:eastAsia="en-AU"/>
        </w:rPr>
        <w:t xml:space="preserve"> person at a time to </w:t>
      </w:r>
      <w:r w:rsidR="000720C8">
        <w:rPr>
          <w:rFonts w:cs="Arial"/>
          <w:szCs w:val="21"/>
          <w:lang w:eastAsia="en-AU"/>
        </w:rPr>
        <w:t xml:space="preserve">maintain cold chain and </w:t>
      </w:r>
      <w:r w:rsidR="00077DBB" w:rsidRPr="00EC619C">
        <w:rPr>
          <w:rFonts w:cs="Arial"/>
          <w:szCs w:val="21"/>
          <w:lang w:eastAsia="en-AU"/>
        </w:rPr>
        <w:t>avoid potential error.</w:t>
      </w:r>
    </w:p>
    <w:p w14:paraId="0D8CFF2A" w14:textId="4A07C74E" w:rsidR="00077DBB" w:rsidRPr="00EC619C" w:rsidRDefault="00077DBB" w:rsidP="00603DC8">
      <w:pPr>
        <w:pStyle w:val="Body"/>
        <w:numPr>
          <w:ilvl w:val="0"/>
          <w:numId w:val="24"/>
        </w:numPr>
        <w:spacing w:after="0" w:line="288" w:lineRule="auto"/>
        <w:ind w:left="714" w:hanging="357"/>
        <w:rPr>
          <w:rFonts w:asciiTheme="minorHAnsi" w:eastAsiaTheme="minorEastAsia" w:hAnsiTheme="minorHAnsi"/>
          <w:szCs w:val="21"/>
          <w:lang w:eastAsia="en-AU"/>
        </w:rPr>
      </w:pPr>
      <w:r w:rsidRPr="7CA344CC">
        <w:rPr>
          <w:rFonts w:eastAsia="Times New Roman" w:cs="Arial"/>
          <w:lang w:eastAsia="en-AU"/>
        </w:rPr>
        <w:t>JYNNEOS</w:t>
      </w:r>
      <w:r w:rsidRPr="7CA344CC">
        <w:rPr>
          <w:rFonts w:eastAsia="Times New Roman" w:cs="Arial"/>
          <w:vertAlign w:val="superscript"/>
          <w:lang w:eastAsia="en-AU"/>
        </w:rPr>
        <w:t>®</w:t>
      </w:r>
      <w:r w:rsidRPr="7CA344CC">
        <w:rPr>
          <w:rFonts w:cs="Arial"/>
        </w:rPr>
        <w:t xml:space="preserve"> </w:t>
      </w:r>
      <w:r w:rsidR="00B634F3">
        <w:rPr>
          <w:rFonts w:cs="Arial"/>
        </w:rPr>
        <w:t>v</w:t>
      </w:r>
      <w:r w:rsidRPr="7CA344CC">
        <w:rPr>
          <w:rFonts w:cs="Arial"/>
        </w:rPr>
        <w:t xml:space="preserve">ials should be kept refrigerated until use. </w:t>
      </w:r>
    </w:p>
    <w:p w14:paraId="7525A5ED" w14:textId="22FAE89F"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7CA344CC">
        <w:rPr>
          <w:rFonts w:eastAsia="Times New Roman" w:cs="Arial"/>
          <w:lang w:eastAsia="en-AU"/>
        </w:rPr>
        <w:t>When</w:t>
      </w:r>
      <w:r w:rsidRPr="00B634F3">
        <w:rPr>
          <w:rFonts w:eastAsia="Times New Roman" w:cs="Arial"/>
          <w:lang w:eastAsia="en-AU"/>
        </w:rPr>
        <w:t xml:space="preserve"> </w:t>
      </w:r>
      <w:r w:rsidRPr="7CA344CC">
        <w:rPr>
          <w:rFonts w:eastAsia="Times New Roman" w:cs="Arial"/>
          <w:lang w:eastAsia="en-AU"/>
        </w:rPr>
        <w:t>thawed, JYNNEOS</w:t>
      </w:r>
      <w:r w:rsidRPr="00B634F3">
        <w:rPr>
          <w:rFonts w:eastAsia="Times New Roman" w:cs="Arial"/>
          <w:vertAlign w:val="superscript"/>
          <w:lang w:eastAsia="en-AU"/>
        </w:rPr>
        <w:t>®</w:t>
      </w:r>
      <w:r w:rsidRPr="7CA344CC">
        <w:rPr>
          <w:rFonts w:eastAsia="Times New Roman" w:cs="Arial"/>
          <w:lang w:eastAsia="en-AU"/>
        </w:rPr>
        <w:t xml:space="preserve"> </w:t>
      </w:r>
      <w:r w:rsidR="000D3DD0">
        <w:rPr>
          <w:rFonts w:eastAsia="Times New Roman" w:cs="Arial"/>
          <w:lang w:eastAsia="en-AU"/>
        </w:rPr>
        <w:t xml:space="preserve">vaccine </w:t>
      </w:r>
      <w:r w:rsidRPr="7CA344CC">
        <w:rPr>
          <w:rFonts w:eastAsia="Times New Roman" w:cs="Arial"/>
          <w:lang w:eastAsia="en-AU"/>
        </w:rPr>
        <w:t>is a milky, light yellow to pale white coloured suspension.</w:t>
      </w:r>
    </w:p>
    <w:p w14:paraId="405B73BA" w14:textId="77777777"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00B634F3">
        <w:rPr>
          <w:rFonts w:eastAsia="Times New Roman" w:cs="Arial"/>
          <w:lang w:eastAsia="en-AU"/>
        </w:rPr>
        <w:t xml:space="preserve">Swirl the vial gently before use for at least 30 seconds. </w:t>
      </w:r>
    </w:p>
    <w:p w14:paraId="5CEF8F5E" w14:textId="21BB66A0" w:rsidR="00077DBB" w:rsidRPr="00BD4AA3" w:rsidRDefault="00077DBB" w:rsidP="00603DC8">
      <w:pPr>
        <w:pStyle w:val="Body"/>
        <w:numPr>
          <w:ilvl w:val="0"/>
          <w:numId w:val="24"/>
        </w:numPr>
        <w:spacing w:after="0" w:line="288" w:lineRule="auto"/>
        <w:ind w:left="714" w:hanging="357"/>
        <w:rPr>
          <w:rFonts w:cs="Arial"/>
          <w:color w:val="313131"/>
          <w:szCs w:val="21"/>
        </w:rPr>
      </w:pPr>
      <w:r w:rsidRPr="00B634F3">
        <w:rPr>
          <w:rFonts w:eastAsia="Times New Roman" w:cs="Arial"/>
          <w:lang w:eastAsia="en-AU"/>
        </w:rPr>
        <w:t>Remove the cap carefully to mainta</w:t>
      </w:r>
      <w:r w:rsidRPr="00EC619C">
        <w:rPr>
          <w:rFonts w:cs="Arial"/>
          <w:szCs w:val="21"/>
        </w:rPr>
        <w:t xml:space="preserve">in sterility of the rubber bung. </w:t>
      </w:r>
      <w:r w:rsidR="00032D6B">
        <w:rPr>
          <w:rFonts w:cs="Arial"/>
          <w:szCs w:val="21"/>
        </w:rPr>
        <w:t xml:space="preserve"> </w:t>
      </w:r>
    </w:p>
    <w:p w14:paraId="6B608A42" w14:textId="77777777" w:rsidR="007C1335" w:rsidRPr="00B634F3" w:rsidRDefault="007C1335" w:rsidP="007C1335">
      <w:pPr>
        <w:pStyle w:val="Body"/>
        <w:numPr>
          <w:ilvl w:val="0"/>
          <w:numId w:val="24"/>
        </w:numPr>
        <w:spacing w:after="0" w:line="288" w:lineRule="auto"/>
        <w:ind w:left="714" w:hanging="357"/>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6E364EDA" w14:textId="77777777" w:rsidR="009A09F2" w:rsidRDefault="009A09F2" w:rsidP="009A09F2">
      <w:pPr>
        <w:spacing w:line="257" w:lineRule="auto"/>
        <w:rPr>
          <w:rFonts w:eastAsia="Calibri" w:cs="Arial"/>
          <w:b/>
          <w:sz w:val="22"/>
          <w:szCs w:val="22"/>
        </w:rPr>
      </w:pPr>
    </w:p>
    <w:p w14:paraId="2F4F5C66" w14:textId="5854C2CF" w:rsidR="5FE40EE9" w:rsidRPr="00461EF4" w:rsidRDefault="5FE40EE9" w:rsidP="00035E03">
      <w:pPr>
        <w:pStyle w:val="Heading4"/>
        <w:ind w:left="-907"/>
      </w:pPr>
      <w:r w:rsidRPr="00461EF4">
        <w:rPr>
          <w:rStyle w:val="Heading4Char"/>
          <w:b/>
          <w:bCs/>
        </w:rPr>
        <w:t xml:space="preserve">Table </w:t>
      </w:r>
      <w:r w:rsidR="00F02888" w:rsidRPr="00461EF4">
        <w:rPr>
          <w:rStyle w:val="Heading4Char"/>
          <w:b/>
          <w:bCs/>
        </w:rPr>
        <w:t>3</w:t>
      </w:r>
      <w:r w:rsidRPr="00461EF4">
        <w:rPr>
          <w:rStyle w:val="Heading4Char"/>
          <w:b/>
          <w:bCs/>
        </w:rPr>
        <w:t xml:space="preserve"> </w:t>
      </w:r>
      <w:r w:rsidR="009A09F2" w:rsidRPr="00461EF4">
        <w:rPr>
          <w:rStyle w:val="Heading4Char"/>
          <w:b/>
          <w:bCs/>
        </w:rPr>
        <w:t xml:space="preserve">Procedures for drawing up multiple </w:t>
      </w:r>
      <w:r w:rsidR="00461EF4" w:rsidRPr="00461EF4">
        <w:rPr>
          <w:rStyle w:val="Heading4Char"/>
          <w:b/>
          <w:bCs/>
        </w:rPr>
        <w:t>ID</w:t>
      </w:r>
      <w:r w:rsidR="009A09F2" w:rsidRPr="00461EF4">
        <w:rPr>
          <w:rStyle w:val="Heading4Char"/>
          <w:b/>
          <w:bCs/>
        </w:rPr>
        <w:t xml:space="preserve"> doses from a standard vial</w:t>
      </w:r>
      <w:r w:rsidR="0008064C" w:rsidRPr="00035E03">
        <w:rPr>
          <w:rStyle w:val="FootnoteReference"/>
          <w:sz w:val="12"/>
          <w:szCs w:val="12"/>
          <w:vertAlign w:val="baseline"/>
        </w:rPr>
        <w:footnoteReference w:id="26"/>
      </w:r>
    </w:p>
    <w:tbl>
      <w:tblPr>
        <w:tblStyle w:val="TableGrid"/>
        <w:tblW w:w="10773" w:type="dxa"/>
        <w:tblInd w:w="-1144" w:type="dxa"/>
        <w:tblLayout w:type="fixed"/>
        <w:tblLook w:val="04A0" w:firstRow="1" w:lastRow="0" w:firstColumn="1" w:lastColumn="0" w:noHBand="0" w:noVBand="1"/>
      </w:tblPr>
      <w:tblGrid>
        <w:gridCol w:w="708"/>
        <w:gridCol w:w="3261"/>
        <w:gridCol w:w="3261"/>
        <w:gridCol w:w="3543"/>
      </w:tblGrid>
      <w:tr w:rsidR="001F7921" w:rsidRPr="007925F5" w14:paraId="3DC851E7" w14:textId="0B836D15"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4AE4334" w14:textId="3F8BBC4D" w:rsidR="001F7921" w:rsidRPr="007925F5" w:rsidRDefault="001F7921" w:rsidP="00AB70CA">
            <w:pPr>
              <w:rPr>
                <w:rFonts w:cs="Arial"/>
              </w:rPr>
            </w:pPr>
            <w:r w:rsidRPr="00113C20">
              <w:rPr>
                <w:rFonts w:eastAsia="Calibri" w:cs="Arial"/>
                <w:b/>
                <w:szCs w:val="21"/>
              </w:rPr>
              <w:t>Step</w:t>
            </w:r>
          </w:p>
        </w:tc>
        <w:tc>
          <w:tcPr>
            <w:tcW w:w="3261" w:type="dxa"/>
            <w:tcBorders>
              <w:top w:val="single" w:sz="8" w:space="0" w:color="auto"/>
              <w:left w:val="single" w:sz="8" w:space="0" w:color="auto"/>
              <w:bottom w:val="single" w:sz="8" w:space="0" w:color="auto"/>
              <w:right w:val="single" w:sz="8" w:space="0" w:color="auto"/>
            </w:tcBorders>
          </w:tcPr>
          <w:p w14:paraId="02237114" w14:textId="409FBADF" w:rsidR="001F7921" w:rsidRPr="007925F5" w:rsidRDefault="001F7921" w:rsidP="00AB70CA">
            <w:pPr>
              <w:rPr>
                <w:rFonts w:cs="Arial"/>
              </w:rPr>
            </w:pPr>
            <w:r w:rsidRPr="00113C20">
              <w:rPr>
                <w:rFonts w:eastAsia="Calibri" w:cs="Arial"/>
                <w:b/>
                <w:szCs w:val="21"/>
              </w:rPr>
              <w:t xml:space="preserve">Method for extraction of a single dose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at a time</w:t>
            </w:r>
          </w:p>
        </w:tc>
        <w:tc>
          <w:tcPr>
            <w:tcW w:w="3261" w:type="dxa"/>
            <w:tcBorders>
              <w:top w:val="single" w:sz="8" w:space="0" w:color="auto"/>
              <w:left w:val="single" w:sz="8" w:space="0" w:color="auto"/>
              <w:bottom w:val="single" w:sz="8" w:space="0" w:color="auto"/>
              <w:right w:val="single" w:sz="8" w:space="0" w:color="auto"/>
            </w:tcBorders>
          </w:tcPr>
          <w:p w14:paraId="750A8A66" w14:textId="735EC8CC" w:rsidR="001F7921" w:rsidRPr="007925F5" w:rsidRDefault="001F7921" w:rsidP="00AB70CA">
            <w:pPr>
              <w:rPr>
                <w:rFonts w:cs="Arial"/>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using different needles for drawing up and administration</w:t>
            </w:r>
            <w:r w:rsidR="00910DBC">
              <w:rPr>
                <w:rFonts w:eastAsia="Calibri" w:cs="Arial"/>
                <w:b/>
                <w:szCs w:val="21"/>
              </w:rPr>
              <w:t xml:space="preserve"> </w:t>
            </w:r>
          </w:p>
        </w:tc>
        <w:tc>
          <w:tcPr>
            <w:tcW w:w="3543" w:type="dxa"/>
            <w:tcBorders>
              <w:top w:val="single" w:sz="8" w:space="0" w:color="auto"/>
              <w:left w:val="single" w:sz="8" w:space="0" w:color="auto"/>
              <w:bottom w:val="single" w:sz="8" w:space="0" w:color="auto"/>
              <w:right w:val="single" w:sz="8" w:space="0" w:color="auto"/>
            </w:tcBorders>
          </w:tcPr>
          <w:p w14:paraId="37D544AC" w14:textId="304DCDE5" w:rsidR="001F7921" w:rsidRPr="00113C20" w:rsidRDefault="001F7921" w:rsidP="00AB70CA">
            <w:pPr>
              <w:rPr>
                <w:rFonts w:eastAsia="Calibri" w:cs="Arial"/>
                <w:b/>
                <w:szCs w:val="21"/>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 xml:space="preserve">vaccine using </w:t>
            </w:r>
            <w:r w:rsidR="00BD427F">
              <w:rPr>
                <w:rFonts w:eastAsia="Calibri" w:cs="Arial"/>
                <w:b/>
                <w:szCs w:val="21"/>
              </w:rPr>
              <w:t xml:space="preserve">the same </w:t>
            </w:r>
            <w:r w:rsidRPr="00113C20">
              <w:rPr>
                <w:rFonts w:eastAsia="Calibri" w:cs="Arial"/>
                <w:b/>
                <w:szCs w:val="21"/>
              </w:rPr>
              <w:t>needle for drawing</w:t>
            </w:r>
            <w:r w:rsidR="00BE40EF">
              <w:rPr>
                <w:rFonts w:eastAsia="Calibri" w:cs="Arial"/>
                <w:b/>
                <w:szCs w:val="21"/>
              </w:rPr>
              <w:t xml:space="preserve"> and administration</w:t>
            </w:r>
          </w:p>
        </w:tc>
      </w:tr>
      <w:tr w:rsidR="001F7921" w:rsidRPr="007925F5" w14:paraId="3AA6A6A1" w14:textId="5D848CC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6A949EA" w14:textId="57B972A7" w:rsidR="001F7921" w:rsidRPr="007925F5" w:rsidRDefault="001F7921" w:rsidP="00AB70CA">
            <w:pPr>
              <w:rPr>
                <w:rFonts w:cs="Arial"/>
              </w:rPr>
            </w:pPr>
            <w:r w:rsidRPr="00113C20">
              <w:rPr>
                <w:rFonts w:eastAsia="Calibri" w:cs="Arial"/>
                <w:szCs w:val="21"/>
              </w:rPr>
              <w:t xml:space="preserve"> </w:t>
            </w:r>
          </w:p>
        </w:tc>
        <w:tc>
          <w:tcPr>
            <w:tcW w:w="3261" w:type="dxa"/>
            <w:tcBorders>
              <w:top w:val="single" w:sz="8" w:space="0" w:color="auto"/>
              <w:left w:val="single" w:sz="8" w:space="0" w:color="auto"/>
              <w:bottom w:val="single" w:sz="8" w:space="0" w:color="auto"/>
              <w:right w:val="single" w:sz="8" w:space="0" w:color="auto"/>
            </w:tcBorders>
          </w:tcPr>
          <w:p w14:paraId="3061D29F" w14:textId="07AB9D19" w:rsidR="001F7921" w:rsidRPr="007925F5" w:rsidRDefault="001F7921" w:rsidP="00C411AB">
            <w:pPr>
              <w:spacing w:after="60"/>
              <w:rPr>
                <w:rFonts w:cs="Arial"/>
              </w:rPr>
            </w:pPr>
            <w:r w:rsidRPr="00113C20">
              <w:rPr>
                <w:rFonts w:eastAsia="Calibri" w:cs="Arial"/>
                <w:szCs w:val="21"/>
              </w:rPr>
              <w:t>This method is recommended whenever one or more doses will be extracted from a vial and the remaining contents of the vial will be stored.</w:t>
            </w:r>
          </w:p>
          <w:p w14:paraId="33F151B2" w14:textId="2F191FC4" w:rsidR="001F7921" w:rsidRPr="007925F5" w:rsidRDefault="001F7921" w:rsidP="00C411AB">
            <w:pPr>
              <w:spacing w:after="60"/>
              <w:rPr>
                <w:rFonts w:cs="Arial"/>
              </w:rPr>
            </w:pPr>
            <w:r w:rsidRPr="00113C20">
              <w:rPr>
                <w:rFonts w:eastAsia="Calibri" w:cs="Arial"/>
                <w:szCs w:val="21"/>
              </w:rPr>
              <w:t>Use an aseptic technique throughout this procedure</w:t>
            </w:r>
            <w:r w:rsidR="00DD3B2A">
              <w:rPr>
                <w:rFonts w:eastAsia="Calibri" w:cs="Arial"/>
                <w:szCs w:val="21"/>
              </w:rPr>
              <w:t>.</w:t>
            </w:r>
          </w:p>
        </w:tc>
        <w:tc>
          <w:tcPr>
            <w:tcW w:w="3261" w:type="dxa"/>
            <w:tcBorders>
              <w:top w:val="single" w:sz="8" w:space="0" w:color="auto"/>
              <w:left w:val="single" w:sz="8" w:space="0" w:color="auto"/>
              <w:bottom w:val="single" w:sz="8" w:space="0" w:color="auto"/>
              <w:right w:val="single" w:sz="8" w:space="0" w:color="auto"/>
            </w:tcBorders>
          </w:tcPr>
          <w:p w14:paraId="649A8E0F" w14:textId="1BC1979C" w:rsidR="001F7921" w:rsidRPr="007925F5" w:rsidRDefault="001F7921" w:rsidP="00C411AB">
            <w:pPr>
              <w:spacing w:after="60"/>
              <w:rPr>
                <w:rFonts w:cs="Arial"/>
              </w:rPr>
            </w:pPr>
            <w:r w:rsidRPr="00113C20">
              <w:rPr>
                <w:rFonts w:eastAsia="Calibri" w:cs="Arial"/>
                <w:szCs w:val="21"/>
              </w:rPr>
              <w:t xml:space="preserve">This method is only appropriate where multiple doses from a vial are to be drawn up </w:t>
            </w:r>
            <w:r w:rsidRPr="004B504C">
              <w:rPr>
                <w:rFonts w:eastAsia="Calibri" w:cs="Arial"/>
                <w:szCs w:val="21"/>
              </w:rPr>
              <w:t>in immediate succession for administration</w:t>
            </w:r>
            <w:r w:rsidRPr="00113C20">
              <w:rPr>
                <w:rFonts w:eastAsia="Calibri" w:cs="Arial"/>
                <w:szCs w:val="21"/>
              </w:rPr>
              <w:t xml:space="preserve"> within a single vaccination session. </w:t>
            </w:r>
          </w:p>
          <w:p w14:paraId="0026C498" w14:textId="77777777" w:rsidR="00C411AB" w:rsidRDefault="001F7921" w:rsidP="00C411AB">
            <w:pPr>
              <w:spacing w:after="60"/>
              <w:rPr>
                <w:rFonts w:eastAsia="Calibri" w:cs="Arial"/>
                <w:szCs w:val="21"/>
              </w:rPr>
            </w:pPr>
            <w:r w:rsidRPr="00113C20">
              <w:rPr>
                <w:rFonts w:eastAsia="Calibri" w:cs="Arial"/>
                <w:szCs w:val="21"/>
              </w:rPr>
              <w:t xml:space="preserve">Use an aseptic technique throughout this procedure. </w:t>
            </w:r>
          </w:p>
          <w:p w14:paraId="48AEC8E1" w14:textId="231F3AFD" w:rsidR="001F7921" w:rsidRPr="007925F5" w:rsidRDefault="001F7921" w:rsidP="00C411AB">
            <w:pPr>
              <w:spacing w:after="60"/>
              <w:rPr>
                <w:rFonts w:cs="Arial"/>
              </w:rPr>
            </w:pPr>
            <w:r w:rsidRPr="00113C20">
              <w:rPr>
                <w:rFonts w:eastAsia="Calibri" w:cs="Arial"/>
                <w:szCs w:val="21"/>
              </w:rPr>
              <w:t>Vials should never be stored with a drawing up needle attached.</w:t>
            </w:r>
          </w:p>
        </w:tc>
        <w:tc>
          <w:tcPr>
            <w:tcW w:w="3543" w:type="dxa"/>
            <w:tcBorders>
              <w:top w:val="single" w:sz="8" w:space="0" w:color="auto"/>
              <w:left w:val="single" w:sz="8" w:space="0" w:color="auto"/>
              <w:bottom w:val="single" w:sz="8" w:space="0" w:color="auto"/>
              <w:right w:val="single" w:sz="8" w:space="0" w:color="auto"/>
            </w:tcBorders>
          </w:tcPr>
          <w:p w14:paraId="61EFFC58" w14:textId="10453FDA" w:rsidR="0064634C" w:rsidRDefault="00125DB5" w:rsidP="00C411AB">
            <w:pPr>
              <w:spacing w:after="60"/>
            </w:pPr>
            <w:r>
              <w:t xml:space="preserve">This method uses the same needle to draw up and administer a vaccine dose. </w:t>
            </w:r>
          </w:p>
          <w:p w14:paraId="6E6B7EC5" w14:textId="0001D90A" w:rsidR="001F7921" w:rsidRDefault="00125DB5" w:rsidP="00C411AB">
            <w:pPr>
              <w:spacing w:after="60"/>
            </w:pPr>
            <w:r>
              <w:t>Use an aseptic technique throughout this procedure.</w:t>
            </w:r>
          </w:p>
          <w:p w14:paraId="6F863390" w14:textId="75B50B7A" w:rsidR="00125DB5" w:rsidRPr="00113C20" w:rsidRDefault="00125DB5" w:rsidP="00C411AB">
            <w:pPr>
              <w:spacing w:after="60"/>
              <w:rPr>
                <w:rFonts w:eastAsia="Calibri" w:cs="Arial"/>
                <w:szCs w:val="21"/>
              </w:rPr>
            </w:pPr>
            <w:r>
              <w:t xml:space="preserve">This method of extraction may reduce risk of vaccine wastage </w:t>
            </w:r>
          </w:p>
        </w:tc>
      </w:tr>
      <w:tr w:rsidR="007059DA" w:rsidRPr="007925F5" w14:paraId="706B1213" w14:textId="77777777">
        <w:trPr>
          <w:trHeight w:val="300"/>
        </w:trPr>
        <w:tc>
          <w:tcPr>
            <w:tcW w:w="708" w:type="dxa"/>
            <w:tcBorders>
              <w:top w:val="single" w:sz="8" w:space="0" w:color="auto"/>
              <w:left w:val="single" w:sz="8" w:space="0" w:color="auto"/>
              <w:bottom w:val="single" w:sz="8" w:space="0" w:color="auto"/>
              <w:right w:val="single" w:sz="8" w:space="0" w:color="auto"/>
            </w:tcBorders>
          </w:tcPr>
          <w:p w14:paraId="37748DFC" w14:textId="77777777" w:rsidR="007059DA" w:rsidRPr="00113C20" w:rsidRDefault="007059DA" w:rsidP="00AB70CA">
            <w:pPr>
              <w:rPr>
                <w:rFonts w:eastAsia="Calibri" w:cs="Arial"/>
                <w:szCs w:val="21"/>
              </w:rPr>
            </w:pPr>
          </w:p>
        </w:tc>
        <w:tc>
          <w:tcPr>
            <w:tcW w:w="10065" w:type="dxa"/>
            <w:gridSpan w:val="3"/>
            <w:tcBorders>
              <w:top w:val="single" w:sz="8" w:space="0" w:color="auto"/>
              <w:left w:val="single" w:sz="8" w:space="0" w:color="auto"/>
              <w:bottom w:val="single" w:sz="8" w:space="0" w:color="auto"/>
              <w:right w:val="single" w:sz="8" w:space="0" w:color="auto"/>
            </w:tcBorders>
          </w:tcPr>
          <w:p w14:paraId="31ADB7A5" w14:textId="265997D3" w:rsidR="007059DA" w:rsidRDefault="007059DA" w:rsidP="00717DE6">
            <w:pPr>
              <w:spacing w:after="60"/>
              <w:jc w:val="center"/>
            </w:pPr>
            <w:r>
              <w:rPr>
                <w:rFonts w:eastAsia="Calibri" w:cs="Arial"/>
                <w:szCs w:val="21"/>
              </w:rPr>
              <w:t xml:space="preserve">Always </w:t>
            </w:r>
            <w:r w:rsidR="00717DE6">
              <w:rPr>
                <w:rFonts w:eastAsia="Calibri" w:cs="Arial"/>
                <w:szCs w:val="21"/>
              </w:rPr>
              <w:t>c</w:t>
            </w:r>
            <w:r>
              <w:rPr>
                <w:rFonts w:eastAsia="Calibri" w:cs="Arial"/>
                <w:szCs w:val="21"/>
              </w:rPr>
              <w:t xml:space="preserve">heck the </w:t>
            </w:r>
            <w:r w:rsidRPr="00717DE6">
              <w:rPr>
                <w:rFonts w:eastAsia="Calibri" w:cs="Arial"/>
                <w:b/>
                <w:bCs/>
                <w:szCs w:val="21"/>
              </w:rPr>
              <w:t>revised expiry date</w:t>
            </w:r>
            <w:r>
              <w:rPr>
                <w:rFonts w:eastAsia="Calibri" w:cs="Arial"/>
                <w:szCs w:val="21"/>
              </w:rPr>
              <w:t xml:space="preserve"> on the </w:t>
            </w:r>
            <w:r w:rsidR="00717DE6">
              <w:rPr>
                <w:rFonts w:eastAsia="Calibri" w:cs="Arial"/>
                <w:szCs w:val="21"/>
              </w:rPr>
              <w:t xml:space="preserve">original </w:t>
            </w:r>
            <w:r>
              <w:rPr>
                <w:rFonts w:eastAsia="Calibri" w:cs="Arial"/>
                <w:szCs w:val="21"/>
              </w:rPr>
              <w:t xml:space="preserve">vaccine </w:t>
            </w:r>
            <w:r w:rsidR="00717DE6">
              <w:rPr>
                <w:rFonts w:eastAsia="Calibri" w:cs="Arial"/>
                <w:szCs w:val="21"/>
              </w:rPr>
              <w:t>box (containing 20 vials)</w:t>
            </w:r>
          </w:p>
        </w:tc>
      </w:tr>
      <w:tr w:rsidR="001F7921" w:rsidRPr="007925F5" w14:paraId="1588A126" w14:textId="269739E1"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4CDDFB1B" w14:textId="131D0F06" w:rsidR="001F7921" w:rsidRPr="007925F5" w:rsidRDefault="001F7921" w:rsidP="00AB70CA">
            <w:pPr>
              <w:rPr>
                <w:rFonts w:cs="Arial"/>
              </w:rPr>
            </w:pPr>
            <w:r w:rsidRPr="00113C20">
              <w:rPr>
                <w:rFonts w:eastAsia="Calibri" w:cs="Arial"/>
                <w:szCs w:val="21"/>
              </w:rPr>
              <w:t>A</w:t>
            </w:r>
          </w:p>
        </w:tc>
        <w:tc>
          <w:tcPr>
            <w:tcW w:w="3261" w:type="dxa"/>
            <w:tcBorders>
              <w:top w:val="single" w:sz="8" w:space="0" w:color="auto"/>
              <w:left w:val="single" w:sz="8" w:space="0" w:color="auto"/>
              <w:bottom w:val="single" w:sz="8" w:space="0" w:color="auto"/>
              <w:right w:val="single" w:sz="8" w:space="0" w:color="auto"/>
            </w:tcBorders>
          </w:tcPr>
          <w:p w14:paraId="702BEF13" w14:textId="1959ECB2"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261" w:type="dxa"/>
            <w:tcBorders>
              <w:top w:val="single" w:sz="8" w:space="0" w:color="auto"/>
              <w:left w:val="single" w:sz="8" w:space="0" w:color="auto"/>
              <w:bottom w:val="single" w:sz="8" w:space="0" w:color="auto"/>
              <w:right w:val="single" w:sz="8" w:space="0" w:color="auto"/>
            </w:tcBorders>
          </w:tcPr>
          <w:p w14:paraId="451875BD" w14:textId="36B47B0E"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543" w:type="dxa"/>
            <w:tcBorders>
              <w:top w:val="single" w:sz="8" w:space="0" w:color="auto"/>
              <w:left w:val="single" w:sz="8" w:space="0" w:color="auto"/>
              <w:bottom w:val="single" w:sz="8" w:space="0" w:color="auto"/>
              <w:right w:val="single" w:sz="8" w:space="0" w:color="auto"/>
            </w:tcBorders>
          </w:tcPr>
          <w:p w14:paraId="33FF2C42" w14:textId="4127BC88" w:rsidR="001F7921" w:rsidRPr="00113C20" w:rsidRDefault="003D0313" w:rsidP="00AB70CA">
            <w:pPr>
              <w:rPr>
                <w:rFonts w:eastAsia="Calibri" w:cs="Arial"/>
                <w:szCs w:val="21"/>
              </w:rPr>
            </w:pPr>
            <w:r>
              <w:t xml:space="preserve">Attach a sterile </w:t>
            </w:r>
            <w:r w:rsidR="000A0401" w:rsidRPr="00B30DB2">
              <w:rPr>
                <w:b/>
                <w:bCs/>
              </w:rPr>
              <w:t>26-27 gauge</w:t>
            </w:r>
            <w:r w:rsidR="00D27A0C">
              <w:rPr>
                <w:b/>
                <w:bCs/>
              </w:rPr>
              <w:t xml:space="preserve"> </w:t>
            </w:r>
            <w:r w:rsidR="00D27A0C" w:rsidRPr="00FE7B43">
              <w:t>10mm long</w:t>
            </w:r>
            <w:r w:rsidR="000A0401">
              <w:t xml:space="preserve"> </w:t>
            </w:r>
            <w:r>
              <w:t>injection needle to a sterile syringe and insert the needle through the bung into the vial</w:t>
            </w:r>
          </w:p>
        </w:tc>
      </w:tr>
      <w:tr w:rsidR="001F7921" w:rsidRPr="007925F5" w14:paraId="61756D9C" w14:textId="27F9F6DA" w:rsidTr="00776E7B">
        <w:trPr>
          <w:trHeight w:val="1127"/>
        </w:trPr>
        <w:tc>
          <w:tcPr>
            <w:tcW w:w="708" w:type="dxa"/>
            <w:tcBorders>
              <w:top w:val="single" w:sz="8" w:space="0" w:color="auto"/>
              <w:left w:val="single" w:sz="8" w:space="0" w:color="auto"/>
              <w:bottom w:val="single" w:sz="8" w:space="0" w:color="auto"/>
              <w:right w:val="single" w:sz="8" w:space="0" w:color="auto"/>
            </w:tcBorders>
          </w:tcPr>
          <w:p w14:paraId="0007D1C1" w14:textId="16BD4BD4" w:rsidR="001F7921" w:rsidRPr="007925F5" w:rsidRDefault="001F7921" w:rsidP="00AB70CA">
            <w:pPr>
              <w:rPr>
                <w:rFonts w:cs="Arial"/>
              </w:rPr>
            </w:pPr>
            <w:r w:rsidRPr="00113C20">
              <w:rPr>
                <w:rFonts w:eastAsia="Calibri" w:cs="Arial"/>
                <w:szCs w:val="21"/>
              </w:rPr>
              <w:t>B</w:t>
            </w:r>
          </w:p>
        </w:tc>
        <w:tc>
          <w:tcPr>
            <w:tcW w:w="3261" w:type="dxa"/>
            <w:tcBorders>
              <w:top w:val="single" w:sz="8" w:space="0" w:color="auto"/>
              <w:left w:val="single" w:sz="8" w:space="0" w:color="auto"/>
              <w:bottom w:val="single" w:sz="8" w:space="0" w:color="auto"/>
              <w:right w:val="single" w:sz="8" w:space="0" w:color="auto"/>
            </w:tcBorders>
          </w:tcPr>
          <w:p w14:paraId="2C192431" w14:textId="08651578" w:rsidR="001F7921" w:rsidRPr="007925F5" w:rsidRDefault="001F7921" w:rsidP="00AB70CA">
            <w:pPr>
              <w:rPr>
                <w:rFonts w:cs="Arial"/>
              </w:rPr>
            </w:pPr>
            <w:r w:rsidRPr="00113C20">
              <w:rPr>
                <w:rFonts w:eastAsia="Calibri" w:cs="Arial"/>
                <w:szCs w:val="21"/>
              </w:rPr>
              <w:t>Draw up 0.1mL for a single dose. Do not touch the shaft of the needle and avoid moving the needle in and out of the vial.</w:t>
            </w:r>
          </w:p>
        </w:tc>
        <w:tc>
          <w:tcPr>
            <w:tcW w:w="3261" w:type="dxa"/>
            <w:tcBorders>
              <w:top w:val="single" w:sz="8" w:space="0" w:color="auto"/>
              <w:left w:val="single" w:sz="8" w:space="0" w:color="auto"/>
              <w:bottom w:val="single" w:sz="8" w:space="0" w:color="auto"/>
              <w:right w:val="single" w:sz="8" w:space="0" w:color="auto"/>
            </w:tcBorders>
          </w:tcPr>
          <w:p w14:paraId="441094E3" w14:textId="5347B609" w:rsidR="001F7921" w:rsidRPr="007925F5" w:rsidRDefault="001F7921" w:rsidP="00AB70CA">
            <w:pPr>
              <w:rPr>
                <w:rFonts w:cs="Arial"/>
              </w:rPr>
            </w:pPr>
            <w:r w:rsidRPr="00113C20">
              <w:rPr>
                <w:rFonts w:eastAsia="Calibri" w:cs="Arial"/>
                <w:szCs w:val="21"/>
              </w:rPr>
              <w:t>Draw up 0.</w:t>
            </w:r>
            <w:r>
              <w:rPr>
                <w:rFonts w:eastAsia="Calibri" w:cs="Arial"/>
                <w:szCs w:val="21"/>
              </w:rPr>
              <w:t>1</w:t>
            </w:r>
            <w:r w:rsidRPr="00113C20">
              <w:rPr>
                <w:rFonts w:eastAsia="Calibri" w:cs="Arial"/>
                <w:szCs w:val="21"/>
              </w:rPr>
              <w:t>mL for a single dose. Do not touch the shaft of the needle and avoid moving the needle in and out of the vial.</w:t>
            </w:r>
          </w:p>
        </w:tc>
        <w:tc>
          <w:tcPr>
            <w:tcW w:w="3543" w:type="dxa"/>
            <w:tcBorders>
              <w:top w:val="single" w:sz="8" w:space="0" w:color="auto"/>
              <w:left w:val="single" w:sz="8" w:space="0" w:color="auto"/>
              <w:bottom w:val="single" w:sz="8" w:space="0" w:color="auto"/>
              <w:right w:val="single" w:sz="8" w:space="0" w:color="auto"/>
            </w:tcBorders>
          </w:tcPr>
          <w:p w14:paraId="75EF6BFB" w14:textId="04A80EEB" w:rsidR="001F7921" w:rsidRPr="00113C20" w:rsidRDefault="001F7921" w:rsidP="00AB70CA">
            <w:pPr>
              <w:rPr>
                <w:rFonts w:eastAsia="Calibri" w:cs="Arial"/>
                <w:szCs w:val="21"/>
              </w:rPr>
            </w:pPr>
            <w:r w:rsidRPr="00113C20">
              <w:rPr>
                <w:rFonts w:eastAsia="Calibri" w:cs="Arial"/>
                <w:szCs w:val="21"/>
              </w:rPr>
              <w:t>Draw up 0.</w:t>
            </w:r>
            <w:r>
              <w:rPr>
                <w:rFonts w:eastAsia="Calibri" w:cs="Arial"/>
                <w:szCs w:val="21"/>
              </w:rPr>
              <w:t>1</w:t>
            </w:r>
            <w:r w:rsidRPr="00113C20">
              <w:rPr>
                <w:rFonts w:eastAsia="Calibri" w:cs="Arial"/>
                <w:szCs w:val="21"/>
              </w:rPr>
              <w:t xml:space="preserve">mL for a single dose. Do not touch the shaft of the needle and avoid moving the needle in </w:t>
            </w:r>
            <w:r w:rsidRPr="00364E73">
              <w:rPr>
                <w:rFonts w:eastAsia="Calibri" w:cs="Arial"/>
                <w:szCs w:val="21"/>
              </w:rPr>
              <w:t>and out of</w:t>
            </w:r>
          </w:p>
        </w:tc>
      </w:tr>
      <w:tr w:rsidR="001F7921" w:rsidRPr="007925F5" w14:paraId="1174A4CB" w14:textId="14A2C36C"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1CB74BB" w14:textId="73099F5F" w:rsidR="001F7921" w:rsidRPr="007925F5" w:rsidRDefault="001F7921" w:rsidP="00AB70CA">
            <w:pPr>
              <w:rPr>
                <w:rFonts w:cs="Arial"/>
              </w:rPr>
            </w:pPr>
            <w:r w:rsidRPr="00113C20">
              <w:rPr>
                <w:rFonts w:eastAsia="Calibri" w:cs="Arial"/>
                <w:szCs w:val="21"/>
              </w:rPr>
              <w:t>C</w:t>
            </w:r>
          </w:p>
        </w:tc>
        <w:tc>
          <w:tcPr>
            <w:tcW w:w="3261" w:type="dxa"/>
            <w:tcBorders>
              <w:top w:val="single" w:sz="8" w:space="0" w:color="auto"/>
              <w:left w:val="single" w:sz="8" w:space="0" w:color="auto"/>
              <w:bottom w:val="single" w:sz="8" w:space="0" w:color="auto"/>
              <w:right w:val="single" w:sz="8" w:space="0" w:color="auto"/>
            </w:tcBorders>
          </w:tcPr>
          <w:p w14:paraId="27D18257" w14:textId="50C435E9" w:rsidR="001F7921" w:rsidRPr="007925F5" w:rsidRDefault="001F7921" w:rsidP="00AB70CA">
            <w:pPr>
              <w:rPr>
                <w:rFonts w:cs="Arial"/>
              </w:rPr>
            </w:pPr>
            <w:r w:rsidRPr="00113C20">
              <w:rPr>
                <w:rFonts w:eastAsia="Calibri" w:cs="Arial"/>
                <w:szCs w:val="21"/>
              </w:rPr>
              <w:t>Remove the filled syringe with the drawing up needle attached.</w:t>
            </w:r>
          </w:p>
          <w:p w14:paraId="2A636F23" w14:textId="73F59319" w:rsidR="001F7921" w:rsidRPr="007925F5" w:rsidRDefault="001F7921" w:rsidP="00AB70CA">
            <w:pPr>
              <w:rPr>
                <w:rFonts w:cs="Arial"/>
              </w:rPr>
            </w:pPr>
            <w:r w:rsidRPr="00921446">
              <w:rPr>
                <w:rFonts w:eastAsia="Calibri" w:cs="Arial"/>
                <w:bCs/>
                <w:szCs w:val="21"/>
              </w:rPr>
              <w:t xml:space="preserve">Do not leave the drawing up needle in the vial. </w:t>
            </w:r>
            <w:r w:rsidRPr="00113C20">
              <w:rPr>
                <w:rFonts w:eastAsia="Calibri" w:cs="Arial"/>
                <w:szCs w:val="21"/>
              </w:rPr>
              <w:t>Avoid touching the top of the vial.</w:t>
            </w:r>
          </w:p>
        </w:tc>
        <w:tc>
          <w:tcPr>
            <w:tcW w:w="3261" w:type="dxa"/>
            <w:tcBorders>
              <w:top w:val="single" w:sz="8" w:space="0" w:color="auto"/>
              <w:left w:val="single" w:sz="8" w:space="0" w:color="auto"/>
              <w:bottom w:val="single" w:sz="8" w:space="0" w:color="auto"/>
              <w:right w:val="single" w:sz="8" w:space="0" w:color="auto"/>
            </w:tcBorders>
          </w:tcPr>
          <w:p w14:paraId="00A6F2E0" w14:textId="3777465E" w:rsidR="001F7921" w:rsidRPr="007925F5" w:rsidRDefault="001F7921" w:rsidP="00AB70CA">
            <w:pPr>
              <w:rPr>
                <w:rFonts w:cs="Arial"/>
              </w:rPr>
            </w:pPr>
            <w:r w:rsidRPr="00113C20">
              <w:rPr>
                <w:rFonts w:eastAsia="Calibri" w:cs="Arial"/>
                <w:szCs w:val="21"/>
              </w:rPr>
              <w:t xml:space="preserve">Remove the filled syringe from the drawing up </w:t>
            </w:r>
            <w:r w:rsidRPr="00921446">
              <w:rPr>
                <w:rFonts w:eastAsia="Calibri" w:cs="Arial"/>
                <w:szCs w:val="21"/>
              </w:rPr>
              <w:t>needle, leaving the drawing up needle in the bung.</w:t>
            </w:r>
          </w:p>
        </w:tc>
        <w:tc>
          <w:tcPr>
            <w:tcW w:w="3543" w:type="dxa"/>
            <w:tcBorders>
              <w:top w:val="single" w:sz="8" w:space="0" w:color="auto"/>
              <w:left w:val="single" w:sz="8" w:space="0" w:color="auto"/>
              <w:bottom w:val="single" w:sz="8" w:space="0" w:color="auto"/>
              <w:right w:val="single" w:sz="8" w:space="0" w:color="auto"/>
            </w:tcBorders>
          </w:tcPr>
          <w:p w14:paraId="41F9858B" w14:textId="58BD5954" w:rsidR="001F7921" w:rsidRPr="00113C20" w:rsidRDefault="0001179B" w:rsidP="00AB70CA">
            <w:pPr>
              <w:rPr>
                <w:rFonts w:eastAsia="Calibri" w:cs="Arial"/>
                <w:szCs w:val="21"/>
              </w:rPr>
            </w:pPr>
            <w:r>
              <w:t>Remove the filled syringe with the needle attached. Avoid touching the top of the vial.</w:t>
            </w:r>
          </w:p>
        </w:tc>
      </w:tr>
      <w:tr w:rsidR="001F7921" w:rsidRPr="007925F5" w14:paraId="3A683E95" w14:textId="0F7AD3E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FB39A85" w14:textId="52A68932" w:rsidR="001F7921" w:rsidRPr="007925F5" w:rsidRDefault="001F7921" w:rsidP="00AB70CA">
            <w:pPr>
              <w:rPr>
                <w:rFonts w:cs="Arial"/>
              </w:rPr>
            </w:pPr>
            <w:r w:rsidRPr="00113C20">
              <w:rPr>
                <w:rFonts w:eastAsia="Calibri" w:cs="Arial"/>
                <w:szCs w:val="21"/>
              </w:rPr>
              <w:t>D</w:t>
            </w:r>
          </w:p>
        </w:tc>
        <w:tc>
          <w:tcPr>
            <w:tcW w:w="3261" w:type="dxa"/>
            <w:tcBorders>
              <w:top w:val="single" w:sz="8" w:space="0" w:color="auto"/>
              <w:left w:val="single" w:sz="8" w:space="0" w:color="auto"/>
              <w:bottom w:val="single" w:sz="8" w:space="0" w:color="auto"/>
              <w:right w:val="single" w:sz="8" w:space="0" w:color="auto"/>
            </w:tcBorders>
          </w:tcPr>
          <w:p w14:paraId="6E73F262" w14:textId="356909A7" w:rsidR="001F7921" w:rsidRDefault="001F7921" w:rsidP="006513D7">
            <w:pPr>
              <w:spacing w:after="60"/>
              <w:rPr>
                <w:rFonts w:eastAsia="Calibri" w:cs="Arial"/>
                <w:szCs w:val="21"/>
              </w:rPr>
            </w:pPr>
            <w:r w:rsidRPr="00113C20">
              <w:rPr>
                <w:rFonts w:eastAsia="Calibri" w:cs="Arial"/>
                <w:szCs w:val="21"/>
              </w:rPr>
              <w:t xml:space="preserve">Detach the filled syringe </w:t>
            </w:r>
            <w:r>
              <w:rPr>
                <w:rFonts w:eastAsia="Calibri" w:cs="Arial"/>
                <w:szCs w:val="21"/>
              </w:rPr>
              <w:t xml:space="preserve">from the drawing up needle </w:t>
            </w:r>
            <w:r w:rsidRPr="00113C20">
              <w:rPr>
                <w:rFonts w:eastAsia="Calibri" w:cs="Arial"/>
                <w:szCs w:val="21"/>
              </w:rPr>
              <w:t>and attach a new sterile injection needle</w:t>
            </w:r>
            <w:r>
              <w:rPr>
                <w:rFonts w:eastAsia="Calibri" w:cs="Arial"/>
                <w:szCs w:val="21"/>
              </w:rPr>
              <w:t xml:space="preserve"> </w:t>
            </w:r>
            <w:r w:rsidRPr="00113C20">
              <w:rPr>
                <w:rFonts w:eastAsia="Calibri" w:cs="Arial"/>
                <w:szCs w:val="21"/>
              </w:rPr>
              <w:t>(26-</w:t>
            </w:r>
            <w:r>
              <w:rPr>
                <w:rFonts w:eastAsia="Calibri" w:cs="Arial"/>
                <w:szCs w:val="21"/>
              </w:rPr>
              <w:t>2</w:t>
            </w:r>
            <w:r w:rsidRPr="00113C20">
              <w:rPr>
                <w:rFonts w:eastAsia="Calibri" w:cs="Arial"/>
                <w:szCs w:val="21"/>
              </w:rPr>
              <w:t>7-gauge, 10 mm long)</w:t>
            </w:r>
          </w:p>
          <w:p w14:paraId="580A1E06" w14:textId="5D0E9C19" w:rsidR="001F7921" w:rsidRDefault="001F7921" w:rsidP="006513D7">
            <w:pPr>
              <w:spacing w:after="60"/>
              <w:rPr>
                <w:rFonts w:cs="Arial"/>
              </w:rPr>
            </w:pPr>
            <w:r>
              <w:rPr>
                <w:rFonts w:cs="Arial"/>
              </w:rPr>
              <w:t xml:space="preserve">Mark the vial with time of first puncture. </w:t>
            </w:r>
          </w:p>
          <w:p w14:paraId="1D6631F4" w14:textId="1A0F4959" w:rsidR="001F7921" w:rsidRDefault="001F7921" w:rsidP="006513D7">
            <w:pPr>
              <w:spacing w:after="60"/>
              <w:rPr>
                <w:rFonts w:cs="Arial"/>
              </w:rPr>
            </w:pPr>
            <w:r>
              <w:rPr>
                <w:rFonts w:cs="Arial"/>
              </w:rPr>
              <w:t xml:space="preserve">Return the vial to </w:t>
            </w:r>
            <w:r w:rsidR="00776E7B">
              <w:rPr>
                <w:rFonts w:cs="Arial"/>
              </w:rPr>
              <w:t>+</w:t>
            </w:r>
            <w:r>
              <w:rPr>
                <w:rFonts w:cs="Arial"/>
              </w:rPr>
              <w:t>2</w:t>
            </w:r>
            <w:r w:rsidR="00776E7B">
              <w:rPr>
                <w:rFonts w:cs="Arial"/>
              </w:rPr>
              <w:t xml:space="preserve"> to +</w:t>
            </w:r>
            <w:r>
              <w:rPr>
                <w:rFonts w:cs="Arial"/>
              </w:rPr>
              <w:t>8</w:t>
            </w:r>
            <w:r w:rsidRPr="00113C20">
              <w:rPr>
                <w:rFonts w:eastAsia="Calibri" w:cs="Arial"/>
                <w:szCs w:val="21"/>
              </w:rPr>
              <w:t>°</w:t>
            </w:r>
            <w:r>
              <w:rPr>
                <w:rFonts w:cs="Arial"/>
              </w:rPr>
              <w:t>C storage</w:t>
            </w:r>
          </w:p>
          <w:p w14:paraId="74971935" w14:textId="77777777" w:rsidR="00274927" w:rsidRPr="00B634F3" w:rsidRDefault="00274927" w:rsidP="006513D7">
            <w:pPr>
              <w:pStyle w:val="Body"/>
              <w:spacing w:after="60" w:line="288" w:lineRule="auto"/>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73AD0D22" w14:textId="33BAB95F" w:rsidR="00274927" w:rsidRPr="007925F5" w:rsidRDefault="00274927" w:rsidP="006513D7">
            <w:pPr>
              <w:spacing w:after="60"/>
              <w:rPr>
                <w:rFonts w:cs="Arial"/>
              </w:rPr>
            </w:pPr>
          </w:p>
        </w:tc>
        <w:tc>
          <w:tcPr>
            <w:tcW w:w="3261" w:type="dxa"/>
            <w:tcBorders>
              <w:top w:val="single" w:sz="8" w:space="0" w:color="auto"/>
              <w:left w:val="single" w:sz="8" w:space="0" w:color="auto"/>
              <w:bottom w:val="single" w:sz="8" w:space="0" w:color="auto"/>
              <w:right w:val="single" w:sz="8" w:space="0" w:color="auto"/>
            </w:tcBorders>
          </w:tcPr>
          <w:p w14:paraId="52B81DBE" w14:textId="7A468AD8" w:rsidR="001F7921" w:rsidRPr="007925F5" w:rsidRDefault="001F7921" w:rsidP="006513D7">
            <w:pPr>
              <w:spacing w:after="60"/>
              <w:rPr>
                <w:rFonts w:cs="Arial"/>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 xml:space="preserve">7-gauge, 10 mm long) to the filled syringe, ready for administration to the patient. </w:t>
            </w:r>
          </w:p>
          <w:p w14:paraId="1F7FF80E" w14:textId="43C8CDF5" w:rsidR="001F7921" w:rsidRPr="007925F5" w:rsidRDefault="001F7921" w:rsidP="006513D7">
            <w:pPr>
              <w:spacing w:after="60"/>
              <w:rPr>
                <w:rFonts w:cs="Arial"/>
              </w:rPr>
            </w:pPr>
            <w:r w:rsidRPr="00113C20">
              <w:rPr>
                <w:rFonts w:eastAsia="Calibri" w:cs="Arial"/>
                <w:szCs w:val="21"/>
              </w:rPr>
              <w:t xml:space="preserve">Without delay or distraction, attach a new sterile syringe to the drawing up needle to draw up each 0.1mL dose. </w:t>
            </w:r>
          </w:p>
          <w:p w14:paraId="63C4C4AB" w14:textId="504F797F" w:rsidR="001F7921" w:rsidRPr="00113C20" w:rsidRDefault="001F7921" w:rsidP="006513D7">
            <w:pPr>
              <w:spacing w:after="60"/>
              <w:rPr>
                <w:rFonts w:eastAsia="Calibri" w:cs="Arial"/>
                <w:szCs w:val="21"/>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7-gauge, 10 mm long) to each filled syringe.</w:t>
            </w:r>
          </w:p>
          <w:p w14:paraId="085D497D" w14:textId="787CA9C1" w:rsidR="001F7921" w:rsidRPr="00113C20" w:rsidRDefault="001F7921" w:rsidP="006513D7">
            <w:pPr>
              <w:spacing w:after="60"/>
              <w:rPr>
                <w:rFonts w:eastAsiaTheme="minorEastAsia" w:cs="Arial"/>
                <w:szCs w:val="21"/>
              </w:rPr>
            </w:pPr>
            <w:r w:rsidRPr="00113C20">
              <w:rPr>
                <w:rFonts w:eastAsiaTheme="minorEastAsia" w:cs="Arial"/>
                <w:szCs w:val="21"/>
              </w:rPr>
              <w:t>Up to 5 doses may be extracted</w:t>
            </w:r>
            <w:r>
              <w:rPr>
                <w:rFonts w:eastAsiaTheme="minorEastAsia" w:cs="Arial"/>
                <w:szCs w:val="21"/>
              </w:rPr>
              <w:t xml:space="preserve"> if low dead space syringes are used</w:t>
            </w:r>
            <w:r w:rsidRPr="00113C20">
              <w:rPr>
                <w:rFonts w:eastAsiaTheme="minorEastAsia" w:cs="Arial"/>
                <w:szCs w:val="21"/>
              </w:rPr>
              <w:t xml:space="preserve">. </w:t>
            </w:r>
          </w:p>
          <w:p w14:paraId="0E444265" w14:textId="12B6C2D6" w:rsidR="001F7921" w:rsidRPr="007925F5" w:rsidRDefault="001F7921" w:rsidP="006513D7">
            <w:pPr>
              <w:spacing w:after="60"/>
              <w:rPr>
                <w:rFonts w:cs="Arial"/>
              </w:rPr>
            </w:pPr>
            <w:r w:rsidRPr="00113C20">
              <w:rPr>
                <w:rFonts w:eastAsiaTheme="minorEastAsia" w:cs="Arial"/>
                <w:szCs w:val="21"/>
              </w:rPr>
              <w:t>Do not pool excess vaccine from multiple vials.</w:t>
            </w:r>
          </w:p>
        </w:tc>
        <w:tc>
          <w:tcPr>
            <w:tcW w:w="3543" w:type="dxa"/>
            <w:tcBorders>
              <w:top w:val="single" w:sz="8" w:space="0" w:color="auto"/>
              <w:left w:val="single" w:sz="8" w:space="0" w:color="auto"/>
              <w:bottom w:val="single" w:sz="8" w:space="0" w:color="auto"/>
              <w:right w:val="single" w:sz="8" w:space="0" w:color="auto"/>
            </w:tcBorders>
          </w:tcPr>
          <w:p w14:paraId="304BCBBA" w14:textId="5360CA58" w:rsidR="00484C8D" w:rsidRDefault="0001179B" w:rsidP="006513D7">
            <w:pPr>
              <w:spacing w:after="60"/>
            </w:pPr>
            <w:r>
              <w:t xml:space="preserve">If doses are not going to be administered immediately, the needle must be </w:t>
            </w:r>
            <w:r w:rsidR="00A85A87">
              <w:t>sheathed</w:t>
            </w:r>
            <w:r>
              <w:t xml:space="preserve"> (using safe aseptic technique). </w:t>
            </w:r>
          </w:p>
          <w:p w14:paraId="3C86780D" w14:textId="77777777" w:rsidR="001F7921" w:rsidRDefault="0001179B" w:rsidP="006513D7">
            <w:pPr>
              <w:spacing w:after="60"/>
            </w:pPr>
            <w:r>
              <w:t>Repeat the procedure for all required doses.</w:t>
            </w:r>
          </w:p>
          <w:p w14:paraId="076D940B" w14:textId="6E1FA45D" w:rsidR="00B454AF" w:rsidRPr="00113C20" w:rsidRDefault="00B454AF" w:rsidP="00DF2001">
            <w:pPr>
              <w:pStyle w:val="Body"/>
              <w:spacing w:after="60" w:line="288" w:lineRule="auto"/>
              <w:rPr>
                <w:rFonts w:eastAsia="Calibri" w:cs="Arial"/>
                <w:szCs w:val="21"/>
              </w:rPr>
            </w:pPr>
          </w:p>
        </w:tc>
      </w:tr>
      <w:tr w:rsidR="001F7921" w:rsidRPr="007925F5" w14:paraId="27CAE21A" w14:textId="16A7609B"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02136F5" w14:textId="67C1121D" w:rsidR="001F7921" w:rsidRPr="007925F5" w:rsidRDefault="001F7921" w:rsidP="00AB70CA">
            <w:pPr>
              <w:rPr>
                <w:rFonts w:cs="Arial"/>
              </w:rPr>
            </w:pPr>
            <w:r w:rsidRPr="00113C20">
              <w:rPr>
                <w:rFonts w:eastAsia="Calibri" w:cs="Arial"/>
                <w:szCs w:val="21"/>
              </w:rPr>
              <w:t>E</w:t>
            </w:r>
          </w:p>
        </w:tc>
        <w:tc>
          <w:tcPr>
            <w:tcW w:w="3261" w:type="dxa"/>
            <w:tcBorders>
              <w:top w:val="single" w:sz="8" w:space="0" w:color="auto"/>
              <w:left w:val="single" w:sz="8" w:space="0" w:color="auto"/>
              <w:bottom w:val="single" w:sz="8" w:space="0" w:color="auto"/>
              <w:right w:val="single" w:sz="8" w:space="0" w:color="auto"/>
            </w:tcBorders>
          </w:tcPr>
          <w:p w14:paraId="53C0CC3F" w14:textId="77777777" w:rsidR="001F7921" w:rsidRDefault="001F7921" w:rsidP="00AB70CA">
            <w:pPr>
              <w:rPr>
                <w:rFonts w:eastAsia="Calibri" w:cs="Arial"/>
                <w:szCs w:val="21"/>
              </w:rPr>
            </w:pPr>
            <w:r w:rsidRPr="00113C20">
              <w:rPr>
                <w:rFonts w:eastAsia="Calibri" w:cs="Arial"/>
                <w:szCs w:val="21"/>
              </w:rPr>
              <w:t>Administer the dose as soon as possible after drawing up.</w:t>
            </w:r>
          </w:p>
          <w:p w14:paraId="3EFCE9C5" w14:textId="28D08368" w:rsidR="001F7921" w:rsidRPr="007925F5" w:rsidRDefault="001F7921" w:rsidP="00AB70CA">
            <w:pPr>
              <w:rPr>
                <w:rFonts w:cs="Arial"/>
              </w:rPr>
            </w:pPr>
            <w:r w:rsidRPr="00113C20">
              <w:rPr>
                <w:rFonts w:eastAsia="Calibri" w:cs="Arial"/>
                <w:szCs w:val="21"/>
              </w:rPr>
              <w:t xml:space="preserve">Any unused doses </w:t>
            </w:r>
            <w:r>
              <w:rPr>
                <w:rFonts w:eastAsia="Calibri" w:cs="Arial"/>
                <w:szCs w:val="21"/>
              </w:rPr>
              <w:t>from a punctured vial</w:t>
            </w:r>
            <w:r w:rsidRPr="00113C20">
              <w:rPr>
                <w:rFonts w:eastAsia="Calibri" w:cs="Arial"/>
                <w:szCs w:val="21"/>
              </w:rPr>
              <w:t xml:space="preserve"> must be discarded after 8 hours, even if stored at </w:t>
            </w:r>
            <w:r w:rsidR="00776E7B">
              <w:rPr>
                <w:rFonts w:eastAsia="Calibri" w:cs="Arial"/>
                <w:szCs w:val="21"/>
              </w:rPr>
              <w:t>+</w:t>
            </w:r>
            <w:r w:rsidRPr="00113C20">
              <w:rPr>
                <w:rFonts w:eastAsia="Calibri" w:cs="Arial"/>
                <w:szCs w:val="21"/>
              </w:rPr>
              <w:t>2</w:t>
            </w:r>
            <w:r w:rsidR="00776E7B">
              <w:rPr>
                <w:rFonts w:eastAsia="Calibri" w:cs="Arial"/>
                <w:szCs w:val="21"/>
              </w:rPr>
              <w:t xml:space="preserve"> to +</w:t>
            </w:r>
            <w:r w:rsidRPr="00113C20">
              <w:rPr>
                <w:rFonts w:eastAsia="Calibri" w:cs="Arial"/>
                <w:szCs w:val="21"/>
              </w:rPr>
              <w:t>8°C</w:t>
            </w:r>
            <w:r>
              <w:rPr>
                <w:rFonts w:eastAsia="Calibri" w:cs="Arial"/>
                <w:szCs w:val="21"/>
              </w:rPr>
              <w:t>.</w:t>
            </w:r>
          </w:p>
          <w:p w14:paraId="6CFA8988" w14:textId="1CD5710B" w:rsidR="001F7921" w:rsidRPr="007925F5" w:rsidRDefault="001F7921" w:rsidP="00AB70CA">
            <w:pPr>
              <w:rPr>
                <w:rFonts w:cs="Arial"/>
              </w:rPr>
            </w:pPr>
          </w:p>
        </w:tc>
        <w:tc>
          <w:tcPr>
            <w:tcW w:w="3261" w:type="dxa"/>
            <w:tcBorders>
              <w:top w:val="single" w:sz="8" w:space="0" w:color="auto"/>
              <w:left w:val="single" w:sz="8" w:space="0" w:color="auto"/>
              <w:bottom w:val="single" w:sz="8" w:space="0" w:color="auto"/>
              <w:right w:val="single" w:sz="8" w:space="0" w:color="auto"/>
            </w:tcBorders>
          </w:tcPr>
          <w:p w14:paraId="7478F840" w14:textId="2A22578C" w:rsidR="001F7921" w:rsidRPr="007925F5" w:rsidRDefault="001F7921" w:rsidP="00AB70CA">
            <w:pPr>
              <w:spacing w:after="100"/>
              <w:rPr>
                <w:rFonts w:cs="Arial"/>
              </w:rPr>
            </w:pPr>
            <w:r w:rsidRPr="00113C20">
              <w:rPr>
                <w:rFonts w:eastAsia="Calibri" w:cs="Arial"/>
                <w:szCs w:val="21"/>
              </w:rPr>
              <w:t xml:space="preserve">The prepared dose can be administered immediately or must be used as soon as practical for the next recipient. </w:t>
            </w:r>
          </w:p>
          <w:p w14:paraId="30E23621" w14:textId="351A4A8E" w:rsidR="001F7921" w:rsidRPr="00113C20" w:rsidRDefault="00980A32" w:rsidP="00AB70CA">
            <w:pPr>
              <w:spacing w:after="100"/>
              <w:rPr>
                <w:rFonts w:eastAsia="Calibri" w:cs="Arial"/>
                <w:szCs w:val="21"/>
              </w:rPr>
            </w:pPr>
            <w:r>
              <w:t xml:space="preserve">Until ready to be administered, store any prepared syringes </w:t>
            </w:r>
            <w:r w:rsidR="00834C7B">
              <w:t xml:space="preserve">in a suitably sized, clean container. </w:t>
            </w:r>
            <w:r w:rsidR="006653F0">
              <w:t>Syringes</w:t>
            </w:r>
            <w:r w:rsidR="00834C7B" w:rsidRPr="00113C20">
              <w:rPr>
                <w:rFonts w:eastAsia="Calibri" w:cs="Arial"/>
                <w:szCs w:val="21"/>
              </w:rPr>
              <w:t xml:space="preserve"> </w:t>
            </w:r>
            <w:r w:rsidR="001F7921" w:rsidRPr="00113C20">
              <w:rPr>
                <w:rFonts w:eastAsia="Calibri" w:cs="Arial"/>
                <w:szCs w:val="21"/>
              </w:rPr>
              <w:t>must be protected from light, labelled with the drawing up time</w:t>
            </w:r>
            <w:r w:rsidR="006653F0">
              <w:rPr>
                <w:rFonts w:eastAsia="Calibri" w:cs="Arial"/>
                <w:szCs w:val="21"/>
              </w:rPr>
              <w:t>, expiry time</w:t>
            </w:r>
            <w:r w:rsidR="001F7921" w:rsidRPr="00113C20">
              <w:rPr>
                <w:rFonts w:eastAsia="Calibri" w:cs="Arial"/>
                <w:szCs w:val="21"/>
              </w:rPr>
              <w:t xml:space="preserve"> and stored at </w:t>
            </w:r>
            <w:r w:rsidR="00776E7B">
              <w:rPr>
                <w:rFonts w:eastAsia="Calibri" w:cs="Arial"/>
                <w:szCs w:val="21"/>
              </w:rPr>
              <w:t>+</w:t>
            </w:r>
            <w:r w:rsidR="001F7921" w:rsidRPr="00113C20">
              <w:rPr>
                <w:rFonts w:eastAsia="Calibri" w:cs="Arial"/>
                <w:szCs w:val="21"/>
              </w:rPr>
              <w:t>2</w:t>
            </w:r>
            <w:r w:rsidR="00776E7B">
              <w:rPr>
                <w:rFonts w:eastAsia="Calibri" w:cs="Arial"/>
                <w:szCs w:val="21"/>
              </w:rPr>
              <w:t xml:space="preserve"> to +</w:t>
            </w:r>
            <w:r w:rsidR="001F7921" w:rsidRPr="00113C20">
              <w:rPr>
                <w:rFonts w:eastAsia="Calibri" w:cs="Arial"/>
                <w:szCs w:val="21"/>
              </w:rPr>
              <w:t xml:space="preserve">8°C. </w:t>
            </w:r>
          </w:p>
          <w:p w14:paraId="5027BCF7" w14:textId="333AB9E9" w:rsidR="001F7921" w:rsidRPr="007328EF" w:rsidRDefault="001F7921" w:rsidP="00AB70CA">
            <w:pPr>
              <w:spacing w:after="100"/>
              <w:rPr>
                <w:rFonts w:cs="Arial"/>
                <w:b/>
                <w:bCs/>
              </w:rPr>
            </w:pPr>
            <w:r w:rsidRPr="00113C20">
              <w:rPr>
                <w:rFonts w:eastAsia="Calibri" w:cs="Arial"/>
                <w:szCs w:val="21"/>
              </w:rPr>
              <w:t xml:space="preserve">Vaccines must be used </w:t>
            </w:r>
            <w:r w:rsidR="008628DC">
              <w:rPr>
                <w:rFonts w:eastAsia="Calibri" w:cs="Arial"/>
                <w:szCs w:val="21"/>
              </w:rPr>
              <w:t xml:space="preserve">within </w:t>
            </w:r>
            <w:r w:rsidR="008628DC" w:rsidRPr="007328EF">
              <w:rPr>
                <w:rFonts w:eastAsia="Calibri" w:cs="Arial"/>
                <w:b/>
                <w:bCs/>
                <w:szCs w:val="21"/>
              </w:rPr>
              <w:t xml:space="preserve">1 hour if kept at room temperature or </w:t>
            </w:r>
            <w:r w:rsidRPr="007328EF">
              <w:rPr>
                <w:rFonts w:eastAsia="Calibri" w:cs="Arial"/>
                <w:b/>
                <w:bCs/>
                <w:szCs w:val="21"/>
              </w:rPr>
              <w:t xml:space="preserve">8 hrs of first puncture of the vial. </w:t>
            </w:r>
          </w:p>
          <w:p w14:paraId="684B06F8" w14:textId="5C95F6A6" w:rsidR="001F7921" w:rsidRPr="007925F5" w:rsidRDefault="001F7921" w:rsidP="00AB70CA">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420274B5" w14:textId="31999C25" w:rsidR="001F7921" w:rsidRPr="007925F5" w:rsidRDefault="001F7921" w:rsidP="00AB70CA">
            <w:pPr>
              <w:spacing w:after="100"/>
              <w:rPr>
                <w:rFonts w:cs="Arial"/>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r w:rsidR="00C21452">
              <w:rPr>
                <w:rFonts w:eastAsia="Calibri" w:cs="Arial"/>
                <w:szCs w:val="21"/>
              </w:rPr>
              <w:t>.</w:t>
            </w:r>
          </w:p>
        </w:tc>
        <w:tc>
          <w:tcPr>
            <w:tcW w:w="3543" w:type="dxa"/>
            <w:tcBorders>
              <w:top w:val="single" w:sz="8" w:space="0" w:color="auto"/>
              <w:left w:val="single" w:sz="8" w:space="0" w:color="auto"/>
              <w:bottom w:val="single" w:sz="8" w:space="0" w:color="auto"/>
              <w:right w:val="single" w:sz="8" w:space="0" w:color="auto"/>
            </w:tcBorders>
          </w:tcPr>
          <w:p w14:paraId="05659DAF" w14:textId="77777777" w:rsidR="00A22E16" w:rsidRDefault="0064634C" w:rsidP="00AB70CA">
            <w:pPr>
              <w:spacing w:after="100"/>
            </w:pPr>
            <w:r>
              <w:t xml:space="preserve">The prepared dose can be administered immediately or must be used as soon as practical for the next recipient. </w:t>
            </w:r>
          </w:p>
          <w:p w14:paraId="436C1496" w14:textId="77777777" w:rsidR="00776E7B" w:rsidRDefault="00980A32" w:rsidP="00A22E16">
            <w:pPr>
              <w:spacing w:after="100"/>
              <w:rPr>
                <w:rFonts w:eastAsia="Calibri" w:cs="Arial"/>
                <w:szCs w:val="21"/>
              </w:rPr>
            </w:pPr>
            <w:r>
              <w:t xml:space="preserve">Until ready to be administered, store any prepared syringes </w:t>
            </w:r>
            <w:r w:rsidR="00834C7B">
              <w:t xml:space="preserve">in a suitably sized, clean container. Syringes </w:t>
            </w:r>
            <w:r w:rsidR="00A22E16" w:rsidRPr="00113C20">
              <w:rPr>
                <w:rFonts w:eastAsia="Calibri" w:cs="Arial"/>
                <w:szCs w:val="21"/>
              </w:rPr>
              <w:t>must be protected from light, labelled with the drawing up time</w:t>
            </w:r>
            <w:r w:rsidR="006653F0">
              <w:rPr>
                <w:rFonts w:eastAsia="Calibri" w:cs="Arial"/>
                <w:szCs w:val="21"/>
              </w:rPr>
              <w:t xml:space="preserve">, expiry time </w:t>
            </w:r>
            <w:r w:rsidR="00A22E16" w:rsidRPr="00113C20">
              <w:rPr>
                <w:rFonts w:eastAsia="Calibri" w:cs="Arial"/>
                <w:szCs w:val="21"/>
              </w:rPr>
              <w:t xml:space="preserve">and stored at </w:t>
            </w:r>
            <w:r w:rsidR="00776E7B">
              <w:rPr>
                <w:rFonts w:eastAsia="Calibri" w:cs="Arial"/>
                <w:szCs w:val="21"/>
              </w:rPr>
              <w:t>+</w:t>
            </w:r>
            <w:r w:rsidR="00776E7B" w:rsidRPr="00113C20">
              <w:rPr>
                <w:rFonts w:eastAsia="Calibri" w:cs="Arial"/>
                <w:szCs w:val="21"/>
              </w:rPr>
              <w:t>2</w:t>
            </w:r>
            <w:r w:rsidR="00776E7B">
              <w:rPr>
                <w:rFonts w:eastAsia="Calibri" w:cs="Arial"/>
                <w:szCs w:val="21"/>
              </w:rPr>
              <w:t xml:space="preserve"> to +</w:t>
            </w:r>
            <w:r w:rsidR="00776E7B" w:rsidRPr="00113C20">
              <w:rPr>
                <w:rFonts w:eastAsia="Calibri" w:cs="Arial"/>
                <w:szCs w:val="21"/>
              </w:rPr>
              <w:t>8°C</w:t>
            </w:r>
            <w:r w:rsidR="00776E7B">
              <w:rPr>
                <w:rFonts w:eastAsia="Calibri" w:cs="Arial"/>
                <w:szCs w:val="21"/>
              </w:rPr>
              <w:t>.</w:t>
            </w:r>
          </w:p>
          <w:p w14:paraId="38A3A035" w14:textId="785A834D" w:rsidR="00A22E16" w:rsidRPr="007328EF" w:rsidRDefault="00776E7B" w:rsidP="00A22E16">
            <w:pPr>
              <w:spacing w:after="100"/>
              <w:rPr>
                <w:rFonts w:cs="Arial"/>
                <w:b/>
                <w:bCs/>
              </w:rPr>
            </w:pPr>
            <w:r w:rsidRPr="00113C20">
              <w:rPr>
                <w:rFonts w:eastAsia="Calibri" w:cs="Arial"/>
                <w:szCs w:val="21"/>
              </w:rPr>
              <w:t xml:space="preserve"> </w:t>
            </w:r>
            <w:r w:rsidR="00A22E16" w:rsidRPr="00113C20">
              <w:rPr>
                <w:rFonts w:eastAsia="Calibri" w:cs="Arial"/>
                <w:szCs w:val="21"/>
              </w:rPr>
              <w:t xml:space="preserve">Vaccines must be used </w:t>
            </w:r>
            <w:r w:rsidR="00A03A92" w:rsidRPr="007328EF">
              <w:rPr>
                <w:rFonts w:eastAsia="Calibri" w:cs="Arial"/>
                <w:b/>
                <w:bCs/>
                <w:szCs w:val="21"/>
              </w:rPr>
              <w:t>within 1 hour if kept at room temperature</w:t>
            </w:r>
            <w:r w:rsidR="007328EF" w:rsidRPr="007328EF">
              <w:rPr>
                <w:rFonts w:eastAsia="Calibri" w:cs="Arial"/>
                <w:b/>
                <w:bCs/>
                <w:szCs w:val="21"/>
              </w:rPr>
              <w:t xml:space="preserve">, or </w:t>
            </w:r>
            <w:r w:rsidR="00A22E16" w:rsidRPr="007328EF">
              <w:rPr>
                <w:rFonts w:eastAsia="Calibri" w:cs="Arial"/>
                <w:b/>
                <w:bCs/>
                <w:szCs w:val="21"/>
              </w:rPr>
              <w:t xml:space="preserve">8 hrs of first puncture of the vial. </w:t>
            </w:r>
          </w:p>
          <w:p w14:paraId="5A1EFEE0" w14:textId="77777777" w:rsidR="00A22E16" w:rsidRPr="007925F5" w:rsidRDefault="00A22E16" w:rsidP="00A22E16">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2E31D700" w14:textId="6A9FBC69" w:rsidR="0064634C" w:rsidRPr="00113C20" w:rsidRDefault="00A22E16" w:rsidP="005B389D">
            <w:pPr>
              <w:spacing w:after="100"/>
              <w:rPr>
                <w:rFonts w:eastAsia="Calibri" w:cs="Arial"/>
                <w:szCs w:val="21"/>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p>
        </w:tc>
      </w:tr>
    </w:tbl>
    <w:p w14:paraId="07E50BE2" w14:textId="77777777" w:rsidR="00077DBB" w:rsidRPr="00F71A51" w:rsidRDefault="00077DBB" w:rsidP="00077DBB">
      <w:pPr>
        <w:pStyle w:val="Heading2"/>
        <w:rPr>
          <w:color w:val="313131"/>
        </w:rPr>
      </w:pPr>
      <w:bookmarkStart w:id="138" w:name="_Toc112154589"/>
      <w:bookmarkStart w:id="139" w:name="_Toc112315651"/>
      <w:bookmarkStart w:id="140" w:name="_Toc176344992"/>
      <w:r w:rsidRPr="00175F2E">
        <w:t xml:space="preserve">Considerations </w:t>
      </w:r>
      <w:r w:rsidRPr="00D46A8E">
        <w:t>for multi</w:t>
      </w:r>
      <w:r w:rsidRPr="00BD4AA3">
        <w:t>-use vials</w:t>
      </w:r>
      <w:bookmarkEnd w:id="138"/>
      <w:bookmarkEnd w:id="139"/>
      <w:bookmarkEnd w:id="140"/>
      <w:r w:rsidRPr="00BD4AA3">
        <w:t xml:space="preserve"> </w:t>
      </w:r>
    </w:p>
    <w:p w14:paraId="79058CFA" w14:textId="77777777" w:rsidR="00077DBB" w:rsidRPr="006E6DA2" w:rsidRDefault="00077DBB" w:rsidP="00CB56D8">
      <w:pPr>
        <w:pStyle w:val="Heading3"/>
        <w:spacing w:before="240"/>
      </w:pPr>
      <w:bookmarkStart w:id="141" w:name="_Toc112154590"/>
      <w:bookmarkStart w:id="142" w:name="_Toc112315652"/>
      <w:r w:rsidRPr="006E6DA2">
        <w:t>Infection control</w:t>
      </w:r>
      <w:bookmarkEnd w:id="141"/>
      <w:bookmarkEnd w:id="142"/>
      <w:r w:rsidRPr="006E6DA2">
        <w:t xml:space="preserve"> </w:t>
      </w:r>
    </w:p>
    <w:p w14:paraId="64FE55A5" w14:textId="77777777" w:rsidR="00077DBB" w:rsidRPr="006E6DA2" w:rsidRDefault="00077DBB" w:rsidP="00077DBB">
      <w:pPr>
        <w:pStyle w:val="NormalWeb"/>
        <w:shd w:val="clear" w:color="auto" w:fill="FFFFFF"/>
        <w:spacing w:before="120" w:beforeAutospacing="0" w:after="0" w:afterAutospacing="0"/>
        <w:rPr>
          <w:rFonts w:ascii="Arial" w:hAnsi="Arial" w:cs="Arial"/>
          <w:sz w:val="21"/>
          <w:szCs w:val="21"/>
        </w:rPr>
      </w:pPr>
      <w:r w:rsidRPr="006E6DA2">
        <w:rPr>
          <w:rFonts w:ascii="Arial" w:hAnsi="Arial" w:cs="Arial"/>
          <w:sz w:val="21"/>
          <w:szCs w:val="21"/>
        </w:rPr>
        <w:t>There is an increased risk of blood-borne viruses or bacterial contamination with the use of multi-dose vials due to an increased risk of cross contamination. These risks can be mitigated by:</w:t>
      </w:r>
    </w:p>
    <w:p w14:paraId="0C287A7A" w14:textId="5A7FE9B2" w:rsidR="00077DBB" w:rsidRPr="006E6DA2" w:rsidRDefault="00DE27F2" w:rsidP="00603DC8">
      <w:pPr>
        <w:numPr>
          <w:ilvl w:val="0"/>
          <w:numId w:val="28"/>
        </w:numPr>
        <w:shd w:val="clear" w:color="auto" w:fill="FFFFFF"/>
        <w:spacing w:before="120" w:after="0" w:line="288" w:lineRule="auto"/>
        <w:ind w:left="714" w:hanging="357"/>
        <w:rPr>
          <w:rFonts w:cs="Arial"/>
          <w:szCs w:val="21"/>
        </w:rPr>
      </w:pPr>
      <w:r>
        <w:rPr>
          <w:rFonts w:cs="Arial"/>
          <w:szCs w:val="21"/>
        </w:rPr>
        <w:t>m</w:t>
      </w:r>
      <w:r w:rsidR="00077DBB" w:rsidRPr="006E6DA2">
        <w:rPr>
          <w:rFonts w:cs="Arial"/>
          <w:szCs w:val="21"/>
        </w:rPr>
        <w:t>aintaining standard principles of infection control and strict aseptic technique when accessing multi-dose vials</w:t>
      </w:r>
    </w:p>
    <w:p w14:paraId="07EF6481" w14:textId="2C0097F5" w:rsidR="00077DBB" w:rsidRPr="006E6DA2" w:rsidRDefault="00DE27F2" w:rsidP="00603DC8">
      <w:pPr>
        <w:numPr>
          <w:ilvl w:val="0"/>
          <w:numId w:val="28"/>
        </w:numPr>
        <w:shd w:val="clear" w:color="auto" w:fill="FFFFFF"/>
        <w:spacing w:after="0" w:line="288" w:lineRule="auto"/>
        <w:ind w:left="714" w:hanging="357"/>
        <w:rPr>
          <w:rFonts w:cs="Arial"/>
          <w:szCs w:val="21"/>
        </w:rPr>
      </w:pPr>
      <w:r>
        <w:rPr>
          <w:rFonts w:cs="Arial"/>
          <w:szCs w:val="21"/>
        </w:rPr>
        <w:t>p</w:t>
      </w:r>
      <w:r w:rsidR="00077DBB" w:rsidRPr="006E6DA2">
        <w:rPr>
          <w:rFonts w:cs="Arial"/>
          <w:szCs w:val="21"/>
        </w:rPr>
        <w:t>reparing doses of vaccines from multi-dose vials in a clean, designated medication preparation area</w:t>
      </w:r>
    </w:p>
    <w:p w14:paraId="05EF5599" w14:textId="4CB4BF18" w:rsidR="00077DBB"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f</w:t>
      </w:r>
      <w:r w:rsidR="00077DBB" w:rsidRPr="006E6DA2">
        <w:rPr>
          <w:rFonts w:cs="Arial"/>
          <w:szCs w:val="21"/>
        </w:rPr>
        <w:t xml:space="preserve">ollowing </w:t>
      </w:r>
      <w:hyperlink w:anchor="_Clinical_Guidelines" w:history="1">
        <w:r w:rsidR="00077DBB" w:rsidRPr="0044058E">
          <w:rPr>
            <w:rStyle w:val="Hyperlink"/>
            <w:rFonts w:cs="Arial"/>
            <w:szCs w:val="21"/>
          </w:rPr>
          <w:t>Clinical Guidelines</w:t>
        </w:r>
      </w:hyperlink>
      <w:r w:rsidR="00077DBB">
        <w:rPr>
          <w:rFonts w:cs="Arial"/>
          <w:szCs w:val="21"/>
        </w:rPr>
        <w:t xml:space="preserve"> and </w:t>
      </w:r>
      <w:hyperlink w:anchor="_Preparation_for_intradermal" w:history="1">
        <w:r w:rsidR="00077DBB" w:rsidRPr="00210BDF">
          <w:rPr>
            <w:rStyle w:val="Hyperlink"/>
            <w:rFonts w:cs="Arial"/>
            <w:szCs w:val="21"/>
          </w:rPr>
          <w:t>preparation of vaccine</w:t>
        </w:r>
      </w:hyperlink>
      <w:r w:rsidR="00077DBB" w:rsidRPr="006E6DA2">
        <w:rPr>
          <w:rFonts w:cs="Arial"/>
          <w:szCs w:val="21"/>
        </w:rPr>
        <w:t xml:space="preserve"> process outlined above </w:t>
      </w:r>
    </w:p>
    <w:p w14:paraId="232D73F0" w14:textId="1F8449AF" w:rsidR="009073B5"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d</w:t>
      </w:r>
      <w:r w:rsidR="009073B5" w:rsidRPr="00BD4AA3">
        <w:rPr>
          <w:rFonts w:cs="Arial"/>
          <w:szCs w:val="21"/>
        </w:rPr>
        <w:t>iscard</w:t>
      </w:r>
      <w:r w:rsidR="00A25298">
        <w:rPr>
          <w:rFonts w:cs="Arial"/>
          <w:szCs w:val="21"/>
        </w:rPr>
        <w:t>ing</w:t>
      </w:r>
      <w:r w:rsidR="009073B5" w:rsidRPr="00BD4AA3">
        <w:rPr>
          <w:rFonts w:cs="Arial"/>
          <w:szCs w:val="21"/>
        </w:rPr>
        <w:t xml:space="preserve"> a multi-dose vial if the vaccine’s integrity or sterility is compromised</w:t>
      </w:r>
    </w:p>
    <w:p w14:paraId="49B392EB" w14:textId="085427B7" w:rsidR="00077DBB" w:rsidRPr="006E6DA2"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eferring to the provider’s fac</w:t>
      </w:r>
      <w:r w:rsidR="00077DBB" w:rsidRPr="00B27F46">
        <w:rPr>
          <w:rFonts w:cs="Arial"/>
          <w:szCs w:val="21"/>
        </w:rPr>
        <w:t xml:space="preserve">ility </w:t>
      </w:r>
      <w:r w:rsidR="00077DBB">
        <w:rPr>
          <w:rFonts w:cs="Arial"/>
          <w:szCs w:val="21"/>
        </w:rPr>
        <w:t>Infection P</w:t>
      </w:r>
      <w:r w:rsidR="00077DBB" w:rsidRPr="00EC619C">
        <w:rPr>
          <w:rFonts w:cs="Arial"/>
          <w:szCs w:val="21"/>
        </w:rPr>
        <w:t xml:space="preserve">revention and </w:t>
      </w:r>
      <w:r w:rsidR="00077DBB">
        <w:rPr>
          <w:rFonts w:cs="Arial"/>
          <w:szCs w:val="21"/>
        </w:rPr>
        <w:t>C</w:t>
      </w:r>
      <w:r w:rsidR="00077DBB" w:rsidRPr="00EC619C">
        <w:rPr>
          <w:rFonts w:cs="Arial"/>
          <w:szCs w:val="21"/>
        </w:rPr>
        <w:t xml:space="preserve">ontrol </w:t>
      </w:r>
      <w:r w:rsidR="00077DBB">
        <w:rPr>
          <w:rFonts w:cs="Arial"/>
          <w:szCs w:val="21"/>
        </w:rPr>
        <w:t>G</w:t>
      </w:r>
      <w:r w:rsidR="00077DBB" w:rsidRPr="00EC619C">
        <w:rPr>
          <w:rFonts w:cs="Arial"/>
          <w:szCs w:val="21"/>
        </w:rPr>
        <w:t>uidelines</w:t>
      </w:r>
      <w:r>
        <w:rPr>
          <w:rFonts w:cs="Arial"/>
          <w:szCs w:val="21"/>
        </w:rPr>
        <w:t>.</w:t>
      </w:r>
    </w:p>
    <w:p w14:paraId="09180E07" w14:textId="77777777" w:rsidR="00077DBB" w:rsidRPr="00175F2E" w:rsidRDefault="00077DBB" w:rsidP="00CB56D8">
      <w:pPr>
        <w:pStyle w:val="Heading3"/>
        <w:spacing w:before="240"/>
      </w:pPr>
      <w:bookmarkStart w:id="143" w:name="_Toc112154591"/>
      <w:bookmarkStart w:id="144" w:name="_Toc112315653"/>
      <w:r w:rsidRPr="00175F2E">
        <w:t>Pre-</w:t>
      </w:r>
      <w:r>
        <w:t>preparing</w:t>
      </w:r>
      <w:r w:rsidRPr="00175F2E">
        <w:t xml:space="preserve"> syringes</w:t>
      </w:r>
      <w:bookmarkEnd w:id="143"/>
      <w:bookmarkEnd w:id="144"/>
    </w:p>
    <w:p w14:paraId="7ADECF0C" w14:textId="77777777" w:rsidR="00077DBB" w:rsidRPr="00175F2E" w:rsidRDefault="00077DBB" w:rsidP="00077DBB">
      <w:pPr>
        <w:pStyle w:val="NormalWeb"/>
        <w:shd w:val="clear" w:color="auto" w:fill="FFFFFF" w:themeFill="background1"/>
        <w:spacing w:before="270" w:beforeAutospacing="0" w:after="0" w:afterAutospacing="0"/>
        <w:rPr>
          <w:rFonts w:ascii="Arial" w:hAnsi="Arial" w:cs="Arial"/>
          <w:sz w:val="21"/>
          <w:szCs w:val="21"/>
        </w:rPr>
      </w:pPr>
      <w:r w:rsidRPr="00175F2E">
        <w:rPr>
          <w:rFonts w:ascii="Arial" w:hAnsi="Arial" w:cs="Arial"/>
          <w:sz w:val="21"/>
          <w:szCs w:val="21"/>
        </w:rPr>
        <w:t>Pre-preparing</w:t>
      </w:r>
      <w:r>
        <w:rPr>
          <w:rFonts w:ascii="Arial" w:hAnsi="Arial" w:cs="Arial"/>
          <w:sz w:val="21"/>
          <w:szCs w:val="21"/>
        </w:rPr>
        <w:t xml:space="preserve"> </w:t>
      </w:r>
      <w:r w:rsidRPr="00175F2E">
        <w:rPr>
          <w:rFonts w:ascii="Arial" w:hAnsi="Arial" w:cs="Arial"/>
          <w:sz w:val="21"/>
          <w:szCs w:val="21"/>
        </w:rPr>
        <w:t>syringes with vaccines</w:t>
      </w:r>
      <w:r>
        <w:rPr>
          <w:rFonts w:ascii="Arial" w:hAnsi="Arial" w:cs="Arial"/>
          <w:sz w:val="21"/>
          <w:szCs w:val="21"/>
        </w:rPr>
        <w:t xml:space="preserve"> </w:t>
      </w:r>
      <w:r w:rsidRPr="00175F2E">
        <w:rPr>
          <w:rFonts w:ascii="Arial" w:hAnsi="Arial" w:cs="Arial"/>
          <w:sz w:val="21"/>
          <w:szCs w:val="21"/>
        </w:rPr>
        <w:t xml:space="preserve">is not recommended </w:t>
      </w:r>
      <w:r>
        <w:rPr>
          <w:rFonts w:ascii="Arial" w:hAnsi="Arial" w:cs="Arial"/>
          <w:sz w:val="21"/>
          <w:szCs w:val="21"/>
        </w:rPr>
        <w:t>due to:</w:t>
      </w:r>
    </w:p>
    <w:p w14:paraId="50B9FB84" w14:textId="5A2FC6F0" w:rsidR="00077DBB" w:rsidRPr="00175F2E" w:rsidRDefault="00DE27F2" w:rsidP="00603DC8">
      <w:pPr>
        <w:numPr>
          <w:ilvl w:val="0"/>
          <w:numId w:val="30"/>
        </w:numPr>
        <w:shd w:val="clear" w:color="auto" w:fill="FFFFFF" w:themeFill="background1"/>
        <w:spacing w:before="120" w:after="0" w:line="288" w:lineRule="auto"/>
        <w:ind w:left="714" w:hanging="357"/>
        <w:rPr>
          <w:rFonts w:cs="Arial"/>
          <w:szCs w:val="21"/>
        </w:rPr>
      </w:pPr>
      <w:r>
        <w:rPr>
          <w:rFonts w:cs="Arial"/>
          <w:szCs w:val="21"/>
        </w:rPr>
        <w:t>u</w:t>
      </w:r>
      <w:r w:rsidR="00077DBB" w:rsidRPr="00175F2E">
        <w:rPr>
          <w:rFonts w:cs="Arial"/>
          <w:szCs w:val="21"/>
        </w:rPr>
        <w:t>ncertainty of vaccine stability</w:t>
      </w:r>
    </w:p>
    <w:p w14:paraId="09F2D00C" w14:textId="0A9CD46A"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i</w:t>
      </w:r>
      <w:r w:rsidR="00077DBB" w:rsidRPr="00175F2E">
        <w:rPr>
          <w:rFonts w:cs="Arial"/>
          <w:szCs w:val="21"/>
        </w:rPr>
        <w:t>sk of contamination</w:t>
      </w:r>
    </w:p>
    <w:p w14:paraId="43240EB6" w14:textId="7E6452AE"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i</w:t>
      </w:r>
      <w:r w:rsidR="00077DBB" w:rsidRPr="00175F2E">
        <w:rPr>
          <w:rFonts w:cs="Arial"/>
          <w:szCs w:val="21"/>
        </w:rPr>
        <w:t>ncreased risk of potential errors in administration</w:t>
      </w:r>
    </w:p>
    <w:p w14:paraId="5955385A" w14:textId="6DBF6675"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p</w:t>
      </w:r>
      <w:r w:rsidR="00077DBB" w:rsidRPr="00175F2E">
        <w:rPr>
          <w:rFonts w:cs="Arial"/>
          <w:szCs w:val="21"/>
        </w:rPr>
        <w:t xml:space="preserve">otential </w:t>
      </w:r>
      <w:r w:rsidR="00077DBB">
        <w:rPr>
          <w:rFonts w:cs="Arial"/>
          <w:szCs w:val="21"/>
        </w:rPr>
        <w:t xml:space="preserve">for </w:t>
      </w:r>
      <w:r w:rsidR="00077DBB" w:rsidRPr="00175F2E">
        <w:rPr>
          <w:rFonts w:cs="Arial"/>
          <w:szCs w:val="21"/>
        </w:rPr>
        <w:t>vaccine wastage</w:t>
      </w:r>
      <w:r>
        <w:rPr>
          <w:rFonts w:cs="Arial"/>
          <w:szCs w:val="21"/>
        </w:rPr>
        <w:t>.</w:t>
      </w:r>
    </w:p>
    <w:p w14:paraId="355FC58A" w14:textId="37046554"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If you are in a setting where pre-preparing multiple</w:t>
      </w:r>
      <w:r>
        <w:rPr>
          <w:rFonts w:ascii="Arial" w:hAnsi="Arial" w:cs="Arial"/>
          <w:sz w:val="21"/>
          <w:szCs w:val="21"/>
        </w:rPr>
        <w:t xml:space="preserve"> </w:t>
      </w:r>
      <w:r w:rsidRPr="00175F2E">
        <w:rPr>
          <w:rFonts w:ascii="Arial" w:hAnsi="Arial" w:cs="Arial"/>
          <w:sz w:val="21"/>
          <w:szCs w:val="21"/>
        </w:rPr>
        <w:t>doses is required</w:t>
      </w:r>
      <w:r>
        <w:rPr>
          <w:rFonts w:ascii="Arial" w:hAnsi="Arial" w:cs="Arial"/>
          <w:sz w:val="21"/>
          <w:szCs w:val="21"/>
        </w:rPr>
        <w:t>,</w:t>
      </w:r>
      <w:r w:rsidRPr="00175F2E">
        <w:rPr>
          <w:rFonts w:ascii="Arial" w:hAnsi="Arial" w:cs="Arial"/>
          <w:sz w:val="21"/>
          <w:szCs w:val="21"/>
        </w:rPr>
        <w:t xml:space="preserve"> draw up the </w:t>
      </w:r>
      <w:r>
        <w:rPr>
          <w:rFonts w:ascii="Arial" w:hAnsi="Arial" w:cs="Arial"/>
          <w:sz w:val="21"/>
          <w:szCs w:val="21"/>
        </w:rPr>
        <w:t xml:space="preserve">minimum </w:t>
      </w:r>
      <w:r w:rsidRPr="00175F2E">
        <w:rPr>
          <w:rFonts w:ascii="Arial" w:hAnsi="Arial" w:cs="Arial"/>
          <w:sz w:val="21"/>
          <w:szCs w:val="21"/>
        </w:rPr>
        <w:t>number of doses necessary to keep the immunisation session running efficiently. These doses must be labelled with the</w:t>
      </w:r>
      <w:r>
        <w:rPr>
          <w:rFonts w:ascii="Arial" w:hAnsi="Arial" w:cs="Arial"/>
          <w:sz w:val="21"/>
          <w:szCs w:val="21"/>
        </w:rPr>
        <w:t xml:space="preserve"> </w:t>
      </w:r>
      <w:r w:rsidRPr="00175F2E">
        <w:rPr>
          <w:rFonts w:ascii="Arial" w:hAnsi="Arial" w:cs="Arial"/>
          <w:sz w:val="21"/>
          <w:szCs w:val="21"/>
        </w:rPr>
        <w:t>date and time the vial was accessed</w:t>
      </w:r>
      <w:r w:rsidR="0025038C">
        <w:rPr>
          <w:rFonts w:ascii="Arial" w:hAnsi="Arial" w:cs="Arial"/>
          <w:sz w:val="21"/>
          <w:szCs w:val="21"/>
        </w:rPr>
        <w:t>, protected from light</w:t>
      </w:r>
      <w:r w:rsidRPr="00175F2E">
        <w:rPr>
          <w:rFonts w:ascii="Arial" w:hAnsi="Arial" w:cs="Arial"/>
          <w:sz w:val="21"/>
          <w:szCs w:val="21"/>
        </w:rPr>
        <w:t xml:space="preserve"> and</w:t>
      </w:r>
      <w:r>
        <w:rPr>
          <w:rFonts w:ascii="Arial" w:hAnsi="Arial" w:cs="Arial"/>
          <w:sz w:val="21"/>
          <w:szCs w:val="21"/>
        </w:rPr>
        <w:t xml:space="preserve"> </w:t>
      </w:r>
      <w:r w:rsidRPr="00175F2E">
        <w:rPr>
          <w:rFonts w:ascii="Arial" w:hAnsi="Arial" w:cs="Arial"/>
          <w:sz w:val="21"/>
          <w:szCs w:val="21"/>
        </w:rPr>
        <w:t>used as soon as possible</w:t>
      </w:r>
      <w:r w:rsidR="00272060">
        <w:rPr>
          <w:rFonts w:ascii="Arial" w:hAnsi="Arial" w:cs="Arial"/>
          <w:sz w:val="21"/>
          <w:szCs w:val="21"/>
        </w:rPr>
        <w:t>. Ensur</w:t>
      </w:r>
      <w:r w:rsidR="00272060" w:rsidRPr="00FC27A2">
        <w:rPr>
          <w:rFonts w:ascii="Arial" w:hAnsi="Arial" w:cs="Arial"/>
          <w:sz w:val="21"/>
          <w:szCs w:val="21"/>
        </w:rPr>
        <w:t xml:space="preserve">e </w:t>
      </w:r>
      <w:hyperlink w:anchor="_Cold_chain_management" w:history="1">
        <w:r w:rsidRPr="00FC27A2">
          <w:rPr>
            <w:rStyle w:val="Hyperlink"/>
            <w:rFonts w:ascii="Arial" w:hAnsi="Arial" w:cs="Arial"/>
            <w:color w:val="auto"/>
            <w:sz w:val="21"/>
            <w:szCs w:val="21"/>
            <w:u w:val="none"/>
          </w:rPr>
          <w:t xml:space="preserve">cold chain </w:t>
        </w:r>
        <w:r w:rsidR="00FC27A2">
          <w:rPr>
            <w:rStyle w:val="Hyperlink"/>
            <w:rFonts w:ascii="Arial" w:hAnsi="Arial" w:cs="Arial"/>
            <w:color w:val="auto"/>
            <w:sz w:val="21"/>
            <w:szCs w:val="21"/>
            <w:u w:val="none"/>
          </w:rPr>
          <w:t xml:space="preserve">range </w:t>
        </w:r>
        <w:r w:rsidR="009A59D3" w:rsidRPr="00FC27A2">
          <w:rPr>
            <w:rStyle w:val="Hyperlink"/>
            <w:rFonts w:ascii="Arial" w:hAnsi="Arial" w:cs="Arial"/>
            <w:color w:val="auto"/>
            <w:sz w:val="21"/>
            <w:szCs w:val="21"/>
            <w:u w:val="none"/>
          </w:rPr>
          <w:t>+</w:t>
        </w:r>
        <w:r w:rsidR="00272060" w:rsidRPr="00FC27A2">
          <w:rPr>
            <w:rStyle w:val="Hyperlink"/>
            <w:rFonts w:ascii="Arial" w:hAnsi="Arial" w:cs="Arial"/>
            <w:color w:val="auto"/>
            <w:sz w:val="21"/>
            <w:szCs w:val="21"/>
            <w:u w:val="none"/>
          </w:rPr>
          <w:t>2</w:t>
        </w:r>
        <w:r w:rsidR="009A59D3" w:rsidRPr="00FC27A2">
          <w:rPr>
            <w:rStyle w:val="Hyperlink"/>
            <w:rFonts w:ascii="Arial" w:hAnsi="Arial" w:cs="Arial"/>
            <w:color w:val="auto"/>
            <w:sz w:val="21"/>
            <w:szCs w:val="21"/>
            <w:u w:val="none"/>
          </w:rPr>
          <w:t xml:space="preserve"> to +</w:t>
        </w:r>
        <w:r w:rsidR="00272060" w:rsidRPr="00FC27A2">
          <w:rPr>
            <w:rStyle w:val="Hyperlink"/>
            <w:rFonts w:ascii="Arial" w:hAnsi="Arial" w:cs="Arial"/>
            <w:color w:val="auto"/>
            <w:sz w:val="21"/>
            <w:szCs w:val="21"/>
            <w:u w:val="none"/>
          </w:rPr>
          <w:t>8C</w:t>
        </w:r>
      </w:hyperlink>
      <w:r w:rsidR="00272060">
        <w:rPr>
          <w:rFonts w:ascii="Arial" w:hAnsi="Arial" w:cs="Arial"/>
          <w:sz w:val="21"/>
          <w:szCs w:val="21"/>
        </w:rPr>
        <w:t xml:space="preserve"> </w:t>
      </w:r>
      <w:r w:rsidRPr="00175F2E">
        <w:rPr>
          <w:rFonts w:ascii="Arial" w:hAnsi="Arial" w:cs="Arial"/>
          <w:sz w:val="21"/>
          <w:szCs w:val="21"/>
        </w:rPr>
        <w:t>is maintained.</w:t>
      </w:r>
    </w:p>
    <w:p w14:paraId="362A07BD" w14:textId="558A40AC"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For outreach/mobile immunisation sessions</w:t>
      </w:r>
      <w:r w:rsidR="001D5A60">
        <w:rPr>
          <w:rFonts w:ascii="Arial" w:hAnsi="Arial" w:cs="Arial"/>
          <w:sz w:val="21"/>
          <w:szCs w:val="21"/>
        </w:rPr>
        <w:t>:</w:t>
      </w:r>
      <w:r w:rsidRPr="00175F2E">
        <w:rPr>
          <w:rFonts w:ascii="Arial" w:hAnsi="Arial" w:cs="Arial"/>
          <w:sz w:val="21"/>
          <w:szCs w:val="21"/>
        </w:rPr>
        <w:t xml:space="preserve"> you should transport the vial and draw up the dose at the site of administration</w:t>
      </w:r>
      <w:r w:rsidR="00035D3F">
        <w:rPr>
          <w:rFonts w:ascii="Arial" w:hAnsi="Arial" w:cs="Arial"/>
          <w:sz w:val="21"/>
          <w:szCs w:val="21"/>
        </w:rPr>
        <w:t>.</w:t>
      </w:r>
    </w:p>
    <w:p w14:paraId="0577B7E1" w14:textId="77777777" w:rsidR="00077DBB" w:rsidRPr="00F27BE7" w:rsidRDefault="00077DBB" w:rsidP="00CB56D8">
      <w:pPr>
        <w:pStyle w:val="Heading3"/>
        <w:spacing w:before="240"/>
      </w:pPr>
      <w:bookmarkStart w:id="145" w:name="_Toc112154592"/>
      <w:bookmarkStart w:id="146" w:name="_Toc112315654"/>
      <w:r w:rsidRPr="00F27BE7">
        <w:t>Storage and usage</w:t>
      </w:r>
      <w:bookmarkEnd w:id="145"/>
      <w:bookmarkEnd w:id="146"/>
    </w:p>
    <w:p w14:paraId="5CD5DA86" w14:textId="6CE8565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 xml:space="preserve">Maintain cold chain storage of </w:t>
      </w:r>
      <w:r w:rsidR="00FC27A2">
        <w:rPr>
          <w:rFonts w:cs="Arial"/>
        </w:rPr>
        <w:t>+</w:t>
      </w:r>
      <w:r w:rsidRPr="7CA344CC">
        <w:rPr>
          <w:rFonts w:cs="Arial"/>
        </w:rPr>
        <w:t>2</w:t>
      </w:r>
      <w:r w:rsidR="00FC27A2">
        <w:rPr>
          <w:rFonts w:cs="Arial"/>
        </w:rPr>
        <w:t xml:space="preserve"> to +</w:t>
      </w:r>
      <w:r w:rsidRPr="7CA344CC">
        <w:rPr>
          <w:rFonts w:cs="Arial"/>
        </w:rPr>
        <w:t>8</w:t>
      </w:r>
      <w:r w:rsidR="00B90F1C" w:rsidRPr="00113C20">
        <w:rPr>
          <w:rFonts w:eastAsia="Calibri" w:cs="Arial"/>
          <w:szCs w:val="21"/>
        </w:rPr>
        <w:t>°</w:t>
      </w:r>
      <w:r w:rsidRPr="7CA344CC">
        <w:rPr>
          <w:rFonts w:cs="Arial"/>
        </w:rPr>
        <w:t>C, protect from sunlight and freezing where required</w:t>
      </w:r>
      <w:r w:rsidR="0082229C">
        <w:rPr>
          <w:rFonts w:cs="Arial"/>
        </w:rPr>
        <w:t>.</w:t>
      </w:r>
      <w:r w:rsidRPr="7CA344CC">
        <w:rPr>
          <w:rFonts w:cs="Arial"/>
        </w:rPr>
        <w:t xml:space="preserve"> </w:t>
      </w:r>
    </w:p>
    <w:p w14:paraId="132D31D5" w14:textId="27B911B3" w:rsidR="00077DBB" w:rsidRPr="00BD4AA3" w:rsidRDefault="00077DBB" w:rsidP="00603DC8">
      <w:pPr>
        <w:numPr>
          <w:ilvl w:val="0"/>
          <w:numId w:val="29"/>
        </w:numPr>
        <w:shd w:val="clear" w:color="auto" w:fill="FFFFFF" w:themeFill="background1"/>
        <w:spacing w:after="0" w:line="288" w:lineRule="auto"/>
      </w:pPr>
      <w:r w:rsidRPr="7CA344CC">
        <w:rPr>
          <w:rFonts w:eastAsia="SimSun" w:cs="Arial"/>
          <w:szCs w:val="21"/>
        </w:rPr>
        <w:t xml:space="preserve">Store vial in original box, with </w:t>
      </w:r>
      <w:r w:rsidR="00AF6C25">
        <w:rPr>
          <w:rFonts w:eastAsia="SimSun" w:cs="Arial"/>
          <w:szCs w:val="21"/>
        </w:rPr>
        <w:t xml:space="preserve">the </w:t>
      </w:r>
      <w:r w:rsidRPr="00AF6C25">
        <w:rPr>
          <w:rFonts w:eastAsia="SimSun" w:cs="Arial"/>
          <w:b/>
          <w:bCs/>
          <w:szCs w:val="21"/>
        </w:rPr>
        <w:t>revised expiry date</w:t>
      </w:r>
      <w:r w:rsidR="00AF6C25">
        <w:rPr>
          <w:rFonts w:eastAsia="SimSun" w:cs="Arial"/>
          <w:b/>
          <w:bCs/>
          <w:szCs w:val="21"/>
        </w:rPr>
        <w:t>.</w:t>
      </w:r>
      <w:r w:rsidRPr="7CA344CC">
        <w:rPr>
          <w:rFonts w:eastAsia="SimSun" w:cs="Arial"/>
          <w:szCs w:val="21"/>
        </w:rPr>
        <w:t xml:space="preserve"> </w:t>
      </w:r>
    </w:p>
    <w:p w14:paraId="47DD621D" w14:textId="25372D7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Always label a multi-dose vial with the date and time of first access</w:t>
      </w:r>
      <w:r w:rsidR="0082229C">
        <w:rPr>
          <w:rFonts w:cs="Arial"/>
        </w:rPr>
        <w:t>.</w:t>
      </w:r>
      <w:r w:rsidRPr="7CA344CC">
        <w:rPr>
          <w:rFonts w:cs="Arial"/>
        </w:rPr>
        <w:t xml:space="preserve"> </w:t>
      </w:r>
    </w:p>
    <w:p w14:paraId="1309D30C" w14:textId="50D8E662" w:rsidR="00077DBB" w:rsidRPr="00061A8B" w:rsidRDefault="00077DBB" w:rsidP="00603DC8">
      <w:pPr>
        <w:numPr>
          <w:ilvl w:val="0"/>
          <w:numId w:val="29"/>
        </w:numPr>
        <w:shd w:val="clear" w:color="auto" w:fill="FFFFFF" w:themeFill="background1"/>
        <w:spacing w:after="0" w:line="288" w:lineRule="auto"/>
        <w:rPr>
          <w:rFonts w:asciiTheme="minorHAnsi" w:hAnsiTheme="minorHAnsi"/>
        </w:rPr>
      </w:pPr>
      <w:r w:rsidRPr="00061A8B">
        <w:rPr>
          <w:rFonts w:eastAsia="Arial" w:cs="Arial"/>
        </w:rPr>
        <w:t xml:space="preserve">For new vials: note the date and time the vial was first punctured. Once the vial is punctured, </w:t>
      </w:r>
      <w:r w:rsidRPr="00040E4E">
        <w:rPr>
          <w:rFonts w:eastAsia="Arial" w:cs="Arial"/>
          <w:b/>
          <w:bCs/>
        </w:rPr>
        <w:t>you must discard it after 8 hours</w:t>
      </w:r>
      <w:r w:rsidR="00B12D35">
        <w:rPr>
          <w:rStyle w:val="FootnoteReference"/>
          <w:rFonts w:eastAsia="Arial" w:cs="Arial"/>
        </w:rPr>
        <w:footnoteReference w:id="27"/>
      </w:r>
      <w:r w:rsidRPr="00061A8B">
        <w:rPr>
          <w:rFonts w:eastAsia="Arial" w:cs="Arial"/>
        </w:rPr>
        <w:t>. Place vial back in fridge between every dose. Do not keep vial outside at room temperatures</w:t>
      </w:r>
      <w:r w:rsidR="0082229C">
        <w:rPr>
          <w:rFonts w:eastAsia="Arial" w:cs="Arial"/>
        </w:rPr>
        <w:t>.</w:t>
      </w:r>
      <w:r w:rsidRPr="00061A8B">
        <w:rPr>
          <w:rFonts w:eastAsia="Arial" w:cs="Arial"/>
        </w:rPr>
        <w:t xml:space="preserve"> </w:t>
      </w:r>
    </w:p>
    <w:p w14:paraId="7AF22509" w14:textId="0DA1D09C" w:rsidR="00077DBB"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Check vaccines for signs of deterioration, such as a change in colour or clarity. If there are signs of deterioration, refer to the vaccine product information. Do not use the vaccine</w:t>
      </w:r>
      <w:r w:rsidR="0072748D">
        <w:rPr>
          <w:rFonts w:cs="Arial"/>
        </w:rPr>
        <w:t>.</w:t>
      </w:r>
    </w:p>
    <w:p w14:paraId="3683B485" w14:textId="09D31DFA" w:rsidR="00077DBB" w:rsidRPr="00BD4AA3" w:rsidRDefault="00077DBB" w:rsidP="00CB56D8">
      <w:pPr>
        <w:pStyle w:val="Heading2"/>
        <w:spacing w:before="240"/>
      </w:pPr>
      <w:bookmarkStart w:id="147" w:name="_Intradermal_administration"/>
      <w:bookmarkStart w:id="148" w:name="_Intradermal_administration_techniqu"/>
      <w:bookmarkStart w:id="149" w:name="_Toc112154593"/>
      <w:bookmarkStart w:id="150" w:name="_Toc112315655"/>
      <w:bookmarkStart w:id="151" w:name="_Toc176344993"/>
      <w:bookmarkEnd w:id="147"/>
      <w:bookmarkEnd w:id="148"/>
      <w:r w:rsidRPr="00BD4AA3">
        <w:t>Intradermal administration</w:t>
      </w:r>
      <w:bookmarkEnd w:id="149"/>
      <w:bookmarkEnd w:id="150"/>
      <w:r w:rsidR="005F46F8">
        <w:t xml:space="preserve"> technique</w:t>
      </w:r>
      <w:bookmarkEnd w:id="151"/>
    </w:p>
    <w:p w14:paraId="413B46D5" w14:textId="77777777" w:rsidR="005B389D" w:rsidRDefault="005B389D" w:rsidP="00352A28">
      <w:pPr>
        <w:pStyle w:val="Heading3"/>
        <w:spacing w:before="240" w:after="240"/>
      </w:pPr>
      <w:bookmarkStart w:id="152" w:name="_Toc112154595"/>
      <w:bookmarkStart w:id="153" w:name="_Toc112315657"/>
      <w:bookmarkStart w:id="154" w:name="_Toc112154594"/>
      <w:bookmarkStart w:id="155" w:name="_Toc112315656"/>
      <w:r>
        <w:t>Training</w:t>
      </w:r>
      <w:bookmarkEnd w:id="152"/>
      <w:bookmarkEnd w:id="153"/>
    </w:p>
    <w:p w14:paraId="1A191DDE" w14:textId="555C24CC" w:rsidR="005B389D" w:rsidRPr="00D9644B" w:rsidRDefault="005B389D" w:rsidP="00352A28">
      <w:pPr>
        <w:pStyle w:val="BodyText"/>
        <w:spacing w:before="120" w:after="120" w:line="288" w:lineRule="auto"/>
        <w:rPr>
          <w:rFonts w:ascii="Arial" w:hAnsi="Arial" w:cs="Arial"/>
          <w:sz w:val="21"/>
          <w:szCs w:val="21"/>
        </w:rPr>
      </w:pPr>
      <w:bookmarkStart w:id="156" w:name="_Toc112154596"/>
      <w:r w:rsidRPr="00352A28">
        <w:rPr>
          <w:rFonts w:ascii="Arial" w:hAnsi="Arial" w:cs="Arial"/>
          <w:sz w:val="21"/>
          <w:szCs w:val="21"/>
        </w:rPr>
        <w:t>The intradermal injection</w:t>
      </w:r>
      <w:r w:rsidRPr="00352A28">
        <w:rPr>
          <w:rStyle w:val="Hyperlink"/>
          <w:rFonts w:ascii="Arial" w:hAnsi="Arial" w:cs="Arial"/>
          <w:sz w:val="21"/>
          <w:szCs w:val="21"/>
        </w:rPr>
        <w:t xml:space="preserve"> </w:t>
      </w:r>
      <w:r w:rsidRPr="00352A28">
        <w:rPr>
          <w:rFonts w:ascii="Arial" w:hAnsi="Arial" w:cs="Arial"/>
          <w:sz w:val="21"/>
          <w:szCs w:val="21"/>
        </w:rPr>
        <w:t xml:space="preserve">technique requires additional training. Refer to the </w:t>
      </w:r>
      <w:hyperlink w:anchor="_Workforce_requirements_2" w:history="1">
        <w:r w:rsidRPr="00352A28">
          <w:rPr>
            <w:rStyle w:val="Hyperlink"/>
            <w:rFonts w:ascii="Arial" w:hAnsi="Arial" w:cs="Arial"/>
            <w:sz w:val="21"/>
            <w:szCs w:val="21"/>
          </w:rPr>
          <w:t>Workforce and Regulation</w:t>
        </w:r>
      </w:hyperlink>
      <w:r w:rsidRPr="00352A28">
        <w:rPr>
          <w:rFonts w:ascii="Arial" w:hAnsi="Arial" w:cs="Arial"/>
          <w:sz w:val="21"/>
          <w:szCs w:val="21"/>
        </w:rPr>
        <w:t xml:space="preserve"> section of these guidelines. </w:t>
      </w:r>
      <w:r w:rsidR="009E5049" w:rsidRPr="00D9644B">
        <w:rPr>
          <w:rFonts w:ascii="Arial" w:hAnsi="Arial" w:cs="Arial"/>
          <w:color w:val="313131"/>
          <w:sz w:val="21"/>
          <w:szCs w:val="21"/>
          <w:shd w:val="clear" w:color="auto" w:fill="FFFFFF"/>
        </w:rPr>
        <w:t>Suitably qualified and experienced providers should only use the intradermal route</w:t>
      </w:r>
      <w:r w:rsidR="00352A28" w:rsidRPr="00D9644B">
        <w:rPr>
          <w:rFonts w:ascii="Arial" w:hAnsi="Arial" w:cs="Arial"/>
          <w:color w:val="313131"/>
          <w:sz w:val="21"/>
          <w:szCs w:val="21"/>
          <w:shd w:val="clear" w:color="auto" w:fill="FFFFFF"/>
        </w:rPr>
        <w:t>.</w:t>
      </w:r>
    </w:p>
    <w:bookmarkEnd w:id="156"/>
    <w:p w14:paraId="75B11BAB" w14:textId="77777777" w:rsidR="00077DBB" w:rsidRPr="00E26D18" w:rsidRDefault="00077DBB" w:rsidP="00416E0C">
      <w:pPr>
        <w:pStyle w:val="Heading3"/>
        <w:spacing w:after="240"/>
      </w:pPr>
      <w:r w:rsidRPr="00E26D18">
        <w:t>Skin cleaning</w:t>
      </w:r>
      <w:bookmarkEnd w:id="154"/>
      <w:bookmarkEnd w:id="155"/>
    </w:p>
    <w:p w14:paraId="267F68A8" w14:textId="77777777" w:rsidR="00077DBB" w:rsidRPr="008A38DC" w:rsidRDefault="00077DBB" w:rsidP="00077DBB">
      <w:pPr>
        <w:shd w:val="clear" w:color="auto" w:fill="FFFFFF" w:themeFill="background1"/>
        <w:spacing w:after="0" w:line="288" w:lineRule="auto"/>
        <w:rPr>
          <w:rFonts w:cs="Arial"/>
          <w:szCs w:val="21"/>
          <w:lang w:eastAsia="en-AU"/>
        </w:rPr>
      </w:pPr>
      <w:r w:rsidRPr="008A38DC">
        <w:rPr>
          <w:rFonts w:cs="Arial"/>
          <w:szCs w:val="21"/>
          <w:lang w:eastAsia="en-AU"/>
        </w:rPr>
        <w:t xml:space="preserve">If the skin is visibly clean, there is no need to wipe it with an antiseptic (such as an alcohol wipe). If you use alcohol or other disinfecting agents to clean skin that is visibly dirty, the skin </w:t>
      </w:r>
      <w:r w:rsidRPr="008A38DC">
        <w:rPr>
          <w:rFonts w:cs="Arial"/>
          <w:b/>
          <w:bCs/>
          <w:szCs w:val="21"/>
          <w:lang w:eastAsia="en-AU"/>
        </w:rPr>
        <w:t xml:space="preserve">must </w:t>
      </w:r>
      <w:r w:rsidRPr="008A38DC">
        <w:rPr>
          <w:rFonts w:cs="Arial"/>
          <w:szCs w:val="21"/>
          <w:lang w:eastAsia="en-AU"/>
        </w:rPr>
        <w:t>be allowed to dry before injecting the vaccine. This prevents inactivation of live vaccines and reduces the likelihood of irritation at the injection site.</w:t>
      </w:r>
    </w:p>
    <w:p w14:paraId="021131F6" w14:textId="735E2365" w:rsidR="00077DBB" w:rsidRDefault="00077DBB" w:rsidP="00DE64CD">
      <w:pPr>
        <w:pStyle w:val="Heading3"/>
        <w:spacing w:before="240" w:after="240"/>
      </w:pPr>
      <w:bookmarkStart w:id="157" w:name="_Toc112154597"/>
      <w:bookmarkStart w:id="158" w:name="_Toc112315658"/>
      <w:r>
        <w:t>Identifying injection site</w:t>
      </w:r>
      <w:r w:rsidR="00B47F98">
        <w:t>s</w:t>
      </w:r>
      <w:r>
        <w:t xml:space="preserve"> – Intradermal</w:t>
      </w:r>
      <w:bookmarkEnd w:id="157"/>
      <w:bookmarkEnd w:id="158"/>
    </w:p>
    <w:p w14:paraId="59BEA533" w14:textId="2A77CE61" w:rsidR="00875E37" w:rsidRDefault="00875E37" w:rsidP="00BB3A49">
      <w:pPr>
        <w:shd w:val="clear" w:color="auto" w:fill="FFFFFF" w:themeFill="background1"/>
        <w:spacing w:before="120" w:line="288" w:lineRule="auto"/>
        <w:rPr>
          <w:rFonts w:cs="Arial"/>
        </w:rPr>
      </w:pPr>
      <w:r w:rsidRPr="005F56C8">
        <w:rPr>
          <w:rFonts w:cs="Arial"/>
        </w:rPr>
        <w:t>Intradermal administration involves injecting the vaccine superficially between the epidermis and the hypodermis layers of the skin</w:t>
      </w:r>
      <w:r w:rsidR="007F5B09">
        <w:rPr>
          <w:rFonts w:cs="Arial"/>
        </w:rPr>
        <w:t>.</w:t>
      </w:r>
      <w:r w:rsidR="007F5B09" w:rsidRPr="007F5B09">
        <w:t xml:space="preserve"> </w:t>
      </w:r>
      <w:r w:rsidR="007F5B09">
        <w:t>Evidence informing the intradermal use recommendation was based on vaccine administration at the inner aspect of the forearm however, other administration sites, such as the deltoid or the upper back below the scapula, are also acceptable</w:t>
      </w:r>
      <w:r w:rsidR="00A51EFD">
        <w:t>.</w:t>
      </w:r>
      <w:r w:rsidR="00A51EFD">
        <w:rPr>
          <w:vertAlign w:val="superscript"/>
        </w:rPr>
        <w:t>30</w:t>
      </w:r>
      <w:r w:rsidR="004719D3">
        <w:rPr>
          <w:rFonts w:cs="Arial"/>
        </w:rPr>
        <w:t xml:space="preserve"> </w:t>
      </w:r>
      <w:r w:rsidR="004719D3" w:rsidRPr="005F56C8">
        <w:rPr>
          <w:rFonts w:cs="Arial"/>
        </w:rPr>
        <w:t xml:space="preserve"> </w:t>
      </w:r>
    </w:p>
    <w:p w14:paraId="34895CE7" w14:textId="77777777" w:rsidR="00D93634" w:rsidRPr="005F56C8" w:rsidRDefault="00D93634" w:rsidP="00BB3A49">
      <w:pPr>
        <w:shd w:val="clear" w:color="auto" w:fill="FFFFFF" w:themeFill="background1"/>
        <w:spacing w:before="120" w:line="288" w:lineRule="auto"/>
        <w:rPr>
          <w:rFonts w:cs="Arial"/>
        </w:rPr>
      </w:pPr>
    </w:p>
    <w:p w14:paraId="68B662A3" w14:textId="08EA67FF" w:rsidR="00077DBB" w:rsidRDefault="00D93634" w:rsidP="00EE28B5">
      <w:pPr>
        <w:shd w:val="clear" w:color="auto" w:fill="FFFFFF" w:themeFill="background1"/>
        <w:spacing w:before="100" w:beforeAutospacing="1" w:after="100" w:afterAutospacing="1"/>
        <w:ind w:left="720"/>
        <w:rPr>
          <w:rFonts w:cs="Arial"/>
          <w:color w:val="313131"/>
          <w:szCs w:val="21"/>
        </w:rPr>
      </w:pPr>
      <w:r w:rsidRPr="00EE28B5">
        <w:rPr>
          <w:noProof/>
          <w:szCs w:val="21"/>
        </w:rPr>
        <w:drawing>
          <wp:anchor distT="0" distB="0" distL="114300" distR="114300" simplePos="0" relativeHeight="251658246" behindDoc="0" locked="0" layoutInCell="1" allowOverlap="1" wp14:anchorId="7574115B" wp14:editId="6F75C55C">
            <wp:simplePos x="0" y="0"/>
            <wp:positionH relativeFrom="margin">
              <wp:posOffset>76200</wp:posOffset>
            </wp:positionH>
            <wp:positionV relativeFrom="paragraph">
              <wp:posOffset>13335</wp:posOffset>
            </wp:positionV>
            <wp:extent cx="4238625" cy="4076700"/>
            <wp:effectExtent l="0" t="0" r="9525" b="0"/>
            <wp:wrapSquare wrapText="bothSides"/>
            <wp:docPr id="26" name="Picture 26" descr="Image of volar aspect of forearm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age of volar aspect of forearm for Intradermal injection and angle of insertion into skin layers."/>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4238625" cy="4076700"/>
                    </a:xfrm>
                    <a:prstGeom prst="rect">
                      <a:avLst/>
                    </a:prstGeom>
                  </pic:spPr>
                </pic:pic>
              </a:graphicData>
            </a:graphic>
            <wp14:sizeRelH relativeFrom="margin">
              <wp14:pctWidth>0</wp14:pctWidth>
            </wp14:sizeRelH>
            <wp14:sizeRelV relativeFrom="margin">
              <wp14:pctHeight>0</wp14:pctHeight>
            </wp14:sizeRelV>
          </wp:anchor>
        </w:drawing>
      </w:r>
      <w:r w:rsidR="009D16AB" w:rsidRPr="00EE28B5">
        <w:rPr>
          <w:rFonts w:cs="Arial"/>
          <w:szCs w:val="21"/>
        </w:rPr>
        <w:t xml:space="preserve">The chosen site </w:t>
      </w:r>
      <w:r w:rsidR="00EF77B2" w:rsidRPr="00EE28B5">
        <w:rPr>
          <w:rFonts w:cs="Arial"/>
          <w:szCs w:val="21"/>
        </w:rPr>
        <w:t>should be free from lesions, rashes, moles and heavy dark ta</w:t>
      </w:r>
      <w:r w:rsidR="00EE28B5">
        <w:rPr>
          <w:rFonts w:cs="Arial"/>
          <w:szCs w:val="21"/>
        </w:rPr>
        <w:t>t</w:t>
      </w:r>
      <w:r w:rsidR="00EF77B2" w:rsidRPr="00EE28B5">
        <w:rPr>
          <w:rFonts w:cs="Arial"/>
          <w:szCs w:val="21"/>
        </w:rPr>
        <w:t>toos. Injection should produce a noticeable pale elevation of the skin (bleb)</w:t>
      </w:r>
      <w:r w:rsidR="00A51EFD">
        <w:rPr>
          <w:rFonts w:cs="Arial"/>
          <w:szCs w:val="21"/>
        </w:rPr>
        <w:t>.</w:t>
      </w:r>
      <w:r w:rsidR="00EE28B5" w:rsidRPr="00EE28B5">
        <w:rPr>
          <w:rStyle w:val="FootnoteReference"/>
          <w:rFonts w:cs="Arial"/>
        </w:rPr>
        <w:t xml:space="preserve"> </w:t>
      </w:r>
      <w:r w:rsidR="00EE28B5" w:rsidRPr="00EE28B5">
        <w:rPr>
          <w:rStyle w:val="FootnoteReference"/>
          <w:rFonts w:cs="Arial"/>
        </w:rPr>
        <w:footnoteReference w:id="28"/>
      </w:r>
      <w:r w:rsidR="00360610" w:rsidRPr="00EE28B5">
        <w:rPr>
          <w:rFonts w:cs="Arial"/>
          <w:color w:val="313131"/>
          <w:szCs w:val="21"/>
        </w:rPr>
        <w:br w:type="textWrapping" w:clear="all"/>
      </w:r>
      <w:r w:rsidR="00077DBB" w:rsidRPr="00977A5E">
        <w:rPr>
          <w:rFonts w:cs="Arial"/>
          <w:color w:val="313131"/>
          <w:sz w:val="18"/>
          <w:szCs w:val="18"/>
        </w:rPr>
        <w:t xml:space="preserve">Image – </w:t>
      </w:r>
      <w:hyperlink r:id="rId42" w:history="1">
        <w:r w:rsidR="00A96FF1">
          <w:rPr>
            <w:rStyle w:val="Hyperlink"/>
            <w:rFonts w:cs="Arial"/>
            <w:sz w:val="18"/>
            <w:szCs w:val="18"/>
          </w:rPr>
          <w:t>Intradermal injection</w:t>
        </w:r>
      </w:hyperlink>
      <w:r w:rsidR="00C93259">
        <w:rPr>
          <w:rFonts w:cs="Arial"/>
          <w:color w:val="313131"/>
          <w:szCs w:val="21"/>
        </w:rPr>
        <w:t xml:space="preserve"> </w:t>
      </w:r>
    </w:p>
    <w:p w14:paraId="535EF06F" w14:textId="77777777" w:rsidR="00D93634" w:rsidRDefault="00D93634" w:rsidP="00A13230">
      <w:pPr>
        <w:shd w:val="clear" w:color="auto" w:fill="FFFFFF" w:themeFill="background1"/>
        <w:spacing w:after="0" w:line="288" w:lineRule="auto"/>
        <w:ind w:left="1080"/>
        <w:rPr>
          <w:rFonts w:cs="Arial"/>
        </w:rPr>
      </w:pPr>
    </w:p>
    <w:p w14:paraId="70B526E5" w14:textId="77777777" w:rsidR="00D93634" w:rsidRDefault="00D93634" w:rsidP="00A13230">
      <w:pPr>
        <w:shd w:val="clear" w:color="auto" w:fill="FFFFFF" w:themeFill="background1"/>
        <w:spacing w:after="0" w:line="288" w:lineRule="auto"/>
        <w:ind w:left="1080"/>
        <w:rPr>
          <w:rFonts w:cs="Arial"/>
        </w:rPr>
      </w:pPr>
    </w:p>
    <w:p w14:paraId="14455257" w14:textId="0655796D" w:rsidR="00D93634" w:rsidRDefault="00D93634" w:rsidP="00643C95">
      <w:pPr>
        <w:pStyle w:val="Heading3"/>
      </w:pPr>
      <w:r w:rsidRPr="00113E65">
        <w:rPr>
          <w:noProof/>
          <w:color w:val="000000" w:themeColor="text1"/>
        </w:rPr>
        <w:drawing>
          <wp:anchor distT="0" distB="0" distL="114300" distR="114300" simplePos="0" relativeHeight="251658242" behindDoc="0" locked="0" layoutInCell="1" allowOverlap="1" wp14:anchorId="0E65E029" wp14:editId="694F1BF6">
            <wp:simplePos x="0" y="0"/>
            <wp:positionH relativeFrom="margin">
              <wp:align>left</wp:align>
            </wp:positionH>
            <wp:positionV relativeFrom="paragraph">
              <wp:posOffset>180340</wp:posOffset>
            </wp:positionV>
            <wp:extent cx="3200400" cy="4639310"/>
            <wp:effectExtent l="0" t="0" r="0" b="8890"/>
            <wp:wrapSquare wrapText="bothSides"/>
            <wp:docPr id="20" name="Picture 20" descr="Image of deltoid for visual identification of area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deltoid for visual identification of area for Intradermal injection and angle of insertion into skin layers."/>
                    <pic:cNvPicPr/>
                  </pic:nvPicPr>
                  <pic:blipFill>
                    <a:blip r:embed="rId43">
                      <a:extLst>
                        <a:ext uri="{28A0092B-C50C-407E-A947-70E740481C1C}">
                          <a14:useLocalDpi xmlns:a14="http://schemas.microsoft.com/office/drawing/2010/main" val="0"/>
                        </a:ext>
                      </a:extLst>
                    </a:blip>
                    <a:stretch>
                      <a:fillRect/>
                    </a:stretch>
                  </pic:blipFill>
                  <pic:spPr>
                    <a:xfrm>
                      <a:off x="0" y="0"/>
                      <a:ext cx="3211617" cy="4655947"/>
                    </a:xfrm>
                    <a:prstGeom prst="rect">
                      <a:avLst/>
                    </a:prstGeom>
                  </pic:spPr>
                </pic:pic>
              </a:graphicData>
            </a:graphic>
            <wp14:sizeRelH relativeFrom="margin">
              <wp14:pctWidth>0</wp14:pctWidth>
            </wp14:sizeRelH>
            <wp14:sizeRelV relativeFrom="margin">
              <wp14:pctHeight>0</wp14:pctHeight>
            </wp14:sizeRelV>
          </wp:anchor>
        </w:drawing>
      </w:r>
      <w:r w:rsidR="00643C95">
        <w:t xml:space="preserve">Alternative site for Intradermal injection </w:t>
      </w:r>
    </w:p>
    <w:p w14:paraId="1D409DA3" w14:textId="77777777" w:rsidR="00643C95" w:rsidRDefault="00643C95" w:rsidP="00A13230">
      <w:pPr>
        <w:shd w:val="clear" w:color="auto" w:fill="FFFFFF" w:themeFill="background1"/>
        <w:spacing w:after="0" w:line="288" w:lineRule="auto"/>
        <w:ind w:left="1080"/>
        <w:rPr>
          <w:rFonts w:cs="Arial"/>
        </w:rPr>
      </w:pPr>
    </w:p>
    <w:p w14:paraId="2E52591E" w14:textId="70A20FCE" w:rsidR="00FD5B9C" w:rsidRPr="00A13230" w:rsidRDefault="002E13E6" w:rsidP="00A13230">
      <w:pPr>
        <w:shd w:val="clear" w:color="auto" w:fill="FFFFFF" w:themeFill="background1"/>
        <w:spacing w:after="0" w:line="288" w:lineRule="auto"/>
        <w:ind w:left="1080"/>
        <w:rPr>
          <w:rFonts w:cs="Arial"/>
        </w:rPr>
      </w:pPr>
      <w:r w:rsidRPr="00A13230">
        <w:rPr>
          <w:rFonts w:cs="Arial"/>
        </w:rPr>
        <w:t xml:space="preserve">Identify </w:t>
      </w:r>
      <w:r w:rsidR="00FD5B9C" w:rsidRPr="00A13230">
        <w:rPr>
          <w:rFonts w:cs="Arial"/>
        </w:rPr>
        <w:t>the region where the deltoid muscle inserts into the humerus</w:t>
      </w:r>
      <w:r w:rsidR="00C2677D" w:rsidRPr="00A13230">
        <w:rPr>
          <w:rFonts w:cs="Arial"/>
        </w:rPr>
        <w:t>.</w:t>
      </w:r>
    </w:p>
    <w:p w14:paraId="140CBE5E" w14:textId="3113C62B" w:rsidR="00BB3A49" w:rsidRPr="00A13230" w:rsidRDefault="00BB3A49" w:rsidP="00A13230">
      <w:pPr>
        <w:shd w:val="clear" w:color="auto" w:fill="FFFFFF" w:themeFill="background1"/>
        <w:spacing w:before="120" w:after="0" w:line="240" w:lineRule="auto"/>
        <w:ind w:left="360"/>
        <w:jc w:val="both"/>
        <w:rPr>
          <w:rFonts w:cs="Arial"/>
        </w:rPr>
      </w:pPr>
      <w:r w:rsidRPr="00A13230">
        <w:rPr>
          <w:rFonts w:cs="Arial"/>
        </w:rPr>
        <w:t>This is just above the midpoint of the upper arm</w:t>
      </w:r>
      <w:r w:rsidR="00196B7F">
        <w:rPr>
          <w:rFonts w:cs="Arial"/>
        </w:rPr>
        <w:t>.</w:t>
      </w:r>
      <w:r w:rsidRPr="00061230">
        <w:rPr>
          <w:rStyle w:val="FootnoteReference"/>
          <w:rFonts w:cs="Arial"/>
          <w:sz w:val="20"/>
        </w:rPr>
        <w:footnoteReference w:id="29"/>
      </w:r>
    </w:p>
    <w:p w14:paraId="2B45DC6E" w14:textId="77777777" w:rsidR="00BB3A49" w:rsidRPr="00A13230" w:rsidRDefault="00BB3A49" w:rsidP="00A13230">
      <w:pPr>
        <w:shd w:val="clear" w:color="auto" w:fill="FFFFFF" w:themeFill="background1"/>
        <w:spacing w:before="120" w:after="0" w:line="288" w:lineRule="auto"/>
        <w:ind w:left="360"/>
        <w:rPr>
          <w:rFonts w:cs="Arial"/>
        </w:rPr>
      </w:pPr>
      <w:r w:rsidRPr="00A13230">
        <w:rPr>
          <w:rFonts w:cs="Arial"/>
        </w:rPr>
        <w:t xml:space="preserve">Consider appropriate patient position for access by the vaccinator to provide stability and ease of injection (lying or sitting). </w:t>
      </w:r>
    </w:p>
    <w:p w14:paraId="10167948" w14:textId="0E263E19" w:rsidR="009E15B9" w:rsidRDefault="00663BD6" w:rsidP="00113E65">
      <w:pPr>
        <w:shd w:val="clear" w:color="auto" w:fill="FFFFFF" w:themeFill="background1"/>
        <w:spacing w:before="240" w:after="0" w:line="288" w:lineRule="auto"/>
        <w:rPr>
          <w:rFonts w:cs="Arial"/>
          <w:color w:val="000000" w:themeColor="text1"/>
          <w:sz w:val="18"/>
          <w:szCs w:val="18"/>
        </w:rPr>
      </w:pPr>
      <w:r w:rsidRPr="00895C1C">
        <w:rPr>
          <w:rFonts w:cs="Arial"/>
          <w:color w:val="000000" w:themeColor="text1"/>
          <w:sz w:val="18"/>
          <w:szCs w:val="18"/>
        </w:rPr>
        <w:t xml:space="preserve">Image </w:t>
      </w:r>
      <w:r w:rsidR="00244060">
        <w:rPr>
          <w:rFonts w:cs="Arial"/>
          <w:color w:val="000000" w:themeColor="text1"/>
          <w:sz w:val="18"/>
          <w:szCs w:val="18"/>
        </w:rPr>
        <w:t>–</w:t>
      </w:r>
      <w:r w:rsidR="00895C1C">
        <w:rPr>
          <w:rFonts w:cs="Arial"/>
          <w:color w:val="000000" w:themeColor="text1"/>
          <w:sz w:val="18"/>
          <w:szCs w:val="18"/>
        </w:rPr>
        <w:t xml:space="preserve"> </w:t>
      </w:r>
      <w:r w:rsidR="00244060">
        <w:rPr>
          <w:rFonts w:cs="Arial"/>
          <w:color w:val="000000" w:themeColor="text1"/>
          <w:sz w:val="18"/>
          <w:szCs w:val="18"/>
        </w:rPr>
        <w:t>CDC</w:t>
      </w:r>
      <w:r w:rsidR="009E15B9">
        <w:rPr>
          <w:rFonts w:cs="Arial"/>
          <w:color w:val="000000" w:themeColor="text1"/>
          <w:sz w:val="18"/>
          <w:szCs w:val="18"/>
        </w:rPr>
        <w:t>,</w:t>
      </w:r>
      <w:r w:rsidR="00244060">
        <w:rPr>
          <w:rFonts w:cs="Arial"/>
          <w:color w:val="000000" w:themeColor="text1"/>
          <w:sz w:val="18"/>
          <w:szCs w:val="18"/>
        </w:rPr>
        <w:t xml:space="preserve"> </w:t>
      </w:r>
      <w:r w:rsidR="009E15B9">
        <w:rPr>
          <w:rFonts w:cs="Arial"/>
          <w:color w:val="000000" w:themeColor="text1"/>
          <w:sz w:val="18"/>
          <w:szCs w:val="18"/>
        </w:rPr>
        <w:t>Example of intradermal administration into the deltoid</w:t>
      </w:r>
      <w:r w:rsidR="00061230">
        <w:rPr>
          <w:rFonts w:cs="Arial"/>
          <w:color w:val="000000" w:themeColor="text1"/>
          <w:sz w:val="18"/>
          <w:szCs w:val="18"/>
        </w:rPr>
        <w:t>.</w:t>
      </w:r>
      <w:r w:rsidR="00B90D00">
        <w:rPr>
          <w:rStyle w:val="FootnoteReference"/>
          <w:rFonts w:cs="Arial"/>
          <w:color w:val="000000" w:themeColor="text1"/>
          <w:sz w:val="18"/>
          <w:szCs w:val="18"/>
        </w:rPr>
        <w:footnoteReference w:id="30"/>
      </w:r>
      <w:r w:rsidR="009E15B9">
        <w:rPr>
          <w:rFonts w:cs="Arial"/>
          <w:color w:val="000000" w:themeColor="text1"/>
          <w:sz w:val="18"/>
          <w:szCs w:val="18"/>
        </w:rPr>
        <w:t xml:space="preserve"> </w:t>
      </w:r>
    </w:p>
    <w:p w14:paraId="7AEA7285" w14:textId="1A9BC601" w:rsidR="00BD5081" w:rsidRDefault="00BD5081">
      <w:pPr>
        <w:spacing w:after="0" w:line="240" w:lineRule="auto"/>
        <w:rPr>
          <w:rFonts w:eastAsiaTheme="minorEastAsia" w:cs="Arial"/>
          <w:color w:val="000000" w:themeColor="text1"/>
        </w:rPr>
      </w:pPr>
      <w:r>
        <w:rPr>
          <w:rFonts w:cs="Arial"/>
          <w:color w:val="000000" w:themeColor="text1"/>
        </w:rPr>
        <w:br w:type="page"/>
      </w:r>
    </w:p>
    <w:p w14:paraId="4C8A1F66" w14:textId="3A1C9B23" w:rsidR="0024753D" w:rsidRPr="00E60DA3" w:rsidRDefault="0024753D" w:rsidP="0024753D">
      <w:pPr>
        <w:pStyle w:val="Heading3"/>
      </w:pPr>
      <w:bookmarkStart w:id="159" w:name="_Toc112154598"/>
      <w:bookmarkStart w:id="160" w:name="_Toc112315659"/>
      <w:r w:rsidRPr="00850656">
        <w:t>Intradermal injection technique</w:t>
      </w:r>
      <w:r w:rsidR="008E5D7C">
        <w:t xml:space="preserve"> overview</w:t>
      </w:r>
    </w:p>
    <w:p w14:paraId="69E360F2" w14:textId="77777777" w:rsidR="0024753D" w:rsidRPr="009F0F3C" w:rsidRDefault="0024753D" w:rsidP="0024753D">
      <w:pPr>
        <w:pStyle w:val="ListParagraph"/>
        <w:numPr>
          <w:ilvl w:val="0"/>
          <w:numId w:val="32"/>
        </w:numPr>
        <w:shd w:val="clear" w:color="auto" w:fill="FFFFFF" w:themeFill="background1"/>
        <w:spacing w:before="240" w:line="288" w:lineRule="auto"/>
        <w:ind w:left="714" w:hanging="357"/>
        <w:rPr>
          <w:rFonts w:eastAsia="Times New Roman" w:cs="Arial"/>
          <w:lang w:eastAsia="en-AU"/>
        </w:rPr>
      </w:pPr>
      <w:r w:rsidRPr="7F795C98">
        <w:rPr>
          <w:rFonts w:eastAsia="Times New Roman" w:cs="Arial"/>
          <w:lang w:eastAsia="en-AU"/>
        </w:rPr>
        <w:t xml:space="preserve">Use a </w:t>
      </w:r>
      <w:r w:rsidRPr="00673B4B">
        <w:rPr>
          <w:rFonts w:eastAsia="Times New Roman" w:cs="Arial"/>
          <w:b/>
          <w:bCs/>
          <w:lang w:eastAsia="en-AU"/>
        </w:rPr>
        <w:t>short (10 mm) 26–27 gauge needle with a short bevel</w:t>
      </w:r>
      <w:r w:rsidRPr="7F795C98">
        <w:rPr>
          <w:rFonts w:eastAsia="Times New Roman" w:cs="Arial"/>
          <w:lang w:eastAsia="en-AU"/>
        </w:rPr>
        <w:t xml:space="preserve"> in all people. </w:t>
      </w:r>
    </w:p>
    <w:p w14:paraId="530B1C66" w14:textId="1A5B90D0" w:rsidR="0024753D" w:rsidRPr="006F4E21"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Inject vaccine into the</w:t>
      </w:r>
      <w:r>
        <w:rPr>
          <w:rFonts w:eastAsia="Times New Roman" w:cs="Arial"/>
          <w:szCs w:val="21"/>
          <w:lang w:eastAsia="en-AU"/>
        </w:rPr>
        <w:t xml:space="preserve"> inner (</w:t>
      </w:r>
      <w:r w:rsidRPr="00A7783B">
        <w:rPr>
          <w:rFonts w:eastAsia="Times New Roman" w:cs="Arial"/>
          <w:szCs w:val="21"/>
          <w:lang w:eastAsia="en-AU"/>
        </w:rPr>
        <w:t>volar) surface of the forearm</w:t>
      </w:r>
      <w:r w:rsidR="00A15765">
        <w:rPr>
          <w:rFonts w:eastAsia="Times New Roman" w:cs="Arial"/>
          <w:szCs w:val="21"/>
          <w:lang w:eastAsia="en-AU"/>
        </w:rPr>
        <w:t xml:space="preserve"> or </w:t>
      </w:r>
      <w:r w:rsidR="009001F4">
        <w:rPr>
          <w:rFonts w:eastAsia="Times New Roman" w:cs="Arial"/>
          <w:szCs w:val="21"/>
          <w:lang w:eastAsia="en-AU"/>
        </w:rPr>
        <w:t xml:space="preserve">over the </w:t>
      </w:r>
      <w:r w:rsidR="00A15765">
        <w:rPr>
          <w:rFonts w:eastAsia="Times New Roman" w:cs="Arial"/>
          <w:szCs w:val="21"/>
          <w:lang w:eastAsia="en-AU"/>
        </w:rPr>
        <w:t>deltoid</w:t>
      </w:r>
      <w:r>
        <w:rPr>
          <w:rFonts w:eastAsia="Times New Roman" w:cs="Arial"/>
          <w:szCs w:val="21"/>
          <w:lang w:eastAsia="en-AU"/>
        </w:rPr>
        <w:t>.</w:t>
      </w:r>
      <w:r w:rsidRPr="00A7783B">
        <w:rPr>
          <w:rFonts w:eastAsia="Times New Roman" w:cs="Arial"/>
          <w:szCs w:val="21"/>
          <w:lang w:eastAsia="en-AU"/>
        </w:rPr>
        <w:t xml:space="preserve"> </w:t>
      </w:r>
    </w:p>
    <w:p w14:paraId="6C4D51E3"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lang w:eastAsia="en-AU"/>
        </w:rPr>
      </w:pPr>
      <w:r w:rsidRPr="2A547371">
        <w:rPr>
          <w:rFonts w:eastAsia="Times New Roman" w:cs="Arial"/>
          <w:lang w:eastAsia="en-AU"/>
        </w:rPr>
        <w:t>Stretch the skin between a finger and thumb. Insert the bevel to a distance approximately 2 mm into the dermis, with the bevel facing upwards. The bevel should be visible through the transparent epidermis.</w:t>
      </w:r>
    </w:p>
    <w:p w14:paraId="6D4B73B0"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 xml:space="preserve">You should feel considerable resistance as you give the injection. If there is no resistance, the needle may be in the subcutaneous tissues. A </w:t>
      </w:r>
      <w:r w:rsidRPr="008E37FD">
        <w:rPr>
          <w:rFonts w:eastAsia="Times New Roman" w:cs="Arial"/>
          <w:szCs w:val="21"/>
          <w:lang w:eastAsia="en-AU"/>
        </w:rPr>
        <w:t xml:space="preserve">correct </w:t>
      </w:r>
      <w:hyperlink r:id="rId44" w:anchor="intradermal-injection" w:history="1">
        <w:r w:rsidRPr="00E1098E">
          <w:rPr>
            <w:rFonts w:eastAsia="Times New Roman" w:cs="Arial"/>
            <w:szCs w:val="21"/>
            <w:lang w:eastAsia="en-AU"/>
          </w:rPr>
          <w:t>intradermal injection</w:t>
        </w:r>
      </w:hyperlink>
      <w:r>
        <w:rPr>
          <w:rFonts w:eastAsia="Times New Roman" w:cs="Arial"/>
          <w:szCs w:val="21"/>
          <w:lang w:eastAsia="en-AU"/>
        </w:rPr>
        <w:t xml:space="preserve"> </w:t>
      </w:r>
      <w:r w:rsidRPr="00850656">
        <w:rPr>
          <w:rFonts w:eastAsia="Times New Roman" w:cs="Arial"/>
          <w:szCs w:val="21"/>
          <w:lang w:eastAsia="en-AU"/>
        </w:rPr>
        <w:t>should raise a blanched bleb of about 7 mm diameter that looks like orange peel.</w:t>
      </w:r>
    </w:p>
    <w:p w14:paraId="02A21B74" w14:textId="163D2AB1" w:rsidR="0024753D"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If the injection is not intradermal, withdraw the needle and repeat at a new site</w:t>
      </w:r>
      <w:r w:rsidR="00293168">
        <w:rPr>
          <w:rFonts w:eastAsia="Times New Roman" w:cs="Arial"/>
          <w:szCs w:val="21"/>
          <w:lang w:eastAsia="en-AU"/>
        </w:rPr>
        <w:t>.</w:t>
      </w:r>
    </w:p>
    <w:p w14:paraId="556CD497" w14:textId="0B11AA1C" w:rsidR="007A73D6" w:rsidRDefault="007A73D6"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1172CD">
        <w:rPr>
          <w:rFonts w:eastAsia="Times New Roman" w:cs="Arial"/>
          <w:szCs w:val="21"/>
          <w:lang w:eastAsia="en-AU"/>
        </w:rPr>
        <w:t>No more than one additional ID injection should</w:t>
      </w:r>
      <w:r>
        <w:rPr>
          <w:rFonts w:eastAsia="Times New Roman" w:cs="Arial"/>
          <w:szCs w:val="21"/>
          <w:lang w:eastAsia="en-AU"/>
        </w:rPr>
        <w:t xml:space="preserve"> be attempted, by a vaccinator </w:t>
      </w:r>
      <w:r w:rsidR="002129AF">
        <w:rPr>
          <w:rFonts w:eastAsia="Times New Roman" w:cs="Arial"/>
          <w:szCs w:val="21"/>
          <w:lang w:eastAsia="en-AU"/>
        </w:rPr>
        <w:t xml:space="preserve">who is confident in the technique. Alternatively give 0.5mL </w:t>
      </w:r>
      <w:r w:rsidR="00A911B2">
        <w:rPr>
          <w:rFonts w:eastAsia="Times New Roman" w:cs="Arial"/>
          <w:szCs w:val="21"/>
          <w:lang w:eastAsia="en-AU"/>
        </w:rPr>
        <w:t xml:space="preserve">dose subcutaneously (withdrawn from a new vial). </w:t>
      </w:r>
    </w:p>
    <w:p w14:paraId="2003F601" w14:textId="3BDF3BDA" w:rsidR="0024753D" w:rsidRDefault="0024753D" w:rsidP="0024753D">
      <w:pPr>
        <w:rPr>
          <w:rFonts w:cs="Arial"/>
          <w:color w:val="000000"/>
          <w:szCs w:val="21"/>
          <w:shd w:val="clear" w:color="auto" w:fill="FFFFFF"/>
        </w:rPr>
      </w:pPr>
      <w:r w:rsidRPr="00BD4AA3">
        <w:rPr>
          <w:rFonts w:cs="Arial"/>
          <w:color w:val="000000"/>
          <w:szCs w:val="21"/>
          <w:shd w:val="clear" w:color="auto" w:fill="FFFFFF"/>
        </w:rPr>
        <w:t xml:space="preserve">A person </w:t>
      </w:r>
      <w:r w:rsidRPr="000C0551">
        <w:rPr>
          <w:rFonts w:cs="Arial"/>
          <w:color w:val="000000"/>
          <w:szCs w:val="21"/>
          <w:shd w:val="clear" w:color="auto" w:fill="FFFFFF"/>
        </w:rPr>
        <w:t xml:space="preserve">who presents for their second </w:t>
      </w:r>
      <w:bookmarkStart w:id="161" w:name="_Hlk157686335"/>
      <w:r w:rsidRPr="000C0551">
        <w:rPr>
          <w:rFonts w:cs="Arial"/>
          <w:color w:val="000000"/>
          <w:szCs w:val="21"/>
          <w:shd w:val="clear" w:color="auto" w:fill="FFFFFF"/>
        </w:rPr>
        <w:t>JYNNEOS</w:t>
      </w:r>
      <w:r w:rsidRPr="008D4BAC">
        <w:rPr>
          <w:rFonts w:cs="Arial"/>
          <w:color w:val="2A2736"/>
          <w:vertAlign w:val="superscript"/>
          <w:lang w:eastAsia="en-AU"/>
        </w:rPr>
        <w:t>®</w:t>
      </w:r>
      <w:r w:rsidRPr="000C0551">
        <w:rPr>
          <w:rFonts w:cs="Arial"/>
          <w:color w:val="000000"/>
          <w:szCs w:val="21"/>
          <w:shd w:val="clear" w:color="auto" w:fill="FFFFFF"/>
        </w:rPr>
        <w:t xml:space="preserve"> vaccine </w:t>
      </w:r>
      <w:bookmarkEnd w:id="161"/>
      <w:r w:rsidRPr="000C0551">
        <w:rPr>
          <w:rFonts w:cs="Arial"/>
          <w:color w:val="000000"/>
          <w:szCs w:val="21"/>
          <w:shd w:val="clear" w:color="auto" w:fill="FFFFFF"/>
        </w:rPr>
        <w:t>dose who</w:t>
      </w:r>
      <w:r w:rsidRPr="00BD4AA3">
        <w:rPr>
          <w:rFonts w:cs="Arial"/>
          <w:color w:val="000000"/>
          <w:szCs w:val="21"/>
          <w:shd w:val="clear" w:color="auto" w:fill="FFFFFF"/>
        </w:rPr>
        <w:t xml:space="preserve"> is still experiencing erythema or induration at the site of intradermal administration of the first vaccine dose (e.g., the forearm) may have the second dose administered </w:t>
      </w:r>
      <w:r w:rsidR="002B5F0D" w:rsidRPr="002B5F0D">
        <w:rPr>
          <w:rFonts w:cs="Arial"/>
          <w:color w:val="000000"/>
          <w:szCs w:val="21"/>
          <w:shd w:val="clear" w:color="auto" w:fill="FFFFFF"/>
        </w:rPr>
        <w:t>via the subcutaneous route</w:t>
      </w:r>
      <w:r w:rsidR="002B5F0D">
        <w:rPr>
          <w:rFonts w:cs="Arial"/>
          <w:color w:val="000000"/>
          <w:szCs w:val="21"/>
          <w:shd w:val="clear" w:color="auto" w:fill="FFFFFF"/>
        </w:rPr>
        <w:t xml:space="preserve"> or </w:t>
      </w:r>
      <w:r w:rsidRPr="00BD4AA3">
        <w:rPr>
          <w:rFonts w:cs="Arial"/>
          <w:color w:val="000000"/>
          <w:szCs w:val="21"/>
          <w:shd w:val="clear" w:color="auto" w:fill="FFFFFF"/>
        </w:rPr>
        <w:t>intradermally in the contralateral forearm</w:t>
      </w:r>
      <w:r w:rsidR="002B5F0D">
        <w:rPr>
          <w:rFonts w:cs="Arial"/>
          <w:color w:val="000000"/>
          <w:szCs w:val="21"/>
          <w:shd w:val="clear" w:color="auto" w:fill="FFFFFF"/>
        </w:rPr>
        <w:t>.</w:t>
      </w:r>
      <w:r w:rsidR="007D5E8A" w:rsidRPr="002B5F0D">
        <w:rPr>
          <w:rFonts w:cs="Arial"/>
          <w:color w:val="000000"/>
          <w:szCs w:val="21"/>
          <w:shd w:val="clear" w:color="auto" w:fill="FFFFFF"/>
        </w:rPr>
        <w:t xml:space="preserve"> </w:t>
      </w:r>
    </w:p>
    <w:p w14:paraId="53013511" w14:textId="49DBF34C" w:rsidR="0024753D" w:rsidRPr="00D16014" w:rsidRDefault="0024753D" w:rsidP="0024753D">
      <w:pPr>
        <w:rPr>
          <w:rStyle w:val="Hyperlink"/>
          <w:rFonts w:cs="Arial"/>
          <w:color w:val="auto"/>
          <w:szCs w:val="21"/>
          <w:u w:val="none"/>
        </w:rPr>
      </w:pPr>
      <w:r w:rsidRPr="00D16014">
        <w:rPr>
          <w:rFonts w:cs="Arial"/>
          <w:color w:val="000000"/>
          <w:szCs w:val="21"/>
          <w:shd w:val="clear" w:color="auto" w:fill="FFFFFF"/>
        </w:rPr>
        <w:t>Refer</w:t>
      </w:r>
      <w:r w:rsidRPr="00D16014">
        <w:rPr>
          <w:rFonts w:cs="Arial"/>
          <w:szCs w:val="21"/>
          <w:shd w:val="clear" w:color="auto" w:fill="FFFFFF"/>
        </w:rPr>
        <w:t xml:space="preserve"> </w:t>
      </w:r>
      <w:r w:rsidR="004A3AC8" w:rsidRPr="007A39DC">
        <w:rPr>
          <w:rFonts w:cs="Arial"/>
          <w:szCs w:val="21"/>
        </w:rPr>
        <w:t xml:space="preserve"> to the </w:t>
      </w:r>
      <w:hyperlink r:id="rId45" w:history="1">
        <w:r w:rsidR="004A3AC8" w:rsidRPr="007A39DC">
          <w:rPr>
            <w:rStyle w:val="Hyperlink"/>
            <w:rFonts w:cs="Arial"/>
            <w:szCs w:val="21"/>
          </w:rPr>
          <w:t>Centres for Disease Prevention and Control (CDC)</w:t>
        </w:r>
      </w:hyperlink>
      <w:r w:rsidR="004A3AC8" w:rsidRPr="007A39DC">
        <w:rPr>
          <w:rFonts w:cs="Arial"/>
          <w:szCs w:val="21"/>
        </w:rPr>
        <w:t xml:space="preserve"> </w:t>
      </w:r>
      <w:r w:rsidRPr="00D16014">
        <w:rPr>
          <w:rStyle w:val="Hyperlink"/>
          <w:rFonts w:cs="Arial"/>
          <w:color w:val="auto"/>
          <w:szCs w:val="21"/>
          <w:u w:val="none"/>
        </w:rPr>
        <w:t>for a video of the intradermal technique</w:t>
      </w:r>
      <w:r w:rsidR="00A05537">
        <w:rPr>
          <w:rStyle w:val="Hyperlink"/>
          <w:rFonts w:cs="Arial"/>
          <w:color w:val="auto"/>
          <w:szCs w:val="21"/>
          <w:u w:val="none"/>
        </w:rPr>
        <w:t>.</w:t>
      </w:r>
      <w:r w:rsidR="00A05537" w:rsidRPr="00A14449">
        <w:rPr>
          <w:rStyle w:val="Hyperlink"/>
          <w:rFonts w:cs="Arial"/>
          <w:color w:val="auto"/>
          <w:szCs w:val="21"/>
          <w:u w:val="none"/>
        </w:rPr>
        <w:t xml:space="preserve"> &lt;</w:t>
      </w:r>
      <w:r w:rsidR="006D3AEF" w:rsidRPr="007A39DC">
        <w:rPr>
          <w:rFonts w:cs="Arial"/>
          <w:szCs w:val="21"/>
        </w:rPr>
        <w:t>https://www.cdc.gov/poxvirus/monkeypox/interim-considerations/jynneos-vaccine.html</w:t>
      </w:r>
      <w:r w:rsidR="00A14449">
        <w:rPr>
          <w:rStyle w:val="Hyperlink"/>
          <w:rFonts w:cs="Arial"/>
          <w:color w:val="auto"/>
          <w:szCs w:val="21"/>
          <w:u w:val="none"/>
        </w:rPr>
        <w:t>&gt;</w:t>
      </w:r>
    </w:p>
    <w:p w14:paraId="2A9C5618" w14:textId="77777777" w:rsidR="00077DBB" w:rsidRPr="00373BFA" w:rsidRDefault="00077DBB" w:rsidP="00081243">
      <w:pPr>
        <w:pStyle w:val="Heading3"/>
        <w:spacing w:after="240"/>
      </w:pPr>
      <w:r>
        <w:t>Angle of insertion</w:t>
      </w:r>
      <w:r w:rsidRPr="00850656">
        <w:t xml:space="preserve"> – Intradermal</w:t>
      </w:r>
      <w:bookmarkEnd w:id="159"/>
      <w:bookmarkEnd w:id="160"/>
    </w:p>
    <w:p w14:paraId="6A033E1A" w14:textId="77777777" w:rsidR="00077DBB" w:rsidRDefault="00077DBB" w:rsidP="000C0551">
      <w:pPr>
        <w:shd w:val="clear" w:color="auto" w:fill="FFFFFF" w:themeFill="background1"/>
        <w:spacing w:before="240" w:line="288" w:lineRule="auto"/>
        <w:rPr>
          <w:rFonts w:cs="Arial"/>
          <w:color w:val="000000"/>
          <w:shd w:val="clear" w:color="auto" w:fill="FFFFFF"/>
        </w:rPr>
      </w:pPr>
      <w:r w:rsidRPr="7CA344CC">
        <w:rPr>
          <w:rFonts w:cs="Arial"/>
          <w:color w:val="000000"/>
          <w:shd w:val="clear" w:color="auto" w:fill="FFFFFF"/>
        </w:rPr>
        <w:t xml:space="preserve">While pulling the skin taut, position the needle with the bevel facing up and insert the needle at a </w:t>
      </w:r>
      <w:bookmarkStart w:id="162" w:name="_Int_45pTQs3j"/>
      <w:r w:rsidRPr="7CA344CC">
        <w:rPr>
          <w:rFonts w:cs="Arial"/>
          <w:color w:val="000000"/>
          <w:shd w:val="clear" w:color="auto" w:fill="FFFFFF"/>
        </w:rPr>
        <w:t>5</w:t>
      </w:r>
      <w:r w:rsidR="24F08A53" w:rsidRPr="7CA344CC">
        <w:rPr>
          <w:rFonts w:cs="Arial"/>
          <w:color w:val="000000"/>
          <w:shd w:val="clear" w:color="auto" w:fill="FFFFFF"/>
        </w:rPr>
        <w:t>-</w:t>
      </w:r>
      <w:r w:rsidRPr="7CA344CC">
        <w:rPr>
          <w:rFonts w:cs="Arial"/>
          <w:color w:val="000000"/>
          <w:shd w:val="clear" w:color="auto" w:fill="FFFFFF"/>
        </w:rPr>
        <w:t>to</w:t>
      </w:r>
      <w:r w:rsidR="24F08A53" w:rsidRPr="7CA344CC">
        <w:rPr>
          <w:rFonts w:cs="Arial"/>
          <w:color w:val="000000"/>
          <w:shd w:val="clear" w:color="auto" w:fill="FFFFFF"/>
        </w:rPr>
        <w:t>-</w:t>
      </w:r>
      <w:r w:rsidRPr="7CA344CC">
        <w:rPr>
          <w:rFonts w:cs="Arial"/>
          <w:color w:val="000000"/>
          <w:shd w:val="clear" w:color="auto" w:fill="FFFFFF"/>
        </w:rPr>
        <w:t>15</w:t>
      </w:r>
      <w:r w:rsidR="24F08A53" w:rsidRPr="7CA344CC">
        <w:rPr>
          <w:rFonts w:cs="Arial"/>
          <w:color w:val="000000"/>
          <w:shd w:val="clear" w:color="auto" w:fill="FFFFFF"/>
        </w:rPr>
        <w:t>-</w:t>
      </w:r>
      <w:r w:rsidRPr="7CA344CC">
        <w:rPr>
          <w:rFonts w:cs="Arial"/>
          <w:color w:val="000000"/>
          <w:shd w:val="clear" w:color="auto" w:fill="FFFFFF"/>
        </w:rPr>
        <w:t>degree</w:t>
      </w:r>
      <w:bookmarkEnd w:id="162"/>
      <w:r w:rsidRPr="7CA344CC">
        <w:rPr>
          <w:rFonts w:cs="Arial"/>
          <w:color w:val="000000"/>
          <w:shd w:val="clear" w:color="auto" w:fill="FFFFFF"/>
        </w:rPr>
        <w:t xml:space="preserve"> angle into the dermis. </w:t>
      </w:r>
    </w:p>
    <w:p w14:paraId="704D0DDA" w14:textId="12AFFAC5" w:rsidR="00781F2A" w:rsidRPr="00D832A9" w:rsidRDefault="005126DA" w:rsidP="000C0551">
      <w:pPr>
        <w:shd w:val="clear" w:color="auto" w:fill="FFFFFF" w:themeFill="background1"/>
        <w:spacing w:before="240" w:line="288" w:lineRule="auto"/>
        <w:rPr>
          <w:rFonts w:cs="Arial"/>
          <w:color w:val="000000"/>
          <w:sz w:val="20"/>
          <w:shd w:val="clear" w:color="auto" w:fill="FFFFFF"/>
        </w:rPr>
      </w:pPr>
      <w:r>
        <w:rPr>
          <w:rFonts w:cs="Arial"/>
          <w:b/>
          <w:bCs/>
          <w:color w:val="000000"/>
          <w:sz w:val="20"/>
          <w:shd w:val="clear" w:color="auto" w:fill="FFFFFF"/>
        </w:rPr>
        <w:t>Image -</w:t>
      </w:r>
      <w:r w:rsidR="00781F2A" w:rsidRPr="00544E55">
        <w:rPr>
          <w:rFonts w:cs="Arial"/>
          <w:b/>
          <w:bCs/>
          <w:color w:val="000000"/>
          <w:sz w:val="20"/>
          <w:shd w:val="clear" w:color="auto" w:fill="FFFFFF"/>
        </w:rPr>
        <w:t>Correct</w:t>
      </w:r>
      <w:r w:rsidR="00781F2A" w:rsidRPr="00D832A9">
        <w:rPr>
          <w:rFonts w:cs="Arial"/>
          <w:color w:val="000000"/>
          <w:sz w:val="20"/>
          <w:shd w:val="clear" w:color="auto" w:fill="FFFFFF"/>
        </w:rPr>
        <w:t xml:space="preserve"> angle o</w:t>
      </w:r>
      <w:r w:rsidR="007047AD" w:rsidRPr="00D832A9">
        <w:rPr>
          <w:rFonts w:cs="Arial"/>
          <w:color w:val="000000"/>
          <w:sz w:val="20"/>
          <w:shd w:val="clear" w:color="auto" w:fill="FFFFFF"/>
        </w:rPr>
        <w:t>f</w:t>
      </w:r>
      <w:r w:rsidR="00781F2A" w:rsidRPr="00D832A9">
        <w:rPr>
          <w:rFonts w:cs="Arial"/>
          <w:color w:val="000000"/>
          <w:sz w:val="20"/>
          <w:shd w:val="clear" w:color="auto" w:fill="FFFFFF"/>
        </w:rPr>
        <w:t xml:space="preserve"> insertion</w:t>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Pr>
          <w:rFonts w:cs="Arial"/>
          <w:b/>
          <w:bCs/>
          <w:color w:val="000000"/>
          <w:sz w:val="20"/>
          <w:shd w:val="clear" w:color="auto" w:fill="FFFFFF"/>
        </w:rPr>
        <w:t xml:space="preserve">Image </w:t>
      </w:r>
      <w:r w:rsidR="00B96D08">
        <w:rPr>
          <w:rFonts w:cs="Arial"/>
          <w:color w:val="000000"/>
          <w:sz w:val="20"/>
          <w:shd w:val="clear" w:color="auto" w:fill="FFFFFF"/>
        </w:rPr>
        <w:t>–</w:t>
      </w:r>
      <w:r w:rsidR="0020614A" w:rsidRPr="00D832A9">
        <w:rPr>
          <w:rFonts w:cs="Arial"/>
          <w:color w:val="000000"/>
          <w:sz w:val="20"/>
          <w:shd w:val="clear" w:color="auto" w:fill="FFFFFF"/>
        </w:rPr>
        <w:t xml:space="preserve"> </w:t>
      </w:r>
      <w:r w:rsidR="00781F2A" w:rsidRPr="00544E55">
        <w:rPr>
          <w:rFonts w:cs="Arial"/>
          <w:b/>
          <w:bCs/>
          <w:color w:val="000000"/>
          <w:sz w:val="20"/>
          <w:shd w:val="clear" w:color="auto" w:fill="FFFFFF"/>
        </w:rPr>
        <w:t>Incorrect</w:t>
      </w:r>
      <w:r w:rsidR="00781F2A" w:rsidRPr="00D832A9">
        <w:rPr>
          <w:rFonts w:cs="Arial"/>
          <w:color w:val="000000"/>
          <w:sz w:val="20"/>
          <w:shd w:val="clear" w:color="auto" w:fill="FFFFFF"/>
        </w:rPr>
        <w:t xml:space="preserve"> angle</w:t>
      </w:r>
      <w:r w:rsidRPr="00D832A9">
        <w:rPr>
          <w:rFonts w:cs="Arial"/>
          <w:color w:val="000000"/>
          <w:sz w:val="20"/>
          <w:shd w:val="clear" w:color="auto" w:fill="FFFFFF"/>
        </w:rPr>
        <w:t xml:space="preserve"> of insertion</w:t>
      </w:r>
      <w:r w:rsidR="00CD3461">
        <w:rPr>
          <w:rFonts w:cs="Arial"/>
          <w:color w:val="000000"/>
          <w:sz w:val="20"/>
          <w:shd w:val="clear" w:color="auto" w:fill="FFFFFF"/>
        </w:rPr>
        <w:t xml:space="preserve"> for ID</w:t>
      </w:r>
    </w:p>
    <w:p w14:paraId="1A2A5510" w14:textId="7ACA0EE9" w:rsidR="002C24BE" w:rsidRDefault="00781F2A" w:rsidP="00781F2A">
      <w:pPr>
        <w:shd w:val="clear" w:color="auto" w:fill="FFFFFF" w:themeFill="background1"/>
        <w:spacing w:before="240" w:line="288" w:lineRule="auto"/>
        <w:rPr>
          <w:rFonts w:ascii="Arial Narrow" w:eastAsia="Arial Narrow" w:hAnsi="Arial Narrow" w:cs="Arial Narrow"/>
          <w:noProof/>
          <w:sz w:val="22"/>
          <w:szCs w:val="22"/>
          <w:lang w:val="en-US"/>
        </w:rPr>
      </w:pPr>
      <w:r>
        <w:rPr>
          <w:rFonts w:ascii="Arial Narrow" w:eastAsia="Arial Narrow" w:hAnsi="Arial Narrow" w:cs="Arial Narrow"/>
          <w:noProof/>
          <w:sz w:val="22"/>
          <w:szCs w:val="22"/>
          <w:lang w:val="en-US"/>
        </w:rPr>
        <w:drawing>
          <wp:inline distT="0" distB="0" distL="0" distR="0" wp14:anchorId="2BF386B6" wp14:editId="32454786">
            <wp:extent cx="2562225" cy="1819275"/>
            <wp:effectExtent l="0" t="0" r="9525" b="9525"/>
            <wp:docPr id="8" name="Picture 8" descr="Correct angle for intradermal insertion of needle (5-15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rect angle for intradermal insertion of needle (5-15 degrees) "/>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r>
        <w:rPr>
          <w:rFonts w:ascii="Arial Narrow" w:eastAsia="Arial Narrow" w:hAnsi="Arial Narrow" w:cs="Arial Narrow"/>
          <w:noProof/>
          <w:sz w:val="22"/>
          <w:szCs w:val="22"/>
          <w:lang w:val="en-US"/>
        </w:rPr>
        <w:t xml:space="preserve"> </w:t>
      </w:r>
      <w:r w:rsidR="00092483">
        <w:rPr>
          <w:rFonts w:ascii="Arial Narrow" w:eastAsia="Arial Narrow" w:hAnsi="Arial Narrow" w:cs="Arial Narrow"/>
          <w:noProof/>
          <w:sz w:val="22"/>
          <w:szCs w:val="22"/>
          <w:lang w:val="en-US"/>
        </w:rPr>
        <w:drawing>
          <wp:inline distT="0" distB="0" distL="0" distR="0" wp14:anchorId="6BC36E7B" wp14:editId="665CDC87">
            <wp:extent cx="2562225" cy="2305050"/>
            <wp:effectExtent l="0" t="0" r="9525" b="0"/>
            <wp:docPr id="9" name="Picture 9" descr="Incorrect angel of insertion of needle (45 degrees into subcutaneous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correct angel of insertion of needle (45 degrees into subcutaneous tissue)"/>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2562225" cy="2305050"/>
                    </a:xfrm>
                    <a:prstGeom prst="rect">
                      <a:avLst/>
                    </a:prstGeom>
                    <a:noFill/>
                    <a:ln>
                      <a:noFill/>
                    </a:ln>
                  </pic:spPr>
                </pic:pic>
              </a:graphicData>
            </a:graphic>
          </wp:inline>
        </w:drawing>
      </w:r>
    </w:p>
    <w:p w14:paraId="3F815C99" w14:textId="3EF3024D" w:rsidR="004455A9" w:rsidRPr="00426BEA" w:rsidRDefault="00B578FD" w:rsidP="00781F2A">
      <w:pPr>
        <w:shd w:val="clear" w:color="auto" w:fill="FFFFFF" w:themeFill="background1"/>
        <w:spacing w:before="240" w:line="288" w:lineRule="auto"/>
        <w:rPr>
          <w:rStyle w:val="Hyperlink"/>
          <w:rFonts w:cs="Arial"/>
          <w:sz w:val="18"/>
          <w:szCs w:val="18"/>
        </w:rPr>
      </w:pPr>
      <w:r w:rsidRPr="00426BEA">
        <w:rPr>
          <w:rStyle w:val="normaltextrun"/>
          <w:rFonts w:cs="Arial"/>
          <w:color w:val="313131"/>
          <w:sz w:val="18"/>
          <w:szCs w:val="18"/>
        </w:rPr>
        <w:t xml:space="preserve">Images – </w:t>
      </w:r>
      <w:r w:rsidR="00E9076F" w:rsidRPr="00426BEA">
        <w:rPr>
          <w:rFonts w:cs="Arial"/>
          <w:sz w:val="18"/>
          <w:szCs w:val="18"/>
        </w:rPr>
        <w:fldChar w:fldCharType="begin"/>
      </w:r>
      <w:r w:rsidR="00E9076F" w:rsidRPr="00426BEA">
        <w:rPr>
          <w:rFonts w:cs="Arial"/>
          <w:sz w:val="18"/>
          <w:szCs w:val="18"/>
        </w:rPr>
        <w:instrText xml:space="preserve"> HYPERLINK "https://nursekey.com/11-parenteral-administration-intradermal-subcutaneous-and-intramuscular-routes/" </w:instrText>
      </w:r>
      <w:r w:rsidR="00E9076F" w:rsidRPr="00426BEA">
        <w:rPr>
          <w:rFonts w:cs="Arial"/>
          <w:sz w:val="18"/>
          <w:szCs w:val="18"/>
        </w:rPr>
      </w:r>
      <w:r w:rsidR="00E9076F" w:rsidRPr="00426BEA">
        <w:rPr>
          <w:rFonts w:cs="Arial"/>
          <w:sz w:val="18"/>
          <w:szCs w:val="18"/>
        </w:rPr>
        <w:fldChar w:fldCharType="separate"/>
      </w:r>
      <w:r w:rsidR="0095379E" w:rsidRPr="00426BEA">
        <w:rPr>
          <w:rStyle w:val="Hyperlink"/>
          <w:rFonts w:cs="Arial"/>
          <w:sz w:val="18"/>
          <w:szCs w:val="18"/>
        </w:rPr>
        <w:t>Nurse Key Parenteral-administration-intradermal-subcutaneous-and-intramuscular-routes/</w:t>
      </w:r>
    </w:p>
    <w:bookmarkStart w:id="163" w:name="_Toc112154599"/>
    <w:bookmarkStart w:id="164" w:name="_Toc112315660"/>
    <w:p w14:paraId="66DAC1AE" w14:textId="16B129DC" w:rsidR="00F02888" w:rsidRPr="00035E03" w:rsidRDefault="00E9076F" w:rsidP="00F54688">
      <w:pPr>
        <w:pStyle w:val="Heading4"/>
        <w:spacing w:before="120" w:after="240"/>
      </w:pPr>
      <w:r w:rsidRPr="00426BEA">
        <w:rPr>
          <w:rFonts w:eastAsia="Times New Roman"/>
          <w:color w:val="auto"/>
          <w:sz w:val="18"/>
          <w:szCs w:val="18"/>
        </w:rPr>
        <w:fldChar w:fldCharType="end"/>
      </w:r>
      <w:bookmarkEnd w:id="163"/>
      <w:bookmarkEnd w:id="164"/>
      <w:r w:rsidR="00F02888" w:rsidRPr="00035E03">
        <w:t>Table 4 Method of intradermal injection</w:t>
      </w:r>
    </w:p>
    <w:tbl>
      <w:tblPr>
        <w:tblStyle w:val="TableGrid"/>
        <w:tblW w:w="8622" w:type="dxa"/>
        <w:tblInd w:w="-122" w:type="dxa"/>
        <w:tblLook w:val="04A0" w:firstRow="1" w:lastRow="0" w:firstColumn="1" w:lastColumn="0" w:noHBand="0" w:noVBand="1"/>
      </w:tblPr>
      <w:tblGrid>
        <w:gridCol w:w="4635"/>
        <w:gridCol w:w="3987"/>
      </w:tblGrid>
      <w:tr w:rsidR="00077DBB" w14:paraId="35FFC4B6" w14:textId="77777777" w:rsidTr="00E34C05">
        <w:trPr>
          <w:trHeight w:val="2312"/>
        </w:trPr>
        <w:tc>
          <w:tcPr>
            <w:tcW w:w="4635" w:type="dxa"/>
          </w:tcPr>
          <w:p w14:paraId="441F717C" w14:textId="77777777" w:rsidR="00077DBB" w:rsidRPr="001172CD" w:rsidRDefault="00077DBB" w:rsidP="008F5893">
            <w:pPr>
              <w:shd w:val="clear" w:color="auto" w:fill="FFFFFF" w:themeFill="background1"/>
              <w:spacing w:before="120" w:line="288" w:lineRule="auto"/>
              <w:rPr>
                <w:rFonts w:cs="Arial"/>
                <w:szCs w:val="21"/>
              </w:rPr>
            </w:pPr>
            <w:r w:rsidRPr="001172CD">
              <w:rPr>
                <w:rFonts w:cs="Arial"/>
                <w:szCs w:val="21"/>
              </w:rPr>
              <w:t>Ensure adequate lighting in vaccination area and that patient has a comfortable area to rest forearm for the intradermal vaccination procedure.</w:t>
            </w:r>
          </w:p>
          <w:p w14:paraId="225B0185" w14:textId="498B6CAD"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 xml:space="preserve">Stretch the skin between a finger and thumb on the forearm. </w:t>
            </w:r>
          </w:p>
        </w:tc>
        <w:tc>
          <w:tcPr>
            <w:tcW w:w="3987" w:type="dxa"/>
          </w:tcPr>
          <w:p w14:paraId="1855FE0C" w14:textId="733035F7" w:rsidR="00077DBB" w:rsidRDefault="00077DBB" w:rsidP="00C8575F">
            <w:pPr>
              <w:pStyle w:val="NormalWeb"/>
              <w:rPr>
                <w:rFonts w:ascii="Segoe UI" w:hAnsi="Segoe UI" w:cs="Segoe UI"/>
                <w:color w:val="313131"/>
                <w:highlight w:val="yellow"/>
              </w:rPr>
            </w:pPr>
            <w:r>
              <w:rPr>
                <w:noProof/>
              </w:rPr>
              <w:drawing>
                <wp:inline distT="0" distB="0" distL="0" distR="0" wp14:anchorId="2390ECEC" wp14:editId="24D69049">
                  <wp:extent cx="2276475" cy="1400175"/>
                  <wp:effectExtent l="0" t="0" r="9525" b="9525"/>
                  <wp:docPr id="2083948388" name="Picture 2083948388" descr="Steps in Intradermal injection&#10;Stretch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8" name="Picture 2" descr="Steps in Intradermal injection&#10;Stretch the skin"/>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2297491" cy="1413101"/>
                          </a:xfrm>
                          <a:prstGeom prst="rect">
                            <a:avLst/>
                          </a:prstGeom>
                        </pic:spPr>
                      </pic:pic>
                    </a:graphicData>
                  </a:graphic>
                </wp:inline>
              </w:drawing>
            </w:r>
          </w:p>
        </w:tc>
      </w:tr>
      <w:tr w:rsidR="00077DBB" w14:paraId="71114DDF" w14:textId="77777777" w:rsidTr="00E34C05">
        <w:tc>
          <w:tcPr>
            <w:tcW w:w="4635" w:type="dxa"/>
          </w:tcPr>
          <w:p w14:paraId="633FAB89" w14:textId="2C56DDC2"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Insert the bevel into the dermis, bevel uppermost, to a distance of about 2 mm. The bevel should be visible through the transparent epidermis. The angle of the needle insertion should be 5-15</w:t>
            </w:r>
            <w:r w:rsidRPr="001172CD">
              <w:rPr>
                <w:rFonts w:cs="Arial"/>
                <w:szCs w:val="21"/>
                <w:shd w:val="clear" w:color="auto" w:fill="FFFFFF"/>
              </w:rPr>
              <w:t>° to skin plane</w:t>
            </w:r>
          </w:p>
        </w:tc>
        <w:tc>
          <w:tcPr>
            <w:tcW w:w="3987" w:type="dxa"/>
          </w:tcPr>
          <w:p w14:paraId="1CA495BE"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1E1BF686" wp14:editId="0CB5A5B6">
                  <wp:extent cx="2276475" cy="1247507"/>
                  <wp:effectExtent l="0" t="0" r="0" b="0"/>
                  <wp:docPr id="2083948389" name="Picture 2083948389" descr="Steps in Intradermal injection&#10;Insert the bevel into the dermis, bevel uppermost, to a distance of about 2 mm. Angle of the needle insertion should be 5-15° to ski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9" name="Picture 3" descr="Steps in Intradermal injection&#10;Insert the bevel into the dermis, bevel uppermost, to a distance of about 2 mm. Angle of the needle insertion should be 5-15° to skin plane"/>
                          <pic:cNvPicPr/>
                        </pic:nvPicPr>
                        <pic:blipFill>
                          <a:blip r:embed="rId49"/>
                          <a:stretch>
                            <a:fillRect/>
                          </a:stretch>
                        </pic:blipFill>
                        <pic:spPr>
                          <a:xfrm>
                            <a:off x="0" y="0"/>
                            <a:ext cx="2333422" cy="1278714"/>
                          </a:xfrm>
                          <a:prstGeom prst="rect">
                            <a:avLst/>
                          </a:prstGeom>
                        </pic:spPr>
                      </pic:pic>
                    </a:graphicData>
                  </a:graphic>
                </wp:inline>
              </w:drawing>
            </w:r>
          </w:p>
        </w:tc>
      </w:tr>
      <w:tr w:rsidR="00077DBB" w14:paraId="01102FFD" w14:textId="77777777" w:rsidTr="00E34C05">
        <w:trPr>
          <w:trHeight w:val="1976"/>
        </w:trPr>
        <w:tc>
          <w:tcPr>
            <w:tcW w:w="4635" w:type="dxa"/>
          </w:tcPr>
          <w:p w14:paraId="3FE55887" w14:textId="79D0AF61" w:rsidR="00077DBB" w:rsidRPr="001172CD" w:rsidRDefault="00077DBB" w:rsidP="008F5893">
            <w:pPr>
              <w:pStyle w:val="NormalWeb"/>
              <w:spacing w:before="120" w:beforeAutospacing="0" w:after="120" w:afterAutospacing="0" w:line="288" w:lineRule="auto"/>
              <w:rPr>
                <w:rFonts w:ascii="Arial" w:eastAsia="Times New Roman" w:hAnsi="Arial" w:cs="Arial"/>
                <w:sz w:val="21"/>
                <w:szCs w:val="21"/>
                <w:lang w:eastAsia="en-US"/>
              </w:rPr>
            </w:pPr>
            <w:r w:rsidRPr="001172CD">
              <w:rPr>
                <w:rFonts w:ascii="Arial" w:eastAsia="Times New Roman" w:hAnsi="Arial" w:cs="Arial"/>
                <w:sz w:val="21"/>
                <w:szCs w:val="21"/>
                <w:lang w:eastAsia="en-US"/>
              </w:rPr>
              <w:t>You should feel considerable resistance as you give the injection. If there is no resistance, the needle may be in the subcutaneous tissues. A correct</w:t>
            </w:r>
            <w:r w:rsidR="006D5826" w:rsidRPr="001172CD">
              <w:rPr>
                <w:rFonts w:ascii="Arial" w:eastAsia="Times New Roman" w:hAnsi="Arial" w:cs="Arial"/>
                <w:sz w:val="21"/>
                <w:szCs w:val="21"/>
                <w:lang w:eastAsia="en-US"/>
              </w:rPr>
              <w:t xml:space="preserve"> </w:t>
            </w:r>
            <w:hyperlink r:id="rId50" w:anchor="intradermal-injection">
              <w:r w:rsidRPr="001172CD">
                <w:rPr>
                  <w:rFonts w:ascii="Arial" w:eastAsia="Times New Roman" w:hAnsi="Arial" w:cs="Arial"/>
                  <w:sz w:val="21"/>
                  <w:szCs w:val="21"/>
                  <w:lang w:eastAsia="en-US"/>
                </w:rPr>
                <w:t>intradermal injection</w:t>
              </w:r>
            </w:hyperlink>
            <w:r w:rsidR="006D5826" w:rsidRPr="001172CD">
              <w:rPr>
                <w:rFonts w:ascii="Arial" w:eastAsia="Times New Roman" w:hAnsi="Arial" w:cs="Arial"/>
                <w:sz w:val="21"/>
                <w:szCs w:val="21"/>
                <w:lang w:eastAsia="en-US"/>
              </w:rPr>
              <w:t xml:space="preserve"> </w:t>
            </w:r>
            <w:r w:rsidRPr="001172CD">
              <w:rPr>
                <w:rFonts w:ascii="Arial" w:eastAsia="Times New Roman" w:hAnsi="Arial" w:cs="Arial"/>
                <w:sz w:val="21"/>
                <w:szCs w:val="21"/>
                <w:lang w:eastAsia="en-US"/>
              </w:rPr>
              <w:t>should raise a blanched bleb of about 7 mm diameter that looks like orange peel.</w:t>
            </w:r>
          </w:p>
        </w:tc>
        <w:tc>
          <w:tcPr>
            <w:tcW w:w="3987" w:type="dxa"/>
          </w:tcPr>
          <w:p w14:paraId="5C81F7E7" w14:textId="77777777" w:rsidR="00077DBB" w:rsidRDefault="00077DBB" w:rsidP="00C8575F">
            <w:pPr>
              <w:pStyle w:val="NormalWeb"/>
              <w:rPr>
                <w:rFonts w:ascii="Segoe UI" w:hAnsi="Segoe UI" w:cs="Segoe UI"/>
                <w:color w:val="313131"/>
                <w:highlight w:val="yellow"/>
              </w:rPr>
            </w:pPr>
            <w:r>
              <w:rPr>
                <w:rFonts w:ascii="Segoe UI" w:hAnsi="Segoe UI" w:cs="Segoe UI"/>
                <w:noProof/>
                <w:color w:val="313131"/>
              </w:rPr>
              <w:drawing>
                <wp:inline distT="0" distB="0" distL="0" distR="0" wp14:anchorId="2776F01C" wp14:editId="5822DCB3">
                  <wp:extent cx="2266950" cy="1285875"/>
                  <wp:effectExtent l="0" t="0" r="0" b="9525"/>
                  <wp:docPr id="2083948390" name="Picture 2083948390" descr="Steps in Intradermal injection&#10;A correct intradermal injection should raise a blanched bleb of about 7 mm diameter that looks like orange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90" name="Picture 4" descr="Steps in Intradermal injection&#10;A correct intradermal injection should raise a blanched bleb of about 7 mm diameter that looks like orange peel"/>
                          <pic:cNvPicPr/>
                        </pic:nvPicPr>
                        <pic:blipFill>
                          <a:blip r:embed="rId51"/>
                          <a:stretch>
                            <a:fillRect/>
                          </a:stretch>
                        </pic:blipFill>
                        <pic:spPr>
                          <a:xfrm>
                            <a:off x="0" y="0"/>
                            <a:ext cx="2301325" cy="1305373"/>
                          </a:xfrm>
                          <a:prstGeom prst="rect">
                            <a:avLst/>
                          </a:prstGeom>
                        </pic:spPr>
                      </pic:pic>
                    </a:graphicData>
                  </a:graphic>
                </wp:inline>
              </w:drawing>
            </w:r>
          </w:p>
        </w:tc>
      </w:tr>
      <w:tr w:rsidR="00077DBB" w14:paraId="71CB0869" w14:textId="77777777" w:rsidTr="00E34C05">
        <w:trPr>
          <w:trHeight w:val="2108"/>
        </w:trPr>
        <w:tc>
          <w:tcPr>
            <w:tcW w:w="4635" w:type="dxa"/>
          </w:tcPr>
          <w:p w14:paraId="6BF37AB0" w14:textId="77777777" w:rsidR="00027A28" w:rsidRDefault="00077DBB" w:rsidP="00027A28">
            <w:pPr>
              <w:shd w:val="clear" w:color="auto" w:fill="FFFFFF"/>
              <w:spacing w:before="120" w:line="288" w:lineRule="auto"/>
              <w:rPr>
                <w:rFonts w:cs="Arial"/>
                <w:szCs w:val="21"/>
              </w:rPr>
            </w:pPr>
            <w:r w:rsidRPr="001172CD">
              <w:rPr>
                <w:rFonts w:cs="Arial"/>
                <w:szCs w:val="21"/>
              </w:rPr>
              <w:t>If the injection is not intradermal, withdraw and replace the needle, and repeat at a new site</w:t>
            </w:r>
            <w:r w:rsidR="0035532D" w:rsidRPr="001172CD">
              <w:rPr>
                <w:rFonts w:cs="Arial"/>
                <w:szCs w:val="21"/>
              </w:rPr>
              <w:t xml:space="preserve">. </w:t>
            </w:r>
          </w:p>
          <w:p w14:paraId="77043D59" w14:textId="1FBE8B52" w:rsidR="00077DBB" w:rsidRPr="001172CD" w:rsidRDefault="001172CD" w:rsidP="00027A28">
            <w:pPr>
              <w:shd w:val="clear" w:color="auto" w:fill="FFFFFF"/>
              <w:spacing w:before="120" w:line="288" w:lineRule="auto"/>
              <w:rPr>
                <w:rFonts w:cs="Arial"/>
                <w:szCs w:val="21"/>
                <w:highlight w:val="yellow"/>
              </w:rPr>
            </w:pPr>
            <w:r w:rsidRPr="001172CD">
              <w:rPr>
                <w:rFonts w:cs="Arial"/>
                <w:szCs w:val="21"/>
                <w:lang w:eastAsia="en-AU"/>
              </w:rPr>
              <w:t xml:space="preserve">No more than one additional ID injection should be attempted, by a vaccinator who is confident in the technique. </w:t>
            </w:r>
          </w:p>
        </w:tc>
        <w:tc>
          <w:tcPr>
            <w:tcW w:w="3987" w:type="dxa"/>
          </w:tcPr>
          <w:p w14:paraId="78B278A3"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4F74607B" wp14:editId="149149D8">
                  <wp:extent cx="2295525" cy="1276350"/>
                  <wp:effectExtent l="0" t="0" r="9525" b="0"/>
                  <wp:docPr id="1980384922" name="Picture 1980384922" descr="Steps in Intradermal injection&#10;If the injection is not intradermal, withdraw and replace the needle, and repeat at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4922" name="Picture 5" descr="Steps in Intradermal injection&#10;If the injection is not intradermal, withdraw and replace the needle, and repeat at a new site"/>
                          <pic:cNvPicPr/>
                        </pic:nvPicPr>
                        <pic:blipFill>
                          <a:blip r:embed="rId52"/>
                          <a:stretch>
                            <a:fillRect/>
                          </a:stretch>
                        </pic:blipFill>
                        <pic:spPr>
                          <a:xfrm>
                            <a:off x="0" y="0"/>
                            <a:ext cx="2298144" cy="1277806"/>
                          </a:xfrm>
                          <a:prstGeom prst="rect">
                            <a:avLst/>
                          </a:prstGeom>
                        </pic:spPr>
                      </pic:pic>
                    </a:graphicData>
                  </a:graphic>
                </wp:inline>
              </w:drawing>
            </w:r>
          </w:p>
        </w:tc>
      </w:tr>
    </w:tbl>
    <w:p w14:paraId="54D92D85" w14:textId="69CD990A" w:rsidR="00D16014" w:rsidRPr="001A39E7" w:rsidRDefault="00D16014" w:rsidP="00D16014">
      <w:pPr>
        <w:rPr>
          <w:rStyle w:val="Hyperlink"/>
          <w:rFonts w:eastAsia="Arial" w:cs="Arial"/>
          <w:sz w:val="20"/>
          <w:lang w:eastAsia="en-AU"/>
        </w:rPr>
      </w:pPr>
      <w:bookmarkStart w:id="165" w:name="_Less_than_14"/>
      <w:bookmarkStart w:id="166" w:name="_Toc71895626"/>
      <w:bookmarkStart w:id="167" w:name="_Toc73627099"/>
      <w:bookmarkStart w:id="168" w:name="_Toc2085865276"/>
      <w:bookmarkStart w:id="169" w:name="_Toc112154607"/>
      <w:bookmarkStart w:id="170" w:name="_Toc112315667"/>
      <w:bookmarkEnd w:id="165"/>
      <w:r w:rsidRPr="001A39E7">
        <w:rPr>
          <w:rFonts w:eastAsia="Arial" w:cs="Arial"/>
          <w:sz w:val="20"/>
          <w:lang w:eastAsia="en-AU"/>
        </w:rPr>
        <w:t xml:space="preserve">Images – </w:t>
      </w:r>
      <w:r w:rsidR="00736B76" w:rsidRPr="001A39E7">
        <w:rPr>
          <w:rFonts w:eastAsia="Arial" w:cs="Arial"/>
          <w:sz w:val="20"/>
          <w:lang w:eastAsia="en-AU"/>
        </w:rPr>
        <w:t>CDC How to administer JYNNEOS vaccine intradermally</w:t>
      </w:r>
      <w:r w:rsidR="00736B76" w:rsidRPr="001A39E7">
        <w:rPr>
          <w:rStyle w:val="FootnoteReference"/>
          <w:rFonts w:eastAsia="Arial" w:cs="Arial"/>
          <w:sz w:val="20"/>
          <w:lang w:eastAsia="en-AU"/>
        </w:rPr>
        <w:footnoteReference w:id="31"/>
      </w:r>
    </w:p>
    <w:p w14:paraId="63CDAAA2" w14:textId="0BE875E4" w:rsidR="0026671E" w:rsidRDefault="0026671E" w:rsidP="00A6687C">
      <w:pPr>
        <w:pStyle w:val="Heading2"/>
      </w:pPr>
      <w:bookmarkStart w:id="171" w:name="_Toc176344994"/>
      <w:r>
        <w:t>After vaccination</w:t>
      </w:r>
      <w:bookmarkEnd w:id="171"/>
      <w:r>
        <w:t xml:space="preserve"> </w:t>
      </w:r>
    </w:p>
    <w:p w14:paraId="68E8CBDF" w14:textId="769B0418" w:rsidR="0026671E" w:rsidRPr="006A0702" w:rsidRDefault="0026671E" w:rsidP="006A0702">
      <w:pPr>
        <w:shd w:val="clear" w:color="auto" w:fill="FFFFFF" w:themeFill="background1"/>
        <w:spacing w:before="100" w:beforeAutospacing="1" w:after="60" w:line="288" w:lineRule="auto"/>
        <w:rPr>
          <w:rFonts w:cs="Arial"/>
          <w:lang w:eastAsia="en-AU"/>
        </w:rPr>
      </w:pPr>
      <w:r w:rsidRPr="006A0702">
        <w:rPr>
          <w:rFonts w:cs="Arial"/>
          <w:lang w:eastAsia="en-AU"/>
        </w:rPr>
        <w:t>Observe patient for 15 minutes after vaccination or 30 minutes if they have a history of anaphylaxis to gentamycin, ciprofloxacin, chicken or egg protein</w:t>
      </w:r>
      <w:r w:rsidR="00684AF6">
        <w:rPr>
          <w:rStyle w:val="FootnoteReference"/>
          <w:rFonts w:cs="Arial"/>
          <w:lang w:eastAsia="en-AU"/>
        </w:rPr>
        <w:footnoteReference w:id="32"/>
      </w:r>
      <w:r w:rsidRPr="006A0702">
        <w:rPr>
          <w:rFonts w:cs="Arial"/>
          <w:lang w:eastAsia="en-AU"/>
        </w:rPr>
        <w:t xml:space="preserve">. </w:t>
      </w:r>
    </w:p>
    <w:p w14:paraId="7C239F2A" w14:textId="6E700EFC" w:rsidR="00524372" w:rsidRDefault="001E3071" w:rsidP="001E3071">
      <w:pPr>
        <w:spacing w:after="0" w:line="288" w:lineRule="auto"/>
        <w:rPr>
          <w:rFonts w:cs="Arial"/>
          <w:color w:val="000000" w:themeColor="text1"/>
          <w:shd w:val="clear" w:color="auto" w:fill="FFFFFF"/>
        </w:rPr>
      </w:pPr>
      <w:r w:rsidRPr="001E3071">
        <w:rPr>
          <w:rFonts w:cs="Arial"/>
          <w:color w:val="000000" w:themeColor="text1"/>
          <w:shd w:val="clear" w:color="auto" w:fill="FFFFFF"/>
        </w:rPr>
        <w:t xml:space="preserve">Following vaccination, the patient should be </w:t>
      </w:r>
      <w:r w:rsidRPr="00524372">
        <w:rPr>
          <w:rFonts w:cs="Arial"/>
          <w:color w:val="000000" w:themeColor="text1"/>
          <w:shd w:val="clear" w:color="auto" w:fill="FFFFFF"/>
        </w:rPr>
        <w:t>given</w:t>
      </w:r>
      <w:r w:rsidR="00524372">
        <w:rPr>
          <w:rFonts w:cs="Arial"/>
          <w:color w:val="000000" w:themeColor="text1"/>
          <w:shd w:val="clear" w:color="auto" w:fill="FFFFFF"/>
        </w:rPr>
        <w:t xml:space="preserve"> written</w:t>
      </w:r>
      <w:r w:rsidRPr="00524372">
        <w:rPr>
          <w:rFonts w:cs="Arial"/>
          <w:color w:val="000000" w:themeColor="text1"/>
          <w:shd w:val="clear" w:color="auto" w:fill="FFFFFF"/>
        </w:rPr>
        <w:t xml:space="preserve"> </w:t>
      </w:r>
      <w:hyperlink r:id="rId53" w:history="1">
        <w:r w:rsidR="00524372">
          <w:rPr>
            <w:rStyle w:val="Hyperlink"/>
            <w:rFonts w:cs="Arial"/>
            <w:szCs w:val="21"/>
            <w:shd w:val="clear" w:color="auto" w:fill="FFFFFF"/>
          </w:rPr>
          <w:t>Information about the JYNNEOS® vaccine</w:t>
        </w:r>
      </w:hyperlink>
      <w:r w:rsidR="00524372" w:rsidRPr="000C0551">
        <w:rPr>
          <w:rFonts w:cs="Arial"/>
          <w:color w:val="000000"/>
          <w:szCs w:val="21"/>
          <w:shd w:val="clear" w:color="auto" w:fill="FFFFFF"/>
        </w:rPr>
        <w:t xml:space="preserve"> </w:t>
      </w:r>
      <w:r w:rsidRPr="001E3071">
        <w:rPr>
          <w:rFonts w:cs="Arial"/>
          <w:color w:val="000000" w:themeColor="text1"/>
          <w:shd w:val="clear" w:color="auto" w:fill="FFFFFF"/>
        </w:rPr>
        <w:t xml:space="preserve">and </w:t>
      </w:r>
      <w:r w:rsidR="00D1506A">
        <w:rPr>
          <w:rFonts w:cs="Arial"/>
          <w:color w:val="000000" w:themeColor="text1"/>
          <w:shd w:val="clear" w:color="auto" w:fill="FFFFFF"/>
        </w:rPr>
        <w:t>mpox</w:t>
      </w:r>
      <w:r w:rsidRPr="001E3071">
        <w:rPr>
          <w:rFonts w:cs="Arial"/>
          <w:color w:val="000000" w:themeColor="text1"/>
          <w:shd w:val="clear" w:color="auto" w:fill="FFFFFF"/>
        </w:rPr>
        <w:t xml:space="preserve">. </w:t>
      </w:r>
      <w:r w:rsidR="00524372">
        <w:rPr>
          <w:rFonts w:cs="Arial"/>
          <w:color w:val="000000" w:themeColor="text1"/>
          <w:shd w:val="clear" w:color="auto" w:fill="FFFFFF"/>
        </w:rPr>
        <w:t>&lt;</w:t>
      </w:r>
      <w:r w:rsidR="00524372" w:rsidRPr="00524372">
        <w:rPr>
          <w:rFonts w:cs="Arial"/>
          <w:color w:val="000000" w:themeColor="text1"/>
          <w:shd w:val="clear" w:color="auto" w:fill="FFFFFF"/>
        </w:rPr>
        <w:t>https://www.health.gov.au/resources/publications/mpox-monkeypox-information-on-jynneosr-vaccine</w:t>
      </w:r>
      <w:r w:rsidR="00524372">
        <w:rPr>
          <w:rFonts w:cs="Arial"/>
          <w:color w:val="000000" w:themeColor="text1"/>
          <w:shd w:val="clear" w:color="auto" w:fill="FFFFFF"/>
        </w:rPr>
        <w:t xml:space="preserve">&gt; </w:t>
      </w:r>
    </w:p>
    <w:p w14:paraId="1950DC42" w14:textId="7FDDD43A" w:rsidR="001E3071" w:rsidRPr="001E3071" w:rsidRDefault="001E3071" w:rsidP="00125650">
      <w:pPr>
        <w:spacing w:before="120" w:after="0" w:line="288" w:lineRule="auto"/>
        <w:rPr>
          <w:rFonts w:cs="Arial"/>
          <w:color w:val="000000" w:themeColor="text1"/>
        </w:rPr>
      </w:pPr>
      <w:r w:rsidRPr="001E3071">
        <w:rPr>
          <w:rFonts w:cs="Arial"/>
          <w:color w:val="000000" w:themeColor="text1"/>
          <w:shd w:val="clear" w:color="auto" w:fill="FFFFFF"/>
        </w:rPr>
        <w:t xml:space="preserve">This should include possible reactions to the vaccine, how to </w:t>
      </w:r>
      <w:r w:rsidR="0052453E">
        <w:rPr>
          <w:rFonts w:cs="Arial"/>
          <w:color w:val="000000" w:themeColor="text1"/>
          <w:shd w:val="clear" w:color="auto" w:fill="FFFFFF"/>
        </w:rPr>
        <w:t>manage side effects</w:t>
      </w:r>
      <w:r w:rsidRPr="001E3071">
        <w:rPr>
          <w:rFonts w:cs="Arial"/>
          <w:color w:val="000000" w:themeColor="text1"/>
          <w:shd w:val="clear" w:color="auto" w:fill="FFFFFF"/>
        </w:rPr>
        <w:t xml:space="preserve">, and when and where to seek further advice if required. The patient should be advised to monitor </w:t>
      </w:r>
      <w:r w:rsidR="0052453E">
        <w:rPr>
          <w:rFonts w:cs="Arial"/>
          <w:color w:val="000000" w:themeColor="text1"/>
          <w:shd w:val="clear" w:color="auto" w:fill="FFFFFF"/>
        </w:rPr>
        <w:t>for</w:t>
      </w:r>
      <w:r w:rsidRPr="001E3071">
        <w:rPr>
          <w:rFonts w:cs="Arial"/>
          <w:color w:val="000000" w:themeColor="text1"/>
          <w:shd w:val="clear" w:color="auto" w:fill="FFFFFF"/>
        </w:rPr>
        <w:t xml:space="preserve"> fever and, if individuals are concerned about their health at any time, they should seek advice from their immunisation provider, GP or Emergency department.</w:t>
      </w:r>
      <w:r w:rsidR="001E3BE0">
        <w:rPr>
          <w:rFonts w:cs="Arial"/>
          <w:color w:val="000000" w:themeColor="text1"/>
          <w:shd w:val="clear" w:color="auto" w:fill="FFFFFF"/>
        </w:rPr>
        <w:t xml:space="preserve"> </w:t>
      </w:r>
    </w:p>
    <w:p w14:paraId="474D637A" w14:textId="0A460E56" w:rsidR="00077DBB" w:rsidRDefault="00077DBB" w:rsidP="00A6687C">
      <w:pPr>
        <w:pStyle w:val="Heading1"/>
        <w:spacing w:before="240" w:after="120"/>
      </w:pPr>
      <w:bookmarkStart w:id="172" w:name="_Vaccine_safety"/>
      <w:bookmarkStart w:id="173" w:name="_Toc176344995"/>
      <w:bookmarkEnd w:id="172"/>
      <w:r>
        <w:t xml:space="preserve">Vaccine </w:t>
      </w:r>
      <w:bookmarkEnd w:id="166"/>
      <w:bookmarkEnd w:id="167"/>
      <w:bookmarkEnd w:id="168"/>
      <w:r w:rsidR="20990778">
        <w:t>s</w:t>
      </w:r>
      <w:r>
        <w:t>afety</w:t>
      </w:r>
      <w:bookmarkEnd w:id="169"/>
      <w:bookmarkEnd w:id="170"/>
      <w:bookmarkEnd w:id="173"/>
    </w:p>
    <w:p w14:paraId="5C882A60" w14:textId="77777777" w:rsidR="00397E3E" w:rsidRDefault="00397E3E" w:rsidP="00A6687C">
      <w:pPr>
        <w:pStyle w:val="Heading2"/>
        <w:spacing w:before="240"/>
      </w:pPr>
      <w:bookmarkStart w:id="174" w:name="_Toc176344996"/>
      <w:r w:rsidRPr="001046A8">
        <w:t>Storage of multiple vaccine types in a shared location</w:t>
      </w:r>
      <w:bookmarkEnd w:id="174"/>
    </w:p>
    <w:p w14:paraId="6ECE8EAC" w14:textId="77777777" w:rsidR="00397E3E" w:rsidRPr="00BD4EC6" w:rsidRDefault="00397E3E" w:rsidP="00397E3E">
      <w:r w:rsidRPr="00BD4EC6">
        <w:t>Recommendations to reduce the risk of administration errors and vaccine wastage when sites are managing different vaccines:</w:t>
      </w:r>
    </w:p>
    <w:p w14:paraId="0544489C" w14:textId="705D5C5F" w:rsidR="00397E3E" w:rsidRPr="00BD4EC6" w:rsidRDefault="00397E3E" w:rsidP="00603DC8">
      <w:pPr>
        <w:pStyle w:val="Bullet1"/>
        <w:numPr>
          <w:ilvl w:val="0"/>
          <w:numId w:val="15"/>
        </w:numPr>
        <w:rPr>
          <w:rFonts w:asciiTheme="minorHAnsi" w:eastAsiaTheme="minorEastAsia" w:hAnsiTheme="minorHAnsi"/>
          <w:szCs w:val="21"/>
        </w:rPr>
      </w:pPr>
      <w:r w:rsidRPr="00BD4EC6">
        <w:t xml:space="preserve">Dedicate sessions for the </w:t>
      </w:r>
      <w:r w:rsidR="00235ED2">
        <w:t>m</w:t>
      </w:r>
      <w:r w:rsidRPr="00BD4EC6">
        <w:t xml:space="preserve">pox </w:t>
      </w:r>
      <w:r w:rsidRPr="00231321">
        <w:rPr>
          <w:rFonts w:eastAsia="Calibri" w:cs="Arial"/>
          <w:szCs w:val="21"/>
        </w:rPr>
        <w:t>JYNNEOS</w:t>
      </w:r>
      <w:r w:rsidRPr="00231321">
        <w:rPr>
          <w:rFonts w:eastAsia="Calibri" w:cs="Arial"/>
          <w:szCs w:val="21"/>
          <w:vertAlign w:val="superscript"/>
        </w:rPr>
        <w:t>®</w:t>
      </w:r>
      <w:r w:rsidRPr="00231321">
        <w:rPr>
          <w:rFonts w:eastAsia="Calibri" w:cs="Arial"/>
          <w:szCs w:val="21"/>
        </w:rPr>
        <w:t xml:space="preserve"> </w:t>
      </w:r>
      <w:r w:rsidRPr="00BD4EC6">
        <w:t xml:space="preserve">vaccine </w:t>
      </w:r>
    </w:p>
    <w:p w14:paraId="27A24058" w14:textId="32946A16" w:rsidR="00397E3E" w:rsidRPr="00BD4EC6" w:rsidRDefault="00397E3E" w:rsidP="00603DC8">
      <w:pPr>
        <w:pStyle w:val="Bullet1"/>
        <w:numPr>
          <w:ilvl w:val="0"/>
          <w:numId w:val="15"/>
        </w:numPr>
        <w:rPr>
          <w:szCs w:val="21"/>
        </w:rPr>
      </w:pPr>
      <w:r w:rsidRPr="00BD4EC6">
        <w:t xml:space="preserve">Assign dedicated staff members at the vaccination site, to administer only one type of the vaccine </w:t>
      </w:r>
    </w:p>
    <w:p w14:paraId="168B483D" w14:textId="1C8B6B0E" w:rsidR="00397E3E" w:rsidRPr="00BD4EC6" w:rsidRDefault="00397E3E" w:rsidP="00603DC8">
      <w:pPr>
        <w:pStyle w:val="Bullet1"/>
        <w:numPr>
          <w:ilvl w:val="0"/>
          <w:numId w:val="15"/>
        </w:numPr>
      </w:pPr>
      <w:r w:rsidRPr="00BD4EC6">
        <w:t>Ensure clear labelling of the shelf/location where each type of vaccine vials is located, to reduce the risk of selection error</w:t>
      </w:r>
      <w:r w:rsidR="00125650">
        <w:t>.</w:t>
      </w:r>
    </w:p>
    <w:p w14:paraId="7EEE16C2" w14:textId="77777777" w:rsidR="00077DBB" w:rsidRPr="00D10933" w:rsidRDefault="00077DBB" w:rsidP="002659C6">
      <w:pPr>
        <w:pStyle w:val="Heading2"/>
      </w:pPr>
      <w:bookmarkStart w:id="175" w:name="_Toc1463708691"/>
      <w:bookmarkStart w:id="176" w:name="_Toc176344997"/>
      <w:r w:rsidRPr="00D10933">
        <w:t>Safety Updates</w:t>
      </w:r>
      <w:bookmarkEnd w:id="175"/>
      <w:bookmarkEnd w:id="176"/>
    </w:p>
    <w:p w14:paraId="0EEC0FB5" w14:textId="30242EFB" w:rsidR="00077DBB" w:rsidRPr="00E43C6A" w:rsidRDefault="000A5B3F" w:rsidP="00110BDF">
      <w:pPr>
        <w:spacing w:before="240" w:line="288" w:lineRule="auto"/>
        <w:rPr>
          <w:rStyle w:val="normaltextrun"/>
          <w:rFonts w:eastAsia="MS Mincho"/>
        </w:rPr>
      </w:pPr>
      <w:r>
        <w:rPr>
          <w:rStyle w:val="normaltextrun"/>
          <w:rFonts w:eastAsia="MS Mincho"/>
        </w:rPr>
        <w:t>SAEFVIC (</w:t>
      </w:r>
      <w:r w:rsidR="00077DBB" w:rsidRPr="00E43C6A">
        <w:rPr>
          <w:rStyle w:val="normaltextrun"/>
          <w:rFonts w:eastAsia="MS Mincho"/>
        </w:rPr>
        <w:t>Surveillance of Adverse Events Following Vaccination in the Community</w:t>
      </w:r>
      <w:r>
        <w:rPr>
          <w:rStyle w:val="normaltextrun"/>
          <w:rFonts w:eastAsia="MS Mincho"/>
        </w:rPr>
        <w:t xml:space="preserve">) </w:t>
      </w:r>
      <w:r w:rsidR="00077DBB" w:rsidRPr="00E43C6A">
        <w:rPr>
          <w:rStyle w:val="normaltextrun"/>
          <w:rFonts w:eastAsia="MS Mincho"/>
        </w:rPr>
        <w:t xml:space="preserve">provide vaccine safety </w:t>
      </w:r>
      <w:r w:rsidR="00077DBB" w:rsidRPr="00691430">
        <w:rPr>
          <w:rStyle w:val="normaltextrun"/>
          <w:rFonts w:eastAsia="MS Mincho"/>
        </w:rPr>
        <w:t xml:space="preserve">surveillance service in Victoria, for reporting any significant adverse events following immunisation (AEFI) and vaccine administration error. SAEFVIC confidentially collects, analyses, provides clinical advice, and reports data about significant AEFI and vaccine administration errors as part of monitoring vaccine safety in Victoria. SAEFVIC will closely monitor </w:t>
      </w:r>
      <w:r w:rsidR="00077DBB" w:rsidRPr="00691430">
        <w:t>vaccine safety surveillance of the mpox vaccination program.</w:t>
      </w:r>
    </w:p>
    <w:p w14:paraId="112356B8" w14:textId="0BAC174C" w:rsidR="00077DBB" w:rsidRPr="00712B4F" w:rsidRDefault="00077DBB" w:rsidP="00077DBB">
      <w:pPr>
        <w:rPr>
          <w:rStyle w:val="normaltextrun"/>
          <w:rFonts w:eastAsia="MS Mincho"/>
          <w:szCs w:val="21"/>
        </w:rPr>
      </w:pPr>
      <w:r w:rsidRPr="00712B4F">
        <w:rPr>
          <w:rStyle w:val="normaltextrun"/>
          <w:rFonts w:eastAsia="MS Mincho"/>
          <w:szCs w:val="21"/>
        </w:rPr>
        <w:t xml:space="preserve">Further information and the SAEFVIC and the reporting portal may be found at </w:t>
      </w:r>
      <w:hyperlink r:id="rId54" w:history="1">
        <w:r w:rsidRPr="00712B4F">
          <w:rPr>
            <w:rStyle w:val="Hyperlink"/>
            <w:szCs w:val="21"/>
          </w:rPr>
          <w:t>SAEFVIC</w:t>
        </w:r>
      </w:hyperlink>
      <w:r w:rsidR="00BC4C88" w:rsidRPr="00712B4F">
        <w:rPr>
          <w:rStyle w:val="Hyperlink"/>
          <w:szCs w:val="21"/>
        </w:rPr>
        <w:t xml:space="preserve"> </w:t>
      </w:r>
      <w:r w:rsidR="00BC4C88" w:rsidRPr="00712B4F">
        <w:rPr>
          <w:rStyle w:val="normaltextrun"/>
          <w:rFonts w:cs="Arial"/>
          <w:szCs w:val="21"/>
        </w:rPr>
        <w:t>&lt;https://www.safevac.org.au/Home/Info/VIC</w:t>
      </w:r>
      <w:r w:rsidR="00E9076F" w:rsidRPr="00712B4F">
        <w:rPr>
          <w:rStyle w:val="normaltextrun"/>
          <w:rFonts w:cs="Arial"/>
          <w:szCs w:val="21"/>
        </w:rPr>
        <w:t>&gt;</w:t>
      </w:r>
      <w:r w:rsidR="00AA50B2" w:rsidRPr="00712B4F">
        <w:rPr>
          <w:rStyle w:val="Hyperlink"/>
          <w:color w:val="auto"/>
          <w:szCs w:val="21"/>
          <w:u w:val="none"/>
        </w:rPr>
        <w:t>.</w:t>
      </w:r>
      <w:r w:rsidRPr="00712B4F">
        <w:rPr>
          <w:rStyle w:val="normaltextrun"/>
          <w:rFonts w:eastAsia="MS Mincho"/>
          <w:szCs w:val="21"/>
        </w:rPr>
        <w:t xml:space="preserve"> </w:t>
      </w:r>
    </w:p>
    <w:p w14:paraId="19A2127E" w14:textId="0E469EA2" w:rsidR="00077DBB" w:rsidRPr="004C16EB" w:rsidRDefault="00077DBB" w:rsidP="0022423F">
      <w:pPr>
        <w:pStyle w:val="Heading2"/>
      </w:pPr>
      <w:bookmarkStart w:id="177" w:name="_Adverse_Events_Following"/>
      <w:bookmarkStart w:id="178" w:name="_Vaccine_errors"/>
      <w:bookmarkStart w:id="179" w:name="_Vaccine_administration_errors"/>
      <w:bookmarkStart w:id="180" w:name="_Toc176344998"/>
      <w:bookmarkEnd w:id="177"/>
      <w:bookmarkEnd w:id="178"/>
      <w:bookmarkEnd w:id="179"/>
      <w:r w:rsidRPr="0022423F">
        <w:t xml:space="preserve">Vaccine </w:t>
      </w:r>
      <w:r w:rsidR="00E44E85" w:rsidRPr="0091033F">
        <w:t xml:space="preserve">administration </w:t>
      </w:r>
      <w:r w:rsidRPr="0091033F">
        <w:t>erro</w:t>
      </w:r>
      <w:r w:rsidRPr="004E6A06">
        <w:t>rs</w:t>
      </w:r>
      <w:bookmarkEnd w:id="180"/>
    </w:p>
    <w:p w14:paraId="464E5638" w14:textId="2B891CE4" w:rsidR="00077DBB" w:rsidRPr="00524372" w:rsidRDefault="00077DBB" w:rsidP="007D6DA8">
      <w:pPr>
        <w:spacing w:after="0" w:line="336" w:lineRule="auto"/>
        <w:rPr>
          <w:rFonts w:cs="Arial"/>
          <w:szCs w:val="21"/>
        </w:rPr>
      </w:pPr>
      <w:r w:rsidRPr="00524372">
        <w:rPr>
          <w:rFonts w:cs="Arial"/>
          <w:szCs w:val="21"/>
        </w:rPr>
        <w:t xml:space="preserve">Immunisation errors can include errors in vaccine storage, handling, </w:t>
      </w:r>
      <w:r w:rsidR="00C611CE" w:rsidRPr="00524372">
        <w:rPr>
          <w:rFonts w:cs="Arial"/>
          <w:szCs w:val="21"/>
        </w:rPr>
        <w:t>preparation,</w:t>
      </w:r>
      <w:r w:rsidRPr="00524372">
        <w:rPr>
          <w:rFonts w:cs="Arial"/>
          <w:szCs w:val="21"/>
        </w:rPr>
        <w:t xml:space="preserve"> or administration. Vaccination administration errors should be reported to SAEFVIC for vaccine safety surveillance review.</w:t>
      </w:r>
      <w:r w:rsidR="00953BFB" w:rsidRPr="00524372">
        <w:rPr>
          <w:rFonts w:cs="Arial"/>
          <w:szCs w:val="21"/>
        </w:rPr>
        <w:t xml:space="preserve"> </w:t>
      </w:r>
      <w:r w:rsidRPr="00524372">
        <w:rPr>
          <w:rFonts w:cs="Arial"/>
          <w:szCs w:val="21"/>
        </w:rPr>
        <w:t xml:space="preserve">For more information on submitting a SAEFVIC report </w:t>
      </w:r>
      <w:r w:rsidR="00872BE3" w:rsidRPr="00524372">
        <w:rPr>
          <w:rFonts w:cs="Arial"/>
          <w:szCs w:val="21"/>
        </w:rPr>
        <w:t>refer to:</w:t>
      </w:r>
    </w:p>
    <w:p w14:paraId="464E8433" w14:textId="4CC5B558" w:rsidR="00077DBB" w:rsidRPr="00524372" w:rsidRDefault="00000000"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55" w:history="1">
        <w:r w:rsidR="00524372" w:rsidRPr="00524372">
          <w:rPr>
            <w:rStyle w:val="Hyperlink"/>
            <w:rFonts w:ascii="Arial" w:eastAsia="Times New Roman" w:hAnsi="Arial" w:cs="Arial"/>
            <w:sz w:val="21"/>
            <w:szCs w:val="21"/>
          </w:rPr>
          <w:t>SAFEVAC Reporting</w:t>
        </w:r>
      </w:hyperlink>
      <w:r w:rsidR="00077DBB" w:rsidRPr="00524372">
        <w:rPr>
          <w:rStyle w:val="normaltextrun"/>
          <w:rFonts w:ascii="Arial" w:eastAsia="Times New Roman" w:hAnsi="Arial" w:cs="Arial"/>
          <w:color w:val="004C97"/>
          <w:sz w:val="21"/>
          <w:szCs w:val="21"/>
        </w:rPr>
        <w:t xml:space="preserve"> </w:t>
      </w:r>
      <w:r w:rsidR="00077DBB" w:rsidRPr="00524372">
        <w:rPr>
          <w:rStyle w:val="normaltextrun"/>
          <w:rFonts w:ascii="Arial" w:eastAsia="Times New Roman" w:hAnsi="Arial" w:cs="Arial"/>
          <w:sz w:val="21"/>
          <w:szCs w:val="21"/>
        </w:rPr>
        <w:t>&lt;https://www.safevac.org.au/Home/Info/VIC&gt;</w:t>
      </w:r>
    </w:p>
    <w:p w14:paraId="4D327AE8" w14:textId="24247898" w:rsidR="00077DBB" w:rsidRPr="00524372" w:rsidRDefault="00077DB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524372">
        <w:rPr>
          <w:rStyle w:val="normaltextrun"/>
          <w:rFonts w:ascii="Arial" w:eastAsia="Times New Roman" w:hAnsi="Arial" w:cs="Arial"/>
          <w:sz w:val="21"/>
          <w:szCs w:val="21"/>
        </w:rPr>
        <w:t xml:space="preserve">Email: </w:t>
      </w:r>
      <w:hyperlink r:id="rId56" w:history="1">
        <w:r w:rsidR="00FD74EF" w:rsidRPr="00524372">
          <w:rPr>
            <w:rStyle w:val="Hyperlink"/>
            <w:rFonts w:ascii="Arial" w:eastAsia="Times New Roman" w:hAnsi="Arial" w:cs="Arial"/>
            <w:sz w:val="21"/>
            <w:szCs w:val="21"/>
          </w:rPr>
          <w:t>enquiries@saefvic.org.au</w:t>
        </w:r>
      </w:hyperlink>
    </w:p>
    <w:p w14:paraId="24A20314" w14:textId="77777777" w:rsidR="00077DBB" w:rsidRPr="00524372" w:rsidRDefault="00077DB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524372">
        <w:rPr>
          <w:rStyle w:val="normaltextrun"/>
          <w:rFonts w:ascii="Arial" w:eastAsia="Times New Roman" w:hAnsi="Arial" w:cs="Arial"/>
          <w:sz w:val="21"/>
          <w:szCs w:val="21"/>
        </w:rPr>
        <w:t>Ph: 1300 882 924 (option 1)</w:t>
      </w:r>
    </w:p>
    <w:p w14:paraId="765CE636" w14:textId="17AC7B6B" w:rsidR="00077DBB" w:rsidRDefault="00077DBB" w:rsidP="00077DBB">
      <w:pPr>
        <w:spacing w:before="120"/>
        <w:rPr>
          <w:rFonts w:eastAsia="SimSun" w:cs="Arial"/>
        </w:rPr>
      </w:pPr>
      <w:r w:rsidRPr="5646DBC5">
        <w:rPr>
          <w:rFonts w:eastAsia="SimSun" w:cs="Arial"/>
        </w:rPr>
        <w:t xml:space="preserve">Cold chain breaches </w:t>
      </w:r>
      <w:r w:rsidR="00D920B7">
        <w:rPr>
          <w:rFonts w:eastAsia="SimSun" w:cs="Arial"/>
        </w:rPr>
        <w:t xml:space="preserve">(CCB) </w:t>
      </w:r>
      <w:r w:rsidRPr="5646DBC5">
        <w:rPr>
          <w:rFonts w:eastAsia="SimSun" w:cs="Arial"/>
        </w:rPr>
        <w:t>are reportable to the Department of Health</w:t>
      </w:r>
      <w:r w:rsidR="00A05347">
        <w:rPr>
          <w:rFonts w:eastAsia="SimSun" w:cs="Arial"/>
        </w:rPr>
        <w:t xml:space="preserve">. </w:t>
      </w:r>
      <w:r w:rsidR="004E096C" w:rsidRPr="4416F9D8">
        <w:rPr>
          <w:rFonts w:eastAsia="SimSun" w:cs="Arial"/>
        </w:rPr>
        <w:t>Report</w:t>
      </w:r>
      <w:r w:rsidR="004E096C" w:rsidRPr="4416F9D8">
        <w:rPr>
          <w:rFonts w:eastAsia="SimSun" w:cs="Arial"/>
          <w:b/>
          <w:bCs/>
        </w:rPr>
        <w:t xml:space="preserve"> </w:t>
      </w:r>
      <w:r w:rsidR="000606E9" w:rsidRPr="4416F9D8">
        <w:rPr>
          <w:rFonts w:eastAsia="SimSun" w:cs="Arial"/>
          <w:b/>
          <w:bCs/>
        </w:rPr>
        <w:t>all</w:t>
      </w:r>
      <w:r w:rsidR="000606E9" w:rsidRPr="4416F9D8">
        <w:rPr>
          <w:rFonts w:eastAsia="SimSun" w:cs="Arial"/>
        </w:rPr>
        <w:t xml:space="preserve"> cold chain breaches</w:t>
      </w:r>
      <w:r w:rsidR="000606E9" w:rsidRPr="4416F9D8">
        <w:rPr>
          <w:rFonts w:eastAsia="SimSun" w:cs="Arial"/>
          <w:b/>
          <w:bCs/>
        </w:rPr>
        <w:t xml:space="preserve"> </w:t>
      </w:r>
      <w:r w:rsidR="00D920B7" w:rsidRPr="4416F9D8">
        <w:rPr>
          <w:rFonts w:eastAsia="SimSun" w:cs="Arial"/>
          <w:b/>
          <w:bCs/>
        </w:rPr>
        <w:t xml:space="preserve">directly </w:t>
      </w:r>
      <w:r w:rsidR="00D920B7" w:rsidRPr="4416F9D8">
        <w:rPr>
          <w:rFonts w:eastAsia="SimSun" w:cs="Arial"/>
        </w:rPr>
        <w:t xml:space="preserve">to </w:t>
      </w:r>
      <w:hyperlink r:id="rId57">
        <w:r w:rsidR="00D920B7" w:rsidRPr="4416F9D8">
          <w:rPr>
            <w:rStyle w:val="Hyperlink"/>
            <w:rFonts w:eastAsia="SimSun" w:cs="Arial"/>
          </w:rPr>
          <w:t>immunisation@health.vic.gov.au</w:t>
        </w:r>
      </w:hyperlink>
    </w:p>
    <w:p w14:paraId="49033895" w14:textId="692A19D4" w:rsidR="00E44E85" w:rsidRDefault="00E44E85" w:rsidP="00D76DCB">
      <w:pPr>
        <w:pStyle w:val="DJCSbody"/>
        <w:spacing w:before="120" w:line="280" w:lineRule="atLeast"/>
        <w:rPr>
          <w:sz w:val="21"/>
          <w:szCs w:val="21"/>
        </w:rPr>
      </w:pPr>
      <w:r w:rsidRPr="00A21215">
        <w:rPr>
          <w:sz w:val="21"/>
          <w:szCs w:val="21"/>
        </w:rPr>
        <w:t>Interim recommendations for JYNNEOS</w:t>
      </w:r>
      <w:r w:rsidR="00302FD0" w:rsidRPr="008D4BAC">
        <w:rPr>
          <w:rFonts w:cs="Arial"/>
          <w:color w:val="2A2736"/>
          <w:vertAlign w:val="superscript"/>
          <w:lang w:eastAsia="en-AU"/>
        </w:rPr>
        <w:t>®</w:t>
      </w:r>
      <w:r w:rsidRPr="00A21215">
        <w:rPr>
          <w:sz w:val="21"/>
          <w:szCs w:val="21"/>
        </w:rPr>
        <w:t xml:space="preserve"> vaccine administration errors and deviations are available in table below. </w:t>
      </w:r>
      <w:r w:rsidR="00DA7C3B">
        <w:rPr>
          <w:sz w:val="21"/>
          <w:szCs w:val="21"/>
        </w:rPr>
        <w:t xml:space="preserve">Further advice from ATAGI is expected to follow. </w:t>
      </w:r>
    </w:p>
    <w:p w14:paraId="5F0C3907" w14:textId="77777777" w:rsidR="00B81AB6" w:rsidRDefault="00B81AB6" w:rsidP="00E44E85">
      <w:pPr>
        <w:pStyle w:val="DJCSbody"/>
        <w:rPr>
          <w:sz w:val="21"/>
          <w:szCs w:val="21"/>
        </w:rPr>
      </w:pPr>
    </w:p>
    <w:p w14:paraId="2CF63C37" w14:textId="138B609A" w:rsidR="00E44E85" w:rsidRPr="00524372" w:rsidRDefault="00885A20" w:rsidP="00035E03">
      <w:pPr>
        <w:pStyle w:val="DJCSbody"/>
        <w:ind w:left="-851"/>
        <w:rPr>
          <w:sz w:val="21"/>
          <w:szCs w:val="21"/>
        </w:rPr>
      </w:pPr>
      <w:r w:rsidRPr="00035E03">
        <w:rPr>
          <w:rStyle w:val="Heading4Char"/>
        </w:rPr>
        <w:t>T</w:t>
      </w:r>
      <w:r w:rsidR="00E44E85" w:rsidRPr="00035E03">
        <w:rPr>
          <w:rStyle w:val="Heading4Char"/>
        </w:rPr>
        <w:t xml:space="preserve">able </w:t>
      </w:r>
      <w:r w:rsidR="00035E03" w:rsidRPr="00035E03">
        <w:rPr>
          <w:rStyle w:val="Heading4Char"/>
        </w:rPr>
        <w:t>5</w:t>
      </w:r>
      <w:r w:rsidR="00E44E85" w:rsidRPr="00035E03">
        <w:rPr>
          <w:rStyle w:val="Heading4Char"/>
        </w:rPr>
        <w:t>. Interim recommendations for JYNNEOS</w:t>
      </w:r>
      <w:r w:rsidR="00302FD0" w:rsidRPr="00035E03">
        <w:rPr>
          <w:rStyle w:val="Heading4Char"/>
        </w:rPr>
        <w:t>®</w:t>
      </w:r>
      <w:r w:rsidR="00E44E85" w:rsidRPr="00035E03">
        <w:rPr>
          <w:rStyle w:val="Heading4Char"/>
        </w:rPr>
        <w:t xml:space="preserve"> vaccine administration errors and </w:t>
      </w:r>
      <w:r w:rsidR="00E44E85" w:rsidRPr="00524372">
        <w:rPr>
          <w:rStyle w:val="Heading4Char"/>
        </w:rPr>
        <w:t>deviations.</w:t>
      </w:r>
      <w:r w:rsidR="00E44E85" w:rsidRPr="00524372">
        <w:rPr>
          <w:bCs/>
          <w:sz w:val="21"/>
          <w:szCs w:val="21"/>
        </w:rPr>
        <w:t xml:space="preserve"> </w:t>
      </w:r>
      <w:r w:rsidR="00035E03" w:rsidRPr="00524372">
        <w:rPr>
          <w:bCs/>
          <w:sz w:val="21"/>
          <w:szCs w:val="21"/>
        </w:rPr>
        <w:t xml:space="preserve"> </w:t>
      </w:r>
      <w:r w:rsidR="00E44E85" w:rsidRPr="00524372">
        <w:rPr>
          <w:sz w:val="18"/>
          <w:szCs w:val="18"/>
        </w:rPr>
        <w:t>Source</w:t>
      </w:r>
      <w:hyperlink r:id="rId58" w:history="1">
        <w:r w:rsidR="00EC1BEB" w:rsidRPr="00524372">
          <w:rPr>
            <w:rStyle w:val="Hyperlink"/>
            <w:sz w:val="18"/>
            <w:szCs w:val="18"/>
          </w:rPr>
          <w:t>: Centres for Disease Control and Prevention</w:t>
        </w:r>
      </w:hyperlink>
      <w:r w:rsidR="00E44E85" w:rsidRPr="00524372">
        <w:rPr>
          <w:sz w:val="18"/>
          <w:szCs w:val="18"/>
        </w:rPr>
        <w:t xml:space="preserve"> </w:t>
      </w:r>
      <w:r w:rsidR="00035E03" w:rsidRPr="00524372">
        <w:rPr>
          <w:sz w:val="18"/>
          <w:szCs w:val="18"/>
        </w:rPr>
        <w:t xml:space="preserve"> &lt;</w:t>
      </w:r>
      <w:hyperlink r:id="rId59" w:history="1">
        <w:r w:rsidR="00524372" w:rsidRPr="00524372">
          <w:rPr>
            <w:rStyle w:val="Hyperlink"/>
            <w:color w:val="auto"/>
            <w:sz w:val="18"/>
            <w:szCs w:val="18"/>
            <w:u w:val="none"/>
          </w:rPr>
          <w:t>https://www.cdc.gov/poxvirus/mpox/interim-considerations/errors-deviations.html</w:t>
        </w:r>
      </w:hyperlink>
      <w:r w:rsidR="00524372" w:rsidRPr="00524372">
        <w:rPr>
          <w:sz w:val="18"/>
          <w:szCs w:val="18"/>
        </w:rPr>
        <w:t>&gt;</w:t>
      </w:r>
      <w:r w:rsidR="00007DC9" w:rsidRPr="00524372">
        <w:rPr>
          <w:sz w:val="18"/>
          <w:szCs w:val="18"/>
        </w:rPr>
        <w:t xml:space="preserve"> </w:t>
      </w:r>
    </w:p>
    <w:tbl>
      <w:tblPr>
        <w:tblStyle w:val="TableGrid"/>
        <w:tblW w:w="10910" w:type="dxa"/>
        <w:jc w:val="center"/>
        <w:tblLook w:val="04A0" w:firstRow="1" w:lastRow="0" w:firstColumn="1" w:lastColumn="0" w:noHBand="0" w:noVBand="1"/>
      </w:tblPr>
      <w:tblGrid>
        <w:gridCol w:w="1555"/>
        <w:gridCol w:w="4098"/>
        <w:gridCol w:w="5257"/>
      </w:tblGrid>
      <w:tr w:rsidR="00E44E85" w:rsidRPr="00953BFB" w14:paraId="13318FA0" w14:textId="77777777" w:rsidTr="00035E03">
        <w:trPr>
          <w:jc w:val="center"/>
        </w:trPr>
        <w:tc>
          <w:tcPr>
            <w:tcW w:w="1555" w:type="dxa"/>
          </w:tcPr>
          <w:p w14:paraId="7D70C698" w14:textId="77777777" w:rsidR="00E44E85" w:rsidRPr="00BE6FD1" w:rsidRDefault="00E44E85" w:rsidP="00696B49">
            <w:pPr>
              <w:pStyle w:val="DJCSbody"/>
              <w:rPr>
                <w:rFonts w:cs="Arial"/>
                <w:b/>
                <w:bCs/>
                <w:sz w:val="21"/>
                <w:szCs w:val="21"/>
              </w:rPr>
            </w:pPr>
            <w:r w:rsidRPr="00BE6FD1">
              <w:rPr>
                <w:rFonts w:cs="Arial"/>
                <w:b/>
                <w:bCs/>
                <w:sz w:val="21"/>
                <w:szCs w:val="21"/>
              </w:rPr>
              <w:t>Error Type</w:t>
            </w:r>
          </w:p>
        </w:tc>
        <w:tc>
          <w:tcPr>
            <w:tcW w:w="4098" w:type="dxa"/>
          </w:tcPr>
          <w:p w14:paraId="6A7FB365" w14:textId="77777777" w:rsidR="00E44E85" w:rsidRPr="00BE6FD1" w:rsidRDefault="00E44E85" w:rsidP="00696B49">
            <w:pPr>
              <w:pStyle w:val="DJCSbody"/>
              <w:rPr>
                <w:rFonts w:cs="Arial"/>
                <w:b/>
                <w:bCs/>
                <w:sz w:val="21"/>
                <w:szCs w:val="21"/>
              </w:rPr>
            </w:pPr>
            <w:r w:rsidRPr="00BE6FD1">
              <w:rPr>
                <w:rFonts w:cs="Arial"/>
                <w:b/>
                <w:bCs/>
                <w:sz w:val="21"/>
                <w:szCs w:val="21"/>
              </w:rPr>
              <w:t>Administration error/deviation</w:t>
            </w:r>
          </w:p>
        </w:tc>
        <w:tc>
          <w:tcPr>
            <w:tcW w:w="5257" w:type="dxa"/>
          </w:tcPr>
          <w:p w14:paraId="40122566" w14:textId="77777777" w:rsidR="00E44E85" w:rsidRPr="00BE6FD1" w:rsidRDefault="00E44E85" w:rsidP="00696B49">
            <w:pPr>
              <w:pStyle w:val="DJCSbody"/>
              <w:rPr>
                <w:rFonts w:cs="Arial"/>
                <w:b/>
                <w:bCs/>
                <w:sz w:val="21"/>
                <w:szCs w:val="21"/>
              </w:rPr>
            </w:pPr>
            <w:r w:rsidRPr="00BE6FD1">
              <w:rPr>
                <w:rFonts w:cs="Arial"/>
                <w:b/>
                <w:bCs/>
                <w:sz w:val="21"/>
                <w:szCs w:val="21"/>
              </w:rPr>
              <w:t>Interim Recommendation</w:t>
            </w:r>
          </w:p>
        </w:tc>
      </w:tr>
      <w:tr w:rsidR="00E44E85" w:rsidRPr="00953BFB" w14:paraId="2B9F3BA0" w14:textId="77777777" w:rsidTr="00035E03">
        <w:trPr>
          <w:jc w:val="center"/>
        </w:trPr>
        <w:tc>
          <w:tcPr>
            <w:tcW w:w="1555" w:type="dxa"/>
          </w:tcPr>
          <w:p w14:paraId="6F5FB13B"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Site</w:t>
            </w:r>
          </w:p>
        </w:tc>
        <w:tc>
          <w:tcPr>
            <w:tcW w:w="4098" w:type="dxa"/>
            <w:shd w:val="clear" w:color="auto" w:fill="FFFFFF" w:themeFill="background1"/>
          </w:tcPr>
          <w:p w14:paraId="451F28E8"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site</w:t>
            </w:r>
            <w:r w:rsidRPr="00BE6FD1">
              <w:rPr>
                <w:rFonts w:cs="Arial"/>
                <w:color w:val="000000"/>
                <w:sz w:val="21"/>
                <w:szCs w:val="21"/>
                <w:shd w:val="clear" w:color="auto" w:fill="F5F5F5"/>
              </w:rPr>
              <w:t> </w:t>
            </w:r>
          </w:p>
        </w:tc>
        <w:tc>
          <w:tcPr>
            <w:tcW w:w="5257" w:type="dxa"/>
            <w:shd w:val="clear" w:color="auto" w:fill="FFFFFF" w:themeFill="background1"/>
          </w:tcPr>
          <w:p w14:paraId="57712B84"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0DEFD4F9" w14:textId="77777777" w:rsidTr="00035E03">
        <w:trPr>
          <w:jc w:val="center"/>
        </w:trPr>
        <w:tc>
          <w:tcPr>
            <w:tcW w:w="1555" w:type="dxa"/>
          </w:tcPr>
          <w:p w14:paraId="16BF2658"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3E2EC0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route resulting in lower-than-authorised dose administered (e.g., inadvertent subcutaneous administration of 0.1 mL when intradermal route was intended, i.e., no visible “wheal” was formed).</w:t>
            </w:r>
          </w:p>
        </w:tc>
        <w:tc>
          <w:tcPr>
            <w:tcW w:w="5257" w:type="dxa"/>
            <w:shd w:val="clear" w:color="auto" w:fill="FFFFFF" w:themeFill="background1"/>
          </w:tcPr>
          <w:p w14:paraId="7FCAA229" w14:textId="77777777" w:rsidR="000C4146" w:rsidRPr="00AC5E6F" w:rsidRDefault="00E44E85" w:rsidP="000C4146">
            <w:pPr>
              <w:pStyle w:val="DJCSbody"/>
              <w:spacing w:before="60" w:after="60" w:line="288" w:lineRule="auto"/>
              <w:rPr>
                <w:rFonts w:eastAsia="Times New Roman" w:cs="Arial"/>
                <w:sz w:val="21"/>
                <w:szCs w:val="21"/>
                <w:lang w:eastAsia="en-AU"/>
              </w:rPr>
            </w:pPr>
            <w:r w:rsidRPr="00AC5E6F">
              <w:rPr>
                <w:rFonts w:cs="Arial"/>
                <w:sz w:val="21"/>
                <w:szCs w:val="21"/>
              </w:rPr>
              <w:t xml:space="preserve">Repeat dose immediately via intended route (no minimum interval). </w:t>
            </w:r>
            <w:r w:rsidR="000C4146" w:rsidRPr="00AC5E6F">
              <w:rPr>
                <w:rFonts w:eastAsia="Times New Roman" w:cs="Arial"/>
                <w:sz w:val="21"/>
                <w:szCs w:val="21"/>
                <w:lang w:eastAsia="en-AU"/>
              </w:rPr>
              <w:t xml:space="preserve">No more than one additional ID injection should be attempted, by a vaccinator who is confident in the technique. </w:t>
            </w:r>
          </w:p>
          <w:p w14:paraId="1FED928B" w14:textId="6641A7AE" w:rsidR="000C4146" w:rsidRPr="00AC5E6F" w:rsidRDefault="000C4146" w:rsidP="000C4146">
            <w:pPr>
              <w:pStyle w:val="DJCSbody"/>
              <w:spacing w:before="60" w:after="60" w:line="288" w:lineRule="auto"/>
              <w:rPr>
                <w:rFonts w:eastAsia="Times New Roman" w:cs="Arial"/>
                <w:sz w:val="21"/>
                <w:szCs w:val="21"/>
                <w:lang w:eastAsia="en-AU"/>
              </w:rPr>
            </w:pPr>
            <w:r w:rsidRPr="00AC5E6F">
              <w:rPr>
                <w:rFonts w:eastAsia="Times New Roman" w:cs="Arial"/>
                <w:sz w:val="21"/>
                <w:szCs w:val="21"/>
                <w:lang w:eastAsia="en-AU"/>
              </w:rPr>
              <w:t xml:space="preserve">Alternatively give 0.5mL dose subcutaneously (withdrawn from a new vial). </w:t>
            </w:r>
          </w:p>
          <w:p w14:paraId="22A77994" w14:textId="4508F177" w:rsidR="00E44E85" w:rsidRPr="00BE6FD1" w:rsidRDefault="00E44E85" w:rsidP="00B1348F">
            <w:pPr>
              <w:pStyle w:val="DJCSbody"/>
              <w:spacing w:before="60" w:after="60" w:line="288" w:lineRule="auto"/>
              <w:rPr>
                <w:rFonts w:cs="Arial"/>
                <w:sz w:val="21"/>
                <w:szCs w:val="21"/>
              </w:rPr>
            </w:pPr>
            <w:r w:rsidRPr="00AC5E6F">
              <w:rPr>
                <w:rFonts w:cs="Arial"/>
                <w:sz w:val="21"/>
                <w:szCs w:val="21"/>
              </w:rPr>
              <w:t>Repeated dose should be placed at least 2</w:t>
            </w:r>
            <w:r w:rsidR="0EBA9DC0" w:rsidRPr="00AC5E6F">
              <w:rPr>
                <w:rFonts w:cs="Arial"/>
                <w:sz w:val="21"/>
                <w:szCs w:val="21"/>
              </w:rPr>
              <w:t>.5cm</w:t>
            </w:r>
            <w:r w:rsidRPr="00AC5E6F">
              <w:rPr>
                <w:rFonts w:cs="Arial"/>
                <w:sz w:val="21"/>
                <w:szCs w:val="21"/>
              </w:rPr>
              <w:t xml:space="preserve"> away from the inadvertent site</w:t>
            </w:r>
            <w:r w:rsidR="00A91421" w:rsidRPr="00AC5E6F">
              <w:rPr>
                <w:rFonts w:cs="Arial"/>
                <w:sz w:val="21"/>
                <w:szCs w:val="21"/>
              </w:rPr>
              <w:t>.</w:t>
            </w:r>
          </w:p>
        </w:tc>
      </w:tr>
      <w:tr w:rsidR="00E44E85" w:rsidRPr="00953BFB" w14:paraId="4666DC0B" w14:textId="77777777" w:rsidTr="00035E03">
        <w:trPr>
          <w:jc w:val="center"/>
        </w:trPr>
        <w:tc>
          <w:tcPr>
            <w:tcW w:w="1555" w:type="dxa"/>
          </w:tcPr>
          <w:p w14:paraId="44C9FC65"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13E4816A" w14:textId="610D036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Other incorrect route (e.g., </w:t>
            </w:r>
            <w:r w:rsidR="00BF7766">
              <w:rPr>
                <w:rFonts w:cs="Arial"/>
                <w:sz w:val="21"/>
                <w:szCs w:val="21"/>
              </w:rPr>
              <w:t xml:space="preserve">inadvertent </w:t>
            </w:r>
            <w:r w:rsidRPr="00BE6FD1">
              <w:rPr>
                <w:rFonts w:cs="Arial"/>
                <w:sz w:val="21"/>
                <w:szCs w:val="21"/>
              </w:rPr>
              <w:t>intramuscular administration</w:t>
            </w:r>
            <w:r w:rsidR="00C2308B">
              <w:rPr>
                <w:rFonts w:cs="Arial"/>
                <w:sz w:val="21"/>
                <w:szCs w:val="21"/>
              </w:rPr>
              <w:t xml:space="preserve">, when subcutaneous </w:t>
            </w:r>
            <w:r w:rsidR="00BF7766">
              <w:rPr>
                <w:rFonts w:cs="Arial"/>
                <w:sz w:val="21"/>
                <w:szCs w:val="21"/>
              </w:rPr>
              <w:t>route was intended</w:t>
            </w:r>
            <w:r w:rsidRPr="00BE6FD1">
              <w:rPr>
                <w:rFonts w:cs="Arial"/>
                <w:sz w:val="21"/>
                <w:szCs w:val="21"/>
              </w:rPr>
              <w:t>).</w:t>
            </w:r>
          </w:p>
        </w:tc>
        <w:tc>
          <w:tcPr>
            <w:tcW w:w="5257" w:type="dxa"/>
            <w:shd w:val="clear" w:color="auto" w:fill="FFFFFF" w:themeFill="background1"/>
          </w:tcPr>
          <w:p w14:paraId="4045875D"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6E078EED" w14:textId="77777777" w:rsidTr="00035E03">
        <w:trPr>
          <w:jc w:val="center"/>
        </w:trPr>
        <w:tc>
          <w:tcPr>
            <w:tcW w:w="1555" w:type="dxa"/>
            <w:shd w:val="clear" w:color="auto" w:fill="auto"/>
          </w:tcPr>
          <w:p w14:paraId="731462FE"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702691AC" w14:textId="7439D412"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w:t>
            </w:r>
            <w:r w:rsidR="0059447D">
              <w:rPr>
                <w:rFonts w:cs="Arial"/>
                <w:sz w:val="21"/>
                <w:szCs w:val="21"/>
              </w:rPr>
              <w:t xml:space="preserve"> </w:t>
            </w:r>
            <w:r w:rsidRPr="00BE6FD1">
              <w:rPr>
                <w:rFonts w:cs="Arial"/>
                <w:sz w:val="21"/>
                <w:szCs w:val="21"/>
              </w:rPr>
              <w:t>resulting in a lower-than-authorized dose (e.g., recipient pulled away, leaked out of a syringe</w:t>
            </w:r>
            <w:r w:rsidR="00193FA3">
              <w:rPr>
                <w:rFonts w:cs="Arial"/>
                <w:sz w:val="21"/>
                <w:szCs w:val="21"/>
              </w:rPr>
              <w:t>)</w:t>
            </w:r>
            <w:r w:rsidRPr="00BE6FD1">
              <w:rPr>
                <w:rFonts w:cs="Arial"/>
                <w:sz w:val="21"/>
                <w:szCs w:val="21"/>
              </w:rPr>
              <w:t>,</w:t>
            </w:r>
          </w:p>
        </w:tc>
        <w:tc>
          <w:tcPr>
            <w:tcW w:w="5257" w:type="dxa"/>
            <w:shd w:val="clear" w:color="auto" w:fill="FFFFFF" w:themeFill="background1"/>
          </w:tcPr>
          <w:p w14:paraId="35F6A788" w14:textId="3EA9F162" w:rsidR="00877F6E" w:rsidRDefault="00877F6E" w:rsidP="00B1348F">
            <w:pPr>
              <w:pStyle w:val="DJCSbody"/>
              <w:spacing w:before="60" w:after="60" w:line="288" w:lineRule="auto"/>
              <w:rPr>
                <w:rFonts w:cs="Arial"/>
                <w:sz w:val="21"/>
                <w:szCs w:val="21"/>
                <w:shd w:val="clear" w:color="auto" w:fill="FFFFFF"/>
              </w:rPr>
            </w:pPr>
            <w:r w:rsidRPr="00193FA3">
              <w:rPr>
                <w:rFonts w:cs="Arial"/>
                <w:sz w:val="21"/>
                <w:szCs w:val="21"/>
                <w:shd w:val="clear" w:color="auto" w:fill="FFFFFF"/>
              </w:rPr>
              <w:t xml:space="preserve">If the process of administering a vaccine is interrupted (such as by syringe–needle disconnection) and </w:t>
            </w:r>
            <w:r w:rsidRPr="00193FA3">
              <w:rPr>
                <w:rStyle w:val="Strong"/>
                <w:rFonts w:cs="Arial"/>
                <w:sz w:val="21"/>
                <w:szCs w:val="21"/>
                <w:shd w:val="clear" w:color="auto" w:fill="FFFFFF"/>
              </w:rPr>
              <w:t xml:space="preserve">most </w:t>
            </w:r>
            <w:r w:rsidRPr="00193FA3">
              <w:rPr>
                <w:rFonts w:cs="Arial"/>
                <w:sz w:val="21"/>
                <w:szCs w:val="21"/>
                <w:shd w:val="clear" w:color="auto" w:fill="FFFFFF"/>
              </w:rPr>
              <w:t>of the dose has not been given, repeat the whole dose as soon as practicable</w:t>
            </w:r>
            <w:r w:rsidR="00D84F05" w:rsidRPr="00193FA3">
              <w:rPr>
                <w:rStyle w:val="FootnoteReference"/>
                <w:rFonts w:cs="Arial"/>
                <w:sz w:val="21"/>
                <w:szCs w:val="21"/>
                <w:shd w:val="clear" w:color="auto" w:fill="FFFFFF"/>
              </w:rPr>
              <w:footnoteReference w:id="33"/>
            </w:r>
            <w:r w:rsidRPr="00193FA3">
              <w:rPr>
                <w:rFonts w:cs="Arial"/>
                <w:sz w:val="21"/>
                <w:szCs w:val="21"/>
                <w:shd w:val="clear" w:color="auto" w:fill="FFFFFF"/>
              </w:rPr>
              <w:t>.</w:t>
            </w:r>
          </w:p>
          <w:p w14:paraId="12AF66CD" w14:textId="55067230" w:rsidR="00E44E85" w:rsidRPr="00BE6FD1" w:rsidRDefault="00E44E85" w:rsidP="00B1348F">
            <w:pPr>
              <w:pStyle w:val="DJCSbody"/>
              <w:spacing w:before="60" w:after="60" w:line="288" w:lineRule="auto"/>
              <w:rPr>
                <w:rFonts w:cs="Arial"/>
                <w:sz w:val="21"/>
                <w:szCs w:val="21"/>
              </w:rPr>
            </w:pPr>
            <w:r w:rsidRPr="00193FA3">
              <w:rPr>
                <w:rFonts w:cs="Arial"/>
                <w:sz w:val="21"/>
                <w:szCs w:val="21"/>
              </w:rPr>
              <w:t>Repeated dose should be placed at least 2</w:t>
            </w:r>
            <w:r w:rsidR="288ED468" w:rsidRPr="4246EBE0">
              <w:rPr>
                <w:rFonts w:cs="Arial"/>
                <w:sz w:val="21"/>
                <w:szCs w:val="21"/>
              </w:rPr>
              <w:t>.5cm</w:t>
            </w:r>
            <w:r w:rsidRPr="00193FA3">
              <w:rPr>
                <w:rFonts w:cs="Arial"/>
                <w:sz w:val="21"/>
                <w:szCs w:val="21"/>
              </w:rPr>
              <w:t xml:space="preserve"> away from the inadvertent site placement </w:t>
            </w:r>
          </w:p>
        </w:tc>
      </w:tr>
      <w:tr w:rsidR="00E44E85" w:rsidRPr="00953BFB" w14:paraId="12D80630" w14:textId="77777777" w:rsidTr="00035E03">
        <w:trPr>
          <w:jc w:val="center"/>
        </w:trPr>
        <w:tc>
          <w:tcPr>
            <w:tcW w:w="1555" w:type="dxa"/>
            <w:shd w:val="clear" w:color="auto" w:fill="auto"/>
          </w:tcPr>
          <w:p w14:paraId="33030CBD"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170C8535"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higher-than-authorized dose (e.g., &gt;0.1 mL administered ID).</w:t>
            </w:r>
          </w:p>
        </w:tc>
        <w:tc>
          <w:tcPr>
            <w:tcW w:w="5257" w:type="dxa"/>
            <w:shd w:val="clear" w:color="auto" w:fill="FFFFFF" w:themeFill="background1"/>
          </w:tcPr>
          <w:p w14:paraId="565EEDDC"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5DE355F3" w14:textId="77777777" w:rsidTr="00035E03">
        <w:trPr>
          <w:jc w:val="center"/>
        </w:trPr>
        <w:tc>
          <w:tcPr>
            <w:tcW w:w="1555" w:type="dxa"/>
            <w:shd w:val="clear" w:color="auto" w:fill="auto"/>
          </w:tcPr>
          <w:p w14:paraId="04721D2F"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8D63AF7" w14:textId="5EB833DF" w:rsidR="00E44E85" w:rsidRPr="00BE6FD1" w:rsidRDefault="00E44E85" w:rsidP="00B1348F">
            <w:pPr>
              <w:pStyle w:val="DJCSbody"/>
              <w:spacing w:before="60" w:after="60" w:line="288" w:lineRule="auto"/>
              <w:rPr>
                <w:rFonts w:cs="Arial"/>
                <w:sz w:val="21"/>
                <w:szCs w:val="21"/>
              </w:rPr>
            </w:pPr>
            <w:r w:rsidRPr="00BE6FD1">
              <w:rPr>
                <w:rFonts w:cs="Arial"/>
                <w:sz w:val="21"/>
                <w:szCs w:val="21"/>
              </w:rPr>
              <w:t>Interval between first and second dose less than the recommended minimum interval.</w:t>
            </w:r>
          </w:p>
        </w:tc>
        <w:tc>
          <w:tcPr>
            <w:tcW w:w="5257" w:type="dxa"/>
            <w:shd w:val="clear" w:color="auto" w:fill="FFFFFF" w:themeFill="background1"/>
          </w:tcPr>
          <w:p w14:paraId="3DA0D39F" w14:textId="690C5829" w:rsidR="00B1348F" w:rsidRPr="00BE6FD1" w:rsidRDefault="00E44E85" w:rsidP="00B1348F">
            <w:pPr>
              <w:pStyle w:val="DJCSbody"/>
              <w:spacing w:before="60" w:after="60" w:line="288" w:lineRule="auto"/>
              <w:rPr>
                <w:rFonts w:cs="Arial"/>
                <w:sz w:val="21"/>
                <w:szCs w:val="21"/>
              </w:rPr>
            </w:pPr>
            <w:r w:rsidRPr="00BE6FD1">
              <w:rPr>
                <w:rFonts w:cs="Arial"/>
                <w:sz w:val="21"/>
                <w:szCs w:val="21"/>
              </w:rPr>
              <w:t xml:space="preserve">Repeat dose after the dose given in error by at least the recommended interval of 28 days </w:t>
            </w:r>
            <w:r w:rsidRPr="00B24BB4">
              <w:rPr>
                <w:rFonts w:cs="Arial"/>
                <w:b/>
                <w:bCs/>
                <w:sz w:val="21"/>
                <w:szCs w:val="21"/>
              </w:rPr>
              <w:t xml:space="preserve">if </w:t>
            </w:r>
            <w:r w:rsidRPr="00BE6FD1">
              <w:rPr>
                <w:rFonts w:cs="Arial"/>
                <w:sz w:val="21"/>
                <w:szCs w:val="21"/>
              </w:rPr>
              <w:t>the p</w:t>
            </w:r>
            <w:r w:rsidR="004F680B">
              <w:rPr>
                <w:rFonts w:cs="Arial"/>
                <w:sz w:val="21"/>
                <w:szCs w:val="21"/>
              </w:rPr>
              <w:t>erson</w:t>
            </w:r>
            <w:r w:rsidRPr="00BE6FD1">
              <w:rPr>
                <w:rFonts w:cs="Arial"/>
                <w:sz w:val="21"/>
                <w:szCs w:val="21"/>
              </w:rPr>
              <w:t xml:space="preserve"> is </w:t>
            </w:r>
            <w:hyperlink w:anchor="_Vaccination_against_mpox" w:history="1">
              <w:r w:rsidRPr="00946395">
                <w:rPr>
                  <w:rStyle w:val="Hyperlink"/>
                  <w:rFonts w:cs="Arial"/>
                  <w:sz w:val="21"/>
                  <w:szCs w:val="21"/>
                </w:rPr>
                <w:t xml:space="preserve"> immuno</w:t>
              </w:r>
              <w:r w:rsidR="00946395">
                <w:rPr>
                  <w:rStyle w:val="Hyperlink"/>
                  <w:rFonts w:cs="Arial"/>
                  <w:sz w:val="21"/>
                  <w:szCs w:val="21"/>
                </w:rPr>
                <w:t>compromised</w:t>
              </w:r>
            </w:hyperlink>
            <w:r w:rsidRPr="00836449">
              <w:rPr>
                <w:rFonts w:cs="Arial"/>
                <w:sz w:val="21"/>
                <w:szCs w:val="21"/>
              </w:rPr>
              <w:t>.</w:t>
            </w:r>
            <w:r w:rsidR="00417BB6" w:rsidRPr="00BE6FD1">
              <w:rPr>
                <w:rFonts w:cs="Arial"/>
                <w:sz w:val="21"/>
                <w:szCs w:val="21"/>
              </w:rPr>
              <w:t xml:space="preserve"> </w:t>
            </w:r>
            <w:r w:rsidRPr="00BE6FD1">
              <w:rPr>
                <w:rFonts w:cs="Arial"/>
                <w:sz w:val="21"/>
                <w:szCs w:val="21"/>
              </w:rPr>
              <w:t>Otherwise, do not repeat dose.</w:t>
            </w:r>
          </w:p>
        </w:tc>
      </w:tr>
      <w:tr w:rsidR="00157709" w:rsidRPr="00953BFB" w14:paraId="2FDBDE6C" w14:textId="77777777" w:rsidTr="00035E03">
        <w:trPr>
          <w:jc w:val="center"/>
        </w:trPr>
        <w:tc>
          <w:tcPr>
            <w:tcW w:w="1555" w:type="dxa"/>
            <w:shd w:val="clear" w:color="auto" w:fill="auto"/>
          </w:tcPr>
          <w:p w14:paraId="21146046" w14:textId="36702073" w:rsidR="00157709" w:rsidRPr="00BE6FD1" w:rsidRDefault="00B1348F"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5BE2F7A" w14:textId="13F59702" w:rsidR="00157709" w:rsidRPr="00BE6FD1" w:rsidRDefault="00B1348F" w:rsidP="00B1348F">
            <w:pPr>
              <w:pStyle w:val="DJCSbody"/>
              <w:spacing w:before="60" w:after="60" w:line="288" w:lineRule="auto"/>
              <w:rPr>
                <w:rFonts w:cs="Arial"/>
                <w:sz w:val="21"/>
                <w:szCs w:val="21"/>
              </w:rPr>
            </w:pPr>
            <w:r w:rsidRPr="00BE6FD1">
              <w:rPr>
                <w:rFonts w:cs="Arial"/>
                <w:sz w:val="21"/>
                <w:szCs w:val="21"/>
              </w:rPr>
              <w:t xml:space="preserve">Interval between first and second dose </w:t>
            </w:r>
            <w:r>
              <w:rPr>
                <w:rFonts w:cs="Arial"/>
                <w:sz w:val="21"/>
                <w:szCs w:val="21"/>
              </w:rPr>
              <w:t>greater</w:t>
            </w:r>
            <w:r w:rsidRPr="00BE6FD1">
              <w:rPr>
                <w:rFonts w:cs="Arial"/>
                <w:sz w:val="21"/>
                <w:szCs w:val="21"/>
              </w:rPr>
              <w:t xml:space="preserve"> than the recommended interval.</w:t>
            </w:r>
          </w:p>
        </w:tc>
        <w:tc>
          <w:tcPr>
            <w:tcW w:w="5257" w:type="dxa"/>
            <w:shd w:val="clear" w:color="auto" w:fill="FFFFFF" w:themeFill="background1"/>
          </w:tcPr>
          <w:p w14:paraId="0C303131" w14:textId="4FAED26F" w:rsidR="00157709" w:rsidRPr="00B1348F" w:rsidRDefault="00B1348F" w:rsidP="00B1348F">
            <w:pPr>
              <w:pStyle w:val="DJCSbody"/>
              <w:spacing w:before="60" w:after="60" w:line="288" w:lineRule="auto"/>
              <w:rPr>
                <w:rFonts w:cs="Arial"/>
                <w:sz w:val="21"/>
                <w:szCs w:val="21"/>
              </w:rPr>
            </w:pPr>
            <w:r w:rsidRPr="00B1348F">
              <w:rPr>
                <w:rFonts w:cs="Arial"/>
                <w:color w:val="000000"/>
                <w:sz w:val="21"/>
                <w:szCs w:val="21"/>
                <w:shd w:val="clear" w:color="auto" w:fill="FFFFFF"/>
              </w:rPr>
              <w:t>Do not restart the series. Administer the second dose as soon as possible.</w:t>
            </w:r>
          </w:p>
        </w:tc>
      </w:tr>
      <w:tr w:rsidR="00E44E85" w:rsidRPr="00953BFB" w14:paraId="5B157DEE" w14:textId="77777777" w:rsidTr="00035E03">
        <w:trPr>
          <w:jc w:val="center"/>
        </w:trPr>
        <w:tc>
          <w:tcPr>
            <w:tcW w:w="1555" w:type="dxa"/>
            <w:shd w:val="clear" w:color="auto" w:fill="auto"/>
          </w:tcPr>
          <w:p w14:paraId="75652749"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44A11DD2"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after improper storage and handling (i.e., temperature excursion)</w:t>
            </w:r>
          </w:p>
        </w:tc>
        <w:tc>
          <w:tcPr>
            <w:tcW w:w="5257" w:type="dxa"/>
            <w:shd w:val="clear" w:color="auto" w:fill="FFFFFF" w:themeFill="background1"/>
          </w:tcPr>
          <w:p w14:paraId="05885AF1" w14:textId="0E933AFF"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w:t>
            </w:r>
            <w:r w:rsidR="00A6687C">
              <w:rPr>
                <w:rFonts w:cs="Arial"/>
                <w:sz w:val="21"/>
                <w:szCs w:val="21"/>
              </w:rPr>
              <w:t xml:space="preserve">Program </w:t>
            </w:r>
            <w:r w:rsidR="00A6687C" w:rsidRPr="00BE6FD1">
              <w:rPr>
                <w:rFonts w:cs="Arial"/>
                <w:sz w:val="21"/>
                <w:szCs w:val="21"/>
              </w:rPr>
              <w:t xml:space="preserve"> </w:t>
            </w:r>
            <w:r w:rsidRPr="00BE6FD1">
              <w:rPr>
                <w:rFonts w:cs="Arial"/>
                <w:sz w:val="21"/>
                <w:szCs w:val="21"/>
              </w:rPr>
              <w:t xml:space="preserve">via email – </w:t>
            </w:r>
            <w:hyperlink r:id="rId60" w:history="1">
              <w:r w:rsidRPr="00BE6FD1">
                <w:rPr>
                  <w:rStyle w:val="Hyperlink"/>
                  <w:rFonts w:cs="Arial"/>
                  <w:sz w:val="21"/>
                  <w:szCs w:val="21"/>
                </w:rPr>
                <w:t>immunisation@health.vic.gov.au</w:t>
              </w:r>
            </w:hyperlink>
          </w:p>
        </w:tc>
      </w:tr>
      <w:tr w:rsidR="00E44E85" w:rsidRPr="00953BFB" w14:paraId="6E42E352" w14:textId="77777777" w:rsidTr="00035E03">
        <w:trPr>
          <w:jc w:val="center"/>
        </w:trPr>
        <w:tc>
          <w:tcPr>
            <w:tcW w:w="1555" w:type="dxa"/>
            <w:shd w:val="clear" w:color="auto" w:fill="auto"/>
          </w:tcPr>
          <w:p w14:paraId="628CFE02"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55F977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past the expiration/beyond-use date</w:t>
            </w:r>
          </w:p>
        </w:tc>
        <w:tc>
          <w:tcPr>
            <w:tcW w:w="5257" w:type="dxa"/>
            <w:shd w:val="clear" w:color="auto" w:fill="FFFFFF" w:themeFill="background1"/>
          </w:tcPr>
          <w:p w14:paraId="5E75F4F2" w14:textId="0F80708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w:t>
            </w:r>
            <w:r w:rsidR="00A6687C">
              <w:rPr>
                <w:rFonts w:cs="Arial"/>
                <w:sz w:val="21"/>
                <w:szCs w:val="21"/>
              </w:rPr>
              <w:t xml:space="preserve">Program </w:t>
            </w:r>
            <w:r w:rsidRPr="00BE6FD1">
              <w:rPr>
                <w:rFonts w:cs="Arial"/>
                <w:sz w:val="21"/>
                <w:szCs w:val="21"/>
              </w:rPr>
              <w:t xml:space="preserve">via email – </w:t>
            </w:r>
            <w:hyperlink r:id="rId61" w:history="1">
              <w:r w:rsidRPr="00BE6FD1">
                <w:rPr>
                  <w:rStyle w:val="Hyperlink"/>
                  <w:rFonts w:cs="Arial"/>
                  <w:sz w:val="21"/>
                  <w:szCs w:val="21"/>
                </w:rPr>
                <w:t>immunisation@health.vic.gov.au</w:t>
              </w:r>
            </w:hyperlink>
          </w:p>
        </w:tc>
      </w:tr>
    </w:tbl>
    <w:p w14:paraId="64F89E8D" w14:textId="77777777" w:rsidR="00077DBB" w:rsidRPr="00955AD9" w:rsidRDefault="00077DBB" w:rsidP="002659C6">
      <w:pPr>
        <w:pStyle w:val="Heading2"/>
      </w:pPr>
      <w:bookmarkStart w:id="181" w:name="_Adverse_Events_Following_2"/>
      <w:bookmarkStart w:id="182" w:name="_Toc910993091"/>
      <w:bookmarkStart w:id="183" w:name="_Toc176344999"/>
      <w:bookmarkEnd w:id="181"/>
      <w:r w:rsidRPr="00955AD9">
        <w:t>Adverse Events Following Immunisation (AEFI) – Reporting and Management</w:t>
      </w:r>
      <w:bookmarkEnd w:id="182"/>
      <w:bookmarkEnd w:id="183"/>
    </w:p>
    <w:p w14:paraId="30E767A8" w14:textId="77777777" w:rsidR="00077DBB" w:rsidRPr="006314A4" w:rsidRDefault="00077DBB" w:rsidP="0046191B">
      <w:pPr>
        <w:pStyle w:val="Body"/>
        <w:spacing w:before="120" w:line="288" w:lineRule="auto"/>
      </w:pPr>
      <w:r w:rsidRPr="006314A4">
        <w:t>Vaccination providers should reasonably anticipate three medical emergencies associated with vaccination: fainting, hyperventilation, and anaphylaxis. All clinical staff should have up to date CPR training and immuniser training in managing anaphylaxis response.</w:t>
      </w:r>
    </w:p>
    <w:p w14:paraId="3880691B" w14:textId="77777777" w:rsidR="00077DBB" w:rsidRPr="006314A4" w:rsidRDefault="00077DBB" w:rsidP="00077DBB">
      <w:pPr>
        <w:pStyle w:val="Heading3"/>
      </w:pPr>
      <w:bookmarkStart w:id="184" w:name="_Steps_for_managing"/>
      <w:bookmarkStart w:id="185" w:name="_Toc112154610"/>
      <w:bookmarkStart w:id="186" w:name="_Toc112315670"/>
      <w:bookmarkStart w:id="187" w:name="_Toc2030884371"/>
      <w:bookmarkEnd w:id="184"/>
      <w:r>
        <w:t>Steps for managing an adverse event following immunisation</w:t>
      </w:r>
      <w:bookmarkEnd w:id="185"/>
      <w:bookmarkEnd w:id="186"/>
      <w:r>
        <w:t xml:space="preserve"> </w:t>
      </w:r>
      <w:bookmarkEnd w:id="187"/>
    </w:p>
    <w:p w14:paraId="314CF8D1" w14:textId="77777777" w:rsidR="00077DBB" w:rsidRPr="006314A4" w:rsidRDefault="00077DBB" w:rsidP="00077DBB">
      <w:pPr>
        <w:pStyle w:val="Body"/>
      </w:pPr>
      <w:r w:rsidRPr="006314A4">
        <w:t>An adverse event following immunisation (AEFI) is an unwanted or unexpected event following the administration of a vaccine(s). AEFIs may be caused by a vaccine(s) or may occur by coincidence (that is, the event would have occurred regardless of vaccination). AEFIs also include conditions that may occur following the incorrect handling or administration of a vaccine.</w:t>
      </w:r>
    </w:p>
    <w:p w14:paraId="70F232C1" w14:textId="77777777" w:rsidR="00077DBB" w:rsidRPr="006314A4" w:rsidRDefault="00077DBB" w:rsidP="00077DBB">
      <w:pPr>
        <w:pStyle w:val="Body"/>
      </w:pPr>
      <w:r w:rsidRPr="006314A4">
        <w:t>The following documents contain official general advice on managing medical emergencies associated with vaccination:</w:t>
      </w:r>
    </w:p>
    <w:p w14:paraId="1692053C" w14:textId="231E16F3" w:rsidR="00077DBB" w:rsidRPr="006314A4" w:rsidRDefault="00000000" w:rsidP="00603DC8">
      <w:pPr>
        <w:pStyle w:val="Bullet1"/>
        <w:numPr>
          <w:ilvl w:val="0"/>
          <w:numId w:val="15"/>
        </w:numPr>
        <w:rPr>
          <w:rStyle w:val="Hyperlink"/>
        </w:rPr>
      </w:pPr>
      <w:hyperlink r:id="rId62" w:history="1">
        <w:r w:rsidR="00077DBB" w:rsidRPr="006314A4">
          <w:rPr>
            <w:rStyle w:val="Hyperlink"/>
          </w:rPr>
          <w:t>Recognising and</w:t>
        </w:r>
        <w:bookmarkStart w:id="188" w:name="_Hlt69465751"/>
        <w:bookmarkStart w:id="189" w:name="_Hlt69465752"/>
        <w:bookmarkEnd w:id="188"/>
        <w:bookmarkEnd w:id="189"/>
        <w:r w:rsidR="00077DBB" w:rsidRPr="006314A4">
          <w:rPr>
            <w:rStyle w:val="Hyperlink"/>
          </w:rPr>
          <w:t xml:space="preserve"> treating anaphylaxis</w:t>
        </w:r>
        <w:r w:rsidR="00D35FB3">
          <w:rPr>
            <w:rStyle w:val="Hyperlink"/>
          </w:rPr>
          <w:t xml:space="preserve"> </w:t>
        </w:r>
        <w:r w:rsidR="00077DBB" w:rsidRPr="00955AD9">
          <w:rPr>
            <w:rStyle w:val="FootnoteReference"/>
          </w:rPr>
          <w:footnoteReference w:id="34"/>
        </w:r>
        <w:r w:rsidR="00077DBB" w:rsidRPr="00955AD9">
          <w:rPr>
            <w:rStyle w:val="FootnoteReference"/>
          </w:rPr>
          <w:t xml:space="preserve"> </w:t>
        </w:r>
      </w:hyperlink>
    </w:p>
    <w:p w14:paraId="7ADF90A8" w14:textId="1AC75A49" w:rsidR="00077DBB" w:rsidRPr="006314A4" w:rsidRDefault="00000000" w:rsidP="00603DC8">
      <w:pPr>
        <w:pStyle w:val="Bullet1"/>
        <w:numPr>
          <w:ilvl w:val="0"/>
          <w:numId w:val="15"/>
        </w:numPr>
      </w:pPr>
      <w:hyperlink r:id="rId63">
        <w:r w:rsidR="002D100C">
          <w:rPr>
            <w:rStyle w:val="Hyperlink"/>
          </w:rPr>
          <w:t>ATAGI (2022) Managing anaphylaxis</w:t>
        </w:r>
        <w:r w:rsidR="002D100C" w:rsidRPr="00955AD9">
          <w:rPr>
            <w:rStyle w:val="FootnoteReference"/>
          </w:rPr>
          <w:footnoteReference w:id="35"/>
        </w:r>
        <w:r w:rsidR="00F40D26" w:rsidRPr="00955AD9">
          <w:rPr>
            <w:rStyle w:val="Hyperlink"/>
            <w:color w:val="auto"/>
            <w:u w:val="none"/>
          </w:rPr>
          <w:t xml:space="preserve"> </w:t>
        </w:r>
      </w:hyperlink>
    </w:p>
    <w:p w14:paraId="6DBD7045" w14:textId="5ECFCE41" w:rsidR="00077DBB" w:rsidRPr="004B6983" w:rsidRDefault="004B6983" w:rsidP="00603DC8">
      <w:pPr>
        <w:pStyle w:val="Bullet1"/>
        <w:numPr>
          <w:ilvl w:val="0"/>
          <w:numId w:val="15"/>
        </w:numPr>
        <w:rPr>
          <w:rStyle w:val="Hyperlink"/>
        </w:rPr>
      </w:pPr>
      <w:r>
        <w:fldChar w:fldCharType="begin"/>
      </w:r>
      <w:r>
        <w:instrText>HYPERLINK "https://immunisationhandbook.health.gov.au/resources/publications/preparing-an-anaphylaxis-response-kit"</w:instrText>
      </w:r>
      <w:r>
        <w:fldChar w:fldCharType="separate"/>
      </w:r>
      <w:r w:rsidR="00077DBB" w:rsidRPr="004B6983">
        <w:rPr>
          <w:rStyle w:val="Hyperlink"/>
        </w:rPr>
        <w:t>Preparing an anaphylaxis response kit</w:t>
      </w:r>
      <w:r w:rsidR="00F5320A" w:rsidRPr="004B6983">
        <w:rPr>
          <w:rStyle w:val="Hyperlink"/>
          <w:vertAlign w:val="superscript"/>
        </w:rPr>
        <w:footnoteReference w:id="36"/>
      </w:r>
      <w:r w:rsidR="00077DBB" w:rsidRPr="004B6983">
        <w:rPr>
          <w:rStyle w:val="Hyperlink"/>
        </w:rPr>
        <w:t xml:space="preserve">  </w:t>
      </w:r>
    </w:p>
    <w:p w14:paraId="1788EEFF" w14:textId="403A6953" w:rsidR="00077DBB" w:rsidRPr="006314A4" w:rsidRDefault="004B6983" w:rsidP="00603DC8">
      <w:pPr>
        <w:pStyle w:val="Bullet1"/>
        <w:numPr>
          <w:ilvl w:val="0"/>
          <w:numId w:val="15"/>
        </w:numPr>
      </w:pPr>
      <w:r>
        <w:fldChar w:fldCharType="end"/>
      </w:r>
      <w:hyperlink r:id="rId64">
        <w:r w:rsidR="00077DBB" w:rsidRPr="006314A4">
          <w:rPr>
            <w:rStyle w:val="Hyperlink"/>
          </w:rPr>
          <w:t>Anaphylaxis Clinical Care Standard</w:t>
        </w:r>
      </w:hyperlink>
      <w:r w:rsidR="00077DBB" w:rsidRPr="006314A4">
        <w:t xml:space="preserve"> developed by Safer Care Victoria</w:t>
      </w:r>
      <w:r w:rsidR="00746F84">
        <w:rPr>
          <w:rStyle w:val="FootnoteReference"/>
        </w:rPr>
        <w:footnoteReference w:id="37"/>
      </w:r>
    </w:p>
    <w:bookmarkStart w:id="190" w:name="_Hlk73829506"/>
    <w:p w14:paraId="7B455DB6" w14:textId="488F038F" w:rsidR="00077DBB" w:rsidRPr="006314A4" w:rsidRDefault="009D0D3F" w:rsidP="00603DC8">
      <w:pPr>
        <w:pStyle w:val="Bullet1"/>
        <w:numPr>
          <w:ilvl w:val="0"/>
          <w:numId w:val="15"/>
        </w:numPr>
        <w:rPr>
          <w:rStyle w:val="Hyperlink"/>
        </w:rPr>
      </w:pPr>
      <w:r>
        <w:fldChar w:fldCharType="begin"/>
      </w:r>
      <w:r>
        <w:instrText>HYPERLINK \l "_Appendix_11:_Factsheet" \h</w:instrText>
      </w:r>
      <w:r>
        <w:fldChar w:fldCharType="separate"/>
      </w:r>
      <w:r>
        <w:rPr>
          <w:rStyle w:val="Hyperlink"/>
        </w:rPr>
        <w:t>Table.</w:t>
      </w:r>
      <w:r>
        <w:rPr>
          <w:rStyle w:val="Hyperlink"/>
        </w:rPr>
        <w:fldChar w:fldCharType="end"/>
      </w:r>
      <w:r>
        <w:rPr>
          <w:rStyle w:val="Hyperlink"/>
        </w:rPr>
        <w:t xml:space="preserve"> Clinical features that may help differentiate between a vasovagal episode and anaphylaxis</w:t>
      </w:r>
      <w:r w:rsidRPr="00CC37BE">
        <w:rPr>
          <w:rStyle w:val="FootnoteReference"/>
        </w:rPr>
        <w:footnoteReference w:id="38"/>
      </w:r>
    </w:p>
    <w:p w14:paraId="1C017D6C" w14:textId="77777777" w:rsidR="00077DBB" w:rsidRPr="006314A4" w:rsidRDefault="00077DBB" w:rsidP="00077DBB">
      <w:pPr>
        <w:pStyle w:val="Heading3"/>
      </w:pPr>
      <w:bookmarkStart w:id="191" w:name="_Fainting_and_syncopal"/>
      <w:bookmarkStart w:id="192" w:name="_Toc1312165668"/>
      <w:bookmarkStart w:id="193" w:name="_Toc112154611"/>
      <w:bookmarkStart w:id="194" w:name="_Toc112315671"/>
      <w:bookmarkEnd w:id="190"/>
      <w:bookmarkEnd w:id="191"/>
      <w:r>
        <w:t>Fainting and syncopal seizures</w:t>
      </w:r>
      <w:bookmarkEnd w:id="192"/>
      <w:bookmarkEnd w:id="193"/>
      <w:bookmarkEnd w:id="194"/>
    </w:p>
    <w:p w14:paraId="19B17F41" w14:textId="4D40AA25" w:rsidR="00077DBB" w:rsidRPr="006314A4" w:rsidRDefault="00077DBB" w:rsidP="00D37415">
      <w:pPr>
        <w:pStyle w:val="Body"/>
        <w:spacing w:before="120" w:line="288" w:lineRule="auto"/>
      </w:pPr>
      <w:r w:rsidRPr="006314A4">
        <w:t>There may be variations in the frequency and type of adverse events following immunisation</w:t>
      </w:r>
      <w:r w:rsidR="00904B42">
        <w:t xml:space="preserve">, with </w:t>
      </w:r>
      <w:r w:rsidR="00F7237B">
        <w:t>a</w:t>
      </w:r>
      <w:r w:rsidRPr="006314A4">
        <w:t>nxiety/pain related reactions to any vaccine is likely to be higher for adolescents than adults. An Australian study</w:t>
      </w:r>
      <w:r w:rsidRPr="006314A4">
        <w:rPr>
          <w:rStyle w:val="FootnoteReference"/>
        </w:rPr>
        <w:footnoteReference w:id="39"/>
      </w:r>
      <w:r w:rsidRPr="006314A4">
        <w:t xml:space="preserve"> showed the occurrence of syncope and seizures following vaccination administrating is higher in children and adolescents compared to adults. </w:t>
      </w:r>
    </w:p>
    <w:p w14:paraId="496BA4E0" w14:textId="79DAE2F4" w:rsidR="00077DBB" w:rsidRPr="006314A4" w:rsidRDefault="00077DBB" w:rsidP="00D37415">
      <w:pPr>
        <w:pStyle w:val="Body"/>
        <w:spacing w:before="120" w:line="288" w:lineRule="auto"/>
      </w:pPr>
      <w:r w:rsidRPr="006314A4">
        <w:t xml:space="preserve">While most cases of fainting and syncopal seizures are not serious, some </w:t>
      </w:r>
      <w:r w:rsidR="00F7237B">
        <w:t>people</w:t>
      </w:r>
      <w:r w:rsidRPr="006314A4">
        <w:t xml:space="preserve"> may sustain injury from high impact falls, so it is important to have a safe vaccinating environment and an awareness of the clinical signs of a faint/syncope.</w:t>
      </w:r>
    </w:p>
    <w:p w14:paraId="41A0F96D" w14:textId="77777777" w:rsidR="00077DBB" w:rsidRPr="00884218" w:rsidRDefault="00077DBB" w:rsidP="00F7237B">
      <w:pPr>
        <w:pStyle w:val="Heading3"/>
      </w:pPr>
      <w:r w:rsidRPr="00884218">
        <w:t xml:space="preserve">Serious or unexpected AEFI </w:t>
      </w:r>
    </w:p>
    <w:p w14:paraId="578DA4A9" w14:textId="77777777" w:rsidR="00077DBB" w:rsidRPr="00E04A3F" w:rsidRDefault="00077DBB" w:rsidP="00077DBB">
      <w:pPr>
        <w:pStyle w:val="paragraph"/>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Serious or unexpected AEFI require urgent direct notification:</w:t>
      </w:r>
    </w:p>
    <w:p w14:paraId="5E45E5A0" w14:textId="3EE4A172" w:rsidR="002D3706" w:rsidRPr="003976E1" w:rsidRDefault="00077DBB" w:rsidP="0091033F">
      <w:pPr>
        <w:pStyle w:val="paragraph"/>
        <w:numPr>
          <w:ilvl w:val="0"/>
          <w:numId w:val="18"/>
        </w:numPr>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 xml:space="preserve"> via the online </w:t>
      </w:r>
      <w:hyperlink r:id="rId65" w:history="1">
        <w:r w:rsidR="002D3706" w:rsidRPr="002D3706">
          <w:rPr>
            <w:rStyle w:val="Hyperlink"/>
            <w:rFonts w:ascii="Arial" w:hAnsi="Arial" w:cs="Arial"/>
            <w:sz w:val="21"/>
            <w:szCs w:val="21"/>
          </w:rPr>
          <w:t>https://www.safevac.org.au/Home/Info/VIC</w:t>
        </w:r>
      </w:hyperlink>
      <w:r w:rsidR="002D3706">
        <w:rPr>
          <w:rFonts w:ascii="Arial" w:hAnsi="Arial" w:cs="Arial"/>
          <w:sz w:val="21"/>
          <w:szCs w:val="21"/>
        </w:rPr>
        <w:t xml:space="preserve"> </w:t>
      </w:r>
      <w:r w:rsidR="002D3706" w:rsidRPr="003976E1">
        <w:rPr>
          <w:rFonts w:ascii="Arial" w:hAnsi="Arial" w:cs="Arial"/>
          <w:sz w:val="21"/>
          <w:szCs w:val="21"/>
        </w:rPr>
        <w:t xml:space="preserve"> </w:t>
      </w:r>
      <w:r w:rsidR="004430E7">
        <w:rPr>
          <w:rFonts w:ascii="Arial" w:hAnsi="Arial" w:cs="Arial"/>
          <w:sz w:val="21"/>
          <w:szCs w:val="21"/>
        </w:rPr>
        <w:t xml:space="preserve">- 24 hours </w:t>
      </w:r>
      <w:r w:rsidR="002D3706" w:rsidRPr="003976E1">
        <w:rPr>
          <w:rFonts w:ascii="Arial" w:eastAsia="Times New Roman" w:hAnsi="Arial" w:cs="Arial"/>
          <w:sz w:val="21"/>
          <w:szCs w:val="21"/>
        </w:rPr>
        <w:t>&lt;https://www.safevac.org.au/Home/Info/VIC&gt;</w:t>
      </w:r>
    </w:p>
    <w:p w14:paraId="50D4967C" w14:textId="6FEB7C1C" w:rsidR="00077DBB" w:rsidRPr="00E04A3F" w:rsidRDefault="002D3706" w:rsidP="003976E1">
      <w:pPr>
        <w:pStyle w:val="Body"/>
        <w:numPr>
          <w:ilvl w:val="0"/>
          <w:numId w:val="18"/>
        </w:numPr>
        <w:rPr>
          <w:rFonts w:cs="Arial"/>
          <w:szCs w:val="21"/>
        </w:rPr>
      </w:pPr>
      <w:r w:rsidRPr="003976E1">
        <w:rPr>
          <w:rFonts w:cs="Arial"/>
          <w:szCs w:val="21"/>
        </w:rPr>
        <w:t>.</w:t>
      </w:r>
      <w:r w:rsidR="00077DBB" w:rsidRPr="00E04A3F">
        <w:rPr>
          <w:rFonts w:cs="Arial"/>
          <w:szCs w:val="21"/>
        </w:rPr>
        <w:t>Ph: 1300 882 924 (option 1)</w:t>
      </w:r>
      <w:r w:rsidR="004430E7">
        <w:rPr>
          <w:rFonts w:cs="Arial"/>
          <w:szCs w:val="21"/>
        </w:rPr>
        <w:t xml:space="preserve"> 10am - 2 pm Monday to Friday</w:t>
      </w:r>
    </w:p>
    <w:p w14:paraId="069DE266" w14:textId="77777777" w:rsidR="00077DBB" w:rsidRPr="006314A4" w:rsidRDefault="00077DBB" w:rsidP="00077DBB">
      <w:pPr>
        <w:pStyle w:val="Heading3"/>
      </w:pPr>
      <w:bookmarkStart w:id="195" w:name="_Toc2138359726"/>
      <w:bookmarkStart w:id="196" w:name="_Toc112154612"/>
      <w:bookmarkStart w:id="197" w:name="_Toc112315672"/>
      <w:r w:rsidRPr="006314A4">
        <w:t>Reporting an immediate AEFI (at place of vaccination)</w:t>
      </w:r>
      <w:bookmarkEnd w:id="195"/>
      <w:bookmarkEnd w:id="196"/>
      <w:bookmarkEnd w:id="197"/>
    </w:p>
    <w:p w14:paraId="7203243D" w14:textId="04429F40" w:rsidR="00077DBB" w:rsidRDefault="00077DBB" w:rsidP="004A7B9F">
      <w:pPr>
        <w:pStyle w:val="Bullet1"/>
        <w:numPr>
          <w:ilvl w:val="0"/>
          <w:numId w:val="0"/>
        </w:numPr>
        <w:spacing w:before="120" w:after="120"/>
      </w:pPr>
      <w:r w:rsidRPr="004A7B9F">
        <w:t>All medically attended AEFI must be reported to SAEFVIC</w:t>
      </w:r>
      <w:r w:rsidR="00DD190E" w:rsidRPr="004A7B9F">
        <w:t xml:space="preserve"> immediately after the event.</w:t>
      </w:r>
      <w:r w:rsidRPr="004A7B9F">
        <w:t xml:space="preserve"> Medically attended events are defined as medical assistance from the onsite clinician, paramedic attendance or transfer to an emergency department or hospital admission.</w:t>
      </w:r>
    </w:p>
    <w:p w14:paraId="24EF63E4" w14:textId="6BF864B1" w:rsidR="00BC49FB" w:rsidRPr="00F82623" w:rsidRDefault="00BC49FB" w:rsidP="00BC49FB">
      <w:pPr>
        <w:pStyle w:val="Body"/>
      </w:pPr>
      <w:r w:rsidRPr="00F82623">
        <w:t xml:space="preserve">Please refer to </w:t>
      </w:r>
      <w:hyperlink w:anchor="_Appendix_11:_Factsheet" w:history="1">
        <w:r w:rsidRPr="003C4511">
          <w:rPr>
            <w:rStyle w:val="Hyperlink"/>
          </w:rPr>
          <w:t>Appendix 6 Adverse events following immun</w:t>
        </w:r>
        <w:r w:rsidRPr="002B2723">
          <w:rPr>
            <w:rStyle w:val="Hyperlink"/>
            <w:color w:val="365F91" w:themeColor="accent1" w:themeShade="BF"/>
          </w:rPr>
          <w:t>isat</w:t>
        </w:r>
        <w:r w:rsidRPr="003C4511">
          <w:rPr>
            <w:rStyle w:val="Hyperlink"/>
          </w:rPr>
          <w:t>ion (AEFI)</w:t>
        </w:r>
      </w:hyperlink>
      <w:r>
        <w:t xml:space="preserve"> </w:t>
      </w:r>
      <w:r w:rsidRPr="00F82623">
        <w:t>for a factsheet that can be printed out and displayed for vaccination site staff to easily locate contact information.</w:t>
      </w:r>
    </w:p>
    <w:p w14:paraId="7D923968" w14:textId="77777777" w:rsidR="00077DBB" w:rsidRPr="00E80CA7" w:rsidRDefault="00077DBB" w:rsidP="004A7B9F">
      <w:pPr>
        <w:pStyle w:val="Heading3"/>
      </w:pPr>
      <w:bookmarkStart w:id="198" w:name="_Toc656743643"/>
      <w:bookmarkStart w:id="199" w:name="_Toc112154613"/>
      <w:bookmarkStart w:id="200" w:name="_Toc112315673"/>
      <w:r w:rsidRPr="004A7B9F">
        <w:rPr>
          <w:bCs w:val="0"/>
        </w:rPr>
        <w:t>Reporting</w:t>
      </w:r>
      <w:r>
        <w:t xml:space="preserve"> a delayed AEFI (outside place of vaccination)</w:t>
      </w:r>
      <w:bookmarkEnd w:id="198"/>
      <w:bookmarkEnd w:id="199"/>
      <w:bookmarkEnd w:id="200"/>
    </w:p>
    <w:p w14:paraId="6DB157B8" w14:textId="77777777" w:rsidR="00077DBB" w:rsidRPr="00E80CA7" w:rsidRDefault="00077DBB" w:rsidP="00077DBB">
      <w:pPr>
        <w:pStyle w:val="Body"/>
        <w:rPr>
          <w:color w:val="004C97"/>
          <w:u w:val="dotted"/>
        </w:rPr>
      </w:pPr>
      <w:r w:rsidRPr="00E80CA7">
        <w:t xml:space="preserve">Vaccinees are advised to seek medical attention from their local general practitioner or emergency department should a delayed AEFI occur. Following medical attention, clinicians should report an AEFI to SAEFVIC via usual practices either online </w:t>
      </w:r>
      <w:hyperlink r:id="rId66" w:history="1">
        <w:r w:rsidRPr="00E80CA7">
          <w:rPr>
            <w:rStyle w:val="Hyperlink"/>
          </w:rPr>
          <w:t>www.saefvic.org.au</w:t>
        </w:r>
      </w:hyperlink>
      <w:r w:rsidRPr="00E80CA7">
        <w:t xml:space="preserve"> or by phone call (as above). Vaccinees can find more information online at </w:t>
      </w:r>
      <w:hyperlink r:id="rId67" w:history="1">
        <w:r w:rsidRPr="00E80CA7">
          <w:rPr>
            <w:rStyle w:val="Hyperlink"/>
          </w:rPr>
          <w:t>https://saefvic.online/report</w:t>
        </w:r>
      </w:hyperlink>
      <w:r>
        <w:rPr>
          <w:rStyle w:val="Hyperlink"/>
        </w:rPr>
        <w:t>.</w:t>
      </w:r>
      <w:r w:rsidRPr="00E80CA7">
        <w:rPr>
          <w:rStyle w:val="Hyperlink"/>
        </w:rPr>
        <w:t xml:space="preserve"> </w:t>
      </w:r>
    </w:p>
    <w:p w14:paraId="732DAA17" w14:textId="77777777" w:rsidR="00077DBB" w:rsidRPr="00E80CA7" w:rsidRDefault="00077DBB" w:rsidP="00077DBB">
      <w:pPr>
        <w:pStyle w:val="Heading3"/>
        <w:rPr>
          <w:rFonts w:ascii="Calibri" w:hAnsi="Calibri"/>
        </w:rPr>
      </w:pPr>
      <w:bookmarkStart w:id="201" w:name="_Toc623573678"/>
      <w:bookmarkStart w:id="202" w:name="_Toc112154614"/>
      <w:bookmarkStart w:id="203" w:name="_Toc112315674"/>
      <w:bookmarkStart w:id="204" w:name="_Toc71895628"/>
      <w:bookmarkStart w:id="205" w:name="_Toc73627101"/>
      <w:r>
        <w:t>Managing anaphylaxis and other serious AEFI</w:t>
      </w:r>
      <w:bookmarkEnd w:id="201"/>
      <w:bookmarkEnd w:id="202"/>
      <w:bookmarkEnd w:id="203"/>
    </w:p>
    <w:p w14:paraId="39E31EC1" w14:textId="77777777" w:rsidR="00077DBB" w:rsidRPr="00E80CA7" w:rsidRDefault="00077DBB" w:rsidP="00077DBB">
      <w:pPr>
        <w:pStyle w:val="Body"/>
      </w:pPr>
      <w:r w:rsidRPr="00E80CA7">
        <w:t xml:space="preserve">Serious AEFI such as anaphylaxis is a rare adverse event that can occur after administration of a vaccine. </w:t>
      </w:r>
    </w:p>
    <w:p w14:paraId="591FA941" w14:textId="77777777" w:rsidR="00077DBB" w:rsidRDefault="00077DBB" w:rsidP="00077DBB">
      <w:pPr>
        <w:pStyle w:val="Body"/>
      </w:pPr>
      <w:r w:rsidRPr="00E80CA7">
        <w:t>It is recommended all vaccination providers is the ability to monitor, manage and report AEFIs and to have incident management measures in place (and documented), ensuring staff are fully informed of any relevant procedures and able to report any clinical incident. Vaccination sites also have a duty of care to respond to other medical emergencies that may occur on site. </w:t>
      </w:r>
    </w:p>
    <w:p w14:paraId="3E9371F5" w14:textId="333BCD04" w:rsidR="00072CEE" w:rsidRPr="00E80CA7" w:rsidRDefault="007A5F27" w:rsidP="00077DBB">
      <w:pPr>
        <w:pStyle w:val="Body"/>
      </w:pPr>
      <w:r>
        <w:t>Refer to</w:t>
      </w:r>
      <w:r w:rsidR="005101DE">
        <w:t xml:space="preserve"> guidance contained in </w:t>
      </w:r>
      <w:hyperlink w:anchor="_Appendix_5:_Guidance" w:history="1">
        <w:r w:rsidRPr="005101DE">
          <w:rPr>
            <w:rStyle w:val="Hyperlink"/>
          </w:rPr>
          <w:t xml:space="preserve">Appendix 5: Guidance </w:t>
        </w:r>
        <w:r w:rsidR="00B96D08">
          <w:rPr>
            <w:rStyle w:val="Hyperlink"/>
          </w:rPr>
          <w:t>–</w:t>
        </w:r>
        <w:r w:rsidRPr="005101DE">
          <w:rPr>
            <w:rStyle w:val="Hyperlink"/>
          </w:rPr>
          <w:t xml:space="preserve"> differentiating anaphylaxis from acute stress response for vaccine providers and emergency departments</w:t>
        </w:r>
      </w:hyperlink>
      <w:r w:rsidR="005101DE">
        <w:rPr>
          <w:rStyle w:val="normaltextrun"/>
        </w:rPr>
        <w:t>.</w:t>
      </w:r>
    </w:p>
    <w:p w14:paraId="2EAD05F8" w14:textId="51C9EA59" w:rsidR="00077DBB" w:rsidRPr="00275EAE" w:rsidRDefault="00077DBB" w:rsidP="00077DBB">
      <w:pPr>
        <w:pStyle w:val="Body"/>
      </w:pPr>
      <w:r w:rsidRPr="00275EAE">
        <w:t xml:space="preserve">Vaccination providers should consider the </w:t>
      </w:r>
      <w:r w:rsidR="00566DBF">
        <w:t xml:space="preserve">following </w:t>
      </w:r>
      <w:r w:rsidRPr="00275EAE">
        <w:t>below for each vaccination site:</w:t>
      </w:r>
    </w:p>
    <w:p w14:paraId="3ECACF63" w14:textId="77777777" w:rsidR="00077DBB" w:rsidRPr="00275EAE" w:rsidRDefault="00077DBB" w:rsidP="00603DC8">
      <w:pPr>
        <w:pStyle w:val="Body"/>
        <w:numPr>
          <w:ilvl w:val="0"/>
          <w:numId w:val="26"/>
        </w:numPr>
      </w:pPr>
      <w:r w:rsidRPr="00275EAE">
        <w:t xml:space="preserve">All staff working at the vaccination site should be trained on </w:t>
      </w:r>
      <w:r>
        <w:t>anaphylaxis management,</w:t>
      </w:r>
      <w:r w:rsidRPr="00275EAE">
        <w:t xml:space="preserve"> including their points of escalation in the case of a medical emergency.</w:t>
      </w:r>
    </w:p>
    <w:p w14:paraId="0582F012" w14:textId="01822960" w:rsidR="00077DBB" w:rsidRPr="00275EAE" w:rsidRDefault="00077DBB" w:rsidP="00603DC8">
      <w:pPr>
        <w:pStyle w:val="Body"/>
        <w:numPr>
          <w:ilvl w:val="0"/>
          <w:numId w:val="25"/>
        </w:numPr>
      </w:pPr>
      <w:r w:rsidRPr="00275EAE">
        <w:t xml:space="preserve">Vaccination sites (including all </w:t>
      </w:r>
      <w:r w:rsidR="00930607">
        <w:t>mobile clinics</w:t>
      </w:r>
      <w:r w:rsidRPr="00275EAE">
        <w:t xml:space="preserve">) that refer to a standard emergency response procedure should clearly document how their emergency response applies at their vaccination site </w:t>
      </w:r>
    </w:p>
    <w:p w14:paraId="0B40939F" w14:textId="77777777" w:rsidR="00077DBB" w:rsidRPr="00275EAE" w:rsidRDefault="00077DBB" w:rsidP="00603DC8">
      <w:pPr>
        <w:pStyle w:val="Body"/>
        <w:numPr>
          <w:ilvl w:val="0"/>
          <w:numId w:val="25"/>
        </w:numPr>
      </w:pPr>
      <w:r w:rsidRPr="00275EAE">
        <w:t>Anaphylaxis kits must be available onsite where the vaccination program is occurring.</w:t>
      </w:r>
    </w:p>
    <w:p w14:paraId="476BED43" w14:textId="77777777" w:rsidR="00077DBB" w:rsidRPr="00275EAE" w:rsidRDefault="00077DBB" w:rsidP="00603DC8">
      <w:pPr>
        <w:pStyle w:val="Body"/>
        <w:numPr>
          <w:ilvl w:val="0"/>
          <w:numId w:val="25"/>
        </w:numPr>
      </w:pPr>
      <w:r w:rsidRPr="00275EAE">
        <w:t>An experienced clinician, who is trained and authorised to possess and administer adrenaline, must be available on site and able to respond in the case of anaphylaxis following vaccine administration.</w:t>
      </w:r>
    </w:p>
    <w:p w14:paraId="127A0D84" w14:textId="77777777" w:rsidR="00077DBB" w:rsidRPr="00275EAE" w:rsidRDefault="00077DBB" w:rsidP="00603DC8">
      <w:pPr>
        <w:pStyle w:val="Body"/>
        <w:numPr>
          <w:ilvl w:val="0"/>
          <w:numId w:val="25"/>
        </w:numPr>
      </w:pPr>
      <w:r w:rsidRPr="00275EAE">
        <w:t xml:space="preserve">Anaphylaxis training is recommended for all staff administering the vaccinates. The recommended training is the Australian Society of Clinical Immunology and Allergy (ASCIA) </w:t>
      </w:r>
      <w:hyperlink r:id="rId68">
        <w:r w:rsidRPr="00275EAE">
          <w:t>Anaphylaxis e-Learning for Health Professionals.</w:t>
        </w:r>
      </w:hyperlink>
    </w:p>
    <w:p w14:paraId="7C83C990" w14:textId="3BF6A9D4" w:rsidR="00077DBB" w:rsidRDefault="00077DBB" w:rsidP="00603DC8">
      <w:pPr>
        <w:pStyle w:val="Body"/>
        <w:numPr>
          <w:ilvl w:val="0"/>
          <w:numId w:val="25"/>
        </w:numPr>
      </w:pPr>
      <w:r w:rsidRPr="00275EAE">
        <w:t xml:space="preserve">AEFI involving adrenaline administration, defibrillator use, transfer to hospital care, life-threatening AEFI, or death, require IMMEDIATE notification </w:t>
      </w:r>
      <w:r>
        <w:t xml:space="preserve">to </w:t>
      </w:r>
      <w:hyperlink r:id="rId69" w:history="1">
        <w:r w:rsidRPr="003B5DFE">
          <w:rPr>
            <w:rStyle w:val="Hyperlink"/>
          </w:rPr>
          <w:t>SAEFVIC</w:t>
        </w:r>
      </w:hyperlink>
      <w:r w:rsidR="00C87E8C">
        <w:rPr>
          <w:rStyle w:val="Hyperlink"/>
        </w:rPr>
        <w:t xml:space="preserve"> </w:t>
      </w:r>
      <w:r w:rsidR="00C87E8C" w:rsidRPr="00D332C2">
        <w:t>&lt;www.saefvic.org.au&gt;</w:t>
      </w:r>
      <w:r w:rsidRPr="00D332C2">
        <w:t>.</w:t>
      </w:r>
      <w:r>
        <w:t xml:space="preserve"> </w:t>
      </w:r>
      <w:bookmarkEnd w:id="204"/>
      <w:bookmarkEnd w:id="205"/>
    </w:p>
    <w:p w14:paraId="0BEA9785" w14:textId="77777777" w:rsidR="59B7C61D" w:rsidRDefault="59B7C61D" w:rsidP="3961303B">
      <w:pPr>
        <w:pStyle w:val="Heading1"/>
      </w:pPr>
      <w:bookmarkStart w:id="206" w:name="_Toc176345000"/>
      <w:r>
        <w:t>Workforce and Regulation</w:t>
      </w:r>
      <w:bookmarkEnd w:id="206"/>
      <w:r>
        <w:t xml:space="preserve"> </w:t>
      </w:r>
    </w:p>
    <w:p w14:paraId="6E71AF15" w14:textId="77777777" w:rsidR="59B7C61D" w:rsidRDefault="59B7C61D" w:rsidP="3961303B">
      <w:pPr>
        <w:pStyle w:val="Heading2"/>
      </w:pPr>
      <w:bookmarkStart w:id="207" w:name="_Toc176345001"/>
      <w:r>
        <w:t>Legislative and regulatory framework</w:t>
      </w:r>
      <w:bookmarkEnd w:id="207"/>
    </w:p>
    <w:p w14:paraId="023FA706" w14:textId="5459DEEC" w:rsidR="59B7C61D" w:rsidRDefault="59B7C61D" w:rsidP="3961303B">
      <w:pPr>
        <w:pStyle w:val="Body"/>
        <w:spacing w:before="240"/>
      </w:pPr>
      <w:r>
        <w:t xml:space="preserve">Vaccination providers should be familiar with the legal and legislative framework </w:t>
      </w:r>
      <w:r w:rsidR="00951D1B">
        <w:t xml:space="preserve">in </w:t>
      </w:r>
      <w:r>
        <w:t xml:space="preserve">which they operate. The information provided in this section is not intended to serve as legal advice. Vaccination providers are advised to seek independent advice from legal professionals. </w:t>
      </w:r>
    </w:p>
    <w:p w14:paraId="61C840B5" w14:textId="77777777" w:rsidR="59B7C61D" w:rsidRDefault="59B7C61D" w:rsidP="3961303B">
      <w:pPr>
        <w:pStyle w:val="Heading3"/>
      </w:pPr>
      <w:r>
        <w:t>Obtaining consent for vaccination</w:t>
      </w:r>
    </w:p>
    <w:p w14:paraId="17DC2A59" w14:textId="0ADD8A1E" w:rsidR="59B7C61D" w:rsidRDefault="59B7C61D" w:rsidP="3961303B">
      <w:pPr>
        <w:pStyle w:val="Body"/>
        <w:rPr>
          <w:highlight w:val="green"/>
          <w:lang w:val="en-US"/>
        </w:rPr>
      </w:pPr>
      <w:r w:rsidRPr="3961303B">
        <w:rPr>
          <w:lang w:val="en-US"/>
        </w:rPr>
        <w:t xml:space="preserve">There is a legal obligation to obtain valid consent prior to a medical procedure, including administering a vaccine. Verbal or implied consent is acceptable and written consent is not required (although it may be obtained in some settings as per local practices). Refer to the </w:t>
      </w:r>
      <w:r w:rsidRPr="0044080B">
        <w:rPr>
          <w:lang w:val="en-US"/>
        </w:rPr>
        <w:t xml:space="preserve">Commonwealth Consent form for </w:t>
      </w:r>
      <w:r w:rsidRPr="0044080B">
        <w:rPr>
          <w:rFonts w:eastAsia="Times New Roman" w:cs="Arial"/>
        </w:rPr>
        <w:t>JYNNEOS</w:t>
      </w:r>
      <w:r w:rsidRPr="0044080B">
        <w:rPr>
          <w:rFonts w:eastAsia="Times New Roman" w:cs="Arial"/>
          <w:vertAlign w:val="superscript"/>
        </w:rPr>
        <w:t>®</w:t>
      </w:r>
      <w:r w:rsidRPr="0044080B">
        <w:rPr>
          <w:rFonts w:eastAsia="Times New Roman" w:cs="Arial"/>
        </w:rPr>
        <w:t xml:space="preserve"> </w:t>
      </w:r>
      <w:r w:rsidRPr="0044080B">
        <w:rPr>
          <w:lang w:val="en-US"/>
        </w:rPr>
        <w:t>vaccination</w:t>
      </w:r>
      <w:r w:rsidR="00951D1B" w:rsidRPr="00E81DEF">
        <w:rPr>
          <w:rStyle w:val="FootnoteReference"/>
          <w:lang w:val="en-US"/>
        </w:rPr>
        <w:footnoteReference w:id="40"/>
      </w:r>
      <w:r w:rsidR="004430E7">
        <w:rPr>
          <w:lang w:val="en-US"/>
        </w:rPr>
        <w:t xml:space="preserve">, which may be used. </w:t>
      </w:r>
    </w:p>
    <w:p w14:paraId="61669E5A" w14:textId="79CA4FB6" w:rsidR="59B7C61D" w:rsidRDefault="59B7C61D" w:rsidP="3961303B">
      <w:pPr>
        <w:pStyle w:val="Body"/>
      </w:pPr>
      <w:r w:rsidRPr="3961303B">
        <w:rPr>
          <w:lang w:val="en-US"/>
        </w:rPr>
        <w:t xml:space="preserve">For consent to be considered legally valid, the </w:t>
      </w:r>
      <w:r w:rsidRPr="000C6263">
        <w:rPr>
          <w:lang w:val="en-US"/>
        </w:rPr>
        <w:t>Australian Immunisation Handbook</w:t>
      </w:r>
      <w:r w:rsidRPr="00A673CE">
        <w:rPr>
          <w:rStyle w:val="FootnoteReference"/>
          <w:lang w:val="en-US"/>
        </w:rPr>
        <w:footnoteReference w:id="41"/>
      </w:r>
      <w:r w:rsidRPr="3961303B">
        <w:rPr>
          <w:lang w:val="en-US"/>
        </w:rPr>
        <w:t xml:space="preserve"> describes the following elements as necessary:</w:t>
      </w:r>
    </w:p>
    <w:p w14:paraId="55570C6F" w14:textId="77777777" w:rsidR="59B7C61D" w:rsidRDefault="59B7C61D" w:rsidP="00603DC8">
      <w:pPr>
        <w:pStyle w:val="Bullet1"/>
        <w:numPr>
          <w:ilvl w:val="0"/>
          <w:numId w:val="15"/>
        </w:numPr>
      </w:pPr>
      <w:r>
        <w:t>It must be given by a person with legal capacity, and of sufficient intellectual capacity to understand the implications of receiving a vaccine.</w:t>
      </w:r>
    </w:p>
    <w:p w14:paraId="427BF5D0" w14:textId="3116E074" w:rsidR="59B7C61D" w:rsidRDefault="59B7C61D" w:rsidP="00603DC8">
      <w:pPr>
        <w:pStyle w:val="Bullet1"/>
        <w:numPr>
          <w:ilvl w:val="0"/>
          <w:numId w:val="15"/>
        </w:numPr>
      </w:pPr>
      <w:r>
        <w:t xml:space="preserve">It must be given voluntarily in the absence of undue pressure, </w:t>
      </w:r>
      <w:r w:rsidR="00C611CE">
        <w:t>coercion,</w:t>
      </w:r>
      <w:r>
        <w:t xml:space="preserve"> or manipulation.</w:t>
      </w:r>
    </w:p>
    <w:p w14:paraId="5CBAC526" w14:textId="77777777" w:rsidR="59B7C61D" w:rsidRDefault="59B7C61D" w:rsidP="00603DC8">
      <w:pPr>
        <w:pStyle w:val="Bullet1"/>
        <w:numPr>
          <w:ilvl w:val="0"/>
          <w:numId w:val="15"/>
        </w:numPr>
      </w:pPr>
      <w:r>
        <w:t>It must cover the specific procedure that is to be performed.</w:t>
      </w:r>
    </w:p>
    <w:p w14:paraId="283B889A" w14:textId="77777777" w:rsidR="59B7C61D" w:rsidRDefault="59B7C61D" w:rsidP="00603DC8">
      <w:pPr>
        <w:pStyle w:val="Bullet1"/>
        <w:numPr>
          <w:ilvl w:val="0"/>
          <w:numId w:val="15"/>
        </w:numPr>
      </w:pPr>
      <w:r>
        <w:t>It can only be given after the potential risks and benefits of the relevant vaccine, the risks of not having it, and any alternative options have been explained to the person.</w:t>
      </w:r>
    </w:p>
    <w:p w14:paraId="75A9D938" w14:textId="77777777" w:rsidR="59B7C61D" w:rsidRDefault="59B7C61D" w:rsidP="00603DC8">
      <w:pPr>
        <w:pStyle w:val="Bullet1"/>
        <w:numPr>
          <w:ilvl w:val="0"/>
          <w:numId w:val="15"/>
        </w:numPr>
      </w:pPr>
      <w:r>
        <w:t>The person must have the opportunity to seek more details or explanations about the vaccine or its administration.</w:t>
      </w:r>
    </w:p>
    <w:p w14:paraId="53EAAF3B" w14:textId="77777777" w:rsidR="59B7C61D" w:rsidRDefault="59B7C61D" w:rsidP="00603DC8">
      <w:pPr>
        <w:pStyle w:val="Bullet1"/>
        <w:numPr>
          <w:ilvl w:val="0"/>
          <w:numId w:val="15"/>
        </w:numPr>
      </w:pPr>
      <w:r>
        <w:t>The information must be provided in a language or by other means that the person can understand. Where appropriate, involve an interpreter or cultural support person.</w:t>
      </w:r>
    </w:p>
    <w:p w14:paraId="6DAE0F94" w14:textId="77777777" w:rsidR="59B7C61D" w:rsidRDefault="59B7C61D" w:rsidP="00603DC8">
      <w:pPr>
        <w:pStyle w:val="Bullet1"/>
        <w:numPr>
          <w:ilvl w:val="0"/>
          <w:numId w:val="15"/>
        </w:numPr>
      </w:pPr>
      <w:r>
        <w:t>Consent must be obtained before vaccination, after establishing that there are no medical condition(s) that contraindicate vaccination.</w:t>
      </w:r>
    </w:p>
    <w:p w14:paraId="085E3A66" w14:textId="3B8BCF1C" w:rsidR="59B7C61D" w:rsidRDefault="59B7C61D" w:rsidP="3961303B">
      <w:pPr>
        <w:pStyle w:val="Body"/>
        <w:spacing w:before="240"/>
        <w:rPr>
          <w:lang w:val="en-US"/>
        </w:rPr>
      </w:pPr>
      <w:r w:rsidRPr="3961303B">
        <w:rPr>
          <w:lang w:val="en-US"/>
        </w:rPr>
        <w:t>Discussions, statements</w:t>
      </w:r>
      <w:r w:rsidR="00A30A38" w:rsidRPr="3961303B">
        <w:rPr>
          <w:lang w:val="en-US"/>
        </w:rPr>
        <w:t>,</w:t>
      </w:r>
      <w:r w:rsidRPr="3961303B">
        <w:rPr>
          <w:lang w:val="en-US"/>
        </w:rPr>
        <w:t xml:space="preserve"> and decisions about treatment can be recorded in the person’s health care record, including but not limited to the outcomes of any assessment of the decision-making capacity of the person. </w:t>
      </w:r>
    </w:p>
    <w:p w14:paraId="3AF2C2CD" w14:textId="77777777" w:rsidR="59B7C61D" w:rsidRDefault="59B7C61D" w:rsidP="004244B2">
      <w:pPr>
        <w:pStyle w:val="Heading3"/>
        <w:spacing w:line="288" w:lineRule="auto"/>
      </w:pPr>
      <w:r>
        <w:t>Consent for persons aged under 18 years</w:t>
      </w:r>
    </w:p>
    <w:p w14:paraId="53FBA9E5" w14:textId="48B76D44" w:rsidR="59B7C61D" w:rsidRDefault="59B7C61D" w:rsidP="00C45113">
      <w:pPr>
        <w:pStyle w:val="Body"/>
        <w:spacing w:before="240" w:line="288" w:lineRule="auto"/>
      </w:pPr>
      <w:r>
        <w:t xml:space="preserve">For certain procedures, including vaccination, an adolescent may be determined to be mature enough to understand the risks and benefits, and thereby provide informed consent. This principle applies to people under the age of 18 years requesting mpox vaccination. In accordance with </w:t>
      </w:r>
      <w:r w:rsidRPr="00903DDA">
        <w:t xml:space="preserve">the </w:t>
      </w:r>
      <w:hyperlink r:id="rId70">
        <w:r w:rsidRPr="00903DDA">
          <w:rPr>
            <w:rStyle w:val="Hyperlink"/>
            <w:i/>
            <w:iCs/>
          </w:rPr>
          <w:t>Medical Treatment Planning and Decisions Act 2016 (Vic)</w:t>
        </w:r>
      </w:hyperlink>
      <w:r>
        <w:t xml:space="preserve"> (MTPD Act) </w:t>
      </w:r>
      <w:r w:rsidR="00903DDA" w:rsidRPr="00903DDA">
        <w:t>&lt;</w:t>
      </w:r>
      <w:hyperlink r:id="rId71" w:history="1">
        <w:r w:rsidR="00903DDA" w:rsidRPr="00903DDA">
          <w:rPr>
            <w:rStyle w:val="Hyperlink"/>
            <w:color w:val="auto"/>
            <w:u w:val="none"/>
          </w:rPr>
          <w:t>https://www.legislation.vic.gov.au/in-force/acts/medical-treatment-planning-and-decisions-act-2016/009</w:t>
        </w:r>
      </w:hyperlink>
      <w:r w:rsidR="00903DDA" w:rsidRPr="00903DDA">
        <w:t>&gt;</w:t>
      </w:r>
      <w:r w:rsidR="00903DDA">
        <w:t>,</w:t>
      </w:r>
      <w:r w:rsidR="00903DDA" w:rsidRPr="00903DDA">
        <w:t xml:space="preserve"> </w:t>
      </w:r>
      <w:r>
        <w:t>a medical treatment decision maker for an adolescent (‘child’ is the term used within the MTPD Act) will be the adolescent</w:t>
      </w:r>
      <w:r w:rsidR="00B96D08">
        <w:t>’</w:t>
      </w:r>
      <w:r>
        <w:t>s parent or guardian or other person with parental responsibility for the adolescent who is reasonably available and willing and able to make the medical treatment decision. For the purposes of the MTPD Act, an adolescent (or child) means any person under the age of 18 years.</w:t>
      </w:r>
    </w:p>
    <w:p w14:paraId="088FF6A8" w14:textId="681BC6C7" w:rsidR="59B7C61D" w:rsidRDefault="59B7C61D" w:rsidP="3961303B">
      <w:pPr>
        <w:pStyle w:val="Body"/>
        <w:spacing w:before="120" w:line="288" w:lineRule="auto"/>
      </w:pPr>
      <w:r>
        <w:t xml:space="preserve">For adolescents under the age of 18 years, who are presenting for mpox vaccination without a parent, guardian or other medical treatment decision maker, capacity to consent will be assessed based on the principles outlined in </w:t>
      </w:r>
      <w:r w:rsidRPr="3961303B">
        <w:rPr>
          <w:i/>
          <w:iCs/>
        </w:rPr>
        <w:t>Gillick v West Norfolk and Wisbech Area Health Authority</w:t>
      </w:r>
      <w:r>
        <w:t>. Adolescents assessed as being ‘</w:t>
      </w:r>
      <w:r w:rsidRPr="3961303B">
        <w:rPr>
          <w:i/>
          <w:iCs/>
        </w:rPr>
        <w:t>Gillick competent</w:t>
      </w:r>
      <w:r>
        <w:t>’ can consent to the mpox vaccination</w:t>
      </w:r>
      <w:r w:rsidRPr="3961303B">
        <w:rPr>
          <w:rStyle w:val="FootnoteReference"/>
        </w:rPr>
        <w:footnoteReference w:id="42"/>
      </w:r>
      <w:r>
        <w:t>. These principles are enshrined in section 4 of the MTPD Act.</w:t>
      </w:r>
    </w:p>
    <w:p w14:paraId="08B2D782" w14:textId="5EA42B19" w:rsidR="59B7C61D" w:rsidRDefault="59B7C61D" w:rsidP="3961303B">
      <w:pPr>
        <w:pStyle w:val="Body"/>
        <w:spacing w:before="120" w:line="288" w:lineRule="auto"/>
        <w:rPr>
          <w:highlight w:val="yellow"/>
        </w:rPr>
      </w:pPr>
      <w:r>
        <w:t>Where possible, mpox vaccination providers will use experienced immunisers to provide information about the mpox vaccine and obtain consent for the vaccination of adolescents against mpox.</w:t>
      </w:r>
    </w:p>
    <w:p w14:paraId="46246E4D" w14:textId="02AAB986" w:rsidR="59B7C61D" w:rsidRDefault="59B7C61D" w:rsidP="3961303B">
      <w:pPr>
        <w:pStyle w:val="Body"/>
        <w:spacing w:before="120" w:line="288" w:lineRule="auto"/>
      </w:pPr>
      <w:r>
        <w:t xml:space="preserve">Before administering the mpox vaccination to a person under the age of 18 years, the immuniser must assess whether: </w:t>
      </w:r>
    </w:p>
    <w:p w14:paraId="0C94F336" w14:textId="77777777" w:rsidR="59B7C61D" w:rsidRDefault="59B7C61D" w:rsidP="3961303B">
      <w:pPr>
        <w:pStyle w:val="Body"/>
        <w:spacing w:before="120" w:line="288" w:lineRule="auto"/>
        <w:ind w:left="720"/>
      </w:pPr>
      <w:r>
        <w:t xml:space="preserve">1. the adolescent understands the information relevant to the decision to be vaccinated and the effect of that decision (that is, they understand an explanation of the information given by the immuniser in a way that is appropriate to the adolescent’s circumstances, whether by using modified language, visual aids or any other means); </w:t>
      </w:r>
    </w:p>
    <w:p w14:paraId="2DDFE33F" w14:textId="77777777" w:rsidR="59B7C61D" w:rsidRDefault="59B7C61D" w:rsidP="3961303B">
      <w:pPr>
        <w:pStyle w:val="Body"/>
        <w:spacing w:before="120" w:line="288" w:lineRule="auto"/>
        <w:ind w:left="720"/>
      </w:pPr>
      <w:r>
        <w:t xml:space="preserve">2. the adolescent can retain that information to the extent necessary to make the decision; </w:t>
      </w:r>
    </w:p>
    <w:p w14:paraId="6BE2B415" w14:textId="77777777" w:rsidR="59B7C61D" w:rsidRDefault="59B7C61D" w:rsidP="3961303B">
      <w:pPr>
        <w:pStyle w:val="Body"/>
        <w:spacing w:before="120" w:line="288" w:lineRule="auto"/>
        <w:ind w:left="720"/>
      </w:pPr>
      <w:r>
        <w:t xml:space="preserve">3. the adolescent uses or weighs that information as part of their decision-making process; and </w:t>
      </w:r>
    </w:p>
    <w:p w14:paraId="0FB0D12F" w14:textId="77777777" w:rsidR="59B7C61D" w:rsidRDefault="59B7C61D" w:rsidP="3961303B">
      <w:pPr>
        <w:pStyle w:val="Body"/>
        <w:spacing w:before="120" w:line="288" w:lineRule="auto"/>
        <w:ind w:left="720"/>
      </w:pPr>
      <w:r>
        <w:t xml:space="preserve">4. the adolescent communicates the decision, and their views and needs as to the decision in some way, including by speech, gestures or other means. </w:t>
      </w:r>
    </w:p>
    <w:p w14:paraId="08437D26" w14:textId="3BDE9B40" w:rsidR="59B7C61D" w:rsidRDefault="59B7C61D" w:rsidP="3961303B">
      <w:pPr>
        <w:pStyle w:val="Body"/>
        <w:spacing w:before="120" w:line="288" w:lineRule="auto"/>
      </w:pPr>
      <w:r>
        <w:t>There is no presumption that an adolescent has capacity; therefore, it is important to consider all of the above factors in relation to the adolescent’s individual circumstances.</w:t>
      </w:r>
    </w:p>
    <w:p w14:paraId="2A1E2404" w14:textId="1487F90D" w:rsidR="59B7C61D" w:rsidRDefault="59B7C61D" w:rsidP="3961303B">
      <w:pPr>
        <w:pStyle w:val="Body"/>
        <w:spacing w:before="120" w:line="288" w:lineRule="auto"/>
      </w:pPr>
      <w:r>
        <w:t xml:space="preserve">An adolescent should be provided with practicable and appropriate support in making and communicating any decision as to vaccination. This includes: </w:t>
      </w:r>
    </w:p>
    <w:p w14:paraId="76009547" w14:textId="77777777" w:rsidR="59B7C61D" w:rsidRDefault="59B7C61D" w:rsidP="00603DC8">
      <w:pPr>
        <w:pStyle w:val="Body"/>
        <w:numPr>
          <w:ilvl w:val="0"/>
          <w:numId w:val="33"/>
        </w:numPr>
        <w:spacing w:before="120" w:line="288" w:lineRule="auto"/>
      </w:pPr>
      <w:r>
        <w:t xml:space="preserve">using information or formats tailored to the particular needs of the person; </w:t>
      </w:r>
    </w:p>
    <w:p w14:paraId="5D86C47A" w14:textId="77777777" w:rsidR="59B7C61D" w:rsidRDefault="59B7C61D" w:rsidP="00603DC8">
      <w:pPr>
        <w:pStyle w:val="Body"/>
        <w:numPr>
          <w:ilvl w:val="0"/>
          <w:numId w:val="33"/>
        </w:numPr>
        <w:spacing w:before="120" w:line="288" w:lineRule="auto"/>
      </w:pPr>
      <w:r>
        <w:t xml:space="preserve">communicating or assisting a person to communicate the person’s decision; </w:t>
      </w:r>
    </w:p>
    <w:p w14:paraId="3C56E8FE" w14:textId="77777777" w:rsidR="59B7C61D" w:rsidRDefault="59B7C61D" w:rsidP="00603DC8">
      <w:pPr>
        <w:pStyle w:val="Body"/>
        <w:numPr>
          <w:ilvl w:val="0"/>
          <w:numId w:val="33"/>
        </w:numPr>
        <w:spacing w:before="120" w:line="288" w:lineRule="auto"/>
      </w:pPr>
      <w:r>
        <w:t xml:space="preserve">giving a person additional time and discussing the matter with the person; and </w:t>
      </w:r>
    </w:p>
    <w:p w14:paraId="31B53AFD" w14:textId="77777777" w:rsidR="59B7C61D" w:rsidRDefault="59B7C61D" w:rsidP="00603DC8">
      <w:pPr>
        <w:pStyle w:val="Body"/>
        <w:numPr>
          <w:ilvl w:val="0"/>
          <w:numId w:val="33"/>
        </w:numPr>
        <w:spacing w:before="120" w:line="288" w:lineRule="auto"/>
      </w:pPr>
      <w:r>
        <w:t>using technology that alleviates the effects of a person’s disability.</w:t>
      </w:r>
    </w:p>
    <w:p w14:paraId="7CACA225" w14:textId="77777777" w:rsidR="59B7C61D" w:rsidRDefault="59B7C61D" w:rsidP="3961303B">
      <w:pPr>
        <w:pStyle w:val="Body"/>
        <w:spacing w:before="240"/>
      </w:pPr>
      <w:r>
        <w:t>Immunisers who are assessing whether an adolescent has decision making capacity should take reasonable steps to conduct the assessment at a time and in an environment in which the adolescent’s decision-making capacity can be most accurately assessed.</w:t>
      </w:r>
    </w:p>
    <w:p w14:paraId="11B950DA" w14:textId="6082FB83" w:rsidR="59B7C61D" w:rsidRDefault="59B7C61D" w:rsidP="3961303B">
      <w:pPr>
        <w:pStyle w:val="Body"/>
        <w:spacing w:before="240"/>
      </w:pPr>
      <w:r>
        <w:t>Immunisers who decide not to administer the mpox vaccine based on their assessment of the individual’s capacity to provide informed consent in line with the principles above, should refer the individual back to their medical practitioner.</w:t>
      </w:r>
    </w:p>
    <w:p w14:paraId="4C0036E4" w14:textId="1BF7C435" w:rsidR="59B7C61D" w:rsidRDefault="59B7C61D" w:rsidP="3961303B">
      <w:pPr>
        <w:pStyle w:val="Body"/>
        <w:spacing w:before="240"/>
      </w:pPr>
      <w:r>
        <w:t xml:space="preserve">If the adolescent refuses a mpox vaccination that a parent and/or guardian has given consent for, respect the adolescent’s wishes. </w:t>
      </w:r>
    </w:p>
    <w:p w14:paraId="1BA94995" w14:textId="77777777" w:rsidR="59B7C61D" w:rsidRDefault="59B7C61D" w:rsidP="3961303B">
      <w:pPr>
        <w:pStyle w:val="Body"/>
        <w:spacing w:before="240"/>
      </w:pPr>
      <w:r>
        <w:t>As detailed above, discussions, statements and decisions about treatment can be recorded in the person’s health care record, including but not limited to the outcomes of any assessment of the decision-making capacity of the person.</w:t>
      </w:r>
    </w:p>
    <w:p w14:paraId="2D1C6B1C" w14:textId="77777777" w:rsidR="59B7C61D" w:rsidRDefault="59B7C61D" w:rsidP="004244B2">
      <w:pPr>
        <w:pStyle w:val="Heading3"/>
        <w:spacing w:line="288" w:lineRule="auto"/>
      </w:pPr>
      <w:r>
        <w:t>Keeping and accessing records related to vaccination</w:t>
      </w:r>
    </w:p>
    <w:p w14:paraId="5B90160A" w14:textId="77777777" w:rsidR="59B7C61D" w:rsidRDefault="59B7C61D" w:rsidP="3961303B">
      <w:pPr>
        <w:pStyle w:val="Body"/>
      </w:pPr>
      <w:r>
        <w:t>It is the responsibility of the vaccination service provider to ensure that the administration of all vaccination records complies with relevant legislation.</w:t>
      </w:r>
    </w:p>
    <w:p w14:paraId="5A7836A0" w14:textId="77777777" w:rsidR="59B7C61D" w:rsidRDefault="59B7C61D" w:rsidP="004244B2">
      <w:pPr>
        <w:pStyle w:val="Heading3"/>
        <w:spacing w:line="288" w:lineRule="auto"/>
      </w:pPr>
      <w:r>
        <w:t>Privacy</w:t>
      </w:r>
    </w:p>
    <w:p w14:paraId="796FD974" w14:textId="77777777" w:rsidR="59B7C61D" w:rsidRDefault="59B7C61D" w:rsidP="3961303B">
      <w:pPr>
        <w:pStyle w:val="Body"/>
      </w:pPr>
      <w:r>
        <w:t>Each vaccination provider should have its own privacy policy. Copies should be readily available to the public upon request, including at immunisation sessions.</w:t>
      </w:r>
    </w:p>
    <w:p w14:paraId="5C9D300D" w14:textId="77777777" w:rsidR="59B7C61D" w:rsidRDefault="59B7C61D" w:rsidP="3961303B">
      <w:pPr>
        <w:pStyle w:val="Body"/>
      </w:pPr>
      <w:r>
        <w:t>Providers should be mindful of client privacy when conducting administrative procedures, collecting personal information and administering vaccines.</w:t>
      </w:r>
    </w:p>
    <w:p w14:paraId="4A39B0FE" w14:textId="77777777" w:rsidR="59B7C61D" w:rsidRDefault="59B7C61D" w:rsidP="3961303B">
      <w:pPr>
        <w:pStyle w:val="Body"/>
      </w:pPr>
      <w:r>
        <w:t xml:space="preserve">In addition to the above legislation, the use and management of vaccination records are also governed by the following: </w:t>
      </w:r>
    </w:p>
    <w:p w14:paraId="6C8C1190" w14:textId="2FD9D492" w:rsidR="59B7C61D" w:rsidRPr="00033401" w:rsidRDefault="00000000" w:rsidP="00603DC8">
      <w:pPr>
        <w:pStyle w:val="Bullet1"/>
        <w:numPr>
          <w:ilvl w:val="0"/>
          <w:numId w:val="15"/>
        </w:numPr>
      </w:pPr>
      <w:hyperlink r:id="rId72">
        <w:r w:rsidR="59B7C61D" w:rsidRPr="3961303B">
          <w:rPr>
            <w:rStyle w:val="Hyperlink"/>
            <w:rFonts w:cs="Arial"/>
            <w:i/>
            <w:iCs/>
          </w:rPr>
          <w:t>Public Records Act 1973</w:t>
        </w:r>
      </w:hyperlink>
      <w:r w:rsidR="002011E7">
        <w:rPr>
          <w:rStyle w:val="Hyperlink"/>
          <w:rFonts w:cs="Arial"/>
          <w:i/>
          <w:iCs/>
        </w:rPr>
        <w:t xml:space="preserve"> </w:t>
      </w:r>
      <w:r w:rsidR="002011E7" w:rsidRPr="00033401">
        <w:rPr>
          <w:rStyle w:val="Hyperlink"/>
          <w:rFonts w:cs="Arial"/>
          <w:color w:val="auto"/>
          <w:u w:val="none"/>
        </w:rPr>
        <w:t>&lt;</w:t>
      </w:r>
      <w:hyperlink r:id="rId73" w:history="1">
        <w:r w:rsidR="00F823D5" w:rsidRPr="00033401">
          <w:rPr>
            <w:rStyle w:val="Hyperlink"/>
            <w:rFonts w:cs="Arial"/>
            <w:color w:val="auto"/>
            <w:u w:val="none"/>
          </w:rPr>
          <w:t>https://www.legislation.vic.gov.au/in-force/acts/public-records-act-1973/041</w:t>
        </w:r>
      </w:hyperlink>
    </w:p>
    <w:p w14:paraId="2C86CA44" w14:textId="11478028" w:rsidR="59B7C61D" w:rsidRDefault="00000000" w:rsidP="00603DC8">
      <w:pPr>
        <w:pStyle w:val="Bullet1"/>
        <w:numPr>
          <w:ilvl w:val="0"/>
          <w:numId w:val="15"/>
        </w:numPr>
        <w:rPr>
          <w:rStyle w:val="Hyperlink"/>
          <w:rFonts w:cs="Arial"/>
        </w:rPr>
      </w:pPr>
      <w:hyperlink r:id="rId74">
        <w:r w:rsidR="59B7C61D" w:rsidRPr="3961303B">
          <w:rPr>
            <w:rStyle w:val="Hyperlink"/>
            <w:rFonts w:cs="Arial"/>
            <w:i/>
            <w:iCs/>
          </w:rPr>
          <w:t>Health Insurance Commission Act 1973</w:t>
        </w:r>
      </w:hyperlink>
      <w:r w:rsidR="00F823D5">
        <w:rPr>
          <w:rStyle w:val="Hyperlink"/>
          <w:rFonts w:cs="Arial"/>
          <w:i/>
          <w:iCs/>
        </w:rPr>
        <w:t xml:space="preserve"> </w:t>
      </w:r>
      <w:r w:rsidR="003C3051" w:rsidRPr="00033401">
        <w:rPr>
          <w:rStyle w:val="Hyperlink"/>
          <w:rFonts w:cs="Arial"/>
          <w:color w:val="auto"/>
          <w:u w:val="none"/>
        </w:rPr>
        <w:t>&lt;</w:t>
      </w:r>
      <w:hyperlink r:id="rId75" w:history="1">
        <w:r w:rsidR="003C3051" w:rsidRPr="00033401">
          <w:rPr>
            <w:rStyle w:val="Hyperlink"/>
            <w:rFonts w:cs="Arial"/>
            <w:color w:val="auto"/>
            <w:u w:val="none"/>
          </w:rPr>
          <w:t>https://www.legislation.gov.au/Details/C2004A00100</w:t>
        </w:r>
      </w:hyperlink>
      <w:r w:rsidR="003C3051" w:rsidRPr="00033401">
        <w:rPr>
          <w:rStyle w:val="Hyperlink"/>
          <w:rFonts w:cs="Arial"/>
          <w:color w:val="auto"/>
          <w:u w:val="none"/>
        </w:rPr>
        <w:t>&gt;</w:t>
      </w:r>
    </w:p>
    <w:p w14:paraId="7B5E4387" w14:textId="7D6410DA" w:rsidR="000E4655" w:rsidRPr="000E4655" w:rsidRDefault="00000000" w:rsidP="000E4655">
      <w:pPr>
        <w:pStyle w:val="Bullet1"/>
        <w:numPr>
          <w:ilvl w:val="0"/>
          <w:numId w:val="15"/>
        </w:numPr>
        <w:rPr>
          <w:rFonts w:cs="Arial"/>
        </w:rPr>
      </w:pPr>
      <w:hyperlink r:id="rId76" w:history="1">
        <w:r w:rsidR="59B7C61D" w:rsidRPr="00AE6920">
          <w:rPr>
            <w:rStyle w:val="Hyperlink"/>
            <w:rFonts w:cs="Arial"/>
          </w:rPr>
          <w:t>Australian Standards for Record Management</w:t>
        </w:r>
      </w:hyperlink>
      <w:r w:rsidR="59B7C61D" w:rsidRPr="3961303B">
        <w:rPr>
          <w:rFonts w:cs="Arial"/>
        </w:rPr>
        <w:t xml:space="preserve"> </w:t>
      </w:r>
      <w:r w:rsidR="00B96D08">
        <w:rPr>
          <w:rFonts w:cs="Arial"/>
        </w:rPr>
        <w:t>–</w:t>
      </w:r>
      <w:r w:rsidR="59B7C61D" w:rsidRPr="3961303B">
        <w:rPr>
          <w:rFonts w:cs="Arial"/>
        </w:rPr>
        <w:t xml:space="preserve"> AS ISO 15489</w:t>
      </w:r>
      <w:r w:rsidR="00033401">
        <w:rPr>
          <w:rFonts w:cs="Arial"/>
        </w:rPr>
        <w:t xml:space="preserve"> </w:t>
      </w:r>
      <w:r w:rsidR="000A5B49">
        <w:rPr>
          <w:rFonts w:cs="Arial"/>
        </w:rPr>
        <w:t>&lt;</w:t>
      </w:r>
      <w:r w:rsidR="000E4655" w:rsidRPr="000E4655">
        <w:rPr>
          <w:rFonts w:cs="Arial"/>
        </w:rPr>
        <w:t>https://store.standards.org.au/product/as-iso-15489-1-2017?queryID=ac2a025159639306cf3c18747bc37755&amp;objectID=2015</w:t>
      </w:r>
      <w:r w:rsidR="000E4655" w:rsidDel="000E4655">
        <w:t xml:space="preserve"> </w:t>
      </w:r>
      <w:r w:rsidR="000E4655" w:rsidRPr="000E4655">
        <w:t>&gt;</w:t>
      </w:r>
    </w:p>
    <w:p w14:paraId="69CFB3B7" w14:textId="6A51905F" w:rsidR="59B7C61D" w:rsidRDefault="59B7C61D" w:rsidP="3961303B">
      <w:pPr>
        <w:pStyle w:val="Body"/>
        <w:spacing w:before="240"/>
      </w:pPr>
      <w:r>
        <w:t xml:space="preserve">Health services are also subject to confidentiality obligations pursuant to the </w:t>
      </w:r>
      <w:hyperlink r:id="rId77">
        <w:r w:rsidRPr="00903DDA">
          <w:rPr>
            <w:rStyle w:val="Hyperlink"/>
            <w:rFonts w:cs="Arial"/>
            <w:i/>
            <w:iCs/>
          </w:rPr>
          <w:t>Health Service Act 1988</w:t>
        </w:r>
      </w:hyperlink>
      <w:r w:rsidR="00903DDA" w:rsidRPr="00903DDA">
        <w:t xml:space="preserve"> &lt;https://www.legislation.vic.gov.au/in-force/acts/health-services-act-1988/180&gt;. </w:t>
      </w:r>
      <w:r w:rsidRPr="00903DDA">
        <w:t>A health</w:t>
      </w:r>
      <w:r>
        <w:t xml:space="preserve"> service must not disclose any information acquired except to carry out functions, exercise powers or disclose information authorised to be disclosed under </w:t>
      </w:r>
      <w:r w:rsidRPr="3961303B">
        <w:rPr>
          <w:i/>
          <w:iCs/>
        </w:rPr>
        <w:t>the Health Services Act 1988</w:t>
      </w:r>
      <w:r>
        <w:t xml:space="preserve">, or another Act. The disclosure of information by a health service is permitted in circumstances where the person to whom the information relates has given their prior consent to the disclosure.  </w:t>
      </w:r>
    </w:p>
    <w:p w14:paraId="04FE0914" w14:textId="77777777" w:rsidR="59B7C61D" w:rsidRDefault="59B7C61D" w:rsidP="3961303B">
      <w:pPr>
        <w:pStyle w:val="Body"/>
      </w:pPr>
      <w:r>
        <w:t xml:space="preserve">All health services should ensure they are aware of their obligation under the </w:t>
      </w:r>
      <w:r w:rsidRPr="3961303B">
        <w:rPr>
          <w:i/>
          <w:iCs/>
        </w:rPr>
        <w:t>Health Services Act 1988</w:t>
      </w:r>
      <w:r>
        <w:t xml:space="preserve"> and takes steps, including but not limited to ensuring the notification requirement </w:t>
      </w:r>
      <w:r w:rsidRPr="00F771E7">
        <w:t>below</w:t>
      </w:r>
      <w:r>
        <w:t xml:space="preserve"> are complied with, to ensure that the health service remain compliant with its confidentiality obligations.</w:t>
      </w:r>
    </w:p>
    <w:p w14:paraId="4654E829" w14:textId="77777777" w:rsidR="59B7C61D" w:rsidRDefault="59B7C61D" w:rsidP="004244B2">
      <w:pPr>
        <w:pStyle w:val="Heading3"/>
        <w:spacing w:line="288" w:lineRule="auto"/>
      </w:pPr>
      <w:r>
        <w:t>Privacy notification</w:t>
      </w:r>
    </w:p>
    <w:p w14:paraId="7259936E" w14:textId="77777777" w:rsidR="59B7C61D" w:rsidRDefault="59B7C61D" w:rsidP="3961303B">
      <w:pPr>
        <w:pStyle w:val="Body"/>
      </w:pPr>
      <w:r>
        <w:t>As routine practice, vaccinees or their guardians should be informed that immunisation information will be passed to Australian Immunisation Register and under what circumstances this information is released.</w:t>
      </w:r>
    </w:p>
    <w:p w14:paraId="5D983E08" w14:textId="77777777" w:rsidR="59B7C61D" w:rsidRDefault="59B7C61D" w:rsidP="3961303B">
      <w:pPr>
        <w:pStyle w:val="Body"/>
      </w:pPr>
      <w:r>
        <w:t xml:space="preserve">In accordance with the </w:t>
      </w:r>
      <w:r w:rsidRPr="3961303B">
        <w:rPr>
          <w:i/>
          <w:iCs/>
        </w:rPr>
        <w:t>Health Records Act 2001</w:t>
      </w:r>
      <w:r>
        <w:t xml:space="preserve"> guardians and adult vaccinees should be given appropriate notice regarding the use of health information collected as part of the immunisation service</w:t>
      </w:r>
      <w:r w:rsidRPr="3961303B">
        <w:rPr>
          <w:rStyle w:val="FootnoteReference"/>
        </w:rPr>
        <w:footnoteReference w:id="43"/>
      </w:r>
      <w:r>
        <w:t xml:space="preserve">. </w:t>
      </w:r>
    </w:p>
    <w:p w14:paraId="05A9D7D0" w14:textId="77777777" w:rsidR="59B7C61D" w:rsidRDefault="59B7C61D" w:rsidP="3961303B">
      <w:pPr>
        <w:pStyle w:val="Body"/>
      </w:pPr>
      <w:r>
        <w:t xml:space="preserve">Health privacy principle (HPP) 1.4 extracted from the </w:t>
      </w:r>
      <w:r w:rsidRPr="3961303B">
        <w:rPr>
          <w:i/>
          <w:iCs/>
        </w:rPr>
        <w:t xml:space="preserve">Health Records Act 2001 </w:t>
      </w:r>
      <w:r>
        <w:t>is reprinted below and outlines the information that should be notified to individuals in relation to their health information.</w:t>
      </w:r>
    </w:p>
    <w:p w14:paraId="2A1830A9" w14:textId="77777777" w:rsidR="59B7C61D" w:rsidRDefault="59B7C61D" w:rsidP="3961303B">
      <w:pPr>
        <w:pStyle w:val="xxdhhsbody"/>
        <w:spacing w:after="120" w:line="270" w:lineRule="atLeast"/>
        <w:ind w:left="397"/>
        <w:rPr>
          <w:sz w:val="21"/>
          <w:szCs w:val="21"/>
        </w:rPr>
      </w:pPr>
      <w:r w:rsidRPr="3961303B">
        <w:rPr>
          <w:rFonts w:ascii="Arial" w:hAnsi="Arial" w:cs="Arial"/>
          <w:i/>
          <w:iCs/>
          <w:sz w:val="21"/>
          <w:szCs w:val="21"/>
        </w:rPr>
        <w:t>At or before the time (or, if that is not practicable, as soon as practicable thereafter) an organisation collects health information about an individual from the individual, the organisation must take steps that are reasonable in the circumstances to ensure that the individual is generally aware of:</w:t>
      </w:r>
    </w:p>
    <w:p w14:paraId="7312689A"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(a)</w:t>
      </w:r>
      <w:r w:rsidRPr="3961303B">
        <w:rPr>
          <w:rFonts w:ascii="Times New Roman" w:hAnsi="Times New Roman" w:cs="Times New Roman"/>
          <w:i/>
          <w:iCs/>
          <w:sz w:val="21"/>
          <w:szCs w:val="21"/>
        </w:rPr>
        <w:t xml:space="preserve">    </w:t>
      </w:r>
      <w:r w:rsidRPr="3961303B">
        <w:rPr>
          <w:rFonts w:ascii="Arial" w:hAnsi="Arial" w:cs="Arial"/>
          <w:i/>
          <w:iCs/>
          <w:sz w:val="21"/>
          <w:szCs w:val="21"/>
        </w:rPr>
        <w:t>the identity of the organisation and how to contact it; and</w:t>
      </w:r>
    </w:p>
    <w:p w14:paraId="24CEF651"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(b)</w:t>
      </w:r>
      <w:r w:rsidRPr="3961303B">
        <w:rPr>
          <w:rFonts w:ascii="Times New Roman" w:hAnsi="Times New Roman" w:cs="Times New Roman"/>
          <w:i/>
          <w:iCs/>
          <w:sz w:val="21"/>
          <w:szCs w:val="21"/>
        </w:rPr>
        <w:t xml:space="preserve">    </w:t>
      </w:r>
      <w:r w:rsidRPr="3961303B">
        <w:rPr>
          <w:rFonts w:ascii="Arial" w:hAnsi="Arial" w:cs="Arial"/>
          <w:i/>
          <w:iCs/>
          <w:sz w:val="21"/>
          <w:szCs w:val="21"/>
        </w:rPr>
        <w:t>the fact that he or she is able to gain access to the information; and</w:t>
      </w:r>
    </w:p>
    <w:p w14:paraId="0D55D2F7" w14:textId="057F0078"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the purposes for which the information is collected; and</w:t>
      </w:r>
    </w:p>
    <w:p w14:paraId="57CA2C6F"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(d)</w:t>
      </w:r>
      <w:r w:rsidRPr="3961303B">
        <w:rPr>
          <w:rFonts w:ascii="Times New Roman" w:hAnsi="Times New Roman" w:cs="Times New Roman"/>
          <w:i/>
          <w:iCs/>
          <w:sz w:val="21"/>
          <w:szCs w:val="21"/>
        </w:rPr>
        <w:t xml:space="preserve">    </w:t>
      </w:r>
      <w:r w:rsidRPr="3961303B">
        <w:rPr>
          <w:rFonts w:ascii="Arial" w:hAnsi="Arial" w:cs="Arial"/>
          <w:i/>
          <w:iCs/>
          <w:sz w:val="21"/>
          <w:szCs w:val="21"/>
        </w:rPr>
        <w:t>to whom (or the types of individuals or organisations to which) the organisation usually discloses information of that kind; and</w:t>
      </w:r>
    </w:p>
    <w:p w14:paraId="30A4209C" w14:textId="190DFE62"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any law that requires the particular information to be collected; and</w:t>
      </w:r>
    </w:p>
    <w:p w14:paraId="16FE730E" w14:textId="77777777" w:rsidR="59B7C61D" w:rsidRDefault="59B7C61D" w:rsidP="3961303B">
      <w:pPr>
        <w:pStyle w:val="xxdhhsnumberloweralpha"/>
        <w:spacing w:after="120" w:line="270" w:lineRule="atLeast"/>
        <w:ind w:left="794" w:hanging="397"/>
        <w:rPr>
          <w:rFonts w:ascii="Arial" w:hAnsi="Arial" w:cs="Arial"/>
          <w:i/>
          <w:iCs/>
          <w:sz w:val="21"/>
          <w:szCs w:val="21"/>
        </w:rPr>
      </w:pPr>
      <w:r w:rsidRPr="3961303B">
        <w:rPr>
          <w:rFonts w:ascii="Times New Roman" w:hAnsi="Times New Roman" w:cs="Times New Roman"/>
          <w:i/>
          <w:iCs/>
          <w:sz w:val="21"/>
          <w:szCs w:val="21"/>
          <w:lang w:val="en-US"/>
        </w:rPr>
        <w:t xml:space="preserve">(f)        </w:t>
      </w:r>
      <w:r w:rsidRPr="3961303B">
        <w:rPr>
          <w:rFonts w:ascii="Arial" w:hAnsi="Arial" w:cs="Arial"/>
          <w:i/>
          <w:iCs/>
          <w:sz w:val="21"/>
          <w:szCs w:val="21"/>
        </w:rPr>
        <w:t>the main consequences (if any) for the individual if all or part of the information is not provided.</w:t>
      </w:r>
    </w:p>
    <w:p w14:paraId="3E59DCA8" w14:textId="77777777" w:rsidR="59B7C61D" w:rsidRDefault="59B7C61D" w:rsidP="004244B2">
      <w:pPr>
        <w:pStyle w:val="Heading3"/>
        <w:spacing w:line="288" w:lineRule="auto"/>
      </w:pPr>
      <w:r>
        <w:t>Reporting data to the Australian Immunisation Register (AIR)</w:t>
      </w:r>
    </w:p>
    <w:p w14:paraId="0BD4644F" w14:textId="4AAA73A6" w:rsidR="59B7C61D" w:rsidRDefault="59B7C61D" w:rsidP="3961303B">
      <w:pPr>
        <w:pStyle w:val="Body"/>
      </w:pPr>
      <w:r>
        <w:t>It is strongly recommended vaccination service providers report all monkeypox vaccinations to the AIR. Due to the modes of transmission of mpox, it is recognised that some people may not wish for their record of vaccination for mpox be uploaded to AIR. In such cases, respect the wishes of the patient and do not upload their AIR record. A record in the patient</w:t>
      </w:r>
      <w:r w:rsidR="00B96D08">
        <w:t>’</w:t>
      </w:r>
      <w:r>
        <w:t>s clinical record must still occur.</w:t>
      </w:r>
    </w:p>
    <w:p w14:paraId="3325BF95" w14:textId="77777777" w:rsidR="59B7C61D" w:rsidRDefault="59B7C61D" w:rsidP="3961303B">
      <w:pPr>
        <w:pStyle w:val="Body"/>
      </w:pPr>
      <w:r>
        <w:t>The following manner and period of reporting will apply:</w:t>
      </w:r>
    </w:p>
    <w:p w14:paraId="0C709AD2" w14:textId="77777777" w:rsidR="59B7C61D" w:rsidRDefault="59B7C61D" w:rsidP="00603DC8">
      <w:pPr>
        <w:pStyle w:val="Bullet1"/>
        <w:numPr>
          <w:ilvl w:val="0"/>
          <w:numId w:val="19"/>
        </w:numPr>
      </w:pPr>
      <w:r>
        <w:t>Manner of reporting: electronic or if this is not reasonably practical then in written form</w:t>
      </w:r>
    </w:p>
    <w:p w14:paraId="4CCF0EA2" w14:textId="77777777" w:rsidR="59B7C61D" w:rsidRDefault="59B7C61D" w:rsidP="00603DC8">
      <w:pPr>
        <w:pStyle w:val="Bullet1"/>
        <w:numPr>
          <w:ilvl w:val="0"/>
          <w:numId w:val="19"/>
        </w:numPr>
      </w:pPr>
      <w:r>
        <w:t>Reporting period: within 24 hours, and no more than 10 working days after the vaccination</w:t>
      </w:r>
    </w:p>
    <w:p w14:paraId="215BE080" w14:textId="77777777" w:rsidR="59B7C61D" w:rsidRDefault="59B7C61D" w:rsidP="00603DC8">
      <w:pPr>
        <w:pStyle w:val="Bullet1"/>
        <w:numPr>
          <w:ilvl w:val="0"/>
          <w:numId w:val="19"/>
        </w:numPr>
      </w:pPr>
      <w:r>
        <w:t>Personal information: Medicare number (if applicable), name, date of birth, gender</w:t>
      </w:r>
    </w:p>
    <w:p w14:paraId="5BC57C42" w14:textId="77777777" w:rsidR="59B7C61D" w:rsidRDefault="59B7C61D" w:rsidP="00603DC8">
      <w:pPr>
        <w:pStyle w:val="Bullet1"/>
        <w:numPr>
          <w:ilvl w:val="0"/>
          <w:numId w:val="19"/>
        </w:numPr>
      </w:pPr>
      <w:r>
        <w:t>Vaccine information: brand name, dose number and batch number, date of administration</w:t>
      </w:r>
    </w:p>
    <w:p w14:paraId="34E18DED" w14:textId="77777777" w:rsidR="59B7C61D" w:rsidRDefault="59B7C61D" w:rsidP="00603DC8">
      <w:pPr>
        <w:pStyle w:val="Bullet1"/>
        <w:numPr>
          <w:ilvl w:val="0"/>
          <w:numId w:val="19"/>
        </w:numPr>
      </w:pPr>
      <w:r>
        <w:t>Provider information: provider number, name and contact details.</w:t>
      </w:r>
    </w:p>
    <w:p w14:paraId="07FCC50A" w14:textId="77777777" w:rsidR="00757F0E" w:rsidRDefault="00757F0E" w:rsidP="3961303B">
      <w:pPr>
        <w:pStyle w:val="Body"/>
      </w:pPr>
    </w:p>
    <w:p w14:paraId="698ACE24" w14:textId="69A883FA" w:rsidR="00757F0E" w:rsidRPr="00727E1D" w:rsidRDefault="001F1C31" w:rsidP="3961303B">
      <w:pPr>
        <w:pStyle w:val="Body"/>
        <w:rPr>
          <w:b/>
          <w:bCs/>
        </w:rPr>
      </w:pPr>
      <w:r w:rsidRPr="00727E1D">
        <w:rPr>
          <w:b/>
          <w:bCs/>
        </w:rPr>
        <w:t xml:space="preserve">Table </w:t>
      </w:r>
      <w:r w:rsidR="005F207E">
        <w:rPr>
          <w:b/>
          <w:bCs/>
        </w:rPr>
        <w:t>5</w:t>
      </w:r>
      <w:r w:rsidRPr="00727E1D">
        <w:rPr>
          <w:b/>
          <w:bCs/>
        </w:rPr>
        <w:t xml:space="preserve"> </w:t>
      </w:r>
      <w:r w:rsidR="00727E1D" w:rsidRPr="00727E1D">
        <w:rPr>
          <w:b/>
          <w:bCs/>
        </w:rPr>
        <w:t>–</w:t>
      </w:r>
      <w:r w:rsidRPr="00727E1D">
        <w:rPr>
          <w:b/>
          <w:bCs/>
        </w:rPr>
        <w:t xml:space="preserve"> </w:t>
      </w:r>
      <w:r w:rsidR="005F207E" w:rsidRPr="00727E1D">
        <w:rPr>
          <w:rFonts w:eastAsia="Calibri" w:cs="Arial"/>
          <w:b/>
          <w:bCs/>
          <w:szCs w:val="21"/>
          <w:lang w:val="en-US"/>
        </w:rPr>
        <w:t>JYNNEOS</w:t>
      </w:r>
      <w:r w:rsidR="005F207E" w:rsidRPr="00727E1D">
        <w:rPr>
          <w:rFonts w:cs="Arial"/>
          <w:b/>
          <w:bCs/>
          <w:color w:val="313131"/>
          <w:szCs w:val="21"/>
          <w:vertAlign w:val="superscript"/>
          <w:lang w:eastAsia="en-AU"/>
        </w:rPr>
        <w:t xml:space="preserve">® </w:t>
      </w:r>
      <w:r w:rsidR="005F207E" w:rsidRPr="00727E1D">
        <w:rPr>
          <w:rFonts w:cs="Arial"/>
          <w:b/>
          <w:bCs/>
          <w:szCs w:val="21"/>
          <w:lang w:eastAsia="en-AU"/>
        </w:rPr>
        <w:t xml:space="preserve">vaccine </w:t>
      </w:r>
      <w:r w:rsidR="005F207E">
        <w:rPr>
          <w:b/>
          <w:bCs/>
        </w:rPr>
        <w:t>c</w:t>
      </w:r>
      <w:r w:rsidR="00727E1D" w:rsidRPr="00727E1D">
        <w:rPr>
          <w:b/>
          <w:bCs/>
        </w:rPr>
        <w:t xml:space="preserve">odes for </w:t>
      </w:r>
      <w:r w:rsidR="005F207E">
        <w:rPr>
          <w:b/>
          <w:bCs/>
        </w:rPr>
        <w:t>reporting</w:t>
      </w:r>
      <w:r w:rsidR="00727E1D" w:rsidRPr="00727E1D">
        <w:rPr>
          <w:rFonts w:cs="Arial"/>
          <w:b/>
          <w:bCs/>
          <w:szCs w:val="21"/>
          <w:lang w:eastAsia="en-AU"/>
        </w:rPr>
        <w:t xml:space="preserve"> doses to AIR</w:t>
      </w:r>
    </w:p>
    <w:p w14:paraId="35716F5B" w14:textId="48EE77FF" w:rsidR="00757F0E" w:rsidRDefault="00DF1982" w:rsidP="3961303B">
      <w:pPr>
        <w:pStyle w:val="Body"/>
      </w:pPr>
      <w:r w:rsidRPr="00DF1982">
        <w:rPr>
          <w:noProof/>
        </w:rPr>
        <w:drawing>
          <wp:inline distT="0" distB="0" distL="0" distR="0" wp14:anchorId="7F7E4601" wp14:editId="5C6B28DC">
            <wp:extent cx="4943475" cy="2171700"/>
            <wp:effectExtent l="0" t="0" r="9525" b="0"/>
            <wp:docPr id="6" name="Picture 6" descr="Table of codes for adding JYNNEOS vaccines to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codes for adding JYNNEOS vaccines to AIR"/>
                    <pic:cNvPicPr/>
                  </pic:nvPicPr>
                  <pic:blipFill>
                    <a:blip r:embed="rId78"/>
                    <a:stretch>
                      <a:fillRect/>
                    </a:stretch>
                  </pic:blipFill>
                  <pic:spPr>
                    <a:xfrm>
                      <a:off x="0" y="0"/>
                      <a:ext cx="4943730" cy="2171812"/>
                    </a:xfrm>
                    <a:prstGeom prst="rect">
                      <a:avLst/>
                    </a:prstGeom>
                  </pic:spPr>
                </pic:pic>
              </a:graphicData>
            </a:graphic>
          </wp:inline>
        </w:drawing>
      </w:r>
    </w:p>
    <w:p w14:paraId="62D2EADA" w14:textId="54C8C894" w:rsidR="59B7C61D" w:rsidRDefault="59B7C61D" w:rsidP="3961303B">
      <w:pPr>
        <w:pStyle w:val="Body"/>
        <w:rPr>
          <w:rStyle w:val="Hyperlink"/>
        </w:rPr>
      </w:pPr>
      <w:r>
        <w:t xml:space="preserve">Practice management software is required to send data about vaccines to the AIR. If a service provider does not have practice management software or they need to view an individual’s immunisation record held on the AIR, they can access the AIR using </w:t>
      </w:r>
      <w:hyperlink r:id="rId79" w:history="1">
        <w:r w:rsidRPr="00903DDA">
          <w:rPr>
            <w:rStyle w:val="Hyperlink"/>
          </w:rPr>
          <w:t>Health Professional Online Services (HPOS)</w:t>
        </w:r>
      </w:hyperlink>
      <w:r w:rsidR="00903DDA">
        <w:t xml:space="preserve"> </w:t>
      </w:r>
      <w:r w:rsidR="00903DDA" w:rsidRPr="00903DDA">
        <w:t>&lt;</w:t>
      </w:r>
      <w:hyperlink r:id="rId80" w:history="1">
        <w:r w:rsidR="00903DDA" w:rsidRPr="00903DDA">
          <w:rPr>
            <w:rStyle w:val="Hyperlink"/>
            <w:color w:val="auto"/>
            <w:u w:val="none"/>
          </w:rPr>
          <w:t>https://www.servicesaustralia.gov.au/hpos</w:t>
        </w:r>
      </w:hyperlink>
      <w:r w:rsidR="00903DDA">
        <w:t>&gt;</w:t>
      </w:r>
      <w:r w:rsidRPr="00903DDA">
        <w:t>.</w:t>
      </w:r>
      <w:r>
        <w:t xml:space="preserve"> Further information about how to register and access the AIR is available from </w:t>
      </w:r>
      <w:r w:rsidR="001F3B79">
        <w:t xml:space="preserve">Services Australia </w:t>
      </w:r>
      <w:r w:rsidR="00903DDA">
        <w:t xml:space="preserve">refer to </w:t>
      </w:r>
      <w:hyperlink r:id="rId81" w:history="1">
        <w:r w:rsidR="00903DDA" w:rsidRPr="00903DDA">
          <w:rPr>
            <w:rStyle w:val="Hyperlink"/>
          </w:rPr>
          <w:t>PRODA (Provider digital access)</w:t>
        </w:r>
      </w:hyperlink>
      <w:r w:rsidR="00903DDA">
        <w:t xml:space="preserve">  </w:t>
      </w:r>
      <w:r w:rsidR="00A003A3" w:rsidRPr="00903DDA">
        <w:t>&lt;https://www.servicesaustralia.gov.au/organisations/business/services/proda-provider-digital-access</w:t>
      </w:r>
      <w:r w:rsidR="00903DDA" w:rsidRPr="00903DDA">
        <w:t>&gt;</w:t>
      </w:r>
    </w:p>
    <w:p w14:paraId="141E0D05" w14:textId="77777777" w:rsidR="59B7C61D" w:rsidRDefault="59B7C61D" w:rsidP="004244B2">
      <w:pPr>
        <w:pStyle w:val="Heading3"/>
        <w:spacing w:line="288" w:lineRule="auto"/>
      </w:pPr>
      <w:r>
        <w:t>Feedback and complaints</w:t>
      </w:r>
    </w:p>
    <w:p w14:paraId="19927AA2" w14:textId="77777777" w:rsidR="59B7C61D" w:rsidRDefault="59B7C61D" w:rsidP="3961303B">
      <w:pPr>
        <w:pStyle w:val="Body"/>
      </w:pPr>
      <w:r>
        <w:t>Consumer feedback is a valuable resource and should be encouraged in all aspects of the program. Complaints should be responded to in consultation with the consumer to reach suitable resolution, outcomes should then be used to drive quality improvement.</w:t>
      </w:r>
    </w:p>
    <w:p w14:paraId="500806CB" w14:textId="77777777" w:rsidR="59B7C61D" w:rsidRDefault="59B7C61D" w:rsidP="3961303B">
      <w:pPr>
        <w:pStyle w:val="Body"/>
      </w:pPr>
      <w:r>
        <w:t>Systems should be in place to ensure:</w:t>
      </w:r>
    </w:p>
    <w:p w14:paraId="462EFC04" w14:textId="77777777" w:rsidR="59B7C61D" w:rsidRDefault="59B7C61D" w:rsidP="00603DC8">
      <w:pPr>
        <w:pStyle w:val="Bullet1"/>
        <w:numPr>
          <w:ilvl w:val="0"/>
          <w:numId w:val="15"/>
        </w:numPr>
      </w:pPr>
      <w:r>
        <w:t>consumers and their needs are key organisational priorities</w:t>
      </w:r>
    </w:p>
    <w:p w14:paraId="5D33BCFC" w14:textId="77777777" w:rsidR="59B7C61D" w:rsidRDefault="59B7C61D" w:rsidP="00603DC8">
      <w:pPr>
        <w:pStyle w:val="Bullet1"/>
        <w:numPr>
          <w:ilvl w:val="0"/>
          <w:numId w:val="15"/>
        </w:numPr>
      </w:pPr>
      <w:r>
        <w:t>consumers are provided with the relevant knowledge to participate fully in their care to extent they wish</w:t>
      </w:r>
    </w:p>
    <w:p w14:paraId="70B15195" w14:textId="77777777" w:rsidR="59B7C61D" w:rsidRDefault="59B7C61D" w:rsidP="00603DC8">
      <w:pPr>
        <w:pStyle w:val="Bullet1"/>
        <w:numPr>
          <w:ilvl w:val="0"/>
          <w:numId w:val="15"/>
        </w:numPr>
      </w:pPr>
      <w:r>
        <w:t>clear, open and respectful communication exists between consumers and staff at all levels of the health system</w:t>
      </w:r>
    </w:p>
    <w:p w14:paraId="54704581" w14:textId="77777777" w:rsidR="59B7C61D" w:rsidRDefault="59B7C61D" w:rsidP="00603DC8">
      <w:pPr>
        <w:pStyle w:val="Bullet1"/>
        <w:numPr>
          <w:ilvl w:val="0"/>
          <w:numId w:val="15"/>
        </w:numPr>
      </w:pPr>
      <w:r>
        <w:t>services respond to the diverse needs of consumers and the community</w:t>
      </w:r>
    </w:p>
    <w:p w14:paraId="5F1AB2D2" w14:textId="73F25990" w:rsidR="59B7C61D" w:rsidRDefault="59B7C61D" w:rsidP="00603DC8">
      <w:pPr>
        <w:pStyle w:val="Bullet1"/>
        <w:numPr>
          <w:ilvl w:val="0"/>
          <w:numId w:val="15"/>
        </w:numPr>
      </w:pPr>
      <w:r>
        <w:t xml:space="preserve">the rights and responsibilities of consumers are respected and promoted to the community, consumers, carers, clinicians and other health service staff, as required by the </w:t>
      </w:r>
      <w:r w:rsidR="00903DDA">
        <w:t>Australian Commission on Safety and Quality in H</w:t>
      </w:r>
      <w:r w:rsidR="00903DDA" w:rsidRPr="00903DDA">
        <w:t xml:space="preserve">ealth Care </w:t>
      </w:r>
      <w:hyperlink r:id="rId82">
        <w:r w:rsidRPr="00903DDA">
          <w:rPr>
            <w:rStyle w:val="Hyperlink"/>
          </w:rPr>
          <w:t>Australian Charter of Healthcare Rights</w:t>
        </w:r>
      </w:hyperlink>
      <w:r w:rsidRPr="00903DDA">
        <w:t xml:space="preserve"> </w:t>
      </w:r>
      <w:r w:rsidR="00903DDA" w:rsidRPr="00903DDA">
        <w:t xml:space="preserve"> &lt;https://www.safetyandquality.gov.au/our-work/partnering-consumers/australian-charter-healthcare-rights</w:t>
      </w:r>
      <w:r w:rsidR="00903DDA">
        <w:t>&gt;</w:t>
      </w:r>
    </w:p>
    <w:p w14:paraId="5938D33C" w14:textId="77777777" w:rsidR="59B7C61D" w:rsidRDefault="59B7C61D" w:rsidP="00603DC8">
      <w:pPr>
        <w:pStyle w:val="Bullet1"/>
        <w:numPr>
          <w:ilvl w:val="0"/>
          <w:numId w:val="15"/>
        </w:numPr>
      </w:pPr>
      <w:r>
        <w:t>consumers are actively invited to provide feedback on their experiences of care</w:t>
      </w:r>
    </w:p>
    <w:p w14:paraId="675DA1A7" w14:textId="77777777" w:rsidR="59B7C61D" w:rsidRDefault="59B7C61D" w:rsidP="00603DC8">
      <w:pPr>
        <w:pStyle w:val="Bullet1"/>
        <w:numPr>
          <w:ilvl w:val="0"/>
          <w:numId w:val="15"/>
        </w:numPr>
      </w:pPr>
      <w:r>
        <w:t>services learn from and act on the feedback on clinical care and service delivery as provided by consumers in order to make improvements</w:t>
      </w:r>
    </w:p>
    <w:p w14:paraId="51CCA571" w14:textId="77777777" w:rsidR="59B7C61D" w:rsidRDefault="59B7C61D" w:rsidP="00603DC8">
      <w:pPr>
        <w:pStyle w:val="Bullet1"/>
        <w:numPr>
          <w:ilvl w:val="0"/>
          <w:numId w:val="15"/>
        </w:numPr>
      </w:pPr>
      <w:r>
        <w:t>consumers are provided with the opportunity and information to fully participate in organisational processes for planning, monitoring and improving services</w:t>
      </w:r>
    </w:p>
    <w:p w14:paraId="4FC8AB3F" w14:textId="77777777" w:rsidR="59B7C61D" w:rsidRDefault="59B7C61D" w:rsidP="00603DC8">
      <w:pPr>
        <w:pStyle w:val="Bullet1"/>
        <w:numPr>
          <w:ilvl w:val="0"/>
          <w:numId w:val="15"/>
        </w:numPr>
      </w:pPr>
      <w:r>
        <w:t>consumer participation processes are monitored for their effectiveness in empowering consumers to fully partner in their care</w:t>
      </w:r>
    </w:p>
    <w:p w14:paraId="49D11993" w14:textId="77777777" w:rsidR="59B7C61D" w:rsidRDefault="59B7C61D" w:rsidP="00603DC8">
      <w:pPr>
        <w:pStyle w:val="Bullet1"/>
        <w:numPr>
          <w:ilvl w:val="0"/>
          <w:numId w:val="15"/>
        </w:numPr>
      </w:pPr>
      <w:r>
        <w:t>complaints are responded to compassionately, completely and in a timely fashion, with feedback provided to all parties about the action resulting from their input</w:t>
      </w:r>
    </w:p>
    <w:p w14:paraId="46857251" w14:textId="77777777" w:rsidR="59B7C61D" w:rsidRDefault="59B7C61D" w:rsidP="00603DC8">
      <w:pPr>
        <w:pStyle w:val="Bullet1"/>
        <w:numPr>
          <w:ilvl w:val="0"/>
          <w:numId w:val="15"/>
        </w:numPr>
      </w:pPr>
      <w:r>
        <w:t>issues arising from complaints are analysed, reported and used to improve care and services.</w:t>
      </w:r>
    </w:p>
    <w:p w14:paraId="5DD6FFDF" w14:textId="1834EFE4" w:rsidR="59B7C61D" w:rsidRDefault="59B7C61D" w:rsidP="000F42BA">
      <w:pPr>
        <w:pStyle w:val="Bullet1"/>
        <w:numPr>
          <w:ilvl w:val="0"/>
          <w:numId w:val="0"/>
        </w:numPr>
        <w:ind w:left="284" w:hanging="284"/>
        <w:rPr>
          <w:b/>
          <w:bCs/>
        </w:rPr>
      </w:pPr>
      <w:r>
        <w:t xml:space="preserve">For an overview of all contact pathways please refer to </w:t>
      </w:r>
      <w:hyperlink w:anchor="_Appendix_1:_Contact_1">
        <w:r w:rsidRPr="3961303B">
          <w:rPr>
            <w:rStyle w:val="Hyperlink"/>
          </w:rPr>
          <w:t xml:space="preserve">Appendix 1 </w:t>
        </w:r>
        <w:r w:rsidR="00B96D08">
          <w:rPr>
            <w:rStyle w:val="Hyperlink"/>
          </w:rPr>
          <w:t>–</w:t>
        </w:r>
        <w:r w:rsidRPr="3961303B">
          <w:rPr>
            <w:rStyle w:val="Hyperlink"/>
          </w:rPr>
          <w:t xml:space="preserve"> Conta</w:t>
        </w:r>
      </w:hyperlink>
      <w:r w:rsidRPr="3961303B">
        <w:rPr>
          <w:rStyle w:val="Hyperlink"/>
        </w:rPr>
        <w:t>ct Information</w:t>
      </w:r>
      <w:r>
        <w:t>.</w:t>
      </w:r>
      <w:r w:rsidRPr="3961303B">
        <w:rPr>
          <w:b/>
          <w:bCs/>
        </w:rPr>
        <w:t xml:space="preserve"> </w:t>
      </w:r>
    </w:p>
    <w:p w14:paraId="56710531" w14:textId="77777777" w:rsidR="59B7C61D" w:rsidRDefault="59B7C61D" w:rsidP="004244B2">
      <w:pPr>
        <w:pStyle w:val="Heading3"/>
        <w:spacing w:line="288" w:lineRule="auto"/>
      </w:pPr>
      <w:r>
        <w:t>Occupational health and safety</w:t>
      </w:r>
    </w:p>
    <w:p w14:paraId="45B77BC8" w14:textId="77777777" w:rsidR="59B7C61D" w:rsidRDefault="00000000" w:rsidP="3961303B">
      <w:pPr>
        <w:pStyle w:val="Body"/>
      </w:pPr>
      <w:hyperlink r:id="rId83">
        <w:r w:rsidR="59B7C61D" w:rsidRPr="3961303B">
          <w:rPr>
            <w:rStyle w:val="Hyperlink"/>
            <w:i/>
            <w:iCs/>
          </w:rPr>
          <w:t>The Occupational Health and Safety Act 2004</w:t>
        </w:r>
      </w:hyperlink>
      <w:r w:rsidR="59B7C61D" w:rsidRPr="3961303B">
        <w:rPr>
          <w:rStyle w:val="FootnoteReference"/>
          <w:i/>
          <w:iCs/>
        </w:rPr>
        <w:footnoteReference w:id="44"/>
      </w:r>
      <w:r w:rsidR="59B7C61D">
        <w:t xml:space="preserve"> and related regulations aim to keep Victorian workplaces safe. The Act, in conjunction with the </w:t>
      </w:r>
      <w:hyperlink r:id="rId84">
        <w:r w:rsidR="59B7C61D" w:rsidRPr="3961303B">
          <w:rPr>
            <w:rStyle w:val="Hyperlink"/>
          </w:rPr>
          <w:t>Australian Guidelines for the Prevention and Control of infection in Healthcare 2019</w:t>
        </w:r>
      </w:hyperlink>
      <w:r w:rsidR="59B7C61D" w:rsidRPr="3961303B">
        <w:rPr>
          <w:rStyle w:val="FootnoteReference"/>
        </w:rPr>
        <w:footnoteReference w:id="45"/>
      </w:r>
      <w:r w:rsidR="59B7C61D">
        <w:t xml:space="preserve"> should guide the development of occupational health and safety protocols of the services. Vaccination providers should maintain up to date, easily retrievable protocols relevant to their scope of practice in immunisation concerning all relevant aspects of occupational health and safety including, but not limited to:</w:t>
      </w:r>
    </w:p>
    <w:p w14:paraId="2D294CE2" w14:textId="77777777" w:rsidR="59B7C61D" w:rsidRDefault="59B7C61D" w:rsidP="00603DC8">
      <w:pPr>
        <w:pStyle w:val="Bullet1"/>
        <w:numPr>
          <w:ilvl w:val="0"/>
          <w:numId w:val="15"/>
        </w:numPr>
      </w:pPr>
      <w:r>
        <w:t>blood spills</w:t>
      </w:r>
    </w:p>
    <w:p w14:paraId="0120FE9F" w14:textId="77777777" w:rsidR="59B7C61D" w:rsidRDefault="59B7C61D" w:rsidP="00603DC8">
      <w:pPr>
        <w:pStyle w:val="Bullet1"/>
        <w:numPr>
          <w:ilvl w:val="0"/>
          <w:numId w:val="15"/>
        </w:numPr>
      </w:pPr>
      <w:r>
        <w:t>disposal of infectious waste</w:t>
      </w:r>
    </w:p>
    <w:p w14:paraId="3046722D" w14:textId="77777777" w:rsidR="59B7C61D" w:rsidRDefault="59B7C61D" w:rsidP="00603DC8">
      <w:pPr>
        <w:pStyle w:val="Bullet1"/>
        <w:numPr>
          <w:ilvl w:val="0"/>
          <w:numId w:val="15"/>
        </w:numPr>
      </w:pPr>
      <w:r>
        <w:t>needle stick injuries</w:t>
      </w:r>
    </w:p>
    <w:p w14:paraId="3D825B58" w14:textId="77777777" w:rsidR="59B7C61D" w:rsidRDefault="59B7C61D" w:rsidP="00603DC8">
      <w:pPr>
        <w:pStyle w:val="Bullet1"/>
        <w:numPr>
          <w:ilvl w:val="0"/>
          <w:numId w:val="15"/>
        </w:numPr>
      </w:pPr>
      <w:r>
        <w:t>medication errors</w:t>
      </w:r>
    </w:p>
    <w:p w14:paraId="12BD20EE" w14:textId="77777777" w:rsidR="59B7C61D" w:rsidRDefault="59B7C61D" w:rsidP="00603DC8">
      <w:pPr>
        <w:pStyle w:val="Bullet1"/>
        <w:numPr>
          <w:ilvl w:val="0"/>
          <w:numId w:val="15"/>
        </w:numPr>
      </w:pPr>
      <w:r>
        <w:t>equipment used</w:t>
      </w:r>
    </w:p>
    <w:p w14:paraId="067DECF0" w14:textId="77777777" w:rsidR="59B7C61D" w:rsidRDefault="59B7C61D" w:rsidP="00603DC8">
      <w:pPr>
        <w:pStyle w:val="Bullet1"/>
        <w:numPr>
          <w:ilvl w:val="0"/>
          <w:numId w:val="15"/>
        </w:numPr>
      </w:pPr>
      <w:r>
        <w:t>using multidose vials</w:t>
      </w:r>
    </w:p>
    <w:p w14:paraId="3D5BA3FC" w14:textId="77777777" w:rsidR="59B7C61D" w:rsidRDefault="59B7C61D" w:rsidP="00603DC8">
      <w:pPr>
        <w:pStyle w:val="Bullet1"/>
        <w:numPr>
          <w:ilvl w:val="0"/>
          <w:numId w:val="15"/>
        </w:numPr>
      </w:pPr>
      <w:r>
        <w:t>repetitive strain injury</w:t>
      </w:r>
    </w:p>
    <w:p w14:paraId="1AE2E1DB" w14:textId="77777777" w:rsidR="59B7C61D" w:rsidRDefault="59B7C61D" w:rsidP="00603DC8">
      <w:pPr>
        <w:pStyle w:val="Bullet1"/>
        <w:numPr>
          <w:ilvl w:val="0"/>
          <w:numId w:val="15"/>
        </w:numPr>
      </w:pPr>
      <w:r>
        <w:t>prevention of transmission of infectious diseases in the health care setting</w:t>
      </w:r>
    </w:p>
    <w:p w14:paraId="1CA6A528" w14:textId="77777777" w:rsidR="59B7C61D" w:rsidRDefault="59B7C61D" w:rsidP="00603DC8">
      <w:pPr>
        <w:pStyle w:val="Bullet1"/>
        <w:numPr>
          <w:ilvl w:val="0"/>
          <w:numId w:val="15"/>
        </w:numPr>
      </w:pPr>
      <w:r>
        <w:t>safety of interior and exterior of venues where immunisation sessions are held</w:t>
      </w:r>
    </w:p>
    <w:p w14:paraId="6A412B11" w14:textId="77777777" w:rsidR="59B7C61D" w:rsidRDefault="59B7C61D" w:rsidP="3961303B">
      <w:pPr>
        <w:pStyle w:val="Body"/>
      </w:pPr>
      <w:r>
        <w:t>All staff should be familiar with the content of the protocols and how to follow them.</w:t>
      </w:r>
    </w:p>
    <w:p w14:paraId="53D75969" w14:textId="77777777" w:rsidR="59B7C61D" w:rsidRDefault="59B7C61D" w:rsidP="00474D13">
      <w:pPr>
        <w:pStyle w:val="Heading3"/>
        <w:spacing w:before="120" w:line="288" w:lineRule="auto"/>
      </w:pPr>
      <w:r>
        <w:t>Professional indemnity insurance</w:t>
      </w:r>
    </w:p>
    <w:p w14:paraId="2812339A" w14:textId="6FE84EEE" w:rsidR="59B7C61D" w:rsidRDefault="59B7C61D" w:rsidP="3961303B">
      <w:pPr>
        <w:pStyle w:val="Body"/>
      </w:pPr>
      <w:r>
        <w:t>Service providers are required to hold appropriate insurance for the administration of vaccines and provision of a vaccination service. Health professionals should consult with their insurance provider regarding insurance appropriate to their circumstances, including the provision of care outside of employer premises or clinical placement providers</w:t>
      </w:r>
      <w:r w:rsidR="00B96D08">
        <w:t>’</w:t>
      </w:r>
      <w:r>
        <w:t xml:space="preserve"> premises, as relevant to the insured party/ies.</w:t>
      </w:r>
    </w:p>
    <w:p w14:paraId="7402CFCC" w14:textId="0EAFA2C6" w:rsidR="59B7C61D" w:rsidRPr="00FD1889" w:rsidRDefault="59B7C61D" w:rsidP="00FD1889">
      <w:pPr>
        <w:pStyle w:val="Heading2"/>
      </w:pPr>
      <w:bookmarkStart w:id="208" w:name="_Workforce_requirements_2"/>
      <w:bookmarkStart w:id="209" w:name="_Toc176345002"/>
      <w:bookmarkEnd w:id="208"/>
      <w:r w:rsidRPr="00FD1889">
        <w:t>Workforce requirements</w:t>
      </w:r>
      <w:bookmarkEnd w:id="209"/>
    </w:p>
    <w:p w14:paraId="30DA99FE" w14:textId="282307DF" w:rsidR="003D161D" w:rsidRPr="0091033F" w:rsidRDefault="003D161D" w:rsidP="3961303B">
      <w:pPr>
        <w:pStyle w:val="Body"/>
        <w:rPr>
          <w:b/>
          <w:bCs/>
          <w:lang w:bidi="en-AU"/>
        </w:rPr>
      </w:pPr>
      <w:r>
        <w:rPr>
          <w:b/>
          <w:bCs/>
          <w:lang w:bidi="en-AU"/>
        </w:rPr>
        <w:t>Medical practitioners and nurse practitioners</w:t>
      </w:r>
    </w:p>
    <w:p w14:paraId="567C59C2" w14:textId="53DA0351" w:rsidR="59B7C61D" w:rsidRDefault="59B7C61D" w:rsidP="3961303B">
      <w:pPr>
        <w:pStyle w:val="Body"/>
        <w:rPr>
          <w:lang w:bidi="en-AU"/>
        </w:rPr>
      </w:pPr>
      <w:r w:rsidRPr="3961303B">
        <w:rPr>
          <w:lang w:bidi="en-AU"/>
        </w:rPr>
        <w:t xml:space="preserve">Vaccination providers are responsible for deploying a skilled workforce in sufficient numbers to meet the obligations of provision of mpox vaccines. </w:t>
      </w:r>
      <w:r w:rsidR="003D161D">
        <w:rPr>
          <w:lang w:bidi="en-AU"/>
        </w:rPr>
        <w:t>M</w:t>
      </w:r>
      <w:r w:rsidRPr="3961303B">
        <w:rPr>
          <w:lang w:bidi="en-AU"/>
        </w:rPr>
        <w:t xml:space="preserve">edical practitioners and nurse practitioners (within their scope of practice) can authorise administration by an instruction or independently administer the mpox vaccine. </w:t>
      </w:r>
    </w:p>
    <w:p w14:paraId="740199D2" w14:textId="77777777" w:rsidR="59B7C61D" w:rsidRDefault="59B7C61D" w:rsidP="3961303B">
      <w:pPr>
        <w:pStyle w:val="Body"/>
        <w:rPr>
          <w:rFonts w:cs="Arial"/>
        </w:rPr>
      </w:pPr>
      <w:r w:rsidRPr="3961303B">
        <w:rPr>
          <w:rFonts w:cs="Arial"/>
        </w:rPr>
        <w:t>A nurse practitioner is authorised to obtain, possess, use, supply or prescribe substances in Schedules 2, 3, 4 or 8 that are approved by the Minister for Health, in the lawful practice of their profession as a nurse practitioner (section</w:t>
      </w:r>
      <w:r w:rsidRPr="3961303B">
        <w:rPr>
          <w:rStyle w:val="CommentReference"/>
          <w:rFonts w:eastAsiaTheme="minorEastAsia"/>
        </w:rPr>
        <w:t xml:space="preserve"> </w:t>
      </w:r>
      <w:r w:rsidRPr="3961303B">
        <w:rPr>
          <w:rFonts w:cs="Arial"/>
        </w:rPr>
        <w:t xml:space="preserve">13 of the </w:t>
      </w:r>
      <w:r w:rsidRPr="3961303B">
        <w:rPr>
          <w:rFonts w:cs="Arial"/>
          <w:i/>
          <w:iCs/>
        </w:rPr>
        <w:t>Drugs, Poisons and Controlled Substances Act 1981</w:t>
      </w:r>
      <w:r w:rsidRPr="3961303B">
        <w:rPr>
          <w:rFonts w:cs="Arial"/>
        </w:rPr>
        <w:t>).</w:t>
      </w:r>
      <w:r w:rsidRPr="3961303B">
        <w:rPr>
          <w:rFonts w:cs="Arial"/>
          <w:color w:val="2A2736"/>
        </w:rPr>
        <w:t xml:space="preserve"> </w:t>
      </w:r>
      <w:r w:rsidRPr="3961303B">
        <w:rPr>
          <w:rFonts w:cs="Arial"/>
        </w:rPr>
        <w:t>The scope of practice of individual nurse practitioners is supported by their employer’s clinical governance framework</w:t>
      </w:r>
      <w:r w:rsidRPr="3961303B">
        <w:rPr>
          <w:rStyle w:val="FootnoteReference"/>
          <w:rFonts w:cs="Arial"/>
        </w:rPr>
        <w:footnoteReference w:id="46"/>
      </w:r>
      <w:r w:rsidRPr="3961303B">
        <w:rPr>
          <w:rFonts w:cs="Arial"/>
        </w:rPr>
        <w:t>.</w:t>
      </w:r>
    </w:p>
    <w:p w14:paraId="4B3DE3DD" w14:textId="77777777" w:rsidR="59B7C61D" w:rsidRDefault="59B7C61D" w:rsidP="3961303B">
      <w:pPr>
        <w:pStyle w:val="Body"/>
      </w:pPr>
      <w:r>
        <w:t xml:space="preserve">Medical practitioners are authorised to obtain, possess, use, supply or prescribe most medicines and poisons for the lawful practice of their profession (section 13 of the </w:t>
      </w:r>
      <w:r w:rsidRPr="3961303B">
        <w:rPr>
          <w:i/>
          <w:iCs/>
        </w:rPr>
        <w:t>Drugs, Poisons and Controlled Substances Act 1981</w:t>
      </w:r>
      <w:r>
        <w:t>), i.e. for the medical treatment of patients under their care</w:t>
      </w:r>
      <w:r w:rsidRPr="3961303B">
        <w:rPr>
          <w:rStyle w:val="FootnoteReference"/>
        </w:rPr>
        <w:footnoteReference w:id="47"/>
      </w:r>
      <w:r>
        <w:t>.</w:t>
      </w:r>
    </w:p>
    <w:p w14:paraId="6FF6A46D" w14:textId="646F87B3" w:rsidR="003D161D" w:rsidRPr="00DC4887" w:rsidRDefault="003D161D" w:rsidP="00DC4887">
      <w:pPr>
        <w:shd w:val="clear" w:color="auto" w:fill="FFFFFF" w:themeFill="background1"/>
        <w:spacing w:before="120" w:line="288" w:lineRule="auto"/>
      </w:pPr>
      <w:r w:rsidRPr="00DC4887">
        <w:rPr>
          <w:b/>
          <w:bCs/>
        </w:rPr>
        <w:t>Nurse immunisers and pharmacist immunisers</w:t>
      </w:r>
    </w:p>
    <w:p w14:paraId="4E98B115" w14:textId="77777777" w:rsidR="002A3C84" w:rsidRDefault="0044750B" w:rsidP="00DC4887">
      <w:pPr>
        <w:shd w:val="clear" w:color="auto" w:fill="FFFFFF" w:themeFill="background1"/>
        <w:spacing w:before="120" w:line="288" w:lineRule="auto"/>
      </w:pPr>
      <w:r w:rsidRPr="00DC4887">
        <w:t xml:space="preserve">Nurse immunisers and pharmacist immunisers, who are already authorised under the </w:t>
      </w:r>
      <w:r w:rsidRPr="00DC4887">
        <w:rPr>
          <w:i/>
          <w:iCs/>
        </w:rPr>
        <w:t xml:space="preserve">Drugs, </w:t>
      </w:r>
      <w:r w:rsidR="0034142A" w:rsidRPr="00DC4887">
        <w:rPr>
          <w:i/>
          <w:iCs/>
        </w:rPr>
        <w:t>Poisons and Controlled Substances Regulations 2017</w:t>
      </w:r>
      <w:r w:rsidR="0034142A" w:rsidRPr="00DC4887">
        <w:t xml:space="preserve"> (Vic) to administer Schedule </w:t>
      </w:r>
      <w:r w:rsidR="00CD70E4" w:rsidRPr="00DC4887">
        <w:t xml:space="preserve">4 poisons, now have provisions for </w:t>
      </w:r>
      <w:r w:rsidR="003A18E6" w:rsidRPr="00DC4887">
        <w:t xml:space="preserve">administering </w:t>
      </w:r>
      <w:r w:rsidR="00CD70E4" w:rsidRPr="00DC4887">
        <w:t xml:space="preserve">the mpox vaccine </w:t>
      </w:r>
      <w:r w:rsidR="003A18E6" w:rsidRPr="00DC4887">
        <w:t xml:space="preserve">without an instruction from an authorised prescriber, </w:t>
      </w:r>
      <w:r w:rsidR="00CD70E4" w:rsidRPr="00DC4887">
        <w:t xml:space="preserve">enabled through updates to the </w:t>
      </w:r>
      <w:r w:rsidR="00413C29" w:rsidRPr="00DC4887">
        <w:t>Secretary Approval: Nurse Immunisers</w:t>
      </w:r>
      <w:r w:rsidR="00413C29" w:rsidRPr="00DC4887">
        <w:rPr>
          <w:rStyle w:val="FootnoteReference"/>
        </w:rPr>
        <w:footnoteReference w:id="48"/>
      </w:r>
      <w:r w:rsidR="00C23B9C" w:rsidRPr="00DC4887">
        <w:t xml:space="preserve"> and </w:t>
      </w:r>
      <w:r w:rsidR="00BE69A5" w:rsidRPr="00DC4887">
        <w:t>Secretary Approval: Pharmacist Immuniser</w:t>
      </w:r>
      <w:r w:rsidR="00BE69A5" w:rsidRPr="00DC4887">
        <w:rPr>
          <w:rStyle w:val="FootnoteReference"/>
        </w:rPr>
        <w:footnoteReference w:id="49"/>
      </w:r>
      <w:r w:rsidR="00C23B9C" w:rsidRPr="00DC4887">
        <w:t>, respectively.</w:t>
      </w:r>
      <w:r w:rsidR="00A86799" w:rsidRPr="00DC4887">
        <w:t xml:space="preserve"> </w:t>
      </w:r>
    </w:p>
    <w:p w14:paraId="41AC39AF" w14:textId="62F79193" w:rsidR="00C55570" w:rsidRDefault="00CF5935" w:rsidP="00DC4887">
      <w:pPr>
        <w:shd w:val="clear" w:color="auto" w:fill="FFFFFF" w:themeFill="background1"/>
        <w:spacing w:before="120" w:line="288" w:lineRule="auto"/>
      </w:pPr>
      <w:r w:rsidRPr="00DC4887">
        <w:t>Nurse immunisers and pharmacist immunisers undertaking intradermal mpox vaccine administration must undertake</w:t>
      </w:r>
      <w:r w:rsidR="00F903E0" w:rsidRPr="00DC4887">
        <w:t xml:space="preserve"> additional training detailed in </w:t>
      </w:r>
      <w:r w:rsidR="005E59EF" w:rsidRPr="00DC4887">
        <w:t xml:space="preserve">the ‘Training requirements’ </w:t>
      </w:r>
      <w:r w:rsidR="00F903E0" w:rsidRPr="00DC4887">
        <w:t xml:space="preserve">section </w:t>
      </w:r>
      <w:r w:rsidR="005E59EF" w:rsidRPr="00DC4887">
        <w:t>below</w:t>
      </w:r>
      <w:r w:rsidRPr="00DC4887">
        <w:t xml:space="preserve">. </w:t>
      </w:r>
    </w:p>
    <w:p w14:paraId="0B9D6A08" w14:textId="56CE414E" w:rsidR="59B7C61D" w:rsidRDefault="000B4404" w:rsidP="00DC4887">
      <w:pPr>
        <w:shd w:val="clear" w:color="auto" w:fill="FFFFFF" w:themeFill="background1"/>
        <w:spacing w:before="120" w:line="288" w:lineRule="auto"/>
      </w:pPr>
      <w:r w:rsidRPr="00DC4887">
        <w:t>Further detail</w:t>
      </w:r>
      <w:r w:rsidR="00D8720A" w:rsidRPr="00DC4887">
        <w:t>s</w:t>
      </w:r>
      <w:r w:rsidRPr="00DC4887">
        <w:t xml:space="preserve"> about </w:t>
      </w:r>
      <w:r w:rsidR="001B6A6D" w:rsidRPr="00DC4887">
        <w:t xml:space="preserve">nurse immunisers and pharmacist immunisers </w:t>
      </w:r>
      <w:r w:rsidR="00D8720A" w:rsidRPr="00DC4887">
        <w:t>are</w:t>
      </w:r>
      <w:r w:rsidR="001B6A6D" w:rsidRPr="00DC4887">
        <w:t xml:space="preserve"> available </w:t>
      </w:r>
      <w:r w:rsidR="001B6A6D" w:rsidRPr="00903DDA">
        <w:t>from</w:t>
      </w:r>
      <w:r w:rsidR="00783F72" w:rsidRPr="00903DDA">
        <w:t xml:space="preserve"> the </w:t>
      </w:r>
      <w:r w:rsidR="00903DDA" w:rsidRPr="00903DDA">
        <w:t>d</w:t>
      </w:r>
      <w:r w:rsidR="00783F72" w:rsidRPr="00903DDA">
        <w:t xml:space="preserve">epartment’s </w:t>
      </w:r>
      <w:hyperlink r:id="rId85" w:history="1">
        <w:r w:rsidR="00783F72" w:rsidRPr="00903DDA">
          <w:rPr>
            <w:rStyle w:val="Hyperlink"/>
          </w:rPr>
          <w:t>Immunisers in Victoria</w:t>
        </w:r>
      </w:hyperlink>
      <w:r w:rsidR="00783F72" w:rsidRPr="00903DDA">
        <w:t xml:space="preserve"> webpage at: </w:t>
      </w:r>
      <w:r w:rsidR="000B2880" w:rsidRPr="00903DDA">
        <w:t>&lt;https://www.health.vic.gov.au/immunisation/immunisers-in-victoria&gt;.</w:t>
      </w:r>
      <w:r w:rsidR="002D331D">
        <w:t xml:space="preserve"> </w:t>
      </w:r>
    </w:p>
    <w:p w14:paraId="6BB29B9D" w14:textId="77777777" w:rsidR="00903DDA" w:rsidRDefault="00903DDA" w:rsidP="3961303B">
      <w:pPr>
        <w:shd w:val="clear" w:color="auto" w:fill="FFFFFF" w:themeFill="background1"/>
        <w:spacing w:line="288" w:lineRule="auto"/>
        <w:rPr>
          <w:b/>
          <w:bCs/>
        </w:rPr>
      </w:pPr>
    </w:p>
    <w:p w14:paraId="3C15C1A0" w14:textId="7011889B" w:rsidR="003D161D" w:rsidRDefault="003D161D" w:rsidP="3961303B">
      <w:pPr>
        <w:shd w:val="clear" w:color="auto" w:fill="FFFFFF" w:themeFill="background1"/>
        <w:spacing w:line="288" w:lineRule="auto"/>
        <w:rPr>
          <w:b/>
          <w:bCs/>
        </w:rPr>
      </w:pPr>
      <w:r>
        <w:rPr>
          <w:b/>
          <w:bCs/>
        </w:rPr>
        <w:t>Registered nurses</w:t>
      </w:r>
    </w:p>
    <w:p w14:paraId="794D76AF" w14:textId="26FCE7B2" w:rsidR="003D161D" w:rsidRDefault="003D161D" w:rsidP="3961303B">
      <w:pPr>
        <w:shd w:val="clear" w:color="auto" w:fill="FFFFFF" w:themeFill="background1"/>
        <w:spacing w:line="288" w:lineRule="auto"/>
      </w:pPr>
      <w:r>
        <w:t>Registered nurses</w:t>
      </w:r>
      <w:r w:rsidR="004B4552">
        <w:t xml:space="preserve"> </w:t>
      </w:r>
      <w:r>
        <w:t xml:space="preserve">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006EB334" w14:textId="1AF33195" w:rsidR="00C55570" w:rsidRPr="00C55570" w:rsidRDefault="00C55570" w:rsidP="3961303B">
      <w:pPr>
        <w:shd w:val="clear" w:color="auto" w:fill="FFFFFF" w:themeFill="background1"/>
        <w:spacing w:line="288" w:lineRule="auto"/>
        <w:rPr>
          <w:rFonts w:cs="Arial"/>
          <w:b/>
          <w:bCs/>
          <w:szCs w:val="21"/>
        </w:rPr>
      </w:pPr>
      <w:r w:rsidRPr="00C55570">
        <w:rPr>
          <w:rFonts w:cs="Arial"/>
          <w:b/>
          <w:bCs/>
          <w:szCs w:val="21"/>
        </w:rPr>
        <w:t>Aboriginal and Torres Strait Islander health practitioners (ATSIHPs)</w:t>
      </w:r>
    </w:p>
    <w:p w14:paraId="4A70CF65" w14:textId="2AA44CCA" w:rsidR="00C55570" w:rsidRDefault="00C55570" w:rsidP="00C55570">
      <w:pPr>
        <w:shd w:val="clear" w:color="auto" w:fill="FFFFFF" w:themeFill="background1"/>
        <w:spacing w:line="288" w:lineRule="auto"/>
      </w:pPr>
      <w:r>
        <w:t xml:space="preserve">ATSIHPs 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19329EFD" w14:textId="15258559" w:rsidR="59B7C61D" w:rsidRDefault="005E6396" w:rsidP="3961303B">
      <w:pPr>
        <w:pStyle w:val="Heading3"/>
      </w:pPr>
      <w:r>
        <w:t>Clinical resources</w:t>
      </w:r>
    </w:p>
    <w:p w14:paraId="687C4DDA" w14:textId="5ED3C549" w:rsidR="59B7C61D" w:rsidRPr="00A26147" w:rsidRDefault="008D4242" w:rsidP="3961303B">
      <w:pPr>
        <w:pStyle w:val="Body"/>
        <w:rPr>
          <w:rFonts w:eastAsia="Times New Roman" w:cs="Arial"/>
          <w:lang w:eastAsia="en-AU"/>
        </w:rPr>
      </w:pPr>
      <w:r w:rsidRPr="00A26147">
        <w:t>The</w:t>
      </w:r>
      <w:r w:rsidR="59B7C61D" w:rsidRPr="00A26147">
        <w:t xml:space="preserve"> department has provided guidance on training modules, and skills and competencies to deliver the </w:t>
      </w:r>
      <w:r w:rsidR="59B7C61D" w:rsidRPr="00A26147">
        <w:rPr>
          <w:rFonts w:eastAsia="Times New Roman" w:cs="Arial"/>
          <w:lang w:eastAsia="en-AU"/>
        </w:rPr>
        <w:t>JYNNEOS</w:t>
      </w:r>
      <w:r w:rsidR="59B7C61D" w:rsidRPr="00A26147">
        <w:rPr>
          <w:rFonts w:eastAsia="Times New Roman" w:cs="Arial"/>
          <w:vertAlign w:val="superscript"/>
          <w:lang w:eastAsia="en-AU"/>
        </w:rPr>
        <w:t>®</w:t>
      </w:r>
      <w:r w:rsidR="59B7C61D" w:rsidRPr="00A26147">
        <w:rPr>
          <w:rFonts w:eastAsia="Times New Roman" w:cs="Arial"/>
          <w:lang w:eastAsia="en-AU"/>
        </w:rPr>
        <w:t xml:space="preserve"> vaccine via prescribed routes. </w:t>
      </w:r>
      <w:r w:rsidR="005E6396">
        <w:rPr>
          <w:rFonts w:eastAsia="Times New Roman" w:cs="Arial"/>
          <w:lang w:eastAsia="en-AU"/>
        </w:rPr>
        <w:t xml:space="preserve">Further information may be found in the </w:t>
      </w:r>
      <w:hyperlink r:id="rId86" w:anchor=":~:text=Information%20about%20mpox%20(previously%20known%20as%20monkeypox)%20disease,%20vaccines%20and" w:history="1">
        <w:r w:rsidR="005E6396" w:rsidRPr="005E6396">
          <w:rPr>
            <w:rStyle w:val="Hyperlink"/>
            <w:rFonts w:eastAsia="Times New Roman" w:cs="Arial"/>
            <w:lang w:eastAsia="en-AU"/>
          </w:rPr>
          <w:t>Australian Immunisation Handb</w:t>
        </w:r>
        <w:r w:rsidR="005E6396" w:rsidRPr="005E6396">
          <w:rPr>
            <w:rStyle w:val="Hyperlink"/>
            <w:rFonts w:eastAsia="Times New Roman" w:cs="Arial"/>
            <w:lang w:eastAsia="en-AU"/>
          </w:rPr>
          <w:t>ook |Mpox</w:t>
        </w:r>
      </w:hyperlink>
      <w:r w:rsidR="005E6396">
        <w:rPr>
          <w:rFonts w:eastAsia="Times New Roman" w:cs="Arial"/>
          <w:lang w:eastAsia="en-AU"/>
        </w:rPr>
        <w:t>.&lt;</w:t>
      </w:r>
      <w:r w:rsidR="005E6396" w:rsidRPr="005E6396">
        <w:rPr>
          <w:rFonts w:eastAsia="Times New Roman" w:cs="Arial"/>
          <w:lang w:eastAsia="en-AU"/>
        </w:rPr>
        <w:t>https://immunisationhandbook.health.gov.au/</w:t>
      </w:r>
      <w:r w:rsidR="005E6396">
        <w:rPr>
          <w:rFonts w:eastAsia="Times New Roman" w:cs="Arial"/>
          <w:lang w:eastAsia="en-AU"/>
        </w:rPr>
        <w:t xml:space="preserve"> &gt;</w:t>
      </w:r>
    </w:p>
    <w:p w14:paraId="729FD495" w14:textId="61916ECB" w:rsidR="59B7C61D" w:rsidRDefault="59B7C61D" w:rsidP="3961303B">
      <w:pPr>
        <w:pStyle w:val="Body"/>
        <w:rPr>
          <w:i/>
          <w:iCs/>
        </w:rPr>
      </w:pPr>
      <w:r>
        <w:t>It is the responsibility of each mpox vaccination provider to:</w:t>
      </w:r>
    </w:p>
    <w:p w14:paraId="1EA89477" w14:textId="3CAE57BC" w:rsidR="59B7C61D" w:rsidRDefault="00EB681F" w:rsidP="00603DC8">
      <w:pPr>
        <w:pStyle w:val="Bullet1"/>
        <w:numPr>
          <w:ilvl w:val="0"/>
          <w:numId w:val="15"/>
        </w:numPr>
      </w:pPr>
      <w:r>
        <w:t>i</w:t>
      </w:r>
      <w:r w:rsidR="59B7C61D">
        <w:t xml:space="preserve">dentify members of the workforce who </w:t>
      </w:r>
      <w:r w:rsidR="00C55570">
        <w:t>should</w:t>
      </w:r>
      <w:r w:rsidR="59B7C61D">
        <w:t xml:space="preserve"> complete training modules</w:t>
      </w:r>
    </w:p>
    <w:p w14:paraId="061C63CA" w14:textId="06DC6518" w:rsidR="59B7C61D" w:rsidRDefault="00EB681F" w:rsidP="00603DC8">
      <w:pPr>
        <w:pStyle w:val="Bullet1"/>
        <w:numPr>
          <w:ilvl w:val="0"/>
          <w:numId w:val="15"/>
        </w:numPr>
      </w:pPr>
      <w:r>
        <w:t>a</w:t>
      </w:r>
      <w:r w:rsidR="59B7C61D">
        <w:t>ccess or structure a training plan accordingly</w:t>
      </w:r>
    </w:p>
    <w:p w14:paraId="4487B710" w14:textId="4EEA3B15" w:rsidR="59B7C61D" w:rsidRDefault="00EB681F" w:rsidP="00603DC8">
      <w:pPr>
        <w:pStyle w:val="Bullet1"/>
        <w:numPr>
          <w:ilvl w:val="0"/>
          <w:numId w:val="15"/>
        </w:numPr>
      </w:pPr>
      <w:r>
        <w:t>c</w:t>
      </w:r>
      <w:r w:rsidR="59B7C61D">
        <w:t>onfirm and document that training has been completed</w:t>
      </w:r>
    </w:p>
    <w:p w14:paraId="1BBE86AA" w14:textId="3685172F" w:rsidR="59B7C61D" w:rsidRDefault="00EB681F" w:rsidP="00603DC8">
      <w:pPr>
        <w:pStyle w:val="Bullet1"/>
        <w:numPr>
          <w:ilvl w:val="0"/>
          <w:numId w:val="15"/>
        </w:numPr>
      </w:pPr>
      <w:r>
        <w:t>e</w:t>
      </w:r>
      <w:r w:rsidR="59B7C61D">
        <w:t>nsure staff have the appropriate experience or have demonstrated the skills and competencies to fulfill their role safely within their individual scope of practice.</w:t>
      </w:r>
    </w:p>
    <w:p w14:paraId="3AF20AEC" w14:textId="77777777" w:rsidR="59B7C61D" w:rsidRDefault="59B7C61D" w:rsidP="3961303B">
      <w:pPr>
        <w:pStyle w:val="Heading3"/>
        <w:rPr>
          <w:lang w:bidi="en-AU"/>
        </w:rPr>
      </w:pPr>
      <w:r w:rsidRPr="3961303B">
        <w:rPr>
          <w:lang w:bidi="en-AU"/>
        </w:rPr>
        <w:t>Training activities</w:t>
      </w:r>
    </w:p>
    <w:p w14:paraId="4C0AAA66" w14:textId="46015889" w:rsidR="59B7C61D" w:rsidRDefault="59B7C61D" w:rsidP="3961303B">
      <w:r w:rsidRPr="3961303B">
        <w:rPr>
          <w:rFonts w:eastAsia="Calibri" w:cs="Arial"/>
        </w:rPr>
        <w:t xml:space="preserve">The </w:t>
      </w:r>
      <w:r w:rsidR="00654013">
        <w:rPr>
          <w:rFonts w:eastAsia="Calibri" w:cs="Arial"/>
        </w:rPr>
        <w:t>d</w:t>
      </w:r>
      <w:r w:rsidRPr="3961303B">
        <w:rPr>
          <w:rFonts w:eastAsia="Calibri" w:cs="Arial"/>
        </w:rPr>
        <w:t>epartment</w:t>
      </w:r>
      <w:r w:rsidR="00095CEE">
        <w:rPr>
          <w:rFonts w:eastAsia="Calibri" w:cs="Arial"/>
        </w:rPr>
        <w:t>’s</w:t>
      </w:r>
      <w:r w:rsidRPr="3961303B">
        <w:rPr>
          <w:rFonts w:eastAsia="Calibri" w:cs="Arial"/>
        </w:rPr>
        <w:t xml:space="preserve"> mpox vaccination eLearning module</w:t>
      </w:r>
      <w:r w:rsidR="00095CEE">
        <w:rPr>
          <w:rFonts w:eastAsia="Calibri" w:cs="Arial"/>
        </w:rPr>
        <w:t xml:space="preserve"> is </w:t>
      </w:r>
      <w:r w:rsidRPr="3961303B">
        <w:rPr>
          <w:rFonts w:eastAsia="Calibri" w:cs="Arial"/>
        </w:rPr>
        <w:t xml:space="preserve">available through the </w:t>
      </w:r>
      <w:hyperlink r:id="rId87">
        <w:r w:rsidRPr="3961303B">
          <w:rPr>
            <w:rStyle w:val="Hyperlink"/>
          </w:rPr>
          <w:t>Victorian Immunisation Learning Hub</w:t>
        </w:r>
      </w:hyperlink>
      <w:r w:rsidR="0091034B">
        <w:rPr>
          <w:rStyle w:val="Hyperlink"/>
        </w:rPr>
        <w:t>.</w:t>
      </w:r>
      <w:r>
        <w:t xml:space="preserve"> </w:t>
      </w:r>
      <w:r w:rsidR="005E6396">
        <w:t>&lt;</w:t>
      </w:r>
      <w:r w:rsidR="005E6396" w:rsidRPr="005E6396">
        <w:t>https://vic-immunisation-learning.com/</w:t>
      </w:r>
      <w:r w:rsidR="005E6396">
        <w:t>&gt;</w:t>
      </w:r>
    </w:p>
    <w:p w14:paraId="619B4F16" w14:textId="315DAD94" w:rsidR="00AD613C" w:rsidRPr="00654013" w:rsidRDefault="00AD613C" w:rsidP="00C370CC">
      <w:pPr>
        <w:spacing w:before="120" w:line="288" w:lineRule="auto"/>
        <w:rPr>
          <w:rFonts w:cs="Arial"/>
          <w:szCs w:val="21"/>
          <w:shd w:val="clear" w:color="auto" w:fill="FFFFFF"/>
        </w:rPr>
      </w:pPr>
      <w:r w:rsidRPr="00654013">
        <w:rPr>
          <w:rFonts w:cs="Arial"/>
          <w:szCs w:val="21"/>
          <w:shd w:val="clear" w:color="auto" w:fill="FFFFFF"/>
        </w:rPr>
        <w:t xml:space="preserve">The proposed training will not equip nurse immunisers or pharmacist immunisers to provide all the necessary care in the instances of </w:t>
      </w:r>
      <w:r w:rsidR="00E6274F">
        <w:rPr>
          <w:b/>
          <w:bCs/>
          <w:szCs w:val="21"/>
        </w:rPr>
        <w:t>p</w:t>
      </w:r>
      <w:r w:rsidR="006A6FCE">
        <w:rPr>
          <w:b/>
          <w:bCs/>
          <w:szCs w:val="21"/>
        </w:rPr>
        <w:t>ost-exposure preventive vaccination (PEPV)</w:t>
      </w:r>
      <w:r w:rsidR="006A6FCE">
        <w:rPr>
          <w:b/>
          <w:bCs/>
          <w:sz w:val="26"/>
          <w:szCs w:val="26"/>
        </w:rPr>
        <w:t xml:space="preserve"> </w:t>
      </w:r>
      <w:r w:rsidR="006A6FCE">
        <w:rPr>
          <w:lang w:eastAsia="zh-CN"/>
        </w:rPr>
        <w:t xml:space="preserve"> </w:t>
      </w:r>
      <w:r w:rsidRPr="00654013">
        <w:rPr>
          <w:rFonts w:cs="Arial"/>
          <w:b/>
          <w:bCs/>
          <w:szCs w:val="21"/>
          <w:shd w:val="clear" w:color="auto" w:fill="FFFFFF"/>
        </w:rPr>
        <w:t xml:space="preserve">for high-risk close contacts </w:t>
      </w:r>
      <w:r w:rsidRPr="00654013">
        <w:rPr>
          <w:rFonts w:cs="Arial"/>
          <w:szCs w:val="21"/>
          <w:shd w:val="clear" w:color="auto" w:fill="FFFFFF"/>
        </w:rPr>
        <w:t xml:space="preserve">of mpox cases. This process requires specialist counselling and comprehensive public health measures to be considered – including contact tracing. This process should be undertaken by appropriately trained specialist sexual health/public health/infectious disease clinicians. Authorised immunisers who are working within a clinical model and team that supports this specialist care, can perform the mpox vaccinations where the specialist care activities can be performed by an appropriately trained specialist clinician (i.e. a medical practitioner or nurse practitioner or infectious disease/sexual health expert, not the immuniser). </w:t>
      </w:r>
    </w:p>
    <w:p w14:paraId="11672B14" w14:textId="6A7AD4E3" w:rsidR="59B7C61D" w:rsidRPr="00955A81" w:rsidRDefault="59B7C61D" w:rsidP="00FD1889">
      <w:pPr>
        <w:pStyle w:val="Heading3"/>
        <w:rPr>
          <w:b/>
        </w:rPr>
      </w:pPr>
      <w:r w:rsidRPr="00955A81">
        <w:t xml:space="preserve">Victorian Mpox </w:t>
      </w:r>
      <w:r w:rsidR="00B848AE">
        <w:t xml:space="preserve">Intradermal </w:t>
      </w:r>
      <w:r w:rsidR="00952D07">
        <w:t xml:space="preserve">technique </w:t>
      </w:r>
      <w:r w:rsidR="00514DE7">
        <w:t>competency checklist</w:t>
      </w:r>
      <w:r w:rsidR="00514DE7" w:rsidRPr="00955A81">
        <w:t xml:space="preserve"> </w:t>
      </w:r>
    </w:p>
    <w:p w14:paraId="7F1833AC" w14:textId="2D212275" w:rsidR="00857DBF" w:rsidRDefault="003A6026" w:rsidP="3961303B">
      <w:pPr>
        <w:pStyle w:val="Body"/>
        <w:rPr>
          <w:rFonts w:eastAsia="Arial" w:cs="Arial"/>
          <w:color w:val="333333"/>
        </w:rPr>
      </w:pPr>
      <w:r>
        <w:rPr>
          <w:rFonts w:eastAsia="Arial" w:cs="Arial"/>
          <w:szCs w:val="21"/>
          <w:lang w:eastAsia="en-AU"/>
        </w:rPr>
        <w:t>A</w:t>
      </w:r>
      <w:r w:rsidR="009E0B33">
        <w:rPr>
          <w:rFonts w:eastAsia="Arial" w:cs="Arial"/>
          <w:szCs w:val="21"/>
          <w:lang w:eastAsia="en-AU"/>
        </w:rPr>
        <w:t xml:space="preserve">n </w:t>
      </w:r>
      <w:r w:rsidR="000429B9">
        <w:rPr>
          <w:rFonts w:eastAsia="Arial" w:cs="Arial"/>
          <w:szCs w:val="21"/>
          <w:lang w:eastAsia="en-AU"/>
        </w:rPr>
        <w:t>i</w:t>
      </w:r>
      <w:r w:rsidR="009E0B33">
        <w:rPr>
          <w:rFonts w:eastAsia="Arial" w:cs="Arial"/>
          <w:szCs w:val="21"/>
          <w:lang w:eastAsia="en-AU"/>
        </w:rPr>
        <w:t xml:space="preserve">ntradermal injection skills and competencies </w:t>
      </w:r>
      <w:r w:rsidR="00E025BE">
        <w:rPr>
          <w:rFonts w:eastAsia="Arial" w:cs="Arial"/>
          <w:szCs w:val="21"/>
          <w:lang w:eastAsia="en-AU"/>
        </w:rPr>
        <w:t xml:space="preserve">checklist </w:t>
      </w:r>
      <w:r>
        <w:rPr>
          <w:rFonts w:eastAsia="Arial" w:cs="Arial"/>
          <w:szCs w:val="21"/>
          <w:lang w:eastAsia="en-AU"/>
        </w:rPr>
        <w:t>has been developed as a guid</w:t>
      </w:r>
      <w:r w:rsidR="003615D8">
        <w:rPr>
          <w:rFonts w:eastAsia="Arial" w:cs="Arial"/>
          <w:szCs w:val="21"/>
          <w:lang w:eastAsia="en-AU"/>
        </w:rPr>
        <w:t>e</w:t>
      </w:r>
      <w:r>
        <w:rPr>
          <w:rFonts w:eastAsia="Arial" w:cs="Arial"/>
          <w:szCs w:val="21"/>
          <w:lang w:eastAsia="en-AU"/>
        </w:rPr>
        <w:t xml:space="preserve"> for </w:t>
      </w:r>
      <w:r w:rsidR="003615D8">
        <w:rPr>
          <w:rFonts w:eastAsia="Arial" w:cs="Arial"/>
          <w:szCs w:val="21"/>
          <w:lang w:eastAsia="en-AU"/>
        </w:rPr>
        <w:t xml:space="preserve">local public health units </w:t>
      </w:r>
      <w:r>
        <w:rPr>
          <w:rFonts w:eastAsia="Arial" w:cs="Arial"/>
          <w:szCs w:val="21"/>
          <w:lang w:eastAsia="en-AU"/>
        </w:rPr>
        <w:t xml:space="preserve">and health services </w:t>
      </w:r>
      <w:r w:rsidR="00326A5C" w:rsidRPr="38175DAD">
        <w:rPr>
          <w:rFonts w:eastAsia="Arial" w:cs="Arial"/>
          <w:szCs w:val="21"/>
          <w:lang w:eastAsia="en-AU"/>
        </w:rPr>
        <w:t xml:space="preserve">to </w:t>
      </w:r>
      <w:r w:rsidR="00326A5C" w:rsidRPr="009120E6">
        <w:rPr>
          <w:rFonts w:eastAsia="Arial" w:cs="Arial"/>
          <w:szCs w:val="21"/>
          <w:lang w:eastAsia="en-AU"/>
        </w:rPr>
        <w:t xml:space="preserve">verify that </w:t>
      </w:r>
      <w:r w:rsidR="00326A5C">
        <w:rPr>
          <w:rFonts w:eastAsia="Arial" w:cs="Arial"/>
          <w:szCs w:val="21"/>
          <w:lang w:eastAsia="en-AU"/>
        </w:rPr>
        <w:t>vaccinators</w:t>
      </w:r>
      <w:r w:rsidR="00326A5C" w:rsidRPr="009120E6">
        <w:rPr>
          <w:rFonts w:eastAsia="Arial" w:cs="Arial"/>
          <w:szCs w:val="21"/>
          <w:lang w:eastAsia="en-AU"/>
        </w:rPr>
        <w:t xml:space="preserve"> are</w:t>
      </w:r>
      <w:r w:rsidR="00326A5C" w:rsidRPr="38175DAD">
        <w:rPr>
          <w:rFonts w:eastAsia="Arial" w:cs="Arial"/>
          <w:szCs w:val="21"/>
          <w:lang w:eastAsia="en-AU"/>
        </w:rPr>
        <w:t xml:space="preserve"> deemed clinically skilled and competent </w:t>
      </w:r>
      <w:r w:rsidR="00326A5C">
        <w:rPr>
          <w:rFonts w:eastAsia="Arial" w:cs="Arial"/>
          <w:szCs w:val="21"/>
          <w:lang w:eastAsia="en-AU"/>
        </w:rPr>
        <w:t xml:space="preserve">in the technique of </w:t>
      </w:r>
      <w:r w:rsidR="00326A5C" w:rsidRPr="38175DAD">
        <w:rPr>
          <w:rFonts w:eastAsia="Arial" w:cs="Arial"/>
          <w:szCs w:val="21"/>
          <w:lang w:eastAsia="en-AU"/>
        </w:rPr>
        <w:t xml:space="preserve">intradermal </w:t>
      </w:r>
      <w:r w:rsidR="00326A5C">
        <w:rPr>
          <w:rFonts w:eastAsia="Arial" w:cs="Arial"/>
          <w:szCs w:val="21"/>
          <w:lang w:eastAsia="en-AU"/>
        </w:rPr>
        <w:t>injection.</w:t>
      </w:r>
      <w:r w:rsidR="008153A6">
        <w:rPr>
          <w:rFonts w:eastAsia="Arial" w:cs="Arial"/>
          <w:szCs w:val="21"/>
          <w:lang w:eastAsia="en-AU"/>
        </w:rPr>
        <w:t xml:space="preserve"> </w:t>
      </w:r>
      <w:hyperlink w:anchor="_Appendix_7:_Intradermal" w:history="1">
        <w:r w:rsidR="008153A6" w:rsidRPr="009207E0">
          <w:rPr>
            <w:rStyle w:val="Hyperlink"/>
            <w:rFonts w:eastAsia="Arial" w:cs="Arial"/>
            <w:szCs w:val="21"/>
            <w:lang w:eastAsia="en-AU"/>
          </w:rPr>
          <w:t xml:space="preserve">Refer to </w:t>
        </w:r>
        <w:r w:rsidR="000A2497" w:rsidRPr="009207E0">
          <w:rPr>
            <w:rStyle w:val="Hyperlink"/>
            <w:rFonts w:eastAsia="Arial" w:cs="Arial"/>
          </w:rPr>
          <w:t>Appendix 7</w:t>
        </w:r>
      </w:hyperlink>
      <w:r w:rsidR="008C1775">
        <w:rPr>
          <w:rFonts w:eastAsia="Arial" w:cs="Arial"/>
          <w:color w:val="333333"/>
        </w:rPr>
        <w:t xml:space="preserve"> </w:t>
      </w:r>
    </w:p>
    <w:p w14:paraId="7DD75587" w14:textId="7BC4A6B9" w:rsidR="008D4242" w:rsidRDefault="008D4242" w:rsidP="3961303B">
      <w:pPr>
        <w:pStyle w:val="Body"/>
        <w:rPr>
          <w:rFonts w:eastAsia="Arial" w:cs="Arial"/>
        </w:rPr>
      </w:pPr>
      <w:r w:rsidRPr="3961303B">
        <w:rPr>
          <w:rFonts w:eastAsia="Arial" w:cs="Arial"/>
          <w:color w:val="333333"/>
        </w:rPr>
        <w:t xml:space="preserve">Please contact </w:t>
      </w:r>
      <w:hyperlink r:id="rId88">
        <w:r w:rsidRPr="3961303B">
          <w:rPr>
            <w:rStyle w:val="Hyperlink"/>
            <w:rFonts w:eastAsia="Arial" w:cs="Arial"/>
          </w:rPr>
          <w:t>immunisation@health.vic.gov.au</w:t>
        </w:r>
      </w:hyperlink>
      <w:r w:rsidRPr="3961303B">
        <w:rPr>
          <w:rFonts w:eastAsia="Arial" w:cs="Arial"/>
          <w:color w:val="333333"/>
        </w:rPr>
        <w:t xml:space="preserve"> for further information</w:t>
      </w:r>
      <w:r w:rsidR="00475B2F">
        <w:rPr>
          <w:rFonts w:eastAsia="Arial" w:cs="Arial"/>
          <w:color w:val="333333"/>
        </w:rPr>
        <w:t xml:space="preserve"> about </w:t>
      </w:r>
      <w:r w:rsidR="009602F5">
        <w:rPr>
          <w:rFonts w:eastAsia="Arial" w:cs="Arial"/>
          <w:color w:val="333333"/>
        </w:rPr>
        <w:t>i</w:t>
      </w:r>
      <w:r w:rsidR="00BB0F3E">
        <w:rPr>
          <w:rFonts w:eastAsia="Arial" w:cs="Arial"/>
          <w:color w:val="333333"/>
        </w:rPr>
        <w:t xml:space="preserve">ntradermal injection technique </w:t>
      </w:r>
      <w:r w:rsidR="00475B2F">
        <w:rPr>
          <w:rFonts w:eastAsia="Arial" w:cs="Arial"/>
          <w:color w:val="333333"/>
        </w:rPr>
        <w:t>training opportunities</w:t>
      </w:r>
      <w:r w:rsidRPr="3961303B">
        <w:rPr>
          <w:rFonts w:eastAsia="Arial" w:cs="Arial"/>
          <w:color w:val="333333"/>
        </w:rPr>
        <w:t>.</w:t>
      </w:r>
    </w:p>
    <w:p w14:paraId="7782ACFB" w14:textId="77777777" w:rsidR="6049A002" w:rsidRDefault="6049A002" w:rsidP="3961303B">
      <w:pPr>
        <w:pStyle w:val="Heading2"/>
      </w:pPr>
      <w:bookmarkStart w:id="211" w:name="_Toc176345003"/>
      <w:r>
        <w:t>Emergency response</w:t>
      </w:r>
      <w:bookmarkEnd w:id="211"/>
    </w:p>
    <w:p w14:paraId="60CE16E8" w14:textId="75687BE4" w:rsidR="6049A002" w:rsidRDefault="6049A002" w:rsidP="3961303B">
      <w:pPr>
        <w:pStyle w:val="Body"/>
      </w:pPr>
      <w:r>
        <w:t xml:space="preserve">Mpox vaccination providers are to ensure that they have suitably qualified and experienced workforce available to respond to any adverse event following immunisation (AEFI). </w:t>
      </w:r>
    </w:p>
    <w:p w14:paraId="6705383C" w14:textId="77777777" w:rsidR="6049A002" w:rsidRDefault="6049A002" w:rsidP="3961303B">
      <w:pPr>
        <w:pStyle w:val="Body"/>
      </w:pPr>
      <w:r>
        <w:t>Providers must ensure an appropriate clinical response in the case of an emergency, and must make certain that:</w:t>
      </w:r>
    </w:p>
    <w:p w14:paraId="0069E33C" w14:textId="77777777" w:rsidR="6049A002" w:rsidRDefault="6049A002" w:rsidP="00603DC8">
      <w:pPr>
        <w:pStyle w:val="Bullet1"/>
        <w:numPr>
          <w:ilvl w:val="0"/>
          <w:numId w:val="15"/>
        </w:numPr>
      </w:pPr>
      <w:r>
        <w:t>an experienced clinician, who is trained and authorised to possess and administer adrenaline, is available on site and able to respond in the case of anaphylaxis following vaccine administration</w:t>
      </w:r>
    </w:p>
    <w:p w14:paraId="47533EB5" w14:textId="77777777" w:rsidR="6049A002" w:rsidRDefault="6049A002" w:rsidP="00603DC8">
      <w:pPr>
        <w:pStyle w:val="Bullet1"/>
        <w:numPr>
          <w:ilvl w:val="0"/>
          <w:numId w:val="15"/>
        </w:numPr>
      </w:pPr>
      <w:r>
        <w:t>vaccinations can continue regardless of an AEFI</w:t>
      </w:r>
    </w:p>
    <w:p w14:paraId="3D2ECF52" w14:textId="094C511A" w:rsidR="6049A002" w:rsidRDefault="6049A002" w:rsidP="00603DC8">
      <w:pPr>
        <w:pStyle w:val="Bullet1"/>
        <w:numPr>
          <w:ilvl w:val="0"/>
          <w:numId w:val="15"/>
        </w:numPr>
      </w:pPr>
      <w:r>
        <w:t xml:space="preserve">sufficient workforce is available to deliver vaccination, supervise vaccination and respond to the AEFI concurrently </w:t>
      </w:r>
    </w:p>
    <w:p w14:paraId="6BBC6931" w14:textId="77777777" w:rsidR="6049A002" w:rsidRDefault="6049A002" w:rsidP="00603DC8">
      <w:pPr>
        <w:pStyle w:val="Bullet1"/>
        <w:numPr>
          <w:ilvl w:val="0"/>
          <w:numId w:val="15"/>
        </w:numPr>
      </w:pPr>
      <w:r>
        <w:t>the emergency response is in addition to vaccination supervision requirements.</w:t>
      </w:r>
    </w:p>
    <w:p w14:paraId="2673ECC5" w14:textId="6E412F74" w:rsidR="6049A002" w:rsidRDefault="6049A002" w:rsidP="001F2E16">
      <w:pPr>
        <w:pStyle w:val="Bullet1"/>
        <w:numPr>
          <w:ilvl w:val="0"/>
          <w:numId w:val="0"/>
        </w:numPr>
        <w:spacing w:before="120"/>
      </w:pPr>
      <w:r>
        <w:t>Refer to further guidance refer to:</w:t>
      </w:r>
    </w:p>
    <w:p w14:paraId="65B93FE3" w14:textId="437D2183" w:rsidR="6049A002" w:rsidRDefault="00000000" w:rsidP="3961303B">
      <w:pPr>
        <w:pStyle w:val="Bullet1"/>
        <w:numPr>
          <w:ilvl w:val="0"/>
          <w:numId w:val="0"/>
        </w:numPr>
      </w:pPr>
      <w:hyperlink w:anchor="_Appendix_5:_Guidance">
        <w:r w:rsidR="6049A002" w:rsidRPr="3961303B">
          <w:rPr>
            <w:rStyle w:val="Hyperlink"/>
          </w:rPr>
          <w:t>Appendix 5- Guidance – differentiating anaphylaxis from acute stress response for vaccine providers and emergency departments</w:t>
        </w:r>
      </w:hyperlink>
    </w:p>
    <w:p w14:paraId="18FFA4C9" w14:textId="327B7D73" w:rsidR="6049A002" w:rsidRDefault="00000000" w:rsidP="3961303B">
      <w:pPr>
        <w:pStyle w:val="Bullet1"/>
        <w:numPr>
          <w:ilvl w:val="0"/>
          <w:numId w:val="0"/>
        </w:numPr>
      </w:pPr>
      <w:hyperlink w:anchor="_Appendix_6:_Factsheet">
        <w:r w:rsidR="6049A002" w:rsidRPr="3961303B">
          <w:rPr>
            <w:rStyle w:val="Hyperlink"/>
          </w:rPr>
          <w:t>Appendix 6 Factsheet – Adverse events following immunisation (AEFI)</w:t>
        </w:r>
      </w:hyperlink>
    </w:p>
    <w:p w14:paraId="66D88415" w14:textId="3A604418" w:rsidR="00077DBB" w:rsidRPr="006F1A2A" w:rsidRDefault="00077DBB" w:rsidP="00807295">
      <w:pPr>
        <w:pStyle w:val="Heading1"/>
        <w:spacing w:before="240"/>
      </w:pPr>
      <w:bookmarkStart w:id="212" w:name="_Toc71895630"/>
      <w:bookmarkStart w:id="213" w:name="_Toc73627103"/>
      <w:bookmarkStart w:id="214" w:name="_Toc1071312717"/>
      <w:bookmarkStart w:id="215" w:name="_Toc112154615"/>
      <w:bookmarkStart w:id="216" w:name="_Toc112315675"/>
      <w:bookmarkStart w:id="217" w:name="_Toc176345004"/>
      <w:r>
        <w:t>Additional resources</w:t>
      </w:r>
      <w:bookmarkEnd w:id="212"/>
      <w:bookmarkEnd w:id="213"/>
      <w:bookmarkEnd w:id="214"/>
      <w:bookmarkEnd w:id="215"/>
      <w:bookmarkEnd w:id="216"/>
      <w:bookmarkEnd w:id="217"/>
    </w:p>
    <w:p w14:paraId="1B5013B1" w14:textId="5F4262B1" w:rsidR="00077DBB" w:rsidRDefault="004430E7" w:rsidP="00077DBB">
      <w:pPr>
        <w:pStyle w:val="Body"/>
      </w:pPr>
      <w:r>
        <w:t xml:space="preserve">Refer to the following </w:t>
      </w:r>
      <w:r w:rsidR="00077DBB" w:rsidRPr="006F1A2A">
        <w:t xml:space="preserve">resources containing advice and guidance for </w:t>
      </w:r>
      <w:r w:rsidR="00077DBB">
        <w:t>providers:</w:t>
      </w:r>
    </w:p>
    <w:p w14:paraId="2D8CD7BA" w14:textId="18DFB304" w:rsidR="00C20A51" w:rsidRPr="000F338C" w:rsidRDefault="006126B7" w:rsidP="00A45707">
      <w:pPr>
        <w:pStyle w:val="Body"/>
        <w:numPr>
          <w:ilvl w:val="0"/>
          <w:numId w:val="34"/>
        </w:numPr>
        <w:spacing w:after="0" w:line="276" w:lineRule="auto"/>
        <w:ind w:left="360"/>
        <w:rPr>
          <w:rStyle w:val="Hyperlink"/>
          <w:szCs w:val="21"/>
        </w:rPr>
      </w:pPr>
      <w:r w:rsidRPr="000F338C">
        <w:rPr>
          <w:szCs w:val="21"/>
        </w:rPr>
        <w:t>ATAGI 2022</w:t>
      </w:r>
      <w:r w:rsidRPr="000F338C">
        <w:rPr>
          <w:color w:val="313131"/>
          <w:szCs w:val="21"/>
          <w:shd w:val="clear" w:color="auto" w:fill="FFFFFF"/>
        </w:rPr>
        <w:t xml:space="preserve">. Mpox, </w:t>
      </w:r>
      <w:r w:rsidR="004430E7" w:rsidRPr="000F338C">
        <w:rPr>
          <w:color w:val="313131"/>
          <w:szCs w:val="21"/>
          <w:shd w:val="clear" w:color="auto" w:fill="FFFFFF"/>
        </w:rPr>
        <w:t xml:space="preserve">previously known as monkeypox, </w:t>
      </w:r>
      <w:r w:rsidRPr="000F338C">
        <w:rPr>
          <w:color w:val="313131"/>
          <w:szCs w:val="21"/>
          <w:shd w:val="clear" w:color="auto" w:fill="FFFFFF"/>
        </w:rPr>
        <w:t xml:space="preserve">Australian Immunisation Handbook, Australian Government Department of Health and Aged Care, Canberra, (updated May 2024) </w:t>
      </w:r>
      <w:r w:rsidR="00FB6CA5" w:rsidRPr="000F338C">
        <w:rPr>
          <w:color w:val="313131"/>
          <w:szCs w:val="21"/>
          <w:shd w:val="clear" w:color="auto" w:fill="FFFFFF"/>
        </w:rPr>
        <w:t>&lt;</w:t>
      </w:r>
      <w:hyperlink r:id="rId89" w:history="1">
        <w:r w:rsidRPr="000F338C">
          <w:rPr>
            <w:rStyle w:val="Hyperlink"/>
            <w:szCs w:val="21"/>
            <w:shd w:val="clear" w:color="auto" w:fill="FFFFFF"/>
          </w:rPr>
          <w:t>https://immunisationhandbook.health.gov.au/contents/vaccine-preventable-diseases/mpox-previously-known-as-monkeypox</w:t>
        </w:r>
      </w:hyperlink>
      <w:r w:rsidRPr="000F338C">
        <w:rPr>
          <w:rStyle w:val="Hyperlink"/>
          <w:szCs w:val="21"/>
          <w:shd w:val="clear" w:color="auto" w:fill="FFFFFF"/>
        </w:rPr>
        <w:t>&gt;</w:t>
      </w:r>
      <w:r w:rsidR="00C20A51" w:rsidRPr="000F338C">
        <w:rPr>
          <w:szCs w:val="21"/>
        </w:rPr>
        <w:fldChar w:fldCharType="begin"/>
      </w:r>
      <w:r w:rsidR="00DD0391" w:rsidRPr="000F338C">
        <w:rPr>
          <w:szCs w:val="21"/>
        </w:rPr>
        <w:instrText>HYPERLINK "https://www.health.gov.au/resources/publications/atagi-clinical-guidance-on-vaccination-against-monkeypox?language=en"</w:instrText>
      </w:r>
      <w:r w:rsidR="00C20A51" w:rsidRPr="000F338C">
        <w:rPr>
          <w:szCs w:val="21"/>
        </w:rPr>
      </w:r>
      <w:r w:rsidR="00C20A51" w:rsidRPr="000F338C">
        <w:rPr>
          <w:szCs w:val="21"/>
        </w:rPr>
        <w:fldChar w:fldCharType="separate"/>
      </w:r>
    </w:p>
    <w:p w14:paraId="497F130A" w14:textId="63313DE2" w:rsidR="000F338C" w:rsidRPr="000F338C" w:rsidRDefault="00C20A51" w:rsidP="000F338C">
      <w:pPr>
        <w:pStyle w:val="Body"/>
        <w:numPr>
          <w:ilvl w:val="0"/>
          <w:numId w:val="34"/>
        </w:numPr>
        <w:spacing w:after="0" w:line="276" w:lineRule="auto"/>
        <w:ind w:left="357"/>
        <w:rPr>
          <w:szCs w:val="21"/>
        </w:rPr>
      </w:pPr>
      <w:r w:rsidRPr="000F338C">
        <w:rPr>
          <w:szCs w:val="21"/>
        </w:rPr>
        <w:fldChar w:fldCharType="end"/>
      </w:r>
      <w:r w:rsidR="000F338C" w:rsidRPr="000F338C">
        <w:rPr>
          <w:szCs w:val="21"/>
        </w:rPr>
        <w:t xml:space="preserve">Department of Health ; Disease Information and advice – Mpox (monkeypox), State Government  </w:t>
      </w:r>
      <w:r w:rsidR="000F338C">
        <w:rPr>
          <w:szCs w:val="21"/>
        </w:rPr>
        <w:t xml:space="preserve">of Victoria </w:t>
      </w:r>
      <w:r w:rsidR="000F338C" w:rsidRPr="000F338C">
        <w:rPr>
          <w:szCs w:val="21"/>
        </w:rPr>
        <w:t>&lt;</w:t>
      </w:r>
      <w:hyperlink r:id="rId90" w:history="1">
        <w:r w:rsidR="000F338C" w:rsidRPr="000F338C">
          <w:rPr>
            <w:rStyle w:val="Hyperlink"/>
            <w:szCs w:val="21"/>
          </w:rPr>
          <w:t>https://www.health.vic.gov.au/infectious-diseases/mpox-monkeypox</w:t>
        </w:r>
      </w:hyperlink>
      <w:r w:rsidR="000F338C" w:rsidRPr="000F338C">
        <w:rPr>
          <w:szCs w:val="21"/>
        </w:rPr>
        <w:t>&gt;</w:t>
      </w:r>
    </w:p>
    <w:p w14:paraId="1EB11415" w14:textId="2B0A46FE" w:rsidR="000F338C" w:rsidRPr="000F338C" w:rsidRDefault="000F338C" w:rsidP="000F338C">
      <w:pPr>
        <w:pStyle w:val="ListParagraph"/>
        <w:numPr>
          <w:ilvl w:val="0"/>
          <w:numId w:val="34"/>
        </w:numPr>
        <w:spacing w:after="0" w:line="276" w:lineRule="auto"/>
        <w:ind w:left="351" w:hanging="357"/>
        <w:rPr>
          <w:szCs w:val="21"/>
        </w:rPr>
      </w:pPr>
      <w:r w:rsidRPr="000F338C">
        <w:rPr>
          <w:szCs w:val="21"/>
        </w:rPr>
        <w:t>Department of Health 2023, Clinical and Related Waste Guidance – Supplement for Healthcare Staff, State Government of Victoria &lt;</w:t>
      </w:r>
      <w:hyperlink r:id="rId91" w:history="1">
        <w:r w:rsidRPr="000F338C">
          <w:rPr>
            <w:rStyle w:val="Hyperlink"/>
            <w:szCs w:val="21"/>
          </w:rPr>
          <w:t>https://www.health.vic.gov.au/environmental-health/waste</w:t>
        </w:r>
      </w:hyperlink>
      <w:r w:rsidRPr="000F338C">
        <w:rPr>
          <w:szCs w:val="21"/>
        </w:rPr>
        <w:t>&gt;</w:t>
      </w:r>
    </w:p>
    <w:p w14:paraId="0A5C22CE" w14:textId="77777777" w:rsidR="000F338C" w:rsidRPr="000F338C" w:rsidRDefault="000F338C" w:rsidP="000F338C">
      <w:pPr>
        <w:pStyle w:val="ListParagraph"/>
        <w:numPr>
          <w:ilvl w:val="0"/>
          <w:numId w:val="34"/>
        </w:numPr>
        <w:spacing w:after="0" w:line="276" w:lineRule="auto"/>
        <w:ind w:left="351" w:hanging="357"/>
        <w:rPr>
          <w:szCs w:val="21"/>
        </w:rPr>
      </w:pPr>
      <w:r w:rsidRPr="000F338C">
        <w:rPr>
          <w:szCs w:val="21"/>
        </w:rPr>
        <w:t>Department of Health 2024, Better Health Channel - Mpox immunisation Providers, Victoria State Government &lt;</w:t>
      </w:r>
      <w:r w:rsidRPr="000F338C">
        <w:rPr>
          <w:rFonts w:eastAsia="Times New Roman" w:cs="Times New Roman"/>
          <w:szCs w:val="21"/>
        </w:rPr>
        <w:t xml:space="preserve"> </w:t>
      </w:r>
      <w:hyperlink r:id="rId92" w:history="1">
        <w:r w:rsidRPr="000F338C">
          <w:rPr>
            <w:rStyle w:val="Hyperlink"/>
            <w:szCs w:val="21"/>
          </w:rPr>
          <w:t>Mpox immunisation providers - Better Health Channel</w:t>
        </w:r>
      </w:hyperlink>
      <w:r w:rsidRPr="000F338C">
        <w:rPr>
          <w:szCs w:val="21"/>
        </w:rPr>
        <w:t>&gt;</w:t>
      </w:r>
    </w:p>
    <w:p w14:paraId="24D15CA5" w14:textId="0BAFDCA8" w:rsidR="00D62C93" w:rsidRPr="000F338C" w:rsidRDefault="00601E93" w:rsidP="00603DC8">
      <w:pPr>
        <w:pStyle w:val="Body"/>
        <w:numPr>
          <w:ilvl w:val="0"/>
          <w:numId w:val="34"/>
        </w:numPr>
        <w:spacing w:after="0" w:line="276" w:lineRule="auto"/>
        <w:ind w:left="360"/>
        <w:rPr>
          <w:szCs w:val="21"/>
        </w:rPr>
      </w:pPr>
      <w:r w:rsidRPr="000F338C">
        <w:rPr>
          <w:szCs w:val="21"/>
        </w:rPr>
        <w:t>M</w:t>
      </w:r>
      <w:r w:rsidR="009F68E8" w:rsidRPr="000F338C">
        <w:rPr>
          <w:szCs w:val="21"/>
        </w:rPr>
        <w:t>pox (monkeypox)</w:t>
      </w:r>
      <w:r w:rsidR="00401C1C" w:rsidRPr="000F338C">
        <w:rPr>
          <w:szCs w:val="21"/>
        </w:rPr>
        <w:t xml:space="preserve"> – Consent form for </w:t>
      </w:r>
      <w:r w:rsidR="00401C1C" w:rsidRPr="000F338C">
        <w:rPr>
          <w:rFonts w:cs="Arial"/>
          <w:color w:val="313131"/>
          <w:szCs w:val="21"/>
          <w:lang w:eastAsia="en-AU"/>
        </w:rPr>
        <w:t>JYNNEOS</w:t>
      </w:r>
      <w:r w:rsidR="00401C1C" w:rsidRPr="000F338C">
        <w:rPr>
          <w:rFonts w:cs="Arial"/>
          <w:color w:val="2A2736"/>
          <w:szCs w:val="21"/>
          <w:vertAlign w:val="superscript"/>
          <w:lang w:eastAsia="en-AU"/>
        </w:rPr>
        <w:t>®</w:t>
      </w:r>
      <w:r w:rsidR="00401C1C" w:rsidRPr="000F338C">
        <w:rPr>
          <w:rFonts w:cs="Arial"/>
          <w:color w:val="313131"/>
          <w:szCs w:val="21"/>
          <w:lang w:eastAsia="en-AU"/>
        </w:rPr>
        <w:t xml:space="preserve"> </w:t>
      </w:r>
      <w:r w:rsidR="00401C1C" w:rsidRPr="000F338C">
        <w:rPr>
          <w:szCs w:val="21"/>
        </w:rPr>
        <w:t>vaccine</w:t>
      </w:r>
      <w:r w:rsidR="00613209" w:rsidRPr="000F338C">
        <w:rPr>
          <w:szCs w:val="21"/>
        </w:rPr>
        <w:t xml:space="preserve"> </w:t>
      </w:r>
      <w:r w:rsidR="00F7719B" w:rsidRPr="000F338C">
        <w:rPr>
          <w:szCs w:val="21"/>
        </w:rPr>
        <w:t>26 August 2022</w:t>
      </w:r>
      <w:r w:rsidR="00112EF9" w:rsidRPr="000F338C">
        <w:rPr>
          <w:szCs w:val="21"/>
        </w:rPr>
        <w:t xml:space="preserve"> &lt;</w:t>
      </w:r>
      <w:hyperlink r:id="rId93" w:history="1">
        <w:r w:rsidR="009F68E8" w:rsidRPr="000F338C">
          <w:rPr>
            <w:rStyle w:val="Hyperlink"/>
            <w:szCs w:val="21"/>
          </w:rPr>
          <w:t>https://www.health.gov.au/resources/publications/mpox-monkeypox-consent-form-for-jynneosr-vaccination</w:t>
        </w:r>
      </w:hyperlink>
      <w:r w:rsidR="00112EF9" w:rsidRPr="000F338C">
        <w:rPr>
          <w:szCs w:val="21"/>
        </w:rPr>
        <w:t>&gt;</w:t>
      </w:r>
    </w:p>
    <w:p w14:paraId="1523D322" w14:textId="77777777" w:rsidR="00240308" w:rsidRPr="000F338C" w:rsidRDefault="00240308" w:rsidP="00240308">
      <w:pPr>
        <w:pStyle w:val="ListParagraph"/>
        <w:numPr>
          <w:ilvl w:val="0"/>
          <w:numId w:val="34"/>
        </w:numPr>
        <w:spacing w:after="0" w:line="276" w:lineRule="auto"/>
        <w:ind w:left="357"/>
        <w:rPr>
          <w:szCs w:val="21"/>
        </w:rPr>
      </w:pPr>
      <w:r w:rsidRPr="000F338C">
        <w:rPr>
          <w:szCs w:val="21"/>
        </w:rPr>
        <w:t>Interim guidance provided by the Infection Prevention and Control Expert Group (ICEG) on Monkeypox (MPX) for healthcare workers | Australian Government &lt;</w:t>
      </w:r>
      <w:hyperlink r:id="rId94" w:history="1">
        <w:r w:rsidRPr="000F338C">
          <w:rPr>
            <w:rStyle w:val="Hyperlink"/>
            <w:szCs w:val="21"/>
          </w:rPr>
          <w:t>https://www.health.gov.au/resources/publications/iceg-interim-guidance-on-monkeypox-for-health-workers</w:t>
        </w:r>
      </w:hyperlink>
      <w:r w:rsidRPr="000F338C">
        <w:rPr>
          <w:rStyle w:val="Hyperlink"/>
          <w:szCs w:val="21"/>
        </w:rPr>
        <w:t>&gt;</w:t>
      </w:r>
    </w:p>
    <w:p w14:paraId="2B097423" w14:textId="0095D1B5" w:rsidR="00077DBB" w:rsidRPr="000F338C" w:rsidRDefault="00077DBB" w:rsidP="00603DC8">
      <w:pPr>
        <w:pStyle w:val="Body"/>
        <w:numPr>
          <w:ilvl w:val="0"/>
          <w:numId w:val="34"/>
        </w:numPr>
        <w:spacing w:after="0" w:line="276" w:lineRule="auto"/>
        <w:ind w:left="360"/>
        <w:rPr>
          <w:szCs w:val="21"/>
        </w:rPr>
      </w:pPr>
      <w:r w:rsidRPr="000F338C">
        <w:rPr>
          <w:szCs w:val="21"/>
        </w:rPr>
        <w:t>Information on JYNNEOS</w:t>
      </w:r>
      <w:r w:rsidRPr="000F338C">
        <w:rPr>
          <w:rFonts w:cs="Arial"/>
          <w:color w:val="2A2736"/>
          <w:szCs w:val="21"/>
          <w:vertAlign w:val="superscript"/>
          <w:lang w:eastAsia="en-AU"/>
        </w:rPr>
        <w:t>®</w:t>
      </w:r>
      <w:r w:rsidRPr="000F338C">
        <w:rPr>
          <w:szCs w:val="21"/>
        </w:rPr>
        <w:t xml:space="preserve"> (modified vaccinia Ankara – Bavarian Nordic, MVABN) vaccine</w:t>
      </w:r>
      <w:r w:rsidR="00F94CB2" w:rsidRPr="000F338C">
        <w:rPr>
          <w:szCs w:val="21"/>
        </w:rPr>
        <w:t>. Updated 26 August 2022</w:t>
      </w:r>
    </w:p>
    <w:p w14:paraId="08680D79" w14:textId="2707833D" w:rsidR="00FD3537" w:rsidRPr="000F338C" w:rsidRDefault="00FD3537" w:rsidP="009207E0">
      <w:pPr>
        <w:pStyle w:val="ListParagraph"/>
        <w:shd w:val="clear" w:color="auto" w:fill="FFFFFF" w:themeFill="background1"/>
        <w:spacing w:after="0" w:line="276" w:lineRule="auto"/>
        <w:ind w:left="360"/>
        <w:outlineLvl w:val="0"/>
        <w:rPr>
          <w:szCs w:val="21"/>
        </w:rPr>
      </w:pPr>
      <w:r w:rsidRPr="000F338C">
        <w:rPr>
          <w:szCs w:val="21"/>
        </w:rPr>
        <w:t>&lt;</w:t>
      </w:r>
      <w:hyperlink r:id="rId95" w:history="1">
        <w:r w:rsidR="005B777F" w:rsidRPr="000F338C">
          <w:rPr>
            <w:rStyle w:val="Hyperlink"/>
            <w:szCs w:val="21"/>
          </w:rPr>
          <w:t>https://www.health.gov.au/resources/publications/mpox-monkeypox-information-on-jynneosr-vaccine?language=en</w:t>
        </w:r>
      </w:hyperlink>
      <w:r w:rsidR="00F94CB2" w:rsidRPr="000F338C">
        <w:rPr>
          <w:szCs w:val="21"/>
        </w:rPr>
        <w:t>&gt;</w:t>
      </w:r>
    </w:p>
    <w:p w14:paraId="7A118BC5" w14:textId="77777777" w:rsidR="004430E7" w:rsidRDefault="004430E7" w:rsidP="009207E0">
      <w:pPr>
        <w:pStyle w:val="ListParagraph"/>
        <w:spacing w:after="0" w:line="276" w:lineRule="auto"/>
        <w:ind w:left="357"/>
      </w:pPr>
      <w:bookmarkStart w:id="218" w:name="_Toc71895631"/>
      <w:bookmarkStart w:id="219" w:name="_Toc73627104"/>
      <w:bookmarkStart w:id="220" w:name="_Toc112154617"/>
      <w:bookmarkStart w:id="221" w:name="_Toc112315677"/>
      <w:bookmarkStart w:id="222" w:name="_Toc2040561969"/>
    </w:p>
    <w:p w14:paraId="3CDB6A86" w14:textId="77777777" w:rsidR="00044B70" w:rsidRPr="00044B70" w:rsidRDefault="00044B70" w:rsidP="00044B70">
      <w:pPr>
        <w:keepNext/>
        <w:keepLines/>
        <w:spacing w:before="320" w:after="200" w:line="440" w:lineRule="atLeast"/>
        <w:outlineLvl w:val="0"/>
        <w:rPr>
          <w:rFonts w:eastAsia="MS Gothic" w:cs="Arial"/>
          <w:bCs/>
          <w:color w:val="C5511A"/>
          <w:kern w:val="32"/>
          <w:sz w:val="40"/>
          <w:szCs w:val="40"/>
        </w:rPr>
      </w:pPr>
      <w:bookmarkStart w:id="223" w:name="_Toc112328351"/>
      <w:r w:rsidRPr="00044B70">
        <w:rPr>
          <w:rFonts w:eastAsia="MS Gothic" w:cs="Arial"/>
          <w:bCs/>
          <w:color w:val="C5511A"/>
          <w:kern w:val="32"/>
          <w:sz w:val="40"/>
          <w:szCs w:val="40"/>
        </w:rPr>
        <w:t>Contact information</w:t>
      </w:r>
      <w:bookmarkEnd w:id="223"/>
    </w:p>
    <w:p w14:paraId="42091D15" w14:textId="09331044" w:rsidR="00044B70" w:rsidRDefault="00044B70" w:rsidP="5890BB43">
      <w:pPr>
        <w:spacing w:before="120" w:line="288" w:lineRule="auto"/>
        <w:rPr>
          <w:rFonts w:eastAsia="Times"/>
        </w:rPr>
        <w:sectPr w:rsidR="00044B70" w:rsidSect="00633A57">
          <w:headerReference w:type="default" r:id="rId96"/>
          <w:type w:val="evenPage"/>
          <w:pgSz w:w="11906" w:h="16838" w:code="9"/>
          <w:pgMar w:top="1440" w:right="1440" w:bottom="1440" w:left="1440" w:header="680" w:footer="851" w:gutter="0"/>
          <w:pgNumType w:start="1"/>
          <w:cols w:space="340"/>
          <w:docGrid w:linePitch="360"/>
        </w:sectPr>
      </w:pPr>
      <w:r w:rsidRPr="5890BB43">
        <w:rPr>
          <w:rFonts w:eastAsia="Times"/>
        </w:rPr>
        <w:t xml:space="preserve">For monkeypox vaccine specific queries please </w:t>
      </w:r>
      <w:r w:rsidR="437609D4" w:rsidRPr="000C529F">
        <w:rPr>
          <w:rFonts w:eastAsia="Times"/>
        </w:rPr>
        <w:t xml:space="preserve">contact the Immunisation </w:t>
      </w:r>
      <w:r w:rsidR="005C0E11">
        <w:rPr>
          <w:rFonts w:eastAsia="Times"/>
        </w:rPr>
        <w:t>Program</w:t>
      </w:r>
      <w:r w:rsidR="005C0E11" w:rsidRPr="000C529F">
        <w:rPr>
          <w:rFonts w:eastAsia="Times"/>
        </w:rPr>
        <w:t xml:space="preserve"> </w:t>
      </w:r>
      <w:r w:rsidR="437609D4" w:rsidRPr="000C529F">
        <w:rPr>
          <w:rFonts w:eastAsia="Times"/>
        </w:rPr>
        <w:t>via email</w:t>
      </w:r>
      <w:r w:rsidRPr="000C529F">
        <w:rPr>
          <w:rFonts w:eastAsia="Times"/>
        </w:rPr>
        <w:t xml:space="preserve"> </w:t>
      </w:r>
      <w:r w:rsidRPr="5890BB43">
        <w:rPr>
          <w:rFonts w:eastAsia="Times"/>
        </w:rPr>
        <w:t>&lt;immunisation@health.vic.gov.au&gt;</w:t>
      </w:r>
    </w:p>
    <w:p w14:paraId="2984FFD5" w14:textId="77777777" w:rsidR="00077DBB" w:rsidRPr="006F1A2A" w:rsidRDefault="00077DBB" w:rsidP="00FF5967">
      <w:pPr>
        <w:pStyle w:val="Heading1"/>
        <w:spacing w:before="240" w:after="120"/>
      </w:pPr>
      <w:bookmarkStart w:id="224" w:name="_Appendix_1:_Contact_1"/>
      <w:bookmarkStart w:id="225" w:name="_Toc176345005"/>
      <w:bookmarkEnd w:id="224"/>
      <w:r w:rsidRPr="00BD4AA3">
        <w:t>Appendix 1: Contact information</w:t>
      </w:r>
      <w:bookmarkEnd w:id="218"/>
      <w:bookmarkEnd w:id="219"/>
      <w:bookmarkEnd w:id="220"/>
      <w:bookmarkEnd w:id="221"/>
      <w:bookmarkEnd w:id="225"/>
      <w:r>
        <w:t xml:space="preserve"> </w:t>
      </w:r>
      <w:bookmarkEnd w:id="222"/>
    </w:p>
    <w:tbl>
      <w:tblPr>
        <w:tblW w:w="5175" w:type="pct"/>
        <w:tblCellMar>
          <w:left w:w="0" w:type="dxa"/>
          <w:right w:w="0" w:type="dxa"/>
        </w:tblCellMar>
        <w:tblLook w:val="0600" w:firstRow="0" w:lastRow="0" w:firstColumn="0" w:lastColumn="0" w:noHBand="1" w:noVBand="1"/>
      </w:tblPr>
      <w:tblGrid>
        <w:gridCol w:w="2098"/>
        <w:gridCol w:w="6378"/>
        <w:gridCol w:w="5954"/>
      </w:tblGrid>
      <w:tr w:rsidR="00077DBB" w:rsidRPr="006F1A2A" w14:paraId="6D5BEF91" w14:textId="77777777" w:rsidTr="00FF5967">
        <w:trPr>
          <w:trHeight w:val="14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6E575496" w14:textId="77777777" w:rsidR="00077DBB" w:rsidRPr="006F1A2A" w:rsidRDefault="00077DBB" w:rsidP="00C8575F">
            <w:pPr>
              <w:pStyle w:val="Body"/>
            </w:pPr>
            <w:r w:rsidRPr="006F1A2A">
              <w:rPr>
                <w:lang w:val="en-US"/>
              </w:rPr>
              <w:t>Who to contact</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2754DFE7" w14:textId="77777777" w:rsidR="00077DBB" w:rsidRPr="006F1A2A" w:rsidRDefault="00077DBB" w:rsidP="00C8575F">
            <w:pPr>
              <w:pStyle w:val="Body"/>
            </w:pPr>
            <w:r w:rsidRPr="006F1A2A">
              <w:rPr>
                <w:lang w:val="en-US"/>
              </w:rPr>
              <w:t>When to contact</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7E1E597C" w14:textId="77777777" w:rsidR="00077DBB" w:rsidRPr="006F1A2A" w:rsidRDefault="00077DBB" w:rsidP="00C8575F">
            <w:pPr>
              <w:pStyle w:val="Body"/>
            </w:pPr>
            <w:r w:rsidRPr="006F1A2A">
              <w:rPr>
                <w:lang w:val="en-US"/>
              </w:rPr>
              <w:t>How to contact?</w:t>
            </w:r>
          </w:p>
        </w:tc>
      </w:tr>
      <w:tr w:rsidR="00077DBB" w:rsidRPr="006F1A2A" w14:paraId="0E1D2F4E" w14:textId="77777777" w:rsidTr="00FF5967">
        <w:trPr>
          <w:trHeight w:val="21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B0281E3" w14:textId="77777777" w:rsidR="00077DBB" w:rsidRPr="006F1A2A" w:rsidRDefault="00077DBB" w:rsidP="00C8575F">
            <w:pPr>
              <w:pStyle w:val="Body"/>
            </w:pPr>
            <w:r w:rsidRPr="006F1A2A">
              <w:rPr>
                <w:lang w:val="en-US"/>
              </w:rPr>
              <w:t>SAEFVIC</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2A3DD72E" w14:textId="77777777" w:rsidR="00077DBB" w:rsidRPr="006F1A2A" w:rsidRDefault="00077DBB" w:rsidP="00C8575F">
            <w:pPr>
              <w:rPr>
                <w:rFonts w:eastAsia="Arial" w:cs="Arial"/>
                <w:b/>
                <w:color w:val="000000" w:themeColor="text1"/>
              </w:rPr>
            </w:pPr>
            <w:r w:rsidRPr="006F1A2A">
              <w:rPr>
                <w:rFonts w:eastAsia="Arial" w:cs="Arial"/>
                <w:b/>
                <w:bCs/>
                <w:color w:val="000000" w:themeColor="text1"/>
              </w:rPr>
              <w:t>Moderate/ unexpected and serious AEFI; vaccine administration errors</w:t>
            </w:r>
          </w:p>
          <w:p w14:paraId="2174C0FA" w14:textId="77777777" w:rsidR="00077DBB" w:rsidRDefault="00077DBB" w:rsidP="00603DC8">
            <w:pPr>
              <w:pStyle w:val="Bullet1"/>
              <w:numPr>
                <w:ilvl w:val="0"/>
                <w:numId w:val="15"/>
              </w:numPr>
            </w:pPr>
            <w:r w:rsidRPr="006F1A2A">
              <w:t xml:space="preserve">For AEFI involving adrenaline administration, defibrillator use, transfer to hospital care, life-threatening AEFI, or death, call SAEFVIC Immunisation Hotline, and complete SAEFVIC online report form. </w:t>
            </w:r>
          </w:p>
          <w:p w14:paraId="262BC972" w14:textId="2B4B72AC" w:rsidR="00077DBB" w:rsidRPr="006F1A2A" w:rsidRDefault="00077DBB" w:rsidP="00FF5967">
            <w:pPr>
              <w:pStyle w:val="Bullet1"/>
              <w:numPr>
                <w:ilvl w:val="0"/>
                <w:numId w:val="15"/>
              </w:numPr>
            </w:pPr>
            <w:r w:rsidRPr="006F1A2A">
              <w:t>For all other AEFI</w:t>
            </w:r>
            <w:r>
              <w:t xml:space="preserve"> and vaccine errors</w:t>
            </w:r>
            <w:r w:rsidRPr="006F1A2A">
              <w:t xml:space="preserve">, complete SAEFVIC online report form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8DBE0D8" w14:textId="469C410A" w:rsidR="00077DBB" w:rsidRPr="006F1A2A" w:rsidRDefault="00077DBB" w:rsidP="00C8575F">
            <w:pPr>
              <w:pStyle w:val="Body"/>
            </w:pPr>
            <w:r w:rsidRPr="006F1A2A">
              <w:rPr>
                <w:b/>
                <w:lang w:val="en-US"/>
              </w:rPr>
              <w:t xml:space="preserve">Phone: </w:t>
            </w:r>
            <w:r w:rsidRPr="006F1A2A">
              <w:rPr>
                <w:lang w:val="en-US"/>
              </w:rPr>
              <w:t xml:space="preserve">1300 882 924 (option 1) (Mon </w:t>
            </w:r>
            <w:r w:rsidR="00B96D08">
              <w:rPr>
                <w:lang w:val="en-US"/>
              </w:rPr>
              <w:t>–</w:t>
            </w:r>
            <w:r w:rsidRPr="006F1A2A">
              <w:rPr>
                <w:lang w:val="en-US"/>
              </w:rPr>
              <w:t xml:space="preserve"> Fri </w:t>
            </w:r>
            <w:r w:rsidR="000F338C">
              <w:rPr>
                <w:lang w:val="en-US"/>
              </w:rPr>
              <w:t>10</w:t>
            </w:r>
            <w:r w:rsidRPr="006F1A2A">
              <w:rPr>
                <w:lang w:val="en-US"/>
              </w:rPr>
              <w:t xml:space="preserve">am </w:t>
            </w:r>
            <w:r w:rsidR="007764E9">
              <w:rPr>
                <w:lang w:val="en-US"/>
              </w:rPr>
              <w:t>–</w:t>
            </w:r>
            <w:r w:rsidRPr="006F1A2A">
              <w:rPr>
                <w:lang w:val="en-US"/>
              </w:rPr>
              <w:t xml:space="preserve"> </w:t>
            </w:r>
            <w:r w:rsidR="000F338C">
              <w:rPr>
                <w:lang w:val="en-US"/>
              </w:rPr>
              <w:t>2</w:t>
            </w:r>
            <w:r w:rsidRPr="006F1A2A">
              <w:rPr>
                <w:lang w:val="en-US"/>
              </w:rPr>
              <w:t>pm)</w:t>
            </w:r>
          </w:p>
          <w:p w14:paraId="264DB4C8" w14:textId="77777777" w:rsidR="00077DBB" w:rsidRPr="006F1A2A" w:rsidRDefault="00077DBB" w:rsidP="00C8575F">
            <w:pPr>
              <w:rPr>
                <w:rStyle w:val="Hyperlink"/>
                <w:rFonts w:eastAsia="Arial" w:cs="Arial"/>
                <w:szCs w:val="21"/>
              </w:rPr>
            </w:pPr>
            <w:r w:rsidRPr="006F1A2A">
              <w:rPr>
                <w:b/>
                <w:lang w:val="en-US"/>
              </w:rPr>
              <w:t xml:space="preserve">Online Form: </w:t>
            </w:r>
            <w:r w:rsidRPr="006F1A2A">
              <w:rPr>
                <w:lang w:val="en-US"/>
              </w:rPr>
              <w:t xml:space="preserve"> </w:t>
            </w:r>
            <w:hyperlink r:id="rId97" w:history="1">
              <w:r w:rsidRPr="006F1A2A">
                <w:rPr>
                  <w:rStyle w:val="Hyperlink"/>
                  <w:rFonts w:eastAsia="Arial" w:cs="Arial"/>
                  <w:szCs w:val="21"/>
                </w:rPr>
                <w:t>www.saefvic.org.au</w:t>
              </w:r>
            </w:hyperlink>
          </w:p>
        </w:tc>
      </w:tr>
      <w:tr w:rsidR="00077DBB" w:rsidRPr="006F1A2A" w14:paraId="6BA8BF2A" w14:textId="77777777" w:rsidTr="00FF5967">
        <w:trPr>
          <w:trHeight w:val="26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10AC843A" w14:textId="77777777" w:rsidR="00077DBB" w:rsidRPr="006F1A2A" w:rsidRDefault="00077DBB" w:rsidP="00C8575F">
            <w:pPr>
              <w:pStyle w:val="Body"/>
            </w:pPr>
            <w:r w:rsidRPr="006F1A2A">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161709E" w14:textId="10FE4A10" w:rsidR="00077DBB" w:rsidRPr="00BD4AA3" w:rsidRDefault="00077DBB" w:rsidP="00603DC8">
            <w:pPr>
              <w:pStyle w:val="Bullet1"/>
              <w:numPr>
                <w:ilvl w:val="0"/>
                <w:numId w:val="15"/>
              </w:numPr>
              <w:rPr>
                <w:lang w:val="en-US"/>
              </w:rPr>
            </w:pPr>
            <w:r w:rsidRPr="00BD4AA3">
              <w:rPr>
                <w:lang w:val="en-US"/>
              </w:rPr>
              <w:t xml:space="preserve">Vaccine </w:t>
            </w:r>
            <w:r w:rsidR="002C3E21">
              <w:rPr>
                <w:lang w:val="en-US"/>
              </w:rPr>
              <w:t>ordering</w:t>
            </w:r>
            <w:r w:rsidR="002C3E21" w:rsidRPr="00BD4AA3">
              <w:rPr>
                <w:lang w:val="en-US"/>
              </w:rPr>
              <w:t xml:space="preserve"> </w:t>
            </w:r>
          </w:p>
          <w:p w14:paraId="622A21F5" w14:textId="77777777" w:rsidR="00077DBB" w:rsidRPr="00BD4AA3" w:rsidRDefault="00077DBB" w:rsidP="00603DC8">
            <w:pPr>
              <w:pStyle w:val="Bullet1"/>
              <w:numPr>
                <w:ilvl w:val="0"/>
                <w:numId w:val="15"/>
              </w:numPr>
              <w:rPr>
                <w:lang w:val="en-US"/>
              </w:rPr>
            </w:pPr>
            <w:r w:rsidRPr="00BD4AA3">
              <w:rPr>
                <w:lang w:val="en-US"/>
              </w:rPr>
              <w:t>Clinical advice</w:t>
            </w:r>
          </w:p>
          <w:p w14:paraId="25277BD2" w14:textId="7E30FCDC" w:rsidR="00077DBB" w:rsidRPr="00BD4AA3" w:rsidRDefault="00077DBB" w:rsidP="007D5D38">
            <w:pPr>
              <w:pStyle w:val="Bullet1"/>
              <w:numPr>
                <w:ilvl w:val="0"/>
                <w:numId w:val="15"/>
              </w:numPr>
              <w:rPr>
                <w:szCs w:val="21"/>
                <w:lang w:val="en-US"/>
              </w:rPr>
            </w:pPr>
            <w:r w:rsidRPr="00BD4AA3">
              <w:rPr>
                <w:lang w:val="en-US"/>
              </w:rPr>
              <w:t>Reporting vaccine errors</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33B14A87" w14:textId="09FCF598" w:rsidR="002C3E21" w:rsidRPr="001C58F9" w:rsidRDefault="002C3E21" w:rsidP="00FF5967">
            <w:pPr>
              <w:pStyle w:val="Body"/>
              <w:rPr>
                <w:rStyle w:val="Hyperlink"/>
                <w:b/>
                <w:color w:val="auto"/>
                <w:u w:val="none"/>
                <w:lang w:val="en-US"/>
              </w:rPr>
            </w:pPr>
            <w:r w:rsidRPr="001C58F9">
              <w:rPr>
                <w:rStyle w:val="Hyperlink"/>
                <w:b/>
                <w:color w:val="auto"/>
                <w:u w:val="none"/>
                <w:lang w:val="en-US"/>
              </w:rPr>
              <w:t>Onelink online</w:t>
            </w:r>
            <w:r w:rsidR="0098462C">
              <w:rPr>
                <w:rStyle w:val="Hyperlink"/>
                <w:b/>
                <w:color w:val="auto"/>
                <w:u w:val="none"/>
                <w:lang w:val="en-US"/>
              </w:rPr>
              <w:t>:</w:t>
            </w:r>
            <w:r w:rsidR="0098462C" w:rsidRPr="001C58F9">
              <w:rPr>
                <w:rStyle w:val="Hyperlink"/>
                <w:bCs/>
                <w:lang w:val="en-US"/>
              </w:rPr>
              <w:t xml:space="preserve"> </w:t>
            </w:r>
            <w:r w:rsidRPr="001C58F9">
              <w:rPr>
                <w:rStyle w:val="Hyperlink"/>
                <w:bCs/>
                <w:color w:val="auto"/>
                <w:u w:val="none"/>
                <w:lang w:val="en-US"/>
              </w:rPr>
              <w:t xml:space="preserve"> </w:t>
            </w:r>
            <w:hyperlink r:id="rId98" w:history="1">
              <w:r w:rsidR="001C58F9" w:rsidRPr="001C58F9">
                <w:rPr>
                  <w:rStyle w:val="Hyperlink"/>
                  <w:bCs/>
                  <w:lang w:val="en-US"/>
                </w:rPr>
                <w:t>https://www.onelinkonline.net/</w:t>
              </w:r>
            </w:hyperlink>
          </w:p>
          <w:p w14:paraId="2B3D59BF" w14:textId="5AACD697" w:rsidR="001D4C5C" w:rsidRPr="00BD4AA3" w:rsidRDefault="00077DBB" w:rsidP="00FF5967">
            <w:pPr>
              <w:pStyle w:val="Body"/>
            </w:pPr>
            <w:r w:rsidRPr="001C58F9">
              <w:rPr>
                <w:rStyle w:val="Hyperlink"/>
                <w:b/>
                <w:color w:val="auto"/>
                <w:u w:val="none"/>
                <w:lang w:val="en-US"/>
              </w:rPr>
              <w:t>Clinical advice</w:t>
            </w:r>
            <w:r w:rsidRPr="00A857E2">
              <w:rPr>
                <w:rStyle w:val="Hyperlink"/>
                <w:b/>
                <w:lang w:val="en-US"/>
              </w:rPr>
              <w:t xml:space="preserve">: </w:t>
            </w:r>
            <w:hyperlink r:id="rId99" w:history="1">
              <w:r w:rsidR="001D4C5C" w:rsidRPr="00006F94">
                <w:rPr>
                  <w:rStyle w:val="Hyperlink"/>
                  <w:bCs/>
                  <w:lang w:val="en-US"/>
                </w:rPr>
                <w:t>immunisation@health.vic.gov.au</w:t>
              </w:r>
            </w:hyperlink>
          </w:p>
        </w:tc>
      </w:tr>
      <w:tr w:rsidR="00077DBB" w:rsidRPr="006F1A2A" w14:paraId="1659242E" w14:textId="77777777" w:rsidTr="00FF5967">
        <w:trPr>
          <w:trHeight w:val="23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43BA92BD" w14:textId="77777777" w:rsidR="00077DBB" w:rsidRPr="006F1A2A" w:rsidRDefault="00077DBB" w:rsidP="00C8575F">
            <w:pPr>
              <w:pStyle w:val="Body"/>
            </w:pPr>
            <w:r w:rsidRPr="00467B19">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6C7C79D8" w14:textId="2165BBBF" w:rsidR="00077DBB" w:rsidRPr="00467B19" w:rsidRDefault="00471CBE" w:rsidP="00FF5967">
            <w:pPr>
              <w:pStyle w:val="Bullet1"/>
              <w:numPr>
                <w:ilvl w:val="0"/>
                <w:numId w:val="15"/>
              </w:numPr>
            </w:pPr>
            <w:r>
              <w:rPr>
                <w:lang w:val="en-US"/>
              </w:rPr>
              <w:t>All c</w:t>
            </w:r>
            <w:r w:rsidR="00077DBB" w:rsidRPr="00467B19">
              <w:rPr>
                <w:lang w:val="en-US"/>
              </w:rPr>
              <w:t xml:space="preserve">old chain breaches should be </w:t>
            </w:r>
            <w:r w:rsidR="000A3360">
              <w:rPr>
                <w:lang w:val="en-US"/>
              </w:rPr>
              <w:t>reported</w:t>
            </w:r>
            <w:r w:rsidR="000A3360" w:rsidRPr="00467B19">
              <w:rPr>
                <w:lang w:val="en-US"/>
              </w:rPr>
              <w:t xml:space="preserve"> </w:t>
            </w:r>
            <w:r w:rsidR="00077DBB" w:rsidRPr="00467B19">
              <w:rPr>
                <w:lang w:val="en-US"/>
              </w:rPr>
              <w:t>to the Department</w:t>
            </w:r>
            <w:r w:rsidR="00077DBB" w:rsidRPr="107A7293">
              <w:rPr>
                <w:lang w:val="en-US"/>
              </w:rPr>
              <w:t xml:space="preserve"> of Health</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08340C9" w14:textId="094F73CF" w:rsidR="00077DBB" w:rsidRPr="005E374B" w:rsidRDefault="00077DBB" w:rsidP="00FF5967">
            <w:pPr>
              <w:pStyle w:val="Body"/>
              <w:rPr>
                <w:highlight w:val="yellow"/>
              </w:rPr>
            </w:pPr>
            <w:r w:rsidRPr="295BC450">
              <w:rPr>
                <w:b/>
                <w:bCs/>
                <w:lang w:val="en-US"/>
              </w:rPr>
              <w:t xml:space="preserve">Email: </w:t>
            </w:r>
            <w:hyperlink r:id="rId100">
              <w:r w:rsidRPr="295BC450">
                <w:rPr>
                  <w:rStyle w:val="Hyperlink"/>
                  <w:lang w:val="en-US"/>
                </w:rPr>
                <w:t>immunisation@health.vic.gov.au</w:t>
              </w:r>
            </w:hyperlink>
          </w:p>
        </w:tc>
      </w:tr>
      <w:tr w:rsidR="00077DBB" w:rsidRPr="006F1A2A" w14:paraId="75457063" w14:textId="77777777" w:rsidTr="00FF5967">
        <w:trPr>
          <w:trHeight w:val="180"/>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4CDC549" w14:textId="77777777" w:rsidR="00077DBB" w:rsidRPr="006F1A2A" w:rsidRDefault="00077DBB" w:rsidP="00C8575F">
            <w:pPr>
              <w:pStyle w:val="Body"/>
            </w:pPr>
            <w:r>
              <w:rPr>
                <w:lang w:val="en-US"/>
              </w:rPr>
              <w:t>Australian Immunisation Register (AIR)</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51673CA" w14:textId="0DAA3580" w:rsidR="00077DBB" w:rsidRDefault="00077DBB" w:rsidP="00603DC8">
            <w:pPr>
              <w:pStyle w:val="Bullet1"/>
              <w:numPr>
                <w:ilvl w:val="0"/>
                <w:numId w:val="15"/>
              </w:numPr>
              <w:rPr>
                <w:lang w:val="en-US"/>
              </w:rPr>
            </w:pPr>
            <w:r w:rsidRPr="107A7293">
              <w:rPr>
                <w:lang w:val="en-US"/>
              </w:rPr>
              <w:t xml:space="preserve">Access the AIR through HPOS </w:t>
            </w:r>
            <w:r>
              <w:t xml:space="preserve">using a </w:t>
            </w:r>
            <w:hyperlink r:id="rId101">
              <w:r w:rsidRPr="107A7293">
                <w:rPr>
                  <w:rStyle w:val="Hyperlink"/>
                </w:rPr>
                <w:t>PRODA</w:t>
              </w:r>
            </w:hyperlink>
            <w:r>
              <w:t xml:space="preserve"> account </w:t>
            </w:r>
            <w:r w:rsidR="00B96D08">
              <w:t>–</w:t>
            </w:r>
            <w:r>
              <w:t xml:space="preserve"> </w:t>
            </w:r>
            <w:hyperlink r:id="rId102">
              <w:r w:rsidRPr="107A7293">
                <w:rPr>
                  <w:rStyle w:val="Hyperlink"/>
                </w:rPr>
                <w:t>Health Professional Online Services</w:t>
              </w:r>
            </w:hyperlink>
            <w:r>
              <w:t xml:space="preserve"> (HPOS</w:t>
            </w:r>
            <w:r w:rsidRPr="0040761A">
              <w:t>)</w:t>
            </w:r>
          </w:p>
          <w:p w14:paraId="1964C003" w14:textId="77777777" w:rsidR="00077DBB" w:rsidRPr="006F1A2A" w:rsidRDefault="00077DBB" w:rsidP="00603DC8">
            <w:pPr>
              <w:pStyle w:val="Bullet1"/>
              <w:numPr>
                <w:ilvl w:val="0"/>
                <w:numId w:val="15"/>
              </w:numPr>
              <w:rPr>
                <w:lang w:val="en-US"/>
              </w:rPr>
            </w:pPr>
            <w:r>
              <w:rPr>
                <w:lang w:val="en-US"/>
              </w:rPr>
              <w:t xml:space="preserve">Documenting vaccine encounters to AIR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4926EC56" w14:textId="77777777" w:rsidR="00077DBB" w:rsidRPr="006F1A2A" w:rsidRDefault="00077DBB" w:rsidP="00C8575F">
            <w:pPr>
              <w:pStyle w:val="Body"/>
              <w:rPr>
                <w:lang w:val="en-US"/>
              </w:rPr>
            </w:pPr>
            <w:r w:rsidRPr="006F1A2A">
              <w:rPr>
                <w:b/>
                <w:bCs/>
                <w:lang w:val="en-US"/>
              </w:rPr>
              <w:t xml:space="preserve">Phone: </w:t>
            </w:r>
            <w:r w:rsidRPr="107A7293">
              <w:rPr>
                <w:lang w:val="en-US"/>
              </w:rPr>
              <w:t>1800 653 809</w:t>
            </w:r>
          </w:p>
        </w:tc>
      </w:tr>
    </w:tbl>
    <w:p w14:paraId="6B05EF89" w14:textId="77777777" w:rsidR="002E0E33" w:rsidRDefault="002E0E33" w:rsidP="00077DBB">
      <w:pPr>
        <w:pStyle w:val="Heading1"/>
        <w:rPr>
          <w:rStyle w:val="Heading1Char"/>
        </w:rPr>
        <w:sectPr w:rsidR="002E0E33" w:rsidSect="00215F7B">
          <w:footerReference w:type="default" r:id="rId103"/>
          <w:pgSz w:w="16838" w:h="11906" w:orient="landscape" w:code="9"/>
          <w:pgMar w:top="851" w:right="1418" w:bottom="851" w:left="1418" w:header="680" w:footer="851" w:gutter="0"/>
          <w:cols w:space="340"/>
          <w:docGrid w:linePitch="360"/>
        </w:sectPr>
      </w:pPr>
      <w:bookmarkStart w:id="226" w:name="_Appendix_4:_Factsheet"/>
      <w:bookmarkStart w:id="227" w:name="_Appendix_2:_Data"/>
      <w:bookmarkStart w:id="228" w:name="_Toc71895635"/>
      <w:bookmarkStart w:id="229" w:name="_Toc73627108"/>
      <w:bookmarkStart w:id="230" w:name="_Toc1552291514"/>
      <w:bookmarkStart w:id="231" w:name="_Toc112154618"/>
      <w:bookmarkStart w:id="232" w:name="_Toc112315678"/>
      <w:bookmarkEnd w:id="226"/>
      <w:bookmarkEnd w:id="227"/>
    </w:p>
    <w:p w14:paraId="7B882431" w14:textId="77777777" w:rsidR="00077DBB" w:rsidRPr="00833C15" w:rsidRDefault="00077DBB" w:rsidP="00077DBB">
      <w:pPr>
        <w:pStyle w:val="Heading1"/>
        <w:rPr>
          <w:rFonts w:eastAsia="Times"/>
        </w:rPr>
      </w:pPr>
      <w:bookmarkStart w:id="233" w:name="_Toc176345006"/>
      <w:r w:rsidRPr="00833C15">
        <w:rPr>
          <w:rStyle w:val="Heading1Char"/>
        </w:rPr>
        <w:t>Appendix 2: Safe vaccine storage</w:t>
      </w:r>
      <w:r>
        <w:rPr>
          <w:rStyle w:val="Heading1Char"/>
        </w:rPr>
        <w:t xml:space="preserve"> – data loggers</w:t>
      </w:r>
      <w:bookmarkEnd w:id="228"/>
      <w:bookmarkEnd w:id="229"/>
      <w:bookmarkEnd w:id="230"/>
      <w:bookmarkEnd w:id="231"/>
      <w:bookmarkEnd w:id="232"/>
      <w:bookmarkEnd w:id="233"/>
    </w:p>
    <w:p w14:paraId="30E1693B" w14:textId="77777777" w:rsidR="00077DBB" w:rsidRDefault="00077DBB" w:rsidP="00077DBB">
      <w:pPr>
        <w:pStyle w:val="Heading4"/>
      </w:pPr>
      <w:r>
        <w:t>Purpose-built vaccine refrigerators</w:t>
      </w:r>
    </w:p>
    <w:p w14:paraId="528ED8F8" w14:textId="0DEAFC34" w:rsidR="00077DBB" w:rsidRDefault="00077DBB" w:rsidP="00077DBB">
      <w:r>
        <w:t xml:space="preserve">Purpose-built vaccine refrigerators are the </w:t>
      </w:r>
      <w:r w:rsidRPr="006D5BB5">
        <w:rPr>
          <w:b/>
          <w:bCs/>
        </w:rPr>
        <w:t>only suitable option</w:t>
      </w:r>
      <w:r>
        <w:t xml:space="preserve"> for vaccine storage</w:t>
      </w:r>
      <w:r w:rsidR="00C401F7">
        <w:t>.</w:t>
      </w:r>
      <w:r>
        <w:t xml:space="preserve"> </w:t>
      </w:r>
    </w:p>
    <w:p w14:paraId="4D268872" w14:textId="77777777" w:rsidR="00077DBB" w:rsidRDefault="00077DBB" w:rsidP="00077DBB">
      <w:r>
        <w:t xml:space="preserve">Purpose-built vaccine refrigerators are specifically designed to store vaccines and should be used for all vaccine storage. Purpose-built vaccine refrigerators have the following advantages: </w:t>
      </w:r>
    </w:p>
    <w:p w14:paraId="5A4D5BE6" w14:textId="25A321F1" w:rsidR="00077DBB" w:rsidRDefault="00077DBB" w:rsidP="00603DC8">
      <w:pPr>
        <w:pStyle w:val="ListParagraph"/>
        <w:numPr>
          <w:ilvl w:val="0"/>
          <w:numId w:val="22"/>
        </w:numPr>
      </w:pPr>
      <w:r>
        <w:t>a stable, uniform and controlled cabinet temperature between +2</w:t>
      </w:r>
      <w:r w:rsidR="00D61737" w:rsidRPr="00887871">
        <w:t>°C</w:t>
      </w:r>
      <w:r w:rsidR="00D61737">
        <w:t xml:space="preserve"> </w:t>
      </w:r>
      <w:r>
        <w:t>and +8</w:t>
      </w:r>
      <w:r w:rsidR="00D61737" w:rsidRPr="00887871">
        <w:t>°C</w:t>
      </w:r>
      <w:r>
        <w:t xml:space="preserve"> </w:t>
      </w:r>
    </w:p>
    <w:p w14:paraId="64CB6244" w14:textId="77777777" w:rsidR="00077DBB" w:rsidRDefault="00077DBB" w:rsidP="00603DC8">
      <w:pPr>
        <w:pStyle w:val="ListParagraph"/>
        <w:numPr>
          <w:ilvl w:val="0"/>
          <w:numId w:val="22"/>
        </w:numPr>
      </w:pPr>
      <w:r>
        <w:t>standard alarm and safety features that alert to and/or prevent irregular temperature fluctuations in the cabinet</w:t>
      </w:r>
    </w:p>
    <w:p w14:paraId="6985B121" w14:textId="77777777" w:rsidR="00077DBB" w:rsidRDefault="00077DBB" w:rsidP="00603DC8">
      <w:pPr>
        <w:pStyle w:val="ListParagraph"/>
        <w:numPr>
          <w:ilvl w:val="0"/>
          <w:numId w:val="22"/>
        </w:numPr>
      </w:pPr>
      <w:r>
        <w:t xml:space="preserve">inbuilt digital temperature monitoring (inbuilt data logger) and/or digital temperature indicators (minimum and maximum temperature displays) </w:t>
      </w:r>
    </w:p>
    <w:p w14:paraId="48E92471" w14:textId="77777777" w:rsidR="00077DBB" w:rsidRDefault="00077DBB" w:rsidP="00603DC8">
      <w:pPr>
        <w:pStyle w:val="ListParagraph"/>
        <w:numPr>
          <w:ilvl w:val="0"/>
          <w:numId w:val="22"/>
        </w:numPr>
      </w:pPr>
      <w:r>
        <w:t>effective temperature recovery after the refrigerator door has been opened</w:t>
      </w:r>
    </w:p>
    <w:p w14:paraId="3327DAA5" w14:textId="77777777" w:rsidR="00077DBB" w:rsidRDefault="00077DBB" w:rsidP="00603DC8">
      <w:pPr>
        <w:pStyle w:val="ListParagraph"/>
        <w:numPr>
          <w:ilvl w:val="0"/>
          <w:numId w:val="22"/>
        </w:numPr>
        <w:rPr>
          <w:lang w:eastAsia="en-AU"/>
        </w:rPr>
      </w:pPr>
      <w:r>
        <w:t>potential for most of the internal space to be used for vaccine storage; ask the manufacturer how to pack the refrigerator to accommodate the maximum quantity of vaccine.</w:t>
      </w:r>
    </w:p>
    <w:p w14:paraId="1AFBAC62" w14:textId="77777777" w:rsidR="00077DBB" w:rsidRDefault="00077DBB" w:rsidP="00077DBB">
      <w:pPr>
        <w:rPr>
          <w:lang w:eastAsia="en-AU"/>
        </w:rPr>
      </w:pPr>
      <w:r w:rsidRPr="00DD6100">
        <w:rPr>
          <w:b/>
          <w:bCs/>
        </w:rPr>
        <w:t>Domestic refrigerators (including bar fridges) are not built or designed to store vaccines and must</w:t>
      </w:r>
      <w:r w:rsidRPr="00CD6D3B">
        <w:rPr>
          <w:b/>
          <w:bCs/>
        </w:rPr>
        <w:t xml:space="preserve"> not be used</w:t>
      </w:r>
      <w:r>
        <w:t xml:space="preserve"> </w:t>
      </w:r>
      <w:r w:rsidRPr="00CE187E">
        <w:rPr>
          <w:b/>
          <w:bCs/>
        </w:rPr>
        <w:t>for vaccine storage</w:t>
      </w:r>
      <w:r>
        <w:t xml:space="preserve">. </w:t>
      </w:r>
    </w:p>
    <w:p w14:paraId="4410E72B" w14:textId="77777777" w:rsidR="00077DBB" w:rsidRDefault="00077DBB" w:rsidP="00077DBB">
      <w:pPr>
        <w:rPr>
          <w:lang w:eastAsia="en-AU"/>
        </w:rPr>
      </w:pPr>
      <w:r>
        <w:t>Blood refrigerators are specifically designed to store blood products at a controlled temperature between +2°C and +6°C. This means that, if necessary, it is acceptable to store vaccines and blood products in the same refrigerator. Temperature monitoring will still be required</w:t>
      </w:r>
      <w:r>
        <w:rPr>
          <w:rStyle w:val="FootnoteReference"/>
        </w:rPr>
        <w:footnoteReference w:id="50"/>
      </w:r>
      <w:r>
        <w:t xml:space="preserve">. </w:t>
      </w:r>
    </w:p>
    <w:p w14:paraId="578145F8" w14:textId="77777777" w:rsidR="00077DBB" w:rsidRPr="00643AA6" w:rsidRDefault="00077DBB" w:rsidP="00077DBB">
      <w:pPr>
        <w:pStyle w:val="Heading4"/>
      </w:pPr>
      <w:r w:rsidRPr="00643AA6">
        <w:t>What is a data logger?</w:t>
      </w:r>
    </w:p>
    <w:p w14:paraId="156623C6" w14:textId="3C868FBE" w:rsidR="00077DBB" w:rsidRPr="00643AA6" w:rsidRDefault="00077DBB" w:rsidP="00077DBB">
      <w:pPr>
        <w:pStyle w:val="Body"/>
      </w:pPr>
      <w:r w:rsidRPr="00643AA6">
        <w:t>Temperature data loggers are small electronic devices that measure temperatures at pre</w:t>
      </w:r>
      <w:r w:rsidR="008A35AE">
        <w:t>-</w:t>
      </w:r>
      <w:r w:rsidRPr="00643AA6">
        <w:t>set time intervals and record the results over a period of time. Data loggers should be set to record temperatures at 5-minute intervals.</w:t>
      </w:r>
    </w:p>
    <w:p w14:paraId="0A770CE5" w14:textId="77777777" w:rsidR="00077DBB" w:rsidRPr="00643AA6" w:rsidRDefault="00077DBB" w:rsidP="00362CDB">
      <w:pPr>
        <w:pStyle w:val="Body"/>
        <w:spacing w:line="240" w:lineRule="atLeast"/>
      </w:pPr>
      <w:r w:rsidRPr="00643AA6">
        <w:t xml:space="preserve">Some purpose-built vaccine refrigerators have an inbuilt data logger. Information from the data logger should be downloaded at least weekly (or more frequently if recommended by the manufacturer), reviewed and digitally stored. </w:t>
      </w:r>
    </w:p>
    <w:p w14:paraId="143655E1" w14:textId="77777777" w:rsidR="00077DBB" w:rsidRPr="00FD6868" w:rsidRDefault="00077DBB" w:rsidP="00077DBB">
      <w:pPr>
        <w:pStyle w:val="Heading4"/>
      </w:pPr>
      <w:bookmarkStart w:id="234" w:name="_Toc349632636"/>
      <w:r w:rsidRPr="00FD6868">
        <w:t>What information do data loggers provide?</w:t>
      </w:r>
      <w:bookmarkEnd w:id="234"/>
      <w:r w:rsidRPr="00FD6868">
        <w:t xml:space="preserve"> </w:t>
      </w:r>
    </w:p>
    <w:p w14:paraId="0389646B" w14:textId="77777777" w:rsidR="00077DBB" w:rsidRPr="00643AA6" w:rsidRDefault="00077DBB" w:rsidP="00077DBB">
      <w:pPr>
        <w:pStyle w:val="Body"/>
      </w:pPr>
      <w:r w:rsidRPr="00643AA6">
        <w:t xml:space="preserve">Data loggers provide an accurate indication of vaccine refrigerator temperatures and can be used to map ‘cold spots’ or investigate problems. Loggers use a similar measuring principle to chart recorders; however, they record the data electronically. The data can be stored by the monitoring system and can also be downloaded to a computer. </w:t>
      </w:r>
    </w:p>
    <w:p w14:paraId="48DE21E1" w14:textId="77777777" w:rsidR="00077DBB" w:rsidRPr="00643AA6" w:rsidRDefault="00077DBB" w:rsidP="00077DBB">
      <w:pPr>
        <w:pStyle w:val="Body"/>
      </w:pPr>
      <w:r w:rsidRPr="00643AA6">
        <w:rPr>
          <w:rStyle w:val="Strong"/>
        </w:rPr>
        <w:t>Twice-daily minimum and maximum temperatures must still be manually recorded as a timely alert to any breach in the cold chain.</w:t>
      </w:r>
      <w:r w:rsidRPr="00643AA6">
        <w:t xml:space="preserve"> If a data logger is used for routine temperature monitoring (instead of a minimum/maximum thermometer), it must have a visual display of minimum/maximum temperatures to allow twice-daily real-time readings to be viewed and manually recorded. </w:t>
      </w:r>
    </w:p>
    <w:p w14:paraId="0CC699BF" w14:textId="4E29C277" w:rsidR="00077DBB" w:rsidRPr="00643AA6" w:rsidRDefault="00077DBB" w:rsidP="00077DBB">
      <w:pPr>
        <w:pStyle w:val="Body"/>
      </w:pPr>
      <w:r w:rsidRPr="00643AA6">
        <w:t xml:space="preserve">Many data loggers can be programmed to alarm when a temperature outside the </w:t>
      </w:r>
      <w:r w:rsidR="00362CDB">
        <w:t>+</w:t>
      </w:r>
      <w:r w:rsidRPr="00643AA6">
        <w:t>2</w:t>
      </w:r>
      <w:r w:rsidR="00E55CDA" w:rsidRPr="005912F3">
        <w:t>°</w:t>
      </w:r>
      <w:r w:rsidR="00E55CDA" w:rsidRPr="00E55CDA">
        <w:rPr>
          <w:rFonts w:cs="Arial"/>
          <w:szCs w:val="21"/>
          <w:lang w:val="en-US"/>
        </w:rPr>
        <w:t>C</w:t>
      </w:r>
      <w:r w:rsidRPr="00643AA6">
        <w:t xml:space="preserve"> to </w:t>
      </w:r>
      <w:r w:rsidR="00362CDB">
        <w:t>+</w:t>
      </w:r>
      <w:r w:rsidRPr="00643AA6">
        <w:t>8</w:t>
      </w:r>
      <w:r w:rsidR="00C401F7" w:rsidRPr="00887871">
        <w:t>°</w:t>
      </w:r>
      <w:r w:rsidRPr="00643AA6">
        <w:t xml:space="preserve">C range is recorded. </w:t>
      </w:r>
    </w:p>
    <w:p w14:paraId="3A04E22B" w14:textId="77777777" w:rsidR="00077DBB" w:rsidRPr="00091A86" w:rsidRDefault="00077DBB" w:rsidP="00077DBB">
      <w:pPr>
        <w:pStyle w:val="Heading4"/>
      </w:pPr>
      <w:bookmarkStart w:id="235" w:name="_Toc349632637"/>
      <w:r w:rsidRPr="00091A86">
        <w:t>Using a data logger</w:t>
      </w:r>
      <w:bookmarkEnd w:id="235"/>
    </w:p>
    <w:p w14:paraId="686564C9" w14:textId="77777777" w:rsidR="00077DBB" w:rsidRPr="00887871" w:rsidRDefault="00077DBB" w:rsidP="00077DBB">
      <w:pPr>
        <w:pStyle w:val="Body"/>
      </w:pPr>
      <w:r w:rsidRPr="00887871">
        <w:t>The data logger and the minimum/maximum thermometer should be co-located in the refrigerator; otherwise, different recordings can occur. If the data logger and probe have a fixed position in the refrigerator</w:t>
      </w:r>
      <w:r w:rsidRPr="00887871" w:rsidDel="0007185E">
        <w:t xml:space="preserve"> </w:t>
      </w:r>
      <w:r w:rsidRPr="00887871">
        <w:t>and cannot be moved, the vaccines should be stored as close as practicable to the probe.</w:t>
      </w:r>
    </w:p>
    <w:p w14:paraId="14D852B5" w14:textId="34056613" w:rsidR="00077DBB" w:rsidRPr="00887871" w:rsidRDefault="00077DBB" w:rsidP="00077DBB">
      <w:pPr>
        <w:pStyle w:val="Body"/>
      </w:pPr>
      <w:r w:rsidRPr="00887871">
        <w:t xml:space="preserve">The results from the data logger can be printed in graph and numerical formats, including times that the temperature was recorded outside the </w:t>
      </w:r>
      <w:r w:rsidR="00C37A1E">
        <w:t>+</w:t>
      </w:r>
      <w:r w:rsidRPr="00887871">
        <w:t>2</w:t>
      </w:r>
      <w:r w:rsidR="00E55CDA" w:rsidRPr="005912F3">
        <w:t>°</w:t>
      </w:r>
      <w:r w:rsidR="00E55CDA" w:rsidRPr="00E55CDA">
        <w:rPr>
          <w:rFonts w:cs="Arial"/>
          <w:szCs w:val="21"/>
          <w:lang w:val="en-US"/>
        </w:rPr>
        <w:t>C</w:t>
      </w:r>
      <w:r w:rsidRPr="00887871">
        <w:t xml:space="preserve"> to </w:t>
      </w:r>
      <w:r w:rsidR="00C37A1E">
        <w:t>+</w:t>
      </w:r>
      <w:r w:rsidRPr="00887871">
        <w:t>8</w:t>
      </w:r>
      <w:bookmarkStart w:id="236" w:name="_Hlk112397049"/>
      <w:r w:rsidRPr="00887871">
        <w:t>°</w:t>
      </w:r>
      <w:bookmarkEnd w:id="236"/>
      <w:r w:rsidRPr="00887871">
        <w:t>C range, and the minimum and maximum temperatures.</w:t>
      </w:r>
    </w:p>
    <w:p w14:paraId="49E99B82" w14:textId="77777777" w:rsidR="00077DBB" w:rsidRDefault="00077DBB" w:rsidP="00077DBB">
      <w:pPr>
        <w:pStyle w:val="Body"/>
      </w:pPr>
      <w:r w:rsidRPr="00887871">
        <w:t>All staff should be trained in how to operate and manage the data logger and interpret its readings. Data logging will help immunisation service providers to get to know their refrigerator</w:t>
      </w:r>
      <w:r>
        <w:t>.</w:t>
      </w:r>
      <w:r w:rsidRPr="00887871">
        <w:t xml:space="preserve"> </w:t>
      </w:r>
    </w:p>
    <w:p w14:paraId="21FF9515" w14:textId="77777777" w:rsidR="00077DBB" w:rsidRPr="009A5E1D" w:rsidRDefault="00077DBB" w:rsidP="00077DBB">
      <w:pPr>
        <w:pStyle w:val="Heading4"/>
      </w:pPr>
      <w:r w:rsidRPr="009A5E1D">
        <w:t>Continuous logging</w:t>
      </w:r>
    </w:p>
    <w:p w14:paraId="65070BB6" w14:textId="77777777" w:rsidR="00077DBB" w:rsidRPr="00D623E9" w:rsidRDefault="00077DBB" w:rsidP="00077DBB">
      <w:pPr>
        <w:pStyle w:val="Body"/>
      </w:pPr>
      <w:r w:rsidRPr="00D623E9">
        <w:t xml:space="preserve">All vaccine refrigerators should have a permanent data logger in place to continuously measure the refrigerator temperature at </w:t>
      </w:r>
      <w:r>
        <w:t>pre-set</w:t>
      </w:r>
      <w:r w:rsidRPr="00D623E9">
        <w:t xml:space="preserve"> 5-minute intervals. The data should be downloaded at least weekly, in addition to twice-daily minimum/maximum recordings. The data logger can be a portable digital data logger or may be built into the refrigerator.</w:t>
      </w:r>
    </w:p>
    <w:p w14:paraId="5A593116" w14:textId="77777777" w:rsidR="00077DBB" w:rsidRPr="009A5E1D" w:rsidRDefault="00077DBB" w:rsidP="00077DBB">
      <w:pPr>
        <w:pStyle w:val="Heading4"/>
      </w:pPr>
      <w:r w:rsidRPr="009A5E1D">
        <w:t>Benefits of continuous temperature monitoring</w:t>
      </w:r>
    </w:p>
    <w:p w14:paraId="2ABD0F61" w14:textId="77777777" w:rsidR="00077DBB" w:rsidRPr="00D623E9" w:rsidRDefault="00077DBB" w:rsidP="00077DBB">
      <w:pPr>
        <w:pStyle w:val="Body"/>
      </w:pPr>
      <w:r w:rsidRPr="00D623E9">
        <w:t>Continuous temperature monitoring:</w:t>
      </w:r>
    </w:p>
    <w:p w14:paraId="3203D5C7" w14:textId="77777777" w:rsidR="00077DBB" w:rsidRPr="00D623E9" w:rsidRDefault="00077DBB" w:rsidP="00603DC8">
      <w:pPr>
        <w:pStyle w:val="Bullet1"/>
        <w:numPr>
          <w:ilvl w:val="0"/>
          <w:numId w:val="13"/>
        </w:numPr>
      </w:pPr>
      <w:r w:rsidRPr="00D623E9">
        <w:t>provides information on the duration of a cold chain breach and supplements a cold chain audit</w:t>
      </w:r>
    </w:p>
    <w:p w14:paraId="582D0F74" w14:textId="77777777" w:rsidR="00077DBB" w:rsidRPr="00D623E9" w:rsidRDefault="00077DBB" w:rsidP="00603DC8">
      <w:pPr>
        <w:pStyle w:val="Bullet1"/>
        <w:numPr>
          <w:ilvl w:val="0"/>
          <w:numId w:val="13"/>
        </w:numPr>
      </w:pPr>
      <w:r w:rsidRPr="00D623E9">
        <w:t xml:space="preserve">confirms that the cold chain has been maintained and provides accurate knowledge of the vaccine refrigerator temperature </w:t>
      </w:r>
    </w:p>
    <w:p w14:paraId="53B6BF03" w14:textId="70BD5AC6" w:rsidR="00077DBB" w:rsidRPr="00D623E9" w:rsidRDefault="00077DBB" w:rsidP="00603DC8">
      <w:pPr>
        <w:pStyle w:val="Bullet1"/>
        <w:numPr>
          <w:ilvl w:val="0"/>
          <w:numId w:val="13"/>
        </w:numPr>
      </w:pPr>
      <w:r w:rsidRPr="00D623E9">
        <w:t>identifies times when there is a risk of vaccines freezing (0</w:t>
      </w:r>
      <w:r w:rsidR="00EC070F" w:rsidRPr="00EC070F">
        <w:t>°</w:t>
      </w:r>
      <w:r w:rsidRPr="00D623E9">
        <w:t xml:space="preserve">C or below) — for example, overnight, long weekends and when the refrigerator is not in use </w:t>
      </w:r>
    </w:p>
    <w:p w14:paraId="24CAC92F" w14:textId="77777777" w:rsidR="00077DBB" w:rsidRPr="00D623E9" w:rsidRDefault="00077DBB" w:rsidP="00603DC8">
      <w:pPr>
        <w:pStyle w:val="Bullet1"/>
        <w:numPr>
          <w:ilvl w:val="0"/>
          <w:numId w:val="13"/>
        </w:numPr>
      </w:pPr>
      <w:r w:rsidRPr="00D623E9">
        <w:t>assists staff to understand the functioning of the refrigerator</w:t>
      </w:r>
    </w:p>
    <w:p w14:paraId="1294C38E" w14:textId="77777777" w:rsidR="00077DBB" w:rsidRPr="00D623E9" w:rsidRDefault="00077DBB" w:rsidP="00603DC8">
      <w:pPr>
        <w:pStyle w:val="Bullet1"/>
        <w:numPr>
          <w:ilvl w:val="0"/>
          <w:numId w:val="13"/>
        </w:numPr>
      </w:pPr>
      <w:r w:rsidRPr="00D623E9">
        <w:t>identifies temperature fluctuations between the refrigerator shelves and the location of any cold spots on each shelf</w:t>
      </w:r>
    </w:p>
    <w:p w14:paraId="701EC9E4" w14:textId="77777777" w:rsidR="00077DBB" w:rsidRPr="00D623E9" w:rsidRDefault="00077DBB" w:rsidP="00603DC8">
      <w:pPr>
        <w:pStyle w:val="Bullet1"/>
        <w:numPr>
          <w:ilvl w:val="0"/>
          <w:numId w:val="13"/>
        </w:numPr>
      </w:pPr>
      <w:r w:rsidRPr="00D623E9">
        <w:t>supports accreditation documentation and audits</w:t>
      </w:r>
    </w:p>
    <w:p w14:paraId="68342F94" w14:textId="77777777" w:rsidR="00077DBB" w:rsidRPr="00D623E9" w:rsidRDefault="00077DBB" w:rsidP="00603DC8">
      <w:pPr>
        <w:pStyle w:val="Bullet1"/>
        <w:numPr>
          <w:ilvl w:val="0"/>
          <w:numId w:val="13"/>
        </w:numPr>
      </w:pPr>
      <w:r w:rsidRPr="00D623E9">
        <w:t>helps to assess the refrigerator thermometer’s accuracy.</w:t>
      </w:r>
    </w:p>
    <w:p w14:paraId="3512356E" w14:textId="77777777" w:rsidR="00077DBB" w:rsidRPr="00833C15" w:rsidRDefault="00077DBB" w:rsidP="00077DBB">
      <w:pPr>
        <w:pStyle w:val="Heading4"/>
        <w:spacing w:after="120"/>
      </w:pPr>
      <w:r w:rsidRPr="00833C15">
        <w:t>Cold Chain resources</w:t>
      </w:r>
    </w:p>
    <w:p w14:paraId="16988FAF" w14:textId="2939D4C0" w:rsidR="00077DBB" w:rsidRPr="0093312E" w:rsidRDefault="001E1F71" w:rsidP="00077DBB">
      <w:pPr>
        <w:pStyle w:val="Body"/>
      </w:pPr>
      <w:r w:rsidRPr="00851C49">
        <w:t>National vaccine storage guidelines – Strive for 5</w:t>
      </w:r>
      <w:r w:rsidR="00EE77A1">
        <w:rPr>
          <w:rStyle w:val="Hyperlink"/>
        </w:rPr>
        <w:t xml:space="preserve"> &lt;</w:t>
      </w:r>
      <w:hyperlink r:id="rId104" w:history="1">
        <w:r w:rsidRPr="001E1F71">
          <w:rPr>
            <w:rStyle w:val="Hyperlink"/>
          </w:rPr>
          <w:t>https://www.health.gov.au/resources/publications/national-vaccine-storage-guidelines-strive-for-5</w:t>
        </w:r>
      </w:hyperlink>
      <w:r>
        <w:rPr>
          <w:rStyle w:val="Hyperlink"/>
        </w:rPr>
        <w:t>&gt;</w:t>
      </w:r>
    </w:p>
    <w:p w14:paraId="728A790D" w14:textId="5F21C830" w:rsidR="00077DBB" w:rsidRDefault="00D70C53" w:rsidP="4416F9D8">
      <w:pPr>
        <w:spacing w:line="240" w:lineRule="auto"/>
        <w:rPr>
          <w:rStyle w:val="Hyperlink"/>
          <w:color w:val="auto"/>
          <w:szCs w:val="21"/>
          <w:u w:val="none"/>
        </w:rPr>
      </w:pPr>
      <w:r w:rsidRPr="00D70C53">
        <w:rPr>
          <w:snapToGrid w:val="0"/>
        </w:rPr>
        <w:t xml:space="preserve">Department of Health – Cold </w:t>
      </w:r>
      <w:r w:rsidR="00851C49">
        <w:rPr>
          <w:snapToGrid w:val="0"/>
        </w:rPr>
        <w:t>c</w:t>
      </w:r>
      <w:r w:rsidR="00851C49" w:rsidRPr="00D70C53">
        <w:rPr>
          <w:snapToGrid w:val="0"/>
        </w:rPr>
        <w:t xml:space="preserve">hain </w:t>
      </w:r>
      <w:r w:rsidR="00851C49">
        <w:rPr>
          <w:snapToGrid w:val="0"/>
        </w:rPr>
        <w:t>m</w:t>
      </w:r>
      <w:r w:rsidR="00851C49" w:rsidRPr="00D70C53">
        <w:rPr>
          <w:snapToGrid w:val="0"/>
        </w:rPr>
        <w:t>anagement</w:t>
      </w:r>
      <w:r w:rsidR="00851C49">
        <w:rPr>
          <w:rStyle w:val="Hyperlink"/>
          <w:snapToGrid w:val="0"/>
        </w:rPr>
        <w:t xml:space="preserve"> </w:t>
      </w:r>
      <w:r>
        <w:rPr>
          <w:rStyle w:val="Hyperlink"/>
          <w:snapToGrid w:val="0"/>
        </w:rPr>
        <w:t>&lt;</w:t>
      </w:r>
      <w:r w:rsidRPr="00D70C53">
        <w:t xml:space="preserve"> </w:t>
      </w:r>
      <w:hyperlink r:id="rId105" w:history="1">
        <w:r>
          <w:rPr>
            <w:rStyle w:val="Hyperlink"/>
            <w:rFonts w:eastAsia="MS Gothic"/>
          </w:rPr>
          <w:t>https://www.health.vic.gov.au/immunisation/cold-chain-management</w:t>
        </w:r>
      </w:hyperlink>
      <w:r>
        <w:t>&gt;</w:t>
      </w:r>
    </w:p>
    <w:p w14:paraId="6A1BB7D5" w14:textId="4FE720FD" w:rsidR="00410A56" w:rsidRDefault="00D70C53" w:rsidP="007604F4">
      <w:pPr>
        <w:spacing w:line="240" w:lineRule="auto"/>
      </w:pPr>
      <w:r>
        <w:t xml:space="preserve">Department of Health - </w:t>
      </w:r>
      <w:r w:rsidR="007604F4">
        <w:t xml:space="preserve">Cold chain </w:t>
      </w:r>
      <w:r w:rsidR="00851C49">
        <w:t xml:space="preserve">breach </w:t>
      </w:r>
      <w:r w:rsidR="007604F4">
        <w:t xml:space="preserve">reporting </w:t>
      </w:r>
      <w:r w:rsidR="00410A56">
        <w:t>&lt;</w:t>
      </w:r>
      <w:hyperlink r:id="rId106" w:history="1">
        <w:r w:rsidR="00410A56" w:rsidRPr="00410A56">
          <w:rPr>
            <w:rStyle w:val="Hyperlink"/>
          </w:rPr>
          <w:t>https://www.health.vic.gov.au/immunisation/cold-chain-breach-reporting</w:t>
        </w:r>
      </w:hyperlink>
      <w:r w:rsidR="00410A56">
        <w:t>&gt;</w:t>
      </w:r>
    </w:p>
    <w:p w14:paraId="5444E4B1" w14:textId="60CA42CD" w:rsidR="007604F4" w:rsidRDefault="00851C49" w:rsidP="007604F4">
      <w:pPr>
        <w:spacing w:line="240" w:lineRule="auto"/>
      </w:pPr>
      <w:r>
        <w:t>Department of Health – Immunisation Program &lt;</w:t>
      </w:r>
      <w:r w:rsidR="007604F4">
        <w:t xml:space="preserve"> </w:t>
      </w:r>
      <w:hyperlink r:id="rId107" w:history="1">
        <w:r w:rsidR="007604F4" w:rsidRPr="00006F94">
          <w:rPr>
            <w:rStyle w:val="Hyperlink"/>
          </w:rPr>
          <w:t>immunisation@health.vic.gov.au</w:t>
        </w:r>
      </w:hyperlink>
      <w:r>
        <w:rPr>
          <w:rStyle w:val="Hyperlink"/>
        </w:rPr>
        <w:t>&gt;</w:t>
      </w:r>
    </w:p>
    <w:p w14:paraId="52CA0138" w14:textId="2C736714" w:rsidR="00077DBB" w:rsidRDefault="00851C49" w:rsidP="00077DBB">
      <w:pPr>
        <w:spacing w:line="240" w:lineRule="auto"/>
        <w:rPr>
          <w:snapToGrid w:val="0"/>
        </w:rPr>
      </w:pPr>
      <w:r w:rsidRPr="00851C49">
        <w:rPr>
          <w:rFonts w:cs="Arial"/>
        </w:rPr>
        <w:t>TagAlert</w:t>
      </w:r>
      <w:r w:rsidRPr="00851C49">
        <w:rPr>
          <w:rFonts w:cs="Arial"/>
          <w:sz w:val="18"/>
          <w:szCs w:val="18"/>
          <w:vertAlign w:val="superscript"/>
        </w:rPr>
        <w:t>®</w:t>
      </w:r>
      <w:r w:rsidRPr="00851C49">
        <w:rPr>
          <w:rFonts w:cs="Arial"/>
        </w:rPr>
        <w:t xml:space="preserve"> - </w:t>
      </w:r>
      <w:r w:rsidR="00CE0F2A">
        <w:rPr>
          <w:rFonts w:cs="Arial"/>
        </w:rPr>
        <w:t>C</w:t>
      </w:r>
      <w:r w:rsidRPr="00851C49">
        <w:rPr>
          <w:rFonts w:cs="Arial"/>
        </w:rPr>
        <w:t xml:space="preserve">old chain management </w:t>
      </w:r>
      <w:r w:rsidR="00CE0F2A">
        <w:rPr>
          <w:rFonts w:cs="Arial"/>
        </w:rPr>
        <w:t>during vaccine transport</w:t>
      </w:r>
      <w:r w:rsidR="00EE77A1">
        <w:rPr>
          <w:rStyle w:val="Hyperlink"/>
          <w:rFonts w:cs="Arial"/>
        </w:rPr>
        <w:t xml:space="preserve"> &lt;</w:t>
      </w:r>
      <w:hyperlink r:id="rId108" w:history="1">
        <w:r w:rsidR="00EE77A1" w:rsidRPr="00EE77A1">
          <w:rPr>
            <w:rStyle w:val="Hyperlink"/>
            <w:rFonts w:cs="Arial"/>
          </w:rPr>
          <w:t>https://www.health.vic.gov.au/immunisation/cold-chain-monitoring-during-vaccine-transport</w:t>
        </w:r>
      </w:hyperlink>
      <w:r w:rsidR="00EE77A1">
        <w:rPr>
          <w:rStyle w:val="Hyperlink"/>
          <w:rFonts w:cs="Arial"/>
        </w:rPr>
        <w:t>&gt;</w:t>
      </w:r>
    </w:p>
    <w:p w14:paraId="135AD204" w14:textId="77777777" w:rsidR="00C60A34" w:rsidRDefault="00C60A34" w:rsidP="00077DBB">
      <w:pPr>
        <w:spacing w:line="240" w:lineRule="auto"/>
        <w:rPr>
          <w:snapToGrid w:val="0"/>
        </w:rPr>
      </w:pPr>
    </w:p>
    <w:p w14:paraId="7A09BABF" w14:textId="77777777" w:rsidR="00077DBB" w:rsidRPr="006F1A2A" w:rsidRDefault="00077DBB" w:rsidP="00077DBB">
      <w:pPr>
        <w:spacing w:line="240" w:lineRule="auto"/>
        <w:rPr>
          <w:snapToGrid w:val="0"/>
        </w:rPr>
      </w:pPr>
    </w:p>
    <w:p w14:paraId="51F81BA2" w14:textId="77777777" w:rsidR="00077DBB" w:rsidRPr="00BC1918" w:rsidRDefault="00077DBB" w:rsidP="00533F9F">
      <w:pPr>
        <w:pStyle w:val="BoxName"/>
        <w:pBdr>
          <w:top w:val="single" w:sz="4" w:space="0" w:color="000000"/>
          <w:bottom w:val="single" w:sz="4" w:space="24" w:color="000000"/>
        </w:pBdr>
        <w:spacing w:before="240" w:after="240"/>
        <w:ind w:left="1077" w:hanging="1077"/>
        <w:rPr>
          <w:rFonts w:ascii="Arial" w:hAnsi="Arial" w:cs="Arial"/>
        </w:rPr>
      </w:pPr>
      <w:r w:rsidRPr="00BC1918">
        <w:rPr>
          <w:rFonts w:ascii="Arial" w:hAnsi="Arial" w:cs="Arial"/>
        </w:rPr>
        <w:t>Checklist for data loggers</w:t>
      </w:r>
    </w:p>
    <w:p w14:paraId="3648E65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Place the data logger where it is easily seen and in the middle of the vaccines.</w:t>
      </w:r>
    </w:p>
    <w:p w14:paraId="25B8DB24"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Measure the current, minimum and maximum temperatures twice daily, and record them.</w:t>
      </w:r>
    </w:p>
    <w:p w14:paraId="3FBBB784" w14:textId="6C2770C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Set the alarm system to alarm outside the </w:t>
      </w:r>
      <w:r w:rsidR="00F35222">
        <w:rPr>
          <w:rFonts w:ascii="Arial" w:hAnsi="Arial" w:cs="Arial"/>
          <w:snapToGrid w:val="0"/>
          <w:sz w:val="21"/>
          <w:szCs w:val="21"/>
        </w:rPr>
        <w:t>+</w:t>
      </w:r>
      <w:r w:rsidRPr="006F1A2A">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E55CDA">
        <w:rPr>
          <w:rFonts w:ascii="Arial" w:hAnsi="Arial" w:cs="Arial"/>
          <w:snapToGrid w:val="0"/>
          <w:sz w:val="21"/>
          <w:szCs w:val="21"/>
        </w:rPr>
        <w:t xml:space="preserve"> </w:t>
      </w:r>
      <w:r w:rsidRPr="006F1A2A">
        <w:rPr>
          <w:rFonts w:ascii="Arial" w:hAnsi="Arial" w:cs="Arial"/>
          <w:snapToGrid w:val="0"/>
          <w:sz w:val="21"/>
          <w:szCs w:val="21"/>
        </w:rPr>
        <w:t xml:space="preserve">to </w:t>
      </w:r>
      <w:r w:rsidR="00F35222">
        <w:rPr>
          <w:rFonts w:ascii="Arial" w:hAnsi="Arial" w:cs="Arial"/>
          <w:snapToGrid w:val="0"/>
          <w:sz w:val="21"/>
          <w:szCs w:val="21"/>
        </w:rPr>
        <w:t>+</w:t>
      </w:r>
      <w:r w:rsidRPr="006F1A2A">
        <w:rPr>
          <w:rFonts w:ascii="Arial" w:hAnsi="Arial" w:cs="Arial"/>
          <w:snapToGrid w:val="0"/>
          <w:sz w:val="21"/>
          <w:szCs w:val="21"/>
        </w:rPr>
        <w:t>8</w:t>
      </w:r>
      <w:r w:rsidR="00EC070F" w:rsidRPr="00887871">
        <w:t>°</w:t>
      </w:r>
      <w:r w:rsidRPr="006F1A2A">
        <w:rPr>
          <w:rFonts w:ascii="Arial" w:hAnsi="Arial" w:cs="Arial"/>
          <w:snapToGrid w:val="0"/>
          <w:sz w:val="21"/>
          <w:szCs w:val="21"/>
        </w:rPr>
        <w:t>C range. Check that the alarm is working.</w:t>
      </w:r>
    </w:p>
    <w:p w14:paraId="1F7C08B7"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Train all staff to recognise the alarm and download information from the data logger.</w:t>
      </w:r>
    </w:p>
    <w:p w14:paraId="74670C1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Download and record information as soon as possible after an alarm is activated. </w:t>
      </w:r>
    </w:p>
    <w:p w14:paraId="51B658D8" w14:textId="1725F0D1"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If </w:t>
      </w:r>
      <w:r w:rsidRPr="007B30E4">
        <w:rPr>
          <w:rFonts w:ascii="Arial" w:hAnsi="Arial" w:cs="Arial"/>
          <w:snapToGrid w:val="0"/>
          <w:sz w:val="21"/>
          <w:szCs w:val="21"/>
        </w:rPr>
        <w:t xml:space="preserve">recordings are outside the </w:t>
      </w:r>
      <w:r w:rsidR="00F35222">
        <w:rPr>
          <w:rFonts w:ascii="Arial" w:hAnsi="Arial" w:cs="Arial"/>
          <w:snapToGrid w:val="0"/>
          <w:sz w:val="21"/>
          <w:szCs w:val="21"/>
        </w:rPr>
        <w:t>+</w:t>
      </w:r>
      <w:r w:rsidRPr="007B30E4">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7B30E4">
        <w:rPr>
          <w:rFonts w:ascii="Arial" w:hAnsi="Arial" w:cs="Arial"/>
          <w:snapToGrid w:val="0"/>
          <w:sz w:val="21"/>
          <w:szCs w:val="21"/>
        </w:rPr>
        <w:t xml:space="preserve"> to </w:t>
      </w:r>
      <w:r w:rsidR="00F35222">
        <w:rPr>
          <w:rFonts w:ascii="Arial" w:hAnsi="Arial" w:cs="Arial"/>
          <w:snapToGrid w:val="0"/>
          <w:sz w:val="21"/>
          <w:szCs w:val="21"/>
        </w:rPr>
        <w:t>+</w:t>
      </w:r>
      <w:r w:rsidRPr="007B30E4">
        <w:rPr>
          <w:rFonts w:ascii="Arial" w:hAnsi="Arial" w:cs="Arial"/>
          <w:snapToGrid w:val="0"/>
          <w:sz w:val="21"/>
          <w:szCs w:val="21"/>
        </w:rPr>
        <w:t>8</w:t>
      </w:r>
      <w:r w:rsidR="00EC070F" w:rsidRPr="007B30E4">
        <w:rPr>
          <w:rFonts w:ascii="Arial" w:hAnsi="Arial" w:cs="Arial"/>
          <w:snapToGrid w:val="0"/>
          <w:sz w:val="21"/>
          <w:szCs w:val="21"/>
        </w:rPr>
        <w:t>°</w:t>
      </w:r>
      <w:r w:rsidRPr="007B30E4">
        <w:rPr>
          <w:rFonts w:ascii="Arial" w:hAnsi="Arial" w:cs="Arial"/>
          <w:snapToGrid w:val="0"/>
          <w:sz w:val="21"/>
          <w:szCs w:val="21"/>
        </w:rPr>
        <w:t xml:space="preserve">C range, follow the cold chain breach protocol (see the </w:t>
      </w:r>
      <w:hyperlink r:id="rId109" w:history="1">
        <w:r w:rsidRPr="007B30E4">
          <w:rPr>
            <w:rStyle w:val="Hyperlink"/>
            <w:rFonts w:ascii="Arial" w:eastAsia="Times" w:hAnsi="Arial" w:cs="Arial"/>
            <w:sz w:val="21"/>
            <w:szCs w:val="21"/>
          </w:rPr>
          <w:t>National Vaccine Storage Guidelines – Strive for 5</w:t>
        </w:r>
      </w:hyperlink>
      <w:r w:rsidRPr="007B30E4">
        <w:rPr>
          <w:rFonts w:ascii="Arial" w:hAnsi="Arial" w:cs="Arial"/>
          <w:snapToGrid w:val="0"/>
          <w:sz w:val="21"/>
          <w:szCs w:val="21"/>
        </w:rPr>
        <w:t xml:space="preserve">, </w:t>
      </w:r>
      <w:hyperlink r:id="rId110" w:history="1">
        <w:r w:rsidR="007D3D1A" w:rsidRPr="006A7B77">
          <w:rPr>
            <w:rStyle w:val="Hyperlink"/>
            <w:rFonts w:ascii="Arial" w:hAnsi="Arial" w:cs="Arial"/>
            <w:snapToGrid w:val="0"/>
            <w:sz w:val="21"/>
            <w:szCs w:val="21"/>
          </w:rPr>
          <w:t>Appendix 3</w:t>
        </w:r>
      </w:hyperlink>
      <w:r w:rsidRPr="007B30E4">
        <w:rPr>
          <w:rFonts w:ascii="Arial" w:hAnsi="Arial" w:cs="Arial"/>
          <w:snapToGrid w:val="0"/>
          <w:sz w:val="21"/>
          <w:szCs w:val="21"/>
        </w:rPr>
        <w:t xml:space="preserve">) and notify the </w:t>
      </w:r>
      <w:r w:rsidR="00165CF0">
        <w:rPr>
          <w:rFonts w:ascii="Arial" w:hAnsi="Arial" w:cs="Arial"/>
          <w:snapToGrid w:val="0"/>
          <w:sz w:val="21"/>
          <w:szCs w:val="21"/>
        </w:rPr>
        <w:t>I</w:t>
      </w:r>
      <w:r w:rsidR="548649D0" w:rsidRPr="007B30E4">
        <w:rPr>
          <w:rFonts w:ascii="Arial" w:hAnsi="Arial" w:cs="Arial"/>
          <w:snapToGrid w:val="0"/>
          <w:sz w:val="21"/>
          <w:szCs w:val="21"/>
        </w:rPr>
        <w:t xml:space="preserve">mmunisation </w:t>
      </w:r>
      <w:r w:rsidR="00DE677D">
        <w:rPr>
          <w:rFonts w:ascii="Arial" w:hAnsi="Arial" w:cs="Arial"/>
          <w:snapToGrid w:val="0"/>
          <w:sz w:val="21"/>
          <w:szCs w:val="21"/>
        </w:rPr>
        <w:t>Program</w:t>
      </w:r>
      <w:r w:rsidR="00DE677D" w:rsidRPr="007B30E4">
        <w:rPr>
          <w:rFonts w:ascii="Arial" w:hAnsi="Arial" w:cs="Arial"/>
          <w:snapToGrid w:val="0"/>
          <w:sz w:val="21"/>
          <w:szCs w:val="21"/>
        </w:rPr>
        <w:t xml:space="preserve"> </w:t>
      </w:r>
      <w:r w:rsidR="548649D0" w:rsidRPr="007B30E4">
        <w:rPr>
          <w:rFonts w:ascii="Arial" w:hAnsi="Arial" w:cs="Arial"/>
          <w:snapToGrid w:val="0"/>
          <w:sz w:val="21"/>
          <w:szCs w:val="21"/>
        </w:rPr>
        <w:t xml:space="preserve">directly via </w:t>
      </w:r>
      <w:hyperlink r:id="rId111">
        <w:r w:rsidR="548649D0" w:rsidRPr="007B30E4">
          <w:rPr>
            <w:rStyle w:val="Hyperlink"/>
            <w:rFonts w:ascii="Arial" w:hAnsi="Arial" w:cs="Arial"/>
            <w:sz w:val="21"/>
            <w:szCs w:val="21"/>
          </w:rPr>
          <w:t>immunisation@health.vic.gov.au</w:t>
        </w:r>
      </w:hyperlink>
    </w:p>
    <w:p w14:paraId="35856D4D" w14:textId="7777777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Regularly check and record the accuracy of the data logger. Record the date the accuracy check is done. To check the accuracy, place a second data logger in the refrigerator next to the existing data logger to obtain comparison temperature readings. Inbuilt data loggers should be checked for accuracy according to the manufacturer’s recommendation. </w:t>
      </w:r>
    </w:p>
    <w:p w14:paraId="5ABEE668" w14:textId="50D6D13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z w:val="21"/>
          <w:szCs w:val="21"/>
        </w:rPr>
        <w:sectPr w:rsidR="00077DBB" w:rsidRPr="006F1A2A" w:rsidSect="00C8575F">
          <w:headerReference w:type="default" r:id="rId112"/>
          <w:pgSz w:w="11906" w:h="16838" w:code="9"/>
          <w:pgMar w:top="1418" w:right="851" w:bottom="1418" w:left="851" w:header="680" w:footer="851" w:gutter="0"/>
          <w:cols w:space="340"/>
          <w:docGrid w:linePitch="360"/>
        </w:sectPr>
      </w:pPr>
      <w:r w:rsidRPr="006F1A2A">
        <w:rPr>
          <w:rFonts w:ascii="Arial" w:hAnsi="Arial" w:cs="Arial"/>
          <w:snapToGrid w:val="0"/>
          <w:sz w:val="21"/>
          <w:szCs w:val="21"/>
        </w:rPr>
        <w:t>Change the battery according to the manufacturer’s recommendation, or when the battery life displayed on either the data logger or computer set-up screen is low. Record the date the battery is changed. Life of the replaceable battery may be dependent on usage (e.g.,</w:t>
      </w:r>
      <w:r w:rsidR="00E8645F">
        <w:rPr>
          <w:rFonts w:ascii="Arial" w:hAnsi="Arial" w:cs="Arial"/>
          <w:snapToGrid w:val="0"/>
          <w:sz w:val="21"/>
          <w:szCs w:val="21"/>
        </w:rPr>
        <w:t xml:space="preserve"> </w:t>
      </w:r>
      <w:r w:rsidRPr="006F1A2A">
        <w:rPr>
          <w:rFonts w:ascii="Arial" w:hAnsi="Arial" w:cs="Arial"/>
          <w:snapToGrid w:val="0"/>
          <w:sz w:val="21"/>
          <w:szCs w:val="21"/>
        </w:rPr>
        <w:t>how frequently the temperature is recorded, and data are downloaded)</w:t>
      </w:r>
      <w:r w:rsidR="00EC070F">
        <w:rPr>
          <w:rFonts w:ascii="Arial" w:hAnsi="Arial" w:cs="Arial"/>
          <w:snapToGrid w:val="0"/>
          <w:sz w:val="21"/>
          <w:szCs w:val="21"/>
        </w:rPr>
        <w:t>.</w:t>
      </w:r>
    </w:p>
    <w:p w14:paraId="7960EEE0" w14:textId="77777777" w:rsidR="00077DBB" w:rsidRPr="00D52156" w:rsidRDefault="00077DBB" w:rsidP="00077DBB">
      <w:pPr>
        <w:pStyle w:val="Heading1"/>
      </w:pPr>
      <w:bookmarkStart w:id="237" w:name="_Appendix_3:_Cold"/>
      <w:bookmarkStart w:id="238" w:name="_Toc73627109"/>
      <w:bookmarkStart w:id="239" w:name="_Toc71895636"/>
      <w:bookmarkStart w:id="240" w:name="_Toc1870334152"/>
      <w:bookmarkStart w:id="241" w:name="_Toc112154619"/>
      <w:bookmarkStart w:id="242" w:name="_Toc112315679"/>
      <w:bookmarkStart w:id="243" w:name="_Toc176345007"/>
      <w:bookmarkEnd w:id="237"/>
      <w:r w:rsidRPr="00D52156">
        <w:t>Appendix 3: Cold chain management checklists</w:t>
      </w:r>
      <w:bookmarkEnd w:id="238"/>
      <w:bookmarkEnd w:id="239"/>
      <w:bookmarkEnd w:id="240"/>
      <w:bookmarkEnd w:id="241"/>
      <w:bookmarkEnd w:id="242"/>
      <w:bookmarkEnd w:id="243"/>
    </w:p>
    <w:p w14:paraId="16B8FF0A" w14:textId="6312EF50" w:rsidR="00077DBB" w:rsidRPr="00933398" w:rsidRDefault="00077DBB" w:rsidP="00077DBB">
      <w:pPr>
        <w:pStyle w:val="Heading4"/>
        <w:rPr>
          <w:b w:val="0"/>
          <w:color w:val="595959" w:themeColor="text1" w:themeTint="A6"/>
          <w:szCs w:val="24"/>
        </w:rPr>
      </w:pPr>
      <w:r w:rsidRPr="00933398">
        <w:rPr>
          <w:szCs w:val="24"/>
        </w:rPr>
        <w:t>R</w:t>
      </w:r>
      <w:r w:rsidRPr="00933398">
        <w:rPr>
          <w:color w:val="595959" w:themeColor="text1" w:themeTint="A6"/>
          <w:szCs w:val="24"/>
        </w:rPr>
        <w:t xml:space="preserve">eceipt of vaccines on delivery </w:t>
      </w:r>
    </w:p>
    <w:tbl>
      <w:tblPr>
        <w:tblStyle w:val="TableGrid"/>
        <w:tblW w:w="0" w:type="auto"/>
        <w:tblLayout w:type="fixed"/>
        <w:tblLook w:val="04A0" w:firstRow="1" w:lastRow="0" w:firstColumn="1" w:lastColumn="0" w:noHBand="0" w:noVBand="1"/>
      </w:tblPr>
      <w:tblGrid>
        <w:gridCol w:w="810"/>
        <w:gridCol w:w="7230"/>
        <w:gridCol w:w="1448"/>
      </w:tblGrid>
      <w:tr w:rsidR="00077DBB" w:rsidRPr="006F1A2A" w14:paraId="4B9C72AA"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521CD941" w14:textId="77777777" w:rsidR="00077DBB" w:rsidRPr="00F21D34" w:rsidRDefault="00077DBB" w:rsidP="00C8575F">
            <w:pPr>
              <w:pStyle w:val="Body"/>
              <w:rPr>
                <w:b/>
                <w:lang w:val="en-US"/>
              </w:rPr>
            </w:pPr>
            <w:r w:rsidRPr="00F21D34">
              <w:rPr>
                <w:b/>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37C77C6A" w14:textId="77777777" w:rsidR="00077DBB" w:rsidRPr="00F21D34" w:rsidRDefault="00077DBB" w:rsidP="00C8575F">
            <w:pPr>
              <w:pStyle w:val="Body"/>
              <w:rPr>
                <w:b/>
                <w:lang w:val="en-US"/>
              </w:rPr>
            </w:pPr>
            <w:r w:rsidRPr="00F21D34">
              <w:rPr>
                <w:b/>
                <w:lang w:val="en-US"/>
              </w:rPr>
              <w:t>What to do</w:t>
            </w:r>
          </w:p>
        </w:tc>
        <w:tc>
          <w:tcPr>
            <w:tcW w:w="1448" w:type="dxa"/>
            <w:tcBorders>
              <w:top w:val="single" w:sz="8" w:space="0" w:color="auto"/>
              <w:left w:val="single" w:sz="8" w:space="0" w:color="auto"/>
              <w:bottom w:val="single" w:sz="8" w:space="0" w:color="auto"/>
              <w:right w:val="single" w:sz="8" w:space="0" w:color="auto"/>
            </w:tcBorders>
            <w:vAlign w:val="center"/>
          </w:tcPr>
          <w:p w14:paraId="7AFCB443" w14:textId="77777777" w:rsidR="00077DBB" w:rsidRPr="00F21D34" w:rsidRDefault="00077DBB" w:rsidP="00C8575F">
            <w:pPr>
              <w:pStyle w:val="Body"/>
              <w:rPr>
                <w:b/>
                <w:lang w:val="en-US"/>
              </w:rPr>
            </w:pPr>
            <w:r w:rsidRPr="00F21D34">
              <w:rPr>
                <w:b/>
                <w:lang w:val="en-US"/>
              </w:rPr>
              <w:t xml:space="preserve">Complete </w:t>
            </w:r>
          </w:p>
        </w:tc>
      </w:tr>
      <w:tr w:rsidR="00077DBB" w:rsidRPr="006F1A2A" w14:paraId="47106E48" w14:textId="77777777" w:rsidTr="00C8575F">
        <w:tc>
          <w:tcPr>
            <w:tcW w:w="810" w:type="dxa"/>
            <w:tcBorders>
              <w:top w:val="single" w:sz="8" w:space="0" w:color="auto"/>
              <w:left w:val="single" w:sz="8" w:space="0" w:color="auto"/>
              <w:bottom w:val="single" w:sz="8" w:space="0" w:color="auto"/>
              <w:right w:val="single" w:sz="8" w:space="0" w:color="auto"/>
            </w:tcBorders>
          </w:tcPr>
          <w:p w14:paraId="4BE7B534" w14:textId="77777777" w:rsidR="00077DBB" w:rsidRPr="006F1A2A" w:rsidRDefault="00077DBB" w:rsidP="00C8575F">
            <w:pPr>
              <w:pStyle w:val="Body"/>
              <w:rPr>
                <w:lang w:val="en-US"/>
              </w:rPr>
            </w:pPr>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31F76BE" w14:textId="77777777" w:rsidR="00077DBB" w:rsidRPr="006F1A2A" w:rsidRDefault="00077DBB" w:rsidP="00C8575F">
            <w:pPr>
              <w:pStyle w:val="Body"/>
              <w:rPr>
                <w:lang w:val="en-US"/>
              </w:rPr>
            </w:pPr>
            <w:r w:rsidRPr="006F1A2A">
              <w:t>Vaccines must be received by immunisation staff who are educated in cold chain management.</w:t>
            </w:r>
          </w:p>
        </w:tc>
        <w:tc>
          <w:tcPr>
            <w:tcW w:w="1448" w:type="dxa"/>
            <w:tcBorders>
              <w:top w:val="single" w:sz="8" w:space="0" w:color="auto"/>
              <w:left w:val="single" w:sz="8" w:space="0" w:color="auto"/>
              <w:bottom w:val="single" w:sz="8" w:space="0" w:color="auto"/>
              <w:right w:val="single" w:sz="8" w:space="0" w:color="auto"/>
            </w:tcBorders>
          </w:tcPr>
          <w:p w14:paraId="391B0B40" w14:textId="77777777" w:rsidR="00077DBB" w:rsidRPr="006F1A2A" w:rsidRDefault="00077DBB" w:rsidP="00C8575F">
            <w:pPr>
              <w:pStyle w:val="Body"/>
              <w:rPr>
                <w:lang w:val="en-US"/>
              </w:rPr>
            </w:pPr>
          </w:p>
          <w:p w14:paraId="5D8B60E1" w14:textId="77777777" w:rsidR="00077DBB" w:rsidRPr="006F1A2A" w:rsidRDefault="00077DBB" w:rsidP="00C8575F">
            <w:pPr>
              <w:pStyle w:val="Body"/>
              <w:rPr>
                <w:lang w:val="en-US"/>
              </w:rPr>
            </w:pPr>
          </w:p>
        </w:tc>
      </w:tr>
      <w:tr w:rsidR="00077DBB" w:rsidRPr="006F1A2A" w14:paraId="7B4E9049" w14:textId="77777777" w:rsidTr="00C8575F">
        <w:tc>
          <w:tcPr>
            <w:tcW w:w="810" w:type="dxa"/>
            <w:tcBorders>
              <w:top w:val="single" w:sz="8" w:space="0" w:color="auto"/>
              <w:left w:val="single" w:sz="8" w:space="0" w:color="auto"/>
              <w:bottom w:val="single" w:sz="8" w:space="0" w:color="auto"/>
              <w:right w:val="single" w:sz="8" w:space="0" w:color="auto"/>
            </w:tcBorders>
          </w:tcPr>
          <w:p w14:paraId="5C639220"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72E9CAE3" w14:textId="77777777" w:rsidR="00077DBB" w:rsidRPr="006F1A2A" w:rsidRDefault="00077DBB" w:rsidP="00C8575F">
            <w:pPr>
              <w:pStyle w:val="Body"/>
              <w:rPr>
                <w:lang w:val="en-US"/>
              </w:rPr>
            </w:pPr>
            <w:r w:rsidRPr="006F1A2A">
              <w:t>Sign the delivery docket and return it to the courier.</w:t>
            </w:r>
          </w:p>
        </w:tc>
        <w:tc>
          <w:tcPr>
            <w:tcW w:w="1448" w:type="dxa"/>
            <w:tcBorders>
              <w:top w:val="single" w:sz="8" w:space="0" w:color="auto"/>
              <w:left w:val="single" w:sz="8" w:space="0" w:color="auto"/>
              <w:bottom w:val="single" w:sz="8" w:space="0" w:color="auto"/>
              <w:right w:val="single" w:sz="8" w:space="0" w:color="auto"/>
            </w:tcBorders>
          </w:tcPr>
          <w:p w14:paraId="0E194A93" w14:textId="77777777" w:rsidR="00077DBB" w:rsidRPr="006F1A2A" w:rsidRDefault="00077DBB" w:rsidP="00C8575F">
            <w:pPr>
              <w:pStyle w:val="Body"/>
              <w:rPr>
                <w:lang w:val="en-US"/>
              </w:rPr>
            </w:pPr>
          </w:p>
        </w:tc>
      </w:tr>
      <w:tr w:rsidR="00077DBB" w:rsidRPr="006F1A2A" w14:paraId="1440672F" w14:textId="77777777" w:rsidTr="00C8575F">
        <w:tc>
          <w:tcPr>
            <w:tcW w:w="810" w:type="dxa"/>
            <w:tcBorders>
              <w:top w:val="single" w:sz="8" w:space="0" w:color="auto"/>
              <w:left w:val="single" w:sz="8" w:space="0" w:color="auto"/>
              <w:bottom w:val="single" w:sz="8" w:space="0" w:color="auto"/>
              <w:right w:val="single" w:sz="8" w:space="0" w:color="auto"/>
            </w:tcBorders>
          </w:tcPr>
          <w:p w14:paraId="10024B24"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4309590D" w14:textId="77777777" w:rsidR="00077DBB" w:rsidRPr="006F1A2A" w:rsidRDefault="00077DBB" w:rsidP="00C8575F">
            <w:pPr>
              <w:pStyle w:val="Body"/>
              <w:rPr>
                <w:lang w:val="en-US"/>
              </w:rPr>
            </w:pPr>
            <w:r w:rsidRPr="006F1A2A">
              <w:t>Check the temperature monitoring device.</w:t>
            </w:r>
          </w:p>
        </w:tc>
        <w:tc>
          <w:tcPr>
            <w:tcW w:w="1448" w:type="dxa"/>
            <w:tcBorders>
              <w:top w:val="single" w:sz="8" w:space="0" w:color="auto"/>
              <w:left w:val="single" w:sz="8" w:space="0" w:color="auto"/>
              <w:bottom w:val="single" w:sz="8" w:space="0" w:color="auto"/>
              <w:right w:val="single" w:sz="8" w:space="0" w:color="auto"/>
            </w:tcBorders>
          </w:tcPr>
          <w:p w14:paraId="58AA31AC" w14:textId="77777777" w:rsidR="00077DBB" w:rsidRPr="006F1A2A" w:rsidRDefault="00077DBB" w:rsidP="00C8575F">
            <w:pPr>
              <w:pStyle w:val="Body"/>
              <w:rPr>
                <w:lang w:val="en-US"/>
              </w:rPr>
            </w:pPr>
          </w:p>
        </w:tc>
      </w:tr>
      <w:tr w:rsidR="00077DBB" w:rsidRPr="006F1A2A" w14:paraId="1144F834" w14:textId="77777777" w:rsidTr="00C8575F">
        <w:tc>
          <w:tcPr>
            <w:tcW w:w="810" w:type="dxa"/>
            <w:tcBorders>
              <w:top w:val="single" w:sz="8" w:space="0" w:color="auto"/>
              <w:left w:val="single" w:sz="8" w:space="0" w:color="auto"/>
              <w:bottom w:val="single" w:sz="8" w:space="0" w:color="auto"/>
              <w:right w:val="single" w:sz="8" w:space="0" w:color="auto"/>
            </w:tcBorders>
          </w:tcPr>
          <w:p w14:paraId="05C3256F"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2A7FBF02" w14:textId="77777777" w:rsidR="00077DBB" w:rsidRPr="006F1A2A" w:rsidRDefault="00077DBB" w:rsidP="00C8575F">
            <w:pPr>
              <w:pStyle w:val="Body"/>
              <w:rPr>
                <w:lang w:val="en-US"/>
              </w:rPr>
            </w:pPr>
            <w:r w:rsidRPr="006F1A2A">
              <w:t>Check that the vaccine consignment matches the delivery invoice.</w:t>
            </w:r>
          </w:p>
        </w:tc>
        <w:tc>
          <w:tcPr>
            <w:tcW w:w="1448" w:type="dxa"/>
            <w:tcBorders>
              <w:top w:val="single" w:sz="8" w:space="0" w:color="auto"/>
              <w:left w:val="single" w:sz="8" w:space="0" w:color="auto"/>
              <w:bottom w:val="single" w:sz="8" w:space="0" w:color="auto"/>
              <w:right w:val="single" w:sz="8" w:space="0" w:color="auto"/>
            </w:tcBorders>
          </w:tcPr>
          <w:p w14:paraId="01CF8599" w14:textId="77777777" w:rsidR="00077DBB" w:rsidRPr="006F1A2A" w:rsidRDefault="00077DBB" w:rsidP="00C8575F">
            <w:pPr>
              <w:pStyle w:val="Body"/>
              <w:rPr>
                <w:lang w:val="en-US"/>
              </w:rPr>
            </w:pPr>
          </w:p>
        </w:tc>
      </w:tr>
      <w:tr w:rsidR="00077DBB" w:rsidRPr="006F1A2A" w14:paraId="0657EEA4" w14:textId="77777777" w:rsidTr="00C8575F">
        <w:tc>
          <w:tcPr>
            <w:tcW w:w="810" w:type="dxa"/>
            <w:tcBorders>
              <w:top w:val="single" w:sz="8" w:space="0" w:color="auto"/>
              <w:left w:val="single" w:sz="8" w:space="0" w:color="auto"/>
              <w:bottom w:val="single" w:sz="8" w:space="0" w:color="auto"/>
              <w:right w:val="single" w:sz="8" w:space="0" w:color="auto"/>
            </w:tcBorders>
          </w:tcPr>
          <w:p w14:paraId="1DF2B08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026AAFB1" w14:textId="77777777" w:rsidR="00077DBB" w:rsidRPr="006F1A2A" w:rsidRDefault="00077DBB" w:rsidP="00C8575F">
            <w:pPr>
              <w:pStyle w:val="Body"/>
              <w:rPr>
                <w:lang w:val="en-US"/>
              </w:rPr>
            </w:pPr>
            <w:r w:rsidRPr="006F1A2A">
              <w:t>Place the vaccines in a purpose-built vaccine fridge with a data logger and minimise the time that the vaccine fridge door is open.</w:t>
            </w:r>
          </w:p>
        </w:tc>
        <w:tc>
          <w:tcPr>
            <w:tcW w:w="1448" w:type="dxa"/>
            <w:tcBorders>
              <w:top w:val="single" w:sz="8" w:space="0" w:color="auto"/>
              <w:left w:val="single" w:sz="8" w:space="0" w:color="auto"/>
              <w:bottom w:val="single" w:sz="8" w:space="0" w:color="auto"/>
              <w:right w:val="single" w:sz="8" w:space="0" w:color="auto"/>
            </w:tcBorders>
          </w:tcPr>
          <w:p w14:paraId="51E2D6D1" w14:textId="77777777" w:rsidR="00077DBB" w:rsidRPr="006F1A2A" w:rsidRDefault="00077DBB" w:rsidP="00C8575F">
            <w:pPr>
              <w:pStyle w:val="Body"/>
              <w:rPr>
                <w:lang w:val="en-US"/>
              </w:rPr>
            </w:pPr>
          </w:p>
        </w:tc>
      </w:tr>
      <w:tr w:rsidR="00077DBB" w:rsidRPr="006F1A2A" w14:paraId="4B05C0E5" w14:textId="77777777" w:rsidTr="00C8575F">
        <w:tc>
          <w:tcPr>
            <w:tcW w:w="810" w:type="dxa"/>
            <w:tcBorders>
              <w:top w:val="single" w:sz="8" w:space="0" w:color="auto"/>
              <w:left w:val="single" w:sz="8" w:space="0" w:color="auto"/>
              <w:bottom w:val="single" w:sz="8" w:space="0" w:color="auto"/>
              <w:right w:val="single" w:sz="8" w:space="0" w:color="auto"/>
            </w:tcBorders>
          </w:tcPr>
          <w:p w14:paraId="766AC478"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790026F4" w14:textId="77777777" w:rsidR="00077DBB" w:rsidRPr="006F1A2A" w:rsidRDefault="00077DBB" w:rsidP="00C8575F">
            <w:pPr>
              <w:pStyle w:val="Body"/>
              <w:rPr>
                <w:lang w:val="en-US"/>
              </w:rPr>
            </w:pPr>
            <w:r w:rsidRPr="006F1A2A">
              <w:t>Rotate vaccines so that the stock with the earliest indication for use is used first.</w:t>
            </w:r>
          </w:p>
        </w:tc>
        <w:tc>
          <w:tcPr>
            <w:tcW w:w="1448" w:type="dxa"/>
            <w:tcBorders>
              <w:top w:val="single" w:sz="8" w:space="0" w:color="auto"/>
              <w:left w:val="single" w:sz="8" w:space="0" w:color="auto"/>
              <w:bottom w:val="single" w:sz="8" w:space="0" w:color="auto"/>
              <w:right w:val="single" w:sz="8" w:space="0" w:color="auto"/>
            </w:tcBorders>
          </w:tcPr>
          <w:p w14:paraId="15E3461F" w14:textId="77777777" w:rsidR="00077DBB" w:rsidRPr="006F1A2A" w:rsidRDefault="00077DBB" w:rsidP="00C8575F">
            <w:pPr>
              <w:pStyle w:val="Body"/>
              <w:rPr>
                <w:lang w:val="en-US"/>
              </w:rPr>
            </w:pPr>
          </w:p>
        </w:tc>
      </w:tr>
      <w:tr w:rsidR="00077DBB" w:rsidRPr="006F1A2A" w14:paraId="1C1FFB38" w14:textId="77777777" w:rsidTr="00C8575F">
        <w:tc>
          <w:tcPr>
            <w:tcW w:w="810" w:type="dxa"/>
            <w:tcBorders>
              <w:top w:val="single" w:sz="8" w:space="0" w:color="auto"/>
              <w:left w:val="single" w:sz="8" w:space="0" w:color="auto"/>
              <w:bottom w:val="single" w:sz="8" w:space="0" w:color="auto"/>
              <w:right w:val="single" w:sz="8" w:space="0" w:color="auto"/>
            </w:tcBorders>
          </w:tcPr>
          <w:p w14:paraId="36C5DC6C"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5FA5DCCC" w14:textId="77777777" w:rsidR="00077DBB" w:rsidRPr="006F1A2A" w:rsidRDefault="00077DBB" w:rsidP="00C8575F">
            <w:pPr>
              <w:pStyle w:val="Body"/>
              <w:rPr>
                <w:lang w:val="en-US"/>
              </w:rPr>
            </w:pPr>
            <w:r w:rsidRPr="006F1A2A">
              <w:t>Do not remove vaccines from their packets – this protects them from light and temperature fluctuation.</w:t>
            </w:r>
          </w:p>
        </w:tc>
        <w:tc>
          <w:tcPr>
            <w:tcW w:w="1448" w:type="dxa"/>
            <w:tcBorders>
              <w:top w:val="single" w:sz="8" w:space="0" w:color="auto"/>
              <w:left w:val="single" w:sz="8" w:space="0" w:color="auto"/>
              <w:bottom w:val="single" w:sz="8" w:space="0" w:color="auto"/>
              <w:right w:val="single" w:sz="8" w:space="0" w:color="auto"/>
            </w:tcBorders>
          </w:tcPr>
          <w:p w14:paraId="79145579" w14:textId="77777777" w:rsidR="00077DBB" w:rsidRPr="006F1A2A" w:rsidRDefault="00077DBB" w:rsidP="00C8575F">
            <w:pPr>
              <w:pStyle w:val="Body"/>
              <w:rPr>
                <w:lang w:val="en-US"/>
              </w:rPr>
            </w:pPr>
          </w:p>
        </w:tc>
      </w:tr>
      <w:tr w:rsidR="00077DBB" w:rsidRPr="006F1A2A" w14:paraId="0E0F8543" w14:textId="77777777" w:rsidTr="00C8575F">
        <w:tc>
          <w:tcPr>
            <w:tcW w:w="810" w:type="dxa"/>
            <w:tcBorders>
              <w:top w:val="single" w:sz="8" w:space="0" w:color="auto"/>
              <w:left w:val="single" w:sz="8" w:space="0" w:color="auto"/>
              <w:bottom w:val="single" w:sz="8" w:space="0" w:color="auto"/>
              <w:right w:val="single" w:sz="8" w:space="0" w:color="auto"/>
            </w:tcBorders>
          </w:tcPr>
          <w:p w14:paraId="11F55B5A" w14:textId="77777777" w:rsidR="00077DBB" w:rsidRPr="006F1A2A" w:rsidRDefault="00077DBB" w:rsidP="00C8575F">
            <w:pPr>
              <w:pStyle w:val="Body"/>
              <w:rPr>
                <w:lang w:val="en-US"/>
              </w:rPr>
            </w:pPr>
            <w:r w:rsidRPr="006F1A2A">
              <w:rPr>
                <w:lang w:val="en-US"/>
              </w:rPr>
              <w:t>8</w:t>
            </w:r>
          </w:p>
        </w:tc>
        <w:tc>
          <w:tcPr>
            <w:tcW w:w="7230" w:type="dxa"/>
            <w:tcBorders>
              <w:top w:val="single" w:sz="8" w:space="0" w:color="auto"/>
              <w:left w:val="single" w:sz="8" w:space="0" w:color="auto"/>
              <w:bottom w:val="single" w:sz="8" w:space="0" w:color="auto"/>
              <w:right w:val="single" w:sz="8" w:space="0" w:color="auto"/>
            </w:tcBorders>
          </w:tcPr>
          <w:p w14:paraId="0CBE5487" w14:textId="1DBD77FC" w:rsidR="00077DBB" w:rsidRPr="006F1A2A" w:rsidRDefault="00077DBB" w:rsidP="00C8575F">
            <w:pPr>
              <w:pStyle w:val="Body"/>
            </w:pPr>
            <w:r w:rsidRPr="006F1A2A">
              <w:t>Document vaccine delivery and record and reset fridge temperatures</w:t>
            </w:r>
            <w:r w:rsidR="009E582A">
              <w:t>.</w:t>
            </w:r>
          </w:p>
        </w:tc>
        <w:tc>
          <w:tcPr>
            <w:tcW w:w="1448" w:type="dxa"/>
            <w:tcBorders>
              <w:top w:val="single" w:sz="8" w:space="0" w:color="auto"/>
              <w:left w:val="single" w:sz="8" w:space="0" w:color="auto"/>
              <w:bottom w:val="single" w:sz="8" w:space="0" w:color="auto"/>
              <w:right w:val="single" w:sz="8" w:space="0" w:color="auto"/>
            </w:tcBorders>
          </w:tcPr>
          <w:p w14:paraId="7CBD87CC" w14:textId="77777777" w:rsidR="00077DBB" w:rsidRPr="006F1A2A" w:rsidRDefault="00077DBB" w:rsidP="00C8575F">
            <w:pPr>
              <w:pStyle w:val="Body"/>
              <w:rPr>
                <w:lang w:val="en-US"/>
              </w:rPr>
            </w:pPr>
          </w:p>
        </w:tc>
      </w:tr>
    </w:tbl>
    <w:p w14:paraId="04782167" w14:textId="77777777" w:rsidR="00077DBB" w:rsidRPr="006F1A2A" w:rsidRDefault="00077DBB" w:rsidP="00077DBB">
      <w:pPr>
        <w:pStyle w:val="Body"/>
      </w:pPr>
    </w:p>
    <w:p w14:paraId="722E10DA" w14:textId="5A92BD56" w:rsidR="00077DBB" w:rsidRPr="00933398" w:rsidRDefault="00077DBB" w:rsidP="00077DBB">
      <w:pPr>
        <w:pStyle w:val="Heading4"/>
        <w:rPr>
          <w:szCs w:val="24"/>
        </w:rPr>
      </w:pPr>
      <w:bookmarkStart w:id="244" w:name="_Toc65779349"/>
      <w:bookmarkStart w:id="245" w:name="_Toc67663934"/>
      <w:bookmarkStart w:id="246" w:name="_Toc68865013"/>
      <w:bookmarkStart w:id="247" w:name="_Toc68869094"/>
      <w:bookmarkStart w:id="248" w:name="_Toc69476626"/>
      <w:bookmarkStart w:id="249" w:name="_Toc70353688"/>
      <w:bookmarkStart w:id="250" w:name="_Toc70676158"/>
      <w:bookmarkStart w:id="251" w:name="_Toc71194526"/>
      <w:bookmarkStart w:id="252" w:name="_Toc71548311"/>
      <w:bookmarkStart w:id="253" w:name="_Toc71622966"/>
      <w:r w:rsidRPr="00933398">
        <w:rPr>
          <w:szCs w:val="24"/>
        </w:rPr>
        <w:t>Mobile</w:t>
      </w:r>
      <w:r w:rsidR="00C83130" w:rsidRPr="00933398">
        <w:rPr>
          <w:szCs w:val="24"/>
        </w:rPr>
        <w:t xml:space="preserve"> / </w:t>
      </w:r>
      <w:r w:rsidRPr="00933398">
        <w:rPr>
          <w:szCs w:val="24"/>
        </w:rPr>
        <w:t>outreach immunisation clinics, or emergency storage of vaccines</w:t>
      </w:r>
      <w:bookmarkEnd w:id="244"/>
      <w:bookmarkEnd w:id="245"/>
      <w:bookmarkEnd w:id="246"/>
      <w:bookmarkEnd w:id="247"/>
      <w:bookmarkEnd w:id="248"/>
      <w:bookmarkEnd w:id="249"/>
      <w:bookmarkEnd w:id="250"/>
      <w:bookmarkEnd w:id="251"/>
      <w:bookmarkEnd w:id="252"/>
      <w:bookmarkEnd w:id="253"/>
    </w:p>
    <w:tbl>
      <w:tblPr>
        <w:tblStyle w:val="TableGrid"/>
        <w:tblW w:w="0" w:type="auto"/>
        <w:tblLayout w:type="fixed"/>
        <w:tblLook w:val="04A0" w:firstRow="1" w:lastRow="0" w:firstColumn="1" w:lastColumn="0" w:noHBand="0" w:noVBand="1"/>
      </w:tblPr>
      <w:tblGrid>
        <w:gridCol w:w="810"/>
        <w:gridCol w:w="7230"/>
        <w:gridCol w:w="1245"/>
      </w:tblGrid>
      <w:tr w:rsidR="00077DBB" w:rsidRPr="006F1A2A" w14:paraId="224850D5"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6C497FF7" w14:textId="77777777" w:rsidR="00077DBB" w:rsidRPr="006F1A2A" w:rsidRDefault="00077DBB" w:rsidP="00C8575F">
            <w:pPr>
              <w:pStyle w:val="Body"/>
              <w:rPr>
                <w:lang w:val="en-US"/>
              </w:rPr>
            </w:pPr>
            <w:r w:rsidRPr="006F1A2A">
              <w:rPr>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5ABF21D6" w14:textId="77777777" w:rsidR="00077DBB" w:rsidRPr="006F1A2A" w:rsidRDefault="00077DBB" w:rsidP="00C8575F">
            <w:pPr>
              <w:pStyle w:val="Body"/>
              <w:rPr>
                <w:lang w:val="en-US"/>
              </w:rPr>
            </w:pPr>
            <w:r w:rsidRPr="006F1A2A">
              <w:rPr>
                <w:lang w:val="en-US"/>
              </w:rPr>
              <w:t>What to do</w:t>
            </w:r>
          </w:p>
        </w:tc>
        <w:tc>
          <w:tcPr>
            <w:tcW w:w="1245" w:type="dxa"/>
            <w:tcBorders>
              <w:top w:val="single" w:sz="8" w:space="0" w:color="auto"/>
              <w:left w:val="single" w:sz="8" w:space="0" w:color="auto"/>
              <w:bottom w:val="single" w:sz="8" w:space="0" w:color="auto"/>
              <w:right w:val="single" w:sz="8" w:space="0" w:color="auto"/>
            </w:tcBorders>
            <w:vAlign w:val="center"/>
          </w:tcPr>
          <w:p w14:paraId="7181F95D" w14:textId="77777777" w:rsidR="00077DBB" w:rsidRPr="006F1A2A" w:rsidRDefault="00077DBB" w:rsidP="00C8575F">
            <w:pPr>
              <w:pStyle w:val="Body"/>
              <w:rPr>
                <w:lang w:val="en-US"/>
              </w:rPr>
            </w:pPr>
            <w:r w:rsidRPr="006F1A2A">
              <w:rPr>
                <w:lang w:val="en-US"/>
              </w:rPr>
              <w:t>Complete</w:t>
            </w:r>
          </w:p>
        </w:tc>
      </w:tr>
      <w:tr w:rsidR="00077DBB" w:rsidRPr="006F1A2A" w14:paraId="26621138" w14:textId="77777777" w:rsidTr="00C8575F">
        <w:tc>
          <w:tcPr>
            <w:tcW w:w="810" w:type="dxa"/>
            <w:tcBorders>
              <w:top w:val="single" w:sz="8" w:space="0" w:color="auto"/>
              <w:left w:val="single" w:sz="8" w:space="0" w:color="auto"/>
              <w:bottom w:val="single" w:sz="8" w:space="0" w:color="auto"/>
              <w:right w:val="single" w:sz="8" w:space="0" w:color="auto"/>
            </w:tcBorders>
          </w:tcPr>
          <w:p w14:paraId="4B51D285" w14:textId="77777777" w:rsidR="00077DBB" w:rsidRPr="006F1A2A" w:rsidRDefault="00077DBB" w:rsidP="00C8575F">
            <w:pPr>
              <w:pStyle w:val="Body"/>
              <w:rPr>
                <w:lang w:val="en-US"/>
              </w:rPr>
            </w:pPr>
            <w:bookmarkStart w:id="254" w:name="_Hlk65671504"/>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D061BAC" w14:textId="77777777" w:rsidR="00077DBB" w:rsidRPr="006F1A2A" w:rsidRDefault="00077DBB" w:rsidP="00C8575F">
            <w:pPr>
              <w:pStyle w:val="Body"/>
              <w:rPr>
                <w:lang w:val="en-US"/>
              </w:rPr>
            </w:pPr>
            <w:r w:rsidRPr="006F1A2A">
              <w:rPr>
                <w:lang w:val="en-US"/>
              </w:rPr>
              <w:t>Remove ice packs/gel packs from the freezer:</w:t>
            </w:r>
          </w:p>
          <w:p w14:paraId="0E6069C8" w14:textId="77777777" w:rsidR="00077DBB" w:rsidRPr="006F1A2A" w:rsidRDefault="00077DBB" w:rsidP="00603DC8">
            <w:pPr>
              <w:pStyle w:val="Body"/>
              <w:numPr>
                <w:ilvl w:val="0"/>
                <w:numId w:val="10"/>
              </w:numPr>
              <w:spacing w:before="240"/>
              <w:rPr>
                <w:lang w:val="en-US"/>
              </w:rPr>
            </w:pPr>
            <w:r w:rsidRPr="006F1A2A">
              <w:rPr>
                <w:lang w:val="en-US"/>
              </w:rPr>
              <w:t xml:space="preserve">Place the number of packs you require for your cooler on the bench to ‘sweat’ (see </w:t>
            </w:r>
            <w:r w:rsidRPr="006F1A2A">
              <w:rPr>
                <w:i/>
                <w:iCs/>
                <w:lang w:val="en-US"/>
              </w:rPr>
              <w:t>Strive for 5</w:t>
            </w:r>
            <w:r w:rsidRPr="006F1A2A">
              <w:rPr>
                <w:lang w:val="en-US"/>
              </w:rPr>
              <w:t xml:space="preserve"> Section 9.2 for information about conditioning ice packs/gel packs). </w:t>
            </w:r>
            <w:hyperlink r:id="rId113">
              <w:r w:rsidRPr="006F1A2A">
                <w:rPr>
                  <w:rStyle w:val="Hyperlink"/>
                  <w:lang w:val="en-US"/>
                </w:rPr>
                <w:t>&lt;https://www.health.gov.au/resources/publications/national-vaccine-storage-guidelines-strive-for-5&gt;</w:t>
              </w:r>
            </w:hyperlink>
          </w:p>
          <w:p w14:paraId="23C6DE65" w14:textId="77777777" w:rsidR="00077DBB" w:rsidRPr="006F1A2A" w:rsidRDefault="00077DBB" w:rsidP="00603DC8">
            <w:pPr>
              <w:pStyle w:val="Body"/>
              <w:numPr>
                <w:ilvl w:val="0"/>
                <w:numId w:val="10"/>
              </w:numPr>
              <w:spacing w:before="240"/>
              <w:rPr>
                <w:lang w:val="en-US"/>
              </w:rPr>
            </w:pPr>
            <w:r w:rsidRPr="006F1A2A">
              <w:rPr>
                <w:lang w:val="en-US"/>
              </w:rPr>
              <w:t>Place the ice packs/gel packs in your cooler to chill the inside of the cooler.</w:t>
            </w:r>
          </w:p>
        </w:tc>
        <w:tc>
          <w:tcPr>
            <w:tcW w:w="1245" w:type="dxa"/>
            <w:tcBorders>
              <w:top w:val="single" w:sz="8" w:space="0" w:color="auto"/>
              <w:left w:val="single" w:sz="8" w:space="0" w:color="auto"/>
              <w:bottom w:val="single" w:sz="8" w:space="0" w:color="auto"/>
              <w:right w:val="single" w:sz="8" w:space="0" w:color="auto"/>
            </w:tcBorders>
          </w:tcPr>
          <w:p w14:paraId="1F4EA023" w14:textId="77777777" w:rsidR="00077DBB" w:rsidRPr="006F1A2A" w:rsidRDefault="00077DBB" w:rsidP="00C8575F">
            <w:pPr>
              <w:pStyle w:val="Body"/>
              <w:rPr>
                <w:lang w:val="en-US"/>
              </w:rPr>
            </w:pPr>
          </w:p>
        </w:tc>
      </w:tr>
      <w:tr w:rsidR="00077DBB" w:rsidRPr="006F1A2A" w14:paraId="0C2BEFE9" w14:textId="77777777" w:rsidTr="00C8575F">
        <w:tc>
          <w:tcPr>
            <w:tcW w:w="810" w:type="dxa"/>
            <w:tcBorders>
              <w:top w:val="single" w:sz="8" w:space="0" w:color="auto"/>
              <w:left w:val="single" w:sz="8" w:space="0" w:color="auto"/>
              <w:bottom w:val="single" w:sz="8" w:space="0" w:color="auto"/>
              <w:right w:val="single" w:sz="8" w:space="0" w:color="auto"/>
            </w:tcBorders>
          </w:tcPr>
          <w:p w14:paraId="1B3B5528"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4E3EA1C4" w14:textId="77777777" w:rsidR="00077DBB" w:rsidRPr="006F1A2A" w:rsidRDefault="00077DBB" w:rsidP="00C8575F">
            <w:pPr>
              <w:pStyle w:val="Body"/>
              <w:rPr>
                <w:lang w:val="en-US"/>
              </w:rPr>
            </w:pPr>
            <w:r w:rsidRPr="006F1A2A">
              <w:rPr>
                <w:lang w:val="en-US"/>
              </w:rPr>
              <w:t>Remove the ice packs/gel packs from the cooler and place insulating material (bubble-wrap or polystyrene chips) in the bottom of the cooler.</w:t>
            </w:r>
          </w:p>
        </w:tc>
        <w:tc>
          <w:tcPr>
            <w:tcW w:w="1245" w:type="dxa"/>
            <w:tcBorders>
              <w:top w:val="single" w:sz="8" w:space="0" w:color="auto"/>
              <w:left w:val="single" w:sz="8" w:space="0" w:color="auto"/>
              <w:bottom w:val="single" w:sz="8" w:space="0" w:color="auto"/>
              <w:right w:val="single" w:sz="8" w:space="0" w:color="auto"/>
            </w:tcBorders>
          </w:tcPr>
          <w:p w14:paraId="53D0CBEC" w14:textId="77777777" w:rsidR="00077DBB" w:rsidRPr="006F1A2A" w:rsidRDefault="00077DBB" w:rsidP="00C8575F">
            <w:pPr>
              <w:pStyle w:val="Body"/>
              <w:rPr>
                <w:lang w:val="en-US"/>
              </w:rPr>
            </w:pPr>
          </w:p>
        </w:tc>
      </w:tr>
      <w:tr w:rsidR="00077DBB" w:rsidRPr="006F1A2A" w14:paraId="5662E1DE" w14:textId="77777777" w:rsidTr="00C8575F">
        <w:tc>
          <w:tcPr>
            <w:tcW w:w="810" w:type="dxa"/>
            <w:tcBorders>
              <w:top w:val="single" w:sz="8" w:space="0" w:color="auto"/>
              <w:left w:val="single" w:sz="8" w:space="0" w:color="auto"/>
              <w:bottom w:val="single" w:sz="8" w:space="0" w:color="auto"/>
              <w:right w:val="single" w:sz="8" w:space="0" w:color="auto"/>
            </w:tcBorders>
          </w:tcPr>
          <w:p w14:paraId="0C9F6296"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5995DD06" w14:textId="77777777" w:rsidR="00077DBB" w:rsidRPr="006F1A2A" w:rsidRDefault="00077DBB" w:rsidP="00C8575F">
            <w:pPr>
              <w:pStyle w:val="Body"/>
              <w:rPr>
                <w:lang w:val="en-US"/>
              </w:rPr>
            </w:pPr>
            <w:r w:rsidRPr="006F1A2A">
              <w:rPr>
                <w:lang w:val="en-US"/>
              </w:rPr>
              <w:t xml:space="preserve">Reset the minimum/maximum thermometer and insert the thermometer probe inside an empty vaccine box with the product information intact. </w:t>
            </w:r>
          </w:p>
        </w:tc>
        <w:tc>
          <w:tcPr>
            <w:tcW w:w="1245" w:type="dxa"/>
            <w:tcBorders>
              <w:top w:val="single" w:sz="8" w:space="0" w:color="auto"/>
              <w:left w:val="single" w:sz="8" w:space="0" w:color="auto"/>
              <w:bottom w:val="single" w:sz="8" w:space="0" w:color="auto"/>
              <w:right w:val="single" w:sz="8" w:space="0" w:color="auto"/>
            </w:tcBorders>
          </w:tcPr>
          <w:p w14:paraId="654D026C" w14:textId="77777777" w:rsidR="00077DBB" w:rsidRPr="006F1A2A" w:rsidRDefault="00077DBB" w:rsidP="00C8575F">
            <w:pPr>
              <w:pStyle w:val="Body"/>
              <w:rPr>
                <w:lang w:val="en-US"/>
              </w:rPr>
            </w:pPr>
          </w:p>
        </w:tc>
      </w:tr>
      <w:tr w:rsidR="00077DBB" w:rsidRPr="006F1A2A" w14:paraId="3B8BFADE" w14:textId="77777777" w:rsidTr="00C8575F">
        <w:tc>
          <w:tcPr>
            <w:tcW w:w="810" w:type="dxa"/>
            <w:tcBorders>
              <w:top w:val="single" w:sz="8" w:space="0" w:color="auto"/>
              <w:left w:val="single" w:sz="8" w:space="0" w:color="auto"/>
              <w:bottom w:val="single" w:sz="8" w:space="0" w:color="auto"/>
              <w:right w:val="single" w:sz="8" w:space="0" w:color="auto"/>
            </w:tcBorders>
          </w:tcPr>
          <w:p w14:paraId="2A7FEC6C"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089DBEDC" w14:textId="77777777" w:rsidR="00077DBB" w:rsidRPr="006F1A2A" w:rsidRDefault="00077DBB" w:rsidP="00C8575F">
            <w:pPr>
              <w:pStyle w:val="Body"/>
              <w:rPr>
                <w:lang w:val="en-US"/>
              </w:rPr>
            </w:pPr>
            <w:r w:rsidRPr="006F1A2A">
              <w:rPr>
                <w:lang w:val="en-US"/>
              </w:rPr>
              <w:t xml:space="preserve">Make sure the minimum/maximum temperature is between 2C and 8C at the time the vaccines are placed in the cooler. </w:t>
            </w:r>
          </w:p>
        </w:tc>
        <w:tc>
          <w:tcPr>
            <w:tcW w:w="1245" w:type="dxa"/>
            <w:tcBorders>
              <w:top w:val="single" w:sz="8" w:space="0" w:color="auto"/>
              <w:left w:val="single" w:sz="8" w:space="0" w:color="auto"/>
              <w:bottom w:val="single" w:sz="8" w:space="0" w:color="auto"/>
              <w:right w:val="single" w:sz="8" w:space="0" w:color="auto"/>
            </w:tcBorders>
          </w:tcPr>
          <w:p w14:paraId="26AFA64F" w14:textId="77777777" w:rsidR="00077DBB" w:rsidRPr="006F1A2A" w:rsidRDefault="00077DBB" w:rsidP="00C8575F">
            <w:pPr>
              <w:pStyle w:val="Body"/>
              <w:rPr>
                <w:lang w:val="en-US"/>
              </w:rPr>
            </w:pPr>
          </w:p>
        </w:tc>
      </w:tr>
      <w:tr w:rsidR="00077DBB" w:rsidRPr="006F1A2A" w14:paraId="527F6A5B" w14:textId="77777777" w:rsidTr="00C8575F">
        <w:tc>
          <w:tcPr>
            <w:tcW w:w="810" w:type="dxa"/>
            <w:tcBorders>
              <w:top w:val="single" w:sz="8" w:space="0" w:color="auto"/>
              <w:left w:val="single" w:sz="8" w:space="0" w:color="auto"/>
              <w:bottom w:val="single" w:sz="8" w:space="0" w:color="auto"/>
              <w:right w:val="single" w:sz="8" w:space="0" w:color="auto"/>
            </w:tcBorders>
          </w:tcPr>
          <w:p w14:paraId="0423EC2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71270495" w14:textId="08B0B792" w:rsidR="00077DBB" w:rsidRPr="006F1A2A" w:rsidRDefault="00077DBB" w:rsidP="00C8575F">
            <w:pPr>
              <w:pStyle w:val="Body"/>
              <w:rPr>
                <w:lang w:val="en-US"/>
              </w:rPr>
            </w:pPr>
            <w:r w:rsidRPr="006F1A2A">
              <w:rPr>
                <w:lang w:val="en-US"/>
              </w:rPr>
              <w:t>Place the data logger next to the thermometer probe</w:t>
            </w:r>
            <w:r w:rsidR="009E582A">
              <w:rPr>
                <w:lang w:val="en-US"/>
              </w:rPr>
              <w:t>.</w:t>
            </w:r>
          </w:p>
        </w:tc>
        <w:tc>
          <w:tcPr>
            <w:tcW w:w="1245" w:type="dxa"/>
            <w:tcBorders>
              <w:top w:val="single" w:sz="8" w:space="0" w:color="auto"/>
              <w:left w:val="single" w:sz="8" w:space="0" w:color="auto"/>
              <w:bottom w:val="single" w:sz="8" w:space="0" w:color="auto"/>
              <w:right w:val="single" w:sz="8" w:space="0" w:color="auto"/>
            </w:tcBorders>
          </w:tcPr>
          <w:p w14:paraId="00E7AA5D" w14:textId="77777777" w:rsidR="00077DBB" w:rsidRPr="006F1A2A" w:rsidRDefault="00077DBB" w:rsidP="00C8575F">
            <w:pPr>
              <w:pStyle w:val="Body"/>
              <w:rPr>
                <w:lang w:val="en-US"/>
              </w:rPr>
            </w:pPr>
          </w:p>
        </w:tc>
      </w:tr>
      <w:bookmarkEnd w:id="254"/>
      <w:tr w:rsidR="00077DBB" w:rsidRPr="006F1A2A" w14:paraId="6A3C76BF" w14:textId="77777777" w:rsidTr="00C8575F">
        <w:tc>
          <w:tcPr>
            <w:tcW w:w="810" w:type="dxa"/>
            <w:tcBorders>
              <w:top w:val="single" w:sz="8" w:space="0" w:color="auto"/>
              <w:left w:val="single" w:sz="8" w:space="0" w:color="auto"/>
              <w:bottom w:val="single" w:sz="8" w:space="0" w:color="auto"/>
              <w:right w:val="single" w:sz="8" w:space="0" w:color="auto"/>
            </w:tcBorders>
          </w:tcPr>
          <w:p w14:paraId="7D200437"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504EB182" w14:textId="77777777" w:rsidR="00077DBB" w:rsidRPr="00965060" w:rsidRDefault="00077DBB" w:rsidP="00C8575F">
            <w:pPr>
              <w:pStyle w:val="Body"/>
              <w:rPr>
                <w:rFonts w:cs="Arial"/>
                <w:lang w:val="en-US"/>
              </w:rPr>
            </w:pPr>
            <w:r w:rsidRPr="00965060">
              <w:rPr>
                <w:rFonts w:cs="Arial"/>
                <w:lang w:val="en-US"/>
              </w:rPr>
              <w:t>YOU ARE NOW READY TO MOVE YOUR VACCINES INTO THE COOLER.</w:t>
            </w:r>
          </w:p>
          <w:p w14:paraId="75FCA80F" w14:textId="16F89ADE" w:rsidR="00077DBB" w:rsidRPr="006F1A2A" w:rsidRDefault="00077DBB" w:rsidP="00C8575F">
            <w:pPr>
              <w:pStyle w:val="Body"/>
              <w:rPr>
                <w:lang w:val="en-US"/>
              </w:rPr>
            </w:pPr>
            <w:bookmarkStart w:id="255" w:name="_Hlk65667083"/>
            <w:r w:rsidRPr="006F1A2A">
              <w:rPr>
                <w:lang w:val="en-US"/>
              </w:rPr>
              <w:t>Place the vaccine stock in the cooler with the box containing the thermometer probe and the data logger in the cent</w:t>
            </w:r>
            <w:r w:rsidR="00F41533">
              <w:rPr>
                <w:lang w:val="en-US"/>
              </w:rPr>
              <w:t>er</w:t>
            </w:r>
            <w:r w:rsidRPr="006F1A2A">
              <w:rPr>
                <w:lang w:val="en-US"/>
              </w:rPr>
              <w:t>.</w:t>
            </w:r>
          </w:p>
          <w:p w14:paraId="78C82D80" w14:textId="77777777" w:rsidR="00077DBB" w:rsidRPr="006F1A2A" w:rsidRDefault="00077DBB" w:rsidP="00C8575F">
            <w:pPr>
              <w:pStyle w:val="Body"/>
              <w:rPr>
                <w:lang w:val="en-US"/>
              </w:rPr>
            </w:pPr>
            <w:r w:rsidRPr="006F1A2A">
              <w:rPr>
                <w:b/>
                <w:bCs/>
                <w:lang w:val="en-US"/>
              </w:rPr>
              <w:t>Note:</w:t>
            </w:r>
            <w:r w:rsidRPr="006F1A2A">
              <w:rPr>
                <w:lang w:val="en-US"/>
              </w:rPr>
              <w:t xml:space="preserve"> All vaccines should remain in their original packaging until they are administered or returned to a purpose-built vaccine refrigerator — this prevents damage from exposure to light and ambient temperature.</w:t>
            </w:r>
          </w:p>
          <w:p w14:paraId="328670A0" w14:textId="773B49AE" w:rsidR="00077DBB" w:rsidRPr="006F1A2A" w:rsidRDefault="00077DBB" w:rsidP="00C8575F">
            <w:pPr>
              <w:pStyle w:val="Body"/>
              <w:rPr>
                <w:lang w:val="en-US"/>
              </w:rPr>
            </w:pPr>
            <w:r w:rsidRPr="006F1A2A">
              <w:rPr>
                <w:lang w:val="en-US"/>
              </w:rPr>
              <w:t xml:space="preserve">Surround the vaccines with packing material and place conditioned ice packs/gel packs on the top before closing the cooler. Ensure that vaccine stock is not in direct contact with the ice packs/gel packs, to </w:t>
            </w:r>
            <w:r w:rsidR="00130629" w:rsidRPr="006F1A2A">
              <w:rPr>
                <w:lang w:val="en-US"/>
              </w:rPr>
              <w:t>minimize</w:t>
            </w:r>
            <w:r w:rsidRPr="006F1A2A">
              <w:rPr>
                <w:lang w:val="en-US"/>
              </w:rPr>
              <w:t xml:space="preserve"> risk of freezing. Close the cooler lid and fix the digital thermometer display to the outside of the cooler. Keep the cooler out of direct sunlight.</w:t>
            </w:r>
            <w:bookmarkEnd w:id="255"/>
          </w:p>
        </w:tc>
        <w:tc>
          <w:tcPr>
            <w:tcW w:w="1245" w:type="dxa"/>
            <w:tcBorders>
              <w:top w:val="single" w:sz="8" w:space="0" w:color="auto"/>
              <w:left w:val="single" w:sz="8" w:space="0" w:color="auto"/>
              <w:bottom w:val="single" w:sz="8" w:space="0" w:color="auto"/>
              <w:right w:val="single" w:sz="8" w:space="0" w:color="auto"/>
            </w:tcBorders>
          </w:tcPr>
          <w:p w14:paraId="6A9B7DF8" w14:textId="77777777" w:rsidR="00077DBB" w:rsidRPr="006F1A2A" w:rsidRDefault="00077DBB" w:rsidP="00C8575F">
            <w:pPr>
              <w:pStyle w:val="Body"/>
              <w:rPr>
                <w:lang w:val="en-US"/>
              </w:rPr>
            </w:pPr>
          </w:p>
        </w:tc>
      </w:tr>
      <w:tr w:rsidR="00077DBB" w:rsidRPr="006F1A2A" w14:paraId="01958641" w14:textId="77777777" w:rsidTr="00C8575F">
        <w:tc>
          <w:tcPr>
            <w:tcW w:w="810" w:type="dxa"/>
            <w:tcBorders>
              <w:top w:val="single" w:sz="8" w:space="0" w:color="auto"/>
              <w:left w:val="single" w:sz="8" w:space="0" w:color="auto"/>
              <w:bottom w:val="single" w:sz="8" w:space="0" w:color="auto"/>
              <w:right w:val="single" w:sz="8" w:space="0" w:color="auto"/>
            </w:tcBorders>
          </w:tcPr>
          <w:p w14:paraId="2CA46D8E"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3B0BB734" w14:textId="77777777" w:rsidR="00077DBB" w:rsidRPr="006F1A2A" w:rsidRDefault="00077DBB" w:rsidP="00C8575F">
            <w:pPr>
              <w:pStyle w:val="Body"/>
              <w:rPr>
                <w:lang w:val="en-US"/>
              </w:rPr>
            </w:pPr>
            <w:bookmarkStart w:id="256" w:name="_Hlk65667154"/>
            <w:r w:rsidRPr="006F1A2A">
              <w:rPr>
                <w:lang w:val="en-US"/>
              </w:rPr>
              <w:t>Record the date, time, and minimum and maximum temperatures on the temperature chart. Then record temperatures at the following times:</w:t>
            </w:r>
          </w:p>
          <w:p w14:paraId="4B801ED5" w14:textId="77777777" w:rsidR="00077DBB" w:rsidRPr="006F1A2A" w:rsidRDefault="00077DBB" w:rsidP="00603DC8">
            <w:pPr>
              <w:pStyle w:val="Body"/>
              <w:numPr>
                <w:ilvl w:val="0"/>
                <w:numId w:val="10"/>
              </w:numPr>
              <w:spacing w:before="120"/>
              <w:rPr>
                <w:lang w:val="en-US"/>
              </w:rPr>
            </w:pPr>
            <w:r w:rsidRPr="006F1A2A">
              <w:rPr>
                <w:lang w:val="en-US"/>
              </w:rPr>
              <w:t>every 15 minutes for the first hour</w:t>
            </w:r>
          </w:p>
          <w:p w14:paraId="0D2B9C29" w14:textId="77777777" w:rsidR="00077DBB" w:rsidRPr="006F1A2A" w:rsidRDefault="00077DBB" w:rsidP="00603DC8">
            <w:pPr>
              <w:pStyle w:val="Body"/>
              <w:numPr>
                <w:ilvl w:val="0"/>
                <w:numId w:val="10"/>
              </w:numPr>
              <w:spacing w:before="120"/>
              <w:rPr>
                <w:lang w:val="en-US"/>
              </w:rPr>
            </w:pPr>
            <w:r w:rsidRPr="006F1A2A">
              <w:rPr>
                <w:lang w:val="en-US"/>
              </w:rPr>
              <w:t xml:space="preserve">hourly thereafter, provided the temperatures are stable. </w:t>
            </w:r>
          </w:p>
          <w:p w14:paraId="5D128F02" w14:textId="35B688B1" w:rsidR="00077DBB" w:rsidRPr="006F1A2A" w:rsidRDefault="00077DBB" w:rsidP="00603DC8">
            <w:pPr>
              <w:pStyle w:val="Body"/>
              <w:numPr>
                <w:ilvl w:val="0"/>
                <w:numId w:val="10"/>
              </w:numPr>
              <w:spacing w:before="120"/>
              <w:rPr>
                <w:lang w:val="en-US"/>
              </w:rPr>
            </w:pPr>
            <w:r w:rsidRPr="006F1A2A">
              <w:rPr>
                <w:lang w:val="en-US"/>
              </w:rPr>
              <w:t>Reset the min/max temperature after every reading</w:t>
            </w:r>
            <w:r w:rsidR="00023E32">
              <w:rPr>
                <w:lang w:val="en-US"/>
              </w:rPr>
              <w:t>.</w:t>
            </w:r>
          </w:p>
          <w:p w14:paraId="2C052FD2" w14:textId="11337481" w:rsidR="00077DBB" w:rsidRPr="006F1A2A" w:rsidRDefault="00077DBB" w:rsidP="00C8575F">
            <w:pPr>
              <w:pStyle w:val="Body"/>
              <w:rPr>
                <w:lang w:val="en-US"/>
              </w:rPr>
            </w:pPr>
            <w:r w:rsidRPr="006F1A2A">
              <w:rPr>
                <w:b/>
                <w:bCs/>
                <w:lang w:val="en-US"/>
              </w:rPr>
              <w:t>Note:</w:t>
            </w:r>
            <w:r w:rsidRPr="006F1A2A">
              <w:rPr>
                <w:lang w:val="en-US"/>
              </w:rPr>
              <w:t xml:space="preserve"> See </w:t>
            </w:r>
            <w:hyperlink w:anchor="_Appendix_4_Vaccine" w:history="1">
              <w:r w:rsidRPr="00FD2DDA">
                <w:rPr>
                  <w:rStyle w:val="Hyperlink"/>
                  <w:lang w:val="en-US"/>
                </w:rPr>
                <w:t xml:space="preserve">Appendix </w:t>
              </w:r>
              <w:r w:rsidR="00A56CE2" w:rsidRPr="00FD2DDA">
                <w:rPr>
                  <w:rStyle w:val="Hyperlink"/>
                  <w:lang w:val="en-US"/>
                </w:rPr>
                <w:t>4</w:t>
              </w:r>
              <w:r w:rsidR="00FD2DDA" w:rsidRPr="00FD2DDA">
                <w:rPr>
                  <w:rStyle w:val="Hyperlink"/>
                  <w:lang w:val="en-US"/>
                </w:rPr>
                <w:t xml:space="preserve"> </w:t>
              </w:r>
              <w:r w:rsidRPr="00FD2DDA">
                <w:rPr>
                  <w:rStyle w:val="Hyperlink"/>
                  <w:lang w:val="en-US"/>
                </w:rPr>
                <w:t>– Vaccine temperature monitoring form</w:t>
              </w:r>
            </w:hyperlink>
            <w:r w:rsidRPr="006F1A2A">
              <w:rPr>
                <w:lang w:val="en-US"/>
              </w:rPr>
              <w:t xml:space="preserve">. Freezing vaccines occurs most commonly in the first 2 hours of storage in a cooler. </w:t>
            </w:r>
            <w:bookmarkEnd w:id="256"/>
          </w:p>
        </w:tc>
        <w:tc>
          <w:tcPr>
            <w:tcW w:w="1245" w:type="dxa"/>
            <w:tcBorders>
              <w:top w:val="single" w:sz="8" w:space="0" w:color="auto"/>
              <w:left w:val="single" w:sz="8" w:space="0" w:color="auto"/>
              <w:bottom w:val="single" w:sz="8" w:space="0" w:color="auto"/>
              <w:right w:val="single" w:sz="8" w:space="0" w:color="auto"/>
            </w:tcBorders>
          </w:tcPr>
          <w:p w14:paraId="5E085AF0" w14:textId="77777777" w:rsidR="00077DBB" w:rsidRPr="006F1A2A" w:rsidRDefault="00077DBB" w:rsidP="00C8575F">
            <w:pPr>
              <w:pStyle w:val="Body"/>
              <w:rPr>
                <w:lang w:val="en-US"/>
              </w:rPr>
            </w:pPr>
          </w:p>
        </w:tc>
      </w:tr>
      <w:tr w:rsidR="00077DBB" w:rsidRPr="006F1A2A" w14:paraId="3E38117E" w14:textId="77777777" w:rsidTr="00C8575F">
        <w:tc>
          <w:tcPr>
            <w:tcW w:w="810" w:type="dxa"/>
          </w:tcPr>
          <w:p w14:paraId="604C0FA7" w14:textId="77777777" w:rsidR="00077DBB" w:rsidRPr="006F1A2A" w:rsidRDefault="00077DBB" w:rsidP="00C8575F">
            <w:pPr>
              <w:pStyle w:val="Body"/>
              <w:rPr>
                <w:lang w:val="en-US"/>
              </w:rPr>
            </w:pPr>
            <w:r w:rsidRPr="006F1A2A">
              <w:rPr>
                <w:lang w:val="en-US"/>
              </w:rPr>
              <w:t>8</w:t>
            </w:r>
          </w:p>
        </w:tc>
        <w:tc>
          <w:tcPr>
            <w:tcW w:w="7230" w:type="dxa"/>
          </w:tcPr>
          <w:p w14:paraId="610161AB" w14:textId="77777777" w:rsidR="00077DBB" w:rsidRPr="006F1A2A" w:rsidRDefault="00077DBB" w:rsidP="00C8575F">
            <w:pPr>
              <w:pStyle w:val="Body"/>
              <w:rPr>
                <w:lang w:val="en-US"/>
              </w:rPr>
            </w:pPr>
            <w:r w:rsidRPr="006F1A2A">
              <w:rPr>
                <w:lang w:val="en-US"/>
              </w:rPr>
              <w:t>Ensure that ice packs/gel packs do not become displaced and have direct contact with vaccines — this may freeze the vaccines and render them unviable. Remove vaccines from the cooler only as they are required.</w:t>
            </w:r>
          </w:p>
        </w:tc>
        <w:tc>
          <w:tcPr>
            <w:tcW w:w="1245" w:type="dxa"/>
          </w:tcPr>
          <w:p w14:paraId="0D0CC6EC" w14:textId="77777777" w:rsidR="00077DBB" w:rsidRPr="006F1A2A" w:rsidRDefault="00077DBB" w:rsidP="00C8575F">
            <w:pPr>
              <w:pStyle w:val="Body"/>
              <w:rPr>
                <w:lang w:val="en-US"/>
              </w:rPr>
            </w:pPr>
          </w:p>
        </w:tc>
      </w:tr>
      <w:tr w:rsidR="00077DBB" w:rsidRPr="006F1A2A" w14:paraId="56C7A9D1" w14:textId="77777777" w:rsidTr="00C8575F">
        <w:tc>
          <w:tcPr>
            <w:tcW w:w="810" w:type="dxa"/>
          </w:tcPr>
          <w:p w14:paraId="0803ECBD" w14:textId="77777777" w:rsidR="00077DBB" w:rsidRPr="006F1A2A" w:rsidRDefault="00077DBB" w:rsidP="00C8575F">
            <w:pPr>
              <w:pStyle w:val="Body"/>
              <w:rPr>
                <w:lang w:val="en-US"/>
              </w:rPr>
            </w:pPr>
            <w:r w:rsidRPr="006F1A2A">
              <w:rPr>
                <w:lang w:val="en-US"/>
              </w:rPr>
              <w:t>9</w:t>
            </w:r>
          </w:p>
        </w:tc>
        <w:tc>
          <w:tcPr>
            <w:tcW w:w="7230" w:type="dxa"/>
          </w:tcPr>
          <w:p w14:paraId="199DB999" w14:textId="26D9A7BF" w:rsidR="00077DBB" w:rsidRPr="006F1A2A" w:rsidRDefault="00077DBB" w:rsidP="00C8575F">
            <w:pPr>
              <w:pStyle w:val="Body"/>
              <w:rPr>
                <w:lang w:val="en-US"/>
              </w:rPr>
            </w:pPr>
            <w:r w:rsidRPr="006F1A2A">
              <w:t xml:space="preserve">Download the data logger on return to base. Any cold chain breach </w:t>
            </w:r>
            <w:r>
              <w:t xml:space="preserve">outside the range of </w:t>
            </w:r>
            <w:r w:rsidR="00D05797">
              <w:t>+</w:t>
            </w:r>
            <w:r>
              <w:t>2</w:t>
            </w:r>
            <w:r w:rsidR="00D05797" w:rsidRPr="005912F3">
              <w:t>°</w:t>
            </w:r>
            <w:r w:rsidR="00D05797" w:rsidRPr="006F1A2A">
              <w:rPr>
                <w:lang w:val="en-US"/>
              </w:rPr>
              <w:t>C</w:t>
            </w:r>
            <w:r>
              <w:t xml:space="preserve"> to </w:t>
            </w:r>
            <w:r w:rsidR="00D05797">
              <w:t>+</w:t>
            </w:r>
            <w:r>
              <w:t>8</w:t>
            </w:r>
            <w:r w:rsidR="00D05797" w:rsidRPr="005912F3">
              <w:t>°</w:t>
            </w:r>
            <w:r w:rsidR="00D05797" w:rsidRPr="006F1A2A">
              <w:rPr>
                <w:lang w:val="en-US"/>
              </w:rPr>
              <w:t>C</w:t>
            </w:r>
            <w:r w:rsidR="00D05797">
              <w:t xml:space="preserve"> </w:t>
            </w:r>
            <w:r>
              <w:t xml:space="preserve"> for longer than 15 minutes must be reported to the Department. </w:t>
            </w:r>
            <w:r w:rsidRPr="006F1A2A">
              <w:t xml:space="preserve"> </w:t>
            </w:r>
          </w:p>
        </w:tc>
        <w:tc>
          <w:tcPr>
            <w:tcW w:w="1245" w:type="dxa"/>
          </w:tcPr>
          <w:p w14:paraId="52E5D921" w14:textId="77777777" w:rsidR="00077DBB" w:rsidRPr="006F1A2A" w:rsidRDefault="00077DBB" w:rsidP="00C8575F">
            <w:pPr>
              <w:pStyle w:val="Body"/>
              <w:rPr>
                <w:lang w:val="en-US"/>
              </w:rPr>
            </w:pPr>
          </w:p>
        </w:tc>
      </w:tr>
      <w:tr w:rsidR="00077DBB" w:rsidRPr="006F1A2A" w14:paraId="4AE8DC0E" w14:textId="77777777" w:rsidTr="00C8575F">
        <w:tc>
          <w:tcPr>
            <w:tcW w:w="810" w:type="dxa"/>
          </w:tcPr>
          <w:p w14:paraId="44CAA72B" w14:textId="77777777" w:rsidR="00077DBB" w:rsidRPr="006F1A2A" w:rsidRDefault="00077DBB" w:rsidP="00C8575F">
            <w:pPr>
              <w:pStyle w:val="Body"/>
              <w:rPr>
                <w:lang w:val="en-US"/>
              </w:rPr>
            </w:pPr>
            <w:r w:rsidRPr="006F1A2A">
              <w:rPr>
                <w:lang w:val="en-US"/>
              </w:rPr>
              <w:t>10</w:t>
            </w:r>
          </w:p>
        </w:tc>
        <w:tc>
          <w:tcPr>
            <w:tcW w:w="7230" w:type="dxa"/>
          </w:tcPr>
          <w:p w14:paraId="2D7BFA35" w14:textId="688596AF" w:rsidR="00077DBB" w:rsidRPr="006F1A2A" w:rsidRDefault="00077DBB" w:rsidP="00C8575F">
            <w:pPr>
              <w:pStyle w:val="Body"/>
              <w:rPr>
                <w:lang w:val="en-US"/>
              </w:rPr>
            </w:pPr>
            <w:r w:rsidRPr="006F1A2A">
              <w:rPr>
                <w:lang w:val="en-US"/>
              </w:rPr>
              <w:t xml:space="preserve">Only move vaccines back to a purpose-built vaccine refrigerator in which the temperature is between </w:t>
            </w:r>
            <w:r w:rsidR="00D05797">
              <w:rPr>
                <w:lang w:val="en-US"/>
              </w:rPr>
              <w:t>+</w:t>
            </w:r>
            <w:r w:rsidRPr="006F1A2A">
              <w:rPr>
                <w:lang w:val="en-US"/>
              </w:rPr>
              <w:t>2</w:t>
            </w:r>
            <w:r w:rsidR="00D05797" w:rsidRPr="005912F3">
              <w:t>°</w:t>
            </w:r>
            <w:r w:rsidR="00D05797" w:rsidRPr="006F1A2A">
              <w:rPr>
                <w:lang w:val="en-US"/>
              </w:rPr>
              <w:t>C</w:t>
            </w:r>
            <w:r w:rsidRPr="006F1A2A">
              <w:rPr>
                <w:lang w:val="en-US"/>
              </w:rPr>
              <w:t xml:space="preserve"> and </w:t>
            </w:r>
            <w:r w:rsidR="00D05797">
              <w:rPr>
                <w:lang w:val="en-US"/>
              </w:rPr>
              <w:t>+</w:t>
            </w:r>
            <w:r w:rsidRPr="006F1A2A">
              <w:rPr>
                <w:lang w:val="en-US"/>
              </w:rPr>
              <w:t>8</w:t>
            </w:r>
            <w:r w:rsidR="005912F3" w:rsidRPr="005912F3">
              <w:t>°</w:t>
            </w:r>
            <w:r w:rsidRPr="006F1A2A">
              <w:rPr>
                <w:lang w:val="en-US"/>
              </w:rPr>
              <w:t>C.</w:t>
            </w:r>
          </w:p>
        </w:tc>
        <w:tc>
          <w:tcPr>
            <w:tcW w:w="1245" w:type="dxa"/>
          </w:tcPr>
          <w:p w14:paraId="083A9814" w14:textId="77777777" w:rsidR="00077DBB" w:rsidRPr="006F1A2A" w:rsidRDefault="00077DBB" w:rsidP="00C8575F">
            <w:pPr>
              <w:pStyle w:val="Body"/>
              <w:rPr>
                <w:lang w:val="en-US"/>
              </w:rPr>
            </w:pPr>
          </w:p>
        </w:tc>
      </w:tr>
      <w:tr w:rsidR="00077DBB" w:rsidRPr="006F1A2A" w14:paraId="7289817D" w14:textId="77777777" w:rsidTr="00C8575F">
        <w:tc>
          <w:tcPr>
            <w:tcW w:w="810" w:type="dxa"/>
          </w:tcPr>
          <w:p w14:paraId="624EE60B" w14:textId="77777777" w:rsidR="00077DBB" w:rsidRPr="006F1A2A" w:rsidRDefault="00077DBB" w:rsidP="00C8575F">
            <w:pPr>
              <w:pStyle w:val="Body"/>
              <w:rPr>
                <w:lang w:val="en-US"/>
              </w:rPr>
            </w:pPr>
            <w:r w:rsidRPr="006F1A2A">
              <w:rPr>
                <w:lang w:val="en-US"/>
              </w:rPr>
              <w:t>11</w:t>
            </w:r>
          </w:p>
        </w:tc>
        <w:tc>
          <w:tcPr>
            <w:tcW w:w="7230" w:type="dxa"/>
          </w:tcPr>
          <w:p w14:paraId="07DC0F7D" w14:textId="77777777" w:rsidR="00077DBB" w:rsidRPr="006F1A2A" w:rsidRDefault="00077DBB" w:rsidP="00C8575F">
            <w:pPr>
              <w:pStyle w:val="Body"/>
              <w:rPr>
                <w:lang w:val="en-US"/>
              </w:rPr>
            </w:pPr>
            <w:r w:rsidRPr="006F1A2A">
              <w:rPr>
                <w:lang w:val="en-US"/>
              </w:rPr>
              <w:t>Protect vaccines from light exposure by keeping them in their vaccine packaging. Store open vial and prepared vaccines in opaque containers.</w:t>
            </w:r>
          </w:p>
        </w:tc>
        <w:tc>
          <w:tcPr>
            <w:tcW w:w="1245" w:type="dxa"/>
          </w:tcPr>
          <w:p w14:paraId="204AD992" w14:textId="77777777" w:rsidR="00077DBB" w:rsidRPr="006F1A2A" w:rsidRDefault="00077DBB" w:rsidP="00C8575F">
            <w:pPr>
              <w:pStyle w:val="Body"/>
              <w:rPr>
                <w:lang w:val="en-US"/>
              </w:rPr>
            </w:pPr>
          </w:p>
        </w:tc>
      </w:tr>
    </w:tbl>
    <w:p w14:paraId="006F9741" w14:textId="77777777" w:rsidR="00215F7B" w:rsidRDefault="00215F7B" w:rsidP="00077DBB">
      <w:pPr>
        <w:pStyle w:val="Heading1"/>
      </w:pPr>
      <w:bookmarkStart w:id="257" w:name="_Toc112154620"/>
      <w:bookmarkStart w:id="258" w:name="_Toc112315680"/>
    </w:p>
    <w:p w14:paraId="28B44FF0" w14:textId="77777777" w:rsidR="00215F7B" w:rsidRDefault="00215F7B">
      <w:pPr>
        <w:spacing w:after="0" w:line="240" w:lineRule="auto"/>
        <w:rPr>
          <w:rFonts w:eastAsia="MS Gothic" w:cs="Arial"/>
          <w:bCs/>
          <w:color w:val="C5511A"/>
          <w:kern w:val="32"/>
          <w:sz w:val="44"/>
          <w:szCs w:val="44"/>
        </w:rPr>
      </w:pPr>
      <w:r>
        <w:br w:type="page"/>
      </w:r>
    </w:p>
    <w:p w14:paraId="34816BCE" w14:textId="540A42DF" w:rsidR="00077DBB" w:rsidRPr="006F1A2A" w:rsidRDefault="00077DBB" w:rsidP="00077DBB">
      <w:pPr>
        <w:pStyle w:val="Heading1"/>
      </w:pPr>
      <w:bookmarkStart w:id="259" w:name="_Appendix_4_Vaccine"/>
      <w:bookmarkStart w:id="260" w:name="_Toc176345008"/>
      <w:bookmarkEnd w:id="259"/>
      <w:r w:rsidRPr="006F1A2A">
        <w:t>Appendix</w:t>
      </w:r>
      <w:r w:rsidRPr="00B040C8">
        <w:t xml:space="preserve"> 4 </w:t>
      </w:r>
      <w:r w:rsidRPr="006F1A2A">
        <w:t>Vaccine temperature monitoring form</w:t>
      </w:r>
      <w:r w:rsidRPr="00B040C8">
        <w:t xml:space="preserve"> for outreach mobile services</w:t>
      </w:r>
      <w:bookmarkEnd w:id="257"/>
      <w:bookmarkEnd w:id="258"/>
      <w:bookmarkEnd w:id="260"/>
    </w:p>
    <w:tbl>
      <w:tblPr>
        <w:tblW w:w="10055" w:type="dxa"/>
        <w:tblCellMar>
          <w:left w:w="0" w:type="dxa"/>
          <w:right w:w="0" w:type="dxa"/>
        </w:tblCellMar>
        <w:tblLook w:val="04A0" w:firstRow="1" w:lastRow="0" w:firstColumn="1" w:lastColumn="0" w:noHBand="0" w:noVBand="1"/>
      </w:tblPr>
      <w:tblGrid>
        <w:gridCol w:w="1110"/>
        <w:gridCol w:w="1999"/>
        <w:gridCol w:w="1559"/>
        <w:gridCol w:w="709"/>
        <w:gridCol w:w="709"/>
        <w:gridCol w:w="992"/>
        <w:gridCol w:w="2977"/>
      </w:tblGrid>
      <w:tr w:rsidR="00077DBB" w:rsidRPr="006F1A2A" w14:paraId="6A5227AA" w14:textId="77777777" w:rsidTr="0038557A">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19952" w14:textId="77777777" w:rsidR="00077DBB" w:rsidRPr="006F1A2A" w:rsidRDefault="00077DBB" w:rsidP="00C8575F">
            <w:pPr>
              <w:rPr>
                <w:b/>
                <w:bCs/>
              </w:rPr>
            </w:pPr>
            <w:r w:rsidRPr="006F1A2A">
              <w:rPr>
                <w:b/>
                <w:bCs/>
              </w:rPr>
              <w:t>Date and Time</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3D6AD" w14:textId="77777777" w:rsidR="00077DBB" w:rsidRPr="006F1A2A" w:rsidRDefault="00077DBB" w:rsidP="00C8575F">
            <w:pPr>
              <w:rPr>
                <w:b/>
                <w:bCs/>
              </w:rPr>
            </w:pPr>
            <w:r w:rsidRPr="006F1A2A">
              <w:rPr>
                <w:b/>
                <w:bCs/>
              </w:rPr>
              <w:t>Activity</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BF764C" w14:textId="52807573" w:rsidR="00077DBB" w:rsidRPr="006F1A2A" w:rsidRDefault="00077DBB" w:rsidP="00C8575F">
            <w:pPr>
              <w:rPr>
                <w:b/>
                <w:bCs/>
              </w:rPr>
            </w:pPr>
            <w:r w:rsidRPr="006F1A2A">
              <w:rPr>
                <w:b/>
                <w:bCs/>
              </w:rPr>
              <w:t xml:space="preserve">Temp between </w:t>
            </w:r>
            <w:r w:rsidR="002612C7" w:rsidRPr="002612C7">
              <w:rPr>
                <w:b/>
                <w:bCs/>
              </w:rPr>
              <w:t>+</w:t>
            </w:r>
            <w:r w:rsidRPr="002612C7">
              <w:rPr>
                <w:b/>
                <w:bCs/>
              </w:rPr>
              <w:t>2</w:t>
            </w:r>
            <w:r w:rsidR="002612C7" w:rsidRPr="002612C7">
              <w:rPr>
                <w:b/>
                <w:bCs/>
              </w:rPr>
              <w:t>°</w:t>
            </w:r>
            <w:r w:rsidR="002612C7" w:rsidRPr="002612C7">
              <w:rPr>
                <w:rFonts w:cs="Arial"/>
                <w:b/>
                <w:bCs/>
                <w:szCs w:val="21"/>
                <w:lang w:val="en-US"/>
              </w:rPr>
              <w:t>C</w:t>
            </w:r>
            <w:r w:rsidR="002612C7" w:rsidRPr="002612C7">
              <w:rPr>
                <w:rFonts w:cs="Arial"/>
                <w:b/>
                <w:bCs/>
                <w:snapToGrid w:val="0"/>
                <w:szCs w:val="21"/>
              </w:rPr>
              <w:t xml:space="preserve"> </w:t>
            </w:r>
            <w:r w:rsidR="002612C7" w:rsidRPr="002612C7">
              <w:rPr>
                <w:b/>
                <w:bCs/>
              </w:rPr>
              <w:t>to +</w:t>
            </w:r>
            <w:r w:rsidRPr="002612C7">
              <w:rPr>
                <w:b/>
                <w:bCs/>
              </w:rPr>
              <w:t>8</w:t>
            </w:r>
            <w:r w:rsidR="002612C7" w:rsidRPr="002612C7">
              <w:rPr>
                <w:b/>
                <w:bCs/>
              </w:rPr>
              <w:t>°</w:t>
            </w:r>
            <w:r w:rsidR="002612C7" w:rsidRPr="002612C7">
              <w:rPr>
                <w:rFonts w:cs="Arial"/>
                <w:b/>
                <w:bCs/>
                <w:szCs w:val="21"/>
                <w:lang w:val="en-US"/>
              </w:rPr>
              <w:t>C</w:t>
            </w:r>
            <w:r w:rsidRPr="002612C7">
              <w:rPr>
                <w:b/>
                <w:bCs/>
              </w:rPr>
              <w:t xml:space="preserve"> Yes/No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A3E70" w14:textId="77777777" w:rsidR="00077DBB" w:rsidRPr="006F1A2A" w:rsidRDefault="00077DBB" w:rsidP="00C8575F">
            <w:pPr>
              <w:rPr>
                <w:b/>
                <w:bCs/>
              </w:rPr>
            </w:pPr>
            <w:r w:rsidRPr="006F1A2A">
              <w:rPr>
                <w:b/>
                <w:bCs/>
              </w:rPr>
              <w:t>Min</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AA400D" w14:textId="77777777" w:rsidR="00077DBB" w:rsidRPr="006F1A2A" w:rsidRDefault="00077DBB" w:rsidP="00C8575F">
            <w:pPr>
              <w:rPr>
                <w:b/>
                <w:bCs/>
              </w:rPr>
            </w:pPr>
            <w:r w:rsidRPr="006F1A2A">
              <w:rPr>
                <w:b/>
                <w:bCs/>
              </w:rPr>
              <w:t>Max</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682C2F" w14:textId="77777777" w:rsidR="00077DBB" w:rsidRPr="006F1A2A" w:rsidRDefault="00077DBB" w:rsidP="00C8575F">
            <w:pPr>
              <w:rPr>
                <w:b/>
                <w:bCs/>
              </w:rPr>
            </w:pPr>
            <w:r>
              <w:rPr>
                <w:b/>
                <w:bCs/>
              </w:rPr>
              <w:t>Current</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3CB7B" w14:textId="77777777" w:rsidR="00077DBB" w:rsidRPr="006F1A2A" w:rsidRDefault="00077DBB" w:rsidP="00C8575F">
            <w:pPr>
              <w:rPr>
                <w:b/>
                <w:bCs/>
              </w:rPr>
            </w:pPr>
            <w:r w:rsidRPr="006F1A2A">
              <w:rPr>
                <w:b/>
                <w:bCs/>
              </w:rPr>
              <w:t>Signature and comments</w:t>
            </w:r>
          </w:p>
        </w:tc>
      </w:tr>
      <w:tr w:rsidR="00077DBB" w:rsidRPr="006F1A2A" w14:paraId="7C7B2936" w14:textId="77777777" w:rsidTr="0038557A">
        <w:trPr>
          <w:trHeight w:val="914"/>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899D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6C3D62D" w14:textId="77777777" w:rsidR="00077DBB" w:rsidRPr="006F1A2A" w:rsidRDefault="00077DBB" w:rsidP="00C8575F">
            <w:r w:rsidRPr="006F1A2A">
              <w:t>Receipt of vaccines, confirm cold chain maintained in transit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1FC785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DA20623"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BD246B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CEF5E0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5F61471" w14:textId="77777777" w:rsidR="00077DBB" w:rsidRPr="006F1A2A" w:rsidRDefault="00077DBB" w:rsidP="00C8575F">
            <w:r w:rsidRPr="006F1A2A">
              <w:t>No. of vials:</w:t>
            </w:r>
          </w:p>
        </w:tc>
      </w:tr>
      <w:tr w:rsidR="00077DBB" w:rsidRPr="006F1A2A" w14:paraId="3D6ED04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8E7B1"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10D3A81" w14:textId="77777777" w:rsidR="00077DBB" w:rsidRPr="006F1A2A" w:rsidRDefault="00077DBB" w:rsidP="00C8575F">
            <w:r w:rsidRPr="006F1A2A">
              <w:t>Transfer to cooler</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8A5277"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6C8A4C69"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10A2464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C6F5F52"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7A8AFD9" w14:textId="77777777" w:rsidR="00077DBB" w:rsidRPr="006F1A2A" w:rsidRDefault="00077DBB" w:rsidP="00C8575F"/>
        </w:tc>
      </w:tr>
      <w:tr w:rsidR="00077DBB" w:rsidRPr="006F1A2A" w14:paraId="13AD9EC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381ED5"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0703CDB0"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F69987"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A6C998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34B70F8"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0399D2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D4ED0D0" w14:textId="77777777" w:rsidR="00077DBB" w:rsidRPr="006F1A2A" w:rsidRDefault="00077DBB" w:rsidP="00C8575F"/>
        </w:tc>
      </w:tr>
      <w:tr w:rsidR="00077DBB" w:rsidRPr="006F1A2A" w14:paraId="53CC69F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B07B4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B77185B"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2EE3DA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8C07E18"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BB248A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9A9BD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35876A4" w14:textId="77777777" w:rsidR="00077DBB" w:rsidRPr="006F1A2A" w:rsidRDefault="00077DBB" w:rsidP="00C8575F"/>
        </w:tc>
      </w:tr>
      <w:tr w:rsidR="00077DBB" w:rsidRPr="006F1A2A" w14:paraId="2F211E8F"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AE4C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0F78648" w14:textId="77777777" w:rsidR="00077DBB" w:rsidRPr="006F1A2A" w:rsidRDefault="00077DBB" w:rsidP="00C8575F">
            <w:r w:rsidRPr="006F1A2A">
              <w:t xml:space="preserve">15 min check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2E71F6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7AD2C9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94FCE5"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3B6ABCA"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1E952FA" w14:textId="77777777" w:rsidR="00077DBB" w:rsidRPr="006F1A2A" w:rsidRDefault="00077DBB" w:rsidP="00C8575F"/>
        </w:tc>
      </w:tr>
      <w:tr w:rsidR="00077DBB" w:rsidRPr="006F1A2A" w14:paraId="2EFACE3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9E105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EE5C2E1"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F72137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660D0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B39569A"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1BBFAC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90A446" w14:textId="77777777" w:rsidR="00077DBB" w:rsidRPr="006F1A2A" w:rsidRDefault="00077DBB" w:rsidP="00C8575F"/>
        </w:tc>
      </w:tr>
      <w:tr w:rsidR="00077DBB" w:rsidRPr="006F1A2A" w14:paraId="6CD7F97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C539EA"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74BB97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172D4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730B9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35708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CE4B5E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D2418CA" w14:textId="77777777" w:rsidR="00077DBB" w:rsidRPr="006F1A2A" w:rsidRDefault="00077DBB" w:rsidP="00C8575F"/>
        </w:tc>
      </w:tr>
      <w:tr w:rsidR="00077DBB" w:rsidRPr="006F1A2A" w14:paraId="321D310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8A1C4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16BA5BD"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C2044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29D4C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6D3D1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70E3AC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7F160D8" w14:textId="77777777" w:rsidR="00077DBB" w:rsidRPr="006F1A2A" w:rsidRDefault="00077DBB" w:rsidP="00C8575F"/>
        </w:tc>
      </w:tr>
      <w:tr w:rsidR="00077DBB" w:rsidRPr="006F1A2A" w14:paraId="78529E20"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EEF5B2"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E5475D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38D00F"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392901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8AF7903"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EC21EB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82115EB" w14:textId="77777777" w:rsidR="00077DBB" w:rsidRPr="006F1A2A" w:rsidRDefault="00077DBB" w:rsidP="00C8575F"/>
        </w:tc>
      </w:tr>
      <w:tr w:rsidR="00077DBB" w:rsidRPr="006F1A2A" w14:paraId="3DE7D965"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8935F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EE77CB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1A8B00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F76E3D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F0EEE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AD5A8CB"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1B95468" w14:textId="77777777" w:rsidR="00077DBB" w:rsidRPr="006F1A2A" w:rsidRDefault="00077DBB" w:rsidP="00C8575F"/>
        </w:tc>
      </w:tr>
      <w:tr w:rsidR="00077DBB" w:rsidRPr="006F1A2A" w14:paraId="01F3A85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BD9B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4A2B88F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33070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7A1CCC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53A707F"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DFAA66E"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3CFB22F" w14:textId="77777777" w:rsidR="00077DBB" w:rsidRPr="006F1A2A" w:rsidRDefault="00077DBB" w:rsidP="00C8575F"/>
        </w:tc>
      </w:tr>
      <w:tr w:rsidR="00077DBB" w:rsidRPr="006F1A2A" w14:paraId="22533C2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8CECFC"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6C7D4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0EF5C5"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F74C6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F3AC9FC"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D6395B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073B77D" w14:textId="77777777" w:rsidR="00077DBB" w:rsidRPr="006F1A2A" w:rsidRDefault="00077DBB" w:rsidP="00C8575F"/>
        </w:tc>
      </w:tr>
      <w:tr w:rsidR="00077DBB" w:rsidRPr="006F1A2A" w14:paraId="0FF3AF3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7AD36"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FCD2E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348D9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927A16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066FECD"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A49BBE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9BAD7BF" w14:textId="77777777" w:rsidR="00077DBB" w:rsidRPr="006F1A2A" w:rsidRDefault="00077DBB" w:rsidP="00C8575F"/>
        </w:tc>
      </w:tr>
      <w:tr w:rsidR="00077DBB" w:rsidRPr="006F1A2A" w14:paraId="1DC9986A"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951843"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CD088EB"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21A39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08ED52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29494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9088650"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71578D7" w14:textId="77777777" w:rsidR="00077DBB" w:rsidRPr="006F1A2A" w:rsidRDefault="00077DBB" w:rsidP="00C8575F"/>
        </w:tc>
      </w:tr>
      <w:tr w:rsidR="00077DBB" w:rsidRPr="006F1A2A" w14:paraId="6F7AC8E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E8D8D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4D3DB7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974DE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D938EE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0DED9F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05B9CB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598BC41" w14:textId="77777777" w:rsidR="00077DBB" w:rsidRPr="006F1A2A" w:rsidRDefault="00077DBB" w:rsidP="00C8575F"/>
        </w:tc>
      </w:tr>
      <w:tr w:rsidR="00077DBB" w:rsidRPr="006F1A2A" w14:paraId="291BEBF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B189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6B59A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5B651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41DBC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099328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33C7E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D888324" w14:textId="77777777" w:rsidR="00077DBB" w:rsidRPr="006F1A2A" w:rsidRDefault="00077DBB" w:rsidP="00C8575F"/>
        </w:tc>
      </w:tr>
      <w:tr w:rsidR="00077DBB" w:rsidRPr="006F1A2A" w14:paraId="686A524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7841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FD37D1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7386B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E03275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A08216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F5164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9645054" w14:textId="77777777" w:rsidR="00077DBB" w:rsidRPr="006F1A2A" w:rsidRDefault="00077DBB" w:rsidP="00C8575F"/>
        </w:tc>
      </w:tr>
      <w:tr w:rsidR="00077DBB" w:rsidRPr="006F1A2A" w14:paraId="12C9381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3244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F3209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3528A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D66521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966E1C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AF0E224"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6205E2A" w14:textId="77777777" w:rsidR="00077DBB" w:rsidRPr="006F1A2A" w:rsidRDefault="00077DBB" w:rsidP="00C8575F"/>
        </w:tc>
      </w:tr>
      <w:tr w:rsidR="00077DBB" w:rsidRPr="006F1A2A" w14:paraId="22D373B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BAB1A" w14:textId="77777777" w:rsidR="00077DBB" w:rsidRPr="006F1A2A" w:rsidRDefault="00077DBB" w:rsidP="00077DBB"/>
        </w:tc>
        <w:tc>
          <w:tcPr>
            <w:tcW w:w="1999" w:type="dxa"/>
            <w:tcBorders>
              <w:top w:val="nil"/>
              <w:left w:val="nil"/>
              <w:bottom w:val="single" w:sz="8" w:space="0" w:color="auto"/>
              <w:right w:val="single" w:sz="8" w:space="0" w:color="auto"/>
            </w:tcBorders>
            <w:tcMar>
              <w:top w:w="0" w:type="dxa"/>
              <w:left w:w="108" w:type="dxa"/>
              <w:bottom w:w="0" w:type="dxa"/>
              <w:right w:w="108" w:type="dxa"/>
            </w:tcMar>
          </w:tcPr>
          <w:p w14:paraId="076FD1DA" w14:textId="0E6E6313" w:rsidR="00077DBB" w:rsidRPr="006F1A2A" w:rsidRDefault="00077DBB" w:rsidP="00077DBB">
            <w:r w:rsidRPr="006F1A2A">
              <w:t xml:space="preserve">Return to </w:t>
            </w:r>
            <w:r>
              <w:t>purpose-built vaccine fridge</w:t>
            </w:r>
            <w:r w:rsidRPr="006F1A2A">
              <w:t xml:space="preserve"> or facility</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D23DA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7944F5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FB4995D" w14:textId="77777777" w:rsidR="00077DBB" w:rsidRPr="006F1A2A" w:rsidRDefault="00077DBB" w:rsidP="00077DBB"/>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6C800B" w14:textId="77777777" w:rsidR="00077DBB" w:rsidRPr="006F1A2A" w:rsidRDefault="00077DBB" w:rsidP="00077DBB"/>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78F81F" w14:textId="3BDB773E" w:rsidR="00077DBB" w:rsidRPr="006F1A2A" w:rsidRDefault="00077DBB" w:rsidP="00077DBB">
            <w:r w:rsidRPr="006F1A2A">
              <w:t>Remaining vials</w:t>
            </w:r>
          </w:p>
        </w:tc>
      </w:tr>
    </w:tbl>
    <w:p w14:paraId="35D9F02F" w14:textId="77777777" w:rsidR="00034A4D" w:rsidRDefault="00034A4D" w:rsidP="00077DBB">
      <w:pPr>
        <w:pStyle w:val="Heading1"/>
        <w:rPr>
          <w:rStyle w:val="normaltextrun"/>
        </w:rPr>
        <w:sectPr w:rsidR="00034A4D" w:rsidSect="00034A4D">
          <w:pgSz w:w="11906" w:h="16838" w:code="9"/>
          <w:pgMar w:top="1440" w:right="1440" w:bottom="1440" w:left="1440" w:header="680" w:footer="57" w:gutter="0"/>
          <w:cols w:space="340"/>
          <w:docGrid w:linePitch="360"/>
        </w:sectPr>
      </w:pPr>
      <w:bookmarkStart w:id="261" w:name="_Toc71895641"/>
      <w:bookmarkStart w:id="262" w:name="_Toc73627113"/>
      <w:bookmarkStart w:id="263" w:name="_Toc2076093663"/>
      <w:bookmarkStart w:id="264" w:name="_Toc112154629"/>
      <w:bookmarkStart w:id="265" w:name="_Toc112315681"/>
    </w:p>
    <w:p w14:paraId="1FD7B17D" w14:textId="2031D3A6" w:rsidR="00077DBB" w:rsidRPr="00F17AC5" w:rsidRDefault="00077DBB" w:rsidP="00077DBB">
      <w:pPr>
        <w:pStyle w:val="Heading1"/>
        <w:rPr>
          <w:rStyle w:val="normaltextrun"/>
          <w:sz w:val="40"/>
          <w:szCs w:val="40"/>
        </w:rPr>
      </w:pPr>
      <w:bookmarkStart w:id="266" w:name="_Appendix_5:_Guidance"/>
      <w:bookmarkStart w:id="267" w:name="_Toc176345009"/>
      <w:bookmarkEnd w:id="266"/>
      <w:r w:rsidRPr="00F17AC5">
        <w:rPr>
          <w:rStyle w:val="normaltextrun"/>
          <w:sz w:val="40"/>
          <w:szCs w:val="40"/>
        </w:rPr>
        <w:t xml:space="preserve">Appendix 5: Guidance </w:t>
      </w:r>
      <w:r w:rsidR="00B96D08">
        <w:rPr>
          <w:rStyle w:val="normaltextrun"/>
          <w:sz w:val="40"/>
          <w:szCs w:val="40"/>
        </w:rPr>
        <w:t>–</w:t>
      </w:r>
      <w:r w:rsidRPr="00F17AC5">
        <w:rPr>
          <w:rStyle w:val="normaltextrun"/>
          <w:sz w:val="40"/>
          <w:szCs w:val="40"/>
        </w:rPr>
        <w:t xml:space="preserve"> differentiating anaphylaxis from acute stress response for vaccine providers and emergency departments</w:t>
      </w:r>
      <w:bookmarkEnd w:id="261"/>
      <w:bookmarkEnd w:id="262"/>
      <w:bookmarkEnd w:id="263"/>
      <w:bookmarkEnd w:id="264"/>
      <w:bookmarkEnd w:id="265"/>
      <w:bookmarkEnd w:id="267"/>
    </w:p>
    <w:p w14:paraId="30C0D0CB" w14:textId="77777777" w:rsidR="00077DBB" w:rsidRPr="006F1A2A" w:rsidRDefault="00077DBB" w:rsidP="00077DBB">
      <w:pPr>
        <w:pStyle w:val="Body"/>
      </w:pPr>
      <w:r w:rsidRPr="006F1A2A">
        <w:t xml:space="preserve">Anaphylaxis can be a life-threatening condition. The mainstay of management is adrenaline. There are no contraindications for the use of intramuscular adrenaline in the setting of anaphylaxis.  </w:t>
      </w:r>
    </w:p>
    <w:p w14:paraId="7016C10D" w14:textId="094FDA0D" w:rsidR="00077DBB" w:rsidRPr="006F1A2A" w:rsidRDefault="00077DBB" w:rsidP="00077DBB">
      <w:pPr>
        <w:pStyle w:val="Body"/>
      </w:pPr>
      <w:r w:rsidRPr="006F1A2A">
        <w:t xml:space="preserve">There are however a number of conditions that can mimic anaphylaxis, such as vagal reactions, anxiety and vocal cord dysfunction. While it can be difficult to distinguish at times between these three conditions, if you suspect anaphylaxis, follow appropriate guidelines from your workplace and transfer to hospital. If there is uncertainty around diagnosis, treatment of anaphylaxis should not be withheld.  </w:t>
      </w:r>
    </w:p>
    <w:p w14:paraId="33F9109A" w14:textId="7B37FED9" w:rsidR="00077DBB" w:rsidRPr="006F1A2A" w:rsidRDefault="00077DBB" w:rsidP="00077DBB">
      <w:pPr>
        <w:pStyle w:val="Body"/>
      </w:pPr>
      <w:r w:rsidRPr="006F1A2A">
        <w:t xml:space="preserve">However, if adrenaline is administered, it is important to reassure the person receiving the adrenaline of the possibility of an alternate diagnosis, but that the adrenaline is being given as it is safe to do so. The possible diagnosis of anaphylaxis can be reassessed at later stage.  </w:t>
      </w:r>
    </w:p>
    <w:p w14:paraId="74FEA79A" w14:textId="3B457E3F" w:rsidR="00077DBB" w:rsidRPr="006F1A2A" w:rsidRDefault="00077DBB" w:rsidP="00077DBB">
      <w:pPr>
        <w:pStyle w:val="Body"/>
      </w:pPr>
      <w:r w:rsidRPr="006F1A2A">
        <w:t xml:space="preserve">An adrenaline autoinjector (EpiPen) prescription is not required post discharge following a queried vaccine adverse reaction.  </w:t>
      </w:r>
    </w:p>
    <w:p w14:paraId="6870BFF8" w14:textId="02600477" w:rsidR="00077DBB" w:rsidRPr="006F1A2A" w:rsidRDefault="00077DBB" w:rsidP="00077DBB">
      <w:pPr>
        <w:pStyle w:val="Body"/>
      </w:pPr>
      <w:r w:rsidRPr="006F1A2A">
        <w:t xml:space="preserve">To help confirm the possibility of anaphylaxis, a serum tryptase should be taken within 30 minutes to 2 hours after the onset of symptoms and 24 hours after symptoms have resolved. A serum tryptase assists in a retrospective review of the case, guides diagnosis and assists in reassuring the person regarding future vaccinations.  </w:t>
      </w:r>
    </w:p>
    <w:p w14:paraId="48818534" w14:textId="1A760F03" w:rsidR="00077DBB" w:rsidRPr="006F1A2A" w:rsidRDefault="00077DBB" w:rsidP="00077DBB">
      <w:pPr>
        <w:pStyle w:val="Body"/>
        <w:rPr>
          <w:b/>
          <w:bCs/>
          <w:color w:val="FF0000"/>
        </w:rPr>
      </w:pPr>
      <w:r w:rsidRPr="006F1A2A">
        <w:rPr>
          <w:b/>
          <w:bCs/>
          <w:color w:val="FF0000"/>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5F37C7" w:rsidRPr="006F1A2A" w14:paraId="62FAAEED" w14:textId="77777777" w:rsidTr="005F37C7">
        <w:trPr>
          <w:trHeight w:val="3069"/>
        </w:trPr>
        <w:tc>
          <w:tcPr>
            <w:tcW w:w="9180" w:type="dxa"/>
          </w:tcPr>
          <w:p w14:paraId="0E816FC8" w14:textId="01C1B82A" w:rsidR="005F37C7" w:rsidRPr="004A4D7A" w:rsidRDefault="005F37C7" w:rsidP="00236270">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9E5370">
              <w:rPr>
                <w:rFonts w:cs="Arial"/>
                <w:szCs w:val="21"/>
              </w:rPr>
              <w:t xml:space="preserve">unexpected or </w:t>
            </w:r>
            <w:r w:rsidRPr="004A4D7A">
              <w:rPr>
                <w:rFonts w:cs="Arial"/>
                <w:szCs w:val="21"/>
              </w:rPr>
              <w:t xml:space="preserve">medically attended AEFI to be reported to SAEFVIC via online reporting at </w:t>
            </w:r>
            <w:r w:rsidR="007637AA">
              <w:rPr>
                <w:rFonts w:cs="Arial"/>
                <w:szCs w:val="21"/>
              </w:rPr>
              <w:t>&lt;</w:t>
            </w:r>
            <w:hyperlink r:id="rId114" w:history="1">
              <w:r w:rsidR="007637AA">
                <w:rPr>
                  <w:rStyle w:val="Hyperlink"/>
                  <w:rFonts w:cs="Arial"/>
                  <w:szCs w:val="21"/>
                </w:rPr>
                <w:t>https://www.safevac.org.au/Home/Info/VIC</w:t>
              </w:r>
            </w:hyperlink>
            <w:r w:rsidR="007637AA">
              <w:rPr>
                <w:rStyle w:val="Hyperlink"/>
              </w:rPr>
              <w:t>&gt;</w:t>
            </w:r>
            <w:r w:rsidRPr="004A4D7A">
              <w:rPr>
                <w:rStyle w:val="Hyperlink"/>
                <w:rFonts w:cs="Arial"/>
                <w:szCs w:val="21"/>
              </w:rPr>
              <w:t xml:space="preserve"> </w:t>
            </w:r>
          </w:p>
          <w:p w14:paraId="6718D45E" w14:textId="77777777" w:rsidR="005F37C7" w:rsidRPr="004A4D7A" w:rsidRDefault="005F37C7" w:rsidP="00236270">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126484D5" w14:textId="20E8B50A" w:rsidR="005F37C7" w:rsidRDefault="005F37C7" w:rsidP="005F37C7">
            <w:pPr>
              <w:pStyle w:val="Body"/>
              <w:rPr>
                <w:b/>
                <w:bCs/>
                <w:color w:val="FF0000"/>
              </w:rPr>
            </w:pPr>
            <w:r>
              <w:rPr>
                <w:b/>
                <w:bCs/>
                <w:color w:val="FF0000"/>
              </w:rPr>
              <w:t xml:space="preserve">Serious </w:t>
            </w:r>
            <w:r w:rsidRPr="006F1A2A">
              <w:rPr>
                <w:b/>
                <w:bCs/>
                <w:color w:val="FF0000"/>
              </w:rPr>
              <w:t xml:space="preserve">adverse events following immunisation </w:t>
            </w:r>
            <w:r>
              <w:rPr>
                <w:b/>
                <w:bCs/>
                <w:color w:val="FF0000"/>
              </w:rPr>
              <w:t xml:space="preserve">require urgent reporting </w:t>
            </w:r>
          </w:p>
          <w:p w14:paraId="034C619C" w14:textId="3BC833C5" w:rsidR="005F37C7" w:rsidRPr="006C4B3B" w:rsidRDefault="005F37C7" w:rsidP="004A4D7A">
            <w:pPr>
              <w:pStyle w:val="Body"/>
              <w:spacing w:after="60"/>
              <w:rPr>
                <w:b/>
                <w:bCs/>
              </w:rPr>
            </w:pPr>
            <w:r w:rsidRPr="006C4B3B">
              <w:rPr>
                <w:b/>
                <w:bCs/>
              </w:rPr>
              <w:t>AEFI that result in</w:t>
            </w:r>
          </w:p>
          <w:p w14:paraId="0F83092C" w14:textId="37950B9A" w:rsidR="005F37C7" w:rsidRPr="004A4D7A" w:rsidRDefault="005F37C7" w:rsidP="00603DC8">
            <w:pPr>
              <w:pStyle w:val="Body"/>
              <w:numPr>
                <w:ilvl w:val="0"/>
                <w:numId w:val="41"/>
              </w:numPr>
              <w:spacing w:after="60"/>
              <w:ind w:left="584" w:hanging="357"/>
            </w:pPr>
            <w:r w:rsidRPr="004A4D7A">
              <w:t xml:space="preserve">Transfer to </w:t>
            </w:r>
            <w:r w:rsidR="004A4D7A" w:rsidRPr="004A4D7A">
              <w:t xml:space="preserve">hospital care </w:t>
            </w:r>
          </w:p>
          <w:p w14:paraId="04B8D06C" w14:textId="5FE675FF" w:rsidR="004A4D7A" w:rsidRPr="004A4D7A" w:rsidRDefault="004A4D7A" w:rsidP="00603DC8">
            <w:pPr>
              <w:pStyle w:val="Body"/>
              <w:numPr>
                <w:ilvl w:val="0"/>
                <w:numId w:val="41"/>
              </w:numPr>
              <w:spacing w:after="60"/>
              <w:ind w:left="584" w:hanging="357"/>
            </w:pPr>
            <w:r w:rsidRPr="004A4D7A">
              <w:t>CPR</w:t>
            </w:r>
          </w:p>
          <w:p w14:paraId="655F228F" w14:textId="77777777" w:rsidR="004A4D7A" w:rsidRPr="004A4D7A" w:rsidRDefault="004A4D7A" w:rsidP="00603DC8">
            <w:pPr>
              <w:pStyle w:val="Body"/>
              <w:numPr>
                <w:ilvl w:val="0"/>
                <w:numId w:val="41"/>
              </w:numPr>
              <w:spacing w:after="60"/>
              <w:ind w:left="584" w:hanging="357"/>
            </w:pPr>
            <w:r w:rsidRPr="004A4D7A">
              <w:t>Defibrillator use</w:t>
            </w:r>
          </w:p>
          <w:p w14:paraId="618764E2" w14:textId="505C115B" w:rsidR="004A4D7A" w:rsidRPr="004A4D7A" w:rsidRDefault="004A4D7A" w:rsidP="00603DC8">
            <w:pPr>
              <w:pStyle w:val="Body"/>
              <w:numPr>
                <w:ilvl w:val="0"/>
                <w:numId w:val="41"/>
              </w:numPr>
              <w:spacing w:after="60"/>
              <w:ind w:left="584" w:hanging="357"/>
            </w:pPr>
            <w:r w:rsidRPr="004A4D7A">
              <w:t>Life threatening inc</w:t>
            </w:r>
            <w:r w:rsidR="00744DB7">
              <w:t>i</w:t>
            </w:r>
            <w:r w:rsidRPr="004A4D7A">
              <w:t>dents</w:t>
            </w:r>
          </w:p>
          <w:p w14:paraId="517D8C05" w14:textId="5963C568" w:rsidR="004A4D7A" w:rsidRPr="004A4D7A" w:rsidRDefault="004A4D7A" w:rsidP="00603DC8">
            <w:pPr>
              <w:pStyle w:val="Body"/>
              <w:numPr>
                <w:ilvl w:val="0"/>
                <w:numId w:val="41"/>
              </w:numPr>
              <w:spacing w:after="60"/>
              <w:ind w:left="584" w:hanging="357"/>
            </w:pPr>
            <w:r w:rsidRPr="004A4D7A">
              <w:t>Death</w:t>
            </w:r>
          </w:p>
          <w:p w14:paraId="1E6B941D" w14:textId="150FB816" w:rsidR="005F37C7" w:rsidRPr="006C4B3B" w:rsidRDefault="004A4D7A" w:rsidP="00236270">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3A823914" w14:textId="014FDAF0" w:rsidR="004A4D7A" w:rsidRDefault="004A4D7A"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719C7B33" w14:textId="193B640C" w:rsidR="00B15819" w:rsidRPr="00744DB7" w:rsidRDefault="00B15819"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w:t>
            </w:r>
            <w:r w:rsidR="006C4B3B" w:rsidRPr="00744DB7">
              <w:rPr>
                <w:rStyle w:val="normaltextrun"/>
                <w:rFonts w:eastAsia="MS Mincho" w:cs="Arial"/>
              </w:rPr>
              <w:t xml:space="preserve">SAEFVIC </w:t>
            </w:r>
            <w:r w:rsidRPr="00744DB7">
              <w:rPr>
                <w:rStyle w:val="normaltextrun"/>
                <w:rFonts w:eastAsia="MS Mincho" w:cs="Arial"/>
              </w:rPr>
              <w:t>via phone</w:t>
            </w:r>
            <w:r w:rsidR="006C4B3B" w:rsidRPr="00744DB7">
              <w:rPr>
                <w:rStyle w:val="normaltextrun"/>
                <w:rFonts w:eastAsia="MS Mincho" w:cs="Arial"/>
              </w:rPr>
              <w:t xml:space="preserve"> 1300 882 924 (Option 1) </w:t>
            </w:r>
            <w:r w:rsidRPr="00744DB7">
              <w:rPr>
                <w:rStyle w:val="normaltextrun"/>
                <w:rFonts w:eastAsia="MS Mincho" w:cs="Arial"/>
              </w:rPr>
              <w:t xml:space="preserve">Mon-Fri </w:t>
            </w:r>
            <w:r w:rsidR="000F338C">
              <w:rPr>
                <w:rStyle w:val="normaltextrun"/>
                <w:rFonts w:eastAsia="MS Mincho" w:cs="Arial"/>
              </w:rPr>
              <w:t>10</w:t>
            </w:r>
            <w:r w:rsidRPr="00744DB7">
              <w:rPr>
                <w:rStyle w:val="normaltextrun"/>
                <w:rFonts w:eastAsia="MS Mincho" w:cs="Arial"/>
              </w:rPr>
              <w:t xml:space="preserve">am to </w:t>
            </w:r>
            <w:r w:rsidR="000F338C">
              <w:rPr>
                <w:rStyle w:val="normaltextrun"/>
                <w:rFonts w:eastAsia="MS Mincho" w:cs="Arial"/>
              </w:rPr>
              <w:t>2</w:t>
            </w:r>
            <w:r w:rsidRPr="00744DB7">
              <w:rPr>
                <w:rStyle w:val="normaltextrun"/>
                <w:rFonts w:eastAsia="MS Mincho" w:cs="Arial"/>
              </w:rPr>
              <w:t>pm</w:t>
            </w:r>
            <w:r w:rsidR="006C4B3B" w:rsidRPr="00744DB7">
              <w:rPr>
                <w:rStyle w:val="normaltextrun"/>
                <w:rFonts w:eastAsia="MS Mincho" w:cs="Arial"/>
              </w:rPr>
              <w:t xml:space="preserve">) </w:t>
            </w:r>
          </w:p>
          <w:p w14:paraId="188A8830" w14:textId="145C9140" w:rsidR="005F37C7" w:rsidRPr="006F1A2A" w:rsidRDefault="006C4B3B"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 xml:space="preserve">Submit an AEFI report online to </w:t>
            </w:r>
            <w:r w:rsidR="007637AA">
              <w:rPr>
                <w:rStyle w:val="normaltextrun"/>
                <w:rFonts w:eastAsia="MS Mincho" w:cs="Arial"/>
              </w:rPr>
              <w:t>&lt;</w:t>
            </w:r>
            <w:hyperlink r:id="rId115" w:history="1">
              <w:r w:rsidR="007637AA">
                <w:rPr>
                  <w:rStyle w:val="Hyperlink"/>
                  <w:rFonts w:cs="Arial"/>
                  <w:szCs w:val="21"/>
                </w:rPr>
                <w:t>https://www.safevac.org.au/Home/Info/VIC</w:t>
              </w:r>
            </w:hyperlink>
            <w:r w:rsidR="007637AA">
              <w:rPr>
                <w:rStyle w:val="Hyperlink"/>
              </w:rPr>
              <w:t>&gt;</w:t>
            </w:r>
          </w:p>
        </w:tc>
      </w:tr>
    </w:tbl>
    <w:p w14:paraId="3934BBD4" w14:textId="77777777" w:rsidR="00034A4D" w:rsidRDefault="00034A4D" w:rsidP="00F444B1">
      <w:pPr>
        <w:spacing w:after="0" w:line="240" w:lineRule="auto"/>
        <w:rPr>
          <w:rFonts w:eastAsiaTheme="minorHAnsi"/>
          <w:b/>
          <w:bCs/>
          <w:caps/>
          <w:szCs w:val="21"/>
        </w:rPr>
        <w:sectPr w:rsidR="00034A4D" w:rsidSect="00034A4D">
          <w:footerReference w:type="first" r:id="rId116"/>
          <w:pgSz w:w="11906" w:h="16838" w:code="9"/>
          <w:pgMar w:top="1440" w:right="1440" w:bottom="1440" w:left="1440" w:header="680" w:footer="57" w:gutter="0"/>
          <w:cols w:space="340"/>
          <w:docGrid w:linePitch="360"/>
        </w:sectPr>
      </w:pPr>
    </w:p>
    <w:tbl>
      <w:tblPr>
        <w:tblStyle w:val="PlainTable3"/>
        <w:tblpPr w:leftFromText="180" w:rightFromText="180" w:vertAnchor="text" w:horzAnchor="margin" w:tblpXSpec="center" w:tblpY="-639"/>
        <w:tblW w:w="14838" w:type="dxa"/>
        <w:tblLook w:val="04A0" w:firstRow="1" w:lastRow="0" w:firstColumn="1" w:lastColumn="0" w:noHBand="0" w:noVBand="1"/>
      </w:tblPr>
      <w:tblGrid>
        <w:gridCol w:w="2656"/>
        <w:gridCol w:w="2824"/>
        <w:gridCol w:w="2274"/>
        <w:gridCol w:w="3382"/>
        <w:gridCol w:w="3702"/>
      </w:tblGrid>
      <w:tr w:rsidR="00077DBB" w:rsidRPr="006F1A2A" w14:paraId="2C732DE3" w14:textId="77777777" w:rsidTr="00C8575F">
        <w:trPr>
          <w:cnfStyle w:val="100000000000" w:firstRow="1" w:lastRow="0" w:firstColumn="0" w:lastColumn="0" w:oddVBand="0" w:evenVBand="0" w:oddHBand="0" w:evenHBand="0" w:firstRowFirstColumn="0" w:firstRowLastColumn="0" w:lastRowFirstColumn="0" w:lastRowLastColumn="0"/>
          <w:trHeight w:val="850"/>
        </w:trPr>
        <w:tc>
          <w:tcPr>
            <w:cnfStyle w:val="001000000100" w:firstRow="0" w:lastRow="0" w:firstColumn="1" w:lastColumn="0" w:oddVBand="0" w:evenVBand="0" w:oddHBand="0" w:evenHBand="0" w:firstRowFirstColumn="1" w:firstRowLastColumn="0" w:lastRowFirstColumn="0" w:lastRowLastColumn="0"/>
            <w:tcW w:w="2656" w:type="dxa"/>
            <w:tcBorders>
              <w:right w:val="single" w:sz="4" w:space="0" w:color="auto"/>
            </w:tcBorders>
          </w:tcPr>
          <w:p w14:paraId="46159955" w14:textId="77777777" w:rsidR="00077DBB" w:rsidRPr="005D0328" w:rsidRDefault="00077DBB" w:rsidP="00C8575F">
            <w:pPr>
              <w:spacing w:after="0" w:line="240" w:lineRule="auto"/>
              <w:rPr>
                <w:rFonts w:eastAsiaTheme="minorHAnsi"/>
                <w:szCs w:val="21"/>
              </w:rPr>
            </w:pPr>
          </w:p>
        </w:tc>
        <w:tc>
          <w:tcPr>
            <w:tcW w:w="8480" w:type="dxa"/>
            <w:gridSpan w:val="3"/>
            <w:tcBorders>
              <w:left w:val="single" w:sz="4" w:space="0" w:color="auto"/>
            </w:tcBorders>
          </w:tcPr>
          <w:p w14:paraId="0F3182E9"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45A8268C" w14:textId="7033D2F9"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Acute stress response</w:t>
            </w:r>
          </w:p>
        </w:tc>
        <w:tc>
          <w:tcPr>
            <w:tcW w:w="3702" w:type="dxa"/>
            <w:tcBorders>
              <w:left w:val="single" w:sz="4" w:space="0" w:color="auto"/>
            </w:tcBorders>
          </w:tcPr>
          <w:p w14:paraId="06E160F8"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5EDBAC70" w14:textId="7977E036"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aNAPHYLAXIS</w:t>
            </w:r>
          </w:p>
        </w:tc>
      </w:tr>
      <w:tr w:rsidR="00077DBB" w:rsidRPr="006F1A2A" w14:paraId="79E5FCFB" w14:textId="77777777" w:rsidTr="00C85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6" w:type="dxa"/>
          </w:tcPr>
          <w:p w14:paraId="59B43834" w14:textId="77777777" w:rsidR="00077DBB" w:rsidRPr="005D0328" w:rsidRDefault="00077DBB" w:rsidP="00C8575F">
            <w:pPr>
              <w:spacing w:after="0" w:line="240" w:lineRule="auto"/>
              <w:rPr>
                <w:rFonts w:eastAsiaTheme="minorHAnsi"/>
                <w:szCs w:val="21"/>
              </w:rPr>
            </w:pPr>
            <w:r w:rsidRPr="005D0328">
              <w:rPr>
                <w:rFonts w:eastAsiaTheme="minorHAnsi"/>
                <w:szCs w:val="21"/>
              </w:rPr>
              <w:t>Sign and Symptom</w:t>
            </w:r>
          </w:p>
        </w:tc>
        <w:tc>
          <w:tcPr>
            <w:tcW w:w="2824" w:type="dxa"/>
          </w:tcPr>
          <w:p w14:paraId="71DCFB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Vasovagal reaction</w:t>
            </w:r>
          </w:p>
        </w:tc>
        <w:tc>
          <w:tcPr>
            <w:tcW w:w="2274" w:type="dxa"/>
          </w:tcPr>
          <w:p w14:paraId="45A785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 xml:space="preserve">Generalised </w:t>
            </w:r>
          </w:p>
        </w:tc>
        <w:tc>
          <w:tcPr>
            <w:tcW w:w="3382" w:type="dxa"/>
          </w:tcPr>
          <w:p w14:paraId="46C502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Vocal cord dysfunction (VCD)</w:t>
            </w:r>
          </w:p>
        </w:tc>
        <w:tc>
          <w:tcPr>
            <w:tcW w:w="3702" w:type="dxa"/>
            <w:tcBorders>
              <w:left w:val="single" w:sz="4" w:space="0" w:color="auto"/>
            </w:tcBorders>
          </w:tcPr>
          <w:p w14:paraId="0F02CFA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p>
        </w:tc>
      </w:tr>
      <w:tr w:rsidR="00077DBB" w:rsidRPr="006F1A2A" w14:paraId="1EDC9844" w14:textId="77777777" w:rsidTr="00C8575F">
        <w:trPr>
          <w:trHeight w:val="1167"/>
        </w:trPr>
        <w:tc>
          <w:tcPr>
            <w:cnfStyle w:val="001000000000" w:firstRow="0" w:lastRow="0" w:firstColumn="1" w:lastColumn="0" w:oddVBand="0" w:evenVBand="0" w:oddHBand="0" w:evenHBand="0" w:firstRowFirstColumn="0" w:firstRowLastColumn="0" w:lastRowFirstColumn="0" w:lastRowLastColumn="0"/>
            <w:tcW w:w="2656" w:type="dxa"/>
          </w:tcPr>
          <w:p w14:paraId="072720EC" w14:textId="77777777" w:rsidR="00077DBB" w:rsidRPr="005D0328" w:rsidRDefault="00077DBB" w:rsidP="00C8575F">
            <w:pPr>
              <w:spacing w:after="0" w:line="240" w:lineRule="auto"/>
              <w:rPr>
                <w:rFonts w:eastAsiaTheme="minorHAnsi"/>
                <w:szCs w:val="21"/>
              </w:rPr>
            </w:pPr>
            <w:r w:rsidRPr="005D0328">
              <w:rPr>
                <w:rFonts w:eastAsiaTheme="minorHAnsi"/>
                <w:szCs w:val="21"/>
              </w:rPr>
              <w:t>Onset (after injection)</w:t>
            </w:r>
          </w:p>
        </w:tc>
        <w:tc>
          <w:tcPr>
            <w:tcW w:w="2824" w:type="dxa"/>
          </w:tcPr>
          <w:p w14:paraId="0326BB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 May present after 5 mins if the individual stands suddenly</w:t>
            </w:r>
          </w:p>
        </w:tc>
        <w:tc>
          <w:tcPr>
            <w:tcW w:w="2274" w:type="dxa"/>
          </w:tcPr>
          <w:p w14:paraId="7FF024B2"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w:t>
            </w:r>
          </w:p>
        </w:tc>
        <w:tc>
          <w:tcPr>
            <w:tcW w:w="3382" w:type="dxa"/>
          </w:tcPr>
          <w:p w14:paraId="3ABCCF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A few seconds to minutes after injection and up to 2 hours post administration. </w:t>
            </w:r>
          </w:p>
        </w:tc>
        <w:tc>
          <w:tcPr>
            <w:tcW w:w="3702" w:type="dxa"/>
            <w:tcBorders>
              <w:left w:val="single" w:sz="4" w:space="0" w:color="auto"/>
            </w:tcBorders>
          </w:tcPr>
          <w:p w14:paraId="786D94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Within 30 mins after injection most start within 15 mins. In rare cases in can be within 60 mins</w:t>
            </w:r>
          </w:p>
        </w:tc>
      </w:tr>
      <w:tr w:rsidR="00077DBB" w:rsidRPr="006F1A2A" w14:paraId="1BA86A1A"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0FCA33DC" w14:textId="77777777" w:rsidR="00077DBB" w:rsidRPr="005D0328" w:rsidRDefault="00077DBB" w:rsidP="00C8575F">
            <w:pPr>
              <w:spacing w:after="0" w:line="240" w:lineRule="auto"/>
              <w:rPr>
                <w:rFonts w:ascii="Calibri" w:eastAsia="Calibri" w:hAnsi="Calibri" w:cs="Calibri"/>
                <w:color w:val="1F497D"/>
                <w:szCs w:val="21"/>
              </w:rPr>
            </w:pPr>
            <w:r w:rsidRPr="005D0328">
              <w:rPr>
                <w:rFonts w:eastAsiaTheme="minorHAnsi"/>
                <w:szCs w:val="21"/>
              </w:rPr>
              <w:t>Clustering*</w:t>
            </w:r>
            <w:r w:rsidRPr="005D0328">
              <w:rPr>
                <w:rFonts w:ascii="Calibri" w:eastAsia="Calibri" w:hAnsi="Calibri" w:cs="Calibri"/>
                <w:color w:val="1F497D"/>
                <w:szCs w:val="21"/>
              </w:rPr>
              <w:t xml:space="preserve"> </w:t>
            </w:r>
          </w:p>
        </w:tc>
        <w:tc>
          <w:tcPr>
            <w:tcW w:w="2824" w:type="dxa"/>
          </w:tcPr>
          <w:p w14:paraId="5B34398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2274" w:type="dxa"/>
          </w:tcPr>
          <w:p w14:paraId="7D8F587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382" w:type="dxa"/>
          </w:tcPr>
          <w:p w14:paraId="7F40B89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702" w:type="dxa"/>
            <w:tcBorders>
              <w:left w:val="single" w:sz="4" w:space="0" w:color="auto"/>
            </w:tcBorders>
          </w:tcPr>
          <w:p w14:paraId="70F5AAD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Uncommon</w:t>
            </w:r>
          </w:p>
        </w:tc>
      </w:tr>
      <w:tr w:rsidR="00077DBB" w:rsidRPr="006F1A2A" w14:paraId="35E6A876" w14:textId="77777777" w:rsidTr="00C8575F">
        <w:trPr>
          <w:trHeight w:val="298"/>
        </w:trPr>
        <w:tc>
          <w:tcPr>
            <w:cnfStyle w:val="001000000000" w:firstRow="0" w:lastRow="0" w:firstColumn="1" w:lastColumn="0" w:oddVBand="0" w:evenVBand="0" w:oddHBand="0" w:evenHBand="0" w:firstRowFirstColumn="0" w:firstRowLastColumn="0" w:lastRowFirstColumn="0" w:lastRowLastColumn="0"/>
            <w:tcW w:w="2656" w:type="dxa"/>
          </w:tcPr>
          <w:p w14:paraId="26FB397E" w14:textId="77777777" w:rsidR="00077DBB" w:rsidRPr="005D0328" w:rsidRDefault="00077DBB" w:rsidP="00C8575F">
            <w:pPr>
              <w:spacing w:after="0" w:line="240" w:lineRule="auto"/>
              <w:rPr>
                <w:rFonts w:eastAsiaTheme="minorHAnsi"/>
                <w:szCs w:val="21"/>
              </w:rPr>
            </w:pPr>
            <w:r w:rsidRPr="005D0328">
              <w:rPr>
                <w:rFonts w:eastAsiaTheme="minorHAnsi"/>
                <w:szCs w:val="21"/>
              </w:rPr>
              <w:t>Serum Tryptase</w:t>
            </w:r>
          </w:p>
        </w:tc>
        <w:tc>
          <w:tcPr>
            <w:tcW w:w="2824" w:type="dxa"/>
          </w:tcPr>
          <w:p w14:paraId="0ED96CA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2274" w:type="dxa"/>
          </w:tcPr>
          <w:p w14:paraId="4629AF9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382" w:type="dxa"/>
          </w:tcPr>
          <w:p w14:paraId="4840F4F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702" w:type="dxa"/>
            <w:tcBorders>
              <w:left w:val="single" w:sz="4" w:space="0" w:color="auto"/>
            </w:tcBorders>
          </w:tcPr>
          <w:p w14:paraId="7F017BE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Elevated </w:t>
            </w:r>
          </w:p>
          <w:p w14:paraId="76FBD35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p>
        </w:tc>
      </w:tr>
      <w:tr w:rsidR="00077DBB" w:rsidRPr="006F1A2A" w14:paraId="05F3A8E4"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6CD98F35" w14:textId="77777777" w:rsidR="00077DBB" w:rsidRPr="005D0328" w:rsidRDefault="00077DBB" w:rsidP="00C8575F">
            <w:pPr>
              <w:spacing w:after="0" w:line="240" w:lineRule="auto"/>
              <w:rPr>
                <w:rFonts w:eastAsiaTheme="minorHAnsi"/>
                <w:szCs w:val="21"/>
              </w:rPr>
            </w:pPr>
            <w:r w:rsidRPr="005D0328">
              <w:rPr>
                <w:rFonts w:eastAsiaTheme="minorHAnsi"/>
                <w:szCs w:val="21"/>
              </w:rPr>
              <w:t>system</w:t>
            </w:r>
          </w:p>
        </w:tc>
        <w:tc>
          <w:tcPr>
            <w:tcW w:w="2824" w:type="dxa"/>
          </w:tcPr>
          <w:p w14:paraId="7157C40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2274" w:type="dxa"/>
          </w:tcPr>
          <w:p w14:paraId="4F07865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6EB8F2E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484B25BD"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r>
      <w:tr w:rsidR="00077DBB" w:rsidRPr="006F1A2A" w14:paraId="5C761C96"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6FA2F583" w14:textId="77777777" w:rsidR="00077DBB" w:rsidRPr="005D0328" w:rsidRDefault="00077DBB" w:rsidP="00C8575F">
            <w:pPr>
              <w:spacing w:after="0" w:line="240" w:lineRule="auto"/>
              <w:rPr>
                <w:rFonts w:eastAsiaTheme="minorHAnsi"/>
                <w:szCs w:val="21"/>
              </w:rPr>
            </w:pPr>
            <w:r w:rsidRPr="005D0328">
              <w:rPr>
                <w:rFonts w:eastAsiaTheme="minorHAnsi"/>
                <w:szCs w:val="21"/>
              </w:rPr>
              <w:t>Neurological and other symptoms</w:t>
            </w:r>
          </w:p>
        </w:tc>
        <w:tc>
          <w:tcPr>
            <w:tcW w:w="2824" w:type="dxa"/>
          </w:tcPr>
          <w:p w14:paraId="59B195C1"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Fainting sensation, dizziness, loss of consciousness in some cases or head spinning.</w:t>
            </w:r>
          </w:p>
          <w:p w14:paraId="0CCAEE00" w14:textId="652437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Transient loss consciousness with good response to lying flat, with or without </w:t>
            </w:r>
            <w:r w:rsidR="00755924">
              <w:rPr>
                <w:rFonts w:eastAsiaTheme="minorHAnsi"/>
                <w:szCs w:val="21"/>
              </w:rPr>
              <w:t>T</w:t>
            </w:r>
            <w:r w:rsidRPr="005D0328">
              <w:rPr>
                <w:rFonts w:eastAsiaTheme="minorHAnsi"/>
                <w:szCs w:val="21"/>
              </w:rPr>
              <w:t>onic-</w:t>
            </w:r>
            <w:r w:rsidR="00755924">
              <w:rPr>
                <w:rFonts w:eastAsiaTheme="minorHAnsi"/>
                <w:szCs w:val="21"/>
              </w:rPr>
              <w:t>C</w:t>
            </w:r>
            <w:r w:rsidRPr="005D0328">
              <w:rPr>
                <w:rFonts w:eastAsiaTheme="minorHAnsi"/>
                <w:szCs w:val="21"/>
              </w:rPr>
              <w:t>lonic seizure</w:t>
            </w:r>
          </w:p>
        </w:tc>
        <w:tc>
          <w:tcPr>
            <w:tcW w:w="2274" w:type="dxa"/>
          </w:tcPr>
          <w:p w14:paraId="6019242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382" w:type="dxa"/>
          </w:tcPr>
          <w:p w14:paraId="3F8CE82D"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702" w:type="dxa"/>
            <w:tcBorders>
              <w:left w:val="single" w:sz="4" w:space="0" w:color="auto"/>
            </w:tcBorders>
          </w:tcPr>
          <w:p w14:paraId="1BB3D16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Uneasiness, restlessness, agitation, </w:t>
            </w:r>
            <w:r w:rsidRPr="005D0328">
              <w:rPr>
                <w:rFonts w:eastAsiaTheme="minorHAnsi" w:cstheme="minorHAnsi"/>
                <w:szCs w:val="21"/>
              </w:rPr>
              <w:t>loss</w:t>
            </w:r>
            <w:r w:rsidRPr="005D0328">
              <w:rPr>
                <w:rFonts w:eastAsiaTheme="minorHAnsi"/>
                <w:szCs w:val="21"/>
              </w:rPr>
              <w:t xml:space="preserve"> of </w:t>
            </w:r>
            <w:r w:rsidRPr="005D0328">
              <w:rPr>
                <w:rFonts w:eastAsiaTheme="minorHAnsi" w:cstheme="minorHAnsi"/>
                <w:szCs w:val="21"/>
              </w:rPr>
              <w:t>consciousness,</w:t>
            </w:r>
            <w:r w:rsidRPr="005D0328">
              <w:rPr>
                <w:rFonts w:eastAsiaTheme="minorHAnsi"/>
                <w:szCs w:val="21"/>
              </w:rPr>
              <w:t xml:space="preserve"> little response </w:t>
            </w:r>
            <w:r w:rsidRPr="005D0328">
              <w:rPr>
                <w:rFonts w:eastAsiaTheme="minorHAnsi" w:cstheme="minorHAnsi"/>
                <w:szCs w:val="21"/>
              </w:rPr>
              <w:t>when</w:t>
            </w:r>
            <w:r w:rsidRPr="005D0328">
              <w:rPr>
                <w:rFonts w:eastAsiaTheme="minorHAnsi"/>
                <w:szCs w:val="21"/>
              </w:rPr>
              <w:t xml:space="preserve"> supine </w:t>
            </w:r>
            <w:r w:rsidRPr="005D0328">
              <w:rPr>
                <w:rFonts w:eastAsiaTheme="minorHAnsi" w:cstheme="minorHAnsi"/>
                <w:szCs w:val="21"/>
              </w:rPr>
              <w:t xml:space="preserve">or lying </w:t>
            </w:r>
            <w:r w:rsidRPr="005D0328">
              <w:rPr>
                <w:rFonts w:eastAsiaTheme="minorHAnsi"/>
                <w:szCs w:val="21"/>
              </w:rPr>
              <w:t>flat</w:t>
            </w:r>
          </w:p>
        </w:tc>
      </w:tr>
      <w:tr w:rsidR="00077DBB" w:rsidRPr="006F1A2A" w14:paraId="46325ACB" w14:textId="77777777" w:rsidTr="00C8575F">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2656" w:type="dxa"/>
          </w:tcPr>
          <w:p w14:paraId="3A33861A" w14:textId="77777777" w:rsidR="00077DBB" w:rsidRPr="005D0328" w:rsidRDefault="00077DBB" w:rsidP="00C8575F">
            <w:pPr>
              <w:spacing w:after="0" w:line="240" w:lineRule="auto"/>
              <w:rPr>
                <w:rFonts w:eastAsiaTheme="minorHAnsi"/>
                <w:szCs w:val="21"/>
              </w:rPr>
            </w:pPr>
            <w:r w:rsidRPr="005D0328">
              <w:rPr>
                <w:rFonts w:eastAsiaTheme="minorHAnsi"/>
                <w:noProof/>
                <w:szCs w:val="21"/>
              </w:rPr>
              <mc:AlternateContent>
                <mc:Choice Requires="wps">
                  <w:drawing>
                    <wp:anchor distT="45720" distB="45720" distL="114300" distR="114300" simplePos="0" relativeHeight="251658240" behindDoc="0" locked="0" layoutInCell="1" allowOverlap="1" wp14:anchorId="3C3FC607" wp14:editId="759CCEE9">
                      <wp:simplePos x="0" y="0"/>
                      <wp:positionH relativeFrom="column">
                        <wp:posOffset>64190</wp:posOffset>
                      </wp:positionH>
                      <wp:positionV relativeFrom="paragraph">
                        <wp:posOffset>2283957</wp:posOffset>
                      </wp:positionV>
                      <wp:extent cx="9374588" cy="1404620"/>
                      <wp:effectExtent l="0" t="0" r="0" b="0"/>
                      <wp:wrapNone/>
                      <wp:docPr id="2083948384" name="Text Box 208394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88" cy="1404620"/>
                              </a:xfrm>
                              <a:prstGeom prst="rect">
                                <a:avLst/>
                              </a:prstGeom>
                              <a:solidFill>
                                <a:srgbClr val="FFFFFF"/>
                              </a:solidFill>
                              <a:ln w="9525">
                                <a:noFill/>
                                <a:miter lim="800000"/>
                                <a:headEnd/>
                                <a:tailEnd/>
                              </a:ln>
                            </wps:spPr>
                            <wps:txbx>
                              <w:txbxContent>
                                <w:p w14:paraId="4DEBC91A" w14:textId="77777777" w:rsidR="00077DBB" w:rsidRPr="00BE7AA7" w:rsidRDefault="00077DBB" w:rsidP="00077DBB">
                                  <w:pPr>
                                    <w:rPr>
                                      <w:color w:val="0070C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FC607" id="_x0000_t202" coordsize="21600,21600" o:spt="202" path="m,l,21600r21600,l21600,xe">
                      <v:stroke joinstyle="miter"/>
                      <v:path gradientshapeok="t" o:connecttype="rect"/>
                    </v:shapetype>
                    <v:shape id="Text Box 2083948384" o:spid="_x0000_s1026" type="#_x0000_t202" style="position:absolute;margin-left:5.05pt;margin-top:179.85pt;width:738.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l8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" stroked="f">
                      <v:textbox style="mso-fit-shape-to-text:t">
                        <w:txbxContent>
                          <w:p w14:paraId="4DEBC91A" w14:textId="77777777" w:rsidR="00077DBB" w:rsidRPr="00BE7AA7" w:rsidRDefault="00077DBB" w:rsidP="00077DBB">
                            <w:pPr>
                              <w:rPr>
                                <w:color w:val="0070C0"/>
                              </w:rPr>
                            </w:pPr>
                          </w:p>
                        </w:txbxContent>
                      </v:textbox>
                    </v:shape>
                  </w:pict>
                </mc:Fallback>
              </mc:AlternateContent>
            </w:r>
            <w:r w:rsidRPr="005D0328">
              <w:rPr>
                <w:rFonts w:eastAsiaTheme="minorHAnsi"/>
                <w:szCs w:val="21"/>
              </w:rPr>
              <w:t>Respiratory</w:t>
            </w:r>
          </w:p>
        </w:tc>
        <w:tc>
          <w:tcPr>
            <w:tcW w:w="2824" w:type="dxa"/>
          </w:tcPr>
          <w:p w14:paraId="65AC6497"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Normal to deep breaths, can be slow with a few seconds of apnoea in some cases.</w:t>
            </w:r>
          </w:p>
        </w:tc>
        <w:tc>
          <w:tcPr>
            <w:tcW w:w="2274" w:type="dxa"/>
          </w:tcPr>
          <w:p w14:paraId="219BEA3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Fast and shallow, difficulty getting air in,</w:t>
            </w:r>
          </w:p>
          <w:p w14:paraId="757444DF"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08830E8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D04F7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occur</w:t>
            </w:r>
          </w:p>
        </w:tc>
        <w:tc>
          <w:tcPr>
            <w:tcW w:w="3382" w:type="dxa"/>
          </w:tcPr>
          <w:p w14:paraId="20866C7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Difficulty getting air in,</w:t>
            </w:r>
          </w:p>
          <w:p w14:paraId="5FFAF2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3934505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F9F6C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usually occur</w:t>
            </w:r>
          </w:p>
          <w:p w14:paraId="5E7D622C"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Audible wheeze without auscultation.</w:t>
            </w:r>
          </w:p>
          <w:p w14:paraId="0B2C141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Symptoms out of proportion to objective measures. </w:t>
            </w:r>
          </w:p>
          <w:p w14:paraId="350AA11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Voice often quiet</w:t>
            </w:r>
          </w:p>
        </w:tc>
        <w:tc>
          <w:tcPr>
            <w:tcW w:w="3702" w:type="dxa"/>
            <w:tcBorders>
              <w:left w:val="single" w:sz="4" w:space="0" w:color="auto"/>
            </w:tcBorders>
          </w:tcPr>
          <w:p w14:paraId="73D31C8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Respiratory difficulties, coughing, sneezing, wheezing, stridor.</w:t>
            </w:r>
          </w:p>
          <w:p w14:paraId="04F9C50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In severe cases respiratory arrest. </w:t>
            </w:r>
          </w:p>
          <w:p w14:paraId="7D0865B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Hypoxia can occur. </w:t>
            </w:r>
          </w:p>
        </w:tc>
      </w:tr>
      <w:tr w:rsidR="00077DBB" w:rsidRPr="006F1A2A" w14:paraId="73B06961" w14:textId="77777777" w:rsidTr="00C8575F">
        <w:trPr>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14D204C7" w14:textId="77777777" w:rsidR="00077DBB" w:rsidRPr="005D0328" w:rsidRDefault="00077DBB" w:rsidP="00C8575F">
            <w:pPr>
              <w:spacing w:after="0" w:line="240" w:lineRule="auto"/>
              <w:rPr>
                <w:rFonts w:eastAsiaTheme="minorHAnsi"/>
                <w:szCs w:val="21"/>
              </w:rPr>
            </w:pPr>
            <w:r w:rsidRPr="005D0328">
              <w:rPr>
                <w:rFonts w:eastAsiaTheme="minorHAnsi"/>
                <w:szCs w:val="21"/>
              </w:rPr>
              <w:t>Cardiovascular</w:t>
            </w:r>
          </w:p>
        </w:tc>
        <w:tc>
          <w:tcPr>
            <w:tcW w:w="2824" w:type="dxa"/>
          </w:tcPr>
          <w:p w14:paraId="580DF0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w:t>
            </w:r>
            <w:r w:rsidRPr="005D0328">
              <w:rPr>
                <w:rFonts w:eastAsiaTheme="minorHAnsi" w:cstheme="minorHAnsi"/>
                <w:szCs w:val="21"/>
              </w:rPr>
              <w:t xml:space="preserve"> with or without </w:t>
            </w:r>
            <w:r w:rsidRPr="005D0328">
              <w:rPr>
                <w:rFonts w:eastAsiaTheme="minorHAnsi"/>
                <w:i/>
                <w:szCs w:val="21"/>
              </w:rPr>
              <w:t>transient</w:t>
            </w:r>
            <w:r w:rsidRPr="005D0328">
              <w:rPr>
                <w:rFonts w:eastAsiaTheme="minorHAnsi"/>
                <w:szCs w:val="21"/>
              </w:rPr>
              <w:t xml:space="preserve"> </w:t>
            </w:r>
            <w:r w:rsidRPr="005D0328">
              <w:rPr>
                <w:rFonts w:eastAsiaTheme="minorHAnsi" w:cstheme="minorHAnsi"/>
                <w:szCs w:val="21"/>
              </w:rPr>
              <w:t>↓in blood pressure</w:t>
            </w:r>
          </w:p>
          <w:p w14:paraId="29CC7C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Preserved carotid pulse</w:t>
            </w:r>
          </w:p>
          <w:p w14:paraId="24CD653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Transient hypotension can occur</w:t>
            </w:r>
          </w:p>
        </w:tc>
        <w:tc>
          <w:tcPr>
            <w:tcW w:w="2274" w:type="dxa"/>
          </w:tcPr>
          <w:p w14:paraId="76B0DB19"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79D252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 Chest pain</w:t>
            </w:r>
          </w:p>
        </w:tc>
        <w:tc>
          <w:tcPr>
            <w:tcW w:w="3382" w:type="dxa"/>
          </w:tcPr>
          <w:p w14:paraId="14B031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465D68F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w:t>
            </w:r>
          </w:p>
        </w:tc>
        <w:tc>
          <w:tcPr>
            <w:tcW w:w="3702" w:type="dxa"/>
            <w:tcBorders>
              <w:left w:val="single" w:sz="4" w:space="0" w:color="auto"/>
            </w:tcBorders>
          </w:tcPr>
          <w:p w14:paraId="0891B9D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 ↓</w:t>
            </w:r>
            <w:r w:rsidRPr="005D0328">
              <w:rPr>
                <w:rFonts w:eastAsiaTheme="minorHAnsi" w:cstheme="minorHAnsi"/>
                <w:szCs w:val="21"/>
              </w:rPr>
              <w:t xml:space="preserve"> blood pressure</w:t>
            </w:r>
            <w:r w:rsidRPr="005D0328">
              <w:rPr>
                <w:rFonts w:eastAsiaTheme="minorHAnsi"/>
                <w:szCs w:val="21"/>
              </w:rPr>
              <w:t>, circulatory arrest</w:t>
            </w:r>
          </w:p>
          <w:p w14:paraId="5992E6E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 </w:t>
            </w:r>
          </w:p>
        </w:tc>
      </w:tr>
      <w:tr w:rsidR="00077DBB" w:rsidRPr="006F1A2A" w14:paraId="7DF7D32C" w14:textId="77777777" w:rsidTr="00C8575F">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51C7A30D" w14:textId="77777777" w:rsidR="00077DBB" w:rsidRPr="005D0328" w:rsidRDefault="00077DBB" w:rsidP="00C8575F">
            <w:pPr>
              <w:spacing w:after="0" w:line="240" w:lineRule="auto"/>
              <w:rPr>
                <w:rFonts w:eastAsiaTheme="minorHAnsi"/>
                <w:szCs w:val="21"/>
              </w:rPr>
            </w:pPr>
            <w:r w:rsidRPr="005D0328">
              <w:rPr>
                <w:rFonts w:eastAsiaTheme="minorHAnsi"/>
                <w:szCs w:val="21"/>
              </w:rPr>
              <w:t>Skin</w:t>
            </w:r>
          </w:p>
        </w:tc>
        <w:tc>
          <w:tcPr>
            <w:tcW w:w="2824" w:type="dxa"/>
          </w:tcPr>
          <w:p w14:paraId="72C70A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Diaphoresis, clammy skin, pallor,</w:t>
            </w:r>
          </w:p>
          <w:p w14:paraId="58E8F116"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sense of warmness over skin.</w:t>
            </w:r>
          </w:p>
        </w:tc>
        <w:tc>
          <w:tcPr>
            <w:tcW w:w="2274" w:type="dxa"/>
          </w:tcPr>
          <w:p w14:paraId="7B75B706" w14:textId="67505E4E"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6DFB5F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5F97612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4D766CEE" w14:textId="47035E95"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533DD1E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05AA9D4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7D5F96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Warm skin progressing to clammy and pallor,</w:t>
            </w:r>
          </w:p>
          <w:p w14:paraId="5722C4C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pruritus and urticaria,</w:t>
            </w:r>
          </w:p>
          <w:p w14:paraId="6BE2FC5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swelling of the face and tongue</w:t>
            </w:r>
          </w:p>
        </w:tc>
      </w:tr>
      <w:tr w:rsidR="00077DBB" w:rsidRPr="006F1A2A" w14:paraId="4613F525" w14:textId="77777777" w:rsidTr="00C8575F">
        <w:trPr>
          <w:trHeight w:val="883"/>
        </w:trPr>
        <w:tc>
          <w:tcPr>
            <w:cnfStyle w:val="001000000000" w:firstRow="0" w:lastRow="0" w:firstColumn="1" w:lastColumn="0" w:oddVBand="0" w:evenVBand="0" w:oddHBand="0" w:evenHBand="0" w:firstRowFirstColumn="0" w:firstRowLastColumn="0" w:lastRowFirstColumn="0" w:lastRowLastColumn="0"/>
            <w:tcW w:w="2656" w:type="dxa"/>
          </w:tcPr>
          <w:p w14:paraId="276D2E1B" w14:textId="77777777" w:rsidR="00077DBB" w:rsidRPr="005D0328" w:rsidRDefault="00077DBB" w:rsidP="00C8575F">
            <w:pPr>
              <w:spacing w:after="0" w:line="240" w:lineRule="auto"/>
              <w:rPr>
                <w:rFonts w:eastAsiaTheme="minorHAnsi"/>
                <w:szCs w:val="21"/>
              </w:rPr>
            </w:pPr>
            <w:r w:rsidRPr="005D0328">
              <w:rPr>
                <w:rFonts w:eastAsiaTheme="minorHAnsi"/>
                <w:szCs w:val="21"/>
              </w:rPr>
              <w:t>Gastrointestinal</w:t>
            </w:r>
          </w:p>
        </w:tc>
        <w:tc>
          <w:tcPr>
            <w:tcW w:w="2824" w:type="dxa"/>
          </w:tcPr>
          <w:p w14:paraId="228E83A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cramps</w:t>
            </w:r>
          </w:p>
        </w:tc>
        <w:tc>
          <w:tcPr>
            <w:tcW w:w="2274" w:type="dxa"/>
          </w:tcPr>
          <w:p w14:paraId="505E2A5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w:t>
            </w:r>
          </w:p>
        </w:tc>
        <w:tc>
          <w:tcPr>
            <w:tcW w:w="3382" w:type="dxa"/>
          </w:tcPr>
          <w:p w14:paraId="478BF33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Rarely</w:t>
            </w:r>
          </w:p>
        </w:tc>
        <w:tc>
          <w:tcPr>
            <w:tcW w:w="3702" w:type="dxa"/>
            <w:tcBorders>
              <w:left w:val="single" w:sz="4" w:space="0" w:color="auto"/>
            </w:tcBorders>
          </w:tcPr>
          <w:p w14:paraId="5EFDB4F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pain, diarrhoea (this can be pronounced with incontinence)</w:t>
            </w:r>
          </w:p>
        </w:tc>
      </w:tr>
      <w:tr w:rsidR="00077DBB" w:rsidRPr="006F1A2A" w14:paraId="744CD5FF" w14:textId="77777777" w:rsidTr="00C8575F">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56" w:type="dxa"/>
          </w:tcPr>
          <w:p w14:paraId="06B053A1" w14:textId="77777777" w:rsidR="00077DBB" w:rsidRPr="005D0328" w:rsidRDefault="00077DBB" w:rsidP="00C8575F">
            <w:pPr>
              <w:spacing w:after="0" w:line="240" w:lineRule="auto"/>
              <w:rPr>
                <w:rFonts w:eastAsiaTheme="minorHAnsi"/>
                <w:szCs w:val="21"/>
              </w:rPr>
            </w:pPr>
            <w:r w:rsidRPr="005D0328">
              <w:rPr>
                <w:rFonts w:eastAsiaTheme="minorHAnsi"/>
                <w:szCs w:val="21"/>
              </w:rPr>
              <w:t>Treatment</w:t>
            </w:r>
          </w:p>
        </w:tc>
        <w:tc>
          <w:tcPr>
            <w:tcW w:w="2824" w:type="dxa"/>
          </w:tcPr>
          <w:p w14:paraId="3584EA08" w14:textId="38E3DB6D"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client in a recumbent position and elevate legs above head</w:t>
            </w:r>
          </w:p>
          <w:p w14:paraId="471304A1" w14:textId="1865BD1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Ventilate the room well</w:t>
            </w:r>
          </w:p>
          <w:p w14:paraId="3FA57885" w14:textId="1213E2B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4A0D4C9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tc>
        <w:tc>
          <w:tcPr>
            <w:tcW w:w="2274" w:type="dxa"/>
          </w:tcPr>
          <w:p w14:paraId="7B4071F4" w14:textId="113ED0EC"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72609ED0" w14:textId="31E1A78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FB997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w:t>
            </w:r>
          </w:p>
        </w:tc>
        <w:tc>
          <w:tcPr>
            <w:tcW w:w="3382" w:type="dxa"/>
          </w:tcPr>
          <w:p w14:paraId="0DF4542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14C0366" w14:textId="24A80A02"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 or a warm drink</w:t>
            </w:r>
          </w:p>
        </w:tc>
        <w:tc>
          <w:tcPr>
            <w:tcW w:w="3702" w:type="dxa"/>
            <w:tcBorders>
              <w:left w:val="single" w:sz="4" w:space="0" w:color="auto"/>
            </w:tcBorders>
          </w:tcPr>
          <w:p w14:paraId="0C2B4D9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As per anaphylaxis guidelines</w:t>
            </w:r>
          </w:p>
        </w:tc>
      </w:tr>
      <w:tr w:rsidR="00077DBB" w:rsidRPr="006F1A2A" w14:paraId="302F3EB5"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42BA9BA9" w14:textId="77777777" w:rsidR="00077DBB" w:rsidRPr="005D0328" w:rsidRDefault="00077DBB" w:rsidP="00C8575F">
            <w:pPr>
              <w:spacing w:after="0" w:line="240" w:lineRule="auto"/>
              <w:rPr>
                <w:rFonts w:eastAsiaTheme="minorHAnsi"/>
                <w:szCs w:val="21"/>
              </w:rPr>
            </w:pPr>
            <w:r w:rsidRPr="005D0328">
              <w:rPr>
                <w:rFonts w:eastAsiaTheme="minorHAnsi"/>
                <w:szCs w:val="21"/>
              </w:rPr>
              <w:t>Prevention</w:t>
            </w:r>
          </w:p>
        </w:tc>
        <w:tc>
          <w:tcPr>
            <w:tcW w:w="2824" w:type="dxa"/>
          </w:tcPr>
          <w:p w14:paraId="0BF27E56" w14:textId="1FEC50C8"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a standing person </w:t>
            </w:r>
          </w:p>
          <w:p w14:paraId="70E557D8" w14:textId="73341F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Before vaccinating ask if the person tends to faint, if </w:t>
            </w:r>
            <w:r w:rsidR="006B5FFE" w:rsidRPr="005D0328">
              <w:rPr>
                <w:rFonts w:eastAsiaTheme="minorHAnsi"/>
                <w:szCs w:val="21"/>
              </w:rPr>
              <w:t>so,</w:t>
            </w:r>
            <w:r w:rsidRPr="005D0328">
              <w:rPr>
                <w:rFonts w:eastAsiaTheme="minorHAnsi"/>
                <w:szCs w:val="21"/>
              </w:rPr>
              <w:t xml:space="preserve"> ask patient to lie down. </w:t>
            </w:r>
          </w:p>
        </w:tc>
        <w:tc>
          <w:tcPr>
            <w:tcW w:w="2274" w:type="dxa"/>
          </w:tcPr>
          <w:p w14:paraId="2967F8EC" w14:textId="47E3D023"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person if they are prone to anxiety/stress episodes. If so, ask for measures which assist person</w:t>
            </w:r>
          </w:p>
          <w:p w14:paraId="14C54E8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standing up </w:t>
            </w:r>
          </w:p>
        </w:tc>
        <w:tc>
          <w:tcPr>
            <w:tcW w:w="3382" w:type="dxa"/>
          </w:tcPr>
          <w:p w14:paraId="70624DE2" w14:textId="09B4B37F"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person has a past history of VCD. If so</w:t>
            </w:r>
            <w:r w:rsidR="007A15FA">
              <w:rPr>
                <w:rFonts w:eastAsiaTheme="minorHAnsi"/>
                <w:szCs w:val="21"/>
              </w:rPr>
              <w:t>,</w:t>
            </w:r>
            <w:r w:rsidRPr="005D0328">
              <w:rPr>
                <w:rFonts w:eastAsiaTheme="minorHAnsi"/>
                <w:szCs w:val="21"/>
              </w:rPr>
              <w:t xml:space="preserve"> ask which measures assist in managing condition. </w:t>
            </w:r>
          </w:p>
        </w:tc>
        <w:tc>
          <w:tcPr>
            <w:tcW w:w="3702" w:type="dxa"/>
            <w:tcBorders>
              <w:left w:val="single" w:sz="4" w:space="0" w:color="auto"/>
            </w:tcBorders>
          </w:tcPr>
          <w:p w14:paraId="0652C3D4"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the person has had anaphylaxis to any vaccine components</w:t>
            </w:r>
          </w:p>
        </w:tc>
      </w:tr>
    </w:tbl>
    <w:p w14:paraId="196152D0" w14:textId="77777777" w:rsidR="00077DBB" w:rsidRDefault="00077DBB" w:rsidP="00C841D7">
      <w:pPr>
        <w:pStyle w:val="Body"/>
        <w:spacing w:line="240" w:lineRule="auto"/>
        <w:rPr>
          <w:sz w:val="16"/>
          <w:szCs w:val="16"/>
        </w:rPr>
      </w:pPr>
      <w:r w:rsidRPr="006F1A2A">
        <w:rPr>
          <w:sz w:val="16"/>
          <w:szCs w:val="16"/>
        </w:rPr>
        <w:t>NB: At times only one symptom may be present for each of the conditions. i.e. Anaphylaxis may have only hypotension without cutaneous or respiratory symptoms or a vasovagal may just present with loss of consciousness</w:t>
      </w:r>
    </w:p>
    <w:p w14:paraId="7586CE36" w14:textId="0BD169CD" w:rsidR="0001641B" w:rsidRPr="00B9256C" w:rsidRDefault="00E213F3" w:rsidP="00C841D7">
      <w:pPr>
        <w:pStyle w:val="Body"/>
        <w:spacing w:after="0" w:line="240" w:lineRule="auto"/>
        <w:rPr>
          <w:i/>
          <w:iCs/>
          <w:sz w:val="16"/>
          <w:szCs w:val="16"/>
        </w:rPr>
      </w:pPr>
      <w:r w:rsidRPr="00B9256C">
        <w:rPr>
          <w:i/>
          <w:iCs/>
          <w:sz w:val="16"/>
          <w:szCs w:val="16"/>
        </w:rPr>
        <w:t xml:space="preserve">Guidance </w:t>
      </w:r>
      <w:r w:rsidR="00B96D08">
        <w:rPr>
          <w:i/>
          <w:iCs/>
          <w:sz w:val="16"/>
          <w:szCs w:val="16"/>
        </w:rPr>
        <w:t>–</w:t>
      </w:r>
      <w:r w:rsidRPr="00B9256C">
        <w:rPr>
          <w:i/>
          <w:iCs/>
          <w:sz w:val="16"/>
          <w:szCs w:val="16"/>
        </w:rPr>
        <w:t xml:space="preserve"> differentiating anaphylaxis from acute stress response for vaccine providers and emergency departments</w:t>
      </w:r>
    </w:p>
    <w:p w14:paraId="1F85836B" w14:textId="2289298F" w:rsidR="00077DBB" w:rsidRPr="006F1A2A" w:rsidRDefault="00C841D7" w:rsidP="00C841D7">
      <w:pPr>
        <w:pStyle w:val="Body"/>
        <w:spacing w:after="0"/>
        <w:rPr>
          <w:sz w:val="16"/>
          <w:szCs w:val="16"/>
        </w:rPr>
        <w:sectPr w:rsidR="00077DBB" w:rsidRPr="006F1A2A" w:rsidSect="00034A4D">
          <w:pgSz w:w="16838" w:h="11906" w:orient="landscape" w:code="9"/>
          <w:pgMar w:top="1440" w:right="1440" w:bottom="1440" w:left="1440" w:header="680" w:footer="57" w:gutter="0"/>
          <w:cols w:space="340"/>
          <w:docGrid w:linePitch="360"/>
        </w:sectPr>
      </w:pPr>
      <w:r>
        <w:rPr>
          <w:sz w:val="16"/>
          <w:szCs w:val="16"/>
        </w:rPr>
        <w:t>&lt;</w:t>
      </w:r>
      <w:hyperlink r:id="rId117" w:history="1">
        <w:r w:rsidRPr="00C841D7">
          <w:rPr>
            <w:rStyle w:val="Hyperlink"/>
            <w:sz w:val="16"/>
            <w:szCs w:val="16"/>
          </w:rPr>
          <w:t xml:space="preserve"> https://mvec.mcri.edu.au/wp-content/uploads/2021/10/Guidance-for-differentiating-anaphylaxis-and-acute-stress-response-for-vaccine-providers_updated-converted.pdf</w:t>
        </w:r>
      </w:hyperlink>
      <w:r>
        <w:rPr>
          <w:sz w:val="16"/>
          <w:szCs w:val="16"/>
        </w:rPr>
        <w:t>&gt;</w:t>
      </w:r>
    </w:p>
    <w:p w14:paraId="47480BA4" w14:textId="4CF639B1" w:rsidR="00077DBB" w:rsidRPr="006F1A2A" w:rsidRDefault="00077DBB" w:rsidP="00077DBB">
      <w:pPr>
        <w:pStyle w:val="Heading1"/>
        <w:rPr>
          <w:rStyle w:val="normaltextrun"/>
        </w:rPr>
      </w:pPr>
      <w:bookmarkStart w:id="268" w:name="_Appendix_11:_Factsheet"/>
      <w:bookmarkStart w:id="269" w:name="_Appendix_7:_Factsheet"/>
      <w:bookmarkStart w:id="270" w:name="_Appendix_6:_Factsheet"/>
      <w:bookmarkStart w:id="271" w:name="_Toc71895642"/>
      <w:bookmarkStart w:id="272" w:name="_Toc73627114"/>
      <w:bookmarkStart w:id="273" w:name="_Toc112154630"/>
      <w:bookmarkStart w:id="274" w:name="_Toc112315682"/>
      <w:bookmarkStart w:id="275" w:name="_Toc1391571136"/>
      <w:bookmarkStart w:id="276" w:name="_Toc176345010"/>
      <w:bookmarkEnd w:id="268"/>
      <w:bookmarkEnd w:id="269"/>
      <w:bookmarkEnd w:id="270"/>
      <w:r w:rsidRPr="005F0118">
        <w:rPr>
          <w:rStyle w:val="normaltextrun"/>
        </w:rPr>
        <w:t xml:space="preserve">Appendix </w:t>
      </w:r>
      <w:r>
        <w:rPr>
          <w:rStyle w:val="normaltextrun"/>
        </w:rPr>
        <w:t>6</w:t>
      </w:r>
      <w:r w:rsidRPr="005F0118">
        <w:rPr>
          <w:rStyle w:val="normaltextrun"/>
        </w:rPr>
        <w:t xml:space="preserve">: Factsheet </w:t>
      </w:r>
      <w:r w:rsidR="00B96D08">
        <w:rPr>
          <w:rStyle w:val="normaltextrun"/>
        </w:rPr>
        <w:t>–</w:t>
      </w:r>
      <w:r w:rsidRPr="005F0118">
        <w:rPr>
          <w:rStyle w:val="normaltextrun"/>
        </w:rPr>
        <w:t xml:space="preserve"> Adverse Events Following Immunisation (AEFI)</w:t>
      </w:r>
      <w:bookmarkEnd w:id="271"/>
      <w:bookmarkEnd w:id="272"/>
      <w:bookmarkEnd w:id="273"/>
      <w:bookmarkEnd w:id="274"/>
      <w:r w:rsidRPr="7723F669">
        <w:rPr>
          <w:rStyle w:val="normaltextrun"/>
        </w:rPr>
        <w:t xml:space="preserve"> </w:t>
      </w:r>
      <w:bookmarkEnd w:id="275"/>
      <w:r w:rsidR="00350BE3">
        <w:rPr>
          <w:rStyle w:val="normaltextrun"/>
        </w:rPr>
        <w:t xml:space="preserve">- </w:t>
      </w:r>
      <w:r w:rsidR="00461EF4">
        <w:rPr>
          <w:rStyle w:val="normaltextrun"/>
        </w:rPr>
        <w:t>including vaccine error</w:t>
      </w:r>
      <w:bookmarkEnd w:id="276"/>
    </w:p>
    <w:p w14:paraId="31F373E9" w14:textId="5D0AA783" w:rsidR="00077DBB" w:rsidRDefault="00077DBB" w:rsidP="00AE7F7B">
      <w:pPr>
        <w:pStyle w:val="Body"/>
        <w:spacing w:before="120" w:after="240"/>
        <w:rPr>
          <w:rStyle w:val="normaltextrun"/>
          <w:szCs w:val="21"/>
        </w:rPr>
      </w:pPr>
      <w:r w:rsidRPr="002B4768">
        <w:rPr>
          <w:rStyle w:val="normaltextrun"/>
          <w:szCs w:val="21"/>
        </w:rPr>
        <w:t>An Adverse Event Following Immunisation (AEFI) is</w:t>
      </w:r>
      <w:r w:rsidR="002B4768">
        <w:rPr>
          <w:rStyle w:val="normaltextrun"/>
          <w:szCs w:val="21"/>
        </w:rPr>
        <w:t xml:space="preserve"> </w:t>
      </w:r>
      <w:r w:rsidRPr="002B4768">
        <w:rPr>
          <w:rStyle w:val="normaltextrun"/>
          <w:szCs w:val="21"/>
        </w:rPr>
        <w:t>any untoward medical occurrence that happens</w:t>
      </w:r>
      <w:r w:rsidR="002B4768">
        <w:rPr>
          <w:rStyle w:val="normaltextrun"/>
          <w:szCs w:val="21"/>
        </w:rPr>
        <w:t xml:space="preserve"> </w:t>
      </w:r>
      <w:r w:rsidRPr="002B4768">
        <w:rPr>
          <w:rStyle w:val="normaltextrun"/>
          <w:szCs w:val="21"/>
        </w:rPr>
        <w:t>following administration of a vaccine.</w:t>
      </w:r>
      <w:r w:rsidR="002B4768">
        <w:rPr>
          <w:rStyle w:val="normaltextrun"/>
          <w:szCs w:val="21"/>
        </w:rPr>
        <w:t xml:space="preserve"> </w:t>
      </w:r>
      <w:r w:rsidRPr="002B4768">
        <w:rPr>
          <w:rStyle w:val="normaltextrun"/>
          <w:szCs w:val="21"/>
        </w:rPr>
        <w:t>An AEFI can be coincidentally associated with the timing</w:t>
      </w:r>
      <w:r w:rsidR="002B4768">
        <w:rPr>
          <w:rStyle w:val="normaltextrun"/>
          <w:szCs w:val="21"/>
        </w:rPr>
        <w:t xml:space="preserve"> </w:t>
      </w:r>
      <w:r w:rsidRPr="002B4768">
        <w:rPr>
          <w:rStyle w:val="normaltextrun"/>
          <w:szCs w:val="21"/>
        </w:rPr>
        <w:t>of immunisation without necessarily being caused by the</w:t>
      </w:r>
      <w:r w:rsidR="002B4768">
        <w:rPr>
          <w:rStyle w:val="normaltextrun"/>
          <w:szCs w:val="21"/>
        </w:rPr>
        <w:t xml:space="preserve"> </w:t>
      </w:r>
      <w:r w:rsidRPr="002B4768">
        <w:rPr>
          <w:rStyle w:val="normaltextrun"/>
          <w:szCs w:val="21"/>
        </w:rPr>
        <w:t>vaccine or immunisation process.</w:t>
      </w:r>
    </w:p>
    <w:p w14:paraId="65A14848" w14:textId="77777777" w:rsidR="002B4768" w:rsidRPr="002B4768" w:rsidRDefault="002B4768" w:rsidP="00AE7F7B">
      <w:pPr>
        <w:pStyle w:val="Body"/>
        <w:spacing w:before="120"/>
        <w:rPr>
          <w:b/>
          <w:bCs/>
          <w:color w:val="FF0000"/>
          <w:sz w:val="24"/>
          <w:szCs w:val="24"/>
        </w:rPr>
      </w:pPr>
      <w:r w:rsidRPr="002B4768">
        <w:rPr>
          <w:b/>
          <w:bCs/>
          <w:color w:val="FF0000"/>
          <w:sz w:val="24"/>
          <w:szCs w:val="24"/>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2B4768" w:rsidRPr="006F1A2A" w14:paraId="3085B471" w14:textId="77777777" w:rsidTr="00BA07D3">
        <w:trPr>
          <w:trHeight w:val="3069"/>
        </w:trPr>
        <w:tc>
          <w:tcPr>
            <w:tcW w:w="9180" w:type="dxa"/>
          </w:tcPr>
          <w:p w14:paraId="775EE88A" w14:textId="07EB9381" w:rsidR="002B4768" w:rsidRPr="004A4D7A" w:rsidRDefault="002B4768" w:rsidP="00C016B5">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FD0439">
              <w:rPr>
                <w:rFonts w:cs="Arial"/>
                <w:szCs w:val="21"/>
              </w:rPr>
              <w:t xml:space="preserve">unexpected or </w:t>
            </w:r>
            <w:r w:rsidRPr="004A4D7A">
              <w:rPr>
                <w:rFonts w:cs="Arial"/>
                <w:szCs w:val="21"/>
              </w:rPr>
              <w:t xml:space="preserve">medically attended AEFI </w:t>
            </w:r>
            <w:r w:rsidR="00FD0439">
              <w:rPr>
                <w:rFonts w:cs="Arial"/>
                <w:szCs w:val="21"/>
              </w:rPr>
              <w:t xml:space="preserve">are </w:t>
            </w:r>
            <w:r w:rsidRPr="004A4D7A">
              <w:rPr>
                <w:rFonts w:cs="Arial"/>
                <w:szCs w:val="21"/>
              </w:rPr>
              <w:t xml:space="preserve">to be reported to SAEFVIC via online reporting at </w:t>
            </w:r>
            <w:r>
              <w:rPr>
                <w:rFonts w:cs="Arial"/>
                <w:szCs w:val="21"/>
              </w:rPr>
              <w:t>&lt;</w:t>
            </w:r>
            <w:hyperlink r:id="rId118" w:history="1">
              <w:r>
                <w:rPr>
                  <w:rStyle w:val="Hyperlink"/>
                  <w:rFonts w:cs="Arial"/>
                  <w:szCs w:val="21"/>
                </w:rPr>
                <w:t>https://www.safevac.org.au/Home/Info/VIC</w:t>
              </w:r>
            </w:hyperlink>
            <w:r>
              <w:rPr>
                <w:rStyle w:val="Hyperlink"/>
              </w:rPr>
              <w:t>&gt;</w:t>
            </w:r>
            <w:r w:rsidRPr="004A4D7A">
              <w:rPr>
                <w:rStyle w:val="Hyperlink"/>
                <w:rFonts w:cs="Arial"/>
                <w:szCs w:val="21"/>
              </w:rPr>
              <w:t xml:space="preserve"> </w:t>
            </w:r>
          </w:p>
          <w:p w14:paraId="0F0BF60A" w14:textId="77777777" w:rsidR="002B4768" w:rsidRPr="004A4D7A" w:rsidRDefault="002B4768" w:rsidP="00C016B5">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58EA9381" w14:textId="7CC937F5" w:rsidR="002B4768" w:rsidRPr="002B4768" w:rsidRDefault="002B4768" w:rsidP="00AE7F7B">
            <w:pPr>
              <w:pStyle w:val="Body"/>
              <w:spacing w:before="240"/>
              <w:rPr>
                <w:b/>
                <w:bCs/>
                <w:color w:val="FF0000"/>
                <w:sz w:val="24"/>
                <w:szCs w:val="24"/>
              </w:rPr>
            </w:pPr>
            <w:r w:rsidRPr="002B4768">
              <w:rPr>
                <w:b/>
                <w:bCs/>
                <w:color w:val="FF0000"/>
                <w:sz w:val="24"/>
                <w:szCs w:val="24"/>
              </w:rPr>
              <w:t xml:space="preserve">Serious adverse events following immunisation require urgent reporting </w:t>
            </w:r>
          </w:p>
          <w:p w14:paraId="3A29ACB5" w14:textId="77777777" w:rsidR="002B4768" w:rsidRPr="006C4B3B" w:rsidRDefault="002B4768" w:rsidP="00C016B5">
            <w:pPr>
              <w:pStyle w:val="Body"/>
              <w:spacing w:after="60"/>
              <w:rPr>
                <w:b/>
                <w:bCs/>
              </w:rPr>
            </w:pPr>
            <w:r w:rsidRPr="006C4B3B">
              <w:rPr>
                <w:b/>
                <w:bCs/>
              </w:rPr>
              <w:t>AEFI that result in</w:t>
            </w:r>
          </w:p>
          <w:p w14:paraId="6BD3645B" w14:textId="77777777" w:rsidR="002B4768" w:rsidRPr="004A4D7A" w:rsidRDefault="002B4768" w:rsidP="00603DC8">
            <w:pPr>
              <w:pStyle w:val="Body"/>
              <w:numPr>
                <w:ilvl w:val="0"/>
                <w:numId w:val="41"/>
              </w:numPr>
              <w:spacing w:after="60"/>
              <w:ind w:left="584" w:hanging="357"/>
            </w:pPr>
            <w:r w:rsidRPr="004A4D7A">
              <w:t xml:space="preserve">Transfer to hospital care </w:t>
            </w:r>
          </w:p>
          <w:p w14:paraId="27BDF7A3" w14:textId="77777777" w:rsidR="002B4768" w:rsidRPr="004A4D7A" w:rsidRDefault="002B4768" w:rsidP="00603DC8">
            <w:pPr>
              <w:pStyle w:val="Body"/>
              <w:numPr>
                <w:ilvl w:val="0"/>
                <w:numId w:val="41"/>
              </w:numPr>
              <w:spacing w:after="60"/>
              <w:ind w:left="584" w:hanging="357"/>
            </w:pPr>
            <w:r w:rsidRPr="004A4D7A">
              <w:t>CPR</w:t>
            </w:r>
          </w:p>
          <w:p w14:paraId="3DD1F65E" w14:textId="77777777" w:rsidR="002B4768" w:rsidRPr="004A4D7A" w:rsidRDefault="002B4768" w:rsidP="00603DC8">
            <w:pPr>
              <w:pStyle w:val="Body"/>
              <w:numPr>
                <w:ilvl w:val="0"/>
                <w:numId w:val="41"/>
              </w:numPr>
              <w:spacing w:after="60"/>
              <w:ind w:left="584" w:hanging="357"/>
            </w:pPr>
            <w:r w:rsidRPr="004A4D7A">
              <w:t>Defibrillator use</w:t>
            </w:r>
          </w:p>
          <w:p w14:paraId="3AE538EF" w14:textId="77777777" w:rsidR="002B4768" w:rsidRPr="004A4D7A" w:rsidRDefault="002B4768" w:rsidP="00603DC8">
            <w:pPr>
              <w:pStyle w:val="Body"/>
              <w:numPr>
                <w:ilvl w:val="0"/>
                <w:numId w:val="41"/>
              </w:numPr>
              <w:spacing w:after="60"/>
              <w:ind w:left="584" w:hanging="357"/>
            </w:pPr>
            <w:r w:rsidRPr="004A4D7A">
              <w:t>Life threatening inc</w:t>
            </w:r>
            <w:r>
              <w:t>i</w:t>
            </w:r>
            <w:r w:rsidRPr="004A4D7A">
              <w:t>dents</w:t>
            </w:r>
          </w:p>
          <w:p w14:paraId="06C5F8ED" w14:textId="77777777" w:rsidR="002B4768" w:rsidRPr="004A4D7A" w:rsidRDefault="002B4768" w:rsidP="00603DC8">
            <w:pPr>
              <w:pStyle w:val="Body"/>
              <w:numPr>
                <w:ilvl w:val="0"/>
                <w:numId w:val="41"/>
              </w:numPr>
              <w:spacing w:after="60"/>
              <w:ind w:left="584" w:hanging="357"/>
            </w:pPr>
            <w:r w:rsidRPr="004A4D7A">
              <w:t>Death</w:t>
            </w:r>
          </w:p>
          <w:p w14:paraId="73EB563D" w14:textId="77777777" w:rsidR="002B4768" w:rsidRPr="006C4B3B" w:rsidRDefault="002B4768" w:rsidP="00C016B5">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26586091" w14:textId="77777777" w:rsidR="002B4768" w:rsidRDefault="002B4768"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277D5EA3" w14:textId="5FE56B3D" w:rsidR="002B4768" w:rsidRPr="00744DB7" w:rsidRDefault="002B4768"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SAEFVIC via phone 1300 882 924 (Option 1) Mon-Fri </w:t>
            </w:r>
            <w:r w:rsidR="000F338C">
              <w:rPr>
                <w:rStyle w:val="normaltextrun"/>
                <w:rFonts w:eastAsia="MS Mincho" w:cs="Arial"/>
              </w:rPr>
              <w:t>10</w:t>
            </w:r>
            <w:r w:rsidRPr="00744DB7">
              <w:rPr>
                <w:rStyle w:val="normaltextrun"/>
                <w:rFonts w:eastAsia="MS Mincho" w:cs="Arial"/>
              </w:rPr>
              <w:t xml:space="preserve">am to </w:t>
            </w:r>
            <w:r w:rsidR="000F338C">
              <w:rPr>
                <w:rStyle w:val="normaltextrun"/>
                <w:rFonts w:eastAsia="MS Mincho" w:cs="Arial"/>
              </w:rPr>
              <w:t>2</w:t>
            </w:r>
            <w:r w:rsidRPr="00744DB7">
              <w:rPr>
                <w:rStyle w:val="normaltextrun"/>
                <w:rFonts w:eastAsia="MS Mincho" w:cs="Arial"/>
              </w:rPr>
              <w:t xml:space="preserve">pm </w:t>
            </w:r>
          </w:p>
          <w:p w14:paraId="0FA46364" w14:textId="77777777" w:rsidR="002B4768" w:rsidRPr="006F1A2A" w:rsidRDefault="002B4768"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Submit an AEFI report online to &lt;</w:t>
            </w:r>
            <w:hyperlink r:id="rId119" w:history="1">
              <w:r>
                <w:rPr>
                  <w:rStyle w:val="Hyperlink"/>
                  <w:rFonts w:cs="Arial"/>
                  <w:szCs w:val="21"/>
                </w:rPr>
                <w:t>https://www.safevac.org.au/Home/Info/VIC</w:t>
              </w:r>
            </w:hyperlink>
            <w:r>
              <w:rPr>
                <w:rStyle w:val="Hyperlink"/>
              </w:rPr>
              <w:t>&gt;</w:t>
            </w:r>
          </w:p>
        </w:tc>
      </w:tr>
    </w:tbl>
    <w:p w14:paraId="03CA1280" w14:textId="5DFFE2DD" w:rsidR="0017106C" w:rsidRDefault="0017106C" w:rsidP="0017106C">
      <w:pPr>
        <w:spacing w:before="240" w:line="336" w:lineRule="auto"/>
        <w:rPr>
          <w:rFonts w:cs="Arial"/>
          <w:b/>
          <w:bCs/>
          <w:color w:val="FF0000"/>
          <w:sz w:val="24"/>
          <w:szCs w:val="24"/>
        </w:rPr>
      </w:pPr>
      <w:bookmarkStart w:id="277" w:name="_Appendix_22:_Guidance"/>
      <w:bookmarkStart w:id="278" w:name="_Appendix_14:_Guidance"/>
      <w:bookmarkStart w:id="279" w:name="_Appendix_23:_Guidance"/>
      <w:bookmarkStart w:id="280" w:name="_Appendix_21:_Safety"/>
      <w:bookmarkStart w:id="281" w:name="_Appendix_22:_Victorian"/>
      <w:bookmarkStart w:id="282" w:name="_Appendix_23_-"/>
      <w:bookmarkStart w:id="283" w:name="_Supervision_requirements"/>
      <w:bookmarkEnd w:id="277"/>
      <w:bookmarkEnd w:id="278"/>
      <w:bookmarkEnd w:id="279"/>
      <w:bookmarkEnd w:id="280"/>
      <w:bookmarkEnd w:id="281"/>
      <w:bookmarkEnd w:id="282"/>
      <w:bookmarkEnd w:id="283"/>
      <w:r>
        <w:rPr>
          <w:rFonts w:cs="Arial"/>
          <w:b/>
          <w:bCs/>
          <w:color w:val="FF0000"/>
          <w:sz w:val="24"/>
          <w:szCs w:val="24"/>
        </w:rPr>
        <w:t>For clinical assessment and advice following vaccine error</w:t>
      </w:r>
    </w:p>
    <w:p w14:paraId="274C1577" w14:textId="56661F49" w:rsidR="0002657B" w:rsidRDefault="0002657B" w:rsidP="0017106C">
      <w:pPr>
        <w:spacing w:before="240" w:line="336" w:lineRule="auto"/>
      </w:pPr>
      <w:r>
        <w:t xml:space="preserve">A vaccine administration error is any preventable event that may cause or lead to inappropriate </w:t>
      </w:r>
      <w:r w:rsidR="00E90124">
        <w:t>vaccine</w:t>
      </w:r>
      <w:r>
        <w:t xml:space="preserve"> use or patient harm. Where </w:t>
      </w:r>
      <w:hyperlink w:anchor="_Vaccine_safety" w:history="1">
        <w:r w:rsidRPr="00EF7D90">
          <w:rPr>
            <w:rStyle w:val="Hyperlink"/>
          </w:rPr>
          <w:t>guidance</w:t>
        </w:r>
      </w:hyperlink>
      <w:r>
        <w:t xml:space="preserve"> is not provided in this document, contact SAEFVIC for clinical assessment and advice. </w:t>
      </w:r>
    </w:p>
    <w:p w14:paraId="5C11EABA" w14:textId="4102E65B" w:rsidR="000209EB" w:rsidRPr="000209EB" w:rsidRDefault="0002657B" w:rsidP="0017106C">
      <w:pPr>
        <w:spacing w:before="240" w:line="336" w:lineRule="auto"/>
        <w:rPr>
          <w:rFonts w:cs="Arial"/>
          <w:color w:val="FF0000"/>
          <w:sz w:val="24"/>
          <w:szCs w:val="24"/>
        </w:rPr>
      </w:pPr>
      <w:r w:rsidRPr="000209EB">
        <w:rPr>
          <w:rFonts w:cs="Arial"/>
          <w:b/>
          <w:bCs/>
          <w:color w:val="FF0000"/>
          <w:sz w:val="24"/>
          <w:szCs w:val="24"/>
        </w:rPr>
        <w:t xml:space="preserve"> </w:t>
      </w:r>
      <w:r w:rsidR="000209EB" w:rsidRPr="000209EB">
        <w:rPr>
          <w:rFonts w:cs="Arial"/>
          <w:b/>
          <w:bCs/>
          <w:color w:val="FF0000"/>
          <w:sz w:val="24"/>
          <w:szCs w:val="24"/>
        </w:rPr>
        <w:t>For more information on submitting a SAEFVIC report refer to</w:t>
      </w:r>
      <w:r w:rsidR="000209EB" w:rsidRPr="000209EB">
        <w:rPr>
          <w:rFonts w:cs="Arial"/>
          <w:color w:val="FF0000"/>
          <w:sz w:val="24"/>
          <w:szCs w:val="24"/>
        </w:rPr>
        <w:t>:</w:t>
      </w:r>
    </w:p>
    <w:p w14:paraId="3666CCA5" w14:textId="64615043" w:rsidR="000209EB" w:rsidRPr="00E46399" w:rsidRDefault="00000000"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120" w:history="1">
        <w:r w:rsidR="00CD4F99" w:rsidRPr="00615048">
          <w:rPr>
            <w:rStyle w:val="Hyperlink"/>
          </w:rPr>
          <w:t xml:space="preserve"> </w:t>
        </w:r>
        <w:r w:rsidR="00CD4F99" w:rsidRPr="00615048">
          <w:rPr>
            <w:rStyle w:val="Hyperlink"/>
            <w:rFonts w:ascii="Arial" w:eastAsia="Times New Roman" w:hAnsi="Arial" w:cs="Arial"/>
            <w:sz w:val="21"/>
            <w:szCs w:val="21"/>
          </w:rPr>
          <w:t>SAFEVAC Reporting</w:t>
        </w:r>
        <w:r w:rsidR="00615048" w:rsidRPr="00615048">
          <w:rPr>
            <w:rStyle w:val="Hyperlink"/>
            <w:rFonts w:ascii="Arial" w:eastAsia="Times New Roman" w:hAnsi="Arial" w:cs="Arial"/>
            <w:sz w:val="21"/>
            <w:szCs w:val="21"/>
          </w:rPr>
          <w:t xml:space="preserve"> </w:t>
        </w:r>
      </w:hyperlink>
      <w:r w:rsidR="000209EB" w:rsidRPr="009E5370">
        <w:rPr>
          <w:rStyle w:val="normaltextrun"/>
          <w:rFonts w:ascii="Arial" w:eastAsia="Times New Roman" w:hAnsi="Arial" w:cs="Arial"/>
          <w:sz w:val="21"/>
          <w:szCs w:val="21"/>
        </w:rPr>
        <w:t xml:space="preserve"> &lt;https://www.safevac.org.au/Home/Info/VIC&gt;</w:t>
      </w:r>
    </w:p>
    <w:p w14:paraId="20C59F13" w14:textId="40CCA574" w:rsidR="000209EB" w:rsidRPr="00E46399" w:rsidRDefault="000209E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121" w:history="1">
        <w:r w:rsidR="00143F6E" w:rsidRPr="003151F0">
          <w:rPr>
            <w:rStyle w:val="Hyperlink"/>
            <w:rFonts w:ascii="Arial" w:eastAsia="Times New Roman" w:hAnsi="Arial" w:cs="Arial"/>
            <w:sz w:val="21"/>
            <w:szCs w:val="21"/>
          </w:rPr>
          <w:t>enquiries@saefvic.org.au</w:t>
        </w:r>
      </w:hyperlink>
    </w:p>
    <w:p w14:paraId="58745A2B" w14:textId="00E18E6A" w:rsidR="000209EB" w:rsidRPr="00E46399" w:rsidRDefault="000209E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w:t>
      </w:r>
      <w:r w:rsidRPr="000F338C">
        <w:rPr>
          <w:rStyle w:val="normaltextrun"/>
          <w:rFonts w:ascii="Arial" w:eastAsia="Times New Roman" w:hAnsi="Arial" w:cs="Arial"/>
          <w:sz w:val="21"/>
          <w:szCs w:val="21"/>
        </w:rPr>
        <w:t>option 1)</w:t>
      </w:r>
      <w:r w:rsidR="000F338C" w:rsidRPr="000F338C">
        <w:rPr>
          <w:rStyle w:val="normaltextrun"/>
          <w:rFonts w:ascii="Arial" w:eastAsia="Times New Roman" w:hAnsi="Arial" w:cs="Arial"/>
          <w:sz w:val="21"/>
          <w:szCs w:val="21"/>
        </w:rPr>
        <w:t xml:space="preserve"> </w:t>
      </w:r>
      <w:r w:rsidR="000F338C" w:rsidRPr="000F338C">
        <w:rPr>
          <w:rStyle w:val="normaltextrun"/>
          <w:rFonts w:ascii="Arial" w:eastAsia="MS Mincho" w:hAnsi="Arial" w:cs="Arial"/>
          <w:sz w:val="21"/>
          <w:szCs w:val="21"/>
        </w:rPr>
        <w:t>Mon-Fri 10am to 2pm</w:t>
      </w:r>
    </w:p>
    <w:p w14:paraId="0629AF8A" w14:textId="6BDBCA13" w:rsidR="00CC3F61" w:rsidRDefault="00432EC3">
      <w:pPr>
        <w:spacing w:after="0" w:line="240" w:lineRule="auto"/>
        <w:rPr>
          <w:rFonts w:eastAsia="Times"/>
        </w:rPr>
      </w:pPr>
      <w:r>
        <w:rPr>
          <w:rFonts w:eastAsia="Times"/>
        </w:rPr>
        <w:br w:type="page"/>
      </w:r>
    </w:p>
    <w:p w14:paraId="48AA686B" w14:textId="46235474" w:rsidR="00432EC3" w:rsidRPr="006157E8" w:rsidRDefault="00432EC3" w:rsidP="006157E8">
      <w:pPr>
        <w:pStyle w:val="Heading1"/>
      </w:pPr>
      <w:bookmarkStart w:id="284" w:name="_Appendix_7:_Intradermal"/>
      <w:bookmarkStart w:id="285" w:name="_Toc73627119"/>
      <w:bookmarkStart w:id="286" w:name="_Toc760868342"/>
      <w:bookmarkStart w:id="287" w:name="_Toc105750916"/>
      <w:bookmarkStart w:id="288" w:name="_Toc176345011"/>
      <w:bookmarkEnd w:id="284"/>
      <w:r w:rsidRPr="003440B5">
        <w:t xml:space="preserve">Appendix 7: </w:t>
      </w:r>
      <w:bookmarkEnd w:id="285"/>
      <w:bookmarkEnd w:id="286"/>
      <w:bookmarkEnd w:id="287"/>
      <w:r w:rsidR="004074CA" w:rsidRPr="003440B5">
        <w:t>Intradermal injection – skills and competenc</w:t>
      </w:r>
      <w:r w:rsidR="00F9747C" w:rsidRPr="003440B5">
        <w:t>y checklist</w:t>
      </w:r>
      <w:bookmarkEnd w:id="288"/>
    </w:p>
    <w:p w14:paraId="024CA1AE" w14:textId="5130CD4F" w:rsidR="00611939" w:rsidRPr="008D4F1B" w:rsidRDefault="00327416" w:rsidP="00611939">
      <w:pPr>
        <w:pStyle w:val="Body"/>
        <w:rPr>
          <w:color w:val="404040" w:themeColor="text1" w:themeTint="BF"/>
          <w:sz w:val="32"/>
          <w:szCs w:val="32"/>
        </w:rPr>
      </w:pPr>
      <w:r w:rsidRPr="008D4F1B">
        <w:rPr>
          <w:color w:val="404040" w:themeColor="text1" w:themeTint="BF"/>
          <w:sz w:val="32"/>
          <w:szCs w:val="32"/>
        </w:rPr>
        <w:t xml:space="preserve">Intradermal </w:t>
      </w:r>
      <w:r w:rsidR="006157E8" w:rsidRPr="008D4F1B">
        <w:rPr>
          <w:color w:val="404040" w:themeColor="text1" w:themeTint="BF"/>
          <w:sz w:val="32"/>
          <w:szCs w:val="32"/>
        </w:rPr>
        <w:t>Injection technique</w:t>
      </w:r>
    </w:p>
    <w:p w14:paraId="555F5643" w14:textId="7C5314B8" w:rsidR="006157E8" w:rsidRPr="008D4F1B" w:rsidRDefault="006157E8" w:rsidP="00611939">
      <w:pPr>
        <w:pStyle w:val="Body"/>
        <w:rPr>
          <w:color w:val="404040" w:themeColor="text1" w:themeTint="BF"/>
          <w:sz w:val="32"/>
          <w:szCs w:val="32"/>
        </w:rPr>
      </w:pPr>
      <w:r w:rsidRPr="008D4F1B">
        <w:rPr>
          <w:color w:val="404040" w:themeColor="text1" w:themeTint="BF"/>
          <w:sz w:val="32"/>
          <w:szCs w:val="32"/>
        </w:rPr>
        <w:t>September 2022</w:t>
      </w:r>
    </w:p>
    <w:p w14:paraId="5B8EB0B2" w14:textId="77777777" w:rsidR="006157E8" w:rsidRDefault="006157E8" w:rsidP="00611939">
      <w:pPr>
        <w:pStyle w:val="Body"/>
      </w:pPr>
    </w:p>
    <w:p w14:paraId="59066398" w14:textId="77777777" w:rsidR="00123116" w:rsidRPr="00877FE7" w:rsidRDefault="00123116" w:rsidP="008D4F1B">
      <w:pPr>
        <w:pStyle w:val="Body"/>
        <w:rPr>
          <w:color w:val="404040" w:themeColor="text1" w:themeTint="BF"/>
          <w:sz w:val="36"/>
          <w:szCs w:val="36"/>
        </w:rPr>
      </w:pPr>
      <w:r w:rsidRPr="00877FE7">
        <w:rPr>
          <w:color w:val="404040" w:themeColor="text1" w:themeTint="BF"/>
          <w:sz w:val="36"/>
          <w:szCs w:val="36"/>
        </w:rPr>
        <w:t>Purpose</w:t>
      </w:r>
    </w:p>
    <w:p w14:paraId="6527B19B" w14:textId="77777777" w:rsidR="00123116" w:rsidRPr="00123116" w:rsidRDefault="00123116" w:rsidP="00123116">
      <w:pPr>
        <w:spacing w:before="120"/>
        <w:rPr>
          <w:rFonts w:eastAsia="Arial" w:cs="Arial"/>
          <w:szCs w:val="21"/>
          <w:lang w:eastAsia="en-AU"/>
        </w:rPr>
      </w:pPr>
      <w:r w:rsidRPr="00123116">
        <w:rPr>
          <w:rFonts w:eastAsia="Arial" w:cs="Arial"/>
          <w:szCs w:val="21"/>
          <w:lang w:eastAsia="en-AU"/>
        </w:rPr>
        <w:t xml:space="preserve">The clinical skills and competencies checklist is to verify that vaccinators are deemed clinically skilled and competent in the technique of intradermal injection. This checklist is intended as a guide to support providers in the assessment of competency in this technique. </w:t>
      </w:r>
    </w:p>
    <w:p w14:paraId="3ED57D05" w14:textId="77777777" w:rsidR="00123116" w:rsidRPr="00123116" w:rsidRDefault="00123116" w:rsidP="00123116">
      <w:pPr>
        <w:spacing w:before="120"/>
        <w:rPr>
          <w:rFonts w:eastAsia="Times"/>
          <w:lang w:eastAsia="en-AU"/>
        </w:rPr>
      </w:pPr>
      <w:r w:rsidRPr="00123116">
        <w:rPr>
          <w:rFonts w:eastAsia="Times"/>
          <w:lang w:eastAsia="en-AU"/>
        </w:rPr>
        <w:t xml:space="preserve">This checklist must be completed and issued by an appropriately experienced clinician (for example, a medical practitioner, nurse practitioner or other specialist clinician) proficient in the injection technique via the intradermal route and can oversee the clinical skills and competencies of a vaccinator. </w:t>
      </w:r>
    </w:p>
    <w:p w14:paraId="1F2A105F" w14:textId="77777777" w:rsidR="00123116" w:rsidRPr="00123116" w:rsidRDefault="00123116" w:rsidP="00123116">
      <w:pPr>
        <w:spacing w:before="120"/>
        <w:rPr>
          <w:rFonts w:eastAsia="Times"/>
          <w:lang w:eastAsia="en-AU"/>
        </w:rPr>
      </w:pPr>
      <w:r w:rsidRPr="00123116">
        <w:rPr>
          <w:rFonts w:eastAsia="Times"/>
          <w:lang w:eastAsia="en-AU"/>
        </w:rPr>
        <w:t>This checklist should be made available as evidence of their competency in this technique and will augment further training in the administration of JYNNEOS</w:t>
      </w:r>
      <w:r w:rsidRPr="00123116">
        <w:rPr>
          <w:rFonts w:eastAsia="Times" w:cs="Arial"/>
          <w:vertAlign w:val="superscript"/>
          <w:lang w:eastAsia="en-AU"/>
        </w:rPr>
        <w:t>®</w:t>
      </w:r>
      <w:r w:rsidRPr="00123116">
        <w:rPr>
          <w:rFonts w:eastAsia="Times"/>
          <w:lang w:eastAsia="en-AU"/>
        </w:rPr>
        <w:t xml:space="preserve"> vaccine across all sexual health centres, health services and Local Public Health Units in Victoria. </w:t>
      </w:r>
    </w:p>
    <w:p w14:paraId="2BC2C10A" w14:textId="6CB17A90" w:rsidR="00123116" w:rsidRDefault="00123116" w:rsidP="00123116">
      <w:pPr>
        <w:spacing w:before="120"/>
      </w:pPr>
      <w:r w:rsidRPr="00123116">
        <w:rPr>
          <w:rFonts w:eastAsia="Times"/>
          <w:lang w:eastAsia="en-AU"/>
        </w:rPr>
        <w:t xml:space="preserve">Further information regarding mpox and the </w:t>
      </w:r>
      <w:r w:rsidRPr="00123116">
        <w:rPr>
          <w:i/>
          <w:iCs/>
        </w:rPr>
        <w:t>Victorian mpox vaccination program</w:t>
      </w:r>
      <w:r w:rsidRPr="00123116">
        <w:rPr>
          <w:rFonts w:eastAsia="Times"/>
          <w:i/>
          <w:iCs/>
          <w:lang w:eastAsia="en-AU"/>
        </w:rPr>
        <w:t xml:space="preserve"> guidelines</w:t>
      </w:r>
      <w:r w:rsidRPr="00123116">
        <w:rPr>
          <w:rFonts w:eastAsia="Times"/>
          <w:lang w:eastAsia="en-AU"/>
        </w:rPr>
        <w:t xml:space="preserve"> refer to the Department of Health Mpox </w:t>
      </w:r>
      <w:r w:rsidR="00482811">
        <w:rPr>
          <w:rFonts w:eastAsia="Times"/>
          <w:lang w:eastAsia="en-AU"/>
        </w:rPr>
        <w:t>web page</w:t>
      </w:r>
      <w:r w:rsidRPr="00123116">
        <w:rPr>
          <w:rFonts w:eastAsia="Times"/>
          <w:i/>
          <w:iCs/>
          <w:lang w:eastAsia="en-AU"/>
        </w:rPr>
        <w:t xml:space="preserve"> </w:t>
      </w:r>
      <w:hyperlink r:id="rId122">
        <w:r w:rsidRPr="00123116">
          <w:rPr>
            <w:color w:val="0000FF"/>
            <w:u w:val="single"/>
          </w:rPr>
          <w:t>Monkeypox | health.vic.gov.au</w:t>
        </w:r>
      </w:hyperlink>
      <w:r w:rsidRPr="00123116">
        <w:t xml:space="preserve"> &lt;</w:t>
      </w:r>
      <w:hyperlink r:id="rId123" w:history="1">
        <w:r w:rsidRPr="00123116">
          <w:t>https://health.vic.gov.au/infectious-diseases/monkeypox</w:t>
        </w:r>
      </w:hyperlink>
      <w:r w:rsidRPr="00123116">
        <w:t>&gt;.</w:t>
      </w:r>
    </w:p>
    <w:p w14:paraId="562314DF" w14:textId="77777777" w:rsidR="002B562C" w:rsidRDefault="002B562C" w:rsidP="00123116">
      <w:pPr>
        <w:spacing w:before="120"/>
      </w:pPr>
    </w:p>
    <w:p w14:paraId="55ABDE3E" w14:textId="77777777" w:rsidR="008D4F1B" w:rsidRPr="00123116" w:rsidRDefault="008D4F1B" w:rsidP="00123116">
      <w:pPr>
        <w:spacing w:before="120"/>
      </w:pPr>
    </w:p>
    <w:tbl>
      <w:tblPr>
        <w:tblStyle w:val="TableGrid"/>
        <w:tblW w:w="5076" w:type="pct"/>
        <w:tblInd w:w="-5" w:type="dxa"/>
        <w:tblCellMar>
          <w:left w:w="85" w:type="dxa"/>
          <w:right w:w="85" w:type="dxa"/>
        </w:tblCellMar>
        <w:tblLook w:val="06A0" w:firstRow="1" w:lastRow="0" w:firstColumn="1" w:lastColumn="0" w:noHBand="1" w:noVBand="1"/>
      </w:tblPr>
      <w:tblGrid>
        <w:gridCol w:w="1803"/>
        <w:gridCol w:w="4171"/>
        <w:gridCol w:w="3455"/>
      </w:tblGrid>
      <w:tr w:rsidR="002B562C" w:rsidRPr="00C91065" w14:paraId="494B9147" w14:textId="77777777" w:rsidTr="00BA07D3">
        <w:trPr>
          <w:trHeight w:val="1127"/>
        </w:trPr>
        <w:tc>
          <w:tcPr>
            <w:tcW w:w="3167" w:type="pct"/>
            <w:gridSpan w:val="2"/>
          </w:tcPr>
          <w:p w14:paraId="1244072A" w14:textId="77777777" w:rsidR="002B562C" w:rsidRPr="00B90C6C" w:rsidRDefault="002B562C" w:rsidP="00C016B5">
            <w:pPr>
              <w:spacing w:after="0"/>
              <w:rPr>
                <w:rFonts w:cs="Arial"/>
                <w:b/>
                <w:sz w:val="22"/>
                <w:szCs w:val="22"/>
              </w:rPr>
            </w:pPr>
            <w:r w:rsidRPr="00B90C6C">
              <w:rPr>
                <w:rFonts w:cs="Arial"/>
                <w:b/>
                <w:sz w:val="22"/>
                <w:szCs w:val="22"/>
              </w:rPr>
              <w:t>Vaccination Service Provider</w:t>
            </w:r>
          </w:p>
          <w:p w14:paraId="56D385C3" w14:textId="77777777" w:rsidR="002B562C" w:rsidRPr="00B90C6C" w:rsidRDefault="002B562C" w:rsidP="00C016B5">
            <w:pPr>
              <w:rPr>
                <w:rFonts w:cs="Arial"/>
                <w:sz w:val="22"/>
                <w:szCs w:val="22"/>
              </w:rPr>
            </w:pPr>
            <w:r w:rsidRPr="00B90C6C">
              <w:rPr>
                <w:rFonts w:cs="Arial"/>
                <w:sz w:val="22"/>
                <w:szCs w:val="22"/>
              </w:rPr>
              <w:t xml:space="preserve">Organisation where appropriately </w:t>
            </w:r>
            <w:r>
              <w:rPr>
                <w:rFonts w:cs="Arial"/>
                <w:sz w:val="22"/>
                <w:szCs w:val="22"/>
              </w:rPr>
              <w:t>skilled clinician proficient in the administration of intradermal vaccination</w:t>
            </w:r>
            <w:r w:rsidRPr="00B90C6C">
              <w:rPr>
                <w:rFonts w:cs="Arial"/>
                <w:sz w:val="22"/>
                <w:szCs w:val="22"/>
              </w:rPr>
              <w:t xml:space="preserve"> (person completing this form) is </w:t>
            </w:r>
            <w:r>
              <w:rPr>
                <w:rFonts w:cs="Arial"/>
                <w:sz w:val="22"/>
                <w:szCs w:val="22"/>
              </w:rPr>
              <w:t>assessing</w:t>
            </w:r>
            <w:r w:rsidRPr="00B90C6C">
              <w:rPr>
                <w:rFonts w:cs="Arial"/>
                <w:sz w:val="22"/>
                <w:szCs w:val="22"/>
              </w:rPr>
              <w:t xml:space="preserve"> as clinically competent</w:t>
            </w:r>
          </w:p>
        </w:tc>
        <w:sdt>
          <w:sdtPr>
            <w:rPr>
              <w:rFonts w:cs="Arial"/>
              <w:color w:val="2B579A"/>
              <w:sz w:val="22"/>
              <w:szCs w:val="22"/>
              <w:shd w:val="clear" w:color="auto" w:fill="E6E6E6"/>
            </w:rPr>
            <w:id w:val="811292843"/>
            <w:showingPlcHdr/>
          </w:sdtPr>
          <w:sdtContent>
            <w:tc>
              <w:tcPr>
                <w:tcW w:w="1833" w:type="pct"/>
              </w:tcPr>
              <w:p w14:paraId="0BBF69D4"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69CA333C" w14:textId="77777777" w:rsidTr="00BA07D3">
        <w:trPr>
          <w:trHeight w:val="602"/>
        </w:trPr>
        <w:tc>
          <w:tcPr>
            <w:tcW w:w="3167" w:type="pct"/>
            <w:gridSpan w:val="2"/>
          </w:tcPr>
          <w:p w14:paraId="73113186" w14:textId="77777777" w:rsidR="002B562C" w:rsidRPr="00B90C6C" w:rsidRDefault="002B562C" w:rsidP="00C016B5">
            <w:pPr>
              <w:spacing w:after="0"/>
              <w:rPr>
                <w:rFonts w:cs="Arial"/>
                <w:b/>
                <w:sz w:val="22"/>
                <w:szCs w:val="22"/>
              </w:rPr>
            </w:pPr>
            <w:r w:rsidRPr="00B90C6C">
              <w:rPr>
                <w:rFonts w:cs="Arial"/>
                <w:b/>
                <w:sz w:val="22"/>
                <w:szCs w:val="22"/>
              </w:rPr>
              <w:t>Health professional Name</w:t>
            </w:r>
          </w:p>
          <w:p w14:paraId="75A5CE9F" w14:textId="77777777" w:rsidR="002B562C" w:rsidRPr="00B90C6C" w:rsidRDefault="002B562C" w:rsidP="00C016B5">
            <w:pPr>
              <w:rPr>
                <w:rFonts w:cs="Arial"/>
                <w:sz w:val="22"/>
                <w:szCs w:val="22"/>
              </w:rPr>
            </w:pPr>
            <w:r w:rsidRPr="00B90C6C">
              <w:rPr>
                <w:rFonts w:cs="Arial"/>
                <w:sz w:val="22"/>
                <w:szCs w:val="22"/>
              </w:rPr>
              <w:t xml:space="preserve">Name of person / worker requiring </w:t>
            </w:r>
            <w:r>
              <w:rPr>
                <w:rFonts w:cs="Arial"/>
                <w:sz w:val="22"/>
                <w:szCs w:val="22"/>
              </w:rPr>
              <w:t>assessment</w:t>
            </w:r>
            <w:r w:rsidRPr="00B90C6C">
              <w:rPr>
                <w:rFonts w:cs="Arial"/>
                <w:sz w:val="22"/>
                <w:szCs w:val="22"/>
              </w:rPr>
              <w:t>.</w:t>
            </w:r>
          </w:p>
        </w:tc>
        <w:sdt>
          <w:sdtPr>
            <w:rPr>
              <w:rFonts w:cs="Arial"/>
              <w:color w:val="2B579A"/>
              <w:sz w:val="22"/>
              <w:szCs w:val="22"/>
              <w:shd w:val="clear" w:color="auto" w:fill="E6E6E6"/>
            </w:rPr>
            <w:id w:val="-549227601"/>
            <w:showingPlcHdr/>
          </w:sdtPr>
          <w:sdtContent>
            <w:tc>
              <w:tcPr>
                <w:tcW w:w="1833" w:type="pct"/>
              </w:tcPr>
              <w:p w14:paraId="74F4AE28"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05AAA265" w14:textId="77777777" w:rsidTr="00BA07D3">
        <w:trPr>
          <w:trHeight w:val="1281"/>
        </w:trPr>
        <w:tc>
          <w:tcPr>
            <w:tcW w:w="956" w:type="pct"/>
          </w:tcPr>
          <w:p w14:paraId="0D1C64A2" w14:textId="77777777" w:rsidR="002B562C" w:rsidRPr="00B90C6C" w:rsidRDefault="002B562C" w:rsidP="00C016B5">
            <w:pPr>
              <w:rPr>
                <w:rFonts w:cs="Arial"/>
                <w:b/>
                <w:sz w:val="22"/>
                <w:szCs w:val="22"/>
              </w:rPr>
            </w:pPr>
            <w:r w:rsidRPr="00B90C6C">
              <w:rPr>
                <w:rFonts w:cs="Arial"/>
                <w:b/>
                <w:sz w:val="22"/>
                <w:szCs w:val="22"/>
              </w:rPr>
              <w:t xml:space="preserve">Profession </w:t>
            </w:r>
          </w:p>
        </w:tc>
        <w:tc>
          <w:tcPr>
            <w:tcW w:w="2212" w:type="pct"/>
          </w:tcPr>
          <w:p w14:paraId="154D5A8B" w14:textId="77777777" w:rsidR="002B562C" w:rsidRPr="00B90C6C" w:rsidRDefault="00000000" w:rsidP="00C016B5">
            <w:pPr>
              <w:pStyle w:val="Tablebullet2"/>
              <w:numPr>
                <w:ilvl w:val="0"/>
                <w:numId w:val="0"/>
              </w:numPr>
              <w:ind w:left="227"/>
              <w:rPr>
                <w:rFonts w:cs="Arial"/>
                <w:sz w:val="22"/>
                <w:szCs w:val="22"/>
              </w:rPr>
            </w:pPr>
            <w:sdt>
              <w:sdtPr>
                <w:rPr>
                  <w:rFonts w:cs="Arial"/>
                  <w:color w:val="2B579A"/>
                  <w:sz w:val="22"/>
                  <w:szCs w:val="22"/>
                  <w:shd w:val="clear" w:color="auto" w:fill="E6E6E6"/>
                </w:rPr>
                <w:id w:val="1247920111"/>
                <w14:checkbox>
                  <w14:checked w14:val="0"/>
                  <w14:checkedState w14:val="2612" w14:font="MS Gothic"/>
                  <w14:uncheckedState w14:val="2610" w14:font="MS Gothic"/>
                </w14:checkbox>
              </w:sdtPr>
              <w:sdtContent>
                <w:r w:rsidR="002B562C" w:rsidRPr="00C91065">
                  <w:rPr>
                    <w:rFonts w:ascii="Segoe UI Symbol" w:eastAsia="MS Gothic" w:hAnsi="Segoe UI Symbol" w:cs="Segoe UI Symbol"/>
                    <w:sz w:val="22"/>
                    <w:szCs w:val="22"/>
                  </w:rPr>
                  <w:t>☐</w:t>
                </w:r>
              </w:sdtContent>
            </w:sdt>
            <w:r w:rsidR="002B562C" w:rsidRPr="00B90C6C">
              <w:rPr>
                <w:rFonts w:cs="Arial"/>
                <w:sz w:val="22"/>
                <w:szCs w:val="22"/>
              </w:rPr>
              <w:t xml:space="preserve"> Registered Nurse / Midwife</w:t>
            </w:r>
          </w:p>
          <w:p w14:paraId="5397491B" w14:textId="77777777" w:rsidR="002B562C"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98319070"/>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Nurse immuniser</w:t>
            </w:r>
          </w:p>
          <w:p w14:paraId="7660E1FC" w14:textId="271221B9" w:rsidR="00AD63A0"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21126324"/>
                <w:placeholder>
                  <w:docPart w:val="603501218F254B34979A17B119F342AA"/>
                </w:placeholder>
                <w14:checkbox>
                  <w14:checked w14:val="0"/>
                  <w14:checkedState w14:val="2612" w14:font="MS Gothic"/>
                  <w14:uncheckedState w14:val="2610" w14:font="MS Gothic"/>
                </w14:checkbox>
              </w:sdtPr>
              <w:sdtContent>
                <w:r w:rsidR="00AD63A0" w:rsidRPr="006177DF">
                  <w:rPr>
                    <w:rFonts w:ascii="Segoe UI Symbol" w:eastAsia="MS Gothic" w:hAnsi="Segoe UI Symbol" w:cs="Segoe UI Symbol"/>
                    <w:sz w:val="22"/>
                    <w:szCs w:val="22"/>
                  </w:rPr>
                  <w:t>☐</w:t>
                </w:r>
              </w:sdtContent>
            </w:sdt>
            <w:r w:rsidR="00AD63A0" w:rsidRPr="00B90C6C">
              <w:rPr>
                <w:rFonts w:cs="Arial"/>
                <w:sz w:val="22"/>
                <w:szCs w:val="22"/>
              </w:rPr>
              <w:t xml:space="preserve"> </w:t>
            </w:r>
            <w:r w:rsidR="00AD63A0">
              <w:rPr>
                <w:rFonts w:cs="Arial"/>
                <w:sz w:val="22"/>
                <w:szCs w:val="22"/>
              </w:rPr>
              <w:t>Pharmacist immuniser</w:t>
            </w:r>
          </w:p>
          <w:p w14:paraId="6DDC7D01" w14:textId="77777777" w:rsidR="002B562C" w:rsidRPr="006429F6" w:rsidRDefault="00000000" w:rsidP="00C016B5">
            <w:pPr>
              <w:pStyle w:val="Tablebullet2"/>
              <w:numPr>
                <w:ilvl w:val="1"/>
                <w:numId w:val="0"/>
              </w:numPr>
              <w:ind w:left="227"/>
              <w:rPr>
                <w:rFonts w:cs="Arial"/>
                <w:sz w:val="22"/>
                <w:szCs w:val="22"/>
                <w:highlight w:val="yellow"/>
              </w:rPr>
            </w:pPr>
            <w:sdt>
              <w:sdtPr>
                <w:rPr>
                  <w:rFonts w:cs="Arial"/>
                  <w:color w:val="2B579A"/>
                  <w:sz w:val="22"/>
                  <w:szCs w:val="22"/>
                  <w:shd w:val="clear" w:color="auto" w:fill="E6E6E6"/>
                </w:rPr>
                <w:id w:val="-287206961"/>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Other (approved clinician)</w:t>
            </w:r>
          </w:p>
          <w:p w14:paraId="3EB4744B" w14:textId="77777777" w:rsidR="002B562C" w:rsidRPr="00B90C6C" w:rsidRDefault="002B562C" w:rsidP="00C016B5">
            <w:pPr>
              <w:pStyle w:val="Tablebullet2"/>
              <w:numPr>
                <w:ilvl w:val="0"/>
                <w:numId w:val="0"/>
              </w:numPr>
              <w:rPr>
                <w:rFonts w:cs="Arial"/>
                <w:sz w:val="22"/>
                <w:szCs w:val="22"/>
              </w:rPr>
            </w:pPr>
          </w:p>
        </w:tc>
        <w:tc>
          <w:tcPr>
            <w:tcW w:w="1833" w:type="pct"/>
          </w:tcPr>
          <w:p w14:paraId="2BDE2E80" w14:textId="77777777" w:rsidR="002B562C" w:rsidRPr="00B90C6C" w:rsidRDefault="002B562C" w:rsidP="00C016B5">
            <w:pPr>
              <w:pStyle w:val="Tablebullet2"/>
              <w:numPr>
                <w:ilvl w:val="0"/>
                <w:numId w:val="0"/>
              </w:numPr>
              <w:ind w:left="227"/>
              <w:rPr>
                <w:rFonts w:cs="Arial"/>
                <w:sz w:val="22"/>
                <w:szCs w:val="22"/>
              </w:rPr>
            </w:pPr>
          </w:p>
        </w:tc>
      </w:tr>
    </w:tbl>
    <w:p w14:paraId="3C3ACAFF" w14:textId="77777777" w:rsidR="00611939" w:rsidRDefault="00611939" w:rsidP="00611939">
      <w:pPr>
        <w:pStyle w:val="Body"/>
      </w:pPr>
    </w:p>
    <w:p w14:paraId="06302350" w14:textId="77777777" w:rsidR="004074CA" w:rsidRDefault="004074CA" w:rsidP="00611939">
      <w:pPr>
        <w:pStyle w:val="Body"/>
      </w:pPr>
    </w:p>
    <w:p w14:paraId="7530394B" w14:textId="77777777" w:rsidR="004074CA" w:rsidRDefault="004074CA" w:rsidP="00611939">
      <w:pPr>
        <w:pStyle w:val="Body"/>
      </w:pPr>
    </w:p>
    <w:p w14:paraId="2DA191E8" w14:textId="77777777" w:rsidR="004074CA" w:rsidRDefault="004074CA" w:rsidP="00611939">
      <w:pPr>
        <w:pStyle w:val="Body"/>
      </w:pPr>
    </w:p>
    <w:p w14:paraId="494063ED" w14:textId="77777777" w:rsidR="004074CA" w:rsidRDefault="004074CA" w:rsidP="00611939">
      <w:pPr>
        <w:pStyle w:val="Body"/>
      </w:pPr>
    </w:p>
    <w:tbl>
      <w:tblPr>
        <w:tblStyle w:val="TableGrid"/>
        <w:tblW w:w="9299" w:type="dxa"/>
        <w:tblInd w:w="-5" w:type="dxa"/>
        <w:tblCellMar>
          <w:left w:w="85" w:type="dxa"/>
          <w:right w:w="85" w:type="dxa"/>
        </w:tblCellMar>
        <w:tblLook w:val="06A0" w:firstRow="1" w:lastRow="0" w:firstColumn="1" w:lastColumn="0" w:noHBand="1" w:noVBand="1"/>
      </w:tblPr>
      <w:tblGrid>
        <w:gridCol w:w="1125"/>
        <w:gridCol w:w="4699"/>
        <w:gridCol w:w="1397"/>
        <w:gridCol w:w="1218"/>
        <w:gridCol w:w="860"/>
      </w:tblGrid>
      <w:tr w:rsidR="000F6DAC" w:rsidRPr="000F6DAC" w14:paraId="07FF6123" w14:textId="77777777" w:rsidTr="06E0321B">
        <w:trPr>
          <w:trHeight w:val="305"/>
        </w:trPr>
        <w:tc>
          <w:tcPr>
            <w:tcW w:w="8439" w:type="dxa"/>
            <w:gridSpan w:val="4"/>
            <w:shd w:val="clear" w:color="auto" w:fill="auto"/>
          </w:tcPr>
          <w:p w14:paraId="66BA92D8" w14:textId="77777777" w:rsidR="000F6DAC" w:rsidRPr="000F6DAC" w:rsidRDefault="000F6DAC" w:rsidP="000F6DAC">
            <w:pPr>
              <w:numPr>
                <w:ilvl w:val="1"/>
                <w:numId w:val="0"/>
              </w:numPr>
              <w:spacing w:before="80" w:after="60" w:line="240" w:lineRule="auto"/>
              <w:rPr>
                <w:rFonts w:cs="Arial"/>
                <w:szCs w:val="21"/>
                <w:highlight w:val="yellow"/>
              </w:rPr>
            </w:pPr>
            <w:r w:rsidRPr="000F6DAC">
              <w:rPr>
                <w:rFonts w:cs="Arial"/>
                <w:b/>
                <w:szCs w:val="21"/>
              </w:rPr>
              <w:t xml:space="preserve">Competencies displayed by the worker </w:t>
            </w:r>
            <w:r w:rsidRPr="000F6DAC">
              <w:rPr>
                <w:rFonts w:cs="Arial"/>
                <w:b/>
                <w:bCs/>
                <w:szCs w:val="21"/>
              </w:rPr>
              <w:t xml:space="preserve">in the technique of intradermal injection  </w:t>
            </w:r>
          </w:p>
        </w:tc>
        <w:tc>
          <w:tcPr>
            <w:tcW w:w="860" w:type="dxa"/>
            <w:shd w:val="clear" w:color="auto" w:fill="auto"/>
          </w:tcPr>
          <w:p w14:paraId="1EA05591" w14:textId="77777777" w:rsidR="000F6DAC" w:rsidRPr="000F6DAC" w:rsidRDefault="000F6DAC" w:rsidP="000F6DAC">
            <w:pPr>
              <w:spacing w:before="80" w:after="60" w:line="240" w:lineRule="auto"/>
              <w:rPr>
                <w:rFonts w:cs="Arial"/>
                <w:szCs w:val="21"/>
              </w:rPr>
            </w:pPr>
            <w:r w:rsidRPr="000F6DAC">
              <w:rPr>
                <w:rFonts w:cs="Arial"/>
                <w:i/>
                <w:szCs w:val="21"/>
              </w:rPr>
              <w:t>Tick to confirm</w:t>
            </w:r>
          </w:p>
        </w:tc>
      </w:tr>
      <w:tr w:rsidR="000F6DAC" w:rsidRPr="000F6DAC" w14:paraId="38DB74D8" w14:textId="77777777" w:rsidTr="06E0321B">
        <w:trPr>
          <w:trHeight w:val="2197"/>
        </w:trPr>
        <w:tc>
          <w:tcPr>
            <w:tcW w:w="8439" w:type="dxa"/>
            <w:gridSpan w:val="4"/>
          </w:tcPr>
          <w:p w14:paraId="6B3E3DCD" w14:textId="5F127ABE" w:rsidR="000F6DAC" w:rsidRPr="000F6DAC" w:rsidRDefault="00D90421"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 xml:space="preserve">demonstrate collection of required equipment. </w:t>
            </w:r>
          </w:p>
          <w:p w14:paraId="4DD5C341" w14:textId="4DEAEC9C" w:rsidR="000F6DAC" w:rsidRPr="000F6DAC" w:rsidRDefault="000F6DAC" w:rsidP="002E2D61">
            <w:pPr>
              <w:shd w:val="clear" w:color="auto" w:fill="FFFFFF"/>
              <w:spacing w:before="120" w:line="360" w:lineRule="auto"/>
              <w:ind w:left="306"/>
              <w:rPr>
                <w:rFonts w:cs="Arial"/>
                <w:szCs w:val="21"/>
                <w:lang w:eastAsia="en-AU"/>
              </w:rPr>
            </w:pPr>
            <w:r w:rsidRPr="000F6DAC">
              <w:rPr>
                <w:rFonts w:cs="Arial"/>
                <w:szCs w:val="21"/>
                <w:lang w:eastAsia="en-AU"/>
              </w:rPr>
              <w:t>Equipment may include:</w:t>
            </w:r>
          </w:p>
          <w:p w14:paraId="1CB0701A" w14:textId="77777777" w:rsidR="000F6DAC" w:rsidRPr="000F6DAC" w:rsidRDefault="000F6DAC" w:rsidP="001D7D9C">
            <w:pPr>
              <w:numPr>
                <w:ilvl w:val="0"/>
                <w:numId w:val="43"/>
              </w:numPr>
              <w:shd w:val="clear" w:color="auto" w:fill="FFFFFF"/>
              <w:tabs>
                <w:tab w:val="num" w:pos="720"/>
              </w:tabs>
              <w:spacing w:before="120" w:line="360" w:lineRule="auto"/>
              <w:ind w:left="663" w:hanging="357"/>
              <w:rPr>
                <w:rFonts w:cs="Arial"/>
                <w:szCs w:val="21"/>
                <w:lang w:eastAsia="en-AU"/>
              </w:rPr>
            </w:pPr>
            <w:r w:rsidRPr="000F6DAC">
              <w:rPr>
                <w:rFonts w:cs="Arial"/>
                <w:szCs w:val="21"/>
                <w:lang w:eastAsia="en-AU"/>
              </w:rPr>
              <w:t xml:space="preserve">medical waste (sharps) container </w:t>
            </w:r>
          </w:p>
          <w:p w14:paraId="37C966F8" w14:textId="77777777" w:rsidR="000F6DAC" w:rsidRPr="000F6DAC" w:rsidRDefault="000F6DAC" w:rsidP="001D7D9C">
            <w:pPr>
              <w:numPr>
                <w:ilvl w:val="0"/>
                <w:numId w:val="43"/>
              </w:numPr>
              <w:shd w:val="clear" w:color="auto" w:fill="FFFFFF"/>
              <w:tabs>
                <w:tab w:val="num" w:pos="720"/>
              </w:tabs>
              <w:spacing w:before="120" w:line="360" w:lineRule="auto"/>
              <w:ind w:left="666"/>
              <w:rPr>
                <w:rFonts w:cs="Arial"/>
                <w:szCs w:val="21"/>
                <w:lang w:eastAsia="en-AU"/>
              </w:rPr>
            </w:pPr>
            <w:r w:rsidRPr="000F6DAC">
              <w:rPr>
                <w:rFonts w:cs="Arial"/>
                <w:szCs w:val="21"/>
                <w:lang w:eastAsia="en-AU"/>
              </w:rPr>
              <w:t xml:space="preserve">1ml syringe </w:t>
            </w:r>
          </w:p>
          <w:p w14:paraId="4480038C" w14:textId="020A1AEA" w:rsidR="000F6DAC" w:rsidRPr="000F6DAC" w:rsidRDefault="000F6DAC" w:rsidP="001D7D9C">
            <w:pPr>
              <w:numPr>
                <w:ilvl w:val="0"/>
                <w:numId w:val="43"/>
              </w:numPr>
              <w:shd w:val="clear" w:color="auto" w:fill="FFFFFF" w:themeFill="background1"/>
              <w:tabs>
                <w:tab w:val="num" w:pos="720"/>
              </w:tabs>
              <w:spacing w:before="120" w:line="360" w:lineRule="auto"/>
              <w:ind w:left="666"/>
              <w:rPr>
                <w:rFonts w:cs="Arial"/>
                <w:lang w:eastAsia="en-AU"/>
              </w:rPr>
            </w:pPr>
            <w:r w:rsidRPr="000F6DAC">
              <w:rPr>
                <w:rFonts w:cs="Arial"/>
                <w:lang w:eastAsia="en-AU"/>
              </w:rPr>
              <w:t xml:space="preserve">appropriate drawing-up needle — </w:t>
            </w:r>
            <w:r w:rsidR="00A95B2A">
              <w:rPr>
                <w:rFonts w:cs="Arial"/>
                <w:lang w:eastAsia="en-AU"/>
              </w:rPr>
              <w:t>preferabl</w:t>
            </w:r>
            <w:r w:rsidR="00ED03AD">
              <w:rPr>
                <w:rFonts w:cs="Arial"/>
                <w:lang w:eastAsia="en-AU"/>
              </w:rPr>
              <w:t xml:space="preserve">y 25-27 gauge </w:t>
            </w:r>
          </w:p>
          <w:p w14:paraId="7E14E853" w14:textId="77777777" w:rsidR="000F6DAC" w:rsidRPr="000F6DAC" w:rsidRDefault="000F6DAC" w:rsidP="001D7D9C">
            <w:pPr>
              <w:numPr>
                <w:ilvl w:val="0"/>
                <w:numId w:val="43"/>
              </w:numPr>
              <w:shd w:val="clear" w:color="auto" w:fill="FFFFFF" w:themeFill="background1"/>
              <w:spacing w:before="120" w:line="360" w:lineRule="auto"/>
              <w:ind w:left="666"/>
              <w:rPr>
                <w:rFonts w:cs="Arial"/>
                <w:lang w:eastAsia="en-AU"/>
              </w:rPr>
            </w:pPr>
            <w:r w:rsidRPr="000F6DAC">
              <w:rPr>
                <w:rFonts w:cs="Arial"/>
                <w:lang w:eastAsia="en-AU"/>
              </w:rPr>
              <w:t>26 -27-gauge 10mm long needle for administration</w:t>
            </w:r>
          </w:p>
          <w:p w14:paraId="0321A986" w14:textId="77777777" w:rsidR="000F6DAC" w:rsidRPr="000F6DAC" w:rsidRDefault="000F6DAC" w:rsidP="001D7D9C">
            <w:pPr>
              <w:numPr>
                <w:ilvl w:val="0"/>
                <w:numId w:val="43"/>
              </w:numPr>
              <w:shd w:val="clear" w:color="auto" w:fill="FFFFFF"/>
              <w:spacing w:before="120" w:line="360" w:lineRule="auto"/>
              <w:ind w:left="663" w:hanging="357"/>
              <w:rPr>
                <w:rFonts w:cs="Arial"/>
                <w:szCs w:val="21"/>
              </w:rPr>
            </w:pPr>
            <w:r w:rsidRPr="000F6DAC">
              <w:rPr>
                <w:rFonts w:cs="Arial"/>
                <w:szCs w:val="21"/>
                <w:lang w:eastAsia="en-AU"/>
              </w:rPr>
              <w:t xml:space="preserve">clean cottonwool </w:t>
            </w:r>
          </w:p>
        </w:tc>
        <w:tc>
          <w:tcPr>
            <w:tcW w:w="860" w:type="dxa"/>
          </w:tcPr>
          <w:p w14:paraId="3D71266A" w14:textId="77777777" w:rsidR="000F6DAC" w:rsidRPr="000F6DAC" w:rsidRDefault="00000000" w:rsidP="00877FE7">
            <w:pPr>
              <w:spacing w:before="120" w:after="60" w:line="240" w:lineRule="auto"/>
              <w:ind w:left="227"/>
              <w:jc w:val="center"/>
              <w:rPr>
                <w:rFonts w:cs="Arial"/>
                <w:szCs w:val="21"/>
              </w:rPr>
            </w:pPr>
            <w:sdt>
              <w:sdtPr>
                <w:rPr>
                  <w:rFonts w:cs="Arial"/>
                  <w:color w:val="2B579A"/>
                  <w:szCs w:val="21"/>
                  <w:shd w:val="clear" w:color="auto" w:fill="E6E6E6"/>
                </w:rPr>
                <w:id w:val="-2042348657"/>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3C47AAE3" w14:textId="77777777" w:rsidTr="06E0321B">
        <w:trPr>
          <w:trHeight w:val="1379"/>
        </w:trPr>
        <w:tc>
          <w:tcPr>
            <w:tcW w:w="8439" w:type="dxa"/>
            <w:gridSpan w:val="4"/>
          </w:tcPr>
          <w:p w14:paraId="561E661F"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preparation of the consumer</w:t>
            </w:r>
          </w:p>
          <w:p w14:paraId="6740A36D"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Comfortable area to rest arm, ideally opposite the clinician</w:t>
            </w:r>
          </w:p>
          <w:p w14:paraId="35CA8994"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 xml:space="preserve">Safely rotate forearm to visualise volar aspect </w:t>
            </w:r>
          </w:p>
          <w:p w14:paraId="360CCBB5"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Ensure adequate lighting</w:t>
            </w:r>
          </w:p>
        </w:tc>
        <w:tc>
          <w:tcPr>
            <w:tcW w:w="860" w:type="dxa"/>
          </w:tcPr>
          <w:p w14:paraId="23EFA989"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65934708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4DEF187" w14:textId="77777777" w:rsidTr="06E0321B">
        <w:trPr>
          <w:trHeight w:val="974"/>
        </w:trPr>
        <w:tc>
          <w:tcPr>
            <w:tcW w:w="8439" w:type="dxa"/>
            <w:gridSpan w:val="4"/>
          </w:tcPr>
          <w:p w14:paraId="2473903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stretching of skin between finger and thumb over the volar aspect of the forearm </w:t>
            </w:r>
          </w:p>
          <w:p w14:paraId="006F9DD1" w14:textId="77777777" w:rsidR="000F6DAC" w:rsidRPr="000F6DAC" w:rsidRDefault="000F6DAC" w:rsidP="001D7D9C">
            <w:pPr>
              <w:numPr>
                <w:ilvl w:val="0"/>
                <w:numId w:val="46"/>
              </w:numPr>
              <w:spacing w:before="120" w:line="360" w:lineRule="auto"/>
              <w:contextualSpacing/>
              <w:rPr>
                <w:rFonts w:eastAsiaTheme="minorHAnsi" w:cs="Arial"/>
                <w:szCs w:val="21"/>
              </w:rPr>
            </w:pPr>
            <w:r w:rsidRPr="000F6DAC">
              <w:rPr>
                <w:rFonts w:eastAsiaTheme="minorHAnsi" w:cs="Arial"/>
                <w:szCs w:val="21"/>
              </w:rPr>
              <w:t>Chooses site approximately 10cm below antecubital area</w:t>
            </w:r>
          </w:p>
        </w:tc>
        <w:tc>
          <w:tcPr>
            <w:tcW w:w="860" w:type="dxa"/>
          </w:tcPr>
          <w:p w14:paraId="5506119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824845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0E380E05" w14:textId="77777777" w:rsidTr="06E0321B">
        <w:trPr>
          <w:trHeight w:val="402"/>
        </w:trPr>
        <w:tc>
          <w:tcPr>
            <w:tcW w:w="8439" w:type="dxa"/>
            <w:gridSpan w:val="4"/>
          </w:tcPr>
          <w:p w14:paraId="57E4BB8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insertion of bevel into the dermis</w:t>
            </w:r>
          </w:p>
          <w:p w14:paraId="7CFA408A"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uppermost</w:t>
            </w:r>
          </w:p>
          <w:p w14:paraId="278AF7EE"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Distance of @2mm</w:t>
            </w:r>
          </w:p>
          <w:p w14:paraId="19561A7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visible through transparent epidermis</w:t>
            </w:r>
          </w:p>
          <w:p w14:paraId="1740FE47"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Angle of insertion is 5-15 degrees into skin plane</w:t>
            </w:r>
          </w:p>
          <w:p w14:paraId="3367972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Senses resistance when injecting</w:t>
            </w:r>
          </w:p>
        </w:tc>
        <w:tc>
          <w:tcPr>
            <w:tcW w:w="860" w:type="dxa"/>
          </w:tcPr>
          <w:p w14:paraId="281D7C58"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380362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44EBCB8E" w14:textId="77777777" w:rsidTr="06E0321B">
        <w:trPr>
          <w:trHeight w:val="402"/>
        </w:trPr>
        <w:tc>
          <w:tcPr>
            <w:tcW w:w="8439" w:type="dxa"/>
            <w:gridSpan w:val="4"/>
          </w:tcPr>
          <w:p w14:paraId="177E8553"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production of a raised bleb of @7mm diameter, that looks like orange peel </w:t>
            </w:r>
          </w:p>
        </w:tc>
        <w:tc>
          <w:tcPr>
            <w:tcW w:w="860" w:type="dxa"/>
          </w:tcPr>
          <w:p w14:paraId="6BCD7AC5"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699229329"/>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9224965" w14:textId="77777777" w:rsidTr="06E0321B">
        <w:trPr>
          <w:trHeight w:val="402"/>
        </w:trPr>
        <w:tc>
          <w:tcPr>
            <w:tcW w:w="8439" w:type="dxa"/>
            <w:gridSpan w:val="4"/>
          </w:tcPr>
          <w:p w14:paraId="24ECE752" w14:textId="5DB64222" w:rsidR="000F6DAC" w:rsidRPr="000F6DAC" w:rsidRDefault="00513E77"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demonstrate correct disposal of sharps and any clinical waste</w:t>
            </w:r>
          </w:p>
        </w:tc>
        <w:tc>
          <w:tcPr>
            <w:tcW w:w="860" w:type="dxa"/>
          </w:tcPr>
          <w:p w14:paraId="2F72FB5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64385944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6D63913F" w14:textId="77777777" w:rsidTr="06E0321B">
        <w:trPr>
          <w:trHeight w:val="402"/>
        </w:trPr>
        <w:tc>
          <w:tcPr>
            <w:tcW w:w="8439" w:type="dxa"/>
            <w:gridSpan w:val="4"/>
          </w:tcPr>
          <w:p w14:paraId="63669862"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Demonstrates an understanding of escalation points in instances of:</w:t>
            </w:r>
          </w:p>
          <w:p w14:paraId="71F0C8A2" w14:textId="77777777" w:rsidR="000F6DAC" w:rsidRPr="000F6DAC" w:rsidRDefault="000F6DAC" w:rsidP="001D7D9C">
            <w:pPr>
              <w:numPr>
                <w:ilvl w:val="0"/>
                <w:numId w:val="47"/>
              </w:numPr>
              <w:spacing w:before="120" w:line="360" w:lineRule="auto"/>
              <w:contextualSpacing/>
              <w:rPr>
                <w:rFonts w:eastAsiaTheme="minorHAnsi" w:cs="Arial"/>
                <w:szCs w:val="21"/>
              </w:rPr>
            </w:pPr>
            <w:r w:rsidRPr="000F6DAC">
              <w:rPr>
                <w:rFonts w:eastAsiaTheme="minorHAnsi" w:cs="Arial"/>
                <w:szCs w:val="21"/>
              </w:rPr>
              <w:t>Unsuccessful intradermal injection technique</w:t>
            </w:r>
          </w:p>
        </w:tc>
        <w:tc>
          <w:tcPr>
            <w:tcW w:w="860" w:type="dxa"/>
          </w:tcPr>
          <w:p w14:paraId="3D4DD14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139761972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00137DCA" w14:textId="77777777" w:rsidTr="06E0321B">
        <w:trPr>
          <w:trHeight w:val="388"/>
        </w:trPr>
        <w:tc>
          <w:tcPr>
            <w:tcW w:w="8439" w:type="dxa"/>
            <w:gridSpan w:val="4"/>
            <w:tcBorders>
              <w:bottom w:val="single" w:sz="4" w:space="0" w:color="auto"/>
            </w:tcBorders>
          </w:tcPr>
          <w:p w14:paraId="1FC81E04"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Has successfully completed a minimum of three to five supervised vaccinations using the intradermal injection administration technique</w:t>
            </w:r>
          </w:p>
        </w:tc>
        <w:tc>
          <w:tcPr>
            <w:tcW w:w="860" w:type="dxa"/>
            <w:tcBorders>
              <w:bottom w:val="single" w:sz="4" w:space="0" w:color="auto"/>
            </w:tcBorders>
          </w:tcPr>
          <w:p w14:paraId="5B344A4E"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1102681970"/>
                <w14:checkbox>
                  <w14:checked w14:val="0"/>
                  <w14:checkedState w14:val="2612" w14:font="MS Gothic"/>
                  <w14:uncheckedState w14:val="2610" w14:font="MS Gothic"/>
                </w14:checkbox>
              </w:sdtPr>
              <w:sdtContent>
                <w:r w:rsidR="000F6DAC" w:rsidRPr="000F6DAC">
                  <w:rPr>
                    <w:rFonts w:ascii="Segoe UI Symbol" w:eastAsia="MS Gothic" w:hAnsi="Segoe UI Symbol" w:cs="Segoe UI Symbol"/>
                    <w:color w:val="2B579A"/>
                    <w:szCs w:val="21"/>
                    <w:shd w:val="clear" w:color="auto" w:fill="E6E6E6"/>
                  </w:rPr>
                  <w:t>☐</w:t>
                </w:r>
              </w:sdtContent>
            </w:sdt>
          </w:p>
        </w:tc>
      </w:tr>
      <w:tr w:rsidR="000F6DAC" w:rsidRPr="000F6DAC" w14:paraId="0D27E984" w14:textId="77777777" w:rsidTr="06E0321B">
        <w:trPr>
          <w:trHeight w:val="303"/>
        </w:trPr>
        <w:tc>
          <w:tcPr>
            <w:tcW w:w="9299" w:type="dxa"/>
            <w:gridSpan w:val="5"/>
            <w:tcBorders>
              <w:top w:val="single" w:sz="4" w:space="0" w:color="auto"/>
            </w:tcBorders>
          </w:tcPr>
          <w:p w14:paraId="06CD4DA2" w14:textId="77777777" w:rsidR="000F6DAC" w:rsidRPr="000F6DAC" w:rsidRDefault="000F6DAC" w:rsidP="000F6DAC">
            <w:pPr>
              <w:spacing w:before="120" w:after="60" w:line="240" w:lineRule="auto"/>
              <w:ind w:left="227"/>
              <w:rPr>
                <w:rFonts w:cs="Arial"/>
                <w:b/>
                <w:szCs w:val="21"/>
              </w:rPr>
            </w:pPr>
            <w:r w:rsidRPr="000F6DAC">
              <w:rPr>
                <w:rFonts w:cs="Arial"/>
                <w:b/>
                <w:szCs w:val="21"/>
              </w:rPr>
              <w:t>Details of person completing this form</w:t>
            </w:r>
          </w:p>
        </w:tc>
      </w:tr>
      <w:tr w:rsidR="000F6DAC" w:rsidRPr="000F6DAC" w14:paraId="6940456C" w14:textId="77777777" w:rsidTr="06E0321B">
        <w:trPr>
          <w:trHeight w:val="474"/>
        </w:trPr>
        <w:tc>
          <w:tcPr>
            <w:tcW w:w="1125" w:type="dxa"/>
          </w:tcPr>
          <w:p w14:paraId="4F362DC9" w14:textId="77777777" w:rsidR="000F6DAC" w:rsidRPr="000F6DAC" w:rsidRDefault="000F6DAC" w:rsidP="000F6DAC">
            <w:pPr>
              <w:rPr>
                <w:rFonts w:cs="Arial"/>
                <w:b/>
                <w:szCs w:val="21"/>
              </w:rPr>
            </w:pPr>
            <w:r w:rsidRPr="000F6DAC">
              <w:rPr>
                <w:rFonts w:cs="Arial"/>
                <w:b/>
                <w:szCs w:val="21"/>
              </w:rPr>
              <w:t>Name</w:t>
            </w:r>
          </w:p>
        </w:tc>
        <w:sdt>
          <w:sdtPr>
            <w:rPr>
              <w:rFonts w:cs="Arial"/>
              <w:color w:val="2B579A"/>
              <w:szCs w:val="21"/>
              <w:shd w:val="clear" w:color="auto" w:fill="E6E6E6"/>
            </w:rPr>
            <w:id w:val="1390227050"/>
            <w:showingPlcHdr/>
          </w:sdtPr>
          <w:sdtContent>
            <w:tc>
              <w:tcPr>
                <w:tcW w:w="4699" w:type="dxa"/>
              </w:tcPr>
              <w:p w14:paraId="6C874E94"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1DDE743C" w14:textId="77777777" w:rsidR="000F6DAC" w:rsidRPr="000F6DAC" w:rsidRDefault="000F6DAC" w:rsidP="000F6DAC">
            <w:pPr>
              <w:spacing w:before="80" w:after="60" w:line="240" w:lineRule="auto"/>
              <w:ind w:left="227"/>
              <w:rPr>
                <w:rFonts w:cs="Arial"/>
                <w:b/>
                <w:szCs w:val="21"/>
              </w:rPr>
            </w:pPr>
            <w:r w:rsidRPr="000F6DAC">
              <w:rPr>
                <w:rFonts w:cs="Arial"/>
                <w:b/>
                <w:szCs w:val="21"/>
              </w:rPr>
              <w:t>Signature</w:t>
            </w:r>
          </w:p>
        </w:tc>
        <w:tc>
          <w:tcPr>
            <w:tcW w:w="2078" w:type="dxa"/>
            <w:gridSpan w:val="2"/>
          </w:tcPr>
          <w:p w14:paraId="7A1DEDFF" w14:textId="77777777" w:rsidR="000F6DAC" w:rsidRPr="000F6DAC" w:rsidRDefault="000F6DAC" w:rsidP="000F6DAC">
            <w:pPr>
              <w:spacing w:before="80" w:after="60" w:line="240" w:lineRule="auto"/>
              <w:ind w:left="227"/>
              <w:rPr>
                <w:rFonts w:cs="Arial"/>
                <w:szCs w:val="21"/>
              </w:rPr>
            </w:pPr>
          </w:p>
        </w:tc>
      </w:tr>
      <w:tr w:rsidR="000F6DAC" w:rsidRPr="000F6DAC" w14:paraId="14236F0E" w14:textId="77777777" w:rsidTr="06E0321B">
        <w:trPr>
          <w:trHeight w:val="773"/>
        </w:trPr>
        <w:tc>
          <w:tcPr>
            <w:tcW w:w="1125" w:type="dxa"/>
          </w:tcPr>
          <w:p w14:paraId="61B42EC0" w14:textId="77777777" w:rsidR="000F6DAC" w:rsidRPr="000F6DAC" w:rsidRDefault="000F6DAC" w:rsidP="000F6DAC">
            <w:pPr>
              <w:rPr>
                <w:rFonts w:cs="Arial"/>
                <w:b/>
                <w:szCs w:val="21"/>
              </w:rPr>
            </w:pPr>
            <w:r w:rsidRPr="000F6DAC">
              <w:rPr>
                <w:rFonts w:cs="Arial"/>
                <w:b/>
                <w:szCs w:val="21"/>
              </w:rPr>
              <w:t>Position</w:t>
            </w:r>
          </w:p>
        </w:tc>
        <w:sdt>
          <w:sdtPr>
            <w:rPr>
              <w:rFonts w:cs="Arial"/>
              <w:color w:val="2B579A"/>
              <w:szCs w:val="21"/>
              <w:shd w:val="clear" w:color="auto" w:fill="E6E6E6"/>
            </w:rPr>
            <w:id w:val="-487709967"/>
            <w:showingPlcHdr/>
          </w:sdtPr>
          <w:sdtContent>
            <w:tc>
              <w:tcPr>
                <w:tcW w:w="4699" w:type="dxa"/>
              </w:tcPr>
              <w:p w14:paraId="587278E1"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3A94369E" w14:textId="77777777" w:rsidR="000F6DAC" w:rsidRPr="000F6DAC" w:rsidRDefault="000F6DAC" w:rsidP="000F6DAC">
            <w:pPr>
              <w:spacing w:before="80" w:after="60" w:line="240" w:lineRule="auto"/>
              <w:ind w:left="227"/>
              <w:rPr>
                <w:rFonts w:cs="Arial"/>
                <w:b/>
                <w:szCs w:val="21"/>
              </w:rPr>
            </w:pPr>
            <w:r w:rsidRPr="000F6DAC">
              <w:rPr>
                <w:rFonts w:cs="Arial"/>
                <w:b/>
                <w:szCs w:val="21"/>
              </w:rPr>
              <w:t>Date</w:t>
            </w:r>
          </w:p>
        </w:tc>
        <w:sdt>
          <w:sdtPr>
            <w:rPr>
              <w:rFonts w:cs="Arial"/>
              <w:color w:val="2B579A"/>
              <w:szCs w:val="21"/>
              <w:shd w:val="clear" w:color="auto" w:fill="E6E6E6"/>
            </w:rPr>
            <w:id w:val="-1039653874"/>
            <w:showingPlcHdr/>
            <w:date>
              <w:dateFormat w:val="d/MM/yyyy"/>
              <w:lid w:val="en-AU"/>
              <w:storeMappedDataAs w:val="dateTime"/>
              <w:calendar w:val="gregorian"/>
            </w:date>
          </w:sdtPr>
          <w:sdtContent>
            <w:tc>
              <w:tcPr>
                <w:tcW w:w="2078" w:type="dxa"/>
                <w:gridSpan w:val="2"/>
              </w:tcPr>
              <w:p w14:paraId="63000DEF"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to enter a date.</w:t>
                </w:r>
              </w:p>
            </w:tc>
          </w:sdtContent>
        </w:sdt>
      </w:tr>
    </w:tbl>
    <w:p w14:paraId="762F902B" w14:textId="255B1D79" w:rsidR="004074CA" w:rsidRDefault="004074CA" w:rsidP="004074CA">
      <w:pPr>
        <w:pStyle w:val="Heading1"/>
      </w:pPr>
      <w:bookmarkStart w:id="289" w:name="_Toc176345012"/>
      <w:r w:rsidRPr="000E573A">
        <w:t xml:space="preserve">Appendix </w:t>
      </w:r>
      <w:r>
        <w:t>8</w:t>
      </w:r>
      <w:r w:rsidRPr="000E573A">
        <w:t>: Document history and control</w:t>
      </w:r>
      <w:bookmarkEnd w:id="289"/>
    </w:p>
    <w:tbl>
      <w:tblPr>
        <w:tblStyle w:val="TableGrid"/>
        <w:tblW w:w="9634" w:type="dxa"/>
        <w:tblLook w:val="04A0" w:firstRow="1" w:lastRow="0" w:firstColumn="1" w:lastColumn="0" w:noHBand="0" w:noVBand="1"/>
      </w:tblPr>
      <w:tblGrid>
        <w:gridCol w:w="1271"/>
        <w:gridCol w:w="1843"/>
        <w:gridCol w:w="6520"/>
      </w:tblGrid>
      <w:tr w:rsidR="004074CA" w14:paraId="5EFB0423" w14:textId="77777777" w:rsidTr="001F4B9C">
        <w:tc>
          <w:tcPr>
            <w:tcW w:w="1271" w:type="dxa"/>
          </w:tcPr>
          <w:p w14:paraId="61FF0A7D" w14:textId="77777777" w:rsidR="004074CA" w:rsidRPr="00FF3141" w:rsidRDefault="004074CA" w:rsidP="00C016B5">
            <w:pPr>
              <w:pStyle w:val="Body"/>
              <w:rPr>
                <w:rFonts w:cs="Arial"/>
                <w:szCs w:val="21"/>
              </w:rPr>
            </w:pPr>
            <w:r w:rsidRPr="00FF3141">
              <w:rPr>
                <w:rFonts w:cs="Arial"/>
                <w:b/>
                <w:bCs/>
                <w:szCs w:val="21"/>
              </w:rPr>
              <w:t>Version</w:t>
            </w:r>
          </w:p>
        </w:tc>
        <w:tc>
          <w:tcPr>
            <w:tcW w:w="1843" w:type="dxa"/>
          </w:tcPr>
          <w:p w14:paraId="10425406" w14:textId="77777777" w:rsidR="004074CA" w:rsidRPr="00FF3141" w:rsidRDefault="004074CA" w:rsidP="00C016B5">
            <w:pPr>
              <w:pStyle w:val="Body"/>
              <w:rPr>
                <w:rFonts w:cs="Arial"/>
                <w:szCs w:val="21"/>
              </w:rPr>
            </w:pPr>
            <w:r w:rsidRPr="00FF3141">
              <w:rPr>
                <w:rFonts w:cs="Arial"/>
                <w:b/>
                <w:bCs/>
                <w:szCs w:val="21"/>
              </w:rPr>
              <w:t>Publishing date</w:t>
            </w:r>
          </w:p>
        </w:tc>
        <w:tc>
          <w:tcPr>
            <w:tcW w:w="6520" w:type="dxa"/>
          </w:tcPr>
          <w:p w14:paraId="5B9E3242" w14:textId="77777777" w:rsidR="004074CA" w:rsidRPr="00FF3141" w:rsidRDefault="004074CA" w:rsidP="00C016B5">
            <w:pPr>
              <w:pStyle w:val="Body"/>
              <w:rPr>
                <w:rFonts w:cs="Arial"/>
                <w:szCs w:val="21"/>
              </w:rPr>
            </w:pPr>
            <w:r w:rsidRPr="00FF3141">
              <w:rPr>
                <w:rFonts w:cs="Arial"/>
                <w:b/>
                <w:bCs/>
                <w:szCs w:val="21"/>
              </w:rPr>
              <w:t>New updates</w:t>
            </w:r>
          </w:p>
        </w:tc>
      </w:tr>
      <w:tr w:rsidR="004074CA" w14:paraId="3A0519A4" w14:textId="77777777" w:rsidTr="001F4B9C">
        <w:tc>
          <w:tcPr>
            <w:tcW w:w="1271" w:type="dxa"/>
          </w:tcPr>
          <w:p w14:paraId="5EDA9DB6" w14:textId="77777777" w:rsidR="004074CA" w:rsidRPr="00FF3141" w:rsidRDefault="004074CA" w:rsidP="00C016B5">
            <w:pPr>
              <w:pStyle w:val="Body"/>
              <w:rPr>
                <w:rFonts w:cs="Arial"/>
                <w:szCs w:val="21"/>
              </w:rPr>
            </w:pPr>
            <w:r w:rsidRPr="00FF3141">
              <w:rPr>
                <w:rFonts w:cs="Arial"/>
                <w:szCs w:val="21"/>
              </w:rPr>
              <w:t>4</w:t>
            </w:r>
          </w:p>
        </w:tc>
        <w:tc>
          <w:tcPr>
            <w:tcW w:w="1843" w:type="dxa"/>
          </w:tcPr>
          <w:p w14:paraId="03E137A5" w14:textId="77777777" w:rsidR="004074CA" w:rsidRPr="00FF3141" w:rsidRDefault="004074CA" w:rsidP="00C016B5">
            <w:pPr>
              <w:pStyle w:val="Body"/>
              <w:rPr>
                <w:rFonts w:cs="Arial"/>
                <w:szCs w:val="21"/>
              </w:rPr>
            </w:pPr>
            <w:r w:rsidRPr="00FF3141">
              <w:rPr>
                <w:rFonts w:cs="Arial"/>
                <w:szCs w:val="21"/>
              </w:rPr>
              <w:t>09/09/2022</w:t>
            </w:r>
          </w:p>
        </w:tc>
        <w:tc>
          <w:tcPr>
            <w:tcW w:w="6520" w:type="dxa"/>
          </w:tcPr>
          <w:p w14:paraId="72207753" w14:textId="77777777" w:rsidR="004074CA" w:rsidRPr="00FF3141" w:rsidRDefault="004074CA" w:rsidP="00C527A1">
            <w:pPr>
              <w:spacing w:after="0" w:line="240" w:lineRule="auto"/>
              <w:textAlignment w:val="baseline"/>
              <w:rPr>
                <w:rFonts w:cs="Arial"/>
                <w:szCs w:val="21"/>
                <w:lang w:eastAsia="en-AU"/>
              </w:rPr>
            </w:pPr>
            <w:r w:rsidRPr="00FF3141">
              <w:rPr>
                <w:rFonts w:cs="Arial"/>
                <w:b/>
                <w:bCs/>
                <w:szCs w:val="21"/>
                <w:lang w:eastAsia="en-AU"/>
              </w:rPr>
              <w:t xml:space="preserve">Schedule – </w:t>
            </w:r>
            <w:r w:rsidRPr="00FF3141">
              <w:rPr>
                <w:rFonts w:cs="Arial"/>
                <w:szCs w:val="21"/>
                <w:lang w:eastAsia="en-AU"/>
              </w:rPr>
              <w:t>added ATAGI guidance</w:t>
            </w:r>
          </w:p>
          <w:p w14:paraId="628EA8CE" w14:textId="77777777" w:rsidR="004074CA" w:rsidRPr="00FF3141" w:rsidRDefault="004074CA" w:rsidP="00C527A1">
            <w:pPr>
              <w:spacing w:after="0" w:line="240" w:lineRule="auto"/>
              <w:textAlignment w:val="baseline"/>
              <w:rPr>
                <w:rFonts w:cs="Arial"/>
                <w:szCs w:val="21"/>
                <w:lang w:eastAsia="en-AU"/>
              </w:rPr>
            </w:pPr>
            <w:r w:rsidRPr="00FF3141">
              <w:rPr>
                <w:rFonts w:cs="Arial"/>
                <w:szCs w:val="21"/>
                <w:lang w:eastAsia="en-AU"/>
              </w:rPr>
              <w:t>Advice if dose 2 given after 28 days</w:t>
            </w:r>
          </w:p>
          <w:p w14:paraId="06E915EA" w14:textId="77777777" w:rsidR="004074CA" w:rsidRPr="00FF3141" w:rsidRDefault="004074CA" w:rsidP="00C527A1">
            <w:pPr>
              <w:spacing w:after="0" w:line="240" w:lineRule="auto"/>
              <w:textAlignment w:val="baseline"/>
              <w:rPr>
                <w:rFonts w:cs="Arial"/>
                <w:b/>
                <w:bCs/>
                <w:szCs w:val="21"/>
                <w:lang w:eastAsia="en-AU"/>
              </w:rPr>
            </w:pPr>
            <w:r w:rsidRPr="00FF3141">
              <w:rPr>
                <w:rFonts w:cs="Arial"/>
                <w:b/>
                <w:bCs/>
                <w:szCs w:val="21"/>
                <w:lang w:eastAsia="en-AU"/>
              </w:rPr>
              <w:t>Addition of table</w:t>
            </w:r>
          </w:p>
          <w:p w14:paraId="36FA6F60" w14:textId="77777777" w:rsidR="004074CA" w:rsidRPr="00FF3141" w:rsidRDefault="004074CA" w:rsidP="00C527A1">
            <w:pPr>
              <w:pStyle w:val="Body"/>
              <w:spacing w:after="0"/>
              <w:rPr>
                <w:rFonts w:eastAsia="Times New Roman" w:cs="Arial"/>
                <w:szCs w:val="21"/>
                <w:lang w:eastAsia="en-AU"/>
              </w:rPr>
            </w:pPr>
            <w:r w:rsidRPr="00FF3141">
              <w:rPr>
                <w:rFonts w:eastAsia="Times New Roman" w:cs="Arial"/>
                <w:szCs w:val="21"/>
                <w:lang w:eastAsia="en-AU"/>
              </w:rPr>
              <w:t xml:space="preserve">Table 4 – Codes for adding </w:t>
            </w:r>
            <w:r w:rsidRPr="00FF3141">
              <w:rPr>
                <w:rFonts w:eastAsia="Times New Roman" w:cs="Arial"/>
                <w:szCs w:val="21"/>
                <w:lang w:val="en-US" w:eastAsia="en-AU"/>
              </w:rPr>
              <w:t>JYNNEOS</w:t>
            </w:r>
            <w:r w:rsidRPr="00FF3141">
              <w:rPr>
                <w:rFonts w:eastAsia="Times New Roman" w:cs="Arial"/>
                <w:color w:val="313131"/>
                <w:szCs w:val="21"/>
                <w:vertAlign w:val="superscript"/>
                <w:lang w:eastAsia="en-AU"/>
              </w:rPr>
              <w:t xml:space="preserve">® </w:t>
            </w:r>
            <w:r w:rsidRPr="00FF3141">
              <w:rPr>
                <w:rFonts w:eastAsia="Times New Roman" w:cs="Arial"/>
                <w:szCs w:val="21"/>
                <w:lang w:eastAsia="en-AU"/>
              </w:rPr>
              <w:t>vaccine doses to AIR</w:t>
            </w:r>
          </w:p>
          <w:p w14:paraId="408F86A6" w14:textId="77777777" w:rsidR="004074CA" w:rsidRPr="00FF3141" w:rsidRDefault="004074CA" w:rsidP="00C527A1">
            <w:pPr>
              <w:pStyle w:val="Body"/>
              <w:spacing w:after="0"/>
              <w:rPr>
                <w:rFonts w:cs="Arial"/>
                <w:szCs w:val="21"/>
              </w:rPr>
            </w:pPr>
            <w:r w:rsidRPr="00FF3141">
              <w:rPr>
                <w:rFonts w:cs="Arial"/>
                <w:b/>
                <w:bCs/>
                <w:szCs w:val="21"/>
              </w:rPr>
              <w:t>SAEFVIC contact details</w:t>
            </w:r>
            <w:r w:rsidRPr="00FF3141">
              <w:rPr>
                <w:rFonts w:cs="Arial"/>
                <w:szCs w:val="21"/>
              </w:rPr>
              <w:t xml:space="preserve"> updated </w:t>
            </w:r>
          </w:p>
          <w:p w14:paraId="5D2D60CD" w14:textId="77777777" w:rsidR="004074CA" w:rsidRPr="00FF3141" w:rsidRDefault="004074CA" w:rsidP="00C527A1">
            <w:pPr>
              <w:pStyle w:val="Body"/>
              <w:spacing w:after="0"/>
              <w:rPr>
                <w:rFonts w:cs="Arial"/>
                <w:b/>
                <w:bCs/>
                <w:szCs w:val="21"/>
              </w:rPr>
            </w:pPr>
            <w:r w:rsidRPr="00FF3141">
              <w:rPr>
                <w:rFonts w:cs="Arial"/>
                <w:b/>
                <w:bCs/>
                <w:szCs w:val="21"/>
              </w:rPr>
              <w:t>Addition of Appendix 7</w:t>
            </w:r>
          </w:p>
          <w:p w14:paraId="30E771CA" w14:textId="77777777" w:rsidR="004074CA" w:rsidRPr="00FF3141" w:rsidRDefault="004074CA" w:rsidP="00C527A1">
            <w:pPr>
              <w:pStyle w:val="Body"/>
              <w:spacing w:after="0"/>
              <w:rPr>
                <w:rFonts w:cs="Arial"/>
                <w:szCs w:val="21"/>
              </w:rPr>
            </w:pPr>
            <w:r w:rsidRPr="00FF3141">
              <w:rPr>
                <w:rFonts w:cs="Arial"/>
                <w:szCs w:val="21"/>
              </w:rPr>
              <w:t>Intradermal injection – skills and competency checklist</w:t>
            </w:r>
          </w:p>
        </w:tc>
      </w:tr>
      <w:tr w:rsidR="00620E6B" w14:paraId="53663043" w14:textId="77777777" w:rsidTr="001F4B9C">
        <w:tc>
          <w:tcPr>
            <w:tcW w:w="1271" w:type="dxa"/>
          </w:tcPr>
          <w:p w14:paraId="5FD0F5E2" w14:textId="618E4941" w:rsidR="00620E6B" w:rsidRPr="00FF3141" w:rsidRDefault="00620E6B" w:rsidP="00C016B5">
            <w:pPr>
              <w:pStyle w:val="Body"/>
              <w:rPr>
                <w:rFonts w:cs="Arial"/>
                <w:szCs w:val="21"/>
              </w:rPr>
            </w:pPr>
            <w:r w:rsidRPr="00FF3141">
              <w:rPr>
                <w:rFonts w:cs="Arial"/>
                <w:szCs w:val="21"/>
              </w:rPr>
              <w:t>4.1</w:t>
            </w:r>
          </w:p>
        </w:tc>
        <w:tc>
          <w:tcPr>
            <w:tcW w:w="1843" w:type="dxa"/>
          </w:tcPr>
          <w:p w14:paraId="6E75CF7E" w14:textId="66301734" w:rsidR="00620E6B" w:rsidRPr="00FF3141" w:rsidRDefault="00620E6B" w:rsidP="00C016B5">
            <w:pPr>
              <w:pStyle w:val="Body"/>
              <w:rPr>
                <w:rFonts w:cs="Arial"/>
                <w:szCs w:val="21"/>
              </w:rPr>
            </w:pPr>
            <w:r w:rsidRPr="00FF3141">
              <w:rPr>
                <w:rFonts w:cs="Arial"/>
                <w:szCs w:val="21"/>
              </w:rPr>
              <w:t>12/09/2022</w:t>
            </w:r>
          </w:p>
        </w:tc>
        <w:tc>
          <w:tcPr>
            <w:tcW w:w="6520" w:type="dxa"/>
          </w:tcPr>
          <w:p w14:paraId="0468ABF3" w14:textId="77777777" w:rsidR="00620E6B" w:rsidRPr="00FF3141" w:rsidRDefault="00620E6B" w:rsidP="00620E6B">
            <w:pPr>
              <w:spacing w:after="0" w:line="240" w:lineRule="auto"/>
              <w:textAlignment w:val="baseline"/>
              <w:rPr>
                <w:rFonts w:cs="Arial"/>
                <w:szCs w:val="21"/>
                <w:lang w:eastAsia="en-AU"/>
              </w:rPr>
            </w:pPr>
            <w:r w:rsidRPr="00FF3141">
              <w:rPr>
                <w:rFonts w:cs="Arial"/>
                <w:b/>
                <w:bCs/>
                <w:szCs w:val="21"/>
                <w:lang w:eastAsia="en-AU"/>
              </w:rPr>
              <w:t>Cold chain reporting</w:t>
            </w:r>
            <w:r w:rsidRPr="00FF3141">
              <w:rPr>
                <w:rFonts w:cs="Arial"/>
                <w:szCs w:val="21"/>
                <w:lang w:eastAsia="en-AU"/>
              </w:rPr>
              <w:t> </w:t>
            </w:r>
          </w:p>
          <w:p w14:paraId="38A6004C" w14:textId="1D39E314" w:rsidR="00620E6B" w:rsidRPr="00FF3141" w:rsidRDefault="00620E6B" w:rsidP="00C527A1">
            <w:pPr>
              <w:spacing w:after="0" w:line="240" w:lineRule="auto"/>
              <w:textAlignment w:val="baseline"/>
              <w:rPr>
                <w:rFonts w:cs="Arial"/>
                <w:b/>
                <w:bCs/>
                <w:szCs w:val="21"/>
                <w:lang w:eastAsia="en-AU"/>
              </w:rPr>
            </w:pPr>
            <w:r w:rsidRPr="00FF3141">
              <w:rPr>
                <w:rFonts w:cs="Arial"/>
                <w:szCs w:val="21"/>
                <w:lang w:eastAsia="en-AU"/>
              </w:rPr>
              <w:t xml:space="preserve">Revised contact details </w:t>
            </w:r>
            <w:r w:rsidRPr="00FF3141">
              <w:rPr>
                <w:rFonts w:cs="Arial"/>
                <w:szCs w:val="21"/>
                <w:lang w:val="en-US" w:eastAsia="en-AU"/>
              </w:rPr>
              <w:t>for reporting all cold chain breaches</w:t>
            </w:r>
          </w:p>
        </w:tc>
      </w:tr>
      <w:tr w:rsidR="004074CA" w14:paraId="232A94AB" w14:textId="77777777" w:rsidTr="001F4B9C">
        <w:tc>
          <w:tcPr>
            <w:tcW w:w="1271" w:type="dxa"/>
          </w:tcPr>
          <w:p w14:paraId="70B57873" w14:textId="65BA6C2F" w:rsidR="004074CA" w:rsidRPr="00FF3141" w:rsidRDefault="0030751F" w:rsidP="00C016B5">
            <w:pPr>
              <w:pStyle w:val="Body"/>
              <w:rPr>
                <w:rFonts w:cs="Arial"/>
                <w:szCs w:val="21"/>
              </w:rPr>
            </w:pPr>
            <w:r w:rsidRPr="00FF3141">
              <w:rPr>
                <w:rFonts w:cs="Arial"/>
                <w:szCs w:val="21"/>
              </w:rPr>
              <w:t>4.</w:t>
            </w:r>
            <w:r w:rsidR="007E2F5A" w:rsidRPr="00FF3141">
              <w:rPr>
                <w:rFonts w:cs="Arial"/>
                <w:szCs w:val="21"/>
              </w:rPr>
              <w:t>2</w:t>
            </w:r>
          </w:p>
        </w:tc>
        <w:tc>
          <w:tcPr>
            <w:tcW w:w="1843" w:type="dxa"/>
          </w:tcPr>
          <w:p w14:paraId="7CDAC5BD" w14:textId="43EC0521" w:rsidR="004074CA" w:rsidRPr="00FF3141" w:rsidRDefault="00620E6B" w:rsidP="00C016B5">
            <w:pPr>
              <w:pStyle w:val="Body"/>
              <w:rPr>
                <w:rFonts w:cs="Arial"/>
                <w:szCs w:val="21"/>
              </w:rPr>
            </w:pPr>
            <w:r w:rsidRPr="00FF3141">
              <w:rPr>
                <w:rFonts w:cs="Arial"/>
                <w:szCs w:val="21"/>
              </w:rPr>
              <w:t>16/09/2022</w:t>
            </w:r>
            <w:r w:rsidR="00A82E30" w:rsidRPr="00FF3141">
              <w:rPr>
                <w:rFonts w:cs="Arial"/>
                <w:szCs w:val="21"/>
              </w:rPr>
              <w:t xml:space="preserve"> </w:t>
            </w:r>
          </w:p>
        </w:tc>
        <w:tc>
          <w:tcPr>
            <w:tcW w:w="6520" w:type="dxa"/>
          </w:tcPr>
          <w:p w14:paraId="2B5513B2" w14:textId="77777777" w:rsidR="007E2F5A" w:rsidRPr="00FF3141" w:rsidRDefault="007E2F5A" w:rsidP="007E2F5A">
            <w:pPr>
              <w:spacing w:line="240" w:lineRule="auto"/>
              <w:textAlignment w:val="baseline"/>
              <w:rPr>
                <w:rFonts w:cs="Arial"/>
                <w:b/>
                <w:bCs/>
                <w:szCs w:val="21"/>
                <w:lang w:eastAsia="en-AU"/>
              </w:rPr>
            </w:pPr>
            <w:r w:rsidRPr="00FF3141">
              <w:rPr>
                <w:rFonts w:cs="Arial"/>
                <w:b/>
                <w:bCs/>
                <w:szCs w:val="21"/>
                <w:lang w:eastAsia="en-AU"/>
              </w:rPr>
              <w:t>Preparation of equipment</w:t>
            </w:r>
          </w:p>
          <w:p w14:paraId="79E1694E" w14:textId="77777777" w:rsidR="007E2F5A" w:rsidRPr="00FF3141" w:rsidRDefault="007E2F5A" w:rsidP="007E2F5A">
            <w:pPr>
              <w:spacing w:line="240" w:lineRule="auto"/>
              <w:textAlignment w:val="baseline"/>
              <w:rPr>
                <w:rFonts w:cs="Arial"/>
                <w:szCs w:val="21"/>
                <w:lang w:eastAsia="en-AU"/>
              </w:rPr>
            </w:pPr>
            <w:r w:rsidRPr="00FF3141">
              <w:rPr>
                <w:rFonts w:cs="Arial"/>
                <w:szCs w:val="21"/>
                <w:lang w:eastAsia="en-AU"/>
              </w:rPr>
              <w:t>Use of a 25-27 gauge needle to extract vaccine may minimise vaccine wastage</w:t>
            </w:r>
          </w:p>
          <w:p w14:paraId="5791C6C7" w14:textId="77777777" w:rsidR="007E2F5A" w:rsidRPr="00FF3141" w:rsidRDefault="007E2F5A" w:rsidP="007E2F5A">
            <w:pPr>
              <w:spacing w:line="254" w:lineRule="auto"/>
              <w:rPr>
                <w:rFonts w:eastAsia="Calibri" w:cs="Arial"/>
                <w:b/>
                <w:bCs/>
                <w:szCs w:val="21"/>
                <w:lang w:eastAsia="en-AU"/>
              </w:rPr>
            </w:pPr>
            <w:r w:rsidRPr="00FF3141">
              <w:rPr>
                <w:rFonts w:cs="Arial"/>
                <w:b/>
                <w:bCs/>
                <w:szCs w:val="21"/>
                <w:lang w:eastAsia="en-AU"/>
              </w:rPr>
              <w:t xml:space="preserve">Table 3 </w:t>
            </w:r>
            <w:r w:rsidRPr="00FF3141">
              <w:rPr>
                <w:rFonts w:eastAsia="Calibri" w:cs="Arial"/>
                <w:b/>
                <w:bCs/>
                <w:szCs w:val="21"/>
              </w:rPr>
              <w:t xml:space="preserve">Methods of dose extraction for multidose vials </w:t>
            </w:r>
          </w:p>
          <w:p w14:paraId="6FE0EE80" w14:textId="0E839A6F" w:rsidR="004074CA" w:rsidRPr="00FF3141" w:rsidRDefault="007E2F5A" w:rsidP="007E2F5A">
            <w:pPr>
              <w:spacing w:after="0" w:line="240" w:lineRule="auto"/>
              <w:textAlignment w:val="baseline"/>
              <w:rPr>
                <w:rFonts w:cs="Arial"/>
                <w:szCs w:val="21"/>
              </w:rPr>
            </w:pPr>
            <w:r w:rsidRPr="00FF3141">
              <w:rPr>
                <w:rFonts w:cs="Arial"/>
                <w:szCs w:val="21"/>
                <w:lang w:eastAsia="en-AU"/>
              </w:rPr>
              <w:t>Drawing up and administering with the same 25-27 gauge needle</w:t>
            </w:r>
          </w:p>
        </w:tc>
      </w:tr>
      <w:tr w:rsidR="00B96D08" w14:paraId="52D0C458" w14:textId="77777777" w:rsidTr="001F4B9C">
        <w:tc>
          <w:tcPr>
            <w:tcW w:w="1271" w:type="dxa"/>
          </w:tcPr>
          <w:p w14:paraId="34AE6F85" w14:textId="4883FD41" w:rsidR="00B96D08" w:rsidRPr="00FF3141" w:rsidRDefault="00B96D08" w:rsidP="00C016B5">
            <w:pPr>
              <w:pStyle w:val="Body"/>
              <w:rPr>
                <w:rFonts w:cs="Arial"/>
                <w:szCs w:val="21"/>
              </w:rPr>
            </w:pPr>
            <w:r w:rsidRPr="00FF3141">
              <w:rPr>
                <w:rFonts w:cs="Arial"/>
                <w:szCs w:val="21"/>
              </w:rPr>
              <w:t>4.</w:t>
            </w:r>
            <w:r w:rsidRPr="00FF3141">
              <w:rPr>
                <w:rFonts w:eastAsia="Times New Roman" w:cs="Arial"/>
                <w:color w:val="2B579A"/>
                <w:szCs w:val="21"/>
                <w:shd w:val="clear" w:color="auto" w:fill="E6E6E6"/>
              </w:rPr>
              <w:t>3</w:t>
            </w:r>
          </w:p>
        </w:tc>
        <w:tc>
          <w:tcPr>
            <w:tcW w:w="1843" w:type="dxa"/>
          </w:tcPr>
          <w:p w14:paraId="22F922A6" w14:textId="1EC08A6E" w:rsidR="00B96D08" w:rsidRPr="00FF3141" w:rsidRDefault="00B96D08" w:rsidP="00C016B5">
            <w:pPr>
              <w:pStyle w:val="Body"/>
              <w:rPr>
                <w:rFonts w:cs="Arial"/>
                <w:szCs w:val="21"/>
              </w:rPr>
            </w:pPr>
            <w:r w:rsidRPr="00FF3141">
              <w:rPr>
                <w:rFonts w:cs="Arial"/>
                <w:szCs w:val="21"/>
              </w:rPr>
              <w:t>19/09/2022</w:t>
            </w:r>
          </w:p>
        </w:tc>
        <w:tc>
          <w:tcPr>
            <w:tcW w:w="6520" w:type="dxa"/>
          </w:tcPr>
          <w:p w14:paraId="29E380BB" w14:textId="77777777" w:rsidR="00B96D08" w:rsidRPr="00FF3141" w:rsidRDefault="00B96D08" w:rsidP="007E2F5A">
            <w:pPr>
              <w:spacing w:line="240" w:lineRule="auto"/>
              <w:textAlignment w:val="baseline"/>
              <w:rPr>
                <w:rFonts w:cs="Arial"/>
                <w:b/>
                <w:bCs/>
                <w:szCs w:val="21"/>
                <w:lang w:eastAsia="en-AU"/>
              </w:rPr>
            </w:pPr>
            <w:r w:rsidRPr="00FF3141">
              <w:rPr>
                <w:rFonts w:cs="Arial"/>
                <w:b/>
                <w:bCs/>
                <w:szCs w:val="21"/>
                <w:lang w:eastAsia="en-AU"/>
              </w:rPr>
              <w:t>Eligibility for pre-exposure vaccination</w:t>
            </w:r>
          </w:p>
          <w:p w14:paraId="4AB31245" w14:textId="7B92FC40" w:rsidR="00B96D08" w:rsidRPr="00FF3141" w:rsidRDefault="00B96D08" w:rsidP="007E2F5A">
            <w:pPr>
              <w:spacing w:line="240" w:lineRule="auto"/>
              <w:textAlignment w:val="baseline"/>
              <w:rPr>
                <w:rFonts w:cs="Arial"/>
                <w:szCs w:val="21"/>
                <w:lang w:eastAsia="en-AU"/>
              </w:rPr>
            </w:pPr>
            <w:r w:rsidRPr="00FF3141">
              <w:rPr>
                <w:rFonts w:cs="Arial"/>
                <w:szCs w:val="21"/>
                <w:lang w:eastAsia="en-AU"/>
              </w:rPr>
              <w:t>Criteria clarified</w:t>
            </w:r>
          </w:p>
        </w:tc>
      </w:tr>
      <w:tr w:rsidR="06E0321B" w14:paraId="61E1CCC7" w14:textId="77777777" w:rsidTr="001F4B9C">
        <w:trPr>
          <w:trHeight w:val="300"/>
        </w:trPr>
        <w:tc>
          <w:tcPr>
            <w:tcW w:w="1271" w:type="dxa"/>
          </w:tcPr>
          <w:p w14:paraId="0DBE3D71" w14:textId="1F8976E0" w:rsidR="5E909F0A" w:rsidRPr="00FF3141" w:rsidRDefault="7AA83034" w:rsidP="43A706D2">
            <w:pPr>
              <w:pStyle w:val="Body"/>
              <w:rPr>
                <w:rFonts w:cs="Arial"/>
                <w:szCs w:val="21"/>
              </w:rPr>
            </w:pPr>
            <w:r w:rsidRPr="00FF3141">
              <w:rPr>
                <w:rFonts w:cs="Arial"/>
                <w:szCs w:val="21"/>
              </w:rPr>
              <w:t>5</w:t>
            </w:r>
          </w:p>
        </w:tc>
        <w:tc>
          <w:tcPr>
            <w:tcW w:w="1843" w:type="dxa"/>
          </w:tcPr>
          <w:p w14:paraId="2CE9669C" w14:textId="3BB3D053" w:rsidR="06E0321B" w:rsidRPr="00FF3141" w:rsidRDefault="006A1BAE" w:rsidP="06E0321B">
            <w:pPr>
              <w:pStyle w:val="Body"/>
              <w:rPr>
                <w:rFonts w:cs="Arial"/>
                <w:szCs w:val="21"/>
              </w:rPr>
            </w:pPr>
            <w:r w:rsidRPr="00FF3141">
              <w:rPr>
                <w:rFonts w:cs="Arial"/>
                <w:szCs w:val="21"/>
              </w:rPr>
              <w:t>4</w:t>
            </w:r>
            <w:r w:rsidR="004C16EB" w:rsidRPr="00FF3141">
              <w:rPr>
                <w:rFonts w:cs="Arial"/>
                <w:szCs w:val="21"/>
              </w:rPr>
              <w:t>/10/2022</w:t>
            </w:r>
          </w:p>
        </w:tc>
        <w:tc>
          <w:tcPr>
            <w:tcW w:w="6520" w:type="dxa"/>
          </w:tcPr>
          <w:p w14:paraId="1487D960" w14:textId="1175A1D6" w:rsidR="06E0321B" w:rsidRPr="00FF3141" w:rsidRDefault="004C16EB" w:rsidP="06E0321B">
            <w:pPr>
              <w:spacing w:line="240" w:lineRule="auto"/>
              <w:rPr>
                <w:rFonts w:cs="Arial"/>
                <w:b/>
                <w:bCs/>
                <w:szCs w:val="21"/>
                <w:lang w:eastAsia="en-AU"/>
              </w:rPr>
            </w:pPr>
            <w:r w:rsidRPr="00FF3141">
              <w:rPr>
                <w:rFonts w:cs="Arial"/>
                <w:szCs w:val="21"/>
              </w:rPr>
              <w:t>Nurse immunisers and pharmacist immunisers – Secretary Approvals amended to enable monkeypox vaccine administration</w:t>
            </w:r>
            <w:r w:rsidR="00C6298D">
              <w:rPr>
                <w:rFonts w:cs="Arial"/>
                <w:szCs w:val="21"/>
              </w:rPr>
              <w:t xml:space="preserve"> 03/10/2022</w:t>
            </w:r>
          </w:p>
        </w:tc>
      </w:tr>
      <w:tr w:rsidR="06E0321B" w14:paraId="22CBF9C6" w14:textId="77777777" w:rsidTr="001F4B9C">
        <w:trPr>
          <w:trHeight w:val="300"/>
        </w:trPr>
        <w:tc>
          <w:tcPr>
            <w:tcW w:w="1271" w:type="dxa"/>
          </w:tcPr>
          <w:p w14:paraId="00A11353" w14:textId="3B08895B" w:rsidR="06E0321B" w:rsidRPr="00FF3141" w:rsidRDefault="2C58FE0A" w:rsidP="43A706D2">
            <w:pPr>
              <w:pStyle w:val="Body"/>
              <w:rPr>
                <w:rFonts w:cs="Arial"/>
                <w:szCs w:val="21"/>
              </w:rPr>
            </w:pPr>
            <w:r w:rsidRPr="00FF3141">
              <w:rPr>
                <w:rFonts w:cs="Arial"/>
                <w:szCs w:val="21"/>
              </w:rPr>
              <w:t>5</w:t>
            </w:r>
          </w:p>
        </w:tc>
        <w:tc>
          <w:tcPr>
            <w:tcW w:w="1843" w:type="dxa"/>
          </w:tcPr>
          <w:p w14:paraId="29442F19" w14:textId="018FBE23" w:rsidR="06E0321B" w:rsidRPr="00FF3141" w:rsidRDefault="006A1BAE" w:rsidP="06E0321B">
            <w:pPr>
              <w:pStyle w:val="Body"/>
              <w:rPr>
                <w:rFonts w:cs="Arial"/>
                <w:szCs w:val="21"/>
              </w:rPr>
            </w:pPr>
            <w:r w:rsidRPr="00FF3141">
              <w:rPr>
                <w:rFonts w:cs="Arial"/>
                <w:szCs w:val="21"/>
              </w:rPr>
              <w:t>4</w:t>
            </w:r>
            <w:r w:rsidR="00ED3D87" w:rsidRPr="00FF3141">
              <w:rPr>
                <w:rFonts w:cs="Arial"/>
                <w:szCs w:val="21"/>
              </w:rPr>
              <w:t>/10/2022</w:t>
            </w:r>
          </w:p>
        </w:tc>
        <w:tc>
          <w:tcPr>
            <w:tcW w:w="6520" w:type="dxa"/>
          </w:tcPr>
          <w:p w14:paraId="4F274AAE" w14:textId="59B56366" w:rsidR="06E0321B" w:rsidRPr="00FF3141" w:rsidRDefault="00ED3D87" w:rsidP="06E0321B">
            <w:pPr>
              <w:spacing w:line="240" w:lineRule="auto"/>
              <w:rPr>
                <w:rFonts w:cs="Arial"/>
                <w:b/>
                <w:bCs/>
                <w:szCs w:val="21"/>
                <w:lang w:eastAsia="en-AU"/>
              </w:rPr>
            </w:pPr>
            <w:r w:rsidRPr="00FF3141">
              <w:rPr>
                <w:rFonts w:cs="Arial"/>
                <w:szCs w:val="21"/>
                <w:lang w:eastAsia="en-AU"/>
              </w:rPr>
              <w:t>Minor updates to ‘Training activities’ section</w:t>
            </w:r>
          </w:p>
        </w:tc>
      </w:tr>
      <w:tr w:rsidR="6EEBAB2B" w14:paraId="1E071C28" w14:textId="77777777" w:rsidTr="001F4B9C">
        <w:trPr>
          <w:trHeight w:val="300"/>
        </w:trPr>
        <w:tc>
          <w:tcPr>
            <w:tcW w:w="1271" w:type="dxa"/>
          </w:tcPr>
          <w:p w14:paraId="665B0FE7" w14:textId="7D6551F9" w:rsidR="6955F50E" w:rsidRPr="00FF3141" w:rsidRDefault="6955F50E" w:rsidP="6EEBAB2B">
            <w:pPr>
              <w:pStyle w:val="Body"/>
              <w:rPr>
                <w:rFonts w:cs="Arial"/>
                <w:szCs w:val="21"/>
              </w:rPr>
            </w:pPr>
            <w:r w:rsidRPr="00FF3141">
              <w:rPr>
                <w:rFonts w:cs="Arial"/>
                <w:szCs w:val="21"/>
              </w:rPr>
              <w:t>6</w:t>
            </w:r>
          </w:p>
        </w:tc>
        <w:tc>
          <w:tcPr>
            <w:tcW w:w="1843" w:type="dxa"/>
          </w:tcPr>
          <w:p w14:paraId="1EBEEBC6" w14:textId="400D7611" w:rsidR="62EF5EAA" w:rsidRPr="00FF3141" w:rsidRDefault="62EF5EAA" w:rsidP="6EEBAB2B">
            <w:pPr>
              <w:pStyle w:val="Body"/>
              <w:rPr>
                <w:rFonts w:cs="Arial"/>
                <w:szCs w:val="21"/>
              </w:rPr>
            </w:pPr>
            <w:r w:rsidRPr="00FF3141">
              <w:rPr>
                <w:rFonts w:cs="Arial"/>
                <w:szCs w:val="21"/>
              </w:rPr>
              <w:t>11/10/2</w:t>
            </w:r>
            <w:r w:rsidR="5B97963D" w:rsidRPr="00FF3141">
              <w:rPr>
                <w:rFonts w:cs="Arial"/>
                <w:szCs w:val="21"/>
              </w:rPr>
              <w:t>0</w:t>
            </w:r>
            <w:r w:rsidRPr="00FF3141">
              <w:rPr>
                <w:rFonts w:cs="Arial"/>
                <w:szCs w:val="21"/>
              </w:rPr>
              <w:t>2</w:t>
            </w:r>
            <w:r w:rsidR="37C9B8D2" w:rsidRPr="00FF3141">
              <w:rPr>
                <w:rFonts w:cs="Arial"/>
                <w:szCs w:val="21"/>
              </w:rPr>
              <w:t>2</w:t>
            </w:r>
          </w:p>
        </w:tc>
        <w:tc>
          <w:tcPr>
            <w:tcW w:w="6520" w:type="dxa"/>
          </w:tcPr>
          <w:p w14:paraId="26A35545" w14:textId="25A9AAA9" w:rsidR="62EF5EAA" w:rsidRPr="00FF3141" w:rsidRDefault="62EF5EAA" w:rsidP="6EEBAB2B">
            <w:pPr>
              <w:pStyle w:val="Body"/>
              <w:rPr>
                <w:rFonts w:cs="Arial"/>
                <w:szCs w:val="21"/>
              </w:rPr>
            </w:pPr>
            <w:r w:rsidRPr="00FF3141">
              <w:rPr>
                <w:rFonts w:cs="Arial"/>
                <w:b/>
                <w:bCs/>
                <w:szCs w:val="21"/>
              </w:rPr>
              <w:t xml:space="preserve">Eligibility for vaccination – </w:t>
            </w:r>
            <w:r w:rsidRPr="00FF3141">
              <w:rPr>
                <w:rFonts w:cs="Arial"/>
                <w:szCs w:val="21"/>
              </w:rPr>
              <w:t>as per vaccine supply</w:t>
            </w:r>
          </w:p>
        </w:tc>
      </w:tr>
      <w:tr w:rsidR="06E0321B" w14:paraId="0116DCFD" w14:textId="77777777" w:rsidTr="001F4B9C">
        <w:trPr>
          <w:trHeight w:val="300"/>
        </w:trPr>
        <w:tc>
          <w:tcPr>
            <w:tcW w:w="1271" w:type="dxa"/>
          </w:tcPr>
          <w:p w14:paraId="093B8D67" w14:textId="097ACC19" w:rsidR="06E0321B" w:rsidRPr="00FF3141" w:rsidRDefault="007415C7" w:rsidP="06E0321B">
            <w:pPr>
              <w:pStyle w:val="Body"/>
              <w:rPr>
                <w:rFonts w:cs="Arial"/>
                <w:szCs w:val="21"/>
              </w:rPr>
            </w:pPr>
            <w:r w:rsidRPr="00FF3141">
              <w:rPr>
                <w:rFonts w:cs="Arial"/>
                <w:szCs w:val="21"/>
              </w:rPr>
              <w:t>6</w:t>
            </w:r>
          </w:p>
        </w:tc>
        <w:tc>
          <w:tcPr>
            <w:tcW w:w="1843" w:type="dxa"/>
          </w:tcPr>
          <w:p w14:paraId="5556E5B9" w14:textId="02C147DB" w:rsidR="06E0321B" w:rsidRPr="00FF3141" w:rsidRDefault="3DE2AFF9" w:rsidP="6EEBAB2B">
            <w:pPr>
              <w:pStyle w:val="Body"/>
              <w:rPr>
                <w:rFonts w:cs="Arial"/>
                <w:szCs w:val="21"/>
              </w:rPr>
            </w:pPr>
            <w:r w:rsidRPr="00FF3141">
              <w:rPr>
                <w:rFonts w:cs="Arial"/>
                <w:szCs w:val="21"/>
              </w:rPr>
              <w:t>11</w:t>
            </w:r>
            <w:r w:rsidR="21CB3E16" w:rsidRPr="00FF3141">
              <w:rPr>
                <w:rFonts w:cs="Arial"/>
                <w:szCs w:val="21"/>
              </w:rPr>
              <w:t>/10/2022</w:t>
            </w:r>
          </w:p>
        </w:tc>
        <w:tc>
          <w:tcPr>
            <w:tcW w:w="6520" w:type="dxa"/>
          </w:tcPr>
          <w:p w14:paraId="700BCCF5" w14:textId="1CE3C92B" w:rsidR="06E0321B" w:rsidRPr="00FF3141" w:rsidRDefault="008C4016" w:rsidP="3532A975">
            <w:pPr>
              <w:pStyle w:val="Body"/>
              <w:spacing w:line="240" w:lineRule="auto"/>
              <w:rPr>
                <w:rFonts w:eastAsia="Arial" w:cs="Arial"/>
                <w:szCs w:val="21"/>
                <w:lang w:eastAsia="en-AU"/>
              </w:rPr>
            </w:pPr>
            <w:r w:rsidRPr="00FF3141">
              <w:rPr>
                <w:rFonts w:eastAsia="Arial" w:cs="Arial"/>
                <w:b/>
                <w:szCs w:val="21"/>
              </w:rPr>
              <w:t xml:space="preserve">Identifying </w:t>
            </w:r>
            <w:r w:rsidR="6605589A" w:rsidRPr="00FF3141">
              <w:rPr>
                <w:rFonts w:eastAsia="Arial" w:cs="Arial"/>
                <w:b/>
                <w:bCs/>
                <w:szCs w:val="21"/>
              </w:rPr>
              <w:t>sites</w:t>
            </w:r>
            <w:r w:rsidRPr="00FF3141">
              <w:rPr>
                <w:rFonts w:eastAsia="Arial" w:cs="Arial"/>
                <w:b/>
                <w:szCs w:val="21"/>
              </w:rPr>
              <w:t xml:space="preserve"> for Intradermal injection</w:t>
            </w:r>
            <w:r w:rsidRPr="00FF3141">
              <w:rPr>
                <w:rFonts w:eastAsia="Arial" w:cs="Arial"/>
                <w:szCs w:val="21"/>
              </w:rPr>
              <w:t xml:space="preserve"> – description of </w:t>
            </w:r>
            <w:r w:rsidR="6605589A" w:rsidRPr="00FF3141">
              <w:rPr>
                <w:rFonts w:eastAsia="Arial" w:cs="Arial"/>
                <w:szCs w:val="21"/>
              </w:rPr>
              <w:t xml:space="preserve">landmarks over the deltoid as an </w:t>
            </w:r>
            <w:r w:rsidRPr="00FF3141">
              <w:rPr>
                <w:rFonts w:eastAsia="Arial" w:cs="Arial"/>
                <w:szCs w:val="21"/>
              </w:rPr>
              <w:t xml:space="preserve">alternative site </w:t>
            </w:r>
            <w:r w:rsidR="6605589A" w:rsidRPr="00FF3141">
              <w:rPr>
                <w:rFonts w:eastAsia="Arial" w:cs="Arial"/>
                <w:szCs w:val="21"/>
              </w:rPr>
              <w:t>for intradermal injection.</w:t>
            </w:r>
          </w:p>
        </w:tc>
      </w:tr>
      <w:tr w:rsidR="00692275" w14:paraId="28C189A9" w14:textId="77777777" w:rsidTr="001F4B9C">
        <w:trPr>
          <w:trHeight w:val="300"/>
        </w:trPr>
        <w:tc>
          <w:tcPr>
            <w:tcW w:w="1271" w:type="dxa"/>
          </w:tcPr>
          <w:p w14:paraId="7F06E886" w14:textId="33FAEA55" w:rsidR="00692275" w:rsidRPr="00FF3141" w:rsidRDefault="00C527A1" w:rsidP="06E0321B">
            <w:pPr>
              <w:pStyle w:val="Body"/>
              <w:rPr>
                <w:rFonts w:cs="Arial"/>
                <w:szCs w:val="21"/>
              </w:rPr>
            </w:pPr>
            <w:r w:rsidRPr="00FF3141">
              <w:rPr>
                <w:rFonts w:cs="Arial"/>
                <w:szCs w:val="21"/>
              </w:rPr>
              <w:t>7</w:t>
            </w:r>
          </w:p>
        </w:tc>
        <w:tc>
          <w:tcPr>
            <w:tcW w:w="1843" w:type="dxa"/>
          </w:tcPr>
          <w:p w14:paraId="4713473A" w14:textId="07172101" w:rsidR="00692275" w:rsidRPr="00FF3141" w:rsidRDefault="00B451FA" w:rsidP="6EEBAB2B">
            <w:pPr>
              <w:pStyle w:val="Body"/>
              <w:rPr>
                <w:rFonts w:cs="Arial"/>
                <w:szCs w:val="21"/>
              </w:rPr>
            </w:pPr>
            <w:r w:rsidRPr="00FF3141">
              <w:rPr>
                <w:rFonts w:cs="Arial"/>
                <w:szCs w:val="21"/>
              </w:rPr>
              <w:t>21</w:t>
            </w:r>
            <w:r w:rsidR="00C527A1" w:rsidRPr="00FF3141">
              <w:rPr>
                <w:rFonts w:cs="Arial"/>
                <w:szCs w:val="21"/>
              </w:rPr>
              <w:t>/10/2022</w:t>
            </w:r>
          </w:p>
        </w:tc>
        <w:tc>
          <w:tcPr>
            <w:tcW w:w="6520" w:type="dxa"/>
          </w:tcPr>
          <w:p w14:paraId="23CAE533" w14:textId="77777777" w:rsidR="00692275" w:rsidRPr="00FF3141" w:rsidRDefault="00692275" w:rsidP="00692275">
            <w:pPr>
              <w:pStyle w:val="Body"/>
              <w:rPr>
                <w:rFonts w:cs="Arial"/>
                <w:szCs w:val="21"/>
              </w:rPr>
            </w:pPr>
            <w:r w:rsidRPr="00FF3141">
              <w:rPr>
                <w:rFonts w:cs="Arial"/>
                <w:b/>
                <w:bCs/>
                <w:szCs w:val="21"/>
              </w:rPr>
              <w:t>Coadministration</w:t>
            </w:r>
            <w:r w:rsidRPr="00FF3141">
              <w:rPr>
                <w:rFonts w:cs="Arial"/>
                <w:szCs w:val="21"/>
              </w:rPr>
              <w:t xml:space="preserve"> </w:t>
            </w:r>
          </w:p>
          <w:p w14:paraId="49A0614C" w14:textId="0CB35BD8" w:rsidR="00692275" w:rsidRPr="00FF3141" w:rsidRDefault="00692275" w:rsidP="008770A7">
            <w:pPr>
              <w:pStyle w:val="Body"/>
              <w:rPr>
                <w:rFonts w:eastAsia="Arial" w:cs="Arial"/>
                <w:b/>
                <w:szCs w:val="21"/>
              </w:rPr>
            </w:pPr>
            <w:r w:rsidRPr="00FF3141">
              <w:rPr>
                <w:rFonts w:cs="Arial"/>
                <w:szCs w:val="21"/>
              </w:rPr>
              <w:t xml:space="preserve">Clarification of considerations </w:t>
            </w:r>
            <w:r w:rsidR="00B451FA" w:rsidRPr="00FF3141">
              <w:rPr>
                <w:rFonts w:cs="Arial"/>
                <w:szCs w:val="21"/>
              </w:rPr>
              <w:t xml:space="preserve">for interval between vaccines </w:t>
            </w:r>
          </w:p>
        </w:tc>
      </w:tr>
      <w:tr w:rsidR="00232737" w14:paraId="3ED6E0D9" w14:textId="77777777" w:rsidTr="001F4B9C">
        <w:trPr>
          <w:trHeight w:val="300"/>
        </w:trPr>
        <w:tc>
          <w:tcPr>
            <w:tcW w:w="1271" w:type="dxa"/>
          </w:tcPr>
          <w:p w14:paraId="55F3A88A" w14:textId="01021C04" w:rsidR="00232737" w:rsidRPr="00FF3141" w:rsidRDefault="00232737" w:rsidP="06E0321B">
            <w:pPr>
              <w:pStyle w:val="Body"/>
              <w:rPr>
                <w:rFonts w:cs="Arial"/>
                <w:szCs w:val="21"/>
              </w:rPr>
            </w:pPr>
            <w:r w:rsidRPr="00FF3141">
              <w:rPr>
                <w:rFonts w:cs="Arial"/>
                <w:szCs w:val="21"/>
              </w:rPr>
              <w:t>8</w:t>
            </w:r>
          </w:p>
        </w:tc>
        <w:tc>
          <w:tcPr>
            <w:tcW w:w="1843" w:type="dxa"/>
          </w:tcPr>
          <w:p w14:paraId="7F959D75" w14:textId="50192F45"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9C67DDA" w14:textId="547CB7B4" w:rsidR="00232737" w:rsidRPr="00FF3141" w:rsidRDefault="00232737" w:rsidP="00692275">
            <w:pPr>
              <w:pStyle w:val="Body"/>
              <w:rPr>
                <w:rFonts w:cs="Arial"/>
                <w:b/>
                <w:bCs/>
                <w:szCs w:val="21"/>
              </w:rPr>
            </w:pPr>
            <w:r w:rsidRPr="00FF3141">
              <w:rPr>
                <w:rFonts w:cs="Arial"/>
                <w:szCs w:val="21"/>
              </w:rPr>
              <w:t>Eligibility for MPX vaccine updated</w:t>
            </w:r>
          </w:p>
        </w:tc>
      </w:tr>
      <w:tr w:rsidR="00232737" w14:paraId="40DDE773" w14:textId="77777777" w:rsidTr="001F4B9C">
        <w:trPr>
          <w:trHeight w:val="300"/>
        </w:trPr>
        <w:tc>
          <w:tcPr>
            <w:tcW w:w="1271" w:type="dxa"/>
          </w:tcPr>
          <w:p w14:paraId="2DF4EFCE" w14:textId="48F98597" w:rsidR="00232737" w:rsidRPr="00FF3141" w:rsidRDefault="00232737" w:rsidP="06E0321B">
            <w:pPr>
              <w:pStyle w:val="Body"/>
              <w:rPr>
                <w:rFonts w:cs="Arial"/>
                <w:szCs w:val="21"/>
              </w:rPr>
            </w:pPr>
            <w:r w:rsidRPr="00FF3141">
              <w:rPr>
                <w:rFonts w:cs="Arial"/>
                <w:szCs w:val="21"/>
              </w:rPr>
              <w:t>8</w:t>
            </w:r>
          </w:p>
        </w:tc>
        <w:tc>
          <w:tcPr>
            <w:tcW w:w="1843" w:type="dxa"/>
          </w:tcPr>
          <w:p w14:paraId="28A07C17" w14:textId="6EEA5BD3"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FC5586C" w14:textId="21B7695F" w:rsidR="00232737" w:rsidRPr="00FF3141" w:rsidRDefault="00232737" w:rsidP="00692275">
            <w:pPr>
              <w:pStyle w:val="Body"/>
              <w:rPr>
                <w:rFonts w:cs="Arial"/>
                <w:szCs w:val="21"/>
              </w:rPr>
            </w:pPr>
            <w:r w:rsidRPr="00FF3141">
              <w:rPr>
                <w:rFonts w:cs="Arial"/>
                <w:szCs w:val="21"/>
              </w:rPr>
              <w:t xml:space="preserve">Clarification  </w:t>
            </w:r>
            <w:r w:rsidR="00C14016" w:rsidRPr="00FF3141">
              <w:rPr>
                <w:rFonts w:cs="Arial"/>
                <w:szCs w:val="21"/>
              </w:rPr>
              <w:t xml:space="preserve">Interval between </w:t>
            </w:r>
            <w:r w:rsidRPr="00FF3141">
              <w:rPr>
                <w:rFonts w:eastAsia="Arial" w:cs="Arial"/>
                <w:szCs w:val="21"/>
              </w:rPr>
              <w:t>JYNNEOS</w:t>
            </w:r>
            <w:r w:rsidRPr="00FF3141">
              <w:rPr>
                <w:rFonts w:eastAsia="Arial" w:cs="Arial"/>
                <w:b/>
                <w:bCs/>
                <w:szCs w:val="21"/>
                <w:vertAlign w:val="superscript"/>
              </w:rPr>
              <w:t>®</w:t>
            </w:r>
            <w:r w:rsidRPr="00FF3141">
              <w:rPr>
                <w:rFonts w:eastAsia="Arial" w:cs="Arial"/>
                <w:b/>
                <w:bCs/>
                <w:szCs w:val="21"/>
              </w:rPr>
              <w:t xml:space="preserve"> </w:t>
            </w:r>
            <w:r w:rsidRPr="00FF3141">
              <w:rPr>
                <w:rFonts w:eastAsia="Arial" w:cs="Arial"/>
                <w:szCs w:val="21"/>
              </w:rPr>
              <w:t>vaccine and other live vaccines</w:t>
            </w:r>
            <w:r w:rsidR="00C14016" w:rsidRPr="00FF3141">
              <w:rPr>
                <w:rFonts w:eastAsia="Arial" w:cs="Arial"/>
                <w:szCs w:val="21"/>
              </w:rPr>
              <w:t xml:space="preserve"> not required</w:t>
            </w:r>
            <w:r w:rsidRPr="00FF3141">
              <w:rPr>
                <w:rFonts w:eastAsia="Arial" w:cs="Arial"/>
                <w:szCs w:val="21"/>
              </w:rPr>
              <w:t>.</w:t>
            </w:r>
          </w:p>
        </w:tc>
      </w:tr>
      <w:tr w:rsidR="009E0856" w14:paraId="623F7BF1" w14:textId="77777777" w:rsidTr="001F4B9C">
        <w:trPr>
          <w:trHeight w:val="300"/>
        </w:trPr>
        <w:tc>
          <w:tcPr>
            <w:tcW w:w="1271" w:type="dxa"/>
          </w:tcPr>
          <w:p w14:paraId="7A99BC1D" w14:textId="6B8A3119" w:rsidR="009E0856" w:rsidRPr="00FF3141" w:rsidRDefault="00796813" w:rsidP="06E0321B">
            <w:pPr>
              <w:pStyle w:val="Body"/>
              <w:rPr>
                <w:rFonts w:cs="Arial"/>
                <w:szCs w:val="21"/>
              </w:rPr>
            </w:pPr>
            <w:r w:rsidRPr="00FF3141">
              <w:rPr>
                <w:rFonts w:cs="Arial"/>
                <w:szCs w:val="21"/>
              </w:rPr>
              <w:t>9</w:t>
            </w:r>
          </w:p>
        </w:tc>
        <w:tc>
          <w:tcPr>
            <w:tcW w:w="1843" w:type="dxa"/>
          </w:tcPr>
          <w:p w14:paraId="76D2A705" w14:textId="3A91A405" w:rsidR="009E0856" w:rsidRPr="00FF3141" w:rsidRDefault="00E90124" w:rsidP="6EEBAB2B">
            <w:pPr>
              <w:pStyle w:val="Body"/>
              <w:rPr>
                <w:rFonts w:cs="Arial"/>
                <w:szCs w:val="21"/>
              </w:rPr>
            </w:pPr>
            <w:r w:rsidRPr="00FF3141">
              <w:rPr>
                <w:rFonts w:cs="Arial"/>
                <w:szCs w:val="21"/>
              </w:rPr>
              <w:t>09</w:t>
            </w:r>
            <w:r w:rsidR="00796813" w:rsidRPr="00FF3141">
              <w:rPr>
                <w:rFonts w:cs="Arial"/>
                <w:szCs w:val="21"/>
              </w:rPr>
              <w:t>/12/2022</w:t>
            </w:r>
          </w:p>
        </w:tc>
        <w:tc>
          <w:tcPr>
            <w:tcW w:w="6520" w:type="dxa"/>
          </w:tcPr>
          <w:p w14:paraId="32905C7A" w14:textId="77777777" w:rsidR="009E0856" w:rsidRPr="00FF3141" w:rsidRDefault="00796813" w:rsidP="00692275">
            <w:pPr>
              <w:pStyle w:val="Body"/>
              <w:rPr>
                <w:rFonts w:cs="Arial"/>
                <w:szCs w:val="21"/>
              </w:rPr>
            </w:pPr>
            <w:r w:rsidRPr="00FF3141">
              <w:rPr>
                <w:rFonts w:cs="Arial"/>
                <w:szCs w:val="21"/>
              </w:rPr>
              <w:t>Update – Monkeypox to mpox</w:t>
            </w:r>
            <w:r w:rsidR="00E558A2" w:rsidRPr="00FF3141">
              <w:rPr>
                <w:rFonts w:cs="Arial"/>
                <w:szCs w:val="21"/>
              </w:rPr>
              <w:t xml:space="preserve"> as per </w:t>
            </w:r>
            <w:r w:rsidR="00592FB7" w:rsidRPr="00FF3141">
              <w:rPr>
                <w:rFonts w:cs="Arial"/>
                <w:szCs w:val="21"/>
              </w:rPr>
              <w:t>WHO recommendations</w:t>
            </w:r>
          </w:p>
          <w:p w14:paraId="0A5E646E" w14:textId="67389580" w:rsidR="00D26BB5" w:rsidRPr="00FF3141" w:rsidRDefault="00D26BB5" w:rsidP="00692275">
            <w:pPr>
              <w:pStyle w:val="Body"/>
              <w:rPr>
                <w:rFonts w:cs="Arial"/>
                <w:szCs w:val="21"/>
              </w:rPr>
            </w:pPr>
            <w:r w:rsidRPr="00FF3141">
              <w:rPr>
                <w:rFonts w:cs="Arial"/>
                <w:szCs w:val="21"/>
              </w:rPr>
              <w:t>Appendix 1 – Updated contact information</w:t>
            </w:r>
          </w:p>
        </w:tc>
      </w:tr>
      <w:tr w:rsidR="00473D6D" w14:paraId="3ABA3E5C" w14:textId="77777777" w:rsidTr="001F4B9C">
        <w:trPr>
          <w:trHeight w:val="300"/>
        </w:trPr>
        <w:tc>
          <w:tcPr>
            <w:tcW w:w="1271" w:type="dxa"/>
          </w:tcPr>
          <w:p w14:paraId="4C9B41DE" w14:textId="165B4021" w:rsidR="00473D6D" w:rsidRPr="00FF3141" w:rsidRDefault="00473D6D" w:rsidP="06E0321B">
            <w:pPr>
              <w:pStyle w:val="Body"/>
              <w:rPr>
                <w:rFonts w:cs="Arial"/>
                <w:szCs w:val="21"/>
              </w:rPr>
            </w:pPr>
            <w:r>
              <w:rPr>
                <w:rFonts w:cs="Arial"/>
                <w:szCs w:val="21"/>
              </w:rPr>
              <w:t>10</w:t>
            </w:r>
          </w:p>
        </w:tc>
        <w:tc>
          <w:tcPr>
            <w:tcW w:w="1843" w:type="dxa"/>
          </w:tcPr>
          <w:p w14:paraId="7B3ABEC8" w14:textId="233E5EF1" w:rsidR="00473D6D" w:rsidRPr="00FF3141" w:rsidRDefault="00473D6D" w:rsidP="6EEBAB2B">
            <w:pPr>
              <w:pStyle w:val="Body"/>
              <w:rPr>
                <w:rFonts w:cs="Arial"/>
                <w:szCs w:val="21"/>
              </w:rPr>
            </w:pPr>
            <w:r>
              <w:rPr>
                <w:rFonts w:cs="Arial"/>
                <w:szCs w:val="21"/>
              </w:rPr>
              <w:t>16/12/2022</w:t>
            </w:r>
          </w:p>
        </w:tc>
        <w:tc>
          <w:tcPr>
            <w:tcW w:w="6520" w:type="dxa"/>
          </w:tcPr>
          <w:p w14:paraId="3C59AA2E" w14:textId="77777777" w:rsidR="00473D6D" w:rsidRPr="00FF3141" w:rsidRDefault="00473D6D" w:rsidP="00473D6D">
            <w:pPr>
              <w:pStyle w:val="Body"/>
              <w:spacing w:before="40" w:after="40"/>
              <w:rPr>
                <w:rFonts w:cs="Arial"/>
                <w:color w:val="000000"/>
                <w:szCs w:val="21"/>
                <w:lang w:eastAsia="en-AU"/>
              </w:rPr>
            </w:pPr>
            <w:r w:rsidRPr="00FF3141">
              <w:rPr>
                <w:rFonts w:cs="Arial"/>
                <w:color w:val="000000"/>
                <w:szCs w:val="21"/>
                <w:lang w:eastAsia="en-AU"/>
              </w:rPr>
              <w:t>Updated terminology on mpox vaccines for pre-exposure and post-exposure prophylaxis</w:t>
            </w:r>
            <w:r>
              <w:rPr>
                <w:rFonts w:cs="Arial"/>
                <w:color w:val="000000"/>
                <w:szCs w:val="21"/>
                <w:lang w:eastAsia="en-AU"/>
              </w:rPr>
              <w:t xml:space="preserve"> (PPV, PEPV)</w:t>
            </w:r>
          </w:p>
          <w:p w14:paraId="56E27B9B" w14:textId="77777777" w:rsidR="00473D6D" w:rsidRPr="00FF3141" w:rsidRDefault="00473D6D" w:rsidP="00473D6D">
            <w:pPr>
              <w:pStyle w:val="Body"/>
              <w:spacing w:before="40" w:after="40"/>
              <w:rPr>
                <w:rFonts w:cs="Arial"/>
                <w:szCs w:val="21"/>
              </w:rPr>
            </w:pPr>
            <w:r w:rsidRPr="00FF3141">
              <w:rPr>
                <w:rFonts w:cs="Arial"/>
                <w:szCs w:val="21"/>
              </w:rPr>
              <w:t xml:space="preserve">Updated eligibility to receive vaccine </w:t>
            </w:r>
          </w:p>
          <w:p w14:paraId="49ACBB6E" w14:textId="77777777" w:rsidR="00473D6D" w:rsidRPr="007A0952" w:rsidRDefault="00473D6D" w:rsidP="00473D6D">
            <w:pPr>
              <w:pStyle w:val="Body"/>
              <w:rPr>
                <w:rFonts w:cs="Arial"/>
                <w:color w:val="000000"/>
                <w:szCs w:val="21"/>
                <w:lang w:eastAsia="en-AU"/>
              </w:rPr>
            </w:pPr>
            <w:r w:rsidRPr="007A0952">
              <w:rPr>
                <w:rFonts w:cs="Arial"/>
                <w:color w:val="000000"/>
                <w:szCs w:val="21"/>
                <w:lang w:eastAsia="en-AU"/>
              </w:rPr>
              <w:t xml:space="preserve">Updated recommendations for people with severe immunocompromise – can receive ID </w:t>
            </w:r>
            <w:r w:rsidRPr="007A0952">
              <w:rPr>
                <w:rFonts w:eastAsia="Arial" w:cs="Arial"/>
                <w:szCs w:val="21"/>
              </w:rPr>
              <w:t>JYNNEOS</w:t>
            </w:r>
            <w:r w:rsidRPr="007A0952">
              <w:rPr>
                <w:rFonts w:eastAsia="Arial" w:cs="Arial"/>
                <w:szCs w:val="21"/>
                <w:vertAlign w:val="superscript"/>
              </w:rPr>
              <w:t>®</w:t>
            </w:r>
            <w:r w:rsidRPr="007A0952">
              <w:rPr>
                <w:rFonts w:eastAsia="Arial" w:cs="Arial"/>
                <w:szCs w:val="21"/>
              </w:rPr>
              <w:t xml:space="preserve"> vaccine</w:t>
            </w:r>
          </w:p>
          <w:p w14:paraId="029F47CD"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co-administration guidance for COVID-19 vaccines</w:t>
            </w:r>
          </w:p>
          <w:p w14:paraId="339238F9"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table 3  -</w:t>
            </w:r>
            <w:r w:rsidRPr="00FF3141">
              <w:rPr>
                <w:rFonts w:cs="Arial"/>
                <w:color w:val="000000"/>
                <w:szCs w:val="21"/>
                <w:lang w:eastAsia="en-AU"/>
              </w:rPr>
              <w:t xml:space="preserve"> Minor updates handling  procedures for use of </w:t>
            </w:r>
            <w:r w:rsidRPr="007A0952">
              <w:rPr>
                <w:rFonts w:cs="Arial"/>
                <w:color w:val="000000"/>
                <w:szCs w:val="21"/>
                <w:lang w:eastAsia="en-AU"/>
              </w:rPr>
              <w:t>multidose vials (section E)</w:t>
            </w:r>
          </w:p>
          <w:p w14:paraId="0BA07677"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table 5 – Vaccine errors and deviations – Clarity regarding recommendations after incorrect route ID administration</w:t>
            </w:r>
          </w:p>
          <w:p w14:paraId="17B5F665" w14:textId="25ED5AB8" w:rsidR="00473D6D" w:rsidRPr="00FF3141" w:rsidRDefault="00473D6D" w:rsidP="00473D6D">
            <w:pPr>
              <w:pStyle w:val="Body"/>
              <w:spacing w:before="40" w:after="40"/>
              <w:rPr>
                <w:rFonts w:cs="Arial"/>
                <w:color w:val="000000"/>
                <w:szCs w:val="21"/>
                <w:lang w:eastAsia="en-AU"/>
              </w:rPr>
            </w:pPr>
            <w:r w:rsidRPr="007A0952">
              <w:rPr>
                <w:rFonts w:cs="Arial"/>
                <w:color w:val="000000"/>
                <w:szCs w:val="21"/>
                <w:lang w:eastAsia="en-AU"/>
              </w:rPr>
              <w:t>Updated Appendix 6 – Updated</w:t>
            </w:r>
            <w:r w:rsidRPr="00FF3141">
              <w:rPr>
                <w:rFonts w:cs="Arial"/>
                <w:color w:val="000000"/>
                <w:szCs w:val="21"/>
                <w:lang w:eastAsia="en-AU"/>
              </w:rPr>
              <w:t xml:space="preserve"> - report vaccine error to SAEFVIC</w:t>
            </w:r>
          </w:p>
        </w:tc>
      </w:tr>
      <w:tr w:rsidR="00E90124" w14:paraId="30E0062B" w14:textId="77777777" w:rsidTr="001F4B9C">
        <w:trPr>
          <w:trHeight w:val="300"/>
        </w:trPr>
        <w:tc>
          <w:tcPr>
            <w:tcW w:w="1271" w:type="dxa"/>
          </w:tcPr>
          <w:p w14:paraId="3667C94F" w14:textId="3BC54E13" w:rsidR="00E90124" w:rsidRPr="00FF3141" w:rsidRDefault="00E90124" w:rsidP="06E0321B">
            <w:pPr>
              <w:pStyle w:val="Body"/>
              <w:rPr>
                <w:rFonts w:cs="Arial"/>
                <w:szCs w:val="21"/>
              </w:rPr>
            </w:pPr>
            <w:r w:rsidRPr="00FF3141">
              <w:rPr>
                <w:rFonts w:cs="Arial"/>
                <w:szCs w:val="21"/>
              </w:rPr>
              <w:t>1</w:t>
            </w:r>
            <w:r w:rsidR="00473D6D">
              <w:rPr>
                <w:rFonts w:cs="Arial"/>
                <w:szCs w:val="21"/>
              </w:rPr>
              <w:t>1</w:t>
            </w:r>
          </w:p>
        </w:tc>
        <w:tc>
          <w:tcPr>
            <w:tcW w:w="1843" w:type="dxa"/>
          </w:tcPr>
          <w:p w14:paraId="46A2BC6E" w14:textId="434486AA" w:rsidR="00E90124" w:rsidRPr="00FF3141" w:rsidRDefault="00E90124" w:rsidP="6EEBAB2B">
            <w:pPr>
              <w:pStyle w:val="Body"/>
              <w:rPr>
                <w:rFonts w:cs="Arial"/>
                <w:szCs w:val="21"/>
              </w:rPr>
            </w:pPr>
            <w:r w:rsidRPr="00FF3141">
              <w:rPr>
                <w:rFonts w:cs="Arial"/>
                <w:szCs w:val="21"/>
              </w:rPr>
              <w:t>16/</w:t>
            </w:r>
            <w:r w:rsidR="00473D6D">
              <w:rPr>
                <w:rFonts w:cs="Arial"/>
                <w:szCs w:val="21"/>
              </w:rPr>
              <w:t>01/2023</w:t>
            </w:r>
          </w:p>
        </w:tc>
        <w:tc>
          <w:tcPr>
            <w:tcW w:w="6520" w:type="dxa"/>
          </w:tcPr>
          <w:p w14:paraId="6C23B4E8" w14:textId="71A4C9CA" w:rsidR="005618FA" w:rsidRPr="00FF3141" w:rsidRDefault="00473D6D" w:rsidP="002D4312">
            <w:pPr>
              <w:pStyle w:val="Body"/>
              <w:spacing w:before="40" w:after="40" w:line="240" w:lineRule="atLeast"/>
              <w:rPr>
                <w:rFonts w:cs="Arial"/>
                <w:szCs w:val="21"/>
              </w:rPr>
            </w:pPr>
            <w:r>
              <w:rPr>
                <w:rFonts w:cs="Arial"/>
                <w:color w:val="000000"/>
                <w:szCs w:val="21"/>
                <w:lang w:eastAsia="en-AU"/>
              </w:rPr>
              <w:t>Updated background</w:t>
            </w:r>
            <w:r w:rsidR="002D4312">
              <w:rPr>
                <w:rFonts w:cs="Arial"/>
                <w:color w:val="000000"/>
                <w:szCs w:val="21"/>
                <w:lang w:eastAsia="en-AU"/>
              </w:rPr>
              <w:t xml:space="preserve">, </w:t>
            </w:r>
            <w:r w:rsidRPr="00FF3141">
              <w:rPr>
                <w:rFonts w:cs="Arial"/>
                <w:color w:val="000000"/>
                <w:szCs w:val="21"/>
                <w:lang w:eastAsia="en-AU"/>
              </w:rPr>
              <w:t xml:space="preserve">Updated </w:t>
            </w:r>
            <w:r>
              <w:rPr>
                <w:rFonts w:cs="Arial"/>
                <w:color w:val="000000"/>
                <w:szCs w:val="21"/>
                <w:lang w:eastAsia="en-AU"/>
              </w:rPr>
              <w:t>web links</w:t>
            </w:r>
          </w:p>
        </w:tc>
      </w:tr>
      <w:tr w:rsidR="007775C1" w14:paraId="5E0D4EE7" w14:textId="77777777" w:rsidTr="001F4B9C">
        <w:trPr>
          <w:trHeight w:val="300"/>
        </w:trPr>
        <w:tc>
          <w:tcPr>
            <w:tcW w:w="1271" w:type="dxa"/>
          </w:tcPr>
          <w:p w14:paraId="1052F047" w14:textId="70673ED0" w:rsidR="007775C1" w:rsidRPr="00FF3141" w:rsidRDefault="007775C1" w:rsidP="06E0321B">
            <w:pPr>
              <w:pStyle w:val="Body"/>
              <w:rPr>
                <w:rFonts w:cs="Arial"/>
                <w:szCs w:val="21"/>
              </w:rPr>
            </w:pPr>
            <w:r>
              <w:rPr>
                <w:rFonts w:cs="Arial"/>
                <w:szCs w:val="21"/>
              </w:rPr>
              <w:t>12</w:t>
            </w:r>
          </w:p>
        </w:tc>
        <w:tc>
          <w:tcPr>
            <w:tcW w:w="1843" w:type="dxa"/>
          </w:tcPr>
          <w:p w14:paraId="58D89D4C" w14:textId="54764BF4" w:rsidR="007775C1" w:rsidRPr="00FF3141" w:rsidRDefault="007775C1" w:rsidP="6EEBAB2B">
            <w:pPr>
              <w:pStyle w:val="Body"/>
              <w:rPr>
                <w:rFonts w:cs="Arial"/>
                <w:szCs w:val="21"/>
              </w:rPr>
            </w:pPr>
            <w:r>
              <w:rPr>
                <w:rFonts w:cs="Arial"/>
                <w:szCs w:val="21"/>
              </w:rPr>
              <w:t>01/02/2023</w:t>
            </w:r>
          </w:p>
        </w:tc>
        <w:tc>
          <w:tcPr>
            <w:tcW w:w="6520" w:type="dxa"/>
          </w:tcPr>
          <w:p w14:paraId="09174DB8" w14:textId="3C9DF655" w:rsidR="007775C1" w:rsidRDefault="007775C1" w:rsidP="002D4312">
            <w:pPr>
              <w:pStyle w:val="Body"/>
              <w:spacing w:before="40" w:after="40" w:line="240" w:lineRule="atLeast"/>
              <w:rPr>
                <w:rFonts w:cs="Arial"/>
                <w:color w:val="000000"/>
                <w:szCs w:val="21"/>
                <w:lang w:eastAsia="en-AU"/>
              </w:rPr>
            </w:pPr>
            <w:r w:rsidRPr="00852563">
              <w:rPr>
                <w:rFonts w:cs="Arial"/>
                <w:szCs w:val="21"/>
              </w:rPr>
              <w:t>JYNNEOS</w:t>
            </w:r>
            <w:r w:rsidRPr="008D4BAC">
              <w:rPr>
                <w:rFonts w:cs="Arial"/>
                <w:szCs w:val="21"/>
                <w:vertAlign w:val="superscript"/>
              </w:rPr>
              <w:t>®</w:t>
            </w:r>
            <w:r>
              <w:rPr>
                <w:rFonts w:cs="Arial"/>
                <w:szCs w:val="21"/>
                <w:vertAlign w:val="superscript"/>
              </w:rPr>
              <w:t xml:space="preserve"> </w:t>
            </w:r>
            <w:r>
              <w:rPr>
                <w:rFonts w:cs="Arial"/>
                <w:color w:val="000000"/>
                <w:szCs w:val="21"/>
                <w:lang w:eastAsia="en-AU"/>
              </w:rPr>
              <w:t xml:space="preserve">vaccine may be given via subcutaneous route </w:t>
            </w:r>
            <w:r w:rsidR="00D76A7D">
              <w:rPr>
                <w:rFonts w:cs="Arial"/>
                <w:color w:val="000000"/>
                <w:szCs w:val="21"/>
                <w:lang w:eastAsia="en-AU"/>
              </w:rPr>
              <w:t xml:space="preserve">for </w:t>
            </w:r>
            <w:r>
              <w:rPr>
                <w:rFonts w:cs="Arial"/>
                <w:color w:val="000000"/>
                <w:szCs w:val="21"/>
                <w:lang w:eastAsia="en-AU"/>
              </w:rPr>
              <w:t>PPV &amp; PEPV to all people</w:t>
            </w:r>
          </w:p>
        </w:tc>
      </w:tr>
      <w:tr w:rsidR="00C00C8B" w14:paraId="6221F0AF" w14:textId="77777777" w:rsidTr="001F4B9C">
        <w:trPr>
          <w:trHeight w:val="300"/>
        </w:trPr>
        <w:tc>
          <w:tcPr>
            <w:tcW w:w="1271" w:type="dxa"/>
          </w:tcPr>
          <w:p w14:paraId="60BED38A" w14:textId="7382624F" w:rsidR="00C00C8B" w:rsidRDefault="00C00C8B" w:rsidP="06E0321B">
            <w:pPr>
              <w:pStyle w:val="Body"/>
              <w:rPr>
                <w:rFonts w:cs="Arial"/>
                <w:szCs w:val="21"/>
              </w:rPr>
            </w:pPr>
            <w:r>
              <w:rPr>
                <w:rFonts w:cs="Arial"/>
                <w:szCs w:val="21"/>
              </w:rPr>
              <w:t>13</w:t>
            </w:r>
          </w:p>
        </w:tc>
        <w:tc>
          <w:tcPr>
            <w:tcW w:w="1843" w:type="dxa"/>
          </w:tcPr>
          <w:p w14:paraId="13C64561" w14:textId="50372820" w:rsidR="00C00C8B" w:rsidRDefault="00C00C8B" w:rsidP="6EEBAB2B">
            <w:pPr>
              <w:pStyle w:val="Body"/>
              <w:rPr>
                <w:rFonts w:cs="Arial"/>
                <w:szCs w:val="21"/>
              </w:rPr>
            </w:pPr>
            <w:r>
              <w:rPr>
                <w:rFonts w:cs="Arial"/>
                <w:szCs w:val="21"/>
              </w:rPr>
              <w:t>2</w:t>
            </w:r>
            <w:r w:rsidR="008302B0">
              <w:rPr>
                <w:rFonts w:cs="Arial"/>
                <w:szCs w:val="21"/>
              </w:rPr>
              <w:t>7</w:t>
            </w:r>
            <w:r>
              <w:rPr>
                <w:rFonts w:cs="Arial"/>
                <w:szCs w:val="21"/>
              </w:rPr>
              <w:t>/02/2023</w:t>
            </w:r>
          </w:p>
        </w:tc>
        <w:tc>
          <w:tcPr>
            <w:tcW w:w="6520" w:type="dxa"/>
          </w:tcPr>
          <w:p w14:paraId="38605176" w14:textId="62C14855" w:rsidR="00C00C8B" w:rsidRPr="00852563" w:rsidRDefault="008302B0" w:rsidP="002D4312">
            <w:pPr>
              <w:pStyle w:val="Body"/>
              <w:spacing w:before="40" w:after="40" w:line="240" w:lineRule="atLeast"/>
              <w:rPr>
                <w:rFonts w:cs="Arial"/>
                <w:szCs w:val="21"/>
              </w:rPr>
            </w:pPr>
            <w:r>
              <w:rPr>
                <w:rFonts w:eastAsia="Arial" w:cs="Arial"/>
              </w:rPr>
              <w:t>Expanded eligibility</w:t>
            </w:r>
            <w:r w:rsidRPr="00511C4A">
              <w:rPr>
                <w:rFonts w:eastAsia="Arial" w:cs="Arial"/>
              </w:rPr>
              <w:t xml:space="preserve"> </w:t>
            </w:r>
            <w:r>
              <w:rPr>
                <w:rFonts w:eastAsia="Arial" w:cs="Arial"/>
              </w:rPr>
              <w:t>for Primary preventative vaccination</w:t>
            </w:r>
          </w:p>
        </w:tc>
      </w:tr>
      <w:tr w:rsidR="0068204A" w14:paraId="422A5674" w14:textId="77777777" w:rsidTr="001F4B9C">
        <w:trPr>
          <w:trHeight w:val="300"/>
        </w:trPr>
        <w:tc>
          <w:tcPr>
            <w:tcW w:w="1271" w:type="dxa"/>
          </w:tcPr>
          <w:p w14:paraId="68896DF2" w14:textId="3FE877D5" w:rsidR="0068204A" w:rsidRDefault="0068204A" w:rsidP="06E0321B">
            <w:pPr>
              <w:pStyle w:val="Body"/>
              <w:rPr>
                <w:rFonts w:cs="Arial"/>
                <w:szCs w:val="21"/>
              </w:rPr>
            </w:pPr>
            <w:r>
              <w:rPr>
                <w:rFonts w:cs="Arial"/>
                <w:szCs w:val="21"/>
              </w:rPr>
              <w:t>14</w:t>
            </w:r>
          </w:p>
        </w:tc>
        <w:tc>
          <w:tcPr>
            <w:tcW w:w="1843" w:type="dxa"/>
          </w:tcPr>
          <w:p w14:paraId="7B4BD013" w14:textId="197BD8D8" w:rsidR="0068204A" w:rsidRDefault="0068204A" w:rsidP="6EEBAB2B">
            <w:pPr>
              <w:pStyle w:val="Body"/>
              <w:rPr>
                <w:rFonts w:cs="Arial"/>
                <w:szCs w:val="21"/>
              </w:rPr>
            </w:pPr>
            <w:r>
              <w:rPr>
                <w:rFonts w:cs="Arial"/>
                <w:szCs w:val="21"/>
              </w:rPr>
              <w:t>08/08/2023</w:t>
            </w:r>
          </w:p>
        </w:tc>
        <w:tc>
          <w:tcPr>
            <w:tcW w:w="6520" w:type="dxa"/>
          </w:tcPr>
          <w:p w14:paraId="267A7013" w14:textId="7A62452B" w:rsidR="0068204A" w:rsidRPr="0068204A" w:rsidRDefault="0068204A" w:rsidP="002D4312">
            <w:pPr>
              <w:pStyle w:val="Body"/>
              <w:spacing w:before="40" w:after="40" w:line="240" w:lineRule="atLeast"/>
              <w:rPr>
                <w:rFonts w:eastAsia="Arial" w:cs="Arial"/>
                <w:b/>
                <w:bCs/>
              </w:rPr>
            </w:pPr>
            <w:r w:rsidRPr="00ED6AC2">
              <w:rPr>
                <w:rFonts w:eastAsia="Arial" w:cs="Arial"/>
              </w:rPr>
              <w:t>Clarification regarding PEPV dose timing after exposure</w:t>
            </w:r>
            <w:r>
              <w:rPr>
                <w:rFonts w:eastAsia="Arial" w:cs="Arial"/>
              </w:rPr>
              <w:t xml:space="preserve"> – link to ATAGI guidance</w:t>
            </w:r>
          </w:p>
        </w:tc>
      </w:tr>
      <w:tr w:rsidR="00C22675" w14:paraId="0716C84C" w14:textId="77777777" w:rsidTr="001F4B9C">
        <w:trPr>
          <w:trHeight w:val="300"/>
        </w:trPr>
        <w:tc>
          <w:tcPr>
            <w:tcW w:w="1271" w:type="dxa"/>
          </w:tcPr>
          <w:p w14:paraId="661EBAD7" w14:textId="36840FAE" w:rsidR="00C22675" w:rsidRDefault="00C22675" w:rsidP="06E0321B">
            <w:pPr>
              <w:pStyle w:val="Body"/>
              <w:rPr>
                <w:rFonts w:cs="Arial"/>
                <w:szCs w:val="21"/>
              </w:rPr>
            </w:pPr>
            <w:r>
              <w:rPr>
                <w:rFonts w:cs="Arial"/>
                <w:szCs w:val="21"/>
              </w:rPr>
              <w:t>1</w:t>
            </w:r>
            <w:r w:rsidR="0068204A">
              <w:rPr>
                <w:rFonts w:cs="Arial"/>
                <w:szCs w:val="21"/>
              </w:rPr>
              <w:t>5</w:t>
            </w:r>
          </w:p>
        </w:tc>
        <w:tc>
          <w:tcPr>
            <w:tcW w:w="1843" w:type="dxa"/>
          </w:tcPr>
          <w:p w14:paraId="43F2ABE3" w14:textId="5E9E3D7F" w:rsidR="00C22675" w:rsidRDefault="0068204A" w:rsidP="6EEBAB2B">
            <w:pPr>
              <w:pStyle w:val="Body"/>
              <w:rPr>
                <w:rFonts w:cs="Arial"/>
                <w:szCs w:val="21"/>
              </w:rPr>
            </w:pPr>
            <w:r>
              <w:rPr>
                <w:rFonts w:cs="Arial"/>
                <w:szCs w:val="21"/>
              </w:rPr>
              <w:t>22</w:t>
            </w:r>
            <w:r w:rsidR="00C22675">
              <w:rPr>
                <w:rFonts w:cs="Arial"/>
                <w:szCs w:val="21"/>
              </w:rPr>
              <w:t>/08/2023</w:t>
            </w:r>
          </w:p>
        </w:tc>
        <w:tc>
          <w:tcPr>
            <w:tcW w:w="6520" w:type="dxa"/>
          </w:tcPr>
          <w:p w14:paraId="4FB8FEE0" w14:textId="58BDCCE0" w:rsidR="00C22675" w:rsidRDefault="0068204A" w:rsidP="00ED6AC2">
            <w:pPr>
              <w:spacing w:before="120" w:line="240" w:lineRule="auto"/>
              <w:rPr>
                <w:rFonts w:eastAsia="Arial" w:cs="Arial"/>
              </w:rPr>
            </w:pPr>
            <w:r>
              <w:rPr>
                <w:rFonts w:eastAsia="Arial" w:cs="Arial"/>
              </w:rPr>
              <w:t>Vaccine program -  How to access the mpox vaccine (updated)</w:t>
            </w:r>
          </w:p>
        </w:tc>
      </w:tr>
      <w:tr w:rsidR="008B7E92" w14:paraId="44CB4CC5" w14:textId="77777777" w:rsidTr="00EA3E90">
        <w:tblPrEx>
          <w:tblCellMar>
            <w:bottom w:w="108" w:type="dxa"/>
          </w:tblCellMar>
          <w:tblLook w:val="0600" w:firstRow="0" w:lastRow="0" w:firstColumn="0" w:lastColumn="0" w:noHBand="1" w:noVBand="1"/>
        </w:tblPrEx>
        <w:tc>
          <w:tcPr>
            <w:tcW w:w="1271" w:type="dxa"/>
          </w:tcPr>
          <w:p w14:paraId="4DFCF8F0" w14:textId="46C35F19" w:rsidR="008B7E92" w:rsidRDefault="008B7E92" w:rsidP="00C016B5">
            <w:pPr>
              <w:spacing w:after="200" w:line="300" w:lineRule="atLeast"/>
              <w:rPr>
                <w:rFonts w:eastAsia="Times" w:cs="Arial"/>
                <w:szCs w:val="21"/>
              </w:rPr>
            </w:pPr>
            <w:r>
              <w:rPr>
                <w:rFonts w:eastAsia="Times" w:cs="Arial"/>
                <w:szCs w:val="21"/>
              </w:rPr>
              <w:t>16</w:t>
            </w:r>
          </w:p>
        </w:tc>
        <w:tc>
          <w:tcPr>
            <w:tcW w:w="1843" w:type="dxa"/>
          </w:tcPr>
          <w:p w14:paraId="7CE6EA39" w14:textId="5EE62B23" w:rsidR="008B7E92" w:rsidRDefault="008B7E92" w:rsidP="00C016B5">
            <w:pPr>
              <w:spacing w:after="200" w:line="300" w:lineRule="atLeast"/>
              <w:rPr>
                <w:rFonts w:eastAsia="Times" w:cs="Arial"/>
                <w:szCs w:val="21"/>
              </w:rPr>
            </w:pPr>
            <w:r>
              <w:rPr>
                <w:rFonts w:eastAsia="Times" w:cs="Arial"/>
                <w:szCs w:val="21"/>
              </w:rPr>
              <w:t>01/02/2024</w:t>
            </w:r>
          </w:p>
        </w:tc>
        <w:tc>
          <w:tcPr>
            <w:tcW w:w="6520" w:type="dxa"/>
          </w:tcPr>
          <w:p w14:paraId="41B48125" w14:textId="70A3668B" w:rsidR="008B7E92" w:rsidRDefault="008B7E92" w:rsidP="00C016B5">
            <w:pPr>
              <w:spacing w:after="200" w:line="300" w:lineRule="atLeast"/>
              <w:rPr>
                <w:rFonts w:eastAsia="Arial" w:cs="Arial"/>
              </w:rPr>
            </w:pPr>
            <w:r>
              <w:rPr>
                <w:rFonts w:eastAsia="Arial" w:cs="Arial"/>
              </w:rPr>
              <w:t>Vaccine ordering -  How to order the mpox vaccine (updated)</w:t>
            </w:r>
          </w:p>
        </w:tc>
      </w:tr>
      <w:tr w:rsidR="00EA3E90" w14:paraId="147127D7" w14:textId="77777777" w:rsidTr="000F338C">
        <w:tblPrEx>
          <w:tblCellMar>
            <w:bottom w:w="108" w:type="dxa"/>
          </w:tblCellMar>
          <w:tblLook w:val="0600" w:firstRow="0" w:lastRow="0" w:firstColumn="0" w:lastColumn="0" w:noHBand="1" w:noVBand="1"/>
        </w:tblPrEx>
        <w:trPr>
          <w:trHeight w:val="1519"/>
        </w:trPr>
        <w:tc>
          <w:tcPr>
            <w:tcW w:w="1271" w:type="dxa"/>
          </w:tcPr>
          <w:p w14:paraId="0674FCCD" w14:textId="2E6DA035" w:rsidR="00EA3E90" w:rsidRPr="00FF3141" w:rsidRDefault="008B7E92" w:rsidP="00C016B5">
            <w:pPr>
              <w:spacing w:after="200" w:line="300" w:lineRule="atLeast"/>
              <w:rPr>
                <w:rFonts w:eastAsia="Times" w:cs="Arial"/>
                <w:szCs w:val="21"/>
              </w:rPr>
            </w:pPr>
            <w:r>
              <w:rPr>
                <w:rFonts w:eastAsia="Times" w:cs="Arial"/>
                <w:szCs w:val="21"/>
              </w:rPr>
              <w:t>17</w:t>
            </w:r>
          </w:p>
        </w:tc>
        <w:tc>
          <w:tcPr>
            <w:tcW w:w="1843" w:type="dxa"/>
          </w:tcPr>
          <w:p w14:paraId="5112EAC3" w14:textId="6B7AFBC5" w:rsidR="00EA3E90" w:rsidRPr="00FF3141" w:rsidRDefault="003440B5" w:rsidP="00C016B5">
            <w:pPr>
              <w:spacing w:after="200" w:line="300" w:lineRule="atLeast"/>
              <w:rPr>
                <w:rFonts w:eastAsia="Times" w:cs="Arial"/>
                <w:szCs w:val="21"/>
              </w:rPr>
            </w:pPr>
            <w:r>
              <w:rPr>
                <w:rFonts w:eastAsia="Times" w:cs="Arial"/>
                <w:szCs w:val="21"/>
              </w:rPr>
              <w:t>11</w:t>
            </w:r>
            <w:r w:rsidR="00EA3E90">
              <w:rPr>
                <w:rFonts w:eastAsia="Times" w:cs="Arial"/>
                <w:szCs w:val="21"/>
              </w:rPr>
              <w:t>/0</w:t>
            </w:r>
            <w:r w:rsidR="008B7E92">
              <w:rPr>
                <w:rFonts w:eastAsia="Times" w:cs="Arial"/>
                <w:szCs w:val="21"/>
              </w:rPr>
              <w:t>6</w:t>
            </w:r>
            <w:r w:rsidR="00EA3E90">
              <w:rPr>
                <w:rFonts w:eastAsia="Times" w:cs="Arial"/>
                <w:szCs w:val="21"/>
              </w:rPr>
              <w:t>/2024</w:t>
            </w:r>
          </w:p>
        </w:tc>
        <w:tc>
          <w:tcPr>
            <w:tcW w:w="6520" w:type="dxa"/>
          </w:tcPr>
          <w:p w14:paraId="1B281622" w14:textId="77777777" w:rsidR="00CB6A7A" w:rsidRDefault="00CB6A7A" w:rsidP="00CB6A7A">
            <w:pPr>
              <w:spacing w:before="120" w:line="240" w:lineRule="auto"/>
              <w:rPr>
                <w:rFonts w:eastAsia="Arial" w:cs="Arial"/>
              </w:rPr>
            </w:pPr>
            <w:r>
              <w:rPr>
                <w:rFonts w:eastAsia="Arial" w:cs="Arial"/>
              </w:rPr>
              <w:t>Vaccine eligibility criteria expanded.</w:t>
            </w:r>
          </w:p>
          <w:p w14:paraId="47B4750A" w14:textId="77777777" w:rsidR="00CB6A7A" w:rsidRDefault="00CB6A7A" w:rsidP="00C016B5">
            <w:pPr>
              <w:spacing w:after="200" w:line="300" w:lineRule="atLeast"/>
              <w:rPr>
                <w:rFonts w:eastAsia="Arial" w:cs="Arial"/>
                <w:szCs w:val="21"/>
              </w:rPr>
            </w:pPr>
            <w:r w:rsidRPr="00DE5333">
              <w:rPr>
                <w:rFonts w:eastAsia="Arial" w:cs="Arial"/>
                <w:szCs w:val="21"/>
              </w:rPr>
              <w:t xml:space="preserve">Contraindications and precautions updated with latest ATAGI guidance </w:t>
            </w:r>
          </w:p>
          <w:p w14:paraId="79ED01F6" w14:textId="396A8D1D" w:rsidR="003440B5" w:rsidRPr="00FF3141" w:rsidRDefault="00CB6A7A" w:rsidP="00C016B5">
            <w:pPr>
              <w:spacing w:after="200" w:line="300" w:lineRule="atLeast"/>
              <w:rPr>
                <w:rFonts w:eastAsia="Times" w:cs="Arial"/>
                <w:szCs w:val="21"/>
              </w:rPr>
            </w:pPr>
            <w:r>
              <w:rPr>
                <w:rFonts w:eastAsia="Arial" w:cs="Arial"/>
                <w:szCs w:val="21"/>
              </w:rPr>
              <w:t>Updated Vaccine logistics</w:t>
            </w:r>
          </w:p>
        </w:tc>
      </w:tr>
      <w:tr w:rsidR="001757A4" w14:paraId="1E365A41" w14:textId="77777777" w:rsidTr="00EA3E90">
        <w:tblPrEx>
          <w:tblCellMar>
            <w:bottom w:w="108" w:type="dxa"/>
          </w:tblCellMar>
          <w:tblLook w:val="0600" w:firstRow="0" w:lastRow="0" w:firstColumn="0" w:lastColumn="0" w:noHBand="1" w:noVBand="1"/>
        </w:tblPrEx>
        <w:tc>
          <w:tcPr>
            <w:tcW w:w="1271" w:type="dxa"/>
          </w:tcPr>
          <w:p w14:paraId="240D81F0" w14:textId="38256E20" w:rsidR="001757A4" w:rsidRDefault="001757A4" w:rsidP="00C016B5">
            <w:pPr>
              <w:spacing w:after="200" w:line="300" w:lineRule="atLeast"/>
              <w:rPr>
                <w:rFonts w:eastAsia="Times" w:cs="Arial"/>
                <w:szCs w:val="21"/>
              </w:rPr>
            </w:pPr>
            <w:r>
              <w:rPr>
                <w:rFonts w:eastAsia="Times" w:cs="Arial"/>
                <w:szCs w:val="21"/>
              </w:rPr>
              <w:t>18</w:t>
            </w:r>
          </w:p>
        </w:tc>
        <w:tc>
          <w:tcPr>
            <w:tcW w:w="1843" w:type="dxa"/>
          </w:tcPr>
          <w:p w14:paraId="353E9FB7" w14:textId="58D35CC6" w:rsidR="001757A4" w:rsidRDefault="001757A4" w:rsidP="00C016B5">
            <w:pPr>
              <w:spacing w:after="200" w:line="300" w:lineRule="atLeast"/>
              <w:rPr>
                <w:rFonts w:eastAsia="Times" w:cs="Arial"/>
                <w:szCs w:val="21"/>
              </w:rPr>
            </w:pPr>
            <w:r>
              <w:rPr>
                <w:rFonts w:eastAsia="Times" w:cs="Arial"/>
                <w:szCs w:val="21"/>
              </w:rPr>
              <w:t>04/09/2024</w:t>
            </w:r>
          </w:p>
        </w:tc>
        <w:tc>
          <w:tcPr>
            <w:tcW w:w="6520" w:type="dxa"/>
          </w:tcPr>
          <w:p w14:paraId="3E820CEB" w14:textId="329FC72A" w:rsidR="001757A4" w:rsidRDefault="001757A4" w:rsidP="001757A4">
            <w:pPr>
              <w:spacing w:before="120" w:line="240" w:lineRule="auto"/>
              <w:rPr>
                <w:rFonts w:eastAsia="Arial" w:cs="Arial"/>
              </w:rPr>
            </w:pPr>
            <w:r>
              <w:rPr>
                <w:rFonts w:eastAsia="Arial" w:cs="Arial"/>
              </w:rPr>
              <w:t xml:space="preserve">Updated ATAGI guidance, </w:t>
            </w:r>
            <w:r>
              <w:t xml:space="preserve">mpox vaccine is recommended for groups of all ages at risk of exposure. </w:t>
            </w:r>
          </w:p>
        </w:tc>
      </w:tr>
      <w:tr w:rsidR="000F338C" w14:paraId="06B05112" w14:textId="77777777" w:rsidTr="00EA3E90">
        <w:tblPrEx>
          <w:tblCellMar>
            <w:bottom w:w="108" w:type="dxa"/>
          </w:tblCellMar>
          <w:tblLook w:val="0600" w:firstRow="0" w:lastRow="0" w:firstColumn="0" w:lastColumn="0" w:noHBand="1" w:noVBand="1"/>
        </w:tblPrEx>
        <w:tc>
          <w:tcPr>
            <w:tcW w:w="1271" w:type="dxa"/>
          </w:tcPr>
          <w:p w14:paraId="7C90F2F1" w14:textId="566E6F1F" w:rsidR="000F338C" w:rsidRDefault="000F338C" w:rsidP="00C016B5">
            <w:pPr>
              <w:spacing w:after="200" w:line="300" w:lineRule="atLeast"/>
              <w:rPr>
                <w:rFonts w:eastAsia="Times" w:cs="Arial"/>
                <w:szCs w:val="21"/>
              </w:rPr>
            </w:pPr>
            <w:r>
              <w:rPr>
                <w:rFonts w:eastAsia="Times" w:cs="Arial"/>
                <w:szCs w:val="21"/>
              </w:rPr>
              <w:t>1</w:t>
            </w:r>
            <w:r w:rsidR="001757A4">
              <w:rPr>
                <w:rFonts w:eastAsia="Times" w:cs="Arial"/>
                <w:szCs w:val="21"/>
              </w:rPr>
              <w:t>9</w:t>
            </w:r>
          </w:p>
        </w:tc>
        <w:tc>
          <w:tcPr>
            <w:tcW w:w="1843" w:type="dxa"/>
          </w:tcPr>
          <w:p w14:paraId="5FC4FACA" w14:textId="42116B94" w:rsidR="000F338C" w:rsidRDefault="000F338C" w:rsidP="00C016B5">
            <w:pPr>
              <w:spacing w:after="200" w:line="300" w:lineRule="atLeast"/>
              <w:rPr>
                <w:rFonts w:eastAsia="Times" w:cs="Arial"/>
                <w:szCs w:val="21"/>
              </w:rPr>
            </w:pPr>
            <w:r>
              <w:rPr>
                <w:rFonts w:eastAsia="Times" w:cs="Arial"/>
                <w:szCs w:val="21"/>
              </w:rPr>
              <w:t>04/</w:t>
            </w:r>
            <w:r w:rsidR="00532BFD">
              <w:rPr>
                <w:rFonts w:eastAsia="Times" w:cs="Arial"/>
                <w:szCs w:val="21"/>
              </w:rPr>
              <w:t>10</w:t>
            </w:r>
            <w:r>
              <w:rPr>
                <w:rFonts w:eastAsia="Times" w:cs="Arial"/>
                <w:szCs w:val="21"/>
              </w:rPr>
              <w:t>/2024</w:t>
            </w:r>
          </w:p>
        </w:tc>
        <w:tc>
          <w:tcPr>
            <w:tcW w:w="6520" w:type="dxa"/>
          </w:tcPr>
          <w:p w14:paraId="22D5FF4F" w14:textId="7E210EDA" w:rsidR="001757A4" w:rsidRDefault="001757A4" w:rsidP="00CB6A7A">
            <w:pPr>
              <w:spacing w:before="120" w:line="240" w:lineRule="auto"/>
              <w:rPr>
                <w:rFonts w:eastAsia="Arial" w:cs="Arial"/>
              </w:rPr>
            </w:pPr>
            <w:r>
              <w:rPr>
                <w:rFonts w:cs="Arial"/>
                <w:color w:val="000000"/>
                <w:szCs w:val="21"/>
              </w:rPr>
              <w:t xml:space="preserve">The mandatory requirement to complete mpox eLearning training module prior to administering mpox vaccine has been removed from Secretary Approvals for all immunisers. </w:t>
            </w:r>
          </w:p>
        </w:tc>
      </w:tr>
      <w:tr w:rsidR="00996B34" w14:paraId="23E76439" w14:textId="77777777" w:rsidTr="001F4B9C">
        <w:tblPrEx>
          <w:tblCellMar>
            <w:bottom w:w="108" w:type="dxa"/>
          </w:tblCellMar>
          <w:tblLook w:val="0600" w:firstRow="0" w:lastRow="0" w:firstColumn="0" w:lastColumn="0" w:noHBand="1" w:noVBand="1"/>
        </w:tblPrEx>
        <w:tc>
          <w:tcPr>
            <w:tcW w:w="9634" w:type="dxa"/>
            <w:gridSpan w:val="3"/>
          </w:tcPr>
          <w:p w14:paraId="5C5FDC57" w14:textId="11EE391E" w:rsidR="00996B34" w:rsidRPr="00FF3141" w:rsidRDefault="00996B34" w:rsidP="00C016B5">
            <w:pPr>
              <w:spacing w:after="200" w:line="300" w:lineRule="atLeast"/>
              <w:rPr>
                <w:rFonts w:eastAsia="Times" w:cs="Arial"/>
                <w:szCs w:val="21"/>
              </w:rPr>
            </w:pPr>
            <w:r w:rsidRPr="00FF3141">
              <w:rPr>
                <w:rFonts w:eastAsia="Times" w:cs="Arial"/>
                <w:szCs w:val="21"/>
              </w:rPr>
              <w:t xml:space="preserve">To receive this publication in an accessible format </w:t>
            </w:r>
            <w:bookmarkStart w:id="290" w:name="_Hlk34293438"/>
            <w:r w:rsidR="00E62334" w:rsidRPr="00B3225E">
              <w:rPr>
                <w:rStyle w:val="Hyperlink"/>
                <w:rFonts w:eastAsia="Times"/>
                <w:color w:val="auto"/>
                <w:u w:val="none"/>
              </w:rPr>
              <w:t xml:space="preserve">email the </w:t>
            </w:r>
            <w:r w:rsidR="0015145A" w:rsidRPr="00B3225E">
              <w:rPr>
                <w:rStyle w:val="Hyperlink"/>
                <w:rFonts w:eastAsia="Times"/>
                <w:color w:val="auto"/>
                <w:u w:val="none"/>
              </w:rPr>
              <w:t>Department of Health</w:t>
            </w:r>
            <w:r w:rsidR="0015145A">
              <w:rPr>
                <w:rStyle w:val="Hyperlink"/>
                <w:rFonts w:eastAsia="Times"/>
                <w:color w:val="auto"/>
              </w:rPr>
              <w:t>,</w:t>
            </w:r>
            <w:r w:rsidR="0015145A" w:rsidRPr="0015145A">
              <w:rPr>
                <w:rFonts w:eastAsia="Times" w:cs="Arial"/>
                <w:szCs w:val="21"/>
              </w:rPr>
              <w:t xml:space="preserve"> </w:t>
            </w:r>
            <w:r w:rsidR="00E62334">
              <w:rPr>
                <w:rFonts w:eastAsia="Times" w:cs="Arial"/>
                <w:szCs w:val="21"/>
              </w:rPr>
              <w:t xml:space="preserve">Immunisation </w:t>
            </w:r>
            <w:hyperlink r:id="rId124" w:history="1">
              <w:r w:rsidR="00E62334" w:rsidRPr="00E62334">
                <w:rPr>
                  <w:rStyle w:val="Hyperlink"/>
                  <w:rFonts w:eastAsia="Times" w:cs="Arial"/>
                  <w:szCs w:val="21"/>
                </w:rPr>
                <w:t>program</w:t>
              </w:r>
            </w:hyperlink>
            <w:r w:rsidR="00E62334">
              <w:rPr>
                <w:rFonts w:eastAsia="Times" w:cs="Arial"/>
                <w:szCs w:val="21"/>
              </w:rPr>
              <w:t xml:space="preserve"> </w:t>
            </w:r>
            <w:r w:rsidRPr="00FF3141">
              <w:rPr>
                <w:rFonts w:eastAsia="Times" w:cs="Arial"/>
                <w:szCs w:val="21"/>
              </w:rPr>
              <w:t xml:space="preserve"> &lt;i</w:t>
            </w:r>
            <w:r w:rsidR="00405AB5" w:rsidRPr="00FF3141">
              <w:rPr>
                <w:rFonts w:eastAsia="Times" w:cs="Arial"/>
                <w:szCs w:val="21"/>
              </w:rPr>
              <w:t>mmunisation</w:t>
            </w:r>
            <w:r w:rsidRPr="00FF3141">
              <w:rPr>
                <w:rFonts w:eastAsia="Times" w:cs="Arial"/>
                <w:szCs w:val="21"/>
              </w:rPr>
              <w:t>@health.vic.gov.au&gt;.</w:t>
            </w:r>
          </w:p>
          <w:bookmarkEnd w:id="290"/>
          <w:p w14:paraId="6494DF7A" w14:textId="77777777" w:rsidR="00996B34" w:rsidRPr="00FF3141" w:rsidRDefault="00996B34" w:rsidP="00C016B5">
            <w:pPr>
              <w:pStyle w:val="Imprint"/>
              <w:rPr>
                <w:rFonts w:cs="Arial"/>
                <w:sz w:val="21"/>
                <w:szCs w:val="21"/>
              </w:rPr>
            </w:pPr>
            <w:r w:rsidRPr="00FF3141">
              <w:rPr>
                <w:rFonts w:cs="Arial"/>
                <w:sz w:val="21"/>
                <w:szCs w:val="21"/>
              </w:rPr>
              <w:t>Authorised and published by the Victorian Government, 1 Treasury Place, Melbourne.</w:t>
            </w:r>
          </w:p>
          <w:p w14:paraId="3E4E3E69" w14:textId="013406F9" w:rsidR="00996B34" w:rsidRPr="00FF3141" w:rsidRDefault="00996B34" w:rsidP="00C016B5">
            <w:pPr>
              <w:pStyle w:val="Imprint"/>
              <w:rPr>
                <w:rFonts w:cs="Arial"/>
                <w:sz w:val="21"/>
                <w:szCs w:val="21"/>
              </w:rPr>
            </w:pPr>
            <w:r w:rsidRPr="00FF3141">
              <w:rPr>
                <w:rFonts w:cs="Arial"/>
                <w:sz w:val="21"/>
                <w:szCs w:val="21"/>
              </w:rPr>
              <w:t xml:space="preserve">© State of Victoria, Australia, Department of Health </w:t>
            </w:r>
            <w:r w:rsidR="00405AB5" w:rsidRPr="00FF3141">
              <w:rPr>
                <w:rFonts w:cs="Arial"/>
                <w:sz w:val="21"/>
                <w:szCs w:val="21"/>
              </w:rPr>
              <w:t>September</w:t>
            </w:r>
            <w:r w:rsidRPr="00FF3141">
              <w:rPr>
                <w:rFonts w:cs="Arial"/>
                <w:sz w:val="21"/>
                <w:szCs w:val="21"/>
              </w:rPr>
              <w:t xml:space="preserve"> 2022.</w:t>
            </w:r>
          </w:p>
          <w:p w14:paraId="5ABD1BFB" w14:textId="77777777" w:rsidR="00996B34" w:rsidRPr="00FF3141" w:rsidRDefault="00996B34" w:rsidP="00C016B5">
            <w:pPr>
              <w:pStyle w:val="Imprint"/>
              <w:rPr>
                <w:rFonts w:cs="Arial"/>
                <w:sz w:val="21"/>
                <w:szCs w:val="21"/>
              </w:rPr>
            </w:pPr>
            <w:r w:rsidRPr="00FF3141">
              <w:rPr>
                <w:rFonts w:cs="Arial"/>
                <w:sz w:val="21"/>
                <w:szCs w:val="21"/>
              </w:rPr>
              <w:t xml:space="preserve">Available at </w:t>
            </w:r>
            <w:hyperlink r:id="rId125" w:history="1">
              <w:r w:rsidRPr="00FF3141">
                <w:rPr>
                  <w:rStyle w:val="Hyperlink"/>
                  <w:rFonts w:cs="Arial"/>
                  <w:sz w:val="21"/>
                  <w:szCs w:val="21"/>
                </w:rPr>
                <w:t>Monkeypox</w:t>
              </w:r>
            </w:hyperlink>
            <w:r w:rsidRPr="00FF3141">
              <w:rPr>
                <w:rFonts w:cs="Arial"/>
                <w:sz w:val="21"/>
                <w:szCs w:val="21"/>
              </w:rPr>
              <w:t xml:space="preserve"> </w:t>
            </w:r>
            <w:r w:rsidRPr="00FF3141">
              <w:rPr>
                <w:rFonts w:cs="Arial"/>
                <w:color w:val="000000"/>
                <w:sz w:val="21"/>
                <w:szCs w:val="21"/>
              </w:rPr>
              <w:t>&lt;</w:t>
            </w:r>
            <w:r w:rsidRPr="00FF3141">
              <w:rPr>
                <w:rFonts w:cs="Arial"/>
                <w:sz w:val="21"/>
                <w:szCs w:val="21"/>
              </w:rPr>
              <w:t xml:space="preserve"> </w:t>
            </w:r>
            <w:r w:rsidRPr="00FF3141">
              <w:rPr>
                <w:rFonts w:cs="Arial"/>
                <w:color w:val="000000"/>
                <w:sz w:val="21"/>
                <w:szCs w:val="21"/>
              </w:rPr>
              <w:t>https://www.health.vic.gov.au/infectious-diseases/monkeypox &gt;</w:t>
            </w:r>
          </w:p>
        </w:tc>
      </w:tr>
    </w:tbl>
    <w:p w14:paraId="3FAF2AAC" w14:textId="77777777" w:rsidR="00996B34" w:rsidRDefault="00996B34" w:rsidP="00611939">
      <w:pPr>
        <w:pStyle w:val="Body"/>
      </w:pPr>
    </w:p>
    <w:sectPr w:rsidR="00996B34" w:rsidSect="00454A7D">
      <w:headerReference w:type="even" r:id="rId126"/>
      <w:headerReference w:type="default" r:id="rId127"/>
      <w:footerReference w:type="even" r:id="rId128"/>
      <w:footerReference w:type="default" r:id="rId129"/>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BD9FD" w14:textId="77777777" w:rsidR="00585E38" w:rsidRDefault="00585E38">
      <w:r>
        <w:separator/>
      </w:r>
    </w:p>
    <w:p w14:paraId="3CA695C1" w14:textId="77777777" w:rsidR="00585E38" w:rsidRDefault="00585E38"/>
  </w:endnote>
  <w:endnote w:type="continuationSeparator" w:id="0">
    <w:p w14:paraId="6FA7AFFF" w14:textId="77777777" w:rsidR="00585E38" w:rsidRDefault="00585E38">
      <w:r>
        <w:continuationSeparator/>
      </w:r>
    </w:p>
    <w:p w14:paraId="0F17AF3E" w14:textId="77777777" w:rsidR="00585E38" w:rsidRDefault="00585E38"/>
  </w:endnote>
  <w:endnote w:type="continuationNotice" w:id="1">
    <w:p w14:paraId="1E49EA80" w14:textId="77777777" w:rsidR="00585E38" w:rsidRDefault="00585E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46EA5"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73B6432F" wp14:editId="58A311D3">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6432F" id="_x0000_t202" coordsize="21600,21600" o:spt="202" path="m,l,21600r21600,l21600,xe">
              <v:stroke joinstyle="miter"/>
              <v:path gradientshapeok="t" o:connecttype="rect"/>
            </v:shapetype>
            <v:shape id="Text Box 7"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2DE46" w14:textId="50C25DF3" w:rsidR="00E57F5B" w:rsidRDefault="005E6BE8">
    <w:pPr>
      <w:pStyle w:val="Footer"/>
    </w:pPr>
    <w:r>
      <w:rPr>
        <w:noProof/>
      </w:rPr>
      <mc:AlternateContent>
        <mc:Choice Requires="wps">
          <w:drawing>
            <wp:anchor distT="0" distB="0" distL="114300" distR="114300" simplePos="0" relativeHeight="251658247" behindDoc="0" locked="0" layoutInCell="0" allowOverlap="1" wp14:anchorId="4B9B02ED" wp14:editId="75CAD48D">
              <wp:simplePos x="0" y="0"/>
              <wp:positionH relativeFrom="page">
                <wp:align>center</wp:align>
              </wp:positionH>
              <wp:positionV relativeFrom="page">
                <wp:align>bottom</wp:align>
              </wp:positionV>
              <wp:extent cx="7772400" cy="502285"/>
              <wp:effectExtent l="0" t="0" r="0" b="12065"/>
              <wp:wrapNone/>
              <wp:docPr id="13" name="MSIPCMcfc54f53957528ce3e55b63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B02ED" id="_x0000_t202" coordsize="21600,21600" o:spt="202" path="m,l,21600r21600,l21600,xe">
              <v:stroke joinstyle="miter"/>
              <v:path gradientshapeok="t" o:connecttype="rect"/>
            </v:shapetype>
            <v:shape id="MSIPCMcfc54f53957528ce3e55b637"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8240" behindDoc="0" locked="0" layoutInCell="0" allowOverlap="1" wp14:anchorId="747E7A38" wp14:editId="40B7DB4B">
              <wp:simplePos x="0" y="0"/>
              <wp:positionH relativeFrom="page">
                <wp:align>center</wp:align>
              </wp:positionH>
              <wp:positionV relativeFrom="page">
                <wp:align>bottom</wp:align>
              </wp:positionV>
              <wp:extent cx="7772400" cy="502285"/>
              <wp:effectExtent l="0" t="0" r="0" b="12065"/>
              <wp:wrapNone/>
              <wp:docPr id="1" name="Text Box 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7E7A38" id="Text Box 1"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688788310"/>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0096DCEE" w14:textId="60424DE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65F82" w14:textId="38788435" w:rsidR="00EB4BC7" w:rsidRDefault="005E6BE8">
    <w:pPr>
      <w:pStyle w:val="Footer"/>
    </w:pPr>
    <w:r>
      <w:rPr>
        <w:noProof/>
      </w:rPr>
      <mc:AlternateContent>
        <mc:Choice Requires="wps">
          <w:drawing>
            <wp:anchor distT="0" distB="0" distL="114300" distR="114300" simplePos="0" relativeHeight="251658249" behindDoc="0" locked="0" layoutInCell="0" allowOverlap="1" wp14:anchorId="0274B8BA" wp14:editId="589AC7C2">
              <wp:simplePos x="0" y="9365456"/>
              <wp:positionH relativeFrom="page">
                <wp:align>center</wp:align>
              </wp:positionH>
              <wp:positionV relativeFrom="page">
                <wp:align>bottom</wp:align>
              </wp:positionV>
              <wp:extent cx="7772400" cy="502285"/>
              <wp:effectExtent l="0" t="0" r="0" b="12065"/>
              <wp:wrapNone/>
              <wp:docPr id="21" name="MSIPCM8e6a4582b95338df76b1a97a"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74B8BA" id="_x0000_t202" coordsize="21600,21600" o:spt="202" path="m,l,21600r21600,l21600,xe">
              <v:stroke joinstyle="miter"/>
              <v:path gradientshapeok="t" o:connecttype="rect"/>
            </v:shapetype>
            <v:shape id="MSIPCM8e6a4582b95338df76b1a97a"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077DBB">
      <w:rPr>
        <w:noProof/>
      </w:rPr>
      <mc:AlternateContent>
        <mc:Choice Requires="wps">
          <w:drawing>
            <wp:anchor distT="0" distB="0" distL="114300" distR="114300" simplePos="0" relativeHeight="251658246" behindDoc="0" locked="0" layoutInCell="0" allowOverlap="1" wp14:anchorId="3F2C8C53" wp14:editId="7A106DF9">
              <wp:simplePos x="0" y="9365456"/>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2C8C53" id="Text Box 23" o:spid="_x0000_s1031"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7E8EF" w14:textId="0EE7E1AE" w:rsidR="00E57F5B" w:rsidRDefault="005E6BE8">
    <w:pPr>
      <w:pStyle w:val="Footer"/>
    </w:pPr>
    <w:r>
      <w:rPr>
        <w:noProof/>
      </w:rPr>
      <mc:AlternateContent>
        <mc:Choice Requires="wps">
          <w:drawing>
            <wp:anchor distT="0" distB="0" distL="114300" distR="114300" simplePos="0" relativeHeight="251658248" behindDoc="0" locked="0" layoutInCell="0" allowOverlap="1" wp14:anchorId="70C996B7" wp14:editId="156AF935">
              <wp:simplePos x="0" y="0"/>
              <wp:positionH relativeFrom="page">
                <wp:align>center</wp:align>
              </wp:positionH>
              <wp:positionV relativeFrom="page">
                <wp:align>bottom</wp:align>
              </wp:positionV>
              <wp:extent cx="7772400" cy="502285"/>
              <wp:effectExtent l="0" t="0" r="0" b="12065"/>
              <wp:wrapNone/>
              <wp:docPr id="22" name="MSIPCM215f40c4924f856a05206bad"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C996B7" id="_x0000_t202" coordsize="21600,21600" o:spt="202" path="m,l,21600r21600,l21600,xe">
              <v:stroke joinstyle="miter"/>
              <v:path gradientshapeok="t" o:connecttype="rect"/>
            </v:shapetype>
            <v:shape id="MSIPCM215f40c4924f856a05206bad" o:spid="_x0000_s1032"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8241" behindDoc="0" locked="0" layoutInCell="0" allowOverlap="1" wp14:anchorId="4F3827F7" wp14:editId="3C2AC6E8">
              <wp:simplePos x="0" y="0"/>
              <wp:positionH relativeFrom="page">
                <wp:align>center</wp:align>
              </wp:positionH>
              <wp:positionV relativeFrom="page">
                <wp:align>bottom</wp:align>
              </wp:positionV>
              <wp:extent cx="7772400" cy="502285"/>
              <wp:effectExtent l="0" t="0" r="0" b="12065"/>
              <wp:wrapNone/>
              <wp:docPr id="5" name="Text Box 5"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3827F7" id="Text Box 5" o:spid="_x0000_s1033"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518356497"/>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6C3FCE8C" w14:textId="77777777" w:rsidR="000D48A9" w:rsidRDefault="000D48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54806" w14:textId="77777777" w:rsidR="000D48A9" w:rsidRDefault="000D48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89F5E" w14:textId="77777777"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4A1BAC0C" wp14:editId="501D89F2">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BAC0C" id="_x0000_t202" coordsize="21600,21600" o:spt="202" path="m,l,21600r21600,l21600,xe">
              <v:stroke joinstyle="miter"/>
              <v:path gradientshapeok="t" o:connecttype="rect"/>
            </v:shapetype>
            <v:shape id="Text Box 4" o:spid="_x0000_s1034"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C561F" w14:textId="17499C2C" w:rsidR="00431A70" w:rsidRDefault="005E6BE8">
    <w:pPr>
      <w:pStyle w:val="Footer"/>
    </w:pPr>
    <w:r>
      <w:rPr>
        <w:noProof/>
      </w:rPr>
      <mc:AlternateContent>
        <mc:Choice Requires="wps">
          <w:drawing>
            <wp:anchor distT="0" distB="0" distL="114300" distR="114300" simplePos="0" relativeHeight="251658250" behindDoc="0" locked="0" layoutInCell="0" allowOverlap="1" wp14:anchorId="7DF90FA9" wp14:editId="55128461">
              <wp:simplePos x="0" y="0"/>
              <wp:positionH relativeFrom="page">
                <wp:align>center</wp:align>
              </wp:positionH>
              <wp:positionV relativeFrom="page">
                <wp:align>bottom</wp:align>
              </wp:positionV>
              <wp:extent cx="7772400" cy="502285"/>
              <wp:effectExtent l="0" t="0" r="0" b="12065"/>
              <wp:wrapNone/>
              <wp:docPr id="25" name="MSIPCM36064912b16e4787aa9e3fa7"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F90FA9" id="_x0000_t202" coordsize="21600,21600" o:spt="202" path="m,l,21600r21600,l21600,xe">
              <v:stroke joinstyle="miter"/>
              <v:path gradientshapeok="t" o:connecttype="rect"/>
            </v:shapetype>
            <v:shape id="MSIPCM36064912b16e4787aa9e3fa7" o:spid="_x0000_s1035"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625DEC">
      <w:rPr>
        <w:noProof/>
      </w:rPr>
      <mc:AlternateContent>
        <mc:Choice Requires="wps">
          <w:drawing>
            <wp:anchor distT="0" distB="0" distL="114300" distR="114300" simplePos="0" relativeHeight="251658245" behindDoc="0" locked="0" layoutInCell="0" allowOverlap="1" wp14:anchorId="3F9E53E7" wp14:editId="35A17563">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9E53E7" id="Text Box 2" o:spid="_x0000_s1036"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v:textbox>
              <w10:wrap anchorx="page" anchory="page"/>
            </v:shape>
          </w:pict>
        </mc:Fallback>
      </mc:AlternateContent>
    </w:r>
    <w:r w:rsidR="00215F7B">
      <w:rPr>
        <w:noProof/>
      </w:rPr>
      <mc:AlternateContent>
        <mc:Choice Requires="wps">
          <w:drawing>
            <wp:anchor distT="0" distB="0" distL="114300" distR="114300" simplePos="0" relativeHeight="251658244" behindDoc="0" locked="0" layoutInCell="0" allowOverlap="1" wp14:anchorId="3AB64DA9" wp14:editId="0E211A54">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B64DA9" id="Text Box 30" o:spid="_x0000_s1037" type="#_x0000_t202" alt="{&quot;HashCode&quot;:904758361,&quot;Height&quot;:9999999.0,&quot;Width&quot;:9999999.0,&quot;Placement&quot;:&quot;Footer&quot;,&quot;Index&quot;:&quot;Primary&quot;,&quot;Section&quot;:9,&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5F19FE" w14:textId="77777777" w:rsidR="00585E38" w:rsidRDefault="00585E38" w:rsidP="00207717">
      <w:pPr>
        <w:spacing w:before="120"/>
      </w:pPr>
      <w:r>
        <w:separator/>
      </w:r>
    </w:p>
  </w:footnote>
  <w:footnote w:type="continuationSeparator" w:id="0">
    <w:p w14:paraId="70CDB451" w14:textId="77777777" w:rsidR="00585E38" w:rsidRDefault="00585E38">
      <w:r>
        <w:continuationSeparator/>
      </w:r>
    </w:p>
    <w:p w14:paraId="1E8B83A9" w14:textId="77777777" w:rsidR="00585E38" w:rsidRDefault="00585E38"/>
  </w:footnote>
  <w:footnote w:type="continuationNotice" w:id="1">
    <w:p w14:paraId="5614BAD2" w14:textId="77777777" w:rsidR="00585E38" w:rsidRDefault="00585E38">
      <w:pPr>
        <w:spacing w:after="0" w:line="240" w:lineRule="auto"/>
      </w:pPr>
    </w:p>
  </w:footnote>
  <w:footnote w:id="2">
    <w:p w14:paraId="58BE6F9B" w14:textId="11EBC462" w:rsidR="00E23F24" w:rsidRDefault="00E23F24">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F5421F">
        <w:rPr>
          <w:i/>
          <w:iCs/>
          <w:color w:val="313131"/>
          <w:sz w:val="16"/>
          <w:shd w:val="clear" w:color="auto" w:fill="FFFFFF"/>
        </w:rPr>
        <w:t xml:space="preserve">Mpox,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1"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3">
    <w:p w14:paraId="535195B3" w14:textId="33C15BC3" w:rsidR="00077DBB" w:rsidRPr="009D4284" w:rsidRDefault="00077DBB" w:rsidP="007760CD">
      <w:pPr>
        <w:pStyle w:val="FootnoteText"/>
        <w:spacing w:before="0" w:after="0" w:line="240" w:lineRule="auto"/>
        <w:rPr>
          <w:sz w:val="16"/>
        </w:rPr>
      </w:pPr>
      <w:r w:rsidRPr="009D4284">
        <w:rPr>
          <w:rStyle w:val="FootnoteReference"/>
          <w:sz w:val="16"/>
        </w:rPr>
        <w:footnoteRef/>
      </w:r>
      <w:r w:rsidRPr="009D4284">
        <w:rPr>
          <w:sz w:val="16"/>
        </w:rPr>
        <w:t xml:space="preserve"> </w:t>
      </w:r>
      <w:r w:rsidR="00A33F1A">
        <w:rPr>
          <w:sz w:val="16"/>
        </w:rPr>
        <w:t>Department of Health and Aged Care</w:t>
      </w:r>
      <w:r w:rsidR="008B36EA">
        <w:rPr>
          <w:sz w:val="16"/>
        </w:rPr>
        <w:t xml:space="preserve"> </w:t>
      </w:r>
      <w:r w:rsidR="002A571A">
        <w:rPr>
          <w:sz w:val="16"/>
        </w:rPr>
        <w:t xml:space="preserve">2024 </w:t>
      </w:r>
      <w:r w:rsidR="002075DA">
        <w:rPr>
          <w:i/>
          <w:iCs/>
          <w:sz w:val="16"/>
        </w:rPr>
        <w:t>Mpox (monkeypox)</w:t>
      </w:r>
      <w:r w:rsidR="00A33F1A" w:rsidRPr="00A33F1A">
        <w:rPr>
          <w:i/>
          <w:iCs/>
          <w:sz w:val="16"/>
        </w:rPr>
        <w:t xml:space="preserve"> </w:t>
      </w:r>
      <w:r w:rsidR="00A33F1A">
        <w:rPr>
          <w:sz w:val="16"/>
        </w:rPr>
        <w:t xml:space="preserve">Australian Government </w:t>
      </w:r>
      <w:r w:rsidR="009856FC">
        <w:rPr>
          <w:rStyle w:val="Hyperlink"/>
          <w:sz w:val="16"/>
        </w:rPr>
        <w:t>&lt;</w:t>
      </w:r>
      <w:hyperlink r:id="rId2" w:history="1">
        <w:r w:rsidR="00997619" w:rsidRPr="00997619">
          <w:rPr>
            <w:rStyle w:val="Hyperlink"/>
            <w:sz w:val="16"/>
          </w:rPr>
          <w:t>https://www.health.gov.au/diseases/monkeypox-mpox</w:t>
        </w:r>
      </w:hyperlink>
      <w:r w:rsidR="00417D9E">
        <w:rPr>
          <w:rStyle w:val="Hyperlink"/>
          <w:sz w:val="16"/>
        </w:rPr>
        <w:t>&gt;</w:t>
      </w:r>
    </w:p>
  </w:footnote>
  <w:footnote w:id="4">
    <w:p w14:paraId="686983EE" w14:textId="0F121B5A" w:rsidR="00CD6069" w:rsidRPr="00E67D06" w:rsidRDefault="00CD6069" w:rsidP="007B0C29">
      <w:pPr>
        <w:pStyle w:val="FootnoteText"/>
        <w:spacing w:before="0" w:after="0"/>
        <w:rPr>
          <w:sz w:val="16"/>
        </w:rPr>
      </w:pPr>
      <w:r>
        <w:rPr>
          <w:rStyle w:val="FootnoteReference"/>
        </w:rPr>
        <w:footnoteRef/>
      </w:r>
      <w:r w:rsidRPr="00CD6069">
        <w:rPr>
          <w:sz w:val="16"/>
        </w:rPr>
        <w:t xml:space="preserve"> </w:t>
      </w:r>
      <w:r w:rsidR="00417D9E" w:rsidRPr="00E67D06">
        <w:rPr>
          <w:sz w:val="16"/>
        </w:rPr>
        <w:t>Department of Health</w:t>
      </w:r>
      <w:r w:rsidR="008B36EA">
        <w:rPr>
          <w:sz w:val="16"/>
        </w:rPr>
        <w:t xml:space="preserve"> </w:t>
      </w:r>
      <w:r w:rsidR="006A0B64" w:rsidRPr="00E67D06">
        <w:rPr>
          <w:sz w:val="16"/>
        </w:rPr>
        <w:t>202</w:t>
      </w:r>
      <w:r w:rsidR="006A0B64">
        <w:rPr>
          <w:sz w:val="16"/>
        </w:rPr>
        <w:t>4</w:t>
      </w:r>
      <w:r w:rsidR="006A0B64" w:rsidRPr="00E67D06">
        <w:rPr>
          <w:sz w:val="16"/>
        </w:rPr>
        <w:t xml:space="preserve"> </w:t>
      </w:r>
      <w:r w:rsidR="00864B7B" w:rsidRPr="009C1FD6">
        <w:rPr>
          <w:i/>
          <w:iCs/>
          <w:sz w:val="16"/>
        </w:rPr>
        <w:t>Mpox (m</w:t>
      </w:r>
      <w:r w:rsidR="00417D9E" w:rsidRPr="009C1FD6">
        <w:rPr>
          <w:i/>
          <w:iCs/>
          <w:sz w:val="16"/>
        </w:rPr>
        <w:t>onkeypox</w:t>
      </w:r>
      <w:r w:rsidR="00864B7B">
        <w:rPr>
          <w:i/>
          <w:iCs/>
          <w:sz w:val="16"/>
        </w:rPr>
        <w:t>),</w:t>
      </w:r>
      <w:r w:rsidR="00417D9E" w:rsidRPr="00E67D06">
        <w:rPr>
          <w:sz w:val="16"/>
        </w:rPr>
        <w:t xml:space="preserve"> </w:t>
      </w:r>
      <w:r w:rsidR="00116E09" w:rsidRPr="00E67D06">
        <w:rPr>
          <w:sz w:val="16"/>
        </w:rPr>
        <w:t>State Government of Victoria</w:t>
      </w:r>
      <w:r w:rsidR="00417D9E" w:rsidRPr="00E67D06">
        <w:rPr>
          <w:sz w:val="16"/>
        </w:rPr>
        <w:t xml:space="preserve"> </w:t>
      </w:r>
      <w:r w:rsidR="00116E09" w:rsidRPr="00E67D06">
        <w:rPr>
          <w:rStyle w:val="Hyperlink"/>
          <w:sz w:val="16"/>
        </w:rPr>
        <w:t>&lt;</w:t>
      </w:r>
      <w:r w:rsidR="00116E09" w:rsidRPr="00E67D06">
        <w:rPr>
          <w:sz w:val="16"/>
        </w:rPr>
        <w:t xml:space="preserve"> </w:t>
      </w:r>
      <w:hyperlink r:id="rId3" w:history="1">
        <w:r w:rsidR="00864B7B">
          <w:rPr>
            <w:rStyle w:val="Hyperlink"/>
            <w:sz w:val="16"/>
          </w:rPr>
          <w:t>https://www.health.vic.gov.au/infectious-diseases/mpox-monkeypox</w:t>
        </w:r>
      </w:hyperlink>
      <w:r w:rsidR="00E67D06" w:rsidRPr="00E67D06">
        <w:rPr>
          <w:sz w:val="16"/>
        </w:rPr>
        <w:t>&gt;</w:t>
      </w:r>
    </w:p>
  </w:footnote>
  <w:footnote w:id="5">
    <w:p w14:paraId="51B69FCB" w14:textId="1D2ED1DF" w:rsidR="00246AB5" w:rsidRPr="00246AB5" w:rsidRDefault="007760CD">
      <w:pPr>
        <w:pStyle w:val="FootnoteText"/>
        <w:rPr>
          <w:vertAlign w:val="superscript"/>
        </w:rPr>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00246AB5" w:rsidRPr="00246AB5">
        <w:rPr>
          <w:i/>
          <w:iCs/>
          <w:color w:val="313131"/>
          <w:sz w:val="16"/>
          <w:shd w:val="clear" w:color="auto" w:fill="FFFFFF"/>
        </w:rPr>
        <w:t>Mpox</w:t>
      </w:r>
      <w:r w:rsidR="00246AB5">
        <w:rPr>
          <w:color w:val="313131"/>
          <w:sz w:val="16"/>
          <w:shd w:val="clear" w:color="auto" w:fill="FFFFFF"/>
        </w:rPr>
        <w:t xml:space="preserve">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4"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6">
    <w:p w14:paraId="71933E6D" w14:textId="289C354F" w:rsidR="002A571A" w:rsidRDefault="002A571A">
      <w:pPr>
        <w:pStyle w:val="FootnoteText"/>
      </w:pPr>
      <w:r>
        <w:rPr>
          <w:rStyle w:val="FootnoteReference"/>
        </w:rPr>
        <w:footnoteRef/>
      </w:r>
      <w:r>
        <w:t xml:space="preserve"> </w:t>
      </w:r>
      <w:r w:rsidRPr="006A4980">
        <w:rPr>
          <w:sz w:val="16"/>
        </w:rPr>
        <w:t>Department of Health and Aged Care 2022</w:t>
      </w:r>
      <w:r w:rsidRPr="006A4980">
        <w:rPr>
          <w:i/>
          <w:iCs/>
          <w:sz w:val="16"/>
        </w:rPr>
        <w:t>, Infection Prevention and Control Expert Group - Interim Guidance on Monkeypox</w:t>
      </w:r>
      <w:r w:rsidRPr="006A4980">
        <w:rPr>
          <w:sz w:val="16"/>
        </w:rPr>
        <w:t xml:space="preserve"> </w:t>
      </w:r>
      <w:r w:rsidRPr="006A4980">
        <w:rPr>
          <w:i/>
          <w:iCs/>
          <w:sz w:val="16"/>
        </w:rPr>
        <w:t>for Health Workers,</w:t>
      </w:r>
      <w:r w:rsidRPr="006A4980">
        <w:rPr>
          <w:sz w:val="16"/>
        </w:rPr>
        <w:t xml:space="preserve"> Australian Government &lt;</w:t>
      </w:r>
      <w:hyperlink r:id="rId5" w:history="1">
        <w:r w:rsidRPr="006A4980">
          <w:rPr>
            <w:rStyle w:val="Hyperlink"/>
            <w:sz w:val="16"/>
          </w:rPr>
          <w:t>https://www.health.gov.au/resources/publications/iceg-interim-guidance-on-monkeypox-for-health-workers</w:t>
        </w:r>
      </w:hyperlink>
      <w:r w:rsidRPr="006A4980">
        <w:rPr>
          <w:sz w:val="16"/>
        </w:rPr>
        <w:t>&gt;</w:t>
      </w:r>
    </w:p>
  </w:footnote>
  <w:footnote w:id="7">
    <w:p w14:paraId="6182B8A9" w14:textId="4C1D661B" w:rsidR="00282EAE" w:rsidRDefault="007B2903" w:rsidP="001E216B">
      <w:pPr>
        <w:spacing w:after="0" w:line="240" w:lineRule="auto"/>
      </w:pPr>
      <w:r w:rsidRPr="00867196">
        <w:rPr>
          <w:rStyle w:val="FootnoteReference"/>
          <w:sz w:val="16"/>
        </w:rPr>
        <w:footnoteRef/>
      </w:r>
      <w:r w:rsidRPr="00867196">
        <w:rPr>
          <w:sz w:val="16"/>
        </w:rPr>
        <w:t xml:space="preserve"> </w:t>
      </w:r>
      <w:r w:rsidR="002460CE" w:rsidRPr="004C1394">
        <w:rPr>
          <w:rFonts w:cs="Arial"/>
          <w:sz w:val="16"/>
          <w:szCs w:val="16"/>
        </w:rPr>
        <w:t>ATAGI</w:t>
      </w:r>
      <w:r w:rsidR="002460CE">
        <w:rPr>
          <w:sz w:val="16"/>
        </w:rPr>
        <w:t xml:space="preserve"> 2022</w:t>
      </w:r>
      <w:r w:rsidR="002460CE" w:rsidRPr="004C1394">
        <w:rPr>
          <w:rFonts w:cs="Arial"/>
          <w:color w:val="313131"/>
          <w:sz w:val="16"/>
          <w:szCs w:val="16"/>
          <w:shd w:val="clear" w:color="auto" w:fill="FFFFFF"/>
        </w:rPr>
        <w:t xml:space="preserve">. </w:t>
      </w:r>
      <w:r w:rsidR="00F5421F" w:rsidRPr="00F5421F">
        <w:rPr>
          <w:rFonts w:cs="Arial"/>
          <w:i/>
          <w:iCs/>
          <w:color w:val="313131"/>
          <w:sz w:val="16"/>
          <w:szCs w:val="16"/>
          <w:shd w:val="clear" w:color="auto" w:fill="FFFFFF"/>
        </w:rPr>
        <w:t xml:space="preserve">Mpox, </w:t>
      </w:r>
      <w:r w:rsidR="002460CE" w:rsidRPr="00F5421F">
        <w:rPr>
          <w:rFonts w:cs="Arial"/>
          <w:i/>
          <w:iCs/>
          <w:color w:val="313131"/>
          <w:sz w:val="16"/>
          <w:szCs w:val="16"/>
          <w:shd w:val="clear" w:color="auto" w:fill="FFFFFF"/>
        </w:rPr>
        <w:t>Australian Immunisation Handbook</w:t>
      </w:r>
      <w:r w:rsidR="002460CE" w:rsidRPr="004C1394">
        <w:rPr>
          <w:rFonts w:cs="Arial"/>
          <w:color w:val="313131"/>
          <w:sz w:val="16"/>
          <w:szCs w:val="16"/>
          <w:shd w:val="clear" w:color="auto" w:fill="FFFFFF"/>
        </w:rPr>
        <w:t xml:space="preserve">, Australian Government Department of Health and Aged Care, Canberra, </w:t>
      </w:r>
      <w:r w:rsidR="002460CE">
        <w:rPr>
          <w:color w:val="313131"/>
          <w:sz w:val="16"/>
          <w:shd w:val="clear" w:color="auto" w:fill="FFFFFF"/>
        </w:rPr>
        <w:t xml:space="preserve"> </w:t>
      </w:r>
      <w:r w:rsidR="00F5421F">
        <w:rPr>
          <w:color w:val="313131"/>
          <w:sz w:val="16"/>
          <w:shd w:val="clear" w:color="auto" w:fill="FFFFFF"/>
        </w:rPr>
        <w:t xml:space="preserve">(updated May 2024) </w:t>
      </w:r>
      <w:r w:rsidR="002460CE">
        <w:rPr>
          <w:color w:val="313131"/>
          <w:sz w:val="16"/>
          <w:shd w:val="clear" w:color="auto" w:fill="FFFFFF"/>
        </w:rPr>
        <w:t>&lt;</w:t>
      </w:r>
      <w:r w:rsidR="002460CE" w:rsidRPr="002F160A">
        <w:rPr>
          <w:rFonts w:cs="Arial"/>
          <w:color w:val="313131"/>
          <w:sz w:val="16"/>
          <w:szCs w:val="16"/>
          <w:shd w:val="clear" w:color="auto" w:fill="FFFFFF"/>
        </w:rPr>
        <w:t xml:space="preserve"> </w:t>
      </w:r>
      <w:hyperlink r:id="rId6" w:history="1">
        <w:r w:rsidR="002460CE" w:rsidRPr="002F160A">
          <w:rPr>
            <w:rStyle w:val="Hyperlink"/>
            <w:sz w:val="16"/>
            <w:shd w:val="clear" w:color="auto" w:fill="FFFFFF"/>
          </w:rPr>
          <w:t>https://immunisationhandbook.health.gov.au/contents/vaccine-preventable-diseases/mpox-previously-known-as-monkeypox</w:t>
        </w:r>
      </w:hyperlink>
      <w:r w:rsidR="002460CE">
        <w:rPr>
          <w:color w:val="313131"/>
          <w:sz w:val="16"/>
          <w:shd w:val="clear" w:color="auto" w:fill="FFFFFF"/>
        </w:rPr>
        <w:t>&gt;</w:t>
      </w:r>
    </w:p>
  </w:footnote>
  <w:footnote w:id="8">
    <w:p w14:paraId="79287CCB" w14:textId="636EF46E" w:rsidR="004C2D89" w:rsidRDefault="004C2D89">
      <w:pPr>
        <w:pStyle w:val="FootnoteText"/>
      </w:pPr>
      <w:r>
        <w:rPr>
          <w:rStyle w:val="FootnoteReference"/>
        </w:rPr>
        <w:footnoteRef/>
      </w:r>
      <w:r>
        <w:t xml:space="preserve"> </w:t>
      </w:r>
      <w:r w:rsidR="008A7A12" w:rsidRPr="00B8099E">
        <w:rPr>
          <w:sz w:val="16"/>
        </w:rPr>
        <w:t>ATAGI</w:t>
      </w:r>
      <w:r w:rsidR="008A7A12">
        <w:rPr>
          <w:sz w:val="16"/>
        </w:rPr>
        <w:t xml:space="preserve"> 2022</w:t>
      </w:r>
      <w:r w:rsidR="008A7A12" w:rsidRPr="00B8099E">
        <w:rPr>
          <w:color w:val="313131"/>
          <w:sz w:val="16"/>
          <w:shd w:val="clear" w:color="auto" w:fill="FFFFFF"/>
        </w:rPr>
        <w:t xml:space="preserve">. </w:t>
      </w:r>
      <w:r w:rsidR="008A7A12" w:rsidRPr="009717DF">
        <w:rPr>
          <w:i/>
          <w:iCs/>
          <w:color w:val="313131"/>
          <w:sz w:val="16"/>
          <w:shd w:val="clear" w:color="auto" w:fill="FFFFFF"/>
        </w:rPr>
        <w:t>Mpox, Australian Immunisation Handbook</w:t>
      </w:r>
      <w:r w:rsidR="008A7A12" w:rsidRPr="00B8099E">
        <w:rPr>
          <w:color w:val="313131"/>
          <w:sz w:val="16"/>
          <w:shd w:val="clear" w:color="auto" w:fill="FFFFFF"/>
        </w:rPr>
        <w:t xml:space="preserve">, Australian Government Department of Health and Aged Care, Canberra, </w:t>
      </w:r>
      <w:r w:rsidR="008A7A12">
        <w:rPr>
          <w:color w:val="313131"/>
          <w:sz w:val="16"/>
          <w:shd w:val="clear" w:color="auto" w:fill="FFFFFF"/>
        </w:rPr>
        <w:t>(updated May 2024) &lt;</w:t>
      </w:r>
      <w:r w:rsidR="008A7A12" w:rsidRPr="002F160A">
        <w:rPr>
          <w:color w:val="313131"/>
          <w:sz w:val="16"/>
          <w:shd w:val="clear" w:color="auto" w:fill="FFFFFF"/>
        </w:rPr>
        <w:t xml:space="preserve"> </w:t>
      </w:r>
      <w:hyperlink r:id="rId7" w:history="1">
        <w:r w:rsidR="008A7A12" w:rsidRPr="002F160A">
          <w:rPr>
            <w:rStyle w:val="Hyperlink"/>
            <w:sz w:val="16"/>
            <w:shd w:val="clear" w:color="auto" w:fill="FFFFFF"/>
          </w:rPr>
          <w:t>https://immunisationhandbook.health.gov.au/contents/vaccine-preventable-diseases/mpox-previously-known-as-monkeypox</w:t>
        </w:r>
      </w:hyperlink>
      <w:r w:rsidR="008A7A12">
        <w:rPr>
          <w:rStyle w:val="Hyperlink"/>
          <w:sz w:val="16"/>
          <w:shd w:val="clear" w:color="auto" w:fill="FFFFFF"/>
        </w:rPr>
        <w:t>&gt;</w:t>
      </w:r>
      <w:r w:rsidR="00236E2E" w:rsidRPr="008F4BDC" w:rsidDel="00236E2E">
        <w:rPr>
          <w:sz w:val="16"/>
        </w:rPr>
        <w:t xml:space="preserve"> </w:t>
      </w:r>
    </w:p>
  </w:footnote>
  <w:footnote w:id="9">
    <w:p w14:paraId="25A90E0E" w14:textId="1C1D4EBF" w:rsidR="006143F6" w:rsidRDefault="006143F6" w:rsidP="006143F6">
      <w:pPr>
        <w:spacing w:after="0" w:line="240" w:lineRule="auto"/>
      </w:pPr>
      <w:r w:rsidRPr="00867196">
        <w:rPr>
          <w:rStyle w:val="FootnoteReference"/>
          <w:sz w:val="16"/>
        </w:rPr>
        <w:footnoteRef/>
      </w:r>
      <w:r w:rsidRPr="00867196">
        <w:rPr>
          <w:sz w:val="16"/>
        </w:rPr>
        <w:t xml:space="preserve"> </w:t>
      </w:r>
      <w:r w:rsidR="008C01F7" w:rsidRPr="00B8099E">
        <w:rPr>
          <w:sz w:val="16"/>
        </w:rPr>
        <w:t>ATAGI</w:t>
      </w:r>
      <w:r w:rsidR="008C01F7">
        <w:rPr>
          <w:sz w:val="16"/>
        </w:rPr>
        <w:t xml:space="preserve"> 2022</w:t>
      </w:r>
      <w:r w:rsidR="008C01F7" w:rsidRPr="00B8099E">
        <w:rPr>
          <w:rFonts w:cs="Arial"/>
          <w:color w:val="313131"/>
          <w:sz w:val="16"/>
          <w:shd w:val="clear" w:color="auto" w:fill="FFFFFF"/>
        </w:rPr>
        <w:t xml:space="preserve">. </w:t>
      </w:r>
      <w:r w:rsidR="008C01F7" w:rsidRPr="009717DF">
        <w:rPr>
          <w:i/>
          <w:iCs/>
          <w:color w:val="313131"/>
          <w:sz w:val="16"/>
          <w:shd w:val="clear" w:color="auto" w:fill="FFFFFF"/>
        </w:rPr>
        <w:t xml:space="preserve">Mpox, </w:t>
      </w:r>
      <w:r w:rsidR="008C01F7" w:rsidRPr="009717DF">
        <w:rPr>
          <w:rFonts w:cs="Arial"/>
          <w:i/>
          <w:iCs/>
          <w:color w:val="313131"/>
          <w:sz w:val="16"/>
          <w:shd w:val="clear" w:color="auto" w:fill="FFFFFF"/>
        </w:rPr>
        <w:t>Australian Immunisation Handbook</w:t>
      </w:r>
      <w:r w:rsidR="008C01F7" w:rsidRPr="00B8099E">
        <w:rPr>
          <w:rFonts w:cs="Arial"/>
          <w:color w:val="313131"/>
          <w:sz w:val="16"/>
          <w:shd w:val="clear" w:color="auto" w:fill="FFFFFF"/>
        </w:rPr>
        <w:t xml:space="preserve">, Australian Government Department of Health and Aged Care, Canberra, </w:t>
      </w:r>
      <w:r w:rsidR="008C01F7">
        <w:rPr>
          <w:color w:val="313131"/>
          <w:sz w:val="16"/>
          <w:shd w:val="clear" w:color="auto" w:fill="FFFFFF"/>
        </w:rPr>
        <w:t>(updated May 2024) &lt;</w:t>
      </w:r>
      <w:r w:rsidR="008C01F7" w:rsidRPr="002F160A">
        <w:rPr>
          <w:color w:val="313131"/>
          <w:sz w:val="16"/>
          <w:shd w:val="clear" w:color="auto" w:fill="FFFFFF"/>
        </w:rPr>
        <w:t xml:space="preserve"> </w:t>
      </w:r>
      <w:hyperlink r:id="rId8" w:history="1">
        <w:r w:rsidR="008C01F7" w:rsidRPr="002F160A">
          <w:rPr>
            <w:rStyle w:val="Hyperlink"/>
            <w:sz w:val="16"/>
            <w:shd w:val="clear" w:color="auto" w:fill="FFFFFF"/>
          </w:rPr>
          <w:t>https://immunisationhandbook.health.gov.au/contents/vaccine-preventable-diseases/mpox-previously-known-as-monkeypox</w:t>
        </w:r>
      </w:hyperlink>
      <w:r w:rsidR="008C01F7">
        <w:rPr>
          <w:rStyle w:val="Hyperlink"/>
          <w:sz w:val="16"/>
          <w:shd w:val="clear" w:color="auto" w:fill="FFFFFF"/>
        </w:rPr>
        <w:t>&gt;</w:t>
      </w:r>
    </w:p>
  </w:footnote>
  <w:footnote w:id="10">
    <w:p w14:paraId="618D076D" w14:textId="77777777" w:rsidR="006143F6" w:rsidRPr="004E1CA6" w:rsidRDefault="006143F6" w:rsidP="006143F6">
      <w:pPr>
        <w:pStyle w:val="FootnoteText"/>
        <w:rPr>
          <w:sz w:val="16"/>
        </w:rPr>
      </w:pPr>
      <w:r w:rsidRPr="00877B51">
        <w:rPr>
          <w:rStyle w:val="FootnoteReference"/>
          <w:sz w:val="16"/>
        </w:rPr>
        <w:footnoteRef/>
      </w:r>
      <w:r w:rsidRPr="00877B51">
        <w:rPr>
          <w:sz w:val="16"/>
        </w:rPr>
        <w:t xml:space="preserve"> </w:t>
      </w:r>
      <w:r w:rsidRPr="004E1CA6">
        <w:rPr>
          <w:sz w:val="16"/>
        </w:rPr>
        <w:t xml:space="preserve">Frey et al 2015 </w:t>
      </w:r>
      <w:r w:rsidRPr="004E1CA6">
        <w:rPr>
          <w:rFonts w:eastAsia="Times New Roman"/>
          <w:i/>
          <w:iCs/>
          <w:kern w:val="36"/>
          <w:sz w:val="16"/>
          <w:lang w:eastAsia="en-AU"/>
        </w:rPr>
        <w:t xml:space="preserve">Comparison of lyophilized versus liquid modified vaccinia Ankara (MVA) formulations and subcutaneous versus intradermal routes of administration in healthy vaccinia-naïve subjects. </w:t>
      </w:r>
      <w:hyperlink r:id="rId9" w:history="1">
        <w:r w:rsidRPr="004E1CA6">
          <w:rPr>
            <w:rStyle w:val="Hyperlink"/>
            <w:rFonts w:eastAsia="Times New Roman"/>
            <w:kern w:val="36"/>
            <w:sz w:val="16"/>
            <w:lang w:eastAsia="en-AU"/>
          </w:rPr>
          <w:t>https://www.sciencedirect.com/science/article/pii/S0264410X15008762</w:t>
        </w:r>
      </w:hyperlink>
      <w:r w:rsidRPr="004E1CA6">
        <w:rPr>
          <w:rFonts w:eastAsia="Times New Roman"/>
          <w:kern w:val="36"/>
          <w:sz w:val="16"/>
          <w:lang w:eastAsia="en-AU"/>
        </w:rPr>
        <w:t>&gt;</w:t>
      </w:r>
    </w:p>
  </w:footnote>
  <w:footnote w:id="11">
    <w:p w14:paraId="2173706E" w14:textId="5762E5E7" w:rsidR="0063777F" w:rsidRDefault="0063777F">
      <w:pPr>
        <w:pStyle w:val="FootnoteText"/>
      </w:pPr>
      <w:r>
        <w:rPr>
          <w:rStyle w:val="FootnoteReference"/>
        </w:rPr>
        <w:footnoteRef/>
      </w:r>
      <w:r>
        <w:t xml:space="preserve"> </w:t>
      </w:r>
      <w:proofErr w:type="spellStart"/>
      <w:r w:rsidRPr="0049243B">
        <w:rPr>
          <w:sz w:val="16"/>
        </w:rPr>
        <w:t>AusVaxSafety</w:t>
      </w:r>
      <w:proofErr w:type="spellEnd"/>
      <w:r w:rsidRPr="0049243B">
        <w:rPr>
          <w:sz w:val="16"/>
        </w:rPr>
        <w:t xml:space="preserve"> 2023 </w:t>
      </w:r>
      <w:r w:rsidRPr="0049243B">
        <w:rPr>
          <w:i/>
          <w:iCs/>
          <w:sz w:val="16"/>
        </w:rPr>
        <w:t>Mpox (monkeypox) vaccine</w:t>
      </w:r>
      <w:r w:rsidRPr="0049243B">
        <w:rPr>
          <w:sz w:val="16"/>
        </w:rPr>
        <w:t>. &lt;</w:t>
      </w:r>
      <w:hyperlink r:id="rId10" w:history="1">
        <w:r w:rsidRPr="0049243B">
          <w:rPr>
            <w:rStyle w:val="Hyperlink"/>
            <w:sz w:val="16"/>
          </w:rPr>
          <w:t>https://ausvaxsafety.org.au/vaccine-safety-data/mpox-monkeypox-vaccine</w:t>
        </w:r>
      </w:hyperlink>
      <w:r w:rsidRPr="0049243B">
        <w:rPr>
          <w:sz w:val="16"/>
        </w:rPr>
        <w:t>&gt;</w:t>
      </w:r>
    </w:p>
  </w:footnote>
  <w:footnote w:id="12">
    <w:p w14:paraId="28E998BA" w14:textId="327024FD" w:rsidR="0049243B" w:rsidRDefault="0049243B">
      <w:pPr>
        <w:pStyle w:val="FootnoteText"/>
      </w:pPr>
      <w:r>
        <w:rPr>
          <w:rStyle w:val="FootnoteReference"/>
        </w:rPr>
        <w:footnoteRef/>
      </w:r>
      <w:r>
        <w:t xml:space="preserve"> </w:t>
      </w:r>
      <w:r w:rsidRPr="00B8099E">
        <w:rPr>
          <w:sz w:val="16"/>
        </w:rPr>
        <w:t>ATAGI</w:t>
      </w:r>
      <w:r>
        <w:rPr>
          <w:sz w:val="16"/>
        </w:rPr>
        <w:t xml:space="preserve"> 2022</w:t>
      </w:r>
      <w:r w:rsidRPr="00B8099E">
        <w:rPr>
          <w:color w:val="313131"/>
          <w:sz w:val="16"/>
          <w:shd w:val="clear" w:color="auto" w:fill="FFFFFF"/>
        </w:rPr>
        <w:t xml:space="preserve">. </w:t>
      </w:r>
      <w:r w:rsidRPr="009717DF">
        <w:rPr>
          <w:i/>
          <w:iCs/>
          <w:color w:val="313131"/>
          <w:sz w:val="16"/>
          <w:shd w:val="clear" w:color="auto" w:fill="FFFFFF"/>
        </w:rPr>
        <w:t>Mpox, Australian Immunisation Handbook</w:t>
      </w:r>
      <w:r w:rsidRPr="00B8099E">
        <w:rPr>
          <w:color w:val="313131"/>
          <w:sz w:val="16"/>
          <w:shd w:val="clear" w:color="auto" w:fill="FFFFFF"/>
        </w:rPr>
        <w:t xml:space="preserve">, Australian Government Department of Health and Aged Care, Canberra, </w:t>
      </w:r>
      <w:r>
        <w:rPr>
          <w:color w:val="313131"/>
          <w:sz w:val="16"/>
          <w:shd w:val="clear" w:color="auto" w:fill="FFFFFF"/>
        </w:rPr>
        <w:t>(updated May 2024) &lt;</w:t>
      </w:r>
      <w:r w:rsidRPr="002F160A">
        <w:rPr>
          <w:color w:val="313131"/>
          <w:sz w:val="16"/>
          <w:shd w:val="clear" w:color="auto" w:fill="FFFFFF"/>
        </w:rPr>
        <w:t xml:space="preserve"> </w:t>
      </w:r>
      <w:hyperlink r:id="rId11" w:history="1">
        <w:r w:rsidRPr="002F160A">
          <w:rPr>
            <w:rStyle w:val="Hyperlink"/>
            <w:sz w:val="16"/>
            <w:shd w:val="clear" w:color="auto" w:fill="FFFFFF"/>
          </w:rPr>
          <w:t>https://immunisationhandbook.health.gov.au/contents/vaccine-preventable-diseases/mpox-previously-known-as-monkeypox</w:t>
        </w:r>
      </w:hyperlink>
      <w:r>
        <w:rPr>
          <w:rStyle w:val="Hyperlink"/>
          <w:sz w:val="16"/>
          <w:shd w:val="clear" w:color="auto" w:fill="FFFFFF"/>
        </w:rPr>
        <w:t>&gt;</w:t>
      </w:r>
    </w:p>
  </w:footnote>
  <w:footnote w:id="13">
    <w:p w14:paraId="52D3AFD2" w14:textId="7780C513" w:rsidR="007C009A" w:rsidRDefault="007C009A">
      <w:pPr>
        <w:pStyle w:val="FootnoteText"/>
      </w:pPr>
      <w:r>
        <w:rPr>
          <w:rStyle w:val="FootnoteReference"/>
        </w:rPr>
        <w:footnoteRef/>
      </w:r>
      <w:r>
        <w:t xml:space="preserve"> </w:t>
      </w:r>
      <w:r w:rsidRPr="00B8099E">
        <w:rPr>
          <w:sz w:val="16"/>
        </w:rPr>
        <w:t>ATAGI</w:t>
      </w:r>
      <w:r>
        <w:rPr>
          <w:sz w:val="16"/>
        </w:rPr>
        <w:t xml:space="preserve"> 2022</w:t>
      </w:r>
      <w:r w:rsidRPr="00B8099E">
        <w:rPr>
          <w:color w:val="313131"/>
          <w:sz w:val="16"/>
          <w:shd w:val="clear" w:color="auto" w:fill="FFFFFF"/>
        </w:rPr>
        <w:t xml:space="preserve">. </w:t>
      </w:r>
      <w:r w:rsidRPr="009717DF">
        <w:rPr>
          <w:i/>
          <w:iCs/>
          <w:color w:val="313131"/>
          <w:sz w:val="16"/>
          <w:shd w:val="clear" w:color="auto" w:fill="FFFFFF"/>
        </w:rPr>
        <w:t>Mpox, Australian Immunisation Handbook</w:t>
      </w:r>
      <w:r w:rsidRPr="00B8099E">
        <w:rPr>
          <w:color w:val="313131"/>
          <w:sz w:val="16"/>
          <w:shd w:val="clear" w:color="auto" w:fill="FFFFFF"/>
        </w:rPr>
        <w:t xml:space="preserve">, Australian Government Department of Health and Aged Care, Canberra, </w:t>
      </w:r>
      <w:r>
        <w:rPr>
          <w:color w:val="313131"/>
          <w:sz w:val="16"/>
          <w:shd w:val="clear" w:color="auto" w:fill="FFFFFF"/>
        </w:rPr>
        <w:t>(updated May 2024) &lt;</w:t>
      </w:r>
      <w:r w:rsidRPr="002F160A">
        <w:rPr>
          <w:color w:val="313131"/>
          <w:sz w:val="16"/>
          <w:shd w:val="clear" w:color="auto" w:fill="FFFFFF"/>
        </w:rPr>
        <w:t xml:space="preserve"> </w:t>
      </w:r>
      <w:hyperlink r:id="rId12" w:history="1">
        <w:r w:rsidRPr="002F160A">
          <w:rPr>
            <w:rStyle w:val="Hyperlink"/>
            <w:sz w:val="16"/>
            <w:shd w:val="clear" w:color="auto" w:fill="FFFFFF"/>
          </w:rPr>
          <w:t>https://immunisationhandbook.health.gov.au/contents/vaccine-preventable-diseases/mpox-previously-known-as-monkeypox</w:t>
        </w:r>
      </w:hyperlink>
      <w:r>
        <w:rPr>
          <w:rStyle w:val="Hyperlink"/>
          <w:sz w:val="16"/>
          <w:shd w:val="clear" w:color="auto" w:fill="FFFFFF"/>
        </w:rPr>
        <w:t>&gt;</w:t>
      </w:r>
    </w:p>
  </w:footnote>
  <w:footnote w:id="14">
    <w:p w14:paraId="4726B174" w14:textId="77777777" w:rsidR="00EC31B1" w:rsidRDefault="00EC31B1" w:rsidP="00EC31B1">
      <w:pPr>
        <w:pStyle w:val="FootnoteText"/>
      </w:pPr>
      <w:r>
        <w:rPr>
          <w:rStyle w:val="FootnoteReference"/>
        </w:rPr>
        <w:footnoteRef/>
      </w:r>
      <w:r>
        <w:t xml:space="preserve"> </w:t>
      </w:r>
      <w:r w:rsidRPr="001078AA">
        <w:rPr>
          <w:sz w:val="16"/>
        </w:rPr>
        <w:t xml:space="preserve">Department of Health and Aged Care 2019,  </w:t>
      </w:r>
      <w:r w:rsidRPr="001078AA">
        <w:rPr>
          <w:i/>
          <w:iCs/>
          <w:sz w:val="16"/>
        </w:rPr>
        <w:t>National Vaccine Storage Guidelines ‘Strive for 5’</w:t>
      </w:r>
      <w:r w:rsidRPr="001078AA">
        <w:rPr>
          <w:sz w:val="16"/>
        </w:rPr>
        <w:t>, Australian Government, &lt;</w:t>
      </w:r>
      <w:hyperlink r:id="rId13" w:history="1">
        <w:r w:rsidRPr="001078AA">
          <w:rPr>
            <w:rStyle w:val="Hyperlink"/>
            <w:sz w:val="16"/>
          </w:rPr>
          <w:t>https://www.health.gov.au/resources/publications/national-vaccine-storage-guidelines-strive-for-5</w:t>
        </w:r>
      </w:hyperlink>
      <w:r w:rsidRPr="001078AA">
        <w:rPr>
          <w:sz w:val="16"/>
        </w:rPr>
        <w:t xml:space="preserve"> &gt;</w:t>
      </w:r>
    </w:p>
  </w:footnote>
  <w:footnote w:id="15">
    <w:p w14:paraId="372F874D" w14:textId="33E9C13E" w:rsidR="00DE5333" w:rsidRDefault="00DE5333" w:rsidP="00FA4135">
      <w:pPr>
        <w:pStyle w:val="FootnoteText"/>
        <w:spacing w:before="0" w:after="0" w:line="240" w:lineRule="auto"/>
      </w:pPr>
      <w:r>
        <w:rPr>
          <w:rStyle w:val="FootnoteReference"/>
        </w:rPr>
        <w:footnoteRef/>
      </w:r>
      <w:r>
        <w:t xml:space="preserve"> </w:t>
      </w:r>
      <w:r w:rsidRPr="00C33CCC">
        <w:rPr>
          <w:color w:val="050505"/>
          <w:sz w:val="16"/>
          <w:shd w:val="clear" w:color="auto" w:fill="FFFFFF"/>
        </w:rPr>
        <w:t xml:space="preserve">National Health and Medical Research Council 2019 </w:t>
      </w:r>
      <w:r w:rsidRPr="00DE5333">
        <w:rPr>
          <w:i/>
          <w:iCs/>
          <w:sz w:val="16"/>
        </w:rPr>
        <w:t>Australian Guidelines for the Prevention and Control of Infection in Healthcare</w:t>
      </w:r>
      <w:r w:rsidRPr="00A5039C">
        <w:rPr>
          <w:rStyle w:val="Hyperlink"/>
          <w:i/>
          <w:iCs/>
          <w:sz w:val="16"/>
          <w:u w:val="none"/>
        </w:rPr>
        <w:t>.</w:t>
      </w:r>
      <w:r w:rsidR="00F7601D" w:rsidRPr="00A5039C">
        <w:rPr>
          <w:rStyle w:val="Hyperlink"/>
          <w:i/>
          <w:iCs/>
          <w:sz w:val="16"/>
          <w:u w:val="none"/>
        </w:rPr>
        <w:t xml:space="preserve"> </w:t>
      </w:r>
      <w:r w:rsidR="00F7601D" w:rsidRPr="007045B8">
        <w:rPr>
          <w:rStyle w:val="Hyperlink"/>
          <w:color w:val="auto"/>
          <w:sz w:val="16"/>
          <w:u w:val="none"/>
        </w:rPr>
        <w:t>Australian Government</w:t>
      </w:r>
      <w:r w:rsidR="00A5039C">
        <w:rPr>
          <w:rStyle w:val="Hyperlink"/>
          <w:color w:val="auto"/>
          <w:sz w:val="16"/>
          <w:u w:val="none"/>
        </w:rPr>
        <w:t xml:space="preserve"> </w:t>
      </w:r>
      <w:hyperlink r:id="rId14" w:history="1">
        <w:r w:rsidRPr="00BE3F2C">
          <w:rPr>
            <w:rStyle w:val="Hyperlink"/>
            <w:sz w:val="16"/>
          </w:rPr>
          <w:t>&lt;https://www.nhmrc.gov.au/about-us/publications/australian-guidelines-prevention-and-control-infection-healthcare-2019</w:t>
        </w:r>
      </w:hyperlink>
      <w:r w:rsidRPr="00F7601D">
        <w:rPr>
          <w:rStyle w:val="Hyperlink"/>
          <w:sz w:val="16"/>
        </w:rPr>
        <w:t>&gt;</w:t>
      </w:r>
    </w:p>
  </w:footnote>
  <w:footnote w:id="16">
    <w:p w14:paraId="38D980DD" w14:textId="3E1EF6D0" w:rsidR="00DE5333" w:rsidRPr="00C33CCC" w:rsidRDefault="00DE5333" w:rsidP="00FA4135">
      <w:pPr>
        <w:pStyle w:val="Heading1"/>
        <w:shd w:val="clear" w:color="auto" w:fill="FFFFFF"/>
        <w:spacing w:before="0" w:after="0" w:line="240" w:lineRule="auto"/>
        <w:rPr>
          <w:sz w:val="16"/>
          <w:szCs w:val="16"/>
        </w:rPr>
      </w:pPr>
      <w:r w:rsidRPr="00C33CCC">
        <w:rPr>
          <w:rStyle w:val="FootnoteReference"/>
          <w:color w:val="auto"/>
          <w:sz w:val="16"/>
          <w:szCs w:val="16"/>
        </w:rPr>
        <w:footnoteRef/>
      </w:r>
      <w:r w:rsidRPr="00C33CCC">
        <w:rPr>
          <w:color w:val="auto"/>
          <w:sz w:val="16"/>
          <w:szCs w:val="16"/>
        </w:rPr>
        <w:t xml:space="preserve"> </w:t>
      </w:r>
      <w:r w:rsidR="00C33CCC" w:rsidRPr="00C33CCC">
        <w:rPr>
          <w:color w:val="auto"/>
          <w:sz w:val="16"/>
          <w:szCs w:val="16"/>
        </w:rPr>
        <w:t xml:space="preserve">Australian Commission on Safety and Quality in Health Care 2024 </w:t>
      </w:r>
      <w:r w:rsidR="00C33CCC" w:rsidRPr="00C33CCC">
        <w:rPr>
          <w:rFonts w:eastAsia="Times New Roman"/>
          <w:bCs w:val="0"/>
          <w:i/>
          <w:iCs/>
          <w:color w:val="auto"/>
          <w:kern w:val="36"/>
          <w:sz w:val="16"/>
          <w:szCs w:val="16"/>
          <w:lang w:eastAsia="en-AU"/>
        </w:rPr>
        <w:t xml:space="preserve">Materials to support improved hand hygiene in Australia – NHHI </w:t>
      </w:r>
      <w:r w:rsidR="00C10359" w:rsidRPr="00C10359">
        <w:rPr>
          <w:rFonts w:eastAsia="Times New Roman"/>
          <w:bCs w:val="0"/>
          <w:color w:val="auto"/>
          <w:kern w:val="36"/>
          <w:sz w:val="16"/>
          <w:szCs w:val="16"/>
          <w:lang w:eastAsia="en-AU"/>
        </w:rPr>
        <w:t>Australian Government</w:t>
      </w:r>
      <w:r w:rsidR="00C10359">
        <w:rPr>
          <w:rFonts w:eastAsia="Times New Roman"/>
          <w:bCs w:val="0"/>
          <w:i/>
          <w:iCs/>
          <w:color w:val="auto"/>
          <w:kern w:val="36"/>
          <w:sz w:val="16"/>
          <w:szCs w:val="16"/>
          <w:lang w:eastAsia="en-AU"/>
        </w:rPr>
        <w:t xml:space="preserve"> </w:t>
      </w:r>
      <w:r w:rsidR="00C33CCC" w:rsidRPr="00C33CCC">
        <w:rPr>
          <w:rFonts w:eastAsia="Times New Roman"/>
          <w:bCs w:val="0"/>
          <w:color w:val="auto"/>
          <w:kern w:val="36"/>
          <w:sz w:val="16"/>
          <w:szCs w:val="16"/>
          <w:lang w:eastAsia="en-AU"/>
        </w:rPr>
        <w:t>&lt;</w:t>
      </w:r>
      <w:r w:rsidR="00C33CCC" w:rsidRPr="00C33CCC">
        <w:rPr>
          <w:rFonts w:eastAsia="Times New Roman" w:cs="Times New Roman"/>
          <w:bCs w:val="0"/>
          <w:color w:val="auto"/>
          <w:kern w:val="0"/>
          <w:sz w:val="16"/>
          <w:szCs w:val="16"/>
        </w:rPr>
        <w:t xml:space="preserve"> </w:t>
      </w:r>
      <w:hyperlink r:id="rId15" w:history="1">
        <w:r w:rsidR="00C33CCC" w:rsidRPr="00C33CCC">
          <w:rPr>
            <w:rStyle w:val="Hyperlink"/>
            <w:rFonts w:eastAsia="Times New Roman" w:cs="Times New Roman"/>
            <w:bCs w:val="0"/>
            <w:kern w:val="0"/>
            <w:sz w:val="16"/>
            <w:szCs w:val="16"/>
          </w:rPr>
          <w:t>https://www.safetyandquality.gov.au/our-work/infection-prevention-and-control/national-hand-hygiene-initiative/materials-support-improved-hand-hygiene-australia-nhhi</w:t>
        </w:r>
      </w:hyperlink>
      <w:r w:rsidR="00C33CCC">
        <w:rPr>
          <w:rFonts w:eastAsia="Times New Roman" w:cs="Times New Roman"/>
          <w:bCs w:val="0"/>
          <w:color w:val="auto"/>
          <w:kern w:val="0"/>
          <w:sz w:val="16"/>
          <w:szCs w:val="16"/>
        </w:rPr>
        <w:t>&gt;</w:t>
      </w:r>
    </w:p>
  </w:footnote>
  <w:footnote w:id="17">
    <w:p w14:paraId="64C277E1" w14:textId="3C5E032D" w:rsidR="003A2861" w:rsidRPr="00C317A5" w:rsidRDefault="003A2861">
      <w:pPr>
        <w:pStyle w:val="FootnoteText"/>
        <w:rPr>
          <w:sz w:val="16"/>
        </w:rPr>
      </w:pPr>
      <w:r w:rsidRPr="00C317A5">
        <w:rPr>
          <w:rStyle w:val="FootnoteReference"/>
          <w:sz w:val="16"/>
        </w:rPr>
        <w:footnoteRef/>
      </w:r>
      <w:r w:rsidRPr="00C317A5">
        <w:rPr>
          <w:sz w:val="16"/>
        </w:rPr>
        <w:t xml:space="preserve"> </w:t>
      </w:r>
      <w:r w:rsidR="00C317A5" w:rsidRPr="00C317A5">
        <w:rPr>
          <w:sz w:val="16"/>
        </w:rPr>
        <w:t xml:space="preserve">Department of Health 2023, </w:t>
      </w:r>
      <w:r w:rsidR="00C317A5" w:rsidRPr="00C317A5">
        <w:rPr>
          <w:i/>
          <w:iCs/>
          <w:sz w:val="16"/>
        </w:rPr>
        <w:t>Personal protective equipment (PPE),</w:t>
      </w:r>
      <w:r w:rsidR="00C317A5" w:rsidRPr="00C317A5">
        <w:rPr>
          <w:sz w:val="16"/>
        </w:rPr>
        <w:t xml:space="preserve"> State Government of Victoria. &lt;</w:t>
      </w:r>
      <w:hyperlink r:id="rId16" w:history="1">
        <w:r w:rsidR="00C317A5" w:rsidRPr="00C317A5">
          <w:rPr>
            <w:rStyle w:val="Hyperlink"/>
            <w:sz w:val="16"/>
          </w:rPr>
          <w:t>https://www.health.vic.gov.au/covid-19-infection-prevention-control-guidelines/personal-protective-equipment-ppe</w:t>
        </w:r>
      </w:hyperlink>
      <w:r w:rsidR="00C317A5">
        <w:rPr>
          <w:sz w:val="16"/>
        </w:rPr>
        <w:t>&gt;</w:t>
      </w:r>
      <w:r w:rsidR="00C317A5" w:rsidRPr="00C317A5">
        <w:rPr>
          <w:sz w:val="16"/>
        </w:rPr>
        <w:t xml:space="preserve"> </w:t>
      </w:r>
      <w:r w:rsidRPr="00C317A5">
        <w:rPr>
          <w:sz w:val="16"/>
        </w:rPr>
        <w:t xml:space="preserve"> </w:t>
      </w:r>
    </w:p>
  </w:footnote>
  <w:footnote w:id="18">
    <w:p w14:paraId="4F31D5BF" w14:textId="1B3E5F80" w:rsidR="00C317A5" w:rsidRPr="006A4980" w:rsidRDefault="00C317A5">
      <w:pPr>
        <w:pStyle w:val="FootnoteText"/>
        <w:rPr>
          <w:sz w:val="16"/>
        </w:rPr>
      </w:pPr>
      <w:r w:rsidRPr="006A4980">
        <w:rPr>
          <w:rStyle w:val="FootnoteReference"/>
          <w:sz w:val="16"/>
        </w:rPr>
        <w:footnoteRef/>
      </w:r>
      <w:r w:rsidRPr="006A4980">
        <w:rPr>
          <w:sz w:val="16"/>
        </w:rPr>
        <w:t xml:space="preserve"> Department of Health and Aged Care 2022</w:t>
      </w:r>
      <w:r w:rsidRPr="006A4980">
        <w:rPr>
          <w:i/>
          <w:iCs/>
          <w:sz w:val="16"/>
        </w:rPr>
        <w:t>, Infection Prevention and Control Expert Group - Interim Guidance on Monkeypox</w:t>
      </w:r>
      <w:r w:rsidRPr="006A4980">
        <w:rPr>
          <w:sz w:val="16"/>
        </w:rPr>
        <w:t xml:space="preserve"> </w:t>
      </w:r>
      <w:r w:rsidRPr="006A4980">
        <w:rPr>
          <w:i/>
          <w:iCs/>
          <w:sz w:val="16"/>
        </w:rPr>
        <w:t>for Health</w:t>
      </w:r>
      <w:r w:rsidR="006A4980" w:rsidRPr="006A4980">
        <w:rPr>
          <w:i/>
          <w:iCs/>
          <w:sz w:val="16"/>
        </w:rPr>
        <w:t xml:space="preserve"> Workers,</w:t>
      </w:r>
      <w:r w:rsidRPr="006A4980">
        <w:rPr>
          <w:sz w:val="16"/>
        </w:rPr>
        <w:t xml:space="preserve"> Australian Government</w:t>
      </w:r>
      <w:r w:rsidR="006A4980" w:rsidRPr="006A4980">
        <w:rPr>
          <w:sz w:val="16"/>
        </w:rPr>
        <w:t xml:space="preserve"> &lt;</w:t>
      </w:r>
      <w:hyperlink r:id="rId17" w:history="1">
        <w:r w:rsidR="006A4980" w:rsidRPr="006A4980">
          <w:rPr>
            <w:rStyle w:val="Hyperlink"/>
            <w:sz w:val="16"/>
          </w:rPr>
          <w:t>https://www.health.gov.au/resources/publications/iceg-interim-guidance-on-monkeypox-for-health-workers</w:t>
        </w:r>
      </w:hyperlink>
      <w:r w:rsidR="006A4980" w:rsidRPr="006A4980">
        <w:rPr>
          <w:sz w:val="16"/>
        </w:rPr>
        <w:t>&gt;</w:t>
      </w:r>
    </w:p>
  </w:footnote>
  <w:footnote w:id="19">
    <w:p w14:paraId="6BC148A5" w14:textId="2D691194" w:rsidR="006A4980" w:rsidRDefault="006A4980" w:rsidP="006A4980">
      <w:pPr>
        <w:pStyle w:val="FootnoteText"/>
      </w:pPr>
      <w:r>
        <w:rPr>
          <w:rStyle w:val="FootnoteReference"/>
        </w:rPr>
        <w:footnoteRef/>
      </w:r>
      <w:r>
        <w:t xml:space="preserve"> </w:t>
      </w:r>
      <w:r w:rsidRPr="006A4980">
        <w:rPr>
          <w:sz w:val="16"/>
        </w:rPr>
        <w:t>Department of Health 2023</w:t>
      </w:r>
      <w:r w:rsidR="00E17BC1">
        <w:rPr>
          <w:sz w:val="16"/>
        </w:rPr>
        <w:t xml:space="preserve">, </w:t>
      </w:r>
      <w:r w:rsidRPr="006A4980">
        <w:rPr>
          <w:sz w:val="16"/>
        </w:rPr>
        <w:t xml:space="preserve"> </w:t>
      </w:r>
      <w:r w:rsidRPr="006A4980">
        <w:rPr>
          <w:i/>
          <w:iCs/>
          <w:sz w:val="16"/>
        </w:rPr>
        <w:t>Standard and transmission</w:t>
      </w:r>
      <w:r>
        <w:rPr>
          <w:i/>
          <w:iCs/>
          <w:sz w:val="16"/>
        </w:rPr>
        <w:t>-</w:t>
      </w:r>
      <w:r w:rsidRPr="006A4980">
        <w:rPr>
          <w:i/>
          <w:iCs/>
          <w:sz w:val="16"/>
        </w:rPr>
        <w:t>based precautions</w:t>
      </w:r>
      <w:r>
        <w:rPr>
          <w:i/>
          <w:iCs/>
          <w:sz w:val="16"/>
        </w:rPr>
        <w:t xml:space="preserve">, </w:t>
      </w:r>
      <w:r w:rsidRPr="00C317A5">
        <w:rPr>
          <w:sz w:val="16"/>
        </w:rPr>
        <w:t>State Government of Victoria.</w:t>
      </w:r>
      <w:r>
        <w:rPr>
          <w:sz w:val="16"/>
        </w:rPr>
        <w:t xml:space="preserve"> &lt;</w:t>
      </w:r>
      <w:hyperlink r:id="rId18" w:history="1">
        <w:r w:rsidRPr="006A4980">
          <w:rPr>
            <w:rStyle w:val="Hyperlink"/>
            <w:sz w:val="16"/>
          </w:rPr>
          <w:t>https://www.health.vic.gov.au/covid-19-infection-prevention-control-guidelines/standard-and-transmission-based-precautions</w:t>
        </w:r>
      </w:hyperlink>
      <w:r>
        <w:rPr>
          <w:sz w:val="16"/>
        </w:rPr>
        <w:t>&gt;</w:t>
      </w:r>
    </w:p>
  </w:footnote>
  <w:footnote w:id="20">
    <w:p w14:paraId="09C914E2" w14:textId="74657BA6" w:rsidR="00E17BC1" w:rsidRDefault="00E17BC1">
      <w:pPr>
        <w:pStyle w:val="FootnoteText"/>
      </w:pPr>
      <w:r>
        <w:rPr>
          <w:rStyle w:val="FootnoteReference"/>
        </w:rPr>
        <w:footnoteRef/>
      </w:r>
      <w:r>
        <w:t xml:space="preserve"> </w:t>
      </w:r>
      <w:r w:rsidRPr="006A4980">
        <w:rPr>
          <w:sz w:val="16"/>
        </w:rPr>
        <w:t>Department of Health 202</w:t>
      </w:r>
      <w:r w:rsidR="0040734C">
        <w:rPr>
          <w:sz w:val="16"/>
        </w:rPr>
        <w:t>3</w:t>
      </w:r>
      <w:r>
        <w:rPr>
          <w:sz w:val="16"/>
        </w:rPr>
        <w:t xml:space="preserve">, </w:t>
      </w:r>
      <w:r w:rsidRPr="00F23471">
        <w:rPr>
          <w:i/>
          <w:iCs/>
          <w:sz w:val="16"/>
        </w:rPr>
        <w:t>Clinical and Related Waste Guidance – Supplement for Healthcare Staff</w:t>
      </w:r>
      <w:r>
        <w:rPr>
          <w:sz w:val="16"/>
        </w:rPr>
        <w:t xml:space="preserve">, </w:t>
      </w:r>
      <w:r w:rsidRPr="00C317A5">
        <w:rPr>
          <w:sz w:val="16"/>
        </w:rPr>
        <w:t>State Government of Victoria</w:t>
      </w:r>
      <w:r>
        <w:rPr>
          <w:sz w:val="16"/>
        </w:rPr>
        <w:t xml:space="preserve"> &lt;</w:t>
      </w:r>
      <w:hyperlink r:id="rId19" w:history="1">
        <w:r w:rsidR="0040734C">
          <w:rPr>
            <w:rStyle w:val="Hyperlink"/>
            <w:sz w:val="16"/>
          </w:rPr>
          <w:t>https://www.health.vic.gov.au/environmental-health/waste</w:t>
        </w:r>
      </w:hyperlink>
      <w:r>
        <w:rPr>
          <w:sz w:val="16"/>
        </w:rPr>
        <w:t>&gt;</w:t>
      </w:r>
    </w:p>
  </w:footnote>
  <w:footnote w:id="21">
    <w:p w14:paraId="2F01DCD2" w14:textId="4D5FEDEC" w:rsidR="00F23471" w:rsidRPr="00F23471" w:rsidRDefault="00F23471">
      <w:pPr>
        <w:pStyle w:val="FootnoteText"/>
        <w:rPr>
          <w:sz w:val="16"/>
        </w:rPr>
      </w:pPr>
      <w:r w:rsidRPr="00F23471">
        <w:rPr>
          <w:rStyle w:val="FootnoteReference"/>
          <w:sz w:val="16"/>
        </w:rPr>
        <w:footnoteRef/>
      </w:r>
      <w:r w:rsidRPr="00F23471">
        <w:rPr>
          <w:sz w:val="16"/>
        </w:rPr>
        <w:t xml:space="preserve"> Environment Protection Authority 2009, </w:t>
      </w:r>
      <w:r w:rsidRPr="00F23471">
        <w:rPr>
          <w:i/>
          <w:iCs/>
          <w:sz w:val="16"/>
        </w:rPr>
        <w:t>Clinical and related waste</w:t>
      </w:r>
      <w:r w:rsidRPr="00F23471">
        <w:rPr>
          <w:sz w:val="16"/>
        </w:rPr>
        <w:t>: Operational guidance, State Government of Victoria, &lt;</w:t>
      </w:r>
      <w:hyperlink r:id="rId20" w:history="1">
        <w:r w:rsidRPr="00F23471">
          <w:rPr>
            <w:rStyle w:val="Hyperlink"/>
            <w:sz w:val="16"/>
          </w:rPr>
          <w:t>https://www.epa.vic.gov.au/about-epa/publications/iwrg612-1</w:t>
        </w:r>
      </w:hyperlink>
      <w:r w:rsidRPr="00F23471">
        <w:rPr>
          <w:sz w:val="16"/>
        </w:rPr>
        <w:t>&gt;</w:t>
      </w:r>
    </w:p>
  </w:footnote>
  <w:footnote w:id="22">
    <w:p w14:paraId="4E038B49" w14:textId="0A58E732" w:rsidR="00F23471" w:rsidRDefault="00F23471">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F5421F">
        <w:rPr>
          <w:i/>
          <w:iCs/>
          <w:color w:val="313131"/>
          <w:sz w:val="16"/>
          <w:shd w:val="clear" w:color="auto" w:fill="FFFFFF"/>
        </w:rPr>
        <w:t xml:space="preserve">Mpox,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(updated May 2024) &lt;</w:t>
      </w:r>
      <w:r w:rsidRPr="002F160A">
        <w:rPr>
          <w:color w:val="313131"/>
          <w:sz w:val="16"/>
          <w:shd w:val="clear" w:color="auto" w:fill="FFFFFF"/>
        </w:rPr>
        <w:t xml:space="preserve"> </w:t>
      </w:r>
      <w:hyperlink r:id="rId21" w:history="1">
        <w:r w:rsidRPr="002F160A">
          <w:rPr>
            <w:rStyle w:val="Hyperlink"/>
            <w:sz w:val="16"/>
            <w:shd w:val="clear" w:color="auto" w:fill="FFFFFF"/>
          </w:rPr>
          <w:t>https://immunisationhandbook.health.gov.au/contents/vaccine-preventable-diseases/mpox-previously-known-as-monkeypox</w:t>
        </w:r>
      </w:hyperlink>
      <w:r>
        <w:rPr>
          <w:color w:val="313131"/>
          <w:sz w:val="16"/>
          <w:shd w:val="clear" w:color="auto" w:fill="FFFFFF"/>
        </w:rPr>
        <w:t>&gt;</w:t>
      </w:r>
    </w:p>
  </w:footnote>
  <w:footnote w:id="23">
    <w:p w14:paraId="31E7716B" w14:textId="0577ABF3" w:rsidR="001078AA" w:rsidRDefault="001078AA">
      <w:pPr>
        <w:pStyle w:val="FootnoteText"/>
      </w:pPr>
      <w:r>
        <w:rPr>
          <w:rStyle w:val="FootnoteReference"/>
        </w:rPr>
        <w:footnoteRef/>
      </w:r>
      <w:r>
        <w:t xml:space="preserve"> </w:t>
      </w:r>
      <w:r w:rsidRPr="006A0B64">
        <w:rPr>
          <w:sz w:val="16"/>
        </w:rPr>
        <w:t>ATAGI</w:t>
      </w:r>
      <w:r>
        <w:rPr>
          <w:sz w:val="16"/>
        </w:rPr>
        <w:t xml:space="preserve"> 2022</w:t>
      </w:r>
      <w:r w:rsidRPr="006A0B64">
        <w:rPr>
          <w:color w:val="313131"/>
          <w:sz w:val="16"/>
          <w:shd w:val="clear" w:color="auto" w:fill="FFFFFF"/>
        </w:rPr>
        <w:t xml:space="preserve">. </w:t>
      </w:r>
      <w:r w:rsidRPr="001078AA">
        <w:rPr>
          <w:i/>
          <w:iCs/>
          <w:color w:val="313131"/>
          <w:sz w:val="16"/>
          <w:shd w:val="clear" w:color="auto" w:fill="FFFFFF"/>
        </w:rPr>
        <w:t>Vaccination procedures</w:t>
      </w:r>
      <w:r w:rsidR="0067058C">
        <w:rPr>
          <w:i/>
          <w:iCs/>
          <w:color w:val="313131"/>
          <w:sz w:val="16"/>
          <w:shd w:val="clear" w:color="auto" w:fill="FFFFFF"/>
        </w:rPr>
        <w:t>,</w:t>
      </w:r>
      <w:r>
        <w:rPr>
          <w:color w:val="313131"/>
          <w:sz w:val="16"/>
          <w:shd w:val="clear" w:color="auto" w:fill="FFFFFF"/>
        </w:rPr>
        <w:t xml:space="preserve"> </w:t>
      </w:r>
      <w:r w:rsidRPr="006A0B64">
        <w:rPr>
          <w:i/>
          <w:iCs/>
          <w:color w:val="313131"/>
          <w:sz w:val="16"/>
          <w:shd w:val="clear" w:color="auto" w:fill="FFFFFF"/>
        </w:rPr>
        <w:t>Australian Immunisation Handbook</w:t>
      </w:r>
      <w:r w:rsidRPr="006A0B64">
        <w:rPr>
          <w:color w:val="313131"/>
          <w:sz w:val="16"/>
          <w:shd w:val="clear" w:color="auto" w:fill="FFFFFF"/>
        </w:rPr>
        <w:t>, Australian Government Department of Health and Aged Care, Canberra,</w:t>
      </w:r>
      <w:r>
        <w:rPr>
          <w:color w:val="313131"/>
          <w:sz w:val="16"/>
          <w:shd w:val="clear" w:color="auto" w:fill="FFFFFF"/>
        </w:rPr>
        <w:t xml:space="preserve"> &lt;</w:t>
      </w:r>
      <w:hyperlink r:id="rId22" w:history="1">
        <w:r w:rsidRPr="001078AA">
          <w:rPr>
            <w:rStyle w:val="Hyperlink"/>
            <w:sz w:val="16"/>
            <w:shd w:val="clear" w:color="auto" w:fill="FFFFFF"/>
          </w:rPr>
          <w:t>https://immunisationhandbook.health.gov.au/contents/vaccination-procedures</w:t>
        </w:r>
      </w:hyperlink>
      <w:r>
        <w:rPr>
          <w:color w:val="313131"/>
          <w:sz w:val="16"/>
          <w:shd w:val="clear" w:color="auto" w:fill="FFFFFF"/>
        </w:rPr>
        <w:t>&gt;</w:t>
      </w:r>
    </w:p>
  </w:footnote>
  <w:footnote w:id="24">
    <w:p w14:paraId="71C96C9E" w14:textId="3101301A" w:rsidR="001078AA" w:rsidRPr="001078AA" w:rsidRDefault="001078AA">
      <w:pPr>
        <w:pStyle w:val="FootnoteText"/>
        <w:rPr>
          <w:sz w:val="16"/>
        </w:rPr>
      </w:pPr>
      <w:r w:rsidRPr="001078AA">
        <w:rPr>
          <w:rStyle w:val="FootnoteReference"/>
          <w:sz w:val="16"/>
        </w:rPr>
        <w:footnoteRef/>
      </w:r>
      <w:r w:rsidRPr="001078AA">
        <w:rPr>
          <w:sz w:val="16"/>
        </w:rPr>
        <w:t xml:space="preserve"> Department of Health and Aged Care 2019,  </w:t>
      </w:r>
      <w:r w:rsidRPr="001078AA">
        <w:rPr>
          <w:i/>
          <w:iCs/>
          <w:sz w:val="16"/>
        </w:rPr>
        <w:t>National Vaccine Storage Guidelines ‘Strive for 5’</w:t>
      </w:r>
      <w:r w:rsidRPr="001078AA">
        <w:rPr>
          <w:sz w:val="16"/>
        </w:rPr>
        <w:t>, Australian Government, &lt;</w:t>
      </w:r>
      <w:hyperlink r:id="rId23" w:history="1">
        <w:r w:rsidRPr="001078AA">
          <w:rPr>
            <w:rStyle w:val="Hyperlink"/>
            <w:sz w:val="16"/>
          </w:rPr>
          <w:t>https://www.health.gov.au/resources/publications/national-vaccine-storage-guidelines-strive-for-5</w:t>
        </w:r>
      </w:hyperlink>
      <w:r w:rsidRPr="001078AA">
        <w:rPr>
          <w:sz w:val="16"/>
        </w:rPr>
        <w:t xml:space="preserve"> &gt;</w:t>
      </w:r>
    </w:p>
  </w:footnote>
  <w:footnote w:id="25">
    <w:p w14:paraId="7079869F" w14:textId="294450CE" w:rsidR="00AB1362" w:rsidRPr="00B649DE" w:rsidRDefault="00AB1362">
      <w:pPr>
        <w:pStyle w:val="FootnoteText"/>
        <w:rPr>
          <w:sz w:val="16"/>
        </w:rPr>
      </w:pPr>
      <w:r w:rsidRPr="00B649DE">
        <w:rPr>
          <w:rStyle w:val="FootnoteReference"/>
          <w:sz w:val="16"/>
        </w:rPr>
        <w:footnoteRef/>
      </w:r>
      <w:r w:rsidRPr="00B649DE">
        <w:rPr>
          <w:sz w:val="16"/>
        </w:rPr>
        <w:t xml:space="preserve"> </w:t>
      </w:r>
      <w:r w:rsidR="00351E84" w:rsidRPr="00351E84">
        <w:rPr>
          <w:sz w:val="16"/>
        </w:rPr>
        <w:t>ATAGI</w:t>
      </w:r>
      <w:r w:rsidR="00351E84" w:rsidRPr="00351E84">
        <w:rPr>
          <w:color w:val="313131"/>
          <w:sz w:val="16"/>
          <w:shd w:val="clear" w:color="auto" w:fill="FFFFFF"/>
        </w:rPr>
        <w:t xml:space="preserve">. 2022 </w:t>
      </w:r>
      <w:r w:rsidR="00E75DED" w:rsidRPr="001078AA">
        <w:rPr>
          <w:i/>
          <w:iCs/>
          <w:color w:val="313131"/>
          <w:sz w:val="16"/>
          <w:shd w:val="clear" w:color="auto" w:fill="FFFFFF"/>
        </w:rPr>
        <w:t>Vaccination procedures</w:t>
      </w:r>
      <w:r w:rsidR="00E75DED">
        <w:rPr>
          <w:i/>
          <w:iCs/>
          <w:color w:val="313131"/>
          <w:sz w:val="16"/>
          <w:shd w:val="clear" w:color="auto" w:fill="FFFFFF"/>
        </w:rPr>
        <w:t>,</w:t>
      </w:r>
      <w:r w:rsidR="00E75DED">
        <w:rPr>
          <w:color w:val="313131"/>
          <w:sz w:val="16"/>
          <w:shd w:val="clear" w:color="auto" w:fill="FFFFFF"/>
        </w:rPr>
        <w:t xml:space="preserve"> </w:t>
      </w:r>
      <w:r w:rsidR="00351E84" w:rsidRPr="00351E84">
        <w:rPr>
          <w:color w:val="313131"/>
          <w:sz w:val="16"/>
          <w:shd w:val="clear" w:color="auto" w:fill="FFFFFF"/>
        </w:rPr>
        <w:t>A</w:t>
      </w:r>
      <w:r w:rsidR="00351E84" w:rsidRPr="00351E84">
        <w:rPr>
          <w:i/>
          <w:iCs/>
          <w:color w:val="313131"/>
          <w:sz w:val="16"/>
          <w:shd w:val="clear" w:color="auto" w:fill="FFFFFF"/>
        </w:rPr>
        <w:t>ustralian Immunisation Handbook,</w:t>
      </w:r>
      <w:r w:rsidR="00351E84" w:rsidRPr="00351E84">
        <w:rPr>
          <w:color w:val="313131"/>
          <w:sz w:val="16"/>
          <w:shd w:val="clear" w:color="auto" w:fill="FFFFFF"/>
        </w:rPr>
        <w:t xml:space="preserve"> Australian Government Department of Health and Aged Care.</w:t>
      </w:r>
      <w:r w:rsidR="00351E84" w:rsidRPr="00A5179E">
        <w:rPr>
          <w:rStyle w:val="Hyperlink"/>
          <w:color w:val="auto"/>
          <w:sz w:val="16"/>
          <w:lang w:eastAsia="en-AU"/>
        </w:rPr>
        <w:t xml:space="preserve"> </w:t>
      </w:r>
      <w:r w:rsidR="00A5179E" w:rsidRPr="00A5179E">
        <w:rPr>
          <w:rStyle w:val="Hyperlink"/>
          <w:color w:val="auto"/>
          <w:sz w:val="16"/>
          <w:lang w:eastAsia="en-AU"/>
        </w:rPr>
        <w:t>&lt;</w:t>
      </w:r>
      <w:hyperlink r:id="rId24" w:history="1">
        <w:r w:rsidR="00A5179E" w:rsidRPr="00351E84">
          <w:rPr>
            <w:rStyle w:val="Hyperlink"/>
            <w:sz w:val="16"/>
            <w:lang w:eastAsia="en-AU"/>
          </w:rPr>
          <w:t>https://immunisationhandbook.health.gov.au/contents/vaccination-procedures/administration-of-vaccines</w:t>
        </w:r>
      </w:hyperlink>
      <w:r w:rsidR="00A5179E" w:rsidRPr="00A5179E">
        <w:rPr>
          <w:rStyle w:val="Hyperlink"/>
          <w:color w:val="auto"/>
          <w:sz w:val="16"/>
          <w:lang w:eastAsia="en-AU"/>
        </w:rPr>
        <w:t>&gt;</w:t>
      </w:r>
    </w:p>
  </w:footnote>
  <w:footnote w:id="26">
    <w:p w14:paraId="581AEE88" w14:textId="416646A7" w:rsidR="0008064C" w:rsidRPr="00953BA0" w:rsidRDefault="0008064C">
      <w:pPr>
        <w:pStyle w:val="FootnoteText"/>
        <w:rPr>
          <w:sz w:val="16"/>
        </w:rPr>
      </w:pPr>
      <w:r w:rsidRPr="00953BA0">
        <w:rPr>
          <w:rStyle w:val="FootnoteReference"/>
          <w:sz w:val="16"/>
        </w:rPr>
        <w:footnoteRef/>
      </w:r>
      <w:r w:rsidRPr="00953BA0">
        <w:rPr>
          <w:sz w:val="16"/>
        </w:rPr>
        <w:t xml:space="preserve"> </w:t>
      </w:r>
      <w:bookmarkStart w:id="137" w:name="_Hlk122332219"/>
      <w:r w:rsidRPr="00953BA0">
        <w:rPr>
          <w:sz w:val="16"/>
        </w:rPr>
        <w:t xml:space="preserve"> </w:t>
      </w:r>
      <w:r w:rsidR="008A4A90">
        <w:rPr>
          <w:sz w:val="16"/>
        </w:rPr>
        <w:t xml:space="preserve">ATAGI 2024 </w:t>
      </w:r>
      <w:r w:rsidR="008A4A90" w:rsidRPr="008A4A90">
        <w:rPr>
          <w:i/>
          <w:iCs/>
          <w:sz w:val="16"/>
        </w:rPr>
        <w:t>Guidance on the use of multidose vials for COVID-19 vaccination</w:t>
      </w:r>
      <w:r w:rsidR="00DD3B2A">
        <w:rPr>
          <w:i/>
          <w:iCs/>
          <w:sz w:val="16"/>
        </w:rPr>
        <w:t xml:space="preserve"> V5.1</w:t>
      </w:r>
      <w:r w:rsidR="008A4A90" w:rsidRPr="008A4A90">
        <w:rPr>
          <w:sz w:val="16"/>
        </w:rPr>
        <w:t xml:space="preserve">. Australian </w:t>
      </w:r>
      <w:r w:rsidR="008A4A90">
        <w:rPr>
          <w:sz w:val="16"/>
        </w:rPr>
        <w:t>G</w:t>
      </w:r>
      <w:r w:rsidR="008A4A90" w:rsidRPr="008A4A90">
        <w:rPr>
          <w:sz w:val="16"/>
        </w:rPr>
        <w:t>overnment</w:t>
      </w:r>
      <w:r w:rsidR="008A4A90">
        <w:rPr>
          <w:sz w:val="16"/>
        </w:rPr>
        <w:t xml:space="preserve"> </w:t>
      </w:r>
      <w:bookmarkEnd w:id="137"/>
      <w:r w:rsidR="008A4A90">
        <w:rPr>
          <w:rStyle w:val="Hyperlink"/>
          <w:sz w:val="16"/>
        </w:rPr>
        <w:t xml:space="preserve"> &lt;</w:t>
      </w:r>
      <w:hyperlink r:id="rId25" w:history="1">
        <w:r w:rsidR="008A4A90" w:rsidRPr="008A4A90">
          <w:rPr>
            <w:rStyle w:val="Hyperlink"/>
            <w:sz w:val="16"/>
          </w:rPr>
          <w:t>https://www.health.gov.au/sites/default/files/2024-01/atagi-guidance-on-the-use-of-multi-dose-vials-for-covid-19-vaccination.pdf</w:t>
        </w:r>
      </w:hyperlink>
      <w:r w:rsidR="008A4A90">
        <w:rPr>
          <w:rStyle w:val="Hyperlink"/>
          <w:sz w:val="16"/>
        </w:rPr>
        <w:t>&gt;</w:t>
      </w:r>
    </w:p>
  </w:footnote>
  <w:footnote w:id="27">
    <w:p w14:paraId="3BEE33D3" w14:textId="126859D1" w:rsidR="00B12D35" w:rsidRPr="00B52407" w:rsidRDefault="00B12D35" w:rsidP="00024AF3">
      <w:pPr>
        <w:spacing w:after="0" w:line="240" w:lineRule="auto"/>
        <w:rPr>
          <w:sz w:val="16"/>
        </w:rPr>
      </w:pPr>
      <w:r w:rsidRPr="00433587">
        <w:rPr>
          <w:rStyle w:val="FootnoteReference"/>
          <w:sz w:val="16"/>
        </w:rPr>
        <w:footnoteRef/>
      </w:r>
      <w:r w:rsidRPr="002C6D7D">
        <w:rPr>
          <w:color w:val="365F91" w:themeColor="accent1" w:themeShade="BF"/>
          <w:sz w:val="16"/>
        </w:rPr>
        <w:t xml:space="preserve"> </w:t>
      </w:r>
      <w:r w:rsidR="00B52407">
        <w:rPr>
          <w:sz w:val="16"/>
        </w:rPr>
        <w:t xml:space="preserve">Centres for Disease Control and Prevention (CDC) 2024 </w:t>
      </w:r>
      <w:r w:rsidR="00B52407" w:rsidRPr="00B52407">
        <w:rPr>
          <w:i/>
          <w:iCs/>
          <w:sz w:val="16"/>
        </w:rPr>
        <w:t xml:space="preserve">JYNNEOS vaccine </w:t>
      </w:r>
      <w:r w:rsidR="00B52407">
        <w:rPr>
          <w:i/>
          <w:iCs/>
          <w:sz w:val="16"/>
        </w:rPr>
        <w:t>A</w:t>
      </w:r>
      <w:r w:rsidR="00B52407" w:rsidRPr="00B52407">
        <w:rPr>
          <w:i/>
          <w:iCs/>
          <w:sz w:val="16"/>
        </w:rPr>
        <w:t xml:space="preserve">dditional </w:t>
      </w:r>
      <w:r w:rsidR="00B52407">
        <w:rPr>
          <w:i/>
          <w:iCs/>
          <w:sz w:val="16"/>
        </w:rPr>
        <w:t>C</w:t>
      </w:r>
      <w:r w:rsidR="00B52407" w:rsidRPr="00B52407">
        <w:rPr>
          <w:i/>
          <w:iCs/>
          <w:sz w:val="16"/>
        </w:rPr>
        <w:t xml:space="preserve">onsiderations for Intradermal </w:t>
      </w:r>
      <w:r w:rsidR="00B52407">
        <w:rPr>
          <w:i/>
          <w:iCs/>
          <w:sz w:val="16"/>
        </w:rPr>
        <w:t>A</w:t>
      </w:r>
      <w:r w:rsidR="00B52407" w:rsidRPr="00B52407">
        <w:rPr>
          <w:i/>
          <w:iCs/>
          <w:sz w:val="16"/>
        </w:rPr>
        <w:t>dministration</w:t>
      </w:r>
      <w:r w:rsidR="00B52407">
        <w:rPr>
          <w:sz w:val="16"/>
        </w:rPr>
        <w:t xml:space="preserve"> US Department of Health and Human Services.&lt; </w:t>
      </w:r>
      <w:hyperlink r:id="rId26" w:history="1">
        <w:r w:rsidR="00B52407" w:rsidRPr="00B52407">
          <w:rPr>
            <w:rStyle w:val="Hyperlink"/>
            <w:sz w:val="16"/>
          </w:rPr>
          <w:t>JYNNEOS Vaccine Additional Considerations for Intradermal Administration | Mpox | Poxvirus | CDC</w:t>
        </w:r>
      </w:hyperlink>
      <w:r w:rsidR="00B52407" w:rsidRPr="00B52407">
        <w:rPr>
          <w:sz w:val="16"/>
        </w:rPr>
        <w:t>&gt;</w:t>
      </w:r>
    </w:p>
  </w:footnote>
  <w:footnote w:id="28">
    <w:p w14:paraId="1FB8C9C4" w14:textId="24EA1DCF" w:rsidR="00EE28B5" w:rsidRPr="00450B24" w:rsidRDefault="00EE28B5" w:rsidP="00EE28B5">
      <w:pPr>
        <w:pStyle w:val="FootnoteText"/>
        <w:rPr>
          <w:sz w:val="16"/>
        </w:rPr>
      </w:pPr>
      <w:r w:rsidRPr="00450B24">
        <w:rPr>
          <w:rStyle w:val="FootnoteReference"/>
          <w:sz w:val="16"/>
        </w:rPr>
        <w:footnoteRef/>
      </w:r>
      <w:r w:rsidRPr="00450B24">
        <w:rPr>
          <w:sz w:val="16"/>
        </w:rPr>
        <w:t xml:space="preserve"> CDC </w:t>
      </w:r>
      <w:r w:rsidR="00301135" w:rsidRPr="00450B24">
        <w:rPr>
          <w:sz w:val="16"/>
        </w:rPr>
        <w:t>202</w:t>
      </w:r>
      <w:r w:rsidR="00301135">
        <w:rPr>
          <w:sz w:val="16"/>
        </w:rPr>
        <w:t>4</w:t>
      </w:r>
      <w:r w:rsidR="00301135" w:rsidRPr="00B52407">
        <w:rPr>
          <w:i/>
          <w:iCs/>
          <w:sz w:val="16"/>
        </w:rPr>
        <w:t xml:space="preserve">, JYNNEOS Vaccine Additional Considerations </w:t>
      </w:r>
      <w:r w:rsidR="00576784" w:rsidRPr="00B52407">
        <w:rPr>
          <w:i/>
          <w:iCs/>
          <w:sz w:val="16"/>
        </w:rPr>
        <w:t xml:space="preserve">for </w:t>
      </w:r>
      <w:r w:rsidR="00301135" w:rsidRPr="00B52407">
        <w:rPr>
          <w:i/>
          <w:iCs/>
          <w:sz w:val="16"/>
        </w:rPr>
        <w:t xml:space="preserve">Intradermal </w:t>
      </w:r>
      <w:r w:rsidR="00576784" w:rsidRPr="00B52407">
        <w:rPr>
          <w:i/>
          <w:iCs/>
          <w:sz w:val="16"/>
        </w:rPr>
        <w:t>A</w:t>
      </w:r>
      <w:r w:rsidR="00301135" w:rsidRPr="00B52407">
        <w:rPr>
          <w:i/>
          <w:iCs/>
          <w:sz w:val="16"/>
        </w:rPr>
        <w:t>dministration</w:t>
      </w:r>
      <w:r w:rsidR="00301135" w:rsidRPr="00450B24">
        <w:rPr>
          <w:sz w:val="16"/>
        </w:rPr>
        <w:t xml:space="preserve"> </w:t>
      </w:r>
      <w:r w:rsidR="00B52407">
        <w:rPr>
          <w:sz w:val="16"/>
        </w:rPr>
        <w:t>US Department of Health and Human Services</w:t>
      </w:r>
      <w:r w:rsidR="00B52407" w:rsidRPr="00450B24">
        <w:rPr>
          <w:sz w:val="16"/>
        </w:rPr>
        <w:t xml:space="preserve"> </w:t>
      </w:r>
      <w:r w:rsidRPr="00450B24">
        <w:rPr>
          <w:sz w:val="16"/>
        </w:rPr>
        <w:t>&lt;</w:t>
      </w:r>
      <w:hyperlink r:id="rId27" w:history="1">
        <w:r w:rsidRPr="00450B24">
          <w:rPr>
            <w:rStyle w:val="Hyperlink"/>
            <w:sz w:val="16"/>
          </w:rPr>
          <w:t>https://www.cdc.gov/poxvirus/monkeypox/interim-considerations/jynneos-vaccine.html</w:t>
        </w:r>
      </w:hyperlink>
      <w:r w:rsidRPr="00450B24">
        <w:rPr>
          <w:sz w:val="16"/>
        </w:rPr>
        <w:t>&gt;</w:t>
      </w:r>
    </w:p>
  </w:footnote>
  <w:footnote w:id="29">
    <w:p w14:paraId="47EFDEFC" w14:textId="08D73AF1" w:rsidR="00BB3A49" w:rsidRDefault="00BB3A49" w:rsidP="00BB3A49">
      <w:pPr>
        <w:pStyle w:val="FootnoteText"/>
      </w:pPr>
      <w:r>
        <w:rPr>
          <w:rStyle w:val="FootnoteReference"/>
        </w:rPr>
        <w:footnoteRef/>
      </w:r>
      <w:r>
        <w:t xml:space="preserve"> </w:t>
      </w:r>
      <w:r w:rsidRPr="00351E84">
        <w:rPr>
          <w:sz w:val="16"/>
        </w:rPr>
        <w:t>ATAGI</w:t>
      </w:r>
      <w:r w:rsidRPr="00351E84">
        <w:rPr>
          <w:color w:val="313131"/>
          <w:sz w:val="16"/>
          <w:shd w:val="clear" w:color="auto" w:fill="FFFFFF"/>
        </w:rPr>
        <w:t xml:space="preserve">. 2022 </w:t>
      </w:r>
      <w:r w:rsidR="00B90D00" w:rsidRPr="00B90D00">
        <w:rPr>
          <w:i/>
          <w:iCs/>
          <w:color w:val="313131"/>
          <w:sz w:val="16"/>
          <w:shd w:val="clear" w:color="auto" w:fill="FFFFFF"/>
        </w:rPr>
        <w:t>Vaccination procedures,</w:t>
      </w:r>
      <w:r w:rsidR="00B90D00">
        <w:rPr>
          <w:color w:val="313131"/>
          <w:sz w:val="16"/>
          <w:shd w:val="clear" w:color="auto" w:fill="FFFFFF"/>
        </w:rPr>
        <w:t xml:space="preserve"> </w:t>
      </w:r>
      <w:r w:rsidRPr="00351E84">
        <w:rPr>
          <w:color w:val="313131"/>
          <w:sz w:val="16"/>
          <w:shd w:val="clear" w:color="auto" w:fill="FFFFFF"/>
        </w:rPr>
        <w:t>A</w:t>
      </w:r>
      <w:r w:rsidRPr="00351E84">
        <w:rPr>
          <w:i/>
          <w:iCs/>
          <w:color w:val="313131"/>
          <w:sz w:val="16"/>
          <w:shd w:val="clear" w:color="auto" w:fill="FFFFFF"/>
        </w:rPr>
        <w:t>ustralian Immunisation Handbook,</w:t>
      </w:r>
      <w:r w:rsidRPr="00351E84">
        <w:rPr>
          <w:color w:val="313131"/>
          <w:sz w:val="16"/>
          <w:shd w:val="clear" w:color="auto" w:fill="FFFFFF"/>
        </w:rPr>
        <w:t xml:space="preserve"> Australian Government Department of Health and Aged Care.</w:t>
      </w:r>
      <w:r w:rsidRPr="00A5179E">
        <w:rPr>
          <w:rStyle w:val="Hyperlink"/>
          <w:color w:val="auto"/>
          <w:sz w:val="16"/>
          <w:lang w:eastAsia="en-AU"/>
        </w:rPr>
        <w:t xml:space="preserve"> &lt;</w:t>
      </w:r>
      <w:hyperlink r:id="rId28" w:history="1">
        <w:r w:rsidRPr="00351E84">
          <w:rPr>
            <w:rStyle w:val="Hyperlink"/>
            <w:sz w:val="16"/>
            <w:lang w:eastAsia="en-AU"/>
          </w:rPr>
          <w:t>https://immunisationhandbook.health.gov.au/contents/vaccination-procedures/administration-of-vaccines</w:t>
        </w:r>
      </w:hyperlink>
    </w:p>
  </w:footnote>
  <w:footnote w:id="30">
    <w:p w14:paraId="09C82F58" w14:textId="44865049" w:rsidR="00B90D00" w:rsidRDefault="00B90D00">
      <w:pPr>
        <w:pStyle w:val="FootnoteText"/>
      </w:pPr>
      <w:r>
        <w:rPr>
          <w:rStyle w:val="FootnoteReference"/>
        </w:rPr>
        <w:footnoteRef/>
      </w:r>
      <w:r>
        <w:t xml:space="preserve"> </w:t>
      </w:r>
      <w:r w:rsidR="00061230" w:rsidRPr="00450B24">
        <w:rPr>
          <w:sz w:val="16"/>
        </w:rPr>
        <w:t>CDC 202</w:t>
      </w:r>
      <w:r w:rsidR="00061230">
        <w:rPr>
          <w:sz w:val="16"/>
        </w:rPr>
        <w:t xml:space="preserve">4, </w:t>
      </w:r>
      <w:r w:rsidR="00061230" w:rsidRPr="00B52407">
        <w:rPr>
          <w:i/>
          <w:iCs/>
          <w:sz w:val="16"/>
        </w:rPr>
        <w:t>JYNNEOS Vaccine Additional Considerations for Intradermal Administration</w:t>
      </w:r>
      <w:r w:rsidR="00061230" w:rsidRPr="00450B24">
        <w:rPr>
          <w:sz w:val="16"/>
        </w:rPr>
        <w:t xml:space="preserve"> </w:t>
      </w:r>
      <w:r w:rsidR="00B52407">
        <w:rPr>
          <w:sz w:val="16"/>
        </w:rPr>
        <w:t>US Department of Health and Human Services</w:t>
      </w:r>
      <w:r w:rsidR="00B52407" w:rsidRPr="00450B24">
        <w:rPr>
          <w:sz w:val="16"/>
        </w:rPr>
        <w:t xml:space="preserve"> </w:t>
      </w:r>
      <w:r w:rsidR="00061230" w:rsidRPr="00450B24">
        <w:rPr>
          <w:sz w:val="16"/>
        </w:rPr>
        <w:t>&lt;</w:t>
      </w:r>
      <w:hyperlink r:id="rId29" w:history="1">
        <w:r w:rsidR="00061230" w:rsidRPr="00450B24">
          <w:rPr>
            <w:rStyle w:val="Hyperlink"/>
            <w:sz w:val="16"/>
          </w:rPr>
          <w:t>https://www.cdc.gov/poxvirus/monkeypox/interim-considerations/jynneos-vaccine.html</w:t>
        </w:r>
      </w:hyperlink>
      <w:r w:rsidR="00061230" w:rsidRPr="00450B24">
        <w:rPr>
          <w:sz w:val="16"/>
        </w:rPr>
        <w:t>&gt;</w:t>
      </w:r>
    </w:p>
  </w:footnote>
  <w:footnote w:id="31">
    <w:p w14:paraId="0F74F811" w14:textId="0668BF7C" w:rsidR="00736B76" w:rsidRDefault="00736B76">
      <w:pPr>
        <w:pStyle w:val="FootnoteText"/>
      </w:pPr>
      <w:r>
        <w:rPr>
          <w:rStyle w:val="FootnoteReference"/>
        </w:rPr>
        <w:footnoteRef/>
      </w:r>
      <w:r>
        <w:t xml:space="preserve"> </w:t>
      </w:r>
      <w:r w:rsidR="00F54688" w:rsidRPr="00450B24">
        <w:rPr>
          <w:sz w:val="16"/>
        </w:rPr>
        <w:t>CDC 202</w:t>
      </w:r>
      <w:r w:rsidR="00F54688">
        <w:rPr>
          <w:sz w:val="16"/>
        </w:rPr>
        <w:t xml:space="preserve">4, </w:t>
      </w:r>
      <w:r w:rsidR="00F54688" w:rsidRPr="00B52407">
        <w:rPr>
          <w:i/>
          <w:iCs/>
          <w:sz w:val="16"/>
        </w:rPr>
        <w:t>JYNNEOS Vaccine Additional Considerations for Intradermal Administration</w:t>
      </w:r>
      <w:r w:rsidR="00F54688" w:rsidRPr="00450B24">
        <w:rPr>
          <w:sz w:val="16"/>
        </w:rPr>
        <w:t xml:space="preserve"> </w:t>
      </w:r>
      <w:r w:rsidR="004430E7">
        <w:rPr>
          <w:sz w:val="16"/>
        </w:rPr>
        <w:t xml:space="preserve">US Department of Health and Human Services </w:t>
      </w:r>
      <w:r w:rsidR="00F54688" w:rsidRPr="00450B24">
        <w:rPr>
          <w:sz w:val="16"/>
        </w:rPr>
        <w:t>&lt;</w:t>
      </w:r>
      <w:hyperlink r:id="rId30" w:history="1">
        <w:r w:rsidR="00F54688" w:rsidRPr="00450B24">
          <w:rPr>
            <w:rStyle w:val="Hyperlink"/>
            <w:sz w:val="16"/>
          </w:rPr>
          <w:t>https://www.cdc.gov/poxvirus/monkeypox/interim-considerations/jynneos-vaccine.html</w:t>
        </w:r>
      </w:hyperlink>
      <w:r w:rsidR="00F54688" w:rsidRPr="00450B24">
        <w:rPr>
          <w:sz w:val="16"/>
        </w:rPr>
        <w:t>&gt;</w:t>
      </w:r>
    </w:p>
  </w:footnote>
  <w:footnote w:id="32">
    <w:p w14:paraId="76E25732" w14:textId="77777777" w:rsidR="004430E7" w:rsidRDefault="00684AF6" w:rsidP="004430E7">
      <w:pPr>
        <w:pStyle w:val="FootnoteText"/>
      </w:pPr>
      <w:r>
        <w:rPr>
          <w:rStyle w:val="FootnoteReference"/>
        </w:rPr>
        <w:footnoteRef/>
      </w:r>
      <w:r>
        <w:t xml:space="preserve"> </w:t>
      </w:r>
      <w:r w:rsidR="004430E7">
        <w:t xml:space="preserve"> </w:t>
      </w:r>
      <w:r w:rsidR="004430E7" w:rsidRPr="00B8099E">
        <w:rPr>
          <w:sz w:val="16"/>
        </w:rPr>
        <w:t>ATAGI</w:t>
      </w:r>
      <w:r w:rsidR="004430E7">
        <w:rPr>
          <w:sz w:val="16"/>
        </w:rPr>
        <w:t xml:space="preserve"> 2022</w:t>
      </w:r>
      <w:r w:rsidR="004430E7" w:rsidRPr="00B8099E">
        <w:rPr>
          <w:color w:val="313131"/>
          <w:sz w:val="16"/>
          <w:shd w:val="clear" w:color="auto" w:fill="FFFFFF"/>
        </w:rPr>
        <w:t xml:space="preserve">. </w:t>
      </w:r>
      <w:r w:rsidR="004430E7" w:rsidRPr="009717DF">
        <w:rPr>
          <w:i/>
          <w:iCs/>
          <w:color w:val="313131"/>
          <w:sz w:val="16"/>
          <w:shd w:val="clear" w:color="auto" w:fill="FFFFFF"/>
        </w:rPr>
        <w:t>Mpox, Australian Immunisation Handbook</w:t>
      </w:r>
      <w:r w:rsidR="004430E7" w:rsidRPr="00B8099E">
        <w:rPr>
          <w:color w:val="313131"/>
          <w:sz w:val="16"/>
          <w:shd w:val="clear" w:color="auto" w:fill="FFFFFF"/>
        </w:rPr>
        <w:t xml:space="preserve">, Australian Government Department of Health and Aged Care, Canberra, </w:t>
      </w:r>
      <w:r w:rsidR="004430E7">
        <w:rPr>
          <w:color w:val="313131"/>
          <w:sz w:val="16"/>
          <w:shd w:val="clear" w:color="auto" w:fill="FFFFFF"/>
        </w:rPr>
        <w:t>(updated May 2024) &lt;</w:t>
      </w:r>
      <w:r w:rsidR="004430E7" w:rsidRPr="002F160A">
        <w:rPr>
          <w:color w:val="313131"/>
          <w:sz w:val="16"/>
          <w:shd w:val="clear" w:color="auto" w:fill="FFFFFF"/>
        </w:rPr>
        <w:t xml:space="preserve"> </w:t>
      </w:r>
      <w:hyperlink r:id="rId31" w:history="1">
        <w:r w:rsidR="004430E7" w:rsidRPr="002F160A">
          <w:rPr>
            <w:rStyle w:val="Hyperlink"/>
            <w:sz w:val="16"/>
            <w:shd w:val="clear" w:color="auto" w:fill="FFFFFF"/>
          </w:rPr>
          <w:t>https://immunisationhandbook.health.gov.au/contents/vaccine-preventable-diseases/mpox-previously-known-as-monkeypox</w:t>
        </w:r>
      </w:hyperlink>
      <w:r w:rsidR="004430E7">
        <w:rPr>
          <w:rStyle w:val="Hyperlink"/>
          <w:sz w:val="16"/>
          <w:shd w:val="clear" w:color="auto" w:fill="FFFFFF"/>
        </w:rPr>
        <w:t>&gt;</w:t>
      </w:r>
      <w:r w:rsidR="004430E7" w:rsidRPr="008F4BDC" w:rsidDel="00236E2E">
        <w:rPr>
          <w:sz w:val="16"/>
        </w:rPr>
        <w:t xml:space="preserve"> </w:t>
      </w:r>
    </w:p>
    <w:p w14:paraId="33F90F9F" w14:textId="561E094F" w:rsidR="00684AF6" w:rsidRDefault="00684AF6">
      <w:pPr>
        <w:pStyle w:val="FootnoteText"/>
      </w:pPr>
    </w:p>
  </w:footnote>
  <w:footnote w:id="33">
    <w:p w14:paraId="736811B6" w14:textId="37B952F0" w:rsidR="00D84F05" w:rsidRPr="00836449" w:rsidRDefault="00D84F05">
      <w:pPr>
        <w:pStyle w:val="FootnoteText"/>
        <w:rPr>
          <w:sz w:val="16"/>
        </w:rPr>
      </w:pPr>
      <w:r w:rsidRPr="00836449">
        <w:rPr>
          <w:rStyle w:val="FootnoteReference"/>
          <w:sz w:val="16"/>
        </w:rPr>
        <w:footnoteRef/>
      </w:r>
      <w:r w:rsidRPr="00836449">
        <w:rPr>
          <w:sz w:val="16"/>
        </w:rPr>
        <w:t xml:space="preserve"> </w:t>
      </w:r>
      <w:r w:rsidR="00C45485" w:rsidRPr="00A933D4">
        <w:rPr>
          <w:sz w:val="16"/>
        </w:rPr>
        <w:t xml:space="preserve">ATAGI 2022 </w:t>
      </w:r>
      <w:r w:rsidR="00C45485" w:rsidRPr="0057755E">
        <w:rPr>
          <w:i/>
          <w:iCs/>
          <w:sz w:val="16"/>
        </w:rPr>
        <w:t>Administration of vaccines</w:t>
      </w:r>
      <w:r w:rsidR="00C45485" w:rsidRPr="00A933D4">
        <w:rPr>
          <w:sz w:val="16"/>
        </w:rPr>
        <w:t xml:space="preserve"> | The Australian Immunisation Handbook</w:t>
      </w:r>
      <w:r w:rsidR="00C45485" w:rsidRPr="00D413D0">
        <w:rPr>
          <w:sz w:val="16"/>
        </w:rPr>
        <w:t xml:space="preserve"> &lt;</w:t>
      </w:r>
      <w:hyperlink r:id="rId32" w:history="1">
        <w:r w:rsidR="00C45485" w:rsidRPr="00A933D4">
          <w:rPr>
            <w:rStyle w:val="Hyperlink"/>
            <w:sz w:val="16"/>
          </w:rPr>
          <w:t>https://immunisationhandbook.health.gov.au/contents/vaccination-procedures/administration-of-vaccines</w:t>
        </w:r>
      </w:hyperlink>
      <w:r w:rsidR="00C45485" w:rsidRPr="00D413D0">
        <w:rPr>
          <w:sz w:val="16"/>
        </w:rPr>
        <w:t>&gt;</w:t>
      </w:r>
    </w:p>
  </w:footnote>
  <w:footnote w:id="34">
    <w:p w14:paraId="472EF3A3" w14:textId="54183961" w:rsidR="00077DBB" w:rsidRPr="000A63AE" w:rsidRDefault="00077DBB"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A2614C">
        <w:rPr>
          <w:color w:val="365F91" w:themeColor="accent1" w:themeShade="BF"/>
          <w:sz w:val="16"/>
        </w:rPr>
        <w:t xml:space="preserve"> </w:t>
      </w:r>
      <w:r w:rsidR="00A2614C" w:rsidRPr="00351E84">
        <w:rPr>
          <w:sz w:val="16"/>
        </w:rPr>
        <w:t>ATAGI</w:t>
      </w:r>
      <w:r w:rsidR="00A2614C" w:rsidRPr="00351E84">
        <w:rPr>
          <w:color w:val="313131"/>
          <w:sz w:val="16"/>
          <w:shd w:val="clear" w:color="auto" w:fill="FFFFFF"/>
        </w:rPr>
        <w:t xml:space="preserve">. 2022 </w:t>
      </w:r>
      <w:r w:rsidR="006471A7" w:rsidRPr="006663F0">
        <w:rPr>
          <w:i/>
          <w:iCs/>
          <w:color w:val="313131"/>
          <w:sz w:val="16"/>
          <w:shd w:val="clear" w:color="auto" w:fill="FFFFFF"/>
        </w:rPr>
        <w:t xml:space="preserve">Recognition </w:t>
      </w:r>
      <w:r w:rsidR="006663F0" w:rsidRPr="006663F0">
        <w:rPr>
          <w:i/>
          <w:iCs/>
          <w:color w:val="313131"/>
          <w:sz w:val="16"/>
          <w:shd w:val="clear" w:color="auto" w:fill="FFFFFF"/>
        </w:rPr>
        <w:t>and treatment of anaphylaxis</w:t>
      </w:r>
      <w:r w:rsidR="006663F0">
        <w:rPr>
          <w:color w:val="313131"/>
          <w:sz w:val="16"/>
          <w:shd w:val="clear" w:color="auto" w:fill="FFFFFF"/>
        </w:rPr>
        <w:t xml:space="preserve">, </w:t>
      </w:r>
      <w:r w:rsidR="00A2614C" w:rsidRPr="00351E84">
        <w:rPr>
          <w:color w:val="313131"/>
          <w:sz w:val="16"/>
          <w:shd w:val="clear" w:color="auto" w:fill="FFFFFF"/>
        </w:rPr>
        <w:t>A</w:t>
      </w:r>
      <w:r w:rsidR="00A2614C" w:rsidRPr="00351E84">
        <w:rPr>
          <w:i/>
          <w:iCs/>
          <w:color w:val="313131"/>
          <w:sz w:val="16"/>
          <w:shd w:val="clear" w:color="auto" w:fill="FFFFFF"/>
        </w:rPr>
        <w:t>ustralian Immunisation Handbook,</w:t>
      </w:r>
      <w:r w:rsidR="00A2614C" w:rsidRPr="00351E84">
        <w:rPr>
          <w:color w:val="313131"/>
          <w:sz w:val="16"/>
          <w:shd w:val="clear" w:color="auto" w:fill="FFFFFF"/>
        </w:rPr>
        <w:t xml:space="preserve"> Australian Government Department of Health and Aged Care</w:t>
      </w:r>
      <w:r w:rsidR="00A2614C">
        <w:rPr>
          <w:color w:val="365F91" w:themeColor="accent1" w:themeShade="BF"/>
          <w:sz w:val="16"/>
        </w:rPr>
        <w:t xml:space="preserve">  </w:t>
      </w:r>
      <w:r w:rsidR="0077624B" w:rsidRPr="00A43185">
        <w:rPr>
          <w:sz w:val="16"/>
        </w:rPr>
        <w:t>&lt;</w:t>
      </w:r>
      <w:hyperlink r:id="rId33" w:history="1">
        <w:r w:rsidR="0077624B" w:rsidRPr="006471A7">
          <w:rPr>
            <w:rStyle w:val="Hyperlink"/>
            <w:sz w:val="16"/>
          </w:rPr>
          <w:t>https://immunisationhandbook.health.gov.au/resources/tables/table-recognition-and-treatment-of-anaphylaxis</w:t>
        </w:r>
      </w:hyperlink>
      <w:r w:rsidR="0077624B" w:rsidRPr="00A43185">
        <w:rPr>
          <w:sz w:val="16"/>
        </w:rPr>
        <w:t>&gt;</w:t>
      </w:r>
    </w:p>
  </w:footnote>
  <w:footnote w:id="35">
    <w:p w14:paraId="56C095DB" w14:textId="20674FED" w:rsidR="002D100C" w:rsidRPr="000A63AE" w:rsidRDefault="002D100C" w:rsidP="00A673CE">
      <w:pPr>
        <w:pStyle w:val="Bullet1"/>
        <w:numPr>
          <w:ilvl w:val="0"/>
          <w:numId w:val="0"/>
        </w:numPr>
        <w:spacing w:after="0" w:line="240" w:lineRule="atLeast"/>
        <w:rPr>
          <w:color w:val="365F91" w:themeColor="accent1" w:themeShade="BF"/>
          <w:sz w:val="16"/>
          <w:szCs w:val="16"/>
        </w:rPr>
      </w:pPr>
      <w:r w:rsidRPr="000A63AE">
        <w:rPr>
          <w:rStyle w:val="FootnoteReference"/>
          <w:color w:val="365F91" w:themeColor="accent1" w:themeShade="BF"/>
          <w:sz w:val="16"/>
          <w:szCs w:val="16"/>
        </w:rPr>
        <w:footnoteRef/>
      </w:r>
      <w:r w:rsidRPr="000A63AE">
        <w:rPr>
          <w:color w:val="365F91" w:themeColor="accent1" w:themeShade="BF"/>
          <w:sz w:val="16"/>
          <w:szCs w:val="16"/>
        </w:rPr>
        <w:t xml:space="preserve"> </w:t>
      </w:r>
      <w:r w:rsidR="00276EF9">
        <w:rPr>
          <w:color w:val="365F91" w:themeColor="accent1" w:themeShade="BF"/>
          <w:sz w:val="16"/>
          <w:szCs w:val="16"/>
        </w:rPr>
        <w:t xml:space="preserve"> </w:t>
      </w:r>
      <w:r w:rsidR="00F62316">
        <w:rPr>
          <w:rFonts w:cs="Arial"/>
          <w:color w:val="313131"/>
          <w:sz w:val="16"/>
          <w:szCs w:val="16"/>
          <w:shd w:val="clear" w:color="auto" w:fill="FFFFFF"/>
        </w:rPr>
        <w:t>ATAGI</w:t>
      </w:r>
      <w:r w:rsidR="00276EF9" w:rsidRPr="00351E84">
        <w:rPr>
          <w:rFonts w:cs="Arial"/>
          <w:color w:val="313131"/>
          <w:sz w:val="16"/>
          <w:szCs w:val="16"/>
          <w:shd w:val="clear" w:color="auto" w:fill="FFFFFF"/>
        </w:rPr>
        <w:t xml:space="preserve"> 2022 </w:t>
      </w:r>
      <w:r w:rsidR="00F62316" w:rsidRPr="00F62316">
        <w:rPr>
          <w:rFonts w:cs="Arial"/>
          <w:i/>
          <w:iCs/>
          <w:color w:val="313131"/>
          <w:sz w:val="16"/>
          <w:szCs w:val="16"/>
          <w:shd w:val="clear" w:color="auto" w:fill="FFFFFF"/>
        </w:rPr>
        <w:t xml:space="preserve">Managing </w:t>
      </w:r>
      <w:r w:rsidR="00276EF9" w:rsidRPr="00F62316">
        <w:rPr>
          <w:i/>
          <w:iCs/>
          <w:color w:val="313131"/>
          <w:sz w:val="16"/>
          <w:shd w:val="clear" w:color="auto" w:fill="FFFFFF"/>
        </w:rPr>
        <w:t>anaphylaxis</w:t>
      </w:r>
      <w:r w:rsidR="00276EF9">
        <w:rPr>
          <w:color w:val="313131"/>
          <w:sz w:val="16"/>
          <w:shd w:val="clear" w:color="auto" w:fill="FFFFFF"/>
        </w:rPr>
        <w:t xml:space="preserve">, </w:t>
      </w:r>
      <w:r w:rsidR="00276EF9" w:rsidRPr="00351E84">
        <w:rPr>
          <w:rFonts w:cs="Arial"/>
          <w:color w:val="313131"/>
          <w:sz w:val="16"/>
          <w:szCs w:val="16"/>
          <w:shd w:val="clear" w:color="auto" w:fill="FFFFFF"/>
        </w:rPr>
        <w:t>A</w:t>
      </w:r>
      <w:r w:rsidR="00276EF9" w:rsidRPr="00351E84">
        <w:rPr>
          <w:rFonts w:cs="Arial"/>
          <w:i/>
          <w:iCs/>
          <w:color w:val="313131"/>
          <w:sz w:val="16"/>
          <w:szCs w:val="16"/>
          <w:shd w:val="clear" w:color="auto" w:fill="FFFFFF"/>
        </w:rPr>
        <w:t>ustralian Immunisation Handbook,</w:t>
      </w:r>
      <w:r w:rsidR="00276EF9" w:rsidRPr="00351E84">
        <w:rPr>
          <w:rFonts w:cs="Arial"/>
          <w:color w:val="313131"/>
          <w:sz w:val="16"/>
          <w:szCs w:val="16"/>
          <w:shd w:val="clear" w:color="auto" w:fill="FFFFFF"/>
        </w:rPr>
        <w:t xml:space="preserve"> Australian Government Department of Health and Aged Care</w:t>
      </w:r>
      <w:r w:rsidR="00276EF9">
        <w:rPr>
          <w:color w:val="365F91" w:themeColor="accent1" w:themeShade="BF"/>
          <w:sz w:val="16"/>
        </w:rPr>
        <w:t xml:space="preserve">  </w:t>
      </w:r>
      <w:r w:rsidR="00F40D26" w:rsidRPr="00F215DC">
        <w:rPr>
          <w:sz w:val="16"/>
          <w:szCs w:val="16"/>
        </w:rPr>
        <w:t>&lt;</w:t>
      </w:r>
      <w:hyperlink r:id="rId34" w:history="1">
        <w:r w:rsidR="00F40D26" w:rsidRPr="00F62316">
          <w:rPr>
            <w:rStyle w:val="Hyperlink"/>
            <w:sz w:val="16"/>
            <w:szCs w:val="16"/>
          </w:rPr>
          <w:t>https://immunisationhandbook.health.gov.au/resources/tables/table-recognition-and-treatment-of-anaphylaxis</w:t>
        </w:r>
      </w:hyperlink>
      <w:r w:rsidR="00F40D26" w:rsidRPr="00F215DC">
        <w:rPr>
          <w:sz w:val="16"/>
          <w:szCs w:val="16"/>
        </w:rPr>
        <w:t>&gt;</w:t>
      </w:r>
    </w:p>
  </w:footnote>
  <w:footnote w:id="36">
    <w:p w14:paraId="020F60C7" w14:textId="5CED473C" w:rsidR="00684CB9" w:rsidRPr="000A63AE" w:rsidRDefault="00F5320A"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008E7719" w:rsidRPr="000A63AE">
        <w:rPr>
          <w:color w:val="365F91" w:themeColor="accent1" w:themeShade="BF"/>
          <w:sz w:val="16"/>
        </w:rPr>
        <w:t xml:space="preserve"> </w:t>
      </w:r>
      <w:r w:rsidR="00F62316">
        <w:rPr>
          <w:color w:val="365F91" w:themeColor="accent1" w:themeShade="BF"/>
          <w:sz w:val="16"/>
        </w:rPr>
        <w:t xml:space="preserve"> </w:t>
      </w:r>
      <w:r w:rsidR="00974AF9">
        <w:rPr>
          <w:color w:val="313131"/>
          <w:sz w:val="16"/>
          <w:shd w:val="clear" w:color="auto" w:fill="FFFFFF"/>
        </w:rPr>
        <w:t>ATAGI</w:t>
      </w:r>
      <w:r w:rsidR="004A60C4">
        <w:rPr>
          <w:color w:val="313131"/>
          <w:sz w:val="16"/>
          <w:shd w:val="clear" w:color="auto" w:fill="FFFFFF"/>
        </w:rPr>
        <w:t xml:space="preserve"> </w:t>
      </w:r>
      <w:r w:rsidR="00974AF9" w:rsidRPr="00351E84">
        <w:rPr>
          <w:color w:val="313131"/>
          <w:sz w:val="16"/>
          <w:shd w:val="clear" w:color="auto" w:fill="FFFFFF"/>
        </w:rPr>
        <w:t xml:space="preserve">2022 </w:t>
      </w:r>
      <w:r w:rsidR="00974AF9">
        <w:rPr>
          <w:i/>
          <w:iCs/>
          <w:color w:val="313131"/>
          <w:sz w:val="16"/>
          <w:shd w:val="clear" w:color="auto" w:fill="FFFFFF"/>
        </w:rPr>
        <w:t>Preparing an</w:t>
      </w:r>
      <w:r w:rsidR="00974AF9" w:rsidRPr="00F62316">
        <w:rPr>
          <w:i/>
          <w:iCs/>
          <w:color w:val="313131"/>
          <w:sz w:val="16"/>
          <w:shd w:val="clear" w:color="auto" w:fill="FFFFFF"/>
        </w:rPr>
        <w:t xml:space="preserve"> anaphylaxis</w:t>
      </w:r>
      <w:r w:rsidR="00974AF9">
        <w:rPr>
          <w:i/>
          <w:iCs/>
          <w:color w:val="313131"/>
          <w:sz w:val="16"/>
          <w:shd w:val="clear" w:color="auto" w:fill="FFFFFF"/>
        </w:rPr>
        <w:t xml:space="preserve"> kit</w:t>
      </w:r>
      <w:r w:rsidR="00974AF9">
        <w:rPr>
          <w:color w:val="313131"/>
          <w:sz w:val="16"/>
          <w:shd w:val="clear" w:color="auto" w:fill="FFFFFF"/>
        </w:rPr>
        <w:t xml:space="preserve">, </w:t>
      </w:r>
      <w:r w:rsidR="00974AF9" w:rsidRPr="00351E84">
        <w:rPr>
          <w:color w:val="313131"/>
          <w:sz w:val="16"/>
          <w:shd w:val="clear" w:color="auto" w:fill="FFFFFF"/>
        </w:rPr>
        <w:t>A</w:t>
      </w:r>
      <w:r w:rsidR="00974AF9" w:rsidRPr="00351E84">
        <w:rPr>
          <w:i/>
          <w:iCs/>
          <w:color w:val="313131"/>
          <w:sz w:val="16"/>
          <w:shd w:val="clear" w:color="auto" w:fill="FFFFFF"/>
        </w:rPr>
        <w:t>ustralian Immunisation Handbook,</w:t>
      </w:r>
      <w:r w:rsidR="00974AF9" w:rsidRPr="00351E84">
        <w:rPr>
          <w:color w:val="313131"/>
          <w:sz w:val="16"/>
          <w:shd w:val="clear" w:color="auto" w:fill="FFFFFF"/>
        </w:rPr>
        <w:t xml:space="preserve"> Australian Government Department of Health and Aged Care</w:t>
      </w:r>
      <w:r w:rsidR="00F62316">
        <w:rPr>
          <w:color w:val="365F91" w:themeColor="accent1" w:themeShade="BF"/>
          <w:sz w:val="16"/>
        </w:rPr>
        <w:t xml:space="preserve"> </w:t>
      </w:r>
      <w:r w:rsidR="00EF7E03">
        <w:rPr>
          <w:color w:val="365F91" w:themeColor="accent1" w:themeShade="BF"/>
          <w:sz w:val="16"/>
        </w:rPr>
        <w:t>&lt;</w:t>
      </w:r>
      <w:hyperlink r:id="rId35" w:history="1">
        <w:r w:rsidR="00684CB9" w:rsidRPr="00974AF9">
          <w:rPr>
            <w:rStyle w:val="Hyperlink"/>
            <w:sz w:val="16"/>
          </w:rPr>
          <w:t>https://immunisationhandbook.health.gov.au/resources/publications/preparing-an-anaphylaxis-response-kit</w:t>
        </w:r>
      </w:hyperlink>
      <w:r w:rsidR="00EF7E03">
        <w:rPr>
          <w:sz w:val="16"/>
        </w:rPr>
        <w:t>&gt;</w:t>
      </w:r>
    </w:p>
  </w:footnote>
  <w:footnote w:id="37">
    <w:p w14:paraId="3C810F41" w14:textId="1E126F43" w:rsidR="00987DD3" w:rsidRPr="000A63AE" w:rsidRDefault="00746F84" w:rsidP="00A673CE">
      <w:pPr>
        <w:pStyle w:val="FootnoteText"/>
        <w:spacing w:before="0" w:after="0" w:line="240" w:lineRule="atLeas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987DD3" w:rsidRPr="004A2514">
        <w:rPr>
          <w:sz w:val="16"/>
        </w:rPr>
        <w:t>Safer Care Victoria</w:t>
      </w:r>
      <w:r w:rsidR="00D0620A" w:rsidRPr="004A2514">
        <w:rPr>
          <w:sz w:val="16"/>
        </w:rPr>
        <w:t xml:space="preserve"> 20</w:t>
      </w:r>
      <w:r w:rsidR="000B41A8">
        <w:rPr>
          <w:sz w:val="16"/>
        </w:rPr>
        <w:t>22</w:t>
      </w:r>
      <w:r w:rsidR="00987DD3" w:rsidRPr="004A2514">
        <w:rPr>
          <w:sz w:val="16"/>
        </w:rPr>
        <w:t xml:space="preserve"> </w:t>
      </w:r>
      <w:r w:rsidR="00987DD3" w:rsidRPr="004A2514">
        <w:rPr>
          <w:i/>
          <w:iCs/>
          <w:sz w:val="16"/>
        </w:rPr>
        <w:t>Anaph</w:t>
      </w:r>
      <w:r w:rsidR="00D0620A" w:rsidRPr="004A2514">
        <w:rPr>
          <w:i/>
          <w:iCs/>
          <w:sz w:val="16"/>
        </w:rPr>
        <w:t>y</w:t>
      </w:r>
      <w:r w:rsidR="00987DD3" w:rsidRPr="004A2514">
        <w:rPr>
          <w:i/>
          <w:iCs/>
          <w:sz w:val="16"/>
        </w:rPr>
        <w:t xml:space="preserve">laxis </w:t>
      </w:r>
      <w:r w:rsidR="00D0620A" w:rsidRPr="004A2514">
        <w:rPr>
          <w:i/>
          <w:iCs/>
          <w:sz w:val="16"/>
        </w:rPr>
        <w:t>clinical care standard</w:t>
      </w:r>
      <w:r w:rsidR="00987DD3" w:rsidRPr="005F68D3">
        <w:rPr>
          <w:sz w:val="16"/>
        </w:rPr>
        <w:t xml:space="preserve"> </w:t>
      </w:r>
      <w:r w:rsidR="00EF7E03">
        <w:rPr>
          <w:color w:val="365F91" w:themeColor="accent1" w:themeShade="BF"/>
          <w:sz w:val="16"/>
        </w:rPr>
        <w:t>&lt;</w:t>
      </w:r>
      <w:hyperlink r:id="rId36" w:history="1">
        <w:r w:rsidR="00EF7E03" w:rsidRPr="004A2514">
          <w:rPr>
            <w:rStyle w:val="Hyperlink"/>
            <w:sz w:val="16"/>
          </w:rPr>
          <w:t>https://www.bettersafercare.vic.gov.au/clinical-guidance/emergency/anaphylaxis-adults</w:t>
        </w:r>
      </w:hyperlink>
      <w:r w:rsidR="005F68D3">
        <w:rPr>
          <w:sz w:val="16"/>
        </w:rPr>
        <w:t>&gt;</w:t>
      </w:r>
    </w:p>
  </w:footnote>
  <w:footnote w:id="38">
    <w:p w14:paraId="31886D2D" w14:textId="3FF58EC3" w:rsidR="009D0D3F" w:rsidRPr="004F142D" w:rsidRDefault="009D0D3F" w:rsidP="00A673CE">
      <w:pPr>
        <w:shd w:val="clear" w:color="auto" w:fill="FFFFFF"/>
        <w:spacing w:after="0" w:line="240" w:lineRule="atLeast"/>
        <w:outlineLvl w:val="0"/>
        <w:rPr>
          <w:sz w:val="16"/>
          <w:szCs w:val="16"/>
        </w:rPr>
      </w:pPr>
      <w:r w:rsidRPr="004F142D">
        <w:rPr>
          <w:rStyle w:val="FootnoteReference"/>
          <w:sz w:val="16"/>
          <w:szCs w:val="16"/>
        </w:rPr>
        <w:footnoteRef/>
      </w:r>
      <w:r w:rsidRPr="004F142D">
        <w:rPr>
          <w:sz w:val="16"/>
          <w:szCs w:val="16"/>
        </w:rPr>
        <w:t xml:space="preserve"> </w:t>
      </w:r>
      <w:r w:rsidR="003A7E2A" w:rsidRPr="00183970">
        <w:rPr>
          <w:rFonts w:cs="Arial"/>
          <w:color w:val="313131"/>
          <w:sz w:val="16"/>
          <w:szCs w:val="16"/>
          <w:shd w:val="clear" w:color="auto" w:fill="FFFFFF"/>
        </w:rPr>
        <w:t xml:space="preserve">ATAGI 2022 </w:t>
      </w:r>
      <w:r w:rsidR="00183970" w:rsidRPr="00183970">
        <w:rPr>
          <w:rFonts w:cs="Arial"/>
          <w:color w:val="313131"/>
          <w:kern w:val="36"/>
          <w:sz w:val="16"/>
          <w:szCs w:val="16"/>
          <w:lang w:eastAsia="en-AU"/>
        </w:rPr>
        <w:t xml:space="preserve">Table. </w:t>
      </w:r>
      <w:r w:rsidR="00183970" w:rsidRPr="004F142D">
        <w:rPr>
          <w:rFonts w:cs="Arial"/>
          <w:i/>
          <w:iCs/>
          <w:color w:val="313131"/>
          <w:kern w:val="36"/>
          <w:sz w:val="16"/>
          <w:szCs w:val="16"/>
          <w:lang w:eastAsia="en-AU"/>
        </w:rPr>
        <w:t>Clinical features that may help differentiate between a vasovagal episode and anaphylaxis</w:t>
      </w:r>
      <w:r w:rsidR="00183970" w:rsidRPr="00183970">
        <w:rPr>
          <w:rFonts w:cs="Arial"/>
          <w:color w:val="313131"/>
          <w:kern w:val="36"/>
          <w:sz w:val="16"/>
          <w:szCs w:val="16"/>
          <w:lang w:eastAsia="en-AU"/>
        </w:rPr>
        <w:t xml:space="preserve">, </w:t>
      </w:r>
      <w:r w:rsidR="003A7E2A" w:rsidRPr="00183970">
        <w:rPr>
          <w:rFonts w:cs="Arial"/>
          <w:color w:val="313131"/>
          <w:sz w:val="16"/>
          <w:szCs w:val="16"/>
          <w:shd w:val="clear" w:color="auto" w:fill="FFFFFF"/>
        </w:rPr>
        <w:t>A</w:t>
      </w:r>
      <w:r w:rsidR="003A7E2A" w:rsidRPr="00183970">
        <w:rPr>
          <w:rFonts w:cs="Arial"/>
          <w:i/>
          <w:iCs/>
          <w:color w:val="313131"/>
          <w:sz w:val="16"/>
          <w:szCs w:val="16"/>
          <w:shd w:val="clear" w:color="auto" w:fill="FFFFFF"/>
        </w:rPr>
        <w:t>ustralian Immunisation Handbook,</w:t>
      </w:r>
      <w:r w:rsidR="003A7E2A" w:rsidRPr="00183970">
        <w:rPr>
          <w:rFonts w:cs="Arial"/>
          <w:color w:val="313131"/>
          <w:sz w:val="16"/>
          <w:szCs w:val="16"/>
          <w:shd w:val="clear" w:color="auto" w:fill="FFFFFF"/>
        </w:rPr>
        <w:t xml:space="preserve"> Australian Government Department of Health and Aged Care</w:t>
      </w:r>
      <w:r w:rsidR="00FB70E8">
        <w:rPr>
          <w:rFonts w:cs="Arial"/>
          <w:color w:val="313131"/>
          <w:sz w:val="16"/>
          <w:szCs w:val="16"/>
          <w:shd w:val="clear" w:color="auto" w:fill="FFFFFF"/>
        </w:rPr>
        <w:t>.</w:t>
      </w:r>
      <w:r w:rsidR="003A7E2A" w:rsidRPr="00183970">
        <w:rPr>
          <w:color w:val="365F91" w:themeColor="accent1" w:themeShade="BF"/>
          <w:sz w:val="16"/>
          <w:szCs w:val="16"/>
        </w:rPr>
        <w:t xml:space="preserve"> </w:t>
      </w:r>
      <w:r w:rsidR="00FB70E8">
        <w:rPr>
          <w:color w:val="365F91" w:themeColor="accent1" w:themeShade="BF"/>
          <w:sz w:val="16"/>
          <w:szCs w:val="16"/>
        </w:rPr>
        <w:t>&lt;</w:t>
      </w:r>
      <w:hyperlink r:id="rId37" w:history="1">
        <w:r w:rsidR="00FB70E8" w:rsidRPr="00FB70E8">
          <w:rPr>
            <w:rStyle w:val="Hyperlink"/>
            <w:sz w:val="16"/>
            <w:szCs w:val="16"/>
          </w:rPr>
          <w:t>https://immunisationhandbook.health.gov.au/resources/tables/table-clinical-features-that-may-help-differentiate-between-a-vasovagal-episode-and-anaphylaxis</w:t>
        </w:r>
      </w:hyperlink>
      <w:r w:rsidR="00FB70E8">
        <w:rPr>
          <w:color w:val="365F91" w:themeColor="accent1" w:themeShade="BF"/>
          <w:sz w:val="16"/>
          <w:szCs w:val="16"/>
        </w:rPr>
        <w:t>&gt;</w:t>
      </w:r>
      <w:r w:rsidR="003A7E2A" w:rsidRPr="00183970">
        <w:rPr>
          <w:color w:val="365F91" w:themeColor="accent1" w:themeShade="BF"/>
          <w:sz w:val="16"/>
          <w:szCs w:val="16"/>
        </w:rPr>
        <w:t xml:space="preserve"> </w:t>
      </w:r>
    </w:p>
  </w:footnote>
  <w:footnote w:id="39">
    <w:p w14:paraId="6F457F71" w14:textId="1ECF4502" w:rsidR="00077DBB" w:rsidRPr="00F53379" w:rsidRDefault="00077DBB" w:rsidP="00A673CE">
      <w:pPr>
        <w:pStyle w:val="FootnoteText"/>
        <w:spacing w:before="0" w:after="0" w:line="240" w:lineRule="atLeast"/>
        <w:rPr>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306534" w:rsidRPr="00F53379">
        <w:rPr>
          <w:sz w:val="16"/>
        </w:rPr>
        <w:t xml:space="preserve">Crawford et al, 2011 </w:t>
      </w:r>
      <w:r w:rsidRPr="005F226B">
        <w:rPr>
          <w:i/>
          <w:iCs/>
          <w:sz w:val="16"/>
        </w:rPr>
        <w:t>Syncope and seizures following human papillomavirus vaccination: a retrospective case series</w:t>
      </w:r>
      <w:r w:rsidRPr="005F226B">
        <w:rPr>
          <w:sz w:val="16"/>
        </w:rPr>
        <w:t xml:space="preserve"> | The Medical Journal of Australia </w:t>
      </w:r>
      <w:r w:rsidR="00F53379" w:rsidRPr="00F53379">
        <w:rPr>
          <w:rStyle w:val="Hyperlink"/>
          <w:color w:val="auto"/>
          <w:sz w:val="16"/>
          <w:u w:val="none"/>
        </w:rPr>
        <w:t>&lt;</w:t>
      </w:r>
      <w:hyperlink r:id="rId38" w:history="1">
        <w:r w:rsidR="00F53379" w:rsidRPr="005F226B">
          <w:rPr>
            <w:rStyle w:val="Hyperlink"/>
            <w:sz w:val="16"/>
          </w:rPr>
          <w:t>https://www.mja.com.au/journal/2011/194/1/syncope-and-seizures-following-human-papillomavirus-vaccination-retrospective</w:t>
        </w:r>
      </w:hyperlink>
      <w:r w:rsidR="00F53379" w:rsidRPr="00F53379">
        <w:rPr>
          <w:rStyle w:val="Hyperlink"/>
          <w:color w:val="auto"/>
          <w:sz w:val="16"/>
          <w:u w:val="none"/>
        </w:rPr>
        <w:t>&gt;</w:t>
      </w:r>
    </w:p>
  </w:footnote>
  <w:footnote w:id="40">
    <w:p w14:paraId="782148DE" w14:textId="320CB511" w:rsidR="00951D1B" w:rsidRPr="00F44405" w:rsidRDefault="00951D1B">
      <w:pPr>
        <w:pStyle w:val="FootnoteText"/>
        <w:rPr>
          <w:sz w:val="16"/>
        </w:rPr>
      </w:pPr>
      <w:r w:rsidRPr="00951D1B">
        <w:rPr>
          <w:rStyle w:val="FootnoteReference"/>
          <w:sz w:val="16"/>
        </w:rPr>
        <w:footnoteRef/>
      </w:r>
      <w:r w:rsidRPr="00951D1B">
        <w:rPr>
          <w:sz w:val="16"/>
        </w:rPr>
        <w:t xml:space="preserve"> </w:t>
      </w:r>
      <w:r w:rsidR="00E27BAA" w:rsidRPr="0081239F">
        <w:rPr>
          <w:sz w:val="16"/>
        </w:rPr>
        <w:t xml:space="preserve"> </w:t>
      </w:r>
      <w:r w:rsidR="0081239F">
        <w:rPr>
          <w:sz w:val="16"/>
        </w:rPr>
        <w:t>Department of Health and Aged Care</w:t>
      </w:r>
      <w:r w:rsidR="0081239F" w:rsidRPr="00F60790">
        <w:rPr>
          <w:sz w:val="16"/>
        </w:rPr>
        <w:t xml:space="preserve"> 2022 </w:t>
      </w:r>
      <w:r w:rsidR="00657112">
        <w:rPr>
          <w:i/>
          <w:iCs/>
          <w:sz w:val="16"/>
        </w:rPr>
        <w:t>Mpox (monkeypox)</w:t>
      </w:r>
      <w:r w:rsidR="00E27BAA" w:rsidRPr="0081239F">
        <w:rPr>
          <w:i/>
          <w:iCs/>
          <w:sz w:val="16"/>
        </w:rPr>
        <w:t xml:space="preserve"> – Consent form for JYNNEOS® vaccination</w:t>
      </w:r>
      <w:r w:rsidR="0081239F">
        <w:rPr>
          <w:i/>
          <w:iCs/>
          <w:sz w:val="16"/>
        </w:rPr>
        <w:t>.</w:t>
      </w:r>
      <w:r w:rsidR="00F44405">
        <w:rPr>
          <w:rStyle w:val="Hyperlink"/>
          <w:sz w:val="16"/>
        </w:rPr>
        <w:t xml:space="preserve"> </w:t>
      </w:r>
      <w:r w:rsidR="0081239F" w:rsidRPr="0081239F">
        <w:rPr>
          <w:rStyle w:val="Hyperlink"/>
          <w:color w:val="auto"/>
          <w:sz w:val="16"/>
          <w:u w:val="none"/>
        </w:rPr>
        <w:t>Australian Government</w:t>
      </w:r>
      <w:r w:rsidR="0081239F">
        <w:rPr>
          <w:rStyle w:val="Hyperlink"/>
          <w:sz w:val="16"/>
        </w:rPr>
        <w:t xml:space="preserve"> </w:t>
      </w:r>
      <w:r w:rsidR="00E91988">
        <w:rPr>
          <w:rStyle w:val="Hyperlink"/>
          <w:sz w:val="16"/>
        </w:rPr>
        <w:t>&lt;</w:t>
      </w:r>
      <w:hyperlink r:id="rId39" w:history="1">
        <w:r w:rsidR="00657112">
          <w:rPr>
            <w:rStyle w:val="Hyperlink"/>
            <w:sz w:val="16"/>
          </w:rPr>
          <w:t>https://www.health.gov.au/resources/publications/mpox-monkeypox-consent-form-for-jynneosr-vaccination</w:t>
        </w:r>
      </w:hyperlink>
      <w:r w:rsidR="0081239F">
        <w:rPr>
          <w:rStyle w:val="Hyperlink"/>
          <w:color w:val="auto"/>
          <w:sz w:val="16"/>
          <w:u w:val="none"/>
        </w:rPr>
        <w:t>&gt;</w:t>
      </w:r>
    </w:p>
  </w:footnote>
  <w:footnote w:id="41">
    <w:p w14:paraId="3918FA31" w14:textId="252029E4" w:rsidR="3961303B" w:rsidRDefault="3961303B" w:rsidP="3961303B">
      <w:pPr>
        <w:pStyle w:val="FootnoteText"/>
      </w:pPr>
      <w:r w:rsidRPr="00951D1B">
        <w:rPr>
          <w:rStyle w:val="FootnoteReference"/>
          <w:sz w:val="16"/>
        </w:rPr>
        <w:footnoteRef/>
      </w:r>
      <w:r w:rsidRPr="00951D1B">
        <w:rPr>
          <w:sz w:val="16"/>
        </w:rPr>
        <w:t xml:space="preserve"> </w:t>
      </w:r>
      <w:r w:rsidR="004E5C12">
        <w:rPr>
          <w:color w:val="313131"/>
          <w:sz w:val="16"/>
          <w:shd w:val="clear" w:color="auto" w:fill="FFFFFF"/>
        </w:rPr>
        <w:t xml:space="preserve">ATAGI </w:t>
      </w:r>
      <w:r w:rsidR="00D27F4A" w:rsidRPr="00351E84">
        <w:rPr>
          <w:color w:val="313131"/>
          <w:sz w:val="16"/>
          <w:shd w:val="clear" w:color="auto" w:fill="FFFFFF"/>
        </w:rPr>
        <w:t>2022 A</w:t>
      </w:r>
      <w:r w:rsidR="00D27F4A" w:rsidRPr="00351E84">
        <w:rPr>
          <w:i/>
          <w:iCs/>
          <w:color w:val="313131"/>
          <w:sz w:val="16"/>
          <w:shd w:val="clear" w:color="auto" w:fill="FFFFFF"/>
        </w:rPr>
        <w:t>ustralian Immunisation Handbook,</w:t>
      </w:r>
      <w:r w:rsidR="00D27F4A" w:rsidRPr="00351E84">
        <w:rPr>
          <w:color w:val="313131"/>
          <w:sz w:val="16"/>
          <w:shd w:val="clear" w:color="auto" w:fill="FFFFFF"/>
        </w:rPr>
        <w:t xml:space="preserve"> Australian Government Department of Health and Aged Care</w:t>
      </w:r>
      <w:r w:rsidR="00D27F4A">
        <w:rPr>
          <w:sz w:val="16"/>
        </w:rPr>
        <w:t xml:space="preserve"> </w:t>
      </w:r>
      <w:r w:rsidR="001C6BF1">
        <w:rPr>
          <w:sz w:val="16"/>
        </w:rPr>
        <w:t>&lt;</w:t>
      </w:r>
      <w:hyperlink r:id="rId40" w:history="1">
        <w:r w:rsidR="001C6BF1" w:rsidRPr="00A13632">
          <w:rPr>
            <w:rStyle w:val="Hyperlink"/>
            <w:sz w:val="16"/>
          </w:rPr>
          <w:t>https://immunisationhandbook.health.gov.au/</w:t>
        </w:r>
      </w:hyperlink>
    </w:p>
  </w:footnote>
  <w:footnote w:id="42">
    <w:p w14:paraId="62BF18C0" w14:textId="7E5997C5" w:rsidR="3961303B" w:rsidRPr="00C244F6" w:rsidRDefault="3961303B" w:rsidP="3961303B">
      <w:pPr>
        <w:pStyle w:val="FootnoteText"/>
        <w:rPr>
          <w:sz w:val="16"/>
        </w:rPr>
      </w:pPr>
      <w:r w:rsidRPr="000C6F78">
        <w:rPr>
          <w:rStyle w:val="FootnoteReference"/>
          <w:sz w:val="16"/>
        </w:rPr>
        <w:footnoteRef/>
      </w:r>
      <w:r w:rsidRPr="000C6F78">
        <w:rPr>
          <w:sz w:val="16"/>
        </w:rPr>
        <w:t xml:space="preserve"> Royal Australian College of General Practitioners 2011</w:t>
      </w:r>
      <w:r w:rsidR="00C244F6">
        <w:rPr>
          <w:sz w:val="16"/>
        </w:rPr>
        <w:t>.</w:t>
      </w:r>
      <w:r w:rsidRPr="000C6F78">
        <w:rPr>
          <w:sz w:val="16"/>
        </w:rPr>
        <w:t xml:space="preserve"> </w:t>
      </w:r>
      <w:r w:rsidRPr="00C244F6">
        <w:rPr>
          <w:i/>
          <w:iCs/>
          <w:sz w:val="16"/>
        </w:rPr>
        <w:t>Consent to medical treatment: the mature minor</w:t>
      </w:r>
      <w:r w:rsidR="00C244F6">
        <w:rPr>
          <w:i/>
          <w:iCs/>
          <w:sz w:val="16"/>
        </w:rPr>
        <w:t>.</w:t>
      </w:r>
      <w:r w:rsidR="0006269C" w:rsidRPr="00C244F6">
        <w:rPr>
          <w:rStyle w:val="Hyperlink"/>
          <w:color w:val="auto"/>
          <w:sz w:val="16"/>
          <w:u w:val="none"/>
        </w:rPr>
        <w:t xml:space="preserve"> Australian Family Physician</w:t>
      </w:r>
      <w:r w:rsidR="002C0C6E">
        <w:rPr>
          <w:rStyle w:val="Hyperlink"/>
          <w:color w:val="auto"/>
          <w:sz w:val="16"/>
          <w:u w:val="none"/>
        </w:rPr>
        <w:t>&lt;</w:t>
      </w:r>
      <w:r w:rsidR="00C244F6" w:rsidRPr="00C244F6">
        <w:rPr>
          <w:rStyle w:val="Hyperlink"/>
          <w:color w:val="auto"/>
          <w:sz w:val="16"/>
          <w:u w:val="none"/>
        </w:rPr>
        <w:t>.</w:t>
      </w:r>
      <w:hyperlink r:id="rId41" w:history="1">
        <w:r w:rsidR="002C0C6E" w:rsidRPr="002C0C6E">
          <w:rPr>
            <w:rStyle w:val="Hyperlink"/>
            <w:sz w:val="16"/>
          </w:rPr>
          <w:t>https://www.racgp.org.au/afp/2011/march/consent-to-medical-treatment-the-mature-minor/</w:t>
        </w:r>
      </w:hyperlink>
      <w:r w:rsidR="002C0C6E">
        <w:rPr>
          <w:rStyle w:val="Hyperlink"/>
          <w:color w:val="auto"/>
          <w:sz w:val="16"/>
          <w:u w:val="none"/>
        </w:rPr>
        <w:t>&gt;</w:t>
      </w:r>
    </w:p>
  </w:footnote>
  <w:footnote w:id="43">
    <w:p w14:paraId="4F5E9197" w14:textId="74118CCC" w:rsidR="3961303B" w:rsidRPr="000C6F78" w:rsidRDefault="3961303B" w:rsidP="3961303B">
      <w:pPr>
        <w:pStyle w:val="FootnoteText"/>
        <w:rPr>
          <w:sz w:val="16"/>
        </w:rPr>
      </w:pPr>
      <w:r w:rsidRPr="000C6F78">
        <w:rPr>
          <w:rStyle w:val="FootnoteReference"/>
          <w:sz w:val="16"/>
        </w:rPr>
        <w:footnoteRef/>
      </w:r>
      <w:r w:rsidRPr="000C6F78">
        <w:rPr>
          <w:sz w:val="16"/>
        </w:rPr>
        <w:t xml:space="preserve"> </w:t>
      </w:r>
      <w:r w:rsidR="007A1D30">
        <w:rPr>
          <w:sz w:val="16"/>
        </w:rPr>
        <w:t xml:space="preserve">State Government of Victoria </w:t>
      </w:r>
      <w:r w:rsidR="007A1D30" w:rsidRPr="004D7C0F">
        <w:rPr>
          <w:i/>
          <w:iCs/>
          <w:sz w:val="16"/>
        </w:rPr>
        <w:t xml:space="preserve">Health Records Act 2001 </w:t>
      </w:r>
      <w:r w:rsidR="007A1D30" w:rsidRPr="004D7C0F">
        <w:rPr>
          <w:sz w:val="16"/>
        </w:rPr>
        <w:t>&lt;</w:t>
      </w:r>
      <w:hyperlink r:id="rId42" w:history="1">
        <w:r w:rsidR="007A1D30" w:rsidRPr="004D7C0F">
          <w:rPr>
            <w:rStyle w:val="Hyperlink"/>
            <w:sz w:val="16"/>
          </w:rPr>
          <w:t>https://www.legislation.vic.gov.au/in-force/acts/health-records-act-2001/046</w:t>
        </w:r>
      </w:hyperlink>
      <w:r w:rsidR="00C15314">
        <w:rPr>
          <w:rStyle w:val="Hyperlink"/>
          <w:sz w:val="16"/>
        </w:rPr>
        <w:t>&gt;</w:t>
      </w:r>
    </w:p>
  </w:footnote>
  <w:footnote w:id="44">
    <w:p w14:paraId="3CC8462E" w14:textId="0F5EDF59"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315572">
        <w:rPr>
          <w:sz w:val="16"/>
        </w:rPr>
        <w:t>Work</w:t>
      </w:r>
      <w:r w:rsidR="00C10D0D">
        <w:rPr>
          <w:sz w:val="16"/>
        </w:rPr>
        <w:t>S</w:t>
      </w:r>
      <w:r w:rsidR="00315572">
        <w:rPr>
          <w:sz w:val="16"/>
        </w:rPr>
        <w:t>afe</w:t>
      </w:r>
      <w:r w:rsidR="00C10D0D">
        <w:rPr>
          <w:sz w:val="16"/>
        </w:rPr>
        <w:t xml:space="preserve"> Victoria</w:t>
      </w:r>
      <w:r w:rsidR="0000427E">
        <w:rPr>
          <w:sz w:val="16"/>
        </w:rPr>
        <w:t xml:space="preserve"> 2022</w:t>
      </w:r>
      <w:r w:rsidR="00462100">
        <w:rPr>
          <w:sz w:val="16"/>
        </w:rPr>
        <w:t xml:space="preserve"> </w:t>
      </w:r>
      <w:r w:rsidR="00315572" w:rsidRPr="004D7C0F">
        <w:rPr>
          <w:i/>
          <w:iCs/>
          <w:sz w:val="16"/>
        </w:rPr>
        <w:t>Occupational</w:t>
      </w:r>
      <w:r w:rsidR="00C10D0D" w:rsidRPr="004D7C0F">
        <w:rPr>
          <w:i/>
          <w:iCs/>
          <w:sz w:val="16"/>
        </w:rPr>
        <w:t xml:space="preserve"> </w:t>
      </w:r>
      <w:r w:rsidR="0000427E" w:rsidRPr="004D7C0F">
        <w:rPr>
          <w:i/>
          <w:iCs/>
          <w:sz w:val="16"/>
        </w:rPr>
        <w:t>H</w:t>
      </w:r>
      <w:r w:rsidR="00C10D0D" w:rsidRPr="004D7C0F">
        <w:rPr>
          <w:i/>
          <w:iCs/>
          <w:sz w:val="16"/>
        </w:rPr>
        <w:t xml:space="preserve">ealth and </w:t>
      </w:r>
      <w:r w:rsidR="0000427E" w:rsidRPr="004D7C0F">
        <w:rPr>
          <w:i/>
          <w:iCs/>
          <w:sz w:val="16"/>
        </w:rPr>
        <w:t>S</w:t>
      </w:r>
      <w:r w:rsidR="00C10D0D" w:rsidRPr="004D7C0F">
        <w:rPr>
          <w:i/>
          <w:iCs/>
          <w:sz w:val="16"/>
        </w:rPr>
        <w:t xml:space="preserve">afety </w:t>
      </w:r>
      <w:r w:rsidR="0000427E" w:rsidRPr="004D7C0F">
        <w:rPr>
          <w:i/>
          <w:iCs/>
          <w:sz w:val="16"/>
        </w:rPr>
        <w:t>A</w:t>
      </w:r>
      <w:r w:rsidR="00C10D0D" w:rsidRPr="004D7C0F">
        <w:rPr>
          <w:i/>
          <w:iCs/>
          <w:sz w:val="16"/>
        </w:rPr>
        <w:t xml:space="preserve">ct and </w:t>
      </w:r>
      <w:r w:rsidR="00462100" w:rsidRPr="004D7C0F">
        <w:rPr>
          <w:i/>
          <w:iCs/>
          <w:sz w:val="16"/>
        </w:rPr>
        <w:t>R</w:t>
      </w:r>
      <w:r w:rsidR="00C10D0D" w:rsidRPr="004D7C0F">
        <w:rPr>
          <w:i/>
          <w:iCs/>
          <w:sz w:val="16"/>
        </w:rPr>
        <w:t>egulations</w:t>
      </w:r>
      <w:r w:rsidR="00462100">
        <w:rPr>
          <w:sz w:val="16"/>
        </w:rPr>
        <w:t>&lt;</w:t>
      </w:r>
      <w:hyperlink r:id="rId43" w:history="1">
        <w:r w:rsidR="004D7C0F" w:rsidRPr="00E60248">
          <w:rPr>
            <w:rStyle w:val="Hyperlink"/>
            <w:sz w:val="16"/>
          </w:rPr>
          <w:t>https://www.worksafe.vic.gov.au/occupational-health-and-safety-act-and-regulations</w:t>
        </w:r>
      </w:hyperlink>
      <w:r w:rsidR="00462100">
        <w:rPr>
          <w:sz w:val="16"/>
        </w:rPr>
        <w:t>&gt;</w:t>
      </w:r>
    </w:p>
  </w:footnote>
  <w:footnote w:id="45">
    <w:p w14:paraId="61404830" w14:textId="66BFB7C1"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462100">
        <w:rPr>
          <w:sz w:val="16"/>
        </w:rPr>
        <w:t>NHMRC</w:t>
      </w:r>
      <w:r w:rsidR="00153745">
        <w:rPr>
          <w:sz w:val="16"/>
        </w:rPr>
        <w:t xml:space="preserve"> </w:t>
      </w:r>
      <w:r w:rsidR="00CD6890">
        <w:rPr>
          <w:sz w:val="16"/>
        </w:rPr>
        <w:t>2019</w:t>
      </w:r>
      <w:r w:rsidR="00B12F18">
        <w:rPr>
          <w:sz w:val="16"/>
        </w:rPr>
        <w:t xml:space="preserve"> </w:t>
      </w:r>
      <w:r w:rsidR="00B12F18" w:rsidRPr="004D7C0F">
        <w:rPr>
          <w:i/>
          <w:iCs/>
          <w:sz w:val="16"/>
        </w:rPr>
        <w:t>Australian Guidelines for the Prevention an</w:t>
      </w:r>
      <w:r w:rsidR="00873E7A" w:rsidRPr="004D7C0F">
        <w:rPr>
          <w:i/>
          <w:iCs/>
          <w:sz w:val="16"/>
        </w:rPr>
        <w:t>d Control of Infection in Healthcare</w:t>
      </w:r>
      <w:r w:rsidR="00462100" w:rsidRPr="004D7C0F">
        <w:rPr>
          <w:i/>
          <w:iCs/>
          <w:sz w:val="16"/>
        </w:rPr>
        <w:t xml:space="preserve"> </w:t>
      </w:r>
      <w:r w:rsidR="00462100">
        <w:rPr>
          <w:sz w:val="16"/>
        </w:rPr>
        <w:t>&lt;</w:t>
      </w:r>
      <w:hyperlink r:id="rId44" w:history="1">
        <w:r w:rsidR="00462100" w:rsidRPr="00A13632">
          <w:rPr>
            <w:rStyle w:val="Hyperlink"/>
            <w:sz w:val="16"/>
          </w:rPr>
          <w:t>https://www.nhmrc.gov.au/about-us/publications/australian-guidelines-prevention-and-control-infection-healthcare-2019</w:t>
        </w:r>
      </w:hyperlink>
      <w:r w:rsidR="00462100">
        <w:rPr>
          <w:rStyle w:val="Hyperlink"/>
          <w:sz w:val="16"/>
        </w:rPr>
        <w:t>&gt;</w:t>
      </w:r>
    </w:p>
  </w:footnote>
  <w:footnote w:id="46">
    <w:p w14:paraId="3C37C02F" w14:textId="13004AF7"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B42401" w:rsidRPr="009202D3">
        <w:rPr>
          <w:sz w:val="16"/>
        </w:rPr>
        <w:t xml:space="preserve">Department of Health 2022 </w:t>
      </w:r>
      <w:r w:rsidR="00B42401" w:rsidRPr="009202D3">
        <w:rPr>
          <w:i/>
          <w:iCs/>
          <w:sz w:val="16"/>
        </w:rPr>
        <w:t>Nurse practitioners – legislative requirements</w:t>
      </w:r>
      <w:r w:rsidR="00B42401" w:rsidRPr="009202D3">
        <w:rPr>
          <w:sz w:val="16"/>
        </w:rPr>
        <w:t xml:space="preserve"> State Government of Victoria &lt;</w:t>
      </w:r>
      <w:hyperlink r:id="rId45" w:history="1">
        <w:r w:rsidR="00B42401" w:rsidRPr="009202D3">
          <w:rPr>
            <w:rStyle w:val="Hyperlink"/>
            <w:sz w:val="16"/>
          </w:rPr>
          <w:t>https://www.health.vic.gov.au/drugs-and-poisons/nurse-practitioners-legislative-requirements</w:t>
        </w:r>
      </w:hyperlink>
      <w:r w:rsidR="00B42401" w:rsidRPr="009202D3">
        <w:rPr>
          <w:sz w:val="16"/>
        </w:rPr>
        <w:t>&gt;</w:t>
      </w:r>
    </w:p>
  </w:footnote>
  <w:footnote w:id="47">
    <w:p w14:paraId="505A157B" w14:textId="526B53D1"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99708D" w:rsidRPr="009202D3">
        <w:rPr>
          <w:sz w:val="16"/>
        </w:rPr>
        <w:t xml:space="preserve">Department of Health 2021 </w:t>
      </w:r>
      <w:r w:rsidR="0099708D" w:rsidRPr="009202D3">
        <w:rPr>
          <w:i/>
          <w:iCs/>
          <w:sz w:val="16"/>
        </w:rPr>
        <w:t>Medical practitioners (key requirements in Victoria)</w:t>
      </w:r>
      <w:r w:rsidR="0053604E" w:rsidRPr="009202D3">
        <w:rPr>
          <w:sz w:val="16"/>
        </w:rPr>
        <w:t xml:space="preserve"> </w:t>
      </w:r>
      <w:bookmarkStart w:id="210" w:name="_Hlk115877333"/>
      <w:r w:rsidR="0053604E" w:rsidRPr="009202D3">
        <w:rPr>
          <w:sz w:val="16"/>
        </w:rPr>
        <w:t>State Gover</w:t>
      </w:r>
      <w:r w:rsidR="0007001A" w:rsidRPr="009202D3">
        <w:rPr>
          <w:sz w:val="16"/>
        </w:rPr>
        <w:t>n</w:t>
      </w:r>
      <w:r w:rsidR="0053604E" w:rsidRPr="009202D3">
        <w:rPr>
          <w:sz w:val="16"/>
        </w:rPr>
        <w:t xml:space="preserve">ment of Victoria </w:t>
      </w:r>
      <w:bookmarkEnd w:id="210"/>
      <w:r w:rsidR="0099708D" w:rsidRPr="009202D3">
        <w:rPr>
          <w:sz w:val="16"/>
        </w:rPr>
        <w:t>&lt;</w:t>
      </w:r>
      <w:hyperlink r:id="rId46" w:history="1">
        <w:r w:rsidR="0099708D" w:rsidRPr="009202D3">
          <w:rPr>
            <w:rStyle w:val="Hyperlink"/>
            <w:sz w:val="16"/>
          </w:rPr>
          <w:t>https://www.health.vic.gov.au/publications/medical-practitioners-key-requirements-in-victoria</w:t>
        </w:r>
      </w:hyperlink>
      <w:r w:rsidR="0099708D" w:rsidRPr="009202D3">
        <w:rPr>
          <w:sz w:val="16"/>
        </w:rPr>
        <w:t>&gt;</w:t>
      </w:r>
      <w:r w:rsidRPr="009202D3">
        <w:rPr>
          <w:sz w:val="16"/>
        </w:rPr>
        <w:t xml:space="preserve"> </w:t>
      </w:r>
    </w:p>
  </w:footnote>
  <w:footnote w:id="48">
    <w:p w14:paraId="71287014" w14:textId="54E8900B" w:rsidR="00413C29" w:rsidRPr="009202D3" w:rsidRDefault="00413C29">
      <w:pPr>
        <w:pStyle w:val="FootnoteText"/>
        <w:rPr>
          <w:sz w:val="16"/>
        </w:rPr>
      </w:pPr>
      <w:r w:rsidRPr="009202D3">
        <w:rPr>
          <w:rStyle w:val="FootnoteReference"/>
          <w:sz w:val="16"/>
        </w:rPr>
        <w:footnoteRef/>
      </w:r>
      <w:r w:rsidRPr="009202D3">
        <w:rPr>
          <w:sz w:val="16"/>
        </w:rPr>
        <w:t xml:space="preserve"> </w:t>
      </w:r>
      <w:r w:rsidR="00730DE7" w:rsidRPr="009202D3">
        <w:rPr>
          <w:sz w:val="16"/>
        </w:rPr>
        <w:t xml:space="preserve">Department of Health 2022 </w:t>
      </w:r>
      <w:r w:rsidRPr="009202D3">
        <w:rPr>
          <w:i/>
          <w:iCs/>
          <w:sz w:val="16"/>
        </w:rPr>
        <w:t>Secretary Approval: Nurse Immuniser</w:t>
      </w:r>
      <w:r w:rsidR="00BE69A5" w:rsidRPr="009202D3">
        <w:rPr>
          <w:i/>
          <w:iCs/>
          <w:sz w:val="16"/>
        </w:rPr>
        <w:t>s</w:t>
      </w:r>
      <w:r w:rsidR="00BE69A5" w:rsidRPr="009202D3">
        <w:rPr>
          <w:sz w:val="16"/>
        </w:rPr>
        <w:t xml:space="preserve">, </w:t>
      </w:r>
      <w:r w:rsidR="00730DE7" w:rsidRPr="009202D3">
        <w:rPr>
          <w:sz w:val="16"/>
        </w:rPr>
        <w:t>State Government of Victoria &lt;</w:t>
      </w:r>
      <w:hyperlink r:id="rId47" w:history="1">
        <w:r w:rsidR="00730DE7" w:rsidRPr="009202D3">
          <w:rPr>
            <w:rStyle w:val="Hyperlink"/>
            <w:sz w:val="16"/>
          </w:rPr>
          <w:t>https://www.health.vic.gov.au/immunisation/nurse-immunisers-requirements-and-responsibilities</w:t>
        </w:r>
      </w:hyperlink>
      <w:r w:rsidR="00730DE7" w:rsidRPr="009202D3">
        <w:rPr>
          <w:rStyle w:val="Hyperlink"/>
          <w:sz w:val="16"/>
        </w:rPr>
        <w:t>&gt;</w:t>
      </w:r>
      <w:r w:rsidR="00BE69A5" w:rsidRPr="009202D3">
        <w:rPr>
          <w:sz w:val="16"/>
        </w:rPr>
        <w:t xml:space="preserve"> </w:t>
      </w:r>
    </w:p>
  </w:footnote>
  <w:footnote w:id="49">
    <w:p w14:paraId="3C7C644A" w14:textId="79FCA254" w:rsidR="00BE69A5" w:rsidRDefault="00BE69A5">
      <w:pPr>
        <w:pStyle w:val="FootnoteText"/>
      </w:pPr>
      <w:r w:rsidRPr="009202D3">
        <w:rPr>
          <w:rStyle w:val="FootnoteReference"/>
          <w:sz w:val="16"/>
        </w:rPr>
        <w:footnoteRef/>
      </w:r>
      <w:r w:rsidRPr="009202D3">
        <w:rPr>
          <w:sz w:val="16"/>
        </w:rPr>
        <w:t xml:space="preserve"> </w:t>
      </w:r>
      <w:r w:rsidR="009202D3" w:rsidRPr="009202D3">
        <w:rPr>
          <w:sz w:val="16"/>
        </w:rPr>
        <w:t xml:space="preserve">Department of Health 2022 </w:t>
      </w:r>
      <w:r w:rsidRPr="009202D3">
        <w:rPr>
          <w:i/>
          <w:iCs/>
          <w:sz w:val="16"/>
        </w:rPr>
        <w:t>Secretary Approval: Pharmacist Immuniser</w:t>
      </w:r>
      <w:r w:rsidRPr="009202D3">
        <w:rPr>
          <w:sz w:val="16"/>
        </w:rPr>
        <w:t>,</w:t>
      </w:r>
      <w:r w:rsidR="009202D3" w:rsidRPr="009202D3">
        <w:rPr>
          <w:sz w:val="16"/>
        </w:rPr>
        <w:t xml:space="preserve"> State Government of Victoria &lt;</w:t>
      </w:r>
      <w:hyperlink r:id="rId48" w:history="1">
        <w:r w:rsidR="009202D3" w:rsidRPr="009202D3">
          <w:rPr>
            <w:rStyle w:val="Hyperlink"/>
            <w:sz w:val="16"/>
          </w:rPr>
          <w:t>https://www.health.vic.gov.au/immunisation/pharmacist-immunisers</w:t>
        </w:r>
      </w:hyperlink>
      <w:r w:rsidR="009202D3" w:rsidRPr="009202D3">
        <w:rPr>
          <w:rStyle w:val="Hyperlink"/>
          <w:sz w:val="16"/>
        </w:rPr>
        <w:t>&gt;</w:t>
      </w:r>
      <w:r>
        <w:t xml:space="preserve"> </w:t>
      </w:r>
    </w:p>
  </w:footnote>
  <w:footnote w:id="50">
    <w:p w14:paraId="5836F9FA" w14:textId="0813F49D" w:rsidR="00077DBB" w:rsidRPr="00BC1918" w:rsidRDefault="00077DBB" w:rsidP="00077DBB">
      <w:pPr>
        <w:pStyle w:val="FootnoteText"/>
        <w:rPr>
          <w:sz w:val="16"/>
        </w:rPr>
      </w:pPr>
      <w:r w:rsidRPr="00BC1918">
        <w:rPr>
          <w:rStyle w:val="FootnoteReference"/>
          <w:sz w:val="16"/>
        </w:rPr>
        <w:footnoteRef/>
      </w:r>
      <w:r w:rsidRPr="00BC1918">
        <w:rPr>
          <w:sz w:val="16"/>
        </w:rPr>
        <w:t xml:space="preserve"> </w:t>
      </w:r>
      <w:r w:rsidR="00647B3F" w:rsidRPr="00647B3F">
        <w:rPr>
          <w:sz w:val="16"/>
        </w:rPr>
        <w:t xml:space="preserve">Department of Health </w:t>
      </w:r>
      <w:r w:rsidR="00647B3F" w:rsidRPr="00647B3F">
        <w:rPr>
          <w:i/>
          <w:iCs/>
          <w:sz w:val="16"/>
        </w:rPr>
        <w:t>National Vaccine Storage Guidelines ‘Strive for 5’</w:t>
      </w:r>
      <w:r w:rsidR="00647B3F" w:rsidRPr="00647B3F">
        <w:rPr>
          <w:sz w:val="16"/>
        </w:rPr>
        <w:t xml:space="preserve"> (2019) 3rd Ed. </w:t>
      </w:r>
      <w:r w:rsidR="00647B3F" w:rsidRPr="00647B3F">
        <w:rPr>
          <w:rStyle w:val="Hyperlink"/>
          <w:sz w:val="16"/>
        </w:rPr>
        <w:t>&lt;</w:t>
      </w:r>
      <w:hyperlink r:id="rId49" w:history="1">
        <w:r w:rsidR="00647B3F" w:rsidRPr="00647B3F">
          <w:rPr>
            <w:rStyle w:val="Hyperlink"/>
            <w:sz w:val="16"/>
          </w:rPr>
          <w:t>https://www.health.gov.au/resources/publications/national-vaccine-storage-guidelines-strive-for-5</w:t>
        </w:r>
      </w:hyperlink>
      <w:r w:rsidR="00647B3F" w:rsidRPr="00647B3F">
        <w:rPr>
          <w:rStyle w:val="Hyperlink"/>
          <w:sz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AB2C2" w14:textId="77777777" w:rsidR="002125D0" w:rsidRDefault="00212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88250" w14:textId="26BAE3B1" w:rsidR="00654979" w:rsidRDefault="00654979">
    <w:pPr>
      <w:pStyle w:val="Header"/>
    </w:pPr>
    <w:r>
      <w:t>Victorian monkeypox vaccination guidelines</w:t>
    </w:r>
  </w:p>
  <w:p w14:paraId="3F00A59F" w14:textId="77777777" w:rsidR="00654979" w:rsidRDefault="00654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4ABF2" w14:textId="77777777" w:rsidR="002125D0" w:rsidRDefault="002125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4BE73" w14:textId="77777777" w:rsidR="00077DBB" w:rsidRDefault="00077DBB" w:rsidP="00C8575F">
    <w:pPr>
      <w:tabs>
        <w:tab w:val="left" w:pos="638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53DB9" w14:textId="77777777" w:rsidR="00077DBB" w:rsidRDefault="00077DBB" w:rsidP="00BF30AE">
    <w:pPr>
      <w:pStyle w:val="Header"/>
      <w:rPr>
        <w:caps/>
      </w:rPr>
    </w:pPr>
  </w:p>
  <w:p w14:paraId="488DBEAB" w14:textId="111CF498" w:rsidR="000D48A9" w:rsidRDefault="000D48A9" w:rsidP="00BF30AE">
    <w:pPr>
      <w:tabs>
        <w:tab w:val="left" w:pos="638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21F43" w14:textId="77777777" w:rsidR="00431A70" w:rsidRPr="00454A7D" w:rsidRDefault="00431A70"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00C36" w14:textId="77777777" w:rsidR="00FC4408" w:rsidRDefault="00562811" w:rsidP="0017674D">
    <w:pPr>
      <w:pStyle w:val="Header"/>
    </w:pPr>
    <w:r>
      <w:ptab w:relativeTo="margin" w:alignment="right" w:leader="none"/>
    </w:r>
  </w:p>
  <w:p w14:paraId="084358A6" w14:textId="576CC0E9" w:rsidR="00562811" w:rsidRPr="0051568D" w:rsidRDefault="00562811" w:rsidP="0017674D">
    <w:pPr>
      <w:pStyle w:val="Header"/>
    </w:pP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4742F"/>
    <w:multiLevelType w:val="hybridMultilevel"/>
    <w:tmpl w:val="2216F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021056A"/>
    <w:multiLevelType w:val="hybridMultilevel"/>
    <w:tmpl w:val="C374C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3423AC"/>
    <w:multiLevelType w:val="hybridMultilevel"/>
    <w:tmpl w:val="777EC3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437DDF"/>
    <w:multiLevelType w:val="hybridMultilevel"/>
    <w:tmpl w:val="4E06A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169C2"/>
    <w:multiLevelType w:val="hybridMultilevel"/>
    <w:tmpl w:val="E0DABB34"/>
    <w:lvl w:ilvl="0" w:tplc="2ABCB676">
      <w:start w:val="1"/>
      <w:numFmt w:val="decimal"/>
      <w:lvlText w:val="%1."/>
      <w:lvlJc w:val="left"/>
      <w:pPr>
        <w:ind w:left="360" w:hanging="360"/>
      </w:pPr>
      <w:rPr>
        <w:rFonts w:hint="default"/>
        <w:b/>
        <w:bCs/>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18792E"/>
    <w:multiLevelType w:val="multilevel"/>
    <w:tmpl w:val="7046A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9E11554"/>
    <w:multiLevelType w:val="hybridMultilevel"/>
    <w:tmpl w:val="D4CC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810580"/>
    <w:multiLevelType w:val="hybridMultilevel"/>
    <w:tmpl w:val="80DA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8F1763"/>
    <w:multiLevelType w:val="hybridMultilevel"/>
    <w:tmpl w:val="B7A49896"/>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E974140"/>
    <w:multiLevelType w:val="multilevel"/>
    <w:tmpl w:val="FCB675AE"/>
    <w:styleLink w:val="CurrentList1"/>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E118BC"/>
    <w:multiLevelType w:val="hybridMultilevel"/>
    <w:tmpl w:val="E752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A860DF"/>
    <w:multiLevelType w:val="hybridMultilevel"/>
    <w:tmpl w:val="2C7AB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CD448E"/>
    <w:multiLevelType w:val="hybridMultilevel"/>
    <w:tmpl w:val="6A62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6267B8"/>
    <w:multiLevelType w:val="hybridMultilevel"/>
    <w:tmpl w:val="AB2E7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3A4085"/>
    <w:multiLevelType w:val="multilevel"/>
    <w:tmpl w:val="D36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DF6510"/>
    <w:multiLevelType w:val="hybridMultilevel"/>
    <w:tmpl w:val="D338B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0A4319"/>
    <w:multiLevelType w:val="hybridMultilevel"/>
    <w:tmpl w:val="A2E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3B2587"/>
    <w:multiLevelType w:val="hybridMultilevel"/>
    <w:tmpl w:val="3F2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7C2E7A"/>
    <w:multiLevelType w:val="multilevel"/>
    <w:tmpl w:val="712E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B92845"/>
    <w:multiLevelType w:val="hybridMultilevel"/>
    <w:tmpl w:val="FCB675AE"/>
    <w:lvl w:ilvl="0" w:tplc="FFFFFFFF">
      <w:start w:val="1"/>
      <w:numFmt w:val="bullet"/>
      <w:lvlText w:val="•"/>
      <w:lvlJc w:val="left"/>
      <w:pPr>
        <w:tabs>
          <w:tab w:val="num" w:pos="720"/>
        </w:tabs>
        <w:ind w:left="720" w:hanging="360"/>
      </w:pPr>
      <w:rPr>
        <w:rFonts w:ascii="Calibri" w:hAnsi="Calibri" w:hint="default"/>
        <w:sz w:val="20"/>
      </w:rPr>
    </w:lvl>
    <w:lvl w:ilvl="1" w:tplc="7EACEE30">
      <w:start w:val="1"/>
      <w:numFmt w:val="bullet"/>
      <w:lvlText w:val="-"/>
      <w:lvlJc w:val="left"/>
      <w:pPr>
        <w:tabs>
          <w:tab w:val="num" w:pos="1440"/>
        </w:tabs>
        <w:ind w:left="1440" w:hanging="360"/>
      </w:pPr>
      <w:rPr>
        <w:rFonts w:ascii="Courier New" w:hAnsi="Courier New" w:hint="default"/>
        <w:sz w:val="20"/>
      </w:rPr>
    </w:lvl>
    <w:lvl w:ilvl="2" w:tplc="2886E794" w:tentative="1">
      <w:start w:val="1"/>
      <w:numFmt w:val="bullet"/>
      <w:lvlText w:val=""/>
      <w:lvlJc w:val="left"/>
      <w:pPr>
        <w:tabs>
          <w:tab w:val="num" w:pos="2160"/>
        </w:tabs>
        <w:ind w:left="2160" w:hanging="360"/>
      </w:pPr>
      <w:rPr>
        <w:rFonts w:ascii="Symbol" w:hAnsi="Symbol" w:hint="default"/>
        <w:sz w:val="20"/>
      </w:rPr>
    </w:lvl>
    <w:lvl w:ilvl="3" w:tplc="B1FE0902" w:tentative="1">
      <w:start w:val="1"/>
      <w:numFmt w:val="bullet"/>
      <w:lvlText w:val=""/>
      <w:lvlJc w:val="left"/>
      <w:pPr>
        <w:tabs>
          <w:tab w:val="num" w:pos="2880"/>
        </w:tabs>
        <w:ind w:left="2880" w:hanging="360"/>
      </w:pPr>
      <w:rPr>
        <w:rFonts w:ascii="Symbol" w:hAnsi="Symbol" w:hint="default"/>
        <w:sz w:val="20"/>
      </w:rPr>
    </w:lvl>
    <w:lvl w:ilvl="4" w:tplc="0DE091C8" w:tentative="1">
      <w:start w:val="1"/>
      <w:numFmt w:val="bullet"/>
      <w:lvlText w:val=""/>
      <w:lvlJc w:val="left"/>
      <w:pPr>
        <w:tabs>
          <w:tab w:val="num" w:pos="3600"/>
        </w:tabs>
        <w:ind w:left="3600" w:hanging="360"/>
      </w:pPr>
      <w:rPr>
        <w:rFonts w:ascii="Symbol" w:hAnsi="Symbol" w:hint="default"/>
        <w:sz w:val="20"/>
      </w:rPr>
    </w:lvl>
    <w:lvl w:ilvl="5" w:tplc="2E3064CC" w:tentative="1">
      <w:start w:val="1"/>
      <w:numFmt w:val="bullet"/>
      <w:lvlText w:val=""/>
      <w:lvlJc w:val="left"/>
      <w:pPr>
        <w:tabs>
          <w:tab w:val="num" w:pos="4320"/>
        </w:tabs>
        <w:ind w:left="4320" w:hanging="360"/>
      </w:pPr>
      <w:rPr>
        <w:rFonts w:ascii="Symbol" w:hAnsi="Symbol" w:hint="default"/>
        <w:sz w:val="20"/>
      </w:rPr>
    </w:lvl>
    <w:lvl w:ilvl="6" w:tplc="61E2B07E" w:tentative="1">
      <w:start w:val="1"/>
      <w:numFmt w:val="bullet"/>
      <w:lvlText w:val=""/>
      <w:lvlJc w:val="left"/>
      <w:pPr>
        <w:tabs>
          <w:tab w:val="num" w:pos="5040"/>
        </w:tabs>
        <w:ind w:left="5040" w:hanging="360"/>
      </w:pPr>
      <w:rPr>
        <w:rFonts w:ascii="Symbol" w:hAnsi="Symbol" w:hint="default"/>
        <w:sz w:val="20"/>
      </w:rPr>
    </w:lvl>
    <w:lvl w:ilvl="7" w:tplc="87D47AB0" w:tentative="1">
      <w:start w:val="1"/>
      <w:numFmt w:val="bullet"/>
      <w:lvlText w:val=""/>
      <w:lvlJc w:val="left"/>
      <w:pPr>
        <w:tabs>
          <w:tab w:val="num" w:pos="5760"/>
        </w:tabs>
        <w:ind w:left="5760" w:hanging="360"/>
      </w:pPr>
      <w:rPr>
        <w:rFonts w:ascii="Symbol" w:hAnsi="Symbol" w:hint="default"/>
        <w:sz w:val="20"/>
      </w:rPr>
    </w:lvl>
    <w:lvl w:ilvl="8" w:tplc="35D811E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A974EB"/>
    <w:multiLevelType w:val="hybridMultilevel"/>
    <w:tmpl w:val="ABCC6232"/>
    <w:styleLink w:val="ZZNumberslowerroman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3EDB07AB"/>
    <w:multiLevelType w:val="multilevel"/>
    <w:tmpl w:val="C344B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C5ED98"/>
    <w:multiLevelType w:val="hybridMultilevel"/>
    <w:tmpl w:val="FFFFFFFF"/>
    <w:lvl w:ilvl="0" w:tplc="E4843696">
      <w:start w:val="1"/>
      <w:numFmt w:val="bullet"/>
      <w:lvlText w:val=""/>
      <w:lvlJc w:val="left"/>
      <w:pPr>
        <w:ind w:left="720" w:hanging="360"/>
      </w:pPr>
      <w:rPr>
        <w:rFonts w:ascii="Symbol" w:hAnsi="Symbol" w:hint="default"/>
      </w:rPr>
    </w:lvl>
    <w:lvl w:ilvl="1" w:tplc="A262F13C">
      <w:start w:val="1"/>
      <w:numFmt w:val="bullet"/>
      <w:lvlText w:val="o"/>
      <w:lvlJc w:val="left"/>
      <w:pPr>
        <w:ind w:left="1440" w:hanging="360"/>
      </w:pPr>
      <w:rPr>
        <w:rFonts w:ascii="Courier New" w:hAnsi="Courier New" w:hint="default"/>
      </w:rPr>
    </w:lvl>
    <w:lvl w:ilvl="2" w:tplc="09B0047A">
      <w:start w:val="1"/>
      <w:numFmt w:val="bullet"/>
      <w:lvlText w:val=""/>
      <w:lvlJc w:val="left"/>
      <w:pPr>
        <w:ind w:left="2160" w:hanging="360"/>
      </w:pPr>
      <w:rPr>
        <w:rFonts w:ascii="Wingdings" w:hAnsi="Wingdings" w:hint="default"/>
      </w:rPr>
    </w:lvl>
    <w:lvl w:ilvl="3" w:tplc="F8C09D44">
      <w:start w:val="1"/>
      <w:numFmt w:val="bullet"/>
      <w:lvlText w:val=""/>
      <w:lvlJc w:val="left"/>
      <w:pPr>
        <w:ind w:left="2880" w:hanging="360"/>
      </w:pPr>
      <w:rPr>
        <w:rFonts w:ascii="Symbol" w:hAnsi="Symbol" w:hint="default"/>
      </w:rPr>
    </w:lvl>
    <w:lvl w:ilvl="4" w:tplc="C374BEF8">
      <w:start w:val="1"/>
      <w:numFmt w:val="bullet"/>
      <w:lvlText w:val="o"/>
      <w:lvlJc w:val="left"/>
      <w:pPr>
        <w:ind w:left="3600" w:hanging="360"/>
      </w:pPr>
      <w:rPr>
        <w:rFonts w:ascii="Courier New" w:hAnsi="Courier New" w:hint="default"/>
      </w:rPr>
    </w:lvl>
    <w:lvl w:ilvl="5" w:tplc="DFF8E6DA">
      <w:start w:val="1"/>
      <w:numFmt w:val="bullet"/>
      <w:lvlText w:val=""/>
      <w:lvlJc w:val="left"/>
      <w:pPr>
        <w:ind w:left="4320" w:hanging="360"/>
      </w:pPr>
      <w:rPr>
        <w:rFonts w:ascii="Wingdings" w:hAnsi="Wingdings" w:hint="default"/>
      </w:rPr>
    </w:lvl>
    <w:lvl w:ilvl="6" w:tplc="D3F4CDAA">
      <w:start w:val="1"/>
      <w:numFmt w:val="bullet"/>
      <w:lvlText w:val=""/>
      <w:lvlJc w:val="left"/>
      <w:pPr>
        <w:ind w:left="5040" w:hanging="360"/>
      </w:pPr>
      <w:rPr>
        <w:rFonts w:ascii="Symbol" w:hAnsi="Symbol" w:hint="default"/>
      </w:rPr>
    </w:lvl>
    <w:lvl w:ilvl="7" w:tplc="8758A810">
      <w:start w:val="1"/>
      <w:numFmt w:val="bullet"/>
      <w:lvlText w:val="o"/>
      <w:lvlJc w:val="left"/>
      <w:pPr>
        <w:ind w:left="5760" w:hanging="360"/>
      </w:pPr>
      <w:rPr>
        <w:rFonts w:ascii="Courier New" w:hAnsi="Courier New" w:hint="default"/>
      </w:rPr>
    </w:lvl>
    <w:lvl w:ilvl="8" w:tplc="E24E812E">
      <w:start w:val="1"/>
      <w:numFmt w:val="bullet"/>
      <w:lvlText w:val=""/>
      <w:lvlJc w:val="left"/>
      <w:pPr>
        <w:ind w:left="6480" w:hanging="360"/>
      </w:pPr>
      <w:rPr>
        <w:rFonts w:ascii="Wingdings" w:hAnsi="Wingdings" w:hint="default"/>
      </w:rPr>
    </w:lvl>
  </w:abstractNum>
  <w:abstractNum w:abstractNumId="26" w15:restartNumberingAfterBreak="0">
    <w:nsid w:val="45C422F8"/>
    <w:multiLevelType w:val="multilevel"/>
    <w:tmpl w:val="547E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C25599"/>
    <w:multiLevelType w:val="hybridMultilevel"/>
    <w:tmpl w:val="1590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C6719D"/>
    <w:multiLevelType w:val="hybridMultilevel"/>
    <w:tmpl w:val="ADDC6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AC22F16"/>
    <w:multiLevelType w:val="hybridMultilevel"/>
    <w:tmpl w:val="57B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042303"/>
    <w:multiLevelType w:val="hybridMultilevel"/>
    <w:tmpl w:val="C0B0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906BE9"/>
    <w:multiLevelType w:val="hybridMultilevel"/>
    <w:tmpl w:val="FFFFFFFF"/>
    <w:lvl w:ilvl="0" w:tplc="1924F91E">
      <w:start w:val="1"/>
      <w:numFmt w:val="bullet"/>
      <w:pStyle w:val="DHHSbullet1lastline"/>
      <w:lvlText w:val="·"/>
      <w:lvlJc w:val="left"/>
      <w:pPr>
        <w:ind w:left="720" w:hanging="360"/>
      </w:pPr>
      <w:rPr>
        <w:rFonts w:ascii="Symbol" w:hAnsi="Symbol" w:hint="default"/>
      </w:rPr>
    </w:lvl>
    <w:lvl w:ilvl="1" w:tplc="8AD2338C">
      <w:start w:val="1"/>
      <w:numFmt w:val="bullet"/>
      <w:lvlText w:val="o"/>
      <w:lvlJc w:val="left"/>
      <w:pPr>
        <w:ind w:left="1440" w:hanging="360"/>
      </w:pPr>
      <w:rPr>
        <w:rFonts w:ascii="Courier New" w:hAnsi="Courier New" w:hint="default"/>
      </w:rPr>
    </w:lvl>
    <w:lvl w:ilvl="2" w:tplc="DE1C5502">
      <w:start w:val="1"/>
      <w:numFmt w:val="bullet"/>
      <w:lvlText w:val=""/>
      <w:lvlJc w:val="left"/>
      <w:pPr>
        <w:ind w:left="2160" w:hanging="360"/>
      </w:pPr>
      <w:rPr>
        <w:rFonts w:ascii="Wingdings" w:hAnsi="Wingdings" w:hint="default"/>
      </w:rPr>
    </w:lvl>
    <w:lvl w:ilvl="3" w:tplc="B9183FEC">
      <w:start w:val="1"/>
      <w:numFmt w:val="bullet"/>
      <w:lvlText w:val=""/>
      <w:lvlJc w:val="left"/>
      <w:pPr>
        <w:ind w:left="2880" w:hanging="360"/>
      </w:pPr>
      <w:rPr>
        <w:rFonts w:ascii="Symbol" w:hAnsi="Symbol" w:hint="default"/>
      </w:rPr>
    </w:lvl>
    <w:lvl w:ilvl="4" w:tplc="9D08C24C">
      <w:start w:val="1"/>
      <w:numFmt w:val="bullet"/>
      <w:lvlText w:val="o"/>
      <w:lvlJc w:val="left"/>
      <w:pPr>
        <w:ind w:left="3600" w:hanging="360"/>
      </w:pPr>
      <w:rPr>
        <w:rFonts w:ascii="Courier New" w:hAnsi="Courier New" w:hint="default"/>
      </w:rPr>
    </w:lvl>
    <w:lvl w:ilvl="5" w:tplc="59F223B6">
      <w:start w:val="1"/>
      <w:numFmt w:val="bullet"/>
      <w:lvlText w:val=""/>
      <w:lvlJc w:val="left"/>
      <w:pPr>
        <w:ind w:left="4320" w:hanging="360"/>
      </w:pPr>
      <w:rPr>
        <w:rFonts w:ascii="Wingdings" w:hAnsi="Wingdings" w:hint="default"/>
      </w:rPr>
    </w:lvl>
    <w:lvl w:ilvl="6" w:tplc="47248E68">
      <w:start w:val="1"/>
      <w:numFmt w:val="bullet"/>
      <w:lvlText w:val=""/>
      <w:lvlJc w:val="left"/>
      <w:pPr>
        <w:ind w:left="5040" w:hanging="360"/>
      </w:pPr>
      <w:rPr>
        <w:rFonts w:ascii="Symbol" w:hAnsi="Symbol" w:hint="default"/>
      </w:rPr>
    </w:lvl>
    <w:lvl w:ilvl="7" w:tplc="CECC1BDC">
      <w:start w:val="1"/>
      <w:numFmt w:val="bullet"/>
      <w:lvlText w:val="o"/>
      <w:lvlJc w:val="left"/>
      <w:pPr>
        <w:ind w:left="5760" w:hanging="360"/>
      </w:pPr>
      <w:rPr>
        <w:rFonts w:ascii="Courier New" w:hAnsi="Courier New" w:hint="default"/>
      </w:rPr>
    </w:lvl>
    <w:lvl w:ilvl="8" w:tplc="1E70359C">
      <w:start w:val="1"/>
      <w:numFmt w:val="bullet"/>
      <w:lvlText w:val=""/>
      <w:lvlJc w:val="left"/>
      <w:pPr>
        <w:ind w:left="6480" w:hanging="360"/>
      </w:pPr>
      <w:rPr>
        <w:rFonts w:ascii="Wingdings" w:hAnsi="Wingdings" w:hint="default"/>
      </w:rPr>
    </w:lvl>
  </w:abstractNum>
  <w:abstractNum w:abstractNumId="32" w15:restartNumberingAfterBreak="0">
    <w:nsid w:val="4DC5417E"/>
    <w:multiLevelType w:val="hybridMultilevel"/>
    <w:tmpl w:val="843EE4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DA77F7"/>
    <w:multiLevelType w:val="hybridMultilevel"/>
    <w:tmpl w:val="15FA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4FF7970"/>
    <w:multiLevelType w:val="hybridMultilevel"/>
    <w:tmpl w:val="2A1847B2"/>
    <w:lvl w:ilvl="0" w:tplc="3A761136">
      <w:start w:val="1"/>
      <w:numFmt w:val="bullet"/>
      <w:lvlText w:val=""/>
      <w:lvlJc w:val="left"/>
      <w:pPr>
        <w:tabs>
          <w:tab w:val="num" w:pos="720"/>
        </w:tabs>
        <w:ind w:left="720" w:hanging="360"/>
      </w:pPr>
      <w:rPr>
        <w:rFonts w:ascii="Symbol" w:hAnsi="Symbol" w:hint="default"/>
        <w:sz w:val="20"/>
      </w:rPr>
    </w:lvl>
    <w:lvl w:ilvl="1" w:tplc="ADD8DE4C">
      <w:start w:val="1"/>
      <w:numFmt w:val="bullet"/>
      <w:lvlText w:val=""/>
      <w:lvlJc w:val="left"/>
      <w:pPr>
        <w:tabs>
          <w:tab w:val="num" w:pos="1440"/>
        </w:tabs>
        <w:ind w:left="1440" w:hanging="360"/>
      </w:pPr>
      <w:rPr>
        <w:rFonts w:ascii="Symbol" w:hAnsi="Symbol" w:hint="default"/>
        <w:sz w:val="20"/>
      </w:rPr>
    </w:lvl>
    <w:lvl w:ilvl="2" w:tplc="85CC67D4">
      <w:start w:val="1"/>
      <w:numFmt w:val="bullet"/>
      <w:lvlText w:val=""/>
      <w:lvlJc w:val="left"/>
      <w:pPr>
        <w:tabs>
          <w:tab w:val="num" w:pos="2160"/>
        </w:tabs>
        <w:ind w:left="2160" w:hanging="360"/>
      </w:pPr>
      <w:rPr>
        <w:rFonts w:ascii="Symbol" w:hAnsi="Symbol" w:hint="default"/>
        <w:sz w:val="20"/>
      </w:rPr>
    </w:lvl>
    <w:lvl w:ilvl="3" w:tplc="87EAAB38">
      <w:start w:val="1"/>
      <w:numFmt w:val="bullet"/>
      <w:lvlText w:val=""/>
      <w:lvlJc w:val="left"/>
      <w:pPr>
        <w:tabs>
          <w:tab w:val="num" w:pos="2880"/>
        </w:tabs>
        <w:ind w:left="2880" w:hanging="360"/>
      </w:pPr>
      <w:rPr>
        <w:rFonts w:ascii="Symbol" w:hAnsi="Symbol" w:hint="default"/>
        <w:sz w:val="20"/>
      </w:rPr>
    </w:lvl>
    <w:lvl w:ilvl="4" w:tplc="327656EC">
      <w:start w:val="1"/>
      <w:numFmt w:val="bullet"/>
      <w:lvlText w:val=""/>
      <w:lvlJc w:val="left"/>
      <w:pPr>
        <w:tabs>
          <w:tab w:val="num" w:pos="3600"/>
        </w:tabs>
        <w:ind w:left="3600" w:hanging="360"/>
      </w:pPr>
      <w:rPr>
        <w:rFonts w:ascii="Symbol" w:hAnsi="Symbol" w:hint="default"/>
        <w:sz w:val="20"/>
      </w:rPr>
    </w:lvl>
    <w:lvl w:ilvl="5" w:tplc="07ACACC8">
      <w:start w:val="1"/>
      <w:numFmt w:val="bullet"/>
      <w:lvlText w:val=""/>
      <w:lvlJc w:val="left"/>
      <w:pPr>
        <w:tabs>
          <w:tab w:val="num" w:pos="4320"/>
        </w:tabs>
        <w:ind w:left="4320" w:hanging="360"/>
      </w:pPr>
      <w:rPr>
        <w:rFonts w:ascii="Symbol" w:hAnsi="Symbol" w:hint="default"/>
        <w:sz w:val="20"/>
      </w:rPr>
    </w:lvl>
    <w:lvl w:ilvl="6" w:tplc="FCA2806A">
      <w:start w:val="1"/>
      <w:numFmt w:val="bullet"/>
      <w:lvlText w:val=""/>
      <w:lvlJc w:val="left"/>
      <w:pPr>
        <w:tabs>
          <w:tab w:val="num" w:pos="5040"/>
        </w:tabs>
        <w:ind w:left="5040" w:hanging="360"/>
      </w:pPr>
      <w:rPr>
        <w:rFonts w:ascii="Symbol" w:hAnsi="Symbol" w:hint="default"/>
        <w:sz w:val="20"/>
      </w:rPr>
    </w:lvl>
    <w:lvl w:ilvl="7" w:tplc="01AEAA8A">
      <w:start w:val="1"/>
      <w:numFmt w:val="bullet"/>
      <w:lvlText w:val=""/>
      <w:lvlJc w:val="left"/>
      <w:pPr>
        <w:tabs>
          <w:tab w:val="num" w:pos="5760"/>
        </w:tabs>
        <w:ind w:left="5760" w:hanging="360"/>
      </w:pPr>
      <w:rPr>
        <w:rFonts w:ascii="Symbol" w:hAnsi="Symbol" w:hint="default"/>
        <w:sz w:val="20"/>
      </w:rPr>
    </w:lvl>
    <w:lvl w:ilvl="8" w:tplc="FB22CF1C">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163D3F"/>
    <w:multiLevelType w:val="hybridMultilevel"/>
    <w:tmpl w:val="FBF225FA"/>
    <w:styleLink w:val="ZZNumbersdigi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6C0666"/>
    <w:multiLevelType w:val="hybridMultilevel"/>
    <w:tmpl w:val="691E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B92757"/>
    <w:multiLevelType w:val="hybridMultilevel"/>
    <w:tmpl w:val="F2C640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9E7370"/>
    <w:multiLevelType w:val="hybridMultilevel"/>
    <w:tmpl w:val="C8340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E329AC"/>
    <w:multiLevelType w:val="hybridMultilevel"/>
    <w:tmpl w:val="FFFFFFFF"/>
    <w:styleLink w:val="ZZQuotebullets1"/>
    <w:lvl w:ilvl="0" w:tplc="1228F94C">
      <w:start w:val="6"/>
      <w:numFmt w:val="decimal"/>
      <w:lvlText w:val="%1."/>
      <w:lvlJc w:val="left"/>
      <w:pPr>
        <w:ind w:left="720" w:hanging="360"/>
      </w:pPr>
    </w:lvl>
    <w:lvl w:ilvl="1" w:tplc="6F8828B8">
      <w:start w:val="1"/>
      <w:numFmt w:val="lowerLetter"/>
      <w:lvlText w:val="%2."/>
      <w:lvlJc w:val="left"/>
      <w:pPr>
        <w:ind w:left="1440" w:hanging="360"/>
      </w:pPr>
    </w:lvl>
    <w:lvl w:ilvl="2" w:tplc="9A1A765E">
      <w:start w:val="1"/>
      <w:numFmt w:val="lowerRoman"/>
      <w:lvlText w:val="%3."/>
      <w:lvlJc w:val="right"/>
      <w:pPr>
        <w:ind w:left="2160" w:hanging="180"/>
      </w:pPr>
    </w:lvl>
    <w:lvl w:ilvl="3" w:tplc="83363F6E">
      <w:start w:val="1"/>
      <w:numFmt w:val="decimal"/>
      <w:lvlText w:val="%4."/>
      <w:lvlJc w:val="left"/>
      <w:pPr>
        <w:ind w:left="2880" w:hanging="360"/>
      </w:pPr>
    </w:lvl>
    <w:lvl w:ilvl="4" w:tplc="BE60F756">
      <w:start w:val="1"/>
      <w:numFmt w:val="lowerLetter"/>
      <w:lvlText w:val="%5."/>
      <w:lvlJc w:val="left"/>
      <w:pPr>
        <w:ind w:left="3600" w:hanging="360"/>
      </w:pPr>
    </w:lvl>
    <w:lvl w:ilvl="5" w:tplc="2F66A9BE">
      <w:start w:val="1"/>
      <w:numFmt w:val="lowerRoman"/>
      <w:lvlText w:val="%6."/>
      <w:lvlJc w:val="right"/>
      <w:pPr>
        <w:ind w:left="4320" w:hanging="180"/>
      </w:pPr>
    </w:lvl>
    <w:lvl w:ilvl="6" w:tplc="5F72FF80">
      <w:start w:val="1"/>
      <w:numFmt w:val="decimal"/>
      <w:lvlText w:val="%7."/>
      <w:lvlJc w:val="left"/>
      <w:pPr>
        <w:ind w:left="5040" w:hanging="360"/>
      </w:pPr>
    </w:lvl>
    <w:lvl w:ilvl="7" w:tplc="6C7C3564">
      <w:start w:val="1"/>
      <w:numFmt w:val="lowerLetter"/>
      <w:lvlText w:val="%8."/>
      <w:lvlJc w:val="left"/>
      <w:pPr>
        <w:ind w:left="5760" w:hanging="360"/>
      </w:pPr>
    </w:lvl>
    <w:lvl w:ilvl="8" w:tplc="A6D4AC1A">
      <w:start w:val="1"/>
      <w:numFmt w:val="lowerRoman"/>
      <w:lvlText w:val="%9."/>
      <w:lvlJc w:val="right"/>
      <w:pPr>
        <w:ind w:left="6480" w:hanging="180"/>
      </w:pPr>
    </w:lvl>
  </w:abstractNum>
  <w:abstractNum w:abstractNumId="42" w15:restartNumberingAfterBreak="0">
    <w:nsid w:val="5D4D147C"/>
    <w:multiLevelType w:val="hybridMultilevel"/>
    <w:tmpl w:val="394C8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1D2623"/>
    <w:multiLevelType w:val="multilevel"/>
    <w:tmpl w:val="D8560B4C"/>
    <w:lvl w:ilvl="0">
      <w:start w:val="1"/>
      <w:numFmt w:val="bullet"/>
      <w:lvlText w:val=""/>
      <w:lvlJc w:val="left"/>
      <w:pPr>
        <w:tabs>
          <w:tab w:val="num" w:pos="1440"/>
        </w:tabs>
        <w:ind w:left="720" w:hanging="360"/>
      </w:pPr>
      <w:rPr>
        <w:rFonts w:ascii="Symbol" w:hAnsi="Symbol" w:hint="default"/>
        <w:sz w:val="20"/>
      </w:rPr>
    </w:lvl>
    <w:lvl w:ilvl="1">
      <w:start w:val="1"/>
      <w:numFmt w:val="bullet"/>
      <w:lvlText w:val=""/>
      <w:lvlJc w:val="left"/>
      <w:pPr>
        <w:tabs>
          <w:tab w:val="num" w:pos="2160"/>
        </w:tabs>
        <w:ind w:left="1440" w:hanging="360"/>
      </w:pPr>
      <w:rPr>
        <w:rFonts w:ascii="Symbol" w:hAnsi="Symbol" w:hint="default"/>
        <w:sz w:val="20"/>
      </w:rPr>
    </w:lvl>
    <w:lvl w:ilvl="2">
      <w:start w:val="1"/>
      <w:numFmt w:val="bullet"/>
      <w:lvlText w:val=""/>
      <w:lvlJc w:val="left"/>
      <w:pPr>
        <w:tabs>
          <w:tab w:val="num" w:pos="2880"/>
        </w:tabs>
        <w:ind w:left="2160" w:hanging="360"/>
      </w:pPr>
      <w:rPr>
        <w:rFonts w:ascii="Symbol" w:hAnsi="Symbol" w:hint="default"/>
        <w:sz w:val="20"/>
      </w:rPr>
    </w:lvl>
    <w:lvl w:ilvl="3" w:tentative="1">
      <w:start w:val="1"/>
      <w:numFmt w:val="bullet"/>
      <w:lvlText w:val=""/>
      <w:lvlJc w:val="left"/>
      <w:pPr>
        <w:tabs>
          <w:tab w:val="num" w:pos="3600"/>
        </w:tabs>
        <w:ind w:left="2880" w:hanging="360"/>
      </w:pPr>
      <w:rPr>
        <w:rFonts w:ascii="Symbol" w:hAnsi="Symbol" w:hint="default"/>
        <w:sz w:val="20"/>
      </w:rPr>
    </w:lvl>
    <w:lvl w:ilvl="4" w:tentative="1">
      <w:start w:val="1"/>
      <w:numFmt w:val="bullet"/>
      <w:lvlText w:val=""/>
      <w:lvlJc w:val="left"/>
      <w:pPr>
        <w:tabs>
          <w:tab w:val="num" w:pos="4320"/>
        </w:tabs>
        <w:ind w:left="3600" w:hanging="360"/>
      </w:pPr>
      <w:rPr>
        <w:rFonts w:ascii="Symbol" w:hAnsi="Symbol" w:hint="default"/>
        <w:sz w:val="20"/>
      </w:rPr>
    </w:lvl>
    <w:lvl w:ilvl="5" w:tentative="1">
      <w:start w:val="1"/>
      <w:numFmt w:val="bullet"/>
      <w:lvlText w:val=""/>
      <w:lvlJc w:val="left"/>
      <w:pPr>
        <w:tabs>
          <w:tab w:val="num" w:pos="5040"/>
        </w:tabs>
        <w:ind w:left="4320" w:hanging="360"/>
      </w:pPr>
      <w:rPr>
        <w:rFonts w:ascii="Symbol" w:hAnsi="Symbol" w:hint="default"/>
        <w:sz w:val="20"/>
      </w:rPr>
    </w:lvl>
    <w:lvl w:ilvl="6" w:tentative="1">
      <w:start w:val="1"/>
      <w:numFmt w:val="bullet"/>
      <w:lvlText w:val=""/>
      <w:lvlJc w:val="left"/>
      <w:pPr>
        <w:tabs>
          <w:tab w:val="num" w:pos="5760"/>
        </w:tabs>
        <w:ind w:left="5040" w:hanging="360"/>
      </w:pPr>
      <w:rPr>
        <w:rFonts w:ascii="Symbol" w:hAnsi="Symbol" w:hint="default"/>
        <w:sz w:val="20"/>
      </w:rPr>
    </w:lvl>
    <w:lvl w:ilvl="7" w:tentative="1">
      <w:start w:val="1"/>
      <w:numFmt w:val="bullet"/>
      <w:lvlText w:val=""/>
      <w:lvlJc w:val="left"/>
      <w:pPr>
        <w:tabs>
          <w:tab w:val="num" w:pos="6480"/>
        </w:tabs>
        <w:ind w:left="5760" w:hanging="360"/>
      </w:pPr>
      <w:rPr>
        <w:rFonts w:ascii="Symbol" w:hAnsi="Symbol" w:hint="default"/>
        <w:sz w:val="20"/>
      </w:rPr>
    </w:lvl>
    <w:lvl w:ilvl="8" w:tentative="1">
      <w:start w:val="1"/>
      <w:numFmt w:val="bullet"/>
      <w:lvlText w:val=""/>
      <w:lvlJc w:val="left"/>
      <w:pPr>
        <w:tabs>
          <w:tab w:val="num" w:pos="7200"/>
        </w:tabs>
        <w:ind w:left="6480" w:hanging="360"/>
      </w:pPr>
      <w:rPr>
        <w:rFonts w:ascii="Symbol" w:hAnsi="Symbol" w:hint="default"/>
        <w:sz w:val="20"/>
      </w:rPr>
    </w:lvl>
  </w:abstractNum>
  <w:abstractNum w:abstractNumId="44" w15:restartNumberingAfterBreak="0">
    <w:nsid w:val="5FD40421"/>
    <w:multiLevelType w:val="hybridMultilevel"/>
    <w:tmpl w:val="6658ABF2"/>
    <w:lvl w:ilvl="0" w:tplc="0C090001">
      <w:start w:val="1"/>
      <w:numFmt w:val="bullet"/>
      <w:lvlText w:val=""/>
      <w:lvlJc w:val="left"/>
      <w:pPr>
        <w:tabs>
          <w:tab w:val="num" w:pos="720"/>
        </w:tabs>
        <w:ind w:left="720" w:hanging="360"/>
      </w:pPr>
      <w:rPr>
        <w:rFonts w:ascii="Symbol" w:hAnsi="Symbol" w:hint="default"/>
      </w:rPr>
    </w:lvl>
    <w:lvl w:ilvl="1" w:tplc="CD80433A" w:tentative="1">
      <w:start w:val="1"/>
      <w:numFmt w:val="decimal"/>
      <w:lvlText w:val="%2."/>
      <w:lvlJc w:val="left"/>
      <w:pPr>
        <w:tabs>
          <w:tab w:val="num" w:pos="1440"/>
        </w:tabs>
        <w:ind w:left="1440" w:hanging="360"/>
      </w:pPr>
    </w:lvl>
    <w:lvl w:ilvl="2" w:tplc="98FCA0B8" w:tentative="1">
      <w:start w:val="1"/>
      <w:numFmt w:val="decimal"/>
      <w:lvlText w:val="%3."/>
      <w:lvlJc w:val="left"/>
      <w:pPr>
        <w:tabs>
          <w:tab w:val="num" w:pos="2160"/>
        </w:tabs>
        <w:ind w:left="2160" w:hanging="360"/>
      </w:pPr>
    </w:lvl>
    <w:lvl w:ilvl="3" w:tplc="2D94072A" w:tentative="1">
      <w:start w:val="1"/>
      <w:numFmt w:val="decimal"/>
      <w:lvlText w:val="%4."/>
      <w:lvlJc w:val="left"/>
      <w:pPr>
        <w:tabs>
          <w:tab w:val="num" w:pos="2880"/>
        </w:tabs>
        <w:ind w:left="2880" w:hanging="360"/>
      </w:pPr>
    </w:lvl>
    <w:lvl w:ilvl="4" w:tplc="384ACDF4" w:tentative="1">
      <w:start w:val="1"/>
      <w:numFmt w:val="decimal"/>
      <w:lvlText w:val="%5."/>
      <w:lvlJc w:val="left"/>
      <w:pPr>
        <w:tabs>
          <w:tab w:val="num" w:pos="3600"/>
        </w:tabs>
        <w:ind w:left="3600" w:hanging="360"/>
      </w:pPr>
    </w:lvl>
    <w:lvl w:ilvl="5" w:tplc="BFD036C4" w:tentative="1">
      <w:start w:val="1"/>
      <w:numFmt w:val="decimal"/>
      <w:lvlText w:val="%6."/>
      <w:lvlJc w:val="left"/>
      <w:pPr>
        <w:tabs>
          <w:tab w:val="num" w:pos="4320"/>
        </w:tabs>
        <w:ind w:left="4320" w:hanging="360"/>
      </w:pPr>
    </w:lvl>
    <w:lvl w:ilvl="6" w:tplc="710C4430" w:tentative="1">
      <w:start w:val="1"/>
      <w:numFmt w:val="decimal"/>
      <w:lvlText w:val="%7."/>
      <w:lvlJc w:val="left"/>
      <w:pPr>
        <w:tabs>
          <w:tab w:val="num" w:pos="5040"/>
        </w:tabs>
        <w:ind w:left="5040" w:hanging="360"/>
      </w:pPr>
    </w:lvl>
    <w:lvl w:ilvl="7" w:tplc="4C4EDA88" w:tentative="1">
      <w:start w:val="1"/>
      <w:numFmt w:val="decimal"/>
      <w:lvlText w:val="%8."/>
      <w:lvlJc w:val="left"/>
      <w:pPr>
        <w:tabs>
          <w:tab w:val="num" w:pos="5760"/>
        </w:tabs>
        <w:ind w:left="5760" w:hanging="360"/>
      </w:pPr>
    </w:lvl>
    <w:lvl w:ilvl="8" w:tplc="3A263D78" w:tentative="1">
      <w:start w:val="1"/>
      <w:numFmt w:val="decimal"/>
      <w:lvlText w:val="%9."/>
      <w:lvlJc w:val="left"/>
      <w:pPr>
        <w:tabs>
          <w:tab w:val="num" w:pos="6480"/>
        </w:tabs>
        <w:ind w:left="6480" w:hanging="360"/>
      </w:pPr>
    </w:lvl>
  </w:abstractNum>
  <w:abstractNum w:abstractNumId="45" w15:restartNumberingAfterBreak="0">
    <w:nsid w:val="60881876"/>
    <w:multiLevelType w:val="multilevel"/>
    <w:tmpl w:val="A7D06240"/>
    <w:styleLink w:val="ZZBullets2"/>
    <w:lvl w:ilvl="0">
      <w:start w:val="1"/>
      <w:numFmt w:val="bullet"/>
      <w:pStyle w:val="BulletedLis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ajorEastAsia"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6C28EC"/>
    <w:multiLevelType w:val="hybridMultilevel"/>
    <w:tmpl w:val="3862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1C87BE0"/>
    <w:multiLevelType w:val="hybridMultilevel"/>
    <w:tmpl w:val="3E048456"/>
    <w:styleLink w:val="ZZNumbersloweralpha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9" w15:restartNumberingAfterBreak="0">
    <w:nsid w:val="68BD4CB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C472417"/>
    <w:multiLevelType w:val="hybridMultilevel"/>
    <w:tmpl w:val="9E4EB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537E54"/>
    <w:multiLevelType w:val="hybridMultilevel"/>
    <w:tmpl w:val="57BC5D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099769E"/>
    <w:multiLevelType w:val="hybridMultilevel"/>
    <w:tmpl w:val="FFFFFFFF"/>
    <w:styleLink w:val="ZZTablebullets1"/>
    <w:lvl w:ilvl="0" w:tplc="AC5259F0">
      <w:start w:val="7"/>
      <w:numFmt w:val="decimal"/>
      <w:lvlText w:val="%1."/>
      <w:lvlJc w:val="left"/>
      <w:pPr>
        <w:ind w:left="720" w:hanging="360"/>
      </w:pPr>
    </w:lvl>
    <w:lvl w:ilvl="1" w:tplc="D9D078D0">
      <w:start w:val="1"/>
      <w:numFmt w:val="lowerLetter"/>
      <w:lvlText w:val="%2."/>
      <w:lvlJc w:val="left"/>
      <w:pPr>
        <w:ind w:left="1440" w:hanging="360"/>
      </w:pPr>
    </w:lvl>
    <w:lvl w:ilvl="2" w:tplc="53BE2950">
      <w:start w:val="1"/>
      <w:numFmt w:val="lowerRoman"/>
      <w:lvlText w:val="%3."/>
      <w:lvlJc w:val="right"/>
      <w:pPr>
        <w:ind w:left="2160" w:hanging="180"/>
      </w:pPr>
    </w:lvl>
    <w:lvl w:ilvl="3" w:tplc="6610FD52">
      <w:start w:val="1"/>
      <w:numFmt w:val="decimal"/>
      <w:lvlText w:val="%4."/>
      <w:lvlJc w:val="left"/>
      <w:pPr>
        <w:ind w:left="2880" w:hanging="360"/>
      </w:pPr>
    </w:lvl>
    <w:lvl w:ilvl="4" w:tplc="E2A6A53A">
      <w:start w:val="1"/>
      <w:numFmt w:val="lowerLetter"/>
      <w:lvlText w:val="%5."/>
      <w:lvlJc w:val="left"/>
      <w:pPr>
        <w:ind w:left="3600" w:hanging="360"/>
      </w:pPr>
    </w:lvl>
    <w:lvl w:ilvl="5" w:tplc="193EAFD0">
      <w:start w:val="1"/>
      <w:numFmt w:val="lowerRoman"/>
      <w:lvlText w:val="%6."/>
      <w:lvlJc w:val="right"/>
      <w:pPr>
        <w:ind w:left="4320" w:hanging="180"/>
      </w:pPr>
    </w:lvl>
    <w:lvl w:ilvl="6" w:tplc="2B085312">
      <w:start w:val="1"/>
      <w:numFmt w:val="decimal"/>
      <w:lvlText w:val="%7."/>
      <w:lvlJc w:val="left"/>
      <w:pPr>
        <w:ind w:left="5040" w:hanging="360"/>
      </w:pPr>
    </w:lvl>
    <w:lvl w:ilvl="7" w:tplc="5A4687BC">
      <w:start w:val="1"/>
      <w:numFmt w:val="lowerLetter"/>
      <w:lvlText w:val="%8."/>
      <w:lvlJc w:val="left"/>
      <w:pPr>
        <w:ind w:left="5760" w:hanging="360"/>
      </w:pPr>
    </w:lvl>
    <w:lvl w:ilvl="8" w:tplc="D992574E">
      <w:start w:val="1"/>
      <w:numFmt w:val="lowerRoman"/>
      <w:lvlText w:val="%9."/>
      <w:lvlJc w:val="right"/>
      <w:pPr>
        <w:ind w:left="6480" w:hanging="180"/>
      </w:pPr>
    </w:lvl>
  </w:abstractNum>
  <w:abstractNum w:abstractNumId="53" w15:restartNumberingAfterBreak="0">
    <w:nsid w:val="71FE7FE1"/>
    <w:multiLevelType w:val="hybridMultilevel"/>
    <w:tmpl w:val="FFFFFFFF"/>
    <w:styleLink w:val="ZZBullets1"/>
    <w:lvl w:ilvl="0" w:tplc="B102443C">
      <w:numFmt w:val="decimal"/>
      <w:lvlText w:val=""/>
      <w:lvlJc w:val="left"/>
    </w:lvl>
    <w:lvl w:ilvl="1" w:tplc="286073FE">
      <w:numFmt w:val="decimal"/>
      <w:lvlText w:val=""/>
      <w:lvlJc w:val="left"/>
    </w:lvl>
    <w:lvl w:ilvl="2" w:tplc="58A29AD2">
      <w:numFmt w:val="decimal"/>
      <w:lvlText w:val=""/>
      <w:lvlJc w:val="left"/>
    </w:lvl>
    <w:lvl w:ilvl="3" w:tplc="E35E0CA8">
      <w:numFmt w:val="decimal"/>
      <w:lvlText w:val=""/>
      <w:lvlJc w:val="left"/>
    </w:lvl>
    <w:lvl w:ilvl="4" w:tplc="DC2E541E">
      <w:numFmt w:val="decimal"/>
      <w:lvlText w:val=""/>
      <w:lvlJc w:val="left"/>
    </w:lvl>
    <w:lvl w:ilvl="5" w:tplc="68D04B5A">
      <w:numFmt w:val="decimal"/>
      <w:lvlText w:val=""/>
      <w:lvlJc w:val="left"/>
    </w:lvl>
    <w:lvl w:ilvl="6" w:tplc="52BC7E20">
      <w:numFmt w:val="decimal"/>
      <w:lvlText w:val=""/>
      <w:lvlJc w:val="left"/>
    </w:lvl>
    <w:lvl w:ilvl="7" w:tplc="0AD01DE0">
      <w:numFmt w:val="decimal"/>
      <w:lvlText w:val=""/>
      <w:lvlJc w:val="left"/>
    </w:lvl>
    <w:lvl w:ilvl="8" w:tplc="95A09B7C">
      <w:numFmt w:val="decimal"/>
      <w:lvlText w:val=""/>
      <w:lvlJc w:val="left"/>
    </w:lvl>
  </w:abstractNum>
  <w:abstractNum w:abstractNumId="54" w15:restartNumberingAfterBreak="0">
    <w:nsid w:val="75A7661E"/>
    <w:multiLevelType w:val="hybridMultilevel"/>
    <w:tmpl w:val="C97409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77C16FE1"/>
    <w:multiLevelType w:val="multilevel"/>
    <w:tmpl w:val="93D0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91A1F34"/>
    <w:multiLevelType w:val="multilevel"/>
    <w:tmpl w:val="AA0E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A705EA0"/>
    <w:multiLevelType w:val="hybridMultilevel"/>
    <w:tmpl w:val="CF3E3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B733315"/>
    <w:multiLevelType w:val="hybridMultilevel"/>
    <w:tmpl w:val="F6B2B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65081694">
    <w:abstractNumId w:val="22"/>
  </w:num>
  <w:num w:numId="2" w16cid:durableId="1137651004">
    <w:abstractNumId w:val="35"/>
  </w:num>
  <w:num w:numId="3" w16cid:durableId="1247033177">
    <w:abstractNumId w:val="34"/>
  </w:num>
  <w:num w:numId="4" w16cid:durableId="2146308957">
    <w:abstractNumId w:val="48"/>
  </w:num>
  <w:num w:numId="5" w16cid:durableId="2147121850">
    <w:abstractNumId w:val="23"/>
  </w:num>
  <w:num w:numId="6" w16cid:durableId="1878078393">
    <w:abstractNumId w:val="1"/>
  </w:num>
  <w:num w:numId="7" w16cid:durableId="232279847">
    <w:abstractNumId w:val="53"/>
  </w:num>
  <w:num w:numId="8" w16cid:durableId="1480684692">
    <w:abstractNumId w:val="52"/>
  </w:num>
  <w:num w:numId="9" w16cid:durableId="397673636">
    <w:abstractNumId w:val="41"/>
  </w:num>
  <w:num w:numId="10" w16cid:durableId="1991054910">
    <w:abstractNumId w:val="46"/>
  </w:num>
  <w:num w:numId="11" w16cid:durableId="1867786047">
    <w:abstractNumId w:val="31"/>
  </w:num>
  <w:num w:numId="12" w16cid:durableId="416100910">
    <w:abstractNumId w:val="5"/>
  </w:num>
  <w:num w:numId="13" w16cid:durableId="481849233">
    <w:abstractNumId w:val="36"/>
  </w:num>
  <w:num w:numId="14" w16cid:durableId="894656734">
    <w:abstractNumId w:val="44"/>
  </w:num>
  <w:num w:numId="15" w16cid:durableId="1935816512">
    <w:abstractNumId w:val="20"/>
    <w:lvlOverride w:ilvl="0">
      <w:lvl w:ilvl="0" w:tplc="FFFFFFFF">
        <w:numFmt w:val="bullet"/>
        <w:lvlText w:val=""/>
        <w:lvlJc w:val="left"/>
        <w:pPr>
          <w:tabs>
            <w:tab w:val="num" w:pos="360"/>
          </w:tabs>
          <w:ind w:left="360" w:hanging="360"/>
        </w:pPr>
        <w:rPr>
          <w:rFonts w:ascii="Symbol" w:hAnsi="Symbol" w:hint="default"/>
          <w:color w:val="auto"/>
          <w:sz w:val="20"/>
        </w:rPr>
      </w:lvl>
    </w:lvlOverride>
    <w:lvlOverride w:ilvl="1">
      <w:lvl w:ilvl="1" w:tplc="7EACEE30">
        <w:start w:val="1"/>
        <w:numFmt w:val="bullet"/>
        <w:lvlText w:val="o"/>
        <w:lvlJc w:val="left"/>
        <w:pPr>
          <w:ind w:left="1440" w:hanging="360"/>
        </w:pPr>
        <w:rPr>
          <w:rFonts w:ascii="Courier New" w:hAnsi="Courier New" w:cs="Courier New" w:hint="default"/>
        </w:rPr>
      </w:lvl>
    </w:lvlOverride>
    <w:lvlOverride w:ilvl="2">
      <w:lvl w:ilvl="2" w:tplc="2886E794" w:tentative="1">
        <w:start w:val="1"/>
        <w:numFmt w:val="bullet"/>
        <w:lvlText w:val=""/>
        <w:lvlJc w:val="left"/>
        <w:pPr>
          <w:ind w:left="2160" w:hanging="360"/>
        </w:pPr>
        <w:rPr>
          <w:rFonts w:ascii="Wingdings" w:hAnsi="Wingdings" w:hint="default"/>
        </w:rPr>
      </w:lvl>
    </w:lvlOverride>
    <w:lvlOverride w:ilvl="3">
      <w:lvl w:ilvl="3" w:tplc="B1FE0902" w:tentative="1">
        <w:start w:val="1"/>
        <w:numFmt w:val="bullet"/>
        <w:lvlText w:val=""/>
        <w:lvlJc w:val="left"/>
        <w:pPr>
          <w:ind w:left="2880" w:hanging="360"/>
        </w:pPr>
        <w:rPr>
          <w:rFonts w:ascii="Symbol" w:hAnsi="Symbol" w:hint="default"/>
        </w:rPr>
      </w:lvl>
    </w:lvlOverride>
    <w:lvlOverride w:ilvl="4">
      <w:lvl w:ilvl="4" w:tplc="0DE091C8" w:tentative="1">
        <w:start w:val="1"/>
        <w:numFmt w:val="bullet"/>
        <w:lvlText w:val="o"/>
        <w:lvlJc w:val="left"/>
        <w:pPr>
          <w:ind w:left="3600" w:hanging="360"/>
        </w:pPr>
        <w:rPr>
          <w:rFonts w:ascii="Courier New" w:hAnsi="Courier New" w:cs="Courier New" w:hint="default"/>
        </w:rPr>
      </w:lvl>
    </w:lvlOverride>
    <w:lvlOverride w:ilvl="5">
      <w:lvl w:ilvl="5" w:tplc="2E3064CC" w:tentative="1">
        <w:start w:val="1"/>
        <w:numFmt w:val="bullet"/>
        <w:lvlText w:val=""/>
        <w:lvlJc w:val="left"/>
        <w:pPr>
          <w:ind w:left="4320" w:hanging="360"/>
        </w:pPr>
        <w:rPr>
          <w:rFonts w:ascii="Wingdings" w:hAnsi="Wingdings" w:hint="default"/>
        </w:rPr>
      </w:lvl>
    </w:lvlOverride>
    <w:lvlOverride w:ilvl="6">
      <w:lvl w:ilvl="6" w:tplc="61E2B07E" w:tentative="1">
        <w:start w:val="1"/>
        <w:numFmt w:val="bullet"/>
        <w:lvlText w:val=""/>
        <w:lvlJc w:val="left"/>
        <w:pPr>
          <w:ind w:left="5040" w:hanging="360"/>
        </w:pPr>
        <w:rPr>
          <w:rFonts w:ascii="Symbol" w:hAnsi="Symbol" w:hint="default"/>
        </w:rPr>
      </w:lvl>
    </w:lvlOverride>
    <w:lvlOverride w:ilvl="7">
      <w:lvl w:ilvl="7" w:tplc="87D47AB0" w:tentative="1">
        <w:start w:val="1"/>
        <w:numFmt w:val="bullet"/>
        <w:lvlText w:val="o"/>
        <w:lvlJc w:val="left"/>
        <w:pPr>
          <w:ind w:left="5760" w:hanging="360"/>
        </w:pPr>
        <w:rPr>
          <w:rFonts w:ascii="Courier New" w:hAnsi="Courier New" w:cs="Courier New" w:hint="default"/>
        </w:rPr>
      </w:lvl>
    </w:lvlOverride>
    <w:lvlOverride w:ilvl="8">
      <w:lvl w:ilvl="8" w:tplc="35D811E8" w:tentative="1">
        <w:start w:val="1"/>
        <w:numFmt w:val="bullet"/>
        <w:lvlText w:val=""/>
        <w:lvlJc w:val="left"/>
        <w:pPr>
          <w:ind w:left="6480" w:hanging="360"/>
        </w:pPr>
        <w:rPr>
          <w:rFonts w:ascii="Wingdings" w:hAnsi="Wingdings" w:hint="default"/>
        </w:rPr>
      </w:lvl>
    </w:lvlOverride>
  </w:num>
  <w:num w:numId="16" w16cid:durableId="1495995733">
    <w:abstractNumId w:val="37"/>
  </w:num>
  <w:num w:numId="17" w16cid:durableId="1976593946">
    <w:abstractNumId w:val="45"/>
  </w:num>
  <w:num w:numId="18" w16cid:durableId="1406756740">
    <w:abstractNumId w:val="21"/>
  </w:num>
  <w:num w:numId="19" w16cid:durableId="14694134">
    <w:abstractNumId w:val="47"/>
  </w:num>
  <w:num w:numId="20" w16cid:durableId="1285883988">
    <w:abstractNumId w:val="19"/>
  </w:num>
  <w:num w:numId="21" w16cid:durableId="1015575956">
    <w:abstractNumId w:val="43"/>
  </w:num>
  <w:num w:numId="22" w16cid:durableId="1847163716">
    <w:abstractNumId w:val="58"/>
  </w:num>
  <w:num w:numId="23" w16cid:durableId="1639727673">
    <w:abstractNumId w:val="25"/>
  </w:num>
  <w:num w:numId="24" w16cid:durableId="65929859">
    <w:abstractNumId w:val="49"/>
  </w:num>
  <w:num w:numId="25" w16cid:durableId="906183810">
    <w:abstractNumId w:val="29"/>
  </w:num>
  <w:num w:numId="26" w16cid:durableId="1652173048">
    <w:abstractNumId w:val="13"/>
  </w:num>
  <w:num w:numId="27" w16cid:durableId="380594117">
    <w:abstractNumId w:val="16"/>
  </w:num>
  <w:num w:numId="28" w16cid:durableId="50471302">
    <w:abstractNumId w:val="56"/>
  </w:num>
  <w:num w:numId="29" w16cid:durableId="217742847">
    <w:abstractNumId w:val="15"/>
  </w:num>
  <w:num w:numId="30" w16cid:durableId="805439618">
    <w:abstractNumId w:val="55"/>
  </w:num>
  <w:num w:numId="31" w16cid:durableId="1909530783">
    <w:abstractNumId w:val="11"/>
  </w:num>
  <w:num w:numId="32" w16cid:durableId="1375275884">
    <w:abstractNumId w:val="33"/>
  </w:num>
  <w:num w:numId="33" w16cid:durableId="719598892">
    <w:abstractNumId w:val="30"/>
  </w:num>
  <w:num w:numId="34" w16cid:durableId="1931230610">
    <w:abstractNumId w:val="17"/>
  </w:num>
  <w:num w:numId="35" w16cid:durableId="122507421">
    <w:abstractNumId w:val="18"/>
  </w:num>
  <w:num w:numId="36" w16cid:durableId="378944007">
    <w:abstractNumId w:val="28"/>
  </w:num>
  <w:num w:numId="37" w16cid:durableId="1596938625">
    <w:abstractNumId w:val="10"/>
  </w:num>
  <w:num w:numId="38" w16cid:durableId="663777035">
    <w:abstractNumId w:val="57"/>
  </w:num>
  <w:num w:numId="39" w16cid:durableId="1905067274">
    <w:abstractNumId w:val="14"/>
  </w:num>
  <w:num w:numId="40" w16cid:durableId="1723209860">
    <w:abstractNumId w:val="9"/>
  </w:num>
  <w:num w:numId="41" w16cid:durableId="501236457">
    <w:abstractNumId w:val="8"/>
  </w:num>
  <w:num w:numId="42" w16cid:durableId="638270356">
    <w:abstractNumId w:val="38"/>
  </w:num>
  <w:num w:numId="43" w16cid:durableId="1184901889">
    <w:abstractNumId w:val="6"/>
  </w:num>
  <w:num w:numId="44" w16cid:durableId="1929461466">
    <w:abstractNumId w:val="51"/>
  </w:num>
  <w:num w:numId="45" w16cid:durableId="1079476152">
    <w:abstractNumId w:val="32"/>
  </w:num>
  <w:num w:numId="46" w16cid:durableId="557933213">
    <w:abstractNumId w:val="7"/>
  </w:num>
  <w:num w:numId="47" w16cid:durableId="1892694182">
    <w:abstractNumId w:val="27"/>
  </w:num>
  <w:num w:numId="48" w16cid:durableId="1912348865">
    <w:abstractNumId w:val="40"/>
  </w:num>
  <w:num w:numId="49" w16cid:durableId="2096432133">
    <w:abstractNumId w:val="2"/>
  </w:num>
  <w:num w:numId="50" w16cid:durableId="4798552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07723996">
    <w:abstractNumId w:val="39"/>
  </w:num>
  <w:num w:numId="52" w16cid:durableId="2008895416">
    <w:abstractNumId w:val="0"/>
  </w:num>
  <w:num w:numId="53" w16cid:durableId="101264772">
    <w:abstractNumId w:val="26"/>
  </w:num>
  <w:num w:numId="54" w16cid:durableId="1440418645">
    <w:abstractNumId w:val="50"/>
  </w:num>
  <w:num w:numId="55" w16cid:durableId="1452474649">
    <w:abstractNumId w:val="42"/>
  </w:num>
  <w:num w:numId="56" w16cid:durableId="1127889179">
    <w:abstractNumId w:val="3"/>
  </w:num>
  <w:num w:numId="57" w16cid:durableId="226498451">
    <w:abstractNumId w:val="54"/>
  </w:num>
  <w:num w:numId="58" w16cid:durableId="1385831812">
    <w:abstractNumId w:val="4"/>
  </w:num>
  <w:num w:numId="59" w16cid:durableId="1777209602">
    <w:abstractNumId w:val="12"/>
  </w:num>
  <w:num w:numId="60" w16cid:durableId="2097747520">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1C6F"/>
    <w:rsid w:val="00002569"/>
    <w:rsid w:val="0000290A"/>
    <w:rsid w:val="00002D68"/>
    <w:rsid w:val="000033F7"/>
    <w:rsid w:val="00003403"/>
    <w:rsid w:val="0000427E"/>
    <w:rsid w:val="00005142"/>
    <w:rsid w:val="00005347"/>
    <w:rsid w:val="00006EE1"/>
    <w:rsid w:val="000072B6"/>
    <w:rsid w:val="00007DC9"/>
    <w:rsid w:val="0001021B"/>
    <w:rsid w:val="0001173E"/>
    <w:rsid w:val="0001179B"/>
    <w:rsid w:val="00011A00"/>
    <w:rsid w:val="00011D89"/>
    <w:rsid w:val="000124CF"/>
    <w:rsid w:val="000125A1"/>
    <w:rsid w:val="00012E48"/>
    <w:rsid w:val="00013D7A"/>
    <w:rsid w:val="00014095"/>
    <w:rsid w:val="00015344"/>
    <w:rsid w:val="000154FD"/>
    <w:rsid w:val="0001641B"/>
    <w:rsid w:val="0001728F"/>
    <w:rsid w:val="00017AED"/>
    <w:rsid w:val="000209EB"/>
    <w:rsid w:val="00021551"/>
    <w:rsid w:val="0002171A"/>
    <w:rsid w:val="00022271"/>
    <w:rsid w:val="000222C1"/>
    <w:rsid w:val="0002279A"/>
    <w:rsid w:val="000235E8"/>
    <w:rsid w:val="00023E32"/>
    <w:rsid w:val="00023E44"/>
    <w:rsid w:val="000242D9"/>
    <w:rsid w:val="00024AF3"/>
    <w:rsid w:val="00024D89"/>
    <w:rsid w:val="000250B6"/>
    <w:rsid w:val="00025384"/>
    <w:rsid w:val="00025E0B"/>
    <w:rsid w:val="0002657B"/>
    <w:rsid w:val="000268F9"/>
    <w:rsid w:val="000278F8"/>
    <w:rsid w:val="00027A28"/>
    <w:rsid w:val="00030CDD"/>
    <w:rsid w:val="00031009"/>
    <w:rsid w:val="0003146B"/>
    <w:rsid w:val="00031E51"/>
    <w:rsid w:val="00032368"/>
    <w:rsid w:val="000324C2"/>
    <w:rsid w:val="00032651"/>
    <w:rsid w:val="000328AE"/>
    <w:rsid w:val="00032D6B"/>
    <w:rsid w:val="00033401"/>
    <w:rsid w:val="00033D81"/>
    <w:rsid w:val="00033DC9"/>
    <w:rsid w:val="00034A4D"/>
    <w:rsid w:val="00034F20"/>
    <w:rsid w:val="00035D3F"/>
    <w:rsid w:val="00035E03"/>
    <w:rsid w:val="00037366"/>
    <w:rsid w:val="0003756A"/>
    <w:rsid w:val="00037B04"/>
    <w:rsid w:val="00040E4E"/>
    <w:rsid w:val="0004123C"/>
    <w:rsid w:val="00041623"/>
    <w:rsid w:val="00041BF0"/>
    <w:rsid w:val="0004236F"/>
    <w:rsid w:val="000429B9"/>
    <w:rsid w:val="00042C25"/>
    <w:rsid w:val="00042C8A"/>
    <w:rsid w:val="00042D49"/>
    <w:rsid w:val="000435EC"/>
    <w:rsid w:val="00044B70"/>
    <w:rsid w:val="0004536B"/>
    <w:rsid w:val="00046839"/>
    <w:rsid w:val="000468A1"/>
    <w:rsid w:val="00046B68"/>
    <w:rsid w:val="00050E67"/>
    <w:rsid w:val="000512C3"/>
    <w:rsid w:val="00052055"/>
    <w:rsid w:val="000527DD"/>
    <w:rsid w:val="00054A3A"/>
    <w:rsid w:val="00054DFE"/>
    <w:rsid w:val="0005527F"/>
    <w:rsid w:val="000553B0"/>
    <w:rsid w:val="00055512"/>
    <w:rsid w:val="00056EC4"/>
    <w:rsid w:val="00057719"/>
    <w:rsid w:val="000577BE"/>
    <w:rsid w:val="000578B2"/>
    <w:rsid w:val="000606E9"/>
    <w:rsid w:val="00060959"/>
    <w:rsid w:val="00060AC7"/>
    <w:rsid w:val="00060B37"/>
    <w:rsid w:val="00060C8F"/>
    <w:rsid w:val="00061230"/>
    <w:rsid w:val="0006154A"/>
    <w:rsid w:val="000618A8"/>
    <w:rsid w:val="00061DFC"/>
    <w:rsid w:val="00062522"/>
    <w:rsid w:val="0006269C"/>
    <w:rsid w:val="0006298A"/>
    <w:rsid w:val="000641BF"/>
    <w:rsid w:val="0006582B"/>
    <w:rsid w:val="00065A25"/>
    <w:rsid w:val="00065D84"/>
    <w:rsid w:val="000660BA"/>
    <w:rsid w:val="000663CD"/>
    <w:rsid w:val="00066CC6"/>
    <w:rsid w:val="0007001A"/>
    <w:rsid w:val="00071195"/>
    <w:rsid w:val="000719A7"/>
    <w:rsid w:val="000720C8"/>
    <w:rsid w:val="000720F5"/>
    <w:rsid w:val="00072C24"/>
    <w:rsid w:val="00072CEE"/>
    <w:rsid w:val="0007315B"/>
    <w:rsid w:val="000733FE"/>
    <w:rsid w:val="000736B0"/>
    <w:rsid w:val="000737E5"/>
    <w:rsid w:val="00074219"/>
    <w:rsid w:val="00074B9F"/>
    <w:rsid w:val="00074ED5"/>
    <w:rsid w:val="00076D54"/>
    <w:rsid w:val="00077DBB"/>
    <w:rsid w:val="0008064C"/>
    <w:rsid w:val="00081243"/>
    <w:rsid w:val="0008204A"/>
    <w:rsid w:val="000835E0"/>
    <w:rsid w:val="00083C97"/>
    <w:rsid w:val="00083DC8"/>
    <w:rsid w:val="0008430D"/>
    <w:rsid w:val="0008508E"/>
    <w:rsid w:val="00085229"/>
    <w:rsid w:val="00085558"/>
    <w:rsid w:val="000865B0"/>
    <w:rsid w:val="00086CD4"/>
    <w:rsid w:val="00087951"/>
    <w:rsid w:val="00087D2D"/>
    <w:rsid w:val="000909D7"/>
    <w:rsid w:val="0009113B"/>
    <w:rsid w:val="0009126E"/>
    <w:rsid w:val="00091424"/>
    <w:rsid w:val="00092483"/>
    <w:rsid w:val="00093026"/>
    <w:rsid w:val="00093402"/>
    <w:rsid w:val="000948EF"/>
    <w:rsid w:val="00094DA3"/>
    <w:rsid w:val="00095CEE"/>
    <w:rsid w:val="00096CD1"/>
    <w:rsid w:val="000A012C"/>
    <w:rsid w:val="000A0401"/>
    <w:rsid w:val="000A0A82"/>
    <w:rsid w:val="000A0EB9"/>
    <w:rsid w:val="000A1543"/>
    <w:rsid w:val="000A186C"/>
    <w:rsid w:val="000A189B"/>
    <w:rsid w:val="000A1EA4"/>
    <w:rsid w:val="000A2476"/>
    <w:rsid w:val="000A2497"/>
    <w:rsid w:val="000A3360"/>
    <w:rsid w:val="000A3ACF"/>
    <w:rsid w:val="000A3E00"/>
    <w:rsid w:val="000A4485"/>
    <w:rsid w:val="000A485A"/>
    <w:rsid w:val="000A4D74"/>
    <w:rsid w:val="000A5516"/>
    <w:rsid w:val="000A5642"/>
    <w:rsid w:val="000A5B3F"/>
    <w:rsid w:val="000A5B49"/>
    <w:rsid w:val="000A610C"/>
    <w:rsid w:val="000A63AE"/>
    <w:rsid w:val="000A641A"/>
    <w:rsid w:val="000A758F"/>
    <w:rsid w:val="000A7C6B"/>
    <w:rsid w:val="000A7F10"/>
    <w:rsid w:val="000B0611"/>
    <w:rsid w:val="000B0A35"/>
    <w:rsid w:val="000B120A"/>
    <w:rsid w:val="000B1231"/>
    <w:rsid w:val="000B18BE"/>
    <w:rsid w:val="000B22A4"/>
    <w:rsid w:val="000B2880"/>
    <w:rsid w:val="000B39B1"/>
    <w:rsid w:val="000B3EDB"/>
    <w:rsid w:val="000B3EE0"/>
    <w:rsid w:val="000B4025"/>
    <w:rsid w:val="000B41A8"/>
    <w:rsid w:val="000B435E"/>
    <w:rsid w:val="000B4404"/>
    <w:rsid w:val="000B4480"/>
    <w:rsid w:val="000B5132"/>
    <w:rsid w:val="000B519A"/>
    <w:rsid w:val="000B543D"/>
    <w:rsid w:val="000B55F9"/>
    <w:rsid w:val="000B5BF7"/>
    <w:rsid w:val="000B6BC8"/>
    <w:rsid w:val="000B6FCD"/>
    <w:rsid w:val="000B7777"/>
    <w:rsid w:val="000B79B8"/>
    <w:rsid w:val="000C0303"/>
    <w:rsid w:val="000C0551"/>
    <w:rsid w:val="000C15A9"/>
    <w:rsid w:val="000C1AFB"/>
    <w:rsid w:val="000C1FEF"/>
    <w:rsid w:val="000C219E"/>
    <w:rsid w:val="000C2868"/>
    <w:rsid w:val="000C28C8"/>
    <w:rsid w:val="000C2D9D"/>
    <w:rsid w:val="000C392C"/>
    <w:rsid w:val="000C3C4C"/>
    <w:rsid w:val="000C4074"/>
    <w:rsid w:val="000C4146"/>
    <w:rsid w:val="000C42EA"/>
    <w:rsid w:val="000C4546"/>
    <w:rsid w:val="000C529F"/>
    <w:rsid w:val="000C56EE"/>
    <w:rsid w:val="000C6263"/>
    <w:rsid w:val="000C6F78"/>
    <w:rsid w:val="000D060A"/>
    <w:rsid w:val="000D0800"/>
    <w:rsid w:val="000D11F5"/>
    <w:rsid w:val="000D1242"/>
    <w:rsid w:val="000D13BA"/>
    <w:rsid w:val="000D170B"/>
    <w:rsid w:val="000D25F7"/>
    <w:rsid w:val="000D2ABA"/>
    <w:rsid w:val="000D2B9B"/>
    <w:rsid w:val="000D3DD0"/>
    <w:rsid w:val="000D48A9"/>
    <w:rsid w:val="000D48E9"/>
    <w:rsid w:val="000D4DEB"/>
    <w:rsid w:val="000D5700"/>
    <w:rsid w:val="000D578E"/>
    <w:rsid w:val="000D5C4B"/>
    <w:rsid w:val="000D6271"/>
    <w:rsid w:val="000D6AC5"/>
    <w:rsid w:val="000D7001"/>
    <w:rsid w:val="000E0970"/>
    <w:rsid w:val="000E1567"/>
    <w:rsid w:val="000E3CC7"/>
    <w:rsid w:val="000E4062"/>
    <w:rsid w:val="000E4655"/>
    <w:rsid w:val="000E524E"/>
    <w:rsid w:val="000E54DF"/>
    <w:rsid w:val="000E62A2"/>
    <w:rsid w:val="000E6AC6"/>
    <w:rsid w:val="000E6BD4"/>
    <w:rsid w:val="000E6D6D"/>
    <w:rsid w:val="000E7E3A"/>
    <w:rsid w:val="000F1686"/>
    <w:rsid w:val="000F1F1E"/>
    <w:rsid w:val="000F2259"/>
    <w:rsid w:val="000F2DDA"/>
    <w:rsid w:val="000F2EA0"/>
    <w:rsid w:val="000F30D2"/>
    <w:rsid w:val="000F338C"/>
    <w:rsid w:val="000F42BA"/>
    <w:rsid w:val="000F47E3"/>
    <w:rsid w:val="000F4C96"/>
    <w:rsid w:val="000F5141"/>
    <w:rsid w:val="000F5213"/>
    <w:rsid w:val="000F52BE"/>
    <w:rsid w:val="000F54CD"/>
    <w:rsid w:val="000F5AF7"/>
    <w:rsid w:val="000F6370"/>
    <w:rsid w:val="000F6CDA"/>
    <w:rsid w:val="000F6DAC"/>
    <w:rsid w:val="000F7A03"/>
    <w:rsid w:val="000F7F6F"/>
    <w:rsid w:val="001004E6"/>
    <w:rsid w:val="00101001"/>
    <w:rsid w:val="0010110A"/>
    <w:rsid w:val="0010283D"/>
    <w:rsid w:val="00103276"/>
    <w:rsid w:val="001032E4"/>
    <w:rsid w:val="00103409"/>
    <w:rsid w:val="00103446"/>
    <w:rsid w:val="0010392D"/>
    <w:rsid w:val="0010447F"/>
    <w:rsid w:val="0010457E"/>
    <w:rsid w:val="00104FE3"/>
    <w:rsid w:val="0010536B"/>
    <w:rsid w:val="001057D4"/>
    <w:rsid w:val="00106CCB"/>
    <w:rsid w:val="00106D4E"/>
    <w:rsid w:val="0010714F"/>
    <w:rsid w:val="001072D3"/>
    <w:rsid w:val="001078AA"/>
    <w:rsid w:val="00107F8A"/>
    <w:rsid w:val="00110BDF"/>
    <w:rsid w:val="00110C8E"/>
    <w:rsid w:val="00110F21"/>
    <w:rsid w:val="00111082"/>
    <w:rsid w:val="0011150D"/>
    <w:rsid w:val="0011202A"/>
    <w:rsid w:val="001120C5"/>
    <w:rsid w:val="00112EF9"/>
    <w:rsid w:val="001130BB"/>
    <w:rsid w:val="001135DB"/>
    <w:rsid w:val="00113C20"/>
    <w:rsid w:val="00113E65"/>
    <w:rsid w:val="00113FB0"/>
    <w:rsid w:val="00114717"/>
    <w:rsid w:val="00114926"/>
    <w:rsid w:val="0011492D"/>
    <w:rsid w:val="00114EC3"/>
    <w:rsid w:val="00114FE6"/>
    <w:rsid w:val="00115698"/>
    <w:rsid w:val="001164AF"/>
    <w:rsid w:val="00116949"/>
    <w:rsid w:val="00116E09"/>
    <w:rsid w:val="001172CD"/>
    <w:rsid w:val="00117A89"/>
    <w:rsid w:val="00120347"/>
    <w:rsid w:val="00120793"/>
    <w:rsid w:val="001209A1"/>
    <w:rsid w:val="00120BD3"/>
    <w:rsid w:val="00120D6E"/>
    <w:rsid w:val="00120ED2"/>
    <w:rsid w:val="00121CA6"/>
    <w:rsid w:val="0012213A"/>
    <w:rsid w:val="00122FEA"/>
    <w:rsid w:val="00123116"/>
    <w:rsid w:val="001232BD"/>
    <w:rsid w:val="001236DC"/>
    <w:rsid w:val="0012396B"/>
    <w:rsid w:val="00123C2F"/>
    <w:rsid w:val="00124ED5"/>
    <w:rsid w:val="0012531E"/>
    <w:rsid w:val="0012555E"/>
    <w:rsid w:val="00125650"/>
    <w:rsid w:val="00125CBE"/>
    <w:rsid w:val="00125DB5"/>
    <w:rsid w:val="0012645D"/>
    <w:rsid w:val="00126747"/>
    <w:rsid w:val="001276FA"/>
    <w:rsid w:val="00127D2B"/>
    <w:rsid w:val="00130629"/>
    <w:rsid w:val="00131525"/>
    <w:rsid w:val="001322C5"/>
    <w:rsid w:val="00133A66"/>
    <w:rsid w:val="00134DBD"/>
    <w:rsid w:val="0013566B"/>
    <w:rsid w:val="001366B1"/>
    <w:rsid w:val="00140B88"/>
    <w:rsid w:val="00141158"/>
    <w:rsid w:val="001421F8"/>
    <w:rsid w:val="001428B3"/>
    <w:rsid w:val="00142998"/>
    <w:rsid w:val="00142A39"/>
    <w:rsid w:val="00143F6E"/>
    <w:rsid w:val="00144386"/>
    <w:rsid w:val="00144547"/>
    <w:rsid w:val="001447B3"/>
    <w:rsid w:val="001448DF"/>
    <w:rsid w:val="00144F8A"/>
    <w:rsid w:val="001454A7"/>
    <w:rsid w:val="001505C8"/>
    <w:rsid w:val="001507F5"/>
    <w:rsid w:val="00150EAA"/>
    <w:rsid w:val="00150F45"/>
    <w:rsid w:val="0015145A"/>
    <w:rsid w:val="001515EF"/>
    <w:rsid w:val="00152073"/>
    <w:rsid w:val="00152329"/>
    <w:rsid w:val="00152450"/>
    <w:rsid w:val="001529D9"/>
    <w:rsid w:val="00152B58"/>
    <w:rsid w:val="00152D80"/>
    <w:rsid w:val="00153745"/>
    <w:rsid w:val="001539DE"/>
    <w:rsid w:val="0015456E"/>
    <w:rsid w:val="001546CD"/>
    <w:rsid w:val="0015595B"/>
    <w:rsid w:val="001560A7"/>
    <w:rsid w:val="00156598"/>
    <w:rsid w:val="00156E5B"/>
    <w:rsid w:val="00156FA0"/>
    <w:rsid w:val="00157709"/>
    <w:rsid w:val="00157876"/>
    <w:rsid w:val="00157CE2"/>
    <w:rsid w:val="00160B11"/>
    <w:rsid w:val="00161259"/>
    <w:rsid w:val="00161285"/>
    <w:rsid w:val="00161552"/>
    <w:rsid w:val="00161939"/>
    <w:rsid w:val="00161AA0"/>
    <w:rsid w:val="00161D2E"/>
    <w:rsid w:val="00161E30"/>
    <w:rsid w:val="00161F3E"/>
    <w:rsid w:val="00162093"/>
    <w:rsid w:val="001627ED"/>
    <w:rsid w:val="00162CA9"/>
    <w:rsid w:val="00163438"/>
    <w:rsid w:val="0016376A"/>
    <w:rsid w:val="00163A0A"/>
    <w:rsid w:val="00163E43"/>
    <w:rsid w:val="00163FE7"/>
    <w:rsid w:val="00165258"/>
    <w:rsid w:val="00165459"/>
    <w:rsid w:val="001657EC"/>
    <w:rsid w:val="00165A57"/>
    <w:rsid w:val="00165CF0"/>
    <w:rsid w:val="00166238"/>
    <w:rsid w:val="00166AF6"/>
    <w:rsid w:val="00167390"/>
    <w:rsid w:val="00170547"/>
    <w:rsid w:val="0017058E"/>
    <w:rsid w:val="0017106C"/>
    <w:rsid w:val="001712C2"/>
    <w:rsid w:val="0017159D"/>
    <w:rsid w:val="001719AE"/>
    <w:rsid w:val="001723BB"/>
    <w:rsid w:val="001723C4"/>
    <w:rsid w:val="00172A17"/>
    <w:rsid w:val="00172BAF"/>
    <w:rsid w:val="00172C03"/>
    <w:rsid w:val="00173C67"/>
    <w:rsid w:val="00174193"/>
    <w:rsid w:val="001755C0"/>
    <w:rsid w:val="001757A4"/>
    <w:rsid w:val="00175F9C"/>
    <w:rsid w:val="0017674D"/>
    <w:rsid w:val="001771DD"/>
    <w:rsid w:val="00177995"/>
    <w:rsid w:val="00177A8C"/>
    <w:rsid w:val="00180B38"/>
    <w:rsid w:val="00180D28"/>
    <w:rsid w:val="0018162A"/>
    <w:rsid w:val="0018244E"/>
    <w:rsid w:val="001828F6"/>
    <w:rsid w:val="00182C90"/>
    <w:rsid w:val="00183970"/>
    <w:rsid w:val="00183BD4"/>
    <w:rsid w:val="00184FBF"/>
    <w:rsid w:val="00185128"/>
    <w:rsid w:val="001855B4"/>
    <w:rsid w:val="001866BF"/>
    <w:rsid w:val="00186898"/>
    <w:rsid w:val="00186ADA"/>
    <w:rsid w:val="00186B33"/>
    <w:rsid w:val="00186CB9"/>
    <w:rsid w:val="00186DCF"/>
    <w:rsid w:val="00187511"/>
    <w:rsid w:val="00187731"/>
    <w:rsid w:val="00190FD2"/>
    <w:rsid w:val="0019130E"/>
    <w:rsid w:val="0019197E"/>
    <w:rsid w:val="00192503"/>
    <w:rsid w:val="00192F9D"/>
    <w:rsid w:val="00193FA3"/>
    <w:rsid w:val="00194274"/>
    <w:rsid w:val="00194293"/>
    <w:rsid w:val="0019454B"/>
    <w:rsid w:val="00195D13"/>
    <w:rsid w:val="001962A9"/>
    <w:rsid w:val="00196685"/>
    <w:rsid w:val="00196694"/>
    <w:rsid w:val="00196B7F"/>
    <w:rsid w:val="00196EB8"/>
    <w:rsid w:val="00196EFB"/>
    <w:rsid w:val="001979FF"/>
    <w:rsid w:val="00197B17"/>
    <w:rsid w:val="001A0A20"/>
    <w:rsid w:val="001A1950"/>
    <w:rsid w:val="001A1C54"/>
    <w:rsid w:val="001A1D8D"/>
    <w:rsid w:val="001A2A3A"/>
    <w:rsid w:val="001A32A4"/>
    <w:rsid w:val="001A3745"/>
    <w:rsid w:val="001A39E7"/>
    <w:rsid w:val="001A3ACE"/>
    <w:rsid w:val="001A4DA6"/>
    <w:rsid w:val="001A4F61"/>
    <w:rsid w:val="001A583A"/>
    <w:rsid w:val="001A5D39"/>
    <w:rsid w:val="001A6272"/>
    <w:rsid w:val="001A638E"/>
    <w:rsid w:val="001A6F86"/>
    <w:rsid w:val="001B0534"/>
    <w:rsid w:val="001B058F"/>
    <w:rsid w:val="001B1855"/>
    <w:rsid w:val="001B19A9"/>
    <w:rsid w:val="001B31C2"/>
    <w:rsid w:val="001B36C5"/>
    <w:rsid w:val="001B3A1D"/>
    <w:rsid w:val="001B3A98"/>
    <w:rsid w:val="001B4DF8"/>
    <w:rsid w:val="001B59CD"/>
    <w:rsid w:val="001B5F1A"/>
    <w:rsid w:val="001B6A6D"/>
    <w:rsid w:val="001B6B96"/>
    <w:rsid w:val="001B6D3D"/>
    <w:rsid w:val="001B6D76"/>
    <w:rsid w:val="001B738B"/>
    <w:rsid w:val="001B7CB7"/>
    <w:rsid w:val="001C0863"/>
    <w:rsid w:val="001C09DB"/>
    <w:rsid w:val="001C277E"/>
    <w:rsid w:val="001C296B"/>
    <w:rsid w:val="001C2A72"/>
    <w:rsid w:val="001C31B7"/>
    <w:rsid w:val="001C345B"/>
    <w:rsid w:val="001C46DB"/>
    <w:rsid w:val="001C58F9"/>
    <w:rsid w:val="001C5C36"/>
    <w:rsid w:val="001C65E3"/>
    <w:rsid w:val="001C6BF1"/>
    <w:rsid w:val="001C6DFB"/>
    <w:rsid w:val="001C783F"/>
    <w:rsid w:val="001C7F47"/>
    <w:rsid w:val="001D05A3"/>
    <w:rsid w:val="001D0B75"/>
    <w:rsid w:val="001D0C00"/>
    <w:rsid w:val="001D16F5"/>
    <w:rsid w:val="001D1A80"/>
    <w:rsid w:val="001D2F49"/>
    <w:rsid w:val="001D39A5"/>
    <w:rsid w:val="001D3B1C"/>
    <w:rsid w:val="001D3C09"/>
    <w:rsid w:val="001D44E8"/>
    <w:rsid w:val="001D4A7E"/>
    <w:rsid w:val="001D4C5C"/>
    <w:rsid w:val="001D4FA0"/>
    <w:rsid w:val="001D4FD3"/>
    <w:rsid w:val="001D5A60"/>
    <w:rsid w:val="001D5A8F"/>
    <w:rsid w:val="001D5F2E"/>
    <w:rsid w:val="001D60EC"/>
    <w:rsid w:val="001D6F59"/>
    <w:rsid w:val="001D75C3"/>
    <w:rsid w:val="001D7D7A"/>
    <w:rsid w:val="001D7D9C"/>
    <w:rsid w:val="001E05D9"/>
    <w:rsid w:val="001E0B30"/>
    <w:rsid w:val="001E0D59"/>
    <w:rsid w:val="001E0F4B"/>
    <w:rsid w:val="001E1331"/>
    <w:rsid w:val="001E1F5D"/>
    <w:rsid w:val="001E1F71"/>
    <w:rsid w:val="001E216B"/>
    <w:rsid w:val="001E224F"/>
    <w:rsid w:val="001E2DC1"/>
    <w:rsid w:val="001E3071"/>
    <w:rsid w:val="001E3BE0"/>
    <w:rsid w:val="001E3ECF"/>
    <w:rsid w:val="001E44DF"/>
    <w:rsid w:val="001E479B"/>
    <w:rsid w:val="001E68A5"/>
    <w:rsid w:val="001E6BB0"/>
    <w:rsid w:val="001E7282"/>
    <w:rsid w:val="001F0384"/>
    <w:rsid w:val="001F04DB"/>
    <w:rsid w:val="001F0777"/>
    <w:rsid w:val="001F0E74"/>
    <w:rsid w:val="001F0F7B"/>
    <w:rsid w:val="001F1B2C"/>
    <w:rsid w:val="001F1C31"/>
    <w:rsid w:val="001F2950"/>
    <w:rsid w:val="001F2E16"/>
    <w:rsid w:val="001F3826"/>
    <w:rsid w:val="001F3B79"/>
    <w:rsid w:val="001F3D3C"/>
    <w:rsid w:val="001F4B9C"/>
    <w:rsid w:val="001F552B"/>
    <w:rsid w:val="001F60AB"/>
    <w:rsid w:val="001F6E46"/>
    <w:rsid w:val="001F6E77"/>
    <w:rsid w:val="001F7921"/>
    <w:rsid w:val="001F7C91"/>
    <w:rsid w:val="002000CB"/>
    <w:rsid w:val="00200E87"/>
    <w:rsid w:val="002011E7"/>
    <w:rsid w:val="00202CB5"/>
    <w:rsid w:val="00203099"/>
    <w:rsid w:val="002033B7"/>
    <w:rsid w:val="002035D2"/>
    <w:rsid w:val="00203C8F"/>
    <w:rsid w:val="002045CA"/>
    <w:rsid w:val="002055E8"/>
    <w:rsid w:val="00205CB0"/>
    <w:rsid w:val="0020614A"/>
    <w:rsid w:val="0020620A"/>
    <w:rsid w:val="00206463"/>
    <w:rsid w:val="00206F2F"/>
    <w:rsid w:val="002074FC"/>
    <w:rsid w:val="002075DA"/>
    <w:rsid w:val="00207717"/>
    <w:rsid w:val="0021053D"/>
    <w:rsid w:val="00210A92"/>
    <w:rsid w:val="00210D89"/>
    <w:rsid w:val="00211791"/>
    <w:rsid w:val="002125D0"/>
    <w:rsid w:val="002129AF"/>
    <w:rsid w:val="00212B95"/>
    <w:rsid w:val="00213164"/>
    <w:rsid w:val="00214481"/>
    <w:rsid w:val="00214DB8"/>
    <w:rsid w:val="00214E0C"/>
    <w:rsid w:val="002150E7"/>
    <w:rsid w:val="00215CC8"/>
    <w:rsid w:val="00215F7B"/>
    <w:rsid w:val="0021607B"/>
    <w:rsid w:val="00216C03"/>
    <w:rsid w:val="00217102"/>
    <w:rsid w:val="00220541"/>
    <w:rsid w:val="00220A1A"/>
    <w:rsid w:val="00220BA2"/>
    <w:rsid w:val="00220C04"/>
    <w:rsid w:val="0022278D"/>
    <w:rsid w:val="002227A3"/>
    <w:rsid w:val="002230B1"/>
    <w:rsid w:val="002236ED"/>
    <w:rsid w:val="00223B45"/>
    <w:rsid w:val="00224023"/>
    <w:rsid w:val="0022423F"/>
    <w:rsid w:val="00224C12"/>
    <w:rsid w:val="0022510D"/>
    <w:rsid w:val="00225CBB"/>
    <w:rsid w:val="00226E59"/>
    <w:rsid w:val="0022701F"/>
    <w:rsid w:val="00227629"/>
    <w:rsid w:val="00227728"/>
    <w:rsid w:val="00227C68"/>
    <w:rsid w:val="002300EE"/>
    <w:rsid w:val="00230396"/>
    <w:rsid w:val="00231377"/>
    <w:rsid w:val="002315D0"/>
    <w:rsid w:val="00232737"/>
    <w:rsid w:val="00232830"/>
    <w:rsid w:val="002330FF"/>
    <w:rsid w:val="002333F5"/>
    <w:rsid w:val="00233724"/>
    <w:rsid w:val="00233F35"/>
    <w:rsid w:val="002343BB"/>
    <w:rsid w:val="00234637"/>
    <w:rsid w:val="0023485F"/>
    <w:rsid w:val="00234DA7"/>
    <w:rsid w:val="00235267"/>
    <w:rsid w:val="00235ED2"/>
    <w:rsid w:val="00236199"/>
    <w:rsid w:val="00236270"/>
    <w:rsid w:val="002365B4"/>
    <w:rsid w:val="0023686A"/>
    <w:rsid w:val="00236926"/>
    <w:rsid w:val="00236E2E"/>
    <w:rsid w:val="00237630"/>
    <w:rsid w:val="00237EF0"/>
    <w:rsid w:val="002401B9"/>
    <w:rsid w:val="00240308"/>
    <w:rsid w:val="002432BB"/>
    <w:rsid w:val="002432E1"/>
    <w:rsid w:val="00243BD5"/>
    <w:rsid w:val="00243C1B"/>
    <w:rsid w:val="00244060"/>
    <w:rsid w:val="002460CE"/>
    <w:rsid w:val="00246207"/>
    <w:rsid w:val="00246564"/>
    <w:rsid w:val="00246AB5"/>
    <w:rsid w:val="00246C5E"/>
    <w:rsid w:val="0024753D"/>
    <w:rsid w:val="0025038C"/>
    <w:rsid w:val="00250960"/>
    <w:rsid w:val="00250C8F"/>
    <w:rsid w:val="00251343"/>
    <w:rsid w:val="00251A62"/>
    <w:rsid w:val="00251BA0"/>
    <w:rsid w:val="0025224B"/>
    <w:rsid w:val="002525A3"/>
    <w:rsid w:val="0025269B"/>
    <w:rsid w:val="00253028"/>
    <w:rsid w:val="002533B8"/>
    <w:rsid w:val="002536A4"/>
    <w:rsid w:val="00253B1A"/>
    <w:rsid w:val="002549D4"/>
    <w:rsid w:val="00254E44"/>
    <w:rsid w:val="00254F58"/>
    <w:rsid w:val="0025633F"/>
    <w:rsid w:val="00256B40"/>
    <w:rsid w:val="002571A6"/>
    <w:rsid w:val="002575E8"/>
    <w:rsid w:val="0026073D"/>
    <w:rsid w:val="002612C7"/>
    <w:rsid w:val="002620BC"/>
    <w:rsid w:val="0026212D"/>
    <w:rsid w:val="00262802"/>
    <w:rsid w:val="002631FA"/>
    <w:rsid w:val="00263A90"/>
    <w:rsid w:val="0026408B"/>
    <w:rsid w:val="002642B7"/>
    <w:rsid w:val="002659C6"/>
    <w:rsid w:val="00265A10"/>
    <w:rsid w:val="0026671E"/>
    <w:rsid w:val="002669AF"/>
    <w:rsid w:val="00267C3E"/>
    <w:rsid w:val="00267E65"/>
    <w:rsid w:val="002709BB"/>
    <w:rsid w:val="0027131C"/>
    <w:rsid w:val="0027175D"/>
    <w:rsid w:val="00271AD3"/>
    <w:rsid w:val="00272060"/>
    <w:rsid w:val="00272126"/>
    <w:rsid w:val="002731CF"/>
    <w:rsid w:val="00273B2A"/>
    <w:rsid w:val="00273BAC"/>
    <w:rsid w:val="00274927"/>
    <w:rsid w:val="002763B3"/>
    <w:rsid w:val="0027653E"/>
    <w:rsid w:val="002765AA"/>
    <w:rsid w:val="00276EF9"/>
    <w:rsid w:val="002777BB"/>
    <w:rsid w:val="002802E3"/>
    <w:rsid w:val="0028040B"/>
    <w:rsid w:val="00281696"/>
    <w:rsid w:val="0028213D"/>
    <w:rsid w:val="00282EAE"/>
    <w:rsid w:val="00283C45"/>
    <w:rsid w:val="00284FD6"/>
    <w:rsid w:val="00285025"/>
    <w:rsid w:val="00285778"/>
    <w:rsid w:val="002862F1"/>
    <w:rsid w:val="00287FFA"/>
    <w:rsid w:val="00291024"/>
    <w:rsid w:val="00291373"/>
    <w:rsid w:val="0029148C"/>
    <w:rsid w:val="00292361"/>
    <w:rsid w:val="00293168"/>
    <w:rsid w:val="00293E12"/>
    <w:rsid w:val="0029496F"/>
    <w:rsid w:val="00295005"/>
    <w:rsid w:val="0029597D"/>
    <w:rsid w:val="00295A5B"/>
    <w:rsid w:val="002962C3"/>
    <w:rsid w:val="002969C5"/>
    <w:rsid w:val="0029717F"/>
    <w:rsid w:val="0029752B"/>
    <w:rsid w:val="002A0185"/>
    <w:rsid w:val="002A0628"/>
    <w:rsid w:val="002A0A9C"/>
    <w:rsid w:val="002A1108"/>
    <w:rsid w:val="002A1F6E"/>
    <w:rsid w:val="002A3C84"/>
    <w:rsid w:val="002A483C"/>
    <w:rsid w:val="002A48A3"/>
    <w:rsid w:val="002A51BE"/>
    <w:rsid w:val="002A571A"/>
    <w:rsid w:val="002A5725"/>
    <w:rsid w:val="002A75DA"/>
    <w:rsid w:val="002B0C7C"/>
    <w:rsid w:val="002B0D5D"/>
    <w:rsid w:val="002B1376"/>
    <w:rsid w:val="002B1729"/>
    <w:rsid w:val="002B23F7"/>
    <w:rsid w:val="002B2723"/>
    <w:rsid w:val="002B27F5"/>
    <w:rsid w:val="002B3580"/>
    <w:rsid w:val="002B36C7"/>
    <w:rsid w:val="002B3B8A"/>
    <w:rsid w:val="002B3BEB"/>
    <w:rsid w:val="002B3CC7"/>
    <w:rsid w:val="002B4203"/>
    <w:rsid w:val="002B4768"/>
    <w:rsid w:val="002B4DD4"/>
    <w:rsid w:val="002B5277"/>
    <w:rsid w:val="002B5314"/>
    <w:rsid w:val="002B5325"/>
    <w:rsid w:val="002B5375"/>
    <w:rsid w:val="002B562C"/>
    <w:rsid w:val="002B5F0D"/>
    <w:rsid w:val="002B7077"/>
    <w:rsid w:val="002B77C1"/>
    <w:rsid w:val="002B78A5"/>
    <w:rsid w:val="002C0C6E"/>
    <w:rsid w:val="002C0ED7"/>
    <w:rsid w:val="002C1B40"/>
    <w:rsid w:val="002C1D9D"/>
    <w:rsid w:val="002C2014"/>
    <w:rsid w:val="002C24BE"/>
    <w:rsid w:val="002C2728"/>
    <w:rsid w:val="002C280B"/>
    <w:rsid w:val="002C28D1"/>
    <w:rsid w:val="002C3107"/>
    <w:rsid w:val="002C39C3"/>
    <w:rsid w:val="002C3ABD"/>
    <w:rsid w:val="002C3E21"/>
    <w:rsid w:val="002C4114"/>
    <w:rsid w:val="002C542A"/>
    <w:rsid w:val="002C5B7C"/>
    <w:rsid w:val="002C6A07"/>
    <w:rsid w:val="002C6D7D"/>
    <w:rsid w:val="002D100C"/>
    <w:rsid w:val="002D1CE5"/>
    <w:rsid w:val="002D1E0D"/>
    <w:rsid w:val="002D1FA1"/>
    <w:rsid w:val="002D331D"/>
    <w:rsid w:val="002D33CF"/>
    <w:rsid w:val="002D3589"/>
    <w:rsid w:val="002D3706"/>
    <w:rsid w:val="002D4312"/>
    <w:rsid w:val="002D5006"/>
    <w:rsid w:val="002D55A8"/>
    <w:rsid w:val="002D62CF"/>
    <w:rsid w:val="002D64CE"/>
    <w:rsid w:val="002D6CA9"/>
    <w:rsid w:val="002D6E79"/>
    <w:rsid w:val="002D6F6B"/>
    <w:rsid w:val="002D7440"/>
    <w:rsid w:val="002D76D4"/>
    <w:rsid w:val="002D7C61"/>
    <w:rsid w:val="002E01D0"/>
    <w:rsid w:val="002E0A9B"/>
    <w:rsid w:val="002E0ADB"/>
    <w:rsid w:val="002E0E33"/>
    <w:rsid w:val="002E13E6"/>
    <w:rsid w:val="002E161D"/>
    <w:rsid w:val="002E1D5B"/>
    <w:rsid w:val="002E28A2"/>
    <w:rsid w:val="002E2C70"/>
    <w:rsid w:val="002E2D61"/>
    <w:rsid w:val="002E2D7A"/>
    <w:rsid w:val="002E3100"/>
    <w:rsid w:val="002E5B50"/>
    <w:rsid w:val="002E5DC3"/>
    <w:rsid w:val="002E6C95"/>
    <w:rsid w:val="002E78C4"/>
    <w:rsid w:val="002E7C36"/>
    <w:rsid w:val="002E7D5A"/>
    <w:rsid w:val="002E7E62"/>
    <w:rsid w:val="002F0296"/>
    <w:rsid w:val="002F04F9"/>
    <w:rsid w:val="002F160A"/>
    <w:rsid w:val="002F1E29"/>
    <w:rsid w:val="002F27DA"/>
    <w:rsid w:val="002F394B"/>
    <w:rsid w:val="002F3D32"/>
    <w:rsid w:val="002F499E"/>
    <w:rsid w:val="002F4A68"/>
    <w:rsid w:val="002F4D06"/>
    <w:rsid w:val="002F4EF3"/>
    <w:rsid w:val="002F5F31"/>
    <w:rsid w:val="002F5F46"/>
    <w:rsid w:val="002F6006"/>
    <w:rsid w:val="002F67F7"/>
    <w:rsid w:val="002F6B3D"/>
    <w:rsid w:val="002F70C5"/>
    <w:rsid w:val="002F7320"/>
    <w:rsid w:val="00300F1A"/>
    <w:rsid w:val="00301135"/>
    <w:rsid w:val="00301D94"/>
    <w:rsid w:val="00302216"/>
    <w:rsid w:val="00302FD0"/>
    <w:rsid w:val="00303E53"/>
    <w:rsid w:val="00304EB5"/>
    <w:rsid w:val="003053B5"/>
    <w:rsid w:val="00305BDE"/>
    <w:rsid w:val="00305CC1"/>
    <w:rsid w:val="0030600C"/>
    <w:rsid w:val="00306534"/>
    <w:rsid w:val="00306E5F"/>
    <w:rsid w:val="00306FA3"/>
    <w:rsid w:val="0030711D"/>
    <w:rsid w:val="0030751F"/>
    <w:rsid w:val="00307A53"/>
    <w:rsid w:val="00307E14"/>
    <w:rsid w:val="00307F18"/>
    <w:rsid w:val="003100E3"/>
    <w:rsid w:val="00310C17"/>
    <w:rsid w:val="00312917"/>
    <w:rsid w:val="00312B6D"/>
    <w:rsid w:val="00314054"/>
    <w:rsid w:val="00315572"/>
    <w:rsid w:val="003158C2"/>
    <w:rsid w:val="00315E27"/>
    <w:rsid w:val="0031676A"/>
    <w:rsid w:val="00316F27"/>
    <w:rsid w:val="00320598"/>
    <w:rsid w:val="00320AC3"/>
    <w:rsid w:val="00320CEF"/>
    <w:rsid w:val="00321495"/>
    <w:rsid w:val="003214F1"/>
    <w:rsid w:val="00322494"/>
    <w:rsid w:val="00322E4B"/>
    <w:rsid w:val="0032340F"/>
    <w:rsid w:val="00323A16"/>
    <w:rsid w:val="00324F68"/>
    <w:rsid w:val="00326A5C"/>
    <w:rsid w:val="00327416"/>
    <w:rsid w:val="00327870"/>
    <w:rsid w:val="00327E5A"/>
    <w:rsid w:val="00330905"/>
    <w:rsid w:val="003313FD"/>
    <w:rsid w:val="00331AFF"/>
    <w:rsid w:val="00331F00"/>
    <w:rsid w:val="0033215A"/>
    <w:rsid w:val="00332387"/>
    <w:rsid w:val="0033241C"/>
    <w:rsid w:val="0033259D"/>
    <w:rsid w:val="0033267B"/>
    <w:rsid w:val="003332E9"/>
    <w:rsid w:val="003333D2"/>
    <w:rsid w:val="003344A3"/>
    <w:rsid w:val="00334686"/>
    <w:rsid w:val="003346FF"/>
    <w:rsid w:val="00334CE9"/>
    <w:rsid w:val="003351ED"/>
    <w:rsid w:val="00335B49"/>
    <w:rsid w:val="00335C14"/>
    <w:rsid w:val="003363B4"/>
    <w:rsid w:val="00336BA3"/>
    <w:rsid w:val="00337339"/>
    <w:rsid w:val="00337A4B"/>
    <w:rsid w:val="00340345"/>
    <w:rsid w:val="003406C6"/>
    <w:rsid w:val="003407C7"/>
    <w:rsid w:val="0034132A"/>
    <w:rsid w:val="0034142A"/>
    <w:rsid w:val="00341680"/>
    <w:rsid w:val="003416E0"/>
    <w:rsid w:val="003418CC"/>
    <w:rsid w:val="00342852"/>
    <w:rsid w:val="00342A2E"/>
    <w:rsid w:val="00342A8C"/>
    <w:rsid w:val="003434EE"/>
    <w:rsid w:val="003440B5"/>
    <w:rsid w:val="003459BD"/>
    <w:rsid w:val="00346262"/>
    <w:rsid w:val="00346E59"/>
    <w:rsid w:val="00347AB5"/>
    <w:rsid w:val="00347CF1"/>
    <w:rsid w:val="00350BE3"/>
    <w:rsid w:val="00350D38"/>
    <w:rsid w:val="00350D8F"/>
    <w:rsid w:val="0035103D"/>
    <w:rsid w:val="00351715"/>
    <w:rsid w:val="00351B36"/>
    <w:rsid w:val="00351E84"/>
    <w:rsid w:val="00352A28"/>
    <w:rsid w:val="00352CB1"/>
    <w:rsid w:val="00354C4D"/>
    <w:rsid w:val="0035532D"/>
    <w:rsid w:val="00355AE6"/>
    <w:rsid w:val="003572B0"/>
    <w:rsid w:val="00357B4E"/>
    <w:rsid w:val="00360320"/>
    <w:rsid w:val="00360610"/>
    <w:rsid w:val="00360F10"/>
    <w:rsid w:val="003615D8"/>
    <w:rsid w:val="0036197D"/>
    <w:rsid w:val="00362606"/>
    <w:rsid w:val="00362882"/>
    <w:rsid w:val="00362CDB"/>
    <w:rsid w:val="00362CE2"/>
    <w:rsid w:val="00362D9A"/>
    <w:rsid w:val="00363C5B"/>
    <w:rsid w:val="003641BB"/>
    <w:rsid w:val="0036465D"/>
    <w:rsid w:val="0036469F"/>
    <w:rsid w:val="00364D03"/>
    <w:rsid w:val="00364E73"/>
    <w:rsid w:val="00365B63"/>
    <w:rsid w:val="0036624A"/>
    <w:rsid w:val="00367DB8"/>
    <w:rsid w:val="00371124"/>
    <w:rsid w:val="003712C4"/>
    <w:rsid w:val="00371499"/>
    <w:rsid w:val="003716FD"/>
    <w:rsid w:val="00371EB1"/>
    <w:rsid w:val="0037204B"/>
    <w:rsid w:val="003741C6"/>
    <w:rsid w:val="0037420C"/>
    <w:rsid w:val="003744CF"/>
    <w:rsid w:val="00374717"/>
    <w:rsid w:val="003764BA"/>
    <w:rsid w:val="0037676C"/>
    <w:rsid w:val="00377F8D"/>
    <w:rsid w:val="0038074C"/>
    <w:rsid w:val="00381043"/>
    <w:rsid w:val="00381151"/>
    <w:rsid w:val="0038282F"/>
    <w:rsid w:val="003829E5"/>
    <w:rsid w:val="00382BB1"/>
    <w:rsid w:val="00383371"/>
    <w:rsid w:val="003850CC"/>
    <w:rsid w:val="0038557A"/>
    <w:rsid w:val="00385899"/>
    <w:rsid w:val="00385DDB"/>
    <w:rsid w:val="0038600C"/>
    <w:rsid w:val="00386109"/>
    <w:rsid w:val="00386944"/>
    <w:rsid w:val="00386DDA"/>
    <w:rsid w:val="0038712F"/>
    <w:rsid w:val="00387611"/>
    <w:rsid w:val="003877C1"/>
    <w:rsid w:val="003905D0"/>
    <w:rsid w:val="003910DA"/>
    <w:rsid w:val="003911FA"/>
    <w:rsid w:val="003917CC"/>
    <w:rsid w:val="003928B5"/>
    <w:rsid w:val="00393CC2"/>
    <w:rsid w:val="00394CD5"/>
    <w:rsid w:val="003956CC"/>
    <w:rsid w:val="00395C9A"/>
    <w:rsid w:val="00396395"/>
    <w:rsid w:val="003976E1"/>
    <w:rsid w:val="0039778D"/>
    <w:rsid w:val="00397E3E"/>
    <w:rsid w:val="003A0853"/>
    <w:rsid w:val="003A16FE"/>
    <w:rsid w:val="003A18E6"/>
    <w:rsid w:val="003A2861"/>
    <w:rsid w:val="003A2D75"/>
    <w:rsid w:val="003A2E16"/>
    <w:rsid w:val="003A3001"/>
    <w:rsid w:val="003A3423"/>
    <w:rsid w:val="003A3F32"/>
    <w:rsid w:val="003A5DEC"/>
    <w:rsid w:val="003A6026"/>
    <w:rsid w:val="003A6B67"/>
    <w:rsid w:val="003A7809"/>
    <w:rsid w:val="003A7E2A"/>
    <w:rsid w:val="003AF685"/>
    <w:rsid w:val="003B0032"/>
    <w:rsid w:val="003B0B1E"/>
    <w:rsid w:val="003B0F1C"/>
    <w:rsid w:val="003B13B6"/>
    <w:rsid w:val="003B14C3"/>
    <w:rsid w:val="003B1580"/>
    <w:rsid w:val="003B15E6"/>
    <w:rsid w:val="003B1B14"/>
    <w:rsid w:val="003B22EF"/>
    <w:rsid w:val="003B23CC"/>
    <w:rsid w:val="003B2488"/>
    <w:rsid w:val="003B26A2"/>
    <w:rsid w:val="003B2B68"/>
    <w:rsid w:val="003B30DF"/>
    <w:rsid w:val="003B396E"/>
    <w:rsid w:val="003B408A"/>
    <w:rsid w:val="003B45C5"/>
    <w:rsid w:val="003B5DFE"/>
    <w:rsid w:val="003B5F87"/>
    <w:rsid w:val="003B6B03"/>
    <w:rsid w:val="003B6EDF"/>
    <w:rsid w:val="003B7BC1"/>
    <w:rsid w:val="003C0364"/>
    <w:rsid w:val="003C03ED"/>
    <w:rsid w:val="003C08A2"/>
    <w:rsid w:val="003C182C"/>
    <w:rsid w:val="003C2045"/>
    <w:rsid w:val="003C2160"/>
    <w:rsid w:val="003C29B6"/>
    <w:rsid w:val="003C2ADD"/>
    <w:rsid w:val="003C3051"/>
    <w:rsid w:val="003C38BF"/>
    <w:rsid w:val="003C43A1"/>
    <w:rsid w:val="003C4511"/>
    <w:rsid w:val="003C49D0"/>
    <w:rsid w:val="003C4FC0"/>
    <w:rsid w:val="003C5254"/>
    <w:rsid w:val="003C55EE"/>
    <w:rsid w:val="003C55F4"/>
    <w:rsid w:val="003C6328"/>
    <w:rsid w:val="003C65F6"/>
    <w:rsid w:val="003C759A"/>
    <w:rsid w:val="003C7897"/>
    <w:rsid w:val="003C7A3F"/>
    <w:rsid w:val="003D0313"/>
    <w:rsid w:val="003D161D"/>
    <w:rsid w:val="003D2766"/>
    <w:rsid w:val="003D2A74"/>
    <w:rsid w:val="003D3589"/>
    <w:rsid w:val="003D3D88"/>
    <w:rsid w:val="003D3E8F"/>
    <w:rsid w:val="003D4A6F"/>
    <w:rsid w:val="003D52B4"/>
    <w:rsid w:val="003D5C2D"/>
    <w:rsid w:val="003D60FF"/>
    <w:rsid w:val="003D6475"/>
    <w:rsid w:val="003D65DF"/>
    <w:rsid w:val="003D6EE6"/>
    <w:rsid w:val="003D72CF"/>
    <w:rsid w:val="003E063B"/>
    <w:rsid w:val="003E0AF9"/>
    <w:rsid w:val="003E0DE1"/>
    <w:rsid w:val="003E375C"/>
    <w:rsid w:val="003E3BBF"/>
    <w:rsid w:val="003E4086"/>
    <w:rsid w:val="003E42DB"/>
    <w:rsid w:val="003E5039"/>
    <w:rsid w:val="003E52AD"/>
    <w:rsid w:val="003E55A8"/>
    <w:rsid w:val="003E5741"/>
    <w:rsid w:val="003E578A"/>
    <w:rsid w:val="003E639E"/>
    <w:rsid w:val="003E71E5"/>
    <w:rsid w:val="003E732D"/>
    <w:rsid w:val="003E7514"/>
    <w:rsid w:val="003F0445"/>
    <w:rsid w:val="003F0CF0"/>
    <w:rsid w:val="003F10F8"/>
    <w:rsid w:val="003F14B1"/>
    <w:rsid w:val="003F1874"/>
    <w:rsid w:val="003F1CA3"/>
    <w:rsid w:val="003F281D"/>
    <w:rsid w:val="003F2B20"/>
    <w:rsid w:val="003F30BB"/>
    <w:rsid w:val="003F3289"/>
    <w:rsid w:val="003F37EE"/>
    <w:rsid w:val="003F3C62"/>
    <w:rsid w:val="003F4350"/>
    <w:rsid w:val="003F53FA"/>
    <w:rsid w:val="003F5CB9"/>
    <w:rsid w:val="003F5E8D"/>
    <w:rsid w:val="003F677E"/>
    <w:rsid w:val="003F7FC8"/>
    <w:rsid w:val="004013C7"/>
    <w:rsid w:val="004018C6"/>
    <w:rsid w:val="00401C1C"/>
    <w:rsid w:val="00401FCF"/>
    <w:rsid w:val="00402365"/>
    <w:rsid w:val="004024F0"/>
    <w:rsid w:val="00402672"/>
    <w:rsid w:val="00403014"/>
    <w:rsid w:val="00403D9B"/>
    <w:rsid w:val="00404B3E"/>
    <w:rsid w:val="00404FAC"/>
    <w:rsid w:val="004050C5"/>
    <w:rsid w:val="00405AB5"/>
    <w:rsid w:val="00406285"/>
    <w:rsid w:val="00406A11"/>
    <w:rsid w:val="0040734C"/>
    <w:rsid w:val="004074CA"/>
    <w:rsid w:val="00407C2E"/>
    <w:rsid w:val="00410991"/>
    <w:rsid w:val="004109A5"/>
    <w:rsid w:val="00410A56"/>
    <w:rsid w:val="00410EDF"/>
    <w:rsid w:val="004110D5"/>
    <w:rsid w:val="004115A2"/>
    <w:rsid w:val="00411CD3"/>
    <w:rsid w:val="00412F50"/>
    <w:rsid w:val="00413132"/>
    <w:rsid w:val="0041347D"/>
    <w:rsid w:val="00413C29"/>
    <w:rsid w:val="00413FEA"/>
    <w:rsid w:val="0041410B"/>
    <w:rsid w:val="004146C7"/>
    <w:rsid w:val="004148F9"/>
    <w:rsid w:val="00416E0C"/>
    <w:rsid w:val="00416FFA"/>
    <w:rsid w:val="00417896"/>
    <w:rsid w:val="00417BB6"/>
    <w:rsid w:val="00417BBA"/>
    <w:rsid w:val="00417D9E"/>
    <w:rsid w:val="0042084E"/>
    <w:rsid w:val="0042106B"/>
    <w:rsid w:val="00421128"/>
    <w:rsid w:val="00421EEF"/>
    <w:rsid w:val="00422EAF"/>
    <w:rsid w:val="00423728"/>
    <w:rsid w:val="004238B2"/>
    <w:rsid w:val="004244B2"/>
    <w:rsid w:val="00424D65"/>
    <w:rsid w:val="00425171"/>
    <w:rsid w:val="004257D2"/>
    <w:rsid w:val="00425AFB"/>
    <w:rsid w:val="0042646B"/>
    <w:rsid w:val="00426BEA"/>
    <w:rsid w:val="00426DD1"/>
    <w:rsid w:val="00426DFF"/>
    <w:rsid w:val="00427152"/>
    <w:rsid w:val="00427576"/>
    <w:rsid w:val="00427D75"/>
    <w:rsid w:val="0043018B"/>
    <w:rsid w:val="00430393"/>
    <w:rsid w:val="00430963"/>
    <w:rsid w:val="004310AE"/>
    <w:rsid w:val="004314A3"/>
    <w:rsid w:val="00431806"/>
    <w:rsid w:val="00431A70"/>
    <w:rsid w:val="00431F42"/>
    <w:rsid w:val="00431FA2"/>
    <w:rsid w:val="00432EC3"/>
    <w:rsid w:val="00433147"/>
    <w:rsid w:val="00433587"/>
    <w:rsid w:val="00433EEF"/>
    <w:rsid w:val="00434356"/>
    <w:rsid w:val="00434379"/>
    <w:rsid w:val="00434F44"/>
    <w:rsid w:val="00436C85"/>
    <w:rsid w:val="00436D56"/>
    <w:rsid w:val="00436F59"/>
    <w:rsid w:val="00437208"/>
    <w:rsid w:val="00437EAF"/>
    <w:rsid w:val="004406BD"/>
    <w:rsid w:val="004407D2"/>
    <w:rsid w:val="0044080B"/>
    <w:rsid w:val="00441C17"/>
    <w:rsid w:val="00441C9D"/>
    <w:rsid w:val="00442447"/>
    <w:rsid w:val="00442657"/>
    <w:rsid w:val="0044292F"/>
    <w:rsid w:val="00442C6C"/>
    <w:rsid w:val="004430E7"/>
    <w:rsid w:val="004434A8"/>
    <w:rsid w:val="004437E3"/>
    <w:rsid w:val="0044396E"/>
    <w:rsid w:val="00443CBE"/>
    <w:rsid w:val="00443E8A"/>
    <w:rsid w:val="004441BC"/>
    <w:rsid w:val="004441C3"/>
    <w:rsid w:val="00445558"/>
    <w:rsid w:val="004455A9"/>
    <w:rsid w:val="00445EE0"/>
    <w:rsid w:val="004463CB"/>
    <w:rsid w:val="004468B4"/>
    <w:rsid w:val="00446D86"/>
    <w:rsid w:val="00447039"/>
    <w:rsid w:val="0044750B"/>
    <w:rsid w:val="00450A95"/>
    <w:rsid w:val="00450B24"/>
    <w:rsid w:val="0045206A"/>
    <w:rsid w:val="0045230A"/>
    <w:rsid w:val="00452BD8"/>
    <w:rsid w:val="004533D7"/>
    <w:rsid w:val="004541B5"/>
    <w:rsid w:val="00454A7D"/>
    <w:rsid w:val="00454AD0"/>
    <w:rsid w:val="00454F14"/>
    <w:rsid w:val="00455146"/>
    <w:rsid w:val="0045578A"/>
    <w:rsid w:val="00455A40"/>
    <w:rsid w:val="00455BF0"/>
    <w:rsid w:val="00455CD6"/>
    <w:rsid w:val="00457337"/>
    <w:rsid w:val="0045741E"/>
    <w:rsid w:val="00460087"/>
    <w:rsid w:val="004605B6"/>
    <w:rsid w:val="004612B3"/>
    <w:rsid w:val="0046191B"/>
    <w:rsid w:val="00461BC8"/>
    <w:rsid w:val="00461EF4"/>
    <w:rsid w:val="00462100"/>
    <w:rsid w:val="00462259"/>
    <w:rsid w:val="00462E3D"/>
    <w:rsid w:val="00463534"/>
    <w:rsid w:val="0046397B"/>
    <w:rsid w:val="00464D34"/>
    <w:rsid w:val="004650FA"/>
    <w:rsid w:val="004663FA"/>
    <w:rsid w:val="0046689F"/>
    <w:rsid w:val="00466E79"/>
    <w:rsid w:val="00470013"/>
    <w:rsid w:val="00470708"/>
    <w:rsid w:val="00470D7D"/>
    <w:rsid w:val="00470E22"/>
    <w:rsid w:val="00471627"/>
    <w:rsid w:val="004719D3"/>
    <w:rsid w:val="00471CBE"/>
    <w:rsid w:val="00471FD9"/>
    <w:rsid w:val="0047372D"/>
    <w:rsid w:val="00473BA3"/>
    <w:rsid w:val="00473D6D"/>
    <w:rsid w:val="004743DD"/>
    <w:rsid w:val="00474CEA"/>
    <w:rsid w:val="00474D13"/>
    <w:rsid w:val="0047519D"/>
    <w:rsid w:val="004757F1"/>
    <w:rsid w:val="00475B2F"/>
    <w:rsid w:val="00475E2F"/>
    <w:rsid w:val="00476223"/>
    <w:rsid w:val="004771BD"/>
    <w:rsid w:val="00477654"/>
    <w:rsid w:val="00480978"/>
    <w:rsid w:val="00482811"/>
    <w:rsid w:val="00483968"/>
    <w:rsid w:val="00483F30"/>
    <w:rsid w:val="00483FD3"/>
    <w:rsid w:val="004841BE"/>
    <w:rsid w:val="004846A8"/>
    <w:rsid w:val="00484C8D"/>
    <w:rsid w:val="00484F86"/>
    <w:rsid w:val="004855A6"/>
    <w:rsid w:val="004855BC"/>
    <w:rsid w:val="00486012"/>
    <w:rsid w:val="0048620A"/>
    <w:rsid w:val="00487028"/>
    <w:rsid w:val="0049004D"/>
    <w:rsid w:val="0049061D"/>
    <w:rsid w:val="00490746"/>
    <w:rsid w:val="00490852"/>
    <w:rsid w:val="00490C12"/>
    <w:rsid w:val="00491045"/>
    <w:rsid w:val="00491240"/>
    <w:rsid w:val="00491C9C"/>
    <w:rsid w:val="0049243B"/>
    <w:rsid w:val="00492F30"/>
    <w:rsid w:val="0049422C"/>
    <w:rsid w:val="004946F4"/>
    <w:rsid w:val="0049487E"/>
    <w:rsid w:val="00494AAB"/>
    <w:rsid w:val="00494BB3"/>
    <w:rsid w:val="004963E2"/>
    <w:rsid w:val="004A055A"/>
    <w:rsid w:val="004A160D"/>
    <w:rsid w:val="004A2514"/>
    <w:rsid w:val="004A27AE"/>
    <w:rsid w:val="004A3AC8"/>
    <w:rsid w:val="004A3E81"/>
    <w:rsid w:val="004A4195"/>
    <w:rsid w:val="004A4D7A"/>
    <w:rsid w:val="004A51F4"/>
    <w:rsid w:val="004A535E"/>
    <w:rsid w:val="004A5C62"/>
    <w:rsid w:val="004A5CB7"/>
    <w:rsid w:val="004A5CE5"/>
    <w:rsid w:val="004A60C4"/>
    <w:rsid w:val="004A6D60"/>
    <w:rsid w:val="004A707D"/>
    <w:rsid w:val="004A7B9F"/>
    <w:rsid w:val="004A7C56"/>
    <w:rsid w:val="004A7D03"/>
    <w:rsid w:val="004B06E1"/>
    <w:rsid w:val="004B0974"/>
    <w:rsid w:val="004B0AB0"/>
    <w:rsid w:val="004B2D75"/>
    <w:rsid w:val="004B4185"/>
    <w:rsid w:val="004B4552"/>
    <w:rsid w:val="004B504C"/>
    <w:rsid w:val="004B5AE7"/>
    <w:rsid w:val="004B5BDF"/>
    <w:rsid w:val="004B60A7"/>
    <w:rsid w:val="004B6768"/>
    <w:rsid w:val="004B6983"/>
    <w:rsid w:val="004B719B"/>
    <w:rsid w:val="004C119A"/>
    <w:rsid w:val="004C16EB"/>
    <w:rsid w:val="004C177F"/>
    <w:rsid w:val="004C2D89"/>
    <w:rsid w:val="004C302F"/>
    <w:rsid w:val="004C46BB"/>
    <w:rsid w:val="004C53C6"/>
    <w:rsid w:val="004C5541"/>
    <w:rsid w:val="004C59FB"/>
    <w:rsid w:val="004C6853"/>
    <w:rsid w:val="004C6EEE"/>
    <w:rsid w:val="004C702B"/>
    <w:rsid w:val="004D0033"/>
    <w:rsid w:val="004D016B"/>
    <w:rsid w:val="004D09AC"/>
    <w:rsid w:val="004D0C5D"/>
    <w:rsid w:val="004D0EC1"/>
    <w:rsid w:val="004D1B22"/>
    <w:rsid w:val="004D23CC"/>
    <w:rsid w:val="004D2CF4"/>
    <w:rsid w:val="004D2F9D"/>
    <w:rsid w:val="004D32F6"/>
    <w:rsid w:val="004D362C"/>
    <w:rsid w:val="004D36F2"/>
    <w:rsid w:val="004D3B60"/>
    <w:rsid w:val="004D3E1D"/>
    <w:rsid w:val="004D5D21"/>
    <w:rsid w:val="004D7C0F"/>
    <w:rsid w:val="004D7E7F"/>
    <w:rsid w:val="004E0587"/>
    <w:rsid w:val="004E096C"/>
    <w:rsid w:val="004E1106"/>
    <w:rsid w:val="004E138F"/>
    <w:rsid w:val="004E17A9"/>
    <w:rsid w:val="004E1CA6"/>
    <w:rsid w:val="004E42CC"/>
    <w:rsid w:val="004E4649"/>
    <w:rsid w:val="004E48B8"/>
    <w:rsid w:val="004E5C12"/>
    <w:rsid w:val="004E5C2B"/>
    <w:rsid w:val="004E627D"/>
    <w:rsid w:val="004E6A06"/>
    <w:rsid w:val="004E6AA7"/>
    <w:rsid w:val="004E76D2"/>
    <w:rsid w:val="004E7876"/>
    <w:rsid w:val="004F00DD"/>
    <w:rsid w:val="004F0AB8"/>
    <w:rsid w:val="004F0E56"/>
    <w:rsid w:val="004F11F9"/>
    <w:rsid w:val="004F142D"/>
    <w:rsid w:val="004F2133"/>
    <w:rsid w:val="004F2CFD"/>
    <w:rsid w:val="004F2D38"/>
    <w:rsid w:val="004F430A"/>
    <w:rsid w:val="004F464A"/>
    <w:rsid w:val="004F4BB2"/>
    <w:rsid w:val="004F5398"/>
    <w:rsid w:val="004F55F1"/>
    <w:rsid w:val="004F5979"/>
    <w:rsid w:val="004F680B"/>
    <w:rsid w:val="004F6936"/>
    <w:rsid w:val="004F7721"/>
    <w:rsid w:val="004F7D92"/>
    <w:rsid w:val="005006E5"/>
    <w:rsid w:val="00500C2A"/>
    <w:rsid w:val="00501BD8"/>
    <w:rsid w:val="00501D27"/>
    <w:rsid w:val="00502310"/>
    <w:rsid w:val="00502E4C"/>
    <w:rsid w:val="00503359"/>
    <w:rsid w:val="00503560"/>
    <w:rsid w:val="00503DC6"/>
    <w:rsid w:val="00505860"/>
    <w:rsid w:val="00505FF5"/>
    <w:rsid w:val="00506168"/>
    <w:rsid w:val="00506F5D"/>
    <w:rsid w:val="00507A1D"/>
    <w:rsid w:val="005101DE"/>
    <w:rsid w:val="00510C37"/>
    <w:rsid w:val="00510DF0"/>
    <w:rsid w:val="00511C4A"/>
    <w:rsid w:val="00511EE1"/>
    <w:rsid w:val="005126D0"/>
    <w:rsid w:val="005126DA"/>
    <w:rsid w:val="00512C5B"/>
    <w:rsid w:val="00513386"/>
    <w:rsid w:val="00513405"/>
    <w:rsid w:val="005136FD"/>
    <w:rsid w:val="00513E77"/>
    <w:rsid w:val="00514667"/>
    <w:rsid w:val="00514A8A"/>
    <w:rsid w:val="00514DE7"/>
    <w:rsid w:val="00514EA6"/>
    <w:rsid w:val="00515289"/>
    <w:rsid w:val="0051568D"/>
    <w:rsid w:val="0051619C"/>
    <w:rsid w:val="00516B3E"/>
    <w:rsid w:val="00516EAD"/>
    <w:rsid w:val="00516F62"/>
    <w:rsid w:val="005175C9"/>
    <w:rsid w:val="00517B32"/>
    <w:rsid w:val="0052198E"/>
    <w:rsid w:val="0052231F"/>
    <w:rsid w:val="0052281B"/>
    <w:rsid w:val="005241D4"/>
    <w:rsid w:val="005242B6"/>
    <w:rsid w:val="00524372"/>
    <w:rsid w:val="0052453E"/>
    <w:rsid w:val="00525284"/>
    <w:rsid w:val="00525AAC"/>
    <w:rsid w:val="00525EAA"/>
    <w:rsid w:val="00526826"/>
    <w:rsid w:val="00526AC7"/>
    <w:rsid w:val="00526C15"/>
    <w:rsid w:val="0052764E"/>
    <w:rsid w:val="00530086"/>
    <w:rsid w:val="00530EE4"/>
    <w:rsid w:val="00531C4E"/>
    <w:rsid w:val="00532A66"/>
    <w:rsid w:val="00532BFD"/>
    <w:rsid w:val="00533993"/>
    <w:rsid w:val="00533F9F"/>
    <w:rsid w:val="005359AA"/>
    <w:rsid w:val="0053604E"/>
    <w:rsid w:val="00536499"/>
    <w:rsid w:val="0053675F"/>
    <w:rsid w:val="00536BFB"/>
    <w:rsid w:val="00540114"/>
    <w:rsid w:val="005402C7"/>
    <w:rsid w:val="00540AB8"/>
    <w:rsid w:val="00540FCE"/>
    <w:rsid w:val="00541988"/>
    <w:rsid w:val="0054211F"/>
    <w:rsid w:val="00542A03"/>
    <w:rsid w:val="00542A81"/>
    <w:rsid w:val="00543903"/>
    <w:rsid w:val="00543BCC"/>
    <w:rsid w:val="00543C07"/>
    <w:rsid w:val="00543C34"/>
    <w:rsid w:val="00543F11"/>
    <w:rsid w:val="0054408C"/>
    <w:rsid w:val="00544135"/>
    <w:rsid w:val="00544E55"/>
    <w:rsid w:val="00544E60"/>
    <w:rsid w:val="005457F2"/>
    <w:rsid w:val="00545D21"/>
    <w:rsid w:val="00546305"/>
    <w:rsid w:val="0054708D"/>
    <w:rsid w:val="00547A95"/>
    <w:rsid w:val="0055119B"/>
    <w:rsid w:val="00551E6A"/>
    <w:rsid w:val="0055258B"/>
    <w:rsid w:val="005528CD"/>
    <w:rsid w:val="00556CE2"/>
    <w:rsid w:val="00557993"/>
    <w:rsid w:val="00557C42"/>
    <w:rsid w:val="00561202"/>
    <w:rsid w:val="005618FA"/>
    <w:rsid w:val="00561908"/>
    <w:rsid w:val="00561A52"/>
    <w:rsid w:val="00562507"/>
    <w:rsid w:val="005625B2"/>
    <w:rsid w:val="00562811"/>
    <w:rsid w:val="00562893"/>
    <w:rsid w:val="005629C1"/>
    <w:rsid w:val="00563AA4"/>
    <w:rsid w:val="00566165"/>
    <w:rsid w:val="00566DBF"/>
    <w:rsid w:val="00570A24"/>
    <w:rsid w:val="00572031"/>
    <w:rsid w:val="00572282"/>
    <w:rsid w:val="005726CB"/>
    <w:rsid w:val="00573402"/>
    <w:rsid w:val="00573CE3"/>
    <w:rsid w:val="005758B4"/>
    <w:rsid w:val="00575B51"/>
    <w:rsid w:val="0057664C"/>
    <w:rsid w:val="00576784"/>
    <w:rsid w:val="00576897"/>
    <w:rsid w:val="00576A74"/>
    <w:rsid w:val="00576E84"/>
    <w:rsid w:val="0057755E"/>
    <w:rsid w:val="0057AC49"/>
    <w:rsid w:val="00580394"/>
    <w:rsid w:val="005809CD"/>
    <w:rsid w:val="00581BA6"/>
    <w:rsid w:val="00582876"/>
    <w:rsid w:val="005828BF"/>
    <w:rsid w:val="00582B8C"/>
    <w:rsid w:val="00582D99"/>
    <w:rsid w:val="00583549"/>
    <w:rsid w:val="00583C76"/>
    <w:rsid w:val="00584664"/>
    <w:rsid w:val="00585999"/>
    <w:rsid w:val="005859AB"/>
    <w:rsid w:val="00585BBC"/>
    <w:rsid w:val="00585E38"/>
    <w:rsid w:val="005867C0"/>
    <w:rsid w:val="0058757E"/>
    <w:rsid w:val="00590BA5"/>
    <w:rsid w:val="005912F3"/>
    <w:rsid w:val="00592FB7"/>
    <w:rsid w:val="0059332D"/>
    <w:rsid w:val="0059447D"/>
    <w:rsid w:val="005945B7"/>
    <w:rsid w:val="005951F4"/>
    <w:rsid w:val="00595D0D"/>
    <w:rsid w:val="0059652A"/>
    <w:rsid w:val="00596A4B"/>
    <w:rsid w:val="00597507"/>
    <w:rsid w:val="00597F01"/>
    <w:rsid w:val="005A0C92"/>
    <w:rsid w:val="005A18C7"/>
    <w:rsid w:val="005A39BF"/>
    <w:rsid w:val="005A479D"/>
    <w:rsid w:val="005A5E4C"/>
    <w:rsid w:val="005A6131"/>
    <w:rsid w:val="005A65AF"/>
    <w:rsid w:val="005B1C6D"/>
    <w:rsid w:val="005B21B6"/>
    <w:rsid w:val="005B389D"/>
    <w:rsid w:val="005B3A08"/>
    <w:rsid w:val="005B6058"/>
    <w:rsid w:val="005B6A38"/>
    <w:rsid w:val="005B777F"/>
    <w:rsid w:val="005B7A63"/>
    <w:rsid w:val="005C0955"/>
    <w:rsid w:val="005C0E11"/>
    <w:rsid w:val="005C24F0"/>
    <w:rsid w:val="005C49DA"/>
    <w:rsid w:val="005C50F3"/>
    <w:rsid w:val="005C54B5"/>
    <w:rsid w:val="005C5559"/>
    <w:rsid w:val="005C5D80"/>
    <w:rsid w:val="005C5D91"/>
    <w:rsid w:val="005C6AB1"/>
    <w:rsid w:val="005C6B4E"/>
    <w:rsid w:val="005C72A9"/>
    <w:rsid w:val="005D07B8"/>
    <w:rsid w:val="005D087E"/>
    <w:rsid w:val="005D12D3"/>
    <w:rsid w:val="005D3721"/>
    <w:rsid w:val="005D5520"/>
    <w:rsid w:val="005D5739"/>
    <w:rsid w:val="005D6597"/>
    <w:rsid w:val="005D68A1"/>
    <w:rsid w:val="005D70E6"/>
    <w:rsid w:val="005D76B8"/>
    <w:rsid w:val="005D77D7"/>
    <w:rsid w:val="005D7F6A"/>
    <w:rsid w:val="005E04E9"/>
    <w:rsid w:val="005E06CA"/>
    <w:rsid w:val="005E14E7"/>
    <w:rsid w:val="005E2461"/>
    <w:rsid w:val="005E26A3"/>
    <w:rsid w:val="005E28E1"/>
    <w:rsid w:val="005E2E34"/>
    <w:rsid w:val="005E2ECB"/>
    <w:rsid w:val="005E3B21"/>
    <w:rsid w:val="005E447E"/>
    <w:rsid w:val="005E49C9"/>
    <w:rsid w:val="005E4FD1"/>
    <w:rsid w:val="005E5916"/>
    <w:rsid w:val="005E59EF"/>
    <w:rsid w:val="005E6396"/>
    <w:rsid w:val="005E6861"/>
    <w:rsid w:val="005E6A66"/>
    <w:rsid w:val="005E6BE8"/>
    <w:rsid w:val="005E72EA"/>
    <w:rsid w:val="005E7FA3"/>
    <w:rsid w:val="005F0775"/>
    <w:rsid w:val="005F0CF5"/>
    <w:rsid w:val="005F207E"/>
    <w:rsid w:val="005F21EB"/>
    <w:rsid w:val="005F226B"/>
    <w:rsid w:val="005F2308"/>
    <w:rsid w:val="005F2513"/>
    <w:rsid w:val="005F37C7"/>
    <w:rsid w:val="005F38A2"/>
    <w:rsid w:val="005F3C40"/>
    <w:rsid w:val="005F3C70"/>
    <w:rsid w:val="005F424B"/>
    <w:rsid w:val="005F42CC"/>
    <w:rsid w:val="005F43C5"/>
    <w:rsid w:val="005F46F8"/>
    <w:rsid w:val="005F480A"/>
    <w:rsid w:val="005F55AD"/>
    <w:rsid w:val="005F56C8"/>
    <w:rsid w:val="005F64CF"/>
    <w:rsid w:val="005F6570"/>
    <w:rsid w:val="005F68D3"/>
    <w:rsid w:val="00600402"/>
    <w:rsid w:val="00601849"/>
    <w:rsid w:val="00601E93"/>
    <w:rsid w:val="00601FE6"/>
    <w:rsid w:val="006021A7"/>
    <w:rsid w:val="00602475"/>
    <w:rsid w:val="00603408"/>
    <w:rsid w:val="00603844"/>
    <w:rsid w:val="00603DC8"/>
    <w:rsid w:val="006041AD"/>
    <w:rsid w:val="00604C90"/>
    <w:rsid w:val="00604EEA"/>
    <w:rsid w:val="00605908"/>
    <w:rsid w:val="0060698C"/>
    <w:rsid w:val="00606B12"/>
    <w:rsid w:val="00606C54"/>
    <w:rsid w:val="00607317"/>
    <w:rsid w:val="00607850"/>
    <w:rsid w:val="00607EF7"/>
    <w:rsid w:val="00610022"/>
    <w:rsid w:val="00610993"/>
    <w:rsid w:val="00610D7C"/>
    <w:rsid w:val="006110E2"/>
    <w:rsid w:val="00611939"/>
    <w:rsid w:val="00611C14"/>
    <w:rsid w:val="0061258E"/>
    <w:rsid w:val="006126B7"/>
    <w:rsid w:val="00612768"/>
    <w:rsid w:val="00612B65"/>
    <w:rsid w:val="00612C2A"/>
    <w:rsid w:val="00613209"/>
    <w:rsid w:val="00613414"/>
    <w:rsid w:val="006143F6"/>
    <w:rsid w:val="0061440D"/>
    <w:rsid w:val="00615048"/>
    <w:rsid w:val="006157E8"/>
    <w:rsid w:val="00615839"/>
    <w:rsid w:val="0061583F"/>
    <w:rsid w:val="00615C3D"/>
    <w:rsid w:val="00616042"/>
    <w:rsid w:val="00616409"/>
    <w:rsid w:val="00620154"/>
    <w:rsid w:val="00620E5B"/>
    <w:rsid w:val="00620E6B"/>
    <w:rsid w:val="00623FA9"/>
    <w:rsid w:val="0062408D"/>
    <w:rsid w:val="006240CC"/>
    <w:rsid w:val="006244E6"/>
    <w:rsid w:val="00624940"/>
    <w:rsid w:val="006249C1"/>
    <w:rsid w:val="00624D87"/>
    <w:rsid w:val="006254F8"/>
    <w:rsid w:val="00625DEC"/>
    <w:rsid w:val="00625E19"/>
    <w:rsid w:val="0062610A"/>
    <w:rsid w:val="00626170"/>
    <w:rsid w:val="00626FBF"/>
    <w:rsid w:val="006275A8"/>
    <w:rsid w:val="00627DA7"/>
    <w:rsid w:val="006308C6"/>
    <w:rsid w:val="00630DA4"/>
    <w:rsid w:val="0063109E"/>
    <w:rsid w:val="00631CD4"/>
    <w:rsid w:val="00632597"/>
    <w:rsid w:val="00632FFC"/>
    <w:rsid w:val="00633A57"/>
    <w:rsid w:val="00634D13"/>
    <w:rsid w:val="006358B4"/>
    <w:rsid w:val="00636097"/>
    <w:rsid w:val="006367F9"/>
    <w:rsid w:val="006372F6"/>
    <w:rsid w:val="0063736F"/>
    <w:rsid w:val="0063777F"/>
    <w:rsid w:val="00641171"/>
    <w:rsid w:val="00641724"/>
    <w:rsid w:val="006419AA"/>
    <w:rsid w:val="0064220D"/>
    <w:rsid w:val="006423D6"/>
    <w:rsid w:val="0064250A"/>
    <w:rsid w:val="0064319A"/>
    <w:rsid w:val="0064379E"/>
    <w:rsid w:val="00643C95"/>
    <w:rsid w:val="00644B1F"/>
    <w:rsid w:val="00644B7E"/>
    <w:rsid w:val="006454E6"/>
    <w:rsid w:val="00646235"/>
    <w:rsid w:val="00646253"/>
    <w:rsid w:val="0064634C"/>
    <w:rsid w:val="0064684A"/>
    <w:rsid w:val="00646A68"/>
    <w:rsid w:val="00646BD6"/>
    <w:rsid w:val="006471A7"/>
    <w:rsid w:val="00647B3F"/>
    <w:rsid w:val="00650389"/>
    <w:rsid w:val="006505BD"/>
    <w:rsid w:val="006508EA"/>
    <w:rsid w:val="0065092E"/>
    <w:rsid w:val="006511B6"/>
    <w:rsid w:val="006513D7"/>
    <w:rsid w:val="00651E78"/>
    <w:rsid w:val="00652036"/>
    <w:rsid w:val="00653B84"/>
    <w:rsid w:val="00654013"/>
    <w:rsid w:val="0065454E"/>
    <w:rsid w:val="00654979"/>
    <w:rsid w:val="00655342"/>
    <w:rsid w:val="00655596"/>
    <w:rsid w:val="006557A7"/>
    <w:rsid w:val="006559C9"/>
    <w:rsid w:val="00655AAD"/>
    <w:rsid w:val="00656290"/>
    <w:rsid w:val="00656615"/>
    <w:rsid w:val="006567FB"/>
    <w:rsid w:val="00657112"/>
    <w:rsid w:val="00657590"/>
    <w:rsid w:val="00660084"/>
    <w:rsid w:val="006601C9"/>
    <w:rsid w:val="006607B0"/>
    <w:rsid w:val="006608D8"/>
    <w:rsid w:val="00660A1A"/>
    <w:rsid w:val="0066110B"/>
    <w:rsid w:val="006621D7"/>
    <w:rsid w:val="0066265A"/>
    <w:rsid w:val="00662D31"/>
    <w:rsid w:val="0066302A"/>
    <w:rsid w:val="006630D9"/>
    <w:rsid w:val="00663575"/>
    <w:rsid w:val="00663BD6"/>
    <w:rsid w:val="00665212"/>
    <w:rsid w:val="006653F0"/>
    <w:rsid w:val="006663F0"/>
    <w:rsid w:val="00666DC6"/>
    <w:rsid w:val="00667419"/>
    <w:rsid w:val="00667770"/>
    <w:rsid w:val="0067058C"/>
    <w:rsid w:val="00670597"/>
    <w:rsid w:val="006706D0"/>
    <w:rsid w:val="00670CDC"/>
    <w:rsid w:val="00673721"/>
    <w:rsid w:val="00673B4B"/>
    <w:rsid w:val="00673FC0"/>
    <w:rsid w:val="006768BD"/>
    <w:rsid w:val="006772DD"/>
    <w:rsid w:val="00677574"/>
    <w:rsid w:val="006808E9"/>
    <w:rsid w:val="006812ED"/>
    <w:rsid w:val="0068204A"/>
    <w:rsid w:val="00682C98"/>
    <w:rsid w:val="00683878"/>
    <w:rsid w:val="00683ACD"/>
    <w:rsid w:val="00683CA9"/>
    <w:rsid w:val="00684380"/>
    <w:rsid w:val="00684512"/>
    <w:rsid w:val="0068454C"/>
    <w:rsid w:val="00684AF6"/>
    <w:rsid w:val="00684CB9"/>
    <w:rsid w:val="00684DB1"/>
    <w:rsid w:val="006851C5"/>
    <w:rsid w:val="006855CC"/>
    <w:rsid w:val="0068611D"/>
    <w:rsid w:val="00687225"/>
    <w:rsid w:val="00690110"/>
    <w:rsid w:val="00690690"/>
    <w:rsid w:val="00690F8B"/>
    <w:rsid w:val="006911BB"/>
    <w:rsid w:val="00691B62"/>
    <w:rsid w:val="00692014"/>
    <w:rsid w:val="00692275"/>
    <w:rsid w:val="006933B5"/>
    <w:rsid w:val="00693D14"/>
    <w:rsid w:val="00694A8F"/>
    <w:rsid w:val="00695A63"/>
    <w:rsid w:val="00696B49"/>
    <w:rsid w:val="00696F27"/>
    <w:rsid w:val="006973B7"/>
    <w:rsid w:val="006A0702"/>
    <w:rsid w:val="006A0B64"/>
    <w:rsid w:val="006A0E8A"/>
    <w:rsid w:val="006A1578"/>
    <w:rsid w:val="006A18C2"/>
    <w:rsid w:val="006A18E2"/>
    <w:rsid w:val="006A1BAE"/>
    <w:rsid w:val="006A2A3E"/>
    <w:rsid w:val="006A32F3"/>
    <w:rsid w:val="006A3383"/>
    <w:rsid w:val="006A411A"/>
    <w:rsid w:val="006A4980"/>
    <w:rsid w:val="006A6FCE"/>
    <w:rsid w:val="006A7887"/>
    <w:rsid w:val="006B00F3"/>
    <w:rsid w:val="006B077C"/>
    <w:rsid w:val="006B0FD0"/>
    <w:rsid w:val="006B123A"/>
    <w:rsid w:val="006B14DD"/>
    <w:rsid w:val="006B26BF"/>
    <w:rsid w:val="006B3FB8"/>
    <w:rsid w:val="006B4358"/>
    <w:rsid w:val="006B4A8E"/>
    <w:rsid w:val="006B54F8"/>
    <w:rsid w:val="006B55DA"/>
    <w:rsid w:val="006B5EF8"/>
    <w:rsid w:val="006B5FFE"/>
    <w:rsid w:val="006B61A2"/>
    <w:rsid w:val="006B62BA"/>
    <w:rsid w:val="006B67E8"/>
    <w:rsid w:val="006B6803"/>
    <w:rsid w:val="006C0067"/>
    <w:rsid w:val="006C0183"/>
    <w:rsid w:val="006C0C80"/>
    <w:rsid w:val="006C1428"/>
    <w:rsid w:val="006C21D8"/>
    <w:rsid w:val="006C23CF"/>
    <w:rsid w:val="006C27D6"/>
    <w:rsid w:val="006C28AF"/>
    <w:rsid w:val="006C45B4"/>
    <w:rsid w:val="006C4B3B"/>
    <w:rsid w:val="006D0303"/>
    <w:rsid w:val="006D0D42"/>
    <w:rsid w:val="006D0F16"/>
    <w:rsid w:val="006D17C8"/>
    <w:rsid w:val="006D2A3F"/>
    <w:rsid w:val="006D2FBC"/>
    <w:rsid w:val="006D3223"/>
    <w:rsid w:val="006D3AEF"/>
    <w:rsid w:val="006D4222"/>
    <w:rsid w:val="006D457B"/>
    <w:rsid w:val="006D571D"/>
    <w:rsid w:val="006D5826"/>
    <w:rsid w:val="006D5F9B"/>
    <w:rsid w:val="006D6445"/>
    <w:rsid w:val="006D6E15"/>
    <w:rsid w:val="006D6E34"/>
    <w:rsid w:val="006E013C"/>
    <w:rsid w:val="006E138B"/>
    <w:rsid w:val="006E1867"/>
    <w:rsid w:val="006E2C2F"/>
    <w:rsid w:val="006E2EEB"/>
    <w:rsid w:val="006E3B87"/>
    <w:rsid w:val="006E4384"/>
    <w:rsid w:val="006E4F54"/>
    <w:rsid w:val="006E66A0"/>
    <w:rsid w:val="006E6816"/>
    <w:rsid w:val="006F0330"/>
    <w:rsid w:val="006F1FDC"/>
    <w:rsid w:val="006F2B39"/>
    <w:rsid w:val="006F358D"/>
    <w:rsid w:val="006F4536"/>
    <w:rsid w:val="006F607C"/>
    <w:rsid w:val="006F6213"/>
    <w:rsid w:val="006F664A"/>
    <w:rsid w:val="006F6B8C"/>
    <w:rsid w:val="006F6C7E"/>
    <w:rsid w:val="006F70FC"/>
    <w:rsid w:val="00700D2F"/>
    <w:rsid w:val="007013EF"/>
    <w:rsid w:val="00701BFA"/>
    <w:rsid w:val="00701E8B"/>
    <w:rsid w:val="0070264F"/>
    <w:rsid w:val="007045B8"/>
    <w:rsid w:val="007047AD"/>
    <w:rsid w:val="00705312"/>
    <w:rsid w:val="007055BD"/>
    <w:rsid w:val="007055DA"/>
    <w:rsid w:val="007059DA"/>
    <w:rsid w:val="00705C2E"/>
    <w:rsid w:val="00705F75"/>
    <w:rsid w:val="0070661E"/>
    <w:rsid w:val="00706D2A"/>
    <w:rsid w:val="007071E7"/>
    <w:rsid w:val="007072C7"/>
    <w:rsid w:val="00707A80"/>
    <w:rsid w:val="00707D1A"/>
    <w:rsid w:val="007118EF"/>
    <w:rsid w:val="00712B4F"/>
    <w:rsid w:val="00712D16"/>
    <w:rsid w:val="00712DAA"/>
    <w:rsid w:val="00712F28"/>
    <w:rsid w:val="00712FA7"/>
    <w:rsid w:val="00713633"/>
    <w:rsid w:val="00715730"/>
    <w:rsid w:val="00716316"/>
    <w:rsid w:val="0071648B"/>
    <w:rsid w:val="00716960"/>
    <w:rsid w:val="00716B8D"/>
    <w:rsid w:val="00717227"/>
    <w:rsid w:val="007173CA"/>
    <w:rsid w:val="00717D71"/>
    <w:rsid w:val="00717DE6"/>
    <w:rsid w:val="00720013"/>
    <w:rsid w:val="00720F79"/>
    <w:rsid w:val="007216AA"/>
    <w:rsid w:val="00721AB5"/>
    <w:rsid w:val="00721CFB"/>
    <w:rsid w:val="00721DEF"/>
    <w:rsid w:val="00722348"/>
    <w:rsid w:val="00723624"/>
    <w:rsid w:val="00723F29"/>
    <w:rsid w:val="00724A43"/>
    <w:rsid w:val="007264DC"/>
    <w:rsid w:val="00726C6A"/>
    <w:rsid w:val="007273AC"/>
    <w:rsid w:val="0072748D"/>
    <w:rsid w:val="0072786B"/>
    <w:rsid w:val="00727E1D"/>
    <w:rsid w:val="00730DE7"/>
    <w:rsid w:val="00731AD4"/>
    <w:rsid w:val="007328EF"/>
    <w:rsid w:val="00732BA3"/>
    <w:rsid w:val="007333C2"/>
    <w:rsid w:val="00733688"/>
    <w:rsid w:val="0073382A"/>
    <w:rsid w:val="007346E4"/>
    <w:rsid w:val="00735564"/>
    <w:rsid w:val="00735D8A"/>
    <w:rsid w:val="00735D94"/>
    <w:rsid w:val="00736B76"/>
    <w:rsid w:val="007370B6"/>
    <w:rsid w:val="00740452"/>
    <w:rsid w:val="00740F22"/>
    <w:rsid w:val="007415C7"/>
    <w:rsid w:val="00741CF0"/>
    <w:rsid w:val="00741DC0"/>
    <w:rsid w:val="00741F1A"/>
    <w:rsid w:val="00742225"/>
    <w:rsid w:val="007427E7"/>
    <w:rsid w:val="007447DA"/>
    <w:rsid w:val="00744DB7"/>
    <w:rsid w:val="007450F8"/>
    <w:rsid w:val="00745A60"/>
    <w:rsid w:val="00745A86"/>
    <w:rsid w:val="00745D01"/>
    <w:rsid w:val="00745E96"/>
    <w:rsid w:val="007465EA"/>
    <w:rsid w:val="0074696E"/>
    <w:rsid w:val="00746DC9"/>
    <w:rsid w:val="00746F84"/>
    <w:rsid w:val="00750135"/>
    <w:rsid w:val="00750509"/>
    <w:rsid w:val="00750EC2"/>
    <w:rsid w:val="007518CC"/>
    <w:rsid w:val="00752B28"/>
    <w:rsid w:val="0075357B"/>
    <w:rsid w:val="007536BC"/>
    <w:rsid w:val="007537BF"/>
    <w:rsid w:val="007541A9"/>
    <w:rsid w:val="00754787"/>
    <w:rsid w:val="00754E36"/>
    <w:rsid w:val="007554A1"/>
    <w:rsid w:val="00755924"/>
    <w:rsid w:val="007566C2"/>
    <w:rsid w:val="00756CE6"/>
    <w:rsid w:val="0075745A"/>
    <w:rsid w:val="00757F0E"/>
    <w:rsid w:val="007604F4"/>
    <w:rsid w:val="007614C8"/>
    <w:rsid w:val="00761974"/>
    <w:rsid w:val="007620BE"/>
    <w:rsid w:val="00763057"/>
    <w:rsid w:val="00763139"/>
    <w:rsid w:val="007637AA"/>
    <w:rsid w:val="0076571F"/>
    <w:rsid w:val="00765B55"/>
    <w:rsid w:val="00766651"/>
    <w:rsid w:val="007671D0"/>
    <w:rsid w:val="00767F9E"/>
    <w:rsid w:val="0077018D"/>
    <w:rsid w:val="0077076D"/>
    <w:rsid w:val="00770841"/>
    <w:rsid w:val="00770F37"/>
    <w:rsid w:val="007711A0"/>
    <w:rsid w:val="0077297B"/>
    <w:rsid w:val="00772A89"/>
    <w:rsid w:val="00772D5E"/>
    <w:rsid w:val="007732CA"/>
    <w:rsid w:val="00773459"/>
    <w:rsid w:val="0077463E"/>
    <w:rsid w:val="00774AC4"/>
    <w:rsid w:val="007760CD"/>
    <w:rsid w:val="0077624B"/>
    <w:rsid w:val="007764E9"/>
    <w:rsid w:val="00776928"/>
    <w:rsid w:val="00776D56"/>
    <w:rsid w:val="00776E0F"/>
    <w:rsid w:val="00776E7B"/>
    <w:rsid w:val="007774B1"/>
    <w:rsid w:val="007775C1"/>
    <w:rsid w:val="00777BE1"/>
    <w:rsid w:val="00780F12"/>
    <w:rsid w:val="0078102D"/>
    <w:rsid w:val="00781F2A"/>
    <w:rsid w:val="00782222"/>
    <w:rsid w:val="00782A17"/>
    <w:rsid w:val="00782CB4"/>
    <w:rsid w:val="007833D8"/>
    <w:rsid w:val="00783F72"/>
    <w:rsid w:val="00785461"/>
    <w:rsid w:val="00785677"/>
    <w:rsid w:val="00786F16"/>
    <w:rsid w:val="00787FA0"/>
    <w:rsid w:val="00790065"/>
    <w:rsid w:val="0079085A"/>
    <w:rsid w:val="00790E45"/>
    <w:rsid w:val="00791A7C"/>
    <w:rsid w:val="00791BD7"/>
    <w:rsid w:val="007925F5"/>
    <w:rsid w:val="007933F7"/>
    <w:rsid w:val="00794ABB"/>
    <w:rsid w:val="0079536F"/>
    <w:rsid w:val="00796813"/>
    <w:rsid w:val="00796CCD"/>
    <w:rsid w:val="00796E20"/>
    <w:rsid w:val="007971D4"/>
    <w:rsid w:val="00797C32"/>
    <w:rsid w:val="007A01BD"/>
    <w:rsid w:val="007A0417"/>
    <w:rsid w:val="007A0952"/>
    <w:rsid w:val="007A11E8"/>
    <w:rsid w:val="007A15FA"/>
    <w:rsid w:val="007A1D30"/>
    <w:rsid w:val="007A2E3D"/>
    <w:rsid w:val="007A368E"/>
    <w:rsid w:val="007A39DC"/>
    <w:rsid w:val="007A3F51"/>
    <w:rsid w:val="007A427D"/>
    <w:rsid w:val="007A4A13"/>
    <w:rsid w:val="007A4D84"/>
    <w:rsid w:val="007A59D2"/>
    <w:rsid w:val="007A5F27"/>
    <w:rsid w:val="007A6D12"/>
    <w:rsid w:val="007A73D6"/>
    <w:rsid w:val="007A7553"/>
    <w:rsid w:val="007A7F40"/>
    <w:rsid w:val="007B0914"/>
    <w:rsid w:val="007B0C29"/>
    <w:rsid w:val="007B0CDD"/>
    <w:rsid w:val="007B1374"/>
    <w:rsid w:val="007B25D2"/>
    <w:rsid w:val="007B2903"/>
    <w:rsid w:val="007B2A71"/>
    <w:rsid w:val="007B30E4"/>
    <w:rsid w:val="007B32E5"/>
    <w:rsid w:val="007B3C0C"/>
    <w:rsid w:val="007B3DB9"/>
    <w:rsid w:val="007B5408"/>
    <w:rsid w:val="007B5631"/>
    <w:rsid w:val="007B589F"/>
    <w:rsid w:val="007B6186"/>
    <w:rsid w:val="007B6686"/>
    <w:rsid w:val="007B6BBE"/>
    <w:rsid w:val="007B71E0"/>
    <w:rsid w:val="007B726F"/>
    <w:rsid w:val="007B73BC"/>
    <w:rsid w:val="007C009A"/>
    <w:rsid w:val="007C10BC"/>
    <w:rsid w:val="007C1335"/>
    <w:rsid w:val="007C1838"/>
    <w:rsid w:val="007C20B9"/>
    <w:rsid w:val="007C2DCC"/>
    <w:rsid w:val="007C3F7F"/>
    <w:rsid w:val="007C50F2"/>
    <w:rsid w:val="007C6496"/>
    <w:rsid w:val="007C6685"/>
    <w:rsid w:val="007C70C7"/>
    <w:rsid w:val="007C7301"/>
    <w:rsid w:val="007C7859"/>
    <w:rsid w:val="007C7F28"/>
    <w:rsid w:val="007D0349"/>
    <w:rsid w:val="007D0B14"/>
    <w:rsid w:val="007D1025"/>
    <w:rsid w:val="007D1466"/>
    <w:rsid w:val="007D217D"/>
    <w:rsid w:val="007D2BDE"/>
    <w:rsid w:val="007D2FB6"/>
    <w:rsid w:val="007D3301"/>
    <w:rsid w:val="007D3D1A"/>
    <w:rsid w:val="007D4185"/>
    <w:rsid w:val="007D49EB"/>
    <w:rsid w:val="007D4B73"/>
    <w:rsid w:val="007D5141"/>
    <w:rsid w:val="007D5952"/>
    <w:rsid w:val="007D5D38"/>
    <w:rsid w:val="007D5E1C"/>
    <w:rsid w:val="007D5E8A"/>
    <w:rsid w:val="007D66A0"/>
    <w:rsid w:val="007D67F4"/>
    <w:rsid w:val="007D6DA8"/>
    <w:rsid w:val="007D7C8F"/>
    <w:rsid w:val="007E0703"/>
    <w:rsid w:val="007E0DE2"/>
    <w:rsid w:val="007E2C0B"/>
    <w:rsid w:val="007E2F5A"/>
    <w:rsid w:val="007E3667"/>
    <w:rsid w:val="007E3749"/>
    <w:rsid w:val="007E38AC"/>
    <w:rsid w:val="007E3A02"/>
    <w:rsid w:val="007E3B19"/>
    <w:rsid w:val="007E3B98"/>
    <w:rsid w:val="007E4128"/>
    <w:rsid w:val="007E417A"/>
    <w:rsid w:val="007E44DE"/>
    <w:rsid w:val="007E4B58"/>
    <w:rsid w:val="007E4BCF"/>
    <w:rsid w:val="007E4C45"/>
    <w:rsid w:val="007E548D"/>
    <w:rsid w:val="007E556E"/>
    <w:rsid w:val="007E7DA7"/>
    <w:rsid w:val="007F1033"/>
    <w:rsid w:val="007F1985"/>
    <w:rsid w:val="007F1992"/>
    <w:rsid w:val="007F1E03"/>
    <w:rsid w:val="007F2C4D"/>
    <w:rsid w:val="007F2E55"/>
    <w:rsid w:val="007F2E93"/>
    <w:rsid w:val="007F31B6"/>
    <w:rsid w:val="007F5123"/>
    <w:rsid w:val="007F546C"/>
    <w:rsid w:val="007F5B09"/>
    <w:rsid w:val="007F5BF4"/>
    <w:rsid w:val="007F625F"/>
    <w:rsid w:val="007F665E"/>
    <w:rsid w:val="007F697A"/>
    <w:rsid w:val="007F7BFE"/>
    <w:rsid w:val="00800412"/>
    <w:rsid w:val="008004BC"/>
    <w:rsid w:val="0080142A"/>
    <w:rsid w:val="00801BE1"/>
    <w:rsid w:val="0080247E"/>
    <w:rsid w:val="00803070"/>
    <w:rsid w:val="008036FF"/>
    <w:rsid w:val="00803E56"/>
    <w:rsid w:val="0080587B"/>
    <w:rsid w:val="00805BFB"/>
    <w:rsid w:val="00806395"/>
    <w:rsid w:val="008063DE"/>
    <w:rsid w:val="00806468"/>
    <w:rsid w:val="00806E51"/>
    <w:rsid w:val="00807295"/>
    <w:rsid w:val="00807E8C"/>
    <w:rsid w:val="00810F51"/>
    <w:rsid w:val="008119CA"/>
    <w:rsid w:val="0081239F"/>
    <w:rsid w:val="008130C4"/>
    <w:rsid w:val="00813D56"/>
    <w:rsid w:val="00813FF2"/>
    <w:rsid w:val="00814414"/>
    <w:rsid w:val="00815128"/>
    <w:rsid w:val="008153A6"/>
    <w:rsid w:val="008155F0"/>
    <w:rsid w:val="00815BD9"/>
    <w:rsid w:val="008161C3"/>
    <w:rsid w:val="00816735"/>
    <w:rsid w:val="008178F6"/>
    <w:rsid w:val="00820141"/>
    <w:rsid w:val="00820180"/>
    <w:rsid w:val="008209C9"/>
    <w:rsid w:val="00820E0C"/>
    <w:rsid w:val="00821D0B"/>
    <w:rsid w:val="0082229C"/>
    <w:rsid w:val="0082291A"/>
    <w:rsid w:val="00823275"/>
    <w:rsid w:val="0082366F"/>
    <w:rsid w:val="0082429B"/>
    <w:rsid w:val="008257B6"/>
    <w:rsid w:val="008269A7"/>
    <w:rsid w:val="00830248"/>
    <w:rsid w:val="008302B0"/>
    <w:rsid w:val="008331A3"/>
    <w:rsid w:val="0083354B"/>
    <w:rsid w:val="008338A2"/>
    <w:rsid w:val="00834478"/>
    <w:rsid w:val="00834C7B"/>
    <w:rsid w:val="00835806"/>
    <w:rsid w:val="00836449"/>
    <w:rsid w:val="00837960"/>
    <w:rsid w:val="008404B4"/>
    <w:rsid w:val="00840570"/>
    <w:rsid w:val="00840937"/>
    <w:rsid w:val="008410ED"/>
    <w:rsid w:val="00841AA9"/>
    <w:rsid w:val="00841E16"/>
    <w:rsid w:val="0084352F"/>
    <w:rsid w:val="00843C7E"/>
    <w:rsid w:val="00844247"/>
    <w:rsid w:val="008453AE"/>
    <w:rsid w:val="00846D8F"/>
    <w:rsid w:val="008474FE"/>
    <w:rsid w:val="00847E2F"/>
    <w:rsid w:val="00851C49"/>
    <w:rsid w:val="00851ED0"/>
    <w:rsid w:val="0085311E"/>
    <w:rsid w:val="00853EE4"/>
    <w:rsid w:val="0085444C"/>
    <w:rsid w:val="00854D5A"/>
    <w:rsid w:val="00855535"/>
    <w:rsid w:val="00855770"/>
    <w:rsid w:val="0085641E"/>
    <w:rsid w:val="0085661D"/>
    <w:rsid w:val="008579F8"/>
    <w:rsid w:val="00857C5A"/>
    <w:rsid w:val="00857DBF"/>
    <w:rsid w:val="00857F9F"/>
    <w:rsid w:val="00860CAB"/>
    <w:rsid w:val="0086255E"/>
    <w:rsid w:val="0086287F"/>
    <w:rsid w:val="008628DC"/>
    <w:rsid w:val="00862E53"/>
    <w:rsid w:val="008633F0"/>
    <w:rsid w:val="00863AC6"/>
    <w:rsid w:val="00863CF5"/>
    <w:rsid w:val="008649D4"/>
    <w:rsid w:val="00864B7B"/>
    <w:rsid w:val="00865031"/>
    <w:rsid w:val="008659E0"/>
    <w:rsid w:val="00865ED2"/>
    <w:rsid w:val="0086605E"/>
    <w:rsid w:val="00867196"/>
    <w:rsid w:val="00867D9D"/>
    <w:rsid w:val="008729B0"/>
    <w:rsid w:val="00872BE3"/>
    <w:rsid w:val="00872E0A"/>
    <w:rsid w:val="00872E69"/>
    <w:rsid w:val="00872EAD"/>
    <w:rsid w:val="00873497"/>
    <w:rsid w:val="00873594"/>
    <w:rsid w:val="00873678"/>
    <w:rsid w:val="00873E7A"/>
    <w:rsid w:val="008741D1"/>
    <w:rsid w:val="00875285"/>
    <w:rsid w:val="00875CD8"/>
    <w:rsid w:val="00875E37"/>
    <w:rsid w:val="00877088"/>
    <w:rsid w:val="008770A7"/>
    <w:rsid w:val="00877B51"/>
    <w:rsid w:val="00877F47"/>
    <w:rsid w:val="00877F6E"/>
    <w:rsid w:val="00877FE7"/>
    <w:rsid w:val="00877FF7"/>
    <w:rsid w:val="00880C4E"/>
    <w:rsid w:val="0088190C"/>
    <w:rsid w:val="00881D2F"/>
    <w:rsid w:val="00882993"/>
    <w:rsid w:val="0088354E"/>
    <w:rsid w:val="00884B62"/>
    <w:rsid w:val="0088529C"/>
    <w:rsid w:val="00885A20"/>
    <w:rsid w:val="00886614"/>
    <w:rsid w:val="00887146"/>
    <w:rsid w:val="00887903"/>
    <w:rsid w:val="00887952"/>
    <w:rsid w:val="0089270A"/>
    <w:rsid w:val="00893AF6"/>
    <w:rsid w:val="00894BC4"/>
    <w:rsid w:val="00895C1C"/>
    <w:rsid w:val="00895E29"/>
    <w:rsid w:val="00895E35"/>
    <w:rsid w:val="00896065"/>
    <w:rsid w:val="00896890"/>
    <w:rsid w:val="008969B4"/>
    <w:rsid w:val="00896A1F"/>
    <w:rsid w:val="00897671"/>
    <w:rsid w:val="008977D1"/>
    <w:rsid w:val="00897D84"/>
    <w:rsid w:val="00897DFE"/>
    <w:rsid w:val="008A04B5"/>
    <w:rsid w:val="008A04F5"/>
    <w:rsid w:val="008A0972"/>
    <w:rsid w:val="008A278B"/>
    <w:rsid w:val="008A28A8"/>
    <w:rsid w:val="008A356D"/>
    <w:rsid w:val="008A35AE"/>
    <w:rsid w:val="008A366D"/>
    <w:rsid w:val="008A3A38"/>
    <w:rsid w:val="008A482E"/>
    <w:rsid w:val="008A4A90"/>
    <w:rsid w:val="008A54AC"/>
    <w:rsid w:val="008A5B32"/>
    <w:rsid w:val="008A5D36"/>
    <w:rsid w:val="008A7A12"/>
    <w:rsid w:val="008B2029"/>
    <w:rsid w:val="008B2EE4"/>
    <w:rsid w:val="008B36EA"/>
    <w:rsid w:val="008B372D"/>
    <w:rsid w:val="008B3821"/>
    <w:rsid w:val="008B4D3D"/>
    <w:rsid w:val="008B57C7"/>
    <w:rsid w:val="008B7B89"/>
    <w:rsid w:val="008B7B9C"/>
    <w:rsid w:val="008B7E92"/>
    <w:rsid w:val="008C0155"/>
    <w:rsid w:val="008C01F7"/>
    <w:rsid w:val="008C0EE3"/>
    <w:rsid w:val="008C1031"/>
    <w:rsid w:val="008C1759"/>
    <w:rsid w:val="008C1775"/>
    <w:rsid w:val="008C2F92"/>
    <w:rsid w:val="008C3546"/>
    <w:rsid w:val="008C4016"/>
    <w:rsid w:val="008C4308"/>
    <w:rsid w:val="008C481F"/>
    <w:rsid w:val="008C5447"/>
    <w:rsid w:val="008C589D"/>
    <w:rsid w:val="008C58B4"/>
    <w:rsid w:val="008C58C6"/>
    <w:rsid w:val="008C6D51"/>
    <w:rsid w:val="008C7178"/>
    <w:rsid w:val="008C7361"/>
    <w:rsid w:val="008D12F3"/>
    <w:rsid w:val="008D16E3"/>
    <w:rsid w:val="008D2435"/>
    <w:rsid w:val="008D25C5"/>
    <w:rsid w:val="008D2846"/>
    <w:rsid w:val="008D2B30"/>
    <w:rsid w:val="008D3CF7"/>
    <w:rsid w:val="008D4236"/>
    <w:rsid w:val="008D4242"/>
    <w:rsid w:val="008D462F"/>
    <w:rsid w:val="008D4F1B"/>
    <w:rsid w:val="008D5365"/>
    <w:rsid w:val="008D6DCF"/>
    <w:rsid w:val="008D6F17"/>
    <w:rsid w:val="008D7EB1"/>
    <w:rsid w:val="008E03D1"/>
    <w:rsid w:val="008E0975"/>
    <w:rsid w:val="008E0F40"/>
    <w:rsid w:val="008E1256"/>
    <w:rsid w:val="008E1839"/>
    <w:rsid w:val="008E2C27"/>
    <w:rsid w:val="008E2D57"/>
    <w:rsid w:val="008E3D7D"/>
    <w:rsid w:val="008E3EFA"/>
    <w:rsid w:val="008E4376"/>
    <w:rsid w:val="008E4677"/>
    <w:rsid w:val="008E47E2"/>
    <w:rsid w:val="008E5D7C"/>
    <w:rsid w:val="008E5D9D"/>
    <w:rsid w:val="008E667E"/>
    <w:rsid w:val="008E6F32"/>
    <w:rsid w:val="008E74C5"/>
    <w:rsid w:val="008E7719"/>
    <w:rsid w:val="008E7A0A"/>
    <w:rsid w:val="008E7B49"/>
    <w:rsid w:val="008F05C5"/>
    <w:rsid w:val="008F0959"/>
    <w:rsid w:val="008F183F"/>
    <w:rsid w:val="008F18C8"/>
    <w:rsid w:val="008F28E5"/>
    <w:rsid w:val="008F32E1"/>
    <w:rsid w:val="008F42D9"/>
    <w:rsid w:val="008F4BDC"/>
    <w:rsid w:val="008F57C5"/>
    <w:rsid w:val="008F5893"/>
    <w:rsid w:val="008F590F"/>
    <w:rsid w:val="008F59F6"/>
    <w:rsid w:val="008F6C91"/>
    <w:rsid w:val="008F6D98"/>
    <w:rsid w:val="008F741E"/>
    <w:rsid w:val="008F763F"/>
    <w:rsid w:val="008F7ED2"/>
    <w:rsid w:val="008F7FB3"/>
    <w:rsid w:val="009001F4"/>
    <w:rsid w:val="00900719"/>
    <w:rsid w:val="009015F4"/>
    <w:rsid w:val="009017AC"/>
    <w:rsid w:val="00901941"/>
    <w:rsid w:val="00902A9A"/>
    <w:rsid w:val="009031C5"/>
    <w:rsid w:val="00903DDA"/>
    <w:rsid w:val="00904A1C"/>
    <w:rsid w:val="00904B42"/>
    <w:rsid w:val="00905030"/>
    <w:rsid w:val="00906490"/>
    <w:rsid w:val="009073B5"/>
    <w:rsid w:val="009101C3"/>
    <w:rsid w:val="0091033F"/>
    <w:rsid w:val="0091034B"/>
    <w:rsid w:val="009103C2"/>
    <w:rsid w:val="00910866"/>
    <w:rsid w:val="00910D1E"/>
    <w:rsid w:val="00910DBC"/>
    <w:rsid w:val="009111B2"/>
    <w:rsid w:val="00911620"/>
    <w:rsid w:val="0091183C"/>
    <w:rsid w:val="00911AB6"/>
    <w:rsid w:val="00911E81"/>
    <w:rsid w:val="00913B6D"/>
    <w:rsid w:val="0091447F"/>
    <w:rsid w:val="009151F5"/>
    <w:rsid w:val="009155D0"/>
    <w:rsid w:val="00915897"/>
    <w:rsid w:val="00916515"/>
    <w:rsid w:val="0091693B"/>
    <w:rsid w:val="009202D3"/>
    <w:rsid w:val="009207E0"/>
    <w:rsid w:val="00921446"/>
    <w:rsid w:val="00922DEA"/>
    <w:rsid w:val="00923030"/>
    <w:rsid w:val="00923449"/>
    <w:rsid w:val="0092433A"/>
    <w:rsid w:val="00924593"/>
    <w:rsid w:val="00924754"/>
    <w:rsid w:val="00924AE1"/>
    <w:rsid w:val="00924BD9"/>
    <w:rsid w:val="00925A2C"/>
    <w:rsid w:val="00926747"/>
    <w:rsid w:val="009269B1"/>
    <w:rsid w:val="00926A88"/>
    <w:rsid w:val="0092724D"/>
    <w:rsid w:val="009272B3"/>
    <w:rsid w:val="009273B4"/>
    <w:rsid w:val="0092777F"/>
    <w:rsid w:val="00930607"/>
    <w:rsid w:val="00930FAE"/>
    <w:rsid w:val="009314EC"/>
    <w:rsid w:val="009315BE"/>
    <w:rsid w:val="00931776"/>
    <w:rsid w:val="009326DD"/>
    <w:rsid w:val="00932E3F"/>
    <w:rsid w:val="0093322B"/>
    <w:rsid w:val="0093338F"/>
    <w:rsid w:val="00933398"/>
    <w:rsid w:val="00933A59"/>
    <w:rsid w:val="0093459E"/>
    <w:rsid w:val="00934FF8"/>
    <w:rsid w:val="009366AC"/>
    <w:rsid w:val="009370D0"/>
    <w:rsid w:val="00937BD9"/>
    <w:rsid w:val="00937FE8"/>
    <w:rsid w:val="00940F0C"/>
    <w:rsid w:val="00941352"/>
    <w:rsid w:val="00941823"/>
    <w:rsid w:val="0094412F"/>
    <w:rsid w:val="00945914"/>
    <w:rsid w:val="00946395"/>
    <w:rsid w:val="009468F4"/>
    <w:rsid w:val="00947E70"/>
    <w:rsid w:val="00950E2C"/>
    <w:rsid w:val="00951D1B"/>
    <w:rsid w:val="00951D50"/>
    <w:rsid w:val="00951D9D"/>
    <w:rsid w:val="009525EB"/>
    <w:rsid w:val="00952D07"/>
    <w:rsid w:val="0095346A"/>
    <w:rsid w:val="009534DD"/>
    <w:rsid w:val="0095379E"/>
    <w:rsid w:val="00953BA0"/>
    <w:rsid w:val="00953BFB"/>
    <w:rsid w:val="0095470B"/>
    <w:rsid w:val="00954874"/>
    <w:rsid w:val="00954EE4"/>
    <w:rsid w:val="009553D7"/>
    <w:rsid w:val="0095562F"/>
    <w:rsid w:val="009557A9"/>
    <w:rsid w:val="00955968"/>
    <w:rsid w:val="00955A81"/>
    <w:rsid w:val="00955AD9"/>
    <w:rsid w:val="0095615A"/>
    <w:rsid w:val="00956F13"/>
    <w:rsid w:val="009577ED"/>
    <w:rsid w:val="00957E00"/>
    <w:rsid w:val="009602F5"/>
    <w:rsid w:val="00960B7A"/>
    <w:rsid w:val="009610D2"/>
    <w:rsid w:val="00961400"/>
    <w:rsid w:val="00961480"/>
    <w:rsid w:val="0096224F"/>
    <w:rsid w:val="00963646"/>
    <w:rsid w:val="00963964"/>
    <w:rsid w:val="00963CE1"/>
    <w:rsid w:val="00964027"/>
    <w:rsid w:val="0096483B"/>
    <w:rsid w:val="00964A28"/>
    <w:rsid w:val="00965060"/>
    <w:rsid w:val="0096632D"/>
    <w:rsid w:val="00966CA0"/>
    <w:rsid w:val="00967124"/>
    <w:rsid w:val="0096726E"/>
    <w:rsid w:val="009701D0"/>
    <w:rsid w:val="009705A2"/>
    <w:rsid w:val="00970D15"/>
    <w:rsid w:val="0097166C"/>
    <w:rsid w:val="009717DF"/>
    <w:rsid w:val="009718C7"/>
    <w:rsid w:val="00972A1B"/>
    <w:rsid w:val="00972FFE"/>
    <w:rsid w:val="009738DB"/>
    <w:rsid w:val="00974AC8"/>
    <w:rsid w:val="00974AF9"/>
    <w:rsid w:val="00974BB6"/>
    <w:rsid w:val="00974E40"/>
    <w:rsid w:val="0097559F"/>
    <w:rsid w:val="0097595F"/>
    <w:rsid w:val="00975D1B"/>
    <w:rsid w:val="009761EA"/>
    <w:rsid w:val="0097621B"/>
    <w:rsid w:val="009772AD"/>
    <w:rsid w:val="0097761E"/>
    <w:rsid w:val="00980A32"/>
    <w:rsid w:val="009819BB"/>
    <w:rsid w:val="00982454"/>
    <w:rsid w:val="00982CF0"/>
    <w:rsid w:val="0098352B"/>
    <w:rsid w:val="00983919"/>
    <w:rsid w:val="0098462C"/>
    <w:rsid w:val="00984754"/>
    <w:rsid w:val="009853E1"/>
    <w:rsid w:val="009856FC"/>
    <w:rsid w:val="00985E11"/>
    <w:rsid w:val="00986302"/>
    <w:rsid w:val="00986E6B"/>
    <w:rsid w:val="00987DD3"/>
    <w:rsid w:val="00990032"/>
    <w:rsid w:val="0099022F"/>
    <w:rsid w:val="00990A57"/>
    <w:rsid w:val="00990B19"/>
    <w:rsid w:val="0099153B"/>
    <w:rsid w:val="00991769"/>
    <w:rsid w:val="009917DD"/>
    <w:rsid w:val="00991E22"/>
    <w:rsid w:val="0099232C"/>
    <w:rsid w:val="00993BC8"/>
    <w:rsid w:val="00994386"/>
    <w:rsid w:val="00994D8D"/>
    <w:rsid w:val="009952CC"/>
    <w:rsid w:val="0099568A"/>
    <w:rsid w:val="0099623C"/>
    <w:rsid w:val="00996B34"/>
    <w:rsid w:val="0099708D"/>
    <w:rsid w:val="00997619"/>
    <w:rsid w:val="009A09F2"/>
    <w:rsid w:val="009A138B"/>
    <w:rsid w:val="009A13D8"/>
    <w:rsid w:val="009A1976"/>
    <w:rsid w:val="009A2101"/>
    <w:rsid w:val="009A2563"/>
    <w:rsid w:val="009A271A"/>
    <w:rsid w:val="009A279E"/>
    <w:rsid w:val="009A2D65"/>
    <w:rsid w:val="009A3015"/>
    <w:rsid w:val="009A3490"/>
    <w:rsid w:val="009A4376"/>
    <w:rsid w:val="009A5219"/>
    <w:rsid w:val="009A52D1"/>
    <w:rsid w:val="009A59D3"/>
    <w:rsid w:val="009A6775"/>
    <w:rsid w:val="009A7946"/>
    <w:rsid w:val="009A79BD"/>
    <w:rsid w:val="009B004E"/>
    <w:rsid w:val="009B09E4"/>
    <w:rsid w:val="009B0A6F"/>
    <w:rsid w:val="009B0A94"/>
    <w:rsid w:val="009B0C62"/>
    <w:rsid w:val="009B143A"/>
    <w:rsid w:val="009B294B"/>
    <w:rsid w:val="009B2AE8"/>
    <w:rsid w:val="009B3A5A"/>
    <w:rsid w:val="009B4432"/>
    <w:rsid w:val="009B5622"/>
    <w:rsid w:val="009B5854"/>
    <w:rsid w:val="009B592F"/>
    <w:rsid w:val="009B59E9"/>
    <w:rsid w:val="009B6467"/>
    <w:rsid w:val="009B70AA"/>
    <w:rsid w:val="009B75A9"/>
    <w:rsid w:val="009B7C24"/>
    <w:rsid w:val="009C0253"/>
    <w:rsid w:val="009C0F50"/>
    <w:rsid w:val="009C1E0E"/>
    <w:rsid w:val="009C1FD6"/>
    <w:rsid w:val="009C2362"/>
    <w:rsid w:val="009C245E"/>
    <w:rsid w:val="009C323C"/>
    <w:rsid w:val="009C3263"/>
    <w:rsid w:val="009C356F"/>
    <w:rsid w:val="009C4EF4"/>
    <w:rsid w:val="009C5CF1"/>
    <w:rsid w:val="009C5E77"/>
    <w:rsid w:val="009C5F30"/>
    <w:rsid w:val="009C7A7E"/>
    <w:rsid w:val="009D02E8"/>
    <w:rsid w:val="009D0C45"/>
    <w:rsid w:val="009D0D3F"/>
    <w:rsid w:val="009D1073"/>
    <w:rsid w:val="009D16AB"/>
    <w:rsid w:val="009D20C9"/>
    <w:rsid w:val="009D20F2"/>
    <w:rsid w:val="009D3892"/>
    <w:rsid w:val="009D397D"/>
    <w:rsid w:val="009D4284"/>
    <w:rsid w:val="009D51D0"/>
    <w:rsid w:val="009D5774"/>
    <w:rsid w:val="009D683E"/>
    <w:rsid w:val="009D70A4"/>
    <w:rsid w:val="009D7B14"/>
    <w:rsid w:val="009E0403"/>
    <w:rsid w:val="009E05B3"/>
    <w:rsid w:val="009E0856"/>
    <w:rsid w:val="009E08D1"/>
    <w:rsid w:val="009E0B33"/>
    <w:rsid w:val="009E0D96"/>
    <w:rsid w:val="009E14B2"/>
    <w:rsid w:val="009E15B9"/>
    <w:rsid w:val="009E1B95"/>
    <w:rsid w:val="009E25E8"/>
    <w:rsid w:val="009E2EC1"/>
    <w:rsid w:val="009E3477"/>
    <w:rsid w:val="009E3D08"/>
    <w:rsid w:val="009E3EB4"/>
    <w:rsid w:val="009E433D"/>
    <w:rsid w:val="009E496F"/>
    <w:rsid w:val="009E4B0D"/>
    <w:rsid w:val="009E4D8B"/>
    <w:rsid w:val="009E5049"/>
    <w:rsid w:val="009E5250"/>
    <w:rsid w:val="009E5370"/>
    <w:rsid w:val="009E582A"/>
    <w:rsid w:val="009E6A5B"/>
    <w:rsid w:val="009E7A69"/>
    <w:rsid w:val="009E7BD0"/>
    <w:rsid w:val="009E7F92"/>
    <w:rsid w:val="009F02A3"/>
    <w:rsid w:val="009F0BD2"/>
    <w:rsid w:val="009F126F"/>
    <w:rsid w:val="009F2182"/>
    <w:rsid w:val="009F2508"/>
    <w:rsid w:val="009F2E15"/>
    <w:rsid w:val="009F2EF3"/>
    <w:rsid w:val="009F2F27"/>
    <w:rsid w:val="009F34AA"/>
    <w:rsid w:val="009F3C00"/>
    <w:rsid w:val="009F511D"/>
    <w:rsid w:val="009F5C08"/>
    <w:rsid w:val="009F6109"/>
    <w:rsid w:val="009F68E8"/>
    <w:rsid w:val="009F6BCB"/>
    <w:rsid w:val="009F6E78"/>
    <w:rsid w:val="009F7803"/>
    <w:rsid w:val="009F7B78"/>
    <w:rsid w:val="009F7B9A"/>
    <w:rsid w:val="009F7E14"/>
    <w:rsid w:val="00A002FF"/>
    <w:rsid w:val="00A003A3"/>
    <w:rsid w:val="00A0057A"/>
    <w:rsid w:val="00A00C84"/>
    <w:rsid w:val="00A02FA1"/>
    <w:rsid w:val="00A0389C"/>
    <w:rsid w:val="00A03A3D"/>
    <w:rsid w:val="00A03A92"/>
    <w:rsid w:val="00A04659"/>
    <w:rsid w:val="00A04708"/>
    <w:rsid w:val="00A04C6D"/>
    <w:rsid w:val="00A04CCE"/>
    <w:rsid w:val="00A04E14"/>
    <w:rsid w:val="00A052CE"/>
    <w:rsid w:val="00A05347"/>
    <w:rsid w:val="00A05537"/>
    <w:rsid w:val="00A05741"/>
    <w:rsid w:val="00A06EB7"/>
    <w:rsid w:val="00A07421"/>
    <w:rsid w:val="00A0776B"/>
    <w:rsid w:val="00A07B21"/>
    <w:rsid w:val="00A10FB9"/>
    <w:rsid w:val="00A11421"/>
    <w:rsid w:val="00A11EE0"/>
    <w:rsid w:val="00A11FCB"/>
    <w:rsid w:val="00A12A23"/>
    <w:rsid w:val="00A13230"/>
    <w:rsid w:val="00A1389F"/>
    <w:rsid w:val="00A13AC7"/>
    <w:rsid w:val="00A13B7A"/>
    <w:rsid w:val="00A14449"/>
    <w:rsid w:val="00A15765"/>
    <w:rsid w:val="00A157B1"/>
    <w:rsid w:val="00A1602C"/>
    <w:rsid w:val="00A16699"/>
    <w:rsid w:val="00A16CBF"/>
    <w:rsid w:val="00A16F78"/>
    <w:rsid w:val="00A17D05"/>
    <w:rsid w:val="00A17F7F"/>
    <w:rsid w:val="00A20360"/>
    <w:rsid w:val="00A20BD5"/>
    <w:rsid w:val="00A21215"/>
    <w:rsid w:val="00A21C0D"/>
    <w:rsid w:val="00A22229"/>
    <w:rsid w:val="00A2232B"/>
    <w:rsid w:val="00A227A4"/>
    <w:rsid w:val="00A227C9"/>
    <w:rsid w:val="00A22E16"/>
    <w:rsid w:val="00A23923"/>
    <w:rsid w:val="00A24442"/>
    <w:rsid w:val="00A24A5D"/>
    <w:rsid w:val="00A24ADA"/>
    <w:rsid w:val="00A25298"/>
    <w:rsid w:val="00A26147"/>
    <w:rsid w:val="00A2614C"/>
    <w:rsid w:val="00A264DC"/>
    <w:rsid w:val="00A26F9E"/>
    <w:rsid w:val="00A30A38"/>
    <w:rsid w:val="00A30E45"/>
    <w:rsid w:val="00A31A00"/>
    <w:rsid w:val="00A31FE2"/>
    <w:rsid w:val="00A32577"/>
    <w:rsid w:val="00A325C9"/>
    <w:rsid w:val="00A330BB"/>
    <w:rsid w:val="00A334CF"/>
    <w:rsid w:val="00A33F1A"/>
    <w:rsid w:val="00A3458B"/>
    <w:rsid w:val="00A347F3"/>
    <w:rsid w:val="00A36239"/>
    <w:rsid w:val="00A36843"/>
    <w:rsid w:val="00A36907"/>
    <w:rsid w:val="00A36B1E"/>
    <w:rsid w:val="00A409AE"/>
    <w:rsid w:val="00A425A1"/>
    <w:rsid w:val="00A42ADF"/>
    <w:rsid w:val="00A43185"/>
    <w:rsid w:val="00A432DC"/>
    <w:rsid w:val="00A440AB"/>
    <w:rsid w:val="00A442B0"/>
    <w:rsid w:val="00A446F5"/>
    <w:rsid w:val="00A44882"/>
    <w:rsid w:val="00A45125"/>
    <w:rsid w:val="00A460D9"/>
    <w:rsid w:val="00A46DEE"/>
    <w:rsid w:val="00A47265"/>
    <w:rsid w:val="00A5039C"/>
    <w:rsid w:val="00A50CF2"/>
    <w:rsid w:val="00A5179E"/>
    <w:rsid w:val="00A51D1D"/>
    <w:rsid w:val="00A51EFD"/>
    <w:rsid w:val="00A5267D"/>
    <w:rsid w:val="00A54425"/>
    <w:rsid w:val="00A54589"/>
    <w:rsid w:val="00A54715"/>
    <w:rsid w:val="00A54899"/>
    <w:rsid w:val="00A56BC1"/>
    <w:rsid w:val="00A56CE2"/>
    <w:rsid w:val="00A57205"/>
    <w:rsid w:val="00A6061C"/>
    <w:rsid w:val="00A60744"/>
    <w:rsid w:val="00A60AFC"/>
    <w:rsid w:val="00A60C05"/>
    <w:rsid w:val="00A62D44"/>
    <w:rsid w:val="00A638E3"/>
    <w:rsid w:val="00A6491E"/>
    <w:rsid w:val="00A65369"/>
    <w:rsid w:val="00A655BD"/>
    <w:rsid w:val="00A65947"/>
    <w:rsid w:val="00A6687C"/>
    <w:rsid w:val="00A66F43"/>
    <w:rsid w:val="00A67263"/>
    <w:rsid w:val="00A673CE"/>
    <w:rsid w:val="00A67625"/>
    <w:rsid w:val="00A6787D"/>
    <w:rsid w:val="00A67F61"/>
    <w:rsid w:val="00A703DE"/>
    <w:rsid w:val="00A70AE4"/>
    <w:rsid w:val="00A715C4"/>
    <w:rsid w:val="00A7161C"/>
    <w:rsid w:val="00A71CE4"/>
    <w:rsid w:val="00A72702"/>
    <w:rsid w:val="00A72780"/>
    <w:rsid w:val="00A73A9D"/>
    <w:rsid w:val="00A756F3"/>
    <w:rsid w:val="00A75ED6"/>
    <w:rsid w:val="00A762CC"/>
    <w:rsid w:val="00A76BDB"/>
    <w:rsid w:val="00A7725E"/>
    <w:rsid w:val="00A7794F"/>
    <w:rsid w:val="00A77AA3"/>
    <w:rsid w:val="00A802E0"/>
    <w:rsid w:val="00A80F64"/>
    <w:rsid w:val="00A820BF"/>
    <w:rsid w:val="00A8236D"/>
    <w:rsid w:val="00A82DD3"/>
    <w:rsid w:val="00A82E30"/>
    <w:rsid w:val="00A82EF3"/>
    <w:rsid w:val="00A83087"/>
    <w:rsid w:val="00A832BA"/>
    <w:rsid w:val="00A8364E"/>
    <w:rsid w:val="00A85004"/>
    <w:rsid w:val="00A854EB"/>
    <w:rsid w:val="00A85968"/>
    <w:rsid w:val="00A85A87"/>
    <w:rsid w:val="00A8614D"/>
    <w:rsid w:val="00A86799"/>
    <w:rsid w:val="00A872E5"/>
    <w:rsid w:val="00A877A7"/>
    <w:rsid w:val="00A9109E"/>
    <w:rsid w:val="00A911B2"/>
    <w:rsid w:val="00A91406"/>
    <w:rsid w:val="00A91421"/>
    <w:rsid w:val="00A917DE"/>
    <w:rsid w:val="00A933D4"/>
    <w:rsid w:val="00A93FEE"/>
    <w:rsid w:val="00A9534F"/>
    <w:rsid w:val="00A9557A"/>
    <w:rsid w:val="00A95782"/>
    <w:rsid w:val="00A95B2A"/>
    <w:rsid w:val="00A964A2"/>
    <w:rsid w:val="00A9678D"/>
    <w:rsid w:val="00A96E5F"/>
    <w:rsid w:val="00A96E65"/>
    <w:rsid w:val="00A96ECE"/>
    <w:rsid w:val="00A96FF1"/>
    <w:rsid w:val="00A975ED"/>
    <w:rsid w:val="00A97C72"/>
    <w:rsid w:val="00AA0324"/>
    <w:rsid w:val="00AA0F0F"/>
    <w:rsid w:val="00AA2E0B"/>
    <w:rsid w:val="00AA310B"/>
    <w:rsid w:val="00AA328E"/>
    <w:rsid w:val="00AA336E"/>
    <w:rsid w:val="00AA50B2"/>
    <w:rsid w:val="00AA6014"/>
    <w:rsid w:val="00AA63D4"/>
    <w:rsid w:val="00AA7470"/>
    <w:rsid w:val="00AA780D"/>
    <w:rsid w:val="00AA7C89"/>
    <w:rsid w:val="00AB0525"/>
    <w:rsid w:val="00AB06E8"/>
    <w:rsid w:val="00AB1362"/>
    <w:rsid w:val="00AB1CD3"/>
    <w:rsid w:val="00AB22A9"/>
    <w:rsid w:val="00AB352F"/>
    <w:rsid w:val="00AB3C7B"/>
    <w:rsid w:val="00AB57A0"/>
    <w:rsid w:val="00AB5F78"/>
    <w:rsid w:val="00AB7096"/>
    <w:rsid w:val="00AB70CA"/>
    <w:rsid w:val="00AB78C8"/>
    <w:rsid w:val="00AC274B"/>
    <w:rsid w:val="00AC330C"/>
    <w:rsid w:val="00AC4010"/>
    <w:rsid w:val="00AC4541"/>
    <w:rsid w:val="00AC4764"/>
    <w:rsid w:val="00AC594F"/>
    <w:rsid w:val="00AC5BFE"/>
    <w:rsid w:val="00AC5E6F"/>
    <w:rsid w:val="00AC64FD"/>
    <w:rsid w:val="00AC6D36"/>
    <w:rsid w:val="00AC7882"/>
    <w:rsid w:val="00AC7A6C"/>
    <w:rsid w:val="00AC7FF1"/>
    <w:rsid w:val="00AD03CF"/>
    <w:rsid w:val="00AD0CBA"/>
    <w:rsid w:val="00AD1960"/>
    <w:rsid w:val="00AD1E76"/>
    <w:rsid w:val="00AD26E2"/>
    <w:rsid w:val="00AD402A"/>
    <w:rsid w:val="00AD4432"/>
    <w:rsid w:val="00AD4708"/>
    <w:rsid w:val="00AD4758"/>
    <w:rsid w:val="00AD4E20"/>
    <w:rsid w:val="00AD613C"/>
    <w:rsid w:val="00AD63A0"/>
    <w:rsid w:val="00AD6AF4"/>
    <w:rsid w:val="00AD784C"/>
    <w:rsid w:val="00AE003C"/>
    <w:rsid w:val="00AE0F8E"/>
    <w:rsid w:val="00AE0FAF"/>
    <w:rsid w:val="00AE126A"/>
    <w:rsid w:val="00AE18B3"/>
    <w:rsid w:val="00AE1A74"/>
    <w:rsid w:val="00AE1BAE"/>
    <w:rsid w:val="00AE2752"/>
    <w:rsid w:val="00AE2F71"/>
    <w:rsid w:val="00AE3005"/>
    <w:rsid w:val="00AE3BD5"/>
    <w:rsid w:val="00AE4D31"/>
    <w:rsid w:val="00AE59A0"/>
    <w:rsid w:val="00AE616B"/>
    <w:rsid w:val="00AE6920"/>
    <w:rsid w:val="00AE7D2C"/>
    <w:rsid w:val="00AE7F68"/>
    <w:rsid w:val="00AE7F7B"/>
    <w:rsid w:val="00AF07F8"/>
    <w:rsid w:val="00AF0C57"/>
    <w:rsid w:val="00AF1F87"/>
    <w:rsid w:val="00AF26F3"/>
    <w:rsid w:val="00AF5441"/>
    <w:rsid w:val="00AF58E2"/>
    <w:rsid w:val="00AF5F04"/>
    <w:rsid w:val="00AF6C25"/>
    <w:rsid w:val="00AF7367"/>
    <w:rsid w:val="00AF78AB"/>
    <w:rsid w:val="00AF7AA7"/>
    <w:rsid w:val="00AF7B23"/>
    <w:rsid w:val="00B00672"/>
    <w:rsid w:val="00B01967"/>
    <w:rsid w:val="00B01B4D"/>
    <w:rsid w:val="00B01E7C"/>
    <w:rsid w:val="00B04489"/>
    <w:rsid w:val="00B059F7"/>
    <w:rsid w:val="00B05BA0"/>
    <w:rsid w:val="00B05CA1"/>
    <w:rsid w:val="00B06571"/>
    <w:rsid w:val="00B068BA"/>
    <w:rsid w:val="00B06ED2"/>
    <w:rsid w:val="00B07217"/>
    <w:rsid w:val="00B07C6B"/>
    <w:rsid w:val="00B1169C"/>
    <w:rsid w:val="00B12A37"/>
    <w:rsid w:val="00B12D35"/>
    <w:rsid w:val="00B12F18"/>
    <w:rsid w:val="00B1348F"/>
    <w:rsid w:val="00B13851"/>
    <w:rsid w:val="00B13B1C"/>
    <w:rsid w:val="00B14B5F"/>
    <w:rsid w:val="00B15819"/>
    <w:rsid w:val="00B15CA1"/>
    <w:rsid w:val="00B16DE0"/>
    <w:rsid w:val="00B17C11"/>
    <w:rsid w:val="00B20AFE"/>
    <w:rsid w:val="00B21F90"/>
    <w:rsid w:val="00B2216F"/>
    <w:rsid w:val="00B22291"/>
    <w:rsid w:val="00B2285B"/>
    <w:rsid w:val="00B22F8B"/>
    <w:rsid w:val="00B23F9A"/>
    <w:rsid w:val="00B2417B"/>
    <w:rsid w:val="00B24963"/>
    <w:rsid w:val="00B24BB4"/>
    <w:rsid w:val="00B24E6F"/>
    <w:rsid w:val="00B26CB5"/>
    <w:rsid w:val="00B26E44"/>
    <w:rsid w:val="00B2752E"/>
    <w:rsid w:val="00B307CC"/>
    <w:rsid w:val="00B309A5"/>
    <w:rsid w:val="00B30DB2"/>
    <w:rsid w:val="00B31225"/>
    <w:rsid w:val="00B3176B"/>
    <w:rsid w:val="00B31A9D"/>
    <w:rsid w:val="00B3225E"/>
    <w:rsid w:val="00B326A5"/>
    <w:rsid w:val="00B326B7"/>
    <w:rsid w:val="00B3284E"/>
    <w:rsid w:val="00B3292D"/>
    <w:rsid w:val="00B3355B"/>
    <w:rsid w:val="00B34715"/>
    <w:rsid w:val="00B34F4E"/>
    <w:rsid w:val="00B35005"/>
    <w:rsid w:val="00B3588E"/>
    <w:rsid w:val="00B37267"/>
    <w:rsid w:val="00B37FE0"/>
    <w:rsid w:val="00B4092F"/>
    <w:rsid w:val="00B40982"/>
    <w:rsid w:val="00B4198F"/>
    <w:rsid w:val="00B41C34"/>
    <w:rsid w:val="00B41F3D"/>
    <w:rsid w:val="00B42363"/>
    <w:rsid w:val="00B423CF"/>
    <w:rsid w:val="00B42401"/>
    <w:rsid w:val="00B43129"/>
    <w:rsid w:val="00B431E8"/>
    <w:rsid w:val="00B45141"/>
    <w:rsid w:val="00B451FA"/>
    <w:rsid w:val="00B454AF"/>
    <w:rsid w:val="00B45B4B"/>
    <w:rsid w:val="00B4614F"/>
    <w:rsid w:val="00B46877"/>
    <w:rsid w:val="00B476E3"/>
    <w:rsid w:val="00B47F98"/>
    <w:rsid w:val="00B51271"/>
    <w:rsid w:val="00B519CD"/>
    <w:rsid w:val="00B52407"/>
    <w:rsid w:val="00B5273A"/>
    <w:rsid w:val="00B546A5"/>
    <w:rsid w:val="00B54E53"/>
    <w:rsid w:val="00B55CC7"/>
    <w:rsid w:val="00B55E0C"/>
    <w:rsid w:val="00B55FDF"/>
    <w:rsid w:val="00B564D6"/>
    <w:rsid w:val="00B56E4D"/>
    <w:rsid w:val="00B57259"/>
    <w:rsid w:val="00B5731E"/>
    <w:rsid w:val="00B57329"/>
    <w:rsid w:val="00B578FD"/>
    <w:rsid w:val="00B57CCC"/>
    <w:rsid w:val="00B60B16"/>
    <w:rsid w:val="00B60BCB"/>
    <w:rsid w:val="00B60C4D"/>
    <w:rsid w:val="00B60E61"/>
    <w:rsid w:val="00B61D6D"/>
    <w:rsid w:val="00B61F08"/>
    <w:rsid w:val="00B62183"/>
    <w:rsid w:val="00B625A9"/>
    <w:rsid w:val="00B62B11"/>
    <w:rsid w:val="00B62B50"/>
    <w:rsid w:val="00B634F3"/>
    <w:rsid w:val="00B635B7"/>
    <w:rsid w:val="00B63774"/>
    <w:rsid w:val="00B63AE8"/>
    <w:rsid w:val="00B649DE"/>
    <w:rsid w:val="00B65950"/>
    <w:rsid w:val="00B66D83"/>
    <w:rsid w:val="00B66E22"/>
    <w:rsid w:val="00B66FBC"/>
    <w:rsid w:val="00B67296"/>
    <w:rsid w:val="00B672C0"/>
    <w:rsid w:val="00B676FD"/>
    <w:rsid w:val="00B678B6"/>
    <w:rsid w:val="00B713B9"/>
    <w:rsid w:val="00B71C53"/>
    <w:rsid w:val="00B72F82"/>
    <w:rsid w:val="00B751FC"/>
    <w:rsid w:val="00B75646"/>
    <w:rsid w:val="00B75726"/>
    <w:rsid w:val="00B7629E"/>
    <w:rsid w:val="00B7777D"/>
    <w:rsid w:val="00B80460"/>
    <w:rsid w:val="00B8087D"/>
    <w:rsid w:val="00B80D46"/>
    <w:rsid w:val="00B80FCA"/>
    <w:rsid w:val="00B81AB6"/>
    <w:rsid w:val="00B824A4"/>
    <w:rsid w:val="00B82F08"/>
    <w:rsid w:val="00B83AF1"/>
    <w:rsid w:val="00B83C57"/>
    <w:rsid w:val="00B83CC0"/>
    <w:rsid w:val="00B8411F"/>
    <w:rsid w:val="00B848AE"/>
    <w:rsid w:val="00B85EC0"/>
    <w:rsid w:val="00B86A34"/>
    <w:rsid w:val="00B90582"/>
    <w:rsid w:val="00B90729"/>
    <w:rsid w:val="00B907DA"/>
    <w:rsid w:val="00B90B09"/>
    <w:rsid w:val="00B90D00"/>
    <w:rsid w:val="00B90DD1"/>
    <w:rsid w:val="00B90F1C"/>
    <w:rsid w:val="00B9256C"/>
    <w:rsid w:val="00B9270C"/>
    <w:rsid w:val="00B9376C"/>
    <w:rsid w:val="00B93E1B"/>
    <w:rsid w:val="00B93F61"/>
    <w:rsid w:val="00B94C5E"/>
    <w:rsid w:val="00B94DE5"/>
    <w:rsid w:val="00B950BC"/>
    <w:rsid w:val="00B96B1B"/>
    <w:rsid w:val="00B96D08"/>
    <w:rsid w:val="00B9714C"/>
    <w:rsid w:val="00B973DA"/>
    <w:rsid w:val="00BA037A"/>
    <w:rsid w:val="00BA05D2"/>
    <w:rsid w:val="00BA07D3"/>
    <w:rsid w:val="00BA11AA"/>
    <w:rsid w:val="00BA26F6"/>
    <w:rsid w:val="00BA29AD"/>
    <w:rsid w:val="00BA33CF"/>
    <w:rsid w:val="00BA3F8D"/>
    <w:rsid w:val="00BA4606"/>
    <w:rsid w:val="00BA4E28"/>
    <w:rsid w:val="00BA5951"/>
    <w:rsid w:val="00BA5C51"/>
    <w:rsid w:val="00BA656C"/>
    <w:rsid w:val="00BA68D6"/>
    <w:rsid w:val="00BA790B"/>
    <w:rsid w:val="00BB0F3E"/>
    <w:rsid w:val="00BB2128"/>
    <w:rsid w:val="00BB27C2"/>
    <w:rsid w:val="00BB38B6"/>
    <w:rsid w:val="00BB3A49"/>
    <w:rsid w:val="00BB4F46"/>
    <w:rsid w:val="00BB58BE"/>
    <w:rsid w:val="00BB5A30"/>
    <w:rsid w:val="00BB5BE4"/>
    <w:rsid w:val="00BB74AC"/>
    <w:rsid w:val="00BB7A10"/>
    <w:rsid w:val="00BC0A7B"/>
    <w:rsid w:val="00BC131A"/>
    <w:rsid w:val="00BC1918"/>
    <w:rsid w:val="00BC1B6A"/>
    <w:rsid w:val="00BC2AC5"/>
    <w:rsid w:val="00BC3FEF"/>
    <w:rsid w:val="00BC49FB"/>
    <w:rsid w:val="00BC4C88"/>
    <w:rsid w:val="00BC5801"/>
    <w:rsid w:val="00BC59F7"/>
    <w:rsid w:val="00BC60BE"/>
    <w:rsid w:val="00BC7280"/>
    <w:rsid w:val="00BC7468"/>
    <w:rsid w:val="00BC7D4F"/>
    <w:rsid w:val="00BC7ED7"/>
    <w:rsid w:val="00BD1938"/>
    <w:rsid w:val="00BD198F"/>
    <w:rsid w:val="00BD2850"/>
    <w:rsid w:val="00BD2FEA"/>
    <w:rsid w:val="00BD32C5"/>
    <w:rsid w:val="00BD427F"/>
    <w:rsid w:val="00BD4A39"/>
    <w:rsid w:val="00BD5081"/>
    <w:rsid w:val="00BD5579"/>
    <w:rsid w:val="00BD5FAB"/>
    <w:rsid w:val="00BD6850"/>
    <w:rsid w:val="00BD69FE"/>
    <w:rsid w:val="00BD6BB6"/>
    <w:rsid w:val="00BD7B08"/>
    <w:rsid w:val="00BD7E9D"/>
    <w:rsid w:val="00BD7FE2"/>
    <w:rsid w:val="00BE04D8"/>
    <w:rsid w:val="00BE0A66"/>
    <w:rsid w:val="00BE0F2A"/>
    <w:rsid w:val="00BE1AF8"/>
    <w:rsid w:val="00BE28D2"/>
    <w:rsid w:val="00BE2F23"/>
    <w:rsid w:val="00BE32C8"/>
    <w:rsid w:val="00BE3991"/>
    <w:rsid w:val="00BE3F2C"/>
    <w:rsid w:val="00BE40EF"/>
    <w:rsid w:val="00BE4A64"/>
    <w:rsid w:val="00BE552B"/>
    <w:rsid w:val="00BE555F"/>
    <w:rsid w:val="00BE5E43"/>
    <w:rsid w:val="00BE69A5"/>
    <w:rsid w:val="00BE6C34"/>
    <w:rsid w:val="00BE6FD1"/>
    <w:rsid w:val="00BF08C1"/>
    <w:rsid w:val="00BF10F8"/>
    <w:rsid w:val="00BF2266"/>
    <w:rsid w:val="00BF2B02"/>
    <w:rsid w:val="00BF30AE"/>
    <w:rsid w:val="00BF3D2E"/>
    <w:rsid w:val="00BF557D"/>
    <w:rsid w:val="00BF5947"/>
    <w:rsid w:val="00BF658D"/>
    <w:rsid w:val="00BF661C"/>
    <w:rsid w:val="00BF7078"/>
    <w:rsid w:val="00BF7766"/>
    <w:rsid w:val="00BF7A34"/>
    <w:rsid w:val="00BF7F58"/>
    <w:rsid w:val="00C00C8B"/>
    <w:rsid w:val="00C01381"/>
    <w:rsid w:val="00C016B5"/>
    <w:rsid w:val="00C01AB1"/>
    <w:rsid w:val="00C026A0"/>
    <w:rsid w:val="00C033C7"/>
    <w:rsid w:val="00C042AE"/>
    <w:rsid w:val="00C04341"/>
    <w:rsid w:val="00C05822"/>
    <w:rsid w:val="00C05983"/>
    <w:rsid w:val="00C05AB2"/>
    <w:rsid w:val="00C06137"/>
    <w:rsid w:val="00C067A4"/>
    <w:rsid w:val="00C0690B"/>
    <w:rsid w:val="00C06929"/>
    <w:rsid w:val="00C06D06"/>
    <w:rsid w:val="00C07420"/>
    <w:rsid w:val="00C079B8"/>
    <w:rsid w:val="00C10037"/>
    <w:rsid w:val="00C10359"/>
    <w:rsid w:val="00C10D0D"/>
    <w:rsid w:val="00C115E1"/>
    <w:rsid w:val="00C11A25"/>
    <w:rsid w:val="00C11EF4"/>
    <w:rsid w:val="00C120C7"/>
    <w:rsid w:val="00C123EA"/>
    <w:rsid w:val="00C12A49"/>
    <w:rsid w:val="00C12B1B"/>
    <w:rsid w:val="00C12BFA"/>
    <w:rsid w:val="00C12FA0"/>
    <w:rsid w:val="00C133EE"/>
    <w:rsid w:val="00C14016"/>
    <w:rsid w:val="00C143E2"/>
    <w:rsid w:val="00C1486C"/>
    <w:rsid w:val="00C149D0"/>
    <w:rsid w:val="00C14BC8"/>
    <w:rsid w:val="00C14E7A"/>
    <w:rsid w:val="00C15314"/>
    <w:rsid w:val="00C168C5"/>
    <w:rsid w:val="00C169B4"/>
    <w:rsid w:val="00C16BC7"/>
    <w:rsid w:val="00C178E5"/>
    <w:rsid w:val="00C20A51"/>
    <w:rsid w:val="00C20FA2"/>
    <w:rsid w:val="00C21408"/>
    <w:rsid w:val="00C21452"/>
    <w:rsid w:val="00C21E8E"/>
    <w:rsid w:val="00C22675"/>
    <w:rsid w:val="00C227D5"/>
    <w:rsid w:val="00C22CB6"/>
    <w:rsid w:val="00C2308B"/>
    <w:rsid w:val="00C2313B"/>
    <w:rsid w:val="00C23B9C"/>
    <w:rsid w:val="00C244F6"/>
    <w:rsid w:val="00C24DC5"/>
    <w:rsid w:val="00C251D6"/>
    <w:rsid w:val="00C2638D"/>
    <w:rsid w:val="00C26507"/>
    <w:rsid w:val="00C26588"/>
    <w:rsid w:val="00C2677D"/>
    <w:rsid w:val="00C26D08"/>
    <w:rsid w:val="00C27636"/>
    <w:rsid w:val="00C27646"/>
    <w:rsid w:val="00C27945"/>
    <w:rsid w:val="00C27DE9"/>
    <w:rsid w:val="00C317A5"/>
    <w:rsid w:val="00C31C1D"/>
    <w:rsid w:val="00C324B6"/>
    <w:rsid w:val="00C32989"/>
    <w:rsid w:val="00C331E0"/>
    <w:rsid w:val="00C33388"/>
    <w:rsid w:val="00C33CCC"/>
    <w:rsid w:val="00C3404B"/>
    <w:rsid w:val="00C34256"/>
    <w:rsid w:val="00C34447"/>
    <w:rsid w:val="00C34953"/>
    <w:rsid w:val="00C35484"/>
    <w:rsid w:val="00C3559C"/>
    <w:rsid w:val="00C35681"/>
    <w:rsid w:val="00C35BE1"/>
    <w:rsid w:val="00C367B0"/>
    <w:rsid w:val="00C36859"/>
    <w:rsid w:val="00C36B58"/>
    <w:rsid w:val="00C370CC"/>
    <w:rsid w:val="00C3717C"/>
    <w:rsid w:val="00C37A1E"/>
    <w:rsid w:val="00C37D55"/>
    <w:rsid w:val="00C37F9E"/>
    <w:rsid w:val="00C401F7"/>
    <w:rsid w:val="00C411AB"/>
    <w:rsid w:val="00C4173A"/>
    <w:rsid w:val="00C417A5"/>
    <w:rsid w:val="00C43C2A"/>
    <w:rsid w:val="00C4420F"/>
    <w:rsid w:val="00C45113"/>
    <w:rsid w:val="00C45485"/>
    <w:rsid w:val="00C46082"/>
    <w:rsid w:val="00C46503"/>
    <w:rsid w:val="00C46E64"/>
    <w:rsid w:val="00C46F17"/>
    <w:rsid w:val="00C47653"/>
    <w:rsid w:val="00C500F4"/>
    <w:rsid w:val="00C5016F"/>
    <w:rsid w:val="00C502C4"/>
    <w:rsid w:val="00C509BE"/>
    <w:rsid w:val="00C50DED"/>
    <w:rsid w:val="00C51AD2"/>
    <w:rsid w:val="00C51E16"/>
    <w:rsid w:val="00C520F9"/>
    <w:rsid w:val="00C52217"/>
    <w:rsid w:val="00C52784"/>
    <w:rsid w:val="00C527A1"/>
    <w:rsid w:val="00C52BBA"/>
    <w:rsid w:val="00C52F93"/>
    <w:rsid w:val="00C5457A"/>
    <w:rsid w:val="00C54EFC"/>
    <w:rsid w:val="00C554CC"/>
    <w:rsid w:val="00C55570"/>
    <w:rsid w:val="00C55824"/>
    <w:rsid w:val="00C55B36"/>
    <w:rsid w:val="00C602FF"/>
    <w:rsid w:val="00C60411"/>
    <w:rsid w:val="00C60536"/>
    <w:rsid w:val="00C60A34"/>
    <w:rsid w:val="00C60E8C"/>
    <w:rsid w:val="00C61174"/>
    <w:rsid w:val="00C611CE"/>
    <w:rsid w:val="00C6148F"/>
    <w:rsid w:val="00C6189F"/>
    <w:rsid w:val="00C621B1"/>
    <w:rsid w:val="00C62347"/>
    <w:rsid w:val="00C6298D"/>
    <w:rsid w:val="00C62F7A"/>
    <w:rsid w:val="00C634F6"/>
    <w:rsid w:val="00C635FB"/>
    <w:rsid w:val="00C63B9C"/>
    <w:rsid w:val="00C64213"/>
    <w:rsid w:val="00C656DA"/>
    <w:rsid w:val="00C65820"/>
    <w:rsid w:val="00C658C8"/>
    <w:rsid w:val="00C6601D"/>
    <w:rsid w:val="00C66704"/>
    <w:rsid w:val="00C6682F"/>
    <w:rsid w:val="00C66F5F"/>
    <w:rsid w:val="00C670DC"/>
    <w:rsid w:val="00C67BF4"/>
    <w:rsid w:val="00C7084F"/>
    <w:rsid w:val="00C70E0D"/>
    <w:rsid w:val="00C7275E"/>
    <w:rsid w:val="00C72BD7"/>
    <w:rsid w:val="00C731AF"/>
    <w:rsid w:val="00C73729"/>
    <w:rsid w:val="00C73EEC"/>
    <w:rsid w:val="00C73FAC"/>
    <w:rsid w:val="00C74062"/>
    <w:rsid w:val="00C747B0"/>
    <w:rsid w:val="00C74C5D"/>
    <w:rsid w:val="00C7560F"/>
    <w:rsid w:val="00C7612F"/>
    <w:rsid w:val="00C76285"/>
    <w:rsid w:val="00C76BA5"/>
    <w:rsid w:val="00C772DB"/>
    <w:rsid w:val="00C8205F"/>
    <w:rsid w:val="00C83130"/>
    <w:rsid w:val="00C83589"/>
    <w:rsid w:val="00C841D7"/>
    <w:rsid w:val="00C8575F"/>
    <w:rsid w:val="00C85ED3"/>
    <w:rsid w:val="00C861E4"/>
    <w:rsid w:val="00C86215"/>
    <w:rsid w:val="00C8625B"/>
    <w:rsid w:val="00C863C4"/>
    <w:rsid w:val="00C87D2D"/>
    <w:rsid w:val="00C87E8C"/>
    <w:rsid w:val="00C908D6"/>
    <w:rsid w:val="00C90DAB"/>
    <w:rsid w:val="00C920EA"/>
    <w:rsid w:val="00C93259"/>
    <w:rsid w:val="00C93A30"/>
    <w:rsid w:val="00C93C3E"/>
    <w:rsid w:val="00C944E5"/>
    <w:rsid w:val="00C9514C"/>
    <w:rsid w:val="00C957C8"/>
    <w:rsid w:val="00C96001"/>
    <w:rsid w:val="00C9677E"/>
    <w:rsid w:val="00C97853"/>
    <w:rsid w:val="00C97D31"/>
    <w:rsid w:val="00C97E80"/>
    <w:rsid w:val="00CA0CB4"/>
    <w:rsid w:val="00CA0E5C"/>
    <w:rsid w:val="00CA101F"/>
    <w:rsid w:val="00CA129F"/>
    <w:rsid w:val="00CA12E3"/>
    <w:rsid w:val="00CA1476"/>
    <w:rsid w:val="00CA14BE"/>
    <w:rsid w:val="00CA14E2"/>
    <w:rsid w:val="00CA1F52"/>
    <w:rsid w:val="00CA264E"/>
    <w:rsid w:val="00CA34F3"/>
    <w:rsid w:val="00CA4F42"/>
    <w:rsid w:val="00CA579E"/>
    <w:rsid w:val="00CA5D00"/>
    <w:rsid w:val="00CA5F3A"/>
    <w:rsid w:val="00CA65C6"/>
    <w:rsid w:val="00CA6611"/>
    <w:rsid w:val="00CA6AE6"/>
    <w:rsid w:val="00CA782F"/>
    <w:rsid w:val="00CB15AC"/>
    <w:rsid w:val="00CB187B"/>
    <w:rsid w:val="00CB2683"/>
    <w:rsid w:val="00CB2835"/>
    <w:rsid w:val="00CB2F66"/>
    <w:rsid w:val="00CB3285"/>
    <w:rsid w:val="00CB32E2"/>
    <w:rsid w:val="00CB41D0"/>
    <w:rsid w:val="00CB4500"/>
    <w:rsid w:val="00CB56D8"/>
    <w:rsid w:val="00CB5871"/>
    <w:rsid w:val="00CB5C6B"/>
    <w:rsid w:val="00CB6A7A"/>
    <w:rsid w:val="00CC0082"/>
    <w:rsid w:val="00CC0A74"/>
    <w:rsid w:val="00CC0C72"/>
    <w:rsid w:val="00CC121B"/>
    <w:rsid w:val="00CC1CD9"/>
    <w:rsid w:val="00CC2907"/>
    <w:rsid w:val="00CC2BFD"/>
    <w:rsid w:val="00CC315C"/>
    <w:rsid w:val="00CC32B0"/>
    <w:rsid w:val="00CC37BE"/>
    <w:rsid w:val="00CC3B08"/>
    <w:rsid w:val="00CC3F61"/>
    <w:rsid w:val="00CC6811"/>
    <w:rsid w:val="00CC6BFF"/>
    <w:rsid w:val="00CC6F40"/>
    <w:rsid w:val="00CC7141"/>
    <w:rsid w:val="00CD0551"/>
    <w:rsid w:val="00CD0870"/>
    <w:rsid w:val="00CD0C07"/>
    <w:rsid w:val="00CD0E93"/>
    <w:rsid w:val="00CD1ADB"/>
    <w:rsid w:val="00CD28DA"/>
    <w:rsid w:val="00CD308A"/>
    <w:rsid w:val="00CD3461"/>
    <w:rsid w:val="00CD3476"/>
    <w:rsid w:val="00CD470C"/>
    <w:rsid w:val="00CD4E3C"/>
    <w:rsid w:val="00CD4F99"/>
    <w:rsid w:val="00CD529E"/>
    <w:rsid w:val="00CD6069"/>
    <w:rsid w:val="00CD64DF"/>
    <w:rsid w:val="00CD686B"/>
    <w:rsid w:val="00CD6890"/>
    <w:rsid w:val="00CD6899"/>
    <w:rsid w:val="00CD6BA5"/>
    <w:rsid w:val="00CD6C45"/>
    <w:rsid w:val="00CD70E4"/>
    <w:rsid w:val="00CD7AC0"/>
    <w:rsid w:val="00CD7CD1"/>
    <w:rsid w:val="00CD7D2F"/>
    <w:rsid w:val="00CE0573"/>
    <w:rsid w:val="00CE0F2A"/>
    <w:rsid w:val="00CE187E"/>
    <w:rsid w:val="00CE1CFC"/>
    <w:rsid w:val="00CE225F"/>
    <w:rsid w:val="00CE3BCF"/>
    <w:rsid w:val="00CE3CDF"/>
    <w:rsid w:val="00CE4884"/>
    <w:rsid w:val="00CE4BE4"/>
    <w:rsid w:val="00CE4F50"/>
    <w:rsid w:val="00CE5A7A"/>
    <w:rsid w:val="00CE5FD4"/>
    <w:rsid w:val="00CE63DC"/>
    <w:rsid w:val="00CE6A2C"/>
    <w:rsid w:val="00CE6C87"/>
    <w:rsid w:val="00CE7E76"/>
    <w:rsid w:val="00CF0846"/>
    <w:rsid w:val="00CF13E7"/>
    <w:rsid w:val="00CF145D"/>
    <w:rsid w:val="00CF2F50"/>
    <w:rsid w:val="00CF3054"/>
    <w:rsid w:val="00CF30B5"/>
    <w:rsid w:val="00CF3108"/>
    <w:rsid w:val="00CF37C9"/>
    <w:rsid w:val="00CF3C56"/>
    <w:rsid w:val="00CF3DFD"/>
    <w:rsid w:val="00CF46B6"/>
    <w:rsid w:val="00CF4AE0"/>
    <w:rsid w:val="00CF516C"/>
    <w:rsid w:val="00CF55A6"/>
    <w:rsid w:val="00CF5690"/>
    <w:rsid w:val="00CF5821"/>
    <w:rsid w:val="00CF5914"/>
    <w:rsid w:val="00CF5935"/>
    <w:rsid w:val="00CF5ADF"/>
    <w:rsid w:val="00CF5E82"/>
    <w:rsid w:val="00CF6047"/>
    <w:rsid w:val="00CF6198"/>
    <w:rsid w:val="00CF6B70"/>
    <w:rsid w:val="00CF6C72"/>
    <w:rsid w:val="00CF7ECD"/>
    <w:rsid w:val="00D00D0B"/>
    <w:rsid w:val="00D00FFD"/>
    <w:rsid w:val="00D01670"/>
    <w:rsid w:val="00D01A4E"/>
    <w:rsid w:val="00D01D61"/>
    <w:rsid w:val="00D01F98"/>
    <w:rsid w:val="00D02919"/>
    <w:rsid w:val="00D03E60"/>
    <w:rsid w:val="00D0449A"/>
    <w:rsid w:val="00D04AFB"/>
    <w:rsid w:val="00D04BB9"/>
    <w:rsid w:val="00D04C61"/>
    <w:rsid w:val="00D05797"/>
    <w:rsid w:val="00D05A78"/>
    <w:rsid w:val="00D05B8D"/>
    <w:rsid w:val="00D05B9B"/>
    <w:rsid w:val="00D0620A"/>
    <w:rsid w:val="00D063E1"/>
    <w:rsid w:val="00D06416"/>
    <w:rsid w:val="00D065A2"/>
    <w:rsid w:val="00D065FF"/>
    <w:rsid w:val="00D0740C"/>
    <w:rsid w:val="00D079AA"/>
    <w:rsid w:val="00D07F00"/>
    <w:rsid w:val="00D10DB1"/>
    <w:rsid w:val="00D1130F"/>
    <w:rsid w:val="00D1332F"/>
    <w:rsid w:val="00D139BB"/>
    <w:rsid w:val="00D13AF0"/>
    <w:rsid w:val="00D13F1B"/>
    <w:rsid w:val="00D14221"/>
    <w:rsid w:val="00D1506A"/>
    <w:rsid w:val="00D156A0"/>
    <w:rsid w:val="00D15A8B"/>
    <w:rsid w:val="00D16014"/>
    <w:rsid w:val="00D161D2"/>
    <w:rsid w:val="00D17964"/>
    <w:rsid w:val="00D17B72"/>
    <w:rsid w:val="00D20148"/>
    <w:rsid w:val="00D21B58"/>
    <w:rsid w:val="00D226FE"/>
    <w:rsid w:val="00D24062"/>
    <w:rsid w:val="00D24A01"/>
    <w:rsid w:val="00D26BB5"/>
    <w:rsid w:val="00D2724D"/>
    <w:rsid w:val="00D27A0C"/>
    <w:rsid w:val="00D27F4A"/>
    <w:rsid w:val="00D3185C"/>
    <w:rsid w:val="00D31E81"/>
    <w:rsid w:val="00D3203B"/>
    <w:rsid w:val="00D3205F"/>
    <w:rsid w:val="00D329E6"/>
    <w:rsid w:val="00D32BAA"/>
    <w:rsid w:val="00D3318E"/>
    <w:rsid w:val="00D332C2"/>
    <w:rsid w:val="00D334CD"/>
    <w:rsid w:val="00D337BC"/>
    <w:rsid w:val="00D337E0"/>
    <w:rsid w:val="00D33D3A"/>
    <w:rsid w:val="00D33E72"/>
    <w:rsid w:val="00D349C4"/>
    <w:rsid w:val="00D34A3B"/>
    <w:rsid w:val="00D34D15"/>
    <w:rsid w:val="00D35BD6"/>
    <w:rsid w:val="00D35FB3"/>
    <w:rsid w:val="00D361B5"/>
    <w:rsid w:val="00D362C7"/>
    <w:rsid w:val="00D36A55"/>
    <w:rsid w:val="00D36F01"/>
    <w:rsid w:val="00D37415"/>
    <w:rsid w:val="00D411A2"/>
    <w:rsid w:val="00D413D0"/>
    <w:rsid w:val="00D417B3"/>
    <w:rsid w:val="00D41B59"/>
    <w:rsid w:val="00D44483"/>
    <w:rsid w:val="00D44503"/>
    <w:rsid w:val="00D445F7"/>
    <w:rsid w:val="00D448A6"/>
    <w:rsid w:val="00D44CA2"/>
    <w:rsid w:val="00D4606D"/>
    <w:rsid w:val="00D4635E"/>
    <w:rsid w:val="00D46801"/>
    <w:rsid w:val="00D46DE3"/>
    <w:rsid w:val="00D47D30"/>
    <w:rsid w:val="00D50815"/>
    <w:rsid w:val="00D50B9C"/>
    <w:rsid w:val="00D50EEA"/>
    <w:rsid w:val="00D513AF"/>
    <w:rsid w:val="00D51BEB"/>
    <w:rsid w:val="00D52D73"/>
    <w:rsid w:val="00D52E58"/>
    <w:rsid w:val="00D548BF"/>
    <w:rsid w:val="00D55506"/>
    <w:rsid w:val="00D56B20"/>
    <w:rsid w:val="00D57501"/>
    <w:rsid w:val="00D578B3"/>
    <w:rsid w:val="00D57BA1"/>
    <w:rsid w:val="00D60576"/>
    <w:rsid w:val="00D60D67"/>
    <w:rsid w:val="00D61737"/>
    <w:rsid w:val="00D618F4"/>
    <w:rsid w:val="00D61AD7"/>
    <w:rsid w:val="00D62239"/>
    <w:rsid w:val="00D62C93"/>
    <w:rsid w:val="00D63636"/>
    <w:rsid w:val="00D63D1B"/>
    <w:rsid w:val="00D647C0"/>
    <w:rsid w:val="00D660CC"/>
    <w:rsid w:val="00D66E7D"/>
    <w:rsid w:val="00D67239"/>
    <w:rsid w:val="00D6751D"/>
    <w:rsid w:val="00D70C53"/>
    <w:rsid w:val="00D714CC"/>
    <w:rsid w:val="00D72660"/>
    <w:rsid w:val="00D72C32"/>
    <w:rsid w:val="00D72CB6"/>
    <w:rsid w:val="00D736B4"/>
    <w:rsid w:val="00D740AE"/>
    <w:rsid w:val="00D74431"/>
    <w:rsid w:val="00D745BF"/>
    <w:rsid w:val="00D75EA7"/>
    <w:rsid w:val="00D76A7D"/>
    <w:rsid w:val="00D76BB2"/>
    <w:rsid w:val="00D76D5D"/>
    <w:rsid w:val="00D76DCB"/>
    <w:rsid w:val="00D76E88"/>
    <w:rsid w:val="00D76ECC"/>
    <w:rsid w:val="00D773C6"/>
    <w:rsid w:val="00D81224"/>
    <w:rsid w:val="00D815CC"/>
    <w:rsid w:val="00D81ADF"/>
    <w:rsid w:val="00D81F21"/>
    <w:rsid w:val="00D82DC1"/>
    <w:rsid w:val="00D832A9"/>
    <w:rsid w:val="00D8354F"/>
    <w:rsid w:val="00D846A2"/>
    <w:rsid w:val="00D84F05"/>
    <w:rsid w:val="00D8649E"/>
    <w:rsid w:val="00D864F2"/>
    <w:rsid w:val="00D86656"/>
    <w:rsid w:val="00D86D8B"/>
    <w:rsid w:val="00D86EC0"/>
    <w:rsid w:val="00D8720A"/>
    <w:rsid w:val="00D90421"/>
    <w:rsid w:val="00D91279"/>
    <w:rsid w:val="00D919B2"/>
    <w:rsid w:val="00D920B7"/>
    <w:rsid w:val="00D92324"/>
    <w:rsid w:val="00D92ED0"/>
    <w:rsid w:val="00D93634"/>
    <w:rsid w:val="00D93769"/>
    <w:rsid w:val="00D93E01"/>
    <w:rsid w:val="00D93EA9"/>
    <w:rsid w:val="00D943F8"/>
    <w:rsid w:val="00D95470"/>
    <w:rsid w:val="00D95784"/>
    <w:rsid w:val="00D96363"/>
    <w:rsid w:val="00D9644B"/>
    <w:rsid w:val="00D96843"/>
    <w:rsid w:val="00D96B55"/>
    <w:rsid w:val="00D97530"/>
    <w:rsid w:val="00DA0573"/>
    <w:rsid w:val="00DA13B4"/>
    <w:rsid w:val="00DA17E0"/>
    <w:rsid w:val="00DA2619"/>
    <w:rsid w:val="00DA2715"/>
    <w:rsid w:val="00DA4239"/>
    <w:rsid w:val="00DA4A4D"/>
    <w:rsid w:val="00DA588C"/>
    <w:rsid w:val="00DA6307"/>
    <w:rsid w:val="00DA65DE"/>
    <w:rsid w:val="00DA6B5D"/>
    <w:rsid w:val="00DA7C3B"/>
    <w:rsid w:val="00DB0B61"/>
    <w:rsid w:val="00DB0C9C"/>
    <w:rsid w:val="00DB0C9F"/>
    <w:rsid w:val="00DB1474"/>
    <w:rsid w:val="00DB23B8"/>
    <w:rsid w:val="00DB2962"/>
    <w:rsid w:val="00DB2B25"/>
    <w:rsid w:val="00DB3F20"/>
    <w:rsid w:val="00DB5179"/>
    <w:rsid w:val="00DB51F0"/>
    <w:rsid w:val="00DB52FB"/>
    <w:rsid w:val="00DB5A2E"/>
    <w:rsid w:val="00DB6516"/>
    <w:rsid w:val="00DB7FC4"/>
    <w:rsid w:val="00DC013B"/>
    <w:rsid w:val="00DC0293"/>
    <w:rsid w:val="00DC090B"/>
    <w:rsid w:val="00DC1679"/>
    <w:rsid w:val="00DC1F64"/>
    <w:rsid w:val="00DC219B"/>
    <w:rsid w:val="00DC2CF1"/>
    <w:rsid w:val="00DC2D2E"/>
    <w:rsid w:val="00DC2DC7"/>
    <w:rsid w:val="00DC2EA0"/>
    <w:rsid w:val="00DC3A7C"/>
    <w:rsid w:val="00DC3E33"/>
    <w:rsid w:val="00DC4887"/>
    <w:rsid w:val="00DC49FF"/>
    <w:rsid w:val="00DC4FCF"/>
    <w:rsid w:val="00DC50E0"/>
    <w:rsid w:val="00DC6386"/>
    <w:rsid w:val="00DD0391"/>
    <w:rsid w:val="00DD1130"/>
    <w:rsid w:val="00DD190E"/>
    <w:rsid w:val="00DD1951"/>
    <w:rsid w:val="00DD20A9"/>
    <w:rsid w:val="00DD213B"/>
    <w:rsid w:val="00DD232D"/>
    <w:rsid w:val="00DD2982"/>
    <w:rsid w:val="00DD354A"/>
    <w:rsid w:val="00DD3B2A"/>
    <w:rsid w:val="00DD3E5A"/>
    <w:rsid w:val="00DD4489"/>
    <w:rsid w:val="00DD487D"/>
    <w:rsid w:val="00DD48DF"/>
    <w:rsid w:val="00DD4E83"/>
    <w:rsid w:val="00DD569E"/>
    <w:rsid w:val="00DD5D94"/>
    <w:rsid w:val="00DD6628"/>
    <w:rsid w:val="00DD6945"/>
    <w:rsid w:val="00DD699A"/>
    <w:rsid w:val="00DD7786"/>
    <w:rsid w:val="00DE1476"/>
    <w:rsid w:val="00DE1BB7"/>
    <w:rsid w:val="00DE1F9B"/>
    <w:rsid w:val="00DE27F2"/>
    <w:rsid w:val="00DE28FB"/>
    <w:rsid w:val="00DE2D04"/>
    <w:rsid w:val="00DE3250"/>
    <w:rsid w:val="00DE3F30"/>
    <w:rsid w:val="00DE491D"/>
    <w:rsid w:val="00DE5333"/>
    <w:rsid w:val="00DE5494"/>
    <w:rsid w:val="00DE5FD6"/>
    <w:rsid w:val="00DE6028"/>
    <w:rsid w:val="00DE64CD"/>
    <w:rsid w:val="00DE677D"/>
    <w:rsid w:val="00DE6C85"/>
    <w:rsid w:val="00DE6F1D"/>
    <w:rsid w:val="00DE75FE"/>
    <w:rsid w:val="00DE78A3"/>
    <w:rsid w:val="00DF0A6E"/>
    <w:rsid w:val="00DF0AB3"/>
    <w:rsid w:val="00DF18DD"/>
    <w:rsid w:val="00DF1982"/>
    <w:rsid w:val="00DF1A71"/>
    <w:rsid w:val="00DF2001"/>
    <w:rsid w:val="00DF2C7A"/>
    <w:rsid w:val="00DF34FA"/>
    <w:rsid w:val="00DF3C37"/>
    <w:rsid w:val="00DF4D8F"/>
    <w:rsid w:val="00DF50FC"/>
    <w:rsid w:val="00DF68C7"/>
    <w:rsid w:val="00DF731A"/>
    <w:rsid w:val="00E00C5E"/>
    <w:rsid w:val="00E00D0F"/>
    <w:rsid w:val="00E021BF"/>
    <w:rsid w:val="00E02352"/>
    <w:rsid w:val="00E023BD"/>
    <w:rsid w:val="00E025BE"/>
    <w:rsid w:val="00E03F49"/>
    <w:rsid w:val="00E04561"/>
    <w:rsid w:val="00E04A43"/>
    <w:rsid w:val="00E05855"/>
    <w:rsid w:val="00E062EE"/>
    <w:rsid w:val="00E068E2"/>
    <w:rsid w:val="00E06B75"/>
    <w:rsid w:val="00E1000B"/>
    <w:rsid w:val="00E106E5"/>
    <w:rsid w:val="00E11332"/>
    <w:rsid w:val="00E11352"/>
    <w:rsid w:val="00E12262"/>
    <w:rsid w:val="00E13920"/>
    <w:rsid w:val="00E1537A"/>
    <w:rsid w:val="00E1645F"/>
    <w:rsid w:val="00E170DC"/>
    <w:rsid w:val="00E17546"/>
    <w:rsid w:val="00E176D7"/>
    <w:rsid w:val="00E17A3E"/>
    <w:rsid w:val="00E17BC1"/>
    <w:rsid w:val="00E204CB"/>
    <w:rsid w:val="00E2050E"/>
    <w:rsid w:val="00E205CB"/>
    <w:rsid w:val="00E20D8F"/>
    <w:rsid w:val="00E210B5"/>
    <w:rsid w:val="00E213F3"/>
    <w:rsid w:val="00E21491"/>
    <w:rsid w:val="00E23F24"/>
    <w:rsid w:val="00E24058"/>
    <w:rsid w:val="00E261B3"/>
    <w:rsid w:val="00E2633D"/>
    <w:rsid w:val="00E26818"/>
    <w:rsid w:val="00E2684F"/>
    <w:rsid w:val="00E26E4E"/>
    <w:rsid w:val="00E27050"/>
    <w:rsid w:val="00E27BAA"/>
    <w:rsid w:val="00E27FFC"/>
    <w:rsid w:val="00E30B15"/>
    <w:rsid w:val="00E329CF"/>
    <w:rsid w:val="00E33237"/>
    <w:rsid w:val="00E3402D"/>
    <w:rsid w:val="00E34C05"/>
    <w:rsid w:val="00E353DD"/>
    <w:rsid w:val="00E3623A"/>
    <w:rsid w:val="00E36814"/>
    <w:rsid w:val="00E37507"/>
    <w:rsid w:val="00E37BE5"/>
    <w:rsid w:val="00E40181"/>
    <w:rsid w:val="00E40842"/>
    <w:rsid w:val="00E4085E"/>
    <w:rsid w:val="00E410D4"/>
    <w:rsid w:val="00E414DB"/>
    <w:rsid w:val="00E41655"/>
    <w:rsid w:val="00E41B73"/>
    <w:rsid w:val="00E425B3"/>
    <w:rsid w:val="00E42890"/>
    <w:rsid w:val="00E440FD"/>
    <w:rsid w:val="00E44E85"/>
    <w:rsid w:val="00E4531B"/>
    <w:rsid w:val="00E471D1"/>
    <w:rsid w:val="00E47483"/>
    <w:rsid w:val="00E477E1"/>
    <w:rsid w:val="00E5046F"/>
    <w:rsid w:val="00E5076F"/>
    <w:rsid w:val="00E51C98"/>
    <w:rsid w:val="00E51FF4"/>
    <w:rsid w:val="00E5208E"/>
    <w:rsid w:val="00E52161"/>
    <w:rsid w:val="00E52A51"/>
    <w:rsid w:val="00E53067"/>
    <w:rsid w:val="00E54950"/>
    <w:rsid w:val="00E550F9"/>
    <w:rsid w:val="00E552AC"/>
    <w:rsid w:val="00E558A2"/>
    <w:rsid w:val="00E55CDA"/>
    <w:rsid w:val="00E55FB3"/>
    <w:rsid w:val="00E56825"/>
    <w:rsid w:val="00E56A01"/>
    <w:rsid w:val="00E56D45"/>
    <w:rsid w:val="00E57F5B"/>
    <w:rsid w:val="00E57F8C"/>
    <w:rsid w:val="00E57FAD"/>
    <w:rsid w:val="00E62334"/>
    <w:rsid w:val="00E6274F"/>
    <w:rsid w:val="00E629A1"/>
    <w:rsid w:val="00E62D92"/>
    <w:rsid w:val="00E63444"/>
    <w:rsid w:val="00E63507"/>
    <w:rsid w:val="00E63DDA"/>
    <w:rsid w:val="00E65279"/>
    <w:rsid w:val="00E653CD"/>
    <w:rsid w:val="00E66581"/>
    <w:rsid w:val="00E66AE7"/>
    <w:rsid w:val="00E678E0"/>
    <w:rsid w:val="00E6794C"/>
    <w:rsid w:val="00E67CBC"/>
    <w:rsid w:val="00E67D06"/>
    <w:rsid w:val="00E67ED6"/>
    <w:rsid w:val="00E702C0"/>
    <w:rsid w:val="00E70629"/>
    <w:rsid w:val="00E70980"/>
    <w:rsid w:val="00E71591"/>
    <w:rsid w:val="00E71CEB"/>
    <w:rsid w:val="00E71D9A"/>
    <w:rsid w:val="00E725D7"/>
    <w:rsid w:val="00E7474F"/>
    <w:rsid w:val="00E75DED"/>
    <w:rsid w:val="00E75DF6"/>
    <w:rsid w:val="00E75E66"/>
    <w:rsid w:val="00E76B99"/>
    <w:rsid w:val="00E773AC"/>
    <w:rsid w:val="00E77826"/>
    <w:rsid w:val="00E803A4"/>
    <w:rsid w:val="00E808DB"/>
    <w:rsid w:val="00E80B40"/>
    <w:rsid w:val="00E80D2D"/>
    <w:rsid w:val="00E80DE3"/>
    <w:rsid w:val="00E80E66"/>
    <w:rsid w:val="00E81DEF"/>
    <w:rsid w:val="00E82392"/>
    <w:rsid w:val="00E82C55"/>
    <w:rsid w:val="00E82C5D"/>
    <w:rsid w:val="00E83362"/>
    <w:rsid w:val="00E839A4"/>
    <w:rsid w:val="00E83F99"/>
    <w:rsid w:val="00E84AAD"/>
    <w:rsid w:val="00E850DB"/>
    <w:rsid w:val="00E86338"/>
    <w:rsid w:val="00E8645F"/>
    <w:rsid w:val="00E867D8"/>
    <w:rsid w:val="00E877BA"/>
    <w:rsid w:val="00E8787E"/>
    <w:rsid w:val="00E90124"/>
    <w:rsid w:val="00E9042A"/>
    <w:rsid w:val="00E9076F"/>
    <w:rsid w:val="00E907A4"/>
    <w:rsid w:val="00E90F9D"/>
    <w:rsid w:val="00E912A8"/>
    <w:rsid w:val="00E91988"/>
    <w:rsid w:val="00E91AE3"/>
    <w:rsid w:val="00E920F0"/>
    <w:rsid w:val="00E92AC3"/>
    <w:rsid w:val="00E93D8C"/>
    <w:rsid w:val="00E9428D"/>
    <w:rsid w:val="00E95068"/>
    <w:rsid w:val="00E95591"/>
    <w:rsid w:val="00E95BED"/>
    <w:rsid w:val="00E9644B"/>
    <w:rsid w:val="00E96852"/>
    <w:rsid w:val="00E973BB"/>
    <w:rsid w:val="00E974D2"/>
    <w:rsid w:val="00EA0405"/>
    <w:rsid w:val="00EA16CF"/>
    <w:rsid w:val="00EA23E8"/>
    <w:rsid w:val="00EA2F6A"/>
    <w:rsid w:val="00EA3012"/>
    <w:rsid w:val="00EA308E"/>
    <w:rsid w:val="00EA3542"/>
    <w:rsid w:val="00EA3809"/>
    <w:rsid w:val="00EA3E90"/>
    <w:rsid w:val="00EA4A83"/>
    <w:rsid w:val="00EA510D"/>
    <w:rsid w:val="00EA56D2"/>
    <w:rsid w:val="00EA5C62"/>
    <w:rsid w:val="00EA6D4D"/>
    <w:rsid w:val="00EA6FDA"/>
    <w:rsid w:val="00EA7AEB"/>
    <w:rsid w:val="00EB00E0"/>
    <w:rsid w:val="00EB05D5"/>
    <w:rsid w:val="00EB08A3"/>
    <w:rsid w:val="00EB3F2C"/>
    <w:rsid w:val="00EB4AAD"/>
    <w:rsid w:val="00EB4BC7"/>
    <w:rsid w:val="00EB56B9"/>
    <w:rsid w:val="00EB5816"/>
    <w:rsid w:val="00EB5CB2"/>
    <w:rsid w:val="00EB630C"/>
    <w:rsid w:val="00EB6504"/>
    <w:rsid w:val="00EB681F"/>
    <w:rsid w:val="00EB7F2A"/>
    <w:rsid w:val="00EC03ED"/>
    <w:rsid w:val="00EC059F"/>
    <w:rsid w:val="00EC070F"/>
    <w:rsid w:val="00EC1159"/>
    <w:rsid w:val="00EC1620"/>
    <w:rsid w:val="00EC1BEB"/>
    <w:rsid w:val="00EC1D53"/>
    <w:rsid w:val="00EC1F24"/>
    <w:rsid w:val="00EC22F6"/>
    <w:rsid w:val="00EC24A7"/>
    <w:rsid w:val="00EC25D7"/>
    <w:rsid w:val="00EC31B1"/>
    <w:rsid w:val="00EC3DB9"/>
    <w:rsid w:val="00EC456E"/>
    <w:rsid w:val="00EC4B20"/>
    <w:rsid w:val="00EC5409"/>
    <w:rsid w:val="00EC5DA0"/>
    <w:rsid w:val="00EC677C"/>
    <w:rsid w:val="00EC74D9"/>
    <w:rsid w:val="00EC7694"/>
    <w:rsid w:val="00ED03AD"/>
    <w:rsid w:val="00ED08DC"/>
    <w:rsid w:val="00ED236E"/>
    <w:rsid w:val="00ED2642"/>
    <w:rsid w:val="00ED352D"/>
    <w:rsid w:val="00ED36CC"/>
    <w:rsid w:val="00ED3D87"/>
    <w:rsid w:val="00ED4212"/>
    <w:rsid w:val="00ED5B9B"/>
    <w:rsid w:val="00ED6AC2"/>
    <w:rsid w:val="00ED6ACC"/>
    <w:rsid w:val="00ED6BAD"/>
    <w:rsid w:val="00ED7447"/>
    <w:rsid w:val="00ED7762"/>
    <w:rsid w:val="00ED7A25"/>
    <w:rsid w:val="00EE00D6"/>
    <w:rsid w:val="00EE11E7"/>
    <w:rsid w:val="00EE1488"/>
    <w:rsid w:val="00EE1CE3"/>
    <w:rsid w:val="00EE28B5"/>
    <w:rsid w:val="00EE29AD"/>
    <w:rsid w:val="00EE3C65"/>
    <w:rsid w:val="00EE3E24"/>
    <w:rsid w:val="00EE40DB"/>
    <w:rsid w:val="00EE40F1"/>
    <w:rsid w:val="00EE4D5D"/>
    <w:rsid w:val="00EE5131"/>
    <w:rsid w:val="00EE6706"/>
    <w:rsid w:val="00EE7459"/>
    <w:rsid w:val="00EE77A1"/>
    <w:rsid w:val="00EF00EA"/>
    <w:rsid w:val="00EF0514"/>
    <w:rsid w:val="00EF08B7"/>
    <w:rsid w:val="00EF0E3E"/>
    <w:rsid w:val="00EF109B"/>
    <w:rsid w:val="00EF13D6"/>
    <w:rsid w:val="00EF17E3"/>
    <w:rsid w:val="00EF1807"/>
    <w:rsid w:val="00EF201C"/>
    <w:rsid w:val="00EF2118"/>
    <w:rsid w:val="00EF22B0"/>
    <w:rsid w:val="00EF239C"/>
    <w:rsid w:val="00EF24EB"/>
    <w:rsid w:val="00EF2C72"/>
    <w:rsid w:val="00EF36AF"/>
    <w:rsid w:val="00EF3974"/>
    <w:rsid w:val="00EF4016"/>
    <w:rsid w:val="00EF59A3"/>
    <w:rsid w:val="00EF5DB5"/>
    <w:rsid w:val="00EF6675"/>
    <w:rsid w:val="00EF67E3"/>
    <w:rsid w:val="00EF77B2"/>
    <w:rsid w:val="00EF7D90"/>
    <w:rsid w:val="00EF7E03"/>
    <w:rsid w:val="00F003BA"/>
    <w:rsid w:val="00F0063D"/>
    <w:rsid w:val="00F0080B"/>
    <w:rsid w:val="00F00CCF"/>
    <w:rsid w:val="00F00F9C"/>
    <w:rsid w:val="00F0186D"/>
    <w:rsid w:val="00F01E5F"/>
    <w:rsid w:val="00F024F3"/>
    <w:rsid w:val="00F02888"/>
    <w:rsid w:val="00F02946"/>
    <w:rsid w:val="00F02ABA"/>
    <w:rsid w:val="00F0318A"/>
    <w:rsid w:val="00F03A39"/>
    <w:rsid w:val="00F0437A"/>
    <w:rsid w:val="00F05EFA"/>
    <w:rsid w:val="00F06F13"/>
    <w:rsid w:val="00F1008D"/>
    <w:rsid w:val="00F101B8"/>
    <w:rsid w:val="00F106B6"/>
    <w:rsid w:val="00F11037"/>
    <w:rsid w:val="00F1136F"/>
    <w:rsid w:val="00F1372D"/>
    <w:rsid w:val="00F147C9"/>
    <w:rsid w:val="00F148E0"/>
    <w:rsid w:val="00F15863"/>
    <w:rsid w:val="00F1588D"/>
    <w:rsid w:val="00F16170"/>
    <w:rsid w:val="00F167EF"/>
    <w:rsid w:val="00F16950"/>
    <w:rsid w:val="00F16F1B"/>
    <w:rsid w:val="00F17820"/>
    <w:rsid w:val="00F17AC5"/>
    <w:rsid w:val="00F209A9"/>
    <w:rsid w:val="00F20B05"/>
    <w:rsid w:val="00F215DC"/>
    <w:rsid w:val="00F216DC"/>
    <w:rsid w:val="00F21CFC"/>
    <w:rsid w:val="00F22B8E"/>
    <w:rsid w:val="00F23471"/>
    <w:rsid w:val="00F239D7"/>
    <w:rsid w:val="00F250A9"/>
    <w:rsid w:val="00F26572"/>
    <w:rsid w:val="00F267AF"/>
    <w:rsid w:val="00F27481"/>
    <w:rsid w:val="00F30FF4"/>
    <w:rsid w:val="00F31206"/>
    <w:rsid w:val="00F3122E"/>
    <w:rsid w:val="00F312F6"/>
    <w:rsid w:val="00F32084"/>
    <w:rsid w:val="00F320FB"/>
    <w:rsid w:val="00F32368"/>
    <w:rsid w:val="00F32622"/>
    <w:rsid w:val="00F3286B"/>
    <w:rsid w:val="00F32A09"/>
    <w:rsid w:val="00F32AAA"/>
    <w:rsid w:val="00F331AD"/>
    <w:rsid w:val="00F333F9"/>
    <w:rsid w:val="00F34258"/>
    <w:rsid w:val="00F3482F"/>
    <w:rsid w:val="00F35222"/>
    <w:rsid w:val="00F35287"/>
    <w:rsid w:val="00F35C0D"/>
    <w:rsid w:val="00F36E71"/>
    <w:rsid w:val="00F40163"/>
    <w:rsid w:val="00F4033F"/>
    <w:rsid w:val="00F40356"/>
    <w:rsid w:val="00F40476"/>
    <w:rsid w:val="00F40A70"/>
    <w:rsid w:val="00F40D26"/>
    <w:rsid w:val="00F41533"/>
    <w:rsid w:val="00F4250A"/>
    <w:rsid w:val="00F42540"/>
    <w:rsid w:val="00F42A30"/>
    <w:rsid w:val="00F4305C"/>
    <w:rsid w:val="00F43A37"/>
    <w:rsid w:val="00F44405"/>
    <w:rsid w:val="00F444B1"/>
    <w:rsid w:val="00F44C9C"/>
    <w:rsid w:val="00F44CA9"/>
    <w:rsid w:val="00F4641B"/>
    <w:rsid w:val="00F46DEF"/>
    <w:rsid w:val="00F46EB8"/>
    <w:rsid w:val="00F4751D"/>
    <w:rsid w:val="00F50CC2"/>
    <w:rsid w:val="00F50CD1"/>
    <w:rsid w:val="00F511E4"/>
    <w:rsid w:val="00F5159E"/>
    <w:rsid w:val="00F52507"/>
    <w:rsid w:val="00F52CD1"/>
    <w:rsid w:val="00F52D09"/>
    <w:rsid w:val="00F52E08"/>
    <w:rsid w:val="00F5320A"/>
    <w:rsid w:val="00F53379"/>
    <w:rsid w:val="00F539AF"/>
    <w:rsid w:val="00F53A66"/>
    <w:rsid w:val="00F5421F"/>
    <w:rsid w:val="00F5462D"/>
    <w:rsid w:val="00F54688"/>
    <w:rsid w:val="00F557E8"/>
    <w:rsid w:val="00F55B21"/>
    <w:rsid w:val="00F56EF6"/>
    <w:rsid w:val="00F571FE"/>
    <w:rsid w:val="00F57465"/>
    <w:rsid w:val="00F578F1"/>
    <w:rsid w:val="00F60082"/>
    <w:rsid w:val="00F60790"/>
    <w:rsid w:val="00F61A9F"/>
    <w:rsid w:val="00F61B5F"/>
    <w:rsid w:val="00F62316"/>
    <w:rsid w:val="00F62A43"/>
    <w:rsid w:val="00F64696"/>
    <w:rsid w:val="00F65AA9"/>
    <w:rsid w:val="00F669C1"/>
    <w:rsid w:val="00F6768F"/>
    <w:rsid w:val="00F67980"/>
    <w:rsid w:val="00F701EC"/>
    <w:rsid w:val="00F70EF7"/>
    <w:rsid w:val="00F71E7A"/>
    <w:rsid w:val="00F7237B"/>
    <w:rsid w:val="00F72BA1"/>
    <w:rsid w:val="00F72C2C"/>
    <w:rsid w:val="00F73C26"/>
    <w:rsid w:val="00F741F2"/>
    <w:rsid w:val="00F75E6E"/>
    <w:rsid w:val="00F7601D"/>
    <w:rsid w:val="00F76CAB"/>
    <w:rsid w:val="00F7719B"/>
    <w:rsid w:val="00F771E7"/>
    <w:rsid w:val="00F772C6"/>
    <w:rsid w:val="00F77B8F"/>
    <w:rsid w:val="00F77BD2"/>
    <w:rsid w:val="00F80459"/>
    <w:rsid w:val="00F80BD6"/>
    <w:rsid w:val="00F815B5"/>
    <w:rsid w:val="00F81DAE"/>
    <w:rsid w:val="00F823D5"/>
    <w:rsid w:val="00F84004"/>
    <w:rsid w:val="00F841BF"/>
    <w:rsid w:val="00F84C34"/>
    <w:rsid w:val="00F85195"/>
    <w:rsid w:val="00F8605C"/>
    <w:rsid w:val="00F86067"/>
    <w:rsid w:val="00F868E3"/>
    <w:rsid w:val="00F87BD0"/>
    <w:rsid w:val="00F903E0"/>
    <w:rsid w:val="00F91279"/>
    <w:rsid w:val="00F91F2D"/>
    <w:rsid w:val="00F922F2"/>
    <w:rsid w:val="00F926F7"/>
    <w:rsid w:val="00F92FF0"/>
    <w:rsid w:val="00F930DA"/>
    <w:rsid w:val="00F938BA"/>
    <w:rsid w:val="00F94CB2"/>
    <w:rsid w:val="00F95236"/>
    <w:rsid w:val="00F95EA7"/>
    <w:rsid w:val="00F95EB7"/>
    <w:rsid w:val="00F96755"/>
    <w:rsid w:val="00F96EC8"/>
    <w:rsid w:val="00F96F36"/>
    <w:rsid w:val="00F9747C"/>
    <w:rsid w:val="00F97919"/>
    <w:rsid w:val="00F97A61"/>
    <w:rsid w:val="00F97E16"/>
    <w:rsid w:val="00FA2C46"/>
    <w:rsid w:val="00FA2D3F"/>
    <w:rsid w:val="00FA347E"/>
    <w:rsid w:val="00FA3525"/>
    <w:rsid w:val="00FA4135"/>
    <w:rsid w:val="00FA4173"/>
    <w:rsid w:val="00FA42D4"/>
    <w:rsid w:val="00FA50C7"/>
    <w:rsid w:val="00FA5101"/>
    <w:rsid w:val="00FA5353"/>
    <w:rsid w:val="00FA5530"/>
    <w:rsid w:val="00FA5A53"/>
    <w:rsid w:val="00FA6CC6"/>
    <w:rsid w:val="00FA70FC"/>
    <w:rsid w:val="00FA763E"/>
    <w:rsid w:val="00FA7D1D"/>
    <w:rsid w:val="00FB02D3"/>
    <w:rsid w:val="00FB0987"/>
    <w:rsid w:val="00FB0AF1"/>
    <w:rsid w:val="00FB1F6E"/>
    <w:rsid w:val="00FB25FF"/>
    <w:rsid w:val="00FB2629"/>
    <w:rsid w:val="00FB2A32"/>
    <w:rsid w:val="00FB3E1B"/>
    <w:rsid w:val="00FB41A6"/>
    <w:rsid w:val="00FB43C2"/>
    <w:rsid w:val="00FB46F6"/>
    <w:rsid w:val="00FB4769"/>
    <w:rsid w:val="00FB4CDA"/>
    <w:rsid w:val="00FB58B0"/>
    <w:rsid w:val="00FB633D"/>
    <w:rsid w:val="00FB6481"/>
    <w:rsid w:val="00FB6CA5"/>
    <w:rsid w:val="00FB6D36"/>
    <w:rsid w:val="00FB70E8"/>
    <w:rsid w:val="00FB7924"/>
    <w:rsid w:val="00FC052A"/>
    <w:rsid w:val="00FC0965"/>
    <w:rsid w:val="00FC0F81"/>
    <w:rsid w:val="00FC135D"/>
    <w:rsid w:val="00FC249D"/>
    <w:rsid w:val="00FC252F"/>
    <w:rsid w:val="00FC27A2"/>
    <w:rsid w:val="00FC2D6A"/>
    <w:rsid w:val="00FC395C"/>
    <w:rsid w:val="00FC3F8F"/>
    <w:rsid w:val="00FC3FD5"/>
    <w:rsid w:val="00FC4408"/>
    <w:rsid w:val="00FC4447"/>
    <w:rsid w:val="00FC5E8E"/>
    <w:rsid w:val="00FC7B67"/>
    <w:rsid w:val="00FC7D81"/>
    <w:rsid w:val="00FD02A8"/>
    <w:rsid w:val="00FD0439"/>
    <w:rsid w:val="00FD0AC6"/>
    <w:rsid w:val="00FD101B"/>
    <w:rsid w:val="00FD17F5"/>
    <w:rsid w:val="00FD1889"/>
    <w:rsid w:val="00FD262E"/>
    <w:rsid w:val="00FD2C2C"/>
    <w:rsid w:val="00FD2DDA"/>
    <w:rsid w:val="00FD3537"/>
    <w:rsid w:val="00FD3608"/>
    <w:rsid w:val="00FD36E4"/>
    <w:rsid w:val="00FD3766"/>
    <w:rsid w:val="00FD3D05"/>
    <w:rsid w:val="00FD4578"/>
    <w:rsid w:val="00FD47C4"/>
    <w:rsid w:val="00FD4848"/>
    <w:rsid w:val="00FD4DC8"/>
    <w:rsid w:val="00FD4F6E"/>
    <w:rsid w:val="00FD5B9C"/>
    <w:rsid w:val="00FD6B10"/>
    <w:rsid w:val="00FD74EF"/>
    <w:rsid w:val="00FD753D"/>
    <w:rsid w:val="00FE0725"/>
    <w:rsid w:val="00FE09A9"/>
    <w:rsid w:val="00FE0AD1"/>
    <w:rsid w:val="00FE0D93"/>
    <w:rsid w:val="00FE1B8B"/>
    <w:rsid w:val="00FE2B3D"/>
    <w:rsid w:val="00FE2DCF"/>
    <w:rsid w:val="00FE3FA7"/>
    <w:rsid w:val="00FE4081"/>
    <w:rsid w:val="00FE4216"/>
    <w:rsid w:val="00FE47A3"/>
    <w:rsid w:val="00FE6BA0"/>
    <w:rsid w:val="00FE6FF3"/>
    <w:rsid w:val="00FE76D4"/>
    <w:rsid w:val="00FE777E"/>
    <w:rsid w:val="00FE7B43"/>
    <w:rsid w:val="00FE7CF0"/>
    <w:rsid w:val="00FF106E"/>
    <w:rsid w:val="00FF1090"/>
    <w:rsid w:val="00FF2816"/>
    <w:rsid w:val="00FF2A4E"/>
    <w:rsid w:val="00FF2FCE"/>
    <w:rsid w:val="00FF30DC"/>
    <w:rsid w:val="00FF3141"/>
    <w:rsid w:val="00FF4F28"/>
    <w:rsid w:val="00FF4F7D"/>
    <w:rsid w:val="00FF5195"/>
    <w:rsid w:val="00FF5666"/>
    <w:rsid w:val="00FF5967"/>
    <w:rsid w:val="00FF6C05"/>
    <w:rsid w:val="00FF6D9D"/>
    <w:rsid w:val="00FF74B2"/>
    <w:rsid w:val="00FF7620"/>
    <w:rsid w:val="00FF7DD5"/>
    <w:rsid w:val="01260EC9"/>
    <w:rsid w:val="013E7AD3"/>
    <w:rsid w:val="01500D17"/>
    <w:rsid w:val="0158D2CF"/>
    <w:rsid w:val="0170E5A8"/>
    <w:rsid w:val="01B80364"/>
    <w:rsid w:val="020AAD5E"/>
    <w:rsid w:val="02E9499A"/>
    <w:rsid w:val="03062B35"/>
    <w:rsid w:val="0439EB7E"/>
    <w:rsid w:val="04D81897"/>
    <w:rsid w:val="06E0321B"/>
    <w:rsid w:val="073A2393"/>
    <w:rsid w:val="0A91F9D1"/>
    <w:rsid w:val="0A9688A0"/>
    <w:rsid w:val="0A9D78FB"/>
    <w:rsid w:val="0ACF6413"/>
    <w:rsid w:val="0BE4A095"/>
    <w:rsid w:val="0BF1134E"/>
    <w:rsid w:val="0C1E9458"/>
    <w:rsid w:val="0C70C41A"/>
    <w:rsid w:val="0D7724C8"/>
    <w:rsid w:val="0E486EF4"/>
    <w:rsid w:val="0E85B56F"/>
    <w:rsid w:val="0EBA9DC0"/>
    <w:rsid w:val="0ED20415"/>
    <w:rsid w:val="0F0318FA"/>
    <w:rsid w:val="0F4AA022"/>
    <w:rsid w:val="0FF235BE"/>
    <w:rsid w:val="10252FF9"/>
    <w:rsid w:val="106BE554"/>
    <w:rsid w:val="10FCDD5D"/>
    <w:rsid w:val="1125BE97"/>
    <w:rsid w:val="118BA5B7"/>
    <w:rsid w:val="11BBD340"/>
    <w:rsid w:val="125E72E5"/>
    <w:rsid w:val="1309885E"/>
    <w:rsid w:val="136205F6"/>
    <w:rsid w:val="13DB126D"/>
    <w:rsid w:val="1451F742"/>
    <w:rsid w:val="14880FBB"/>
    <w:rsid w:val="14CABA1D"/>
    <w:rsid w:val="14CEFB92"/>
    <w:rsid w:val="14FA0C8E"/>
    <w:rsid w:val="18DC02B3"/>
    <w:rsid w:val="1922ED02"/>
    <w:rsid w:val="1966100C"/>
    <w:rsid w:val="1B195FA0"/>
    <w:rsid w:val="1B3259BB"/>
    <w:rsid w:val="1BDBC3EC"/>
    <w:rsid w:val="1BE282F1"/>
    <w:rsid w:val="1C438C13"/>
    <w:rsid w:val="1D061EEB"/>
    <w:rsid w:val="1D3352F7"/>
    <w:rsid w:val="1D4619AA"/>
    <w:rsid w:val="1D8380D9"/>
    <w:rsid w:val="1E510062"/>
    <w:rsid w:val="1E65D8C7"/>
    <w:rsid w:val="1F493B88"/>
    <w:rsid w:val="1F7F0AAC"/>
    <w:rsid w:val="200250A5"/>
    <w:rsid w:val="20990778"/>
    <w:rsid w:val="21CB3E16"/>
    <w:rsid w:val="22EBA580"/>
    <w:rsid w:val="230DD9D9"/>
    <w:rsid w:val="2396D701"/>
    <w:rsid w:val="2471BB14"/>
    <w:rsid w:val="24F08A53"/>
    <w:rsid w:val="25968E8C"/>
    <w:rsid w:val="2730B2F4"/>
    <w:rsid w:val="27F43A2D"/>
    <w:rsid w:val="2840859D"/>
    <w:rsid w:val="288ED468"/>
    <w:rsid w:val="28CB9AB9"/>
    <w:rsid w:val="28F57250"/>
    <w:rsid w:val="290B9022"/>
    <w:rsid w:val="29900A8E"/>
    <w:rsid w:val="299697A5"/>
    <w:rsid w:val="299D0406"/>
    <w:rsid w:val="29F18492"/>
    <w:rsid w:val="2A547371"/>
    <w:rsid w:val="2AACBC4C"/>
    <w:rsid w:val="2ABD234A"/>
    <w:rsid w:val="2B368A01"/>
    <w:rsid w:val="2B946C6A"/>
    <w:rsid w:val="2C58FE0A"/>
    <w:rsid w:val="2C7AD3C0"/>
    <w:rsid w:val="2CA92EA0"/>
    <w:rsid w:val="2D24D4C4"/>
    <w:rsid w:val="2D82AF30"/>
    <w:rsid w:val="2D839B27"/>
    <w:rsid w:val="2DDEAE12"/>
    <w:rsid w:val="2E1F8DBB"/>
    <w:rsid w:val="2E6F11B2"/>
    <w:rsid w:val="2ECB4899"/>
    <w:rsid w:val="2F320727"/>
    <w:rsid w:val="31088468"/>
    <w:rsid w:val="310ADCB7"/>
    <w:rsid w:val="315B0AB7"/>
    <w:rsid w:val="31852829"/>
    <w:rsid w:val="31F62997"/>
    <w:rsid w:val="32CCA7F8"/>
    <w:rsid w:val="32FB9630"/>
    <w:rsid w:val="3396044C"/>
    <w:rsid w:val="33A00FA6"/>
    <w:rsid w:val="345EA0AF"/>
    <w:rsid w:val="3502EE86"/>
    <w:rsid w:val="3532A975"/>
    <w:rsid w:val="3580A125"/>
    <w:rsid w:val="35ECCBF9"/>
    <w:rsid w:val="35F332EF"/>
    <w:rsid w:val="36144A0B"/>
    <w:rsid w:val="3636E889"/>
    <w:rsid w:val="36B389A4"/>
    <w:rsid w:val="36C20DF0"/>
    <w:rsid w:val="3770DA16"/>
    <w:rsid w:val="37C9B8D2"/>
    <w:rsid w:val="37DA0970"/>
    <w:rsid w:val="3912698D"/>
    <w:rsid w:val="392B4914"/>
    <w:rsid w:val="3961303B"/>
    <w:rsid w:val="397BFB49"/>
    <w:rsid w:val="3A855AB3"/>
    <w:rsid w:val="3AC620A2"/>
    <w:rsid w:val="3B279867"/>
    <w:rsid w:val="3B43EFE2"/>
    <w:rsid w:val="3B4735A2"/>
    <w:rsid w:val="3BA0867B"/>
    <w:rsid w:val="3BDB2F30"/>
    <w:rsid w:val="3C0ACF13"/>
    <w:rsid w:val="3D330470"/>
    <w:rsid w:val="3D6D25C0"/>
    <w:rsid w:val="3D76FF91"/>
    <w:rsid w:val="3DE2AFF9"/>
    <w:rsid w:val="3E90C215"/>
    <w:rsid w:val="3F16961F"/>
    <w:rsid w:val="406C9385"/>
    <w:rsid w:val="40AEA053"/>
    <w:rsid w:val="414569A9"/>
    <w:rsid w:val="416F7A4D"/>
    <w:rsid w:val="41A00566"/>
    <w:rsid w:val="41B92DC3"/>
    <w:rsid w:val="420353A0"/>
    <w:rsid w:val="420CBC30"/>
    <w:rsid w:val="4246EBE0"/>
    <w:rsid w:val="42A76110"/>
    <w:rsid w:val="437609D4"/>
    <w:rsid w:val="4385A6A9"/>
    <w:rsid w:val="43A706D2"/>
    <w:rsid w:val="43BE7F1F"/>
    <w:rsid w:val="4416F9D8"/>
    <w:rsid w:val="4496B38E"/>
    <w:rsid w:val="4510DC17"/>
    <w:rsid w:val="456A91C6"/>
    <w:rsid w:val="4588BDDB"/>
    <w:rsid w:val="4619876F"/>
    <w:rsid w:val="461E52F0"/>
    <w:rsid w:val="465CA687"/>
    <w:rsid w:val="46B37E20"/>
    <w:rsid w:val="46E0A1AA"/>
    <w:rsid w:val="46F2C668"/>
    <w:rsid w:val="4723717D"/>
    <w:rsid w:val="473F08CD"/>
    <w:rsid w:val="4811A4CA"/>
    <w:rsid w:val="488E96C9"/>
    <w:rsid w:val="489B9E1D"/>
    <w:rsid w:val="48AA3421"/>
    <w:rsid w:val="498C9A9B"/>
    <w:rsid w:val="49E9AD6A"/>
    <w:rsid w:val="4A3BEBFB"/>
    <w:rsid w:val="4BA9847D"/>
    <w:rsid w:val="4BF6E2A0"/>
    <w:rsid w:val="4C929C7E"/>
    <w:rsid w:val="4CE42A85"/>
    <w:rsid w:val="4D2230DE"/>
    <w:rsid w:val="4D4A8FED"/>
    <w:rsid w:val="4DD22659"/>
    <w:rsid w:val="4E4EFB36"/>
    <w:rsid w:val="4E7595D9"/>
    <w:rsid w:val="4E7E025F"/>
    <w:rsid w:val="4F9FEC2F"/>
    <w:rsid w:val="4FD27640"/>
    <w:rsid w:val="5131F331"/>
    <w:rsid w:val="51712816"/>
    <w:rsid w:val="518020C0"/>
    <w:rsid w:val="51BE9AA4"/>
    <w:rsid w:val="51DF5C44"/>
    <w:rsid w:val="5262924B"/>
    <w:rsid w:val="52CC8D50"/>
    <w:rsid w:val="52E6B11F"/>
    <w:rsid w:val="533C8BEF"/>
    <w:rsid w:val="53F9BF84"/>
    <w:rsid w:val="548649D0"/>
    <w:rsid w:val="551FB1A5"/>
    <w:rsid w:val="562E2E8C"/>
    <w:rsid w:val="56D66923"/>
    <w:rsid w:val="570FDE21"/>
    <w:rsid w:val="5771AE09"/>
    <w:rsid w:val="57880C58"/>
    <w:rsid w:val="581D55E1"/>
    <w:rsid w:val="586DA3A7"/>
    <w:rsid w:val="5890BB43"/>
    <w:rsid w:val="58CAD713"/>
    <w:rsid w:val="593316E9"/>
    <w:rsid w:val="5933B36A"/>
    <w:rsid w:val="5947E766"/>
    <w:rsid w:val="59B7C61D"/>
    <w:rsid w:val="5A4019D8"/>
    <w:rsid w:val="5A48787A"/>
    <w:rsid w:val="5A5160E7"/>
    <w:rsid w:val="5A8570D0"/>
    <w:rsid w:val="5AA8B384"/>
    <w:rsid w:val="5ABFAD1A"/>
    <w:rsid w:val="5AC12ADA"/>
    <w:rsid w:val="5AC139F0"/>
    <w:rsid w:val="5AC5CFD8"/>
    <w:rsid w:val="5AF98827"/>
    <w:rsid w:val="5B001E83"/>
    <w:rsid w:val="5B1455E1"/>
    <w:rsid w:val="5B41045E"/>
    <w:rsid w:val="5B4640F9"/>
    <w:rsid w:val="5B4BD09F"/>
    <w:rsid w:val="5B8CB402"/>
    <w:rsid w:val="5B97963D"/>
    <w:rsid w:val="5C5196AA"/>
    <w:rsid w:val="5CB11786"/>
    <w:rsid w:val="5CE7A100"/>
    <w:rsid w:val="5CFD3C8D"/>
    <w:rsid w:val="5D18FD76"/>
    <w:rsid w:val="5DB38D86"/>
    <w:rsid w:val="5E7DE1BB"/>
    <w:rsid w:val="5E909F0A"/>
    <w:rsid w:val="5F198B37"/>
    <w:rsid w:val="5FC0F395"/>
    <w:rsid w:val="5FE40EE9"/>
    <w:rsid w:val="6049A002"/>
    <w:rsid w:val="607A1BA5"/>
    <w:rsid w:val="6080836A"/>
    <w:rsid w:val="60A39840"/>
    <w:rsid w:val="6111CED4"/>
    <w:rsid w:val="614D1078"/>
    <w:rsid w:val="61F4D39B"/>
    <w:rsid w:val="628946EF"/>
    <w:rsid w:val="62EF5EAA"/>
    <w:rsid w:val="6356E284"/>
    <w:rsid w:val="64C91B31"/>
    <w:rsid w:val="652238EF"/>
    <w:rsid w:val="6605589A"/>
    <w:rsid w:val="6690E126"/>
    <w:rsid w:val="6822BE4A"/>
    <w:rsid w:val="6935203F"/>
    <w:rsid w:val="6955F50E"/>
    <w:rsid w:val="696F4977"/>
    <w:rsid w:val="69713638"/>
    <w:rsid w:val="6A986D1C"/>
    <w:rsid w:val="6ABD9A6A"/>
    <w:rsid w:val="6BA964E3"/>
    <w:rsid w:val="6C6B52E9"/>
    <w:rsid w:val="6CF0FAF8"/>
    <w:rsid w:val="6D0CCA67"/>
    <w:rsid w:val="6D4C3BDB"/>
    <w:rsid w:val="6D652415"/>
    <w:rsid w:val="6D77097E"/>
    <w:rsid w:val="6E07DF78"/>
    <w:rsid w:val="6E2B4935"/>
    <w:rsid w:val="6E8BB0FE"/>
    <w:rsid w:val="6EEBAB2B"/>
    <w:rsid w:val="6F26B214"/>
    <w:rsid w:val="6F3A25CA"/>
    <w:rsid w:val="6FEDAAAC"/>
    <w:rsid w:val="6FF87F43"/>
    <w:rsid w:val="7074969F"/>
    <w:rsid w:val="7075258F"/>
    <w:rsid w:val="70BFB0E3"/>
    <w:rsid w:val="70CAF6E5"/>
    <w:rsid w:val="72263A12"/>
    <w:rsid w:val="7265F785"/>
    <w:rsid w:val="72BEF324"/>
    <w:rsid w:val="74258656"/>
    <w:rsid w:val="758BCFC1"/>
    <w:rsid w:val="75C0CE61"/>
    <w:rsid w:val="75D3ABC9"/>
    <w:rsid w:val="766D1AF9"/>
    <w:rsid w:val="769E6B48"/>
    <w:rsid w:val="78345082"/>
    <w:rsid w:val="7836F04E"/>
    <w:rsid w:val="78B246BF"/>
    <w:rsid w:val="794DD03E"/>
    <w:rsid w:val="7A8BE200"/>
    <w:rsid w:val="7AA83034"/>
    <w:rsid w:val="7AF0910B"/>
    <w:rsid w:val="7BCD4BF7"/>
    <w:rsid w:val="7C8DBCF3"/>
    <w:rsid w:val="7CC7BBC0"/>
    <w:rsid w:val="7D4F6F52"/>
    <w:rsid w:val="7DEBA709"/>
    <w:rsid w:val="7E1D316F"/>
    <w:rsid w:val="7E7A3B4A"/>
    <w:rsid w:val="7EFF16F5"/>
    <w:rsid w:val="7F28F83D"/>
    <w:rsid w:val="7F795C98"/>
    <w:rsid w:val="7F85515E"/>
    <w:rsid w:val="7FBEC036"/>
    <w:rsid w:val="7FECE4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4510"/>
  <w14:discardImageEditingData/>
  <w14:defaultImageDpi w14:val="150"/>
  <w15:docId w15:val="{0DD82E97-C1D4-4553-9BDD-A90CA315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077DBB"/>
    <w:pPr>
      <w:keepNext/>
      <w:keepLines/>
      <w:spacing w:before="40" w:after="0" w:line="264" w:lineRule="auto"/>
      <w:outlineLvl w:val="5"/>
    </w:pPr>
    <w:rPr>
      <w:rFonts w:asciiTheme="majorHAnsi" w:eastAsiaTheme="majorEastAsia" w:hAnsiTheme="majorHAnsi" w:cstheme="majorBidi"/>
      <w:i/>
      <w:iCs/>
      <w:color w:val="1F497D" w:themeColor="text2"/>
      <w:szCs w:val="21"/>
      <w:lang w:eastAsia="en-AU"/>
    </w:rPr>
  </w:style>
  <w:style w:type="paragraph" w:styleId="Heading7">
    <w:name w:val="heading 7"/>
    <w:basedOn w:val="Normal"/>
    <w:next w:val="Normal"/>
    <w:link w:val="Heading7Char"/>
    <w:uiPriority w:val="9"/>
    <w:semiHidden/>
    <w:unhideWhenUsed/>
    <w:qFormat/>
    <w:rsid w:val="00077DBB"/>
    <w:pPr>
      <w:keepNext/>
      <w:keepLines/>
      <w:spacing w:before="40" w:after="0" w:line="264" w:lineRule="auto"/>
      <w:outlineLvl w:val="6"/>
    </w:pPr>
    <w:rPr>
      <w:rFonts w:asciiTheme="majorHAnsi" w:eastAsiaTheme="majorEastAsia" w:hAnsiTheme="majorHAnsi" w:cstheme="majorBidi"/>
      <w:i/>
      <w:iCs/>
      <w:color w:val="244061" w:themeColor="accent1" w:themeShade="80"/>
      <w:szCs w:val="21"/>
      <w:lang w:eastAsia="en-AU"/>
    </w:rPr>
  </w:style>
  <w:style w:type="paragraph" w:styleId="Heading8">
    <w:name w:val="heading 8"/>
    <w:basedOn w:val="Normal"/>
    <w:next w:val="Normal"/>
    <w:link w:val="Heading8Char"/>
    <w:uiPriority w:val="9"/>
    <w:semiHidden/>
    <w:unhideWhenUsed/>
    <w:qFormat/>
    <w:rsid w:val="00077DBB"/>
    <w:pPr>
      <w:keepNext/>
      <w:keepLines/>
      <w:spacing w:before="40" w:after="0" w:line="264" w:lineRule="auto"/>
      <w:outlineLvl w:val="7"/>
    </w:pPr>
    <w:rPr>
      <w:rFonts w:asciiTheme="majorHAnsi" w:eastAsiaTheme="majorEastAsia" w:hAnsiTheme="majorHAnsi" w:cstheme="majorBidi"/>
      <w:b/>
      <w:bCs/>
      <w:color w:val="1F497D" w:themeColor="text2"/>
      <w:sz w:val="20"/>
      <w:lang w:eastAsia="en-AU"/>
    </w:rPr>
  </w:style>
  <w:style w:type="paragraph" w:styleId="Heading9">
    <w:name w:val="heading 9"/>
    <w:basedOn w:val="Normal"/>
    <w:next w:val="Normal"/>
    <w:link w:val="Heading9Char"/>
    <w:uiPriority w:val="9"/>
    <w:semiHidden/>
    <w:unhideWhenUsed/>
    <w:qFormat/>
    <w:rsid w:val="00077DBB"/>
    <w:pPr>
      <w:keepNext/>
      <w:keepLines/>
      <w:spacing w:before="40" w:after="0" w:line="264" w:lineRule="auto"/>
      <w:outlineLvl w:val="8"/>
    </w:pPr>
    <w:rPr>
      <w:rFonts w:asciiTheme="majorHAnsi" w:eastAsiaTheme="majorEastAsia" w:hAnsiTheme="majorHAnsi" w:cstheme="majorBidi"/>
      <w:b/>
      <w:bCs/>
      <w:i/>
      <w:iCs/>
      <w:color w:val="1F497D" w:themeColor="text2"/>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customStyle="1" w:styleId="Heading6Char">
    <w:name w:val="Heading 6 Char"/>
    <w:basedOn w:val="DefaultParagraphFont"/>
    <w:link w:val="Heading6"/>
    <w:uiPriority w:val="9"/>
    <w:semiHidden/>
    <w:rsid w:val="00077DB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7DB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7DB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7DBB"/>
    <w:rPr>
      <w:rFonts w:asciiTheme="majorHAnsi" w:eastAsiaTheme="majorEastAsia" w:hAnsiTheme="majorHAnsi" w:cstheme="majorBidi"/>
      <w:b/>
      <w:bCs/>
      <w:i/>
      <w:iCs/>
      <w:color w:val="1F497D" w:themeColor="text2"/>
    </w:rPr>
  </w:style>
  <w:style w:type="character" w:customStyle="1" w:styleId="HeaderChar">
    <w:name w:val="Header Char"/>
    <w:basedOn w:val="DefaultParagraphFont"/>
    <w:link w:val="Header"/>
    <w:uiPriority w:val="99"/>
    <w:rsid w:val="00077DBB"/>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077DBB"/>
    <w:rPr>
      <w:rFonts w:ascii="Arial" w:hAnsi="Arial" w:cs="Arial"/>
      <w:szCs w:val="18"/>
      <w:lang w:eastAsia="en-US"/>
    </w:rPr>
  </w:style>
  <w:style w:type="paragraph" w:customStyle="1" w:styleId="TOCheadingfactsheet">
    <w:name w:val="TOC heading fact sheet"/>
    <w:basedOn w:val="Heading2"/>
    <w:next w:val="Body"/>
    <w:link w:val="TOCheadingfactsheetChar"/>
    <w:uiPriority w:val="4"/>
    <w:rsid w:val="00077DBB"/>
    <w:pPr>
      <w:shd w:val="clear" w:color="auto" w:fill="FFFFFF"/>
      <w:spacing w:before="480" w:after="200" w:line="330" w:lineRule="atLeast"/>
      <w:outlineLvl w:val="9"/>
    </w:pPr>
    <w:rPr>
      <w:rFonts w:eastAsia="Arial" w:cs="Arial"/>
      <w:color w:val="1F497D" w:themeColor="text2"/>
      <w:sz w:val="29"/>
      <w:shd w:val="clear" w:color="auto" w:fill="FFFFFF"/>
      <w:lang w:eastAsia="en-AU"/>
    </w:rPr>
  </w:style>
  <w:style w:type="character" w:customStyle="1" w:styleId="TOCheadingfactsheetChar">
    <w:name w:val="TOC heading fact sheet Char"/>
    <w:link w:val="TOCheadingfactsheet"/>
    <w:uiPriority w:val="4"/>
    <w:rsid w:val="00077DBB"/>
    <w:rPr>
      <w:rFonts w:ascii="Arial" w:eastAsia="Arial" w:hAnsi="Arial" w:cs="Arial"/>
      <w:b/>
      <w:color w:val="1F497D" w:themeColor="text2"/>
      <w:sz w:val="29"/>
      <w:szCs w:val="28"/>
      <w:shd w:val="clear" w:color="auto" w:fill="FFFFFF"/>
    </w:rPr>
  </w:style>
  <w:style w:type="paragraph" w:customStyle="1" w:styleId="DHHSbody">
    <w:name w:val="DHHS body"/>
    <w:link w:val="DHHSbodyChar"/>
    <w:qFormat/>
    <w:rsid w:val="00077DBB"/>
    <w:pPr>
      <w:spacing w:after="120" w:line="270" w:lineRule="atLeast"/>
    </w:pPr>
    <w:rPr>
      <w:rFonts w:ascii="Arial" w:eastAsia="Times" w:hAnsi="Arial" w:cstheme="minorBidi"/>
      <w:lang w:eastAsia="en-US"/>
    </w:rPr>
  </w:style>
  <w:style w:type="character" w:customStyle="1" w:styleId="DHHSbodyChar">
    <w:name w:val="DHHS body Char"/>
    <w:basedOn w:val="DefaultParagraphFont"/>
    <w:link w:val="DHHSbody"/>
    <w:rsid w:val="00077DBB"/>
    <w:rPr>
      <w:rFonts w:ascii="Arial" w:eastAsia="Times" w:hAnsi="Arial" w:cstheme="minorBidi"/>
      <w:lang w:eastAsia="en-US"/>
    </w:rPr>
  </w:style>
  <w:style w:type="paragraph" w:customStyle="1" w:styleId="xxdhhsbody">
    <w:name w:val="x_xdhhsbody"/>
    <w:basedOn w:val="Normal"/>
    <w:rsid w:val="00077DBB"/>
    <w:pPr>
      <w:spacing w:after="0" w:line="240" w:lineRule="auto"/>
    </w:pPr>
    <w:rPr>
      <w:rFonts w:ascii="Calibri" w:eastAsiaTheme="minorHAnsi" w:hAnsi="Calibri" w:cs="Calibri"/>
      <w:sz w:val="22"/>
      <w:szCs w:val="22"/>
      <w:lang w:eastAsia="en-AU"/>
    </w:rPr>
  </w:style>
  <w:style w:type="paragraph" w:customStyle="1" w:styleId="xxdhhsnumberloweralpha">
    <w:name w:val="x_xdhhsnumberloweralpha"/>
    <w:basedOn w:val="Normal"/>
    <w:rsid w:val="00077DBB"/>
    <w:pPr>
      <w:spacing w:after="0" w:line="240" w:lineRule="auto"/>
    </w:pPr>
    <w:rPr>
      <w:rFonts w:ascii="Calibri" w:eastAsiaTheme="minorHAnsi" w:hAnsi="Calibri" w:cs="Calibri"/>
      <w:sz w:val="22"/>
      <w:szCs w:val="22"/>
      <w:lang w:eastAsia="en-AU"/>
    </w:rPr>
  </w:style>
  <w:style w:type="character" w:styleId="Emphasis">
    <w:name w:val="Emphasis"/>
    <w:basedOn w:val="DefaultParagraphFont"/>
    <w:uiPriority w:val="20"/>
    <w:qFormat/>
    <w:rsid w:val="00077DBB"/>
    <w:rPr>
      <w:i/>
      <w:iCs/>
    </w:rPr>
  </w:style>
  <w:style w:type="paragraph" w:customStyle="1" w:styleId="Normal0">
    <w:name w:val="Normal0"/>
    <w:rsid w:val="00077DBB"/>
    <w:pPr>
      <w:spacing w:after="200" w:line="276" w:lineRule="auto"/>
    </w:pPr>
    <w:rPr>
      <w:rFonts w:ascii="Calibri" w:eastAsia="Calibri" w:hAnsi="Calibri" w:cs="Calibri"/>
      <w:sz w:val="22"/>
      <w:szCs w:val="22"/>
    </w:rPr>
  </w:style>
  <w:style w:type="paragraph" w:customStyle="1" w:styleId="Default">
    <w:name w:val="Default"/>
    <w:rsid w:val="00077DBB"/>
    <w:pPr>
      <w:autoSpaceDE w:val="0"/>
      <w:autoSpaceDN w:val="0"/>
      <w:adjustRightInd w:val="0"/>
    </w:pPr>
    <w:rPr>
      <w:rFonts w:ascii="Arial" w:eastAsiaTheme="minorEastAsia" w:hAnsi="Arial" w:cs="Arial"/>
      <w:color w:val="000000"/>
      <w:sz w:val="24"/>
      <w:szCs w:val="24"/>
      <w:lang w:eastAsia="en-GB"/>
    </w:rPr>
  </w:style>
  <w:style w:type="paragraph" w:customStyle="1" w:styleId="DHHeading4">
    <w:name w:val="DH Heading 4"/>
    <w:basedOn w:val="Normal"/>
    <w:link w:val="DHHeading4Char"/>
    <w:rsid w:val="00077DBB"/>
    <w:pPr>
      <w:keepNext/>
      <w:keepLines/>
      <w:spacing w:before="240" w:line="264" w:lineRule="auto"/>
      <w:outlineLvl w:val="3"/>
    </w:pPr>
    <w:rPr>
      <w:rFonts w:asciiTheme="minorHAnsi" w:eastAsia="MS Mincho" w:hAnsiTheme="minorHAnsi" w:cstheme="minorBidi"/>
      <w:b/>
      <w:bCs/>
      <w:color w:val="53565A"/>
      <w:sz w:val="24"/>
      <w:szCs w:val="22"/>
      <w:lang w:eastAsia="en-AU"/>
    </w:rPr>
  </w:style>
  <w:style w:type="character" w:customStyle="1" w:styleId="DHHeading4Char">
    <w:name w:val="DH Heading 4 Char"/>
    <w:basedOn w:val="DefaultParagraphFont"/>
    <w:link w:val="DHHeading4"/>
    <w:rsid w:val="00077DBB"/>
    <w:rPr>
      <w:rFonts w:asciiTheme="minorHAnsi" w:eastAsia="MS Mincho" w:hAnsiTheme="minorHAnsi" w:cstheme="minorBidi"/>
      <w:b/>
      <w:bCs/>
      <w:color w:val="53565A"/>
      <w:sz w:val="24"/>
      <w:szCs w:val="22"/>
    </w:rPr>
  </w:style>
  <w:style w:type="paragraph" w:customStyle="1" w:styleId="DHTablecolhead">
    <w:name w:val="DH Table col head"/>
    <w:basedOn w:val="Normal"/>
    <w:link w:val="DHTablecolheadChar"/>
    <w:rsid w:val="00077DBB"/>
    <w:pPr>
      <w:spacing w:before="80" w:after="60" w:line="240" w:lineRule="auto"/>
    </w:pPr>
    <w:rPr>
      <w:rFonts w:asciiTheme="minorHAnsi" w:eastAsiaTheme="minorEastAsia" w:hAnsiTheme="minorHAnsi" w:cstheme="minorBidi"/>
      <w:b/>
      <w:color w:val="53565A"/>
      <w:sz w:val="20"/>
      <w:lang w:eastAsia="en-AU"/>
    </w:rPr>
  </w:style>
  <w:style w:type="character" w:customStyle="1" w:styleId="DHTablecolheadChar">
    <w:name w:val="DH Table col head Char"/>
    <w:basedOn w:val="DefaultParagraphFont"/>
    <w:link w:val="DHTablecolhead"/>
    <w:rsid w:val="00077DBB"/>
    <w:rPr>
      <w:rFonts w:asciiTheme="minorHAnsi" w:eastAsiaTheme="minorEastAsia" w:hAnsiTheme="minorHAnsi" w:cstheme="minorBidi"/>
      <w:b/>
      <w:color w:val="53565A"/>
    </w:rPr>
  </w:style>
  <w:style w:type="paragraph" w:customStyle="1" w:styleId="DHHSbullet1">
    <w:name w:val="DHHS bullet 1"/>
    <w:basedOn w:val="Normal"/>
    <w:qFormat/>
    <w:rsid w:val="00077DBB"/>
    <w:pPr>
      <w:spacing w:after="40" w:line="270" w:lineRule="atLeast"/>
      <w:ind w:left="720" w:hanging="360"/>
    </w:pPr>
    <w:rPr>
      <w:rFonts w:asciiTheme="minorHAnsi" w:eastAsia="Times" w:hAnsiTheme="minorHAnsi" w:cstheme="minorBidi"/>
      <w:sz w:val="20"/>
      <w:lang w:eastAsia="en-AU"/>
    </w:rPr>
  </w:style>
  <w:style w:type="paragraph" w:customStyle="1" w:styleId="DHHSbullet1lastline">
    <w:name w:val="DHHS bullet 1 last line"/>
    <w:basedOn w:val="DHHSbullet1"/>
    <w:rsid w:val="00077DBB"/>
    <w:pPr>
      <w:numPr>
        <w:numId w:val="11"/>
      </w:numPr>
      <w:spacing w:after="120"/>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ed"/>
    <w:basedOn w:val="Normal"/>
    <w:link w:val="ListParagraphChar"/>
    <w:uiPriority w:val="34"/>
    <w:qFormat/>
    <w:rsid w:val="00077DBB"/>
    <w:pPr>
      <w:ind w:left="720"/>
      <w:contextualSpacing/>
    </w:pPr>
    <w:rPr>
      <w:rFonts w:eastAsiaTheme="minorEastAsia" w:cstheme="minorBidi"/>
    </w:rPr>
  </w:style>
  <w:style w:type="paragraph" w:customStyle="1" w:styleId="xmsonormal">
    <w:name w:val="x_msonormal"/>
    <w:basedOn w:val="Normal"/>
    <w:rsid w:val="00077DBB"/>
    <w:pPr>
      <w:spacing w:after="0"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077DBB"/>
  </w:style>
  <w:style w:type="paragraph" w:customStyle="1" w:styleId="BoxBullet">
    <w:name w:val="BoxBullet"/>
    <w:basedOn w:val="Normal"/>
    <w:rsid w:val="00077DBB"/>
    <w:pPr>
      <w:pBdr>
        <w:top w:val="single" w:sz="4" w:space="4" w:color="000000"/>
        <w:left w:val="single" w:sz="4" w:space="4" w:color="000000"/>
        <w:bottom w:val="single" w:sz="4" w:space="4" w:color="000000"/>
        <w:right w:val="single" w:sz="4" w:space="4" w:color="000000"/>
      </w:pBdr>
      <w:tabs>
        <w:tab w:val="num" w:pos="357"/>
      </w:tabs>
      <w:spacing w:line="240" w:lineRule="auto"/>
      <w:ind w:left="357" w:hanging="357"/>
    </w:pPr>
    <w:rPr>
      <w:rFonts w:ascii="Calibri" w:eastAsiaTheme="minorEastAsia" w:hAnsi="Calibri" w:cstheme="minorBidi"/>
      <w:color w:val="000000"/>
      <w:sz w:val="22"/>
      <w:lang w:eastAsia="en-AU"/>
    </w:rPr>
  </w:style>
  <w:style w:type="character" w:customStyle="1" w:styleId="eop">
    <w:name w:val="eop"/>
    <w:basedOn w:val="DefaultParagraphFont"/>
    <w:uiPriority w:val="1"/>
    <w:rsid w:val="00077DBB"/>
  </w:style>
  <w:style w:type="paragraph" w:customStyle="1" w:styleId="BoxName">
    <w:name w:val="BoxName"/>
    <w:basedOn w:val="Normal"/>
    <w:rsid w:val="00077DBB"/>
    <w:pPr>
      <w:keepNext/>
      <w:pBdr>
        <w:top w:val="single" w:sz="4" w:space="4" w:color="000000"/>
        <w:left w:val="single" w:sz="4" w:space="4" w:color="000000"/>
        <w:bottom w:val="single" w:sz="4" w:space="4" w:color="000000"/>
        <w:right w:val="single" w:sz="4" w:space="4" w:color="000000"/>
      </w:pBdr>
      <w:tabs>
        <w:tab w:val="left" w:pos="357"/>
      </w:tabs>
      <w:spacing w:before="180" w:line="240" w:lineRule="auto"/>
      <w:ind w:left="1080" w:hanging="1080"/>
    </w:pPr>
    <w:rPr>
      <w:rFonts w:ascii="Calibri" w:eastAsiaTheme="minorEastAsia" w:hAnsi="Calibri" w:cstheme="minorBidi"/>
      <w:b/>
      <w:bCs/>
      <w:color w:val="000000"/>
      <w:sz w:val="24"/>
      <w:lang w:eastAsia="en-AU"/>
    </w:rPr>
  </w:style>
  <w:style w:type="table" w:styleId="ListTable3-Accent1">
    <w:name w:val="List Table 3 Accent 1"/>
    <w:basedOn w:val="TableNormal"/>
    <w:uiPriority w:val="48"/>
    <w:rsid w:val="00077DBB"/>
    <w:rPr>
      <w:rFonts w:asciiTheme="minorHAnsi" w:eastAsiaTheme="minorEastAsia" w:hAnsiTheme="minorHAnsi" w:cstheme="minorBid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unhideWhenUsed/>
    <w:rsid w:val="00077DBB"/>
    <w:pPr>
      <w:widowControl w:val="0"/>
      <w:autoSpaceDE w:val="0"/>
      <w:autoSpaceDN w:val="0"/>
      <w:spacing w:after="0" w:line="240" w:lineRule="auto"/>
    </w:pPr>
    <w:rPr>
      <w:rFonts w:ascii="Arial Narrow" w:eastAsia="Arial Narrow" w:hAnsi="Arial Narrow" w:cs="Arial Narrow"/>
      <w:sz w:val="22"/>
      <w:szCs w:val="22"/>
      <w:lang w:val="en-US" w:eastAsia="en-AU"/>
    </w:rPr>
  </w:style>
  <w:style w:type="character" w:customStyle="1" w:styleId="BodyTextChar">
    <w:name w:val="Body Text Char"/>
    <w:basedOn w:val="DefaultParagraphFont"/>
    <w:link w:val="BodyText"/>
    <w:uiPriority w:val="1"/>
    <w:rsid w:val="00077DBB"/>
    <w:rPr>
      <w:rFonts w:ascii="Arial Narrow" w:eastAsia="Arial Narrow" w:hAnsi="Arial Narrow" w:cs="Arial Narrow"/>
      <w:sz w:val="22"/>
      <w:szCs w:val="22"/>
      <w:lang w:val="en-US"/>
    </w:rPr>
  </w:style>
  <w:style w:type="character" w:styleId="PlaceholderText">
    <w:name w:val="Placeholder Text"/>
    <w:basedOn w:val="DefaultParagraphFont"/>
    <w:uiPriority w:val="99"/>
    <w:unhideWhenUsed/>
    <w:rsid w:val="00077DBB"/>
    <w:rPr>
      <w:color w:val="808080"/>
    </w:rPr>
  </w:style>
  <w:style w:type="table" w:styleId="GridTable1Light-Accent2">
    <w:name w:val="Grid Table 1 Light Accent 2"/>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77DBB"/>
    <w:rPr>
      <w:rFonts w:asciiTheme="minorHAnsi" w:eastAsiaTheme="minorEastAsia"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pellingerror">
    <w:name w:val="spellingerror"/>
    <w:basedOn w:val="DefaultParagraphFont"/>
    <w:rsid w:val="00077DBB"/>
  </w:style>
  <w:style w:type="character" w:styleId="Mention">
    <w:name w:val="Mention"/>
    <w:basedOn w:val="DefaultParagraphFont"/>
    <w:uiPriority w:val="99"/>
    <w:unhideWhenUsed/>
    <w:rsid w:val="00077DBB"/>
    <w:rPr>
      <w:color w:val="2B579A"/>
      <w:shd w:val="clear" w:color="auto" w:fill="E1DFDD"/>
    </w:rPr>
  </w:style>
  <w:style w:type="character" w:customStyle="1" w:styleId="cf01">
    <w:name w:val="cf01"/>
    <w:basedOn w:val="DefaultParagraphFont"/>
    <w:rsid w:val="00077DBB"/>
    <w:rPr>
      <w:rFonts w:ascii="Segoe UI" w:hAnsi="Segoe UI" w:cs="Segoe UI" w:hint="default"/>
      <w:sz w:val="18"/>
      <w:szCs w:val="18"/>
    </w:rPr>
  </w:style>
  <w:style w:type="paragraph" w:styleId="NormalWeb">
    <w:name w:val="Normal (Web)"/>
    <w:basedOn w:val="Normal"/>
    <w:uiPriority w:val="99"/>
    <w:unhideWhenUsed/>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TOCHeading">
    <w:name w:val="TOC Heading"/>
    <w:basedOn w:val="Heading1"/>
    <w:next w:val="Normal"/>
    <w:uiPriority w:val="39"/>
    <w:unhideWhenUsed/>
    <w:qFormat/>
    <w:rsid w:val="00077DBB"/>
    <w:pPr>
      <w:spacing w:before="320" w:line="288" w:lineRule="auto"/>
      <w:outlineLvl w:val="9"/>
    </w:pPr>
    <w:rPr>
      <w:rFonts w:eastAsia="Arial"/>
      <w:b/>
      <w:color w:val="0070C0"/>
      <w:kern w:val="0"/>
      <w:sz w:val="36"/>
      <w:szCs w:val="36"/>
      <w:lang w:eastAsia="en-AU"/>
    </w:rPr>
  </w:style>
  <w:style w:type="paragraph" w:customStyle="1" w:styleId="paragraph">
    <w:name w:val="paragraph"/>
    <w:basedOn w:val="Normal"/>
    <w:rsid w:val="00077DBB"/>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DBB"/>
    <w:rPr>
      <w:rFonts w:ascii="Arial" w:eastAsiaTheme="minorEastAsia" w:hAnsi="Arial" w:cstheme="minorBidi"/>
      <w:sz w:val="21"/>
      <w:lang w:eastAsia="en-US"/>
    </w:rPr>
  </w:style>
  <w:style w:type="character" w:customStyle="1" w:styleId="spellingerrorsuperscript">
    <w:name w:val="spellingerrorsuperscript"/>
    <w:basedOn w:val="DefaultParagraphFont"/>
    <w:rsid w:val="00077DBB"/>
  </w:style>
  <w:style w:type="paragraph" w:customStyle="1" w:styleId="TableParagraph">
    <w:name w:val="Table Paragraph"/>
    <w:basedOn w:val="Normal"/>
    <w:uiPriority w:val="1"/>
    <w:rsid w:val="00077DBB"/>
    <w:pPr>
      <w:widowControl w:val="0"/>
      <w:autoSpaceDE w:val="0"/>
      <w:autoSpaceDN w:val="0"/>
      <w:spacing w:before="78" w:after="0" w:line="240" w:lineRule="auto"/>
      <w:ind w:left="469"/>
    </w:pPr>
    <w:rPr>
      <w:rFonts w:asciiTheme="minorHAnsi" w:eastAsia="Arial" w:hAnsiTheme="minorHAnsi" w:cs="Arial"/>
      <w:sz w:val="22"/>
      <w:szCs w:val="22"/>
      <w:lang w:val="en-US" w:eastAsia="en-AU"/>
    </w:rPr>
  </w:style>
  <w:style w:type="character" w:styleId="LineNumber">
    <w:name w:val="line number"/>
    <w:basedOn w:val="DefaultParagraphFont"/>
    <w:uiPriority w:val="99"/>
    <w:semiHidden/>
    <w:unhideWhenUsed/>
    <w:rsid w:val="00077DBB"/>
  </w:style>
  <w:style w:type="table" w:styleId="GridTable3">
    <w:name w:val="Grid Table 3"/>
    <w:basedOn w:val="TableNormal"/>
    <w:uiPriority w:val="48"/>
    <w:rsid w:val="00077DBB"/>
    <w:pPr>
      <w:spacing w:after="120" w:line="264" w:lineRule="auto"/>
    </w:pPr>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Accent31">
    <w:name w:val="Grid Table 1 Light - Accent 31"/>
    <w:basedOn w:val="TableNormal"/>
    <w:next w:val="GridTable1Light-Accent3"/>
    <w:uiPriority w:val="46"/>
    <w:rsid w:val="00077DBB"/>
    <w:rPr>
      <w:rFonts w:ascii="Calibri" w:eastAsia="Calibri" w:hAnsi="Calibri" w:cstheme="minorBid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xmsonormal">
    <w:name w:val="x_xmsonormal"/>
    <w:basedOn w:val="Normal"/>
    <w:rsid w:val="00077DBB"/>
    <w:pPr>
      <w:spacing w:after="0" w:line="240" w:lineRule="auto"/>
    </w:pPr>
    <w:rPr>
      <w:rFonts w:ascii="Calibri" w:eastAsiaTheme="minorHAnsi" w:hAnsi="Calibri" w:cs="Calibri"/>
      <w:sz w:val="22"/>
      <w:szCs w:val="22"/>
      <w:lang w:eastAsia="en-AU"/>
    </w:rPr>
  </w:style>
  <w:style w:type="character" w:customStyle="1" w:styleId="scxw57296092">
    <w:name w:val="scxw57296092"/>
    <w:basedOn w:val="DefaultParagraphFont"/>
    <w:rsid w:val="00077DBB"/>
  </w:style>
  <w:style w:type="table" w:customStyle="1" w:styleId="TableGrid1">
    <w:name w:val="Table Grid1"/>
    <w:basedOn w:val="TableNormal"/>
    <w:next w:val="TableGrid"/>
    <w:uiPriority w:val="39"/>
    <w:rsid w:val="00077DBB"/>
    <w:pPr>
      <w:spacing w:after="120" w:line="264"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BodyText"/>
    <w:link w:val="bulletpointChar"/>
    <w:rsid w:val="00077DBB"/>
    <w:pPr>
      <w:widowControl/>
      <w:suppressAutoHyphens/>
      <w:adjustRightInd w:val="0"/>
      <w:spacing w:before="120" w:after="170" w:line="259" w:lineRule="auto"/>
      <w:contextualSpacing/>
      <w:textAlignment w:val="center"/>
    </w:pPr>
    <w:rPr>
      <w:rFonts w:ascii="Arial" w:eastAsiaTheme="minorHAnsi" w:hAnsi="Arial" w:cs="Arial"/>
      <w:bCs/>
      <w:color w:val="000000" w:themeColor="text1"/>
      <w:sz w:val="21"/>
      <w:lang w:val="en-GB"/>
    </w:rPr>
  </w:style>
  <w:style w:type="character" w:customStyle="1" w:styleId="bulletpointChar">
    <w:name w:val="bullet point Char"/>
    <w:basedOn w:val="BodyTextChar"/>
    <w:link w:val="bulletpoint"/>
    <w:rsid w:val="00077DBB"/>
    <w:rPr>
      <w:rFonts w:ascii="Arial" w:eastAsiaTheme="minorHAnsi" w:hAnsi="Arial" w:cs="Arial"/>
      <w:bCs/>
      <w:color w:val="000000" w:themeColor="text1"/>
      <w:sz w:val="21"/>
      <w:szCs w:val="22"/>
      <w:lang w:val="en-GB"/>
    </w:rPr>
  </w:style>
  <w:style w:type="paragraph" w:customStyle="1" w:styleId="xmsonormal0">
    <w:name w:val="xmsonormal"/>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msolistparagraph">
    <w:name w:val="x_msolist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paragraph">
    <w:name w:val="x_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character" w:customStyle="1" w:styleId="xnormaltextrun">
    <w:name w:val="x_normaltextrun"/>
    <w:basedOn w:val="DefaultParagraphFont"/>
    <w:rsid w:val="00077DBB"/>
  </w:style>
  <w:style w:type="character" w:customStyle="1" w:styleId="xeop">
    <w:name w:val="x_eop"/>
    <w:basedOn w:val="DefaultParagraphFont"/>
    <w:rsid w:val="00077DBB"/>
  </w:style>
  <w:style w:type="character" w:customStyle="1" w:styleId="xspellingerror">
    <w:name w:val="x_spellingerror"/>
    <w:basedOn w:val="DefaultParagraphFont"/>
    <w:rsid w:val="00077DBB"/>
  </w:style>
  <w:style w:type="paragraph" w:customStyle="1" w:styleId="EndNoteBibliography">
    <w:name w:val="EndNote Bibliography"/>
    <w:basedOn w:val="Normal"/>
    <w:link w:val="EndNoteBibliographyChar"/>
    <w:rsid w:val="00077DBB"/>
    <w:pPr>
      <w:spacing w:after="0" w:line="240" w:lineRule="auto"/>
      <w:jc w:val="both"/>
    </w:pPr>
    <w:rPr>
      <w:rFonts w:asciiTheme="minorHAnsi" w:eastAsiaTheme="minorHAnsi" w:hAnsiTheme="minorHAnsi" w:cs="Arial"/>
      <w:sz w:val="20"/>
      <w:szCs w:val="24"/>
      <w:lang w:val="en-US" w:eastAsia="en-AU"/>
    </w:rPr>
  </w:style>
  <w:style w:type="character" w:customStyle="1" w:styleId="EndNoteBibliographyChar">
    <w:name w:val="EndNote Bibliography Char"/>
    <w:basedOn w:val="DefaultParagraphFont"/>
    <w:link w:val="EndNoteBibliography"/>
    <w:rsid w:val="00077DBB"/>
    <w:rPr>
      <w:rFonts w:asciiTheme="minorHAnsi" w:eastAsiaTheme="minorHAnsi" w:hAnsiTheme="minorHAnsi" w:cs="Arial"/>
      <w:szCs w:val="24"/>
      <w:lang w:val="en-US"/>
    </w:rPr>
  </w:style>
  <w:style w:type="paragraph" w:styleId="NoSpacing">
    <w:name w:val="No Spacing"/>
    <w:link w:val="NoSpacingChar"/>
    <w:uiPriority w:val="1"/>
    <w:qFormat/>
    <w:rsid w:val="00077DBB"/>
    <w:rPr>
      <w:rFonts w:asciiTheme="minorHAnsi" w:eastAsiaTheme="minorEastAsia" w:hAnsiTheme="minorHAnsi" w:cstheme="minorBidi"/>
    </w:rPr>
  </w:style>
  <w:style w:type="character" w:customStyle="1" w:styleId="scxw31548167">
    <w:name w:val="scxw31548167"/>
    <w:basedOn w:val="DefaultParagraphFont"/>
    <w:rsid w:val="00077DBB"/>
  </w:style>
  <w:style w:type="character" w:customStyle="1" w:styleId="scxw134383488">
    <w:name w:val="scxw134383488"/>
    <w:basedOn w:val="DefaultParagraphFont"/>
    <w:rsid w:val="00077DBB"/>
  </w:style>
  <w:style w:type="paragraph" w:customStyle="1" w:styleId="Heading2notappearinginTOC">
    <w:name w:val="Heading 2 (not appearing in TOC)"/>
    <w:next w:val="Normal"/>
    <w:qFormat/>
    <w:rsid w:val="00077DBB"/>
    <w:pPr>
      <w:spacing w:before="160" w:after="120" w:line="264" w:lineRule="auto"/>
      <w:ind w:left="851"/>
    </w:pPr>
    <w:rPr>
      <w:rFonts w:ascii="Arial" w:eastAsiaTheme="minorEastAsia" w:hAnsi="Arial" w:cstheme="minorBidi"/>
      <w:b/>
      <w:color w:val="808080" w:themeColor="background1" w:themeShade="80"/>
      <w:sz w:val="28"/>
      <w:szCs w:val="28"/>
      <w:lang w:eastAsia="en-US"/>
    </w:rPr>
  </w:style>
  <w:style w:type="paragraph" w:customStyle="1" w:styleId="DJCSbody">
    <w:name w:val="DJCS body"/>
    <w:link w:val="DJCSbodyChar"/>
    <w:qFormat/>
    <w:rsid w:val="00077DBB"/>
    <w:pPr>
      <w:spacing w:after="120" w:line="250" w:lineRule="atLeast"/>
    </w:pPr>
    <w:rPr>
      <w:rFonts w:ascii="Arial" w:eastAsia="Times" w:hAnsi="Arial" w:cstheme="minorBidi"/>
      <w:sz w:val="22"/>
      <w:lang w:eastAsia="en-US"/>
    </w:rPr>
  </w:style>
  <w:style w:type="paragraph" w:customStyle="1" w:styleId="DJCStablecolumnheadwhite">
    <w:name w:val="DJCS table column head white"/>
    <w:basedOn w:val="Normal"/>
    <w:uiPriority w:val="11"/>
    <w:qFormat/>
    <w:rsid w:val="00077DBB"/>
    <w:pPr>
      <w:spacing w:before="80" w:after="60" w:line="240" w:lineRule="auto"/>
    </w:pPr>
    <w:rPr>
      <w:rFonts w:asciiTheme="minorHAnsi" w:eastAsiaTheme="minorEastAsia" w:hAnsiTheme="minorHAnsi" w:cstheme="minorBidi"/>
      <w:color w:val="FFFFFF" w:themeColor="background1"/>
      <w:sz w:val="22"/>
      <w:lang w:eastAsia="en-AU"/>
    </w:rPr>
  </w:style>
  <w:style w:type="table" w:customStyle="1" w:styleId="DJRReporttablestyleNavy">
    <w:name w:val="DJR Report table style Navy"/>
    <w:basedOn w:val="TableNormal"/>
    <w:uiPriority w:val="99"/>
    <w:rsid w:val="00077DBB"/>
    <w:pPr>
      <w:spacing w:before="80" w:after="60"/>
    </w:pPr>
    <w:rPr>
      <w:rFonts w:ascii="Arial" w:eastAsiaTheme="minorEastAsia" w:hAnsi="Arial" w:cstheme="minorBidi"/>
    </w:rPr>
    <w:tblPr>
      <w:tblInd w:w="68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blStylePr w:type="firstRow">
      <w:rPr>
        <w:rFonts w:ascii="Arial" w:hAnsi="Arial"/>
        <w:b/>
        <w:sz w:val="22"/>
      </w:rPr>
      <w:tblPr/>
      <w:tcPr>
        <w:tcBorders>
          <w:insideV w:val="single" w:sz="4" w:space="0" w:color="FFFFFF" w:themeColor="background1"/>
        </w:tcBorders>
        <w:shd w:val="clear" w:color="auto" w:fill="1F497D" w:themeFill="text2"/>
      </w:tcPr>
    </w:tblStylePr>
  </w:style>
  <w:style w:type="character" w:customStyle="1" w:styleId="DJCSbodyChar">
    <w:name w:val="DJCS body Char"/>
    <w:basedOn w:val="DefaultParagraphFont"/>
    <w:link w:val="DJCSbody"/>
    <w:rsid w:val="00077DBB"/>
    <w:rPr>
      <w:rFonts w:ascii="Arial" w:eastAsia="Times" w:hAnsi="Arial" w:cstheme="minorBidi"/>
      <w:sz w:val="22"/>
      <w:lang w:eastAsia="en-US"/>
    </w:rPr>
  </w:style>
  <w:style w:type="character" w:customStyle="1" w:styleId="findhit">
    <w:name w:val="findhit"/>
    <w:basedOn w:val="DefaultParagraphFont"/>
    <w:rsid w:val="00077DBB"/>
  </w:style>
  <w:style w:type="paragraph" w:customStyle="1" w:styleId="DHHSletterbody">
    <w:name w:val="DHHS letter body"/>
    <w:basedOn w:val="Normal"/>
    <w:qFormat/>
    <w:rsid w:val="00077DBB"/>
    <w:pPr>
      <w:tabs>
        <w:tab w:val="left" w:pos="1333"/>
      </w:tabs>
      <w:spacing w:line="264" w:lineRule="auto"/>
    </w:pPr>
    <w:rPr>
      <w:rFonts w:asciiTheme="minorHAnsi" w:eastAsia="MS PMincho" w:hAnsiTheme="minorHAnsi" w:cs="Arial"/>
      <w:sz w:val="22"/>
      <w:szCs w:val="22"/>
      <w:lang w:eastAsia="en-AU"/>
    </w:rPr>
  </w:style>
  <w:style w:type="character" w:customStyle="1" w:styleId="rpl-text-label">
    <w:name w:val="rpl-text-label"/>
    <w:basedOn w:val="DefaultParagraphFont"/>
    <w:rsid w:val="00077DBB"/>
  </w:style>
  <w:style w:type="character" w:customStyle="1" w:styleId="rpl-text-icongroup">
    <w:name w:val="rpl-text-icon__group"/>
    <w:basedOn w:val="DefaultParagraphFont"/>
    <w:rsid w:val="00077DBB"/>
  </w:style>
  <w:style w:type="table" w:styleId="PlainTable1">
    <w:name w:val="Plain Table 1"/>
    <w:basedOn w:val="TableNormal"/>
    <w:uiPriority w:val="41"/>
    <w:rsid w:val="00077DBB"/>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077DBB"/>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7DBB"/>
    <w:rPr>
      <w:rFonts w:ascii="Calibri" w:eastAsiaTheme="minorHAnsi" w:hAnsi="Calibri" w:cstheme="minorBidi"/>
      <w:sz w:val="22"/>
      <w:szCs w:val="21"/>
      <w:lang w:eastAsia="en-US"/>
    </w:rPr>
  </w:style>
  <w:style w:type="paragraph" w:customStyle="1" w:styleId="prefade">
    <w:name w:val="prefade"/>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table" w:styleId="GridTable4-Accent1">
    <w:name w:val="Grid Table 4 Accent 1"/>
    <w:basedOn w:val="TableNormal"/>
    <w:uiPriority w:val="49"/>
    <w:rsid w:val="00077DBB"/>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BeforeDash">
    <w:name w:val="BulletBeforeDash"/>
    <w:basedOn w:val="Normal"/>
    <w:rsid w:val="00077DBB"/>
    <w:pPr>
      <w:tabs>
        <w:tab w:val="num" w:pos="360"/>
      </w:tabs>
      <w:spacing w:after="0" w:line="240" w:lineRule="auto"/>
      <w:ind w:left="360" w:hanging="360"/>
    </w:pPr>
    <w:rPr>
      <w:rFonts w:ascii="Calibri" w:eastAsiaTheme="minorEastAsia" w:hAnsi="Calibri" w:cstheme="minorBidi"/>
      <w:color w:val="000000"/>
      <w:sz w:val="22"/>
      <w:lang w:eastAsia="en-AU"/>
    </w:rPr>
  </w:style>
  <w:style w:type="paragraph" w:customStyle="1" w:styleId="Bullet">
    <w:name w:val="Bullet"/>
    <w:basedOn w:val="BulletBeforeDash"/>
    <w:rsid w:val="00077DBB"/>
    <w:pPr>
      <w:spacing w:after="120"/>
    </w:pPr>
  </w:style>
  <w:style w:type="numbering" w:customStyle="1" w:styleId="ZZBullets1">
    <w:name w:val="ZZ Bullets1"/>
    <w:rsid w:val="00077DBB"/>
    <w:pPr>
      <w:numPr>
        <w:numId w:val="7"/>
      </w:numPr>
    </w:pPr>
  </w:style>
  <w:style w:type="numbering" w:customStyle="1" w:styleId="ZZTablebullets1">
    <w:name w:val="ZZ Table bullets1"/>
    <w:basedOn w:val="NoList"/>
    <w:rsid w:val="00077DBB"/>
    <w:pPr>
      <w:numPr>
        <w:numId w:val="8"/>
      </w:numPr>
    </w:pPr>
  </w:style>
  <w:style w:type="numbering" w:customStyle="1" w:styleId="ZZBullets2">
    <w:name w:val="ZZ Bullets2"/>
    <w:rsid w:val="00077DBB"/>
    <w:pPr>
      <w:numPr>
        <w:numId w:val="17"/>
      </w:numPr>
    </w:pPr>
  </w:style>
  <w:style w:type="numbering" w:customStyle="1" w:styleId="ZZNumbersdigit1">
    <w:name w:val="ZZ Numbers digit1"/>
    <w:rsid w:val="00077DBB"/>
    <w:pPr>
      <w:numPr>
        <w:numId w:val="16"/>
      </w:numPr>
    </w:pPr>
  </w:style>
  <w:style w:type="numbering" w:customStyle="1" w:styleId="ZZQuotebullets1">
    <w:name w:val="ZZ Quote bullets1"/>
    <w:basedOn w:val="ZZNumbersdigit"/>
    <w:rsid w:val="00077DBB"/>
    <w:pPr>
      <w:numPr>
        <w:numId w:val="9"/>
      </w:numPr>
    </w:pPr>
  </w:style>
  <w:style w:type="numbering" w:customStyle="1" w:styleId="ZZNumberslowerroman1">
    <w:name w:val="ZZ Numbers lower roman1"/>
    <w:basedOn w:val="ZZQuotebullets"/>
    <w:rsid w:val="00077DBB"/>
    <w:pPr>
      <w:numPr>
        <w:numId w:val="18"/>
      </w:numPr>
    </w:pPr>
  </w:style>
  <w:style w:type="character" w:customStyle="1" w:styleId="scxw265611322">
    <w:name w:val="scxw265611322"/>
    <w:basedOn w:val="DefaultParagraphFont"/>
    <w:rsid w:val="00077DBB"/>
  </w:style>
  <w:style w:type="paragraph" w:customStyle="1" w:styleId="BulletedList">
    <w:name w:val="Bulleted List"/>
    <w:basedOn w:val="Normal"/>
    <w:rsid w:val="00077DBB"/>
    <w:pPr>
      <w:numPr>
        <w:numId w:val="17"/>
      </w:numPr>
      <w:spacing w:line="240" w:lineRule="auto"/>
      <w:contextualSpacing/>
    </w:pPr>
    <w:rPr>
      <w:rFonts w:asciiTheme="minorHAnsi" w:eastAsiaTheme="majorEastAsia" w:hAnsiTheme="minorHAnsi" w:cs="Arial"/>
      <w:sz w:val="18"/>
      <w:szCs w:val="18"/>
      <w:lang w:val="en" w:eastAsia="en-AU"/>
    </w:rPr>
  </w:style>
  <w:style w:type="table" w:styleId="TableGridLight">
    <w:name w:val="Grid Table Light"/>
    <w:basedOn w:val="TableNormal"/>
    <w:uiPriority w:val="40"/>
    <w:rsid w:val="00077DBB"/>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ZZNumbersloweralpha1">
    <w:name w:val="ZZ Numbers lower alpha1"/>
    <w:basedOn w:val="NoList"/>
    <w:rsid w:val="00077DBB"/>
    <w:pPr>
      <w:numPr>
        <w:numId w:val="19"/>
      </w:numPr>
    </w:pPr>
  </w:style>
  <w:style w:type="table" w:customStyle="1" w:styleId="TableGrid2">
    <w:name w:val="Table Grid2"/>
    <w:basedOn w:val="TableNormal"/>
    <w:next w:val="TableGrid"/>
    <w:rsid w:val="00077DBB"/>
    <w:rPr>
      <w:rFonts w:asciiTheme="minorHAnsi" w:eastAsiaTheme="minorEastAsia" w:hAnsiTheme="minorHAnsi" w:cstheme="minorBidi"/>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7DBB"/>
    <w:pPr>
      <w:spacing w:line="240" w:lineRule="auto"/>
    </w:pPr>
    <w:rPr>
      <w:rFonts w:asciiTheme="minorHAnsi" w:eastAsiaTheme="minorEastAsia" w:hAnsiTheme="minorHAnsi" w:cstheme="minorBidi"/>
      <w:b/>
      <w:bCs/>
      <w:smallCaps/>
      <w:color w:val="595959" w:themeColor="text1" w:themeTint="A6"/>
      <w:spacing w:val="6"/>
      <w:sz w:val="20"/>
      <w:lang w:eastAsia="en-AU"/>
    </w:rPr>
  </w:style>
  <w:style w:type="paragraph" w:customStyle="1" w:styleId="xbody">
    <w:name w:val="x_body"/>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Quote">
    <w:name w:val="Quote"/>
    <w:basedOn w:val="Normal"/>
    <w:next w:val="Normal"/>
    <w:link w:val="QuoteChar"/>
    <w:uiPriority w:val="29"/>
    <w:qFormat/>
    <w:rsid w:val="00077DBB"/>
    <w:pPr>
      <w:spacing w:before="160" w:line="264" w:lineRule="auto"/>
      <w:ind w:left="720" w:right="720"/>
    </w:pPr>
    <w:rPr>
      <w:rFonts w:asciiTheme="minorHAnsi" w:eastAsiaTheme="minorEastAsia" w:hAnsiTheme="minorHAnsi" w:cstheme="minorBidi"/>
      <w:i/>
      <w:iCs/>
      <w:color w:val="404040" w:themeColor="text1" w:themeTint="BF"/>
      <w:sz w:val="20"/>
      <w:lang w:eastAsia="en-AU"/>
    </w:rPr>
  </w:style>
  <w:style w:type="character" w:customStyle="1" w:styleId="QuoteChar">
    <w:name w:val="Quote Char"/>
    <w:basedOn w:val="DefaultParagraphFont"/>
    <w:link w:val="Quote"/>
    <w:uiPriority w:val="29"/>
    <w:rsid w:val="00077DBB"/>
    <w:rPr>
      <w:rFonts w:asciiTheme="minorHAnsi" w:eastAsiaTheme="minorEastAsia" w:hAnsiTheme="minorHAnsi" w:cstheme="minorBidi"/>
      <w:i/>
      <w:iCs/>
      <w:color w:val="404040" w:themeColor="text1" w:themeTint="BF"/>
    </w:rPr>
  </w:style>
  <w:style w:type="paragraph" w:styleId="IntenseQuote">
    <w:name w:val="Intense Quote"/>
    <w:basedOn w:val="Normal"/>
    <w:next w:val="Normal"/>
    <w:link w:val="IntenseQuoteChar"/>
    <w:uiPriority w:val="30"/>
    <w:qFormat/>
    <w:rsid w:val="00077DB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lang w:eastAsia="en-AU"/>
    </w:rPr>
  </w:style>
  <w:style w:type="character" w:customStyle="1" w:styleId="IntenseQuoteChar">
    <w:name w:val="Intense Quote Char"/>
    <w:basedOn w:val="DefaultParagraphFont"/>
    <w:link w:val="IntenseQuote"/>
    <w:uiPriority w:val="30"/>
    <w:rsid w:val="00077DB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7DBB"/>
    <w:rPr>
      <w:i/>
      <w:iCs/>
      <w:color w:val="404040" w:themeColor="text1" w:themeTint="BF"/>
    </w:rPr>
  </w:style>
  <w:style w:type="character" w:styleId="IntenseEmphasis">
    <w:name w:val="Intense Emphasis"/>
    <w:basedOn w:val="DefaultParagraphFont"/>
    <w:uiPriority w:val="21"/>
    <w:qFormat/>
    <w:rsid w:val="00077DBB"/>
    <w:rPr>
      <w:b/>
      <w:bCs/>
      <w:i/>
      <w:iCs/>
    </w:rPr>
  </w:style>
  <w:style w:type="character" w:styleId="SubtleReference">
    <w:name w:val="Subtle Reference"/>
    <w:basedOn w:val="DefaultParagraphFont"/>
    <w:uiPriority w:val="31"/>
    <w:qFormat/>
    <w:rsid w:val="00077D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7DBB"/>
    <w:rPr>
      <w:b/>
      <w:bCs/>
      <w:smallCaps/>
      <w:spacing w:val="5"/>
      <w:u w:val="single"/>
    </w:rPr>
  </w:style>
  <w:style w:type="character" w:styleId="BookTitle">
    <w:name w:val="Book Title"/>
    <w:basedOn w:val="DefaultParagraphFont"/>
    <w:uiPriority w:val="33"/>
    <w:qFormat/>
    <w:rsid w:val="00077DBB"/>
    <w:rPr>
      <w:b/>
      <w:bCs/>
      <w:smallCaps/>
    </w:rPr>
  </w:style>
  <w:style w:type="character" w:customStyle="1" w:styleId="NoSpacingChar">
    <w:name w:val="No Spacing Char"/>
    <w:basedOn w:val="DefaultParagraphFont"/>
    <w:link w:val="NoSpacing"/>
    <w:uiPriority w:val="1"/>
    <w:rsid w:val="00077DBB"/>
    <w:rPr>
      <w:rFonts w:asciiTheme="minorHAnsi" w:eastAsiaTheme="minorEastAsia" w:hAnsiTheme="minorHAnsi" w:cstheme="minorBidi"/>
    </w:rPr>
  </w:style>
  <w:style w:type="table" w:customStyle="1" w:styleId="TableGrid3">
    <w:name w:val="Table Grid3"/>
    <w:basedOn w:val="TableNormal"/>
    <w:next w:val="TableGrid"/>
    <w:uiPriority w:val="59"/>
    <w:rsid w:val="00DD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D4F6E"/>
    <w:pPr>
      <w:numPr>
        <w:numId w:val="37"/>
      </w:numPr>
    </w:pPr>
  </w:style>
  <w:style w:type="paragraph" w:customStyle="1" w:styleId="msipfooter35ed8459">
    <w:name w:val="msipfooter35ed8459"/>
    <w:basedOn w:val="Normal"/>
    <w:rsid w:val="00300F1A"/>
    <w:pPr>
      <w:spacing w:before="100" w:beforeAutospacing="1" w:after="100" w:afterAutospacing="1" w:line="240" w:lineRule="auto"/>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62005">
      <w:bodyDiv w:val="1"/>
      <w:marLeft w:val="0"/>
      <w:marRight w:val="0"/>
      <w:marTop w:val="0"/>
      <w:marBottom w:val="0"/>
      <w:divBdr>
        <w:top w:val="none" w:sz="0" w:space="0" w:color="auto"/>
        <w:left w:val="none" w:sz="0" w:space="0" w:color="auto"/>
        <w:bottom w:val="none" w:sz="0" w:space="0" w:color="auto"/>
        <w:right w:val="none" w:sz="0" w:space="0" w:color="auto"/>
      </w:divBdr>
    </w:div>
    <w:div w:id="93945272">
      <w:bodyDiv w:val="1"/>
      <w:marLeft w:val="0"/>
      <w:marRight w:val="0"/>
      <w:marTop w:val="0"/>
      <w:marBottom w:val="0"/>
      <w:divBdr>
        <w:top w:val="none" w:sz="0" w:space="0" w:color="auto"/>
        <w:left w:val="none" w:sz="0" w:space="0" w:color="auto"/>
        <w:bottom w:val="none" w:sz="0" w:space="0" w:color="auto"/>
        <w:right w:val="none" w:sz="0" w:space="0" w:color="auto"/>
      </w:divBdr>
    </w:div>
    <w:div w:id="10250379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7239111">
      <w:bodyDiv w:val="1"/>
      <w:marLeft w:val="0"/>
      <w:marRight w:val="0"/>
      <w:marTop w:val="0"/>
      <w:marBottom w:val="0"/>
      <w:divBdr>
        <w:top w:val="none" w:sz="0" w:space="0" w:color="auto"/>
        <w:left w:val="none" w:sz="0" w:space="0" w:color="auto"/>
        <w:bottom w:val="none" w:sz="0" w:space="0" w:color="auto"/>
        <w:right w:val="none" w:sz="0" w:space="0" w:color="auto"/>
      </w:divBdr>
    </w:div>
    <w:div w:id="26229895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0757313">
      <w:bodyDiv w:val="1"/>
      <w:marLeft w:val="0"/>
      <w:marRight w:val="0"/>
      <w:marTop w:val="0"/>
      <w:marBottom w:val="0"/>
      <w:divBdr>
        <w:top w:val="none" w:sz="0" w:space="0" w:color="auto"/>
        <w:left w:val="none" w:sz="0" w:space="0" w:color="auto"/>
        <w:bottom w:val="none" w:sz="0" w:space="0" w:color="auto"/>
        <w:right w:val="none" w:sz="0" w:space="0" w:color="auto"/>
      </w:divBdr>
      <w:divsChild>
        <w:div w:id="1606762611">
          <w:marLeft w:val="0"/>
          <w:marRight w:val="0"/>
          <w:marTop w:val="0"/>
          <w:marBottom w:val="0"/>
          <w:divBdr>
            <w:top w:val="none" w:sz="0" w:space="0" w:color="auto"/>
            <w:left w:val="none" w:sz="0" w:space="0" w:color="auto"/>
            <w:bottom w:val="none" w:sz="0" w:space="0" w:color="auto"/>
            <w:right w:val="none" w:sz="0" w:space="0" w:color="auto"/>
          </w:divBdr>
        </w:div>
        <w:div w:id="1977759146">
          <w:marLeft w:val="0"/>
          <w:marRight w:val="0"/>
          <w:marTop w:val="0"/>
          <w:marBottom w:val="0"/>
          <w:divBdr>
            <w:top w:val="none" w:sz="0" w:space="0" w:color="auto"/>
            <w:left w:val="none" w:sz="0" w:space="0" w:color="auto"/>
            <w:bottom w:val="none" w:sz="0" w:space="0" w:color="auto"/>
            <w:right w:val="none" w:sz="0" w:space="0" w:color="auto"/>
          </w:divBdr>
        </w:div>
      </w:divsChild>
    </w:div>
    <w:div w:id="422386730">
      <w:bodyDiv w:val="1"/>
      <w:marLeft w:val="0"/>
      <w:marRight w:val="0"/>
      <w:marTop w:val="0"/>
      <w:marBottom w:val="0"/>
      <w:divBdr>
        <w:top w:val="none" w:sz="0" w:space="0" w:color="auto"/>
        <w:left w:val="none" w:sz="0" w:space="0" w:color="auto"/>
        <w:bottom w:val="none" w:sz="0" w:space="0" w:color="auto"/>
        <w:right w:val="none" w:sz="0" w:space="0" w:color="auto"/>
      </w:divBdr>
      <w:divsChild>
        <w:div w:id="1029405143">
          <w:marLeft w:val="0"/>
          <w:marRight w:val="0"/>
          <w:marTop w:val="0"/>
          <w:marBottom w:val="0"/>
          <w:divBdr>
            <w:top w:val="none" w:sz="0" w:space="0" w:color="auto"/>
            <w:left w:val="none" w:sz="0" w:space="0" w:color="auto"/>
            <w:bottom w:val="none" w:sz="0" w:space="0" w:color="auto"/>
            <w:right w:val="none" w:sz="0" w:space="0" w:color="auto"/>
          </w:divBdr>
        </w:div>
        <w:div w:id="1422993028">
          <w:marLeft w:val="0"/>
          <w:marRight w:val="0"/>
          <w:marTop w:val="0"/>
          <w:marBottom w:val="0"/>
          <w:divBdr>
            <w:top w:val="none" w:sz="0" w:space="0" w:color="auto"/>
            <w:left w:val="none" w:sz="0" w:space="0" w:color="auto"/>
            <w:bottom w:val="none" w:sz="0" w:space="0" w:color="auto"/>
            <w:right w:val="none" w:sz="0" w:space="0" w:color="auto"/>
          </w:divBdr>
        </w:div>
      </w:divsChild>
    </w:div>
    <w:div w:id="427240223">
      <w:bodyDiv w:val="1"/>
      <w:marLeft w:val="0"/>
      <w:marRight w:val="0"/>
      <w:marTop w:val="0"/>
      <w:marBottom w:val="0"/>
      <w:divBdr>
        <w:top w:val="none" w:sz="0" w:space="0" w:color="auto"/>
        <w:left w:val="none" w:sz="0" w:space="0" w:color="auto"/>
        <w:bottom w:val="none" w:sz="0" w:space="0" w:color="auto"/>
        <w:right w:val="none" w:sz="0" w:space="0" w:color="auto"/>
      </w:divBdr>
    </w:div>
    <w:div w:id="462583899">
      <w:bodyDiv w:val="1"/>
      <w:marLeft w:val="0"/>
      <w:marRight w:val="0"/>
      <w:marTop w:val="0"/>
      <w:marBottom w:val="0"/>
      <w:divBdr>
        <w:top w:val="none" w:sz="0" w:space="0" w:color="auto"/>
        <w:left w:val="none" w:sz="0" w:space="0" w:color="auto"/>
        <w:bottom w:val="none" w:sz="0" w:space="0" w:color="auto"/>
        <w:right w:val="none" w:sz="0" w:space="0" w:color="auto"/>
      </w:divBdr>
    </w:div>
    <w:div w:id="482354496">
      <w:bodyDiv w:val="1"/>
      <w:marLeft w:val="0"/>
      <w:marRight w:val="0"/>
      <w:marTop w:val="0"/>
      <w:marBottom w:val="0"/>
      <w:divBdr>
        <w:top w:val="none" w:sz="0" w:space="0" w:color="auto"/>
        <w:left w:val="none" w:sz="0" w:space="0" w:color="auto"/>
        <w:bottom w:val="none" w:sz="0" w:space="0" w:color="auto"/>
        <w:right w:val="none" w:sz="0" w:space="0" w:color="auto"/>
      </w:divBdr>
    </w:div>
    <w:div w:id="493960508">
      <w:bodyDiv w:val="1"/>
      <w:marLeft w:val="0"/>
      <w:marRight w:val="0"/>
      <w:marTop w:val="0"/>
      <w:marBottom w:val="0"/>
      <w:divBdr>
        <w:top w:val="none" w:sz="0" w:space="0" w:color="auto"/>
        <w:left w:val="none" w:sz="0" w:space="0" w:color="auto"/>
        <w:bottom w:val="none" w:sz="0" w:space="0" w:color="auto"/>
        <w:right w:val="none" w:sz="0" w:space="0" w:color="auto"/>
      </w:divBdr>
    </w:div>
    <w:div w:id="553781765">
      <w:bodyDiv w:val="1"/>
      <w:marLeft w:val="0"/>
      <w:marRight w:val="0"/>
      <w:marTop w:val="0"/>
      <w:marBottom w:val="0"/>
      <w:divBdr>
        <w:top w:val="none" w:sz="0" w:space="0" w:color="auto"/>
        <w:left w:val="none" w:sz="0" w:space="0" w:color="auto"/>
        <w:bottom w:val="none" w:sz="0" w:space="0" w:color="auto"/>
        <w:right w:val="none" w:sz="0" w:space="0" w:color="auto"/>
      </w:divBdr>
    </w:div>
    <w:div w:id="668020671">
      <w:bodyDiv w:val="1"/>
      <w:marLeft w:val="0"/>
      <w:marRight w:val="0"/>
      <w:marTop w:val="0"/>
      <w:marBottom w:val="0"/>
      <w:divBdr>
        <w:top w:val="none" w:sz="0" w:space="0" w:color="auto"/>
        <w:left w:val="none" w:sz="0" w:space="0" w:color="auto"/>
        <w:bottom w:val="none" w:sz="0" w:space="0" w:color="auto"/>
        <w:right w:val="none" w:sz="0" w:space="0" w:color="auto"/>
      </w:divBdr>
    </w:div>
    <w:div w:id="712736009">
      <w:bodyDiv w:val="1"/>
      <w:marLeft w:val="0"/>
      <w:marRight w:val="0"/>
      <w:marTop w:val="0"/>
      <w:marBottom w:val="0"/>
      <w:divBdr>
        <w:top w:val="none" w:sz="0" w:space="0" w:color="auto"/>
        <w:left w:val="none" w:sz="0" w:space="0" w:color="auto"/>
        <w:bottom w:val="none" w:sz="0" w:space="0" w:color="auto"/>
        <w:right w:val="none" w:sz="0" w:space="0" w:color="auto"/>
      </w:divBdr>
      <w:divsChild>
        <w:div w:id="1089812186">
          <w:marLeft w:val="0"/>
          <w:marRight w:val="0"/>
          <w:marTop w:val="0"/>
          <w:marBottom w:val="0"/>
          <w:divBdr>
            <w:top w:val="none" w:sz="0" w:space="0" w:color="auto"/>
            <w:left w:val="none" w:sz="0" w:space="0" w:color="auto"/>
            <w:bottom w:val="none" w:sz="0" w:space="0" w:color="auto"/>
            <w:right w:val="none" w:sz="0" w:space="0" w:color="auto"/>
          </w:divBdr>
        </w:div>
        <w:div w:id="1568806287">
          <w:marLeft w:val="0"/>
          <w:marRight w:val="0"/>
          <w:marTop w:val="0"/>
          <w:marBottom w:val="0"/>
          <w:divBdr>
            <w:top w:val="none" w:sz="0" w:space="0" w:color="auto"/>
            <w:left w:val="none" w:sz="0" w:space="0" w:color="auto"/>
            <w:bottom w:val="none" w:sz="0" w:space="0" w:color="auto"/>
            <w:right w:val="none" w:sz="0" w:space="0" w:color="auto"/>
          </w:divBdr>
        </w:div>
      </w:divsChild>
    </w:div>
    <w:div w:id="832062449">
      <w:bodyDiv w:val="1"/>
      <w:marLeft w:val="0"/>
      <w:marRight w:val="0"/>
      <w:marTop w:val="0"/>
      <w:marBottom w:val="0"/>
      <w:divBdr>
        <w:top w:val="none" w:sz="0" w:space="0" w:color="auto"/>
        <w:left w:val="none" w:sz="0" w:space="0" w:color="auto"/>
        <w:bottom w:val="none" w:sz="0" w:space="0" w:color="auto"/>
        <w:right w:val="none" w:sz="0" w:space="0" w:color="auto"/>
      </w:divBdr>
    </w:div>
    <w:div w:id="84779433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84241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7818886">
      <w:bodyDiv w:val="1"/>
      <w:marLeft w:val="0"/>
      <w:marRight w:val="0"/>
      <w:marTop w:val="0"/>
      <w:marBottom w:val="0"/>
      <w:divBdr>
        <w:top w:val="none" w:sz="0" w:space="0" w:color="auto"/>
        <w:left w:val="none" w:sz="0" w:space="0" w:color="auto"/>
        <w:bottom w:val="none" w:sz="0" w:space="0" w:color="auto"/>
        <w:right w:val="none" w:sz="0" w:space="0" w:color="auto"/>
      </w:divBdr>
    </w:div>
    <w:div w:id="91281692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1327784">
      <w:bodyDiv w:val="1"/>
      <w:marLeft w:val="0"/>
      <w:marRight w:val="0"/>
      <w:marTop w:val="0"/>
      <w:marBottom w:val="0"/>
      <w:divBdr>
        <w:top w:val="none" w:sz="0" w:space="0" w:color="auto"/>
        <w:left w:val="none" w:sz="0" w:space="0" w:color="auto"/>
        <w:bottom w:val="none" w:sz="0" w:space="0" w:color="auto"/>
        <w:right w:val="none" w:sz="0" w:space="0" w:color="auto"/>
      </w:divBdr>
    </w:div>
    <w:div w:id="1168595340">
      <w:bodyDiv w:val="1"/>
      <w:marLeft w:val="0"/>
      <w:marRight w:val="0"/>
      <w:marTop w:val="0"/>
      <w:marBottom w:val="0"/>
      <w:divBdr>
        <w:top w:val="none" w:sz="0" w:space="0" w:color="auto"/>
        <w:left w:val="none" w:sz="0" w:space="0" w:color="auto"/>
        <w:bottom w:val="none" w:sz="0" w:space="0" w:color="auto"/>
        <w:right w:val="none" w:sz="0" w:space="0" w:color="auto"/>
      </w:divBdr>
    </w:div>
    <w:div w:id="1190678771">
      <w:bodyDiv w:val="1"/>
      <w:marLeft w:val="0"/>
      <w:marRight w:val="0"/>
      <w:marTop w:val="0"/>
      <w:marBottom w:val="0"/>
      <w:divBdr>
        <w:top w:val="none" w:sz="0" w:space="0" w:color="auto"/>
        <w:left w:val="none" w:sz="0" w:space="0" w:color="auto"/>
        <w:bottom w:val="none" w:sz="0" w:space="0" w:color="auto"/>
        <w:right w:val="none" w:sz="0" w:space="0" w:color="auto"/>
      </w:divBdr>
    </w:div>
    <w:div w:id="1206528921">
      <w:bodyDiv w:val="1"/>
      <w:marLeft w:val="0"/>
      <w:marRight w:val="0"/>
      <w:marTop w:val="0"/>
      <w:marBottom w:val="0"/>
      <w:divBdr>
        <w:top w:val="none" w:sz="0" w:space="0" w:color="auto"/>
        <w:left w:val="none" w:sz="0" w:space="0" w:color="auto"/>
        <w:bottom w:val="none" w:sz="0" w:space="0" w:color="auto"/>
        <w:right w:val="none" w:sz="0" w:space="0" w:color="auto"/>
      </w:divBdr>
      <w:divsChild>
        <w:div w:id="757168432">
          <w:marLeft w:val="0"/>
          <w:marRight w:val="0"/>
          <w:marTop w:val="0"/>
          <w:marBottom w:val="0"/>
          <w:divBdr>
            <w:top w:val="none" w:sz="0" w:space="0" w:color="auto"/>
            <w:left w:val="none" w:sz="0" w:space="0" w:color="auto"/>
            <w:bottom w:val="none" w:sz="0" w:space="0" w:color="auto"/>
            <w:right w:val="none" w:sz="0" w:space="0" w:color="auto"/>
          </w:divBdr>
        </w:div>
        <w:div w:id="1751582081">
          <w:marLeft w:val="0"/>
          <w:marRight w:val="0"/>
          <w:marTop w:val="0"/>
          <w:marBottom w:val="0"/>
          <w:divBdr>
            <w:top w:val="none" w:sz="0" w:space="0" w:color="auto"/>
            <w:left w:val="none" w:sz="0" w:space="0" w:color="auto"/>
            <w:bottom w:val="none" w:sz="0" w:space="0" w:color="auto"/>
            <w:right w:val="none" w:sz="0" w:space="0" w:color="auto"/>
          </w:divBdr>
        </w:div>
      </w:divsChild>
    </w:div>
    <w:div w:id="1289361619">
      <w:bodyDiv w:val="1"/>
      <w:marLeft w:val="0"/>
      <w:marRight w:val="0"/>
      <w:marTop w:val="0"/>
      <w:marBottom w:val="0"/>
      <w:divBdr>
        <w:top w:val="none" w:sz="0" w:space="0" w:color="auto"/>
        <w:left w:val="none" w:sz="0" w:space="0" w:color="auto"/>
        <w:bottom w:val="none" w:sz="0" w:space="0" w:color="auto"/>
        <w:right w:val="none" w:sz="0" w:space="0" w:color="auto"/>
      </w:divBdr>
    </w:div>
    <w:div w:id="1329675486">
      <w:bodyDiv w:val="1"/>
      <w:marLeft w:val="0"/>
      <w:marRight w:val="0"/>
      <w:marTop w:val="0"/>
      <w:marBottom w:val="0"/>
      <w:divBdr>
        <w:top w:val="none" w:sz="0" w:space="0" w:color="auto"/>
        <w:left w:val="none" w:sz="0" w:space="0" w:color="auto"/>
        <w:bottom w:val="none" w:sz="0" w:space="0" w:color="auto"/>
        <w:right w:val="none" w:sz="0" w:space="0" w:color="auto"/>
      </w:divBdr>
      <w:divsChild>
        <w:div w:id="438988886">
          <w:marLeft w:val="0"/>
          <w:marRight w:val="0"/>
          <w:marTop w:val="0"/>
          <w:marBottom w:val="0"/>
          <w:divBdr>
            <w:top w:val="none" w:sz="0" w:space="0" w:color="auto"/>
            <w:left w:val="none" w:sz="0" w:space="0" w:color="auto"/>
            <w:bottom w:val="none" w:sz="0" w:space="0" w:color="auto"/>
            <w:right w:val="none" w:sz="0" w:space="0" w:color="auto"/>
          </w:divBdr>
        </w:div>
        <w:div w:id="970474161">
          <w:marLeft w:val="0"/>
          <w:marRight w:val="0"/>
          <w:marTop w:val="0"/>
          <w:marBottom w:val="0"/>
          <w:divBdr>
            <w:top w:val="none" w:sz="0" w:space="0" w:color="auto"/>
            <w:left w:val="none" w:sz="0" w:space="0" w:color="auto"/>
            <w:bottom w:val="none" w:sz="0" w:space="0" w:color="auto"/>
            <w:right w:val="none" w:sz="0" w:space="0" w:color="auto"/>
          </w:divBdr>
        </w:div>
      </w:divsChild>
    </w:div>
    <w:div w:id="1341157921">
      <w:bodyDiv w:val="1"/>
      <w:marLeft w:val="0"/>
      <w:marRight w:val="0"/>
      <w:marTop w:val="0"/>
      <w:marBottom w:val="0"/>
      <w:divBdr>
        <w:top w:val="none" w:sz="0" w:space="0" w:color="auto"/>
        <w:left w:val="none" w:sz="0" w:space="0" w:color="auto"/>
        <w:bottom w:val="none" w:sz="0" w:space="0" w:color="auto"/>
        <w:right w:val="none" w:sz="0" w:space="0" w:color="auto"/>
      </w:divBdr>
    </w:div>
    <w:div w:id="1372992655">
      <w:bodyDiv w:val="1"/>
      <w:marLeft w:val="0"/>
      <w:marRight w:val="0"/>
      <w:marTop w:val="0"/>
      <w:marBottom w:val="0"/>
      <w:divBdr>
        <w:top w:val="none" w:sz="0" w:space="0" w:color="auto"/>
        <w:left w:val="none" w:sz="0" w:space="0" w:color="auto"/>
        <w:bottom w:val="none" w:sz="0" w:space="0" w:color="auto"/>
        <w:right w:val="none" w:sz="0" w:space="0" w:color="auto"/>
      </w:divBdr>
    </w:div>
    <w:div w:id="1395471090">
      <w:bodyDiv w:val="1"/>
      <w:marLeft w:val="0"/>
      <w:marRight w:val="0"/>
      <w:marTop w:val="0"/>
      <w:marBottom w:val="0"/>
      <w:divBdr>
        <w:top w:val="none" w:sz="0" w:space="0" w:color="auto"/>
        <w:left w:val="none" w:sz="0" w:space="0" w:color="auto"/>
        <w:bottom w:val="none" w:sz="0" w:space="0" w:color="auto"/>
        <w:right w:val="none" w:sz="0" w:space="0" w:color="auto"/>
      </w:divBdr>
    </w:div>
    <w:div w:id="140892177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132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369339">
      <w:bodyDiv w:val="1"/>
      <w:marLeft w:val="0"/>
      <w:marRight w:val="0"/>
      <w:marTop w:val="0"/>
      <w:marBottom w:val="0"/>
      <w:divBdr>
        <w:top w:val="none" w:sz="0" w:space="0" w:color="auto"/>
        <w:left w:val="none" w:sz="0" w:space="0" w:color="auto"/>
        <w:bottom w:val="none" w:sz="0" w:space="0" w:color="auto"/>
        <w:right w:val="none" w:sz="0" w:space="0" w:color="auto"/>
      </w:divBdr>
    </w:div>
    <w:div w:id="146743100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69918970">
      <w:bodyDiv w:val="1"/>
      <w:marLeft w:val="0"/>
      <w:marRight w:val="0"/>
      <w:marTop w:val="0"/>
      <w:marBottom w:val="0"/>
      <w:divBdr>
        <w:top w:val="none" w:sz="0" w:space="0" w:color="auto"/>
        <w:left w:val="none" w:sz="0" w:space="0" w:color="auto"/>
        <w:bottom w:val="none" w:sz="0" w:space="0" w:color="auto"/>
        <w:right w:val="none" w:sz="0" w:space="0" w:color="auto"/>
      </w:divBdr>
    </w:div>
    <w:div w:id="15817213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7956290">
      <w:bodyDiv w:val="1"/>
      <w:marLeft w:val="0"/>
      <w:marRight w:val="0"/>
      <w:marTop w:val="0"/>
      <w:marBottom w:val="0"/>
      <w:divBdr>
        <w:top w:val="none" w:sz="0" w:space="0" w:color="auto"/>
        <w:left w:val="none" w:sz="0" w:space="0" w:color="auto"/>
        <w:bottom w:val="none" w:sz="0" w:space="0" w:color="auto"/>
        <w:right w:val="none" w:sz="0" w:space="0" w:color="auto"/>
      </w:divBdr>
      <w:divsChild>
        <w:div w:id="11148541">
          <w:marLeft w:val="0"/>
          <w:marRight w:val="0"/>
          <w:marTop w:val="0"/>
          <w:marBottom w:val="0"/>
          <w:divBdr>
            <w:top w:val="none" w:sz="0" w:space="0" w:color="auto"/>
            <w:left w:val="none" w:sz="0" w:space="0" w:color="auto"/>
            <w:bottom w:val="none" w:sz="0" w:space="0" w:color="auto"/>
            <w:right w:val="none" w:sz="0" w:space="0" w:color="auto"/>
          </w:divBdr>
        </w:div>
        <w:div w:id="547765361">
          <w:marLeft w:val="0"/>
          <w:marRight w:val="0"/>
          <w:marTop w:val="0"/>
          <w:marBottom w:val="0"/>
          <w:divBdr>
            <w:top w:val="none" w:sz="0" w:space="0" w:color="auto"/>
            <w:left w:val="none" w:sz="0" w:space="0" w:color="auto"/>
            <w:bottom w:val="none" w:sz="0" w:space="0" w:color="auto"/>
            <w:right w:val="none" w:sz="0" w:space="0" w:color="auto"/>
          </w:divBdr>
        </w:div>
      </w:divsChild>
    </w:div>
    <w:div w:id="1641689212">
      <w:bodyDiv w:val="1"/>
      <w:marLeft w:val="0"/>
      <w:marRight w:val="0"/>
      <w:marTop w:val="0"/>
      <w:marBottom w:val="0"/>
      <w:divBdr>
        <w:top w:val="none" w:sz="0" w:space="0" w:color="auto"/>
        <w:left w:val="none" w:sz="0" w:space="0" w:color="auto"/>
        <w:bottom w:val="none" w:sz="0" w:space="0" w:color="auto"/>
        <w:right w:val="none" w:sz="0" w:space="0" w:color="auto"/>
      </w:divBdr>
    </w:div>
    <w:div w:id="1662347378">
      <w:bodyDiv w:val="1"/>
      <w:marLeft w:val="0"/>
      <w:marRight w:val="0"/>
      <w:marTop w:val="0"/>
      <w:marBottom w:val="0"/>
      <w:divBdr>
        <w:top w:val="none" w:sz="0" w:space="0" w:color="auto"/>
        <w:left w:val="none" w:sz="0" w:space="0" w:color="auto"/>
        <w:bottom w:val="none" w:sz="0" w:space="0" w:color="auto"/>
        <w:right w:val="none" w:sz="0" w:space="0" w:color="auto"/>
      </w:divBdr>
    </w:div>
    <w:div w:id="1677460181">
      <w:bodyDiv w:val="1"/>
      <w:marLeft w:val="0"/>
      <w:marRight w:val="0"/>
      <w:marTop w:val="0"/>
      <w:marBottom w:val="0"/>
      <w:divBdr>
        <w:top w:val="none" w:sz="0" w:space="0" w:color="auto"/>
        <w:left w:val="none" w:sz="0" w:space="0" w:color="auto"/>
        <w:bottom w:val="none" w:sz="0" w:space="0" w:color="auto"/>
        <w:right w:val="none" w:sz="0" w:space="0" w:color="auto"/>
      </w:divBdr>
    </w:div>
    <w:div w:id="169407231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66811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39871858">
      <w:bodyDiv w:val="1"/>
      <w:marLeft w:val="0"/>
      <w:marRight w:val="0"/>
      <w:marTop w:val="0"/>
      <w:marBottom w:val="0"/>
      <w:divBdr>
        <w:top w:val="none" w:sz="0" w:space="0" w:color="auto"/>
        <w:left w:val="none" w:sz="0" w:space="0" w:color="auto"/>
        <w:bottom w:val="none" w:sz="0" w:space="0" w:color="auto"/>
        <w:right w:val="none" w:sz="0" w:space="0" w:color="auto"/>
      </w:divBdr>
    </w:div>
    <w:div w:id="1946380084">
      <w:bodyDiv w:val="1"/>
      <w:marLeft w:val="0"/>
      <w:marRight w:val="0"/>
      <w:marTop w:val="0"/>
      <w:marBottom w:val="0"/>
      <w:divBdr>
        <w:top w:val="none" w:sz="0" w:space="0" w:color="auto"/>
        <w:left w:val="none" w:sz="0" w:space="0" w:color="auto"/>
        <w:bottom w:val="none" w:sz="0" w:space="0" w:color="auto"/>
        <w:right w:val="none" w:sz="0" w:space="0" w:color="auto"/>
      </w:divBdr>
    </w:div>
    <w:div w:id="1948734173">
      <w:bodyDiv w:val="1"/>
      <w:marLeft w:val="0"/>
      <w:marRight w:val="0"/>
      <w:marTop w:val="0"/>
      <w:marBottom w:val="0"/>
      <w:divBdr>
        <w:top w:val="none" w:sz="0" w:space="0" w:color="auto"/>
        <w:left w:val="none" w:sz="0" w:space="0" w:color="auto"/>
        <w:bottom w:val="none" w:sz="0" w:space="0" w:color="auto"/>
        <w:right w:val="none" w:sz="0" w:space="0" w:color="auto"/>
      </w:divBdr>
    </w:div>
    <w:div w:id="199144752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9284264">
      <w:bodyDiv w:val="1"/>
      <w:marLeft w:val="0"/>
      <w:marRight w:val="0"/>
      <w:marTop w:val="0"/>
      <w:marBottom w:val="0"/>
      <w:divBdr>
        <w:top w:val="none" w:sz="0" w:space="0" w:color="auto"/>
        <w:left w:val="none" w:sz="0" w:space="0" w:color="auto"/>
        <w:bottom w:val="none" w:sz="0" w:space="0" w:color="auto"/>
        <w:right w:val="none" w:sz="0" w:space="0" w:color="auto"/>
      </w:divBdr>
    </w:div>
    <w:div w:id="2011056111">
      <w:bodyDiv w:val="1"/>
      <w:marLeft w:val="0"/>
      <w:marRight w:val="0"/>
      <w:marTop w:val="0"/>
      <w:marBottom w:val="0"/>
      <w:divBdr>
        <w:top w:val="none" w:sz="0" w:space="0" w:color="auto"/>
        <w:left w:val="none" w:sz="0" w:space="0" w:color="auto"/>
        <w:bottom w:val="none" w:sz="0" w:space="0" w:color="auto"/>
        <w:right w:val="none" w:sz="0" w:space="0" w:color="auto"/>
      </w:divBdr>
    </w:div>
    <w:div w:id="2011442236">
      <w:bodyDiv w:val="1"/>
      <w:marLeft w:val="0"/>
      <w:marRight w:val="0"/>
      <w:marTop w:val="0"/>
      <w:marBottom w:val="0"/>
      <w:divBdr>
        <w:top w:val="none" w:sz="0" w:space="0" w:color="auto"/>
        <w:left w:val="none" w:sz="0" w:space="0" w:color="auto"/>
        <w:bottom w:val="none" w:sz="0" w:space="0" w:color="auto"/>
        <w:right w:val="none" w:sz="0" w:space="0" w:color="auto"/>
      </w:divBdr>
    </w:div>
    <w:div w:id="2053652472">
      <w:bodyDiv w:val="1"/>
      <w:marLeft w:val="0"/>
      <w:marRight w:val="0"/>
      <w:marTop w:val="0"/>
      <w:marBottom w:val="0"/>
      <w:divBdr>
        <w:top w:val="none" w:sz="0" w:space="0" w:color="auto"/>
        <w:left w:val="none" w:sz="0" w:space="0" w:color="auto"/>
        <w:bottom w:val="none" w:sz="0" w:space="0" w:color="auto"/>
        <w:right w:val="none" w:sz="0" w:space="0" w:color="auto"/>
      </w:divBdr>
    </w:div>
    <w:div w:id="2081294797">
      <w:bodyDiv w:val="1"/>
      <w:marLeft w:val="0"/>
      <w:marRight w:val="0"/>
      <w:marTop w:val="0"/>
      <w:marBottom w:val="0"/>
      <w:divBdr>
        <w:top w:val="none" w:sz="0" w:space="0" w:color="auto"/>
        <w:left w:val="none" w:sz="0" w:space="0" w:color="auto"/>
        <w:bottom w:val="none" w:sz="0" w:space="0" w:color="auto"/>
        <w:right w:val="none" w:sz="0" w:space="0" w:color="auto"/>
      </w:divBdr>
      <w:divsChild>
        <w:div w:id="270667386">
          <w:marLeft w:val="0"/>
          <w:marRight w:val="0"/>
          <w:marTop w:val="0"/>
          <w:marBottom w:val="0"/>
          <w:divBdr>
            <w:top w:val="none" w:sz="0" w:space="0" w:color="auto"/>
            <w:left w:val="none" w:sz="0" w:space="0" w:color="auto"/>
            <w:bottom w:val="none" w:sz="0" w:space="0" w:color="auto"/>
            <w:right w:val="none" w:sz="0" w:space="0" w:color="auto"/>
          </w:divBdr>
          <w:divsChild>
            <w:div w:id="1943999883">
              <w:marLeft w:val="0"/>
              <w:marRight w:val="0"/>
              <w:marTop w:val="0"/>
              <w:marBottom w:val="0"/>
              <w:divBdr>
                <w:top w:val="none" w:sz="0" w:space="0" w:color="auto"/>
                <w:left w:val="none" w:sz="0" w:space="0" w:color="auto"/>
                <w:bottom w:val="none" w:sz="0" w:space="0" w:color="auto"/>
                <w:right w:val="none" w:sz="0" w:space="0" w:color="auto"/>
              </w:divBdr>
              <w:divsChild>
                <w:div w:id="3609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vic.gov.au/immunisation/cold-chain-breach-reporting" TargetMode="External"/><Relationship Id="rId117" Type="http://schemas.openxmlformats.org/officeDocument/2006/relationships/hyperlink" Target="https://mvec.mcri.edu.au/wp-content/uploads/2021/10/Guidance-for-differentiating-anaphylaxis-and-acute-stress-response-for-vaccine-providers_updated-converted.pdf" TargetMode="External"/><Relationship Id="rId21" Type="http://schemas.openxmlformats.org/officeDocument/2006/relationships/hyperlink" Target="https://immunisationhandbook.health.gov.au/contents/vaccine-preventable-diseases/mpox-previously-known-as-monkeypox" TargetMode="External"/><Relationship Id="rId42" Type="http://schemas.openxmlformats.org/officeDocument/2006/relationships/hyperlink" Target="https://www.verywellhealth.com/monkeypox-intradermal-jynneos-vaccine-6455582" TargetMode="External"/><Relationship Id="rId47" Type="http://schemas.openxmlformats.org/officeDocument/2006/relationships/image" Target="media/image16.jpeg"/><Relationship Id="rId63" Type="http://schemas.openxmlformats.org/officeDocument/2006/relationships/hyperlink" Target="https://immunisationhandbook.health.gov.au/resources/tables/table-recognition-and-treatment-of-anaphylaxis" TargetMode="External"/><Relationship Id="rId68" Type="http://schemas.openxmlformats.org/officeDocument/2006/relationships/hyperlink" Target="http://etraininghp.ascia.org.au/anaphylaxis" TargetMode="External"/><Relationship Id="rId84" Type="http://schemas.openxmlformats.org/officeDocument/2006/relationships/hyperlink" Target="https://www.nhmrc.gov.au/about-us/publications/australian-guidelines-prevention-and-control-infection-healthcare-2019" TargetMode="External"/><Relationship Id="rId89" Type="http://schemas.openxmlformats.org/officeDocument/2006/relationships/hyperlink" Target="https://immunisationhandbook.health.gov.au/contents/vaccine-preventable-diseases/mpox-previously-known-as-monkeypox" TargetMode="External"/><Relationship Id="rId112" Type="http://schemas.openxmlformats.org/officeDocument/2006/relationships/header" Target="header5.xml"/><Relationship Id="rId133" Type="http://schemas.microsoft.com/office/2020/10/relationships/intelligence" Target="intelligence2.xml"/><Relationship Id="rId16" Type="http://schemas.openxmlformats.org/officeDocument/2006/relationships/header" Target="header3.xml"/><Relationship Id="rId107" Type="http://schemas.openxmlformats.org/officeDocument/2006/relationships/hyperlink" Target="mailto:immunisation@health.vic.gov.au" TargetMode="External"/><Relationship Id="rId11" Type="http://schemas.openxmlformats.org/officeDocument/2006/relationships/image" Target="media/image1.jpg"/><Relationship Id="rId32" Type="http://schemas.openxmlformats.org/officeDocument/2006/relationships/image" Target="media/image8.jpeg"/><Relationship Id="rId37" Type="http://schemas.openxmlformats.org/officeDocument/2006/relationships/image" Target="media/image11.png"/><Relationship Id="rId53" Type="http://schemas.openxmlformats.org/officeDocument/2006/relationships/hyperlink" Target="https://www.health.gov.au/resources/publications/mpox-monkeypox-information-on-jynneosr-vaccine" TargetMode="External"/><Relationship Id="rId58" Type="http://schemas.openxmlformats.org/officeDocument/2006/relationships/hyperlink" Target="https://www.cdc.gov/poxvirus/mpox/interim-considerations/errors-deviations.html" TargetMode="External"/><Relationship Id="rId74" Type="http://schemas.openxmlformats.org/officeDocument/2006/relationships/hyperlink" Target="https://urldefense.proofpoint.com/v2/url?u=https-3A__www.legislation.gov.au_Details_C2004A00100&amp;d=DwMGaQ&amp;c=JnBkUqWXzx2bz-3a05d47Q&amp;r=zQI8nIUxsvUTvUnJCXgiVSy5OkIlD-RWtx5voOru6N0&amp;m=jJt8K5iQQeOnfA8OZU2YDCRaP83ffR3oiQMvqceCQck&amp;s=rz_kdWrVrFKBWQ5Vxrx-5b7SM4we53F4LKM7PsYPsuE&amp;e=" TargetMode="External"/><Relationship Id="rId79" Type="http://schemas.openxmlformats.org/officeDocument/2006/relationships/hyperlink" Target="https://www.servicesaustralia.gov.au/organisations/health-professionals/services/medicare/hpos" TargetMode="External"/><Relationship Id="rId102" Type="http://schemas.openxmlformats.org/officeDocument/2006/relationships/hyperlink" Target="https://www.servicesaustralia.gov.au/australian-immunisation-register-for-health-professionals" TargetMode="External"/><Relationship Id="rId123" Type="http://schemas.openxmlformats.org/officeDocument/2006/relationships/hyperlink" Target="https://health.vic.gov.au/infectious-diseases/monkeypox" TargetMode="External"/><Relationship Id="rId128" Type="http://schemas.openxmlformats.org/officeDocument/2006/relationships/footer" Target="footer6.xml"/><Relationship Id="rId5" Type="http://schemas.openxmlformats.org/officeDocument/2006/relationships/numbering" Target="numbering.xml"/><Relationship Id="rId90" Type="http://schemas.openxmlformats.org/officeDocument/2006/relationships/hyperlink" Target="https://www.health.vic.gov.au/infectious-diseases/mpox-monkeypox" TargetMode="External"/><Relationship Id="rId95" Type="http://schemas.openxmlformats.org/officeDocument/2006/relationships/hyperlink" Target="https://www.health.gov.au/resources/publications/mpox-monkeypox-information-on-jynneosr-vaccine?language=en" TargetMode="Externa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s://dhhsvicgovau.sharepoint.com/sites/RHPEMImmunisationUnit-DHHS-GRP/Shared%20Documents/General/Mpox/Clinical/Victorian%20Mpox%20vaccination%20guidelines/SAEFVIC%20online%20report%20form" TargetMode="External"/><Relationship Id="rId30" Type="http://schemas.openxmlformats.org/officeDocument/2006/relationships/image" Target="media/image6.jpeg"/><Relationship Id="rId35" Type="http://schemas.openxmlformats.org/officeDocument/2006/relationships/hyperlink" Target="https://immunisationhandbook.health.gov.au/technical-terms"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mailto:enquiries@saefvic.org.au" TargetMode="External"/><Relationship Id="rId64" Type="http://schemas.openxmlformats.org/officeDocument/2006/relationships/hyperlink" Target="https://www.bettersafercare.vic.gov.au/clinical-guidance/emergency/anaphylaxis-adults" TargetMode="External"/><Relationship Id="rId69" Type="http://schemas.openxmlformats.org/officeDocument/2006/relationships/hyperlink" Target="https://www.safevac.org.au/Home/Info/VIC" TargetMode="External"/><Relationship Id="rId77" Type="http://schemas.openxmlformats.org/officeDocument/2006/relationships/hyperlink" Target="https://www.legislation.vic.gov.au/in-force/acts/health-services-act-1988/180" TargetMode="External"/><Relationship Id="rId100" Type="http://schemas.openxmlformats.org/officeDocument/2006/relationships/hyperlink" Target="mailto:immunisation@health.vic.gov.au" TargetMode="External"/><Relationship Id="rId105" Type="http://schemas.openxmlformats.org/officeDocument/2006/relationships/hyperlink" Target="https://www.health.vic.gov.au/immunisation/cold-chain-management" TargetMode="External"/><Relationship Id="rId113" Type="http://schemas.openxmlformats.org/officeDocument/2006/relationships/hyperlink" Target="https://www.health.gov.au/resources/publications/national-vaccine-storage-guidelines-strive-for-5" TargetMode="External"/><Relationship Id="rId118" Type="http://schemas.openxmlformats.org/officeDocument/2006/relationships/hyperlink" Target="https://www.safevac.org.au/Home/Info/VIC" TargetMode="External"/><Relationship Id="rId12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www.legislation.vic.gov.au/in-force/acts/public-records-act-1973/041" TargetMode="External"/><Relationship Id="rId80" Type="http://schemas.openxmlformats.org/officeDocument/2006/relationships/hyperlink" Target="https://www.servicesaustralia.gov.au/hpos" TargetMode="External"/><Relationship Id="rId85" Type="http://schemas.openxmlformats.org/officeDocument/2006/relationships/hyperlink" Target="https://www.health.vic.gov.au/immunisation/immunisers-in-victoria" TargetMode="External"/><Relationship Id="rId93" Type="http://schemas.openxmlformats.org/officeDocument/2006/relationships/hyperlink" Target="https://www.health.gov.au/resources/publications/mpox-monkeypox-consent-form-for-jynneosr-vaccination" TargetMode="External"/><Relationship Id="rId98" Type="http://schemas.openxmlformats.org/officeDocument/2006/relationships/hyperlink" Target="https://www.onelinkonline.net/" TargetMode="External"/><Relationship Id="rId121" Type="http://schemas.openxmlformats.org/officeDocument/2006/relationships/hyperlink" Target="mailto:enquiries@saefvic.org.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elinkonline.net/" TargetMode="External"/><Relationship Id="rId33" Type="http://schemas.openxmlformats.org/officeDocument/2006/relationships/image" Target="media/image9.jpeg"/><Relationship Id="rId38" Type="http://schemas.openxmlformats.org/officeDocument/2006/relationships/image" Target="media/image12.png"/><Relationship Id="rId46" Type="http://schemas.openxmlformats.org/officeDocument/2006/relationships/image" Target="media/image15.jpeg"/><Relationship Id="rId59" Type="http://schemas.openxmlformats.org/officeDocument/2006/relationships/hyperlink" Target="https://www.cdc.gov/poxvirus/mpox/interim-considerations/errors-deviations.html" TargetMode="External"/><Relationship Id="rId67" Type="http://schemas.openxmlformats.org/officeDocument/2006/relationships/hyperlink" Target="https://urldefense.proofpoint.com/v2/url?u=https-3A__saefvic.online_report&amp;d=DwMFaQ&amp;c=JnBkUqWXzx2bz-3a05d47Q&amp;r=Prstbg9FDDpDwrfiVC5_3hkxcuzTzLWe8RCWlj3iF4M&amp;m=oNYP1VPAYmyOgkSydAaKPAAWu3xAeONRn3GAhmmzzCk&amp;s=ba84EnFRi1WH_Ayf00F5LLHEVBOr5KlQEn3JPbqY_Tk&amp;e=" TargetMode="External"/><Relationship Id="rId103" Type="http://schemas.openxmlformats.org/officeDocument/2006/relationships/footer" Target="footer4.xml"/><Relationship Id="rId108" Type="http://schemas.openxmlformats.org/officeDocument/2006/relationships/hyperlink" Target="https://www.health.vic.gov.au/immunisation/cold-chain-monitoring-during-vaccine-transport" TargetMode="External"/><Relationship Id="rId116" Type="http://schemas.openxmlformats.org/officeDocument/2006/relationships/footer" Target="footer5.xml"/><Relationship Id="rId124" Type="http://schemas.openxmlformats.org/officeDocument/2006/relationships/hyperlink" Target="mailto:program" TargetMode="External"/><Relationship Id="rId129" Type="http://schemas.openxmlformats.org/officeDocument/2006/relationships/footer" Target="footer7.xml"/><Relationship Id="rId20" Type="http://schemas.openxmlformats.org/officeDocument/2006/relationships/hyperlink" Target="https://www.health.vic.gov.au/infectious-diseases/mpox-monkeypox" TargetMode="External"/><Relationship Id="rId41" Type="http://schemas.openxmlformats.org/officeDocument/2006/relationships/image" Target="media/image13.png"/><Relationship Id="rId54" Type="http://schemas.openxmlformats.org/officeDocument/2006/relationships/hyperlink" Target="https://www.mcri.edu.au/research/research-areas/infection-and-immunity/saefvic" TargetMode="External"/><Relationship Id="rId62" Type="http://schemas.openxmlformats.org/officeDocument/2006/relationships/hyperlink" Target="https://immunisationhandbook.health.gov.au/resources/handbook-tables/table-recognition-and-treatment-of-anaphylaxis" TargetMode="External"/><Relationship Id="rId70" Type="http://schemas.openxmlformats.org/officeDocument/2006/relationships/hyperlink" Target="https://www.legislation.vic.gov.au/in-force/acts/medical-treatment-planning-and-decisions-act-2016/009" TargetMode="External"/><Relationship Id="rId75" Type="http://schemas.openxmlformats.org/officeDocument/2006/relationships/hyperlink" Target="https://www.legislation.gov.au/Details/C2004A00100" TargetMode="External"/><Relationship Id="rId83" Type="http://schemas.openxmlformats.org/officeDocument/2006/relationships/hyperlink" Target="https://www.worksafe.vic.gov.au/occupational-health-and-safety-act-and-regulations" TargetMode="External"/><Relationship Id="rId88" Type="http://schemas.openxmlformats.org/officeDocument/2006/relationships/hyperlink" Target="mailto:immunisation@health.vic.gov.au" TargetMode="External"/><Relationship Id="rId91" Type="http://schemas.openxmlformats.org/officeDocument/2006/relationships/hyperlink" Target="https://www.health.vic.gov.au/environmental-health/waste" TargetMode="External"/><Relationship Id="rId96" Type="http://schemas.openxmlformats.org/officeDocument/2006/relationships/header" Target="header4.xml"/><Relationship Id="rId111" Type="http://schemas.openxmlformats.org/officeDocument/2006/relationships/hyperlink" Target="mailto:immunisation@health.vic.gov.au"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https://www.safevac.org.au/Home/Info/VIC" TargetMode="External"/><Relationship Id="rId36" Type="http://schemas.openxmlformats.org/officeDocument/2006/relationships/hyperlink" Target="https://www.cdc.gov/vaccines/hcp/admin/downloads/IM-Injection-adult.pdf" TargetMode="External"/><Relationship Id="rId49" Type="http://schemas.openxmlformats.org/officeDocument/2006/relationships/image" Target="media/image18.PNG"/><Relationship Id="rId57" Type="http://schemas.openxmlformats.org/officeDocument/2006/relationships/hyperlink" Target="mailto:immunisation@health.vic.gov.au" TargetMode="External"/><Relationship Id="rId106" Type="http://schemas.openxmlformats.org/officeDocument/2006/relationships/hyperlink" Target="https://www.health.vic.gov.au/immunisation/cold-chain-breach-reporting" TargetMode="External"/><Relationship Id="rId114" Type="http://schemas.openxmlformats.org/officeDocument/2006/relationships/hyperlink" Target="https://www.safevac.org.au/Home/Info/VIC" TargetMode="External"/><Relationship Id="rId119" Type="http://schemas.openxmlformats.org/officeDocument/2006/relationships/hyperlink" Target="https://www.safevac.org.au/Home/Info/VIC" TargetMode="External"/><Relationship Id="rId12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immunisationhandbook.health.gov.au/technical-terms" TargetMode="External"/><Relationship Id="rId52" Type="http://schemas.openxmlformats.org/officeDocument/2006/relationships/image" Target="media/image20.PNG"/><Relationship Id="rId60" Type="http://schemas.openxmlformats.org/officeDocument/2006/relationships/hyperlink" Target="mailto:immunisation@health.vic.gov.au" TargetMode="External"/><Relationship Id="rId65" Type="http://schemas.openxmlformats.org/officeDocument/2006/relationships/hyperlink" Target="https://www.safevac.org.au/Home/Info/VIC" TargetMode="External"/><Relationship Id="rId73" Type="http://schemas.openxmlformats.org/officeDocument/2006/relationships/hyperlink" Target="https://www.legislation.vic.gov.au/in-force/acts/public-records-act-1973/041" TargetMode="External"/><Relationship Id="rId78" Type="http://schemas.openxmlformats.org/officeDocument/2006/relationships/image" Target="media/image21.png"/><Relationship Id="rId81" Type="http://schemas.openxmlformats.org/officeDocument/2006/relationships/hyperlink" Target="https://www.servicesaustralia.gov.au/organisations/business/services/proda-provider-digital-access" TargetMode="External"/><Relationship Id="rId86" Type="http://schemas.openxmlformats.org/officeDocument/2006/relationships/hyperlink" Target="https://immunisationhandbook.health.gov.au/contents/vaccine-preventable-diseases/mpox-previously-known-as-monkeypox" TargetMode="External"/><Relationship Id="rId94" Type="http://schemas.openxmlformats.org/officeDocument/2006/relationships/hyperlink" Target="https://www.health.gov.au/resources/publications/iceg-interim-guidance-on-monkeypox-for-health-workers" TargetMode="External"/><Relationship Id="rId99" Type="http://schemas.openxmlformats.org/officeDocument/2006/relationships/hyperlink" Target="mailto:immunisation@health.vic.gov.au" TargetMode="External"/><Relationship Id="rId101" Type="http://schemas.openxmlformats.org/officeDocument/2006/relationships/hyperlink" Target="https://www.servicesaustralia.gov.au/how-to-set-up-your-access-to-air?context=23401" TargetMode="External"/><Relationship Id="rId122" Type="http://schemas.openxmlformats.org/officeDocument/2006/relationships/hyperlink" Target="https://www.health.vic.gov.au/infectious-diseases/monkeypox" TargetMode="Externa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immunisationhandbook.health.gov.au/technical-terms" TargetMode="External"/><Relationship Id="rId39" Type="http://schemas.openxmlformats.org/officeDocument/2006/relationships/hyperlink" Target="https://immunisationhandbook.health.gov.au/node/505" TargetMode="External"/><Relationship Id="rId109" Type="http://schemas.openxmlformats.org/officeDocument/2006/relationships/hyperlink" Target="https://www.health.gov.au/resources/publications/national-vaccine-storage-guidelines-strive-for-5" TargetMode="External"/><Relationship Id="rId34" Type="http://schemas.openxmlformats.org/officeDocument/2006/relationships/image" Target="media/image10.jpeg"/><Relationship Id="rId50" Type="http://schemas.openxmlformats.org/officeDocument/2006/relationships/hyperlink" Target="https://immunisationhandbook.health.gov.au/technical-terms" TargetMode="External"/><Relationship Id="rId55" Type="http://schemas.openxmlformats.org/officeDocument/2006/relationships/hyperlink" Target="https://www.safevac.org.au/Home/Info/VIC" TargetMode="External"/><Relationship Id="rId76" Type="http://schemas.openxmlformats.org/officeDocument/2006/relationships/hyperlink" Target="https://store.standards.org.au/product/as-iso-15489-1-2017" TargetMode="External"/><Relationship Id="rId97" Type="http://schemas.openxmlformats.org/officeDocument/2006/relationships/hyperlink" Target="http://www.saefvic.org.au" TargetMode="External"/><Relationship Id="rId104" Type="http://schemas.openxmlformats.org/officeDocument/2006/relationships/hyperlink" Target="https://www.health.gov.au/resources/publications/national-vaccine-storage-guidelines-strive-for-5" TargetMode="External"/><Relationship Id="rId120" Type="http://schemas.openxmlformats.org/officeDocument/2006/relationships/hyperlink" Target="https://www.safevac.org.au/Home/Info/VIC" TargetMode="External"/><Relationship Id="rId125" Type="http://schemas.openxmlformats.org/officeDocument/2006/relationships/hyperlink" Target="https://www.health.vic.gov.au/infectious-diseases/monkeypox" TargetMode="External"/><Relationship Id="rId7" Type="http://schemas.openxmlformats.org/officeDocument/2006/relationships/settings" Target="settings.xml"/><Relationship Id="rId71" Type="http://schemas.openxmlformats.org/officeDocument/2006/relationships/hyperlink" Target="https://www.legislation.vic.gov.au/in-force/acts/medical-treatment-planning-and-decisions-act-2016/009" TargetMode="External"/><Relationship Id="rId92" Type="http://schemas.openxmlformats.org/officeDocument/2006/relationships/hyperlink" Target="https://www.betterhealth.vic.gov.au/mpox-immunisation-providers" TargetMode="External"/><Relationship Id="rId2" Type="http://schemas.openxmlformats.org/officeDocument/2006/relationships/customXml" Target="../customXml/item2.xml"/><Relationship Id="rId29" Type="http://schemas.openxmlformats.org/officeDocument/2006/relationships/image" Target="media/image5.emf"/><Relationship Id="rId24" Type="http://schemas.openxmlformats.org/officeDocument/2006/relationships/image" Target="media/image4.jpeg"/><Relationship Id="rId40" Type="http://schemas.openxmlformats.org/officeDocument/2006/relationships/hyperlink" Target="https://immunisationhandbook.health.gov.au/contents/vaccination-procedures/administration-of-vaccines" TargetMode="External"/><Relationship Id="rId45" Type="http://schemas.openxmlformats.org/officeDocument/2006/relationships/hyperlink" Target="https://www.cdc.gov/poxvirus/monkeypox/interim-considerations/jynneos-vaccine.html" TargetMode="External"/><Relationship Id="rId66" Type="http://schemas.openxmlformats.org/officeDocument/2006/relationships/hyperlink" Target="http://www.saefvic.org.au" TargetMode="External"/><Relationship Id="rId87" Type="http://schemas.openxmlformats.org/officeDocument/2006/relationships/hyperlink" Target="https://vic-immunisation-learning.com/" TargetMode="External"/><Relationship Id="rId110" Type="http://schemas.openxmlformats.org/officeDocument/2006/relationships/hyperlink" Target="mailto:Appendix%203" TargetMode="External"/><Relationship Id="rId115" Type="http://schemas.openxmlformats.org/officeDocument/2006/relationships/hyperlink" Target="https://www.safevac.org.au/Home/Info/VIC" TargetMode="External"/><Relationship Id="rId131" Type="http://schemas.openxmlformats.org/officeDocument/2006/relationships/glossaryDocument" Target="glossary/document.xml"/><Relationship Id="rId61" Type="http://schemas.openxmlformats.org/officeDocument/2006/relationships/hyperlink" Target="mailto:immunisation@health.vic.gov.au" TargetMode="External"/><Relationship Id="rId82" Type="http://schemas.openxmlformats.org/officeDocument/2006/relationships/hyperlink" Target="https://www.safetyandquality.gov.au/consumers/working-your-healthcare-provider/australian-charter-healthcare-rights" TargetMode="External"/><Relationship Id="rId19" Type="http://schemas.openxmlformats.org/officeDocument/2006/relationships/hyperlink" Target="https://www.betterhealth.vic.gov.au/mpox-immunisation-provider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health.gov.au/resources/publications/national-vaccine-storage-guidelines-strive-for-5" TargetMode="External"/><Relationship Id="rId18" Type="http://schemas.openxmlformats.org/officeDocument/2006/relationships/hyperlink" Target="https://www.health.vic.gov.au/covid-19-infection-prevention-control-guidelines/standard-and-transmission-based-precautions" TargetMode="External"/><Relationship Id="rId26" Type="http://schemas.openxmlformats.org/officeDocument/2006/relationships/hyperlink" Target="https://www.cdc.gov/poxvirus/mpox/interim-considerations/jynneos-ID.html" TargetMode="External"/><Relationship Id="rId39" Type="http://schemas.openxmlformats.org/officeDocument/2006/relationships/hyperlink" Target="https://www.health.gov.au/resources/publications/mpox-monkeypox-consent-form-for-jynneosr-vaccination" TargetMode="External"/><Relationship Id="rId3" Type="http://schemas.openxmlformats.org/officeDocument/2006/relationships/hyperlink" Target="https://www.health.vic.gov.au/infectious-diseases/mpox-monkeypox" TargetMode="External"/><Relationship Id="rId21" Type="http://schemas.openxmlformats.org/officeDocument/2006/relationships/hyperlink" Target="https://immunisationhandbook.health.gov.au/contents/vaccine-preventable-diseases/mpox-previously-known-as-monkeypox" TargetMode="External"/><Relationship Id="rId34" Type="http://schemas.openxmlformats.org/officeDocument/2006/relationships/hyperlink" Target="https://immunisationhandbook.health.gov.au/resources/tables/table-recognition-and-treatment-of-anaphylaxis" TargetMode="External"/><Relationship Id="rId42" Type="http://schemas.openxmlformats.org/officeDocument/2006/relationships/hyperlink" Target="https://www.legislation.vic.gov.au/in-force/acts/health-records-act-2001/046" TargetMode="External"/><Relationship Id="rId47" Type="http://schemas.openxmlformats.org/officeDocument/2006/relationships/hyperlink" Target="https://www.health.vic.gov.au/immunisation/nurse-immunisers-requirements-and-responsibilities" TargetMode="External"/><Relationship Id="rId7" Type="http://schemas.openxmlformats.org/officeDocument/2006/relationships/hyperlink" Target="https://immunisationhandbook.health.gov.au/contents/vaccine-preventable-diseases/mpox-previously-known-as-monkeypox" TargetMode="External"/><Relationship Id="rId12" Type="http://schemas.openxmlformats.org/officeDocument/2006/relationships/hyperlink" Target="https://immunisationhandbook.health.gov.au/contents/vaccine-preventable-diseases/mpox-previously-known-as-monkeypox" TargetMode="External"/><Relationship Id="rId17" Type="http://schemas.openxmlformats.org/officeDocument/2006/relationships/hyperlink" Target="https://www.health.gov.au/resources/publications/iceg-interim-guidance-on-monkeypox-for-health-workers" TargetMode="External"/><Relationship Id="rId25" Type="http://schemas.openxmlformats.org/officeDocument/2006/relationships/hyperlink" Target="https://www.health.gov.au/sites/default/files/2024-01/atagi-guidance-on-the-use-of-multi-dose-vials-for-covid-19-vaccination.pdf" TargetMode="External"/><Relationship Id="rId33" Type="http://schemas.openxmlformats.org/officeDocument/2006/relationships/hyperlink" Target="https://immunisationhandbook.health.gov.au/resources/tables/table-recognition-and-treatment-of-anaphylaxis" TargetMode="External"/><Relationship Id="rId38" Type="http://schemas.openxmlformats.org/officeDocument/2006/relationships/hyperlink" Target="https://www.mja.com.au/journal/2011/194/1/syncope-and-seizures-following-human-papillomavirus-vaccination-retrospective" TargetMode="External"/><Relationship Id="rId46" Type="http://schemas.openxmlformats.org/officeDocument/2006/relationships/hyperlink" Target="https://www.health.vic.gov.au/publications/medical-practitioners-key-requirements-in-victoria" TargetMode="External"/><Relationship Id="rId2" Type="http://schemas.openxmlformats.org/officeDocument/2006/relationships/hyperlink" Target="https://www.health.gov.au/diseases/monkeypox-mpox" TargetMode="External"/><Relationship Id="rId16" Type="http://schemas.openxmlformats.org/officeDocument/2006/relationships/hyperlink" Target="https://www.health.vic.gov.au/covid-19-infection-prevention-control-guidelines/personal-protective-equipment-ppe" TargetMode="External"/><Relationship Id="rId20" Type="http://schemas.openxmlformats.org/officeDocument/2006/relationships/hyperlink" Target="https://www.epa.vic.gov.au/about-epa/publications/iwrg612-1" TargetMode="External"/><Relationship Id="rId29" Type="http://schemas.openxmlformats.org/officeDocument/2006/relationships/hyperlink" Target="https://www.cdc.gov/poxvirus/monkeypox/interim-considerations/jynneos-vaccine.html" TargetMode="External"/><Relationship Id="rId41" Type="http://schemas.openxmlformats.org/officeDocument/2006/relationships/hyperlink" Target="https://www.racgp.org.au/afp/2011/march/consent-to-medical-treatment-the-mature-minor/" TargetMode="External"/><Relationship Id="rId1" Type="http://schemas.openxmlformats.org/officeDocument/2006/relationships/hyperlink" Target="https://immunisationhandbook.health.gov.au/contents/vaccine-preventable-diseases/mpox-previously-known-as-monkeypox" TargetMode="External"/><Relationship Id="rId6" Type="http://schemas.openxmlformats.org/officeDocument/2006/relationships/hyperlink" Target="https://immunisationhandbook.health.gov.au/contents/vaccine-preventable-diseases/mpox-previously-known-as-monkeypox" TargetMode="External"/><Relationship Id="rId11" Type="http://schemas.openxmlformats.org/officeDocument/2006/relationships/hyperlink" Target="https://immunisationhandbook.health.gov.au/contents/vaccine-preventable-diseases/mpox-previously-known-as-monkeypox" TargetMode="External"/><Relationship Id="rId24" Type="http://schemas.openxmlformats.org/officeDocument/2006/relationships/hyperlink" Target="https://immunisationhandbook.health.gov.au/contents/vaccination-procedures/administration-of-vaccines" TargetMode="External"/><Relationship Id="rId32" Type="http://schemas.openxmlformats.org/officeDocument/2006/relationships/hyperlink" Target="https://immunisationhandbook.health.gov.au/contents/vaccination-procedures/administration-of-vaccines" TargetMode="External"/><Relationship Id="rId37" Type="http://schemas.openxmlformats.org/officeDocument/2006/relationships/hyperlink" Target="https://immunisationhandbook.health.gov.au/resources/tables/table-clinical-features-that-may-help-differentiate-between-a-vasovagal-episode-and-anaphylaxis" TargetMode="External"/><Relationship Id="rId40" Type="http://schemas.openxmlformats.org/officeDocument/2006/relationships/hyperlink" Target="https://immunisationhandbook.health.gov.au/" TargetMode="External"/><Relationship Id="rId45" Type="http://schemas.openxmlformats.org/officeDocument/2006/relationships/hyperlink" Target="https://www.health.vic.gov.au/drugs-and-poisons/nurse-practitioners-legislative-requirements" TargetMode="External"/><Relationship Id="rId5" Type="http://schemas.openxmlformats.org/officeDocument/2006/relationships/hyperlink" Target="https://www.health.gov.au/resources/publications/iceg-interim-guidance-on-monkeypox-for-health-workers" TargetMode="External"/><Relationship Id="rId15" Type="http://schemas.openxmlformats.org/officeDocument/2006/relationships/hyperlink" Target="https://www.safetyandquality.gov.au/our-work/infection-prevention-and-control/national-hand-hygiene-initiative/materials-support-improved-hand-hygiene-australia-nhhi" TargetMode="External"/><Relationship Id="rId23" Type="http://schemas.openxmlformats.org/officeDocument/2006/relationships/hyperlink" Target="https://www.health.gov.au/resources/publications/national-vaccine-storage-guidelines-strive-for-5" TargetMode="External"/><Relationship Id="rId28" Type="http://schemas.openxmlformats.org/officeDocument/2006/relationships/hyperlink" Target="https://immunisationhandbook.health.gov.au/contents/vaccination-procedures/administration-of-vaccines" TargetMode="External"/><Relationship Id="rId36" Type="http://schemas.openxmlformats.org/officeDocument/2006/relationships/hyperlink" Target="https://www.bettersafercare.vic.gov.au/clinical-guidance/emergency/anaphylaxis-adults" TargetMode="External"/><Relationship Id="rId49" Type="http://schemas.openxmlformats.org/officeDocument/2006/relationships/hyperlink" Target="https://www.health.gov.au/resources/publications/national-vaccine-storage-guidelines-strive-for-5" TargetMode="External"/><Relationship Id="rId10" Type="http://schemas.openxmlformats.org/officeDocument/2006/relationships/hyperlink" Target="https://ausvaxsafety.org.au/vaccine-safety-data/mpox-monkeypox-vaccine" TargetMode="External"/><Relationship Id="rId19" Type="http://schemas.openxmlformats.org/officeDocument/2006/relationships/hyperlink" Target="https://www.health.vic.gov.au/environmental-health/waste" TargetMode="External"/><Relationship Id="rId31" Type="http://schemas.openxmlformats.org/officeDocument/2006/relationships/hyperlink" Target="https://immunisationhandbook.health.gov.au/contents/vaccine-preventable-diseases/mpox-previously-known-as-monkeypox" TargetMode="External"/><Relationship Id="rId44" Type="http://schemas.openxmlformats.org/officeDocument/2006/relationships/hyperlink" Target="https://www.nhmrc.gov.au/about-us/publications/australian-guidelines-prevention-and-control-infection-healthcare-2019" TargetMode="External"/><Relationship Id="rId4" Type="http://schemas.openxmlformats.org/officeDocument/2006/relationships/hyperlink" Target="https://immunisationhandbook.health.gov.au/contents/vaccine-preventable-diseases/mpox-previously-known-as-monkeypox" TargetMode="External"/><Relationship Id="rId9" Type="http://schemas.openxmlformats.org/officeDocument/2006/relationships/hyperlink" Target="https://www.sciencedirect.com/science/article/pii/S0264410X15008762" TargetMode="External"/><Relationship Id="rId14" Type="http://schemas.openxmlformats.org/officeDocument/2006/relationships/hyperlink" Target="https://www.nhmrc.gov.au/about-us/publications/australian-guidelines-prevention-and-control-infection-healthcare-2019" TargetMode="External"/><Relationship Id="rId22" Type="http://schemas.openxmlformats.org/officeDocument/2006/relationships/hyperlink" Target="https://immunisationhandbook.health.gov.au/contents/vaccination-procedures" TargetMode="External"/><Relationship Id="rId27" Type="http://schemas.openxmlformats.org/officeDocument/2006/relationships/hyperlink" Target="https://www.cdc.gov/poxvirus/monkeypox/interim-considerations/jynneos-vaccine.html" TargetMode="External"/><Relationship Id="rId30" Type="http://schemas.openxmlformats.org/officeDocument/2006/relationships/hyperlink" Target="https://www.cdc.gov/poxvirus/monkeypox/interim-considerations/jynneos-vaccine.html" TargetMode="External"/><Relationship Id="rId35" Type="http://schemas.openxmlformats.org/officeDocument/2006/relationships/hyperlink" Target="https://immunisationhandbook.health.gov.au/resources/publications/preparing-an-anaphylaxis-response-kit" TargetMode="External"/><Relationship Id="rId43" Type="http://schemas.openxmlformats.org/officeDocument/2006/relationships/hyperlink" Target="https://www.worksafe.vic.gov.au/occupational-health-and-safety-act-and-regulations" TargetMode="External"/><Relationship Id="rId48" Type="http://schemas.openxmlformats.org/officeDocument/2006/relationships/hyperlink" Target="https://www.health.vic.gov.au/immunisation/pharmacist-immunisers" TargetMode="External"/><Relationship Id="rId8" Type="http://schemas.openxmlformats.org/officeDocument/2006/relationships/hyperlink" Target="https://immunisationhandbook.health.gov.au/contents/vaccine-preventable-diseases/mpox-previously-known-as-monkeypo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215E9EE978F4DE9BA6C7E3BEDACDEDD"/>
        <w:category>
          <w:name w:val="General"/>
          <w:gallery w:val="placeholder"/>
        </w:category>
        <w:types>
          <w:type w:val="bbPlcHdr"/>
        </w:types>
        <w:behaviors>
          <w:behavior w:val="content"/>
        </w:behaviors>
        <w:guid w:val="{64CCA796-F32B-4048-A57A-ED39DCA1A5A6}"/>
      </w:docPartPr>
      <w:docPartBody>
        <w:p w:rsidR="00435947" w:rsidRDefault="00435947"/>
      </w:docPartBody>
    </w:docPart>
    <w:docPart>
      <w:docPartPr>
        <w:name w:val="603501218F254B34979A17B119F342AA"/>
        <w:category>
          <w:name w:val="General"/>
          <w:gallery w:val="placeholder"/>
        </w:category>
        <w:types>
          <w:type w:val="bbPlcHdr"/>
        </w:types>
        <w:behaviors>
          <w:behavior w:val="content"/>
        </w:behaviors>
        <w:guid w:val="{51B484BC-828C-4DAC-89D5-E8B34C4C7FB7}"/>
      </w:docPartPr>
      <w:docPartBody>
        <w:p w:rsidR="001548E9" w:rsidRDefault="001548E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00D1"/>
    <w:rsid w:val="00025E86"/>
    <w:rsid w:val="00071569"/>
    <w:rsid w:val="001043C6"/>
    <w:rsid w:val="001135DB"/>
    <w:rsid w:val="001548E9"/>
    <w:rsid w:val="00176EE5"/>
    <w:rsid w:val="001D449C"/>
    <w:rsid w:val="001D6290"/>
    <w:rsid w:val="00202E86"/>
    <w:rsid w:val="00203318"/>
    <w:rsid w:val="0027750B"/>
    <w:rsid w:val="00291AC3"/>
    <w:rsid w:val="00331C5C"/>
    <w:rsid w:val="00396972"/>
    <w:rsid w:val="003B43B4"/>
    <w:rsid w:val="003C3413"/>
    <w:rsid w:val="003D225A"/>
    <w:rsid w:val="003D2BB4"/>
    <w:rsid w:val="00431739"/>
    <w:rsid w:val="00435947"/>
    <w:rsid w:val="004A7463"/>
    <w:rsid w:val="004D7E7F"/>
    <w:rsid w:val="0055551D"/>
    <w:rsid w:val="0055603F"/>
    <w:rsid w:val="0058548A"/>
    <w:rsid w:val="005A297F"/>
    <w:rsid w:val="005B320B"/>
    <w:rsid w:val="00626875"/>
    <w:rsid w:val="00651261"/>
    <w:rsid w:val="00656F7A"/>
    <w:rsid w:val="00685099"/>
    <w:rsid w:val="006E54EB"/>
    <w:rsid w:val="006F0477"/>
    <w:rsid w:val="006F7AFE"/>
    <w:rsid w:val="007317B1"/>
    <w:rsid w:val="00745713"/>
    <w:rsid w:val="007A7EA2"/>
    <w:rsid w:val="007E0343"/>
    <w:rsid w:val="008253C8"/>
    <w:rsid w:val="00861CC2"/>
    <w:rsid w:val="00887679"/>
    <w:rsid w:val="008C1393"/>
    <w:rsid w:val="008C1C32"/>
    <w:rsid w:val="008E50A7"/>
    <w:rsid w:val="00A0003D"/>
    <w:rsid w:val="00A22DFC"/>
    <w:rsid w:val="00A57157"/>
    <w:rsid w:val="00AF0031"/>
    <w:rsid w:val="00AF2F1E"/>
    <w:rsid w:val="00B601DD"/>
    <w:rsid w:val="00B61B95"/>
    <w:rsid w:val="00BE0B5B"/>
    <w:rsid w:val="00C16931"/>
    <w:rsid w:val="00C5077B"/>
    <w:rsid w:val="00C600D1"/>
    <w:rsid w:val="00D4357C"/>
    <w:rsid w:val="00D45CDD"/>
    <w:rsid w:val="00D4604C"/>
    <w:rsid w:val="00D67E32"/>
    <w:rsid w:val="00D75629"/>
    <w:rsid w:val="00DC0E78"/>
    <w:rsid w:val="00DD3506"/>
    <w:rsid w:val="00E71C56"/>
    <w:rsid w:val="00E91B95"/>
    <w:rsid w:val="00EE43CA"/>
    <w:rsid w:val="00EE5FAA"/>
    <w:rsid w:val="00EF6A39"/>
    <w:rsid w:val="00F077E6"/>
    <w:rsid w:val="00F30225"/>
    <w:rsid w:val="00FF48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Preview xmlns="56f13c3b-1a5e-4b20-8813-0ef8710fa369" xsi:nil="true"/>
    <lcf76f155ced4ddcb4097134ff3c332f xmlns="56f13c3b-1a5e-4b20-8813-0ef8710fa369">
      <Terms xmlns="http://schemas.microsoft.com/office/infopath/2007/PartnerControls"/>
    </lcf76f155ced4ddcb4097134ff3c332f>
    <SharedWithUsers xmlns="bef801f1-2872-443b-a104-0f84f9fd0895">
      <UserInfo>
        <DisplayName>Nick Wilson (Health)</DisplayName>
        <AccountId>310</AccountId>
        <AccountType/>
      </UserInfo>
      <UserInfo>
        <DisplayName>Catherine Radkowski (Health)</DisplayName>
        <AccountId>39</AccountId>
        <AccountType/>
      </UserInfo>
      <UserInfo>
        <DisplayName>Josie Cichello-Sanderson (Health)</DisplayName>
        <AccountId>716</AccountId>
        <AccountType/>
      </UserInfo>
      <UserInfo>
        <DisplayName>Deborah Friedman (Health)</DisplayName>
        <AccountId>417</AccountId>
        <AccountType/>
      </UserInfo>
      <UserInfo>
        <DisplayName>Helen O'Brien (Health)</DisplayName>
        <AccountId>866</AccountId>
        <AccountType/>
      </UserInfo>
      <UserInfo>
        <DisplayName>Sharon Harris (Health)</DisplayName>
        <AccountId>21</AccountId>
        <AccountType/>
      </UserInfo>
      <UserInfo>
        <DisplayName>Sarra Abdulatti (Health)</DisplayName>
        <AccountId>782</AccountId>
        <AccountType/>
      </UserInfo>
      <UserInfo>
        <DisplayName>Rhiannon Klas (Health)</DisplayName>
        <AccountId>641</AccountId>
        <AccountType/>
      </UserInfo>
      <UserInfo>
        <DisplayName>Megan Beasley (Health)</DisplayName>
        <AccountId>48</AccountId>
        <AccountType/>
      </UserInfo>
      <UserInfo>
        <DisplayName>Min-Ho Jung (Health)</DisplayName>
        <AccountId>930</AccountId>
        <AccountType/>
      </UserInfo>
    </SharedWithUsers>
    <ReconciledwithInvoice xmlns="56f13c3b-1a5e-4b20-8813-0ef8710fa369" xsi:nil="true"/>
    <TRIMNumber xmlns="56f13c3b-1a5e-4b20-8813-0ef8710fa3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2" ma:contentTypeDescription="Create a new document." ma:contentTypeScope="" ma:versionID="9e02cf41a35e40dbd0270ec2d81787ea">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ee1eda7375b64ed2444acf5bcb0c3a71"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4AD28867-B2D5-4245-8DE6-BC0EAE4F60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54</Pages>
  <Words>14937</Words>
  <Characters>94702</Characters>
  <Application>Microsoft Office Word</Application>
  <DocSecurity>0</DocSecurity>
  <Lines>1183</Lines>
  <Paragraphs>453</Paragraphs>
  <ScaleCrop>false</ScaleCrop>
  <HeadingPairs>
    <vt:vector size="4" baseType="variant">
      <vt:variant>
        <vt:lpstr>Title</vt:lpstr>
      </vt:variant>
      <vt:variant>
        <vt:i4>1</vt:i4>
      </vt:variant>
      <vt:variant>
        <vt:lpstr>Headings</vt:lpstr>
      </vt:variant>
      <vt:variant>
        <vt:i4>91</vt:i4>
      </vt:variant>
    </vt:vector>
  </HeadingPairs>
  <TitlesOfParts>
    <vt:vector size="92" baseType="lpstr">
      <vt:lpstr>Victorian Monkeypox Vaccination Program - Guidelines</vt:lpstr>
      <vt:lpstr>Introduction</vt:lpstr>
      <vt:lpstr>    Background</vt:lpstr>
      <vt:lpstr>Vaccine program</vt:lpstr>
      <vt:lpstr>    Mpox vaccines approved for use in Australia </vt:lpstr>
      <vt:lpstr>    Mpox vaccine eligibility</vt:lpstr>
      <vt:lpstr>Mpox vaccine for use in Victoria </vt:lpstr>
      <vt:lpstr>    Mpox vaccines for use in Victoria</vt:lpstr>
      <vt:lpstr>    Contraindications</vt:lpstr>
      <vt:lpstr>    Precautions</vt:lpstr>
      <vt:lpstr>        Vaccination against mpox for people who are immunocompromised, including people </vt:lpstr>
      <vt:lpstr>        Atopic dermatitis</vt:lpstr>
      <vt:lpstr>        Confirmed anaphylaxis to chicken or egg protein</vt:lpstr>
      <vt:lpstr>        History of atopic dermatitis or keloid scarring</vt:lpstr>
      <vt:lpstr>        Variation from product information</vt:lpstr>
      <vt:lpstr>    Route</vt:lpstr>
      <vt:lpstr>    Schedule </vt:lpstr>
      <vt:lpstr>    Common side effects</vt:lpstr>
      <vt:lpstr>Other considerations</vt:lpstr>
      <vt:lpstr>    Previous smallpox vaccination</vt:lpstr>
      <vt:lpstr>    Interval after infection</vt:lpstr>
      <vt:lpstr>    Coadministration </vt:lpstr>
      <vt:lpstr>    Completing schedules commenced overseas</vt:lpstr>
      <vt:lpstr>    Presentation</vt:lpstr>
      <vt:lpstr>    Storage</vt:lpstr>
      <vt:lpstr>    Vaccine procurement </vt:lpstr>
      <vt:lpstr>Cold chain management </vt:lpstr>
      <vt:lpstr>    Identifying a cold chain breach</vt:lpstr>
      <vt:lpstr>    Reporting a vaccine cold chain breach</vt:lpstr>
      <vt:lpstr>Clinical Guidelines</vt:lpstr>
      <vt:lpstr>    Infection prevention and control</vt:lpstr>
      <vt:lpstr>    Hand hygiene	 </vt:lpstr>
      <vt:lpstr>    Personal protective equipment (PPE)</vt:lpstr>
      <vt:lpstr>    Cleaning and disinfection</vt:lpstr>
      <vt:lpstr>    Waste management and disposal</vt:lpstr>
      <vt:lpstr>Vaccination procedures</vt:lpstr>
      <vt:lpstr>    Preparation </vt:lpstr>
      <vt:lpstr>    Preparation for subcutaneous administration  </vt:lpstr>
      <vt:lpstr>    Subcutaneous administration</vt:lpstr>
      <vt:lpstr>        Skin cleaning</vt:lpstr>
      <vt:lpstr>        Subcutaneous injection technique</vt:lpstr>
      <vt:lpstr>        Injection sites – adolescents and adults</vt:lpstr>
      <vt:lpstr>    Considerations for multi-use vials </vt:lpstr>
      <vt:lpstr>        Infection control </vt:lpstr>
      <vt:lpstr>        Pre-preparing syringes</vt:lpstr>
      <vt:lpstr>        Storage and usage</vt:lpstr>
      <vt:lpstr>    Intradermal administration technique</vt:lpstr>
      <vt:lpstr>        Training</vt:lpstr>
      <vt:lpstr>        Skin cleaning</vt:lpstr>
      <vt:lpstr>        Identifying injection sites – Intradermal</vt:lpstr>
      <vt:lpstr>        /Alternative site for Intradermal injection </vt:lpstr>
      <vt:lpstr>        Intradermal injection technique overview</vt:lpstr>
      <vt:lpstr>        Angle of insertion – Intradermal</vt:lpstr>
      <vt:lpstr>    After vaccination </vt:lpstr>
      <vt:lpstr>Vaccine safety</vt:lpstr>
      <vt:lpstr>    Storage of multiple vaccine types in a shared location</vt:lpstr>
      <vt:lpstr>    Safety Updates</vt:lpstr>
      <vt:lpstr>    Vaccine administration errors</vt:lpstr>
      <vt:lpstr>    Adverse Events Following Immunisation (AEFI) – Reporting and Management</vt:lpstr>
      <vt:lpstr>        Steps for managing an adverse event following immunisation </vt:lpstr>
      <vt:lpstr>        Fainting and syncopal seizures</vt:lpstr>
      <vt:lpstr>        Serious or unexpected AEFI </vt:lpstr>
      <vt:lpstr>        Reporting an immediate AEFI (at place of vaccination)</vt:lpstr>
      <vt:lpstr>        Reporting a delayed AEFI (outside place of vaccination)</vt:lpstr>
      <vt:lpstr>        Managing anaphylaxis and other serious AEFI</vt:lpstr>
      <vt:lpstr>Workforce and Regulation </vt:lpstr>
      <vt:lpstr>    Legislative and regulatory framework</vt:lpstr>
      <vt:lpstr>        Obtaining consent for vaccination</vt:lpstr>
      <vt:lpstr>        Consent for persons aged under 18 years</vt:lpstr>
      <vt:lpstr>        Keeping and accessing records related to vaccination</vt:lpstr>
      <vt:lpstr>        Privacy</vt:lpstr>
      <vt:lpstr>        Privacy notification</vt:lpstr>
      <vt:lpstr>        Reporting data to the Australian Immunisation Register (AIR)</vt:lpstr>
      <vt:lpstr>        Feedback and complaints</vt:lpstr>
      <vt:lpstr>        Occupational health and safety</vt:lpstr>
      <vt:lpstr>        Professional indemnity insurance</vt:lpstr>
      <vt:lpstr>    Workforce requirements</vt:lpstr>
      <vt:lpstr>        Training requirements</vt:lpstr>
      <vt:lpstr>        Training activities</vt:lpstr>
      <vt:lpstr>        Victorian Mpox Intradermal technique competency checklist </vt:lpstr>
      <vt:lpstr>    Emergency response</vt:lpstr>
      <vt:lpstr>Additional resources</vt:lpstr>
      <vt:lpstr>&lt;https://www.health.gov.au/resources/publications/mpox-monkeypox-information-on-</vt:lpstr>
      <vt:lpstr>Contact information</vt:lpstr>
      <vt:lpstr>Appendix 1: Contact information </vt:lpstr>
      <vt:lpstr/>
      <vt:lpstr>Appendix 2: Safe vaccine storage – data loggers</vt:lpstr>
      <vt:lpstr>Appendix 3: Cold chain management checklists</vt:lpstr>
      <vt:lpstr/>
      <vt:lpstr>Appendix 4 Vaccine temperature monitoring form for outreach mobile services</vt:lpstr>
      <vt:lpstr/>
      <vt:lpstr>Appendix 5: Guidance – differentiating anaphylaxis from acute stress response fo</vt:lpstr>
    </vt:vector>
  </TitlesOfParts>
  <Manager/>
  <Company>Victoria State Government, Department of Health</Company>
  <LinksUpToDate>false</LinksUpToDate>
  <CharactersWithSpaces>109186</CharactersWithSpaces>
  <SharedDoc>false</SharedDoc>
  <HyperlinkBase/>
  <HLinks>
    <vt:vector size="1308" baseType="variant">
      <vt:variant>
        <vt:i4>3014695</vt:i4>
      </vt:variant>
      <vt:variant>
        <vt:i4>669</vt:i4>
      </vt:variant>
      <vt:variant>
        <vt:i4>0</vt:i4>
      </vt:variant>
      <vt:variant>
        <vt:i4>5</vt:i4>
      </vt:variant>
      <vt:variant>
        <vt:lpwstr>https://www.health.vic.gov.au/infectious-diseases/monkeypox</vt:lpwstr>
      </vt:variant>
      <vt:variant>
        <vt:lpwstr/>
      </vt:variant>
      <vt:variant>
        <vt:i4>6422590</vt:i4>
      </vt:variant>
      <vt:variant>
        <vt:i4>666</vt:i4>
      </vt:variant>
      <vt:variant>
        <vt:i4>0</vt:i4>
      </vt:variant>
      <vt:variant>
        <vt:i4>5</vt:i4>
      </vt:variant>
      <vt:variant>
        <vt:lpwstr>mailto:program</vt:lpwstr>
      </vt:variant>
      <vt:variant>
        <vt:lpwstr/>
      </vt:variant>
      <vt:variant>
        <vt:i4>7798823</vt:i4>
      </vt:variant>
      <vt:variant>
        <vt:i4>663</vt:i4>
      </vt:variant>
      <vt:variant>
        <vt:i4>0</vt:i4>
      </vt:variant>
      <vt:variant>
        <vt:i4>5</vt:i4>
      </vt:variant>
      <vt:variant>
        <vt:lpwstr>https://health.vic.gov.au/infectious-diseases/monkeypox</vt:lpwstr>
      </vt:variant>
      <vt:variant>
        <vt:lpwstr/>
      </vt:variant>
      <vt:variant>
        <vt:i4>3014695</vt:i4>
      </vt:variant>
      <vt:variant>
        <vt:i4>660</vt:i4>
      </vt:variant>
      <vt:variant>
        <vt:i4>0</vt:i4>
      </vt:variant>
      <vt:variant>
        <vt:i4>5</vt:i4>
      </vt:variant>
      <vt:variant>
        <vt:lpwstr>https://www.health.vic.gov.au/infectious-diseases/monkeypox</vt:lpwstr>
      </vt:variant>
      <vt:variant>
        <vt:lpwstr/>
      </vt:variant>
      <vt:variant>
        <vt:i4>7274522</vt:i4>
      </vt:variant>
      <vt:variant>
        <vt:i4>657</vt:i4>
      </vt:variant>
      <vt:variant>
        <vt:i4>0</vt:i4>
      </vt:variant>
      <vt:variant>
        <vt:i4>5</vt:i4>
      </vt:variant>
      <vt:variant>
        <vt:lpwstr>mailto:enquiries@saefvic.org.au</vt:lpwstr>
      </vt:variant>
      <vt:variant>
        <vt:lpwstr/>
      </vt:variant>
      <vt:variant>
        <vt:i4>1310789</vt:i4>
      </vt:variant>
      <vt:variant>
        <vt:i4>654</vt:i4>
      </vt:variant>
      <vt:variant>
        <vt:i4>0</vt:i4>
      </vt:variant>
      <vt:variant>
        <vt:i4>5</vt:i4>
      </vt:variant>
      <vt:variant>
        <vt:lpwstr>https://www.safevac.org.au/Home/Info/VIC</vt:lpwstr>
      </vt:variant>
      <vt:variant>
        <vt:lpwstr/>
      </vt:variant>
      <vt:variant>
        <vt:i4>7864424</vt:i4>
      </vt:variant>
      <vt:variant>
        <vt:i4>651</vt:i4>
      </vt:variant>
      <vt:variant>
        <vt:i4>0</vt:i4>
      </vt:variant>
      <vt:variant>
        <vt:i4>5</vt:i4>
      </vt:variant>
      <vt:variant>
        <vt:lpwstr/>
      </vt:variant>
      <vt:variant>
        <vt:lpwstr>_Vaccine_safety</vt:lpwstr>
      </vt:variant>
      <vt:variant>
        <vt:i4>1310789</vt:i4>
      </vt:variant>
      <vt:variant>
        <vt:i4>648</vt:i4>
      </vt:variant>
      <vt:variant>
        <vt:i4>0</vt:i4>
      </vt:variant>
      <vt:variant>
        <vt:i4>5</vt:i4>
      </vt:variant>
      <vt:variant>
        <vt:lpwstr>https://www.safevac.org.au/Home/Info/VIC</vt:lpwstr>
      </vt:variant>
      <vt:variant>
        <vt:lpwstr/>
      </vt:variant>
      <vt:variant>
        <vt:i4>1310789</vt:i4>
      </vt:variant>
      <vt:variant>
        <vt:i4>645</vt:i4>
      </vt:variant>
      <vt:variant>
        <vt:i4>0</vt:i4>
      </vt:variant>
      <vt:variant>
        <vt:i4>5</vt:i4>
      </vt:variant>
      <vt:variant>
        <vt:lpwstr>https://www.safevac.org.au/Home/Info/VIC</vt:lpwstr>
      </vt:variant>
      <vt:variant>
        <vt:lpwstr/>
      </vt:variant>
      <vt:variant>
        <vt:i4>7209054</vt:i4>
      </vt:variant>
      <vt:variant>
        <vt:i4>642</vt:i4>
      </vt:variant>
      <vt:variant>
        <vt:i4>0</vt:i4>
      </vt:variant>
      <vt:variant>
        <vt:i4>5</vt:i4>
      </vt:variant>
      <vt:variant>
        <vt:lpwstr>https://mvec.mcri.edu.au/wp-content/uploads/2021/10/Guidance-for-differentiating-anaphylaxis-and-acute-stress-response-for-vaccine-providers_updated-converted.pdf</vt:lpwstr>
      </vt:variant>
      <vt:variant>
        <vt:lpwstr/>
      </vt:variant>
      <vt:variant>
        <vt:i4>1310789</vt:i4>
      </vt:variant>
      <vt:variant>
        <vt:i4>639</vt:i4>
      </vt:variant>
      <vt:variant>
        <vt:i4>0</vt:i4>
      </vt:variant>
      <vt:variant>
        <vt:i4>5</vt:i4>
      </vt:variant>
      <vt:variant>
        <vt:lpwstr>https://www.safevac.org.au/Home/Info/VIC</vt:lpwstr>
      </vt:variant>
      <vt:variant>
        <vt:lpwstr/>
      </vt:variant>
      <vt:variant>
        <vt:i4>1310789</vt:i4>
      </vt:variant>
      <vt:variant>
        <vt:i4>636</vt:i4>
      </vt:variant>
      <vt:variant>
        <vt:i4>0</vt:i4>
      </vt:variant>
      <vt:variant>
        <vt:i4>5</vt:i4>
      </vt:variant>
      <vt:variant>
        <vt:lpwstr>https://www.safevac.org.au/Home/Info/VIC</vt:lpwstr>
      </vt:variant>
      <vt:variant>
        <vt:lpwstr/>
      </vt:variant>
      <vt:variant>
        <vt:i4>7995422</vt:i4>
      </vt:variant>
      <vt:variant>
        <vt:i4>633</vt:i4>
      </vt:variant>
      <vt:variant>
        <vt:i4>0</vt:i4>
      </vt:variant>
      <vt:variant>
        <vt:i4>5</vt:i4>
      </vt:variant>
      <vt:variant>
        <vt:lpwstr/>
      </vt:variant>
      <vt:variant>
        <vt:lpwstr>_Appendix_4_Vaccine</vt:lpwstr>
      </vt:variant>
      <vt:variant>
        <vt:i4>1704028</vt:i4>
      </vt:variant>
      <vt:variant>
        <vt:i4>630</vt:i4>
      </vt:variant>
      <vt:variant>
        <vt:i4>0</vt:i4>
      </vt:variant>
      <vt:variant>
        <vt:i4>5</vt:i4>
      </vt:variant>
      <vt:variant>
        <vt:lpwstr>https://www.health.gov.au/resources/publications/national-vaccine-storage-guidelines-strive-for-5</vt:lpwstr>
      </vt:variant>
      <vt:variant>
        <vt:lpwstr/>
      </vt:variant>
      <vt:variant>
        <vt:i4>2359304</vt:i4>
      </vt:variant>
      <vt:variant>
        <vt:i4>627</vt:i4>
      </vt:variant>
      <vt:variant>
        <vt:i4>0</vt:i4>
      </vt:variant>
      <vt:variant>
        <vt:i4>5</vt:i4>
      </vt:variant>
      <vt:variant>
        <vt:lpwstr>mailto:immunisation@health.vic.gov.au</vt:lpwstr>
      </vt:variant>
      <vt:variant>
        <vt:lpwstr/>
      </vt:variant>
      <vt:variant>
        <vt:i4>6357105</vt:i4>
      </vt:variant>
      <vt:variant>
        <vt:i4>624</vt:i4>
      </vt:variant>
      <vt:variant>
        <vt:i4>0</vt:i4>
      </vt:variant>
      <vt:variant>
        <vt:i4>5</vt:i4>
      </vt:variant>
      <vt:variant>
        <vt:lpwstr>mailto:Appendix%203</vt:lpwstr>
      </vt:variant>
      <vt:variant>
        <vt:lpwstr/>
      </vt:variant>
      <vt:variant>
        <vt:i4>1704028</vt:i4>
      </vt:variant>
      <vt:variant>
        <vt:i4>621</vt:i4>
      </vt:variant>
      <vt:variant>
        <vt:i4>0</vt:i4>
      </vt:variant>
      <vt:variant>
        <vt:i4>5</vt:i4>
      </vt:variant>
      <vt:variant>
        <vt:lpwstr>https://www.health.gov.au/resources/publications/national-vaccine-storage-guidelines-strive-for-5</vt:lpwstr>
      </vt:variant>
      <vt:variant>
        <vt:lpwstr/>
      </vt:variant>
      <vt:variant>
        <vt:i4>1507335</vt:i4>
      </vt:variant>
      <vt:variant>
        <vt:i4>618</vt:i4>
      </vt:variant>
      <vt:variant>
        <vt:i4>0</vt:i4>
      </vt:variant>
      <vt:variant>
        <vt:i4>5</vt:i4>
      </vt:variant>
      <vt:variant>
        <vt:lpwstr>https://www.health.vic.gov.au/immunisation/cold-chain-monitoring-during-vaccine-transport</vt:lpwstr>
      </vt:variant>
      <vt:variant>
        <vt:lpwstr/>
      </vt:variant>
      <vt:variant>
        <vt:i4>2359304</vt:i4>
      </vt:variant>
      <vt:variant>
        <vt:i4>615</vt:i4>
      </vt:variant>
      <vt:variant>
        <vt:i4>0</vt:i4>
      </vt:variant>
      <vt:variant>
        <vt:i4>5</vt:i4>
      </vt:variant>
      <vt:variant>
        <vt:lpwstr>mailto:immunisation@health.vic.gov.au</vt:lpwstr>
      </vt:variant>
      <vt:variant>
        <vt:lpwstr/>
      </vt:variant>
      <vt:variant>
        <vt:i4>8323187</vt:i4>
      </vt:variant>
      <vt:variant>
        <vt:i4>612</vt:i4>
      </vt:variant>
      <vt:variant>
        <vt:i4>0</vt:i4>
      </vt:variant>
      <vt:variant>
        <vt:i4>5</vt:i4>
      </vt:variant>
      <vt:variant>
        <vt:lpwstr>https://www.health.vic.gov.au/immunisation/cold-chain-breach-reporting</vt:lpwstr>
      </vt:variant>
      <vt:variant>
        <vt:lpwstr/>
      </vt:variant>
      <vt:variant>
        <vt:i4>917581</vt:i4>
      </vt:variant>
      <vt:variant>
        <vt:i4>609</vt:i4>
      </vt:variant>
      <vt:variant>
        <vt:i4>0</vt:i4>
      </vt:variant>
      <vt:variant>
        <vt:i4>5</vt:i4>
      </vt:variant>
      <vt:variant>
        <vt:lpwstr>https://www.health.vic.gov.au/immunisation/cold-chain-management</vt:lpwstr>
      </vt:variant>
      <vt:variant>
        <vt:lpwstr/>
      </vt:variant>
      <vt:variant>
        <vt:i4>1704028</vt:i4>
      </vt:variant>
      <vt:variant>
        <vt:i4>606</vt:i4>
      </vt:variant>
      <vt:variant>
        <vt:i4>0</vt:i4>
      </vt:variant>
      <vt:variant>
        <vt:i4>5</vt:i4>
      </vt:variant>
      <vt:variant>
        <vt:lpwstr>https://www.health.gov.au/resources/publications/national-vaccine-storage-guidelines-strive-for-5</vt:lpwstr>
      </vt:variant>
      <vt:variant>
        <vt:lpwstr/>
      </vt:variant>
      <vt:variant>
        <vt:i4>7733365</vt:i4>
      </vt:variant>
      <vt:variant>
        <vt:i4>603</vt:i4>
      </vt:variant>
      <vt:variant>
        <vt:i4>0</vt:i4>
      </vt:variant>
      <vt:variant>
        <vt:i4>5</vt:i4>
      </vt:variant>
      <vt:variant>
        <vt:lpwstr>https://www.servicesaustralia.gov.au/australian-immunisation-register-for-health-professionals</vt:lpwstr>
      </vt:variant>
      <vt:variant>
        <vt:lpwstr/>
      </vt:variant>
      <vt:variant>
        <vt:i4>2097194</vt:i4>
      </vt:variant>
      <vt:variant>
        <vt:i4>600</vt:i4>
      </vt:variant>
      <vt:variant>
        <vt:i4>0</vt:i4>
      </vt:variant>
      <vt:variant>
        <vt:i4>5</vt:i4>
      </vt:variant>
      <vt:variant>
        <vt:lpwstr>https://www.servicesaustralia.gov.au/how-to-set-up-your-access-to-air?context=23401</vt:lpwstr>
      </vt:variant>
      <vt:variant>
        <vt:lpwstr/>
      </vt:variant>
      <vt:variant>
        <vt:i4>2359304</vt:i4>
      </vt:variant>
      <vt:variant>
        <vt:i4>597</vt:i4>
      </vt:variant>
      <vt:variant>
        <vt:i4>0</vt:i4>
      </vt:variant>
      <vt:variant>
        <vt:i4>5</vt:i4>
      </vt:variant>
      <vt:variant>
        <vt:lpwstr>mailto:immunisation@health.vic.gov.au</vt:lpwstr>
      </vt:variant>
      <vt:variant>
        <vt:lpwstr/>
      </vt:variant>
      <vt:variant>
        <vt:i4>2359304</vt:i4>
      </vt:variant>
      <vt:variant>
        <vt:i4>594</vt:i4>
      </vt:variant>
      <vt:variant>
        <vt:i4>0</vt:i4>
      </vt:variant>
      <vt:variant>
        <vt:i4>5</vt:i4>
      </vt:variant>
      <vt:variant>
        <vt:lpwstr>mailto:immunisation@health.vic.gov.au</vt:lpwstr>
      </vt:variant>
      <vt:variant>
        <vt:lpwstr/>
      </vt:variant>
      <vt:variant>
        <vt:i4>2949168</vt:i4>
      </vt:variant>
      <vt:variant>
        <vt:i4>591</vt:i4>
      </vt:variant>
      <vt:variant>
        <vt:i4>0</vt:i4>
      </vt:variant>
      <vt:variant>
        <vt:i4>5</vt:i4>
      </vt:variant>
      <vt:variant>
        <vt:lpwstr>https://www.onelinkonline.net/</vt:lpwstr>
      </vt:variant>
      <vt:variant>
        <vt:lpwstr/>
      </vt:variant>
      <vt:variant>
        <vt:i4>7209017</vt:i4>
      </vt:variant>
      <vt:variant>
        <vt:i4>588</vt:i4>
      </vt:variant>
      <vt:variant>
        <vt:i4>0</vt:i4>
      </vt:variant>
      <vt:variant>
        <vt:i4>5</vt:i4>
      </vt:variant>
      <vt:variant>
        <vt:lpwstr>http://www.saefvic.org.au/</vt:lpwstr>
      </vt:variant>
      <vt:variant>
        <vt:lpwstr/>
      </vt:variant>
      <vt:variant>
        <vt:i4>6684718</vt:i4>
      </vt:variant>
      <vt:variant>
        <vt:i4>585</vt:i4>
      </vt:variant>
      <vt:variant>
        <vt:i4>0</vt:i4>
      </vt:variant>
      <vt:variant>
        <vt:i4>5</vt:i4>
      </vt:variant>
      <vt:variant>
        <vt:lpwstr>https://www.betterhealth.vic.gov.au/mpox-monkeypox</vt:lpwstr>
      </vt:variant>
      <vt:variant>
        <vt:lpwstr/>
      </vt:variant>
      <vt:variant>
        <vt:i4>6357026</vt:i4>
      </vt:variant>
      <vt:variant>
        <vt:i4>582</vt:i4>
      </vt:variant>
      <vt:variant>
        <vt:i4>0</vt:i4>
      </vt:variant>
      <vt:variant>
        <vt:i4>5</vt:i4>
      </vt:variant>
      <vt:variant>
        <vt:lpwstr>https://www.health.vic.gov.au/publications/clinical-and-related-waste-guidance-supplement-for-healthcare-staff</vt:lpwstr>
      </vt:variant>
      <vt:variant>
        <vt:lpwstr/>
      </vt:variant>
      <vt:variant>
        <vt:i4>5898252</vt:i4>
      </vt:variant>
      <vt:variant>
        <vt:i4>579</vt:i4>
      </vt:variant>
      <vt:variant>
        <vt:i4>0</vt:i4>
      </vt:variant>
      <vt:variant>
        <vt:i4>5</vt:i4>
      </vt:variant>
      <vt:variant>
        <vt:lpwstr>https://www.health.vic.gov.au/infectious-diseases/mpox-monkeypox</vt:lpwstr>
      </vt:variant>
      <vt:variant>
        <vt:lpwstr/>
      </vt:variant>
      <vt:variant>
        <vt:i4>7929968</vt:i4>
      </vt:variant>
      <vt:variant>
        <vt:i4>576</vt:i4>
      </vt:variant>
      <vt:variant>
        <vt:i4>0</vt:i4>
      </vt:variant>
      <vt:variant>
        <vt:i4>5</vt:i4>
      </vt:variant>
      <vt:variant>
        <vt:lpwstr>https://www.health.gov.au/resources/publications/mpox-monkeypox-information-on-jynneosr-vaccine?language=en</vt:lpwstr>
      </vt:variant>
      <vt:variant>
        <vt:lpwstr/>
      </vt:variant>
      <vt:variant>
        <vt:i4>7274596</vt:i4>
      </vt:variant>
      <vt:variant>
        <vt:i4>573</vt:i4>
      </vt:variant>
      <vt:variant>
        <vt:i4>0</vt:i4>
      </vt:variant>
      <vt:variant>
        <vt:i4>5</vt:i4>
      </vt:variant>
      <vt:variant>
        <vt:lpwstr>https://www.health.gov.au/resources/publications/iceg-interim-guidance-on-monkeypox-for-health-workers</vt:lpwstr>
      </vt:variant>
      <vt:variant>
        <vt:lpwstr/>
      </vt:variant>
      <vt:variant>
        <vt:i4>4653070</vt:i4>
      </vt:variant>
      <vt:variant>
        <vt:i4>570</vt:i4>
      </vt:variant>
      <vt:variant>
        <vt:i4>0</vt:i4>
      </vt:variant>
      <vt:variant>
        <vt:i4>5</vt:i4>
      </vt:variant>
      <vt:variant>
        <vt:lpwstr>https://www.health.gov.au/resources/publications/mpox-monkeypox-consent-form-for-jynneosr-vaccination</vt:lpwstr>
      </vt:variant>
      <vt:variant>
        <vt:lpwstr/>
      </vt:variant>
      <vt:variant>
        <vt:i4>524366</vt:i4>
      </vt:variant>
      <vt:variant>
        <vt:i4>567</vt:i4>
      </vt:variant>
      <vt:variant>
        <vt:i4>0</vt:i4>
      </vt:variant>
      <vt:variant>
        <vt:i4>5</vt:i4>
      </vt:variant>
      <vt:variant>
        <vt:lpwstr>https://www.health.gov.au/resources/publications/atagi-clinical-guidance-on-vaccination-against-monkeypox?language=en</vt:lpwstr>
      </vt:variant>
      <vt:variant>
        <vt:lpwstr/>
      </vt:variant>
      <vt:variant>
        <vt:i4>524366</vt:i4>
      </vt:variant>
      <vt:variant>
        <vt:i4>564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561</vt:i4>
      </vt:variant>
      <vt:variant>
        <vt:i4>0</vt:i4>
      </vt:variant>
      <vt:variant>
        <vt:i4>5</vt:i4>
      </vt:variant>
      <vt:variant>
        <vt:lpwstr>https://immunisationhandbook.health.gov.au/contents/vaccine-preventable-diseases/mpox-previously-known-as-monkeypox</vt:lpwstr>
      </vt:variant>
      <vt:variant>
        <vt:lpwstr/>
      </vt:variant>
      <vt:variant>
        <vt:i4>1310759</vt:i4>
      </vt:variant>
      <vt:variant>
        <vt:i4>558</vt:i4>
      </vt:variant>
      <vt:variant>
        <vt:i4>0</vt:i4>
      </vt:variant>
      <vt:variant>
        <vt:i4>5</vt:i4>
      </vt:variant>
      <vt:variant>
        <vt:lpwstr/>
      </vt:variant>
      <vt:variant>
        <vt:lpwstr>_Appendix_6:_Factsheet</vt:lpwstr>
      </vt:variant>
      <vt:variant>
        <vt:i4>8323139</vt:i4>
      </vt:variant>
      <vt:variant>
        <vt:i4>555</vt:i4>
      </vt:variant>
      <vt:variant>
        <vt:i4>0</vt:i4>
      </vt:variant>
      <vt:variant>
        <vt:i4>5</vt:i4>
      </vt:variant>
      <vt:variant>
        <vt:lpwstr/>
      </vt:variant>
      <vt:variant>
        <vt:lpwstr>_Appendix_5:_Guidance</vt:lpwstr>
      </vt:variant>
      <vt:variant>
        <vt:i4>2359304</vt:i4>
      </vt:variant>
      <vt:variant>
        <vt:i4>552</vt:i4>
      </vt:variant>
      <vt:variant>
        <vt:i4>0</vt:i4>
      </vt:variant>
      <vt:variant>
        <vt:i4>5</vt:i4>
      </vt:variant>
      <vt:variant>
        <vt:lpwstr>mailto:immunisation@health.vic.gov.au</vt:lpwstr>
      </vt:variant>
      <vt:variant>
        <vt:lpwstr/>
      </vt:variant>
      <vt:variant>
        <vt:i4>7012437</vt:i4>
      </vt:variant>
      <vt:variant>
        <vt:i4>549</vt:i4>
      </vt:variant>
      <vt:variant>
        <vt:i4>0</vt:i4>
      </vt:variant>
      <vt:variant>
        <vt:i4>5</vt:i4>
      </vt:variant>
      <vt:variant>
        <vt:lpwstr/>
      </vt:variant>
      <vt:variant>
        <vt:lpwstr>_Appendix_7:_Intradermal</vt:lpwstr>
      </vt:variant>
      <vt:variant>
        <vt:i4>2162797</vt:i4>
      </vt:variant>
      <vt:variant>
        <vt:i4>546</vt:i4>
      </vt:variant>
      <vt:variant>
        <vt:i4>0</vt:i4>
      </vt:variant>
      <vt:variant>
        <vt:i4>5</vt:i4>
      </vt:variant>
      <vt:variant>
        <vt:lpwstr>https://vic-immunisation-learning.com/</vt:lpwstr>
      </vt:variant>
      <vt:variant>
        <vt:lpwstr/>
      </vt:variant>
      <vt:variant>
        <vt:i4>5177345</vt:i4>
      </vt:variant>
      <vt:variant>
        <vt:i4>543</vt:i4>
      </vt:variant>
      <vt:variant>
        <vt:i4>0</vt:i4>
      </vt:variant>
      <vt:variant>
        <vt:i4>5</vt:i4>
      </vt:variant>
      <vt:variant>
        <vt:lpwstr>https://www.health.vic.gov.au/immunisation/immunisers-in-victoria</vt:lpwstr>
      </vt:variant>
      <vt:variant>
        <vt:lpwstr/>
      </vt:variant>
      <vt:variant>
        <vt:i4>6094920</vt:i4>
      </vt:variant>
      <vt:variant>
        <vt:i4>540</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537</vt:i4>
      </vt:variant>
      <vt:variant>
        <vt:i4>0</vt:i4>
      </vt:variant>
      <vt:variant>
        <vt:i4>5</vt:i4>
      </vt:variant>
      <vt:variant>
        <vt:lpwstr>https://www.worksafe.vic.gov.au/occupational-health-and-safety-act-and-regulations</vt:lpwstr>
      </vt:variant>
      <vt:variant>
        <vt:lpwstr/>
      </vt:variant>
      <vt:variant>
        <vt:i4>5898271</vt:i4>
      </vt:variant>
      <vt:variant>
        <vt:i4>534</vt:i4>
      </vt:variant>
      <vt:variant>
        <vt:i4>0</vt:i4>
      </vt:variant>
      <vt:variant>
        <vt:i4>5</vt:i4>
      </vt:variant>
      <vt:variant>
        <vt:lpwstr/>
      </vt:variant>
      <vt:variant>
        <vt:lpwstr>_Appendix_1:_Contact_1</vt:lpwstr>
      </vt:variant>
      <vt:variant>
        <vt:i4>3604589</vt:i4>
      </vt:variant>
      <vt:variant>
        <vt:i4>531</vt:i4>
      </vt:variant>
      <vt:variant>
        <vt:i4>0</vt:i4>
      </vt:variant>
      <vt:variant>
        <vt:i4>5</vt:i4>
      </vt:variant>
      <vt:variant>
        <vt:lpwstr>https://www.safetyandquality.gov.au/consumers/working-your-healthcare-provider/australian-charter-healthcare-rights</vt:lpwstr>
      </vt:variant>
      <vt:variant>
        <vt:lpwstr/>
      </vt:variant>
      <vt:variant>
        <vt:i4>8126503</vt:i4>
      </vt:variant>
      <vt:variant>
        <vt:i4>528</vt:i4>
      </vt:variant>
      <vt:variant>
        <vt:i4>0</vt:i4>
      </vt:variant>
      <vt:variant>
        <vt:i4>5</vt:i4>
      </vt:variant>
      <vt:variant>
        <vt:lpwstr>https://www.servicesaustralia.gov.au/organisations/business/services/proda-provider-digital-access</vt:lpwstr>
      </vt:variant>
      <vt:variant>
        <vt:lpwstr/>
      </vt:variant>
      <vt:variant>
        <vt:i4>6225935</vt:i4>
      </vt:variant>
      <vt:variant>
        <vt:i4>525</vt:i4>
      </vt:variant>
      <vt:variant>
        <vt:i4>0</vt:i4>
      </vt:variant>
      <vt:variant>
        <vt:i4>5</vt:i4>
      </vt:variant>
      <vt:variant>
        <vt:lpwstr>https://www.servicesaustralia.gov.au/hpos</vt:lpwstr>
      </vt:variant>
      <vt:variant>
        <vt:lpwstr/>
      </vt:variant>
      <vt:variant>
        <vt:i4>6357108</vt:i4>
      </vt:variant>
      <vt:variant>
        <vt:i4>522</vt:i4>
      </vt:variant>
      <vt:variant>
        <vt:i4>0</vt:i4>
      </vt:variant>
      <vt:variant>
        <vt:i4>5</vt:i4>
      </vt:variant>
      <vt:variant>
        <vt:lpwstr>https://www.servicesaustralia.gov.au/organisations/health-professionals/services/medicare/hpos</vt:lpwstr>
      </vt:variant>
      <vt:variant>
        <vt:lpwstr/>
      </vt:variant>
      <vt:variant>
        <vt:i4>4259854</vt:i4>
      </vt:variant>
      <vt:variant>
        <vt:i4>519</vt:i4>
      </vt:variant>
      <vt:variant>
        <vt:i4>0</vt:i4>
      </vt:variant>
      <vt:variant>
        <vt:i4>5</vt:i4>
      </vt:variant>
      <vt:variant>
        <vt:lpwstr>https://www.legislation.vic.gov.au/in-force/acts/health-services-act-1988/180</vt:lpwstr>
      </vt:variant>
      <vt:variant>
        <vt:lpwstr/>
      </vt:variant>
      <vt:variant>
        <vt:i4>2555945</vt:i4>
      </vt:variant>
      <vt:variant>
        <vt:i4>516</vt:i4>
      </vt:variant>
      <vt:variant>
        <vt:i4>0</vt:i4>
      </vt:variant>
      <vt:variant>
        <vt:i4>5</vt:i4>
      </vt:variant>
      <vt:variant>
        <vt:lpwstr>https://store.standards.org.au/product/as-iso-15489-1-2017</vt:lpwstr>
      </vt:variant>
      <vt:variant>
        <vt:lpwstr/>
      </vt:variant>
      <vt:variant>
        <vt:i4>7667749</vt:i4>
      </vt:variant>
      <vt:variant>
        <vt:i4>513</vt:i4>
      </vt:variant>
      <vt:variant>
        <vt:i4>0</vt:i4>
      </vt:variant>
      <vt:variant>
        <vt:i4>5</vt:i4>
      </vt:variant>
      <vt:variant>
        <vt:lpwstr>https://www.legislation.gov.au/Details/C2004A00100</vt:lpwstr>
      </vt:variant>
      <vt:variant>
        <vt:lpwstr/>
      </vt:variant>
      <vt:variant>
        <vt:i4>1966197</vt:i4>
      </vt:variant>
      <vt:variant>
        <vt:i4>510</vt:i4>
      </vt:variant>
      <vt:variant>
        <vt:i4>0</vt:i4>
      </vt:variant>
      <vt:variant>
        <vt:i4>5</vt:i4>
      </vt:variant>
      <vt:variant>
        <vt:lpwstr>https://urldefense.proofpoint.com/v2/url?u=https-3A__www.legislation.gov.au_Details_C2004A00100&amp;d=DwMGaQ&amp;c=JnBkUqWXzx2bz-3a05d47Q&amp;r=zQI8nIUxsvUTvUnJCXgiVSy5OkIlD-RWtx5voOru6N0&amp;m=jJt8K5iQQeOnfA8OZU2YDCRaP83ffR3oiQMvqceCQck&amp;s=rz_kdWrVrFKBWQ5Vxrx-5b7SM4we53F4LKM7PsYPsuE&amp;e=</vt:lpwstr>
      </vt:variant>
      <vt:variant>
        <vt:lpwstr/>
      </vt:variant>
      <vt:variant>
        <vt:i4>4784211</vt:i4>
      </vt:variant>
      <vt:variant>
        <vt:i4>507</vt:i4>
      </vt:variant>
      <vt:variant>
        <vt:i4>0</vt:i4>
      </vt:variant>
      <vt:variant>
        <vt:i4>5</vt:i4>
      </vt:variant>
      <vt:variant>
        <vt:lpwstr>https://www.legislation.vic.gov.au/in-force/acts/public-records-act-1973/041</vt:lpwstr>
      </vt:variant>
      <vt:variant>
        <vt:lpwstr/>
      </vt:variant>
      <vt:variant>
        <vt:i4>4784211</vt:i4>
      </vt:variant>
      <vt:variant>
        <vt:i4>504</vt:i4>
      </vt:variant>
      <vt:variant>
        <vt:i4>0</vt:i4>
      </vt:variant>
      <vt:variant>
        <vt:i4>5</vt:i4>
      </vt:variant>
      <vt:variant>
        <vt:lpwstr>https://www.legislation.vic.gov.au/in-force/acts/public-records-act-1973/041</vt:lpwstr>
      </vt:variant>
      <vt:variant>
        <vt:lpwstr/>
      </vt:variant>
      <vt:variant>
        <vt:i4>7536676</vt:i4>
      </vt:variant>
      <vt:variant>
        <vt:i4>501</vt:i4>
      </vt:variant>
      <vt:variant>
        <vt:i4>0</vt:i4>
      </vt:variant>
      <vt:variant>
        <vt:i4>5</vt:i4>
      </vt:variant>
      <vt:variant>
        <vt:lpwstr>https://www.legislation.vic.gov.au/in-force/acts/medical-treatment-planning-and-decisions-act-2016/009</vt:lpwstr>
      </vt:variant>
      <vt:variant>
        <vt:lpwstr/>
      </vt:variant>
      <vt:variant>
        <vt:i4>7536676</vt:i4>
      </vt:variant>
      <vt:variant>
        <vt:i4>498</vt:i4>
      </vt:variant>
      <vt:variant>
        <vt:i4>0</vt:i4>
      </vt:variant>
      <vt:variant>
        <vt:i4>5</vt:i4>
      </vt:variant>
      <vt:variant>
        <vt:lpwstr>https://www.legislation.vic.gov.au/in-force/acts/medical-treatment-planning-and-decisions-act-2016/009</vt:lpwstr>
      </vt:variant>
      <vt:variant>
        <vt:lpwstr/>
      </vt:variant>
      <vt:variant>
        <vt:i4>1310789</vt:i4>
      </vt:variant>
      <vt:variant>
        <vt:i4>495</vt:i4>
      </vt:variant>
      <vt:variant>
        <vt:i4>0</vt:i4>
      </vt:variant>
      <vt:variant>
        <vt:i4>5</vt:i4>
      </vt:variant>
      <vt:variant>
        <vt:lpwstr>https://www.safevac.org.au/Home/Info/VIC</vt:lpwstr>
      </vt:variant>
      <vt:variant>
        <vt:lpwstr/>
      </vt:variant>
      <vt:variant>
        <vt:i4>6357051</vt:i4>
      </vt:variant>
      <vt:variant>
        <vt:i4>492</vt:i4>
      </vt:variant>
      <vt:variant>
        <vt:i4>0</vt:i4>
      </vt:variant>
      <vt:variant>
        <vt:i4>5</vt:i4>
      </vt:variant>
      <vt:variant>
        <vt:lpwstr>http://etraininghp.ascia.org.au/anaphylaxis</vt:lpwstr>
      </vt:variant>
      <vt:variant>
        <vt:lpwstr/>
      </vt:variant>
      <vt:variant>
        <vt:i4>8323139</vt:i4>
      </vt:variant>
      <vt:variant>
        <vt:i4>489</vt:i4>
      </vt:variant>
      <vt:variant>
        <vt:i4>0</vt:i4>
      </vt:variant>
      <vt:variant>
        <vt:i4>5</vt:i4>
      </vt:variant>
      <vt:variant>
        <vt:lpwstr/>
      </vt:variant>
      <vt:variant>
        <vt:lpwstr>_Appendix_5:_Guidance</vt:lpwstr>
      </vt:variant>
      <vt:variant>
        <vt:i4>5963847</vt:i4>
      </vt:variant>
      <vt:variant>
        <vt:i4>486</vt:i4>
      </vt:variant>
      <vt:variant>
        <vt:i4>0</vt:i4>
      </vt:variant>
      <vt:variant>
        <vt:i4>5</vt:i4>
      </vt:variant>
      <vt:variant>
        <vt:lpwstr>https://urldefense.proofpoint.com/v2/url?u=https-3A__saefvic.online_report&amp;d=DwMFaQ&amp;c=JnBkUqWXzx2bz-3a05d47Q&amp;r=Prstbg9FDDpDwrfiVC5_3hkxcuzTzLWe8RCWlj3iF4M&amp;m=oNYP1VPAYmyOgkSydAaKPAAWu3xAeONRn3GAhmmzzCk&amp;s=ba84EnFRi1WH_Ayf00F5LLHEVBOr5KlQEn3JPbqY_Tk&amp;e=</vt:lpwstr>
      </vt:variant>
      <vt:variant>
        <vt:lpwstr/>
      </vt:variant>
      <vt:variant>
        <vt:i4>7209017</vt:i4>
      </vt:variant>
      <vt:variant>
        <vt:i4>483</vt:i4>
      </vt:variant>
      <vt:variant>
        <vt:i4>0</vt:i4>
      </vt:variant>
      <vt:variant>
        <vt:i4>5</vt:i4>
      </vt:variant>
      <vt:variant>
        <vt:lpwstr>http://www.saefvic.org.au/</vt:lpwstr>
      </vt:variant>
      <vt:variant>
        <vt:lpwstr/>
      </vt:variant>
      <vt:variant>
        <vt:i4>4128846</vt:i4>
      </vt:variant>
      <vt:variant>
        <vt:i4>480</vt:i4>
      </vt:variant>
      <vt:variant>
        <vt:i4>0</vt:i4>
      </vt:variant>
      <vt:variant>
        <vt:i4>5</vt:i4>
      </vt:variant>
      <vt:variant>
        <vt:lpwstr/>
      </vt:variant>
      <vt:variant>
        <vt:lpwstr>_Appendix_11:_Factsheet</vt:lpwstr>
      </vt:variant>
      <vt:variant>
        <vt:i4>1310789</vt:i4>
      </vt:variant>
      <vt:variant>
        <vt:i4>477</vt:i4>
      </vt:variant>
      <vt:variant>
        <vt:i4>0</vt:i4>
      </vt:variant>
      <vt:variant>
        <vt:i4>5</vt:i4>
      </vt:variant>
      <vt:variant>
        <vt:lpwstr>https://www.safevac.org.au/Home/Info/VIC</vt:lpwstr>
      </vt:variant>
      <vt:variant>
        <vt:lpwstr/>
      </vt:variant>
      <vt:variant>
        <vt:i4>4128846</vt:i4>
      </vt:variant>
      <vt:variant>
        <vt:i4>474</vt:i4>
      </vt:variant>
      <vt:variant>
        <vt:i4>0</vt:i4>
      </vt:variant>
      <vt:variant>
        <vt:i4>5</vt:i4>
      </vt:variant>
      <vt:variant>
        <vt:lpwstr/>
      </vt:variant>
      <vt:variant>
        <vt:lpwstr>_Appendix_11:_Factsheet</vt:lpwstr>
      </vt:variant>
      <vt:variant>
        <vt:i4>4784200</vt:i4>
      </vt:variant>
      <vt:variant>
        <vt:i4>471</vt:i4>
      </vt:variant>
      <vt:variant>
        <vt:i4>0</vt:i4>
      </vt:variant>
      <vt:variant>
        <vt:i4>5</vt:i4>
      </vt:variant>
      <vt:variant>
        <vt:lpwstr>https://www.bettersafercare.vic.gov.au/clinical-guidance/emergency/anaphylaxis-adults</vt:lpwstr>
      </vt:variant>
      <vt:variant>
        <vt:lpwstr/>
      </vt:variant>
      <vt:variant>
        <vt:i4>3997816</vt:i4>
      </vt:variant>
      <vt:variant>
        <vt:i4>468</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465</vt:i4>
      </vt:variant>
      <vt:variant>
        <vt:i4>0</vt:i4>
      </vt:variant>
      <vt:variant>
        <vt:i4>5</vt:i4>
      </vt:variant>
      <vt:variant>
        <vt:lpwstr>https://immunisationhandbook.health.gov.au/resources/tables/table-recognition-and-treatment-of-anaphylaxis</vt:lpwstr>
      </vt:variant>
      <vt:variant>
        <vt:lpwstr/>
      </vt:variant>
      <vt:variant>
        <vt:i4>7012384</vt:i4>
      </vt:variant>
      <vt:variant>
        <vt:i4>462</vt:i4>
      </vt:variant>
      <vt:variant>
        <vt:i4>0</vt:i4>
      </vt:variant>
      <vt:variant>
        <vt:i4>5</vt:i4>
      </vt:variant>
      <vt:variant>
        <vt:lpwstr>https://immunisationhandbook.health.gov.au/resources/handbook-tables/table-recognition-and-treatment-of-anaphylaxis</vt:lpwstr>
      </vt:variant>
      <vt:variant>
        <vt:lpwstr/>
      </vt:variant>
      <vt:variant>
        <vt:i4>2359304</vt:i4>
      </vt:variant>
      <vt:variant>
        <vt:i4>459</vt:i4>
      </vt:variant>
      <vt:variant>
        <vt:i4>0</vt:i4>
      </vt:variant>
      <vt:variant>
        <vt:i4>5</vt:i4>
      </vt:variant>
      <vt:variant>
        <vt:lpwstr>mailto:immunisation@health.vic.gov.au</vt:lpwstr>
      </vt:variant>
      <vt:variant>
        <vt:lpwstr/>
      </vt:variant>
      <vt:variant>
        <vt:i4>2359304</vt:i4>
      </vt:variant>
      <vt:variant>
        <vt:i4>456</vt:i4>
      </vt:variant>
      <vt:variant>
        <vt:i4>0</vt:i4>
      </vt:variant>
      <vt:variant>
        <vt:i4>5</vt:i4>
      </vt:variant>
      <vt:variant>
        <vt:lpwstr>mailto:immunisation@health.vic.gov.au</vt:lpwstr>
      </vt:variant>
      <vt:variant>
        <vt:lpwstr/>
      </vt:variant>
      <vt:variant>
        <vt:i4>131109</vt:i4>
      </vt:variant>
      <vt:variant>
        <vt:i4>453</vt:i4>
      </vt:variant>
      <vt:variant>
        <vt:i4>0</vt:i4>
      </vt:variant>
      <vt:variant>
        <vt:i4>5</vt:i4>
      </vt:variant>
      <vt:variant>
        <vt:lpwstr/>
      </vt:variant>
      <vt:variant>
        <vt:lpwstr>_Vaccination_against_mpox</vt:lpwstr>
      </vt:variant>
      <vt:variant>
        <vt:i4>7536744</vt:i4>
      </vt:variant>
      <vt:variant>
        <vt:i4>450</vt:i4>
      </vt:variant>
      <vt:variant>
        <vt:i4>0</vt:i4>
      </vt:variant>
      <vt:variant>
        <vt:i4>5</vt:i4>
      </vt:variant>
      <vt:variant>
        <vt:lpwstr>https://www.cdc.gov/poxvirus/mpox/interim-considerations/errors-deviations.html</vt:lpwstr>
      </vt:variant>
      <vt:variant>
        <vt:lpwstr/>
      </vt:variant>
      <vt:variant>
        <vt:i4>7536744</vt:i4>
      </vt:variant>
      <vt:variant>
        <vt:i4>447</vt:i4>
      </vt:variant>
      <vt:variant>
        <vt:i4>0</vt:i4>
      </vt:variant>
      <vt:variant>
        <vt:i4>5</vt:i4>
      </vt:variant>
      <vt:variant>
        <vt:lpwstr>https://www.cdc.gov/poxvirus/mpox/interim-considerations/errors-deviations.html</vt:lpwstr>
      </vt:variant>
      <vt:variant>
        <vt:lpwstr/>
      </vt:variant>
      <vt:variant>
        <vt:i4>2359304</vt:i4>
      </vt:variant>
      <vt:variant>
        <vt:i4>444</vt:i4>
      </vt:variant>
      <vt:variant>
        <vt:i4>0</vt:i4>
      </vt:variant>
      <vt:variant>
        <vt:i4>5</vt:i4>
      </vt:variant>
      <vt:variant>
        <vt:lpwstr>mailto:immunisation@health.vic.gov.au</vt:lpwstr>
      </vt:variant>
      <vt:variant>
        <vt:lpwstr/>
      </vt:variant>
      <vt:variant>
        <vt:i4>7274522</vt:i4>
      </vt:variant>
      <vt:variant>
        <vt:i4>441</vt:i4>
      </vt:variant>
      <vt:variant>
        <vt:i4>0</vt:i4>
      </vt:variant>
      <vt:variant>
        <vt:i4>5</vt:i4>
      </vt:variant>
      <vt:variant>
        <vt:lpwstr>mailto:enquiries@saefvic.org.au</vt:lpwstr>
      </vt:variant>
      <vt:variant>
        <vt:lpwstr/>
      </vt:variant>
      <vt:variant>
        <vt:i4>1310789</vt:i4>
      </vt:variant>
      <vt:variant>
        <vt:i4>438</vt:i4>
      </vt:variant>
      <vt:variant>
        <vt:i4>0</vt:i4>
      </vt:variant>
      <vt:variant>
        <vt:i4>5</vt:i4>
      </vt:variant>
      <vt:variant>
        <vt:lpwstr>https://www.safevac.org.au/Home/Info/VIC</vt:lpwstr>
      </vt:variant>
      <vt:variant>
        <vt:lpwstr/>
      </vt:variant>
      <vt:variant>
        <vt:i4>6357054</vt:i4>
      </vt:variant>
      <vt:variant>
        <vt:i4>435</vt:i4>
      </vt:variant>
      <vt:variant>
        <vt:i4>0</vt:i4>
      </vt:variant>
      <vt:variant>
        <vt:i4>5</vt:i4>
      </vt:variant>
      <vt:variant>
        <vt:lpwstr>https://www.mcri.edu.au/research/research-areas/infection-and-immunity/saefvic</vt:lpwstr>
      </vt:variant>
      <vt:variant>
        <vt:lpwstr/>
      </vt:variant>
      <vt:variant>
        <vt:i4>2162744</vt:i4>
      </vt:variant>
      <vt:variant>
        <vt:i4>432</vt:i4>
      </vt:variant>
      <vt:variant>
        <vt:i4>0</vt:i4>
      </vt:variant>
      <vt:variant>
        <vt:i4>5</vt:i4>
      </vt:variant>
      <vt:variant>
        <vt:lpwstr>https://www.health.gov.au/resources/publications/mpox-monkeypox-information-on-jynneosr-vaccine</vt:lpwstr>
      </vt:variant>
      <vt:variant>
        <vt:lpwstr/>
      </vt:variant>
      <vt:variant>
        <vt:i4>3473512</vt:i4>
      </vt:variant>
      <vt:variant>
        <vt:i4>429</vt:i4>
      </vt:variant>
      <vt:variant>
        <vt:i4>0</vt:i4>
      </vt:variant>
      <vt:variant>
        <vt:i4>5</vt:i4>
      </vt:variant>
      <vt:variant>
        <vt:lpwstr>https://immunisationhandbook.health.gov.au/technical-terms</vt:lpwstr>
      </vt:variant>
      <vt:variant>
        <vt:lpwstr>intradermal-injection</vt:lpwstr>
      </vt:variant>
      <vt:variant>
        <vt:i4>4587520</vt:i4>
      </vt:variant>
      <vt:variant>
        <vt:i4>426</vt:i4>
      </vt:variant>
      <vt:variant>
        <vt:i4>0</vt:i4>
      </vt:variant>
      <vt:variant>
        <vt:i4>5</vt:i4>
      </vt:variant>
      <vt:variant>
        <vt:lpwstr>https://nursekey.com/11-parenteral-administration-intradermal-subcutaneous-and-intramuscular-routes/</vt:lpwstr>
      </vt:variant>
      <vt:variant>
        <vt:lpwstr/>
      </vt:variant>
      <vt:variant>
        <vt:i4>7405684</vt:i4>
      </vt:variant>
      <vt:variant>
        <vt:i4>423</vt:i4>
      </vt:variant>
      <vt:variant>
        <vt:i4>0</vt:i4>
      </vt:variant>
      <vt:variant>
        <vt:i4>5</vt:i4>
      </vt:variant>
      <vt:variant>
        <vt:lpwstr>https://www.cdc.gov/poxvirus/monkeypox/interim-considerations/jynneos-vaccine.html</vt:lpwstr>
      </vt:variant>
      <vt:variant>
        <vt:lpwstr/>
      </vt:variant>
      <vt:variant>
        <vt:i4>3473512</vt:i4>
      </vt:variant>
      <vt:variant>
        <vt:i4>420</vt:i4>
      </vt:variant>
      <vt:variant>
        <vt:i4>0</vt:i4>
      </vt:variant>
      <vt:variant>
        <vt:i4>5</vt:i4>
      </vt:variant>
      <vt:variant>
        <vt:lpwstr>https://immunisationhandbook.health.gov.au/technical-terms</vt:lpwstr>
      </vt:variant>
      <vt:variant>
        <vt:lpwstr>intradermal-injection</vt:lpwstr>
      </vt:variant>
      <vt:variant>
        <vt:i4>4915224</vt:i4>
      </vt:variant>
      <vt:variant>
        <vt:i4>417</vt:i4>
      </vt:variant>
      <vt:variant>
        <vt:i4>0</vt:i4>
      </vt:variant>
      <vt:variant>
        <vt:i4>5</vt:i4>
      </vt:variant>
      <vt:variant>
        <vt:lpwstr>https://www.verywellhealth.com/monkeypox-intradermal-jynneos-vaccine-6455582</vt:lpwstr>
      </vt:variant>
      <vt:variant>
        <vt:lpwstr/>
      </vt:variant>
      <vt:variant>
        <vt:i4>3473434</vt:i4>
      </vt:variant>
      <vt:variant>
        <vt:i4>414</vt:i4>
      </vt:variant>
      <vt:variant>
        <vt:i4>0</vt:i4>
      </vt:variant>
      <vt:variant>
        <vt:i4>5</vt:i4>
      </vt:variant>
      <vt:variant>
        <vt:lpwstr/>
      </vt:variant>
      <vt:variant>
        <vt:lpwstr>_Workforce_requirements_2</vt:lpwstr>
      </vt:variant>
      <vt:variant>
        <vt:i4>7995487</vt:i4>
      </vt:variant>
      <vt:variant>
        <vt:i4>411</vt:i4>
      </vt:variant>
      <vt:variant>
        <vt:i4>0</vt:i4>
      </vt:variant>
      <vt:variant>
        <vt:i4>5</vt:i4>
      </vt:variant>
      <vt:variant>
        <vt:lpwstr/>
      </vt:variant>
      <vt:variant>
        <vt:lpwstr>_Cold_chain_management</vt:lpwstr>
      </vt:variant>
      <vt:variant>
        <vt:i4>1966128</vt:i4>
      </vt:variant>
      <vt:variant>
        <vt:i4>408</vt:i4>
      </vt:variant>
      <vt:variant>
        <vt:i4>0</vt:i4>
      </vt:variant>
      <vt:variant>
        <vt:i4>5</vt:i4>
      </vt:variant>
      <vt:variant>
        <vt:lpwstr/>
      </vt:variant>
      <vt:variant>
        <vt:lpwstr>_Preparation_for_intradermal</vt:lpwstr>
      </vt:variant>
      <vt:variant>
        <vt:i4>3997749</vt:i4>
      </vt:variant>
      <vt:variant>
        <vt:i4>405</vt:i4>
      </vt:variant>
      <vt:variant>
        <vt:i4>0</vt:i4>
      </vt:variant>
      <vt:variant>
        <vt:i4>5</vt:i4>
      </vt:variant>
      <vt:variant>
        <vt:lpwstr/>
      </vt:variant>
      <vt:variant>
        <vt:lpwstr>_Clinical_Guidelines</vt:lpwstr>
      </vt:variant>
      <vt:variant>
        <vt:i4>5701720</vt:i4>
      </vt:variant>
      <vt:variant>
        <vt:i4>402</vt:i4>
      </vt:variant>
      <vt:variant>
        <vt:i4>0</vt:i4>
      </vt:variant>
      <vt:variant>
        <vt:i4>5</vt:i4>
      </vt:variant>
      <vt:variant>
        <vt:lpwstr>https://immunisationhandbook.health.gov.au/contents/vaccination-procedures/administration-of-vaccines</vt:lpwstr>
      </vt:variant>
      <vt:variant>
        <vt:lpwstr/>
      </vt:variant>
      <vt:variant>
        <vt:i4>7667814</vt:i4>
      </vt:variant>
      <vt:variant>
        <vt:i4>399</vt:i4>
      </vt:variant>
      <vt:variant>
        <vt:i4>0</vt:i4>
      </vt:variant>
      <vt:variant>
        <vt:i4>5</vt:i4>
      </vt:variant>
      <vt:variant>
        <vt:lpwstr>https://immunisationhandbook.health.gov.au/node/505</vt:lpwstr>
      </vt:variant>
      <vt:variant>
        <vt:lpwstr/>
      </vt:variant>
      <vt:variant>
        <vt:i4>655378</vt:i4>
      </vt:variant>
      <vt:variant>
        <vt:i4>396</vt:i4>
      </vt:variant>
      <vt:variant>
        <vt:i4>0</vt:i4>
      </vt:variant>
      <vt:variant>
        <vt:i4>5</vt:i4>
      </vt:variant>
      <vt:variant>
        <vt:lpwstr>https://www.cdc.gov/vaccines/hcp/admin/downloads/IM-Injection-adult.pdf</vt:lpwstr>
      </vt:variant>
      <vt:variant>
        <vt:lpwstr>:~:text=%C2%83%20Recommended%20site%3A%20Deltoid%20muscle%20in%20the%20upper,below%20the%20bone%20and%20above%20the%20axillary%20fold%2Farmpit.</vt:lpwstr>
      </vt:variant>
      <vt:variant>
        <vt:i4>1310801</vt:i4>
      </vt:variant>
      <vt:variant>
        <vt:i4>393</vt:i4>
      </vt:variant>
      <vt:variant>
        <vt:i4>0</vt:i4>
      </vt:variant>
      <vt:variant>
        <vt:i4>5</vt:i4>
      </vt:variant>
      <vt:variant>
        <vt:lpwstr>https://immunisationhandbook.health.gov.au/technical-terms</vt:lpwstr>
      </vt:variant>
      <vt:variant>
        <vt:lpwstr>subcutaneous-injection</vt:lpwstr>
      </vt:variant>
      <vt:variant>
        <vt:i4>1310789</vt:i4>
      </vt:variant>
      <vt:variant>
        <vt:i4>390</vt:i4>
      </vt:variant>
      <vt:variant>
        <vt:i4>0</vt:i4>
      </vt:variant>
      <vt:variant>
        <vt:i4>5</vt:i4>
      </vt:variant>
      <vt:variant>
        <vt:lpwstr>https://www.safevac.org.au/Home/Info/VIC</vt:lpwstr>
      </vt:variant>
      <vt:variant>
        <vt:lpwstr/>
      </vt:variant>
      <vt:variant>
        <vt:i4>1835032</vt:i4>
      </vt:variant>
      <vt:variant>
        <vt:i4>387</vt:i4>
      </vt:variant>
      <vt:variant>
        <vt:i4>0</vt:i4>
      </vt:variant>
      <vt:variant>
        <vt:i4>5</vt:i4>
      </vt:variant>
      <vt:variant>
        <vt:lpwstr>https://dhhsvicgovau.sharepoint.com/sites/RHPEMImmunisationUnit-DHHS-GRP/Shared Documents/General/Mpox/Clinical/Victorian Mpox vaccination guidelines/SAEFVIC online report form</vt:lpwstr>
      </vt:variant>
      <vt:variant>
        <vt:lpwstr/>
      </vt:variant>
      <vt:variant>
        <vt:i4>3211285</vt:i4>
      </vt:variant>
      <vt:variant>
        <vt:i4>384</vt:i4>
      </vt:variant>
      <vt:variant>
        <vt:i4>0</vt:i4>
      </vt:variant>
      <vt:variant>
        <vt:i4>5</vt:i4>
      </vt:variant>
      <vt:variant>
        <vt:lpwstr/>
      </vt:variant>
      <vt:variant>
        <vt:lpwstr>_Adverse_Events_Following</vt:lpwstr>
      </vt:variant>
      <vt:variant>
        <vt:i4>8323187</vt:i4>
      </vt:variant>
      <vt:variant>
        <vt:i4>381</vt:i4>
      </vt:variant>
      <vt:variant>
        <vt:i4>0</vt:i4>
      </vt:variant>
      <vt:variant>
        <vt:i4>5</vt:i4>
      </vt:variant>
      <vt:variant>
        <vt:lpwstr>https://www.health.vic.gov.au/immunisation/cold-chain-breach-reporting</vt:lpwstr>
      </vt:variant>
      <vt:variant>
        <vt:lpwstr/>
      </vt:variant>
      <vt:variant>
        <vt:i4>8126549</vt:i4>
      </vt:variant>
      <vt:variant>
        <vt:i4>378</vt:i4>
      </vt:variant>
      <vt:variant>
        <vt:i4>0</vt:i4>
      </vt:variant>
      <vt:variant>
        <vt:i4>5</vt:i4>
      </vt:variant>
      <vt:variant>
        <vt:lpwstr/>
      </vt:variant>
      <vt:variant>
        <vt:lpwstr>_Appendix_3:_Cold</vt:lpwstr>
      </vt:variant>
      <vt:variant>
        <vt:i4>2949168</vt:i4>
      </vt:variant>
      <vt:variant>
        <vt:i4>375</vt:i4>
      </vt:variant>
      <vt:variant>
        <vt:i4>0</vt:i4>
      </vt:variant>
      <vt:variant>
        <vt:i4>5</vt:i4>
      </vt:variant>
      <vt:variant>
        <vt:lpwstr>https://www.onelinkonline.net/</vt:lpwstr>
      </vt:variant>
      <vt:variant>
        <vt:lpwstr/>
      </vt:variant>
      <vt:variant>
        <vt:i4>3211285</vt:i4>
      </vt:variant>
      <vt:variant>
        <vt:i4>372</vt:i4>
      </vt:variant>
      <vt:variant>
        <vt:i4>0</vt:i4>
      </vt:variant>
      <vt:variant>
        <vt:i4>5</vt:i4>
      </vt:variant>
      <vt:variant>
        <vt:lpwstr/>
      </vt:variant>
      <vt:variant>
        <vt:lpwstr>_Adverse_Events_Following</vt:lpwstr>
      </vt:variant>
      <vt:variant>
        <vt:i4>3932215</vt:i4>
      </vt:variant>
      <vt:variant>
        <vt:i4>369</vt:i4>
      </vt:variant>
      <vt:variant>
        <vt:i4>0</vt:i4>
      </vt:variant>
      <vt:variant>
        <vt:i4>5</vt:i4>
      </vt:variant>
      <vt:variant>
        <vt:lpwstr/>
      </vt:variant>
      <vt:variant>
        <vt:lpwstr>_Subcutaneous_administration</vt:lpwstr>
      </vt:variant>
      <vt:variant>
        <vt:i4>6881366</vt:i4>
      </vt:variant>
      <vt:variant>
        <vt:i4>366</vt:i4>
      </vt:variant>
      <vt:variant>
        <vt:i4>0</vt:i4>
      </vt:variant>
      <vt:variant>
        <vt:i4>5</vt:i4>
      </vt:variant>
      <vt:variant>
        <vt:lpwstr/>
      </vt:variant>
      <vt:variant>
        <vt:lpwstr>_People_who_are</vt:lpwstr>
      </vt:variant>
      <vt:variant>
        <vt:i4>3932215</vt:i4>
      </vt:variant>
      <vt:variant>
        <vt:i4>363</vt:i4>
      </vt:variant>
      <vt:variant>
        <vt:i4>0</vt:i4>
      </vt:variant>
      <vt:variant>
        <vt:i4>5</vt:i4>
      </vt:variant>
      <vt:variant>
        <vt:lpwstr/>
      </vt:variant>
      <vt:variant>
        <vt:lpwstr>_Subcutaneous_administration</vt:lpwstr>
      </vt:variant>
      <vt:variant>
        <vt:i4>1245228</vt:i4>
      </vt:variant>
      <vt:variant>
        <vt:i4>360</vt:i4>
      </vt:variant>
      <vt:variant>
        <vt:i4>0</vt:i4>
      </vt:variant>
      <vt:variant>
        <vt:i4>5</vt:i4>
      </vt:variant>
      <vt:variant>
        <vt:lpwstr/>
      </vt:variant>
      <vt:variant>
        <vt:lpwstr>_Schedule</vt:lpwstr>
      </vt:variant>
      <vt:variant>
        <vt:i4>4915324</vt:i4>
      </vt:variant>
      <vt:variant>
        <vt:i4>357</vt:i4>
      </vt:variant>
      <vt:variant>
        <vt:i4>0</vt:i4>
      </vt:variant>
      <vt:variant>
        <vt:i4>5</vt:i4>
      </vt:variant>
      <vt:variant>
        <vt:lpwstr/>
      </vt:variant>
      <vt:variant>
        <vt:lpwstr>_Post_exposure_prophylaxis</vt:lpwstr>
      </vt:variant>
      <vt:variant>
        <vt:i4>524366</vt:i4>
      </vt:variant>
      <vt:variant>
        <vt:i4>354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351</vt:i4>
      </vt:variant>
      <vt:variant>
        <vt:i4>0</vt:i4>
      </vt:variant>
      <vt:variant>
        <vt:i4>5</vt:i4>
      </vt:variant>
      <vt:variant>
        <vt:lpwstr>https://immunisationhandbook.health.gov.au/contents/vaccine-preventable-diseases/mpox-previously-known-as-monkeypox</vt:lpwstr>
      </vt:variant>
      <vt:variant>
        <vt:lpwstr/>
      </vt:variant>
      <vt:variant>
        <vt:i4>4915324</vt:i4>
      </vt:variant>
      <vt:variant>
        <vt:i4>348</vt:i4>
      </vt:variant>
      <vt:variant>
        <vt:i4>0</vt:i4>
      </vt:variant>
      <vt:variant>
        <vt:i4>5</vt:i4>
      </vt:variant>
      <vt:variant>
        <vt:lpwstr/>
      </vt:variant>
      <vt:variant>
        <vt:lpwstr>_Post_exposure_prophylaxis</vt:lpwstr>
      </vt:variant>
      <vt:variant>
        <vt:i4>5898252</vt:i4>
      </vt:variant>
      <vt:variant>
        <vt:i4>345</vt:i4>
      </vt:variant>
      <vt:variant>
        <vt:i4>0</vt:i4>
      </vt:variant>
      <vt:variant>
        <vt:i4>5</vt:i4>
      </vt:variant>
      <vt:variant>
        <vt:lpwstr>https://www.health.vic.gov.au/infectious-diseases/mpox-monkeypox</vt:lpwstr>
      </vt:variant>
      <vt:variant>
        <vt:lpwstr/>
      </vt:variant>
      <vt:variant>
        <vt:i4>8323197</vt:i4>
      </vt:variant>
      <vt:variant>
        <vt:i4>342</vt:i4>
      </vt:variant>
      <vt:variant>
        <vt:i4>0</vt:i4>
      </vt:variant>
      <vt:variant>
        <vt:i4>5</vt:i4>
      </vt:variant>
      <vt:variant>
        <vt:lpwstr>https://immunisationhandbook.health.gov.au/technical-terms</vt:lpwstr>
      </vt:variant>
      <vt:variant>
        <vt:lpwstr>virus</vt:lpwstr>
      </vt:variant>
      <vt:variant>
        <vt:i4>1179703</vt:i4>
      </vt:variant>
      <vt:variant>
        <vt:i4>335</vt:i4>
      </vt:variant>
      <vt:variant>
        <vt:i4>0</vt:i4>
      </vt:variant>
      <vt:variant>
        <vt:i4>5</vt:i4>
      </vt:variant>
      <vt:variant>
        <vt:lpwstr/>
      </vt:variant>
      <vt:variant>
        <vt:lpwstr>_Toc168666832</vt:lpwstr>
      </vt:variant>
      <vt:variant>
        <vt:i4>1179703</vt:i4>
      </vt:variant>
      <vt:variant>
        <vt:i4>329</vt:i4>
      </vt:variant>
      <vt:variant>
        <vt:i4>0</vt:i4>
      </vt:variant>
      <vt:variant>
        <vt:i4>5</vt:i4>
      </vt:variant>
      <vt:variant>
        <vt:lpwstr/>
      </vt:variant>
      <vt:variant>
        <vt:lpwstr>_Toc168666831</vt:lpwstr>
      </vt:variant>
      <vt:variant>
        <vt:i4>1179703</vt:i4>
      </vt:variant>
      <vt:variant>
        <vt:i4>323</vt:i4>
      </vt:variant>
      <vt:variant>
        <vt:i4>0</vt:i4>
      </vt:variant>
      <vt:variant>
        <vt:i4>5</vt:i4>
      </vt:variant>
      <vt:variant>
        <vt:lpwstr/>
      </vt:variant>
      <vt:variant>
        <vt:lpwstr>_Toc168666830</vt:lpwstr>
      </vt:variant>
      <vt:variant>
        <vt:i4>1245239</vt:i4>
      </vt:variant>
      <vt:variant>
        <vt:i4>317</vt:i4>
      </vt:variant>
      <vt:variant>
        <vt:i4>0</vt:i4>
      </vt:variant>
      <vt:variant>
        <vt:i4>5</vt:i4>
      </vt:variant>
      <vt:variant>
        <vt:lpwstr/>
      </vt:variant>
      <vt:variant>
        <vt:lpwstr>_Toc168666829</vt:lpwstr>
      </vt:variant>
      <vt:variant>
        <vt:i4>1245239</vt:i4>
      </vt:variant>
      <vt:variant>
        <vt:i4>311</vt:i4>
      </vt:variant>
      <vt:variant>
        <vt:i4>0</vt:i4>
      </vt:variant>
      <vt:variant>
        <vt:i4>5</vt:i4>
      </vt:variant>
      <vt:variant>
        <vt:lpwstr/>
      </vt:variant>
      <vt:variant>
        <vt:lpwstr>_Toc168666828</vt:lpwstr>
      </vt:variant>
      <vt:variant>
        <vt:i4>1245239</vt:i4>
      </vt:variant>
      <vt:variant>
        <vt:i4>305</vt:i4>
      </vt:variant>
      <vt:variant>
        <vt:i4>0</vt:i4>
      </vt:variant>
      <vt:variant>
        <vt:i4>5</vt:i4>
      </vt:variant>
      <vt:variant>
        <vt:lpwstr/>
      </vt:variant>
      <vt:variant>
        <vt:lpwstr>_Toc168666827</vt:lpwstr>
      </vt:variant>
      <vt:variant>
        <vt:i4>1245239</vt:i4>
      </vt:variant>
      <vt:variant>
        <vt:i4>299</vt:i4>
      </vt:variant>
      <vt:variant>
        <vt:i4>0</vt:i4>
      </vt:variant>
      <vt:variant>
        <vt:i4>5</vt:i4>
      </vt:variant>
      <vt:variant>
        <vt:lpwstr/>
      </vt:variant>
      <vt:variant>
        <vt:lpwstr>_Toc168666826</vt:lpwstr>
      </vt:variant>
      <vt:variant>
        <vt:i4>1245239</vt:i4>
      </vt:variant>
      <vt:variant>
        <vt:i4>293</vt:i4>
      </vt:variant>
      <vt:variant>
        <vt:i4>0</vt:i4>
      </vt:variant>
      <vt:variant>
        <vt:i4>5</vt:i4>
      </vt:variant>
      <vt:variant>
        <vt:lpwstr/>
      </vt:variant>
      <vt:variant>
        <vt:lpwstr>_Toc168666825</vt:lpwstr>
      </vt:variant>
      <vt:variant>
        <vt:i4>1245239</vt:i4>
      </vt:variant>
      <vt:variant>
        <vt:i4>287</vt:i4>
      </vt:variant>
      <vt:variant>
        <vt:i4>0</vt:i4>
      </vt:variant>
      <vt:variant>
        <vt:i4>5</vt:i4>
      </vt:variant>
      <vt:variant>
        <vt:lpwstr/>
      </vt:variant>
      <vt:variant>
        <vt:lpwstr>_Toc168666824</vt:lpwstr>
      </vt:variant>
      <vt:variant>
        <vt:i4>1245239</vt:i4>
      </vt:variant>
      <vt:variant>
        <vt:i4>281</vt:i4>
      </vt:variant>
      <vt:variant>
        <vt:i4>0</vt:i4>
      </vt:variant>
      <vt:variant>
        <vt:i4>5</vt:i4>
      </vt:variant>
      <vt:variant>
        <vt:lpwstr/>
      </vt:variant>
      <vt:variant>
        <vt:lpwstr>_Toc168666823</vt:lpwstr>
      </vt:variant>
      <vt:variant>
        <vt:i4>1245239</vt:i4>
      </vt:variant>
      <vt:variant>
        <vt:i4>275</vt:i4>
      </vt:variant>
      <vt:variant>
        <vt:i4>0</vt:i4>
      </vt:variant>
      <vt:variant>
        <vt:i4>5</vt:i4>
      </vt:variant>
      <vt:variant>
        <vt:lpwstr/>
      </vt:variant>
      <vt:variant>
        <vt:lpwstr>_Toc168666822</vt:lpwstr>
      </vt:variant>
      <vt:variant>
        <vt:i4>1245239</vt:i4>
      </vt:variant>
      <vt:variant>
        <vt:i4>269</vt:i4>
      </vt:variant>
      <vt:variant>
        <vt:i4>0</vt:i4>
      </vt:variant>
      <vt:variant>
        <vt:i4>5</vt:i4>
      </vt:variant>
      <vt:variant>
        <vt:lpwstr/>
      </vt:variant>
      <vt:variant>
        <vt:lpwstr>_Toc168666821</vt:lpwstr>
      </vt:variant>
      <vt:variant>
        <vt:i4>1245239</vt:i4>
      </vt:variant>
      <vt:variant>
        <vt:i4>263</vt:i4>
      </vt:variant>
      <vt:variant>
        <vt:i4>0</vt:i4>
      </vt:variant>
      <vt:variant>
        <vt:i4>5</vt:i4>
      </vt:variant>
      <vt:variant>
        <vt:lpwstr/>
      </vt:variant>
      <vt:variant>
        <vt:lpwstr>_Toc168666820</vt:lpwstr>
      </vt:variant>
      <vt:variant>
        <vt:i4>1048631</vt:i4>
      </vt:variant>
      <vt:variant>
        <vt:i4>257</vt:i4>
      </vt:variant>
      <vt:variant>
        <vt:i4>0</vt:i4>
      </vt:variant>
      <vt:variant>
        <vt:i4>5</vt:i4>
      </vt:variant>
      <vt:variant>
        <vt:lpwstr/>
      </vt:variant>
      <vt:variant>
        <vt:lpwstr>_Toc168666819</vt:lpwstr>
      </vt:variant>
      <vt:variant>
        <vt:i4>1048631</vt:i4>
      </vt:variant>
      <vt:variant>
        <vt:i4>251</vt:i4>
      </vt:variant>
      <vt:variant>
        <vt:i4>0</vt:i4>
      </vt:variant>
      <vt:variant>
        <vt:i4>5</vt:i4>
      </vt:variant>
      <vt:variant>
        <vt:lpwstr/>
      </vt:variant>
      <vt:variant>
        <vt:lpwstr>_Toc168666818</vt:lpwstr>
      </vt:variant>
      <vt:variant>
        <vt:i4>1048631</vt:i4>
      </vt:variant>
      <vt:variant>
        <vt:i4>245</vt:i4>
      </vt:variant>
      <vt:variant>
        <vt:i4>0</vt:i4>
      </vt:variant>
      <vt:variant>
        <vt:i4>5</vt:i4>
      </vt:variant>
      <vt:variant>
        <vt:lpwstr/>
      </vt:variant>
      <vt:variant>
        <vt:lpwstr>_Toc168666817</vt:lpwstr>
      </vt:variant>
      <vt:variant>
        <vt:i4>1048631</vt:i4>
      </vt:variant>
      <vt:variant>
        <vt:i4>239</vt:i4>
      </vt:variant>
      <vt:variant>
        <vt:i4>0</vt:i4>
      </vt:variant>
      <vt:variant>
        <vt:i4>5</vt:i4>
      </vt:variant>
      <vt:variant>
        <vt:lpwstr/>
      </vt:variant>
      <vt:variant>
        <vt:lpwstr>_Toc168666816</vt:lpwstr>
      </vt:variant>
      <vt:variant>
        <vt:i4>1048631</vt:i4>
      </vt:variant>
      <vt:variant>
        <vt:i4>233</vt:i4>
      </vt:variant>
      <vt:variant>
        <vt:i4>0</vt:i4>
      </vt:variant>
      <vt:variant>
        <vt:i4>5</vt:i4>
      </vt:variant>
      <vt:variant>
        <vt:lpwstr/>
      </vt:variant>
      <vt:variant>
        <vt:lpwstr>_Toc168666815</vt:lpwstr>
      </vt:variant>
      <vt:variant>
        <vt:i4>1048631</vt:i4>
      </vt:variant>
      <vt:variant>
        <vt:i4>227</vt:i4>
      </vt:variant>
      <vt:variant>
        <vt:i4>0</vt:i4>
      </vt:variant>
      <vt:variant>
        <vt:i4>5</vt:i4>
      </vt:variant>
      <vt:variant>
        <vt:lpwstr/>
      </vt:variant>
      <vt:variant>
        <vt:lpwstr>_Toc168666814</vt:lpwstr>
      </vt:variant>
      <vt:variant>
        <vt:i4>1048631</vt:i4>
      </vt:variant>
      <vt:variant>
        <vt:i4>221</vt:i4>
      </vt:variant>
      <vt:variant>
        <vt:i4>0</vt:i4>
      </vt:variant>
      <vt:variant>
        <vt:i4>5</vt:i4>
      </vt:variant>
      <vt:variant>
        <vt:lpwstr/>
      </vt:variant>
      <vt:variant>
        <vt:lpwstr>_Toc168666813</vt:lpwstr>
      </vt:variant>
      <vt:variant>
        <vt:i4>1048631</vt:i4>
      </vt:variant>
      <vt:variant>
        <vt:i4>215</vt:i4>
      </vt:variant>
      <vt:variant>
        <vt:i4>0</vt:i4>
      </vt:variant>
      <vt:variant>
        <vt:i4>5</vt:i4>
      </vt:variant>
      <vt:variant>
        <vt:lpwstr/>
      </vt:variant>
      <vt:variant>
        <vt:lpwstr>_Toc168666812</vt:lpwstr>
      </vt:variant>
      <vt:variant>
        <vt:i4>1048631</vt:i4>
      </vt:variant>
      <vt:variant>
        <vt:i4>209</vt:i4>
      </vt:variant>
      <vt:variant>
        <vt:i4>0</vt:i4>
      </vt:variant>
      <vt:variant>
        <vt:i4>5</vt:i4>
      </vt:variant>
      <vt:variant>
        <vt:lpwstr/>
      </vt:variant>
      <vt:variant>
        <vt:lpwstr>_Toc168666811</vt:lpwstr>
      </vt:variant>
      <vt:variant>
        <vt:i4>1048631</vt:i4>
      </vt:variant>
      <vt:variant>
        <vt:i4>203</vt:i4>
      </vt:variant>
      <vt:variant>
        <vt:i4>0</vt:i4>
      </vt:variant>
      <vt:variant>
        <vt:i4>5</vt:i4>
      </vt:variant>
      <vt:variant>
        <vt:lpwstr/>
      </vt:variant>
      <vt:variant>
        <vt:lpwstr>_Toc168666810</vt:lpwstr>
      </vt:variant>
      <vt:variant>
        <vt:i4>1114167</vt:i4>
      </vt:variant>
      <vt:variant>
        <vt:i4>197</vt:i4>
      </vt:variant>
      <vt:variant>
        <vt:i4>0</vt:i4>
      </vt:variant>
      <vt:variant>
        <vt:i4>5</vt:i4>
      </vt:variant>
      <vt:variant>
        <vt:lpwstr/>
      </vt:variant>
      <vt:variant>
        <vt:lpwstr>_Toc168666809</vt:lpwstr>
      </vt:variant>
      <vt:variant>
        <vt:i4>1114167</vt:i4>
      </vt:variant>
      <vt:variant>
        <vt:i4>191</vt:i4>
      </vt:variant>
      <vt:variant>
        <vt:i4>0</vt:i4>
      </vt:variant>
      <vt:variant>
        <vt:i4>5</vt:i4>
      </vt:variant>
      <vt:variant>
        <vt:lpwstr/>
      </vt:variant>
      <vt:variant>
        <vt:lpwstr>_Toc168666808</vt:lpwstr>
      </vt:variant>
      <vt:variant>
        <vt:i4>1114167</vt:i4>
      </vt:variant>
      <vt:variant>
        <vt:i4>185</vt:i4>
      </vt:variant>
      <vt:variant>
        <vt:i4>0</vt:i4>
      </vt:variant>
      <vt:variant>
        <vt:i4>5</vt:i4>
      </vt:variant>
      <vt:variant>
        <vt:lpwstr/>
      </vt:variant>
      <vt:variant>
        <vt:lpwstr>_Toc168666807</vt:lpwstr>
      </vt:variant>
      <vt:variant>
        <vt:i4>1114167</vt:i4>
      </vt:variant>
      <vt:variant>
        <vt:i4>179</vt:i4>
      </vt:variant>
      <vt:variant>
        <vt:i4>0</vt:i4>
      </vt:variant>
      <vt:variant>
        <vt:i4>5</vt:i4>
      </vt:variant>
      <vt:variant>
        <vt:lpwstr/>
      </vt:variant>
      <vt:variant>
        <vt:lpwstr>_Toc168666806</vt:lpwstr>
      </vt:variant>
      <vt:variant>
        <vt:i4>1114167</vt:i4>
      </vt:variant>
      <vt:variant>
        <vt:i4>173</vt:i4>
      </vt:variant>
      <vt:variant>
        <vt:i4>0</vt:i4>
      </vt:variant>
      <vt:variant>
        <vt:i4>5</vt:i4>
      </vt:variant>
      <vt:variant>
        <vt:lpwstr/>
      </vt:variant>
      <vt:variant>
        <vt:lpwstr>_Toc168666805</vt:lpwstr>
      </vt:variant>
      <vt:variant>
        <vt:i4>1114167</vt:i4>
      </vt:variant>
      <vt:variant>
        <vt:i4>167</vt:i4>
      </vt:variant>
      <vt:variant>
        <vt:i4>0</vt:i4>
      </vt:variant>
      <vt:variant>
        <vt:i4>5</vt:i4>
      </vt:variant>
      <vt:variant>
        <vt:lpwstr/>
      </vt:variant>
      <vt:variant>
        <vt:lpwstr>_Toc168666804</vt:lpwstr>
      </vt:variant>
      <vt:variant>
        <vt:i4>1114167</vt:i4>
      </vt:variant>
      <vt:variant>
        <vt:i4>161</vt:i4>
      </vt:variant>
      <vt:variant>
        <vt:i4>0</vt:i4>
      </vt:variant>
      <vt:variant>
        <vt:i4>5</vt:i4>
      </vt:variant>
      <vt:variant>
        <vt:lpwstr/>
      </vt:variant>
      <vt:variant>
        <vt:lpwstr>_Toc168666803</vt:lpwstr>
      </vt:variant>
      <vt:variant>
        <vt:i4>1114167</vt:i4>
      </vt:variant>
      <vt:variant>
        <vt:i4>155</vt:i4>
      </vt:variant>
      <vt:variant>
        <vt:i4>0</vt:i4>
      </vt:variant>
      <vt:variant>
        <vt:i4>5</vt:i4>
      </vt:variant>
      <vt:variant>
        <vt:lpwstr/>
      </vt:variant>
      <vt:variant>
        <vt:lpwstr>_Toc168666802</vt:lpwstr>
      </vt:variant>
      <vt:variant>
        <vt:i4>1114167</vt:i4>
      </vt:variant>
      <vt:variant>
        <vt:i4>149</vt:i4>
      </vt:variant>
      <vt:variant>
        <vt:i4>0</vt:i4>
      </vt:variant>
      <vt:variant>
        <vt:i4>5</vt:i4>
      </vt:variant>
      <vt:variant>
        <vt:lpwstr/>
      </vt:variant>
      <vt:variant>
        <vt:lpwstr>_Toc168666801</vt:lpwstr>
      </vt:variant>
      <vt:variant>
        <vt:i4>1114167</vt:i4>
      </vt:variant>
      <vt:variant>
        <vt:i4>143</vt:i4>
      </vt:variant>
      <vt:variant>
        <vt:i4>0</vt:i4>
      </vt:variant>
      <vt:variant>
        <vt:i4>5</vt:i4>
      </vt:variant>
      <vt:variant>
        <vt:lpwstr/>
      </vt:variant>
      <vt:variant>
        <vt:lpwstr>_Toc168666800</vt:lpwstr>
      </vt:variant>
      <vt:variant>
        <vt:i4>1572920</vt:i4>
      </vt:variant>
      <vt:variant>
        <vt:i4>137</vt:i4>
      </vt:variant>
      <vt:variant>
        <vt:i4>0</vt:i4>
      </vt:variant>
      <vt:variant>
        <vt:i4>5</vt:i4>
      </vt:variant>
      <vt:variant>
        <vt:lpwstr/>
      </vt:variant>
      <vt:variant>
        <vt:lpwstr>_Toc168666799</vt:lpwstr>
      </vt:variant>
      <vt:variant>
        <vt:i4>1572920</vt:i4>
      </vt:variant>
      <vt:variant>
        <vt:i4>131</vt:i4>
      </vt:variant>
      <vt:variant>
        <vt:i4>0</vt:i4>
      </vt:variant>
      <vt:variant>
        <vt:i4>5</vt:i4>
      </vt:variant>
      <vt:variant>
        <vt:lpwstr/>
      </vt:variant>
      <vt:variant>
        <vt:lpwstr>_Toc168666798</vt:lpwstr>
      </vt:variant>
      <vt:variant>
        <vt:i4>1572920</vt:i4>
      </vt:variant>
      <vt:variant>
        <vt:i4>125</vt:i4>
      </vt:variant>
      <vt:variant>
        <vt:i4>0</vt:i4>
      </vt:variant>
      <vt:variant>
        <vt:i4>5</vt:i4>
      </vt:variant>
      <vt:variant>
        <vt:lpwstr/>
      </vt:variant>
      <vt:variant>
        <vt:lpwstr>_Toc168666797</vt:lpwstr>
      </vt:variant>
      <vt:variant>
        <vt:i4>1572920</vt:i4>
      </vt:variant>
      <vt:variant>
        <vt:i4>119</vt:i4>
      </vt:variant>
      <vt:variant>
        <vt:i4>0</vt:i4>
      </vt:variant>
      <vt:variant>
        <vt:i4>5</vt:i4>
      </vt:variant>
      <vt:variant>
        <vt:lpwstr/>
      </vt:variant>
      <vt:variant>
        <vt:lpwstr>_Toc168666796</vt:lpwstr>
      </vt:variant>
      <vt:variant>
        <vt:i4>1572920</vt:i4>
      </vt:variant>
      <vt:variant>
        <vt:i4>113</vt:i4>
      </vt:variant>
      <vt:variant>
        <vt:i4>0</vt:i4>
      </vt:variant>
      <vt:variant>
        <vt:i4>5</vt:i4>
      </vt:variant>
      <vt:variant>
        <vt:lpwstr/>
      </vt:variant>
      <vt:variant>
        <vt:lpwstr>_Toc168666795</vt:lpwstr>
      </vt:variant>
      <vt:variant>
        <vt:i4>1572920</vt:i4>
      </vt:variant>
      <vt:variant>
        <vt:i4>107</vt:i4>
      </vt:variant>
      <vt:variant>
        <vt:i4>0</vt:i4>
      </vt:variant>
      <vt:variant>
        <vt:i4>5</vt:i4>
      </vt:variant>
      <vt:variant>
        <vt:lpwstr/>
      </vt:variant>
      <vt:variant>
        <vt:lpwstr>_Toc168666794</vt:lpwstr>
      </vt:variant>
      <vt:variant>
        <vt:i4>1572920</vt:i4>
      </vt:variant>
      <vt:variant>
        <vt:i4>101</vt:i4>
      </vt:variant>
      <vt:variant>
        <vt:i4>0</vt:i4>
      </vt:variant>
      <vt:variant>
        <vt:i4>5</vt:i4>
      </vt:variant>
      <vt:variant>
        <vt:lpwstr/>
      </vt:variant>
      <vt:variant>
        <vt:lpwstr>_Toc168666793</vt:lpwstr>
      </vt:variant>
      <vt:variant>
        <vt:i4>1572920</vt:i4>
      </vt:variant>
      <vt:variant>
        <vt:i4>95</vt:i4>
      </vt:variant>
      <vt:variant>
        <vt:i4>0</vt:i4>
      </vt:variant>
      <vt:variant>
        <vt:i4>5</vt:i4>
      </vt:variant>
      <vt:variant>
        <vt:lpwstr/>
      </vt:variant>
      <vt:variant>
        <vt:lpwstr>_Toc168666792</vt:lpwstr>
      </vt:variant>
      <vt:variant>
        <vt:i4>1572920</vt:i4>
      </vt:variant>
      <vt:variant>
        <vt:i4>89</vt:i4>
      </vt:variant>
      <vt:variant>
        <vt:i4>0</vt:i4>
      </vt:variant>
      <vt:variant>
        <vt:i4>5</vt:i4>
      </vt:variant>
      <vt:variant>
        <vt:lpwstr/>
      </vt:variant>
      <vt:variant>
        <vt:lpwstr>_Toc168666791</vt:lpwstr>
      </vt:variant>
      <vt:variant>
        <vt:i4>1572920</vt:i4>
      </vt:variant>
      <vt:variant>
        <vt:i4>83</vt:i4>
      </vt:variant>
      <vt:variant>
        <vt:i4>0</vt:i4>
      </vt:variant>
      <vt:variant>
        <vt:i4>5</vt:i4>
      </vt:variant>
      <vt:variant>
        <vt:lpwstr/>
      </vt:variant>
      <vt:variant>
        <vt:lpwstr>_Toc168666790</vt:lpwstr>
      </vt:variant>
      <vt:variant>
        <vt:i4>1638456</vt:i4>
      </vt:variant>
      <vt:variant>
        <vt:i4>77</vt:i4>
      </vt:variant>
      <vt:variant>
        <vt:i4>0</vt:i4>
      </vt:variant>
      <vt:variant>
        <vt:i4>5</vt:i4>
      </vt:variant>
      <vt:variant>
        <vt:lpwstr/>
      </vt:variant>
      <vt:variant>
        <vt:lpwstr>_Toc168666789</vt:lpwstr>
      </vt:variant>
      <vt:variant>
        <vt:i4>1638456</vt:i4>
      </vt:variant>
      <vt:variant>
        <vt:i4>71</vt:i4>
      </vt:variant>
      <vt:variant>
        <vt:i4>0</vt:i4>
      </vt:variant>
      <vt:variant>
        <vt:i4>5</vt:i4>
      </vt:variant>
      <vt:variant>
        <vt:lpwstr/>
      </vt:variant>
      <vt:variant>
        <vt:lpwstr>_Toc168666788</vt:lpwstr>
      </vt:variant>
      <vt:variant>
        <vt:i4>1638456</vt:i4>
      </vt:variant>
      <vt:variant>
        <vt:i4>65</vt:i4>
      </vt:variant>
      <vt:variant>
        <vt:i4>0</vt:i4>
      </vt:variant>
      <vt:variant>
        <vt:i4>5</vt:i4>
      </vt:variant>
      <vt:variant>
        <vt:lpwstr/>
      </vt:variant>
      <vt:variant>
        <vt:lpwstr>_Toc168666787</vt:lpwstr>
      </vt:variant>
      <vt:variant>
        <vt:i4>1638456</vt:i4>
      </vt:variant>
      <vt:variant>
        <vt:i4>59</vt:i4>
      </vt:variant>
      <vt:variant>
        <vt:i4>0</vt:i4>
      </vt:variant>
      <vt:variant>
        <vt:i4>5</vt:i4>
      </vt:variant>
      <vt:variant>
        <vt:lpwstr/>
      </vt:variant>
      <vt:variant>
        <vt:lpwstr>_Toc168666786</vt:lpwstr>
      </vt:variant>
      <vt:variant>
        <vt:i4>1638456</vt:i4>
      </vt:variant>
      <vt:variant>
        <vt:i4>53</vt:i4>
      </vt:variant>
      <vt:variant>
        <vt:i4>0</vt:i4>
      </vt:variant>
      <vt:variant>
        <vt:i4>5</vt:i4>
      </vt:variant>
      <vt:variant>
        <vt:lpwstr/>
      </vt:variant>
      <vt:variant>
        <vt:lpwstr>_Toc168666785</vt:lpwstr>
      </vt:variant>
      <vt:variant>
        <vt:i4>1638456</vt:i4>
      </vt:variant>
      <vt:variant>
        <vt:i4>47</vt:i4>
      </vt:variant>
      <vt:variant>
        <vt:i4>0</vt:i4>
      </vt:variant>
      <vt:variant>
        <vt:i4>5</vt:i4>
      </vt:variant>
      <vt:variant>
        <vt:lpwstr/>
      </vt:variant>
      <vt:variant>
        <vt:lpwstr>_Toc168666784</vt:lpwstr>
      </vt:variant>
      <vt:variant>
        <vt:i4>1638456</vt:i4>
      </vt:variant>
      <vt:variant>
        <vt:i4>41</vt:i4>
      </vt:variant>
      <vt:variant>
        <vt:i4>0</vt:i4>
      </vt:variant>
      <vt:variant>
        <vt:i4>5</vt:i4>
      </vt:variant>
      <vt:variant>
        <vt:lpwstr/>
      </vt:variant>
      <vt:variant>
        <vt:lpwstr>_Toc168666783</vt:lpwstr>
      </vt:variant>
      <vt:variant>
        <vt:i4>1638456</vt:i4>
      </vt:variant>
      <vt:variant>
        <vt:i4>35</vt:i4>
      </vt:variant>
      <vt:variant>
        <vt:i4>0</vt:i4>
      </vt:variant>
      <vt:variant>
        <vt:i4>5</vt:i4>
      </vt:variant>
      <vt:variant>
        <vt:lpwstr/>
      </vt:variant>
      <vt:variant>
        <vt:lpwstr>_Toc168666782</vt:lpwstr>
      </vt:variant>
      <vt:variant>
        <vt:i4>1638456</vt:i4>
      </vt:variant>
      <vt:variant>
        <vt:i4>29</vt:i4>
      </vt:variant>
      <vt:variant>
        <vt:i4>0</vt:i4>
      </vt:variant>
      <vt:variant>
        <vt:i4>5</vt:i4>
      </vt:variant>
      <vt:variant>
        <vt:lpwstr/>
      </vt:variant>
      <vt:variant>
        <vt:lpwstr>_Toc168666781</vt:lpwstr>
      </vt:variant>
      <vt:variant>
        <vt:i4>1638456</vt:i4>
      </vt:variant>
      <vt:variant>
        <vt:i4>23</vt:i4>
      </vt:variant>
      <vt:variant>
        <vt:i4>0</vt:i4>
      </vt:variant>
      <vt:variant>
        <vt:i4>5</vt:i4>
      </vt:variant>
      <vt:variant>
        <vt:lpwstr/>
      </vt:variant>
      <vt:variant>
        <vt:lpwstr>_Toc168666780</vt:lpwstr>
      </vt:variant>
      <vt:variant>
        <vt:i4>1441848</vt:i4>
      </vt:variant>
      <vt:variant>
        <vt:i4>17</vt:i4>
      </vt:variant>
      <vt:variant>
        <vt:i4>0</vt:i4>
      </vt:variant>
      <vt:variant>
        <vt:i4>5</vt:i4>
      </vt:variant>
      <vt:variant>
        <vt:lpwstr/>
      </vt:variant>
      <vt:variant>
        <vt:lpwstr>_Toc168666779</vt:lpwstr>
      </vt:variant>
      <vt:variant>
        <vt:i4>1441848</vt:i4>
      </vt:variant>
      <vt:variant>
        <vt:i4>11</vt:i4>
      </vt:variant>
      <vt:variant>
        <vt:i4>0</vt:i4>
      </vt:variant>
      <vt:variant>
        <vt:i4>5</vt:i4>
      </vt:variant>
      <vt:variant>
        <vt:lpwstr/>
      </vt:variant>
      <vt:variant>
        <vt:lpwstr>_Toc168666778</vt:lpwstr>
      </vt:variant>
      <vt:variant>
        <vt:i4>1441848</vt:i4>
      </vt:variant>
      <vt:variant>
        <vt:i4>5</vt:i4>
      </vt:variant>
      <vt:variant>
        <vt:i4>0</vt:i4>
      </vt:variant>
      <vt:variant>
        <vt:i4>5</vt:i4>
      </vt:variant>
      <vt:variant>
        <vt:lpwstr/>
      </vt:variant>
      <vt:variant>
        <vt:lpwstr>_Toc168666777</vt:lpwstr>
      </vt:variant>
      <vt:variant>
        <vt:i4>1704028</vt:i4>
      </vt:variant>
      <vt:variant>
        <vt:i4>153</vt:i4>
      </vt:variant>
      <vt:variant>
        <vt:i4>0</vt:i4>
      </vt:variant>
      <vt:variant>
        <vt:i4>5</vt:i4>
      </vt:variant>
      <vt:variant>
        <vt:lpwstr>https://www.health.gov.au/resources/publications/national-vaccine-storage-guidelines-strive-for-5</vt:lpwstr>
      </vt:variant>
      <vt:variant>
        <vt:lpwstr/>
      </vt:variant>
      <vt:variant>
        <vt:i4>5374016</vt:i4>
      </vt:variant>
      <vt:variant>
        <vt:i4>150</vt:i4>
      </vt:variant>
      <vt:variant>
        <vt:i4>0</vt:i4>
      </vt:variant>
      <vt:variant>
        <vt:i4>5</vt:i4>
      </vt:variant>
      <vt:variant>
        <vt:lpwstr>https://www.health.vic.gov.au/immunisation/pharmacist-immunisers</vt:lpwstr>
      </vt:variant>
      <vt:variant>
        <vt:lpwstr/>
      </vt:variant>
      <vt:variant>
        <vt:i4>6160394</vt:i4>
      </vt:variant>
      <vt:variant>
        <vt:i4>147</vt:i4>
      </vt:variant>
      <vt:variant>
        <vt:i4>0</vt:i4>
      </vt:variant>
      <vt:variant>
        <vt:i4>5</vt:i4>
      </vt:variant>
      <vt:variant>
        <vt:lpwstr>https://www.health.vic.gov.au/immunisation/nurse-immunisers-requirements-and-responsibilities</vt:lpwstr>
      </vt:variant>
      <vt:variant>
        <vt:lpwstr/>
      </vt:variant>
      <vt:variant>
        <vt:i4>4390979</vt:i4>
      </vt:variant>
      <vt:variant>
        <vt:i4>144</vt:i4>
      </vt:variant>
      <vt:variant>
        <vt:i4>0</vt:i4>
      </vt:variant>
      <vt:variant>
        <vt:i4>5</vt:i4>
      </vt:variant>
      <vt:variant>
        <vt:lpwstr>https://www.health.vic.gov.au/publications/medical-practitioners-key-requirements-in-victoria</vt:lpwstr>
      </vt:variant>
      <vt:variant>
        <vt:lpwstr/>
      </vt:variant>
      <vt:variant>
        <vt:i4>1245208</vt:i4>
      </vt:variant>
      <vt:variant>
        <vt:i4>141</vt:i4>
      </vt:variant>
      <vt:variant>
        <vt:i4>0</vt:i4>
      </vt:variant>
      <vt:variant>
        <vt:i4>5</vt:i4>
      </vt:variant>
      <vt:variant>
        <vt:lpwstr>https://www.health.vic.gov.au/drugs-and-poisons/nurse-practitioners-legislative-requirements</vt:lpwstr>
      </vt:variant>
      <vt:variant>
        <vt:lpwstr/>
      </vt:variant>
      <vt:variant>
        <vt:i4>6094920</vt:i4>
      </vt:variant>
      <vt:variant>
        <vt:i4>138</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135</vt:i4>
      </vt:variant>
      <vt:variant>
        <vt:i4>0</vt:i4>
      </vt:variant>
      <vt:variant>
        <vt:i4>5</vt:i4>
      </vt:variant>
      <vt:variant>
        <vt:lpwstr>https://www.worksafe.vic.gov.au/occupational-health-and-safety-act-and-regulations</vt:lpwstr>
      </vt:variant>
      <vt:variant>
        <vt:lpwstr/>
      </vt:variant>
      <vt:variant>
        <vt:i4>4390988</vt:i4>
      </vt:variant>
      <vt:variant>
        <vt:i4>132</vt:i4>
      </vt:variant>
      <vt:variant>
        <vt:i4>0</vt:i4>
      </vt:variant>
      <vt:variant>
        <vt:i4>5</vt:i4>
      </vt:variant>
      <vt:variant>
        <vt:lpwstr>https://www.legislation.vic.gov.au/in-force/acts/health-records-act-2001/046</vt:lpwstr>
      </vt:variant>
      <vt:variant>
        <vt:lpwstr/>
      </vt:variant>
      <vt:variant>
        <vt:i4>6619173</vt:i4>
      </vt:variant>
      <vt:variant>
        <vt:i4>129</vt:i4>
      </vt:variant>
      <vt:variant>
        <vt:i4>0</vt:i4>
      </vt:variant>
      <vt:variant>
        <vt:i4>5</vt:i4>
      </vt:variant>
      <vt:variant>
        <vt:lpwstr>https://www.racgp.org.au/afp/2011/march/consent-to-medical-treatment-the-mature-minor/</vt:lpwstr>
      </vt:variant>
      <vt:variant>
        <vt:lpwstr/>
      </vt:variant>
      <vt:variant>
        <vt:i4>6291574</vt:i4>
      </vt:variant>
      <vt:variant>
        <vt:i4>126</vt:i4>
      </vt:variant>
      <vt:variant>
        <vt:i4>0</vt:i4>
      </vt:variant>
      <vt:variant>
        <vt:i4>5</vt:i4>
      </vt:variant>
      <vt:variant>
        <vt:lpwstr>https://immunisationhandbook.health.gov.au/</vt:lpwstr>
      </vt:variant>
      <vt:variant>
        <vt:lpwstr/>
      </vt:variant>
      <vt:variant>
        <vt:i4>4653070</vt:i4>
      </vt:variant>
      <vt:variant>
        <vt:i4>123</vt:i4>
      </vt:variant>
      <vt:variant>
        <vt:i4>0</vt:i4>
      </vt:variant>
      <vt:variant>
        <vt:i4>5</vt:i4>
      </vt:variant>
      <vt:variant>
        <vt:lpwstr>https://www.health.gov.au/resources/publications/mpox-monkeypox-consent-form-for-jynneosr-vaccination</vt:lpwstr>
      </vt:variant>
      <vt:variant>
        <vt:lpwstr/>
      </vt:variant>
      <vt:variant>
        <vt:i4>2097190</vt:i4>
      </vt:variant>
      <vt:variant>
        <vt:i4>120</vt:i4>
      </vt:variant>
      <vt:variant>
        <vt:i4>0</vt:i4>
      </vt:variant>
      <vt:variant>
        <vt:i4>5</vt:i4>
      </vt:variant>
      <vt:variant>
        <vt:lpwstr>https://www.mja.com.au/journal/2011/194/1/syncope-and-seizures-following-human-papillomavirus-vaccination-retrospective</vt:lpwstr>
      </vt:variant>
      <vt:variant>
        <vt:lpwstr/>
      </vt:variant>
      <vt:variant>
        <vt:i4>8323121</vt:i4>
      </vt:variant>
      <vt:variant>
        <vt:i4>117</vt:i4>
      </vt:variant>
      <vt:variant>
        <vt:i4>0</vt:i4>
      </vt:variant>
      <vt:variant>
        <vt:i4>5</vt:i4>
      </vt:variant>
      <vt:variant>
        <vt:lpwstr>https://immunisationhandbook.health.gov.au/resources/tables/table-clinical-features-that-may-help-differentiate-between-a-vasovagal-episode-and-anaphylaxis</vt:lpwstr>
      </vt:variant>
      <vt:variant>
        <vt:lpwstr/>
      </vt:variant>
      <vt:variant>
        <vt:i4>4784200</vt:i4>
      </vt:variant>
      <vt:variant>
        <vt:i4>114</vt:i4>
      </vt:variant>
      <vt:variant>
        <vt:i4>0</vt:i4>
      </vt:variant>
      <vt:variant>
        <vt:i4>5</vt:i4>
      </vt:variant>
      <vt:variant>
        <vt:lpwstr>https://www.bettersafercare.vic.gov.au/clinical-guidance/emergency/anaphylaxis-adults</vt:lpwstr>
      </vt:variant>
      <vt:variant>
        <vt:lpwstr/>
      </vt:variant>
      <vt:variant>
        <vt:i4>3997816</vt:i4>
      </vt:variant>
      <vt:variant>
        <vt:i4>111</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108</vt:i4>
      </vt:variant>
      <vt:variant>
        <vt:i4>0</vt:i4>
      </vt:variant>
      <vt:variant>
        <vt:i4>5</vt:i4>
      </vt:variant>
      <vt:variant>
        <vt:lpwstr>https://immunisationhandbook.health.gov.au/resources/tables/table-recognition-and-treatment-of-anaphylaxis</vt:lpwstr>
      </vt:variant>
      <vt:variant>
        <vt:lpwstr/>
      </vt:variant>
      <vt:variant>
        <vt:i4>3997730</vt:i4>
      </vt:variant>
      <vt:variant>
        <vt:i4>105</vt:i4>
      </vt:variant>
      <vt:variant>
        <vt:i4>0</vt:i4>
      </vt:variant>
      <vt:variant>
        <vt:i4>5</vt:i4>
      </vt:variant>
      <vt:variant>
        <vt:lpwstr>https://immunisationhandbook.health.gov.au/resources/tables/table-recognition-and-treatment-of-anaphylaxis</vt:lpwstr>
      </vt:variant>
      <vt:variant>
        <vt:lpwstr/>
      </vt:variant>
      <vt:variant>
        <vt:i4>5701720</vt:i4>
      </vt:variant>
      <vt:variant>
        <vt:i4>102</vt:i4>
      </vt:variant>
      <vt:variant>
        <vt:i4>0</vt:i4>
      </vt:variant>
      <vt:variant>
        <vt:i4>5</vt:i4>
      </vt:variant>
      <vt:variant>
        <vt:lpwstr>https://immunisationhandbook.health.gov.au/contents/vaccination-procedures/administration-of-vaccines</vt:lpwstr>
      </vt:variant>
      <vt:variant>
        <vt:lpwstr/>
      </vt:variant>
      <vt:variant>
        <vt:i4>524366</vt:i4>
      </vt:variant>
      <vt:variant>
        <vt:i4>99</vt:i4>
      </vt:variant>
      <vt:variant>
        <vt:i4>0</vt:i4>
      </vt:variant>
      <vt:variant>
        <vt:i4>5</vt:i4>
      </vt:variant>
      <vt:variant>
        <vt:lpwstr>https://www.health.gov.au/resources/publications/atagi-clinical-guidance-on-vaccination-against-monkeypox?language=en</vt:lpwstr>
      </vt:variant>
      <vt:variant>
        <vt:lpwstr/>
      </vt:variant>
      <vt:variant>
        <vt:i4>7405684</vt:i4>
      </vt:variant>
      <vt:variant>
        <vt:i4>96</vt:i4>
      </vt:variant>
      <vt:variant>
        <vt:i4>0</vt:i4>
      </vt:variant>
      <vt:variant>
        <vt:i4>5</vt:i4>
      </vt:variant>
      <vt:variant>
        <vt:lpwstr>https://www.cdc.gov/poxvirus/monkeypox/interim-considerations/jynneos-vaccine.html</vt:lpwstr>
      </vt:variant>
      <vt:variant>
        <vt:lpwstr/>
      </vt:variant>
      <vt:variant>
        <vt:i4>7405684</vt:i4>
      </vt:variant>
      <vt:variant>
        <vt:i4>93</vt:i4>
      </vt:variant>
      <vt:variant>
        <vt:i4>0</vt:i4>
      </vt:variant>
      <vt:variant>
        <vt:i4>5</vt:i4>
      </vt:variant>
      <vt:variant>
        <vt:lpwstr>https://www.cdc.gov/poxvirus/monkeypox/interim-considerations/jynneos-vaccine.html</vt:lpwstr>
      </vt:variant>
      <vt:variant>
        <vt:lpwstr/>
      </vt:variant>
      <vt:variant>
        <vt:i4>5701720</vt:i4>
      </vt:variant>
      <vt:variant>
        <vt:i4>90</vt:i4>
      </vt:variant>
      <vt:variant>
        <vt:i4>0</vt:i4>
      </vt:variant>
      <vt:variant>
        <vt:i4>5</vt:i4>
      </vt:variant>
      <vt:variant>
        <vt:lpwstr>https://immunisationhandbook.health.gov.au/contents/vaccination-procedures/administration-of-vaccines</vt:lpwstr>
      </vt:variant>
      <vt:variant>
        <vt:lpwstr/>
      </vt:variant>
      <vt:variant>
        <vt:i4>7405684</vt:i4>
      </vt:variant>
      <vt:variant>
        <vt:i4>87</vt:i4>
      </vt:variant>
      <vt:variant>
        <vt:i4>0</vt:i4>
      </vt:variant>
      <vt:variant>
        <vt:i4>5</vt:i4>
      </vt:variant>
      <vt:variant>
        <vt:lpwstr>https://www.cdc.gov/poxvirus/monkeypox/interim-considerations/jynneos-vaccine.html</vt:lpwstr>
      </vt:variant>
      <vt:variant>
        <vt:lpwstr/>
      </vt:variant>
      <vt:variant>
        <vt:i4>524366</vt:i4>
      </vt:variant>
      <vt:variant>
        <vt:i4>84</vt:i4>
      </vt:variant>
      <vt:variant>
        <vt:i4>0</vt:i4>
      </vt:variant>
      <vt:variant>
        <vt:i4>5</vt:i4>
      </vt:variant>
      <vt:variant>
        <vt:lpwstr>https://www.health.gov.au/resources/publications/atagi-clinical-guidance-on-vaccination-against-monkeypox?language=en</vt:lpwstr>
      </vt:variant>
      <vt:variant>
        <vt:lpwstr/>
      </vt:variant>
      <vt:variant>
        <vt:i4>1507414</vt:i4>
      </vt:variant>
      <vt:variant>
        <vt:i4>81</vt:i4>
      </vt:variant>
      <vt:variant>
        <vt:i4>0</vt:i4>
      </vt:variant>
      <vt:variant>
        <vt:i4>5</vt:i4>
      </vt:variant>
      <vt:variant>
        <vt:lpwstr>https://www.health.gov.au/sites/default/files/2024-01/atagi-guidance-on-the-use-of-multi-dose-vials-for-covid-19-vaccination.pdf</vt:lpwstr>
      </vt:variant>
      <vt:variant>
        <vt:lpwstr/>
      </vt:variant>
      <vt:variant>
        <vt:i4>5701720</vt:i4>
      </vt:variant>
      <vt:variant>
        <vt:i4>78</vt:i4>
      </vt:variant>
      <vt:variant>
        <vt:i4>0</vt:i4>
      </vt:variant>
      <vt:variant>
        <vt:i4>5</vt:i4>
      </vt:variant>
      <vt:variant>
        <vt:lpwstr>https://immunisationhandbook.health.gov.au/contents/vaccination-procedures/administration-of-vaccines</vt:lpwstr>
      </vt:variant>
      <vt:variant>
        <vt:lpwstr/>
      </vt:variant>
      <vt:variant>
        <vt:i4>1704028</vt:i4>
      </vt:variant>
      <vt:variant>
        <vt:i4>75</vt:i4>
      </vt:variant>
      <vt:variant>
        <vt:i4>0</vt:i4>
      </vt:variant>
      <vt:variant>
        <vt:i4>5</vt:i4>
      </vt:variant>
      <vt:variant>
        <vt:lpwstr>https://www.health.gov.au/resources/publications/national-vaccine-storage-guidelines-strive-for-5</vt:lpwstr>
      </vt:variant>
      <vt:variant>
        <vt:lpwstr/>
      </vt:variant>
      <vt:variant>
        <vt:i4>8192047</vt:i4>
      </vt:variant>
      <vt:variant>
        <vt:i4>72</vt:i4>
      </vt:variant>
      <vt:variant>
        <vt:i4>0</vt:i4>
      </vt:variant>
      <vt:variant>
        <vt:i4>5</vt:i4>
      </vt:variant>
      <vt:variant>
        <vt:lpwstr>https://immunisationhandbook.health.gov.au/contents/vaccination-procedures</vt:lpwstr>
      </vt:variant>
      <vt:variant>
        <vt:lpwstr/>
      </vt:variant>
      <vt:variant>
        <vt:i4>3014760</vt:i4>
      </vt:variant>
      <vt:variant>
        <vt:i4>69</vt:i4>
      </vt:variant>
      <vt:variant>
        <vt:i4>0</vt:i4>
      </vt:variant>
      <vt:variant>
        <vt:i4>5</vt:i4>
      </vt:variant>
      <vt:variant>
        <vt:lpwstr>https://immunisationhandbook.health.gov.au/contents/vaccine-preventable-diseases/mpox-previously-known-as-monkeypox</vt:lpwstr>
      </vt:variant>
      <vt:variant>
        <vt:lpwstr/>
      </vt:variant>
      <vt:variant>
        <vt:i4>2424934</vt:i4>
      </vt:variant>
      <vt:variant>
        <vt:i4>66</vt:i4>
      </vt:variant>
      <vt:variant>
        <vt:i4>0</vt:i4>
      </vt:variant>
      <vt:variant>
        <vt:i4>5</vt:i4>
      </vt:variant>
      <vt:variant>
        <vt:lpwstr>https://www.epa.vic.gov.au/about-epa/publications/iwrg612-1</vt:lpwstr>
      </vt:variant>
      <vt:variant>
        <vt:lpwstr/>
      </vt:variant>
      <vt:variant>
        <vt:i4>6357026</vt:i4>
      </vt:variant>
      <vt:variant>
        <vt:i4>63</vt:i4>
      </vt:variant>
      <vt:variant>
        <vt:i4>0</vt:i4>
      </vt:variant>
      <vt:variant>
        <vt:i4>5</vt:i4>
      </vt:variant>
      <vt:variant>
        <vt:lpwstr>https://www.health.vic.gov.au/publications/clinical-and-related-waste-guidance-supplement-for-healthcare-staff</vt:lpwstr>
      </vt:variant>
      <vt:variant>
        <vt:lpwstr/>
      </vt:variant>
      <vt:variant>
        <vt:i4>6488168</vt:i4>
      </vt:variant>
      <vt:variant>
        <vt:i4>60</vt:i4>
      </vt:variant>
      <vt:variant>
        <vt:i4>0</vt:i4>
      </vt:variant>
      <vt:variant>
        <vt:i4>5</vt:i4>
      </vt:variant>
      <vt:variant>
        <vt:lpwstr>https://www.health.vic.gov.au/covid-19-infection-prevention-control-guidelines/standard-and-transmission-based-precautions</vt:lpwstr>
      </vt:variant>
      <vt:variant>
        <vt:lpwstr/>
      </vt:variant>
      <vt:variant>
        <vt:i4>7274596</vt:i4>
      </vt:variant>
      <vt:variant>
        <vt:i4>57</vt:i4>
      </vt:variant>
      <vt:variant>
        <vt:i4>0</vt:i4>
      </vt:variant>
      <vt:variant>
        <vt:i4>5</vt:i4>
      </vt:variant>
      <vt:variant>
        <vt:lpwstr>https://www.health.gov.au/resources/publications/iceg-interim-guidance-on-monkeypox-for-health-workers</vt:lpwstr>
      </vt:variant>
      <vt:variant>
        <vt:lpwstr/>
      </vt:variant>
      <vt:variant>
        <vt:i4>4784129</vt:i4>
      </vt:variant>
      <vt:variant>
        <vt:i4>54</vt:i4>
      </vt:variant>
      <vt:variant>
        <vt:i4>0</vt:i4>
      </vt:variant>
      <vt:variant>
        <vt:i4>5</vt:i4>
      </vt:variant>
      <vt:variant>
        <vt:lpwstr>https://www.health.vic.gov.au/covid-19-infection-prevention-control-guidelines/personal-protective-equipment-ppe</vt:lpwstr>
      </vt:variant>
      <vt:variant>
        <vt:lpwstr/>
      </vt:variant>
      <vt:variant>
        <vt:i4>5636122</vt:i4>
      </vt:variant>
      <vt:variant>
        <vt:i4>51</vt:i4>
      </vt:variant>
      <vt:variant>
        <vt:i4>0</vt:i4>
      </vt:variant>
      <vt:variant>
        <vt:i4>5</vt:i4>
      </vt:variant>
      <vt:variant>
        <vt:lpwstr>https://www.safetyandquality.gov.au/our-work/infection-prevention-and-control/national-hand-hygiene-initiative/materials-support-improved-hand-hygiene-australia-nhhi</vt:lpwstr>
      </vt:variant>
      <vt:variant>
        <vt:lpwstr/>
      </vt:variant>
      <vt:variant>
        <vt:i4>6094920</vt:i4>
      </vt:variant>
      <vt:variant>
        <vt:i4>48</vt:i4>
      </vt:variant>
      <vt:variant>
        <vt:i4>0</vt:i4>
      </vt:variant>
      <vt:variant>
        <vt:i4>5</vt:i4>
      </vt:variant>
      <vt:variant>
        <vt:lpwstr>https://www.nhmrc.gov.au/about-us/publications/australian-guidelines-prevention-and-control-infection-healthcare-2019</vt:lpwstr>
      </vt:variant>
      <vt:variant>
        <vt:lpwstr/>
      </vt:variant>
      <vt:variant>
        <vt:i4>1704028</vt:i4>
      </vt:variant>
      <vt:variant>
        <vt:i4>45</vt:i4>
      </vt:variant>
      <vt:variant>
        <vt:i4>0</vt:i4>
      </vt:variant>
      <vt:variant>
        <vt:i4>5</vt:i4>
      </vt:variant>
      <vt:variant>
        <vt:lpwstr>https://www.health.gov.au/resources/publications/national-vaccine-storage-guidelines-strive-for-5</vt:lpwstr>
      </vt:variant>
      <vt:variant>
        <vt:lpwstr/>
      </vt:variant>
      <vt:variant>
        <vt:i4>524366</vt:i4>
      </vt:variant>
      <vt:variant>
        <vt:i4>42</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39</vt:i4>
      </vt:variant>
      <vt:variant>
        <vt:i4>0</vt:i4>
      </vt:variant>
      <vt:variant>
        <vt:i4>5</vt:i4>
      </vt:variant>
      <vt:variant>
        <vt:lpwstr>https://immunisationhandbook.health.gov.au/contents/vaccine-preventable-diseases/mpox-previously-known-as-monkeypox</vt:lpwstr>
      </vt:variant>
      <vt:variant>
        <vt:lpwstr/>
      </vt:variant>
      <vt:variant>
        <vt:i4>2949244</vt:i4>
      </vt:variant>
      <vt:variant>
        <vt:i4>36</vt:i4>
      </vt:variant>
      <vt:variant>
        <vt:i4>0</vt:i4>
      </vt:variant>
      <vt:variant>
        <vt:i4>5</vt:i4>
      </vt:variant>
      <vt:variant>
        <vt:lpwstr>https://ausvaxsafety.org.au/vaccine-safety-data/mpox-monkeypox-vaccine</vt:lpwstr>
      </vt:variant>
      <vt:variant>
        <vt:lpwstr/>
      </vt:variant>
      <vt:variant>
        <vt:i4>524366</vt:i4>
      </vt:variant>
      <vt:variant>
        <vt:i4>33</vt:i4>
      </vt:variant>
      <vt:variant>
        <vt:i4>0</vt:i4>
      </vt:variant>
      <vt:variant>
        <vt:i4>5</vt:i4>
      </vt:variant>
      <vt:variant>
        <vt:lpwstr>https://www.health.gov.au/resources/publications/atagi-clinical-guidance-on-vaccination-against-monkeypox?language=en</vt:lpwstr>
      </vt:variant>
      <vt:variant>
        <vt:lpwstr/>
      </vt:variant>
      <vt:variant>
        <vt:i4>7274546</vt:i4>
      </vt:variant>
      <vt:variant>
        <vt:i4>30</vt:i4>
      </vt:variant>
      <vt:variant>
        <vt:i4>0</vt:i4>
      </vt:variant>
      <vt:variant>
        <vt:i4>5</vt:i4>
      </vt:variant>
      <vt:variant>
        <vt:lpwstr>https://www.sciencedirect.com/science/article/pii/S0264410X15008762</vt:lpwstr>
      </vt:variant>
      <vt:variant>
        <vt:lpwstr/>
      </vt:variant>
      <vt:variant>
        <vt:i4>3014760</vt:i4>
      </vt:variant>
      <vt:variant>
        <vt:i4>27</vt:i4>
      </vt:variant>
      <vt:variant>
        <vt:i4>0</vt:i4>
      </vt:variant>
      <vt:variant>
        <vt:i4>5</vt:i4>
      </vt:variant>
      <vt:variant>
        <vt:lpwstr>https://immunisationhandbook.health.gov.au/contents/vaccine-preventable-diseases/mpox-previously-known-as-monkeypox</vt:lpwstr>
      </vt:variant>
      <vt:variant>
        <vt:lpwstr/>
      </vt:variant>
      <vt:variant>
        <vt:i4>524366</vt:i4>
      </vt:variant>
      <vt:variant>
        <vt:i4>24</vt:i4>
      </vt:variant>
      <vt:variant>
        <vt:i4>0</vt:i4>
      </vt:variant>
      <vt:variant>
        <vt:i4>5</vt:i4>
      </vt:variant>
      <vt:variant>
        <vt:lpwstr>https://www.health.gov.au/resources/publications/atagi-clinical-guidance-on-vaccination-against-monkeypox?language=en</vt:lpwstr>
      </vt:variant>
      <vt:variant>
        <vt:lpwstr/>
      </vt:variant>
      <vt:variant>
        <vt:i4>3014760</vt:i4>
      </vt:variant>
      <vt:variant>
        <vt:i4>21</vt:i4>
      </vt:variant>
      <vt:variant>
        <vt:i4>0</vt:i4>
      </vt:variant>
      <vt:variant>
        <vt:i4>5</vt:i4>
      </vt:variant>
      <vt:variant>
        <vt:lpwstr>https://immunisationhandbook.health.gov.au/contents/vaccine-preventable-diseases/mpox-previously-known-as-monkeypox</vt:lpwstr>
      </vt:variant>
      <vt:variant>
        <vt:lpwstr/>
      </vt:variant>
      <vt:variant>
        <vt:i4>3014760</vt:i4>
      </vt:variant>
      <vt:variant>
        <vt:i4>18</vt:i4>
      </vt:variant>
      <vt:variant>
        <vt:i4>0</vt:i4>
      </vt:variant>
      <vt:variant>
        <vt:i4>5</vt:i4>
      </vt:variant>
      <vt:variant>
        <vt:lpwstr>https://immunisationhandbook.health.gov.au/contents/vaccine-preventable-diseases/mpox-previously-known-as-monkeypox</vt:lpwstr>
      </vt:variant>
      <vt:variant>
        <vt:lpwstr/>
      </vt:variant>
      <vt:variant>
        <vt:i4>7274596</vt:i4>
      </vt:variant>
      <vt:variant>
        <vt:i4>15</vt:i4>
      </vt:variant>
      <vt:variant>
        <vt:i4>0</vt:i4>
      </vt:variant>
      <vt:variant>
        <vt:i4>5</vt:i4>
      </vt:variant>
      <vt:variant>
        <vt:lpwstr>https://www.health.gov.au/resources/publications/iceg-interim-guidance-on-monkeypox-for-health-workers</vt:lpwstr>
      </vt:variant>
      <vt:variant>
        <vt:lpwstr/>
      </vt:variant>
      <vt:variant>
        <vt:i4>3014760</vt:i4>
      </vt:variant>
      <vt:variant>
        <vt:i4>12</vt:i4>
      </vt:variant>
      <vt:variant>
        <vt:i4>0</vt:i4>
      </vt:variant>
      <vt:variant>
        <vt:i4>5</vt:i4>
      </vt:variant>
      <vt:variant>
        <vt:lpwstr>https://immunisationhandbook.health.gov.au/contents/vaccine-preventable-diseases/mpox-previously-known-as-monkeypox</vt:lpwstr>
      </vt:variant>
      <vt:variant>
        <vt:lpwstr/>
      </vt:variant>
      <vt:variant>
        <vt:i4>5898252</vt:i4>
      </vt:variant>
      <vt:variant>
        <vt:i4>9</vt:i4>
      </vt:variant>
      <vt:variant>
        <vt:i4>0</vt:i4>
      </vt:variant>
      <vt:variant>
        <vt:i4>5</vt:i4>
      </vt:variant>
      <vt:variant>
        <vt:lpwstr>https://www.health.vic.gov.au/infectious-diseases/mpox-monkeypox</vt:lpwstr>
      </vt:variant>
      <vt:variant>
        <vt:lpwstr/>
      </vt:variant>
      <vt:variant>
        <vt:i4>3014760</vt:i4>
      </vt:variant>
      <vt:variant>
        <vt:i4>6</vt:i4>
      </vt:variant>
      <vt:variant>
        <vt:i4>0</vt:i4>
      </vt:variant>
      <vt:variant>
        <vt:i4>5</vt:i4>
      </vt:variant>
      <vt:variant>
        <vt:lpwstr>https://immunisationhandbook.health.gov.au/contents/vaccine-preventable-diseases/mpox-previously-known-as-monkeypox</vt:lpwstr>
      </vt:variant>
      <vt:variant>
        <vt:lpwstr/>
      </vt:variant>
      <vt:variant>
        <vt:i4>1441876</vt:i4>
      </vt:variant>
      <vt:variant>
        <vt:i4>3</vt:i4>
      </vt:variant>
      <vt:variant>
        <vt:i4>0</vt:i4>
      </vt:variant>
      <vt:variant>
        <vt:i4>5</vt:i4>
      </vt:variant>
      <vt:variant>
        <vt:lpwstr>https://www.health.gov.au/diseases/monkeypox-mpox</vt:lpwstr>
      </vt:variant>
      <vt:variant>
        <vt:lpwstr/>
      </vt:variant>
      <vt:variant>
        <vt:i4>524366</vt:i4>
      </vt:variant>
      <vt:variant>
        <vt:i4>0</vt:i4>
      </vt:variant>
      <vt:variant>
        <vt:i4>0</vt:i4>
      </vt:variant>
      <vt:variant>
        <vt:i4>5</vt:i4>
      </vt:variant>
      <vt:variant>
        <vt:lpwstr>https://www.health.gov.au/resources/publications/atagi-clinical-guidance-on-vaccination-against-monkeypox?language=en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Monkeypox Vaccination Program - Guidelines</dc:title>
  <dc:subject>Guidelines</dc:subject>
  <cp:keywords>monkeypox guidelines 2022 health</cp:keywords>
  <dc:description>New versions of the Victorian Monkeypox Vaccination Guidelines are published online every Friday on the health website.</dc:description>
  <cp:lastPrinted>2022-09-04T00:00:00Z</cp:lastPrinted>
  <dcterms:created xsi:type="dcterms:W3CDTF">2024-10-03T22:47:00Z</dcterms:created>
  <dcterms:modified xsi:type="dcterms:W3CDTF">2024-10-04T00:30:00Z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Order">
    <vt:r8>2600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Report</vt:lpwstr>
  </property>
  <property fmtid="{D5CDD505-2E9C-101B-9397-08002B2CF9AE}" pid="11" name="xd_Signature">
    <vt:bool>false</vt:bool>
  </property>
  <property fmtid="{D5CDD505-2E9C-101B-9397-08002B2CF9AE}" pid="12" name="WebPage">
    <vt:lpwstr>https://dhhsvicgovau.sharepoint.com/:w:/s/health/EWmWjOmc-SlCo2qcM7Tx-ScB4ZXIGinpw6CjjKeGhlPn9A, https://dhhsvicgovau.sharepoint.com/:w:/s/health/EWmWjOmc-SlCo2qcM7Tx-ScB4ZXIGinpw6CjjKeGhlPn9A</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Tags">
    <vt:lpwstr>17;#Templates|74cf097d-f69e-47d4-ab23-b0e64f517102</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2023-08-22T01:54:59Z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10bc3ca8-12cf-4d5e-b81c-395089d88276</vt:lpwstr>
  </property>
  <property fmtid="{D5CDD505-2E9C-101B-9397-08002B2CF9AE}" pid="24" name="MSIP_Label_43e64453-338c-4f93-8a4d-0039a0a41f2a_ContentBits">
    <vt:lpwstr>2</vt:lpwstr>
  </property>
  <property fmtid="{D5CDD505-2E9C-101B-9397-08002B2CF9AE}" pid="25" name="GrammarlyDocumentId">
    <vt:lpwstr>7cced329da4bb4177d8cd1529b5df95ce0e459832811f0207355f3087cdeb8f5</vt:lpwstr>
  </property>
</Properties>
</file>