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604D2" w14:textId="77777777" w:rsidR="00056EC4" w:rsidRPr="00910FE5" w:rsidRDefault="00E9042A" w:rsidP="00071665">
      <w:pPr>
        <w:pStyle w:val="Body"/>
      </w:pPr>
      <w:bookmarkStart w:id="0" w:name="_Toc177395935"/>
      <w:r w:rsidRPr="00910FE5">
        <w:rPr>
          <w:noProof/>
        </w:rPr>
        <w:drawing>
          <wp:anchor distT="0" distB="0" distL="114300" distR="114300" simplePos="0" relativeHeight="251658240" behindDoc="1" locked="1" layoutInCell="1" allowOverlap="0" wp14:anchorId="10E5B965" wp14:editId="58060878">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pPr w:leftFromText="180" w:rightFromText="180" w:horzAnchor="margin" w:tblpY="411"/>
        <w:tblW w:w="9299" w:type="dxa"/>
        <w:tblLook w:val="04A0" w:firstRow="1" w:lastRow="0" w:firstColumn="1" w:lastColumn="0" w:noHBand="0" w:noVBand="1"/>
      </w:tblPr>
      <w:tblGrid>
        <w:gridCol w:w="9299"/>
      </w:tblGrid>
      <w:tr w:rsidR="00AD784C" w:rsidRPr="00910FE5" w14:paraId="4CDBECB0" w14:textId="77777777" w:rsidTr="00DC7D72">
        <w:tc>
          <w:tcPr>
            <w:tcW w:w="0" w:type="auto"/>
          </w:tcPr>
          <w:p w14:paraId="3AE3B678" w14:textId="4A4D6570" w:rsidR="00AD784C" w:rsidRPr="00910FE5" w:rsidRDefault="007F7D05" w:rsidP="00071665">
            <w:pPr>
              <w:pStyle w:val="Documenttitle"/>
              <w:rPr>
                <w:rFonts w:cs="Arial"/>
              </w:rPr>
            </w:pPr>
            <w:r w:rsidRPr="00910FE5">
              <w:rPr>
                <w:rFonts w:cs="Arial"/>
              </w:rPr>
              <w:t>White paper: On the principles of mental health risk assessment</w:t>
            </w:r>
          </w:p>
        </w:tc>
      </w:tr>
      <w:tr w:rsidR="00AD784C" w:rsidRPr="00910FE5" w14:paraId="174F67DF" w14:textId="77777777" w:rsidTr="00DC7D72">
        <w:tc>
          <w:tcPr>
            <w:tcW w:w="0" w:type="auto"/>
          </w:tcPr>
          <w:p w14:paraId="2C1406A3" w14:textId="6595A74D" w:rsidR="00386109" w:rsidRPr="00910FE5" w:rsidRDefault="007F7D05" w:rsidP="00071665">
            <w:pPr>
              <w:pStyle w:val="Documentsubtitle"/>
              <w:rPr>
                <w:rFonts w:cs="Arial"/>
              </w:rPr>
            </w:pPr>
            <w:r w:rsidRPr="00910FE5">
              <w:rPr>
                <w:rFonts w:cs="Arial"/>
              </w:rPr>
              <w:t>Office of the Chief Psychiatrist</w:t>
            </w:r>
          </w:p>
        </w:tc>
      </w:tr>
      <w:tr w:rsidR="00430393" w:rsidRPr="00910FE5" w14:paraId="17ABFE1D" w14:textId="77777777" w:rsidTr="00DC7D72">
        <w:tc>
          <w:tcPr>
            <w:tcW w:w="0" w:type="auto"/>
          </w:tcPr>
          <w:p w14:paraId="5C508285" w14:textId="77777777" w:rsidR="00430393" w:rsidRPr="00910FE5" w:rsidRDefault="00A32CC7" w:rsidP="00071665">
            <w:pPr>
              <w:pStyle w:val="Bannermarking"/>
              <w:rPr>
                <w:rFonts w:cs="Arial"/>
              </w:rPr>
            </w:pPr>
            <w:r w:rsidRPr="00910FE5">
              <w:rPr>
                <w:rFonts w:cs="Arial"/>
              </w:rPr>
              <w:fldChar w:fldCharType="begin"/>
            </w:r>
            <w:r w:rsidRPr="00910FE5">
              <w:rPr>
                <w:rFonts w:cs="Arial"/>
              </w:rPr>
              <w:instrText xml:space="preserve"> FILLIN  "Type the protective marking" \d OFFICIAL \o  \* MERGEFORMAT </w:instrText>
            </w:r>
            <w:r w:rsidRPr="00910FE5">
              <w:rPr>
                <w:rFonts w:cs="Arial"/>
              </w:rPr>
              <w:fldChar w:fldCharType="separate"/>
            </w:r>
            <w:r w:rsidR="007F7D05" w:rsidRPr="00910FE5">
              <w:rPr>
                <w:rFonts w:cs="Arial"/>
              </w:rPr>
              <w:t>OFFICIAL</w:t>
            </w:r>
            <w:r w:rsidRPr="00910FE5">
              <w:rPr>
                <w:rFonts w:cs="Arial"/>
              </w:rPr>
              <w:fldChar w:fldCharType="end"/>
            </w:r>
          </w:p>
        </w:tc>
      </w:tr>
    </w:tbl>
    <w:p w14:paraId="6FFF6178" w14:textId="77777777" w:rsidR="00071665" w:rsidRDefault="00071665" w:rsidP="00FE4081">
      <w:pPr>
        <w:pStyle w:val="Body"/>
        <w:rPr>
          <w:rFonts w:cs="Arial"/>
        </w:rPr>
      </w:pPr>
    </w:p>
    <w:p w14:paraId="0A777030" w14:textId="77777777" w:rsidR="00071665" w:rsidRPr="00910FE5" w:rsidRDefault="00071665" w:rsidP="00FE4081">
      <w:pPr>
        <w:pStyle w:val="Body"/>
        <w:rPr>
          <w:rFonts w:cs="Arial"/>
        </w:rPr>
        <w:sectPr w:rsidR="00071665" w:rsidRPr="00910FE5"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673AF1C" w14:textId="77777777" w:rsidR="009F2182" w:rsidRPr="00910FE5" w:rsidRDefault="009F2182" w:rsidP="009F2182">
      <w:pPr>
        <w:pStyle w:val="Body"/>
        <w:rPr>
          <w:rFonts w:cs="Arial"/>
        </w:rPr>
      </w:pPr>
    </w:p>
    <w:tbl>
      <w:tblPr>
        <w:tblW w:w="0" w:type="auto"/>
        <w:tblLook w:val="04A0" w:firstRow="1" w:lastRow="0" w:firstColumn="1" w:lastColumn="0" w:noHBand="0" w:noVBand="1"/>
      </w:tblPr>
      <w:tblGrid>
        <w:gridCol w:w="9288"/>
      </w:tblGrid>
      <w:tr w:rsidR="009F2182" w:rsidRPr="00910FE5" w14:paraId="5E04E85C" w14:textId="77777777" w:rsidTr="00DC7D72">
        <w:trPr>
          <w:trHeight w:val="7088"/>
        </w:trPr>
        <w:tc>
          <w:tcPr>
            <w:tcW w:w="9288" w:type="dxa"/>
          </w:tcPr>
          <w:p w14:paraId="5F8A7705" w14:textId="189C7784" w:rsidR="009F2182" w:rsidRPr="00910FE5" w:rsidRDefault="009F2182" w:rsidP="00BA26F6">
            <w:pPr>
              <w:pStyle w:val="Body"/>
              <w:rPr>
                <w:rFonts w:eastAsia="Times New Roman" w:cs="Arial"/>
                <w:color w:val="87189D"/>
                <w:sz w:val="24"/>
                <w:szCs w:val="24"/>
              </w:rPr>
            </w:pPr>
          </w:p>
        </w:tc>
      </w:tr>
      <w:tr w:rsidR="009F2182" w:rsidRPr="00910FE5" w14:paraId="23CC2D05" w14:textId="77777777" w:rsidTr="00DC7D72">
        <w:trPr>
          <w:trHeight w:val="5103"/>
        </w:trPr>
        <w:tc>
          <w:tcPr>
            <w:tcW w:w="9288" w:type="dxa"/>
          </w:tcPr>
          <w:p w14:paraId="7D5300B0" w14:textId="05BDA3CC" w:rsidR="009F2182" w:rsidRPr="00910FE5" w:rsidRDefault="009F2182" w:rsidP="009F2182">
            <w:pPr>
              <w:pStyle w:val="Accessibilitypara"/>
              <w:rPr>
                <w:rFonts w:cs="Arial"/>
              </w:rPr>
            </w:pPr>
            <w:r w:rsidRPr="00910FE5">
              <w:rPr>
                <w:rFonts w:cs="Arial"/>
              </w:rPr>
              <w:t xml:space="preserve">To receive this document in another format, phone </w:t>
            </w:r>
            <w:r w:rsidR="007F7D05" w:rsidRPr="005E4222">
              <w:rPr>
                <w:rFonts w:cs="Arial"/>
              </w:rPr>
              <w:t>1300 767 299</w:t>
            </w:r>
            <w:r w:rsidRPr="00910FE5">
              <w:rPr>
                <w:rFonts w:cs="Arial"/>
              </w:rPr>
              <w:t xml:space="preserve">, using the National Relay Service 13 36 77 if required, or </w:t>
            </w:r>
            <w:hyperlink r:id="rId18" w:history="1">
              <w:r w:rsidRPr="005E4222">
                <w:rPr>
                  <w:rStyle w:val="Hyperlink"/>
                  <w:rFonts w:cs="Arial"/>
                </w:rPr>
                <w:t>email</w:t>
              </w:r>
              <w:r w:rsidR="007F7D05" w:rsidRPr="005E4222">
                <w:rPr>
                  <w:rStyle w:val="Hyperlink"/>
                  <w:rFonts w:cs="Arial"/>
                </w:rPr>
                <w:t xml:space="preserve"> the Office of the Chief Psychiatrist</w:t>
              </w:r>
            </w:hyperlink>
            <w:r w:rsidR="007F7D05" w:rsidRPr="00910FE5">
              <w:rPr>
                <w:rFonts w:cs="Arial"/>
                <w:color w:val="004C97"/>
              </w:rPr>
              <w:t xml:space="preserve"> </w:t>
            </w:r>
            <w:r w:rsidRPr="00910FE5">
              <w:rPr>
                <w:rFonts w:cs="Arial"/>
              </w:rPr>
              <w:t>&lt;</w:t>
            </w:r>
            <w:r w:rsidR="007F7D05" w:rsidRPr="00910FE5">
              <w:rPr>
                <w:rFonts w:cs="Arial"/>
              </w:rPr>
              <w:t>ocp@health.vic.gov.au</w:t>
            </w:r>
            <w:r w:rsidRPr="00910FE5">
              <w:rPr>
                <w:rFonts w:cs="Arial"/>
              </w:rPr>
              <w:t>&gt;.</w:t>
            </w:r>
          </w:p>
          <w:p w14:paraId="744E5606" w14:textId="77777777" w:rsidR="009F2182" w:rsidRPr="00910FE5" w:rsidRDefault="009F2182" w:rsidP="009F2182">
            <w:pPr>
              <w:pStyle w:val="Imprint"/>
              <w:rPr>
                <w:rFonts w:cs="Arial"/>
              </w:rPr>
            </w:pPr>
            <w:r w:rsidRPr="00910FE5">
              <w:rPr>
                <w:rFonts w:cs="Arial"/>
              </w:rPr>
              <w:t>Authorised and published by the Victorian Government, 1 Treasury Place, Melbourne.</w:t>
            </w:r>
          </w:p>
          <w:p w14:paraId="7C470835" w14:textId="2D0F50D4" w:rsidR="009F2182" w:rsidRPr="00910FE5" w:rsidRDefault="009F2182" w:rsidP="009F2182">
            <w:pPr>
              <w:pStyle w:val="Imprint"/>
              <w:rPr>
                <w:rFonts w:cs="Arial"/>
              </w:rPr>
            </w:pPr>
            <w:r w:rsidRPr="00910FE5">
              <w:rPr>
                <w:rFonts w:cs="Arial"/>
              </w:rPr>
              <w:t xml:space="preserve">© State of Victoria, Australia, Department of </w:t>
            </w:r>
            <w:r w:rsidR="00D76ECC" w:rsidRPr="00910FE5">
              <w:rPr>
                <w:rFonts w:cs="Arial"/>
              </w:rPr>
              <w:t>Health</w:t>
            </w:r>
            <w:r w:rsidRPr="00910FE5">
              <w:rPr>
                <w:rFonts w:cs="Arial"/>
              </w:rPr>
              <w:t>,</w:t>
            </w:r>
            <w:r w:rsidR="005E4222">
              <w:rPr>
                <w:rFonts w:cs="Arial"/>
              </w:rPr>
              <w:t xml:space="preserve"> </w:t>
            </w:r>
            <w:r w:rsidR="00027DD4">
              <w:rPr>
                <w:rFonts w:cs="Arial"/>
                <w:color w:val="004C97"/>
              </w:rPr>
              <w:t>October 2024</w:t>
            </w:r>
            <w:r w:rsidRPr="00910FE5">
              <w:rPr>
                <w:rFonts w:cs="Arial"/>
              </w:rPr>
              <w:t>.</w:t>
            </w:r>
          </w:p>
          <w:p w14:paraId="0741D0E1" w14:textId="0BAB2439" w:rsidR="009F2182" w:rsidRPr="005E4222" w:rsidRDefault="009F2182" w:rsidP="009F2182">
            <w:pPr>
              <w:pStyle w:val="Imprint"/>
              <w:rPr>
                <w:rFonts w:cs="Arial"/>
              </w:rPr>
            </w:pPr>
            <w:bookmarkStart w:id="1" w:name="_Hlk62746129"/>
            <w:r w:rsidRPr="005E4222">
              <w:rPr>
                <w:rFonts w:cs="Arial"/>
              </w:rPr>
              <w:t>In this document, ‘Aboriginal’ refers to both Aboriginal and Torres Strait Islander people.</w:t>
            </w:r>
          </w:p>
          <w:p w14:paraId="02F6FF0A" w14:textId="7DDB12BB" w:rsidR="009F2182" w:rsidRDefault="009F2182" w:rsidP="009F2182">
            <w:pPr>
              <w:pStyle w:val="Imprint"/>
              <w:rPr>
                <w:rFonts w:cs="Arial"/>
              </w:rPr>
            </w:pPr>
            <w:r w:rsidRPr="00910FE5">
              <w:rPr>
                <w:rFonts w:cs="Arial"/>
              </w:rPr>
              <w:t xml:space="preserve">ISBN </w:t>
            </w:r>
            <w:r w:rsidR="00027DD4">
              <w:rPr>
                <w:rFonts w:cs="Arial"/>
                <w:color w:val="004C97"/>
              </w:rPr>
              <w:t>978-1-76131-701-9</w:t>
            </w:r>
            <w:r w:rsidRPr="00910FE5">
              <w:rPr>
                <w:rFonts w:cs="Arial"/>
                <w:color w:val="004C97"/>
              </w:rPr>
              <w:t xml:space="preserve"> </w:t>
            </w:r>
            <w:r w:rsidR="00027DD4" w:rsidRPr="00027DD4">
              <w:rPr>
                <w:rFonts w:cs="Arial"/>
                <w:b/>
                <w:bCs/>
              </w:rPr>
              <w:t>(pdf/online/MS word)</w:t>
            </w:r>
          </w:p>
          <w:p w14:paraId="7A477E7B" w14:textId="0AFEF45F" w:rsidR="009F2182" w:rsidRPr="00910FE5" w:rsidRDefault="009F2182" w:rsidP="00475C2F">
            <w:pPr>
              <w:pStyle w:val="Imprint"/>
              <w:rPr>
                <w:rFonts w:cs="Arial"/>
              </w:rPr>
            </w:pPr>
            <w:r w:rsidRPr="00910FE5">
              <w:rPr>
                <w:rFonts w:cs="Arial"/>
              </w:rPr>
              <w:t xml:space="preserve">Available at </w:t>
            </w:r>
            <w:hyperlink r:id="rId19" w:history="1">
              <w:r w:rsidR="00981420" w:rsidRPr="00A255EC">
                <w:rPr>
                  <w:rStyle w:val="Hyperlink"/>
                  <w:rFonts w:cs="Arial"/>
                </w:rPr>
                <w:t>Chief Psychiatrist’s website</w:t>
              </w:r>
            </w:hyperlink>
            <w:r w:rsidR="00981420" w:rsidRPr="00A255EC">
              <w:rPr>
                <w:rFonts w:cs="Arial"/>
                <w:color w:val="004C97"/>
              </w:rPr>
              <w:t xml:space="preserve"> </w:t>
            </w:r>
            <w:r w:rsidRPr="00910FE5">
              <w:rPr>
                <w:rFonts w:cs="Arial"/>
              </w:rPr>
              <w:t>&lt;</w:t>
            </w:r>
            <w:r w:rsidR="00A255EC" w:rsidRPr="00A255EC">
              <w:rPr>
                <w:rFonts w:cs="Arial"/>
              </w:rPr>
              <w:t>https://www.health.vic.gov.au/chief-psychiatrist/chief-psychiatrist-guidelines</w:t>
            </w:r>
            <w:r w:rsidRPr="00910FE5">
              <w:rPr>
                <w:rFonts w:cs="Arial"/>
              </w:rPr>
              <w:t>&gt;</w:t>
            </w:r>
            <w:bookmarkEnd w:id="1"/>
          </w:p>
        </w:tc>
      </w:tr>
    </w:tbl>
    <w:p w14:paraId="4FD48AAC" w14:textId="77777777" w:rsidR="0008204A" w:rsidRPr="00910FE5" w:rsidRDefault="0008204A" w:rsidP="0008204A">
      <w:pPr>
        <w:pStyle w:val="Body"/>
        <w:rPr>
          <w:rFonts w:cs="Arial"/>
        </w:rPr>
      </w:pPr>
      <w:r w:rsidRPr="00910FE5">
        <w:rPr>
          <w:rFonts w:cs="Arial"/>
        </w:rPr>
        <w:br w:type="page"/>
      </w:r>
    </w:p>
    <w:p w14:paraId="27D8DB6D" w14:textId="77777777" w:rsidR="00AD784C" w:rsidRPr="00910FE5" w:rsidRDefault="00AD784C" w:rsidP="002365B4">
      <w:pPr>
        <w:pStyle w:val="TOCheadingreport"/>
      </w:pPr>
      <w:r w:rsidRPr="00910FE5">
        <w:lastRenderedPageBreak/>
        <w:t>Contents</w:t>
      </w:r>
    </w:p>
    <w:p w14:paraId="57C92A9E" w14:textId="7E6B3E4B" w:rsidR="00B84CDC" w:rsidRDefault="00AD784C">
      <w:pPr>
        <w:pStyle w:val="TOC1"/>
        <w:rPr>
          <w:rFonts w:asciiTheme="minorHAnsi" w:eastAsiaTheme="minorEastAsia" w:hAnsiTheme="minorHAnsi" w:cstheme="minorBidi"/>
          <w:b w:val="0"/>
          <w:kern w:val="2"/>
          <w:sz w:val="24"/>
          <w:szCs w:val="24"/>
          <w:lang w:eastAsia="en-AU"/>
          <w14:ligatures w14:val="standardContextual"/>
        </w:rPr>
      </w:pPr>
      <w:r w:rsidRPr="00910FE5">
        <w:rPr>
          <w:rFonts w:cs="Arial"/>
        </w:rPr>
        <w:fldChar w:fldCharType="begin"/>
      </w:r>
      <w:r w:rsidRPr="00910FE5">
        <w:rPr>
          <w:rFonts w:cs="Arial"/>
        </w:rPr>
        <w:instrText xml:space="preserve"> TOC \h \z \t "Heading 1,1,Heading 2,2" </w:instrText>
      </w:r>
      <w:r w:rsidRPr="00910FE5">
        <w:rPr>
          <w:rFonts w:cs="Arial"/>
        </w:rPr>
        <w:fldChar w:fldCharType="separate"/>
      </w:r>
      <w:hyperlink w:anchor="_Toc181872993" w:history="1">
        <w:r w:rsidR="00B84CDC" w:rsidRPr="009C30DA">
          <w:rPr>
            <w:rStyle w:val="Hyperlink"/>
          </w:rPr>
          <w:t>Introduction</w:t>
        </w:r>
        <w:r w:rsidR="00B84CDC">
          <w:rPr>
            <w:webHidden/>
          </w:rPr>
          <w:tab/>
        </w:r>
        <w:r w:rsidR="00B84CDC">
          <w:rPr>
            <w:webHidden/>
          </w:rPr>
          <w:fldChar w:fldCharType="begin"/>
        </w:r>
        <w:r w:rsidR="00B84CDC">
          <w:rPr>
            <w:webHidden/>
          </w:rPr>
          <w:instrText xml:space="preserve"> PAGEREF _Toc181872993 \h </w:instrText>
        </w:r>
        <w:r w:rsidR="00B84CDC">
          <w:rPr>
            <w:webHidden/>
          </w:rPr>
        </w:r>
        <w:r w:rsidR="00B84CDC">
          <w:rPr>
            <w:webHidden/>
          </w:rPr>
          <w:fldChar w:fldCharType="separate"/>
        </w:r>
        <w:r w:rsidR="00A92B81">
          <w:rPr>
            <w:webHidden/>
          </w:rPr>
          <w:t>4</w:t>
        </w:r>
        <w:r w:rsidR="00B84CDC">
          <w:rPr>
            <w:webHidden/>
          </w:rPr>
          <w:fldChar w:fldCharType="end"/>
        </w:r>
      </w:hyperlink>
    </w:p>
    <w:p w14:paraId="5B74CC88" w14:textId="4C0F4761" w:rsidR="00B84CDC" w:rsidRDefault="00000000">
      <w:pPr>
        <w:pStyle w:val="TOC2"/>
        <w:rPr>
          <w:rFonts w:asciiTheme="minorHAnsi" w:eastAsiaTheme="minorEastAsia" w:hAnsiTheme="minorHAnsi" w:cstheme="minorBidi"/>
          <w:kern w:val="2"/>
          <w:sz w:val="24"/>
          <w:szCs w:val="24"/>
          <w:lang w:eastAsia="en-AU"/>
          <w14:ligatures w14:val="standardContextual"/>
        </w:rPr>
      </w:pPr>
      <w:hyperlink w:anchor="_Toc181872994" w:history="1">
        <w:r w:rsidR="00B84CDC" w:rsidRPr="009C30DA">
          <w:rPr>
            <w:rStyle w:val="Hyperlink"/>
          </w:rPr>
          <w:t>Mental Health and Wellbeing Act</w:t>
        </w:r>
        <w:r w:rsidR="00B84CDC">
          <w:rPr>
            <w:webHidden/>
          </w:rPr>
          <w:tab/>
        </w:r>
        <w:r w:rsidR="00B84CDC">
          <w:rPr>
            <w:webHidden/>
          </w:rPr>
          <w:fldChar w:fldCharType="begin"/>
        </w:r>
        <w:r w:rsidR="00B84CDC">
          <w:rPr>
            <w:webHidden/>
          </w:rPr>
          <w:instrText xml:space="preserve"> PAGEREF _Toc181872994 \h </w:instrText>
        </w:r>
        <w:r w:rsidR="00B84CDC">
          <w:rPr>
            <w:webHidden/>
          </w:rPr>
        </w:r>
        <w:r w:rsidR="00B84CDC">
          <w:rPr>
            <w:webHidden/>
          </w:rPr>
          <w:fldChar w:fldCharType="separate"/>
        </w:r>
        <w:r w:rsidR="00A92B81">
          <w:rPr>
            <w:webHidden/>
          </w:rPr>
          <w:t>4</w:t>
        </w:r>
        <w:r w:rsidR="00B84CDC">
          <w:rPr>
            <w:webHidden/>
          </w:rPr>
          <w:fldChar w:fldCharType="end"/>
        </w:r>
      </w:hyperlink>
    </w:p>
    <w:p w14:paraId="2AD77525" w14:textId="00350361" w:rsidR="00B84CDC"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1872995" w:history="1">
        <w:r w:rsidR="00B84CDC" w:rsidRPr="009C30DA">
          <w:rPr>
            <w:rStyle w:val="Hyperlink"/>
          </w:rPr>
          <w:t>Limitations of risk assessment tools</w:t>
        </w:r>
        <w:r w:rsidR="00B84CDC">
          <w:rPr>
            <w:webHidden/>
          </w:rPr>
          <w:tab/>
        </w:r>
        <w:r w:rsidR="00B84CDC">
          <w:rPr>
            <w:webHidden/>
          </w:rPr>
          <w:fldChar w:fldCharType="begin"/>
        </w:r>
        <w:r w:rsidR="00B84CDC">
          <w:rPr>
            <w:webHidden/>
          </w:rPr>
          <w:instrText xml:space="preserve"> PAGEREF _Toc181872995 \h </w:instrText>
        </w:r>
        <w:r w:rsidR="00B84CDC">
          <w:rPr>
            <w:webHidden/>
          </w:rPr>
        </w:r>
        <w:r w:rsidR="00B84CDC">
          <w:rPr>
            <w:webHidden/>
          </w:rPr>
          <w:fldChar w:fldCharType="separate"/>
        </w:r>
        <w:r w:rsidR="00A92B81">
          <w:rPr>
            <w:webHidden/>
          </w:rPr>
          <w:t>6</w:t>
        </w:r>
        <w:r w:rsidR="00B84CDC">
          <w:rPr>
            <w:webHidden/>
          </w:rPr>
          <w:fldChar w:fldCharType="end"/>
        </w:r>
      </w:hyperlink>
    </w:p>
    <w:p w14:paraId="26B5C9F6" w14:textId="059DF541" w:rsidR="00B84CDC"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1872996" w:history="1">
        <w:r w:rsidR="00B84CDC" w:rsidRPr="009C30DA">
          <w:rPr>
            <w:rStyle w:val="Hyperlink"/>
          </w:rPr>
          <w:t>Key principles</w:t>
        </w:r>
        <w:r w:rsidR="00B84CDC">
          <w:rPr>
            <w:webHidden/>
          </w:rPr>
          <w:tab/>
        </w:r>
        <w:r w:rsidR="00B84CDC">
          <w:rPr>
            <w:webHidden/>
          </w:rPr>
          <w:fldChar w:fldCharType="begin"/>
        </w:r>
        <w:r w:rsidR="00B84CDC">
          <w:rPr>
            <w:webHidden/>
          </w:rPr>
          <w:instrText xml:space="preserve"> PAGEREF _Toc181872996 \h </w:instrText>
        </w:r>
        <w:r w:rsidR="00B84CDC">
          <w:rPr>
            <w:webHidden/>
          </w:rPr>
        </w:r>
        <w:r w:rsidR="00B84CDC">
          <w:rPr>
            <w:webHidden/>
          </w:rPr>
          <w:fldChar w:fldCharType="separate"/>
        </w:r>
        <w:r w:rsidR="00A92B81">
          <w:rPr>
            <w:webHidden/>
          </w:rPr>
          <w:t>7</w:t>
        </w:r>
        <w:r w:rsidR="00B84CDC">
          <w:rPr>
            <w:webHidden/>
          </w:rPr>
          <w:fldChar w:fldCharType="end"/>
        </w:r>
      </w:hyperlink>
    </w:p>
    <w:p w14:paraId="27119AB7" w14:textId="1A4DDDBC" w:rsidR="00B84CDC"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1872997" w:history="1">
        <w:r w:rsidR="00B84CDC" w:rsidRPr="009C30DA">
          <w:rPr>
            <w:rStyle w:val="Hyperlink"/>
          </w:rPr>
          <w:t>Practical implications</w:t>
        </w:r>
        <w:r w:rsidR="00B84CDC">
          <w:rPr>
            <w:webHidden/>
          </w:rPr>
          <w:tab/>
        </w:r>
        <w:r w:rsidR="00B84CDC">
          <w:rPr>
            <w:webHidden/>
          </w:rPr>
          <w:fldChar w:fldCharType="begin"/>
        </w:r>
        <w:r w:rsidR="00B84CDC">
          <w:rPr>
            <w:webHidden/>
          </w:rPr>
          <w:instrText xml:space="preserve"> PAGEREF _Toc181872997 \h </w:instrText>
        </w:r>
        <w:r w:rsidR="00B84CDC">
          <w:rPr>
            <w:webHidden/>
          </w:rPr>
        </w:r>
        <w:r w:rsidR="00B84CDC">
          <w:rPr>
            <w:webHidden/>
          </w:rPr>
          <w:fldChar w:fldCharType="separate"/>
        </w:r>
        <w:r w:rsidR="00A92B81">
          <w:rPr>
            <w:webHidden/>
          </w:rPr>
          <w:t>9</w:t>
        </w:r>
        <w:r w:rsidR="00B84CDC">
          <w:rPr>
            <w:webHidden/>
          </w:rPr>
          <w:fldChar w:fldCharType="end"/>
        </w:r>
      </w:hyperlink>
    </w:p>
    <w:p w14:paraId="696928BB" w14:textId="1303E79A" w:rsidR="00B84CDC"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1872998" w:history="1">
        <w:r w:rsidR="00B84CDC" w:rsidRPr="009C30DA">
          <w:rPr>
            <w:rStyle w:val="Hyperlink"/>
          </w:rPr>
          <w:t>Summary</w:t>
        </w:r>
        <w:r w:rsidR="00B84CDC">
          <w:rPr>
            <w:webHidden/>
          </w:rPr>
          <w:tab/>
        </w:r>
        <w:r w:rsidR="00B84CDC">
          <w:rPr>
            <w:webHidden/>
          </w:rPr>
          <w:fldChar w:fldCharType="begin"/>
        </w:r>
        <w:r w:rsidR="00B84CDC">
          <w:rPr>
            <w:webHidden/>
          </w:rPr>
          <w:instrText xml:space="preserve"> PAGEREF _Toc181872998 \h </w:instrText>
        </w:r>
        <w:r w:rsidR="00B84CDC">
          <w:rPr>
            <w:webHidden/>
          </w:rPr>
        </w:r>
        <w:r w:rsidR="00B84CDC">
          <w:rPr>
            <w:webHidden/>
          </w:rPr>
          <w:fldChar w:fldCharType="separate"/>
        </w:r>
        <w:r w:rsidR="00A92B81">
          <w:rPr>
            <w:webHidden/>
          </w:rPr>
          <w:t>10</w:t>
        </w:r>
        <w:r w:rsidR="00B84CDC">
          <w:rPr>
            <w:webHidden/>
          </w:rPr>
          <w:fldChar w:fldCharType="end"/>
        </w:r>
      </w:hyperlink>
    </w:p>
    <w:p w14:paraId="024C8E5D" w14:textId="6FA36682" w:rsidR="00B84CDC"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1872999" w:history="1">
        <w:r w:rsidR="00B84CDC" w:rsidRPr="009C30DA">
          <w:rPr>
            <w:rStyle w:val="Hyperlink"/>
          </w:rPr>
          <w:t>Appendix 1: Risk formulation grid</w:t>
        </w:r>
        <w:r w:rsidR="00B84CDC">
          <w:rPr>
            <w:webHidden/>
          </w:rPr>
          <w:tab/>
        </w:r>
        <w:r w:rsidR="00B84CDC">
          <w:rPr>
            <w:webHidden/>
          </w:rPr>
          <w:fldChar w:fldCharType="begin"/>
        </w:r>
        <w:r w:rsidR="00B84CDC">
          <w:rPr>
            <w:webHidden/>
          </w:rPr>
          <w:instrText xml:space="preserve"> PAGEREF _Toc181872999 \h </w:instrText>
        </w:r>
        <w:r w:rsidR="00B84CDC">
          <w:rPr>
            <w:webHidden/>
          </w:rPr>
        </w:r>
        <w:r w:rsidR="00B84CDC">
          <w:rPr>
            <w:webHidden/>
          </w:rPr>
          <w:fldChar w:fldCharType="separate"/>
        </w:r>
        <w:r w:rsidR="00A92B81">
          <w:rPr>
            <w:webHidden/>
          </w:rPr>
          <w:t>11</w:t>
        </w:r>
        <w:r w:rsidR="00B84CDC">
          <w:rPr>
            <w:webHidden/>
          </w:rPr>
          <w:fldChar w:fldCharType="end"/>
        </w:r>
      </w:hyperlink>
    </w:p>
    <w:p w14:paraId="4DFE4600" w14:textId="27F3BEAE" w:rsidR="00B84CDC"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1873000" w:history="1">
        <w:r w:rsidR="00B84CDC" w:rsidRPr="009C30DA">
          <w:rPr>
            <w:rStyle w:val="Hyperlink"/>
          </w:rPr>
          <w:t>Appendix 2: The Borderline Personality Disorder–Spectrum - Risk Assessment Model</w:t>
        </w:r>
        <w:r w:rsidR="00B84CDC">
          <w:rPr>
            <w:webHidden/>
          </w:rPr>
          <w:tab/>
        </w:r>
        <w:r w:rsidR="00B84CDC">
          <w:rPr>
            <w:webHidden/>
          </w:rPr>
          <w:fldChar w:fldCharType="begin"/>
        </w:r>
        <w:r w:rsidR="00B84CDC">
          <w:rPr>
            <w:webHidden/>
          </w:rPr>
          <w:instrText xml:space="preserve"> PAGEREF _Toc181873000 \h </w:instrText>
        </w:r>
        <w:r w:rsidR="00B84CDC">
          <w:rPr>
            <w:webHidden/>
          </w:rPr>
        </w:r>
        <w:r w:rsidR="00B84CDC">
          <w:rPr>
            <w:webHidden/>
          </w:rPr>
          <w:fldChar w:fldCharType="separate"/>
        </w:r>
        <w:r w:rsidR="00A92B81">
          <w:rPr>
            <w:webHidden/>
          </w:rPr>
          <w:t>12</w:t>
        </w:r>
        <w:r w:rsidR="00B84CDC">
          <w:rPr>
            <w:webHidden/>
          </w:rPr>
          <w:fldChar w:fldCharType="end"/>
        </w:r>
      </w:hyperlink>
    </w:p>
    <w:p w14:paraId="2ED03B08" w14:textId="5143BFB3" w:rsidR="00B84CDC"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1873001" w:history="1">
        <w:r w:rsidR="00B84CDC" w:rsidRPr="009C30DA">
          <w:rPr>
            <w:rStyle w:val="Hyperlink"/>
          </w:rPr>
          <w:t>Appendix 3: Risk assessment template</w:t>
        </w:r>
        <w:r w:rsidR="00B84CDC">
          <w:rPr>
            <w:webHidden/>
          </w:rPr>
          <w:tab/>
        </w:r>
        <w:r w:rsidR="00B84CDC">
          <w:rPr>
            <w:webHidden/>
          </w:rPr>
          <w:fldChar w:fldCharType="begin"/>
        </w:r>
        <w:r w:rsidR="00B84CDC">
          <w:rPr>
            <w:webHidden/>
          </w:rPr>
          <w:instrText xml:space="preserve"> PAGEREF _Toc181873001 \h </w:instrText>
        </w:r>
        <w:r w:rsidR="00B84CDC">
          <w:rPr>
            <w:webHidden/>
          </w:rPr>
        </w:r>
        <w:r w:rsidR="00B84CDC">
          <w:rPr>
            <w:webHidden/>
          </w:rPr>
          <w:fldChar w:fldCharType="separate"/>
        </w:r>
        <w:r w:rsidR="00A92B81">
          <w:rPr>
            <w:webHidden/>
          </w:rPr>
          <w:t>13</w:t>
        </w:r>
        <w:r w:rsidR="00B84CDC">
          <w:rPr>
            <w:webHidden/>
          </w:rPr>
          <w:fldChar w:fldCharType="end"/>
        </w:r>
      </w:hyperlink>
    </w:p>
    <w:p w14:paraId="057561E6" w14:textId="2E7BF305" w:rsidR="00B84CDC"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81873002" w:history="1">
        <w:r w:rsidR="00B84CDC" w:rsidRPr="009C30DA">
          <w:rPr>
            <w:rStyle w:val="Hyperlink"/>
          </w:rPr>
          <w:t>References and other resources</w:t>
        </w:r>
        <w:r w:rsidR="00B84CDC">
          <w:rPr>
            <w:webHidden/>
          </w:rPr>
          <w:tab/>
        </w:r>
        <w:r w:rsidR="00B84CDC">
          <w:rPr>
            <w:webHidden/>
          </w:rPr>
          <w:fldChar w:fldCharType="begin"/>
        </w:r>
        <w:r w:rsidR="00B84CDC">
          <w:rPr>
            <w:webHidden/>
          </w:rPr>
          <w:instrText xml:space="preserve"> PAGEREF _Toc181873002 \h </w:instrText>
        </w:r>
        <w:r w:rsidR="00B84CDC">
          <w:rPr>
            <w:webHidden/>
          </w:rPr>
        </w:r>
        <w:r w:rsidR="00B84CDC">
          <w:rPr>
            <w:webHidden/>
          </w:rPr>
          <w:fldChar w:fldCharType="separate"/>
        </w:r>
        <w:r w:rsidR="00A92B81">
          <w:rPr>
            <w:webHidden/>
          </w:rPr>
          <w:t>14</w:t>
        </w:r>
        <w:r w:rsidR="00B84CDC">
          <w:rPr>
            <w:webHidden/>
          </w:rPr>
          <w:fldChar w:fldCharType="end"/>
        </w:r>
      </w:hyperlink>
    </w:p>
    <w:p w14:paraId="30B30475" w14:textId="03396CAE" w:rsidR="00FB1F6E" w:rsidRPr="00910FE5" w:rsidRDefault="00AD784C" w:rsidP="005E4222">
      <w:pPr>
        <w:pStyle w:val="Body"/>
      </w:pPr>
      <w:r w:rsidRPr="00910FE5">
        <w:rPr>
          <w:rFonts w:cs="Arial"/>
        </w:rPr>
        <w:fldChar w:fldCharType="end"/>
      </w:r>
      <w:r w:rsidR="00FB1F6E" w:rsidRPr="00910FE5">
        <w:br w:type="page"/>
      </w:r>
    </w:p>
    <w:p w14:paraId="55C81277" w14:textId="38933436" w:rsidR="00EE29AD" w:rsidRPr="00910FE5" w:rsidRDefault="005206A8" w:rsidP="00562811">
      <w:pPr>
        <w:pStyle w:val="Heading1"/>
        <w:spacing w:before="0"/>
      </w:pPr>
      <w:bookmarkStart w:id="2" w:name="_Toc181872993"/>
      <w:bookmarkStart w:id="3" w:name="_Hlk66712316"/>
      <w:r w:rsidRPr="00910FE5">
        <w:lastRenderedPageBreak/>
        <w:t>Introduction</w:t>
      </w:r>
      <w:bookmarkEnd w:id="2"/>
    </w:p>
    <w:p w14:paraId="691ED3DA" w14:textId="10538746" w:rsidR="005F3B4B" w:rsidRPr="00910FE5" w:rsidRDefault="005F3B4B" w:rsidP="005E4222">
      <w:pPr>
        <w:pStyle w:val="Body"/>
      </w:pPr>
      <w:r w:rsidRPr="00910FE5">
        <w:t>Risk assessment is a foundation skill for all mental health clinical practi</w:t>
      </w:r>
      <w:r w:rsidR="00B44BCD">
        <w:t>c</w:t>
      </w:r>
      <w:r w:rsidRPr="00910FE5">
        <w:t xml:space="preserve">e. It </w:t>
      </w:r>
      <w:r w:rsidR="006F06DD">
        <w:t>involves identifying</w:t>
      </w:r>
      <w:r w:rsidR="006F06DD" w:rsidRPr="00910FE5">
        <w:t xml:space="preserve"> </w:t>
      </w:r>
      <w:r w:rsidR="00910FE5" w:rsidRPr="00910FE5">
        <w:t>risk factors</w:t>
      </w:r>
      <w:r w:rsidR="004C414B">
        <w:t xml:space="preserve"> and</w:t>
      </w:r>
      <w:r w:rsidR="00910FE5" w:rsidRPr="00910FE5">
        <w:t xml:space="preserve"> synthesis</w:t>
      </w:r>
      <w:r w:rsidR="004C414B">
        <w:t>ing,</w:t>
      </w:r>
      <w:r w:rsidR="00910FE5" w:rsidRPr="00910FE5">
        <w:t xml:space="preserve"> integrati</w:t>
      </w:r>
      <w:r w:rsidR="004C414B">
        <w:t>ng</w:t>
      </w:r>
      <w:r w:rsidR="00910FE5" w:rsidRPr="00910FE5">
        <w:t xml:space="preserve"> and formulati</w:t>
      </w:r>
      <w:r w:rsidR="006F06DD">
        <w:t>ng</w:t>
      </w:r>
      <w:r w:rsidR="00910FE5" w:rsidRPr="00910FE5">
        <w:t xml:space="preserve"> risk to adequately understand </w:t>
      </w:r>
      <w:r w:rsidRPr="00910FE5">
        <w:t xml:space="preserve">the </w:t>
      </w:r>
      <w:r w:rsidR="006F06DD">
        <w:t xml:space="preserve">person </w:t>
      </w:r>
      <w:r w:rsidRPr="00910FE5">
        <w:t>at risk</w:t>
      </w:r>
      <w:r w:rsidR="00910FE5" w:rsidRPr="00910FE5">
        <w:t>. The purpose of risk assessment and formulation is to address risks and enable people to have fuller</w:t>
      </w:r>
      <w:r w:rsidR="006F06DD">
        <w:t>,</w:t>
      </w:r>
      <w:r w:rsidR="00910FE5" w:rsidRPr="00910FE5">
        <w:t xml:space="preserve"> more meaningful lives.</w:t>
      </w:r>
    </w:p>
    <w:p w14:paraId="5BAD0F71" w14:textId="7F9CCEC0" w:rsidR="004B346A" w:rsidRDefault="005F3B4B" w:rsidP="005E4222">
      <w:pPr>
        <w:pStyle w:val="Body"/>
      </w:pPr>
      <w:r w:rsidRPr="00910FE5">
        <w:t>Risks may be of self</w:t>
      </w:r>
      <w:r w:rsidR="00910FE5" w:rsidRPr="00910FE5">
        <w:t>-</w:t>
      </w:r>
      <w:r w:rsidRPr="00910FE5">
        <w:t xml:space="preserve">harm, suicide, misadventure or risks to other </w:t>
      </w:r>
      <w:r w:rsidR="006F06DD">
        <w:t>people</w:t>
      </w:r>
      <w:r w:rsidR="006F06DD" w:rsidRPr="00910FE5">
        <w:t xml:space="preserve"> </w:t>
      </w:r>
      <w:r w:rsidRPr="00910FE5">
        <w:t xml:space="preserve">or the community. Risk factors operate at </w:t>
      </w:r>
      <w:r w:rsidR="006F06DD">
        <w:t xml:space="preserve">the </w:t>
      </w:r>
      <w:r w:rsidRPr="00910FE5">
        <w:t>population, community and individual levels</w:t>
      </w:r>
      <w:r w:rsidR="006F06DD">
        <w:t>. They</w:t>
      </w:r>
      <w:r w:rsidRPr="00910FE5">
        <w:t xml:space="preserve"> may be relative to</w:t>
      </w:r>
      <w:r w:rsidRPr="00910FE5">
        <w:rPr>
          <w:color w:val="333333"/>
        </w:rPr>
        <w:t xml:space="preserve"> population norms (absolute) or the </w:t>
      </w:r>
      <w:r w:rsidR="006F06DD">
        <w:rPr>
          <w:color w:val="333333"/>
        </w:rPr>
        <w:t>person’s</w:t>
      </w:r>
      <w:r w:rsidR="006F06DD" w:rsidRPr="00910FE5">
        <w:rPr>
          <w:color w:val="333333"/>
        </w:rPr>
        <w:t xml:space="preserve"> </w:t>
      </w:r>
      <w:r w:rsidRPr="00910FE5">
        <w:rPr>
          <w:color w:val="333333"/>
        </w:rPr>
        <w:t>baseline state (relative).</w:t>
      </w:r>
      <w:r w:rsidRPr="00910FE5">
        <w:t xml:space="preserve"> Individual risk reflects both the human and the context</w:t>
      </w:r>
      <w:r w:rsidR="006F06DD">
        <w:t>. It reveals</w:t>
      </w:r>
      <w:r w:rsidRPr="00910FE5">
        <w:t xml:space="preserve"> the chronic/static and more immediate/dynamic risks at a point in time and within </w:t>
      </w:r>
      <w:r w:rsidR="00910FE5" w:rsidRPr="00910FE5">
        <w:t>a</w:t>
      </w:r>
      <w:r w:rsidRPr="00910FE5">
        <w:t xml:space="preserve"> timeframe.</w:t>
      </w:r>
      <w:r w:rsidR="00910FE5" w:rsidRPr="00910FE5">
        <w:t xml:space="preserve"> Risk mitigation occurs in the context of service resources and a broader legislative frame. All decisions about clinical care </w:t>
      </w:r>
      <w:r w:rsidR="004B346A">
        <w:t>need to balance:</w:t>
      </w:r>
      <w:r w:rsidR="00910FE5" w:rsidRPr="00910FE5">
        <w:t xml:space="preserve"> </w:t>
      </w:r>
    </w:p>
    <w:p w14:paraId="12A7EC4C" w14:textId="3DB4A95D" w:rsidR="004B346A" w:rsidRDefault="00910FE5" w:rsidP="004B346A">
      <w:pPr>
        <w:pStyle w:val="Bullet1"/>
      </w:pPr>
      <w:r w:rsidRPr="00910FE5">
        <w:t>different perspectives</w:t>
      </w:r>
    </w:p>
    <w:p w14:paraId="6A4899A6" w14:textId="56D23A50" w:rsidR="004B346A" w:rsidRDefault="00910FE5" w:rsidP="004B346A">
      <w:pPr>
        <w:pStyle w:val="Bullet1"/>
      </w:pPr>
      <w:r w:rsidRPr="00910FE5">
        <w:t xml:space="preserve">competing human rights needs </w:t>
      </w:r>
    </w:p>
    <w:p w14:paraId="6B0A2977" w14:textId="63A5CA23" w:rsidR="005F3B4B" w:rsidRPr="00910FE5" w:rsidRDefault="00910FE5" w:rsidP="00781C43">
      <w:pPr>
        <w:pStyle w:val="Bullet1"/>
      </w:pPr>
      <w:r w:rsidRPr="00910FE5">
        <w:t>compassion for the person affected and their authentic life values. </w:t>
      </w:r>
    </w:p>
    <w:p w14:paraId="1486D918" w14:textId="24989DD2" w:rsidR="005F3B4B" w:rsidRPr="00910FE5" w:rsidRDefault="004B346A" w:rsidP="00781C43">
      <w:pPr>
        <w:pStyle w:val="Bodyafterbullets"/>
      </w:pPr>
      <w:r>
        <w:t>There is a</w:t>
      </w:r>
      <w:r w:rsidR="005F3B4B" w:rsidRPr="00910FE5">
        <w:t xml:space="preserve"> range of risk assessment tools.</w:t>
      </w:r>
      <w:r w:rsidR="00935565" w:rsidRPr="00910FE5">
        <w:rPr>
          <w:rStyle w:val="FootnoteReference"/>
          <w:rFonts w:cs="Arial"/>
        </w:rPr>
        <w:footnoteReference w:id="2"/>
      </w:r>
      <w:r w:rsidR="005F3B4B" w:rsidRPr="00910FE5">
        <w:t xml:space="preserve"> </w:t>
      </w:r>
      <w:r>
        <w:t xml:space="preserve">Practitioners </w:t>
      </w:r>
      <w:r w:rsidR="00910FE5" w:rsidRPr="00910FE5">
        <w:t>common</w:t>
      </w:r>
      <w:r>
        <w:t>ly</w:t>
      </w:r>
      <w:r w:rsidR="00910FE5" w:rsidRPr="00910FE5">
        <w:t xml:space="preserve"> assume </w:t>
      </w:r>
      <w:r>
        <w:t xml:space="preserve">that </w:t>
      </w:r>
      <w:r w:rsidR="00910FE5" w:rsidRPr="00910FE5">
        <w:t xml:space="preserve">these </w:t>
      </w:r>
      <w:r>
        <w:t xml:space="preserve">tools </w:t>
      </w:r>
      <w:r w:rsidR="00910FE5" w:rsidRPr="00910FE5">
        <w:t xml:space="preserve">can predict risk </w:t>
      </w:r>
      <w:r w:rsidR="005F3B4B" w:rsidRPr="00910FE5">
        <w:t>in terms of severity</w:t>
      </w:r>
      <w:r w:rsidR="00910FE5" w:rsidRPr="00910FE5">
        <w:t>.</w:t>
      </w:r>
      <w:r w:rsidR="005F3B4B" w:rsidRPr="00910FE5">
        <w:t xml:space="preserve"> </w:t>
      </w:r>
      <w:r>
        <w:t>But s</w:t>
      </w:r>
      <w:r w:rsidR="005F3B4B" w:rsidRPr="00910FE5">
        <w:t xml:space="preserve">uch quantification </w:t>
      </w:r>
      <w:r>
        <w:t xml:space="preserve">is </w:t>
      </w:r>
      <w:r w:rsidR="005F3B4B" w:rsidRPr="00910FE5">
        <w:t>imprecise</w:t>
      </w:r>
      <w:r w:rsidR="00910FE5" w:rsidRPr="00910FE5">
        <w:t>, inconsistently applied</w:t>
      </w:r>
      <w:r w:rsidR="005F3B4B" w:rsidRPr="00910FE5">
        <w:t xml:space="preserve"> and at times misleading</w:t>
      </w:r>
      <w:r w:rsidR="00071665">
        <w:t xml:space="preserve"> </w:t>
      </w:r>
      <w:r w:rsidR="00910FE5" w:rsidRPr="00910FE5">
        <w:t>(Carroll</w:t>
      </w:r>
      <w:r w:rsidR="00071665">
        <w:t xml:space="preserve"> and McSherry 2018</w:t>
      </w:r>
      <w:r w:rsidR="00910FE5" w:rsidRPr="00910FE5">
        <w:t>)</w:t>
      </w:r>
      <w:r w:rsidR="005F3B4B" w:rsidRPr="00910FE5">
        <w:t>. All risk assessment tools have limitations</w:t>
      </w:r>
      <w:r w:rsidR="00910FE5" w:rsidRPr="00910FE5">
        <w:t xml:space="preserve">. This is well articulated in </w:t>
      </w:r>
      <w:r>
        <w:t xml:space="preserve">the </w:t>
      </w:r>
      <w:r w:rsidR="00910FE5" w:rsidRPr="00910FE5">
        <w:t>NICE Guidelines</w:t>
      </w:r>
      <w:r w:rsidR="00071665">
        <w:t xml:space="preserve"> </w:t>
      </w:r>
      <w:r w:rsidR="00910FE5" w:rsidRPr="00910FE5">
        <w:t>(</w:t>
      </w:r>
      <w:r w:rsidR="00071665">
        <w:t>2022</w:t>
      </w:r>
      <w:r w:rsidR="00910FE5" w:rsidRPr="00910FE5">
        <w:t xml:space="preserve">). Therefore current thinking has moved towards risk formulation and risk mitigation of identified risks with an emphasis on the person and what </w:t>
      </w:r>
      <w:r w:rsidR="00406F80">
        <w:t xml:space="preserve">we </w:t>
      </w:r>
      <w:r w:rsidR="00910FE5" w:rsidRPr="00910FE5">
        <w:t xml:space="preserve">can </w:t>
      </w:r>
      <w:r w:rsidR="00406F80">
        <w:t xml:space="preserve">do </w:t>
      </w:r>
      <w:r w:rsidR="00910FE5" w:rsidRPr="00910FE5">
        <w:t xml:space="preserve">to address their </w:t>
      </w:r>
      <w:r w:rsidR="00337F41">
        <w:t>i</w:t>
      </w:r>
      <w:r w:rsidR="00337F41" w:rsidRPr="00910FE5">
        <w:t xml:space="preserve">ndividual </w:t>
      </w:r>
      <w:r w:rsidR="00910FE5" w:rsidRPr="00910FE5">
        <w:t>needs.</w:t>
      </w:r>
      <w:r w:rsidR="005F3B4B" w:rsidRPr="00910FE5">
        <w:t xml:space="preserve"> </w:t>
      </w:r>
    </w:p>
    <w:p w14:paraId="44668FBB" w14:textId="20CAC96C" w:rsidR="00406F80" w:rsidRDefault="005F3B4B" w:rsidP="005E4222">
      <w:pPr>
        <w:pStyle w:val="Body"/>
      </w:pPr>
      <w:r w:rsidRPr="00910FE5">
        <w:t xml:space="preserve">Legislation </w:t>
      </w:r>
      <w:r w:rsidR="00406F80">
        <w:t>relevant to</w:t>
      </w:r>
      <w:r w:rsidRPr="00910FE5">
        <w:t xml:space="preserve"> assess</w:t>
      </w:r>
      <w:r w:rsidR="00406F80">
        <w:t>ing</w:t>
      </w:r>
      <w:r w:rsidRPr="00910FE5">
        <w:t xml:space="preserve"> and manag</w:t>
      </w:r>
      <w:r w:rsidR="00406F80">
        <w:t>ing</w:t>
      </w:r>
      <w:r w:rsidRPr="00910FE5">
        <w:t xml:space="preserve"> risk in </w:t>
      </w:r>
      <w:r w:rsidR="00644BEB">
        <w:t>m</w:t>
      </w:r>
      <w:r w:rsidRPr="00910FE5">
        <w:t xml:space="preserve">ental </w:t>
      </w:r>
      <w:r w:rsidR="00644BEB">
        <w:t>h</w:t>
      </w:r>
      <w:r w:rsidRPr="00910FE5">
        <w:t xml:space="preserve">ealth and </w:t>
      </w:r>
      <w:r w:rsidR="00644BEB">
        <w:t>w</w:t>
      </w:r>
      <w:r w:rsidRPr="00910FE5">
        <w:t>ellbeing settings includes the</w:t>
      </w:r>
      <w:r w:rsidR="00406F80">
        <w:t>:</w:t>
      </w:r>
      <w:r w:rsidRPr="00910FE5">
        <w:t xml:space="preserve"> </w:t>
      </w:r>
    </w:p>
    <w:p w14:paraId="7E362CC6" w14:textId="3021857D" w:rsidR="00406F80" w:rsidRPr="00863F0B" w:rsidRDefault="005F3B4B" w:rsidP="00406F80">
      <w:pPr>
        <w:pStyle w:val="Bullet1"/>
        <w:rPr>
          <w:i/>
          <w:iCs/>
        </w:rPr>
      </w:pPr>
      <w:r w:rsidRPr="005B1490">
        <w:rPr>
          <w:i/>
          <w:iCs/>
        </w:rPr>
        <w:t>Wrongs Act 1958</w:t>
      </w:r>
    </w:p>
    <w:p w14:paraId="7C39B052" w14:textId="4F077930" w:rsidR="00406F80" w:rsidRPr="00863F0B" w:rsidRDefault="005F3B4B" w:rsidP="00406F80">
      <w:pPr>
        <w:pStyle w:val="Bullet1"/>
        <w:rPr>
          <w:i/>
          <w:iCs/>
        </w:rPr>
      </w:pPr>
      <w:r w:rsidRPr="00863F0B">
        <w:rPr>
          <w:i/>
          <w:iCs/>
        </w:rPr>
        <w:t xml:space="preserve">Occupational Health and Safety Act 2004 </w:t>
      </w:r>
    </w:p>
    <w:p w14:paraId="32F595F7" w14:textId="6CC10226" w:rsidR="005F3B4B" w:rsidRPr="00910FE5" w:rsidRDefault="005F3B4B" w:rsidP="005B1490">
      <w:pPr>
        <w:pStyle w:val="Bullet1"/>
      </w:pPr>
      <w:r w:rsidRPr="00863F0B">
        <w:rPr>
          <w:i/>
          <w:iCs/>
        </w:rPr>
        <w:t>Mental Health and Wellbeing Act 2022</w:t>
      </w:r>
      <w:r w:rsidRPr="00910FE5">
        <w:t>.</w:t>
      </w:r>
    </w:p>
    <w:p w14:paraId="6CD2EC60" w14:textId="60EDD85C" w:rsidR="00910FE5" w:rsidRPr="00910FE5" w:rsidRDefault="00910FE5" w:rsidP="005B1490">
      <w:pPr>
        <w:pStyle w:val="Bodyafterbullets"/>
      </w:pPr>
      <w:r w:rsidRPr="00910FE5">
        <w:t xml:space="preserve">There is a need </w:t>
      </w:r>
      <w:r w:rsidR="00406F80">
        <w:t xml:space="preserve">to </w:t>
      </w:r>
      <w:r w:rsidRPr="00910FE5">
        <w:t>standard</w:t>
      </w:r>
      <w:r w:rsidR="00644BEB">
        <w:t>is</w:t>
      </w:r>
      <w:r w:rsidR="00406F80">
        <w:t xml:space="preserve">e </w:t>
      </w:r>
      <w:r w:rsidRPr="00910FE5">
        <w:t xml:space="preserve">how risk is assessed across and within healthcare settings. </w:t>
      </w:r>
      <w:r w:rsidR="000B57A3">
        <w:t>In this paper the</w:t>
      </w:r>
      <w:r w:rsidRPr="00910FE5">
        <w:t xml:space="preserve"> Office of the Chief Psychiatrist </w:t>
      </w:r>
      <w:r w:rsidR="00406F80">
        <w:t xml:space="preserve">aims </w:t>
      </w:r>
      <w:r w:rsidRPr="00910FE5">
        <w:t xml:space="preserve">to </w:t>
      </w:r>
      <w:r w:rsidR="00406F80">
        <w:t>offer</w:t>
      </w:r>
      <w:r w:rsidR="00406F80" w:rsidRPr="00910FE5">
        <w:t xml:space="preserve"> </w:t>
      </w:r>
      <w:r w:rsidRPr="00910FE5">
        <w:t>guidance to service providers in the context of the tensions that arise as a result. </w:t>
      </w:r>
    </w:p>
    <w:p w14:paraId="223EA52B" w14:textId="1A1A5686" w:rsidR="005F3B4B" w:rsidRPr="00910FE5" w:rsidRDefault="005F3B4B" w:rsidP="00644BEB">
      <w:pPr>
        <w:pStyle w:val="Body"/>
      </w:pPr>
      <w:r w:rsidRPr="00910FE5">
        <w:t>This paper describes an evidence</w:t>
      </w:r>
      <w:r w:rsidR="003545E8">
        <w:t>-</w:t>
      </w:r>
      <w:r w:rsidRPr="00910FE5">
        <w:t xml:space="preserve">based approach to risk to inform thinking in the mental health sector. </w:t>
      </w:r>
      <w:r w:rsidR="003545E8">
        <w:t xml:space="preserve">It </w:t>
      </w:r>
      <w:r w:rsidRPr="00910FE5">
        <w:t>describe</w:t>
      </w:r>
      <w:r w:rsidR="003545E8">
        <w:t>s</w:t>
      </w:r>
      <w:r w:rsidRPr="00910FE5">
        <w:t xml:space="preserve"> the key shared principles of risk formulation and mitigation for the sector and </w:t>
      </w:r>
      <w:r w:rsidR="004C414B">
        <w:t>explains</w:t>
      </w:r>
      <w:r w:rsidRPr="00910FE5">
        <w:t xml:space="preserve"> clinical approaches for non</w:t>
      </w:r>
      <w:r w:rsidR="003545E8">
        <w:t>–</w:t>
      </w:r>
      <w:r w:rsidRPr="00910FE5">
        <w:t xml:space="preserve">mental health people </w:t>
      </w:r>
      <w:r w:rsidR="004C414B">
        <w:t>who want</w:t>
      </w:r>
      <w:r w:rsidR="004C414B" w:rsidRPr="00910FE5">
        <w:t xml:space="preserve"> </w:t>
      </w:r>
      <w:r w:rsidRPr="00910FE5">
        <w:t xml:space="preserve">to understand how decisions </w:t>
      </w:r>
      <w:r w:rsidR="004C414B">
        <w:t xml:space="preserve">about risk </w:t>
      </w:r>
      <w:r w:rsidRPr="00910FE5">
        <w:t xml:space="preserve">are </w:t>
      </w:r>
      <w:r w:rsidR="004C414B">
        <w:t>reached</w:t>
      </w:r>
      <w:r w:rsidRPr="00910FE5">
        <w:t>.</w:t>
      </w:r>
    </w:p>
    <w:p w14:paraId="1C472E1E" w14:textId="75DEBCD6" w:rsidR="00ED7762" w:rsidRPr="00910FE5" w:rsidRDefault="005206A8" w:rsidP="005E4222">
      <w:pPr>
        <w:pStyle w:val="Heading2"/>
      </w:pPr>
      <w:bookmarkStart w:id="4" w:name="_Toc181872994"/>
      <w:r w:rsidRPr="00910FE5">
        <w:t>Mental Health and Wellbeing Act</w:t>
      </w:r>
      <w:bookmarkStart w:id="5" w:name="_Hlk63948051"/>
      <w:bookmarkEnd w:id="4"/>
    </w:p>
    <w:bookmarkEnd w:id="5"/>
    <w:p w14:paraId="0E2B300F" w14:textId="3CB22560" w:rsidR="005F3B4B" w:rsidRPr="00910FE5" w:rsidRDefault="005F3B4B" w:rsidP="005E4222">
      <w:pPr>
        <w:pStyle w:val="Body"/>
      </w:pPr>
      <w:r w:rsidRPr="00910FE5">
        <w:t xml:space="preserve">The </w:t>
      </w:r>
      <w:r w:rsidR="00644BEB" w:rsidRPr="005B1F61">
        <w:rPr>
          <w:i/>
          <w:iCs/>
        </w:rPr>
        <w:t>Mental Health and Wellbeing Act 2022</w:t>
      </w:r>
      <w:r w:rsidR="007F0CF4">
        <w:t xml:space="preserve"> </w:t>
      </w:r>
      <w:r w:rsidRPr="00910FE5">
        <w:t xml:space="preserve">is the principal </w:t>
      </w:r>
      <w:r w:rsidR="00D53071">
        <w:t>Victorian</w:t>
      </w:r>
      <w:r w:rsidR="00D53071" w:rsidRPr="00910FE5">
        <w:t xml:space="preserve"> </w:t>
      </w:r>
      <w:r w:rsidR="00644BEB">
        <w:t>legislati</w:t>
      </w:r>
      <w:r w:rsidR="00D53071">
        <w:t>on</w:t>
      </w:r>
      <w:r w:rsidR="00644BEB">
        <w:t xml:space="preserve"> for regulating</w:t>
      </w:r>
      <w:r w:rsidRPr="00910FE5">
        <w:t xml:space="preserve"> the treatment</w:t>
      </w:r>
      <w:r w:rsidR="00644BEB">
        <w:t xml:space="preserve"> and care</w:t>
      </w:r>
      <w:r w:rsidRPr="00910FE5">
        <w:t xml:space="preserve"> of </w:t>
      </w:r>
      <w:r w:rsidR="00D53071">
        <w:t xml:space="preserve">people </w:t>
      </w:r>
      <w:r w:rsidRPr="00910FE5">
        <w:t>with mental illness or psychological distress. </w:t>
      </w:r>
      <w:r w:rsidR="00910FE5" w:rsidRPr="00910FE5">
        <w:t xml:space="preserve">It </w:t>
      </w:r>
      <w:r w:rsidR="00644BEB">
        <w:t>enshrines</w:t>
      </w:r>
      <w:r w:rsidR="00644BEB" w:rsidRPr="00910FE5">
        <w:t xml:space="preserve"> </w:t>
      </w:r>
      <w:r w:rsidR="00910FE5" w:rsidRPr="00910FE5">
        <w:t xml:space="preserve">key principles </w:t>
      </w:r>
      <w:r w:rsidR="00D53071">
        <w:t xml:space="preserve">to </w:t>
      </w:r>
      <w:r w:rsidR="00910FE5" w:rsidRPr="00910FE5">
        <w:t xml:space="preserve">consider and document in making clinical decisions </w:t>
      </w:r>
      <w:r w:rsidR="004C414B">
        <w:t>about</w:t>
      </w:r>
      <w:r w:rsidR="004C414B" w:rsidRPr="00910FE5">
        <w:t xml:space="preserve"> </w:t>
      </w:r>
      <w:r w:rsidR="00644BEB">
        <w:t xml:space="preserve">treatment and </w:t>
      </w:r>
      <w:r w:rsidR="00910FE5" w:rsidRPr="00910FE5">
        <w:t>care</w:t>
      </w:r>
      <w:r w:rsidR="00BF7D36">
        <w:t xml:space="preserve"> </w:t>
      </w:r>
      <w:r w:rsidR="00910FE5" w:rsidRPr="00910FE5">
        <w:t>(</w:t>
      </w:r>
      <w:r w:rsidR="00BF7D36">
        <w:t>Department of Health 2024</w:t>
      </w:r>
      <w:r w:rsidR="00910FE5" w:rsidRPr="00910FE5">
        <w:t>).</w:t>
      </w:r>
    </w:p>
    <w:p w14:paraId="29DF73A3" w14:textId="54F30DE4" w:rsidR="005F3B4B" w:rsidRPr="00910FE5" w:rsidRDefault="00910FE5" w:rsidP="005E4222">
      <w:pPr>
        <w:pStyle w:val="Body"/>
      </w:pPr>
      <w:r w:rsidRPr="00910FE5">
        <w:lastRenderedPageBreak/>
        <w:t xml:space="preserve">The </w:t>
      </w:r>
      <w:r w:rsidR="007F0CF4">
        <w:t>Act</w:t>
      </w:r>
      <w:r w:rsidR="007F0CF4" w:rsidRPr="00910FE5">
        <w:t xml:space="preserve"> </w:t>
      </w:r>
      <w:r w:rsidR="005F3B4B" w:rsidRPr="00910FE5">
        <w:t>supports interven</w:t>
      </w:r>
      <w:r w:rsidR="00543C60">
        <w:t>ing in cases where a person</w:t>
      </w:r>
      <w:r w:rsidR="005F3B4B" w:rsidRPr="00910FE5">
        <w:t xml:space="preserve"> </w:t>
      </w:r>
      <w:r w:rsidR="00543C60">
        <w:t xml:space="preserve">is </w:t>
      </w:r>
      <w:r w:rsidR="005F3B4B" w:rsidRPr="00910FE5">
        <w:t>at serious risk of harm</w:t>
      </w:r>
      <w:r w:rsidR="00543C60">
        <w:t>. It</w:t>
      </w:r>
      <w:r w:rsidR="005F3B4B" w:rsidRPr="00910FE5">
        <w:t xml:space="preserve"> emphasi</w:t>
      </w:r>
      <w:r w:rsidR="00543C60">
        <w:t>s</w:t>
      </w:r>
      <w:r w:rsidR="005F3B4B" w:rsidRPr="00910FE5">
        <w:t>es the following decision</w:t>
      </w:r>
      <w:r w:rsidR="00543C60">
        <w:t>-</w:t>
      </w:r>
      <w:r w:rsidR="005F3B4B" w:rsidRPr="00910FE5">
        <w:t xml:space="preserve">making </w:t>
      </w:r>
      <w:r w:rsidR="000B57A3">
        <w:t>concept</w:t>
      </w:r>
      <w:r w:rsidR="005F3B4B" w:rsidRPr="00910FE5">
        <w:t>s for treatment and interventions:</w:t>
      </w:r>
    </w:p>
    <w:p w14:paraId="7C63F2ED" w14:textId="495DB0A1" w:rsidR="005F3B4B" w:rsidRPr="00910FE5" w:rsidRDefault="005F3B4B" w:rsidP="005E4222">
      <w:pPr>
        <w:pStyle w:val="Bullet1"/>
      </w:pPr>
      <w:r w:rsidRPr="00910FE5">
        <w:rPr>
          <w:b/>
          <w:bCs/>
        </w:rPr>
        <w:t xml:space="preserve">Dignity of </w:t>
      </w:r>
      <w:r w:rsidR="00B44BCD">
        <w:rPr>
          <w:b/>
          <w:bCs/>
        </w:rPr>
        <w:t>r</w:t>
      </w:r>
      <w:r w:rsidRPr="00910FE5">
        <w:rPr>
          <w:b/>
          <w:bCs/>
        </w:rPr>
        <w:t xml:space="preserve">isk: </w:t>
      </w:r>
      <w:r w:rsidR="00543C60">
        <w:t>P</w:t>
      </w:r>
      <w:r w:rsidRPr="00910FE5">
        <w:t>eople receiving mental health care have the right to take reasonable risks to improve their quality of life while balanc</w:t>
      </w:r>
      <w:r w:rsidR="006F7226">
        <w:t>ing</w:t>
      </w:r>
      <w:r w:rsidRPr="00910FE5">
        <w:t xml:space="preserve"> the clinician’s duty of care to support safety</w:t>
      </w:r>
      <w:r w:rsidR="00543C60">
        <w:t>.</w:t>
      </w:r>
    </w:p>
    <w:p w14:paraId="216B6F93" w14:textId="0B2EBE2A" w:rsidR="005F3B4B" w:rsidRPr="00910FE5" w:rsidRDefault="005F3B4B" w:rsidP="005E4222">
      <w:pPr>
        <w:pStyle w:val="Bullet1"/>
      </w:pPr>
      <w:r w:rsidRPr="00910FE5">
        <w:rPr>
          <w:b/>
          <w:bCs/>
        </w:rPr>
        <w:t xml:space="preserve">Care and </w:t>
      </w:r>
      <w:r w:rsidR="00B44BCD">
        <w:rPr>
          <w:b/>
          <w:bCs/>
        </w:rPr>
        <w:t>t</w:t>
      </w:r>
      <w:r w:rsidRPr="00910FE5">
        <w:rPr>
          <w:b/>
          <w:bCs/>
        </w:rPr>
        <w:t>ransition to less restrictive support:</w:t>
      </w:r>
      <w:r w:rsidRPr="00910FE5">
        <w:t xml:space="preserve"> </w:t>
      </w:r>
      <w:r w:rsidR="006F7226">
        <w:t>Aim</w:t>
      </w:r>
      <w:r w:rsidR="006F7226" w:rsidRPr="00910FE5">
        <w:t xml:space="preserve"> </w:t>
      </w:r>
      <w:r w:rsidRPr="00910FE5">
        <w:t>to transition to less restrictive support when possible. </w:t>
      </w:r>
    </w:p>
    <w:p w14:paraId="31A42F72" w14:textId="0000F8D1" w:rsidR="005F3B4B" w:rsidRPr="00910FE5" w:rsidRDefault="005F3B4B" w:rsidP="005E4222">
      <w:pPr>
        <w:pStyle w:val="Bullet1"/>
      </w:pPr>
      <w:r w:rsidRPr="00910FE5">
        <w:rPr>
          <w:b/>
          <w:bCs/>
        </w:rPr>
        <w:t xml:space="preserve">Consequences of </w:t>
      </w:r>
      <w:r w:rsidR="00B44BCD">
        <w:rPr>
          <w:b/>
          <w:bCs/>
        </w:rPr>
        <w:t>i</w:t>
      </w:r>
      <w:r w:rsidRPr="00910FE5">
        <w:rPr>
          <w:b/>
          <w:bCs/>
        </w:rPr>
        <w:t>nterventions:</w:t>
      </w:r>
      <w:r w:rsidRPr="00910FE5">
        <w:t xml:space="preserve"> Consider the </w:t>
      </w:r>
      <w:r w:rsidR="00910FE5" w:rsidRPr="00910FE5">
        <w:t xml:space="preserve">traumatic </w:t>
      </w:r>
      <w:r w:rsidRPr="00910FE5">
        <w:t xml:space="preserve">impact and potential drawbacks of compulsory treatment and </w:t>
      </w:r>
      <w:r w:rsidR="00910FE5" w:rsidRPr="00910FE5">
        <w:t xml:space="preserve">the risk of </w:t>
      </w:r>
      <w:r w:rsidRPr="00910FE5">
        <w:t xml:space="preserve">restrictive </w:t>
      </w:r>
      <w:r w:rsidR="00910FE5" w:rsidRPr="00910FE5">
        <w:t>practi</w:t>
      </w:r>
      <w:r w:rsidR="006F7226">
        <w:t>c</w:t>
      </w:r>
      <w:r w:rsidR="00910FE5" w:rsidRPr="00910FE5">
        <w:t>es</w:t>
      </w:r>
      <w:r w:rsidR="006F7226">
        <w:t>.</w:t>
      </w:r>
      <w:r w:rsidRPr="00910FE5">
        <w:t xml:space="preserve"> </w:t>
      </w:r>
      <w:r w:rsidR="006F7226">
        <w:t>T</w:t>
      </w:r>
      <w:r w:rsidRPr="00910FE5">
        <w:t xml:space="preserve">here is no inherent therapeutic benefit to restrictive </w:t>
      </w:r>
      <w:r w:rsidR="00910FE5" w:rsidRPr="00910FE5">
        <w:t>practi</w:t>
      </w:r>
      <w:r w:rsidR="00543C60">
        <w:t>c</w:t>
      </w:r>
      <w:r w:rsidR="00910FE5" w:rsidRPr="00910FE5">
        <w:t>es</w:t>
      </w:r>
      <w:r w:rsidRPr="00910FE5">
        <w:t>. </w:t>
      </w:r>
    </w:p>
    <w:p w14:paraId="02BD087A" w14:textId="43B57E74" w:rsidR="005F3B4B" w:rsidRPr="00910FE5" w:rsidRDefault="005F3B4B" w:rsidP="005E4222">
      <w:pPr>
        <w:pStyle w:val="Bullet1"/>
      </w:pPr>
      <w:r w:rsidRPr="00910FE5">
        <w:rPr>
          <w:b/>
          <w:bCs/>
        </w:rPr>
        <w:t xml:space="preserve">Balancing of </w:t>
      </w:r>
      <w:r w:rsidR="00B44BCD">
        <w:rPr>
          <w:b/>
          <w:bCs/>
        </w:rPr>
        <w:t>h</w:t>
      </w:r>
      <w:r w:rsidRPr="00910FE5">
        <w:rPr>
          <w:b/>
          <w:bCs/>
        </w:rPr>
        <w:t>arm:</w:t>
      </w:r>
      <w:r w:rsidRPr="00910FE5">
        <w:t xml:space="preserve"> </w:t>
      </w:r>
      <w:r w:rsidR="006F7226">
        <w:t>W</w:t>
      </w:r>
      <w:r w:rsidRPr="00910FE5">
        <w:t>eigh the potential harms of restrictive measures against their benefits. </w:t>
      </w:r>
    </w:p>
    <w:p w14:paraId="0A7988FF" w14:textId="77777777" w:rsidR="00883902" w:rsidRDefault="005F3B4B" w:rsidP="00883902">
      <w:pPr>
        <w:pStyle w:val="Bullet1"/>
      </w:pPr>
      <w:r w:rsidRPr="00910FE5">
        <w:rPr>
          <w:b/>
          <w:bCs/>
        </w:rPr>
        <w:t>Autonomy:</w:t>
      </w:r>
      <w:r w:rsidRPr="00910FE5">
        <w:t xml:space="preserve"> Respect individuals</w:t>
      </w:r>
      <w:r w:rsidR="00543C60">
        <w:t>’</w:t>
      </w:r>
      <w:r w:rsidRPr="00910FE5">
        <w:t xml:space="preserve"> rights to make informed decisions, even if those decisions involve some level of risk.</w:t>
      </w:r>
    </w:p>
    <w:p w14:paraId="672CBFAF" w14:textId="289C2D10" w:rsidR="00A32CC7" w:rsidRPr="005E4222" w:rsidRDefault="00910FE5" w:rsidP="00883902">
      <w:pPr>
        <w:pStyle w:val="Bullet1"/>
      </w:pPr>
      <w:r w:rsidRPr="00883902">
        <w:rPr>
          <w:b/>
          <w:bCs/>
        </w:rPr>
        <w:t>Capacity:</w:t>
      </w:r>
      <w:r w:rsidRPr="00910FE5">
        <w:t xml:space="preserve"> </w:t>
      </w:r>
      <w:r w:rsidR="005F3B4B" w:rsidRPr="00910FE5">
        <w:t xml:space="preserve">The </w:t>
      </w:r>
      <w:r w:rsidR="006F7226">
        <w:t>practitioner</w:t>
      </w:r>
      <w:r w:rsidR="006F7226" w:rsidRPr="00910FE5">
        <w:t xml:space="preserve"> </w:t>
      </w:r>
      <w:r w:rsidR="005F3B4B" w:rsidRPr="00910FE5">
        <w:t xml:space="preserve">seeking informed consent must presume the person has the capacity to give it. </w:t>
      </w:r>
      <w:r w:rsidR="005F3B4B" w:rsidRPr="005E4222">
        <w:t>A person’s decision-making capacity can be temporarily impacted by mental health and physical health factors.</w:t>
      </w:r>
      <w:r w:rsidR="005E4222">
        <w:t xml:space="preserve"> </w:t>
      </w:r>
      <w:r w:rsidR="005F3B4B" w:rsidRPr="005E4222">
        <w:t xml:space="preserve">Capacity is a key risk factor </w:t>
      </w:r>
      <w:r w:rsidR="006F7226">
        <w:t xml:space="preserve">because </w:t>
      </w:r>
      <w:r w:rsidR="005F3B4B" w:rsidRPr="005E4222">
        <w:t xml:space="preserve">it informs the ability to make personal </w:t>
      </w:r>
      <w:r w:rsidR="006F7226">
        <w:t>(</w:t>
      </w:r>
      <w:r w:rsidR="005F3B4B" w:rsidRPr="005E4222">
        <w:t>albeit risky</w:t>
      </w:r>
      <w:r w:rsidR="006F7226">
        <w:t>)</w:t>
      </w:r>
      <w:r w:rsidR="005F3B4B" w:rsidRPr="005E4222">
        <w:t xml:space="preserve"> choices</w:t>
      </w:r>
      <w:r w:rsidR="006F7226">
        <w:t>. This</w:t>
      </w:r>
      <w:r w:rsidR="005F3B4B" w:rsidRPr="005E4222">
        <w:t xml:space="preserve"> needs to be weighed against the principles of the rights to autonomy and dignity of risk.</w:t>
      </w:r>
      <w:r w:rsidR="00A32CC7" w:rsidRPr="005E4222">
        <w:br w:type="page"/>
      </w:r>
    </w:p>
    <w:p w14:paraId="0F61A7FA" w14:textId="606429D3" w:rsidR="005206A8" w:rsidRPr="00910FE5" w:rsidRDefault="005206A8" w:rsidP="00477D0C">
      <w:pPr>
        <w:pStyle w:val="Heading1"/>
      </w:pPr>
      <w:bookmarkStart w:id="6" w:name="_Toc181872995"/>
      <w:r w:rsidRPr="00910FE5">
        <w:lastRenderedPageBreak/>
        <w:t xml:space="preserve">Limitations of </w:t>
      </w:r>
      <w:r w:rsidR="00B44BCD">
        <w:t>r</w:t>
      </w:r>
      <w:r w:rsidRPr="00910FE5">
        <w:t xml:space="preserve">isk </w:t>
      </w:r>
      <w:r w:rsidR="00B44BCD">
        <w:t>a</w:t>
      </w:r>
      <w:r w:rsidRPr="00910FE5">
        <w:t xml:space="preserve">ssessment </w:t>
      </w:r>
      <w:r w:rsidR="00B44BCD">
        <w:t>t</w:t>
      </w:r>
      <w:r w:rsidRPr="00910FE5">
        <w:t>ools</w:t>
      </w:r>
      <w:bookmarkEnd w:id="6"/>
    </w:p>
    <w:p w14:paraId="1D671267" w14:textId="7B5CBB0C" w:rsidR="005F3B4B" w:rsidRPr="00910FE5" w:rsidRDefault="005F3B4B" w:rsidP="005E4222">
      <w:pPr>
        <w:pStyle w:val="Body"/>
        <w:rPr>
          <w:lang w:val="en-GB"/>
        </w:rPr>
      </w:pPr>
      <w:r w:rsidRPr="00910FE5">
        <w:t xml:space="preserve">There is little evidence to support </w:t>
      </w:r>
      <w:r w:rsidR="00DD7045">
        <w:t xml:space="preserve">relying </w:t>
      </w:r>
      <w:r w:rsidRPr="00910FE5">
        <w:t>sole</w:t>
      </w:r>
      <w:r w:rsidR="00DD7045">
        <w:t>ly</w:t>
      </w:r>
      <w:r w:rsidRPr="00910FE5">
        <w:t xml:space="preserve"> on risk assessment tools </w:t>
      </w:r>
      <w:r w:rsidR="00DD7045">
        <w:t xml:space="preserve">that </w:t>
      </w:r>
      <w:r w:rsidRPr="00910FE5">
        <w:t>over-simplify risk and do not encourage formulation and individualised planning. One</w:t>
      </w:r>
      <w:r w:rsidR="00B44BCD">
        <w:t>-</w:t>
      </w:r>
      <w:r w:rsidRPr="00910FE5">
        <w:t>size</w:t>
      </w:r>
      <w:r w:rsidR="00B44BCD">
        <w:t>-</w:t>
      </w:r>
      <w:r w:rsidRPr="00910FE5">
        <w:t>fits</w:t>
      </w:r>
      <w:r w:rsidR="00B44BCD">
        <w:t>-</w:t>
      </w:r>
      <w:r w:rsidRPr="00910FE5">
        <w:t xml:space="preserve">all assessment tools may lack specificity and sensitivity. </w:t>
      </w:r>
      <w:r w:rsidRPr="00910FE5">
        <w:rPr>
          <w:lang w:val="en-GB"/>
        </w:rPr>
        <w:t xml:space="preserve">Such tools may </w:t>
      </w:r>
      <w:r w:rsidR="00111F8B">
        <w:rPr>
          <w:lang w:val="en-GB"/>
        </w:rPr>
        <w:t xml:space="preserve">help </w:t>
      </w:r>
      <w:r w:rsidRPr="00910FE5">
        <w:rPr>
          <w:lang w:val="en-GB"/>
        </w:rPr>
        <w:t>identif</w:t>
      </w:r>
      <w:r w:rsidR="00111F8B">
        <w:rPr>
          <w:lang w:val="en-GB"/>
        </w:rPr>
        <w:t>y</w:t>
      </w:r>
      <w:r w:rsidRPr="00910FE5">
        <w:rPr>
          <w:lang w:val="en-GB"/>
        </w:rPr>
        <w:t xml:space="preserve"> risk and protective factors and </w:t>
      </w:r>
      <w:r w:rsidR="00111F8B">
        <w:rPr>
          <w:lang w:val="en-GB"/>
        </w:rPr>
        <w:t xml:space="preserve">therefore </w:t>
      </w:r>
      <w:r w:rsidRPr="00910FE5">
        <w:rPr>
          <w:lang w:val="en-GB"/>
        </w:rPr>
        <w:t>contribute to safety planning by guiding risk mitigation as long as they contribute to a risk formulation.</w:t>
      </w:r>
    </w:p>
    <w:p w14:paraId="7CE7212D" w14:textId="7200C9A9" w:rsidR="00910FE5" w:rsidRPr="00910FE5" w:rsidRDefault="00910FE5" w:rsidP="005E4222">
      <w:pPr>
        <w:pStyle w:val="Body"/>
      </w:pPr>
      <w:r w:rsidRPr="00910FE5">
        <w:t>Best practice requires a complex integration of individualised risk and protective factors for each consumer or risk formulation.</w:t>
      </w:r>
    </w:p>
    <w:p w14:paraId="1639BA15" w14:textId="2F80B7AB" w:rsidR="005F3B4B" w:rsidRPr="00910FE5" w:rsidRDefault="005F3B4B" w:rsidP="005E4222">
      <w:pPr>
        <w:pStyle w:val="Body"/>
      </w:pPr>
      <w:r w:rsidRPr="00910FE5">
        <w:t>The O</w:t>
      </w:r>
      <w:r w:rsidR="00BC39DA">
        <w:t xml:space="preserve">ffice of the </w:t>
      </w:r>
      <w:r w:rsidRPr="00910FE5">
        <w:t>C</w:t>
      </w:r>
      <w:r w:rsidR="00BC39DA">
        <w:t xml:space="preserve">hief </w:t>
      </w:r>
      <w:r w:rsidRPr="00910FE5">
        <w:t>P</w:t>
      </w:r>
      <w:r w:rsidR="00BC39DA">
        <w:t>sychiatrist</w:t>
      </w:r>
      <w:r w:rsidRPr="00910FE5">
        <w:t xml:space="preserve"> supports the National Institute for </w:t>
      </w:r>
      <w:r w:rsidR="00111F8B">
        <w:t xml:space="preserve">Health and Care </w:t>
      </w:r>
      <w:r w:rsidRPr="00910FE5">
        <w:t xml:space="preserve">Excellence </w:t>
      </w:r>
      <w:r w:rsidR="002834F6">
        <w:t xml:space="preserve">(NICE) </w:t>
      </w:r>
      <w:r w:rsidRPr="00910FE5">
        <w:t>Committee</w:t>
      </w:r>
      <w:r w:rsidR="00111F8B">
        <w:t>’s</w:t>
      </w:r>
      <w:r w:rsidRPr="00910FE5">
        <w:t xml:space="preserve"> conclusions that:</w:t>
      </w:r>
    </w:p>
    <w:p w14:paraId="3FA4881A" w14:textId="7812DBC8" w:rsidR="005F3B4B" w:rsidRPr="00910FE5" w:rsidRDefault="00111F8B" w:rsidP="00FC0846">
      <w:pPr>
        <w:pStyle w:val="Bullet1"/>
      </w:pPr>
      <w:r>
        <w:t>R</w:t>
      </w:r>
      <w:r w:rsidR="005F3B4B" w:rsidRPr="00910FE5">
        <w:t>isk assessment tools and scales cannot reliably and accurately predict self-harm and suicide</w:t>
      </w:r>
      <w:r>
        <w:t>.</w:t>
      </w:r>
      <w:r w:rsidR="005F3B4B" w:rsidRPr="00910FE5">
        <w:t xml:space="preserve"> </w:t>
      </w:r>
    </w:p>
    <w:p w14:paraId="26062A6F" w14:textId="70AF84E8" w:rsidR="005F3B4B" w:rsidRPr="00910FE5" w:rsidRDefault="00111F8B" w:rsidP="00FC0846">
      <w:pPr>
        <w:pStyle w:val="Bullet1"/>
      </w:pPr>
      <w:r>
        <w:t>R</w:t>
      </w:r>
      <w:r w:rsidR="005F3B4B" w:rsidRPr="00910FE5">
        <w:t>el</w:t>
      </w:r>
      <w:r>
        <w:t>ying</w:t>
      </w:r>
      <w:r w:rsidR="005F3B4B" w:rsidRPr="00910FE5">
        <w:t xml:space="preserve"> on such tools alone to determine access to treatment or hospital care is not warranted</w:t>
      </w:r>
      <w:r>
        <w:t>.</w:t>
      </w:r>
    </w:p>
    <w:p w14:paraId="5596A7C2" w14:textId="3FF76932" w:rsidR="005F3B4B" w:rsidRPr="00910FE5" w:rsidRDefault="00111F8B" w:rsidP="00FC0846">
      <w:pPr>
        <w:pStyle w:val="Bullet1"/>
      </w:pPr>
      <w:r>
        <w:t>G</w:t>
      </w:r>
      <w:r w:rsidR="005F3B4B" w:rsidRPr="00910FE5">
        <w:t>lobal stratification of risk into low, medium or high should not be used to predict future risk of suicide or repetition of self-harm</w:t>
      </w:r>
      <w:r>
        <w:t>.</w:t>
      </w:r>
      <w:r w:rsidR="005F3B4B" w:rsidRPr="00910FE5">
        <w:t xml:space="preserve"> </w:t>
      </w:r>
    </w:p>
    <w:p w14:paraId="0F7F674C" w14:textId="118B7729" w:rsidR="005F3B4B" w:rsidRPr="00910FE5" w:rsidRDefault="00111F8B" w:rsidP="00FC0846">
      <w:pPr>
        <w:pStyle w:val="Bullet1"/>
      </w:pPr>
      <w:r>
        <w:t>G</w:t>
      </w:r>
      <w:r w:rsidR="005F3B4B" w:rsidRPr="00910FE5">
        <w:t>lobal stratification of risk into low, medium or high should not be used to determine who should be offered treatment or who should be discharged</w:t>
      </w:r>
      <w:r>
        <w:t>.</w:t>
      </w:r>
    </w:p>
    <w:p w14:paraId="3AAD308B" w14:textId="20AE0D7D" w:rsidR="005F3B4B" w:rsidRPr="00910FE5" w:rsidRDefault="00111F8B" w:rsidP="00FC0846">
      <w:pPr>
        <w:pStyle w:val="Bullet1"/>
        <w:spacing w:after="120"/>
      </w:pPr>
      <w:r>
        <w:t>B</w:t>
      </w:r>
      <w:r w:rsidR="005F3B4B" w:rsidRPr="00910FE5">
        <w:t>est practice requires integrati</w:t>
      </w:r>
      <w:r>
        <w:t>ng</w:t>
      </w:r>
      <w:r w:rsidR="005F3B4B" w:rsidRPr="00910FE5">
        <w:t xml:space="preserve"> individualised risk and protective factors for each consumer: risk formulation</w:t>
      </w:r>
      <w:r w:rsidR="008235DC">
        <w:t xml:space="preserve"> (Hawton et al 2022)</w:t>
      </w:r>
      <w:r>
        <w:t>.</w:t>
      </w:r>
      <w:r w:rsidR="00BC39DA">
        <w:t xml:space="preserve"> </w:t>
      </w:r>
      <w:r>
        <w:rPr>
          <w:rFonts w:eastAsiaTheme="minorEastAsia"/>
          <w:color w:val="000000" w:themeColor="text1"/>
        </w:rPr>
        <w:t>T</w:t>
      </w:r>
      <w:r w:rsidR="005F3B4B" w:rsidRPr="00910FE5">
        <w:rPr>
          <w:rFonts w:eastAsiaTheme="minorEastAsia"/>
          <w:color w:val="000000" w:themeColor="text1"/>
        </w:rPr>
        <w:t xml:space="preserve">his is best carried out in a therapeutic </w:t>
      </w:r>
      <w:r>
        <w:rPr>
          <w:rFonts w:eastAsiaTheme="minorEastAsia"/>
          <w:color w:val="000000" w:themeColor="text1"/>
        </w:rPr>
        <w:t xml:space="preserve">setting alongside </w:t>
      </w:r>
      <w:r w:rsidR="005F3B4B" w:rsidRPr="00910FE5">
        <w:rPr>
          <w:rFonts w:eastAsiaTheme="minorEastAsia"/>
          <w:color w:val="000000" w:themeColor="text1"/>
        </w:rPr>
        <w:t xml:space="preserve">the person and their social network (often family) to gain a meaningful and authentic understanding of their situation. </w:t>
      </w:r>
    </w:p>
    <w:p w14:paraId="299FED15" w14:textId="17780C88" w:rsidR="00FC0846" w:rsidRDefault="005F3B4B" w:rsidP="005E4222">
      <w:pPr>
        <w:pStyle w:val="Body"/>
      </w:pPr>
      <w:r w:rsidRPr="00910FE5">
        <w:t xml:space="preserve">A sample risk formulation grid is provided in </w:t>
      </w:r>
      <w:r w:rsidR="005376FE">
        <w:t xml:space="preserve">Appendix </w:t>
      </w:r>
      <w:r w:rsidR="002622EA">
        <w:t>1</w:t>
      </w:r>
      <w:r w:rsidRPr="00910FE5">
        <w:t>.</w:t>
      </w:r>
    </w:p>
    <w:p w14:paraId="04A34C2B" w14:textId="07AEB0B4" w:rsidR="005F3B4B" w:rsidRPr="00910FE5" w:rsidRDefault="005F3B4B" w:rsidP="005E4222">
      <w:pPr>
        <w:pStyle w:val="Body"/>
        <w:rPr>
          <w:rFonts w:eastAsiaTheme="minorEastAsia"/>
          <w:color w:val="333333"/>
          <w:sz w:val="22"/>
          <w:szCs w:val="22"/>
        </w:rPr>
      </w:pPr>
      <w:r w:rsidRPr="00910FE5">
        <w:t>The O</w:t>
      </w:r>
      <w:r w:rsidR="002834F6">
        <w:t xml:space="preserve">ffice of the </w:t>
      </w:r>
      <w:r w:rsidRPr="00910FE5">
        <w:t>C</w:t>
      </w:r>
      <w:r w:rsidR="002834F6">
        <w:t xml:space="preserve">hief </w:t>
      </w:r>
      <w:r w:rsidRPr="00910FE5">
        <w:t>P</w:t>
      </w:r>
      <w:r w:rsidR="002834F6">
        <w:t>sychiatrist</w:t>
      </w:r>
      <w:r w:rsidRPr="00910FE5">
        <w:t xml:space="preserve"> supports incorporat</w:t>
      </w:r>
      <w:r w:rsidR="00111F8B">
        <w:t>ing</w:t>
      </w:r>
      <w:r w:rsidRPr="00910FE5">
        <w:t xml:space="preserve"> the </w:t>
      </w:r>
      <w:r w:rsidR="007F0CF4" w:rsidRPr="00542351">
        <w:t>Mental Health and Wellbeing Act</w:t>
      </w:r>
      <w:r w:rsidR="00111F8B">
        <w:t>’s</w:t>
      </w:r>
      <w:r w:rsidR="007F0CF4" w:rsidRPr="00542351">
        <w:t xml:space="preserve"> </w:t>
      </w:r>
      <w:r w:rsidRPr="00910FE5">
        <w:t>treatment and intervention decision</w:t>
      </w:r>
      <w:r w:rsidR="00111F8B">
        <w:t>-</w:t>
      </w:r>
      <w:r w:rsidRPr="00910FE5">
        <w:t xml:space="preserve">making principles as well as </w:t>
      </w:r>
      <w:r w:rsidR="000B57A3">
        <w:t>the</w:t>
      </w:r>
      <w:r w:rsidRPr="00910FE5">
        <w:t xml:space="preserve"> broad</w:t>
      </w:r>
      <w:r w:rsidR="000B57A3">
        <w:t>er</w:t>
      </w:r>
      <w:r w:rsidRPr="00910FE5">
        <w:t xml:space="preserve"> consideration of risk </w:t>
      </w:r>
      <w:r w:rsidR="000B57A3">
        <w:t xml:space="preserve">principles below </w:t>
      </w:r>
      <w:r w:rsidRPr="00910FE5">
        <w:t>integrated into a risk formulation. We acknowledge that there may be tensions between the principles, the limited predictive capacity of risk assessment tools and the need to support safety and care. Formulation</w:t>
      </w:r>
      <w:r w:rsidR="00111F8B">
        <w:t>-</w:t>
      </w:r>
      <w:r w:rsidRPr="00910FE5">
        <w:t xml:space="preserve">informed decision making provides the structure for a reasoned approach to risk management </w:t>
      </w:r>
      <w:r w:rsidR="00111F8B">
        <w:t>in</w:t>
      </w:r>
      <w:r w:rsidR="00111F8B" w:rsidRPr="00910FE5">
        <w:t xml:space="preserve"> </w:t>
      </w:r>
      <w:r w:rsidRPr="00910FE5">
        <w:t>mental health setting</w:t>
      </w:r>
      <w:r w:rsidR="00111F8B">
        <w:t>s</w:t>
      </w:r>
      <w:r w:rsidRPr="00910FE5">
        <w:t xml:space="preserve">. </w:t>
      </w:r>
    </w:p>
    <w:p w14:paraId="329E004D" w14:textId="77777777" w:rsidR="00111F8B" w:rsidRDefault="00111F8B" w:rsidP="003B4FE9">
      <w:pPr>
        <w:pStyle w:val="Body"/>
        <w:rPr>
          <w:rFonts w:eastAsia="MS Gothic" w:cs="Arial"/>
          <w:color w:val="C63663"/>
          <w:kern w:val="32"/>
          <w:sz w:val="44"/>
          <w:szCs w:val="44"/>
        </w:rPr>
      </w:pPr>
      <w:r>
        <w:br w:type="page"/>
      </w:r>
    </w:p>
    <w:p w14:paraId="686BBD7C" w14:textId="240D7068" w:rsidR="005206A8" w:rsidRPr="00910FE5" w:rsidRDefault="005206A8" w:rsidP="00477D0C">
      <w:pPr>
        <w:pStyle w:val="Heading1"/>
      </w:pPr>
      <w:bookmarkStart w:id="7" w:name="_Toc181872996"/>
      <w:r w:rsidRPr="00910FE5">
        <w:lastRenderedPageBreak/>
        <w:t xml:space="preserve">Key </w:t>
      </w:r>
      <w:r w:rsidR="00A32CC7" w:rsidRPr="00910FE5">
        <w:t>p</w:t>
      </w:r>
      <w:r w:rsidRPr="00910FE5">
        <w:t>rinciples</w:t>
      </w:r>
      <w:bookmarkEnd w:id="7"/>
    </w:p>
    <w:p w14:paraId="0851387C" w14:textId="2B298E7A" w:rsidR="005206A8" w:rsidRPr="00910FE5" w:rsidRDefault="005206A8" w:rsidP="005206A8">
      <w:pPr>
        <w:pStyle w:val="Body"/>
        <w:rPr>
          <w:rFonts w:cs="Arial"/>
        </w:rPr>
      </w:pPr>
      <w:r w:rsidRPr="00910FE5">
        <w:rPr>
          <w:rFonts w:cs="Arial"/>
        </w:rPr>
        <w:t xml:space="preserve">The following key principles of self-harm and suicide risk assessment may </w:t>
      </w:r>
      <w:r w:rsidR="00514B25">
        <w:rPr>
          <w:rFonts w:cs="Arial"/>
        </w:rPr>
        <w:t>help</w:t>
      </w:r>
      <w:r w:rsidR="00514B25" w:rsidRPr="00910FE5">
        <w:rPr>
          <w:rFonts w:cs="Arial"/>
        </w:rPr>
        <w:t xml:space="preserve"> </w:t>
      </w:r>
      <w:r w:rsidRPr="00910FE5">
        <w:rPr>
          <w:rFonts w:cs="Arial"/>
        </w:rPr>
        <w:t>in formulating risk</w:t>
      </w:r>
      <w:r w:rsidR="00514B25">
        <w:rPr>
          <w:rFonts w:cs="Arial"/>
        </w:rPr>
        <w:t>.</w:t>
      </w:r>
    </w:p>
    <w:p w14:paraId="2EF098E2" w14:textId="79E0D6F0" w:rsidR="005206A8" w:rsidRPr="00910FE5" w:rsidRDefault="005206A8" w:rsidP="007718B9">
      <w:pPr>
        <w:pStyle w:val="Body"/>
        <w:numPr>
          <w:ilvl w:val="0"/>
          <w:numId w:val="8"/>
        </w:numPr>
        <w:rPr>
          <w:rFonts w:cs="Arial"/>
          <w:b/>
          <w:bCs/>
        </w:rPr>
      </w:pPr>
      <w:r w:rsidRPr="00910FE5">
        <w:rPr>
          <w:rFonts w:cs="Arial"/>
          <w:b/>
          <w:bCs/>
        </w:rPr>
        <w:t>Risk is dynamic</w:t>
      </w:r>
    </w:p>
    <w:p w14:paraId="5F25D38B" w14:textId="26AA92DA" w:rsidR="005206A8" w:rsidRPr="00910FE5" w:rsidRDefault="003D5E75" w:rsidP="003360B3">
      <w:pPr>
        <w:pStyle w:val="Bullet1"/>
      </w:pPr>
      <w:r>
        <w:t>R</w:t>
      </w:r>
      <w:r w:rsidR="005206A8" w:rsidRPr="00910FE5">
        <w:t>isk is fluid and can change rapidly based on various factors</w:t>
      </w:r>
      <w:r w:rsidR="00E77D77">
        <w:t>. These</w:t>
      </w:r>
      <w:r w:rsidR="005206A8" w:rsidRPr="00910FE5">
        <w:t xml:space="preserve"> includ</w:t>
      </w:r>
      <w:r w:rsidR="00E77D77">
        <w:t>e</w:t>
      </w:r>
      <w:r w:rsidR="005206A8" w:rsidRPr="00910FE5">
        <w:t xml:space="preserve"> mental state, </w:t>
      </w:r>
      <w:r w:rsidR="009E25A6">
        <w:t xml:space="preserve">physical state, </w:t>
      </w:r>
      <w:r w:rsidR="005206A8" w:rsidRPr="00910FE5">
        <w:t>environmental changes and personal crises.</w:t>
      </w:r>
    </w:p>
    <w:p w14:paraId="4931533D" w14:textId="254DBD61" w:rsidR="005206A8" w:rsidRPr="00910FE5" w:rsidRDefault="005206A8" w:rsidP="003360B3">
      <w:pPr>
        <w:pStyle w:val="Bullet1"/>
      </w:pPr>
      <w:r w:rsidRPr="00910FE5">
        <w:t>Risk needs to be re-evaluated whenever circumstances change</w:t>
      </w:r>
      <w:r w:rsidR="002834F6">
        <w:t>.</w:t>
      </w:r>
    </w:p>
    <w:p w14:paraId="0453198A" w14:textId="5DB3FCF5" w:rsidR="005206A8" w:rsidRPr="00910FE5" w:rsidRDefault="005206A8" w:rsidP="003360B3">
      <w:pPr>
        <w:pStyle w:val="Bullet1"/>
      </w:pPr>
      <w:r w:rsidRPr="00910FE5">
        <w:t>Risk cannot be eliminated but may be mitigated</w:t>
      </w:r>
      <w:r w:rsidR="002834F6">
        <w:t>.</w:t>
      </w:r>
    </w:p>
    <w:p w14:paraId="7E40E2A4" w14:textId="32CAA447" w:rsidR="004327D8" w:rsidRPr="00910FE5" w:rsidRDefault="005206A8" w:rsidP="003360B3">
      <w:pPr>
        <w:pStyle w:val="Bullet1"/>
      </w:pPr>
      <w:r w:rsidRPr="00910FE5">
        <w:t xml:space="preserve">Risk mitigation strategies need to be appropriate to </w:t>
      </w:r>
      <w:r w:rsidR="00E77D77">
        <w:t xml:space="preserve">the </w:t>
      </w:r>
      <w:r w:rsidRPr="00910FE5">
        <w:t>setting, phase and focus of care</w:t>
      </w:r>
      <w:r w:rsidR="002834F6">
        <w:t>.</w:t>
      </w:r>
    </w:p>
    <w:p w14:paraId="1E9B9B96" w14:textId="39DDD03E" w:rsidR="004327D8" w:rsidRPr="005E4222" w:rsidRDefault="004327D8" w:rsidP="005E4222">
      <w:pPr>
        <w:pStyle w:val="Bullet1"/>
      </w:pPr>
      <w:r w:rsidRPr="00910FE5">
        <w:t xml:space="preserve">Risk needs to be considered for periods of time, </w:t>
      </w:r>
      <w:r w:rsidR="00E77D77">
        <w:t xml:space="preserve">considering </w:t>
      </w:r>
      <w:r w:rsidRPr="00910FE5">
        <w:t>when the person can next be reviewed.</w:t>
      </w:r>
    </w:p>
    <w:p w14:paraId="5058509A" w14:textId="6675F699" w:rsidR="005206A8" w:rsidRPr="00910FE5" w:rsidRDefault="005206A8" w:rsidP="005E4222">
      <w:pPr>
        <w:pStyle w:val="Body"/>
        <w:numPr>
          <w:ilvl w:val="0"/>
          <w:numId w:val="8"/>
        </w:numPr>
        <w:spacing w:before="120"/>
        <w:rPr>
          <w:rFonts w:cs="Arial"/>
          <w:b/>
          <w:bCs/>
        </w:rPr>
      </w:pPr>
      <w:r w:rsidRPr="00910FE5">
        <w:rPr>
          <w:rFonts w:cs="Arial"/>
          <w:b/>
          <w:bCs/>
        </w:rPr>
        <w:t xml:space="preserve">Risk is impacted by connection </w:t>
      </w:r>
      <w:r w:rsidR="004327D8" w:rsidRPr="00910FE5">
        <w:rPr>
          <w:rFonts w:cs="Arial"/>
          <w:b/>
          <w:bCs/>
        </w:rPr>
        <w:t>and relationship</w:t>
      </w:r>
    </w:p>
    <w:p w14:paraId="03610DEC" w14:textId="7C94DA01" w:rsidR="009E25A6" w:rsidRDefault="009E25A6" w:rsidP="003360B3">
      <w:pPr>
        <w:pStyle w:val="Bullet1"/>
      </w:pPr>
      <w:r>
        <w:t>Risk may be exacerbated or reduced through relationships with important others and with clinicians.</w:t>
      </w:r>
    </w:p>
    <w:p w14:paraId="67190594" w14:textId="2BA3D9CB" w:rsidR="005206A8" w:rsidRPr="00910FE5" w:rsidRDefault="005206A8" w:rsidP="003360B3">
      <w:pPr>
        <w:pStyle w:val="Bullet1"/>
      </w:pPr>
      <w:r w:rsidRPr="00910FE5">
        <w:t xml:space="preserve">Suicidal actions may be impulsive or may involve long-term planning </w:t>
      </w:r>
      <w:r w:rsidR="00E77D77">
        <w:t>that</w:t>
      </w:r>
      <w:r w:rsidR="00E77D77" w:rsidRPr="00910FE5">
        <w:t xml:space="preserve"> </w:t>
      </w:r>
      <w:r w:rsidR="004327D8" w:rsidRPr="00910FE5">
        <w:t>may be hidden</w:t>
      </w:r>
      <w:r w:rsidR="009E25A6">
        <w:t xml:space="preserve"> from key relationships</w:t>
      </w:r>
      <w:r w:rsidRPr="00910FE5">
        <w:t>.</w:t>
      </w:r>
      <w:r w:rsidR="004327D8" w:rsidRPr="00910FE5">
        <w:t xml:space="preserve"> Actual or perceived loneliness may contribute to </w:t>
      </w:r>
      <w:r w:rsidR="009E25A6">
        <w:t>hidden</w:t>
      </w:r>
      <w:r w:rsidR="004327D8" w:rsidRPr="00910FE5">
        <w:t xml:space="preserve"> planning.</w:t>
      </w:r>
    </w:p>
    <w:p w14:paraId="51D5B19E" w14:textId="29A0F40E" w:rsidR="005206A8" w:rsidRPr="00910FE5" w:rsidRDefault="00E77D77" w:rsidP="003360B3">
      <w:pPr>
        <w:pStyle w:val="Bullet1"/>
      </w:pPr>
      <w:r>
        <w:t>R</w:t>
      </w:r>
      <w:r w:rsidR="005206A8" w:rsidRPr="00910FE5">
        <w:t xml:space="preserve">educing the person’s sense of hopelessness and aloneness </w:t>
      </w:r>
      <w:r>
        <w:t>through t</w:t>
      </w:r>
      <w:r w:rsidRPr="00910FE5">
        <w:t>herapeutic engagement and connection</w:t>
      </w:r>
      <w:r>
        <w:t xml:space="preserve"> </w:t>
      </w:r>
      <w:r w:rsidR="005206A8" w:rsidRPr="00910FE5">
        <w:t xml:space="preserve">may </w:t>
      </w:r>
      <w:r w:rsidR="009E25A6">
        <w:t xml:space="preserve">have </w:t>
      </w:r>
      <w:r>
        <w:t xml:space="preserve">a </w:t>
      </w:r>
      <w:r w:rsidR="009E25A6">
        <w:t xml:space="preserve">significant </w:t>
      </w:r>
      <w:r w:rsidR="005206A8" w:rsidRPr="00910FE5">
        <w:t xml:space="preserve">influence </w:t>
      </w:r>
      <w:r w:rsidR="009E25A6">
        <w:t>to enable</w:t>
      </w:r>
      <w:r w:rsidR="005206A8" w:rsidRPr="00910FE5">
        <w:t xml:space="preserve"> collaborative safety planning.</w:t>
      </w:r>
    </w:p>
    <w:p w14:paraId="63F6C604" w14:textId="218973D1" w:rsidR="004327D8" w:rsidRPr="005E4222" w:rsidRDefault="005206A8" w:rsidP="005E4222">
      <w:pPr>
        <w:pStyle w:val="Bullet1"/>
      </w:pPr>
      <w:r w:rsidRPr="00910FE5">
        <w:t>Bringing in family or friends to the relationship and to awareness about risk can change the trajectory of individual decision making</w:t>
      </w:r>
      <w:r w:rsidR="004327D8" w:rsidRPr="00910FE5">
        <w:t>. At times the acuity of the risk may merit breaching privacy or consent to support safety. The extent to which this is done needs to be limited and balanced against the principles of dignity of risk and autonomy.</w:t>
      </w:r>
    </w:p>
    <w:p w14:paraId="75530B6B" w14:textId="0525C058" w:rsidR="005206A8" w:rsidRPr="00910FE5" w:rsidRDefault="005206A8" w:rsidP="005E4222">
      <w:pPr>
        <w:pStyle w:val="Body"/>
        <w:numPr>
          <w:ilvl w:val="0"/>
          <w:numId w:val="8"/>
        </w:numPr>
        <w:spacing w:before="120"/>
        <w:rPr>
          <w:rFonts w:cs="Arial"/>
          <w:b/>
          <w:bCs/>
        </w:rPr>
      </w:pPr>
      <w:r w:rsidRPr="00910FE5">
        <w:rPr>
          <w:rFonts w:cs="Arial"/>
          <w:b/>
          <w:bCs/>
        </w:rPr>
        <w:t>Risk is impacted by population and context</w:t>
      </w:r>
    </w:p>
    <w:p w14:paraId="0DE9F8A4" w14:textId="0B2D630E" w:rsidR="005206A8" w:rsidRPr="00910FE5" w:rsidRDefault="005206A8" w:rsidP="003360B3">
      <w:pPr>
        <w:pStyle w:val="Bullet1"/>
      </w:pPr>
      <w:r w:rsidRPr="00910FE5">
        <w:t>Data on suicide rates and cultural, sociodemographic and population risk may help inform</w:t>
      </w:r>
      <w:r w:rsidR="003C2E3D">
        <w:t xml:space="preserve"> care decisions,</w:t>
      </w:r>
      <w:r w:rsidRPr="00910FE5">
        <w:t xml:space="preserve"> but individual risk may vary significantly from general trends.</w:t>
      </w:r>
    </w:p>
    <w:p w14:paraId="63F46D4A" w14:textId="608F5324" w:rsidR="005206A8" w:rsidRDefault="005206A8" w:rsidP="003360B3">
      <w:pPr>
        <w:pStyle w:val="Bullet1"/>
      </w:pPr>
      <w:r w:rsidRPr="00910FE5">
        <w:t xml:space="preserve">Individual contextual factors that </w:t>
      </w:r>
      <w:r w:rsidR="00BD23D4" w:rsidRPr="00910FE5">
        <w:t>consider</w:t>
      </w:r>
      <w:r w:rsidRPr="00910FE5">
        <w:t xml:space="preserve"> the person</w:t>
      </w:r>
      <w:r w:rsidR="00BD23D4">
        <w:t>’s</w:t>
      </w:r>
      <w:r w:rsidRPr="00910FE5">
        <w:t xml:space="preserve"> history, social environment, beliefs and current life circumstances can influence their risk level.</w:t>
      </w:r>
    </w:p>
    <w:p w14:paraId="68AFE57D" w14:textId="24DEE5EF" w:rsidR="004327D8" w:rsidRPr="005E4222" w:rsidRDefault="009E25A6" w:rsidP="005E4222">
      <w:pPr>
        <w:pStyle w:val="Bullet1"/>
      </w:pPr>
      <w:r>
        <w:t>Recent life stressors may have a significant impact on risk for a relatively short period</w:t>
      </w:r>
      <w:r w:rsidR="00BD23D4">
        <w:t>. I</w:t>
      </w:r>
      <w:r>
        <w:t>f support</w:t>
      </w:r>
      <w:r w:rsidR="002834F6">
        <w:t xml:space="preserve"> is provided</w:t>
      </w:r>
      <w:r>
        <w:t xml:space="preserve"> during this period, risk significantly reduces thereafter.</w:t>
      </w:r>
    </w:p>
    <w:p w14:paraId="33119530" w14:textId="0C96DA52" w:rsidR="005206A8" w:rsidRPr="00910FE5" w:rsidRDefault="005206A8" w:rsidP="005E4222">
      <w:pPr>
        <w:pStyle w:val="Body"/>
        <w:numPr>
          <w:ilvl w:val="0"/>
          <w:numId w:val="8"/>
        </w:numPr>
        <w:spacing w:before="120"/>
        <w:rPr>
          <w:rFonts w:cs="Arial"/>
          <w:b/>
          <w:bCs/>
        </w:rPr>
      </w:pPr>
      <w:r w:rsidRPr="00910FE5">
        <w:rPr>
          <w:rFonts w:cs="Arial"/>
          <w:b/>
          <w:bCs/>
        </w:rPr>
        <w:t>Overall risk is a balance between short</w:t>
      </w:r>
      <w:r w:rsidR="00E77D77">
        <w:rPr>
          <w:rFonts w:cs="Arial"/>
          <w:b/>
          <w:bCs/>
        </w:rPr>
        <w:t>-</w:t>
      </w:r>
      <w:r w:rsidRPr="00910FE5">
        <w:rPr>
          <w:rFonts w:cs="Arial"/>
          <w:b/>
          <w:bCs/>
        </w:rPr>
        <w:t>term and long</w:t>
      </w:r>
      <w:r w:rsidR="00E77D77">
        <w:rPr>
          <w:rFonts w:cs="Arial"/>
          <w:b/>
          <w:bCs/>
        </w:rPr>
        <w:t>-</w:t>
      </w:r>
      <w:r w:rsidRPr="00910FE5">
        <w:rPr>
          <w:rFonts w:cs="Arial"/>
          <w:b/>
          <w:bCs/>
        </w:rPr>
        <w:t>term risks</w:t>
      </w:r>
    </w:p>
    <w:p w14:paraId="44951C18" w14:textId="1242315E" w:rsidR="005206A8" w:rsidRPr="00910FE5" w:rsidRDefault="005206A8" w:rsidP="003360B3">
      <w:pPr>
        <w:pStyle w:val="Bullet1"/>
      </w:pPr>
      <w:r w:rsidRPr="00910FE5">
        <w:t>It is important to recognise that short-term risk</w:t>
      </w:r>
      <w:r w:rsidR="00BD23D4">
        <w:t>-</w:t>
      </w:r>
      <w:r w:rsidRPr="00910FE5">
        <w:t>reduction measures might compromise long-term recovery goals.</w:t>
      </w:r>
    </w:p>
    <w:p w14:paraId="2E42EF63" w14:textId="106C91C2" w:rsidR="004327D8" w:rsidRPr="00910FE5" w:rsidRDefault="005206A8" w:rsidP="003360B3">
      <w:pPr>
        <w:pStyle w:val="Bullet1"/>
      </w:pPr>
      <w:r w:rsidRPr="00910FE5">
        <w:t>Strategic planning for long</w:t>
      </w:r>
      <w:r w:rsidR="00B44BCD">
        <w:t>-</w:t>
      </w:r>
      <w:r w:rsidRPr="00910FE5">
        <w:t>term safety therefore needs a balanced approach that considers both immediate safety and future recovery needs, adjusting as needed.</w:t>
      </w:r>
    </w:p>
    <w:p w14:paraId="4BD13D9E" w14:textId="30207234" w:rsidR="004327D8" w:rsidRPr="005E4222" w:rsidRDefault="004327D8" w:rsidP="005E4222">
      <w:pPr>
        <w:pStyle w:val="Bullet1"/>
      </w:pPr>
      <w:r w:rsidRPr="00910FE5">
        <w:t>Risk formulation should include both a cross</w:t>
      </w:r>
      <w:r w:rsidR="00BD23D4">
        <w:t>-</w:t>
      </w:r>
      <w:r w:rsidRPr="00910FE5">
        <w:t>sectional and a longitudinal component</w:t>
      </w:r>
      <w:r w:rsidR="009E25A6">
        <w:t>.</w:t>
      </w:r>
      <w:r w:rsidRPr="00910FE5">
        <w:t xml:space="preserve"> </w:t>
      </w:r>
      <w:r w:rsidR="009E25A6">
        <w:t>H</w:t>
      </w:r>
      <w:r w:rsidRPr="00910FE5">
        <w:t>istorical factors and patterns need to be considered.</w:t>
      </w:r>
    </w:p>
    <w:p w14:paraId="3134633D" w14:textId="4D78CF8B" w:rsidR="005206A8" w:rsidRPr="00910FE5" w:rsidRDefault="00E77D77" w:rsidP="005E4222">
      <w:pPr>
        <w:pStyle w:val="Body"/>
        <w:numPr>
          <w:ilvl w:val="0"/>
          <w:numId w:val="8"/>
        </w:numPr>
        <w:spacing w:before="120"/>
        <w:rPr>
          <w:rFonts w:cs="Arial"/>
          <w:b/>
          <w:bCs/>
        </w:rPr>
      </w:pPr>
      <w:r>
        <w:rPr>
          <w:rFonts w:cs="Arial"/>
          <w:b/>
          <w:bCs/>
        </w:rPr>
        <w:t>C</w:t>
      </w:r>
      <w:r w:rsidR="005206A8" w:rsidRPr="00910FE5">
        <w:rPr>
          <w:rFonts w:cs="Arial"/>
          <w:b/>
          <w:bCs/>
        </w:rPr>
        <w:t>onsider</w:t>
      </w:r>
      <w:r>
        <w:rPr>
          <w:rFonts w:cs="Arial"/>
          <w:b/>
          <w:bCs/>
        </w:rPr>
        <w:t xml:space="preserve"> undertaking</w:t>
      </w:r>
      <w:r w:rsidR="005206A8" w:rsidRPr="00910FE5">
        <w:rPr>
          <w:rFonts w:cs="Arial"/>
          <w:b/>
          <w:bCs/>
        </w:rPr>
        <w:t xml:space="preserve"> a risk-benefit analysis</w:t>
      </w:r>
    </w:p>
    <w:p w14:paraId="1EC3341C" w14:textId="2EBEF857" w:rsidR="004327D8" w:rsidRPr="005E4222" w:rsidRDefault="005206A8" w:rsidP="005E4222">
      <w:pPr>
        <w:pStyle w:val="Bullet1"/>
      </w:pPr>
      <w:r w:rsidRPr="00910FE5">
        <w:t xml:space="preserve">There needs to be a balance between perceived risks against the likelihood of outcomes alongside the </w:t>
      </w:r>
      <w:r w:rsidR="00BD23D4">
        <w:t xml:space="preserve">person’s </w:t>
      </w:r>
      <w:r w:rsidRPr="00910FE5">
        <w:t>values, needs and context.</w:t>
      </w:r>
    </w:p>
    <w:p w14:paraId="5F984DF5" w14:textId="6F49EA35" w:rsidR="005206A8" w:rsidRPr="00910FE5" w:rsidRDefault="005206A8" w:rsidP="005E4222">
      <w:pPr>
        <w:pStyle w:val="Body"/>
        <w:numPr>
          <w:ilvl w:val="0"/>
          <w:numId w:val="8"/>
        </w:numPr>
        <w:spacing w:before="120"/>
        <w:rPr>
          <w:rFonts w:cs="Arial"/>
          <w:b/>
          <w:bCs/>
        </w:rPr>
      </w:pPr>
      <w:r w:rsidRPr="00910FE5">
        <w:rPr>
          <w:rFonts w:cs="Arial"/>
          <w:b/>
          <w:bCs/>
        </w:rPr>
        <w:t>Therapeutic risk</w:t>
      </w:r>
      <w:r w:rsidR="00B44BCD">
        <w:rPr>
          <w:rFonts w:cs="Arial"/>
          <w:b/>
          <w:bCs/>
        </w:rPr>
        <w:t xml:space="preserve"> </w:t>
      </w:r>
      <w:r w:rsidRPr="00910FE5">
        <w:rPr>
          <w:rFonts w:cs="Arial"/>
          <w:b/>
          <w:bCs/>
        </w:rPr>
        <w:t xml:space="preserve">taking is important to elevating agency and </w:t>
      </w:r>
      <w:r w:rsidR="00A24CCB" w:rsidRPr="00910FE5">
        <w:rPr>
          <w:rFonts w:cs="Arial"/>
          <w:b/>
          <w:bCs/>
        </w:rPr>
        <w:t>long-term</w:t>
      </w:r>
      <w:r w:rsidRPr="00910FE5">
        <w:rPr>
          <w:rFonts w:cs="Arial"/>
          <w:b/>
          <w:bCs/>
        </w:rPr>
        <w:t xml:space="preserve"> recovery</w:t>
      </w:r>
    </w:p>
    <w:p w14:paraId="70F3A2F1" w14:textId="2F655971" w:rsidR="005206A8" w:rsidRPr="00910FE5" w:rsidRDefault="005206A8" w:rsidP="003360B3">
      <w:pPr>
        <w:pStyle w:val="Bullet1"/>
      </w:pPr>
      <w:r w:rsidRPr="00910FE5">
        <w:t>Risk taking is therapeutic when it integrates trust, authentic needs, desires and beliefs and when it empowers the consumer to decide to stay safe.</w:t>
      </w:r>
    </w:p>
    <w:p w14:paraId="4DBEE9D1" w14:textId="01AAF3D6" w:rsidR="005206A8" w:rsidRPr="00910FE5" w:rsidRDefault="005206A8" w:rsidP="003360B3">
      <w:pPr>
        <w:pStyle w:val="Bullet1"/>
        <w:rPr>
          <w:rFonts w:eastAsia="Aptos"/>
        </w:rPr>
      </w:pPr>
      <w:r w:rsidRPr="00910FE5">
        <w:lastRenderedPageBreak/>
        <w:t xml:space="preserve">Supporting </w:t>
      </w:r>
      <w:r w:rsidR="00BD23D4">
        <w:t>people to make</w:t>
      </w:r>
      <w:r w:rsidRPr="00910FE5">
        <w:t xml:space="preserve"> decisions about their safety that may involve some level of </w:t>
      </w:r>
      <w:r w:rsidR="00A24CCB" w:rsidRPr="00910FE5">
        <w:t>short-term</w:t>
      </w:r>
      <w:r w:rsidRPr="00910FE5">
        <w:t xml:space="preserve"> risk can be crucial for long-term recovery.</w:t>
      </w:r>
    </w:p>
    <w:p w14:paraId="301CD0EA" w14:textId="3759D8FE" w:rsidR="005206A8" w:rsidRPr="00910FE5" w:rsidRDefault="005206A8" w:rsidP="003360B3">
      <w:pPr>
        <w:pStyle w:val="Bullet1"/>
      </w:pPr>
      <w:r w:rsidRPr="00910FE5">
        <w:t>Reasonable clinical decisions around therapeutic risk</w:t>
      </w:r>
      <w:r w:rsidR="00B44BCD">
        <w:t xml:space="preserve"> </w:t>
      </w:r>
      <w:r w:rsidRPr="00910FE5">
        <w:t xml:space="preserve">taking must always </w:t>
      </w:r>
      <w:r w:rsidR="00BD23D4">
        <w:t xml:space="preserve">consider the </w:t>
      </w:r>
      <w:r w:rsidRPr="00910FE5">
        <w:t>consumer</w:t>
      </w:r>
      <w:r w:rsidR="00BD23D4">
        <w:t>’</w:t>
      </w:r>
      <w:r w:rsidRPr="00910FE5">
        <w:t>s level of mental capacity for decision</w:t>
      </w:r>
      <w:r w:rsidR="00B44BCD">
        <w:t xml:space="preserve"> </w:t>
      </w:r>
      <w:r w:rsidRPr="00910FE5">
        <w:t>making</w:t>
      </w:r>
      <w:r w:rsidR="009E25A6">
        <w:t xml:space="preserve"> and their engagement in collaborative safety planning</w:t>
      </w:r>
      <w:r w:rsidRPr="00910FE5">
        <w:t>.</w:t>
      </w:r>
    </w:p>
    <w:p w14:paraId="4D9CC982" w14:textId="28DA8091" w:rsidR="004327D8" w:rsidRPr="00910FE5" w:rsidRDefault="005206A8" w:rsidP="003360B3">
      <w:pPr>
        <w:pStyle w:val="Bullet1"/>
      </w:pPr>
      <w:r w:rsidRPr="00910FE5">
        <w:t>A commitment to therapeutic risk taking does not ensure a positive outcome but does uphold agency. Agency, relationship</w:t>
      </w:r>
      <w:r w:rsidR="00BD23D4">
        <w:t>s</w:t>
      </w:r>
      <w:r w:rsidRPr="00910FE5">
        <w:t xml:space="preserve"> and trust enhance the potential for longer term safety.</w:t>
      </w:r>
    </w:p>
    <w:p w14:paraId="22C8D248" w14:textId="0CE658E6" w:rsidR="004327D8" w:rsidRPr="005E4222" w:rsidRDefault="004327D8" w:rsidP="005E4222">
      <w:pPr>
        <w:pStyle w:val="Bullet1"/>
      </w:pPr>
      <w:r w:rsidRPr="00910FE5">
        <w:t xml:space="preserve">Families, carers and supporters may struggle to see the potential of therapeutic risk </w:t>
      </w:r>
      <w:r w:rsidR="009E25A6">
        <w:t xml:space="preserve">due to </w:t>
      </w:r>
      <w:r w:rsidRPr="00910FE5">
        <w:t xml:space="preserve">concern for the </w:t>
      </w:r>
      <w:r w:rsidR="009E25A6">
        <w:t xml:space="preserve">immediate </w:t>
      </w:r>
      <w:r w:rsidRPr="00910FE5">
        <w:t>safety of a loved one. Clinicians should strive to involve them in the risk assessment process, hear their concerns, work towards a shared understanding of the risk formulation and, ideally, engage them in a joint approach to therapeutic risk</w:t>
      </w:r>
      <w:r w:rsidR="00B44BCD">
        <w:t xml:space="preserve"> </w:t>
      </w:r>
      <w:r w:rsidRPr="00910FE5">
        <w:t>taking to support their loved one’s growth and ultimate recovery.</w:t>
      </w:r>
    </w:p>
    <w:p w14:paraId="555DFE8B" w14:textId="538F490E" w:rsidR="005206A8" w:rsidRPr="00910FE5" w:rsidRDefault="005206A8" w:rsidP="005E4222">
      <w:pPr>
        <w:pStyle w:val="Body"/>
        <w:numPr>
          <w:ilvl w:val="0"/>
          <w:numId w:val="8"/>
        </w:numPr>
        <w:spacing w:before="120"/>
        <w:rPr>
          <w:rFonts w:cs="Arial"/>
          <w:b/>
          <w:bCs/>
        </w:rPr>
      </w:pPr>
      <w:r w:rsidRPr="00910FE5">
        <w:rPr>
          <w:rFonts w:cs="Arial"/>
          <w:b/>
          <w:bCs/>
        </w:rPr>
        <w:t>Identifying strengths, supports and beliefs is protective</w:t>
      </w:r>
    </w:p>
    <w:p w14:paraId="11FB0FD6" w14:textId="5D678EF5" w:rsidR="005206A8" w:rsidRPr="00910FE5" w:rsidRDefault="005206A8" w:rsidP="00F86D96">
      <w:pPr>
        <w:pStyle w:val="Bullet1"/>
        <w:spacing w:before="120"/>
      </w:pPr>
      <w:r w:rsidRPr="00910FE5">
        <w:t>Having a shared understanding of the consumer</w:t>
      </w:r>
      <w:r w:rsidR="00B43B26">
        <w:t>’</w:t>
      </w:r>
      <w:r w:rsidRPr="00910FE5">
        <w:t>s strengths, supports and beliefs that are protective strengthens the power of these factors</w:t>
      </w:r>
      <w:r w:rsidR="00F86D96">
        <w:t>.</w:t>
      </w:r>
    </w:p>
    <w:p w14:paraId="47A44CCD" w14:textId="16BB7A7D" w:rsidR="004327D8" w:rsidRPr="005E4222" w:rsidRDefault="005206A8" w:rsidP="005E4222">
      <w:pPr>
        <w:pStyle w:val="Bullet1"/>
      </w:pPr>
      <w:r w:rsidRPr="00910FE5">
        <w:t>Using these by bringing them into proactive co</w:t>
      </w:r>
      <w:r w:rsidR="00477D0C" w:rsidRPr="00910FE5">
        <w:t>-</w:t>
      </w:r>
      <w:r w:rsidRPr="00910FE5">
        <w:t xml:space="preserve">created safety plans can change the relative risk </w:t>
      </w:r>
      <w:r w:rsidR="004327D8" w:rsidRPr="00910FE5">
        <w:t>while engaging with recovery</w:t>
      </w:r>
      <w:r w:rsidR="00B43B26">
        <w:t>-</w:t>
      </w:r>
      <w:r w:rsidR="004327D8" w:rsidRPr="00910FE5">
        <w:t xml:space="preserve">focused care in a genuine </w:t>
      </w:r>
      <w:r w:rsidR="00B43B26">
        <w:t>way</w:t>
      </w:r>
      <w:r w:rsidR="00B43B26" w:rsidRPr="00910FE5">
        <w:t xml:space="preserve"> </w:t>
      </w:r>
      <w:r w:rsidR="004327D8" w:rsidRPr="00910FE5">
        <w:t>(including the need to acknowledge and work with risk).</w:t>
      </w:r>
    </w:p>
    <w:p w14:paraId="4B5DB045" w14:textId="3156C5FB" w:rsidR="005206A8" w:rsidRPr="00910FE5" w:rsidRDefault="00910FE5" w:rsidP="005E4222">
      <w:pPr>
        <w:pStyle w:val="Body"/>
        <w:numPr>
          <w:ilvl w:val="0"/>
          <w:numId w:val="8"/>
        </w:numPr>
        <w:spacing w:before="120"/>
        <w:rPr>
          <w:rFonts w:cs="Arial"/>
          <w:b/>
          <w:bCs/>
        </w:rPr>
      </w:pPr>
      <w:r w:rsidRPr="00910FE5">
        <w:rPr>
          <w:rFonts w:cs="Arial"/>
          <w:b/>
          <w:bCs/>
        </w:rPr>
        <w:t>O</w:t>
      </w:r>
      <w:r w:rsidR="005206A8" w:rsidRPr="00910FE5">
        <w:rPr>
          <w:rFonts w:cs="Arial"/>
          <w:b/>
          <w:bCs/>
        </w:rPr>
        <w:t xml:space="preserve">perational or situational constraints may </w:t>
      </w:r>
      <w:r w:rsidR="00E77D77">
        <w:rPr>
          <w:rFonts w:cs="Arial"/>
          <w:b/>
          <w:bCs/>
        </w:rPr>
        <w:t>also</w:t>
      </w:r>
      <w:r w:rsidR="00E77D77" w:rsidRPr="00910FE5">
        <w:rPr>
          <w:rFonts w:cs="Arial"/>
          <w:b/>
          <w:bCs/>
        </w:rPr>
        <w:t xml:space="preserve"> </w:t>
      </w:r>
      <w:r w:rsidR="005206A8" w:rsidRPr="00910FE5">
        <w:rPr>
          <w:rFonts w:cs="Arial"/>
          <w:b/>
          <w:bCs/>
        </w:rPr>
        <w:t>impact risk</w:t>
      </w:r>
    </w:p>
    <w:p w14:paraId="70D1EC61" w14:textId="12EEA5D3" w:rsidR="004327D8" w:rsidRPr="00910FE5" w:rsidRDefault="005206A8" w:rsidP="00F86D96">
      <w:pPr>
        <w:pStyle w:val="Bullet1"/>
        <w:spacing w:before="120"/>
      </w:pPr>
      <w:r w:rsidRPr="00910FE5">
        <w:t>Recogni</w:t>
      </w:r>
      <w:r w:rsidR="000275DB">
        <w:t>sing</w:t>
      </w:r>
      <w:r w:rsidRPr="00910FE5">
        <w:t xml:space="preserve"> and document</w:t>
      </w:r>
      <w:r w:rsidR="000275DB">
        <w:t>ing</w:t>
      </w:r>
      <w:r w:rsidRPr="00910FE5">
        <w:t xml:space="preserve"> operational constraints may be relevant to clinical decisions </w:t>
      </w:r>
      <w:r w:rsidR="001567CE">
        <w:t>about</w:t>
      </w:r>
      <w:r w:rsidR="001567CE" w:rsidRPr="00910FE5">
        <w:t xml:space="preserve"> </w:t>
      </w:r>
      <w:r w:rsidRPr="00910FE5">
        <w:t>risk mitigation.</w:t>
      </w:r>
    </w:p>
    <w:p w14:paraId="0138F10A" w14:textId="600D5F42" w:rsidR="004327D8" w:rsidRPr="00910FE5" w:rsidRDefault="004327D8" w:rsidP="003360B3">
      <w:pPr>
        <w:pStyle w:val="Bullet1"/>
      </w:pPr>
      <w:r w:rsidRPr="00910FE5">
        <w:t>Situational constraints may include recent life events, accommodation and supports and the limitations of community support</w:t>
      </w:r>
      <w:r w:rsidR="00F86D96">
        <w:t>.</w:t>
      </w:r>
    </w:p>
    <w:p w14:paraId="435F36F9" w14:textId="282970B0" w:rsidR="004327D8" w:rsidRPr="005E4222" w:rsidRDefault="009E25A6" w:rsidP="005E4222">
      <w:pPr>
        <w:pStyle w:val="Bullet1"/>
      </w:pPr>
      <w:r>
        <w:t>Ideally people do not return to the exact same circumstances that led to risk. This can be mitigated through safety planning and engag</w:t>
      </w:r>
      <w:r w:rsidR="001567CE">
        <w:t>ing</w:t>
      </w:r>
      <w:r>
        <w:t xml:space="preserve"> </w:t>
      </w:r>
      <w:r w:rsidR="001567CE">
        <w:t xml:space="preserve">with extra </w:t>
      </w:r>
      <w:r>
        <w:t xml:space="preserve">supports such as </w:t>
      </w:r>
      <w:r w:rsidR="001567CE">
        <w:t xml:space="preserve">a </w:t>
      </w:r>
      <w:r>
        <w:t>friend or family member.</w:t>
      </w:r>
    </w:p>
    <w:p w14:paraId="0CD92355" w14:textId="0B215233" w:rsidR="005206A8" w:rsidRPr="00910FE5" w:rsidRDefault="009354A0" w:rsidP="005E4222">
      <w:pPr>
        <w:pStyle w:val="Body"/>
        <w:numPr>
          <w:ilvl w:val="0"/>
          <w:numId w:val="8"/>
        </w:numPr>
        <w:spacing w:before="120"/>
        <w:rPr>
          <w:rFonts w:cs="Arial"/>
          <w:b/>
          <w:bCs/>
        </w:rPr>
      </w:pPr>
      <w:r>
        <w:rPr>
          <w:rFonts w:cs="Arial"/>
          <w:b/>
          <w:bCs/>
        </w:rPr>
        <w:t>Decision-making about risk</w:t>
      </w:r>
      <w:r w:rsidR="005206A8" w:rsidRPr="00910FE5">
        <w:rPr>
          <w:rFonts w:cs="Arial"/>
          <w:b/>
          <w:bCs/>
        </w:rPr>
        <w:t xml:space="preserve"> should be readily escalated in clinical settings</w:t>
      </w:r>
    </w:p>
    <w:p w14:paraId="012D3B4A" w14:textId="7753746A" w:rsidR="005206A8" w:rsidRPr="00910FE5" w:rsidRDefault="001567CE" w:rsidP="00F86D96">
      <w:pPr>
        <w:pStyle w:val="Bullet1"/>
        <w:spacing w:before="120"/>
      </w:pPr>
      <w:r>
        <w:t>C</w:t>
      </w:r>
      <w:r w:rsidR="005206A8" w:rsidRPr="00910FE5">
        <w:t>linicians should escalate clinical risk when the best balance of these princip</w:t>
      </w:r>
      <w:r>
        <w:t>l</w:t>
      </w:r>
      <w:r w:rsidR="005206A8" w:rsidRPr="00910FE5">
        <w:t>es is uncertain</w:t>
      </w:r>
      <w:r w:rsidR="004327D8" w:rsidRPr="00910FE5">
        <w:t xml:space="preserve"> to ensure a multidisciplinary lens is </w:t>
      </w:r>
      <w:r>
        <w:t>applied to decide</w:t>
      </w:r>
      <w:r w:rsidR="004327D8" w:rsidRPr="00910FE5">
        <w:t xml:space="preserve"> the best management approach</w:t>
      </w:r>
      <w:r>
        <w:t>.</w:t>
      </w:r>
    </w:p>
    <w:p w14:paraId="3F483D55" w14:textId="17D5006F" w:rsidR="005206A8" w:rsidRPr="00910FE5" w:rsidRDefault="005206A8" w:rsidP="003360B3">
      <w:pPr>
        <w:pStyle w:val="Bullet1"/>
      </w:pPr>
      <w:r w:rsidRPr="00910FE5">
        <w:t xml:space="preserve">Local clinical governance pathways support sharing key decisions that represent a significant risk to the consumer. </w:t>
      </w:r>
    </w:p>
    <w:p w14:paraId="63C59C42" w14:textId="617E6F0D" w:rsidR="004327D8" w:rsidRPr="00910FE5" w:rsidRDefault="005206A8" w:rsidP="003360B3">
      <w:pPr>
        <w:pStyle w:val="Bullet1"/>
      </w:pPr>
      <w:r w:rsidRPr="00910FE5">
        <w:t>Senior mental health clinicians should be involved in any decision making that prioritises consumer risk choices over clinician</w:t>
      </w:r>
      <w:r w:rsidR="00117048">
        <w:t>s’</w:t>
      </w:r>
      <w:r w:rsidRPr="00910FE5">
        <w:t xml:space="preserve"> </w:t>
      </w:r>
      <w:r w:rsidR="001567CE">
        <w:t>choices</w:t>
      </w:r>
      <w:r w:rsidRPr="00910FE5">
        <w:t>.</w:t>
      </w:r>
    </w:p>
    <w:p w14:paraId="2B7135D9" w14:textId="1ED9596A" w:rsidR="004327D8" w:rsidRPr="00910FE5" w:rsidRDefault="001567CE" w:rsidP="003360B3">
      <w:pPr>
        <w:pStyle w:val="Bullet1"/>
      </w:pPr>
      <w:r>
        <w:t xml:space="preserve">Consumers </w:t>
      </w:r>
      <w:r w:rsidR="004327D8" w:rsidRPr="00910FE5">
        <w:t>and their family</w:t>
      </w:r>
      <w:r>
        <w:t>/</w:t>
      </w:r>
      <w:r w:rsidR="004327D8" w:rsidRPr="00910FE5">
        <w:t xml:space="preserve">carers should be included as much as possible and </w:t>
      </w:r>
      <w:r>
        <w:t>be informed</w:t>
      </w:r>
      <w:r w:rsidRPr="00910FE5">
        <w:t xml:space="preserve"> </w:t>
      </w:r>
      <w:r w:rsidR="004327D8" w:rsidRPr="00910FE5">
        <w:t>of all elements of decision</w:t>
      </w:r>
      <w:r>
        <w:t>s</w:t>
      </w:r>
      <w:r w:rsidR="004327D8" w:rsidRPr="00910FE5">
        <w:t>.</w:t>
      </w:r>
    </w:p>
    <w:p w14:paraId="3902A884" w14:textId="77777777" w:rsidR="005E4222" w:rsidRDefault="005E4222" w:rsidP="003B4FE9">
      <w:pPr>
        <w:pStyle w:val="Body"/>
        <w:rPr>
          <w:rFonts w:eastAsia="MS Gothic" w:cs="Arial"/>
          <w:color w:val="C63663"/>
          <w:kern w:val="32"/>
          <w:sz w:val="44"/>
          <w:szCs w:val="44"/>
        </w:rPr>
      </w:pPr>
      <w:r>
        <w:br w:type="page"/>
      </w:r>
    </w:p>
    <w:p w14:paraId="46BEA15B" w14:textId="103E16F0" w:rsidR="005206A8" w:rsidRPr="00910FE5" w:rsidRDefault="005206A8" w:rsidP="00477D0C">
      <w:pPr>
        <w:pStyle w:val="Heading1"/>
      </w:pPr>
      <w:bookmarkStart w:id="8" w:name="_Toc181872997"/>
      <w:r w:rsidRPr="00910FE5">
        <w:lastRenderedPageBreak/>
        <w:t xml:space="preserve">Practical </w:t>
      </w:r>
      <w:r w:rsidR="00A32CC7" w:rsidRPr="00910FE5">
        <w:t>i</w:t>
      </w:r>
      <w:r w:rsidRPr="00910FE5">
        <w:t>mplications</w:t>
      </w:r>
      <w:bookmarkEnd w:id="8"/>
    </w:p>
    <w:p w14:paraId="1A4106A3" w14:textId="13480343" w:rsidR="005206A8" w:rsidRPr="00910FE5" w:rsidRDefault="005206A8" w:rsidP="0073546F">
      <w:pPr>
        <w:pStyle w:val="Body"/>
        <w:rPr>
          <w:rFonts w:cs="Arial"/>
        </w:rPr>
      </w:pPr>
      <w:r w:rsidRPr="00910FE5">
        <w:rPr>
          <w:rFonts w:cs="Arial"/>
        </w:rPr>
        <w:t xml:space="preserve">The following </w:t>
      </w:r>
      <w:r w:rsidR="00117048">
        <w:rPr>
          <w:rFonts w:cs="Arial"/>
        </w:rPr>
        <w:t xml:space="preserve">4 </w:t>
      </w:r>
      <w:r w:rsidRPr="00910FE5">
        <w:rPr>
          <w:rFonts w:cs="Arial"/>
        </w:rPr>
        <w:t>components are part of good risk evaluation and management.</w:t>
      </w:r>
    </w:p>
    <w:p w14:paraId="4BA8683E" w14:textId="4CAC3E4B" w:rsidR="005206A8" w:rsidRPr="00117048" w:rsidRDefault="005206A8" w:rsidP="00117048">
      <w:pPr>
        <w:pStyle w:val="Body"/>
        <w:numPr>
          <w:ilvl w:val="0"/>
          <w:numId w:val="7"/>
        </w:numPr>
        <w:spacing w:before="120"/>
        <w:rPr>
          <w:rFonts w:cs="Arial"/>
          <w:b/>
          <w:bCs/>
        </w:rPr>
      </w:pPr>
      <w:r w:rsidRPr="00117048">
        <w:rPr>
          <w:rFonts w:cs="Arial"/>
          <w:b/>
          <w:bCs/>
        </w:rPr>
        <w:t>Individual engagement and assessment</w:t>
      </w:r>
    </w:p>
    <w:p w14:paraId="16B3E1E0" w14:textId="60EA1D4E" w:rsidR="005206A8" w:rsidRPr="00910FE5" w:rsidRDefault="005206A8" w:rsidP="003360B3">
      <w:pPr>
        <w:pStyle w:val="Bullet1"/>
        <w:rPr>
          <w:b/>
        </w:rPr>
      </w:pPr>
      <w:r w:rsidRPr="00910FE5">
        <w:rPr>
          <w:b/>
          <w:bCs/>
        </w:rPr>
        <w:t>Prioritise engagement:</w:t>
      </w:r>
      <w:r w:rsidRPr="00910FE5">
        <w:t xml:space="preserve"> Actively and collaboratively involve the </w:t>
      </w:r>
      <w:r w:rsidR="00117048">
        <w:t>person</w:t>
      </w:r>
      <w:r w:rsidR="00117048" w:rsidRPr="00910FE5">
        <w:t xml:space="preserve"> </w:t>
      </w:r>
      <w:r w:rsidRPr="00910FE5">
        <w:t>and their support network in discussions about what is important to them.</w:t>
      </w:r>
    </w:p>
    <w:p w14:paraId="0DED0F91" w14:textId="1A8F66E2" w:rsidR="005206A8" w:rsidRPr="00910FE5" w:rsidRDefault="005206A8" w:rsidP="003360B3">
      <w:pPr>
        <w:pStyle w:val="Bullet1"/>
        <w:rPr>
          <w:b/>
          <w:bCs/>
        </w:rPr>
      </w:pPr>
      <w:r w:rsidRPr="00910FE5">
        <w:rPr>
          <w:b/>
          <w:bCs/>
        </w:rPr>
        <w:t>Instil hope</w:t>
      </w:r>
      <w:r w:rsidR="007F0CF4">
        <w:rPr>
          <w:b/>
          <w:bCs/>
        </w:rPr>
        <w:t>.</w:t>
      </w:r>
    </w:p>
    <w:p w14:paraId="3744A508" w14:textId="10733439" w:rsidR="005206A8" w:rsidRPr="00910FE5" w:rsidRDefault="005206A8" w:rsidP="003360B3">
      <w:pPr>
        <w:pStyle w:val="Bullet1"/>
      </w:pPr>
      <w:r w:rsidRPr="00910FE5">
        <w:rPr>
          <w:b/>
          <w:bCs/>
        </w:rPr>
        <w:t>Respect autonomy:</w:t>
      </w:r>
      <w:r w:rsidRPr="00910FE5">
        <w:t xml:space="preserve"> </w:t>
      </w:r>
      <w:r w:rsidRPr="00910FE5">
        <w:rPr>
          <w:rFonts w:eastAsia="Aptos"/>
        </w:rPr>
        <w:t>Subject to the constraints imposed by impaired capacity, r</w:t>
      </w:r>
      <w:r w:rsidRPr="00910FE5">
        <w:t xml:space="preserve">espect the </w:t>
      </w:r>
      <w:r w:rsidR="00117048">
        <w:t>person’s</w:t>
      </w:r>
      <w:r w:rsidR="00117048" w:rsidRPr="00910FE5">
        <w:t xml:space="preserve"> </w:t>
      </w:r>
      <w:r w:rsidRPr="00910FE5">
        <w:t>right to make informed choices about their care even when it involves some level of risk.</w:t>
      </w:r>
    </w:p>
    <w:p w14:paraId="2FCB7C34" w14:textId="7A311329" w:rsidR="005206A8" w:rsidRPr="00910FE5" w:rsidRDefault="005206A8" w:rsidP="003360B3">
      <w:pPr>
        <w:pStyle w:val="Bullet1"/>
      </w:pPr>
      <w:r w:rsidRPr="00910FE5">
        <w:rPr>
          <w:b/>
          <w:bCs/>
        </w:rPr>
        <w:t>Ensure informed consent:</w:t>
      </w:r>
      <w:r w:rsidRPr="00910FE5">
        <w:t xml:space="preserve"> Ensure </w:t>
      </w:r>
      <w:r w:rsidR="00117048">
        <w:t>consumers</w:t>
      </w:r>
      <w:r w:rsidR="00117048" w:rsidRPr="00910FE5">
        <w:t xml:space="preserve"> </w:t>
      </w:r>
      <w:r w:rsidRPr="00910FE5">
        <w:t>fully understand the potential outcomes of their choices</w:t>
      </w:r>
      <w:r w:rsidR="000447E0">
        <w:t>.</w:t>
      </w:r>
      <w:r w:rsidRPr="00910FE5">
        <w:t xml:space="preserve"> </w:t>
      </w:r>
      <w:r w:rsidR="000447E0">
        <w:t>P</w:t>
      </w:r>
      <w:r w:rsidRPr="00910FE5">
        <w:t xml:space="preserve">rovide all necessary information </w:t>
      </w:r>
      <w:r w:rsidR="000447E0">
        <w:t xml:space="preserve">for consumers </w:t>
      </w:r>
      <w:r w:rsidRPr="00910FE5">
        <w:t xml:space="preserve">to make informed decisions. </w:t>
      </w:r>
      <w:r w:rsidRPr="00910FE5">
        <w:rPr>
          <w:rFonts w:eastAsia="Aptos"/>
        </w:rPr>
        <w:t>If capacity to give consent is lacking, that should be documented.</w:t>
      </w:r>
    </w:p>
    <w:p w14:paraId="4390B2CD" w14:textId="34EA346C" w:rsidR="005206A8" w:rsidRPr="00910FE5" w:rsidRDefault="00910FE5" w:rsidP="003360B3">
      <w:pPr>
        <w:pStyle w:val="Bullet1"/>
      </w:pPr>
      <w:r w:rsidRPr="00910FE5">
        <w:rPr>
          <w:b/>
          <w:bCs/>
        </w:rPr>
        <w:t>Consider a breadth of risks</w:t>
      </w:r>
      <w:r w:rsidR="005206A8" w:rsidRPr="00910FE5">
        <w:rPr>
          <w:b/>
          <w:bCs/>
        </w:rPr>
        <w:t xml:space="preserve">: </w:t>
      </w:r>
      <w:r w:rsidRPr="00910FE5">
        <w:t xml:space="preserve">This may be via clinical interview </w:t>
      </w:r>
      <w:r w:rsidR="000447E0">
        <w:t xml:space="preserve">with or without using a </w:t>
      </w:r>
      <w:r w:rsidRPr="00910FE5">
        <w:t>risk assessment tool</w:t>
      </w:r>
      <w:r w:rsidR="005206A8" w:rsidRPr="00910FE5">
        <w:t>.</w:t>
      </w:r>
    </w:p>
    <w:p w14:paraId="4A286AAF" w14:textId="5A3EECE1" w:rsidR="00910FE5" w:rsidRPr="005E4222" w:rsidRDefault="005206A8" w:rsidP="005E4222">
      <w:pPr>
        <w:pStyle w:val="Bullet1"/>
      </w:pPr>
      <w:r w:rsidRPr="00910FE5">
        <w:rPr>
          <w:b/>
          <w:bCs/>
        </w:rPr>
        <w:t xml:space="preserve">Risk </w:t>
      </w:r>
      <w:r w:rsidR="007F0CF4">
        <w:rPr>
          <w:b/>
          <w:bCs/>
        </w:rPr>
        <w:t>f</w:t>
      </w:r>
      <w:r w:rsidRPr="00910FE5">
        <w:rPr>
          <w:b/>
          <w:bCs/>
        </w:rPr>
        <w:t>ormulation:</w:t>
      </w:r>
      <w:r w:rsidRPr="00910FE5">
        <w:t xml:space="preserve"> Develop a comprehensive risk formulation that integrates an understanding of the </w:t>
      </w:r>
      <w:r w:rsidR="00117048">
        <w:t>person</w:t>
      </w:r>
      <w:r w:rsidRPr="00910FE5">
        <w:t xml:space="preserve">, their strengths </w:t>
      </w:r>
      <w:r w:rsidR="000447E0">
        <w:t>(</w:t>
      </w:r>
      <w:r w:rsidRPr="00910FE5">
        <w:t>and possible vulnerabilities</w:t>
      </w:r>
      <w:r w:rsidR="000447E0">
        <w:t>)</w:t>
      </w:r>
      <w:r w:rsidRPr="00910FE5">
        <w:t>, risks, preferences and concerns.</w:t>
      </w:r>
    </w:p>
    <w:p w14:paraId="4140DB49" w14:textId="22791214" w:rsidR="003360B3" w:rsidRPr="003360B3" w:rsidRDefault="005206A8" w:rsidP="005E4222">
      <w:pPr>
        <w:pStyle w:val="Body"/>
        <w:numPr>
          <w:ilvl w:val="0"/>
          <w:numId w:val="7"/>
        </w:numPr>
        <w:spacing w:before="120"/>
        <w:rPr>
          <w:rFonts w:cs="Arial"/>
          <w:szCs w:val="21"/>
        </w:rPr>
      </w:pPr>
      <w:r w:rsidRPr="00910FE5">
        <w:rPr>
          <w:rFonts w:cs="Arial"/>
          <w:b/>
          <w:bCs/>
        </w:rPr>
        <w:t xml:space="preserve">An individualised </w:t>
      </w:r>
      <w:r w:rsidR="003360B3">
        <w:rPr>
          <w:rFonts w:cs="Arial"/>
          <w:b/>
          <w:bCs/>
        </w:rPr>
        <w:t>s</w:t>
      </w:r>
      <w:r w:rsidRPr="00910FE5">
        <w:rPr>
          <w:rFonts w:cs="Arial"/>
          <w:b/>
          <w:bCs/>
        </w:rPr>
        <w:t xml:space="preserve">afety </w:t>
      </w:r>
      <w:r w:rsidR="003360B3">
        <w:rPr>
          <w:rFonts w:cs="Arial"/>
          <w:b/>
          <w:bCs/>
        </w:rPr>
        <w:t>p</w:t>
      </w:r>
      <w:r w:rsidRPr="00910FE5">
        <w:rPr>
          <w:rFonts w:cs="Arial"/>
          <w:b/>
          <w:bCs/>
        </w:rPr>
        <w:t>lan</w:t>
      </w:r>
    </w:p>
    <w:p w14:paraId="00BF9B61" w14:textId="6FA7857E" w:rsidR="005206A8" w:rsidRPr="00910FE5" w:rsidRDefault="005206A8" w:rsidP="003360B3">
      <w:pPr>
        <w:pStyle w:val="Bullet1"/>
      </w:pPr>
      <w:r w:rsidRPr="00910FE5">
        <w:t xml:space="preserve">Create a safety plan </w:t>
      </w:r>
      <w:r w:rsidR="000447E0">
        <w:t xml:space="preserve">that </w:t>
      </w:r>
      <w:r w:rsidRPr="00910FE5">
        <w:t>draw</w:t>
      </w:r>
      <w:r w:rsidR="000447E0">
        <w:t>s</w:t>
      </w:r>
      <w:r w:rsidRPr="00910FE5">
        <w:t xml:space="preserve"> on the risk formulation</w:t>
      </w:r>
      <w:r w:rsidR="000447E0">
        <w:t>.</w:t>
      </w:r>
      <w:r w:rsidRPr="00910FE5">
        <w:t xml:space="preserve"> </w:t>
      </w:r>
      <w:r w:rsidR="000447E0">
        <w:t>A</w:t>
      </w:r>
      <w:r w:rsidRPr="00910FE5">
        <w:t xml:space="preserve">ddress immediate safety needs </w:t>
      </w:r>
      <w:r w:rsidR="000447E0">
        <w:t xml:space="preserve">as well as </w:t>
      </w:r>
      <w:r w:rsidRPr="00910FE5">
        <w:t>long-term psychological and physical wellbeing.</w:t>
      </w:r>
      <w:r w:rsidRPr="00910FE5">
        <w:rPr>
          <w:b/>
          <w:bCs/>
        </w:rPr>
        <w:t xml:space="preserve"> </w:t>
      </w:r>
      <w:r w:rsidRPr="00910FE5">
        <w:rPr>
          <w:rFonts w:eastAsia="Aptos"/>
        </w:rPr>
        <w:t>Ideally this plan should be co-created with the consumer</w:t>
      </w:r>
      <w:r w:rsidR="009E25A6">
        <w:rPr>
          <w:rFonts w:eastAsia="Aptos"/>
        </w:rPr>
        <w:t xml:space="preserve"> from the base of a therapeutic relationship</w:t>
      </w:r>
      <w:r w:rsidR="0073546F" w:rsidRPr="00910FE5">
        <w:rPr>
          <w:rFonts w:eastAsia="Aptos"/>
        </w:rPr>
        <w:t>.</w:t>
      </w:r>
    </w:p>
    <w:p w14:paraId="73FBF2CD" w14:textId="08B91FDF" w:rsidR="00910FE5" w:rsidRPr="00910FE5" w:rsidRDefault="00910FE5" w:rsidP="003360B3">
      <w:pPr>
        <w:pStyle w:val="Bullet1"/>
      </w:pPr>
      <w:r w:rsidRPr="00910FE5">
        <w:t>Note the practi</w:t>
      </w:r>
      <w:r w:rsidR="000447E0">
        <w:t>c</w:t>
      </w:r>
      <w:r w:rsidRPr="00910FE5">
        <w:t>e of contracting for safety has no evidence base and is insufficient to ensure future safety.</w:t>
      </w:r>
    </w:p>
    <w:p w14:paraId="51B886EB" w14:textId="1D2A84A5" w:rsidR="005206A8" w:rsidRPr="003360B3" w:rsidRDefault="005206A8" w:rsidP="003360B3">
      <w:pPr>
        <w:pStyle w:val="Body"/>
        <w:spacing w:before="120"/>
        <w:rPr>
          <w:rFonts w:cs="Arial"/>
        </w:rPr>
      </w:pPr>
      <w:r w:rsidRPr="003360B3">
        <w:rPr>
          <w:rFonts w:cs="Arial"/>
        </w:rPr>
        <w:t>Consider</w:t>
      </w:r>
      <w:r w:rsidR="003360B3" w:rsidRPr="003360B3">
        <w:rPr>
          <w:rFonts w:cs="Arial"/>
        </w:rPr>
        <w:t>:</w:t>
      </w:r>
      <w:r w:rsidRPr="003360B3">
        <w:rPr>
          <w:rFonts w:cs="Arial"/>
        </w:rPr>
        <w:t xml:space="preserve"> </w:t>
      </w:r>
    </w:p>
    <w:p w14:paraId="2F1CC56F" w14:textId="07D1252B" w:rsidR="005206A8" w:rsidRPr="00910FE5" w:rsidRDefault="005206A8" w:rsidP="003360B3">
      <w:pPr>
        <w:pStyle w:val="Bullet1"/>
      </w:pPr>
      <w:r w:rsidRPr="00910FE5">
        <w:rPr>
          <w:b/>
          <w:bCs/>
        </w:rPr>
        <w:t>Setting</w:t>
      </w:r>
      <w:r w:rsidR="00910FE5" w:rsidRPr="00910FE5">
        <w:rPr>
          <w:b/>
          <w:bCs/>
        </w:rPr>
        <w:t xml:space="preserve"> and access to means</w:t>
      </w:r>
      <w:r w:rsidRPr="00910FE5">
        <w:rPr>
          <w:b/>
          <w:bCs/>
        </w:rPr>
        <w:t>:</w:t>
      </w:r>
      <w:r w:rsidRPr="00910FE5">
        <w:t xml:space="preserve"> Different levels of risk mitigation may be </w:t>
      </w:r>
      <w:r w:rsidR="000447E0">
        <w:t>needed</w:t>
      </w:r>
      <w:r w:rsidR="000447E0" w:rsidRPr="00910FE5">
        <w:t xml:space="preserve"> </w:t>
      </w:r>
      <w:r w:rsidRPr="00910FE5">
        <w:t xml:space="preserve">depending on the </w:t>
      </w:r>
      <w:r w:rsidR="00117048">
        <w:t>person</w:t>
      </w:r>
      <w:r w:rsidRPr="00910FE5">
        <w:t xml:space="preserve">’s illness or acuity, specific social context and stage of recovery. Risk may be low in the context of others but high if the </w:t>
      </w:r>
      <w:r w:rsidR="00117048">
        <w:t>person</w:t>
      </w:r>
      <w:r w:rsidR="00117048" w:rsidRPr="00910FE5">
        <w:t xml:space="preserve"> </w:t>
      </w:r>
      <w:r w:rsidRPr="00910FE5">
        <w:t>is alone.</w:t>
      </w:r>
      <w:r w:rsidR="00910FE5" w:rsidRPr="00910FE5">
        <w:t xml:space="preserve"> Points of transition may pose increased risk. Access to lethal means or weapons or environment may be relevant.</w:t>
      </w:r>
    </w:p>
    <w:p w14:paraId="0667AD6A" w14:textId="7B1CB06E" w:rsidR="005206A8" w:rsidRPr="00910FE5" w:rsidRDefault="005206A8" w:rsidP="003360B3">
      <w:pPr>
        <w:pStyle w:val="Bullet1"/>
      </w:pPr>
      <w:r w:rsidRPr="00910FE5">
        <w:rPr>
          <w:b/>
          <w:bCs/>
        </w:rPr>
        <w:t xml:space="preserve">Therapeutic </w:t>
      </w:r>
      <w:r w:rsidR="00B44BCD">
        <w:rPr>
          <w:b/>
          <w:bCs/>
        </w:rPr>
        <w:t>r</w:t>
      </w:r>
      <w:r w:rsidRPr="00910FE5">
        <w:rPr>
          <w:b/>
          <w:bCs/>
        </w:rPr>
        <w:t>isk</w:t>
      </w:r>
      <w:r w:rsidR="00B44BCD">
        <w:rPr>
          <w:b/>
          <w:bCs/>
        </w:rPr>
        <w:t xml:space="preserve"> t</w:t>
      </w:r>
      <w:r w:rsidRPr="00910FE5">
        <w:rPr>
          <w:b/>
          <w:bCs/>
        </w:rPr>
        <w:t xml:space="preserve">aking and </w:t>
      </w:r>
      <w:r w:rsidR="007F0CF4">
        <w:rPr>
          <w:b/>
          <w:bCs/>
        </w:rPr>
        <w:t>g</w:t>
      </w:r>
      <w:r w:rsidRPr="00910FE5">
        <w:rPr>
          <w:b/>
          <w:bCs/>
        </w:rPr>
        <w:t>rowth:</w:t>
      </w:r>
      <w:r w:rsidRPr="00910FE5">
        <w:t xml:space="preserve"> Facilitate recovery by supporting </w:t>
      </w:r>
      <w:r w:rsidR="00117048">
        <w:t>consumers</w:t>
      </w:r>
      <w:r w:rsidR="00117048" w:rsidRPr="00910FE5">
        <w:t xml:space="preserve"> </w:t>
      </w:r>
      <w:r w:rsidRPr="00910FE5">
        <w:t>in making decisions that may involve calculated risks</w:t>
      </w:r>
      <w:r w:rsidR="000447E0">
        <w:t>. Do this</w:t>
      </w:r>
      <w:r w:rsidRPr="00910FE5">
        <w:t xml:space="preserve"> </w:t>
      </w:r>
      <w:r w:rsidR="000447E0">
        <w:t>with</w:t>
      </w:r>
      <w:r w:rsidRPr="00910FE5">
        <w:t xml:space="preserve"> the understanding that while these risks may not </w:t>
      </w:r>
      <w:r w:rsidRPr="009354A0">
        <w:rPr>
          <w:i/>
          <w:iCs/>
        </w:rPr>
        <w:t>immediately</w:t>
      </w:r>
      <w:r w:rsidRPr="00910FE5">
        <w:t xml:space="preserve"> enhance safety, they may be important for long-term recovery.</w:t>
      </w:r>
    </w:p>
    <w:p w14:paraId="583FC64E" w14:textId="409AC9B5" w:rsidR="005206A8" w:rsidRPr="00910FE5" w:rsidRDefault="005206A8" w:rsidP="003360B3">
      <w:pPr>
        <w:pStyle w:val="Bullet1"/>
      </w:pPr>
      <w:r w:rsidRPr="00910FE5">
        <w:rPr>
          <w:b/>
          <w:bCs/>
        </w:rPr>
        <w:t xml:space="preserve">Cultural and </w:t>
      </w:r>
      <w:r w:rsidR="00B44BCD">
        <w:rPr>
          <w:b/>
          <w:bCs/>
        </w:rPr>
        <w:t>c</w:t>
      </w:r>
      <w:r w:rsidRPr="00910FE5">
        <w:rPr>
          <w:b/>
          <w:bCs/>
        </w:rPr>
        <w:t xml:space="preserve">ontextual </w:t>
      </w:r>
      <w:r w:rsidR="00B44BCD">
        <w:rPr>
          <w:b/>
          <w:bCs/>
        </w:rPr>
        <w:t>s</w:t>
      </w:r>
      <w:r w:rsidRPr="00910FE5">
        <w:rPr>
          <w:b/>
          <w:bCs/>
        </w:rPr>
        <w:t>ensitivity:</w:t>
      </w:r>
      <w:r w:rsidRPr="00910FE5">
        <w:rPr>
          <w:b/>
        </w:rPr>
        <w:t xml:space="preserve"> </w:t>
      </w:r>
      <w:r w:rsidRPr="00910FE5">
        <w:t>Adapt risk assessment practices to reflect Victoria’s cultural, social and legal context. Consider specific needs or barriers in different communities.</w:t>
      </w:r>
      <w:r w:rsidR="00910FE5" w:rsidRPr="00910FE5">
        <w:t xml:space="preserve"> All mental health care need</w:t>
      </w:r>
      <w:r w:rsidR="000447E0">
        <w:t>s</w:t>
      </w:r>
      <w:r w:rsidR="00910FE5" w:rsidRPr="00910FE5">
        <w:t xml:space="preserve"> to be culturally informed and responsive to people of all racial, ethnic, faith and cultural backgrounds</w:t>
      </w:r>
      <w:r w:rsidR="000447E0">
        <w:t>,</w:t>
      </w:r>
      <w:r w:rsidR="00910FE5" w:rsidRPr="00910FE5">
        <w:t xml:space="preserve"> especially to </w:t>
      </w:r>
      <w:r w:rsidR="00910FE5" w:rsidRPr="00910FE5">
        <w:rPr>
          <w:rFonts w:eastAsia="Aptos"/>
        </w:rPr>
        <w:t>Aboriginal people.</w:t>
      </w:r>
    </w:p>
    <w:p w14:paraId="35EBD373" w14:textId="33F1BAF4" w:rsidR="00910FE5" w:rsidRPr="005E4222" w:rsidRDefault="005206A8" w:rsidP="005E4222">
      <w:pPr>
        <w:pStyle w:val="Bullet1"/>
        <w:rPr>
          <w:rFonts w:eastAsia="Aptos"/>
        </w:rPr>
      </w:pPr>
      <w:r w:rsidRPr="00910FE5">
        <w:rPr>
          <w:b/>
          <w:bCs/>
        </w:rPr>
        <w:t xml:space="preserve">Support </w:t>
      </w:r>
      <w:r w:rsidR="00B44BCD">
        <w:rPr>
          <w:b/>
          <w:bCs/>
        </w:rPr>
        <w:t>s</w:t>
      </w:r>
      <w:r w:rsidRPr="00910FE5">
        <w:rPr>
          <w:b/>
          <w:bCs/>
        </w:rPr>
        <w:t>ystems:</w:t>
      </w:r>
      <w:r w:rsidRPr="00910FE5">
        <w:t xml:space="preserve"> Identify and engage the </w:t>
      </w:r>
      <w:r w:rsidR="00117048">
        <w:t>person’s</w:t>
      </w:r>
      <w:r w:rsidR="00117048" w:rsidRPr="00910FE5">
        <w:t xml:space="preserve"> </w:t>
      </w:r>
      <w:r w:rsidRPr="00910FE5">
        <w:t xml:space="preserve">support networks, such as family and community resources, to enhance safety planning. </w:t>
      </w:r>
    </w:p>
    <w:p w14:paraId="436A4674" w14:textId="56285526" w:rsidR="005206A8" w:rsidRPr="00910FE5" w:rsidRDefault="005206A8" w:rsidP="005E4222">
      <w:pPr>
        <w:pStyle w:val="Body"/>
        <w:numPr>
          <w:ilvl w:val="0"/>
          <w:numId w:val="7"/>
        </w:numPr>
        <w:spacing w:before="120"/>
        <w:rPr>
          <w:rFonts w:cs="Arial"/>
          <w:b/>
          <w:bCs/>
        </w:rPr>
      </w:pPr>
      <w:r w:rsidRPr="00910FE5">
        <w:rPr>
          <w:rFonts w:cs="Arial"/>
          <w:b/>
          <w:bCs/>
        </w:rPr>
        <w:t xml:space="preserve">Ongoing </w:t>
      </w:r>
      <w:r w:rsidR="00B44BCD">
        <w:rPr>
          <w:rFonts w:cs="Arial"/>
          <w:b/>
          <w:bCs/>
        </w:rPr>
        <w:t>r</w:t>
      </w:r>
      <w:r w:rsidRPr="00910FE5">
        <w:rPr>
          <w:rFonts w:cs="Arial"/>
          <w:b/>
          <w:bCs/>
        </w:rPr>
        <w:t xml:space="preserve">eview and </w:t>
      </w:r>
      <w:r w:rsidR="00B44BCD">
        <w:rPr>
          <w:rFonts w:cs="Arial"/>
          <w:b/>
          <w:bCs/>
        </w:rPr>
        <w:t>f</w:t>
      </w:r>
      <w:r w:rsidRPr="00910FE5">
        <w:rPr>
          <w:rFonts w:cs="Arial"/>
          <w:b/>
          <w:bCs/>
        </w:rPr>
        <w:t>lexibility</w:t>
      </w:r>
    </w:p>
    <w:p w14:paraId="5F1DB2BF" w14:textId="0A9EF438" w:rsidR="005206A8" w:rsidRPr="00910FE5" w:rsidRDefault="005206A8" w:rsidP="003360B3">
      <w:pPr>
        <w:pStyle w:val="Bullet1"/>
      </w:pPr>
      <w:r w:rsidRPr="00910FE5">
        <w:rPr>
          <w:b/>
          <w:bCs/>
        </w:rPr>
        <w:t xml:space="preserve">Regular </w:t>
      </w:r>
      <w:r w:rsidR="00B44BCD">
        <w:rPr>
          <w:b/>
          <w:bCs/>
        </w:rPr>
        <w:t>m</w:t>
      </w:r>
      <w:r w:rsidRPr="00910FE5">
        <w:rPr>
          <w:b/>
          <w:bCs/>
        </w:rPr>
        <w:t>onitoring:</w:t>
      </w:r>
      <w:r w:rsidRPr="00910FE5">
        <w:t xml:space="preserve"> Continuously review and update the </w:t>
      </w:r>
      <w:r w:rsidR="00B72AD8">
        <w:t xml:space="preserve">person’s </w:t>
      </w:r>
      <w:r w:rsidRPr="00910FE5">
        <w:t>risk assessment and safety plan based on new information and changes in the</w:t>
      </w:r>
      <w:r w:rsidR="00B72AD8">
        <w:t>ir</w:t>
      </w:r>
      <w:r w:rsidRPr="00910FE5">
        <w:t xml:space="preserve"> circumstances.</w:t>
      </w:r>
    </w:p>
    <w:p w14:paraId="115F24BA" w14:textId="0F0BB707" w:rsidR="005206A8" w:rsidRPr="00910FE5" w:rsidRDefault="005206A8" w:rsidP="003360B3">
      <w:pPr>
        <w:pStyle w:val="Bullet1"/>
      </w:pPr>
      <w:r w:rsidRPr="00910FE5">
        <w:t xml:space="preserve">Be prepared to adjust strategies as new insights emerge or as the </w:t>
      </w:r>
      <w:r w:rsidR="00117048">
        <w:t>person’s</w:t>
      </w:r>
      <w:r w:rsidR="00117048" w:rsidRPr="00910FE5">
        <w:t xml:space="preserve"> </w:t>
      </w:r>
      <w:r w:rsidRPr="00910FE5">
        <w:t>situation evolves</w:t>
      </w:r>
      <w:r w:rsidR="00F86D96">
        <w:t>.</w:t>
      </w:r>
    </w:p>
    <w:p w14:paraId="3532E943" w14:textId="79C895C0" w:rsidR="00910FE5" w:rsidRPr="005E4222" w:rsidRDefault="00B72AD8" w:rsidP="005E4222">
      <w:pPr>
        <w:pStyle w:val="Bullet1"/>
      </w:pPr>
      <w:r>
        <w:t>R</w:t>
      </w:r>
      <w:r w:rsidR="005206A8" w:rsidRPr="00910FE5">
        <w:t>espon</w:t>
      </w:r>
      <w:r>
        <w:t>d</w:t>
      </w:r>
      <w:r w:rsidR="005206A8" w:rsidRPr="00910FE5">
        <w:t xml:space="preserve"> to communication from the person’s support network (consider their access to pathways to escalate care)</w:t>
      </w:r>
      <w:r w:rsidR="00F86D96">
        <w:t>.</w:t>
      </w:r>
    </w:p>
    <w:p w14:paraId="62FCA52D" w14:textId="77777777" w:rsidR="00FE4747" w:rsidRDefault="00FE4747">
      <w:pPr>
        <w:spacing w:after="0" w:line="240" w:lineRule="auto"/>
        <w:rPr>
          <w:rFonts w:eastAsia="Times" w:cs="Arial"/>
          <w:b/>
          <w:bCs/>
        </w:rPr>
      </w:pPr>
      <w:r>
        <w:rPr>
          <w:rFonts w:cs="Arial"/>
          <w:b/>
          <w:bCs/>
        </w:rPr>
        <w:br w:type="page"/>
      </w:r>
    </w:p>
    <w:p w14:paraId="3E4F4D3A" w14:textId="2750D4B3" w:rsidR="005206A8" w:rsidRPr="00910FE5" w:rsidRDefault="005206A8" w:rsidP="005E4222">
      <w:pPr>
        <w:pStyle w:val="Body"/>
        <w:numPr>
          <w:ilvl w:val="0"/>
          <w:numId w:val="7"/>
        </w:numPr>
        <w:spacing w:before="120"/>
        <w:rPr>
          <w:rFonts w:cs="Arial"/>
          <w:b/>
          <w:bCs/>
        </w:rPr>
      </w:pPr>
      <w:r w:rsidRPr="00910FE5">
        <w:rPr>
          <w:rFonts w:cs="Arial"/>
          <w:b/>
          <w:bCs/>
        </w:rPr>
        <w:lastRenderedPageBreak/>
        <w:t>Document</w:t>
      </w:r>
      <w:r w:rsidR="00117048">
        <w:rPr>
          <w:rFonts w:cs="Arial"/>
          <w:b/>
          <w:bCs/>
        </w:rPr>
        <w:t>ing</w:t>
      </w:r>
      <w:r w:rsidRPr="00910FE5">
        <w:rPr>
          <w:rFonts w:cs="Arial"/>
          <w:b/>
          <w:bCs/>
        </w:rPr>
        <w:t xml:space="preserve"> a clinical rationale or </w:t>
      </w:r>
      <w:r w:rsidR="0073546F" w:rsidRPr="00910FE5">
        <w:rPr>
          <w:rFonts w:cs="Arial"/>
          <w:b/>
          <w:bCs/>
        </w:rPr>
        <w:t>decision-making</w:t>
      </w:r>
      <w:r w:rsidRPr="00910FE5">
        <w:rPr>
          <w:rFonts w:cs="Arial"/>
          <w:b/>
          <w:bCs/>
        </w:rPr>
        <w:t xml:space="preserve"> process </w:t>
      </w:r>
    </w:p>
    <w:p w14:paraId="03527FCB" w14:textId="537CF5DE" w:rsidR="005206A8" w:rsidRPr="00910FE5" w:rsidRDefault="00F86D96" w:rsidP="003360B3">
      <w:pPr>
        <w:pStyle w:val="Bullet1"/>
        <w:rPr>
          <w:rFonts w:eastAsia="Aptos"/>
        </w:rPr>
      </w:pPr>
      <w:r>
        <w:t>T</w:t>
      </w:r>
      <w:r w:rsidR="005206A8" w:rsidRPr="00910FE5">
        <w:t xml:space="preserve">o demonstrate a reasoned </w:t>
      </w:r>
      <w:r w:rsidR="00477D0C" w:rsidRPr="00910FE5">
        <w:t>decision-making</w:t>
      </w:r>
      <w:r w:rsidR="005206A8" w:rsidRPr="00910FE5">
        <w:t xml:space="preserve"> process</w:t>
      </w:r>
      <w:r>
        <w:t>,</w:t>
      </w:r>
      <w:r w:rsidR="005206A8" w:rsidRPr="00910FE5">
        <w:t xml:space="preserve"> clinician</w:t>
      </w:r>
      <w:r w:rsidR="00B72AD8">
        <w:t>s</w:t>
      </w:r>
      <w:r w:rsidR="005206A8" w:rsidRPr="00910FE5">
        <w:t xml:space="preserve"> must document the options considered</w:t>
      </w:r>
      <w:r w:rsidR="00B72AD8">
        <w:t xml:space="preserve"> including</w:t>
      </w:r>
      <w:r w:rsidR="005206A8" w:rsidRPr="00910FE5">
        <w:t xml:space="preserve"> their relative merits, foreseeable consequences and rationale.</w:t>
      </w:r>
    </w:p>
    <w:p w14:paraId="0EFD3A6F" w14:textId="6DADA06E" w:rsidR="005206A8" w:rsidRPr="00910FE5" w:rsidRDefault="00B72AD8" w:rsidP="003360B3">
      <w:pPr>
        <w:pStyle w:val="Bullet1"/>
        <w:rPr>
          <w:rFonts w:eastAsia="Aptos"/>
        </w:rPr>
      </w:pPr>
      <w:r>
        <w:rPr>
          <w:rFonts w:eastAsia="Aptos"/>
        </w:rPr>
        <w:t>Document a</w:t>
      </w:r>
      <w:r w:rsidR="005206A8" w:rsidRPr="00910FE5">
        <w:rPr>
          <w:rFonts w:eastAsia="Aptos"/>
        </w:rPr>
        <w:t>ny issues relevant to risk on which consumer</w:t>
      </w:r>
      <w:r>
        <w:rPr>
          <w:rFonts w:eastAsia="Aptos"/>
        </w:rPr>
        <w:t>s</w:t>
      </w:r>
      <w:r w:rsidR="005206A8" w:rsidRPr="00910FE5">
        <w:rPr>
          <w:rFonts w:eastAsia="Aptos"/>
        </w:rPr>
        <w:t xml:space="preserve"> and clinician</w:t>
      </w:r>
      <w:r>
        <w:rPr>
          <w:rFonts w:eastAsia="Aptos"/>
        </w:rPr>
        <w:t>s</w:t>
      </w:r>
      <w:r w:rsidR="005206A8" w:rsidRPr="00910FE5">
        <w:rPr>
          <w:rFonts w:eastAsia="Aptos"/>
        </w:rPr>
        <w:t xml:space="preserve"> disagree.</w:t>
      </w:r>
    </w:p>
    <w:p w14:paraId="497F63CC" w14:textId="085DFE53" w:rsidR="00910FE5" w:rsidRPr="00910FE5" w:rsidRDefault="00910FE5" w:rsidP="005E4222">
      <w:pPr>
        <w:pStyle w:val="Bodyafterbullets"/>
      </w:pPr>
      <w:r w:rsidRPr="00214C95">
        <w:rPr>
          <w:b/>
          <w:bCs/>
        </w:rPr>
        <w:t>Note</w:t>
      </w:r>
      <w:r w:rsidR="00B44BCD" w:rsidRPr="00214C95">
        <w:rPr>
          <w:b/>
          <w:bCs/>
        </w:rPr>
        <w:t>:</w:t>
      </w:r>
      <w:r w:rsidR="00B44BCD">
        <w:t xml:space="preserve"> </w:t>
      </w:r>
      <w:r w:rsidRPr="00910FE5">
        <w:t>Mental health risk assessment for the purposes of the criminal justice system (</w:t>
      </w:r>
      <w:r w:rsidR="00B44BCD">
        <w:t>such as</w:t>
      </w:r>
      <w:r w:rsidRPr="00910FE5">
        <w:t xml:space="preserve"> predicting future harm for preventive detention schemes) may raise </w:t>
      </w:r>
      <w:r w:rsidR="005D73CD">
        <w:t>other</w:t>
      </w:r>
      <w:r w:rsidR="005D73CD" w:rsidRPr="00910FE5">
        <w:t xml:space="preserve"> </w:t>
      </w:r>
      <w:r w:rsidRPr="00910FE5">
        <w:t>ethical/human rights issues</w:t>
      </w:r>
      <w:r w:rsidR="005D73CD">
        <w:t>. These involve</w:t>
      </w:r>
      <w:r w:rsidRPr="00910FE5">
        <w:t xml:space="preserve"> a specialist process incorporating many of these features but with </w:t>
      </w:r>
      <w:r w:rsidR="005D73CD">
        <w:t>added</w:t>
      </w:r>
      <w:r w:rsidR="005D73CD" w:rsidRPr="00910FE5">
        <w:t xml:space="preserve"> </w:t>
      </w:r>
      <w:r w:rsidRPr="00910FE5">
        <w:t xml:space="preserve">requirements for formal evidence and implications for </w:t>
      </w:r>
      <w:r w:rsidR="009E25A6">
        <w:t xml:space="preserve">the </w:t>
      </w:r>
      <w:r w:rsidRPr="00910FE5">
        <w:t>extent of collaboration.</w:t>
      </w:r>
    </w:p>
    <w:p w14:paraId="4D7DB300" w14:textId="3171656E" w:rsidR="005206A8" w:rsidRPr="00910FE5" w:rsidRDefault="005206A8" w:rsidP="00477D0C">
      <w:pPr>
        <w:pStyle w:val="Heading1"/>
      </w:pPr>
      <w:bookmarkStart w:id="9" w:name="_Toc181872998"/>
      <w:r w:rsidRPr="00910FE5">
        <w:t>Summary</w:t>
      </w:r>
      <w:bookmarkEnd w:id="9"/>
    </w:p>
    <w:p w14:paraId="6A48F1EC" w14:textId="28AB8A38" w:rsidR="005206A8" w:rsidRPr="00910FE5" w:rsidRDefault="00910FE5" w:rsidP="0073546F">
      <w:pPr>
        <w:pStyle w:val="Body"/>
        <w:rPr>
          <w:rFonts w:cs="Arial"/>
        </w:rPr>
      </w:pPr>
      <w:r w:rsidRPr="00910FE5">
        <w:rPr>
          <w:rFonts w:cs="Arial"/>
        </w:rPr>
        <w:t>In</w:t>
      </w:r>
      <w:r w:rsidR="005206A8" w:rsidRPr="00910FE5">
        <w:rPr>
          <w:rFonts w:cs="Arial"/>
        </w:rPr>
        <w:t xml:space="preserve"> </w:t>
      </w:r>
      <w:r w:rsidR="00B44BCD">
        <w:rPr>
          <w:rFonts w:cs="Arial"/>
        </w:rPr>
        <w:t>following</w:t>
      </w:r>
      <w:r w:rsidR="005206A8" w:rsidRPr="00910FE5">
        <w:rPr>
          <w:rFonts w:cs="Arial"/>
        </w:rPr>
        <w:t xml:space="preserve"> </w:t>
      </w:r>
      <w:r w:rsidR="000B57A3">
        <w:rPr>
          <w:rFonts w:cs="Arial"/>
        </w:rPr>
        <w:t xml:space="preserve">this </w:t>
      </w:r>
      <w:r w:rsidR="005206A8" w:rsidRPr="00910FE5">
        <w:rPr>
          <w:rFonts w:cs="Arial"/>
        </w:rPr>
        <w:t xml:space="preserve">guidance, practitioners </w:t>
      </w:r>
      <w:r w:rsidR="00AE6F31">
        <w:rPr>
          <w:rFonts w:cs="Arial"/>
        </w:rPr>
        <w:t>aim</w:t>
      </w:r>
      <w:r w:rsidR="00AE6F31" w:rsidRPr="00910FE5">
        <w:rPr>
          <w:rFonts w:cs="Arial"/>
        </w:rPr>
        <w:t xml:space="preserve"> </w:t>
      </w:r>
      <w:r w:rsidRPr="00910FE5">
        <w:rPr>
          <w:rFonts w:cs="Arial"/>
        </w:rPr>
        <w:t>to</w:t>
      </w:r>
      <w:r w:rsidR="005206A8" w:rsidRPr="00910FE5">
        <w:rPr>
          <w:rFonts w:cs="Arial"/>
        </w:rPr>
        <w:t xml:space="preserve"> balance se</w:t>
      </w:r>
      <w:r w:rsidRPr="00910FE5">
        <w:rPr>
          <w:rFonts w:cs="Arial"/>
        </w:rPr>
        <w:t>rious risks</w:t>
      </w:r>
      <w:r w:rsidR="005206A8" w:rsidRPr="00910FE5">
        <w:rPr>
          <w:rFonts w:cs="Arial"/>
        </w:rPr>
        <w:t xml:space="preserve"> within the bounds of good clinical care</w:t>
      </w:r>
      <w:r w:rsidR="0071482C">
        <w:rPr>
          <w:rFonts w:cs="Arial"/>
        </w:rPr>
        <w:t>. They do this</w:t>
      </w:r>
      <w:r w:rsidRPr="00910FE5">
        <w:rPr>
          <w:rFonts w:cs="Arial"/>
        </w:rPr>
        <w:t xml:space="preserve"> </w:t>
      </w:r>
      <w:r w:rsidR="009E25A6">
        <w:rPr>
          <w:rFonts w:cs="Arial"/>
        </w:rPr>
        <w:t xml:space="preserve">in the context of collaboration and </w:t>
      </w:r>
      <w:r w:rsidR="0071482C">
        <w:rPr>
          <w:rFonts w:cs="Arial"/>
        </w:rPr>
        <w:t xml:space="preserve">their </w:t>
      </w:r>
      <w:r w:rsidR="009E25A6">
        <w:rPr>
          <w:rFonts w:cs="Arial"/>
        </w:rPr>
        <w:t xml:space="preserve">relationship with the </w:t>
      </w:r>
      <w:r w:rsidR="0071482C">
        <w:rPr>
          <w:rFonts w:cs="Arial"/>
        </w:rPr>
        <w:t>consumer</w:t>
      </w:r>
      <w:r w:rsidR="009E25A6">
        <w:rPr>
          <w:rFonts w:cs="Arial"/>
        </w:rPr>
        <w:t xml:space="preserve">, using </w:t>
      </w:r>
      <w:r w:rsidRPr="00910FE5">
        <w:rPr>
          <w:rFonts w:cs="Arial"/>
        </w:rPr>
        <w:t xml:space="preserve">the principles of the </w:t>
      </w:r>
      <w:r w:rsidR="007F0CF4" w:rsidRPr="00E4089E">
        <w:t>Mental Health and Wellbeing Act</w:t>
      </w:r>
      <w:r w:rsidR="0071482C">
        <w:rPr>
          <w:rFonts w:cs="Arial"/>
        </w:rPr>
        <w:t>. They use</w:t>
      </w:r>
      <w:r w:rsidR="005206A8" w:rsidRPr="00910FE5">
        <w:rPr>
          <w:rFonts w:cs="Arial"/>
        </w:rPr>
        <w:t xml:space="preserve"> </w:t>
      </w:r>
      <w:r w:rsidR="009E25A6">
        <w:rPr>
          <w:rFonts w:cs="Arial"/>
        </w:rPr>
        <w:t xml:space="preserve">risk formulation and mitigation </w:t>
      </w:r>
      <w:r w:rsidRPr="00910FE5">
        <w:rPr>
          <w:rFonts w:cs="Arial"/>
        </w:rPr>
        <w:t xml:space="preserve">to </w:t>
      </w:r>
      <w:r w:rsidR="005206A8" w:rsidRPr="00910FE5">
        <w:rPr>
          <w:rFonts w:cs="Arial"/>
        </w:rPr>
        <w:t xml:space="preserve">engage the </w:t>
      </w:r>
      <w:r w:rsidR="00117048">
        <w:t>person</w:t>
      </w:r>
      <w:r w:rsidR="00117048" w:rsidRPr="00910FE5">
        <w:t xml:space="preserve"> </w:t>
      </w:r>
      <w:r w:rsidR="005206A8" w:rsidRPr="00910FE5">
        <w:rPr>
          <w:rFonts w:cs="Arial"/>
        </w:rPr>
        <w:t>therapeutically in safety planning while meeting broader legal and community expectations.</w:t>
      </w:r>
    </w:p>
    <w:p w14:paraId="2082D9C8" w14:textId="77777777" w:rsidR="005E4222" w:rsidRDefault="005E4222" w:rsidP="003B4FE9">
      <w:pPr>
        <w:pStyle w:val="Body"/>
        <w:rPr>
          <w:rFonts w:eastAsia="MS Gothic" w:cs="Arial"/>
          <w:color w:val="C63663"/>
          <w:kern w:val="32"/>
          <w:sz w:val="44"/>
          <w:szCs w:val="44"/>
        </w:rPr>
      </w:pPr>
      <w:r>
        <w:br w:type="page"/>
      </w:r>
    </w:p>
    <w:p w14:paraId="25902534" w14:textId="77777777" w:rsidR="00995306" w:rsidRDefault="00995306" w:rsidP="00995306">
      <w:pPr>
        <w:pStyle w:val="Heading1"/>
      </w:pPr>
      <w:bookmarkStart w:id="10" w:name="_Toc181872999"/>
      <w:bookmarkStart w:id="11" w:name="_Hlk180566284"/>
      <w:bookmarkEnd w:id="3"/>
      <w:r>
        <w:lastRenderedPageBreak/>
        <w:t>Appendix 1: R</w:t>
      </w:r>
      <w:r w:rsidRPr="003B04FB">
        <w:t>isk formulation grid</w:t>
      </w:r>
      <w:bookmarkEnd w:id="10"/>
    </w:p>
    <w:p w14:paraId="060B7DC8" w14:textId="2AAEA5F1" w:rsidR="00995306" w:rsidRDefault="00995306" w:rsidP="00995306">
      <w:pPr>
        <w:pStyle w:val="Body"/>
      </w:pPr>
      <w:r>
        <w:t xml:space="preserve"> </w:t>
      </w:r>
      <w:bookmarkEnd w:id="11"/>
      <w:r>
        <w:rPr>
          <w:noProof/>
        </w:rPr>
        <w:drawing>
          <wp:inline distT="0" distB="0" distL="0" distR="0" wp14:anchorId="4E0C3824" wp14:editId="4FB86F8A">
            <wp:extent cx="5730875" cy="2920365"/>
            <wp:effectExtent l="0" t="0" r="3175" b="0"/>
            <wp:docPr id="1443200547" name="Picture 1" descr="This grid has 4 parts: predisposing factors, modifiable factors, strengths and protective factors, and future factors. For an accessible version of this grid, contact the OC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00547" name="Picture 1" descr="This grid has 4 parts: predisposing factors, modifiable factors, strengths and protective factors, and future factors. For an accessible version of this grid, contact the OCP.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920365"/>
                    </a:xfrm>
                    <a:prstGeom prst="rect">
                      <a:avLst/>
                    </a:prstGeom>
                    <a:noFill/>
                  </pic:spPr>
                </pic:pic>
              </a:graphicData>
            </a:graphic>
          </wp:inline>
        </w:drawing>
      </w:r>
    </w:p>
    <w:p w14:paraId="01E52013" w14:textId="394A8290" w:rsidR="00995306" w:rsidRDefault="00995306" w:rsidP="00257174">
      <w:pPr>
        <w:pStyle w:val="Tablefigurenote"/>
      </w:pPr>
      <w:r>
        <w:t xml:space="preserve">Source: </w:t>
      </w:r>
      <w:r w:rsidRPr="00910FE5">
        <w:t xml:space="preserve">Hawton </w:t>
      </w:r>
      <w:r w:rsidR="00C2058D">
        <w:t xml:space="preserve">et al </w:t>
      </w:r>
      <w:r>
        <w:t>2022</w:t>
      </w:r>
    </w:p>
    <w:p w14:paraId="4B0E7295" w14:textId="77777777" w:rsidR="00995306" w:rsidRDefault="00995306" w:rsidP="005E4222">
      <w:pPr>
        <w:pStyle w:val="Body"/>
      </w:pPr>
      <w:r>
        <w:br w:type="page"/>
      </w:r>
    </w:p>
    <w:p w14:paraId="778DDBA1" w14:textId="41E1FC8E" w:rsidR="00995306" w:rsidRDefault="00995306" w:rsidP="00995306">
      <w:pPr>
        <w:pStyle w:val="Heading1"/>
      </w:pPr>
      <w:bookmarkStart w:id="12" w:name="_Toc181873000"/>
      <w:r>
        <w:lastRenderedPageBreak/>
        <w:t xml:space="preserve">Appendix 2: The </w:t>
      </w:r>
      <w:r w:rsidR="000B57A3">
        <w:t>B</w:t>
      </w:r>
      <w:r>
        <w:t xml:space="preserve">orderline </w:t>
      </w:r>
      <w:r w:rsidR="000B57A3">
        <w:t>P</w:t>
      </w:r>
      <w:r>
        <w:t xml:space="preserve">ersonality </w:t>
      </w:r>
      <w:r w:rsidR="000B57A3">
        <w:t>D</w:t>
      </w:r>
      <w:r>
        <w:t>isorder</w:t>
      </w:r>
      <w:r w:rsidR="00C2058D">
        <w:t>–</w:t>
      </w:r>
      <w:r w:rsidR="000B57A3">
        <w:t>Spectrum -</w:t>
      </w:r>
      <w:r>
        <w:t xml:space="preserve"> </w:t>
      </w:r>
      <w:r w:rsidR="000B57A3">
        <w:t>R</w:t>
      </w:r>
      <w:r>
        <w:t xml:space="preserve">isk </w:t>
      </w:r>
      <w:r w:rsidR="000B57A3">
        <w:t>A</w:t>
      </w:r>
      <w:r>
        <w:t xml:space="preserve">ssessment </w:t>
      </w:r>
      <w:r w:rsidR="000B57A3">
        <w:t>M</w:t>
      </w:r>
      <w:r>
        <w:t>odel</w:t>
      </w:r>
      <w:bookmarkEnd w:id="12"/>
      <w:r>
        <w:t xml:space="preserve"> </w:t>
      </w:r>
    </w:p>
    <w:p w14:paraId="182F971E" w14:textId="77777777" w:rsidR="00995306" w:rsidRPr="003359BE" w:rsidRDefault="00995306" w:rsidP="00995306">
      <w:pPr>
        <w:pStyle w:val="Body"/>
      </w:pPr>
    </w:p>
    <w:p w14:paraId="74C51577" w14:textId="77777777" w:rsidR="00995306" w:rsidRDefault="00995306" w:rsidP="00995306">
      <w:pPr>
        <w:pStyle w:val="Body"/>
      </w:pPr>
      <w:r w:rsidRPr="008D4F75">
        <w:rPr>
          <w:noProof/>
        </w:rPr>
        <w:drawing>
          <wp:inline distT="0" distB="0" distL="0" distR="0" wp14:anchorId="5FC09997" wp14:editId="3CE9A424">
            <wp:extent cx="5782482" cy="3667637"/>
            <wp:effectExtent l="0" t="0" r="8890" b="9525"/>
            <wp:docPr id="2039687319" name="Picture 1" descr="This diagram has 4 parts: high-lethality method, new pattern, low-lethality method and chronic pattern. For an accessible version of this diagram, contact the OC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87319" name="Picture 1" descr="This diagram has 4 parts: high-lethality method, new pattern, low-lethality method and chronic pattern. For an accessible version of this diagram, contact the OCP. "/>
                    <pic:cNvPicPr/>
                  </pic:nvPicPr>
                  <pic:blipFill>
                    <a:blip r:embed="rId21"/>
                    <a:stretch>
                      <a:fillRect/>
                    </a:stretch>
                  </pic:blipFill>
                  <pic:spPr>
                    <a:xfrm>
                      <a:off x="0" y="0"/>
                      <a:ext cx="5782482" cy="3667637"/>
                    </a:xfrm>
                    <a:prstGeom prst="rect">
                      <a:avLst/>
                    </a:prstGeom>
                  </pic:spPr>
                </pic:pic>
              </a:graphicData>
            </a:graphic>
          </wp:inline>
        </w:drawing>
      </w:r>
    </w:p>
    <w:p w14:paraId="47D55F94" w14:textId="627A2997" w:rsidR="00995306" w:rsidRPr="005376FE" w:rsidRDefault="00995306" w:rsidP="00C00D1F">
      <w:pPr>
        <w:pStyle w:val="Tablefigurenote"/>
      </w:pPr>
      <w:bookmarkStart w:id="13" w:name="_Hlk180572201"/>
      <w:r>
        <w:t>Source: Rao et al 2017</w:t>
      </w:r>
      <w:bookmarkEnd w:id="13"/>
    </w:p>
    <w:p w14:paraId="176FF2CE" w14:textId="77777777" w:rsidR="003B4FE9" w:rsidRDefault="003B4FE9" w:rsidP="003B4FE9">
      <w:pPr>
        <w:pStyle w:val="Body"/>
        <w:rPr>
          <w:rFonts w:eastAsia="MS Gothic" w:cs="Arial"/>
          <w:color w:val="C63663"/>
          <w:kern w:val="32"/>
          <w:sz w:val="44"/>
          <w:szCs w:val="44"/>
        </w:rPr>
      </w:pPr>
      <w:r>
        <w:br w:type="page"/>
      </w:r>
    </w:p>
    <w:p w14:paraId="00D77E9B" w14:textId="18504614" w:rsidR="00A14CF2" w:rsidRDefault="00A14CF2" w:rsidP="00A14CF2">
      <w:pPr>
        <w:pStyle w:val="Heading1"/>
      </w:pPr>
      <w:bookmarkStart w:id="14" w:name="_Toc181873001"/>
      <w:r>
        <w:lastRenderedPageBreak/>
        <w:t xml:space="preserve">Appendix </w:t>
      </w:r>
      <w:r w:rsidR="00DF3998">
        <w:t>3</w:t>
      </w:r>
      <w:r>
        <w:t xml:space="preserve">: </w:t>
      </w:r>
      <w:r w:rsidR="00BA4DC0">
        <w:t>Risk assessment template</w:t>
      </w:r>
      <w:bookmarkEnd w:id="14"/>
    </w:p>
    <w:p w14:paraId="4880456F" w14:textId="1437AC8A" w:rsidR="003B4FE9" w:rsidRDefault="00D0788E" w:rsidP="003B4FE9">
      <w:pPr>
        <w:pStyle w:val="Body"/>
      </w:pPr>
      <w:r w:rsidRPr="0098168D">
        <w:t xml:space="preserve">Clinical </w:t>
      </w:r>
      <w:r>
        <w:t>s</w:t>
      </w:r>
      <w:r w:rsidRPr="0098168D">
        <w:t xml:space="preserve">ervices </w:t>
      </w:r>
      <w:r>
        <w:t>can obtain</w:t>
      </w:r>
      <w:r w:rsidRPr="0098168D">
        <w:t xml:space="preserve"> </w:t>
      </w:r>
      <w:r>
        <w:t xml:space="preserve">a copy of the </w:t>
      </w:r>
      <w:r w:rsidR="00A7431C" w:rsidRPr="00A7431C">
        <w:t xml:space="preserve">Austin </w:t>
      </w:r>
      <w:r w:rsidR="001B084A">
        <w:t xml:space="preserve">Health </w:t>
      </w:r>
      <w:r w:rsidR="00A7431C" w:rsidRPr="00A7431C">
        <w:t xml:space="preserve">Mental Health Risk Assessment </w:t>
      </w:r>
      <w:r w:rsidR="003B4AED">
        <w:t>t</w:t>
      </w:r>
      <w:r w:rsidR="00A7431C" w:rsidRPr="00A7431C">
        <w:t>ool</w:t>
      </w:r>
      <w:r>
        <w:t xml:space="preserve"> by contacting the </w:t>
      </w:r>
      <w:r w:rsidRPr="00D0788E">
        <w:t>O</w:t>
      </w:r>
      <w:r>
        <w:t xml:space="preserve">ffice of the </w:t>
      </w:r>
      <w:r w:rsidRPr="00D0788E">
        <w:t>C</w:t>
      </w:r>
      <w:r>
        <w:t xml:space="preserve">hief </w:t>
      </w:r>
      <w:r w:rsidRPr="00D0788E">
        <w:t>P</w:t>
      </w:r>
      <w:r>
        <w:t>sychiatrist</w:t>
      </w:r>
      <w:r w:rsidRPr="00D0788E">
        <w:t xml:space="preserve"> at </w:t>
      </w:r>
      <w:hyperlink r:id="rId22" w:history="1">
        <w:r w:rsidRPr="00ED1FB0">
          <w:rPr>
            <w:rStyle w:val="Hyperlink"/>
          </w:rPr>
          <w:t>ocp@health.vic.gov.au</w:t>
        </w:r>
      </w:hyperlink>
      <w:r>
        <w:t xml:space="preserve">. The </w:t>
      </w:r>
      <w:r w:rsidRPr="00D0788E">
        <w:t xml:space="preserve">Austin </w:t>
      </w:r>
      <w:r w:rsidR="001B084A">
        <w:t xml:space="preserve">Health </w:t>
      </w:r>
      <w:r w:rsidRPr="00D0788E">
        <w:t xml:space="preserve">Mental Health Risk Assessment </w:t>
      </w:r>
      <w:r w:rsidR="003B4AED">
        <w:t>t</w:t>
      </w:r>
      <w:r w:rsidRPr="00D0788E">
        <w:t>ool</w:t>
      </w:r>
      <w:r w:rsidR="008A78B6">
        <w:t xml:space="preserve"> is broad risk assessment tool </w:t>
      </w:r>
      <w:r w:rsidR="0098168D" w:rsidRPr="0098168D">
        <w:t>developed in 2023 for local use but incorporating existing Victoria</w:t>
      </w:r>
      <w:r w:rsidR="000D6F36">
        <w:t>n</w:t>
      </w:r>
      <w:r w:rsidR="0098168D" w:rsidRPr="0098168D">
        <w:t xml:space="preserve"> tools, the</w:t>
      </w:r>
      <w:r w:rsidR="00A44259">
        <w:t>ir</w:t>
      </w:r>
      <w:r w:rsidR="0098168D" w:rsidRPr="0098168D">
        <w:t xml:space="preserve"> evidence base, clinical consultation and guidance with a risk identification and risk formulation approach.</w:t>
      </w:r>
    </w:p>
    <w:p w14:paraId="27ADCFB8" w14:textId="059F98CB" w:rsidR="003B4FE9" w:rsidRDefault="003B4FE9" w:rsidP="003B4FE9">
      <w:pPr>
        <w:pStyle w:val="Body"/>
      </w:pPr>
      <w:r>
        <w:br w:type="page"/>
      </w:r>
    </w:p>
    <w:p w14:paraId="0789F23E" w14:textId="32A36323" w:rsidR="000B57A3" w:rsidRPr="00115615" w:rsidRDefault="000B57A3" w:rsidP="00115615">
      <w:pPr>
        <w:pStyle w:val="Body"/>
        <w:rPr>
          <w:b/>
          <w:bCs/>
        </w:rPr>
      </w:pPr>
      <w:r w:rsidRPr="00115615">
        <w:rPr>
          <w:b/>
          <w:bCs/>
        </w:rPr>
        <w:lastRenderedPageBreak/>
        <w:t>This paper was developed by the Office of the Chief Psychiatrist in consultation with the Victorian Mental Health Authorised Psychiatrists and written by Associate Professor Sophie Adams, Associate Professor Andrew Carro</w:t>
      </w:r>
      <w:r w:rsidR="00A65EA7">
        <w:rPr>
          <w:b/>
          <w:bCs/>
        </w:rPr>
        <w:t>l</w:t>
      </w:r>
      <w:r w:rsidRPr="00115615">
        <w:rPr>
          <w:b/>
          <w:bCs/>
        </w:rPr>
        <w:t>l and Dr Dominika Baetens</w:t>
      </w:r>
    </w:p>
    <w:p w14:paraId="2626A85F" w14:textId="14B53A4A" w:rsidR="003B4FE9" w:rsidRPr="00910FE5" w:rsidRDefault="003B4FE9" w:rsidP="003B4FE9">
      <w:pPr>
        <w:pStyle w:val="Heading1"/>
      </w:pPr>
      <w:bookmarkStart w:id="15" w:name="_Toc181873002"/>
      <w:r w:rsidRPr="00910FE5">
        <w:t>R</w:t>
      </w:r>
      <w:r>
        <w:t>eferences and other r</w:t>
      </w:r>
      <w:r w:rsidRPr="00910FE5">
        <w:t>esources</w:t>
      </w:r>
      <w:bookmarkEnd w:id="15"/>
    </w:p>
    <w:p w14:paraId="3415FBE3" w14:textId="039A6A7D" w:rsidR="003B4FE9" w:rsidRDefault="003B4FE9" w:rsidP="003B4FE9">
      <w:pPr>
        <w:pStyle w:val="Body"/>
      </w:pPr>
      <w:r w:rsidRPr="00910FE5">
        <w:t>Carroll A</w:t>
      </w:r>
      <w:r>
        <w:t xml:space="preserve"> and</w:t>
      </w:r>
      <w:r w:rsidRPr="00910FE5">
        <w:t xml:space="preserve"> McSherry B</w:t>
      </w:r>
      <w:r>
        <w:t xml:space="preserve"> (2018)</w:t>
      </w:r>
      <w:r w:rsidRPr="00910FE5">
        <w:t xml:space="preserve"> </w:t>
      </w:r>
      <w:r>
        <w:t>‘</w:t>
      </w:r>
      <w:r w:rsidRPr="00910FE5">
        <w:t>Making defensible decisions in the era of recovery and rights</w:t>
      </w:r>
      <w:r>
        <w:t>’,</w:t>
      </w:r>
      <w:r w:rsidRPr="00910FE5">
        <w:t xml:space="preserve"> </w:t>
      </w:r>
      <w:r w:rsidRPr="003360B3">
        <w:rPr>
          <w:i/>
          <w:iCs/>
        </w:rPr>
        <w:t>Australas Psychiatry</w:t>
      </w:r>
      <w:r>
        <w:t xml:space="preserve">, </w:t>
      </w:r>
      <w:r w:rsidRPr="00910FE5">
        <w:t>26(5):474</w:t>
      </w:r>
      <w:r>
        <w:t>–</w:t>
      </w:r>
      <w:r w:rsidRPr="00910FE5">
        <w:t>477.</w:t>
      </w:r>
    </w:p>
    <w:p w14:paraId="4A6CEFDB" w14:textId="55F3EEB6" w:rsidR="003B4FE9" w:rsidRDefault="003B4FE9" w:rsidP="003B4FE9">
      <w:pPr>
        <w:pStyle w:val="Body"/>
      </w:pPr>
      <w:r w:rsidRPr="009E25A6">
        <w:t>Carter</w:t>
      </w:r>
      <w:r>
        <w:t xml:space="preserve"> </w:t>
      </w:r>
      <w:r w:rsidRPr="009E25A6">
        <w:t>G and Spittal</w:t>
      </w:r>
      <w:r>
        <w:t xml:space="preserve"> MJ (2018) ‘</w:t>
      </w:r>
      <w:r w:rsidRPr="009E25A6">
        <w:t>Suicide risk assessment: Risk stratification is not accurate enough to be clinically useful and alternative approaches are needed</w:t>
      </w:r>
      <w:r>
        <w:t>’,</w:t>
      </w:r>
      <w:r w:rsidRPr="009E25A6">
        <w:t> </w:t>
      </w:r>
      <w:r w:rsidRPr="009E25A6">
        <w:rPr>
          <w:i/>
          <w:iCs/>
        </w:rPr>
        <w:t>Crisis: The Journal of Crisis Intervention and Suicide Prevention</w:t>
      </w:r>
      <w:r>
        <w:t>,</w:t>
      </w:r>
      <w:r w:rsidRPr="009E25A6">
        <w:t> 39</w:t>
      </w:r>
      <w:r>
        <w:t>(</w:t>
      </w:r>
      <w:r w:rsidRPr="009E25A6">
        <w:t>4</w:t>
      </w:r>
      <w:r>
        <w:t>):</w:t>
      </w:r>
      <w:r w:rsidRPr="009E25A6">
        <w:t>229</w:t>
      </w:r>
      <w:r>
        <w:t>–234.</w:t>
      </w:r>
    </w:p>
    <w:p w14:paraId="503A8DD5" w14:textId="67963227" w:rsidR="003B4FE9" w:rsidRDefault="003B4FE9" w:rsidP="003B4FE9">
      <w:pPr>
        <w:pStyle w:val="Body"/>
      </w:pPr>
      <w:r>
        <w:t xml:space="preserve">Department of Health (2024) </w:t>
      </w:r>
      <w:r w:rsidRPr="00C00D1F">
        <w:rPr>
          <w:i/>
          <w:iCs/>
        </w:rPr>
        <w:t>M</w:t>
      </w:r>
      <w:r w:rsidRPr="00C2058D">
        <w:rPr>
          <w:i/>
          <w:iCs/>
        </w:rPr>
        <w:t>ental health and wellbeing principles</w:t>
      </w:r>
      <w:r w:rsidRPr="00910FE5">
        <w:t>,</w:t>
      </w:r>
      <w:r>
        <w:t xml:space="preserve"> </w:t>
      </w:r>
      <w:r w:rsidRPr="00863F0B">
        <w:t>https://www.health.vic.gov.au/mental-health-and-wellbeing-act-handbook/context-of-the-act/mental-health-and-wellbeing-principles</w:t>
      </w:r>
    </w:p>
    <w:p w14:paraId="71600615" w14:textId="4919C30C" w:rsidR="003B4FE9" w:rsidRDefault="003B4FE9" w:rsidP="003B4FE9">
      <w:pPr>
        <w:pStyle w:val="Body"/>
      </w:pPr>
      <w:r w:rsidRPr="003360B3">
        <w:t>Giddens JM, Sheehan KH</w:t>
      </w:r>
      <w:r>
        <w:t xml:space="preserve"> and</w:t>
      </w:r>
      <w:r w:rsidRPr="003360B3">
        <w:t xml:space="preserve"> Sheehan DV</w:t>
      </w:r>
      <w:r>
        <w:t xml:space="preserve"> (2014) ‘</w:t>
      </w:r>
      <w:r w:rsidRPr="003360B3">
        <w:t xml:space="preserve">The Columbia-Suicide Severity Rating Scale (C-SSRS): Has the </w:t>
      </w:r>
      <w:r>
        <w:t>“</w:t>
      </w:r>
      <w:r w:rsidRPr="003360B3">
        <w:t>Gold Standard</w:t>
      </w:r>
      <w:r>
        <w:t>”</w:t>
      </w:r>
      <w:r w:rsidRPr="003360B3">
        <w:t xml:space="preserve"> </w:t>
      </w:r>
      <w:r>
        <w:t>b</w:t>
      </w:r>
      <w:r w:rsidRPr="003360B3">
        <w:t xml:space="preserve">ecome a </w:t>
      </w:r>
      <w:r>
        <w:t>l</w:t>
      </w:r>
      <w:r w:rsidRPr="003360B3">
        <w:t>iability?</w:t>
      </w:r>
      <w:r w:rsidRPr="00B17461">
        <w:rPr>
          <w:i/>
          <w:iCs/>
        </w:rPr>
        <w:t>’</w:t>
      </w:r>
      <w:r w:rsidRPr="003360B3">
        <w:rPr>
          <w:i/>
          <w:iCs/>
        </w:rPr>
        <w:t xml:space="preserve"> Innov</w:t>
      </w:r>
      <w:r>
        <w:rPr>
          <w:i/>
          <w:iCs/>
        </w:rPr>
        <w:t>ations in</w:t>
      </w:r>
      <w:r w:rsidRPr="003360B3">
        <w:rPr>
          <w:i/>
          <w:iCs/>
        </w:rPr>
        <w:t xml:space="preserve"> Clin</w:t>
      </w:r>
      <w:r>
        <w:rPr>
          <w:i/>
          <w:iCs/>
        </w:rPr>
        <w:t>ical</w:t>
      </w:r>
      <w:r w:rsidRPr="003360B3">
        <w:rPr>
          <w:i/>
          <w:iCs/>
        </w:rPr>
        <w:t xml:space="preserve"> Neurosci</w:t>
      </w:r>
      <w:r>
        <w:rPr>
          <w:i/>
          <w:iCs/>
        </w:rPr>
        <w:t>ence</w:t>
      </w:r>
      <w:r>
        <w:t>,</w:t>
      </w:r>
      <w:r w:rsidRPr="003360B3">
        <w:t xml:space="preserve"> 11(9</w:t>
      </w:r>
      <w:r>
        <w:t>–</w:t>
      </w:r>
      <w:r w:rsidRPr="003360B3">
        <w:t>10):66</w:t>
      </w:r>
      <w:r>
        <w:t>–</w:t>
      </w:r>
      <w:r w:rsidRPr="003360B3">
        <w:t>80.</w:t>
      </w:r>
    </w:p>
    <w:p w14:paraId="0BD64E71" w14:textId="7C5C91E0" w:rsidR="003B4FE9" w:rsidRPr="003360B3" w:rsidRDefault="003B4FE9" w:rsidP="003B4FE9">
      <w:pPr>
        <w:pStyle w:val="Body"/>
      </w:pPr>
      <w:r>
        <w:t>Goel D, Dennis B and McKenzie SK (2023) ‘</w:t>
      </w:r>
      <w:r w:rsidRPr="004A52CB">
        <w:t>Is suicide a mental health, public health or</w:t>
      </w:r>
      <w:r>
        <w:t xml:space="preserve"> </w:t>
      </w:r>
      <w:r w:rsidRPr="004A52CB">
        <w:t>societal problem?</w:t>
      </w:r>
      <w:r>
        <w:t xml:space="preserve">’, </w:t>
      </w:r>
      <w:r w:rsidRPr="00F3428F">
        <w:rPr>
          <w:i/>
          <w:iCs/>
        </w:rPr>
        <w:t>Current Opinion Psychiatry</w:t>
      </w:r>
      <w:r>
        <w:t xml:space="preserve">, 36(5):352–359. </w:t>
      </w:r>
    </w:p>
    <w:p w14:paraId="378BED70" w14:textId="06553B82" w:rsidR="003B4FE9" w:rsidRPr="003360B3" w:rsidRDefault="003B4FE9" w:rsidP="003B4FE9">
      <w:pPr>
        <w:pStyle w:val="Body"/>
      </w:pPr>
      <w:r w:rsidRPr="003360B3">
        <w:t>Graney</w:t>
      </w:r>
      <w:r>
        <w:t xml:space="preserve"> J</w:t>
      </w:r>
      <w:r w:rsidRPr="003360B3">
        <w:t xml:space="preserve">, </w:t>
      </w:r>
      <w:r w:rsidRPr="00B17461">
        <w:t>Hunt</w:t>
      </w:r>
      <w:r>
        <w:t xml:space="preserve"> IM</w:t>
      </w:r>
      <w:r w:rsidRPr="00B17461">
        <w:t>,</w:t>
      </w:r>
      <w:r>
        <w:t xml:space="preserve"> </w:t>
      </w:r>
      <w:r w:rsidRPr="00B17461">
        <w:t>Quinlivan</w:t>
      </w:r>
      <w:r>
        <w:t xml:space="preserve"> L</w:t>
      </w:r>
      <w:r w:rsidRPr="00B17461">
        <w:t>, Rodway</w:t>
      </w:r>
      <w:r>
        <w:t xml:space="preserve"> C</w:t>
      </w:r>
      <w:r w:rsidRPr="00B17461">
        <w:t xml:space="preserve">, Turnbull, </w:t>
      </w:r>
      <w:r>
        <w:t xml:space="preserve">P, </w:t>
      </w:r>
      <w:r w:rsidRPr="00B17461">
        <w:t>Gianatsi</w:t>
      </w:r>
      <w:r>
        <w:t xml:space="preserve"> M, </w:t>
      </w:r>
      <w:r w:rsidRPr="00B17461">
        <w:t>Appleby</w:t>
      </w:r>
      <w:r>
        <w:t xml:space="preserve"> L and </w:t>
      </w:r>
      <w:r w:rsidRPr="00B17461">
        <w:t>Kapur</w:t>
      </w:r>
      <w:r>
        <w:t xml:space="preserve"> N (2020)</w:t>
      </w:r>
      <w:r w:rsidRPr="003360B3">
        <w:t xml:space="preserve"> </w:t>
      </w:r>
      <w:r>
        <w:t>‘</w:t>
      </w:r>
      <w:r w:rsidRPr="003360B3">
        <w:t>Suicide risk assessment in UK mental health services: a national mixed-methods study</w:t>
      </w:r>
      <w:r>
        <w:t>’.</w:t>
      </w:r>
      <w:r w:rsidRPr="003360B3">
        <w:t> </w:t>
      </w:r>
      <w:r w:rsidRPr="003360B3">
        <w:rPr>
          <w:i/>
          <w:iCs/>
        </w:rPr>
        <w:t>The Lancet Psychiatry</w:t>
      </w:r>
      <w:r w:rsidRPr="003360B3">
        <w:t> 7</w:t>
      </w:r>
      <w:r>
        <w:t>(</w:t>
      </w:r>
      <w:r w:rsidRPr="003360B3">
        <w:t>12</w:t>
      </w:r>
      <w:r>
        <w:t>)</w:t>
      </w:r>
      <w:r w:rsidRPr="003360B3">
        <w:t>:1046</w:t>
      </w:r>
      <w:r>
        <w:t>–</w:t>
      </w:r>
      <w:r w:rsidRPr="003360B3">
        <w:t>1053.</w:t>
      </w:r>
    </w:p>
    <w:p w14:paraId="0E20B7DC" w14:textId="0ED8AAE5" w:rsidR="003B4FE9" w:rsidRDefault="003B4FE9" w:rsidP="003B4FE9">
      <w:pPr>
        <w:pStyle w:val="Body"/>
      </w:pPr>
      <w:bookmarkStart w:id="16" w:name="_Hlk180572425"/>
      <w:r w:rsidRPr="00910FE5">
        <w:t>Hawton K, Lascelles K</w:t>
      </w:r>
      <w:r>
        <w:t xml:space="preserve">, </w:t>
      </w:r>
      <w:r w:rsidRPr="00B17461">
        <w:t xml:space="preserve">Pitman </w:t>
      </w:r>
      <w:r>
        <w:t>A</w:t>
      </w:r>
      <w:r w:rsidRPr="00B17461">
        <w:t xml:space="preserve">, Gilbert </w:t>
      </w:r>
      <w:r>
        <w:t xml:space="preserve">S and </w:t>
      </w:r>
      <w:r w:rsidRPr="00B17461">
        <w:t xml:space="preserve">Silverman </w:t>
      </w:r>
      <w:r>
        <w:t>M (2022) ‘</w:t>
      </w:r>
      <w:r w:rsidRPr="00910FE5">
        <w:t>Assessment of suicide risk in mental health practice: shifting from prediction to therapeutic assessment, formulation and risk management</w:t>
      </w:r>
      <w:r>
        <w:t>’,</w:t>
      </w:r>
      <w:r w:rsidRPr="00910FE5">
        <w:t xml:space="preserve"> </w:t>
      </w:r>
      <w:r w:rsidRPr="00B17461">
        <w:rPr>
          <w:i/>
          <w:iCs/>
        </w:rPr>
        <w:t>The Lancet</w:t>
      </w:r>
      <w:r>
        <w:t>, 9(11):922–928</w:t>
      </w:r>
      <w:r w:rsidRPr="00910FE5">
        <w:t>.</w:t>
      </w:r>
    </w:p>
    <w:bookmarkEnd w:id="16"/>
    <w:p w14:paraId="183A220E" w14:textId="5A5C242D" w:rsidR="003B4FE9" w:rsidRDefault="003B4FE9" w:rsidP="003B4FE9">
      <w:pPr>
        <w:pStyle w:val="Body"/>
      </w:pPr>
      <w:r w:rsidRPr="009E25A6">
        <w:t>Lucey JV</w:t>
      </w:r>
      <w:r>
        <w:t xml:space="preserve"> </w:t>
      </w:r>
      <w:r w:rsidRPr="009E25A6">
        <w:t>and Matti</w:t>
      </w:r>
      <w:r>
        <w:t xml:space="preserve"> B (2023) ‘</w:t>
      </w:r>
      <w:r w:rsidRPr="009E25A6">
        <w:t>Suicide risk assessment: time to think again?</w:t>
      </w:r>
      <w:r>
        <w:t>’,</w:t>
      </w:r>
      <w:r w:rsidRPr="009E25A6">
        <w:t> </w:t>
      </w:r>
      <w:r w:rsidRPr="009E25A6">
        <w:rPr>
          <w:i/>
          <w:iCs/>
        </w:rPr>
        <w:t xml:space="preserve">Irish </w:t>
      </w:r>
      <w:r>
        <w:rPr>
          <w:i/>
          <w:iCs/>
        </w:rPr>
        <w:t>J</w:t>
      </w:r>
      <w:r w:rsidRPr="009E25A6">
        <w:rPr>
          <w:i/>
          <w:iCs/>
        </w:rPr>
        <w:t xml:space="preserve">ournal of </w:t>
      </w:r>
      <w:r>
        <w:rPr>
          <w:i/>
          <w:iCs/>
        </w:rPr>
        <w:t>P</w:t>
      </w:r>
      <w:r w:rsidRPr="009E25A6">
        <w:rPr>
          <w:i/>
          <w:iCs/>
        </w:rPr>
        <w:t xml:space="preserve">sychological </w:t>
      </w:r>
      <w:r>
        <w:rPr>
          <w:i/>
          <w:iCs/>
        </w:rPr>
        <w:t>M</w:t>
      </w:r>
      <w:r w:rsidRPr="009E25A6">
        <w:rPr>
          <w:i/>
          <w:iCs/>
        </w:rPr>
        <w:t>edicine</w:t>
      </w:r>
      <w:r>
        <w:rPr>
          <w:i/>
          <w:iCs/>
        </w:rPr>
        <w:t>,</w:t>
      </w:r>
      <w:r w:rsidRPr="009E25A6">
        <w:t> 40</w:t>
      </w:r>
      <w:r>
        <w:t>(</w:t>
      </w:r>
      <w:r w:rsidRPr="009E25A6">
        <w:t>3</w:t>
      </w:r>
      <w:r>
        <w:t>)</w:t>
      </w:r>
      <w:r w:rsidRPr="009E25A6">
        <w:t>:323</w:t>
      </w:r>
      <w:r>
        <w:t>–</w:t>
      </w:r>
      <w:r w:rsidRPr="009E25A6">
        <w:t>325.</w:t>
      </w:r>
    </w:p>
    <w:p w14:paraId="0939303B" w14:textId="1BE4CA03" w:rsidR="003B4FE9" w:rsidRDefault="003B4FE9" w:rsidP="003B4FE9">
      <w:pPr>
        <w:pStyle w:val="Body"/>
        <w:rPr>
          <w:rStyle w:val="Hyperlink"/>
          <w:rFonts w:cs="Arial"/>
        </w:rPr>
      </w:pPr>
      <w:r w:rsidRPr="00910FE5">
        <w:t>NICE Guideline</w:t>
      </w:r>
      <w:r>
        <w:t xml:space="preserve"> </w:t>
      </w:r>
      <w:r w:rsidRPr="00910FE5">
        <w:t>(NG225)</w:t>
      </w:r>
      <w:r>
        <w:t xml:space="preserve"> (2022)</w:t>
      </w:r>
      <w:r w:rsidRPr="00910FE5">
        <w:t xml:space="preserve"> </w:t>
      </w:r>
      <w:r>
        <w:t>‘</w:t>
      </w:r>
      <w:r w:rsidRPr="00910FE5">
        <w:t>Self harm: assessment, management and preventing recurrence</w:t>
      </w:r>
      <w:r>
        <w:t>’,</w:t>
      </w:r>
      <w:r w:rsidRPr="00910FE5">
        <w:t xml:space="preserve"> </w:t>
      </w:r>
      <w:r w:rsidRPr="00863F0B">
        <w:t>https://www.nice.org.uk/guidance/ng225/chapter/Recommendations</w:t>
      </w:r>
    </w:p>
    <w:p w14:paraId="71FC034C" w14:textId="33268BA4" w:rsidR="003B4FE9" w:rsidRDefault="003B4FE9" w:rsidP="003B4FE9">
      <w:pPr>
        <w:pStyle w:val="Body"/>
      </w:pPr>
      <w:r w:rsidRPr="009E25A6">
        <w:t>Ogloff</w:t>
      </w:r>
      <w:r>
        <w:t xml:space="preserve"> J</w:t>
      </w:r>
      <w:r w:rsidRPr="009E25A6">
        <w:t>RP</w:t>
      </w:r>
      <w:r>
        <w:t xml:space="preserve"> </w:t>
      </w:r>
      <w:r w:rsidRPr="009E25A6">
        <w:t>and Daffern</w:t>
      </w:r>
      <w:r>
        <w:t xml:space="preserve"> M (2006) ‘T</w:t>
      </w:r>
      <w:r w:rsidRPr="009E25A6">
        <w:t>he dynamic appraisal of situational aggression: an instrument to assess risk for imminent aggression in psychiatric inpatients</w:t>
      </w:r>
      <w:r>
        <w:t>’,</w:t>
      </w:r>
      <w:r w:rsidRPr="009E25A6">
        <w:t> </w:t>
      </w:r>
      <w:r w:rsidRPr="009E25A6">
        <w:rPr>
          <w:i/>
          <w:iCs/>
        </w:rPr>
        <w:t xml:space="preserve">Behavioral </w:t>
      </w:r>
      <w:r>
        <w:rPr>
          <w:i/>
          <w:iCs/>
        </w:rPr>
        <w:t>S</w:t>
      </w:r>
      <w:r w:rsidRPr="009E25A6">
        <w:rPr>
          <w:i/>
          <w:iCs/>
        </w:rPr>
        <w:t xml:space="preserve">ciences &amp; </w:t>
      </w:r>
      <w:r>
        <w:rPr>
          <w:i/>
          <w:iCs/>
        </w:rPr>
        <w:t>t</w:t>
      </w:r>
      <w:r w:rsidRPr="009E25A6">
        <w:rPr>
          <w:i/>
          <w:iCs/>
        </w:rPr>
        <w:t xml:space="preserve">he </w:t>
      </w:r>
      <w:r>
        <w:rPr>
          <w:i/>
          <w:iCs/>
        </w:rPr>
        <w:t>L</w:t>
      </w:r>
      <w:r w:rsidRPr="009E25A6">
        <w:rPr>
          <w:i/>
          <w:iCs/>
        </w:rPr>
        <w:t>aw</w:t>
      </w:r>
      <w:r>
        <w:t>,</w:t>
      </w:r>
      <w:r w:rsidRPr="009E25A6">
        <w:t> 24</w:t>
      </w:r>
      <w:r>
        <w:t>(</w:t>
      </w:r>
      <w:r w:rsidRPr="009E25A6">
        <w:t>6</w:t>
      </w:r>
      <w:r>
        <w:t>)</w:t>
      </w:r>
      <w:r w:rsidRPr="009E25A6">
        <w:t>: 799</w:t>
      </w:r>
      <w:r>
        <w:t>–</w:t>
      </w:r>
      <w:r w:rsidRPr="009E25A6">
        <w:t>813.</w:t>
      </w:r>
    </w:p>
    <w:p w14:paraId="0C026F91" w14:textId="3AE3EB2D" w:rsidR="001113D4" w:rsidRDefault="001113D4" w:rsidP="003B4FE9">
      <w:pPr>
        <w:pStyle w:val="Body"/>
      </w:pPr>
      <w:r>
        <w:t>Per</w:t>
      </w:r>
      <w:r w:rsidR="005561D9">
        <w:t xml:space="preserve">kins R and Repper J </w:t>
      </w:r>
      <w:r w:rsidR="005B3D01">
        <w:t>(2016) ‘</w:t>
      </w:r>
      <w:r w:rsidR="005B3D01" w:rsidRPr="005B3D01">
        <w:t>Recovery versus risk? From managing risk to the co-production of safety and opportunity</w:t>
      </w:r>
      <w:r w:rsidR="005B3D01">
        <w:t xml:space="preserve">’, </w:t>
      </w:r>
      <w:r w:rsidR="00125E21" w:rsidRPr="00125E21">
        <w:rPr>
          <w:i/>
          <w:iCs/>
        </w:rPr>
        <w:t>Mental Health and Social Inclusion</w:t>
      </w:r>
      <w:r w:rsidR="00125E21">
        <w:t>, 20(2):</w:t>
      </w:r>
      <w:r w:rsidR="00804E2A">
        <w:t>101</w:t>
      </w:r>
      <w:r w:rsidR="00804E2A" w:rsidRPr="00804E2A">
        <w:t>–</w:t>
      </w:r>
      <w:r w:rsidR="00804E2A">
        <w:t>109.</w:t>
      </w:r>
    </w:p>
    <w:p w14:paraId="6C177FD4" w14:textId="545EC93D" w:rsidR="003B4FE9" w:rsidRDefault="003B4FE9" w:rsidP="003B4FE9">
      <w:pPr>
        <w:pStyle w:val="Body"/>
      </w:pPr>
      <w:r w:rsidRPr="00CF173B">
        <w:t>Rao S</w:t>
      </w:r>
      <w:r>
        <w:t xml:space="preserve">, </w:t>
      </w:r>
      <w:r w:rsidRPr="00CF173B">
        <w:t xml:space="preserve">Broadbear </w:t>
      </w:r>
      <w:r>
        <w:t>JH</w:t>
      </w:r>
      <w:r w:rsidRPr="00CF173B">
        <w:t xml:space="preserve">, Thompson </w:t>
      </w:r>
      <w:r>
        <w:t>K</w:t>
      </w:r>
      <w:r w:rsidRPr="00CF173B">
        <w:t xml:space="preserve">, Correia </w:t>
      </w:r>
      <w:r>
        <w:t>A</w:t>
      </w:r>
      <w:r w:rsidRPr="00CF173B">
        <w:t xml:space="preserve">, Preston </w:t>
      </w:r>
      <w:r>
        <w:t>M</w:t>
      </w:r>
      <w:r w:rsidRPr="00CF173B">
        <w:t xml:space="preserve">, Katz </w:t>
      </w:r>
      <w:r>
        <w:t>P and</w:t>
      </w:r>
      <w:r w:rsidRPr="00CF173B">
        <w:t xml:space="preserve"> Trett </w:t>
      </w:r>
      <w:r>
        <w:t>R</w:t>
      </w:r>
      <w:r w:rsidRPr="00CF173B">
        <w:t xml:space="preserve"> (2017) </w:t>
      </w:r>
      <w:r>
        <w:t>‘</w:t>
      </w:r>
      <w:r w:rsidRPr="00CF173B">
        <w:t>Evaluation of a novel risk assessment method for self-harm associated with borderline personality disorder</w:t>
      </w:r>
      <w:r>
        <w:t>’</w:t>
      </w:r>
      <w:r w:rsidRPr="00CF173B">
        <w:t xml:space="preserve">, </w:t>
      </w:r>
      <w:r w:rsidRPr="00CF173B">
        <w:rPr>
          <w:i/>
          <w:iCs/>
        </w:rPr>
        <w:t>Australasian Psychiatry</w:t>
      </w:r>
      <w:r w:rsidRPr="00CF173B">
        <w:t>, 25(5)</w:t>
      </w:r>
      <w:r>
        <w:t>:</w:t>
      </w:r>
      <w:r w:rsidRPr="00CF173B">
        <w:t>1</w:t>
      </w:r>
      <w:r>
        <w:t>–</w:t>
      </w:r>
      <w:r w:rsidRPr="00CF173B">
        <w:t>6.</w:t>
      </w:r>
    </w:p>
    <w:p w14:paraId="606B04B7" w14:textId="535B06BF" w:rsidR="00117274" w:rsidRDefault="003B4FE9" w:rsidP="003B4FE9">
      <w:pPr>
        <w:pStyle w:val="Body"/>
      </w:pPr>
      <w:r w:rsidRPr="009E25A6">
        <w:t>Woods P and Almvik</w:t>
      </w:r>
      <w:r>
        <w:t xml:space="preserve"> R (2002) ‘</w:t>
      </w:r>
      <w:r w:rsidRPr="009E25A6">
        <w:t>The Brøset violence checklist (BVC)</w:t>
      </w:r>
      <w:r>
        <w:t>’,</w:t>
      </w:r>
      <w:r w:rsidRPr="009E25A6">
        <w:t> </w:t>
      </w:r>
      <w:r w:rsidRPr="009E25A6">
        <w:rPr>
          <w:i/>
          <w:iCs/>
        </w:rPr>
        <w:t>Acta Psychiatrica Scandinavica</w:t>
      </w:r>
      <w:r>
        <w:t xml:space="preserve">, </w:t>
      </w:r>
      <w:r w:rsidRPr="009E25A6">
        <w:t>106:103</w:t>
      </w:r>
      <w:r>
        <w:t>–</w:t>
      </w:r>
      <w:r w:rsidRPr="009E25A6">
        <w:t>105.</w:t>
      </w:r>
    </w:p>
    <w:sectPr w:rsidR="00117274" w:rsidSect="00D40748">
      <w:headerReference w:type="even" r:id="rId23"/>
      <w:headerReference w:type="default" r:id="rId24"/>
      <w:footerReference w:type="even" r:id="rId25"/>
      <w:footerReference w:type="default" r:id="rId26"/>
      <w:headerReference w:type="first" r:id="rId27"/>
      <w:pgSz w:w="11906" w:h="16838" w:code="9"/>
      <w:pgMar w:top="1418" w:right="1304" w:bottom="851"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7379" w14:textId="77777777" w:rsidR="00A74023" w:rsidRDefault="00A74023">
      <w:r>
        <w:separator/>
      </w:r>
    </w:p>
    <w:p w14:paraId="389ED694" w14:textId="77777777" w:rsidR="00A74023" w:rsidRDefault="00A74023"/>
  </w:endnote>
  <w:endnote w:type="continuationSeparator" w:id="0">
    <w:p w14:paraId="0B202E0E" w14:textId="77777777" w:rsidR="00A74023" w:rsidRDefault="00A74023">
      <w:r>
        <w:continuationSeparator/>
      </w:r>
    </w:p>
    <w:p w14:paraId="6C938901" w14:textId="77777777" w:rsidR="00A74023" w:rsidRDefault="00A74023"/>
  </w:endnote>
  <w:endnote w:type="continuationNotice" w:id="1">
    <w:p w14:paraId="4221F289" w14:textId="77777777" w:rsidR="00A74023" w:rsidRDefault="00A74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0FF2E"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4ECA275E" wp14:editId="3C55119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DB4F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CA275E"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8ADB4F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64B7"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2691DDC0" wp14:editId="44F4D22F">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DDC3C"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1DDC0"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ACDDC3C"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BC99"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F304131" wp14:editId="7941F91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7D79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30413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57D79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2FA7"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72FF1212" wp14:editId="3E652776">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03EC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FF1212"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7903EC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6634"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49A7BB80" wp14:editId="42D0EAFA">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8026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A7BB80"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0A8026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63D34B9D" wp14:editId="3C08BB39">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C261D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3D34B9D"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C261D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4C9B3" w14:textId="77777777" w:rsidR="00A74023" w:rsidRDefault="00A74023" w:rsidP="00207717">
      <w:pPr>
        <w:spacing w:before="120"/>
      </w:pPr>
      <w:r>
        <w:separator/>
      </w:r>
    </w:p>
  </w:footnote>
  <w:footnote w:type="continuationSeparator" w:id="0">
    <w:p w14:paraId="490FEB23" w14:textId="77777777" w:rsidR="00A74023" w:rsidRDefault="00A74023">
      <w:r>
        <w:continuationSeparator/>
      </w:r>
    </w:p>
    <w:p w14:paraId="02BC73D0" w14:textId="77777777" w:rsidR="00A74023" w:rsidRDefault="00A74023"/>
  </w:footnote>
  <w:footnote w:type="continuationNotice" w:id="1">
    <w:p w14:paraId="0F4392D7" w14:textId="77777777" w:rsidR="00A74023" w:rsidRDefault="00A74023">
      <w:pPr>
        <w:spacing w:after="0" w:line="240" w:lineRule="auto"/>
      </w:pPr>
    </w:p>
  </w:footnote>
  <w:footnote w:id="2">
    <w:p w14:paraId="38EF4616" w14:textId="603327FB" w:rsidR="00935565" w:rsidRDefault="00935565" w:rsidP="00935565">
      <w:pPr>
        <w:pStyle w:val="FootnoteText"/>
      </w:pPr>
      <w:r w:rsidRPr="15AD2C6F">
        <w:rPr>
          <w:rStyle w:val="FootnoteReference"/>
        </w:rPr>
        <w:footnoteRef/>
      </w:r>
      <w:r>
        <w:t xml:space="preserve"> Examples include the Br</w:t>
      </w:r>
      <w:r w:rsidR="002A3840" w:rsidRPr="009E25A6">
        <w:t>ø</w:t>
      </w:r>
      <w:r>
        <w:t xml:space="preserve">set Violence Checklist, Dynamic Appraisal of Situational Aggression, Historical </w:t>
      </w:r>
      <w:r w:rsidR="004C414B">
        <w:t>C</w:t>
      </w:r>
      <w:r>
        <w:t>linical Risk Management – 20</w:t>
      </w:r>
      <w:r w:rsidR="004C414B">
        <w:t xml:space="preserve"> and the</w:t>
      </w:r>
      <w:r>
        <w:t xml:space="preserve"> Columbia-Suicide Severity Risk Rating Scale. </w:t>
      </w:r>
      <w:r w:rsidR="002A3840">
        <w:t xml:space="preserve">For </w:t>
      </w:r>
      <w:r w:rsidR="00644BEB">
        <w:t>an analysis of</w:t>
      </w:r>
      <w:r w:rsidR="002A3840">
        <w:t xml:space="preserve"> the Br</w:t>
      </w:r>
      <w:r w:rsidR="002A3840" w:rsidRPr="009E25A6">
        <w:t>ø</w:t>
      </w:r>
      <w:r w:rsidR="002A3840">
        <w:t xml:space="preserve">set Violence Checklist, </w:t>
      </w:r>
      <w:r w:rsidR="00B44BCD">
        <w:t xml:space="preserve">refer to </w:t>
      </w:r>
      <w:r>
        <w:t>Wood</w:t>
      </w:r>
      <w:r w:rsidR="002A3840">
        <w:t xml:space="preserve">s and Almvik (2002). For an example of </w:t>
      </w:r>
      <w:r w:rsidR="004C414B">
        <w:t xml:space="preserve">a </w:t>
      </w:r>
      <w:r w:rsidR="002A3840">
        <w:t xml:space="preserve">risk assessment tool used in a Victorian mental health service, </w:t>
      </w:r>
      <w:r w:rsidR="00B44BCD">
        <w:t xml:space="preserve">refer to </w:t>
      </w:r>
      <w:r w:rsidR="002A3840">
        <w:t>the Austin</w:t>
      </w:r>
      <w:r w:rsidR="001B084A">
        <w:t xml:space="preserve"> Health Mental Health</w:t>
      </w:r>
      <w:r w:rsidR="002A3840">
        <w:t xml:space="preserve"> </w:t>
      </w:r>
      <w:r w:rsidR="00AB32E9">
        <w:t>R</w:t>
      </w:r>
      <w:r w:rsidR="002A3840">
        <w:t xml:space="preserve">isk </w:t>
      </w:r>
      <w:r w:rsidR="00AB32E9">
        <w:t>A</w:t>
      </w:r>
      <w:r w:rsidR="002A3840">
        <w:t xml:space="preserve">ssessment </w:t>
      </w:r>
      <w:r w:rsidR="00BD171A">
        <w:t>t</w:t>
      </w:r>
      <w:r w:rsidR="002A3840">
        <w: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678D8" w14:textId="38CDAED7" w:rsidR="00173931" w:rsidRDefault="00173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D5CE" w14:textId="45B946E5" w:rsidR="00173931" w:rsidRDefault="00173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34D5" w14:textId="32FD41AF" w:rsidR="00173931" w:rsidRDefault="001739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F05A" w14:textId="3E1FE96A"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15FC" w14:textId="694A5090" w:rsidR="00562811" w:rsidRPr="0051568D" w:rsidRDefault="007F7D05" w:rsidP="0017674D">
    <w:pPr>
      <w:pStyle w:val="Header"/>
    </w:pPr>
    <w:r>
      <w:t>White paper: On the principles of mental health risk assessment</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D81D" w14:textId="6FE1A265" w:rsidR="005206A8" w:rsidRDefault="00520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A22C4C"/>
    <w:multiLevelType w:val="multilevel"/>
    <w:tmpl w:val="5226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3286F"/>
    <w:multiLevelType w:val="multilevel"/>
    <w:tmpl w:val="AF8A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25D41"/>
    <w:multiLevelType w:val="multilevel"/>
    <w:tmpl w:val="A322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96C30"/>
    <w:multiLevelType w:val="multilevel"/>
    <w:tmpl w:val="781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15E0B"/>
    <w:multiLevelType w:val="hybridMultilevel"/>
    <w:tmpl w:val="08F2B166"/>
    <w:lvl w:ilvl="0" w:tplc="1B20E3BE">
      <w:start w:val="1"/>
      <w:numFmt w:val="bullet"/>
      <w:lvlText w:val=""/>
      <w:lvlJc w:val="left"/>
      <w:pPr>
        <w:ind w:left="1080" w:hanging="360"/>
      </w:pPr>
      <w:rPr>
        <w:rFonts w:ascii="Symbol" w:hAnsi="Symbol"/>
      </w:rPr>
    </w:lvl>
    <w:lvl w:ilvl="1" w:tplc="A87C4E7C">
      <w:start w:val="1"/>
      <w:numFmt w:val="bullet"/>
      <w:lvlText w:val=""/>
      <w:lvlJc w:val="left"/>
      <w:pPr>
        <w:ind w:left="1080" w:hanging="360"/>
      </w:pPr>
      <w:rPr>
        <w:rFonts w:ascii="Symbol" w:hAnsi="Symbol"/>
      </w:rPr>
    </w:lvl>
    <w:lvl w:ilvl="2" w:tplc="47F87430">
      <w:start w:val="1"/>
      <w:numFmt w:val="bullet"/>
      <w:lvlText w:val=""/>
      <w:lvlJc w:val="left"/>
      <w:pPr>
        <w:ind w:left="1080" w:hanging="360"/>
      </w:pPr>
      <w:rPr>
        <w:rFonts w:ascii="Symbol" w:hAnsi="Symbol"/>
      </w:rPr>
    </w:lvl>
    <w:lvl w:ilvl="3" w:tplc="BB7E4500">
      <w:start w:val="1"/>
      <w:numFmt w:val="bullet"/>
      <w:lvlText w:val=""/>
      <w:lvlJc w:val="left"/>
      <w:pPr>
        <w:ind w:left="1080" w:hanging="360"/>
      </w:pPr>
      <w:rPr>
        <w:rFonts w:ascii="Symbol" w:hAnsi="Symbol"/>
      </w:rPr>
    </w:lvl>
    <w:lvl w:ilvl="4" w:tplc="8E86252A">
      <w:start w:val="1"/>
      <w:numFmt w:val="bullet"/>
      <w:lvlText w:val=""/>
      <w:lvlJc w:val="left"/>
      <w:pPr>
        <w:ind w:left="1080" w:hanging="360"/>
      </w:pPr>
      <w:rPr>
        <w:rFonts w:ascii="Symbol" w:hAnsi="Symbol"/>
      </w:rPr>
    </w:lvl>
    <w:lvl w:ilvl="5" w:tplc="24400FA6">
      <w:start w:val="1"/>
      <w:numFmt w:val="bullet"/>
      <w:lvlText w:val=""/>
      <w:lvlJc w:val="left"/>
      <w:pPr>
        <w:ind w:left="1080" w:hanging="360"/>
      </w:pPr>
      <w:rPr>
        <w:rFonts w:ascii="Symbol" w:hAnsi="Symbol"/>
      </w:rPr>
    </w:lvl>
    <w:lvl w:ilvl="6" w:tplc="C2305B4E">
      <w:start w:val="1"/>
      <w:numFmt w:val="bullet"/>
      <w:lvlText w:val=""/>
      <w:lvlJc w:val="left"/>
      <w:pPr>
        <w:ind w:left="1080" w:hanging="360"/>
      </w:pPr>
      <w:rPr>
        <w:rFonts w:ascii="Symbol" w:hAnsi="Symbol"/>
      </w:rPr>
    </w:lvl>
    <w:lvl w:ilvl="7" w:tplc="1916CCA0">
      <w:start w:val="1"/>
      <w:numFmt w:val="bullet"/>
      <w:lvlText w:val=""/>
      <w:lvlJc w:val="left"/>
      <w:pPr>
        <w:ind w:left="1080" w:hanging="360"/>
      </w:pPr>
      <w:rPr>
        <w:rFonts w:ascii="Symbol" w:hAnsi="Symbol"/>
      </w:rPr>
    </w:lvl>
    <w:lvl w:ilvl="8" w:tplc="C46E509C">
      <w:start w:val="1"/>
      <w:numFmt w:val="bullet"/>
      <w:lvlText w:val=""/>
      <w:lvlJc w:val="left"/>
      <w:pPr>
        <w:ind w:left="1080" w:hanging="360"/>
      </w:pPr>
      <w:rPr>
        <w:rFonts w:ascii="Symbol" w:hAnsi="Symbol"/>
      </w:rPr>
    </w:lvl>
  </w:abstractNum>
  <w:abstractNum w:abstractNumId="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5842848"/>
    <w:multiLevelType w:val="multilevel"/>
    <w:tmpl w:val="30AC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4E0CE4"/>
    <w:multiLevelType w:val="multilevel"/>
    <w:tmpl w:val="364A1A42"/>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03251EE"/>
    <w:multiLevelType w:val="hybridMultilevel"/>
    <w:tmpl w:val="A14C5698"/>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4BF1D43"/>
    <w:multiLevelType w:val="hybridMultilevel"/>
    <w:tmpl w:val="34FCF1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92371107">
    <w:abstractNumId w:val="6"/>
  </w:num>
  <w:num w:numId="2" w16cid:durableId="283772889">
    <w:abstractNumId w:val="12"/>
  </w:num>
  <w:num w:numId="3" w16cid:durableId="787234489">
    <w:abstractNumId w:val="11"/>
  </w:num>
  <w:num w:numId="4" w16cid:durableId="977954738">
    <w:abstractNumId w:val="13"/>
  </w:num>
  <w:num w:numId="5" w16cid:durableId="1411808696">
    <w:abstractNumId w:val="7"/>
  </w:num>
  <w:num w:numId="6" w16cid:durableId="2129619742">
    <w:abstractNumId w:val="0"/>
  </w:num>
  <w:num w:numId="7" w16cid:durableId="1811706963">
    <w:abstractNumId w:val="9"/>
  </w:num>
  <w:num w:numId="8" w16cid:durableId="828598222">
    <w:abstractNumId w:val="14"/>
  </w:num>
  <w:num w:numId="9" w16cid:durableId="805272306">
    <w:abstractNumId w:val="3"/>
  </w:num>
  <w:num w:numId="10" w16cid:durableId="132212606">
    <w:abstractNumId w:val="8"/>
  </w:num>
  <w:num w:numId="11" w16cid:durableId="911427299">
    <w:abstractNumId w:val="4"/>
  </w:num>
  <w:num w:numId="12" w16cid:durableId="1985423754">
    <w:abstractNumId w:val="1"/>
  </w:num>
  <w:num w:numId="13" w16cid:durableId="1861627157">
    <w:abstractNumId w:val="2"/>
  </w:num>
  <w:num w:numId="14" w16cid:durableId="454370763">
    <w:abstractNumId w:val="10"/>
  </w:num>
  <w:num w:numId="15" w16cid:durableId="183468036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05"/>
    <w:rsid w:val="00000719"/>
    <w:rsid w:val="00001F6C"/>
    <w:rsid w:val="00002D68"/>
    <w:rsid w:val="000033F7"/>
    <w:rsid w:val="00003403"/>
    <w:rsid w:val="00005347"/>
    <w:rsid w:val="000072B6"/>
    <w:rsid w:val="0001021B"/>
    <w:rsid w:val="00011D89"/>
    <w:rsid w:val="000154FD"/>
    <w:rsid w:val="00022271"/>
    <w:rsid w:val="000235E8"/>
    <w:rsid w:val="00024D89"/>
    <w:rsid w:val="000250B6"/>
    <w:rsid w:val="000275DB"/>
    <w:rsid w:val="00027DD4"/>
    <w:rsid w:val="00030CDD"/>
    <w:rsid w:val="00033D81"/>
    <w:rsid w:val="00033DC9"/>
    <w:rsid w:val="00037366"/>
    <w:rsid w:val="00041BF0"/>
    <w:rsid w:val="00042C8A"/>
    <w:rsid w:val="000447E0"/>
    <w:rsid w:val="0004536B"/>
    <w:rsid w:val="00046B68"/>
    <w:rsid w:val="00046E1A"/>
    <w:rsid w:val="000527DD"/>
    <w:rsid w:val="000554EC"/>
    <w:rsid w:val="00056EC4"/>
    <w:rsid w:val="0005748D"/>
    <w:rsid w:val="000578B2"/>
    <w:rsid w:val="00060959"/>
    <w:rsid w:val="00060C8F"/>
    <w:rsid w:val="0006298A"/>
    <w:rsid w:val="0006425F"/>
    <w:rsid w:val="0006509A"/>
    <w:rsid w:val="000663CD"/>
    <w:rsid w:val="00071665"/>
    <w:rsid w:val="000733FE"/>
    <w:rsid w:val="00074219"/>
    <w:rsid w:val="00074ED5"/>
    <w:rsid w:val="0008204A"/>
    <w:rsid w:val="0008508E"/>
    <w:rsid w:val="00086C06"/>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7A3"/>
    <w:rsid w:val="000B5BF7"/>
    <w:rsid w:val="000B6BC8"/>
    <w:rsid w:val="000C0303"/>
    <w:rsid w:val="000C42EA"/>
    <w:rsid w:val="000C4546"/>
    <w:rsid w:val="000D1242"/>
    <w:rsid w:val="000D2ABA"/>
    <w:rsid w:val="000D6454"/>
    <w:rsid w:val="000D6F36"/>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13D4"/>
    <w:rsid w:val="00111F8B"/>
    <w:rsid w:val="001120C5"/>
    <w:rsid w:val="00115615"/>
    <w:rsid w:val="00117048"/>
    <w:rsid w:val="00117274"/>
    <w:rsid w:val="00120BD3"/>
    <w:rsid w:val="00122FEA"/>
    <w:rsid w:val="001232BD"/>
    <w:rsid w:val="001236DC"/>
    <w:rsid w:val="00124ED5"/>
    <w:rsid w:val="00125E21"/>
    <w:rsid w:val="001276FA"/>
    <w:rsid w:val="001447B3"/>
    <w:rsid w:val="00152073"/>
    <w:rsid w:val="00152329"/>
    <w:rsid w:val="00156598"/>
    <w:rsid w:val="001567CE"/>
    <w:rsid w:val="001577B5"/>
    <w:rsid w:val="0015781F"/>
    <w:rsid w:val="00161939"/>
    <w:rsid w:val="00161AA0"/>
    <w:rsid w:val="00161D2E"/>
    <w:rsid w:val="00161F3E"/>
    <w:rsid w:val="00162093"/>
    <w:rsid w:val="00162CA9"/>
    <w:rsid w:val="00165459"/>
    <w:rsid w:val="00165A57"/>
    <w:rsid w:val="001712C2"/>
    <w:rsid w:val="00172BAF"/>
    <w:rsid w:val="00173931"/>
    <w:rsid w:val="0017674D"/>
    <w:rsid w:val="001771DD"/>
    <w:rsid w:val="00177995"/>
    <w:rsid w:val="00177A8C"/>
    <w:rsid w:val="0018244E"/>
    <w:rsid w:val="00186B33"/>
    <w:rsid w:val="001871F8"/>
    <w:rsid w:val="00192F9D"/>
    <w:rsid w:val="00196EB8"/>
    <w:rsid w:val="00196EFB"/>
    <w:rsid w:val="001973B8"/>
    <w:rsid w:val="001979FF"/>
    <w:rsid w:val="00197B17"/>
    <w:rsid w:val="001A1950"/>
    <w:rsid w:val="001A1C54"/>
    <w:rsid w:val="001A3ACE"/>
    <w:rsid w:val="001A6272"/>
    <w:rsid w:val="001B058F"/>
    <w:rsid w:val="001B084A"/>
    <w:rsid w:val="001B6B96"/>
    <w:rsid w:val="001B738B"/>
    <w:rsid w:val="001C09DB"/>
    <w:rsid w:val="001C277E"/>
    <w:rsid w:val="001C2A72"/>
    <w:rsid w:val="001C31B7"/>
    <w:rsid w:val="001C4144"/>
    <w:rsid w:val="001D0B75"/>
    <w:rsid w:val="001D299E"/>
    <w:rsid w:val="001D39A5"/>
    <w:rsid w:val="001D3C09"/>
    <w:rsid w:val="001D44E8"/>
    <w:rsid w:val="001D60EC"/>
    <w:rsid w:val="001D6F59"/>
    <w:rsid w:val="001E44DF"/>
    <w:rsid w:val="001E68A5"/>
    <w:rsid w:val="001E6BB0"/>
    <w:rsid w:val="001E7282"/>
    <w:rsid w:val="001F3826"/>
    <w:rsid w:val="001F6E46"/>
    <w:rsid w:val="001F7C91"/>
    <w:rsid w:val="002018A0"/>
    <w:rsid w:val="002033B7"/>
    <w:rsid w:val="00206463"/>
    <w:rsid w:val="00206F2F"/>
    <w:rsid w:val="00207717"/>
    <w:rsid w:val="0021053D"/>
    <w:rsid w:val="00210A92"/>
    <w:rsid w:val="00212B95"/>
    <w:rsid w:val="00214C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7174"/>
    <w:rsid w:val="002620BC"/>
    <w:rsid w:val="002622EA"/>
    <w:rsid w:val="00262802"/>
    <w:rsid w:val="00263A90"/>
    <w:rsid w:val="0026408B"/>
    <w:rsid w:val="00267C3E"/>
    <w:rsid w:val="002709BB"/>
    <w:rsid w:val="0027131C"/>
    <w:rsid w:val="00273BAC"/>
    <w:rsid w:val="00274F72"/>
    <w:rsid w:val="002763B3"/>
    <w:rsid w:val="002802E3"/>
    <w:rsid w:val="0028213D"/>
    <w:rsid w:val="002834F6"/>
    <w:rsid w:val="002862F1"/>
    <w:rsid w:val="00291373"/>
    <w:rsid w:val="0029597D"/>
    <w:rsid w:val="002962C3"/>
    <w:rsid w:val="0029752B"/>
    <w:rsid w:val="002A0A9C"/>
    <w:rsid w:val="002A3840"/>
    <w:rsid w:val="002A483C"/>
    <w:rsid w:val="002A6903"/>
    <w:rsid w:val="002B0C7C"/>
    <w:rsid w:val="002B1729"/>
    <w:rsid w:val="002B36C7"/>
    <w:rsid w:val="002B4DD4"/>
    <w:rsid w:val="002B5277"/>
    <w:rsid w:val="002B5375"/>
    <w:rsid w:val="002B5C00"/>
    <w:rsid w:val="002B77C1"/>
    <w:rsid w:val="002C04F3"/>
    <w:rsid w:val="002C0ED7"/>
    <w:rsid w:val="002C2728"/>
    <w:rsid w:val="002C5B7C"/>
    <w:rsid w:val="002D1E0D"/>
    <w:rsid w:val="002D5006"/>
    <w:rsid w:val="002D690A"/>
    <w:rsid w:val="002D7C61"/>
    <w:rsid w:val="002E01D0"/>
    <w:rsid w:val="002E04A2"/>
    <w:rsid w:val="002E161D"/>
    <w:rsid w:val="002E28A2"/>
    <w:rsid w:val="002E3100"/>
    <w:rsid w:val="002E6C95"/>
    <w:rsid w:val="002E7C36"/>
    <w:rsid w:val="002F105A"/>
    <w:rsid w:val="002F3D32"/>
    <w:rsid w:val="002F5F31"/>
    <w:rsid w:val="002F5F46"/>
    <w:rsid w:val="002F7B95"/>
    <w:rsid w:val="00302216"/>
    <w:rsid w:val="00303E53"/>
    <w:rsid w:val="00305CC1"/>
    <w:rsid w:val="00306E5F"/>
    <w:rsid w:val="00307E14"/>
    <w:rsid w:val="00314054"/>
    <w:rsid w:val="0031431C"/>
    <w:rsid w:val="00315A95"/>
    <w:rsid w:val="00315D96"/>
    <w:rsid w:val="00316F27"/>
    <w:rsid w:val="003214F1"/>
    <w:rsid w:val="00322E4B"/>
    <w:rsid w:val="00327870"/>
    <w:rsid w:val="0033259D"/>
    <w:rsid w:val="003333D2"/>
    <w:rsid w:val="00334686"/>
    <w:rsid w:val="003359BE"/>
    <w:rsid w:val="003360B3"/>
    <w:rsid w:val="00337339"/>
    <w:rsid w:val="00337F41"/>
    <w:rsid w:val="003401BE"/>
    <w:rsid w:val="00340345"/>
    <w:rsid w:val="003406C6"/>
    <w:rsid w:val="00341770"/>
    <w:rsid w:val="003418CC"/>
    <w:rsid w:val="003434EE"/>
    <w:rsid w:val="003459BD"/>
    <w:rsid w:val="00350D38"/>
    <w:rsid w:val="00351B36"/>
    <w:rsid w:val="003545E8"/>
    <w:rsid w:val="00357B4E"/>
    <w:rsid w:val="00367BED"/>
    <w:rsid w:val="003716FD"/>
    <w:rsid w:val="0037204B"/>
    <w:rsid w:val="003744CF"/>
    <w:rsid w:val="00374717"/>
    <w:rsid w:val="0037676C"/>
    <w:rsid w:val="00381043"/>
    <w:rsid w:val="00381A9D"/>
    <w:rsid w:val="003829E5"/>
    <w:rsid w:val="00386109"/>
    <w:rsid w:val="00386944"/>
    <w:rsid w:val="003956CC"/>
    <w:rsid w:val="00395C9A"/>
    <w:rsid w:val="003A0853"/>
    <w:rsid w:val="003A6B33"/>
    <w:rsid w:val="003A6B67"/>
    <w:rsid w:val="003B04FB"/>
    <w:rsid w:val="003B13B6"/>
    <w:rsid w:val="003B14C3"/>
    <w:rsid w:val="003B15E6"/>
    <w:rsid w:val="003B22EF"/>
    <w:rsid w:val="003B24F4"/>
    <w:rsid w:val="003B408A"/>
    <w:rsid w:val="003B4383"/>
    <w:rsid w:val="003B4AED"/>
    <w:rsid w:val="003B4FE9"/>
    <w:rsid w:val="003B670C"/>
    <w:rsid w:val="003C08A2"/>
    <w:rsid w:val="003C2045"/>
    <w:rsid w:val="003C2E3D"/>
    <w:rsid w:val="003C43A1"/>
    <w:rsid w:val="003C4FC0"/>
    <w:rsid w:val="003C55F4"/>
    <w:rsid w:val="003C7897"/>
    <w:rsid w:val="003C7A3F"/>
    <w:rsid w:val="003D2766"/>
    <w:rsid w:val="003D2A74"/>
    <w:rsid w:val="003D3D88"/>
    <w:rsid w:val="003D3E8F"/>
    <w:rsid w:val="003D5E75"/>
    <w:rsid w:val="003D6475"/>
    <w:rsid w:val="003D6EE6"/>
    <w:rsid w:val="003E27CE"/>
    <w:rsid w:val="003E375C"/>
    <w:rsid w:val="003E4086"/>
    <w:rsid w:val="003E639E"/>
    <w:rsid w:val="003E71E5"/>
    <w:rsid w:val="003F0445"/>
    <w:rsid w:val="003F0CF0"/>
    <w:rsid w:val="003F14B1"/>
    <w:rsid w:val="003F2B20"/>
    <w:rsid w:val="003F3289"/>
    <w:rsid w:val="003F3C62"/>
    <w:rsid w:val="003F5CB9"/>
    <w:rsid w:val="003F79D1"/>
    <w:rsid w:val="00400B98"/>
    <w:rsid w:val="004013C7"/>
    <w:rsid w:val="00401FCF"/>
    <w:rsid w:val="00406285"/>
    <w:rsid w:val="00406F80"/>
    <w:rsid w:val="004115A2"/>
    <w:rsid w:val="004148F9"/>
    <w:rsid w:val="0042084E"/>
    <w:rsid w:val="00421EEF"/>
    <w:rsid w:val="0042279D"/>
    <w:rsid w:val="00424D65"/>
    <w:rsid w:val="00430393"/>
    <w:rsid w:val="00431806"/>
    <w:rsid w:val="00431A70"/>
    <w:rsid w:val="00431F42"/>
    <w:rsid w:val="004327D8"/>
    <w:rsid w:val="00442C6C"/>
    <w:rsid w:val="00443CBE"/>
    <w:rsid w:val="00443E8A"/>
    <w:rsid w:val="004441BC"/>
    <w:rsid w:val="004468B4"/>
    <w:rsid w:val="00446D86"/>
    <w:rsid w:val="00447281"/>
    <w:rsid w:val="0045230A"/>
    <w:rsid w:val="00454A7D"/>
    <w:rsid w:val="00454AD0"/>
    <w:rsid w:val="00457337"/>
    <w:rsid w:val="00462E3D"/>
    <w:rsid w:val="00462FBF"/>
    <w:rsid w:val="00466E79"/>
    <w:rsid w:val="00470D7D"/>
    <w:rsid w:val="00472033"/>
    <w:rsid w:val="0047372D"/>
    <w:rsid w:val="00473BA3"/>
    <w:rsid w:val="004743DD"/>
    <w:rsid w:val="00474CEA"/>
    <w:rsid w:val="00475C2F"/>
    <w:rsid w:val="00477D0C"/>
    <w:rsid w:val="00483968"/>
    <w:rsid w:val="004841BE"/>
    <w:rsid w:val="00484F86"/>
    <w:rsid w:val="00490746"/>
    <w:rsid w:val="00490852"/>
    <w:rsid w:val="00491C9C"/>
    <w:rsid w:val="00492F30"/>
    <w:rsid w:val="004946F4"/>
    <w:rsid w:val="0049487E"/>
    <w:rsid w:val="004A14BB"/>
    <w:rsid w:val="004A160D"/>
    <w:rsid w:val="004A3E81"/>
    <w:rsid w:val="004A4195"/>
    <w:rsid w:val="004A52CB"/>
    <w:rsid w:val="004A5C62"/>
    <w:rsid w:val="004A5CE5"/>
    <w:rsid w:val="004A707D"/>
    <w:rsid w:val="004A71B4"/>
    <w:rsid w:val="004B0974"/>
    <w:rsid w:val="004B346A"/>
    <w:rsid w:val="004B4185"/>
    <w:rsid w:val="004C356B"/>
    <w:rsid w:val="004C414B"/>
    <w:rsid w:val="004C5541"/>
    <w:rsid w:val="004C6EEE"/>
    <w:rsid w:val="004C702B"/>
    <w:rsid w:val="004D0033"/>
    <w:rsid w:val="004D016B"/>
    <w:rsid w:val="004D04CE"/>
    <w:rsid w:val="004D1B22"/>
    <w:rsid w:val="004D23CC"/>
    <w:rsid w:val="004D36F2"/>
    <w:rsid w:val="004D4793"/>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4B25"/>
    <w:rsid w:val="0051568D"/>
    <w:rsid w:val="005206A8"/>
    <w:rsid w:val="00526AC7"/>
    <w:rsid w:val="00526C15"/>
    <w:rsid w:val="00532871"/>
    <w:rsid w:val="00533AFA"/>
    <w:rsid w:val="00536499"/>
    <w:rsid w:val="005376FE"/>
    <w:rsid w:val="00542351"/>
    <w:rsid w:val="00542A03"/>
    <w:rsid w:val="00543903"/>
    <w:rsid w:val="00543BCC"/>
    <w:rsid w:val="00543C60"/>
    <w:rsid w:val="00543F11"/>
    <w:rsid w:val="00544135"/>
    <w:rsid w:val="00546305"/>
    <w:rsid w:val="005464DF"/>
    <w:rsid w:val="00547A95"/>
    <w:rsid w:val="0055119B"/>
    <w:rsid w:val="005561D9"/>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490"/>
    <w:rsid w:val="005B1C6D"/>
    <w:rsid w:val="005B1F61"/>
    <w:rsid w:val="005B21B6"/>
    <w:rsid w:val="005B3A08"/>
    <w:rsid w:val="005B3D01"/>
    <w:rsid w:val="005B7A63"/>
    <w:rsid w:val="005C0955"/>
    <w:rsid w:val="005C49DA"/>
    <w:rsid w:val="005C50F3"/>
    <w:rsid w:val="005C54B5"/>
    <w:rsid w:val="005C5D80"/>
    <w:rsid w:val="005C5D91"/>
    <w:rsid w:val="005D07B8"/>
    <w:rsid w:val="005D4FB6"/>
    <w:rsid w:val="005D6597"/>
    <w:rsid w:val="005D73CD"/>
    <w:rsid w:val="005E14E7"/>
    <w:rsid w:val="005E26A3"/>
    <w:rsid w:val="005E2ECB"/>
    <w:rsid w:val="005E4222"/>
    <w:rsid w:val="005E447E"/>
    <w:rsid w:val="005E4FD1"/>
    <w:rsid w:val="005F0775"/>
    <w:rsid w:val="005F0CF5"/>
    <w:rsid w:val="005F1FAD"/>
    <w:rsid w:val="005F21EB"/>
    <w:rsid w:val="005F3B4B"/>
    <w:rsid w:val="005F424B"/>
    <w:rsid w:val="005F64CF"/>
    <w:rsid w:val="006041AD"/>
    <w:rsid w:val="00605908"/>
    <w:rsid w:val="00607850"/>
    <w:rsid w:val="00607EF7"/>
    <w:rsid w:val="0061084B"/>
    <w:rsid w:val="00610D7C"/>
    <w:rsid w:val="00613414"/>
    <w:rsid w:val="00620154"/>
    <w:rsid w:val="0062408D"/>
    <w:rsid w:val="006240CC"/>
    <w:rsid w:val="00624599"/>
    <w:rsid w:val="00624940"/>
    <w:rsid w:val="006254F8"/>
    <w:rsid w:val="00627DA7"/>
    <w:rsid w:val="00630DA4"/>
    <w:rsid w:val="00631CD4"/>
    <w:rsid w:val="00632597"/>
    <w:rsid w:val="006344CE"/>
    <w:rsid w:val="00634D13"/>
    <w:rsid w:val="006358B4"/>
    <w:rsid w:val="00641724"/>
    <w:rsid w:val="006419AA"/>
    <w:rsid w:val="00644B1F"/>
    <w:rsid w:val="00644B7E"/>
    <w:rsid w:val="00644BEB"/>
    <w:rsid w:val="006454E6"/>
    <w:rsid w:val="00646235"/>
    <w:rsid w:val="00646A68"/>
    <w:rsid w:val="006505BD"/>
    <w:rsid w:val="006508EA"/>
    <w:rsid w:val="0065092E"/>
    <w:rsid w:val="006515E2"/>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77B6"/>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06DD"/>
    <w:rsid w:val="006F1FDC"/>
    <w:rsid w:val="006F4B6C"/>
    <w:rsid w:val="006F6B8C"/>
    <w:rsid w:val="006F7226"/>
    <w:rsid w:val="007013EF"/>
    <w:rsid w:val="007055BD"/>
    <w:rsid w:val="0071482C"/>
    <w:rsid w:val="007173CA"/>
    <w:rsid w:val="007216AA"/>
    <w:rsid w:val="00721AB5"/>
    <w:rsid w:val="00721CFB"/>
    <w:rsid w:val="00721DEF"/>
    <w:rsid w:val="00724A43"/>
    <w:rsid w:val="007273AC"/>
    <w:rsid w:val="00731AD4"/>
    <w:rsid w:val="007346E4"/>
    <w:rsid w:val="0073546F"/>
    <w:rsid w:val="00735564"/>
    <w:rsid w:val="00740F22"/>
    <w:rsid w:val="007417AE"/>
    <w:rsid w:val="00741CF0"/>
    <w:rsid w:val="00741F1A"/>
    <w:rsid w:val="007433B1"/>
    <w:rsid w:val="007447DA"/>
    <w:rsid w:val="007450F8"/>
    <w:rsid w:val="0074696E"/>
    <w:rsid w:val="00750135"/>
    <w:rsid w:val="00750EC2"/>
    <w:rsid w:val="00752B28"/>
    <w:rsid w:val="007536BC"/>
    <w:rsid w:val="007541A9"/>
    <w:rsid w:val="00754E36"/>
    <w:rsid w:val="00763139"/>
    <w:rsid w:val="00770F37"/>
    <w:rsid w:val="007711A0"/>
    <w:rsid w:val="007718B9"/>
    <w:rsid w:val="00772D5E"/>
    <w:rsid w:val="0077463E"/>
    <w:rsid w:val="00775CD3"/>
    <w:rsid w:val="00776928"/>
    <w:rsid w:val="00776D56"/>
    <w:rsid w:val="00776E0F"/>
    <w:rsid w:val="007774B1"/>
    <w:rsid w:val="00777BE1"/>
    <w:rsid w:val="00780667"/>
    <w:rsid w:val="00781C43"/>
    <w:rsid w:val="00782222"/>
    <w:rsid w:val="007833D8"/>
    <w:rsid w:val="00785677"/>
    <w:rsid w:val="00786F16"/>
    <w:rsid w:val="00791BD7"/>
    <w:rsid w:val="007933F7"/>
    <w:rsid w:val="00796E20"/>
    <w:rsid w:val="00797C32"/>
    <w:rsid w:val="007A11E8"/>
    <w:rsid w:val="007B0914"/>
    <w:rsid w:val="007B1374"/>
    <w:rsid w:val="007B32E5"/>
    <w:rsid w:val="007B3DB9"/>
    <w:rsid w:val="007B3DBD"/>
    <w:rsid w:val="007B4951"/>
    <w:rsid w:val="007B589F"/>
    <w:rsid w:val="007B6186"/>
    <w:rsid w:val="007B73BC"/>
    <w:rsid w:val="007C1838"/>
    <w:rsid w:val="007C20B9"/>
    <w:rsid w:val="007C4FA2"/>
    <w:rsid w:val="007C7301"/>
    <w:rsid w:val="007C7859"/>
    <w:rsid w:val="007C7F28"/>
    <w:rsid w:val="007D1466"/>
    <w:rsid w:val="007D2BDE"/>
    <w:rsid w:val="007D2FB6"/>
    <w:rsid w:val="007D49EB"/>
    <w:rsid w:val="007D5E1C"/>
    <w:rsid w:val="007D75BE"/>
    <w:rsid w:val="007E0DE2"/>
    <w:rsid w:val="007E3667"/>
    <w:rsid w:val="007E3B98"/>
    <w:rsid w:val="007E417A"/>
    <w:rsid w:val="007E548D"/>
    <w:rsid w:val="007F0CF4"/>
    <w:rsid w:val="007F31B6"/>
    <w:rsid w:val="007F546C"/>
    <w:rsid w:val="007F625F"/>
    <w:rsid w:val="007F665E"/>
    <w:rsid w:val="007F6B90"/>
    <w:rsid w:val="007F7D05"/>
    <w:rsid w:val="00800412"/>
    <w:rsid w:val="00804E2A"/>
    <w:rsid w:val="0080587B"/>
    <w:rsid w:val="00806468"/>
    <w:rsid w:val="008119CA"/>
    <w:rsid w:val="008130C4"/>
    <w:rsid w:val="0081443D"/>
    <w:rsid w:val="008155F0"/>
    <w:rsid w:val="00816735"/>
    <w:rsid w:val="00820141"/>
    <w:rsid w:val="00820E0C"/>
    <w:rsid w:val="00821225"/>
    <w:rsid w:val="00823275"/>
    <w:rsid w:val="008235DC"/>
    <w:rsid w:val="0082366F"/>
    <w:rsid w:val="008240F0"/>
    <w:rsid w:val="008338A2"/>
    <w:rsid w:val="00836C2C"/>
    <w:rsid w:val="00841AA9"/>
    <w:rsid w:val="008474FE"/>
    <w:rsid w:val="00853EE4"/>
    <w:rsid w:val="00855535"/>
    <w:rsid w:val="00857C5A"/>
    <w:rsid w:val="0086255E"/>
    <w:rsid w:val="008633F0"/>
    <w:rsid w:val="00863F0B"/>
    <w:rsid w:val="00867D9D"/>
    <w:rsid w:val="00872E0A"/>
    <w:rsid w:val="00873594"/>
    <w:rsid w:val="00875285"/>
    <w:rsid w:val="00883902"/>
    <w:rsid w:val="00884B62"/>
    <w:rsid w:val="0088529C"/>
    <w:rsid w:val="00887903"/>
    <w:rsid w:val="0089270A"/>
    <w:rsid w:val="00893AF6"/>
    <w:rsid w:val="00894BC4"/>
    <w:rsid w:val="00896890"/>
    <w:rsid w:val="00896F1B"/>
    <w:rsid w:val="008977D1"/>
    <w:rsid w:val="008A28A8"/>
    <w:rsid w:val="008A54AC"/>
    <w:rsid w:val="008A5556"/>
    <w:rsid w:val="008A5B32"/>
    <w:rsid w:val="008A78B6"/>
    <w:rsid w:val="008B2029"/>
    <w:rsid w:val="008B2EE4"/>
    <w:rsid w:val="008B3821"/>
    <w:rsid w:val="008B4D3D"/>
    <w:rsid w:val="008B57C7"/>
    <w:rsid w:val="008C2F92"/>
    <w:rsid w:val="008C3546"/>
    <w:rsid w:val="008C589D"/>
    <w:rsid w:val="008C6D51"/>
    <w:rsid w:val="008D2846"/>
    <w:rsid w:val="008D4236"/>
    <w:rsid w:val="008D462F"/>
    <w:rsid w:val="008D4F75"/>
    <w:rsid w:val="008D6DCF"/>
    <w:rsid w:val="008E21A7"/>
    <w:rsid w:val="008E4376"/>
    <w:rsid w:val="008E7A0A"/>
    <w:rsid w:val="008E7B49"/>
    <w:rsid w:val="008F59F6"/>
    <w:rsid w:val="00900719"/>
    <w:rsid w:val="009017AC"/>
    <w:rsid w:val="00902A9A"/>
    <w:rsid w:val="009045DD"/>
    <w:rsid w:val="00904A1C"/>
    <w:rsid w:val="00905030"/>
    <w:rsid w:val="00906490"/>
    <w:rsid w:val="00910FE5"/>
    <w:rsid w:val="009111B2"/>
    <w:rsid w:val="009151F5"/>
    <w:rsid w:val="00920CF1"/>
    <w:rsid w:val="00924AE1"/>
    <w:rsid w:val="009269B1"/>
    <w:rsid w:val="0092724D"/>
    <w:rsid w:val="009272B3"/>
    <w:rsid w:val="009315BE"/>
    <w:rsid w:val="009326DD"/>
    <w:rsid w:val="0093338F"/>
    <w:rsid w:val="009354A0"/>
    <w:rsid w:val="00935565"/>
    <w:rsid w:val="00937BD9"/>
    <w:rsid w:val="00944EA5"/>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1420"/>
    <w:rsid w:val="0098168D"/>
    <w:rsid w:val="00982454"/>
    <w:rsid w:val="00982CF0"/>
    <w:rsid w:val="009853E1"/>
    <w:rsid w:val="00986E6B"/>
    <w:rsid w:val="00990032"/>
    <w:rsid w:val="00990B19"/>
    <w:rsid w:val="0099153B"/>
    <w:rsid w:val="00991769"/>
    <w:rsid w:val="0099232C"/>
    <w:rsid w:val="00994386"/>
    <w:rsid w:val="00995306"/>
    <w:rsid w:val="009A13D8"/>
    <w:rsid w:val="009A279E"/>
    <w:rsid w:val="009A3015"/>
    <w:rsid w:val="009A3490"/>
    <w:rsid w:val="009B0A6F"/>
    <w:rsid w:val="009B0A94"/>
    <w:rsid w:val="009B0C62"/>
    <w:rsid w:val="009B2AE8"/>
    <w:rsid w:val="009B389C"/>
    <w:rsid w:val="009B5622"/>
    <w:rsid w:val="009B59E9"/>
    <w:rsid w:val="009B70AA"/>
    <w:rsid w:val="009C245E"/>
    <w:rsid w:val="009C5E77"/>
    <w:rsid w:val="009C7A7E"/>
    <w:rsid w:val="009D02E8"/>
    <w:rsid w:val="009D51D0"/>
    <w:rsid w:val="009D70A4"/>
    <w:rsid w:val="009D7B14"/>
    <w:rsid w:val="009E08D1"/>
    <w:rsid w:val="009E0D96"/>
    <w:rsid w:val="009E1B95"/>
    <w:rsid w:val="009E25A6"/>
    <w:rsid w:val="009E496F"/>
    <w:rsid w:val="009E4B0D"/>
    <w:rsid w:val="009E5250"/>
    <w:rsid w:val="009E7A69"/>
    <w:rsid w:val="009E7F92"/>
    <w:rsid w:val="009F02A3"/>
    <w:rsid w:val="009F2182"/>
    <w:rsid w:val="009F2F27"/>
    <w:rsid w:val="009F2FAD"/>
    <w:rsid w:val="009F34AA"/>
    <w:rsid w:val="009F6BCB"/>
    <w:rsid w:val="009F7B78"/>
    <w:rsid w:val="00A0057A"/>
    <w:rsid w:val="00A02FA1"/>
    <w:rsid w:val="00A04CCE"/>
    <w:rsid w:val="00A07421"/>
    <w:rsid w:val="00A0776B"/>
    <w:rsid w:val="00A10FB9"/>
    <w:rsid w:val="00A11421"/>
    <w:rsid w:val="00A1389F"/>
    <w:rsid w:val="00A13B7A"/>
    <w:rsid w:val="00A14CF2"/>
    <w:rsid w:val="00A157B1"/>
    <w:rsid w:val="00A22229"/>
    <w:rsid w:val="00A24442"/>
    <w:rsid w:val="00A24ADA"/>
    <w:rsid w:val="00A24CCB"/>
    <w:rsid w:val="00A255EC"/>
    <w:rsid w:val="00A32577"/>
    <w:rsid w:val="00A32CC7"/>
    <w:rsid w:val="00A330BB"/>
    <w:rsid w:val="00A416A8"/>
    <w:rsid w:val="00A418FC"/>
    <w:rsid w:val="00A44259"/>
    <w:rsid w:val="00A446F5"/>
    <w:rsid w:val="00A44882"/>
    <w:rsid w:val="00A45125"/>
    <w:rsid w:val="00A54715"/>
    <w:rsid w:val="00A6061C"/>
    <w:rsid w:val="00A62D44"/>
    <w:rsid w:val="00A65EA7"/>
    <w:rsid w:val="00A67263"/>
    <w:rsid w:val="00A7161C"/>
    <w:rsid w:val="00A71CE4"/>
    <w:rsid w:val="00A74023"/>
    <w:rsid w:val="00A7431C"/>
    <w:rsid w:val="00A77AA3"/>
    <w:rsid w:val="00A8236D"/>
    <w:rsid w:val="00A854EB"/>
    <w:rsid w:val="00A872E5"/>
    <w:rsid w:val="00A91406"/>
    <w:rsid w:val="00A92B81"/>
    <w:rsid w:val="00A96E65"/>
    <w:rsid w:val="00A96ECE"/>
    <w:rsid w:val="00A97C72"/>
    <w:rsid w:val="00AA310B"/>
    <w:rsid w:val="00AA63D4"/>
    <w:rsid w:val="00AA6490"/>
    <w:rsid w:val="00AB06E8"/>
    <w:rsid w:val="00AB1CD3"/>
    <w:rsid w:val="00AB32E9"/>
    <w:rsid w:val="00AB352F"/>
    <w:rsid w:val="00AC0555"/>
    <w:rsid w:val="00AC274B"/>
    <w:rsid w:val="00AC4764"/>
    <w:rsid w:val="00AC6D36"/>
    <w:rsid w:val="00AD0CBA"/>
    <w:rsid w:val="00AD26E2"/>
    <w:rsid w:val="00AD784C"/>
    <w:rsid w:val="00AE126A"/>
    <w:rsid w:val="00AE1BAE"/>
    <w:rsid w:val="00AE3005"/>
    <w:rsid w:val="00AE3BD5"/>
    <w:rsid w:val="00AE59A0"/>
    <w:rsid w:val="00AE6F31"/>
    <w:rsid w:val="00AF0C57"/>
    <w:rsid w:val="00AF26F3"/>
    <w:rsid w:val="00AF5F04"/>
    <w:rsid w:val="00B00672"/>
    <w:rsid w:val="00B01B4D"/>
    <w:rsid w:val="00B04489"/>
    <w:rsid w:val="00B06571"/>
    <w:rsid w:val="00B068BA"/>
    <w:rsid w:val="00B07217"/>
    <w:rsid w:val="00B13851"/>
    <w:rsid w:val="00B13B1C"/>
    <w:rsid w:val="00B14B5F"/>
    <w:rsid w:val="00B17461"/>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3B26"/>
    <w:rsid w:val="00B44BCD"/>
    <w:rsid w:val="00B45141"/>
    <w:rsid w:val="00B519CD"/>
    <w:rsid w:val="00B5273A"/>
    <w:rsid w:val="00B57329"/>
    <w:rsid w:val="00B60E61"/>
    <w:rsid w:val="00B62B50"/>
    <w:rsid w:val="00B635B7"/>
    <w:rsid w:val="00B63AE8"/>
    <w:rsid w:val="00B65950"/>
    <w:rsid w:val="00B66D83"/>
    <w:rsid w:val="00B672C0"/>
    <w:rsid w:val="00B676FD"/>
    <w:rsid w:val="00B678B6"/>
    <w:rsid w:val="00B72AD8"/>
    <w:rsid w:val="00B75646"/>
    <w:rsid w:val="00B7629E"/>
    <w:rsid w:val="00B84CDC"/>
    <w:rsid w:val="00B90729"/>
    <w:rsid w:val="00B907DA"/>
    <w:rsid w:val="00B90B09"/>
    <w:rsid w:val="00B94C5E"/>
    <w:rsid w:val="00B950BC"/>
    <w:rsid w:val="00B9714C"/>
    <w:rsid w:val="00BA26F6"/>
    <w:rsid w:val="00BA29AD"/>
    <w:rsid w:val="00BA33CF"/>
    <w:rsid w:val="00BA3F8D"/>
    <w:rsid w:val="00BA4DC0"/>
    <w:rsid w:val="00BA7190"/>
    <w:rsid w:val="00BB74AC"/>
    <w:rsid w:val="00BB7A10"/>
    <w:rsid w:val="00BC39DA"/>
    <w:rsid w:val="00BC60BE"/>
    <w:rsid w:val="00BC7468"/>
    <w:rsid w:val="00BC7D4F"/>
    <w:rsid w:val="00BC7ED7"/>
    <w:rsid w:val="00BD0206"/>
    <w:rsid w:val="00BD171A"/>
    <w:rsid w:val="00BD23D4"/>
    <w:rsid w:val="00BD2850"/>
    <w:rsid w:val="00BE28D2"/>
    <w:rsid w:val="00BE4A64"/>
    <w:rsid w:val="00BE5E43"/>
    <w:rsid w:val="00BF08A4"/>
    <w:rsid w:val="00BF557D"/>
    <w:rsid w:val="00BF658D"/>
    <w:rsid w:val="00BF7D36"/>
    <w:rsid w:val="00BF7F58"/>
    <w:rsid w:val="00C00D1F"/>
    <w:rsid w:val="00C01381"/>
    <w:rsid w:val="00C01AB1"/>
    <w:rsid w:val="00C026A0"/>
    <w:rsid w:val="00C06137"/>
    <w:rsid w:val="00C06929"/>
    <w:rsid w:val="00C079B8"/>
    <w:rsid w:val="00C10037"/>
    <w:rsid w:val="00C115E1"/>
    <w:rsid w:val="00C123EA"/>
    <w:rsid w:val="00C12A49"/>
    <w:rsid w:val="00C133EE"/>
    <w:rsid w:val="00C149D0"/>
    <w:rsid w:val="00C2058D"/>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29A3"/>
    <w:rsid w:val="00C731AF"/>
    <w:rsid w:val="00C74C5D"/>
    <w:rsid w:val="00C85ED3"/>
    <w:rsid w:val="00C863C4"/>
    <w:rsid w:val="00C90DAB"/>
    <w:rsid w:val="00C920EA"/>
    <w:rsid w:val="00C92539"/>
    <w:rsid w:val="00C93C3E"/>
    <w:rsid w:val="00CA12E3"/>
    <w:rsid w:val="00CA1476"/>
    <w:rsid w:val="00CA4C8F"/>
    <w:rsid w:val="00CA6611"/>
    <w:rsid w:val="00CA6AE6"/>
    <w:rsid w:val="00CA782F"/>
    <w:rsid w:val="00CB187B"/>
    <w:rsid w:val="00CB2835"/>
    <w:rsid w:val="00CB3285"/>
    <w:rsid w:val="00CB4500"/>
    <w:rsid w:val="00CC0C72"/>
    <w:rsid w:val="00CC2BFD"/>
    <w:rsid w:val="00CC6F40"/>
    <w:rsid w:val="00CD2A18"/>
    <w:rsid w:val="00CD3476"/>
    <w:rsid w:val="00CD3A57"/>
    <w:rsid w:val="00CD42F7"/>
    <w:rsid w:val="00CD64DF"/>
    <w:rsid w:val="00CE225F"/>
    <w:rsid w:val="00CE5A7A"/>
    <w:rsid w:val="00CF173B"/>
    <w:rsid w:val="00CF2F50"/>
    <w:rsid w:val="00CF6198"/>
    <w:rsid w:val="00D02919"/>
    <w:rsid w:val="00D04C61"/>
    <w:rsid w:val="00D05B8D"/>
    <w:rsid w:val="00D05B9B"/>
    <w:rsid w:val="00D065A2"/>
    <w:rsid w:val="00D0788E"/>
    <w:rsid w:val="00D079AA"/>
    <w:rsid w:val="00D07F00"/>
    <w:rsid w:val="00D1130F"/>
    <w:rsid w:val="00D17B72"/>
    <w:rsid w:val="00D3185C"/>
    <w:rsid w:val="00D3205F"/>
    <w:rsid w:val="00D3318E"/>
    <w:rsid w:val="00D33E72"/>
    <w:rsid w:val="00D35BD6"/>
    <w:rsid w:val="00D361B5"/>
    <w:rsid w:val="00D40748"/>
    <w:rsid w:val="00D411A2"/>
    <w:rsid w:val="00D44252"/>
    <w:rsid w:val="00D4606D"/>
    <w:rsid w:val="00D50B9C"/>
    <w:rsid w:val="00D513AF"/>
    <w:rsid w:val="00D52D73"/>
    <w:rsid w:val="00D52E58"/>
    <w:rsid w:val="00D53071"/>
    <w:rsid w:val="00D5523A"/>
    <w:rsid w:val="00D56B20"/>
    <w:rsid w:val="00D578B3"/>
    <w:rsid w:val="00D618F4"/>
    <w:rsid w:val="00D63636"/>
    <w:rsid w:val="00D714CC"/>
    <w:rsid w:val="00D75EA7"/>
    <w:rsid w:val="00D76ECC"/>
    <w:rsid w:val="00D81ADF"/>
    <w:rsid w:val="00D81F21"/>
    <w:rsid w:val="00D864F2"/>
    <w:rsid w:val="00D91220"/>
    <w:rsid w:val="00D943F8"/>
    <w:rsid w:val="00D95470"/>
    <w:rsid w:val="00D96B55"/>
    <w:rsid w:val="00DA144B"/>
    <w:rsid w:val="00DA2619"/>
    <w:rsid w:val="00DA4239"/>
    <w:rsid w:val="00DA588C"/>
    <w:rsid w:val="00DA65DE"/>
    <w:rsid w:val="00DA79B8"/>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5655"/>
    <w:rsid w:val="00DC6386"/>
    <w:rsid w:val="00DC7449"/>
    <w:rsid w:val="00DC7D72"/>
    <w:rsid w:val="00DD0943"/>
    <w:rsid w:val="00DD1130"/>
    <w:rsid w:val="00DD1951"/>
    <w:rsid w:val="00DD487D"/>
    <w:rsid w:val="00DD4E83"/>
    <w:rsid w:val="00DD6628"/>
    <w:rsid w:val="00DD6945"/>
    <w:rsid w:val="00DD7045"/>
    <w:rsid w:val="00DE2D04"/>
    <w:rsid w:val="00DE3250"/>
    <w:rsid w:val="00DE6028"/>
    <w:rsid w:val="00DE6C85"/>
    <w:rsid w:val="00DE78A3"/>
    <w:rsid w:val="00DF0A6E"/>
    <w:rsid w:val="00DF1A71"/>
    <w:rsid w:val="00DF3998"/>
    <w:rsid w:val="00DF50FC"/>
    <w:rsid w:val="00DF68C7"/>
    <w:rsid w:val="00DF731A"/>
    <w:rsid w:val="00E06B75"/>
    <w:rsid w:val="00E11332"/>
    <w:rsid w:val="00E11352"/>
    <w:rsid w:val="00E170DC"/>
    <w:rsid w:val="00E17546"/>
    <w:rsid w:val="00E210B5"/>
    <w:rsid w:val="00E261B3"/>
    <w:rsid w:val="00E26818"/>
    <w:rsid w:val="00E27FFC"/>
    <w:rsid w:val="00E30B15"/>
    <w:rsid w:val="00E30E56"/>
    <w:rsid w:val="00E33237"/>
    <w:rsid w:val="00E40181"/>
    <w:rsid w:val="00E54950"/>
    <w:rsid w:val="00E55FB3"/>
    <w:rsid w:val="00E56A01"/>
    <w:rsid w:val="00E629A1"/>
    <w:rsid w:val="00E6750F"/>
    <w:rsid w:val="00E6794C"/>
    <w:rsid w:val="00E71591"/>
    <w:rsid w:val="00E71CEB"/>
    <w:rsid w:val="00E7474F"/>
    <w:rsid w:val="00E74F23"/>
    <w:rsid w:val="00E75C9E"/>
    <w:rsid w:val="00E77D77"/>
    <w:rsid w:val="00E80DE3"/>
    <w:rsid w:val="00E82C55"/>
    <w:rsid w:val="00E8787E"/>
    <w:rsid w:val="00E9042A"/>
    <w:rsid w:val="00E904A8"/>
    <w:rsid w:val="00E92AC3"/>
    <w:rsid w:val="00EA2F6A"/>
    <w:rsid w:val="00EA61C3"/>
    <w:rsid w:val="00EB00E0"/>
    <w:rsid w:val="00EB05D5"/>
    <w:rsid w:val="00EB4BC7"/>
    <w:rsid w:val="00EB56B9"/>
    <w:rsid w:val="00EC0573"/>
    <w:rsid w:val="00EC059F"/>
    <w:rsid w:val="00EC1F24"/>
    <w:rsid w:val="00EC22F6"/>
    <w:rsid w:val="00EC3DB9"/>
    <w:rsid w:val="00EC6D9E"/>
    <w:rsid w:val="00ED5B9B"/>
    <w:rsid w:val="00ED5E71"/>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26D6C"/>
    <w:rsid w:val="00F30FF4"/>
    <w:rsid w:val="00F3122E"/>
    <w:rsid w:val="00F32368"/>
    <w:rsid w:val="00F331AD"/>
    <w:rsid w:val="00F3428F"/>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4C88"/>
    <w:rsid w:val="00F65AA9"/>
    <w:rsid w:val="00F6768F"/>
    <w:rsid w:val="00F72C2C"/>
    <w:rsid w:val="00F741F2"/>
    <w:rsid w:val="00F76CAB"/>
    <w:rsid w:val="00F772C6"/>
    <w:rsid w:val="00F815B5"/>
    <w:rsid w:val="00F85195"/>
    <w:rsid w:val="00F868E3"/>
    <w:rsid w:val="00F86D96"/>
    <w:rsid w:val="00F86ED6"/>
    <w:rsid w:val="00F91253"/>
    <w:rsid w:val="00F938BA"/>
    <w:rsid w:val="00F97919"/>
    <w:rsid w:val="00FA2C46"/>
    <w:rsid w:val="00FA3525"/>
    <w:rsid w:val="00FA48E2"/>
    <w:rsid w:val="00FA4CA1"/>
    <w:rsid w:val="00FA5A53"/>
    <w:rsid w:val="00FB1F38"/>
    <w:rsid w:val="00FB1F6E"/>
    <w:rsid w:val="00FB27B8"/>
    <w:rsid w:val="00FB4769"/>
    <w:rsid w:val="00FB4CDA"/>
    <w:rsid w:val="00FB6481"/>
    <w:rsid w:val="00FB6D36"/>
    <w:rsid w:val="00FB781E"/>
    <w:rsid w:val="00FC0846"/>
    <w:rsid w:val="00FC0965"/>
    <w:rsid w:val="00FC0F81"/>
    <w:rsid w:val="00FC252F"/>
    <w:rsid w:val="00FC395C"/>
    <w:rsid w:val="00FC5E8E"/>
    <w:rsid w:val="00FC6BE8"/>
    <w:rsid w:val="00FD3766"/>
    <w:rsid w:val="00FD3D05"/>
    <w:rsid w:val="00FD47C4"/>
    <w:rsid w:val="00FD6F20"/>
    <w:rsid w:val="00FE2DCF"/>
    <w:rsid w:val="00FE3FA7"/>
    <w:rsid w:val="00FE4081"/>
    <w:rsid w:val="00FE4747"/>
    <w:rsid w:val="00FF2A4E"/>
    <w:rsid w:val="00FF2FCE"/>
    <w:rsid w:val="00FF418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AF02F"/>
  <w15:docId w15:val="{38AB3743-604F-4CDE-8C9C-20911238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styleId="ListParagraph">
    <w:name w:val="List Paragraph"/>
    <w:basedOn w:val="Normal"/>
    <w:uiPriority w:val="34"/>
    <w:qFormat/>
    <w:rsid w:val="005206A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Mention">
    <w:name w:val="Mention"/>
    <w:basedOn w:val="DefaultParagraphFont"/>
    <w:uiPriority w:val="99"/>
    <w:unhideWhenUsed/>
    <w:rsid w:val="005F3B4B"/>
    <w:rPr>
      <w:color w:val="2B579A"/>
      <w:shd w:val="clear" w:color="auto" w:fill="E1DFDD"/>
    </w:rPr>
  </w:style>
  <w:style w:type="paragraph" w:customStyle="1" w:styleId="product-title">
    <w:name w:val="product-title"/>
    <w:basedOn w:val="Normal"/>
    <w:rsid w:val="00910FE5"/>
    <w:pPr>
      <w:spacing w:before="100" w:beforeAutospacing="1" w:after="100" w:afterAutospacing="1" w:line="240" w:lineRule="auto"/>
    </w:pPr>
    <w:rPr>
      <w:rFonts w:ascii="Times New Roman" w:hAnsi="Times New Roman"/>
      <w:sz w:val="24"/>
      <w:szCs w:val="24"/>
      <w:lang w:eastAsia="en-GB"/>
    </w:rPr>
  </w:style>
  <w:style w:type="character" w:customStyle="1" w:styleId="prod-title">
    <w:name w:val="prod-title"/>
    <w:basedOn w:val="DefaultParagraphFont"/>
    <w:rsid w:val="00910FE5"/>
  </w:style>
  <w:style w:type="character" w:customStyle="1" w:styleId="published-date">
    <w:name w:val="published-date"/>
    <w:basedOn w:val="DefaultParagraphFont"/>
    <w:rsid w:val="0091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65378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7204187">
      <w:bodyDiv w:val="1"/>
      <w:marLeft w:val="0"/>
      <w:marRight w:val="0"/>
      <w:marTop w:val="0"/>
      <w:marBottom w:val="0"/>
      <w:divBdr>
        <w:top w:val="none" w:sz="0" w:space="0" w:color="auto"/>
        <w:left w:val="none" w:sz="0" w:space="0" w:color="auto"/>
        <w:bottom w:val="none" w:sz="0" w:space="0" w:color="auto"/>
        <w:right w:val="none" w:sz="0" w:space="0" w:color="auto"/>
      </w:divBdr>
      <w:divsChild>
        <w:div w:id="1556047567">
          <w:marLeft w:val="0"/>
          <w:marRight w:val="0"/>
          <w:marTop w:val="0"/>
          <w:marBottom w:val="0"/>
          <w:divBdr>
            <w:top w:val="none" w:sz="0" w:space="0" w:color="auto"/>
            <w:left w:val="none" w:sz="0" w:space="0" w:color="auto"/>
            <w:bottom w:val="none" w:sz="0" w:space="0" w:color="auto"/>
            <w:right w:val="none" w:sz="0" w:space="0" w:color="auto"/>
          </w:divBdr>
          <w:divsChild>
            <w:div w:id="5965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ocp@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chief-psychiatrist/chief-psychiatrist-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ocp@health.vic.gov.au"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b:Tag>
    <b:SourceType>Book</b:SourceType>
    <b:Guid>{9F13DBFB-B598-5B43-9BCA-B66356A21421}</b:Guid>
    <b:Author>
      <b:Author>
        <b:NameList>
          <b:Person>
            <b:Last>Mental Health Division</b:Last>
            <b:First>Austin</b:First>
            <b:Middle>Health</b:Middle>
          </b:Person>
        </b:NameList>
      </b:Author>
    </b:Author>
    <b:Title>Austin Health Risk Assessment Tool</b:Titl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8" ma:contentTypeDescription="Create a new document." ma:contentTypeScope="" ma:versionID="3cfb6ee90b3a11b0d07ff9098199a344">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3a59e9aea9c634f438e5a523eb0e895"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8D8293-7B4A-E34B-B8DE-9C546AFED08F}">
  <ds:schemaRefs>
    <ds:schemaRef ds:uri="http://schemas.openxmlformats.org/officeDocument/2006/bibliography"/>
  </ds:schemaRefs>
</ds:datastoreItem>
</file>

<file path=customXml/itemProps2.xml><?xml version="1.0" encoding="utf-8"?>
<ds:datastoreItem xmlns:ds="http://schemas.openxmlformats.org/officeDocument/2006/customXml" ds:itemID="{00506776-FB82-4695-BAB6-556523D12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14</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White paper: On the principles of mental health risk assessment</vt:lpstr>
    </vt:vector>
  </TitlesOfParts>
  <Manager/>
  <Company>Victoria State Government, Department of Health</Company>
  <LinksUpToDate>false</LinksUpToDate>
  <CharactersWithSpaces>20747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On the principles of mental health risk assessment</dc:title>
  <dc:subject/>
  <dc:creator>Office of the Chief Psychiatrist</dc:creator>
  <cp:keywords>mental health, risk assessment, OCP, victoria</cp:keywords>
  <dc:description/>
  <cp:lastModifiedBy>Victoria Petrolo (Health)</cp:lastModifiedBy>
  <cp:revision>83</cp:revision>
  <cp:lastPrinted>2024-11-07T01:12:00Z</cp:lastPrinted>
  <dcterms:created xsi:type="dcterms:W3CDTF">2024-10-25T00:35:00Z</dcterms:created>
  <dcterms:modified xsi:type="dcterms:W3CDTF">2024-11-20T00:30:00Z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