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A7F0"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4F06130F" wp14:editId="371613E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41F4F13"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84EEAFA" w14:textId="77777777" w:rsidTr="00B07FF7">
        <w:trPr>
          <w:trHeight w:val="622"/>
        </w:trPr>
        <w:tc>
          <w:tcPr>
            <w:tcW w:w="10348" w:type="dxa"/>
            <w:tcMar>
              <w:top w:w="1531" w:type="dxa"/>
              <w:left w:w="0" w:type="dxa"/>
              <w:right w:w="0" w:type="dxa"/>
            </w:tcMar>
          </w:tcPr>
          <w:p w14:paraId="102937D0" w14:textId="671B74A4" w:rsidR="003B5733" w:rsidRPr="003B5733" w:rsidRDefault="006A51E5" w:rsidP="003B5733">
            <w:pPr>
              <w:pStyle w:val="Documenttitle"/>
            </w:pPr>
            <w:r>
              <w:t>Policy for issuing Schedule 8 permits</w:t>
            </w:r>
          </w:p>
        </w:tc>
      </w:tr>
      <w:tr w:rsidR="003B5733" w14:paraId="5C569C04" w14:textId="77777777" w:rsidTr="00B07FF7">
        <w:tc>
          <w:tcPr>
            <w:tcW w:w="10348" w:type="dxa"/>
          </w:tcPr>
          <w:p w14:paraId="26992614" w14:textId="40E0C577" w:rsidR="003B5733" w:rsidRPr="00A1389F" w:rsidRDefault="006A51E5" w:rsidP="005F44C0">
            <w:pPr>
              <w:pStyle w:val="Documentsubtitle"/>
            </w:pPr>
            <w:r>
              <w:t>January 2015</w:t>
            </w:r>
          </w:p>
        </w:tc>
      </w:tr>
      <w:tr w:rsidR="003B5733" w14:paraId="42AC7841" w14:textId="77777777" w:rsidTr="00B07FF7">
        <w:tc>
          <w:tcPr>
            <w:tcW w:w="10348" w:type="dxa"/>
          </w:tcPr>
          <w:p w14:paraId="01AC1BA0" w14:textId="77777777" w:rsidR="003B5733" w:rsidRPr="001E5058" w:rsidRDefault="00F53DDD" w:rsidP="001E5058">
            <w:pPr>
              <w:pStyle w:val="Bannermarking"/>
            </w:pPr>
            <w:fldSimple w:instr=" FILLIN  &quot;Type the protective marking&quot; \d OFFICIAL \o  \* MERGEFORMAT ">
              <w:r w:rsidR="006A51E5">
                <w:t>OFFICIAL</w:t>
              </w:r>
            </w:fldSimple>
          </w:p>
        </w:tc>
      </w:tr>
    </w:tbl>
    <w:p w14:paraId="6D8E391E" w14:textId="77777777" w:rsidR="00AD784C" w:rsidRPr="00B57329" w:rsidRDefault="00AD784C" w:rsidP="002365B4">
      <w:pPr>
        <w:pStyle w:val="TOCheadingfactsheet"/>
      </w:pPr>
      <w:r w:rsidRPr="00B57329">
        <w:t>Contents</w:t>
      </w:r>
    </w:p>
    <w:p w14:paraId="0AABAAEC" w14:textId="1A4EE623" w:rsidR="00C861A1"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4737621" w:history="1">
        <w:r w:rsidR="00C861A1" w:rsidRPr="00440E9B">
          <w:rPr>
            <w:rStyle w:val="Hyperlink"/>
          </w:rPr>
          <w:t>Introduction</w:t>
        </w:r>
        <w:r w:rsidR="00C861A1">
          <w:rPr>
            <w:webHidden/>
          </w:rPr>
          <w:tab/>
        </w:r>
        <w:r w:rsidR="00C861A1">
          <w:rPr>
            <w:webHidden/>
          </w:rPr>
          <w:fldChar w:fldCharType="begin"/>
        </w:r>
        <w:r w:rsidR="00C861A1">
          <w:rPr>
            <w:webHidden/>
          </w:rPr>
          <w:instrText xml:space="preserve"> PAGEREF _Toc184737621 \h </w:instrText>
        </w:r>
        <w:r w:rsidR="00C861A1">
          <w:rPr>
            <w:webHidden/>
          </w:rPr>
        </w:r>
        <w:r w:rsidR="00C861A1">
          <w:rPr>
            <w:webHidden/>
          </w:rPr>
          <w:fldChar w:fldCharType="separate"/>
        </w:r>
        <w:r w:rsidR="00C861A1">
          <w:rPr>
            <w:webHidden/>
          </w:rPr>
          <w:t>2</w:t>
        </w:r>
        <w:r w:rsidR="00C861A1">
          <w:rPr>
            <w:webHidden/>
          </w:rPr>
          <w:fldChar w:fldCharType="end"/>
        </w:r>
      </w:hyperlink>
    </w:p>
    <w:p w14:paraId="76C8E557" w14:textId="11CBF8BF" w:rsidR="00C861A1" w:rsidRDefault="00C861A1">
      <w:pPr>
        <w:pStyle w:val="TOC1"/>
        <w:rPr>
          <w:rFonts w:asciiTheme="minorHAnsi" w:eastAsiaTheme="minorEastAsia" w:hAnsiTheme="minorHAnsi" w:cstheme="minorBidi"/>
          <w:b w:val="0"/>
          <w:kern w:val="2"/>
          <w:sz w:val="24"/>
          <w:szCs w:val="24"/>
          <w:lang w:eastAsia="en-AU"/>
          <w14:ligatures w14:val="standardContextual"/>
        </w:rPr>
      </w:pPr>
      <w:hyperlink w:anchor="_Toc184737622" w:history="1">
        <w:r w:rsidRPr="00440E9B">
          <w:rPr>
            <w:rStyle w:val="Hyperlink"/>
          </w:rPr>
          <w:t>Reasons for issuing permits</w:t>
        </w:r>
        <w:r>
          <w:rPr>
            <w:webHidden/>
          </w:rPr>
          <w:tab/>
        </w:r>
        <w:r>
          <w:rPr>
            <w:webHidden/>
          </w:rPr>
          <w:fldChar w:fldCharType="begin"/>
        </w:r>
        <w:r>
          <w:rPr>
            <w:webHidden/>
          </w:rPr>
          <w:instrText xml:space="preserve"> PAGEREF _Toc184737622 \h </w:instrText>
        </w:r>
        <w:r>
          <w:rPr>
            <w:webHidden/>
          </w:rPr>
        </w:r>
        <w:r>
          <w:rPr>
            <w:webHidden/>
          </w:rPr>
          <w:fldChar w:fldCharType="separate"/>
        </w:r>
        <w:r>
          <w:rPr>
            <w:webHidden/>
          </w:rPr>
          <w:t>2</w:t>
        </w:r>
        <w:r>
          <w:rPr>
            <w:webHidden/>
          </w:rPr>
          <w:fldChar w:fldCharType="end"/>
        </w:r>
      </w:hyperlink>
    </w:p>
    <w:p w14:paraId="141330FF" w14:textId="5C07B24E" w:rsidR="00C861A1" w:rsidRDefault="00C861A1">
      <w:pPr>
        <w:pStyle w:val="TOC1"/>
        <w:rPr>
          <w:rFonts w:asciiTheme="minorHAnsi" w:eastAsiaTheme="minorEastAsia" w:hAnsiTheme="minorHAnsi" w:cstheme="minorBidi"/>
          <w:b w:val="0"/>
          <w:kern w:val="2"/>
          <w:sz w:val="24"/>
          <w:szCs w:val="24"/>
          <w:lang w:eastAsia="en-AU"/>
          <w14:ligatures w14:val="standardContextual"/>
        </w:rPr>
      </w:pPr>
      <w:hyperlink w:anchor="_Toc184737623" w:history="1">
        <w:r w:rsidRPr="00440E9B">
          <w:rPr>
            <w:rStyle w:val="Hyperlink"/>
          </w:rPr>
          <w:t>General requirements</w:t>
        </w:r>
        <w:r>
          <w:rPr>
            <w:webHidden/>
          </w:rPr>
          <w:tab/>
        </w:r>
        <w:r>
          <w:rPr>
            <w:webHidden/>
          </w:rPr>
          <w:fldChar w:fldCharType="begin"/>
        </w:r>
        <w:r>
          <w:rPr>
            <w:webHidden/>
          </w:rPr>
          <w:instrText xml:space="preserve"> PAGEREF _Toc184737623 \h </w:instrText>
        </w:r>
        <w:r>
          <w:rPr>
            <w:webHidden/>
          </w:rPr>
        </w:r>
        <w:r>
          <w:rPr>
            <w:webHidden/>
          </w:rPr>
          <w:fldChar w:fldCharType="separate"/>
        </w:r>
        <w:r>
          <w:rPr>
            <w:webHidden/>
          </w:rPr>
          <w:t>3</w:t>
        </w:r>
        <w:r>
          <w:rPr>
            <w:webHidden/>
          </w:rPr>
          <w:fldChar w:fldCharType="end"/>
        </w:r>
      </w:hyperlink>
    </w:p>
    <w:p w14:paraId="3F4B59D0" w14:textId="203940B2"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24" w:history="1">
        <w:r w:rsidRPr="00440E9B">
          <w:rPr>
            <w:rStyle w:val="Hyperlink"/>
          </w:rPr>
          <w:t>Circumstances where a Schedule 8 permit is likely to be issued</w:t>
        </w:r>
        <w:r>
          <w:rPr>
            <w:webHidden/>
          </w:rPr>
          <w:tab/>
        </w:r>
        <w:r>
          <w:rPr>
            <w:webHidden/>
          </w:rPr>
          <w:fldChar w:fldCharType="begin"/>
        </w:r>
        <w:r>
          <w:rPr>
            <w:webHidden/>
          </w:rPr>
          <w:instrText xml:space="preserve"> PAGEREF _Toc184737624 \h </w:instrText>
        </w:r>
        <w:r>
          <w:rPr>
            <w:webHidden/>
          </w:rPr>
        </w:r>
        <w:r>
          <w:rPr>
            <w:webHidden/>
          </w:rPr>
          <w:fldChar w:fldCharType="separate"/>
        </w:r>
        <w:r>
          <w:rPr>
            <w:webHidden/>
          </w:rPr>
          <w:t>3</w:t>
        </w:r>
        <w:r>
          <w:rPr>
            <w:webHidden/>
          </w:rPr>
          <w:fldChar w:fldCharType="end"/>
        </w:r>
      </w:hyperlink>
    </w:p>
    <w:p w14:paraId="48C15CB9" w14:textId="08B35184"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25" w:history="1">
        <w:r w:rsidRPr="00440E9B">
          <w:rPr>
            <w:rStyle w:val="Hyperlink"/>
          </w:rPr>
          <w:t>Circumstances where further information will likely be requested before a permit is issued</w:t>
        </w:r>
        <w:r>
          <w:rPr>
            <w:webHidden/>
          </w:rPr>
          <w:tab/>
        </w:r>
        <w:r>
          <w:rPr>
            <w:webHidden/>
          </w:rPr>
          <w:fldChar w:fldCharType="begin"/>
        </w:r>
        <w:r>
          <w:rPr>
            <w:webHidden/>
          </w:rPr>
          <w:instrText xml:space="preserve"> PAGEREF _Toc184737625 \h </w:instrText>
        </w:r>
        <w:r>
          <w:rPr>
            <w:webHidden/>
          </w:rPr>
        </w:r>
        <w:r>
          <w:rPr>
            <w:webHidden/>
          </w:rPr>
          <w:fldChar w:fldCharType="separate"/>
        </w:r>
        <w:r>
          <w:rPr>
            <w:webHidden/>
          </w:rPr>
          <w:t>3</w:t>
        </w:r>
        <w:r>
          <w:rPr>
            <w:webHidden/>
          </w:rPr>
          <w:fldChar w:fldCharType="end"/>
        </w:r>
      </w:hyperlink>
    </w:p>
    <w:p w14:paraId="3D0F0F15" w14:textId="017F3214" w:rsidR="00C861A1" w:rsidRDefault="00C861A1">
      <w:pPr>
        <w:pStyle w:val="TOC1"/>
        <w:rPr>
          <w:rFonts w:asciiTheme="minorHAnsi" w:eastAsiaTheme="minorEastAsia" w:hAnsiTheme="minorHAnsi" w:cstheme="minorBidi"/>
          <w:b w:val="0"/>
          <w:kern w:val="2"/>
          <w:sz w:val="24"/>
          <w:szCs w:val="24"/>
          <w:lang w:eastAsia="en-AU"/>
          <w14:ligatures w14:val="standardContextual"/>
        </w:rPr>
      </w:pPr>
      <w:hyperlink w:anchor="_Toc184737626" w:history="1">
        <w:r w:rsidRPr="00440E9B">
          <w:rPr>
            <w:rStyle w:val="Hyperlink"/>
          </w:rPr>
          <w:t>Requirements for specific Schedule 8 poisons</w:t>
        </w:r>
        <w:r>
          <w:rPr>
            <w:webHidden/>
          </w:rPr>
          <w:tab/>
        </w:r>
        <w:r>
          <w:rPr>
            <w:webHidden/>
          </w:rPr>
          <w:fldChar w:fldCharType="begin"/>
        </w:r>
        <w:r>
          <w:rPr>
            <w:webHidden/>
          </w:rPr>
          <w:instrText xml:space="preserve"> PAGEREF _Toc184737626 \h </w:instrText>
        </w:r>
        <w:r>
          <w:rPr>
            <w:webHidden/>
          </w:rPr>
        </w:r>
        <w:r>
          <w:rPr>
            <w:webHidden/>
          </w:rPr>
          <w:fldChar w:fldCharType="separate"/>
        </w:r>
        <w:r>
          <w:rPr>
            <w:webHidden/>
          </w:rPr>
          <w:t>4</w:t>
        </w:r>
        <w:r>
          <w:rPr>
            <w:webHidden/>
          </w:rPr>
          <w:fldChar w:fldCharType="end"/>
        </w:r>
      </w:hyperlink>
    </w:p>
    <w:p w14:paraId="05C2655C" w14:textId="0B6DD270"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27" w:history="1">
        <w:r w:rsidRPr="00440E9B">
          <w:rPr>
            <w:rStyle w:val="Hyperlink"/>
          </w:rPr>
          <w:t>Applications for</w:t>
        </w:r>
        <w:r w:rsidRPr="00440E9B">
          <w:rPr>
            <w:rStyle w:val="Hyperlink"/>
            <w:spacing w:val="-1"/>
          </w:rPr>
          <w:t xml:space="preserve"> </w:t>
        </w:r>
        <w:r w:rsidRPr="00440E9B">
          <w:rPr>
            <w:rStyle w:val="Hyperlink"/>
          </w:rPr>
          <w:t>opioids</w:t>
        </w:r>
        <w:r>
          <w:rPr>
            <w:webHidden/>
          </w:rPr>
          <w:tab/>
        </w:r>
        <w:r>
          <w:rPr>
            <w:webHidden/>
          </w:rPr>
          <w:fldChar w:fldCharType="begin"/>
        </w:r>
        <w:r>
          <w:rPr>
            <w:webHidden/>
          </w:rPr>
          <w:instrText xml:space="preserve"> PAGEREF _Toc184737627 \h </w:instrText>
        </w:r>
        <w:r>
          <w:rPr>
            <w:webHidden/>
          </w:rPr>
        </w:r>
        <w:r>
          <w:rPr>
            <w:webHidden/>
          </w:rPr>
          <w:fldChar w:fldCharType="separate"/>
        </w:r>
        <w:r>
          <w:rPr>
            <w:webHidden/>
          </w:rPr>
          <w:t>4</w:t>
        </w:r>
        <w:r>
          <w:rPr>
            <w:webHidden/>
          </w:rPr>
          <w:fldChar w:fldCharType="end"/>
        </w:r>
      </w:hyperlink>
    </w:p>
    <w:p w14:paraId="0DB72DE7" w14:textId="4F894CCD"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28" w:history="1">
        <w:r w:rsidRPr="00440E9B">
          <w:rPr>
            <w:rStyle w:val="Hyperlink"/>
          </w:rPr>
          <w:t>Applications for dexamphetamine, lisdexamfetamine or</w:t>
        </w:r>
        <w:r w:rsidRPr="00440E9B">
          <w:rPr>
            <w:rStyle w:val="Hyperlink"/>
            <w:spacing w:val="-1"/>
          </w:rPr>
          <w:t xml:space="preserve"> </w:t>
        </w:r>
        <w:r w:rsidRPr="00440E9B">
          <w:rPr>
            <w:rStyle w:val="Hyperlink"/>
          </w:rPr>
          <w:t>methylphenidate</w:t>
        </w:r>
        <w:r>
          <w:rPr>
            <w:webHidden/>
          </w:rPr>
          <w:tab/>
        </w:r>
        <w:r>
          <w:rPr>
            <w:webHidden/>
          </w:rPr>
          <w:fldChar w:fldCharType="begin"/>
        </w:r>
        <w:r>
          <w:rPr>
            <w:webHidden/>
          </w:rPr>
          <w:instrText xml:space="preserve"> PAGEREF _Toc184737628 \h </w:instrText>
        </w:r>
        <w:r>
          <w:rPr>
            <w:webHidden/>
          </w:rPr>
        </w:r>
        <w:r>
          <w:rPr>
            <w:webHidden/>
          </w:rPr>
          <w:fldChar w:fldCharType="separate"/>
        </w:r>
        <w:r>
          <w:rPr>
            <w:webHidden/>
          </w:rPr>
          <w:t>6</w:t>
        </w:r>
        <w:r>
          <w:rPr>
            <w:webHidden/>
          </w:rPr>
          <w:fldChar w:fldCharType="end"/>
        </w:r>
      </w:hyperlink>
    </w:p>
    <w:p w14:paraId="4768A23A" w14:textId="7712474C"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29" w:history="1">
        <w:r w:rsidRPr="00440E9B">
          <w:rPr>
            <w:rStyle w:val="Hyperlink"/>
          </w:rPr>
          <w:t>Applications for</w:t>
        </w:r>
        <w:r w:rsidRPr="00440E9B">
          <w:rPr>
            <w:rStyle w:val="Hyperlink"/>
            <w:spacing w:val="-1"/>
          </w:rPr>
          <w:t xml:space="preserve"> </w:t>
        </w:r>
        <w:r w:rsidRPr="00440E9B">
          <w:rPr>
            <w:rStyle w:val="Hyperlink"/>
          </w:rPr>
          <w:t>flunitrazepam</w:t>
        </w:r>
        <w:r>
          <w:rPr>
            <w:webHidden/>
          </w:rPr>
          <w:tab/>
        </w:r>
        <w:r>
          <w:rPr>
            <w:webHidden/>
          </w:rPr>
          <w:fldChar w:fldCharType="begin"/>
        </w:r>
        <w:r>
          <w:rPr>
            <w:webHidden/>
          </w:rPr>
          <w:instrText xml:space="preserve"> PAGEREF _Toc184737629 \h </w:instrText>
        </w:r>
        <w:r>
          <w:rPr>
            <w:webHidden/>
          </w:rPr>
        </w:r>
        <w:r>
          <w:rPr>
            <w:webHidden/>
          </w:rPr>
          <w:fldChar w:fldCharType="separate"/>
        </w:r>
        <w:r>
          <w:rPr>
            <w:webHidden/>
          </w:rPr>
          <w:t>7</w:t>
        </w:r>
        <w:r>
          <w:rPr>
            <w:webHidden/>
          </w:rPr>
          <w:fldChar w:fldCharType="end"/>
        </w:r>
      </w:hyperlink>
    </w:p>
    <w:p w14:paraId="14246476" w14:textId="187DE34F"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30" w:history="1">
        <w:r w:rsidRPr="00440E9B">
          <w:rPr>
            <w:rStyle w:val="Hyperlink"/>
          </w:rPr>
          <w:t>Applications for</w:t>
        </w:r>
        <w:r w:rsidRPr="00440E9B">
          <w:rPr>
            <w:rStyle w:val="Hyperlink"/>
            <w:spacing w:val="-1"/>
          </w:rPr>
          <w:t xml:space="preserve"> </w:t>
        </w:r>
        <w:r w:rsidRPr="00440E9B">
          <w:rPr>
            <w:rStyle w:val="Hyperlink"/>
          </w:rPr>
          <w:t>alprazolam</w:t>
        </w:r>
        <w:r>
          <w:rPr>
            <w:webHidden/>
          </w:rPr>
          <w:tab/>
        </w:r>
        <w:r>
          <w:rPr>
            <w:webHidden/>
          </w:rPr>
          <w:fldChar w:fldCharType="begin"/>
        </w:r>
        <w:r>
          <w:rPr>
            <w:webHidden/>
          </w:rPr>
          <w:instrText xml:space="preserve"> PAGEREF _Toc184737630 \h </w:instrText>
        </w:r>
        <w:r>
          <w:rPr>
            <w:webHidden/>
          </w:rPr>
        </w:r>
        <w:r>
          <w:rPr>
            <w:webHidden/>
          </w:rPr>
          <w:fldChar w:fldCharType="separate"/>
        </w:r>
        <w:r>
          <w:rPr>
            <w:webHidden/>
          </w:rPr>
          <w:t>7</w:t>
        </w:r>
        <w:r>
          <w:rPr>
            <w:webHidden/>
          </w:rPr>
          <w:fldChar w:fldCharType="end"/>
        </w:r>
      </w:hyperlink>
    </w:p>
    <w:p w14:paraId="532ED117" w14:textId="548A576D"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31" w:history="1">
        <w:r w:rsidRPr="00440E9B">
          <w:rPr>
            <w:rStyle w:val="Hyperlink"/>
            <w:spacing w:val="-4"/>
          </w:rPr>
          <w:t xml:space="preserve">Applications </w:t>
        </w:r>
        <w:r w:rsidRPr="00440E9B">
          <w:rPr>
            <w:rStyle w:val="Hyperlink"/>
          </w:rPr>
          <w:t xml:space="preserve">to </w:t>
        </w:r>
        <w:r w:rsidRPr="00440E9B">
          <w:rPr>
            <w:rStyle w:val="Hyperlink"/>
            <w:spacing w:val="-3"/>
          </w:rPr>
          <w:t xml:space="preserve">treat </w:t>
        </w:r>
        <w:r w:rsidRPr="00440E9B">
          <w:rPr>
            <w:rStyle w:val="Hyperlink"/>
          </w:rPr>
          <w:t>drug dependence</w:t>
        </w:r>
        <w:r>
          <w:rPr>
            <w:webHidden/>
          </w:rPr>
          <w:tab/>
        </w:r>
        <w:r>
          <w:rPr>
            <w:webHidden/>
          </w:rPr>
          <w:fldChar w:fldCharType="begin"/>
        </w:r>
        <w:r>
          <w:rPr>
            <w:webHidden/>
          </w:rPr>
          <w:instrText xml:space="preserve"> PAGEREF _Toc184737631 \h </w:instrText>
        </w:r>
        <w:r>
          <w:rPr>
            <w:webHidden/>
          </w:rPr>
        </w:r>
        <w:r>
          <w:rPr>
            <w:webHidden/>
          </w:rPr>
          <w:fldChar w:fldCharType="separate"/>
        </w:r>
        <w:r>
          <w:rPr>
            <w:webHidden/>
          </w:rPr>
          <w:t>7</w:t>
        </w:r>
        <w:r>
          <w:rPr>
            <w:webHidden/>
          </w:rPr>
          <w:fldChar w:fldCharType="end"/>
        </w:r>
      </w:hyperlink>
    </w:p>
    <w:p w14:paraId="46185179" w14:textId="74A24BDC"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32" w:history="1">
        <w:r w:rsidRPr="00440E9B">
          <w:rPr>
            <w:rStyle w:val="Hyperlink"/>
            <w:spacing w:val="-3"/>
          </w:rPr>
          <w:t xml:space="preserve">Applications </w:t>
        </w:r>
        <w:r w:rsidRPr="00440E9B">
          <w:rPr>
            <w:rStyle w:val="Hyperlink"/>
          </w:rPr>
          <w:t xml:space="preserve">for </w:t>
        </w:r>
        <w:r w:rsidRPr="00440E9B">
          <w:rPr>
            <w:rStyle w:val="Hyperlink"/>
            <w:spacing w:val="-3"/>
          </w:rPr>
          <w:t xml:space="preserve">treatment </w:t>
        </w:r>
        <w:r w:rsidRPr="00440E9B">
          <w:rPr>
            <w:rStyle w:val="Hyperlink"/>
          </w:rPr>
          <w:t>outside common medical</w:t>
        </w:r>
        <w:r w:rsidRPr="00440E9B">
          <w:rPr>
            <w:rStyle w:val="Hyperlink"/>
            <w:spacing w:val="-1"/>
          </w:rPr>
          <w:t xml:space="preserve"> </w:t>
        </w:r>
        <w:r w:rsidRPr="00440E9B">
          <w:rPr>
            <w:rStyle w:val="Hyperlink"/>
          </w:rPr>
          <w:t>practice</w:t>
        </w:r>
        <w:r>
          <w:rPr>
            <w:webHidden/>
          </w:rPr>
          <w:tab/>
        </w:r>
        <w:r>
          <w:rPr>
            <w:webHidden/>
          </w:rPr>
          <w:fldChar w:fldCharType="begin"/>
        </w:r>
        <w:r>
          <w:rPr>
            <w:webHidden/>
          </w:rPr>
          <w:instrText xml:space="preserve"> PAGEREF _Toc184737632 \h </w:instrText>
        </w:r>
        <w:r>
          <w:rPr>
            <w:webHidden/>
          </w:rPr>
        </w:r>
        <w:r>
          <w:rPr>
            <w:webHidden/>
          </w:rPr>
          <w:fldChar w:fldCharType="separate"/>
        </w:r>
        <w:r>
          <w:rPr>
            <w:webHidden/>
          </w:rPr>
          <w:t>8</w:t>
        </w:r>
        <w:r>
          <w:rPr>
            <w:webHidden/>
          </w:rPr>
          <w:fldChar w:fldCharType="end"/>
        </w:r>
      </w:hyperlink>
    </w:p>
    <w:p w14:paraId="2DFA5AF0" w14:textId="45770110" w:rsidR="00C861A1" w:rsidRDefault="00C861A1">
      <w:pPr>
        <w:pStyle w:val="TOC1"/>
        <w:rPr>
          <w:rFonts w:asciiTheme="minorHAnsi" w:eastAsiaTheme="minorEastAsia" w:hAnsiTheme="minorHAnsi" w:cstheme="minorBidi"/>
          <w:b w:val="0"/>
          <w:kern w:val="2"/>
          <w:sz w:val="24"/>
          <w:szCs w:val="24"/>
          <w:lang w:eastAsia="en-AU"/>
          <w14:ligatures w14:val="standardContextual"/>
        </w:rPr>
      </w:pPr>
      <w:hyperlink w:anchor="_Toc184737633" w:history="1">
        <w:r w:rsidRPr="00440E9B">
          <w:rPr>
            <w:rStyle w:val="Hyperlink"/>
          </w:rPr>
          <w:t>Other resources</w:t>
        </w:r>
        <w:r>
          <w:rPr>
            <w:webHidden/>
          </w:rPr>
          <w:tab/>
        </w:r>
        <w:r>
          <w:rPr>
            <w:webHidden/>
          </w:rPr>
          <w:fldChar w:fldCharType="begin"/>
        </w:r>
        <w:r>
          <w:rPr>
            <w:webHidden/>
          </w:rPr>
          <w:instrText xml:space="preserve"> PAGEREF _Toc184737633 \h </w:instrText>
        </w:r>
        <w:r>
          <w:rPr>
            <w:webHidden/>
          </w:rPr>
        </w:r>
        <w:r>
          <w:rPr>
            <w:webHidden/>
          </w:rPr>
          <w:fldChar w:fldCharType="separate"/>
        </w:r>
        <w:r>
          <w:rPr>
            <w:webHidden/>
          </w:rPr>
          <w:t>8</w:t>
        </w:r>
        <w:r>
          <w:rPr>
            <w:webHidden/>
          </w:rPr>
          <w:fldChar w:fldCharType="end"/>
        </w:r>
      </w:hyperlink>
    </w:p>
    <w:p w14:paraId="787F63B4" w14:textId="58708EE5"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34" w:history="1">
        <w:r w:rsidRPr="00440E9B">
          <w:rPr>
            <w:rStyle w:val="Hyperlink"/>
          </w:rPr>
          <w:t>Clinical advice for health professionals</w:t>
        </w:r>
        <w:r>
          <w:rPr>
            <w:webHidden/>
          </w:rPr>
          <w:tab/>
        </w:r>
        <w:r>
          <w:rPr>
            <w:webHidden/>
          </w:rPr>
          <w:fldChar w:fldCharType="begin"/>
        </w:r>
        <w:r>
          <w:rPr>
            <w:webHidden/>
          </w:rPr>
          <w:instrText xml:space="preserve"> PAGEREF _Toc184737634 \h </w:instrText>
        </w:r>
        <w:r>
          <w:rPr>
            <w:webHidden/>
          </w:rPr>
        </w:r>
        <w:r>
          <w:rPr>
            <w:webHidden/>
          </w:rPr>
          <w:fldChar w:fldCharType="separate"/>
        </w:r>
        <w:r>
          <w:rPr>
            <w:webHidden/>
          </w:rPr>
          <w:t>8</w:t>
        </w:r>
        <w:r>
          <w:rPr>
            <w:webHidden/>
          </w:rPr>
          <w:fldChar w:fldCharType="end"/>
        </w:r>
      </w:hyperlink>
    </w:p>
    <w:p w14:paraId="4A20EB46" w14:textId="358B580F" w:rsidR="00C861A1" w:rsidRDefault="00C861A1">
      <w:pPr>
        <w:pStyle w:val="TOC2"/>
        <w:rPr>
          <w:rFonts w:asciiTheme="minorHAnsi" w:eastAsiaTheme="minorEastAsia" w:hAnsiTheme="minorHAnsi" w:cstheme="minorBidi"/>
          <w:kern w:val="2"/>
          <w:sz w:val="24"/>
          <w:szCs w:val="24"/>
          <w:lang w:eastAsia="en-AU"/>
          <w14:ligatures w14:val="standardContextual"/>
        </w:rPr>
      </w:pPr>
      <w:hyperlink w:anchor="_Toc184737635" w:history="1">
        <w:r w:rsidRPr="00440E9B">
          <w:rPr>
            <w:rStyle w:val="Hyperlink"/>
          </w:rPr>
          <w:t>Counselling and advice for patients</w:t>
        </w:r>
        <w:r>
          <w:rPr>
            <w:webHidden/>
          </w:rPr>
          <w:tab/>
        </w:r>
        <w:r>
          <w:rPr>
            <w:webHidden/>
          </w:rPr>
          <w:fldChar w:fldCharType="begin"/>
        </w:r>
        <w:r>
          <w:rPr>
            <w:webHidden/>
          </w:rPr>
          <w:instrText xml:space="preserve"> PAGEREF _Toc184737635 \h </w:instrText>
        </w:r>
        <w:r>
          <w:rPr>
            <w:webHidden/>
          </w:rPr>
        </w:r>
        <w:r>
          <w:rPr>
            <w:webHidden/>
          </w:rPr>
          <w:fldChar w:fldCharType="separate"/>
        </w:r>
        <w:r>
          <w:rPr>
            <w:webHidden/>
          </w:rPr>
          <w:t>8</w:t>
        </w:r>
        <w:r>
          <w:rPr>
            <w:webHidden/>
          </w:rPr>
          <w:fldChar w:fldCharType="end"/>
        </w:r>
      </w:hyperlink>
    </w:p>
    <w:p w14:paraId="6BEEB212" w14:textId="710AD93A" w:rsidR="00C861A1" w:rsidRDefault="00C861A1">
      <w:pPr>
        <w:pStyle w:val="TOC1"/>
        <w:rPr>
          <w:rFonts w:asciiTheme="minorHAnsi" w:eastAsiaTheme="minorEastAsia" w:hAnsiTheme="minorHAnsi" w:cstheme="minorBidi"/>
          <w:b w:val="0"/>
          <w:kern w:val="2"/>
          <w:sz w:val="24"/>
          <w:szCs w:val="24"/>
          <w:lang w:eastAsia="en-AU"/>
          <w14:ligatures w14:val="standardContextual"/>
        </w:rPr>
      </w:pPr>
      <w:hyperlink w:anchor="_Toc184737636" w:history="1">
        <w:r w:rsidRPr="00440E9B">
          <w:rPr>
            <w:rStyle w:val="Hyperlink"/>
          </w:rPr>
          <w:t>References</w:t>
        </w:r>
        <w:r>
          <w:rPr>
            <w:webHidden/>
          </w:rPr>
          <w:tab/>
        </w:r>
        <w:r>
          <w:rPr>
            <w:webHidden/>
          </w:rPr>
          <w:fldChar w:fldCharType="begin"/>
        </w:r>
        <w:r>
          <w:rPr>
            <w:webHidden/>
          </w:rPr>
          <w:instrText xml:space="preserve"> PAGEREF _Toc184737636 \h </w:instrText>
        </w:r>
        <w:r>
          <w:rPr>
            <w:webHidden/>
          </w:rPr>
        </w:r>
        <w:r>
          <w:rPr>
            <w:webHidden/>
          </w:rPr>
          <w:fldChar w:fldCharType="separate"/>
        </w:r>
        <w:r>
          <w:rPr>
            <w:webHidden/>
          </w:rPr>
          <w:t>8</w:t>
        </w:r>
        <w:r>
          <w:rPr>
            <w:webHidden/>
          </w:rPr>
          <w:fldChar w:fldCharType="end"/>
        </w:r>
      </w:hyperlink>
    </w:p>
    <w:p w14:paraId="5EB1B103" w14:textId="3F324DFB" w:rsidR="007173CA" w:rsidRDefault="00AD784C" w:rsidP="00D079AA">
      <w:pPr>
        <w:pStyle w:val="Body"/>
      </w:pPr>
      <w:r>
        <w:fldChar w:fldCharType="end"/>
      </w:r>
    </w:p>
    <w:p w14:paraId="61E0A983"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p w14:paraId="7DB191BC" w14:textId="77777777" w:rsidR="006A51E5" w:rsidRDefault="006A51E5" w:rsidP="006A51E5">
      <w:pPr>
        <w:pStyle w:val="Introtext"/>
      </w:pPr>
      <w:r>
        <w:lastRenderedPageBreak/>
        <w:t>The</w:t>
      </w:r>
      <w:r w:rsidRPr="006A51E5">
        <w:t xml:space="preserve"> </w:t>
      </w:r>
      <w:r>
        <w:t>purpose</w:t>
      </w:r>
      <w:r w:rsidRPr="006A51E5">
        <w:t xml:space="preserve"> </w:t>
      </w:r>
      <w:r>
        <w:t>of</w:t>
      </w:r>
      <w:r w:rsidRPr="006A51E5">
        <w:t xml:space="preserve"> </w:t>
      </w:r>
      <w:r>
        <w:t>this</w:t>
      </w:r>
      <w:r w:rsidRPr="006A51E5">
        <w:t xml:space="preserve"> </w:t>
      </w:r>
      <w:r>
        <w:t>document</w:t>
      </w:r>
      <w:r w:rsidRPr="006A51E5">
        <w:t xml:space="preserve"> </w:t>
      </w:r>
      <w:r>
        <w:t>is</w:t>
      </w:r>
      <w:r w:rsidRPr="006A51E5">
        <w:t xml:space="preserve"> </w:t>
      </w:r>
      <w:r>
        <w:t>to</w:t>
      </w:r>
      <w:r w:rsidRPr="006A51E5">
        <w:t xml:space="preserve"> </w:t>
      </w:r>
      <w:r>
        <w:t>inform</w:t>
      </w:r>
      <w:r w:rsidRPr="006A51E5">
        <w:t xml:space="preserve"> </w:t>
      </w:r>
      <w:r>
        <w:t>prescribers</w:t>
      </w:r>
      <w:r w:rsidRPr="006A51E5">
        <w:t xml:space="preserve"> </w:t>
      </w:r>
      <w:r>
        <w:t>of the matters the Department of Health considers when assessing applications for permits to prescribe Schedule 8</w:t>
      </w:r>
      <w:r w:rsidRPr="006A51E5">
        <w:t xml:space="preserve"> </w:t>
      </w:r>
      <w:r>
        <w:t>poisons.</w:t>
      </w:r>
    </w:p>
    <w:p w14:paraId="2030E21E" w14:textId="77777777" w:rsidR="006A51E5" w:rsidRDefault="006A51E5" w:rsidP="006A51E5">
      <w:pPr>
        <w:pStyle w:val="Introtext"/>
      </w:pPr>
      <w:r>
        <w:t>This document has been endorsed by the Department of Health’s Chief Clinical Advisor – Addiction Medicine.</w:t>
      </w:r>
    </w:p>
    <w:p w14:paraId="3F969DF6" w14:textId="77777777" w:rsidR="00855920" w:rsidRPr="00200176" w:rsidRDefault="00855920" w:rsidP="00855920">
      <w:pPr>
        <w:pStyle w:val="Body"/>
      </w:pPr>
    </w:p>
    <w:p w14:paraId="40C6D331" w14:textId="77777777" w:rsidR="006A51E5" w:rsidRDefault="006A51E5" w:rsidP="006A51E5">
      <w:pPr>
        <w:pStyle w:val="Heading1"/>
      </w:pPr>
      <w:bookmarkStart w:id="0" w:name="_Toc184737621"/>
      <w:r>
        <w:t>Introduction</w:t>
      </w:r>
      <w:bookmarkEnd w:id="0"/>
    </w:p>
    <w:p w14:paraId="26A0D066" w14:textId="77777777" w:rsidR="006A51E5" w:rsidRDefault="006A51E5" w:rsidP="006A51E5">
      <w:pPr>
        <w:pStyle w:val="Body"/>
        <w:rPr>
          <w:sz w:val="13"/>
        </w:rPr>
      </w:pPr>
      <w:r>
        <w:t>The</w:t>
      </w:r>
      <w:r>
        <w:rPr>
          <w:spacing w:val="-9"/>
        </w:rPr>
        <w:t xml:space="preserve"> </w:t>
      </w:r>
      <w:r>
        <w:rPr>
          <w:i/>
        </w:rPr>
        <w:t>Drugs,</w:t>
      </w:r>
      <w:r>
        <w:rPr>
          <w:i/>
          <w:spacing w:val="-9"/>
        </w:rPr>
        <w:t xml:space="preserve"> </w:t>
      </w:r>
      <w:r>
        <w:rPr>
          <w:i/>
        </w:rPr>
        <w:t>Poisons</w:t>
      </w:r>
      <w:r>
        <w:rPr>
          <w:i/>
          <w:spacing w:val="-9"/>
        </w:rPr>
        <w:t xml:space="preserve"> </w:t>
      </w:r>
      <w:r>
        <w:rPr>
          <w:i/>
        </w:rPr>
        <w:t>and</w:t>
      </w:r>
      <w:r>
        <w:rPr>
          <w:i/>
          <w:spacing w:val="-9"/>
        </w:rPr>
        <w:t xml:space="preserve"> </w:t>
      </w:r>
      <w:r>
        <w:rPr>
          <w:i/>
        </w:rPr>
        <w:t>Controlled</w:t>
      </w:r>
      <w:r>
        <w:rPr>
          <w:i/>
          <w:spacing w:val="-9"/>
        </w:rPr>
        <w:t xml:space="preserve"> </w:t>
      </w:r>
      <w:r>
        <w:rPr>
          <w:i/>
        </w:rPr>
        <w:t>Substances</w:t>
      </w:r>
      <w:r>
        <w:rPr>
          <w:i/>
          <w:spacing w:val="-9"/>
        </w:rPr>
        <w:t xml:space="preserve"> </w:t>
      </w:r>
      <w:r>
        <w:rPr>
          <w:i/>
        </w:rPr>
        <w:t xml:space="preserve">Act 1981 </w:t>
      </w:r>
      <w:r>
        <w:t xml:space="preserve">sets out certain circumstances when a registered medical practitioner or nurse practitioner must apply for a permit to prescribe a Schedule 8 poison. These are substances which should be available for use but require restrictions on supply to </w:t>
      </w:r>
      <w:proofErr w:type="spellStart"/>
      <w:r>
        <w:t>minimise</w:t>
      </w:r>
      <w:proofErr w:type="spellEnd"/>
      <w:r>
        <w:t xml:space="preserve"> abuse, misuse and</w:t>
      </w:r>
      <w:r>
        <w:rPr>
          <w:spacing w:val="-2"/>
        </w:rPr>
        <w:t xml:space="preserve"> </w:t>
      </w:r>
      <w:r>
        <w:t>dependence.</w:t>
      </w:r>
      <w:r>
        <w:rPr>
          <w:position w:val="6"/>
          <w:sz w:val="13"/>
        </w:rPr>
        <w:t>1</w:t>
      </w:r>
    </w:p>
    <w:p w14:paraId="0267AB7B" w14:textId="77777777" w:rsidR="006A51E5" w:rsidRDefault="006A51E5" w:rsidP="006A51E5">
      <w:pPr>
        <w:pStyle w:val="Body"/>
      </w:pPr>
      <w:r>
        <w:t>(The Act defines “Schedule 8 permits” as meaning permits to administer, supply or prescribe a Schedule 8 poison issued by the Secretary under section 34A.)</w:t>
      </w:r>
    </w:p>
    <w:p w14:paraId="5E2A39AA" w14:textId="77777777" w:rsidR="006A51E5" w:rsidRDefault="006A51E5" w:rsidP="006A51E5">
      <w:pPr>
        <w:pStyle w:val="Body"/>
      </w:pPr>
      <w:r>
        <w:rPr>
          <w:spacing w:val="-3"/>
        </w:rPr>
        <w:t xml:space="preserve">Generally, </w:t>
      </w:r>
      <w:r>
        <w:t>a permit is required before any</w:t>
      </w:r>
      <w:r>
        <w:rPr>
          <w:spacing w:val="-41"/>
        </w:rPr>
        <w:t xml:space="preserve"> </w:t>
      </w:r>
      <w:r>
        <w:t xml:space="preserve">treatment of a drug dependent person, before any treatment with methadone, </w:t>
      </w:r>
      <w:proofErr w:type="spellStart"/>
      <w:r>
        <w:t>nabiximols</w:t>
      </w:r>
      <w:proofErr w:type="spellEnd"/>
      <w:r>
        <w:t xml:space="preserve"> or a psychostimulant drug, or when treatment with a Schedule 8 poison exceeds eight weeks (includes any period of treatment provided by another practitioner). There are </w:t>
      </w:r>
      <w:r>
        <w:rPr>
          <w:spacing w:val="-3"/>
        </w:rPr>
        <w:t xml:space="preserve">exceptions </w:t>
      </w:r>
      <w:r>
        <w:t xml:space="preserve">to these </w:t>
      </w:r>
      <w:proofErr w:type="gramStart"/>
      <w:r>
        <w:t>requirements</w:t>
      </w:r>
      <w:proofErr w:type="gramEnd"/>
      <w:r>
        <w:t xml:space="preserve"> however. It is the responsibility of the practitioner to know if they are required by the Act to hold a permit in a particular</w:t>
      </w:r>
      <w:r>
        <w:rPr>
          <w:spacing w:val="-1"/>
        </w:rPr>
        <w:t xml:space="preserve"> </w:t>
      </w:r>
      <w:r>
        <w:t>case.</w:t>
      </w:r>
    </w:p>
    <w:p w14:paraId="14F32081" w14:textId="2C2B4376" w:rsidR="006A51E5" w:rsidRDefault="006A51E5" w:rsidP="006A51E5">
      <w:pPr>
        <w:pStyle w:val="Body"/>
      </w:pPr>
      <w:r>
        <w:t xml:space="preserve">This document sets out the policies of the Department of Health when assessing an application from a practitioner for a permit to </w:t>
      </w:r>
      <w:r>
        <w:rPr>
          <w:spacing w:val="-2"/>
        </w:rPr>
        <w:t xml:space="preserve">prescribe </w:t>
      </w:r>
      <w:r>
        <w:t xml:space="preserve">a Schedule 8 poison. Information about a practitioner’s legislative obligations, including downloadable copies of this and other Departmental policies and other information about drugs and poisons controls in Victoria are available from the </w:t>
      </w:r>
      <w:hyperlink r:id="rId17" w:history="1">
        <w:r w:rsidRPr="006A51E5">
          <w:rPr>
            <w:rStyle w:val="Hyperlink"/>
          </w:rPr>
          <w:t>Medicines and Poisons Regulation</w:t>
        </w:r>
      </w:hyperlink>
      <w:r>
        <w:t xml:space="preserve"> &lt;</w:t>
      </w:r>
      <w:r w:rsidRPr="006A51E5">
        <w:t>www.health.vic.gov.au/dpcs</w:t>
      </w:r>
      <w:r>
        <w:t xml:space="preserve">&gt; page at the Department of Health website </w:t>
      </w:r>
      <w:r>
        <w:t xml:space="preserve">or by request via email at </w:t>
      </w:r>
      <w:hyperlink r:id="rId18">
        <w:r>
          <w:rPr>
            <w:color w:val="0000FF"/>
            <w:u w:val="single" w:color="0000FF"/>
          </w:rPr>
          <w:t>dpcs@health.vic.gov.au</w:t>
        </w:r>
        <w:r>
          <w:t>.</w:t>
        </w:r>
      </w:hyperlink>
    </w:p>
    <w:p w14:paraId="46513192" w14:textId="33E78E66" w:rsidR="006A51E5" w:rsidRDefault="006A51E5" w:rsidP="006A51E5">
      <w:pPr>
        <w:pStyle w:val="Body"/>
      </w:pPr>
      <w:r>
        <w:t>The Department has also developed advice sheets relating to different aspects of treatment with Schedule 8 poisons, including recognising behaviours indicative of substance abuse. These advice sheets can also be obtained from the DPR website.</w:t>
      </w:r>
    </w:p>
    <w:p w14:paraId="365A307B" w14:textId="3798E3DD" w:rsidR="006A51E5" w:rsidRDefault="006A51E5" w:rsidP="001D370B">
      <w:pPr>
        <w:pStyle w:val="Heading1"/>
      </w:pPr>
      <w:bookmarkStart w:id="1" w:name="_Toc184737622"/>
      <w:r>
        <w:t>R</w:t>
      </w:r>
      <w:r>
        <w:t>easons for issuing permits</w:t>
      </w:r>
      <w:bookmarkEnd w:id="1"/>
    </w:p>
    <w:p w14:paraId="3D02BB4C" w14:textId="77777777" w:rsidR="006A51E5" w:rsidRDefault="006A51E5" w:rsidP="006A51E5">
      <w:pPr>
        <w:pStyle w:val="Body"/>
      </w:pPr>
      <w:r>
        <w:t xml:space="preserve">The requirement for a permit </w:t>
      </w:r>
      <w:proofErr w:type="spellStart"/>
      <w:r>
        <w:t>recognises</w:t>
      </w:r>
      <w:proofErr w:type="spellEnd"/>
      <w:r>
        <w:t xml:space="preserve"> the special risks associated with Schedule 8 poisons, and the consequent need to coordinate treatments between practitioners to avoid concurrent treatment of a patient with the same or similar Schedule 8 poison by multiple practitioners. The intention is to </w:t>
      </w:r>
      <w:proofErr w:type="spellStart"/>
      <w:r>
        <w:t>maximise</w:t>
      </w:r>
      <w:proofErr w:type="spellEnd"/>
      <w:r>
        <w:t xml:space="preserve"> patient safety and to </w:t>
      </w:r>
      <w:proofErr w:type="spellStart"/>
      <w:r>
        <w:t>minimise</w:t>
      </w:r>
      <w:proofErr w:type="spellEnd"/>
      <w:r>
        <w:t xml:space="preserve"> the risk of patients developing or maintaining dependence and to avoid diversion of licit drugs for illicit purposes.</w:t>
      </w:r>
    </w:p>
    <w:p w14:paraId="2CD81991" w14:textId="77777777" w:rsidR="006A51E5" w:rsidRDefault="006A51E5" w:rsidP="006A51E5">
      <w:pPr>
        <w:pStyle w:val="Body"/>
      </w:pPr>
      <w:r>
        <w:t xml:space="preserve">When permit applications are received, they are registered in a database. The database contains a history of current or past permits, </w:t>
      </w:r>
      <w:proofErr w:type="gramStart"/>
      <w:r>
        <w:t>and also</w:t>
      </w:r>
      <w:proofErr w:type="gramEnd"/>
      <w:r>
        <w:t xml:space="preserve"> records mandatory notifications submitted by medical practitioners, pharmacists and other health practitioners, such as notifications of drug dependency. Relevant information contained in the database may be provided to the practitioner making an application </w:t>
      </w:r>
      <w:proofErr w:type="gramStart"/>
      <w:r>
        <w:t>in order to</w:t>
      </w:r>
      <w:proofErr w:type="gramEnd"/>
      <w:r>
        <w:t xml:space="preserve"> assist the practitioner make safe, legal and effective treatment decisions.</w:t>
      </w:r>
    </w:p>
    <w:p w14:paraId="7959AA09" w14:textId="77777777" w:rsidR="006A51E5" w:rsidRDefault="006A51E5" w:rsidP="006A51E5">
      <w:pPr>
        <w:pStyle w:val="Body"/>
      </w:pPr>
      <w:r>
        <w:t xml:space="preserve">The Department does not make clinical assessments of </w:t>
      </w:r>
      <w:proofErr w:type="gramStart"/>
      <w:r>
        <w:t>particular cases</w:t>
      </w:r>
      <w:proofErr w:type="gramEnd"/>
      <w:r>
        <w:t xml:space="preserve"> and does not offer clinical advice to practitioners. The issuing of a permit is not an endorsement of treatment. The responsibility for assessing the clinical appropriateness of treatment of a patient always rests with the practitioner.</w:t>
      </w:r>
    </w:p>
    <w:p w14:paraId="7FDD1DB7" w14:textId="77777777" w:rsidR="006A51E5" w:rsidRDefault="006A51E5" w:rsidP="006A51E5">
      <w:pPr>
        <w:pStyle w:val="Body"/>
      </w:pPr>
      <w:r>
        <w:t>Practitioners may refer to appropriate clinical guidelines for clinical advice when considering treatment with a Schedule 8 poison. Such guidelines, which are referenced in this document, include the National Prescribing Service (NPS), Hunter New England Area Health, the Therapeutic Guidelines, the Australian Medicines Handbook (AMH) and the Australian Pain Society.</w:t>
      </w:r>
    </w:p>
    <w:p w14:paraId="48BFDBA0" w14:textId="77777777" w:rsidR="006A51E5" w:rsidRDefault="006A51E5" w:rsidP="006A51E5">
      <w:pPr>
        <w:pStyle w:val="Body"/>
      </w:pPr>
      <w:r>
        <w:lastRenderedPageBreak/>
        <w:t>Further to these guidelines, the Chief Clinical Adviser – Addiction Medicine or other medical officers within the Department may also provide advice when applications are processed, when permits are issued or revoked, or when applications are refused.</w:t>
      </w:r>
    </w:p>
    <w:p w14:paraId="035964FE" w14:textId="06CC7752" w:rsidR="006A51E5" w:rsidRDefault="006A51E5" w:rsidP="006A51E5">
      <w:pPr>
        <w:pStyle w:val="Body"/>
      </w:pPr>
      <w:r>
        <w:t xml:space="preserve">This policy outlines what actions will take place when an application is received. Practitioners making applications may contact DPR by email at </w:t>
      </w:r>
      <w:hyperlink r:id="rId19">
        <w:r>
          <w:rPr>
            <w:color w:val="0000FF"/>
            <w:u w:val="single" w:color="0000FF"/>
          </w:rPr>
          <w:t>dpcs@health.vic.gov.au</w:t>
        </w:r>
      </w:hyperlink>
      <w:r>
        <w:rPr>
          <w:color w:val="0000FF"/>
        </w:rPr>
        <w:t xml:space="preserve"> </w:t>
      </w:r>
      <w:r>
        <w:t>if necessary.</w:t>
      </w:r>
    </w:p>
    <w:p w14:paraId="13D4909E" w14:textId="77777777" w:rsidR="001D370B" w:rsidRDefault="001D370B" w:rsidP="001D370B">
      <w:pPr>
        <w:pStyle w:val="Heading1"/>
      </w:pPr>
      <w:bookmarkStart w:id="2" w:name="_Toc184737623"/>
      <w:r>
        <w:t>General requirements</w:t>
      </w:r>
      <w:bookmarkEnd w:id="2"/>
    </w:p>
    <w:p w14:paraId="5CBCB179" w14:textId="77777777" w:rsidR="001D370B" w:rsidRDefault="001D370B" w:rsidP="001D370B">
      <w:pPr>
        <w:pStyle w:val="Body"/>
      </w:pPr>
      <w:r>
        <w:t>(From herein, a registered medical practitioner or nurse practitioner applying for a permit will be referred to as an “applicant”.)</w:t>
      </w:r>
    </w:p>
    <w:p w14:paraId="3DE41BE0" w14:textId="77777777" w:rsidR="001D370B" w:rsidRDefault="001D370B" w:rsidP="001D370B">
      <w:pPr>
        <w:pStyle w:val="Heading2"/>
      </w:pPr>
      <w:bookmarkStart w:id="3" w:name="_Toc184737624"/>
      <w:r>
        <w:t>Circumstances where a Schedule 8 permit is likely to be issued</w:t>
      </w:r>
      <w:bookmarkEnd w:id="3"/>
    </w:p>
    <w:p w14:paraId="730E3198" w14:textId="77777777" w:rsidR="001D370B" w:rsidRDefault="001D370B" w:rsidP="001D370B">
      <w:pPr>
        <w:pStyle w:val="Body"/>
      </w:pPr>
      <w:r>
        <w:t>Generally, a permit will be issued to the applicant without a request for further supporting information, where:</w:t>
      </w:r>
    </w:p>
    <w:p w14:paraId="02919087" w14:textId="77777777" w:rsidR="001D370B" w:rsidRDefault="001D370B" w:rsidP="001D370B">
      <w:pPr>
        <w:pStyle w:val="Numberlowerroman"/>
      </w:pPr>
      <w:r>
        <w:t>the drug has an approved indication (by the Therapeutic Goods Administration) for the specified diagnosis for the patient, or where there is documented evidence for its</w:t>
      </w:r>
      <w:r>
        <w:rPr>
          <w:spacing w:val="-31"/>
        </w:rPr>
        <w:t xml:space="preserve"> </w:t>
      </w:r>
      <w:r>
        <w:t>therapeutic use for that diagnosis,</w:t>
      </w:r>
      <w:r>
        <w:rPr>
          <w:spacing w:val="-1"/>
        </w:rPr>
        <w:t xml:space="preserve"> </w:t>
      </w:r>
      <w:r>
        <w:t>and</w:t>
      </w:r>
    </w:p>
    <w:p w14:paraId="25624BB5" w14:textId="77777777" w:rsidR="001D370B" w:rsidRDefault="001D370B" w:rsidP="001D370B">
      <w:pPr>
        <w:pStyle w:val="Numberlowerroman"/>
      </w:pPr>
      <w:r>
        <w:t>the dose is within accepted doses ranges as recommended in clinical guidelines,</w:t>
      </w:r>
      <w:r>
        <w:rPr>
          <w:spacing w:val="-1"/>
        </w:rPr>
        <w:t xml:space="preserve"> </w:t>
      </w:r>
      <w:r>
        <w:t>and</w:t>
      </w:r>
    </w:p>
    <w:p w14:paraId="46FF2F3B" w14:textId="77777777" w:rsidR="001D370B" w:rsidRDefault="001D370B" w:rsidP="001D370B">
      <w:pPr>
        <w:pStyle w:val="Numberlowerroman"/>
      </w:pPr>
      <w:r>
        <w:t>there is no other practitioner holding a permit to treat to treat the patient,</w:t>
      </w:r>
      <w:r>
        <w:rPr>
          <w:spacing w:val="-1"/>
        </w:rPr>
        <w:t xml:space="preserve"> </w:t>
      </w:r>
      <w:r>
        <w:t>and</w:t>
      </w:r>
    </w:p>
    <w:p w14:paraId="46C3B80F" w14:textId="77777777" w:rsidR="001D370B" w:rsidRDefault="001D370B" w:rsidP="001D370B">
      <w:pPr>
        <w:pStyle w:val="Numberlowerroman"/>
      </w:pPr>
      <w:r>
        <w:t xml:space="preserve">there is no record of notifications of drug dependence, aberrant drug-related </w:t>
      </w:r>
      <w:proofErr w:type="spellStart"/>
      <w:r>
        <w:t>behaviour</w:t>
      </w:r>
      <w:proofErr w:type="spellEnd"/>
      <w:r>
        <w:t xml:space="preserve"> or suspected unlawful </w:t>
      </w:r>
      <w:proofErr w:type="spellStart"/>
      <w:r>
        <w:t>behaviour</w:t>
      </w:r>
      <w:proofErr w:type="spellEnd"/>
      <w:r>
        <w:t xml:space="preserve"> associated with prescription medications received for the</w:t>
      </w:r>
      <w:r>
        <w:rPr>
          <w:spacing w:val="-18"/>
        </w:rPr>
        <w:t xml:space="preserve"> </w:t>
      </w:r>
      <w:r>
        <w:t>patient.</w:t>
      </w:r>
    </w:p>
    <w:p w14:paraId="04D5E9A9" w14:textId="77777777" w:rsidR="001D370B" w:rsidRDefault="001D370B" w:rsidP="001D370B">
      <w:pPr>
        <w:pStyle w:val="Heading2"/>
      </w:pPr>
      <w:bookmarkStart w:id="4" w:name="_Toc184737625"/>
      <w:r>
        <w:t>Circumstances where further information will likely be requested before a permit is issued</w:t>
      </w:r>
      <w:bookmarkEnd w:id="4"/>
    </w:p>
    <w:p w14:paraId="1D71AFEB" w14:textId="77777777" w:rsidR="001D370B" w:rsidRDefault="001D370B" w:rsidP="001D370B">
      <w:pPr>
        <w:pStyle w:val="Body"/>
      </w:pPr>
      <w:r>
        <w:t xml:space="preserve">A permit for the same or similar drug will generally not be issued to more than one practitioner concurrently unless </w:t>
      </w:r>
      <w:proofErr w:type="gramStart"/>
      <w:r>
        <w:t>it is clear that adequate</w:t>
      </w:r>
      <w:proofErr w:type="gramEnd"/>
      <w:r>
        <w:t xml:space="preserve"> communication between the practitioners has occurred and ongoing treatment is to be coordinated.</w:t>
      </w:r>
    </w:p>
    <w:p w14:paraId="2D7694B4" w14:textId="77777777" w:rsidR="001D370B" w:rsidRDefault="001D370B" w:rsidP="001D370B">
      <w:pPr>
        <w:pStyle w:val="Body"/>
      </w:pPr>
      <w:r>
        <w:t>Where there is information about past permits or notifications for that patient or other information provided by other sources that might be relevant to the application, this information may be provided to the applicant.  Where there is:</w:t>
      </w:r>
    </w:p>
    <w:p w14:paraId="25F9A4E6" w14:textId="77777777" w:rsidR="00277ED2" w:rsidRPr="00277ED2" w:rsidRDefault="00277ED2" w:rsidP="00277ED2">
      <w:pPr>
        <w:pStyle w:val="Numberlowerroman"/>
        <w:numPr>
          <w:ilvl w:val="0"/>
          <w:numId w:val="46"/>
        </w:numPr>
      </w:pPr>
      <w:r w:rsidRPr="00277ED2">
        <w:t>a history of permits for opioid replacement therapy (ORT), or</w:t>
      </w:r>
    </w:p>
    <w:p w14:paraId="7537D907" w14:textId="77777777" w:rsidR="00277ED2" w:rsidRPr="00277ED2" w:rsidRDefault="00277ED2" w:rsidP="00277ED2">
      <w:pPr>
        <w:pStyle w:val="Numberlowerroman"/>
        <w:numPr>
          <w:ilvl w:val="0"/>
          <w:numId w:val="46"/>
        </w:numPr>
      </w:pPr>
      <w:r w:rsidRPr="00277ED2">
        <w:t xml:space="preserve">notifications of drug dependency, aberrant drug- related </w:t>
      </w:r>
      <w:proofErr w:type="spellStart"/>
      <w:r w:rsidRPr="00277ED2">
        <w:t>behaviour</w:t>
      </w:r>
      <w:proofErr w:type="spellEnd"/>
      <w:r w:rsidRPr="00277ED2">
        <w:t xml:space="preserve"> or suspected unlawful </w:t>
      </w:r>
      <w:proofErr w:type="spellStart"/>
      <w:r w:rsidRPr="00277ED2">
        <w:t>behaviour</w:t>
      </w:r>
      <w:proofErr w:type="spellEnd"/>
      <w:r w:rsidRPr="00277ED2">
        <w:t xml:space="preserve"> associated with prescription medications, or</w:t>
      </w:r>
    </w:p>
    <w:p w14:paraId="7A8DDAB3" w14:textId="77777777" w:rsidR="00277ED2" w:rsidRPr="00277ED2" w:rsidRDefault="00277ED2" w:rsidP="00277ED2">
      <w:pPr>
        <w:pStyle w:val="Numberlowerroman"/>
        <w:numPr>
          <w:ilvl w:val="0"/>
          <w:numId w:val="46"/>
        </w:numPr>
      </w:pPr>
      <w:r w:rsidRPr="00277ED2">
        <w:t>concern about an aspect of the application that may compromise the safety of the patient, e.g. doses exceeding recommendations in clinical guidelines,</w:t>
      </w:r>
    </w:p>
    <w:p w14:paraId="2F0BFA4B" w14:textId="77777777" w:rsidR="00277ED2" w:rsidRDefault="00277ED2" w:rsidP="00277ED2">
      <w:pPr>
        <w:pStyle w:val="Numberlowerroman"/>
        <w:numPr>
          <w:ilvl w:val="0"/>
          <w:numId w:val="0"/>
        </w:numPr>
      </w:pPr>
      <w:r>
        <w:t>the applicant will normally be requested to provide supporting information for a permit to be issued. Applications may be refused if the additional information requested is not provided.</w:t>
      </w:r>
    </w:p>
    <w:p w14:paraId="5000B308" w14:textId="77777777" w:rsidR="00277ED2" w:rsidRDefault="00277ED2" w:rsidP="00277ED2">
      <w:pPr>
        <w:pStyle w:val="Heading3"/>
      </w:pPr>
      <w:r>
        <w:t>Incomplete permit applications</w:t>
      </w:r>
    </w:p>
    <w:p w14:paraId="45E11A0A" w14:textId="77777777" w:rsidR="00277ED2" w:rsidRDefault="00277ED2" w:rsidP="00277ED2">
      <w:pPr>
        <w:pStyle w:val="Body"/>
      </w:pPr>
      <w:r>
        <w:t>It is a regulatory requirement that certain information must be provided when applying for a permit to prescribe a Schedule 8 poison.</w:t>
      </w:r>
    </w:p>
    <w:p w14:paraId="67B0CD31" w14:textId="77777777" w:rsidR="00277ED2" w:rsidRDefault="00277ED2" w:rsidP="00277ED2">
      <w:pPr>
        <w:pStyle w:val="Body"/>
      </w:pPr>
      <w:r>
        <w:t>Incomplete applications cannot be processed until the required information is provided by the applicant.</w:t>
      </w:r>
    </w:p>
    <w:p w14:paraId="04BCCFA9" w14:textId="77777777" w:rsidR="00277ED2" w:rsidRDefault="00277ED2" w:rsidP="00277ED2">
      <w:pPr>
        <w:pStyle w:val="Body"/>
      </w:pPr>
      <w:r>
        <w:t>In the case of applications for ORT permits, it essential for the safe treatment of patients transferring from one practitioner to another that the drug, dose and date of last dose be obtained by direct contact with the most recent dosing point.</w:t>
      </w:r>
    </w:p>
    <w:p w14:paraId="5A77275D" w14:textId="77777777" w:rsidR="00277ED2" w:rsidRDefault="00277ED2" w:rsidP="00277ED2">
      <w:pPr>
        <w:pStyle w:val="Body"/>
      </w:pPr>
      <w:r>
        <w:t>Where possible, the previous practitioner should also be contacted by the applicant to be advised that the patient has transferred, and to seek any relevant information that may assist with treatment.</w:t>
      </w:r>
    </w:p>
    <w:p w14:paraId="282DF1A1" w14:textId="77777777" w:rsidR="00277ED2" w:rsidRDefault="00277ED2" w:rsidP="00277ED2">
      <w:pPr>
        <w:pStyle w:val="Body"/>
      </w:pPr>
      <w:r>
        <w:lastRenderedPageBreak/>
        <w:t>When an incomplete permit application is received, the applicant will be requested to resubmit a completed application. If the required information is not provided within:</w:t>
      </w:r>
    </w:p>
    <w:p w14:paraId="059B74F9" w14:textId="77777777" w:rsidR="00277ED2" w:rsidRPr="00277ED2" w:rsidRDefault="00277ED2" w:rsidP="00277ED2">
      <w:pPr>
        <w:pStyle w:val="Numberlowerroman"/>
        <w:numPr>
          <w:ilvl w:val="0"/>
          <w:numId w:val="46"/>
        </w:numPr>
      </w:pPr>
      <w:r w:rsidRPr="00277ED2">
        <w:t>10 working days from the date of the request for Schedule 8 permit applications, or</w:t>
      </w:r>
    </w:p>
    <w:p w14:paraId="37E332E0" w14:textId="77777777" w:rsidR="00277ED2" w:rsidRPr="00277ED2" w:rsidRDefault="00277ED2" w:rsidP="00277ED2">
      <w:pPr>
        <w:pStyle w:val="Numberlowerroman"/>
      </w:pPr>
      <w:r w:rsidRPr="00277ED2">
        <w:t>3 days from the date of the request for ORT permit applications,</w:t>
      </w:r>
    </w:p>
    <w:p w14:paraId="22237A9E" w14:textId="77777777" w:rsidR="00277ED2" w:rsidRDefault="00277ED2" w:rsidP="00277ED2">
      <w:pPr>
        <w:pStyle w:val="Numberlowerroman"/>
        <w:numPr>
          <w:ilvl w:val="0"/>
          <w:numId w:val="0"/>
        </w:numPr>
      </w:pPr>
      <w:r>
        <w:t>the applicant will be advised that the application has not been processed. A new application will be necessary if a permit is still required.</w:t>
      </w:r>
    </w:p>
    <w:p w14:paraId="4623BE90" w14:textId="77777777" w:rsidR="00277ED2" w:rsidRDefault="00277ED2" w:rsidP="00277ED2">
      <w:pPr>
        <w:pStyle w:val="Numberlowerroman"/>
        <w:numPr>
          <w:ilvl w:val="0"/>
          <w:numId w:val="0"/>
        </w:numPr>
      </w:pPr>
      <w:r>
        <w:t>It is an offence to deliberately provide false information in relation to an application for a permit.</w:t>
      </w:r>
    </w:p>
    <w:p w14:paraId="45BD5CA1" w14:textId="77777777" w:rsidR="00277ED2" w:rsidRDefault="00277ED2" w:rsidP="00277ED2">
      <w:pPr>
        <w:pStyle w:val="Heading1"/>
        <w:spacing w:before="76"/>
        <w:ind w:right="1102"/>
      </w:pPr>
      <w:bookmarkStart w:id="5" w:name="_Toc184737626"/>
      <w:r>
        <w:t>Requirements for specific Schedule 8 poisons</w:t>
      </w:r>
      <w:bookmarkEnd w:id="5"/>
    </w:p>
    <w:p w14:paraId="0C975D31" w14:textId="77777777" w:rsidR="00277ED2" w:rsidRDefault="00277ED2" w:rsidP="00C861A1">
      <w:pPr>
        <w:pStyle w:val="Body"/>
      </w:pPr>
      <w:r>
        <w:t xml:space="preserve">Specific requirements for </w:t>
      </w:r>
      <w:proofErr w:type="gramStart"/>
      <w:r>
        <w:t>particular Schedule</w:t>
      </w:r>
      <w:proofErr w:type="gramEnd"/>
      <w:r>
        <w:t xml:space="preserve"> 8 poisons are further described in this document.</w:t>
      </w:r>
    </w:p>
    <w:p w14:paraId="6E5D722A" w14:textId="77777777" w:rsidR="00277ED2" w:rsidRDefault="00277ED2" w:rsidP="00277ED2">
      <w:pPr>
        <w:pStyle w:val="Heading2"/>
      </w:pPr>
      <w:bookmarkStart w:id="6" w:name="_Toc184737627"/>
      <w:r w:rsidRPr="00277ED2">
        <w:t>Applications</w:t>
      </w:r>
      <w:r>
        <w:t xml:space="preserve"> for</w:t>
      </w:r>
      <w:r>
        <w:rPr>
          <w:spacing w:val="-1"/>
        </w:rPr>
        <w:t xml:space="preserve"> </w:t>
      </w:r>
      <w:r>
        <w:t>opioids</w:t>
      </w:r>
      <w:bookmarkEnd w:id="6"/>
    </w:p>
    <w:p w14:paraId="11F1A282" w14:textId="77777777" w:rsidR="00277ED2" w:rsidRDefault="00277ED2" w:rsidP="00277ED2">
      <w:pPr>
        <w:pStyle w:val="Heading3"/>
      </w:pPr>
      <w:r>
        <w:t>Before prescribing opioids</w:t>
      </w:r>
    </w:p>
    <w:p w14:paraId="7DF40268" w14:textId="77777777" w:rsidR="00277ED2" w:rsidRDefault="00277ED2" w:rsidP="00277ED2">
      <w:pPr>
        <w:pStyle w:val="Body"/>
        <w:rPr>
          <w:sz w:val="13"/>
        </w:rPr>
      </w:pPr>
      <w:r>
        <w:t xml:space="preserve">The </w:t>
      </w:r>
      <w:r>
        <w:rPr>
          <w:i/>
        </w:rPr>
        <w:t xml:space="preserve">Therapeutic Guidelines: Analgesic </w:t>
      </w:r>
      <w:r>
        <w:t>recommends before considering treatment with an opioid, that a comprehensive assessment is essential, and nonpharmacological options should be explored before starting pharmacological therapy. A multidisciplinary approach should be taken when assessing the patient.</w:t>
      </w:r>
      <w:r>
        <w:rPr>
          <w:position w:val="6"/>
          <w:sz w:val="13"/>
        </w:rPr>
        <w:t>2</w:t>
      </w:r>
    </w:p>
    <w:p w14:paraId="150D3DEE" w14:textId="77777777" w:rsidR="00277ED2" w:rsidRDefault="00277ED2" w:rsidP="00277ED2">
      <w:pPr>
        <w:pStyle w:val="Body"/>
      </w:pPr>
      <w:r>
        <w:t xml:space="preserve">Patient assessment should also include whether aberrant drug-related </w:t>
      </w:r>
      <w:proofErr w:type="spellStart"/>
      <w:r>
        <w:t>behaviours</w:t>
      </w:r>
      <w:proofErr w:type="spellEnd"/>
      <w:r>
        <w:t xml:space="preserve"> are present. It is strongly recommended that a screening tool, such as the Opioid Risk Tool </w:t>
      </w:r>
      <w:r>
        <w:rPr>
          <w:position w:val="4"/>
          <w:sz w:val="13"/>
        </w:rPr>
        <w:t>3</w:t>
      </w:r>
      <w:r>
        <w:t>, be used to assess the potential for opioid misuse.</w:t>
      </w:r>
    </w:p>
    <w:p w14:paraId="380D8789" w14:textId="77777777" w:rsidR="00277ED2" w:rsidRDefault="00277ED2" w:rsidP="00277ED2">
      <w:pPr>
        <w:pStyle w:val="Body"/>
      </w:pPr>
      <w:r>
        <w:t xml:space="preserve">Practitioners must be able to </w:t>
      </w:r>
      <w:proofErr w:type="spellStart"/>
      <w:r>
        <w:t>recognise</w:t>
      </w:r>
      <w:proofErr w:type="spellEnd"/>
      <w:r>
        <w:t xml:space="preserve"> problematic </w:t>
      </w:r>
      <w:proofErr w:type="spellStart"/>
      <w:r>
        <w:t>behaviour</w:t>
      </w:r>
      <w:proofErr w:type="spellEnd"/>
      <w:r>
        <w:t xml:space="preserve"> that is symptomatic of substance abuse disorder, and be equipped to manage it when prescribing opioids, or know when to seek advice from experienced colleagues or medical</w:t>
      </w:r>
      <w:r>
        <w:rPr>
          <w:spacing w:val="-11"/>
        </w:rPr>
        <w:t xml:space="preserve"> </w:t>
      </w:r>
      <w:r>
        <w:t>specialists.</w:t>
      </w:r>
    </w:p>
    <w:p w14:paraId="7A1575D2" w14:textId="77777777" w:rsidR="00277ED2" w:rsidRDefault="00277ED2" w:rsidP="00277ED2">
      <w:pPr>
        <w:pStyle w:val="Body"/>
      </w:pPr>
      <w:r>
        <w:t>The NPS recommends that a pain management plan should be formulated and discussed with the patient before deciding to prescribe opioids.</w:t>
      </w:r>
      <w:r>
        <w:rPr>
          <w:position w:val="4"/>
          <w:sz w:val="13"/>
        </w:rPr>
        <w:t xml:space="preserve">4 </w:t>
      </w:r>
      <w:r>
        <w:t>This should include defining the goals of therapy, setting an appropriate treatment timeframe, establishing a review process with colleagues or a specialist to regularly assess treatment outcomes and appropriateness of ongoing treatment, and informing the patient of his/her responsibilities to adhere to the treatment plan.</w:t>
      </w:r>
    </w:p>
    <w:p w14:paraId="2455FE70" w14:textId="77777777" w:rsidR="00277ED2" w:rsidRDefault="00277ED2" w:rsidP="00277ED2">
      <w:pPr>
        <w:pStyle w:val="Body"/>
      </w:pPr>
      <w:r>
        <w:t>In view of these recommendations, it is reasonable to expect applicants to have formulated a pain management plan when deciding to prescribe opioids. Further, confirmation that a pain management plan has been formulated when assessing an application may be requested.</w:t>
      </w:r>
    </w:p>
    <w:p w14:paraId="120EDFFD" w14:textId="77777777" w:rsidR="00277ED2" w:rsidRDefault="00277ED2" w:rsidP="00277ED2">
      <w:pPr>
        <w:pStyle w:val="Body"/>
      </w:pPr>
      <w:r>
        <w:t>Failure to provide confirmation of a pain management plan may result in an application being refused.</w:t>
      </w:r>
    </w:p>
    <w:p w14:paraId="0992A257" w14:textId="77777777" w:rsidR="00277ED2" w:rsidRDefault="00277ED2" w:rsidP="00277ED2">
      <w:pPr>
        <w:pStyle w:val="Heading3"/>
      </w:pPr>
      <w:r>
        <w:t>Concurrent prescribing</w:t>
      </w:r>
    </w:p>
    <w:p w14:paraId="596A871F" w14:textId="77777777" w:rsidR="00277ED2" w:rsidRDefault="00277ED2" w:rsidP="00277ED2">
      <w:pPr>
        <w:pStyle w:val="Body"/>
      </w:pPr>
      <w:r>
        <w:t>The Australian Pain Society advises that it is important that only one practitioner prescribes opioids for a patient and assesses the response.</w:t>
      </w:r>
      <w:r>
        <w:rPr>
          <w:position w:val="6"/>
          <w:sz w:val="13"/>
        </w:rPr>
        <w:t xml:space="preserve">5 </w:t>
      </w:r>
      <w:r>
        <w:t>Where a current permit is held by another practitioner, the applicant will be advised to make</w:t>
      </w:r>
    </w:p>
    <w:p w14:paraId="4C584192" w14:textId="77777777" w:rsidR="00277ED2" w:rsidRDefault="00277ED2" w:rsidP="00277ED2">
      <w:pPr>
        <w:pStyle w:val="Body"/>
      </w:pPr>
      <w:r>
        <w:t>contact with that permit holder to coordinate treatment. It is highly unlikely that a permit would be</w:t>
      </w:r>
      <w:r>
        <w:rPr>
          <w:spacing w:val="-9"/>
        </w:rPr>
        <w:t xml:space="preserve"> </w:t>
      </w:r>
      <w:r>
        <w:t>issued</w:t>
      </w:r>
      <w:r>
        <w:rPr>
          <w:spacing w:val="-9"/>
        </w:rPr>
        <w:t xml:space="preserve"> </w:t>
      </w:r>
      <w:r>
        <w:t>to</w:t>
      </w:r>
      <w:r>
        <w:rPr>
          <w:spacing w:val="-9"/>
        </w:rPr>
        <w:t xml:space="preserve"> </w:t>
      </w:r>
      <w:r>
        <w:t>treat</w:t>
      </w:r>
      <w:r>
        <w:rPr>
          <w:spacing w:val="-8"/>
        </w:rPr>
        <w:t xml:space="preserve"> </w:t>
      </w:r>
      <w:r>
        <w:t>the</w:t>
      </w:r>
      <w:r>
        <w:rPr>
          <w:spacing w:val="-8"/>
        </w:rPr>
        <w:t xml:space="preserve"> </w:t>
      </w:r>
      <w:r>
        <w:t>same</w:t>
      </w:r>
      <w:r>
        <w:rPr>
          <w:spacing w:val="-8"/>
        </w:rPr>
        <w:t xml:space="preserve"> </w:t>
      </w:r>
      <w:r>
        <w:t>patient</w:t>
      </w:r>
      <w:r>
        <w:rPr>
          <w:spacing w:val="-8"/>
        </w:rPr>
        <w:t xml:space="preserve"> </w:t>
      </w:r>
      <w:r>
        <w:t>with</w:t>
      </w:r>
      <w:r>
        <w:rPr>
          <w:spacing w:val="-8"/>
        </w:rPr>
        <w:t xml:space="preserve"> </w:t>
      </w:r>
      <w:r>
        <w:t>an</w:t>
      </w:r>
      <w:r>
        <w:rPr>
          <w:spacing w:val="-8"/>
        </w:rPr>
        <w:t xml:space="preserve"> </w:t>
      </w:r>
      <w:r>
        <w:t>opioid</w:t>
      </w:r>
      <w:r>
        <w:rPr>
          <w:spacing w:val="-8"/>
        </w:rPr>
        <w:t xml:space="preserve"> </w:t>
      </w:r>
      <w:r>
        <w:t>to more than one practitioner at a time. An exception might be made where there is close cooperation between practitioners. If more than one permit is to be</w:t>
      </w:r>
      <w:r>
        <w:rPr>
          <w:spacing w:val="-8"/>
        </w:rPr>
        <w:t xml:space="preserve"> </w:t>
      </w:r>
      <w:r>
        <w:t>issued,</w:t>
      </w:r>
      <w:r>
        <w:rPr>
          <w:spacing w:val="-8"/>
        </w:rPr>
        <w:t xml:space="preserve"> </w:t>
      </w:r>
      <w:r>
        <w:t>it</w:t>
      </w:r>
      <w:r>
        <w:rPr>
          <w:spacing w:val="-8"/>
        </w:rPr>
        <w:t xml:space="preserve"> </w:t>
      </w:r>
      <w:r>
        <w:t>is</w:t>
      </w:r>
      <w:r>
        <w:rPr>
          <w:spacing w:val="-8"/>
        </w:rPr>
        <w:t xml:space="preserve"> </w:t>
      </w:r>
      <w:r>
        <w:t>the</w:t>
      </w:r>
      <w:r>
        <w:rPr>
          <w:spacing w:val="-8"/>
        </w:rPr>
        <w:t xml:space="preserve"> </w:t>
      </w:r>
      <w:r>
        <w:t>responsibility</w:t>
      </w:r>
      <w:r>
        <w:rPr>
          <w:spacing w:val="-8"/>
        </w:rPr>
        <w:t xml:space="preserve"> </w:t>
      </w:r>
      <w:r>
        <w:t>of</w:t>
      </w:r>
      <w:r>
        <w:rPr>
          <w:spacing w:val="-8"/>
        </w:rPr>
        <w:t xml:space="preserve"> </w:t>
      </w:r>
      <w:r>
        <w:t>the</w:t>
      </w:r>
      <w:r>
        <w:rPr>
          <w:spacing w:val="-8"/>
        </w:rPr>
        <w:t xml:space="preserve"> </w:t>
      </w:r>
      <w:r>
        <w:t>applicants</w:t>
      </w:r>
      <w:r>
        <w:rPr>
          <w:spacing w:val="-6"/>
        </w:rPr>
        <w:t xml:space="preserve"> </w:t>
      </w:r>
      <w:r>
        <w:t>to demonstrate that adequate consultation and coordination will be in place during the period of treatment.</w:t>
      </w:r>
    </w:p>
    <w:p w14:paraId="3506B78D" w14:textId="77777777" w:rsidR="00277ED2" w:rsidRDefault="00277ED2" w:rsidP="00277ED2">
      <w:pPr>
        <w:pStyle w:val="Heading3"/>
      </w:pPr>
      <w:r>
        <w:t>Use of opioids for chronic non-malignant pain</w:t>
      </w:r>
    </w:p>
    <w:p w14:paraId="5DBC71DD" w14:textId="77777777" w:rsidR="00277ED2" w:rsidRDefault="00277ED2" w:rsidP="00277ED2">
      <w:pPr>
        <w:pStyle w:val="Bodyafterbullets"/>
        <w:rPr>
          <w:sz w:val="13"/>
        </w:rPr>
      </w:pPr>
      <w:r>
        <w:t>Current evidence does not support the long-term efficacy and safety of opioid treatment for chronic non-malignant pain. There is growing evidence of harm to both individuals and society from long term opioid use.</w:t>
      </w:r>
      <w:r>
        <w:rPr>
          <w:position w:val="6"/>
          <w:sz w:val="13"/>
        </w:rPr>
        <w:t>6</w:t>
      </w:r>
    </w:p>
    <w:p w14:paraId="21691CBB" w14:textId="46CC4770" w:rsidR="00277ED2" w:rsidRDefault="00277ED2" w:rsidP="00277ED2">
      <w:pPr>
        <w:pStyle w:val="Bodyafterbullets"/>
        <w:rPr>
          <w:sz w:val="13"/>
        </w:rPr>
      </w:pPr>
      <w:r>
        <w:lastRenderedPageBreak/>
        <w:t xml:space="preserve">The NPS advises that specialist advice should be sought for patients requiring repeated dose escalations or higher doses of opioids. The NPS also refers to the </w:t>
      </w:r>
      <w:hyperlink r:id="rId20">
        <w:r w:rsidRPr="00277ED2">
          <w:rPr>
            <w:color w:val="0000FF"/>
            <w:u w:val="single" w:color="0000FF"/>
          </w:rPr>
          <w:t>Hunter New England Area Health</w:t>
        </w:r>
      </w:hyperlink>
      <w:r>
        <w:rPr>
          <w:i/>
          <w:color w:val="0000FF"/>
        </w:rPr>
        <w:t xml:space="preserve"> </w:t>
      </w:r>
      <w:r>
        <w:t>&lt;</w:t>
      </w:r>
      <w:r w:rsidRPr="00277ED2">
        <w:t>https://www.nsw.gov.au/departments-and-agencies/hnelhd</w:t>
      </w:r>
      <w:r>
        <w:t>&gt; d</w:t>
      </w:r>
      <w:r>
        <w:t>ose recommendations  (see Table 1) for maximum opioid doses that should not be exceeded without specialist</w:t>
      </w:r>
      <w:r>
        <w:rPr>
          <w:spacing w:val="-2"/>
        </w:rPr>
        <w:t xml:space="preserve"> </w:t>
      </w:r>
      <w:r>
        <w:t>advice.</w:t>
      </w:r>
      <w:r>
        <w:rPr>
          <w:position w:val="6"/>
          <w:sz w:val="13"/>
        </w:rPr>
        <w:t>4</w:t>
      </w:r>
    </w:p>
    <w:p w14:paraId="133BAA37" w14:textId="77777777" w:rsidR="00277ED2" w:rsidRDefault="00277ED2" w:rsidP="00277ED2">
      <w:pPr>
        <w:pStyle w:val="Heading4"/>
      </w:pPr>
      <w:r>
        <w:t>Table 1:</w:t>
      </w:r>
    </w:p>
    <w:p w14:paraId="72FDBAF2" w14:textId="77777777" w:rsidR="00277ED2" w:rsidRDefault="00277ED2" w:rsidP="00277ED2">
      <w:pPr>
        <w:spacing w:before="5"/>
        <w:ind w:left="112"/>
        <w:rPr>
          <w:b/>
          <w:sz w:val="13"/>
        </w:rPr>
      </w:pPr>
      <w:r>
        <w:rPr>
          <w:b/>
          <w:sz w:val="20"/>
        </w:rPr>
        <w:t>Recommended maximum opioid doses</w:t>
      </w:r>
      <w:r>
        <w:rPr>
          <w:b/>
          <w:position w:val="6"/>
          <w:sz w:val="13"/>
        </w:rPr>
        <w:t>6,7</w:t>
      </w:r>
    </w:p>
    <w:p w14:paraId="0AF9D43F" w14:textId="77777777" w:rsidR="00277ED2" w:rsidRDefault="00277ED2" w:rsidP="00277ED2">
      <w:pPr>
        <w:pStyle w:val="BodyText"/>
        <w:spacing w:before="2"/>
        <w:ind w:left="0"/>
        <w:rPr>
          <w:b/>
          <w:sz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3827"/>
      </w:tblGrid>
      <w:tr w:rsidR="00277ED2" w14:paraId="2928D8E6" w14:textId="77777777" w:rsidTr="00277ED2">
        <w:trPr>
          <w:trHeight w:val="360"/>
        </w:trPr>
        <w:tc>
          <w:tcPr>
            <w:tcW w:w="2014" w:type="dxa"/>
            <w:tcBorders>
              <w:bottom w:val="single" w:sz="4" w:space="0" w:color="auto"/>
            </w:tcBorders>
            <w:shd w:val="clear" w:color="auto" w:fill="auto"/>
          </w:tcPr>
          <w:p w14:paraId="2D5031F4" w14:textId="77777777" w:rsidR="00277ED2" w:rsidRDefault="00277ED2" w:rsidP="00277ED2">
            <w:pPr>
              <w:pStyle w:val="Tablecolhead"/>
            </w:pPr>
            <w:r>
              <w:t>Generic name</w:t>
            </w:r>
          </w:p>
        </w:tc>
        <w:tc>
          <w:tcPr>
            <w:tcW w:w="3827" w:type="dxa"/>
            <w:tcBorders>
              <w:bottom w:val="single" w:sz="4" w:space="0" w:color="auto"/>
            </w:tcBorders>
            <w:shd w:val="clear" w:color="auto" w:fill="auto"/>
          </w:tcPr>
          <w:p w14:paraId="789938E6" w14:textId="77777777" w:rsidR="00277ED2" w:rsidRDefault="00277ED2" w:rsidP="00277ED2">
            <w:pPr>
              <w:pStyle w:val="Tablecolhead"/>
            </w:pPr>
            <w:r>
              <w:t>Recommended maximum dose</w:t>
            </w:r>
          </w:p>
        </w:tc>
      </w:tr>
      <w:tr w:rsidR="00277ED2" w14:paraId="5BD37D04" w14:textId="77777777" w:rsidTr="00277ED2">
        <w:trPr>
          <w:trHeight w:val="300"/>
        </w:trPr>
        <w:tc>
          <w:tcPr>
            <w:tcW w:w="2014" w:type="dxa"/>
            <w:tcBorders>
              <w:top w:val="single" w:sz="4" w:space="0" w:color="auto"/>
              <w:left w:val="single" w:sz="4" w:space="0" w:color="auto"/>
              <w:bottom w:val="single" w:sz="4" w:space="0" w:color="auto"/>
              <w:right w:val="single" w:sz="4" w:space="0" w:color="auto"/>
            </w:tcBorders>
          </w:tcPr>
          <w:p w14:paraId="1F15C773" w14:textId="77777777" w:rsidR="00277ED2" w:rsidRDefault="00277ED2" w:rsidP="00277ED2">
            <w:pPr>
              <w:pStyle w:val="Tabletext"/>
            </w:pPr>
            <w:r>
              <w:t>hydromorphone</w:t>
            </w:r>
          </w:p>
        </w:tc>
        <w:tc>
          <w:tcPr>
            <w:tcW w:w="3827" w:type="dxa"/>
            <w:tcBorders>
              <w:top w:val="single" w:sz="4" w:space="0" w:color="auto"/>
              <w:left w:val="single" w:sz="4" w:space="0" w:color="auto"/>
              <w:bottom w:val="single" w:sz="4" w:space="0" w:color="auto"/>
              <w:right w:val="single" w:sz="4" w:space="0" w:color="auto"/>
            </w:tcBorders>
          </w:tcPr>
          <w:p w14:paraId="21913CBA" w14:textId="77777777" w:rsidR="00277ED2" w:rsidRDefault="00277ED2" w:rsidP="00277ED2">
            <w:pPr>
              <w:pStyle w:val="Tabletext"/>
            </w:pPr>
            <w:r>
              <w:t>20mg daily</w:t>
            </w:r>
          </w:p>
        </w:tc>
      </w:tr>
      <w:tr w:rsidR="00277ED2" w14:paraId="51B0C7F1" w14:textId="77777777" w:rsidTr="00277ED2">
        <w:trPr>
          <w:trHeight w:val="260"/>
        </w:trPr>
        <w:tc>
          <w:tcPr>
            <w:tcW w:w="2014" w:type="dxa"/>
            <w:tcBorders>
              <w:top w:val="single" w:sz="4" w:space="0" w:color="auto"/>
              <w:left w:val="single" w:sz="4" w:space="0" w:color="auto"/>
              <w:bottom w:val="single" w:sz="4" w:space="0" w:color="auto"/>
              <w:right w:val="single" w:sz="4" w:space="0" w:color="auto"/>
            </w:tcBorders>
          </w:tcPr>
          <w:p w14:paraId="5B6FED4D" w14:textId="77777777" w:rsidR="00277ED2" w:rsidRDefault="00277ED2" w:rsidP="00277ED2">
            <w:pPr>
              <w:pStyle w:val="Tabletext"/>
            </w:pPr>
            <w:r>
              <w:t>methadone</w:t>
            </w:r>
          </w:p>
        </w:tc>
        <w:tc>
          <w:tcPr>
            <w:tcW w:w="3827" w:type="dxa"/>
            <w:tcBorders>
              <w:top w:val="single" w:sz="4" w:space="0" w:color="auto"/>
              <w:left w:val="single" w:sz="4" w:space="0" w:color="auto"/>
              <w:bottom w:val="single" w:sz="4" w:space="0" w:color="auto"/>
              <w:right w:val="single" w:sz="4" w:space="0" w:color="auto"/>
            </w:tcBorders>
          </w:tcPr>
          <w:p w14:paraId="6FEF7D8F" w14:textId="77777777" w:rsidR="00277ED2" w:rsidRDefault="00277ED2" w:rsidP="00277ED2">
            <w:pPr>
              <w:pStyle w:val="Tabletext"/>
            </w:pPr>
            <w:r>
              <w:t>30mg daily</w:t>
            </w:r>
          </w:p>
        </w:tc>
      </w:tr>
      <w:tr w:rsidR="00277ED2" w14:paraId="22594E34" w14:textId="77777777" w:rsidTr="00277ED2">
        <w:trPr>
          <w:trHeight w:val="260"/>
        </w:trPr>
        <w:tc>
          <w:tcPr>
            <w:tcW w:w="2014" w:type="dxa"/>
            <w:tcBorders>
              <w:top w:val="single" w:sz="4" w:space="0" w:color="auto"/>
              <w:left w:val="single" w:sz="4" w:space="0" w:color="auto"/>
              <w:bottom w:val="single" w:sz="4" w:space="0" w:color="auto"/>
              <w:right w:val="single" w:sz="4" w:space="0" w:color="auto"/>
            </w:tcBorders>
          </w:tcPr>
          <w:p w14:paraId="05F33F19" w14:textId="77777777" w:rsidR="00277ED2" w:rsidRDefault="00277ED2" w:rsidP="00277ED2">
            <w:pPr>
              <w:pStyle w:val="Tabletext"/>
            </w:pPr>
            <w:r>
              <w:t>morphine</w:t>
            </w:r>
          </w:p>
        </w:tc>
        <w:tc>
          <w:tcPr>
            <w:tcW w:w="3827" w:type="dxa"/>
            <w:tcBorders>
              <w:top w:val="single" w:sz="4" w:space="0" w:color="auto"/>
              <w:left w:val="single" w:sz="4" w:space="0" w:color="auto"/>
              <w:bottom w:val="single" w:sz="4" w:space="0" w:color="auto"/>
              <w:right w:val="single" w:sz="4" w:space="0" w:color="auto"/>
            </w:tcBorders>
          </w:tcPr>
          <w:p w14:paraId="5FC84DB0" w14:textId="77777777" w:rsidR="00277ED2" w:rsidRDefault="00277ED2" w:rsidP="00277ED2">
            <w:pPr>
              <w:pStyle w:val="Tabletext"/>
            </w:pPr>
            <w:r>
              <w:t>100mg daily</w:t>
            </w:r>
          </w:p>
        </w:tc>
      </w:tr>
      <w:tr w:rsidR="00277ED2" w14:paraId="16B65BB4" w14:textId="77777777" w:rsidTr="00277ED2">
        <w:trPr>
          <w:trHeight w:val="240"/>
        </w:trPr>
        <w:tc>
          <w:tcPr>
            <w:tcW w:w="2014" w:type="dxa"/>
            <w:tcBorders>
              <w:top w:val="single" w:sz="4" w:space="0" w:color="auto"/>
              <w:left w:val="single" w:sz="4" w:space="0" w:color="auto"/>
              <w:bottom w:val="single" w:sz="4" w:space="0" w:color="auto"/>
              <w:right w:val="single" w:sz="4" w:space="0" w:color="auto"/>
            </w:tcBorders>
          </w:tcPr>
          <w:p w14:paraId="5719DEA1" w14:textId="77777777" w:rsidR="00277ED2" w:rsidRDefault="00277ED2" w:rsidP="00277ED2">
            <w:pPr>
              <w:pStyle w:val="Tabletext"/>
            </w:pPr>
            <w:r>
              <w:t>oxycodone</w:t>
            </w:r>
          </w:p>
        </w:tc>
        <w:tc>
          <w:tcPr>
            <w:tcW w:w="3827" w:type="dxa"/>
            <w:tcBorders>
              <w:top w:val="single" w:sz="4" w:space="0" w:color="auto"/>
              <w:left w:val="single" w:sz="4" w:space="0" w:color="auto"/>
              <w:bottom w:val="single" w:sz="4" w:space="0" w:color="auto"/>
              <w:right w:val="single" w:sz="4" w:space="0" w:color="auto"/>
            </w:tcBorders>
          </w:tcPr>
          <w:p w14:paraId="167EBA1B" w14:textId="77777777" w:rsidR="00277ED2" w:rsidRDefault="00277ED2" w:rsidP="00277ED2">
            <w:pPr>
              <w:pStyle w:val="Tabletext"/>
            </w:pPr>
            <w:r>
              <w:t>60mg daily</w:t>
            </w:r>
          </w:p>
        </w:tc>
      </w:tr>
      <w:tr w:rsidR="00277ED2" w14:paraId="6CD86635" w14:textId="77777777" w:rsidTr="00277ED2">
        <w:trPr>
          <w:trHeight w:val="260"/>
        </w:trPr>
        <w:tc>
          <w:tcPr>
            <w:tcW w:w="2014" w:type="dxa"/>
            <w:tcBorders>
              <w:top w:val="single" w:sz="4" w:space="0" w:color="auto"/>
              <w:left w:val="single" w:sz="4" w:space="0" w:color="auto"/>
              <w:bottom w:val="single" w:sz="4" w:space="0" w:color="auto"/>
              <w:right w:val="single" w:sz="4" w:space="0" w:color="auto"/>
            </w:tcBorders>
          </w:tcPr>
          <w:p w14:paraId="6CE8BD36" w14:textId="77777777" w:rsidR="00277ED2" w:rsidRDefault="00277ED2" w:rsidP="00277ED2">
            <w:pPr>
              <w:pStyle w:val="Tabletext"/>
            </w:pPr>
            <w:proofErr w:type="spellStart"/>
            <w:r>
              <w:t>tapentadol</w:t>
            </w:r>
            <w:proofErr w:type="spellEnd"/>
          </w:p>
        </w:tc>
        <w:tc>
          <w:tcPr>
            <w:tcW w:w="3827" w:type="dxa"/>
            <w:tcBorders>
              <w:top w:val="single" w:sz="4" w:space="0" w:color="auto"/>
              <w:left w:val="single" w:sz="4" w:space="0" w:color="auto"/>
              <w:bottom w:val="single" w:sz="4" w:space="0" w:color="auto"/>
              <w:right w:val="single" w:sz="4" w:space="0" w:color="auto"/>
            </w:tcBorders>
          </w:tcPr>
          <w:p w14:paraId="37AFC2FE" w14:textId="77777777" w:rsidR="00277ED2" w:rsidRDefault="00277ED2" w:rsidP="00277ED2">
            <w:pPr>
              <w:pStyle w:val="Tabletext"/>
            </w:pPr>
            <w:r>
              <w:t>250mg daily</w:t>
            </w:r>
          </w:p>
        </w:tc>
      </w:tr>
      <w:tr w:rsidR="00277ED2" w14:paraId="40E35D96" w14:textId="77777777" w:rsidTr="00277ED2">
        <w:trPr>
          <w:trHeight w:val="260"/>
        </w:trPr>
        <w:tc>
          <w:tcPr>
            <w:tcW w:w="2014" w:type="dxa"/>
            <w:tcBorders>
              <w:top w:val="single" w:sz="4" w:space="0" w:color="auto"/>
              <w:left w:val="single" w:sz="4" w:space="0" w:color="auto"/>
              <w:bottom w:val="single" w:sz="4" w:space="0" w:color="auto"/>
              <w:right w:val="single" w:sz="4" w:space="0" w:color="auto"/>
            </w:tcBorders>
          </w:tcPr>
          <w:p w14:paraId="44D5FA96" w14:textId="77777777" w:rsidR="00277ED2" w:rsidRDefault="00277ED2" w:rsidP="00277ED2">
            <w:pPr>
              <w:pStyle w:val="Tabletext"/>
            </w:pPr>
            <w:r>
              <w:t>buprenorphine patch</w:t>
            </w:r>
          </w:p>
        </w:tc>
        <w:tc>
          <w:tcPr>
            <w:tcW w:w="3827" w:type="dxa"/>
            <w:tcBorders>
              <w:top w:val="single" w:sz="4" w:space="0" w:color="auto"/>
              <w:left w:val="single" w:sz="4" w:space="0" w:color="auto"/>
              <w:bottom w:val="single" w:sz="4" w:space="0" w:color="auto"/>
              <w:right w:val="single" w:sz="4" w:space="0" w:color="auto"/>
            </w:tcBorders>
          </w:tcPr>
          <w:p w14:paraId="5FFB25BB" w14:textId="77777777" w:rsidR="00277ED2" w:rsidRDefault="00277ED2" w:rsidP="00277ED2">
            <w:pPr>
              <w:pStyle w:val="Tabletext"/>
            </w:pPr>
            <w:r>
              <w:t>40mcg/</w:t>
            </w:r>
            <w:proofErr w:type="spellStart"/>
            <w:r>
              <w:t>hr</w:t>
            </w:r>
            <w:proofErr w:type="spellEnd"/>
            <w:r>
              <w:t xml:space="preserve"> weekly</w:t>
            </w:r>
          </w:p>
        </w:tc>
      </w:tr>
      <w:tr w:rsidR="00277ED2" w14:paraId="40E41224" w14:textId="77777777" w:rsidTr="00277ED2">
        <w:trPr>
          <w:trHeight w:val="320"/>
        </w:trPr>
        <w:tc>
          <w:tcPr>
            <w:tcW w:w="2014" w:type="dxa"/>
            <w:tcBorders>
              <w:top w:val="single" w:sz="4" w:space="0" w:color="auto"/>
              <w:left w:val="single" w:sz="4" w:space="0" w:color="auto"/>
              <w:bottom w:val="single" w:sz="4" w:space="0" w:color="auto"/>
              <w:right w:val="single" w:sz="4" w:space="0" w:color="auto"/>
            </w:tcBorders>
          </w:tcPr>
          <w:p w14:paraId="6D8A177C" w14:textId="77777777" w:rsidR="00277ED2" w:rsidRDefault="00277ED2" w:rsidP="00277ED2">
            <w:pPr>
              <w:pStyle w:val="Tabletext"/>
            </w:pPr>
            <w:r>
              <w:t>fentanyl patch</w:t>
            </w:r>
          </w:p>
        </w:tc>
        <w:tc>
          <w:tcPr>
            <w:tcW w:w="3827" w:type="dxa"/>
            <w:tcBorders>
              <w:top w:val="single" w:sz="4" w:space="0" w:color="auto"/>
              <w:left w:val="single" w:sz="4" w:space="0" w:color="auto"/>
              <w:bottom w:val="single" w:sz="4" w:space="0" w:color="auto"/>
              <w:right w:val="single" w:sz="4" w:space="0" w:color="auto"/>
            </w:tcBorders>
          </w:tcPr>
          <w:p w14:paraId="65B3E1A3" w14:textId="77777777" w:rsidR="00277ED2" w:rsidRDefault="00277ED2" w:rsidP="00277ED2">
            <w:pPr>
              <w:pStyle w:val="Tabletext"/>
            </w:pPr>
            <w:r>
              <w:t>25mcg/</w:t>
            </w:r>
            <w:proofErr w:type="spellStart"/>
            <w:r>
              <w:t>hr</w:t>
            </w:r>
            <w:proofErr w:type="spellEnd"/>
            <w:r>
              <w:t xml:space="preserve"> every three days</w:t>
            </w:r>
          </w:p>
        </w:tc>
      </w:tr>
    </w:tbl>
    <w:p w14:paraId="6801D54F" w14:textId="77777777" w:rsidR="00277ED2" w:rsidRDefault="00277ED2" w:rsidP="00277ED2">
      <w:pPr>
        <w:pStyle w:val="Bodyafterbullets"/>
      </w:pPr>
      <w:r>
        <w:t>Additional supporting information may be sought from applicants about the level of specialist support they have obtained when considering long term opioid treatment.</w:t>
      </w:r>
    </w:p>
    <w:p w14:paraId="296125FF" w14:textId="77777777" w:rsidR="00277ED2" w:rsidRDefault="00277ED2" w:rsidP="00277ED2">
      <w:pPr>
        <w:pStyle w:val="Bodyafterbullets"/>
      </w:pPr>
      <w:r>
        <w:t>In view of the Hunter New England Area Health recommendations, permit applications for higher doses of opioids (i.e. significantly above the recommended maximum dose) will generally require evidence that recent supportive advice has been obtained from a specialist in a specialty relevant to the patient’s medical condition for a permit to be issued. Without such evidence, applications may be refused.</w:t>
      </w:r>
    </w:p>
    <w:p w14:paraId="4E91E75D" w14:textId="77777777" w:rsidR="00277ED2" w:rsidRDefault="00277ED2" w:rsidP="00277ED2">
      <w:pPr>
        <w:pStyle w:val="Heading3"/>
      </w:pPr>
      <w:r>
        <w:t>Patient history of ORT permits or notifications</w:t>
      </w:r>
    </w:p>
    <w:p w14:paraId="4E65C7E1" w14:textId="77777777" w:rsidR="00277ED2" w:rsidRDefault="00277ED2" w:rsidP="00277ED2">
      <w:pPr>
        <w:pStyle w:val="Body"/>
        <w:rPr>
          <w:sz w:val="13"/>
        </w:rPr>
      </w:pPr>
      <w:r>
        <w:t xml:space="preserve">The </w:t>
      </w:r>
      <w:r>
        <w:rPr>
          <w:i/>
        </w:rPr>
        <w:t xml:space="preserve">Therapeutic Guidelines: Analgesic </w:t>
      </w:r>
      <w:r>
        <w:t>provides advice to practitioners about the use of opioid analgesics in opioid dependent patients or patients with substance use disorder. Due to the complexities of treating opioid dependent patients with opioids, practitioners should seek early advice from a pain or addiction medicine specialist.</w:t>
      </w:r>
      <w:r>
        <w:rPr>
          <w:position w:val="6"/>
          <w:sz w:val="13"/>
        </w:rPr>
        <w:t>2</w:t>
      </w:r>
    </w:p>
    <w:p w14:paraId="31B1EE90" w14:textId="77777777" w:rsidR="00277ED2" w:rsidRDefault="00277ED2" w:rsidP="00277ED2">
      <w:pPr>
        <w:pStyle w:val="Body"/>
      </w:pPr>
      <w:r>
        <w:t>Applications for permits to treat patients with a history of drug dependency will generally require evidence that recent supportive advice has been obtained from a specialist in a specialty relevant to the patient’s medical condition for a permit to be issued. Without such evidence, applications may be refused.</w:t>
      </w:r>
    </w:p>
    <w:p w14:paraId="1219CC67" w14:textId="77777777" w:rsidR="00277ED2" w:rsidRDefault="00277ED2" w:rsidP="00277ED2">
      <w:pPr>
        <w:pStyle w:val="Heading3"/>
      </w:pPr>
      <w:r>
        <w:t>Specific opioids, formulations, or conditions</w:t>
      </w:r>
    </w:p>
    <w:p w14:paraId="02C346D7" w14:textId="77777777" w:rsidR="00277ED2" w:rsidRDefault="00277ED2" w:rsidP="00277ED2">
      <w:pPr>
        <w:pStyle w:val="Heading4"/>
      </w:pPr>
      <w:r>
        <w:t>Codeine</w:t>
      </w:r>
    </w:p>
    <w:p w14:paraId="18815B28" w14:textId="77777777" w:rsidR="00277ED2" w:rsidRDefault="00277ED2" w:rsidP="00277ED2">
      <w:pPr>
        <w:pStyle w:val="Body"/>
        <w:rPr>
          <w:sz w:val="13"/>
        </w:rPr>
      </w:pPr>
      <w:r>
        <w:t xml:space="preserve">The NPS advises that codeine has a limited role in the treatment of chronic </w:t>
      </w:r>
      <w:proofErr w:type="gramStart"/>
      <w:r>
        <w:t>pain, and</w:t>
      </w:r>
      <w:proofErr w:type="gramEnd"/>
      <w:r>
        <w:t xml:space="preserve"> is a short-acting opioid suitable only for mild to moderate pain.</w:t>
      </w:r>
      <w:r>
        <w:rPr>
          <w:position w:val="4"/>
          <w:sz w:val="13"/>
        </w:rPr>
        <w:t xml:space="preserve">4 </w:t>
      </w:r>
      <w:r>
        <w:t>The AMH states that the maximum daily dose of codeine is 240mg daily, and advises that an alternative opioid should be considered if this dose is reached.</w:t>
      </w:r>
      <w:r>
        <w:rPr>
          <w:position w:val="6"/>
          <w:sz w:val="13"/>
        </w:rPr>
        <w:t>7</w:t>
      </w:r>
    </w:p>
    <w:p w14:paraId="3592D817" w14:textId="77777777" w:rsidR="00277ED2" w:rsidRDefault="00277ED2" w:rsidP="00277ED2">
      <w:pPr>
        <w:pStyle w:val="Body"/>
      </w:pPr>
      <w:r>
        <w:t xml:space="preserve">Permit applications for doses of codeine greater than 240mg daily will generally require evidence that recent supportive advice has been obtained from a specialist in a specialty relevant to the </w:t>
      </w:r>
      <w:r>
        <w:rPr>
          <w:spacing w:val="-3"/>
        </w:rPr>
        <w:t>patient’s</w:t>
      </w:r>
      <w:r>
        <w:rPr>
          <w:spacing w:val="-9"/>
        </w:rPr>
        <w:t xml:space="preserve"> </w:t>
      </w:r>
      <w:r>
        <w:t>medical</w:t>
      </w:r>
      <w:r>
        <w:rPr>
          <w:spacing w:val="-7"/>
        </w:rPr>
        <w:t xml:space="preserve"> </w:t>
      </w:r>
      <w:r>
        <w:t>condition</w:t>
      </w:r>
      <w:r>
        <w:rPr>
          <w:spacing w:val="-7"/>
        </w:rPr>
        <w:t xml:space="preserve"> </w:t>
      </w:r>
      <w:r>
        <w:t>for</w:t>
      </w:r>
      <w:r>
        <w:rPr>
          <w:spacing w:val="-7"/>
        </w:rPr>
        <w:t xml:space="preserve"> </w:t>
      </w:r>
      <w:r>
        <w:t>a</w:t>
      </w:r>
      <w:r>
        <w:rPr>
          <w:spacing w:val="-7"/>
        </w:rPr>
        <w:t xml:space="preserve"> </w:t>
      </w:r>
      <w:r>
        <w:t>permit</w:t>
      </w:r>
      <w:r>
        <w:rPr>
          <w:spacing w:val="-7"/>
        </w:rPr>
        <w:t xml:space="preserve"> </w:t>
      </w:r>
      <w:r>
        <w:t>to</w:t>
      </w:r>
      <w:r>
        <w:rPr>
          <w:spacing w:val="-7"/>
        </w:rPr>
        <w:t xml:space="preserve"> </w:t>
      </w:r>
      <w:r>
        <w:t>be</w:t>
      </w:r>
      <w:r>
        <w:rPr>
          <w:spacing w:val="-7"/>
        </w:rPr>
        <w:t xml:space="preserve"> </w:t>
      </w:r>
      <w:r>
        <w:t>issued. Without such evidence, applications may be refused.</w:t>
      </w:r>
    </w:p>
    <w:p w14:paraId="5D78AA91" w14:textId="77777777" w:rsidR="00277ED2" w:rsidRDefault="00277ED2" w:rsidP="00277ED2">
      <w:pPr>
        <w:pStyle w:val="Heading4"/>
      </w:pPr>
      <w:proofErr w:type="spellStart"/>
      <w:r w:rsidRPr="00277ED2">
        <w:t>Tapentadol</w:t>
      </w:r>
      <w:proofErr w:type="spellEnd"/>
    </w:p>
    <w:p w14:paraId="79347010" w14:textId="77777777" w:rsidR="00277ED2" w:rsidRDefault="00277ED2" w:rsidP="00277ED2">
      <w:pPr>
        <w:pStyle w:val="Body"/>
        <w:rPr>
          <w:sz w:val="13"/>
        </w:rPr>
      </w:pPr>
      <w:r>
        <w:t xml:space="preserve">Current experience with use of </w:t>
      </w:r>
      <w:proofErr w:type="spellStart"/>
      <w:r>
        <w:t>tapentadol</w:t>
      </w:r>
      <w:proofErr w:type="spellEnd"/>
      <w:r>
        <w:t xml:space="preserve"> in Australia is limited.</w:t>
      </w:r>
      <w:r>
        <w:rPr>
          <w:position w:val="4"/>
          <w:sz w:val="13"/>
        </w:rPr>
        <w:t xml:space="preserve">2 </w:t>
      </w:r>
      <w:r>
        <w:t xml:space="preserve">Total daily doses of </w:t>
      </w:r>
      <w:proofErr w:type="spellStart"/>
      <w:r>
        <w:t>tapentadol</w:t>
      </w:r>
      <w:proofErr w:type="spellEnd"/>
      <w:r>
        <w:t xml:space="preserve"> greater than 500mg have not been studied and are not recommended.</w:t>
      </w:r>
      <w:r>
        <w:rPr>
          <w:position w:val="6"/>
          <w:sz w:val="13"/>
        </w:rPr>
        <w:t>9</w:t>
      </w:r>
    </w:p>
    <w:p w14:paraId="6BBC0B86" w14:textId="77777777" w:rsidR="00277ED2" w:rsidRDefault="00277ED2" w:rsidP="00277ED2">
      <w:pPr>
        <w:pStyle w:val="Body"/>
      </w:pPr>
      <w:r>
        <w:lastRenderedPageBreak/>
        <w:t xml:space="preserve">Permit applications for doses of </w:t>
      </w:r>
      <w:proofErr w:type="spellStart"/>
      <w:r>
        <w:t>tapentadol</w:t>
      </w:r>
      <w:proofErr w:type="spellEnd"/>
      <w:r>
        <w:t xml:space="preserve"> greater than 500mg daily will generally require evidence that recent supportive advice has been obtained from a specialist in a specialty relevant to the </w:t>
      </w:r>
      <w:r>
        <w:rPr>
          <w:spacing w:val="-3"/>
        </w:rPr>
        <w:t>patient’s</w:t>
      </w:r>
      <w:r>
        <w:rPr>
          <w:spacing w:val="-9"/>
        </w:rPr>
        <w:t xml:space="preserve"> </w:t>
      </w:r>
      <w:r>
        <w:t>medical</w:t>
      </w:r>
      <w:r>
        <w:rPr>
          <w:spacing w:val="-7"/>
        </w:rPr>
        <w:t xml:space="preserve"> </w:t>
      </w:r>
      <w:r>
        <w:t>condition</w:t>
      </w:r>
      <w:r>
        <w:rPr>
          <w:spacing w:val="-7"/>
        </w:rPr>
        <w:t xml:space="preserve"> </w:t>
      </w:r>
      <w:r>
        <w:t>for</w:t>
      </w:r>
      <w:r>
        <w:rPr>
          <w:spacing w:val="-7"/>
        </w:rPr>
        <w:t xml:space="preserve"> </w:t>
      </w:r>
      <w:r>
        <w:t>a</w:t>
      </w:r>
      <w:r>
        <w:rPr>
          <w:spacing w:val="-7"/>
        </w:rPr>
        <w:t xml:space="preserve"> </w:t>
      </w:r>
      <w:r>
        <w:t>permit</w:t>
      </w:r>
      <w:r>
        <w:rPr>
          <w:spacing w:val="-7"/>
        </w:rPr>
        <w:t xml:space="preserve"> </w:t>
      </w:r>
      <w:r>
        <w:t>to</w:t>
      </w:r>
      <w:r>
        <w:rPr>
          <w:spacing w:val="-7"/>
        </w:rPr>
        <w:t xml:space="preserve"> </w:t>
      </w:r>
      <w:r>
        <w:t>be</w:t>
      </w:r>
      <w:r>
        <w:rPr>
          <w:spacing w:val="-7"/>
        </w:rPr>
        <w:t xml:space="preserve"> </w:t>
      </w:r>
      <w:r>
        <w:t>issued. Without such evidence, applications may be refused.</w:t>
      </w:r>
    </w:p>
    <w:p w14:paraId="2812FB4F" w14:textId="7BD5BD93" w:rsidR="00277ED2" w:rsidRDefault="00277ED2" w:rsidP="00C861A1">
      <w:pPr>
        <w:pStyle w:val="Heading4"/>
        <w:tabs>
          <w:tab w:val="left" w:pos="347"/>
        </w:tabs>
        <w:spacing w:before="83"/>
      </w:pPr>
      <w:r>
        <w:t>Injectable opioids for chronic</w:t>
      </w:r>
      <w:r>
        <w:rPr>
          <w:spacing w:val="-1"/>
        </w:rPr>
        <w:t xml:space="preserve"> </w:t>
      </w:r>
      <w:r>
        <w:t>pain</w:t>
      </w:r>
    </w:p>
    <w:p w14:paraId="7B3FC144" w14:textId="77777777" w:rsidR="00277ED2" w:rsidRDefault="00277ED2" w:rsidP="00C861A1">
      <w:pPr>
        <w:pStyle w:val="Body"/>
        <w:rPr>
          <w:sz w:val="13"/>
        </w:rPr>
      </w:pPr>
      <w:r>
        <w:t xml:space="preserve">The Australian Pain Society advises that: “There is agreement internationally and within Australia that intra-muscular opioids should play no part in the treatment of chronic </w:t>
      </w:r>
      <w:proofErr w:type="spellStart"/>
      <w:r>
        <w:t>nonmalignant</w:t>
      </w:r>
      <w:proofErr w:type="spellEnd"/>
      <w:r>
        <w:t xml:space="preserve"> pain. </w:t>
      </w:r>
      <w:proofErr w:type="gramStart"/>
      <w:r>
        <w:t>In particular intra-</w:t>
      </w:r>
      <w:proofErr w:type="gramEnd"/>
      <w:r>
        <w:t>muscular pethidine should be avoided”.</w:t>
      </w:r>
      <w:r>
        <w:rPr>
          <w:position w:val="6"/>
          <w:sz w:val="13"/>
        </w:rPr>
        <w:t>5</w:t>
      </w:r>
    </w:p>
    <w:p w14:paraId="57E6370D" w14:textId="77777777" w:rsidR="00277ED2" w:rsidRDefault="00277ED2" w:rsidP="00C861A1">
      <w:pPr>
        <w:pStyle w:val="Body"/>
        <w:rPr>
          <w:sz w:val="13"/>
        </w:rPr>
      </w:pPr>
      <w:r>
        <w:t xml:space="preserve">Sustained release oral or transdermal opioid preparations are the formulations of choice in patients with chronic non-malignant pain, because of their single or twice daily dosage and stable blood concentrations </w:t>
      </w:r>
      <w:proofErr w:type="gramStart"/>
      <w:r>
        <w:t>as a consequence of</w:t>
      </w:r>
      <w:proofErr w:type="gramEnd"/>
      <w:r>
        <w:t xml:space="preserve"> less fluctuation between peak and trough plasma levels.</w:t>
      </w:r>
      <w:r>
        <w:rPr>
          <w:position w:val="6"/>
          <w:sz w:val="13"/>
        </w:rPr>
        <w:t>4,5</w:t>
      </w:r>
    </w:p>
    <w:p w14:paraId="2765971F" w14:textId="5105C163" w:rsidR="00277ED2" w:rsidRPr="00C861A1" w:rsidRDefault="00277ED2" w:rsidP="00C861A1">
      <w:pPr>
        <w:pStyle w:val="Body"/>
      </w:pPr>
      <w:r>
        <w:t>Permit applications for use of injectable opioids will generally require evidence that recent supportive advice has been obtained from a specialist in a specialty relevant to the patient’s medical condition for a permit to be issued. Without such evidence, applications may be refused.</w:t>
      </w:r>
    </w:p>
    <w:p w14:paraId="7F634711" w14:textId="77777777" w:rsidR="00277ED2" w:rsidRDefault="00277ED2" w:rsidP="00C861A1">
      <w:pPr>
        <w:pStyle w:val="Heading4"/>
        <w:tabs>
          <w:tab w:val="left" w:pos="358"/>
        </w:tabs>
      </w:pPr>
      <w:r>
        <w:t>Opioids for</w:t>
      </w:r>
      <w:r>
        <w:rPr>
          <w:spacing w:val="-1"/>
        </w:rPr>
        <w:t xml:space="preserve"> </w:t>
      </w:r>
      <w:r>
        <w:t>migraine</w:t>
      </w:r>
    </w:p>
    <w:p w14:paraId="1EAA49F8" w14:textId="0A5C368E" w:rsidR="00277ED2" w:rsidRDefault="00277ED2" w:rsidP="00C861A1">
      <w:pPr>
        <w:pStyle w:val="Body"/>
      </w:pPr>
      <w:r>
        <w:t>Clinical guidelines recommend against the regular use of opioids for migraine. Repeated use of opioids increases the risk of dependency, medication overuse headache and hyperalgesia.</w:t>
      </w:r>
      <w:r w:rsidRPr="00C861A1">
        <w:t xml:space="preserve">10 </w:t>
      </w:r>
      <w:r>
        <w:t xml:space="preserve">Further information is available from the Department’s factsheet </w:t>
      </w:r>
      <w:hyperlink r:id="rId21" w:history="1">
        <w:r w:rsidRPr="00C861A1">
          <w:rPr>
            <w:rStyle w:val="Hyperlink"/>
          </w:rPr>
          <w:t>Opioids for migraine treatment: use with extreme caution</w:t>
        </w:r>
      </w:hyperlink>
      <w:hyperlink r:id="rId22">
        <w:r>
          <w:t>.</w:t>
        </w:r>
      </w:hyperlink>
      <w:r w:rsidR="00C861A1">
        <w:t>&lt;</w:t>
      </w:r>
      <w:r w:rsidR="00C861A1" w:rsidRPr="00C861A1">
        <w:t>https://www.health.vic.gov.au/publications/opioids-for-migraine-treatment-use-with-extreme-caution</w:t>
      </w:r>
      <w:r w:rsidR="00C861A1">
        <w:t>&gt;</w:t>
      </w:r>
    </w:p>
    <w:p w14:paraId="05E46D10" w14:textId="77777777" w:rsidR="00277ED2" w:rsidRDefault="00277ED2" w:rsidP="00C861A1">
      <w:pPr>
        <w:pStyle w:val="Body"/>
      </w:pPr>
      <w:r>
        <w:t>Permit applications requesting use of opioids for migraine will generally require evidence that treatment is consistent with the advice outlined in the Department’s factsheet for a permit to be issued. Without such evidence, applications may be refused.</w:t>
      </w:r>
    </w:p>
    <w:p w14:paraId="465BA433" w14:textId="77777777" w:rsidR="00277ED2" w:rsidRPr="00C861A1" w:rsidRDefault="00277ED2" w:rsidP="00C861A1">
      <w:pPr>
        <w:pStyle w:val="Heading2"/>
      </w:pPr>
      <w:bookmarkStart w:id="7" w:name="_Toc184737628"/>
      <w:r w:rsidRPr="00C861A1">
        <w:t xml:space="preserve">Applications for dexamphetamine, </w:t>
      </w:r>
      <w:proofErr w:type="spellStart"/>
      <w:r w:rsidRPr="00C861A1">
        <w:t>lisdexamfetamine</w:t>
      </w:r>
      <w:proofErr w:type="spellEnd"/>
      <w:r w:rsidRPr="00C861A1">
        <w:t xml:space="preserve"> or</w:t>
      </w:r>
      <w:r w:rsidRPr="00C861A1">
        <w:rPr>
          <w:spacing w:val="-1"/>
        </w:rPr>
        <w:t xml:space="preserve"> </w:t>
      </w:r>
      <w:r w:rsidRPr="00C861A1">
        <w:t>methylphenidate</w:t>
      </w:r>
      <w:bookmarkEnd w:id="7"/>
    </w:p>
    <w:p w14:paraId="44B714D7" w14:textId="77777777" w:rsidR="00277ED2" w:rsidRDefault="00277ED2" w:rsidP="00C861A1">
      <w:pPr>
        <w:pStyle w:val="Heading3"/>
      </w:pPr>
      <w:r>
        <w:t>Attention Deficit Hyperactivity Disorder (ADHD)</w:t>
      </w:r>
    </w:p>
    <w:p w14:paraId="3EA74D8E" w14:textId="77777777" w:rsidR="00277ED2" w:rsidRDefault="00277ED2" w:rsidP="00C861A1">
      <w:pPr>
        <w:pStyle w:val="Body"/>
        <w:rPr>
          <w:sz w:val="13"/>
        </w:rPr>
      </w:pPr>
      <w:r>
        <w:t xml:space="preserve">Clinical guidelines recommended by the Royal Australian and New Zealand College of Psychiatrists advise that a diagnosis of ADHD should only be made by a </w:t>
      </w:r>
      <w:proofErr w:type="spellStart"/>
      <w:r>
        <w:t>paediatrician</w:t>
      </w:r>
      <w:proofErr w:type="spellEnd"/>
      <w:r>
        <w:t>, psychiatrist or other appropriately qualified healthcare professional with training and expertise in the diagnosis of ADHD. Drug treatment for ADHD should be reviewed at least yearly.</w:t>
      </w:r>
      <w:r>
        <w:rPr>
          <w:position w:val="6"/>
          <w:sz w:val="13"/>
        </w:rPr>
        <w:t>11</w:t>
      </w:r>
    </w:p>
    <w:p w14:paraId="33570512" w14:textId="77777777" w:rsidR="00277ED2" w:rsidRDefault="00277ED2" w:rsidP="00C861A1">
      <w:pPr>
        <w:pStyle w:val="Body"/>
      </w:pPr>
      <w:r>
        <w:t xml:space="preserve">Permits to treat a patient with psychostimulants for ADHD will generally only be issued to neurologists, </w:t>
      </w:r>
      <w:proofErr w:type="spellStart"/>
      <w:r>
        <w:t>paediatricians</w:t>
      </w:r>
      <w:proofErr w:type="spellEnd"/>
      <w:r>
        <w:t xml:space="preserve"> or psychiatrists.</w:t>
      </w:r>
    </w:p>
    <w:p w14:paraId="07A9E29F" w14:textId="77777777" w:rsidR="00277ED2" w:rsidRDefault="00277ED2" w:rsidP="00C861A1">
      <w:pPr>
        <w:pStyle w:val="Body"/>
      </w:pPr>
      <w:r>
        <w:t xml:space="preserve">Permits may be issued to General Practitioners (GPs) with supporting treatment advice from the patient's neurologist, </w:t>
      </w:r>
      <w:proofErr w:type="spellStart"/>
      <w:r>
        <w:t>paediatrician</w:t>
      </w:r>
      <w:proofErr w:type="spellEnd"/>
      <w:r>
        <w:t xml:space="preserve"> or psychiatrist, where there is evidence of a specialist diagnosis and a review by the specialist within the last 12 months. Without such evidence, applications may be refused.</w:t>
      </w:r>
    </w:p>
    <w:p w14:paraId="1B679DF1" w14:textId="77777777" w:rsidR="00277ED2" w:rsidRDefault="00277ED2" w:rsidP="00C861A1">
      <w:pPr>
        <w:pStyle w:val="Body"/>
      </w:pPr>
      <w:r>
        <w:t xml:space="preserve">The legislation exempts </w:t>
      </w:r>
      <w:proofErr w:type="spellStart"/>
      <w:r>
        <w:t>paediatricians</w:t>
      </w:r>
      <w:proofErr w:type="spellEnd"/>
      <w:r>
        <w:t xml:space="preserve"> and psychiatrists</w:t>
      </w:r>
      <w:r>
        <w:rPr>
          <w:spacing w:val="-9"/>
        </w:rPr>
        <w:t xml:space="preserve"> </w:t>
      </w:r>
      <w:r>
        <w:t>treating</w:t>
      </w:r>
      <w:r>
        <w:rPr>
          <w:spacing w:val="-9"/>
        </w:rPr>
        <w:t xml:space="preserve"> </w:t>
      </w:r>
      <w:r>
        <w:t>patients</w:t>
      </w:r>
      <w:r>
        <w:rPr>
          <w:spacing w:val="-9"/>
        </w:rPr>
        <w:t xml:space="preserve"> </w:t>
      </w:r>
      <w:r>
        <w:t>under</w:t>
      </w:r>
      <w:r>
        <w:rPr>
          <w:spacing w:val="-9"/>
        </w:rPr>
        <w:t xml:space="preserve"> </w:t>
      </w:r>
      <w:r>
        <w:t>18</w:t>
      </w:r>
      <w:r>
        <w:rPr>
          <w:spacing w:val="-9"/>
        </w:rPr>
        <w:t xml:space="preserve"> </w:t>
      </w:r>
      <w:r>
        <w:t>years</w:t>
      </w:r>
      <w:r>
        <w:rPr>
          <w:spacing w:val="-9"/>
        </w:rPr>
        <w:t xml:space="preserve"> </w:t>
      </w:r>
      <w:r>
        <w:t>of</w:t>
      </w:r>
      <w:r>
        <w:rPr>
          <w:spacing w:val="-7"/>
        </w:rPr>
        <w:t xml:space="preserve"> </w:t>
      </w:r>
      <w:r>
        <w:t xml:space="preserve">age with a psychostimulant for ADHD from the requirement of applying for a permit. Instead, the </w:t>
      </w:r>
      <w:proofErr w:type="spellStart"/>
      <w:r>
        <w:t>paediatrician</w:t>
      </w:r>
      <w:proofErr w:type="spellEnd"/>
      <w:r>
        <w:t xml:space="preserve"> or psychiatrist must make a notification of treatment (a section 34D notification) by</w:t>
      </w:r>
      <w:r>
        <w:rPr>
          <w:spacing w:val="-8"/>
        </w:rPr>
        <w:t xml:space="preserve"> </w:t>
      </w:r>
      <w:r>
        <w:rPr>
          <w:spacing w:val="-3"/>
        </w:rPr>
        <w:t>completing</w:t>
      </w:r>
      <w:r>
        <w:rPr>
          <w:spacing w:val="-8"/>
        </w:rPr>
        <w:t xml:space="preserve"> </w:t>
      </w:r>
      <w:r>
        <w:t>Section</w:t>
      </w:r>
      <w:r>
        <w:rPr>
          <w:spacing w:val="-6"/>
        </w:rPr>
        <w:t xml:space="preserve"> </w:t>
      </w:r>
      <w:r>
        <w:t>3</w:t>
      </w:r>
      <w:r>
        <w:rPr>
          <w:spacing w:val="-6"/>
        </w:rPr>
        <w:t xml:space="preserve"> </w:t>
      </w:r>
      <w:r>
        <w:t>of</w:t>
      </w:r>
      <w:r>
        <w:rPr>
          <w:spacing w:val="-6"/>
        </w:rPr>
        <w:t xml:space="preserve"> </w:t>
      </w:r>
      <w:r>
        <w:t>the</w:t>
      </w:r>
      <w:r>
        <w:rPr>
          <w:spacing w:val="-6"/>
        </w:rPr>
        <w:t xml:space="preserve"> </w:t>
      </w:r>
      <w:r>
        <w:t>S8</w:t>
      </w:r>
      <w:r>
        <w:rPr>
          <w:spacing w:val="-6"/>
        </w:rPr>
        <w:t xml:space="preserve"> </w:t>
      </w:r>
      <w:r>
        <w:t>permit</w:t>
      </w:r>
      <w:r>
        <w:rPr>
          <w:spacing w:val="-6"/>
        </w:rPr>
        <w:t xml:space="preserve"> </w:t>
      </w:r>
      <w:r>
        <w:t>application form.</w:t>
      </w:r>
    </w:p>
    <w:p w14:paraId="65A4FB94" w14:textId="77777777" w:rsidR="00277ED2" w:rsidRDefault="00277ED2" w:rsidP="00C861A1">
      <w:pPr>
        <w:pStyle w:val="Heading3"/>
      </w:pPr>
      <w:r>
        <w:t>Narcolepsy</w:t>
      </w:r>
    </w:p>
    <w:p w14:paraId="055440F3" w14:textId="77777777" w:rsidR="00277ED2" w:rsidRDefault="00277ED2" w:rsidP="00C861A1">
      <w:pPr>
        <w:pStyle w:val="Body"/>
      </w:pPr>
      <w:r>
        <w:t>An initial diagnosis of narcolepsy must involve a respiratory physician or a specialist in sleep disorders.</w:t>
      </w:r>
    </w:p>
    <w:p w14:paraId="0C4C5823" w14:textId="77777777" w:rsidR="00277ED2" w:rsidRDefault="00277ED2" w:rsidP="00C861A1">
      <w:pPr>
        <w:pStyle w:val="Body"/>
      </w:pPr>
      <w:r>
        <w:t>Permits to treat a patient with dexamphetamine</w:t>
      </w:r>
      <w:r>
        <w:rPr>
          <w:spacing w:val="-13"/>
        </w:rPr>
        <w:t xml:space="preserve"> </w:t>
      </w:r>
      <w:r>
        <w:t>or methylphenidate for narcolepsy will generally only be issued to respiratory or sleep</w:t>
      </w:r>
      <w:r>
        <w:rPr>
          <w:spacing w:val="-1"/>
        </w:rPr>
        <w:t xml:space="preserve"> </w:t>
      </w:r>
      <w:r>
        <w:t>physicians.</w:t>
      </w:r>
    </w:p>
    <w:p w14:paraId="67DDF07C" w14:textId="77777777" w:rsidR="00277ED2" w:rsidRDefault="00277ED2" w:rsidP="00C861A1">
      <w:pPr>
        <w:pStyle w:val="Body"/>
      </w:pPr>
      <w:r>
        <w:t>Permits may also be issued to GPs where there is evidence of a specialist diagnosis. Without such evidence, applications may be refused.</w:t>
      </w:r>
    </w:p>
    <w:p w14:paraId="485FA09C" w14:textId="77777777" w:rsidR="00277ED2" w:rsidRDefault="00277ED2" w:rsidP="00C861A1">
      <w:pPr>
        <w:pStyle w:val="Body"/>
      </w:pPr>
      <w:r>
        <w:lastRenderedPageBreak/>
        <w:t>Once narcolepsy is diagnosed, subsequent permit applications for dexamphetamine or methylphenidate will generally not require further supporting information, provided other risks to patient safety are not evident.</w:t>
      </w:r>
    </w:p>
    <w:p w14:paraId="23E66797" w14:textId="77777777" w:rsidR="00277ED2" w:rsidRDefault="00277ED2" w:rsidP="00C861A1">
      <w:pPr>
        <w:pStyle w:val="Heading3"/>
      </w:pPr>
      <w:r>
        <w:t>Other conditions</w:t>
      </w:r>
    </w:p>
    <w:p w14:paraId="5920E2B2" w14:textId="77777777" w:rsidR="00277ED2" w:rsidRDefault="00277ED2" w:rsidP="00C861A1">
      <w:pPr>
        <w:pStyle w:val="Body"/>
      </w:pPr>
      <w:r>
        <w:t xml:space="preserve">Provided there is documented evidence for its therapeutic use, permits to treat other conditions with dexamphetamine, </w:t>
      </w:r>
      <w:proofErr w:type="spellStart"/>
      <w:r>
        <w:t>lisdexamfetamine</w:t>
      </w:r>
      <w:proofErr w:type="spellEnd"/>
      <w:r>
        <w:t xml:space="preserve"> or methylphenidate will generally only be issued to specialists in a specialty relevant to the patient’s medical condition.</w:t>
      </w:r>
    </w:p>
    <w:p w14:paraId="5DA5B482" w14:textId="77777777" w:rsidR="00277ED2" w:rsidRDefault="00277ED2" w:rsidP="00C861A1">
      <w:pPr>
        <w:pStyle w:val="Body"/>
      </w:pPr>
      <w:r>
        <w:t>Permits may be issued to GPs with supporting treatment</w:t>
      </w:r>
      <w:r>
        <w:rPr>
          <w:spacing w:val="-14"/>
        </w:rPr>
        <w:t xml:space="preserve"> </w:t>
      </w:r>
      <w:r>
        <w:t>advice</w:t>
      </w:r>
      <w:r>
        <w:rPr>
          <w:spacing w:val="-12"/>
        </w:rPr>
        <w:t xml:space="preserve"> </w:t>
      </w:r>
      <w:r>
        <w:t>from</w:t>
      </w:r>
      <w:r>
        <w:rPr>
          <w:spacing w:val="-12"/>
        </w:rPr>
        <w:t xml:space="preserve"> </w:t>
      </w:r>
      <w:r>
        <w:t>the</w:t>
      </w:r>
      <w:r>
        <w:rPr>
          <w:spacing w:val="-12"/>
        </w:rPr>
        <w:t xml:space="preserve"> </w:t>
      </w:r>
      <w:r>
        <w:t>patient's</w:t>
      </w:r>
      <w:r>
        <w:rPr>
          <w:spacing w:val="-12"/>
        </w:rPr>
        <w:t xml:space="preserve"> </w:t>
      </w:r>
      <w:r>
        <w:t>specialist,</w:t>
      </w:r>
      <w:r>
        <w:rPr>
          <w:spacing w:val="-12"/>
        </w:rPr>
        <w:t xml:space="preserve"> </w:t>
      </w:r>
      <w:r>
        <w:t>where there is evidence of a specialist diagnosis and at least yearly review by the specialist. Without such evidence, applications may be</w:t>
      </w:r>
      <w:r>
        <w:rPr>
          <w:spacing w:val="-1"/>
        </w:rPr>
        <w:t xml:space="preserve"> </w:t>
      </w:r>
      <w:r>
        <w:t>refused.</w:t>
      </w:r>
    </w:p>
    <w:p w14:paraId="390AC402" w14:textId="273164AF" w:rsidR="00277ED2" w:rsidRDefault="00277ED2" w:rsidP="00C861A1">
      <w:pPr>
        <w:pStyle w:val="Heading2"/>
        <w:spacing w:before="75"/>
      </w:pPr>
      <w:bookmarkStart w:id="8" w:name="_Toc184737629"/>
      <w:r>
        <w:t>Applications for</w:t>
      </w:r>
      <w:r>
        <w:rPr>
          <w:spacing w:val="-1"/>
        </w:rPr>
        <w:t xml:space="preserve"> </w:t>
      </w:r>
      <w:r>
        <w:t>flunitrazepam</w:t>
      </w:r>
      <w:bookmarkEnd w:id="8"/>
    </w:p>
    <w:p w14:paraId="6D0E3FF7" w14:textId="77777777" w:rsidR="00277ED2" w:rsidRDefault="00277ED2" w:rsidP="00C861A1">
      <w:pPr>
        <w:pStyle w:val="Body"/>
        <w:rPr>
          <w:sz w:val="13"/>
        </w:rPr>
      </w:pPr>
      <w:r>
        <w:t>The AMH states that flunitrazepam is not recommended for initial drug treatment of insomnia or anxiety and misuse of the drug is common.</w:t>
      </w:r>
      <w:r>
        <w:rPr>
          <w:position w:val="6"/>
          <w:sz w:val="13"/>
        </w:rPr>
        <w:t>8</w:t>
      </w:r>
    </w:p>
    <w:p w14:paraId="56B8CC42" w14:textId="77777777" w:rsidR="00277ED2" w:rsidRDefault="00277ED2" w:rsidP="00C861A1">
      <w:pPr>
        <w:pStyle w:val="Body"/>
        <w:rPr>
          <w:sz w:val="13"/>
        </w:rPr>
      </w:pPr>
      <w:r>
        <w:t xml:space="preserve">The </w:t>
      </w:r>
      <w:r>
        <w:rPr>
          <w:i/>
        </w:rPr>
        <w:t xml:space="preserve">Therapeutic Guidelines: Psychotropic </w:t>
      </w:r>
      <w:r>
        <w:t>advises that hypnotics should only be used in the treatment of insomnia for the shortest time possible (preferably intermittently and for less than two weeks) and a definite duration of use agreed with the patient at the outset.</w:t>
      </w:r>
      <w:r>
        <w:rPr>
          <w:position w:val="6"/>
          <w:sz w:val="13"/>
        </w:rPr>
        <w:t xml:space="preserve">12 </w:t>
      </w:r>
      <w:r>
        <w:t>Continuous long-term use of flunitrazepam is not recommended.</w:t>
      </w:r>
      <w:r>
        <w:rPr>
          <w:position w:val="6"/>
          <w:sz w:val="13"/>
        </w:rPr>
        <w:t>13</w:t>
      </w:r>
    </w:p>
    <w:p w14:paraId="0A80DE9D" w14:textId="77777777" w:rsidR="00277ED2" w:rsidRDefault="00277ED2" w:rsidP="00C861A1">
      <w:pPr>
        <w:pStyle w:val="Body"/>
      </w:pPr>
      <w:r>
        <w:t>Permit applications for flunitrazepam will generally require evidence that recent supportive advice has been obtained from a specialist in sleep disorders or a psychiatrist for a permit to be issued. Without such evidence, applications may be refused.</w:t>
      </w:r>
    </w:p>
    <w:p w14:paraId="5F5857F9" w14:textId="77777777" w:rsidR="00277ED2" w:rsidRDefault="00277ED2" w:rsidP="00C861A1">
      <w:pPr>
        <w:pStyle w:val="Heading2"/>
      </w:pPr>
      <w:bookmarkStart w:id="9" w:name="_Toc184737630"/>
      <w:r>
        <w:t>Applications for</w:t>
      </w:r>
      <w:r>
        <w:rPr>
          <w:spacing w:val="-1"/>
        </w:rPr>
        <w:t xml:space="preserve"> </w:t>
      </w:r>
      <w:r>
        <w:t>alprazolam</w:t>
      </w:r>
      <w:bookmarkEnd w:id="9"/>
    </w:p>
    <w:p w14:paraId="5B33D1A8" w14:textId="77777777" w:rsidR="00277ED2" w:rsidRDefault="00277ED2" w:rsidP="00C861A1">
      <w:pPr>
        <w:pStyle w:val="Body"/>
        <w:rPr>
          <w:sz w:val="13"/>
        </w:rPr>
      </w:pPr>
      <w:r>
        <w:t>The NPS recommends that the use of benzodiazepines, including alprazolam, is not recommended as first line treatment for anxiety or panic disorder. Benzodiazepine use should be reserved to the short-term for patients who have not responded to at least two other therapies (e.g. psychological therapy, antidepressants).</w:t>
      </w:r>
      <w:r>
        <w:rPr>
          <w:position w:val="6"/>
          <w:sz w:val="13"/>
        </w:rPr>
        <w:t>14</w:t>
      </w:r>
    </w:p>
    <w:p w14:paraId="6DFF10F1" w14:textId="77777777" w:rsidR="00277ED2" w:rsidRDefault="00277ED2" w:rsidP="00C861A1">
      <w:pPr>
        <w:pStyle w:val="Body"/>
      </w:pPr>
      <w:r>
        <w:t>Applications for permits to prescribe alprazolam will generally require evidence that recent supportive advice has been obtained from a specialist in a field of specialty relevant to the patient’s medical condition for a permit to be issued.</w:t>
      </w:r>
    </w:p>
    <w:p w14:paraId="6D39D181" w14:textId="77777777" w:rsidR="00277ED2" w:rsidRDefault="00277ED2" w:rsidP="00C861A1">
      <w:pPr>
        <w:pStyle w:val="Body"/>
      </w:pPr>
      <w:r>
        <w:t>Given that alprazolam is indicated for the short-term treatment of anxiety or panic disorder, support from a psychiatrist will be required. In circumstances where there are addiction-related issues with alprazolam, support from an addiction medicine specialist will be required. Without such evidence, applications may be refused.</w:t>
      </w:r>
    </w:p>
    <w:p w14:paraId="5E2727B0" w14:textId="77777777" w:rsidR="00277ED2" w:rsidRDefault="00277ED2" w:rsidP="00277ED2">
      <w:pPr>
        <w:pStyle w:val="BodyText"/>
        <w:spacing w:before="5"/>
        <w:ind w:left="0"/>
        <w:rPr>
          <w:sz w:val="17"/>
        </w:rPr>
      </w:pPr>
    </w:p>
    <w:p w14:paraId="1F2A8573" w14:textId="77777777" w:rsidR="00277ED2" w:rsidRDefault="00277ED2" w:rsidP="00C861A1">
      <w:pPr>
        <w:pStyle w:val="Heading2"/>
        <w:ind w:right="1261"/>
      </w:pPr>
      <w:bookmarkStart w:id="10" w:name="_Toc184737631"/>
      <w:r>
        <w:rPr>
          <w:spacing w:val="-4"/>
        </w:rPr>
        <w:t xml:space="preserve">Applications </w:t>
      </w:r>
      <w:r>
        <w:t xml:space="preserve">to </w:t>
      </w:r>
      <w:r>
        <w:rPr>
          <w:spacing w:val="-3"/>
        </w:rPr>
        <w:t xml:space="preserve">treat </w:t>
      </w:r>
      <w:r>
        <w:t>drug dependence</w:t>
      </w:r>
      <w:bookmarkEnd w:id="10"/>
    </w:p>
    <w:p w14:paraId="3D4E3F94" w14:textId="2F2684C9" w:rsidR="00277ED2" w:rsidRDefault="00277ED2" w:rsidP="00C861A1">
      <w:pPr>
        <w:pStyle w:val="Body"/>
      </w:pPr>
      <w:r>
        <w:t>An extensive evidence base exists for opioid replacement therapy with methadone syrup or buprenorphine sublingual tablet or film.</w:t>
      </w:r>
      <w:r>
        <w:rPr>
          <w:position w:val="6"/>
          <w:sz w:val="13"/>
        </w:rPr>
        <w:t xml:space="preserve">15 </w:t>
      </w:r>
      <w:r>
        <w:t xml:space="preserve">The Department provides advice to practitioners in its </w:t>
      </w:r>
      <w:hyperlink r:id="rId23">
        <w:r>
          <w:rPr>
            <w:i/>
            <w:color w:val="0000FF"/>
            <w:u w:val="single" w:color="0000FF"/>
          </w:rPr>
          <w:t>policy for maintenance pharmacotherapy for opioid</w:t>
        </w:r>
      </w:hyperlink>
      <w:r>
        <w:rPr>
          <w:i/>
          <w:color w:val="0000FF"/>
        </w:rPr>
        <w:t xml:space="preserve"> </w:t>
      </w:r>
      <w:hyperlink r:id="rId24">
        <w:r>
          <w:rPr>
            <w:i/>
            <w:color w:val="0000FF"/>
            <w:u w:val="single" w:color="0000FF"/>
          </w:rPr>
          <w:t>dependence</w:t>
        </w:r>
      </w:hyperlink>
      <w:hyperlink r:id="rId25" w:history="1">
        <w:r w:rsidR="00C861A1" w:rsidRPr="005D3DF8">
          <w:rPr>
            <w:rStyle w:val="Hyperlink"/>
          </w:rPr>
          <w:t>.&lt;</w:t>
        </w:r>
        <w:r w:rsidR="00C861A1" w:rsidRPr="005D3DF8">
          <w:rPr>
            <w:rStyle w:val="Hyperlink"/>
          </w:rPr>
          <w:t>https://www.health.vic.gov.au/publications/policy-for-maintenance-pharmacotherapy-for-opioid-dependence</w:t>
        </w:r>
        <w:r w:rsidR="00C861A1" w:rsidRPr="005D3DF8">
          <w:rPr>
            <w:rStyle w:val="Hyperlink"/>
          </w:rPr>
          <w:t xml:space="preserve">&gt; </w:t>
        </w:r>
      </w:hyperlink>
      <w:r>
        <w:t>.</w:t>
      </w:r>
    </w:p>
    <w:p w14:paraId="0ECB730C" w14:textId="2C6B511A" w:rsidR="00277ED2" w:rsidRDefault="00277ED2" w:rsidP="00C861A1">
      <w:pPr>
        <w:pStyle w:val="Body"/>
      </w:pPr>
      <w:r>
        <w:t xml:space="preserve">The DPR website also contains links to the national clinical guidelines for methadone and </w:t>
      </w:r>
      <w:proofErr w:type="spellStart"/>
      <w:proofErr w:type="gramStart"/>
      <w:r>
        <w:t>buprenorphine.Permits</w:t>
      </w:r>
      <w:proofErr w:type="spellEnd"/>
      <w:proofErr w:type="gramEnd"/>
      <w:r>
        <w:t xml:space="preserve"> to treat a patient with a Schedule 8 poison for drug dependence, other than methadone or </w:t>
      </w:r>
      <w:r>
        <w:rPr>
          <w:spacing w:val="-3"/>
        </w:rPr>
        <w:t xml:space="preserve">buprenorphine </w:t>
      </w:r>
      <w:r>
        <w:t>for opioid dependence, will</w:t>
      </w:r>
      <w:r>
        <w:rPr>
          <w:spacing w:val="-40"/>
        </w:rPr>
        <w:t xml:space="preserve"> </w:t>
      </w:r>
      <w:r>
        <w:t>generally not be issued unless supported by an addiction medicine specialist, or where treatment is part of a clinical trial with ethics</w:t>
      </w:r>
      <w:r>
        <w:rPr>
          <w:spacing w:val="-1"/>
        </w:rPr>
        <w:t xml:space="preserve"> </w:t>
      </w:r>
      <w:r>
        <w:t>approval.</w:t>
      </w:r>
    </w:p>
    <w:p w14:paraId="2E095872" w14:textId="77777777" w:rsidR="00277ED2" w:rsidRDefault="00277ED2" w:rsidP="00277ED2">
      <w:pPr>
        <w:pStyle w:val="BodyText"/>
        <w:spacing w:before="4"/>
        <w:ind w:left="0"/>
        <w:rPr>
          <w:sz w:val="17"/>
        </w:rPr>
      </w:pPr>
    </w:p>
    <w:p w14:paraId="3792D306" w14:textId="77777777" w:rsidR="00277ED2" w:rsidRDefault="00277ED2" w:rsidP="00C861A1">
      <w:pPr>
        <w:pStyle w:val="Heading2"/>
      </w:pPr>
      <w:bookmarkStart w:id="11" w:name="_Toc184737632"/>
      <w:r>
        <w:rPr>
          <w:spacing w:val="-3"/>
        </w:rPr>
        <w:lastRenderedPageBreak/>
        <w:t xml:space="preserve">Applications </w:t>
      </w:r>
      <w:r>
        <w:t xml:space="preserve">for </w:t>
      </w:r>
      <w:r>
        <w:rPr>
          <w:spacing w:val="-3"/>
        </w:rPr>
        <w:t xml:space="preserve">treatment </w:t>
      </w:r>
      <w:r>
        <w:t>outside common medical</w:t>
      </w:r>
      <w:r>
        <w:rPr>
          <w:spacing w:val="-1"/>
        </w:rPr>
        <w:t xml:space="preserve"> </w:t>
      </w:r>
      <w:r>
        <w:t>practice</w:t>
      </w:r>
      <w:bookmarkEnd w:id="11"/>
    </w:p>
    <w:p w14:paraId="16B65D35" w14:textId="77777777" w:rsidR="00277ED2" w:rsidRDefault="00277ED2" w:rsidP="00C861A1">
      <w:pPr>
        <w:pStyle w:val="Body"/>
      </w:pPr>
      <w:r>
        <w:t>Permits for the use of Schedule 8 poisons where there is a limited evidence base, or outside common medical practice will generally not be issued unless supported by expert opinion, or where treatment is part of a clinical trial with ethics approval.</w:t>
      </w:r>
    </w:p>
    <w:p w14:paraId="3D4B1C49" w14:textId="77777777" w:rsidR="00277ED2" w:rsidRDefault="00277ED2" w:rsidP="00277ED2">
      <w:pPr>
        <w:pStyle w:val="Heading1"/>
      </w:pPr>
      <w:bookmarkStart w:id="12" w:name="_Toc184737633"/>
      <w:r>
        <w:t>Other resources</w:t>
      </w:r>
      <w:bookmarkEnd w:id="12"/>
    </w:p>
    <w:p w14:paraId="727F97AB" w14:textId="77777777" w:rsidR="00277ED2" w:rsidRDefault="00277ED2" w:rsidP="00C861A1">
      <w:pPr>
        <w:pStyle w:val="Heading2"/>
      </w:pPr>
      <w:bookmarkStart w:id="13" w:name="_Toc184737634"/>
      <w:r>
        <w:t>Clinical advice for health professionals</w:t>
      </w:r>
      <w:bookmarkEnd w:id="13"/>
    </w:p>
    <w:p w14:paraId="23EA73E8" w14:textId="77777777" w:rsidR="00277ED2" w:rsidRDefault="00277ED2" w:rsidP="00C861A1">
      <w:pPr>
        <w:pStyle w:val="Body"/>
      </w:pPr>
      <w:r>
        <w:t>To obtain clinical advice from addiction medicine consultants, health professionals may phone the Drug and Alcohol Clinical Advisory Service (</w:t>
      </w:r>
      <w:r>
        <w:rPr>
          <w:b/>
        </w:rPr>
        <w:t>DACAS</w:t>
      </w:r>
      <w:r>
        <w:t>) on 1800 812 804.</w:t>
      </w:r>
    </w:p>
    <w:p w14:paraId="22ADB4DE" w14:textId="77777777" w:rsidR="00277ED2" w:rsidRDefault="00277ED2" w:rsidP="00C861A1">
      <w:pPr>
        <w:pStyle w:val="Heading2"/>
      </w:pPr>
      <w:bookmarkStart w:id="14" w:name="_Toc184737635"/>
      <w:r>
        <w:t>Counselling and advice for patients</w:t>
      </w:r>
      <w:bookmarkEnd w:id="14"/>
    </w:p>
    <w:p w14:paraId="7D00784B" w14:textId="77777777" w:rsidR="00277ED2" w:rsidRDefault="00277ED2" w:rsidP="00C861A1">
      <w:pPr>
        <w:pStyle w:val="Body"/>
      </w:pPr>
      <w:r>
        <w:t xml:space="preserve">For 24-hour confidential drug and alcohol counselling and treatment information, patients, family or health professionals may phone </w:t>
      </w:r>
      <w:proofErr w:type="spellStart"/>
      <w:r>
        <w:rPr>
          <w:b/>
        </w:rPr>
        <w:t>DirectLine</w:t>
      </w:r>
      <w:proofErr w:type="spellEnd"/>
      <w:r>
        <w:rPr>
          <w:b/>
        </w:rPr>
        <w:t xml:space="preserve"> </w:t>
      </w:r>
      <w:r>
        <w:t>on 1800 888 236.</w:t>
      </w:r>
    </w:p>
    <w:p w14:paraId="1613D8AC" w14:textId="6FD18342" w:rsidR="00277ED2" w:rsidRDefault="00277ED2" w:rsidP="00277ED2">
      <w:pPr>
        <w:pStyle w:val="Heading1"/>
        <w:spacing w:before="76"/>
      </w:pPr>
      <w:bookmarkStart w:id="15" w:name="_Toc184737636"/>
      <w:r>
        <w:t>References</w:t>
      </w:r>
      <w:bookmarkEnd w:id="15"/>
    </w:p>
    <w:p w14:paraId="126C090B" w14:textId="77777777" w:rsidR="00277ED2" w:rsidRDefault="00277ED2" w:rsidP="00277ED2">
      <w:pPr>
        <w:pStyle w:val="ListParagraph"/>
        <w:numPr>
          <w:ilvl w:val="0"/>
          <w:numId w:val="43"/>
        </w:numPr>
        <w:tabs>
          <w:tab w:val="left" w:pos="396"/>
        </w:tabs>
        <w:spacing w:before="183" w:line="314" w:lineRule="auto"/>
        <w:ind w:right="557"/>
        <w:rPr>
          <w:sz w:val="18"/>
        </w:rPr>
      </w:pPr>
      <w:r>
        <w:rPr>
          <w:sz w:val="18"/>
        </w:rPr>
        <w:t>Standard for the Uniform Scheduling of Medicines and Poisons No. 4</w:t>
      </w:r>
      <w:r>
        <w:rPr>
          <w:spacing w:val="-1"/>
          <w:sz w:val="18"/>
        </w:rPr>
        <w:t xml:space="preserve"> </w:t>
      </w:r>
      <w:r>
        <w:rPr>
          <w:sz w:val="18"/>
        </w:rPr>
        <w:t>(2013).</w:t>
      </w:r>
    </w:p>
    <w:p w14:paraId="55A39435" w14:textId="77777777" w:rsidR="00277ED2" w:rsidRDefault="00277ED2" w:rsidP="00277ED2">
      <w:pPr>
        <w:pStyle w:val="ListParagraph"/>
        <w:numPr>
          <w:ilvl w:val="0"/>
          <w:numId w:val="43"/>
        </w:numPr>
        <w:tabs>
          <w:tab w:val="left" w:pos="396"/>
        </w:tabs>
        <w:spacing w:before="121"/>
        <w:rPr>
          <w:sz w:val="18"/>
        </w:rPr>
      </w:pPr>
      <w:r>
        <w:rPr>
          <w:sz w:val="18"/>
        </w:rPr>
        <w:t>Therapeutic Guidelines: Analgesic</w:t>
      </w:r>
      <w:r>
        <w:rPr>
          <w:spacing w:val="-1"/>
          <w:sz w:val="18"/>
        </w:rPr>
        <w:t xml:space="preserve"> </w:t>
      </w:r>
      <w:r>
        <w:rPr>
          <w:sz w:val="18"/>
        </w:rPr>
        <w:t>(2012).</w:t>
      </w:r>
    </w:p>
    <w:p w14:paraId="7F798B58" w14:textId="77777777" w:rsidR="00277ED2" w:rsidRDefault="00277ED2" w:rsidP="00277ED2">
      <w:pPr>
        <w:pStyle w:val="BodyText"/>
        <w:spacing w:before="8"/>
        <w:ind w:left="0"/>
        <w:rPr>
          <w:sz w:val="15"/>
        </w:rPr>
      </w:pPr>
    </w:p>
    <w:p w14:paraId="74E3A3DB" w14:textId="77777777" w:rsidR="00277ED2" w:rsidRDefault="00277ED2" w:rsidP="00277ED2">
      <w:pPr>
        <w:pStyle w:val="ListParagraph"/>
        <w:numPr>
          <w:ilvl w:val="0"/>
          <w:numId w:val="43"/>
        </w:numPr>
        <w:tabs>
          <w:tab w:val="left" w:pos="396"/>
        </w:tabs>
        <w:spacing w:before="1" w:line="314" w:lineRule="auto"/>
        <w:ind w:right="616"/>
        <w:rPr>
          <w:sz w:val="18"/>
        </w:rPr>
      </w:pPr>
      <w:r>
        <w:rPr>
          <w:sz w:val="18"/>
        </w:rPr>
        <w:t>Webster LR, Webster R. Predicting aberrant behaviors in opioid-treated patients: preliminary validation of the Opioid Risk Tool. Pain Medicine, 2005;6(6):432.</w:t>
      </w:r>
    </w:p>
    <w:p w14:paraId="5C11F02F" w14:textId="77777777" w:rsidR="00277ED2" w:rsidRDefault="00277ED2" w:rsidP="00277ED2">
      <w:pPr>
        <w:pStyle w:val="ListParagraph"/>
        <w:numPr>
          <w:ilvl w:val="0"/>
          <w:numId w:val="43"/>
        </w:numPr>
        <w:tabs>
          <w:tab w:val="left" w:pos="396"/>
        </w:tabs>
        <w:spacing w:before="119" w:line="314" w:lineRule="auto"/>
        <w:ind w:right="711"/>
        <w:rPr>
          <w:sz w:val="18"/>
        </w:rPr>
      </w:pPr>
      <w:r>
        <w:rPr>
          <w:sz w:val="18"/>
        </w:rPr>
        <w:t>National Prescribing Service. NPS News 69: A planned approach to prescribing opioids</w:t>
      </w:r>
      <w:r>
        <w:rPr>
          <w:spacing w:val="2"/>
          <w:sz w:val="18"/>
        </w:rPr>
        <w:t xml:space="preserve"> </w:t>
      </w:r>
      <w:r>
        <w:rPr>
          <w:sz w:val="18"/>
        </w:rPr>
        <w:t>(2010).</w:t>
      </w:r>
    </w:p>
    <w:p w14:paraId="37381D02" w14:textId="77777777" w:rsidR="00277ED2" w:rsidRDefault="00277ED2" w:rsidP="00277ED2">
      <w:pPr>
        <w:pStyle w:val="ListParagraph"/>
        <w:numPr>
          <w:ilvl w:val="0"/>
          <w:numId w:val="43"/>
        </w:numPr>
        <w:tabs>
          <w:tab w:val="left" w:pos="396"/>
        </w:tabs>
        <w:spacing w:before="119" w:line="312" w:lineRule="auto"/>
        <w:ind w:right="403"/>
        <w:rPr>
          <w:sz w:val="18"/>
        </w:rPr>
      </w:pPr>
      <w:proofErr w:type="spellStart"/>
      <w:r>
        <w:rPr>
          <w:sz w:val="18"/>
        </w:rPr>
        <w:t>Graziotti</w:t>
      </w:r>
      <w:proofErr w:type="spellEnd"/>
      <w:r>
        <w:rPr>
          <w:sz w:val="18"/>
        </w:rPr>
        <w:t xml:space="preserve"> PJ, </w:t>
      </w:r>
      <w:proofErr w:type="spellStart"/>
      <w:r>
        <w:rPr>
          <w:sz w:val="18"/>
        </w:rPr>
        <w:t>Goucke</w:t>
      </w:r>
      <w:proofErr w:type="spellEnd"/>
      <w:r>
        <w:rPr>
          <w:sz w:val="18"/>
        </w:rPr>
        <w:t xml:space="preserve"> CR. The use of oral opioids in </w:t>
      </w:r>
      <w:r>
        <w:rPr>
          <w:spacing w:val="-3"/>
          <w:sz w:val="18"/>
        </w:rPr>
        <w:t xml:space="preserve">patients </w:t>
      </w:r>
      <w:r>
        <w:rPr>
          <w:sz w:val="18"/>
        </w:rPr>
        <w:t>with chronic non-cancer pain: Management strategies. Med J Aust.</w:t>
      </w:r>
      <w:r>
        <w:rPr>
          <w:spacing w:val="-1"/>
          <w:sz w:val="18"/>
        </w:rPr>
        <w:t xml:space="preserve"> </w:t>
      </w:r>
      <w:r>
        <w:rPr>
          <w:sz w:val="18"/>
        </w:rPr>
        <w:t>1997:167:30.</w:t>
      </w:r>
    </w:p>
    <w:p w14:paraId="7EBD98B5" w14:textId="77777777" w:rsidR="00277ED2" w:rsidRDefault="00277ED2" w:rsidP="00277ED2">
      <w:pPr>
        <w:pStyle w:val="ListParagraph"/>
        <w:numPr>
          <w:ilvl w:val="0"/>
          <w:numId w:val="43"/>
        </w:numPr>
        <w:tabs>
          <w:tab w:val="left" w:pos="396"/>
        </w:tabs>
        <w:spacing w:before="121" w:line="314" w:lineRule="auto"/>
        <w:ind w:right="577"/>
        <w:rPr>
          <w:sz w:val="18"/>
        </w:rPr>
      </w:pPr>
      <w:r>
        <w:rPr>
          <w:sz w:val="18"/>
        </w:rPr>
        <w:t>Hunter New England NSW Health. Reconsidering opioid therapy</w:t>
      </w:r>
      <w:r>
        <w:rPr>
          <w:spacing w:val="-1"/>
          <w:sz w:val="18"/>
        </w:rPr>
        <w:t xml:space="preserve"> </w:t>
      </w:r>
      <w:r>
        <w:rPr>
          <w:sz w:val="18"/>
        </w:rPr>
        <w:t>(2014).</w:t>
      </w:r>
    </w:p>
    <w:p w14:paraId="4A9866CB" w14:textId="77777777" w:rsidR="00277ED2" w:rsidRDefault="00277ED2" w:rsidP="00277ED2">
      <w:pPr>
        <w:pStyle w:val="ListParagraph"/>
        <w:numPr>
          <w:ilvl w:val="0"/>
          <w:numId w:val="43"/>
        </w:numPr>
        <w:tabs>
          <w:tab w:val="left" w:pos="396"/>
        </w:tabs>
        <w:spacing w:before="119" w:line="314" w:lineRule="auto"/>
        <w:ind w:right="447"/>
        <w:rPr>
          <w:sz w:val="18"/>
        </w:rPr>
      </w:pPr>
      <w:r>
        <w:rPr>
          <w:sz w:val="18"/>
        </w:rPr>
        <w:t>Opioid conversion to oral morphine equivalent daily dose. Faculty of Pain Medicine ANZCA</w:t>
      </w:r>
      <w:r>
        <w:rPr>
          <w:spacing w:val="-1"/>
          <w:sz w:val="18"/>
        </w:rPr>
        <w:t xml:space="preserve"> </w:t>
      </w:r>
      <w:r>
        <w:rPr>
          <w:sz w:val="18"/>
        </w:rPr>
        <w:t>(2014).</w:t>
      </w:r>
    </w:p>
    <w:p w14:paraId="53AC4A25" w14:textId="77777777" w:rsidR="00277ED2" w:rsidRDefault="00277ED2" w:rsidP="00277ED2">
      <w:pPr>
        <w:pStyle w:val="ListParagraph"/>
        <w:numPr>
          <w:ilvl w:val="0"/>
          <w:numId w:val="43"/>
        </w:numPr>
        <w:tabs>
          <w:tab w:val="left" w:pos="396"/>
        </w:tabs>
        <w:spacing w:before="121"/>
        <w:rPr>
          <w:sz w:val="18"/>
        </w:rPr>
      </w:pPr>
      <w:r>
        <w:rPr>
          <w:sz w:val="18"/>
        </w:rPr>
        <w:t>Australian Medicines Handbook</w:t>
      </w:r>
      <w:r>
        <w:rPr>
          <w:spacing w:val="-1"/>
          <w:sz w:val="18"/>
        </w:rPr>
        <w:t xml:space="preserve"> </w:t>
      </w:r>
      <w:r>
        <w:rPr>
          <w:sz w:val="18"/>
        </w:rPr>
        <w:t>(2013).</w:t>
      </w:r>
    </w:p>
    <w:p w14:paraId="13A54376" w14:textId="77777777" w:rsidR="00277ED2" w:rsidRDefault="00277ED2" w:rsidP="00277ED2">
      <w:pPr>
        <w:pStyle w:val="BodyText"/>
        <w:spacing w:before="9"/>
        <w:ind w:left="0"/>
        <w:rPr>
          <w:sz w:val="15"/>
        </w:rPr>
      </w:pPr>
    </w:p>
    <w:p w14:paraId="4619CD6C" w14:textId="77777777" w:rsidR="00277ED2" w:rsidRDefault="00277ED2" w:rsidP="00277ED2">
      <w:pPr>
        <w:pStyle w:val="ListParagraph"/>
        <w:numPr>
          <w:ilvl w:val="0"/>
          <w:numId w:val="43"/>
        </w:numPr>
        <w:tabs>
          <w:tab w:val="left" w:pos="396"/>
        </w:tabs>
        <w:spacing w:line="314" w:lineRule="auto"/>
        <w:ind w:right="497"/>
        <w:rPr>
          <w:sz w:val="18"/>
        </w:rPr>
      </w:pPr>
      <w:r>
        <w:rPr>
          <w:sz w:val="18"/>
        </w:rPr>
        <w:t xml:space="preserve">MIMS Annual. </w:t>
      </w:r>
      <w:proofErr w:type="spellStart"/>
      <w:r>
        <w:rPr>
          <w:sz w:val="18"/>
        </w:rPr>
        <w:t>Palexia</w:t>
      </w:r>
      <w:proofErr w:type="spellEnd"/>
      <w:r>
        <w:rPr>
          <w:sz w:val="18"/>
        </w:rPr>
        <w:t xml:space="preserve"> SR Full Product Information (2013).</w:t>
      </w:r>
    </w:p>
    <w:p w14:paraId="66EA93FB" w14:textId="77777777" w:rsidR="00277ED2" w:rsidRDefault="00277ED2" w:rsidP="00277ED2">
      <w:pPr>
        <w:pStyle w:val="ListParagraph"/>
        <w:numPr>
          <w:ilvl w:val="0"/>
          <w:numId w:val="43"/>
        </w:numPr>
        <w:tabs>
          <w:tab w:val="left" w:pos="398"/>
        </w:tabs>
        <w:spacing w:before="119" w:line="309" w:lineRule="auto"/>
        <w:ind w:right="339"/>
        <w:rPr>
          <w:sz w:val="18"/>
        </w:rPr>
      </w:pPr>
      <w:r>
        <w:rPr>
          <w:sz w:val="18"/>
        </w:rPr>
        <w:t>Faculty of Pain Medicine, ANCZA. Acute Pain Management: Scientific Evidence, 3</w:t>
      </w:r>
      <w:proofErr w:type="spellStart"/>
      <w:proofErr w:type="gramStart"/>
      <w:r>
        <w:rPr>
          <w:position w:val="6"/>
          <w:sz w:val="12"/>
        </w:rPr>
        <w:t>rd</w:t>
      </w:r>
      <w:proofErr w:type="spellEnd"/>
      <w:r>
        <w:rPr>
          <w:position w:val="6"/>
          <w:sz w:val="12"/>
        </w:rPr>
        <w:t xml:space="preserve">  </w:t>
      </w:r>
      <w:r>
        <w:rPr>
          <w:sz w:val="18"/>
        </w:rPr>
        <w:t>Edition</w:t>
      </w:r>
      <w:proofErr w:type="gramEnd"/>
      <w:r>
        <w:rPr>
          <w:spacing w:val="-19"/>
          <w:sz w:val="18"/>
        </w:rPr>
        <w:t xml:space="preserve"> </w:t>
      </w:r>
      <w:r>
        <w:rPr>
          <w:sz w:val="18"/>
        </w:rPr>
        <w:t>(2010).</w:t>
      </w:r>
    </w:p>
    <w:p w14:paraId="503BE5AA" w14:textId="77777777" w:rsidR="00277ED2" w:rsidRDefault="00277ED2" w:rsidP="00277ED2">
      <w:pPr>
        <w:pStyle w:val="ListParagraph"/>
        <w:numPr>
          <w:ilvl w:val="0"/>
          <w:numId w:val="43"/>
        </w:numPr>
        <w:tabs>
          <w:tab w:val="left" w:pos="398"/>
        </w:tabs>
        <w:spacing w:before="121" w:line="312" w:lineRule="auto"/>
        <w:ind w:right="400"/>
        <w:rPr>
          <w:sz w:val="18"/>
        </w:rPr>
      </w:pPr>
      <w:r>
        <w:rPr>
          <w:sz w:val="18"/>
        </w:rPr>
        <w:t xml:space="preserve">National Institute for Health and Clinical Excellence. ADHD: </w:t>
      </w:r>
      <w:r>
        <w:rPr>
          <w:spacing w:val="-3"/>
          <w:sz w:val="18"/>
        </w:rPr>
        <w:t xml:space="preserve">Diagnosis </w:t>
      </w:r>
      <w:r>
        <w:rPr>
          <w:sz w:val="18"/>
        </w:rPr>
        <w:t>and management of ADHD in children, young people and adults</w:t>
      </w:r>
      <w:r>
        <w:rPr>
          <w:spacing w:val="2"/>
          <w:sz w:val="18"/>
        </w:rPr>
        <w:t xml:space="preserve"> </w:t>
      </w:r>
      <w:r>
        <w:rPr>
          <w:sz w:val="18"/>
        </w:rPr>
        <w:t>(2013).</w:t>
      </w:r>
    </w:p>
    <w:p w14:paraId="24E690AA" w14:textId="77777777" w:rsidR="00277ED2" w:rsidRDefault="00277ED2" w:rsidP="00277ED2">
      <w:pPr>
        <w:pStyle w:val="ListParagraph"/>
        <w:numPr>
          <w:ilvl w:val="0"/>
          <w:numId w:val="43"/>
        </w:numPr>
        <w:tabs>
          <w:tab w:val="left" w:pos="398"/>
        </w:tabs>
        <w:spacing w:before="123"/>
        <w:ind w:left="397" w:hanging="284"/>
        <w:rPr>
          <w:sz w:val="18"/>
        </w:rPr>
      </w:pPr>
      <w:r>
        <w:rPr>
          <w:sz w:val="18"/>
        </w:rPr>
        <w:t>Therapeutic Guidelines: Psychotropic</w:t>
      </w:r>
      <w:r>
        <w:rPr>
          <w:spacing w:val="-1"/>
          <w:sz w:val="18"/>
        </w:rPr>
        <w:t xml:space="preserve"> </w:t>
      </w:r>
      <w:r>
        <w:rPr>
          <w:sz w:val="18"/>
        </w:rPr>
        <w:t>(2013).</w:t>
      </w:r>
    </w:p>
    <w:p w14:paraId="3C487E6F" w14:textId="77777777" w:rsidR="00277ED2" w:rsidRDefault="00277ED2" w:rsidP="00277ED2">
      <w:pPr>
        <w:pStyle w:val="BodyText"/>
        <w:spacing w:before="9"/>
        <w:ind w:left="0"/>
        <w:rPr>
          <w:sz w:val="15"/>
        </w:rPr>
      </w:pPr>
    </w:p>
    <w:p w14:paraId="44273666" w14:textId="77777777" w:rsidR="00277ED2" w:rsidRDefault="00277ED2" w:rsidP="00277ED2">
      <w:pPr>
        <w:pStyle w:val="ListParagraph"/>
        <w:numPr>
          <w:ilvl w:val="0"/>
          <w:numId w:val="43"/>
        </w:numPr>
        <w:tabs>
          <w:tab w:val="left" w:pos="398"/>
        </w:tabs>
        <w:spacing w:line="314" w:lineRule="auto"/>
        <w:ind w:right="455"/>
        <w:rPr>
          <w:sz w:val="18"/>
        </w:rPr>
      </w:pPr>
      <w:r>
        <w:rPr>
          <w:sz w:val="18"/>
        </w:rPr>
        <w:t xml:space="preserve">MIMS Annual. </w:t>
      </w:r>
      <w:proofErr w:type="spellStart"/>
      <w:r>
        <w:rPr>
          <w:sz w:val="18"/>
        </w:rPr>
        <w:t>Hypnodorm</w:t>
      </w:r>
      <w:proofErr w:type="spellEnd"/>
      <w:r>
        <w:rPr>
          <w:sz w:val="18"/>
        </w:rPr>
        <w:t xml:space="preserve"> Full Product Information (2013).</w:t>
      </w:r>
    </w:p>
    <w:p w14:paraId="2F5ECB3C" w14:textId="77777777" w:rsidR="00277ED2" w:rsidRDefault="00277ED2" w:rsidP="00277ED2">
      <w:pPr>
        <w:pStyle w:val="ListParagraph"/>
        <w:numPr>
          <w:ilvl w:val="0"/>
          <w:numId w:val="43"/>
        </w:numPr>
        <w:tabs>
          <w:tab w:val="left" w:pos="398"/>
        </w:tabs>
        <w:spacing w:before="119" w:line="314" w:lineRule="auto"/>
        <w:ind w:right="235"/>
        <w:rPr>
          <w:sz w:val="18"/>
        </w:rPr>
      </w:pPr>
      <w:r>
        <w:rPr>
          <w:sz w:val="18"/>
        </w:rPr>
        <w:t>NPS News 65: Anxiety disorders - which treatment for what anxiety disorder?</w:t>
      </w:r>
      <w:r>
        <w:rPr>
          <w:spacing w:val="-1"/>
          <w:sz w:val="18"/>
        </w:rPr>
        <w:t xml:space="preserve"> </w:t>
      </w:r>
      <w:r>
        <w:rPr>
          <w:sz w:val="18"/>
        </w:rPr>
        <w:t>(2009).</w:t>
      </w:r>
    </w:p>
    <w:p w14:paraId="62A79104" w14:textId="77777777" w:rsidR="00277ED2" w:rsidRDefault="00277ED2" w:rsidP="00277ED2">
      <w:pPr>
        <w:pStyle w:val="ListParagraph"/>
        <w:numPr>
          <w:ilvl w:val="0"/>
          <w:numId w:val="43"/>
        </w:numPr>
        <w:tabs>
          <w:tab w:val="left" w:pos="398"/>
        </w:tabs>
        <w:spacing w:before="119" w:line="314" w:lineRule="auto"/>
        <w:ind w:right="1045"/>
        <w:rPr>
          <w:sz w:val="18"/>
        </w:rPr>
      </w:pPr>
      <w:r>
        <w:rPr>
          <w:sz w:val="18"/>
        </w:rPr>
        <w:t>National Guidelines for Medication-Assisted Treatment of Opioid Dependence</w:t>
      </w:r>
      <w:r>
        <w:rPr>
          <w:spacing w:val="-1"/>
          <w:sz w:val="18"/>
        </w:rPr>
        <w:t xml:space="preserve"> </w:t>
      </w:r>
      <w:r>
        <w:rPr>
          <w:sz w:val="18"/>
        </w:rPr>
        <w:t>(2014).</w:t>
      </w:r>
    </w:p>
    <w:p w14:paraId="51732696" w14:textId="77777777" w:rsidR="00277ED2" w:rsidRDefault="00277ED2" w:rsidP="00277ED2">
      <w:pPr>
        <w:spacing w:line="314" w:lineRule="auto"/>
        <w:rPr>
          <w:sz w:val="18"/>
        </w:rPr>
        <w:sectPr w:rsidR="00277ED2" w:rsidSect="00C861A1">
          <w:footerReference w:type="even" r:id="rId26"/>
          <w:footerReference w:type="default" r:id="rId27"/>
          <w:footerReference w:type="first" r:id="rId28"/>
          <w:pgSz w:w="11900" w:h="16840"/>
          <w:pgMar w:top="1040" w:right="640" w:bottom="780" w:left="1020" w:header="0" w:footer="591" w:gutter="0"/>
          <w:cols w:space="678"/>
        </w:sectPr>
      </w:pPr>
    </w:p>
    <w:tbl>
      <w:tblPr>
        <w:tblStyle w:val="TableGrid"/>
        <w:tblW w:w="0" w:type="auto"/>
        <w:tblCellMar>
          <w:bottom w:w="108" w:type="dxa"/>
        </w:tblCellMar>
        <w:tblLook w:val="0600" w:firstRow="0" w:lastRow="0" w:firstColumn="0" w:lastColumn="0" w:noHBand="1" w:noVBand="1"/>
      </w:tblPr>
      <w:tblGrid>
        <w:gridCol w:w="10194"/>
      </w:tblGrid>
      <w:tr w:rsidR="0055119B" w14:paraId="540B2DCF" w14:textId="77777777" w:rsidTr="00EC40D5">
        <w:tc>
          <w:tcPr>
            <w:tcW w:w="10194" w:type="dxa"/>
          </w:tcPr>
          <w:p w14:paraId="5F016DAC" w14:textId="4ACCFD22" w:rsidR="0055119B" w:rsidRPr="00C861A1" w:rsidRDefault="0055119B" w:rsidP="00C861A1">
            <w:pPr>
              <w:pStyle w:val="Accessibilitypara"/>
            </w:pPr>
            <w:bookmarkStart w:id="16" w:name="_Hlk37240926"/>
            <w:r w:rsidRPr="00C861A1">
              <w:lastRenderedPageBreak/>
              <w:t xml:space="preserve">To receive this document in another format email </w:t>
            </w:r>
            <w:hyperlink r:id="rId29">
              <w:r w:rsidR="00C861A1" w:rsidRPr="00C861A1">
                <w:rPr>
                  <w:rStyle w:val="Hyperlink"/>
                </w:rPr>
                <w:t>dpcs@health.vic.gov.au</w:t>
              </w:r>
              <w:r w:rsidR="00C861A1" w:rsidRPr="00C861A1">
                <w:t>.</w:t>
              </w:r>
            </w:hyperlink>
          </w:p>
          <w:p w14:paraId="54D95053" w14:textId="77777777" w:rsidR="0055119B" w:rsidRPr="0055119B" w:rsidRDefault="0055119B" w:rsidP="00E33237">
            <w:pPr>
              <w:pStyle w:val="Imprint"/>
            </w:pPr>
            <w:r w:rsidRPr="0055119B">
              <w:t>Authorised and published by the Victorian Government, 1 Treasury Place, Melbourne.</w:t>
            </w:r>
          </w:p>
          <w:p w14:paraId="2FEB6F1F" w14:textId="48B5CE9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861A1" w:rsidRPr="00C861A1">
              <w:t>January 2015</w:t>
            </w:r>
            <w:r w:rsidRPr="0055119B">
              <w:t>.</w:t>
            </w:r>
          </w:p>
          <w:p w14:paraId="4C9E16FE" w14:textId="02753D1A" w:rsidR="0055119B" w:rsidRPr="0055119B" w:rsidRDefault="0055119B" w:rsidP="00E33237">
            <w:pPr>
              <w:pStyle w:val="Imprint"/>
            </w:pPr>
            <w:r w:rsidRPr="0055119B">
              <w:t xml:space="preserve">Available at </w:t>
            </w:r>
            <w:r w:rsidRPr="00E33237">
              <w:rPr>
                <w:color w:val="004C97"/>
              </w:rPr>
              <w:t>insert web site or web page name and make this the hyperlink</w:t>
            </w:r>
            <w:r w:rsidRPr="0055119B">
              <w:t xml:space="preserve"> &lt;</w:t>
            </w:r>
            <w:r w:rsidR="00C861A1" w:rsidRPr="00C861A1">
              <w:rPr>
                <w:color w:val="004C97"/>
              </w:rPr>
              <w:t>https://www.health.vic.gov.au/drugs-and-poisons/stimulants-for-adhd-or-narcolepsy-permit-requirements</w:t>
            </w:r>
            <w:r w:rsidRPr="0055119B">
              <w:t>&gt;</w:t>
            </w:r>
          </w:p>
          <w:p w14:paraId="67E4EAA8" w14:textId="77777777" w:rsidR="0055119B" w:rsidRDefault="0055119B" w:rsidP="00E33237">
            <w:pPr>
              <w:pStyle w:val="Imprint"/>
            </w:pPr>
            <w:r w:rsidRPr="0055119B">
              <w:t xml:space="preserve">Printed by </w:t>
            </w:r>
            <w:r w:rsidRPr="00E33237">
              <w:rPr>
                <w:color w:val="004C97"/>
              </w:rPr>
              <w:t>insert printing company name, suburb</w:t>
            </w:r>
            <w:r w:rsidRPr="0055119B">
              <w:t xml:space="preserve"> (</w:t>
            </w:r>
            <w:r w:rsidRPr="00E33237">
              <w:rPr>
                <w:color w:val="004C97"/>
              </w:rPr>
              <w:t>insert design job number in brackets</w:t>
            </w:r>
            <w:r w:rsidRPr="0055119B">
              <w:t>)</w:t>
            </w:r>
          </w:p>
        </w:tc>
      </w:tr>
      <w:bookmarkEnd w:id="16"/>
    </w:tbl>
    <w:p w14:paraId="4BE944ED" w14:textId="77777777" w:rsidR="00162CA9" w:rsidRDefault="00162CA9" w:rsidP="00162CA9">
      <w:pPr>
        <w:pStyle w:val="Body"/>
      </w:pPr>
    </w:p>
    <w:sectPr w:rsidR="00162CA9" w:rsidSect="00E62622">
      <w:footerReference w:type="even" r:id="rId30"/>
      <w:footerReference w:type="default" r:id="rId31"/>
      <w:footerReference w:type="firs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9D0C" w14:textId="77777777" w:rsidR="002128F6" w:rsidRDefault="002128F6">
      <w:r>
        <w:separator/>
      </w:r>
    </w:p>
  </w:endnote>
  <w:endnote w:type="continuationSeparator" w:id="0">
    <w:p w14:paraId="602DE6E3" w14:textId="77777777" w:rsidR="002128F6" w:rsidRDefault="0021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70CC" w14:textId="5C098D66" w:rsidR="00DE6404" w:rsidRDefault="00DE6404">
    <w:pPr>
      <w:pStyle w:val="Footer"/>
    </w:pPr>
    <w:r>
      <w:rPr>
        <w:noProof/>
      </w:rPr>
      <mc:AlternateContent>
        <mc:Choice Requires="wps">
          <w:drawing>
            <wp:anchor distT="0" distB="0" distL="0" distR="0" simplePos="0" relativeHeight="251682304" behindDoc="0" locked="0" layoutInCell="1" allowOverlap="1" wp14:anchorId="75826807" wp14:editId="02039083">
              <wp:simplePos x="635" y="635"/>
              <wp:positionH relativeFrom="page">
                <wp:align>center</wp:align>
              </wp:positionH>
              <wp:positionV relativeFrom="page">
                <wp:align>bottom</wp:align>
              </wp:positionV>
              <wp:extent cx="656590" cy="369570"/>
              <wp:effectExtent l="0" t="0" r="10160" b="0"/>
              <wp:wrapNone/>
              <wp:docPr id="7987816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70C6F7" w14:textId="098DAFED"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26807" id="_x0000_t202" coordsize="21600,21600" o:spt="202" path="m,l,21600r21600,l21600,xe">
              <v:stroke joinstyle="miter"/>
              <v:path gradientshapeok="t" o:connecttype="rect"/>
            </v:shapetype>
            <v:shape id="Text Box 7" o:spid="_x0000_s1026" type="#_x0000_t202" alt="OFFICIAL" style="position:absolute;left:0;text-align:left;margin-left:0;margin-top:0;width:51.7pt;height:29.1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2870C6F7" w14:textId="098DAFED"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61B9" w14:textId="037463E4" w:rsidR="00DE6404" w:rsidRDefault="00DE6404">
    <w:pPr>
      <w:pStyle w:val="Footer"/>
    </w:pPr>
    <w:r>
      <w:rPr>
        <w:noProof/>
      </w:rPr>
      <mc:AlternateContent>
        <mc:Choice Requires="wps">
          <w:drawing>
            <wp:anchor distT="0" distB="0" distL="0" distR="0" simplePos="0" relativeHeight="251691520" behindDoc="0" locked="0" layoutInCell="1" allowOverlap="1" wp14:anchorId="2328DAC7" wp14:editId="36F54CDE">
              <wp:simplePos x="635" y="635"/>
              <wp:positionH relativeFrom="page">
                <wp:align>center</wp:align>
              </wp:positionH>
              <wp:positionV relativeFrom="page">
                <wp:align>bottom</wp:align>
              </wp:positionV>
              <wp:extent cx="656590" cy="369570"/>
              <wp:effectExtent l="0" t="0" r="10160" b="0"/>
              <wp:wrapNone/>
              <wp:docPr id="93109346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AB3513" w14:textId="471FFF0E"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8DAC7" id="_x0000_t202" coordsize="21600,21600" o:spt="202" path="m,l,21600r21600,l21600,xe">
              <v:stroke joinstyle="miter"/>
              <v:path gradientshapeok="t" o:connecttype="rect"/>
            </v:shapetype>
            <v:shape id="Text Box 16" o:spid="_x0000_s1037" type="#_x0000_t202" alt="OFFICIAL" style="position:absolute;left:0;text-align:left;margin-left:0;margin-top:0;width:51.7pt;height:29.1pt;z-index:25169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4AB3513" w14:textId="471FFF0E"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E35B" w14:textId="433D8ACB" w:rsidR="00373890" w:rsidRPr="00F65AA9" w:rsidRDefault="00DE6404" w:rsidP="00F84FA0">
    <w:pPr>
      <w:pStyle w:val="Footer"/>
    </w:pPr>
    <w:r>
      <w:rPr>
        <w:noProof/>
      </w:rPr>
      <mc:AlternateContent>
        <mc:Choice Requires="wps">
          <w:drawing>
            <wp:anchor distT="0" distB="0" distL="0" distR="0" simplePos="0" relativeHeight="251692544" behindDoc="0" locked="0" layoutInCell="1" allowOverlap="1" wp14:anchorId="2B0272FA" wp14:editId="1CD92C84">
              <wp:simplePos x="635" y="635"/>
              <wp:positionH relativeFrom="page">
                <wp:align>center</wp:align>
              </wp:positionH>
              <wp:positionV relativeFrom="page">
                <wp:align>bottom</wp:align>
              </wp:positionV>
              <wp:extent cx="656590" cy="369570"/>
              <wp:effectExtent l="0" t="0" r="10160" b="0"/>
              <wp:wrapNone/>
              <wp:docPr id="106906155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181059" w14:textId="72381A3E"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272FA" id="_x0000_t202" coordsize="21600,21600" o:spt="202" path="m,l,21600r21600,l21600,xe">
              <v:stroke joinstyle="miter"/>
              <v:path gradientshapeok="t" o:connecttype="rect"/>
            </v:shapetype>
            <v:shape id="Text Box 17" o:spid="_x0000_s1038" type="#_x0000_t202" alt="OFFICIAL" style="position:absolute;left:0;text-align:left;margin-left:0;margin-top:0;width:51.7pt;height:29.1pt;z-index:2516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C181059" w14:textId="72381A3E"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FC4D" w14:textId="609B9832" w:rsidR="00DE6404" w:rsidRDefault="00DE6404">
    <w:pPr>
      <w:pStyle w:val="Footer"/>
    </w:pPr>
    <w:r>
      <w:rPr>
        <w:noProof/>
      </w:rPr>
      <mc:AlternateContent>
        <mc:Choice Requires="wps">
          <w:drawing>
            <wp:anchor distT="0" distB="0" distL="0" distR="0" simplePos="0" relativeHeight="251690496" behindDoc="0" locked="0" layoutInCell="1" allowOverlap="1" wp14:anchorId="4C2A96F9" wp14:editId="68EAEA19">
              <wp:simplePos x="635" y="635"/>
              <wp:positionH relativeFrom="page">
                <wp:align>center</wp:align>
              </wp:positionH>
              <wp:positionV relativeFrom="page">
                <wp:align>bottom</wp:align>
              </wp:positionV>
              <wp:extent cx="656590" cy="369570"/>
              <wp:effectExtent l="0" t="0" r="10160" b="0"/>
              <wp:wrapNone/>
              <wp:docPr id="154538406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30EF67B" w14:textId="701283D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A96F9" id="_x0000_t202" coordsize="21600,21600" o:spt="202" path="m,l,21600r21600,l21600,xe">
              <v:stroke joinstyle="miter"/>
              <v:path gradientshapeok="t" o:connecttype="rect"/>
            </v:shapetype>
            <v:shape id="Text Box 15" o:spid="_x0000_s1039" type="#_x0000_t202" alt="OFFICIAL" style="position:absolute;left:0;text-align:left;margin-left:0;margin-top:0;width:51.7pt;height:29.1pt;z-index:25169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30EF67B" w14:textId="701283D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AC51" w14:textId="69D5BFD9" w:rsidR="00E261B3" w:rsidRPr="00F65AA9" w:rsidRDefault="00DE6404" w:rsidP="00F84FA0">
    <w:pPr>
      <w:pStyle w:val="Footer"/>
    </w:pPr>
    <w:r>
      <w:rPr>
        <w:noProof/>
        <w:lang w:eastAsia="en-AU"/>
      </w:rPr>
      <mc:AlternateContent>
        <mc:Choice Requires="wps">
          <w:drawing>
            <wp:anchor distT="0" distB="0" distL="0" distR="0" simplePos="0" relativeHeight="251683328" behindDoc="0" locked="0" layoutInCell="1" allowOverlap="1" wp14:anchorId="482DC68B" wp14:editId="6E33C457">
              <wp:simplePos x="542925" y="9820275"/>
              <wp:positionH relativeFrom="page">
                <wp:align>center</wp:align>
              </wp:positionH>
              <wp:positionV relativeFrom="page">
                <wp:align>bottom</wp:align>
              </wp:positionV>
              <wp:extent cx="656590" cy="369570"/>
              <wp:effectExtent l="0" t="0" r="10160" b="0"/>
              <wp:wrapNone/>
              <wp:docPr id="159602125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4F27BD1" w14:textId="0584C125"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DC68B" id="_x0000_t202" coordsize="21600,21600" o:spt="202" path="m,l,21600r21600,l21600,xe">
              <v:stroke joinstyle="miter"/>
              <v:path gradientshapeok="t" o:connecttype="rect"/>
            </v:shapetype>
            <v:shape id="Text Box 8" o:spid="_x0000_s1027" type="#_x0000_t202" alt="OFFICIAL" style="position:absolute;left:0;text-align:left;margin-left:0;margin-top:0;width:51.7pt;height:29.1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24F27BD1" w14:textId="0584C125"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7D3A539F" wp14:editId="41A6F63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727C" w14:textId="15F497E2" w:rsidR="00E261B3" w:rsidRDefault="00DE6404">
    <w:pPr>
      <w:pStyle w:val="Footer"/>
    </w:pPr>
    <w:r>
      <w:rPr>
        <w:noProof/>
      </w:rPr>
      <mc:AlternateContent>
        <mc:Choice Requires="wps">
          <w:drawing>
            <wp:anchor distT="0" distB="0" distL="0" distR="0" simplePos="0" relativeHeight="251681280" behindDoc="0" locked="0" layoutInCell="1" allowOverlap="1" wp14:anchorId="63738899" wp14:editId="366AF2BF">
              <wp:simplePos x="635" y="635"/>
              <wp:positionH relativeFrom="page">
                <wp:align>center</wp:align>
              </wp:positionH>
              <wp:positionV relativeFrom="page">
                <wp:align>bottom</wp:align>
              </wp:positionV>
              <wp:extent cx="656590" cy="369570"/>
              <wp:effectExtent l="0" t="0" r="10160" b="0"/>
              <wp:wrapNone/>
              <wp:docPr id="9372172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3E8C430" w14:textId="33BB265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38899" id="_x0000_t202" coordsize="21600,21600" o:spt="202" path="m,l,21600r21600,l21600,xe">
              <v:stroke joinstyle="miter"/>
              <v:path gradientshapeok="t" o:connecttype="rect"/>
            </v:shapetype>
            <v:shape id="Text Box 6" o:spid="_x0000_s1028" type="#_x0000_t202" alt="OFFICIAL" style="position:absolute;left:0;text-align:left;margin-left:0;margin-top:0;width:51.7pt;height:29.1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3E8C430" w14:textId="33BB265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ADBD" w14:textId="1F6BEC04" w:rsidR="00DE6404" w:rsidRDefault="00DE6404">
    <w:pPr>
      <w:pStyle w:val="Footer"/>
    </w:pPr>
    <w:r>
      <w:rPr>
        <w:noProof/>
      </w:rPr>
      <mc:AlternateContent>
        <mc:Choice Requires="wps">
          <w:drawing>
            <wp:anchor distT="0" distB="0" distL="0" distR="0" simplePos="0" relativeHeight="251685376" behindDoc="0" locked="0" layoutInCell="1" allowOverlap="1" wp14:anchorId="0A4A2A20" wp14:editId="49A6D77E">
              <wp:simplePos x="635" y="635"/>
              <wp:positionH relativeFrom="page">
                <wp:align>center</wp:align>
              </wp:positionH>
              <wp:positionV relativeFrom="page">
                <wp:align>bottom</wp:align>
              </wp:positionV>
              <wp:extent cx="656590" cy="369570"/>
              <wp:effectExtent l="0" t="0" r="10160" b="0"/>
              <wp:wrapNone/>
              <wp:docPr id="77670642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F8834E" w14:textId="19D2221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A2A20" id="_x0000_t202" coordsize="21600,21600" o:spt="202" path="m,l,21600r21600,l21600,xe">
              <v:stroke joinstyle="miter"/>
              <v:path gradientshapeok="t" o:connecttype="rect"/>
            </v:shapetype>
            <v:shape id="Text Box 10" o:spid="_x0000_s1029" type="#_x0000_t202" alt="OFFICIAL" style="position:absolute;left:0;text-align:left;margin-left:0;margin-top:0;width:51.7pt;height:29.1pt;z-index:251685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5F8834E" w14:textId="19D2221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3F2C" w14:textId="20BD1993" w:rsidR="00DE6404" w:rsidRDefault="00DE6404">
    <w:pPr>
      <w:pStyle w:val="Footer"/>
    </w:pPr>
    <w:r>
      <w:rPr>
        <w:noProof/>
      </w:rPr>
      <mc:AlternateContent>
        <mc:Choice Requires="wps">
          <w:drawing>
            <wp:anchor distT="0" distB="0" distL="0" distR="0" simplePos="0" relativeHeight="251686400" behindDoc="0" locked="0" layoutInCell="1" allowOverlap="1" wp14:anchorId="118ACD2F" wp14:editId="13449CE7">
              <wp:simplePos x="635" y="635"/>
              <wp:positionH relativeFrom="page">
                <wp:align>center</wp:align>
              </wp:positionH>
              <wp:positionV relativeFrom="page">
                <wp:align>bottom</wp:align>
              </wp:positionV>
              <wp:extent cx="656590" cy="369570"/>
              <wp:effectExtent l="0" t="0" r="10160" b="0"/>
              <wp:wrapNone/>
              <wp:docPr id="61222548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C02CBB3" w14:textId="624D431B"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ACD2F" id="_x0000_t202" coordsize="21600,21600" o:spt="202" path="m,l,21600r21600,l21600,xe">
              <v:stroke joinstyle="miter"/>
              <v:path gradientshapeok="t" o:connecttype="rect"/>
            </v:shapetype>
            <v:shape id="Text Box 11" o:spid="_x0000_s1030" type="#_x0000_t202" alt="OFFICIAL" style="position:absolute;left:0;text-align:left;margin-left:0;margin-top:0;width:51.7pt;height:29.1pt;z-index:25168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C02CBB3" w14:textId="624D431B"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6992" w14:textId="53B9A96F" w:rsidR="00DE6404" w:rsidRDefault="00DE6404">
    <w:pPr>
      <w:pStyle w:val="Footer"/>
    </w:pPr>
    <w:r>
      <w:rPr>
        <w:noProof/>
      </w:rPr>
      <mc:AlternateContent>
        <mc:Choice Requires="wps">
          <w:drawing>
            <wp:anchor distT="0" distB="0" distL="0" distR="0" simplePos="0" relativeHeight="251684352" behindDoc="0" locked="0" layoutInCell="1" allowOverlap="1" wp14:anchorId="14A5F506" wp14:editId="7C4F8CF6">
              <wp:simplePos x="635" y="635"/>
              <wp:positionH relativeFrom="page">
                <wp:align>center</wp:align>
              </wp:positionH>
              <wp:positionV relativeFrom="page">
                <wp:align>bottom</wp:align>
              </wp:positionV>
              <wp:extent cx="656590" cy="369570"/>
              <wp:effectExtent l="0" t="0" r="10160" b="0"/>
              <wp:wrapNone/>
              <wp:docPr id="14292264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A87F5DF" w14:textId="4CF07727"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5F506" id="_x0000_t202" coordsize="21600,21600" o:spt="202" path="m,l,21600r21600,l21600,xe">
              <v:stroke joinstyle="miter"/>
              <v:path gradientshapeok="t" o:connecttype="rect"/>
            </v:shapetype>
            <v:shape id="Text Box 9" o:spid="_x0000_s1031" type="#_x0000_t202" alt="OFFICIAL" style="position:absolute;left:0;text-align:left;margin-left:0;margin-top:0;width:51.7pt;height:29.1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A87F5DF" w14:textId="4CF07727"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27D0" w14:textId="3019A9D9" w:rsidR="00DE6404" w:rsidRDefault="00DE6404">
    <w:pPr>
      <w:pStyle w:val="Footer"/>
    </w:pPr>
    <w:r>
      <w:rPr>
        <w:noProof/>
      </w:rPr>
      <mc:AlternateContent>
        <mc:Choice Requires="wps">
          <w:drawing>
            <wp:anchor distT="0" distB="0" distL="0" distR="0" simplePos="0" relativeHeight="251688448" behindDoc="0" locked="0" layoutInCell="1" allowOverlap="1" wp14:anchorId="6395C29F" wp14:editId="2389F506">
              <wp:simplePos x="635" y="635"/>
              <wp:positionH relativeFrom="page">
                <wp:align>center</wp:align>
              </wp:positionH>
              <wp:positionV relativeFrom="page">
                <wp:align>bottom</wp:align>
              </wp:positionV>
              <wp:extent cx="656590" cy="369570"/>
              <wp:effectExtent l="0" t="0" r="10160" b="0"/>
              <wp:wrapNone/>
              <wp:docPr id="1663483688"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900B1E" w14:textId="3E077AF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5C29F" id="_x0000_t202" coordsize="21600,21600" o:spt="202" path="m,l,21600r21600,l21600,xe">
              <v:stroke joinstyle="miter"/>
              <v:path gradientshapeok="t" o:connecttype="rect"/>
            </v:shapetype>
            <v:shape id="Text Box 13" o:spid="_x0000_s1032" type="#_x0000_t202" alt="OFFICIAL" style="position:absolute;left:0;text-align:left;margin-left:0;margin-top:0;width:51.7pt;height:29.1pt;z-index:25168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1900B1E" w14:textId="3E077AF4"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4274" w14:textId="00E2067E" w:rsidR="00277ED2" w:rsidRDefault="00DE6404">
    <w:pPr>
      <w:pStyle w:val="BodyText"/>
      <w:spacing w:line="14" w:lineRule="auto"/>
      <w:ind w:left="0"/>
    </w:pPr>
    <w:r>
      <w:rPr>
        <w:noProof/>
      </w:rPr>
      <mc:AlternateContent>
        <mc:Choice Requires="wps">
          <w:drawing>
            <wp:anchor distT="0" distB="0" distL="0" distR="0" simplePos="0" relativeHeight="251689472" behindDoc="0" locked="0" layoutInCell="1" allowOverlap="1" wp14:anchorId="7A1FB037" wp14:editId="0AF00D65">
              <wp:simplePos x="648335" y="10310495"/>
              <wp:positionH relativeFrom="page">
                <wp:align>center</wp:align>
              </wp:positionH>
              <wp:positionV relativeFrom="page">
                <wp:align>bottom</wp:align>
              </wp:positionV>
              <wp:extent cx="656590" cy="369570"/>
              <wp:effectExtent l="0" t="0" r="10160" b="0"/>
              <wp:wrapNone/>
              <wp:docPr id="127478419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19246F" w14:textId="66977962"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FB037" id="_x0000_t202" coordsize="21600,21600" o:spt="202" path="m,l,21600r21600,l21600,xe">
              <v:stroke joinstyle="miter"/>
              <v:path gradientshapeok="t" o:connecttype="rect"/>
            </v:shapetype>
            <v:shape id="Text Box 14" o:spid="_x0000_s1033" type="#_x0000_t202" alt="OFFICIAL" style="position:absolute;margin-left:0;margin-top:0;width:51.7pt;height:29.1pt;z-index:2516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319246F" w14:textId="66977962"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r w:rsidR="00277ED2">
      <w:rPr>
        <w:noProof/>
      </w:rPr>
      <mc:AlternateContent>
        <mc:Choice Requires="wps">
          <w:drawing>
            <wp:anchor distT="0" distB="0" distL="114300" distR="114300" simplePos="0" relativeHeight="251679232" behindDoc="1" locked="0" layoutInCell="1" allowOverlap="1" wp14:anchorId="32E3EF1E" wp14:editId="6AABF8AC">
              <wp:simplePos x="0" y="0"/>
              <wp:positionH relativeFrom="page">
                <wp:posOffset>706755</wp:posOffset>
              </wp:positionH>
              <wp:positionV relativeFrom="page">
                <wp:posOffset>10177145</wp:posOffset>
              </wp:positionV>
              <wp:extent cx="424815" cy="167640"/>
              <wp:effectExtent l="1905" t="4445" r="1905" b="0"/>
              <wp:wrapNone/>
              <wp:docPr id="5812905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0740" w14:textId="77777777" w:rsidR="00277ED2" w:rsidRDefault="00277ED2">
                          <w:pPr>
                            <w:pStyle w:val="BodyText"/>
                            <w:spacing w:before="13"/>
                            <w:ind w:left="20"/>
                          </w:pPr>
                          <w:r>
                            <w:rPr>
                              <w:color w:val="808080"/>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EF1E" id="Text Box 5" o:spid="_x0000_s1034" type="#_x0000_t202" style="position:absolute;margin-left:55.65pt;margin-top:801.35pt;width:33.45pt;height:13.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D2QEAAJcDAAAOAAAAZHJzL2Uyb0RvYy54bWysU9uO0zAQfUfiHyy/0zRVKVXUdLXsahHS&#10;cpEWPsB1nMQi8ZgZt0n5esZO0+XyhnixJmP7+Fwmu5ux78TJIFlwpcwXSymM01BZ15Ty65eHV1sp&#10;KChXqQ6cKeXZkLzZv3yxG3xhVtBCVxkUDOKoGHwp2xB8kWWkW9MrWoA3jjdrwF4F/sQmq1ANjN53&#10;2Wq53GQDYOURtCHi7v20KfcJv66NDp/qmkwQXSmZW0grpvUQ12y/U0WDyrdWX2iof2DRK+v40SvU&#10;vQpKHNH+BdVbjUBQh4WGPoO6ttokDawmX/6h5qlV3iQtbA75q030/2D1x9OT/4wijG9h5ACTCPKP&#10;oL+RcHDXKteYW0QYWqMqfjiPlmWDp+JyNVpNBUWQw/ABKg5ZHQMkoLHGPrrCOgWjcwDnq+lmDEJz&#10;c71ab/PXUmjeyjdvNusUSqaK+bJHCu8M9CIWpUTONIGr0yOFSEYV85H4loMH23Up18791uCDsZPI&#10;R74T8zAeRmGrUm6jsqjlANWZ1SBM08LTzUUL+EOKgSellPT9qNBI0b137Egcq7nAuTjMhXKar5Yy&#10;SDGVd2Eav6NH27SMPHnu4JZdq21S9MziQpfTT0IvkxrH69fvdOr5f9r/BAAA//8DAFBLAwQUAAYA&#10;CAAAACEAvSHgKeAAAAANAQAADwAAAGRycy9kb3ducmV2LnhtbEyPwU7DMBBE70j8g7VI3KidIKVt&#10;iFNVCE5IiDQcODrxNrEar0PstuHvcU5w29kdzb4pdrMd2AUnbxxJSFYCGFLrtKFOwmf9+rAB5oMi&#10;rQZHKOEHPezK25tC5dpdqcLLIXQshpDPlYQ+hDHn3Lc9WuVXbkSKt6ObrApRTh3Xk7rGcDvwVIiM&#10;W2UofujViM89tqfD2UrYf1H1Yr7fm4/qWJm63gp6y05S3t/N+ydgAefwZ4YFP6JDGZkadybt2RB1&#10;kjxGaxwyka6BLZb1JgXWLKt0mwAvC/6/RfkLAAD//wMAUEsBAi0AFAAGAAgAAAAhALaDOJL+AAAA&#10;4QEAABMAAAAAAAAAAAAAAAAAAAAAAFtDb250ZW50X1R5cGVzXS54bWxQSwECLQAUAAYACAAAACEA&#10;OP0h/9YAAACUAQAACwAAAAAAAAAAAAAAAAAvAQAAX3JlbHMvLnJlbHNQSwECLQAUAAYACAAAACEA&#10;X/FkA9kBAACXAwAADgAAAAAAAAAAAAAAAAAuAgAAZHJzL2Uyb0RvYy54bWxQSwECLQAUAAYACAAA&#10;ACEAvSHgKeAAAAANAQAADwAAAAAAAAAAAAAAAAAzBAAAZHJzL2Rvd25yZXYueG1sUEsFBgAAAAAE&#10;AAQA8wAAAEAFAAAAAA==&#10;" filled="f" stroked="f">
              <v:textbox inset="0,0,0,0">
                <w:txbxContent>
                  <w:p w14:paraId="786E0740" w14:textId="77777777" w:rsidR="00277ED2" w:rsidRDefault="00277ED2">
                    <w:pPr>
                      <w:pStyle w:val="BodyText"/>
                      <w:spacing w:before="13"/>
                      <w:ind w:left="20"/>
                    </w:pPr>
                    <w:r>
                      <w:rPr>
                        <w:color w:val="808080"/>
                      </w:rPr>
                      <w:t>Page 6</w:t>
                    </w:r>
                  </w:p>
                </w:txbxContent>
              </v:textbox>
              <w10:wrap anchorx="page" anchory="page"/>
            </v:shape>
          </w:pict>
        </mc:Fallback>
      </mc:AlternateContent>
    </w:r>
    <w:r w:rsidR="00277ED2">
      <w:rPr>
        <w:noProof/>
      </w:rPr>
      <mc:AlternateContent>
        <mc:Choice Requires="wps">
          <w:drawing>
            <wp:anchor distT="0" distB="0" distL="114300" distR="114300" simplePos="0" relativeHeight="251680256" behindDoc="1" locked="0" layoutInCell="1" allowOverlap="1" wp14:anchorId="6D590DD7" wp14:editId="5FE0BF8D">
              <wp:simplePos x="0" y="0"/>
              <wp:positionH relativeFrom="page">
                <wp:posOffset>5797550</wp:posOffset>
              </wp:positionH>
              <wp:positionV relativeFrom="page">
                <wp:posOffset>10177145</wp:posOffset>
              </wp:positionV>
              <wp:extent cx="1232535" cy="167640"/>
              <wp:effectExtent l="0" t="4445" r="0" b="0"/>
              <wp:wrapNone/>
              <wp:docPr id="1898922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35B8" w14:textId="77777777" w:rsidR="00277ED2" w:rsidRDefault="00277ED2">
                          <w:pPr>
                            <w:pStyle w:val="BodyText"/>
                            <w:spacing w:before="13"/>
                            <w:ind w:left="20"/>
                          </w:pPr>
                          <w:r>
                            <w:rPr>
                              <w:color w:val="808080"/>
                            </w:rPr>
                            <w:t>Department of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0DD7" id="Text Box 4" o:spid="_x0000_s1035" type="#_x0000_t202" style="position:absolute;margin-left:456.5pt;margin-top:801.35pt;width:97.05pt;height:13.2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lM2gEAAJgDAAAOAAAAZHJzL2Uyb0RvYy54bWysU9uO0zAQfUfiHyy/07RdtkDUdLXsahHS&#10;cpGW/YCJ4yQWiceM3Sbl6xk7TRfYN8SLNfHlzLlMtldj34mDJm/QFnK1WEqhrcLK2KaQj9/uXr2V&#10;wgewFXRodSGP2sur3csX28Hleo0tdpUmwSDW54MrZBuCy7PMq1b34BfotOXDGqmHwJ/UZBXBwOh9&#10;l62Xy002IFWOUGnvefd2OpS7hF/XWoUvde11EF0hmVtIK6W1jGu220LeELjWqBMN+AcWPRjLTc9Q&#10;txBA7Mk8g+qNIvRYh4XCPsO6NkonDaxmtfxLzUMLTictbI53Z5v8/4NVnw8P7iuJML7HkQNMIry7&#10;R/XdC4s3LdhGXxPh0GqouPEqWpYNzuenp9Fqn/sIUg6fsOKQYR8wAY019dEV1ikYnQM4nk3XYxAq&#10;tlxfrC8vLqVQfLbavNm8TqlkkM+vHfnwQWMvYlFI4lATOhzufYhsIJ+vxGYW70zXpWA7+8cGX4w7&#10;iX0kPFEPYzkKUxXyXZQWxZRYHVkO4TQuPN5ctEg/pRh4VArpf+yBtBTdR8uWxLmaC5qLci7AKn5a&#10;yCDFVN6Eaf72jkzTMvJkusVrtq02SdETixNdjj8JPY1qnK/fv9Otpx9q9wsAAP//AwBQSwMEFAAG&#10;AAgAAAAhAIDuvCDhAAAADgEAAA8AAABkcnMvZG93bnJldi54bWxMj8FOwzAQRO9I/QdrK3GjtoOU&#10;khCnqhCckBBpOHB0YjexGq9D7Lbh73FO9Lgzo9k3xW62A7noyRuHAviGAdHYOmWwE/BVvz08AfFB&#10;opKDQy3gV3vYlau7QubKXbHSl0PoSCxBn0sBfQhjTqlve22l37hRY/SObrIyxHPqqJrkNZbbgSaM&#10;pdRKg/FDL0f90uv2dDhbAftvrF7Nz0fzWR0rU9cZw/f0JMT9et4/Awl6Dv9hWPAjOpSRqXFnVJ4M&#10;AjL+GLeEaKQs2QJZIpxtOZBm0ZKMAy0Lejuj/AMAAP//AwBQSwECLQAUAAYACAAAACEAtoM4kv4A&#10;AADhAQAAEwAAAAAAAAAAAAAAAAAAAAAAW0NvbnRlbnRfVHlwZXNdLnhtbFBLAQItABQABgAIAAAA&#10;IQA4/SH/1gAAAJQBAAALAAAAAAAAAAAAAAAAAC8BAABfcmVscy8ucmVsc1BLAQItABQABgAIAAAA&#10;IQCUU6lM2gEAAJgDAAAOAAAAAAAAAAAAAAAAAC4CAABkcnMvZTJvRG9jLnhtbFBLAQItABQABgAI&#10;AAAAIQCA7rwg4QAAAA4BAAAPAAAAAAAAAAAAAAAAADQEAABkcnMvZG93bnJldi54bWxQSwUGAAAA&#10;AAQABADzAAAAQgUAAAAA&#10;" filled="f" stroked="f">
              <v:textbox inset="0,0,0,0">
                <w:txbxContent>
                  <w:p w14:paraId="4BD635B8" w14:textId="77777777" w:rsidR="00277ED2" w:rsidRDefault="00277ED2">
                    <w:pPr>
                      <w:pStyle w:val="BodyText"/>
                      <w:spacing w:before="13"/>
                      <w:ind w:left="20"/>
                    </w:pPr>
                    <w:r>
                      <w:rPr>
                        <w:color w:val="808080"/>
                      </w:rPr>
                      <w:t>Department of Health</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9906" w14:textId="1C7B1F8D" w:rsidR="00DE6404" w:rsidRDefault="00DE6404">
    <w:pPr>
      <w:pStyle w:val="Footer"/>
    </w:pPr>
    <w:r>
      <w:rPr>
        <w:noProof/>
      </w:rPr>
      <mc:AlternateContent>
        <mc:Choice Requires="wps">
          <w:drawing>
            <wp:anchor distT="0" distB="0" distL="0" distR="0" simplePos="0" relativeHeight="251687424" behindDoc="0" locked="0" layoutInCell="1" allowOverlap="1" wp14:anchorId="3A7637D8" wp14:editId="27E613E4">
              <wp:simplePos x="635" y="635"/>
              <wp:positionH relativeFrom="page">
                <wp:align>center</wp:align>
              </wp:positionH>
              <wp:positionV relativeFrom="page">
                <wp:align>bottom</wp:align>
              </wp:positionV>
              <wp:extent cx="656590" cy="369570"/>
              <wp:effectExtent l="0" t="0" r="10160" b="0"/>
              <wp:wrapNone/>
              <wp:docPr id="198948756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06AF116" w14:textId="11AF9623"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637D8" id="_x0000_t202" coordsize="21600,21600" o:spt="202" path="m,l,21600r21600,l21600,xe">
              <v:stroke joinstyle="miter"/>
              <v:path gradientshapeok="t" o:connecttype="rect"/>
            </v:shapetype>
            <v:shape id="Text Box 12" o:spid="_x0000_s1036" type="#_x0000_t202" alt="OFFICIAL" style="position:absolute;left:0;text-align:left;margin-left:0;margin-top:0;width:51.7pt;height:29.1pt;z-index:25168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306AF116" w14:textId="11AF9623" w:rsidR="00DE6404" w:rsidRPr="00DE6404" w:rsidRDefault="00DE6404" w:rsidP="00DE6404">
                    <w:pPr>
                      <w:spacing w:after="0"/>
                      <w:rPr>
                        <w:rFonts w:ascii="Arial Black" w:eastAsia="Arial Black" w:hAnsi="Arial Black" w:cs="Arial Black"/>
                        <w:noProof/>
                        <w:color w:val="000000"/>
                        <w:sz w:val="20"/>
                      </w:rPr>
                    </w:pPr>
                    <w:r w:rsidRPr="00DE640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43BC" w14:textId="77777777" w:rsidR="002128F6" w:rsidRDefault="002128F6" w:rsidP="002862F1">
      <w:pPr>
        <w:spacing w:before="120"/>
      </w:pPr>
      <w:r>
        <w:separator/>
      </w:r>
    </w:p>
  </w:footnote>
  <w:footnote w:type="continuationSeparator" w:id="0">
    <w:p w14:paraId="09F64615" w14:textId="77777777" w:rsidR="002128F6" w:rsidRDefault="0021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B75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9374" w14:textId="52979F03" w:rsidR="00E261B3" w:rsidRPr="0051568D" w:rsidRDefault="008C3697" w:rsidP="0011701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97BD4"/>
    <w:multiLevelType w:val="hybridMultilevel"/>
    <w:tmpl w:val="B1A0D7C2"/>
    <w:lvl w:ilvl="0" w:tplc="BABEA640">
      <w:start w:val="1"/>
      <w:numFmt w:val="lowerRoman"/>
      <w:lvlText w:val="%1."/>
      <w:lvlJc w:val="left"/>
      <w:pPr>
        <w:ind w:left="395" w:hanging="283"/>
      </w:pPr>
      <w:rPr>
        <w:rFonts w:ascii="Arial" w:eastAsia="Arial" w:hAnsi="Arial" w:cs="Arial" w:hint="default"/>
        <w:w w:val="99"/>
        <w:sz w:val="20"/>
        <w:szCs w:val="20"/>
      </w:rPr>
    </w:lvl>
    <w:lvl w:ilvl="1" w:tplc="9104B0EA">
      <w:start w:val="1"/>
      <w:numFmt w:val="decimal"/>
      <w:lvlText w:val="%2."/>
      <w:lvlJc w:val="left"/>
      <w:pPr>
        <w:ind w:left="113" w:hanging="290"/>
      </w:pPr>
      <w:rPr>
        <w:rFonts w:ascii="Arial" w:eastAsia="Arial" w:hAnsi="Arial" w:cs="Arial" w:hint="default"/>
        <w:b/>
        <w:bCs/>
        <w:w w:val="99"/>
        <w:sz w:val="26"/>
        <w:szCs w:val="26"/>
      </w:rPr>
    </w:lvl>
    <w:lvl w:ilvl="2" w:tplc="77E4FE7E">
      <w:numFmt w:val="bullet"/>
      <w:lvlText w:val="•"/>
      <w:lvlJc w:val="left"/>
      <w:pPr>
        <w:ind w:left="284" w:hanging="290"/>
      </w:pPr>
      <w:rPr>
        <w:rFonts w:hint="default"/>
      </w:rPr>
    </w:lvl>
    <w:lvl w:ilvl="3" w:tplc="E94A7D94">
      <w:numFmt w:val="bullet"/>
      <w:lvlText w:val="•"/>
      <w:lvlJc w:val="left"/>
      <w:pPr>
        <w:ind w:left="168" w:hanging="290"/>
      </w:pPr>
      <w:rPr>
        <w:rFonts w:hint="default"/>
      </w:rPr>
    </w:lvl>
    <w:lvl w:ilvl="4" w:tplc="29D401B0">
      <w:numFmt w:val="bullet"/>
      <w:lvlText w:val="•"/>
      <w:lvlJc w:val="left"/>
      <w:pPr>
        <w:ind w:left="53" w:hanging="290"/>
      </w:pPr>
      <w:rPr>
        <w:rFonts w:hint="default"/>
      </w:rPr>
    </w:lvl>
    <w:lvl w:ilvl="5" w:tplc="2BC2298E">
      <w:numFmt w:val="bullet"/>
      <w:lvlText w:val="•"/>
      <w:lvlJc w:val="left"/>
      <w:pPr>
        <w:ind w:left="-63" w:hanging="290"/>
      </w:pPr>
      <w:rPr>
        <w:rFonts w:hint="default"/>
      </w:rPr>
    </w:lvl>
    <w:lvl w:ilvl="6" w:tplc="94C0296C">
      <w:numFmt w:val="bullet"/>
      <w:lvlText w:val="•"/>
      <w:lvlJc w:val="left"/>
      <w:pPr>
        <w:ind w:left="-178" w:hanging="290"/>
      </w:pPr>
      <w:rPr>
        <w:rFonts w:hint="default"/>
      </w:rPr>
    </w:lvl>
    <w:lvl w:ilvl="7" w:tplc="66E86ACA">
      <w:numFmt w:val="bullet"/>
      <w:lvlText w:val="•"/>
      <w:lvlJc w:val="left"/>
      <w:pPr>
        <w:ind w:left="-294" w:hanging="290"/>
      </w:pPr>
      <w:rPr>
        <w:rFonts w:hint="default"/>
      </w:rPr>
    </w:lvl>
    <w:lvl w:ilvl="8" w:tplc="2864CE6C">
      <w:numFmt w:val="bullet"/>
      <w:lvlText w:val="•"/>
      <w:lvlJc w:val="left"/>
      <w:pPr>
        <w:ind w:left="-409" w:hanging="290"/>
      </w:pPr>
      <w:rPr>
        <w:rFonts w:hint="default"/>
      </w:rPr>
    </w:lvl>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CF3CE8"/>
    <w:multiLevelType w:val="hybridMultilevel"/>
    <w:tmpl w:val="84E8492C"/>
    <w:lvl w:ilvl="0" w:tplc="ABA0ABA0">
      <w:start w:val="1"/>
      <w:numFmt w:val="lowerRoman"/>
      <w:lvlText w:val="%1."/>
      <w:lvlJc w:val="left"/>
      <w:pPr>
        <w:ind w:left="396" w:hanging="283"/>
      </w:pPr>
      <w:rPr>
        <w:rFonts w:ascii="Arial" w:eastAsia="Arial" w:hAnsi="Arial" w:cs="Arial" w:hint="default"/>
        <w:spacing w:val="-2"/>
        <w:w w:val="99"/>
        <w:sz w:val="20"/>
        <w:szCs w:val="20"/>
      </w:rPr>
    </w:lvl>
    <w:lvl w:ilvl="1" w:tplc="B534162A">
      <w:numFmt w:val="bullet"/>
      <w:lvlText w:val="•"/>
      <w:lvlJc w:val="left"/>
      <w:pPr>
        <w:ind w:left="828" w:hanging="283"/>
      </w:pPr>
      <w:rPr>
        <w:rFonts w:hint="default"/>
      </w:rPr>
    </w:lvl>
    <w:lvl w:ilvl="2" w:tplc="A9BC46D2">
      <w:numFmt w:val="bullet"/>
      <w:lvlText w:val="•"/>
      <w:lvlJc w:val="left"/>
      <w:pPr>
        <w:ind w:left="1256" w:hanging="283"/>
      </w:pPr>
      <w:rPr>
        <w:rFonts w:hint="default"/>
      </w:rPr>
    </w:lvl>
    <w:lvl w:ilvl="3" w:tplc="651AFBFE">
      <w:numFmt w:val="bullet"/>
      <w:lvlText w:val="•"/>
      <w:lvlJc w:val="left"/>
      <w:pPr>
        <w:ind w:left="1685" w:hanging="283"/>
      </w:pPr>
      <w:rPr>
        <w:rFonts w:hint="default"/>
      </w:rPr>
    </w:lvl>
    <w:lvl w:ilvl="4" w:tplc="E5268C46">
      <w:numFmt w:val="bullet"/>
      <w:lvlText w:val="•"/>
      <w:lvlJc w:val="left"/>
      <w:pPr>
        <w:ind w:left="2113" w:hanging="283"/>
      </w:pPr>
      <w:rPr>
        <w:rFonts w:hint="default"/>
      </w:rPr>
    </w:lvl>
    <w:lvl w:ilvl="5" w:tplc="C572595C">
      <w:numFmt w:val="bullet"/>
      <w:lvlText w:val="•"/>
      <w:lvlJc w:val="left"/>
      <w:pPr>
        <w:ind w:left="2541" w:hanging="283"/>
      </w:pPr>
      <w:rPr>
        <w:rFonts w:hint="default"/>
      </w:rPr>
    </w:lvl>
    <w:lvl w:ilvl="6" w:tplc="B1662B8A">
      <w:numFmt w:val="bullet"/>
      <w:lvlText w:val="•"/>
      <w:lvlJc w:val="left"/>
      <w:pPr>
        <w:ind w:left="2970" w:hanging="283"/>
      </w:pPr>
      <w:rPr>
        <w:rFonts w:hint="default"/>
      </w:rPr>
    </w:lvl>
    <w:lvl w:ilvl="7" w:tplc="D6749E46">
      <w:numFmt w:val="bullet"/>
      <w:lvlText w:val="•"/>
      <w:lvlJc w:val="left"/>
      <w:pPr>
        <w:ind w:left="3398" w:hanging="283"/>
      </w:pPr>
      <w:rPr>
        <w:rFonts w:hint="default"/>
      </w:rPr>
    </w:lvl>
    <w:lvl w:ilvl="8" w:tplc="4E7E8A46">
      <w:numFmt w:val="bullet"/>
      <w:lvlText w:val="•"/>
      <w:lvlJc w:val="left"/>
      <w:pPr>
        <w:ind w:left="3827" w:hanging="283"/>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93C7B"/>
    <w:multiLevelType w:val="hybridMultilevel"/>
    <w:tmpl w:val="ED848A88"/>
    <w:lvl w:ilvl="0" w:tplc="E5AC7526">
      <w:start w:val="1"/>
      <w:numFmt w:val="decimal"/>
      <w:lvlText w:val="%1."/>
      <w:lvlJc w:val="left"/>
      <w:pPr>
        <w:ind w:left="396" w:hanging="283"/>
      </w:pPr>
      <w:rPr>
        <w:rFonts w:ascii="Arial" w:eastAsia="Arial" w:hAnsi="Arial" w:cs="Arial" w:hint="default"/>
        <w:spacing w:val="-18"/>
        <w:w w:val="99"/>
        <w:sz w:val="18"/>
        <w:szCs w:val="18"/>
      </w:rPr>
    </w:lvl>
    <w:lvl w:ilvl="1" w:tplc="9EB86196">
      <w:numFmt w:val="bullet"/>
      <w:lvlText w:val="•"/>
      <w:lvlJc w:val="left"/>
      <w:pPr>
        <w:ind w:left="852" w:hanging="283"/>
      </w:pPr>
      <w:rPr>
        <w:rFonts w:hint="default"/>
      </w:rPr>
    </w:lvl>
    <w:lvl w:ilvl="2" w:tplc="52B2D7DC">
      <w:numFmt w:val="bullet"/>
      <w:lvlText w:val="•"/>
      <w:lvlJc w:val="left"/>
      <w:pPr>
        <w:ind w:left="1305" w:hanging="283"/>
      </w:pPr>
      <w:rPr>
        <w:rFonts w:hint="default"/>
      </w:rPr>
    </w:lvl>
    <w:lvl w:ilvl="3" w:tplc="D22EEFD4">
      <w:numFmt w:val="bullet"/>
      <w:lvlText w:val="•"/>
      <w:lvlJc w:val="left"/>
      <w:pPr>
        <w:ind w:left="1757" w:hanging="283"/>
      </w:pPr>
      <w:rPr>
        <w:rFonts w:hint="default"/>
      </w:rPr>
    </w:lvl>
    <w:lvl w:ilvl="4" w:tplc="60CE17A4">
      <w:numFmt w:val="bullet"/>
      <w:lvlText w:val="•"/>
      <w:lvlJc w:val="left"/>
      <w:pPr>
        <w:ind w:left="2210" w:hanging="283"/>
      </w:pPr>
      <w:rPr>
        <w:rFonts w:hint="default"/>
      </w:rPr>
    </w:lvl>
    <w:lvl w:ilvl="5" w:tplc="580E7422">
      <w:numFmt w:val="bullet"/>
      <w:lvlText w:val="•"/>
      <w:lvlJc w:val="left"/>
      <w:pPr>
        <w:ind w:left="2663" w:hanging="283"/>
      </w:pPr>
      <w:rPr>
        <w:rFonts w:hint="default"/>
      </w:rPr>
    </w:lvl>
    <w:lvl w:ilvl="6" w:tplc="C56C3730">
      <w:numFmt w:val="bullet"/>
      <w:lvlText w:val="•"/>
      <w:lvlJc w:val="left"/>
      <w:pPr>
        <w:ind w:left="3115" w:hanging="283"/>
      </w:pPr>
      <w:rPr>
        <w:rFonts w:hint="default"/>
      </w:rPr>
    </w:lvl>
    <w:lvl w:ilvl="7" w:tplc="85BAA6A8">
      <w:numFmt w:val="bullet"/>
      <w:lvlText w:val="•"/>
      <w:lvlJc w:val="left"/>
      <w:pPr>
        <w:ind w:left="3568" w:hanging="283"/>
      </w:pPr>
      <w:rPr>
        <w:rFonts w:hint="default"/>
      </w:rPr>
    </w:lvl>
    <w:lvl w:ilvl="8" w:tplc="1DBAC66E">
      <w:numFmt w:val="bullet"/>
      <w:lvlText w:val="•"/>
      <w:lvlJc w:val="left"/>
      <w:pPr>
        <w:ind w:left="4020" w:hanging="283"/>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A230AE1"/>
    <w:multiLevelType w:val="hybridMultilevel"/>
    <w:tmpl w:val="1A1AB17E"/>
    <w:lvl w:ilvl="0" w:tplc="A01E3306">
      <w:start w:val="1"/>
      <w:numFmt w:val="lowerLetter"/>
      <w:lvlText w:val="%1)"/>
      <w:lvlJc w:val="left"/>
      <w:pPr>
        <w:ind w:left="346" w:hanging="234"/>
      </w:pPr>
      <w:rPr>
        <w:rFonts w:ascii="Arial" w:eastAsia="Arial" w:hAnsi="Arial" w:cs="Arial" w:hint="default"/>
        <w:b/>
        <w:bCs/>
        <w:w w:val="99"/>
        <w:sz w:val="20"/>
        <w:szCs w:val="20"/>
      </w:rPr>
    </w:lvl>
    <w:lvl w:ilvl="1" w:tplc="FB848ED0">
      <w:numFmt w:val="bullet"/>
      <w:lvlText w:val="•"/>
      <w:lvlJc w:val="left"/>
      <w:pPr>
        <w:ind w:left="770" w:hanging="234"/>
      </w:pPr>
      <w:rPr>
        <w:rFonts w:hint="default"/>
      </w:rPr>
    </w:lvl>
    <w:lvl w:ilvl="2" w:tplc="29588D84">
      <w:numFmt w:val="bullet"/>
      <w:lvlText w:val="•"/>
      <w:lvlJc w:val="left"/>
      <w:pPr>
        <w:ind w:left="1201" w:hanging="234"/>
      </w:pPr>
      <w:rPr>
        <w:rFonts w:hint="default"/>
      </w:rPr>
    </w:lvl>
    <w:lvl w:ilvl="3" w:tplc="71A89C94">
      <w:numFmt w:val="bullet"/>
      <w:lvlText w:val="•"/>
      <w:lvlJc w:val="left"/>
      <w:pPr>
        <w:ind w:left="1632" w:hanging="234"/>
      </w:pPr>
      <w:rPr>
        <w:rFonts w:hint="default"/>
      </w:rPr>
    </w:lvl>
    <w:lvl w:ilvl="4" w:tplc="569CF7FC">
      <w:numFmt w:val="bullet"/>
      <w:lvlText w:val="•"/>
      <w:lvlJc w:val="left"/>
      <w:pPr>
        <w:ind w:left="2063" w:hanging="234"/>
      </w:pPr>
      <w:rPr>
        <w:rFonts w:hint="default"/>
      </w:rPr>
    </w:lvl>
    <w:lvl w:ilvl="5" w:tplc="35C424BC">
      <w:numFmt w:val="bullet"/>
      <w:lvlText w:val="•"/>
      <w:lvlJc w:val="left"/>
      <w:pPr>
        <w:ind w:left="2494" w:hanging="234"/>
      </w:pPr>
      <w:rPr>
        <w:rFonts w:hint="default"/>
      </w:rPr>
    </w:lvl>
    <w:lvl w:ilvl="6" w:tplc="B5A03812">
      <w:numFmt w:val="bullet"/>
      <w:lvlText w:val="•"/>
      <w:lvlJc w:val="left"/>
      <w:pPr>
        <w:ind w:left="2925" w:hanging="234"/>
      </w:pPr>
      <w:rPr>
        <w:rFonts w:hint="default"/>
      </w:rPr>
    </w:lvl>
    <w:lvl w:ilvl="7" w:tplc="99F01132">
      <w:numFmt w:val="bullet"/>
      <w:lvlText w:val="•"/>
      <w:lvlJc w:val="left"/>
      <w:pPr>
        <w:ind w:left="3356" w:hanging="234"/>
      </w:pPr>
      <w:rPr>
        <w:rFonts w:hint="default"/>
      </w:rPr>
    </w:lvl>
    <w:lvl w:ilvl="8" w:tplc="E7E26B76">
      <w:numFmt w:val="bullet"/>
      <w:lvlText w:val="•"/>
      <w:lvlJc w:val="left"/>
      <w:pPr>
        <w:ind w:left="3787" w:hanging="234"/>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97EB6"/>
    <w:multiLevelType w:val="hybridMultilevel"/>
    <w:tmpl w:val="B4CEB5A4"/>
    <w:lvl w:ilvl="0" w:tplc="E8220B98">
      <w:start w:val="1"/>
      <w:numFmt w:val="lowerRoman"/>
      <w:lvlText w:val="%1."/>
      <w:lvlJc w:val="left"/>
      <w:pPr>
        <w:ind w:left="395" w:hanging="283"/>
      </w:pPr>
      <w:rPr>
        <w:rFonts w:ascii="Arial" w:eastAsia="Arial" w:hAnsi="Arial" w:cs="Arial" w:hint="default"/>
        <w:w w:val="99"/>
        <w:sz w:val="20"/>
        <w:szCs w:val="20"/>
      </w:rPr>
    </w:lvl>
    <w:lvl w:ilvl="1" w:tplc="0F405C3C">
      <w:numFmt w:val="bullet"/>
      <w:lvlText w:val="•"/>
      <w:lvlJc w:val="left"/>
      <w:pPr>
        <w:ind w:left="842" w:hanging="283"/>
      </w:pPr>
      <w:rPr>
        <w:rFonts w:hint="default"/>
      </w:rPr>
    </w:lvl>
    <w:lvl w:ilvl="2" w:tplc="F808EE8C">
      <w:numFmt w:val="bullet"/>
      <w:lvlText w:val="•"/>
      <w:lvlJc w:val="left"/>
      <w:pPr>
        <w:ind w:left="1285" w:hanging="283"/>
      </w:pPr>
      <w:rPr>
        <w:rFonts w:hint="default"/>
      </w:rPr>
    </w:lvl>
    <w:lvl w:ilvl="3" w:tplc="02AC02EA">
      <w:numFmt w:val="bullet"/>
      <w:lvlText w:val="•"/>
      <w:lvlJc w:val="left"/>
      <w:pPr>
        <w:ind w:left="1728" w:hanging="283"/>
      </w:pPr>
      <w:rPr>
        <w:rFonts w:hint="default"/>
      </w:rPr>
    </w:lvl>
    <w:lvl w:ilvl="4" w:tplc="48FEBCBC">
      <w:numFmt w:val="bullet"/>
      <w:lvlText w:val="•"/>
      <w:lvlJc w:val="left"/>
      <w:pPr>
        <w:ind w:left="2170" w:hanging="283"/>
      </w:pPr>
      <w:rPr>
        <w:rFonts w:hint="default"/>
      </w:rPr>
    </w:lvl>
    <w:lvl w:ilvl="5" w:tplc="2BFCE774">
      <w:numFmt w:val="bullet"/>
      <w:lvlText w:val="•"/>
      <w:lvlJc w:val="left"/>
      <w:pPr>
        <w:ind w:left="2613" w:hanging="283"/>
      </w:pPr>
      <w:rPr>
        <w:rFonts w:hint="default"/>
      </w:rPr>
    </w:lvl>
    <w:lvl w:ilvl="6" w:tplc="E54877A6">
      <w:numFmt w:val="bullet"/>
      <w:lvlText w:val="•"/>
      <w:lvlJc w:val="left"/>
      <w:pPr>
        <w:ind w:left="3056" w:hanging="283"/>
      </w:pPr>
      <w:rPr>
        <w:rFonts w:hint="default"/>
      </w:rPr>
    </w:lvl>
    <w:lvl w:ilvl="7" w:tplc="B266996C">
      <w:numFmt w:val="bullet"/>
      <w:lvlText w:val="•"/>
      <w:lvlJc w:val="left"/>
      <w:pPr>
        <w:ind w:left="3498" w:hanging="283"/>
      </w:pPr>
      <w:rPr>
        <w:rFonts w:hint="default"/>
      </w:rPr>
    </w:lvl>
    <w:lvl w:ilvl="8" w:tplc="28CA216A">
      <w:numFmt w:val="bullet"/>
      <w:lvlText w:val="•"/>
      <w:lvlJc w:val="left"/>
      <w:pPr>
        <w:ind w:left="3941" w:hanging="283"/>
      </w:pPr>
      <w:rPr>
        <w:rFont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05852007">
    <w:abstractNumId w:val="10"/>
  </w:num>
  <w:num w:numId="2" w16cid:durableId="365330359">
    <w:abstractNumId w:val="21"/>
  </w:num>
  <w:num w:numId="3" w16cid:durableId="1901594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335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245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076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546557">
    <w:abstractNumId w:val="25"/>
  </w:num>
  <w:num w:numId="8" w16cid:durableId="1949970519">
    <w:abstractNumId w:val="19"/>
  </w:num>
  <w:num w:numId="9" w16cid:durableId="88039666">
    <w:abstractNumId w:val="24"/>
  </w:num>
  <w:num w:numId="10" w16cid:durableId="2094934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938241">
    <w:abstractNumId w:val="26"/>
  </w:num>
  <w:num w:numId="12" w16cid:durableId="9444580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071604">
    <w:abstractNumId w:val="22"/>
  </w:num>
  <w:num w:numId="14" w16cid:durableId="232475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505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753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498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5948020">
    <w:abstractNumId w:val="29"/>
  </w:num>
  <w:num w:numId="19" w16cid:durableId="1498570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61415">
    <w:abstractNumId w:val="15"/>
  </w:num>
  <w:num w:numId="21" w16cid:durableId="912933145">
    <w:abstractNumId w:val="12"/>
  </w:num>
  <w:num w:numId="22" w16cid:durableId="1852642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2223441">
    <w:abstractNumId w:val="17"/>
  </w:num>
  <w:num w:numId="24" w16cid:durableId="2075278338">
    <w:abstractNumId w:val="30"/>
  </w:num>
  <w:num w:numId="25" w16cid:durableId="779565064">
    <w:abstractNumId w:val="27"/>
  </w:num>
  <w:num w:numId="26" w16cid:durableId="164976812">
    <w:abstractNumId w:val="23"/>
  </w:num>
  <w:num w:numId="27" w16cid:durableId="1036584797">
    <w:abstractNumId w:val="11"/>
  </w:num>
  <w:num w:numId="28" w16cid:durableId="255404389">
    <w:abstractNumId w:val="31"/>
  </w:num>
  <w:num w:numId="29" w16cid:durableId="1946687040">
    <w:abstractNumId w:val="9"/>
  </w:num>
  <w:num w:numId="30" w16cid:durableId="1297025331">
    <w:abstractNumId w:val="7"/>
  </w:num>
  <w:num w:numId="31" w16cid:durableId="1108695910">
    <w:abstractNumId w:val="6"/>
  </w:num>
  <w:num w:numId="32" w16cid:durableId="553926348">
    <w:abstractNumId w:val="5"/>
  </w:num>
  <w:num w:numId="33" w16cid:durableId="591858905">
    <w:abstractNumId w:val="4"/>
  </w:num>
  <w:num w:numId="34" w16cid:durableId="1070271521">
    <w:abstractNumId w:val="8"/>
  </w:num>
  <w:num w:numId="35" w16cid:durableId="1243637843">
    <w:abstractNumId w:val="3"/>
  </w:num>
  <w:num w:numId="36" w16cid:durableId="1056977916">
    <w:abstractNumId w:val="2"/>
  </w:num>
  <w:num w:numId="37" w16cid:durableId="109322161">
    <w:abstractNumId w:val="1"/>
  </w:num>
  <w:num w:numId="38" w16cid:durableId="1223101617">
    <w:abstractNumId w:val="0"/>
  </w:num>
  <w:num w:numId="39" w16cid:durableId="209339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077362">
    <w:abstractNumId w:val="16"/>
  </w:num>
  <w:num w:numId="41" w16cid:durableId="933367811">
    <w:abstractNumId w:val="14"/>
  </w:num>
  <w:num w:numId="42" w16cid:durableId="583956838">
    <w:abstractNumId w:val="28"/>
  </w:num>
  <w:num w:numId="43" w16cid:durableId="944772150">
    <w:abstractNumId w:val="18"/>
  </w:num>
  <w:num w:numId="44" w16cid:durableId="655841509">
    <w:abstractNumId w:val="20"/>
  </w:num>
  <w:num w:numId="45" w16cid:durableId="578368243">
    <w:abstractNumId w:val="22"/>
  </w:num>
  <w:num w:numId="46" w16cid:durableId="1399859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3460431">
    <w:abstractNumId w:val="22"/>
  </w:num>
  <w:num w:numId="48" w16cid:durableId="129841205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E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70B"/>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8F6"/>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77ED2"/>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51E5"/>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876"/>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352F"/>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1A1"/>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86C9E"/>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404"/>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1D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48"/>
      </w:numPr>
    </w:pPr>
  </w:style>
  <w:style w:type="paragraph" w:customStyle="1" w:styleId="Numberlowerromanindent">
    <w:name w:val="Number lower roman indent"/>
    <w:basedOn w:val="Body"/>
    <w:uiPriority w:val="3"/>
    <w:rsid w:val="00721CFB"/>
    <w:pPr>
      <w:numPr>
        <w:ilvl w:val="1"/>
        <w:numId w:val="4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BodyText">
    <w:name w:val="Body Text"/>
    <w:basedOn w:val="Normal"/>
    <w:link w:val="BodyTextChar"/>
    <w:uiPriority w:val="1"/>
    <w:qFormat/>
    <w:rsid w:val="006A51E5"/>
    <w:pPr>
      <w:widowControl w:val="0"/>
      <w:autoSpaceDE w:val="0"/>
      <w:autoSpaceDN w:val="0"/>
      <w:spacing w:after="0" w:line="240" w:lineRule="auto"/>
      <w:ind w:left="112"/>
    </w:pPr>
    <w:rPr>
      <w:rFonts w:eastAsia="Arial" w:cs="Arial"/>
      <w:sz w:val="20"/>
      <w:lang w:val="en-US"/>
    </w:rPr>
  </w:style>
  <w:style w:type="character" w:customStyle="1" w:styleId="BodyTextChar">
    <w:name w:val="Body Text Char"/>
    <w:basedOn w:val="DefaultParagraphFont"/>
    <w:link w:val="BodyText"/>
    <w:uiPriority w:val="1"/>
    <w:rsid w:val="006A51E5"/>
    <w:rPr>
      <w:rFonts w:ascii="Arial" w:eastAsia="Arial" w:hAnsi="Arial" w:cs="Arial"/>
      <w:lang w:val="en-US" w:eastAsia="en-US"/>
    </w:rPr>
  </w:style>
  <w:style w:type="paragraph" w:styleId="ListParagraph">
    <w:name w:val="List Paragraph"/>
    <w:basedOn w:val="Normal"/>
    <w:uiPriority w:val="1"/>
    <w:qFormat/>
    <w:rsid w:val="001D370B"/>
    <w:pPr>
      <w:widowControl w:val="0"/>
      <w:autoSpaceDE w:val="0"/>
      <w:autoSpaceDN w:val="0"/>
      <w:spacing w:after="0" w:line="240" w:lineRule="auto"/>
      <w:ind w:left="396" w:hanging="283"/>
    </w:pPr>
    <w:rPr>
      <w:rFonts w:eastAsia="Arial" w:cs="Arial"/>
      <w:sz w:val="22"/>
      <w:szCs w:val="22"/>
      <w:lang w:val="en-US"/>
    </w:rPr>
  </w:style>
  <w:style w:type="paragraph" w:customStyle="1" w:styleId="TableParagraph">
    <w:name w:val="Table Paragraph"/>
    <w:basedOn w:val="Normal"/>
    <w:uiPriority w:val="1"/>
    <w:qFormat/>
    <w:rsid w:val="00277ED2"/>
    <w:pPr>
      <w:widowControl w:val="0"/>
      <w:autoSpaceDE w:val="0"/>
      <w:autoSpaceDN w:val="0"/>
      <w:spacing w:before="23" w:after="0" w:line="240" w:lineRule="auto"/>
      <w:ind w:left="52"/>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904911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992362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dpcs@health.vic.gov.a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health.vic.gov.au/publications/opioids-for-migraine-treatment-use-with-extreme-cau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health.vic.gov.au/dpcs" TargetMode="External"/><Relationship Id="rId25" Type="http://schemas.openxmlformats.org/officeDocument/2006/relationships/hyperlink" Target=".%3chttps://www.health.vic.gov.au/publications/policy-for-maintenance-pharmacotherapy-for-opioid-dependence%3e%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nsw.gov.au/departments-and-agencies/hnelhd" TargetMode="External"/><Relationship Id="rId29"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vic.gov.au/publications/policy-for-maintenance-pharmacotherapy-for-opioid-dependence"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health.vic.gov.au/publications/policy-for-maintenance-pharmacotherapy-for-opioid-dependence"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dpcs@health.vic.gov.au"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2.health.vic.gov.au/about/publications/policiesandguidelines/opioids-for-migraine-treatment-use-with-extreme-caution" TargetMode="External"/><Relationship Id="rId27" Type="http://schemas.openxmlformats.org/officeDocument/2006/relationships/footer" Target="footer8.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3319</Words>
  <Characters>19647</Characters>
  <Application>Microsoft Office Word</Application>
  <DocSecurity>0</DocSecurity>
  <Lines>322</Lines>
  <Paragraphs>166</Paragraphs>
  <ScaleCrop>false</ScaleCrop>
  <HeadingPairs>
    <vt:vector size="2" baseType="variant">
      <vt:variant>
        <vt:lpstr>Title</vt:lpstr>
      </vt:variant>
      <vt:variant>
        <vt:i4>1</vt:i4>
      </vt:variant>
    </vt:vector>
  </HeadingPairs>
  <TitlesOfParts>
    <vt:vector size="1" baseType="lpstr">
      <vt:lpstr>Policy for issuing Schedule 8 permits</vt:lpstr>
    </vt:vector>
  </TitlesOfParts>
  <Manager/>
  <Company/>
  <LinksUpToDate>false</LinksUpToDate>
  <CharactersWithSpaces>22802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issuing Schedule 8 permits</dc:title>
  <dc:subject/>
  <dc:creator/>
  <cp:keywords/>
  <dc:description/>
  <cp:lastModifiedBy/>
  <cp:revision>1</cp:revision>
  <dcterms:created xsi:type="dcterms:W3CDTF">2024-12-10T04:41:00Z</dcterms:created>
  <dcterms:modified xsi:type="dcterms:W3CDTF">2024-12-10T04:42:00Z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cc62bdd007d864a209c6b81575b077657db48ce216677a53b2b6c7dff2f7fc5a</vt:lpwstr>
  </property>
  <property fmtid="{D5CDD505-2E9C-101B-9397-08002B2CF9AE}" pid="3" name="ClassificationContentMarkingFooterShapeIds">
    <vt:lpwstr>37dcccb9,4c2d815,5f215a0b,884d390,2e4b9977,247dd1c9,76952bcd,6326bf28,4bfba9c5,5c1cb07d,377f5bd9,3fb895b1</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2024-12-10T04:42:20Z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641a2584-ddfb-4fbe-b69a-751cd5d57082</vt:lpwstr>
  </property>
  <property fmtid="{D5CDD505-2E9C-101B-9397-08002B2CF9AE}" pid="12" name="MSIP_Label_43e64453-338c-4f93-8a4d-0039a0a41f2a_ContentBits">
    <vt:lpwstr>2</vt:lpwstr>
  </property>
</Properties>
</file>