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8F9AC" w14:textId="77777777" w:rsidR="0074696E" w:rsidRPr="0014001A" w:rsidRDefault="0074696E" w:rsidP="00AD784C">
      <w:pPr>
        <w:pStyle w:val="Spacerparatopoffirstpage"/>
        <w:rPr>
          <w:sz w:val="24"/>
          <w:szCs w:val="24"/>
        </w:rPr>
      </w:pPr>
    </w:p>
    <w:p w14:paraId="08DA9210" w14:textId="77777777" w:rsidR="0014001A" w:rsidRPr="0014001A" w:rsidRDefault="0014001A" w:rsidP="00BD1E77">
      <w:pPr>
        <w:spacing w:after="120" w:line="276" w:lineRule="auto"/>
        <w:ind w:left="284" w:right="423"/>
        <w:rPr>
          <w:rFonts w:ascii="Arial" w:eastAsiaTheme="minorHAnsi" w:hAnsi="Arial" w:cs="Arial"/>
          <w:b/>
          <w:sz w:val="24"/>
          <w:szCs w:val="24"/>
        </w:rPr>
      </w:pPr>
    </w:p>
    <w:p w14:paraId="5DF863DF" w14:textId="61906B29" w:rsidR="00A97E77" w:rsidRPr="00BD1E77" w:rsidRDefault="0014001A" w:rsidP="00BD1E77">
      <w:pPr>
        <w:spacing w:after="120" w:line="276" w:lineRule="auto"/>
        <w:ind w:left="284" w:right="423"/>
        <w:rPr>
          <w:rFonts w:ascii="Arial" w:eastAsiaTheme="minorHAnsi" w:hAnsi="Arial" w:cs="Arial"/>
          <w:b/>
          <w:sz w:val="22"/>
        </w:rPr>
      </w:pPr>
      <w:r w:rsidRPr="00BD1E77">
        <w:rPr>
          <w:rFonts w:ascii="Arial" w:eastAsiaTheme="minorHAnsi" w:hAnsi="Arial" w:cs="Arial"/>
          <w:b/>
          <w:sz w:val="32"/>
          <w:szCs w:val="32"/>
        </w:rPr>
        <w:t>Audit of pre-operative crossmatch practices</w:t>
      </w:r>
      <w:r>
        <w:rPr>
          <w:rFonts w:ascii="Arial" w:eastAsiaTheme="minorHAnsi" w:hAnsi="Arial" w:cs="Arial"/>
          <w:b/>
          <w:sz w:val="22"/>
        </w:rPr>
        <w:br w:type="textWrapping" w:clear="all"/>
      </w:r>
      <w:r w:rsidR="00A97E77" w:rsidRPr="00BD1E77">
        <w:rPr>
          <w:rFonts w:ascii="Arial" w:eastAsiaTheme="minorHAnsi" w:hAnsi="Arial" w:cs="Arial"/>
          <w:b/>
          <w:sz w:val="22"/>
        </w:rPr>
        <w:t>Background</w:t>
      </w:r>
    </w:p>
    <w:p w14:paraId="689D4153" w14:textId="77777777" w:rsidR="00493FC0" w:rsidRDefault="00A97E77" w:rsidP="00CD3CA0">
      <w:pPr>
        <w:spacing w:after="120" w:line="276" w:lineRule="auto"/>
        <w:ind w:left="284" w:right="423"/>
        <w:rPr>
          <w:rFonts w:ascii="Arial" w:eastAsiaTheme="minorHAnsi" w:hAnsi="Arial" w:cs="Arial"/>
          <w:sz w:val="22"/>
        </w:rPr>
      </w:pPr>
      <w:r w:rsidRPr="00BD1E77">
        <w:rPr>
          <w:rFonts w:ascii="Arial" w:eastAsiaTheme="minorHAnsi" w:hAnsi="Arial" w:cs="Arial"/>
          <w:sz w:val="22"/>
        </w:rPr>
        <w:t xml:space="preserve">This audit tool has been designed to help organisations gain an understanding of pre-operative transfusion practice.  </w:t>
      </w:r>
    </w:p>
    <w:p w14:paraId="1D1C40F3" w14:textId="05987E53" w:rsidR="00A97E77" w:rsidRDefault="00A97E77" w:rsidP="00CD3CA0">
      <w:pPr>
        <w:spacing w:after="120" w:line="276" w:lineRule="auto"/>
        <w:ind w:left="284" w:right="423"/>
        <w:rPr>
          <w:rFonts w:ascii="Arial" w:eastAsiaTheme="minorHAnsi" w:hAnsi="Arial" w:cs="Arial"/>
          <w:sz w:val="22"/>
        </w:rPr>
      </w:pPr>
      <w:r w:rsidRPr="00BD1E77">
        <w:rPr>
          <w:rFonts w:ascii="Arial" w:eastAsiaTheme="minorHAnsi" w:hAnsi="Arial" w:cs="Arial"/>
          <w:sz w:val="22"/>
        </w:rPr>
        <w:t xml:space="preserve">Additionally, it can be used to provide evidence that an organisation is working towards/meeting the following </w:t>
      </w:r>
      <w:hyperlink r:id="rId11" w:history="1">
        <w:r w:rsidRPr="00493FC0">
          <w:rPr>
            <w:rStyle w:val="Hyperlink"/>
            <w:rFonts w:ascii="Arial" w:eastAsiaTheme="minorHAnsi" w:hAnsi="Arial" w:cs="Arial"/>
            <w:sz w:val="22"/>
          </w:rPr>
          <w:t xml:space="preserve">NSQHS </w:t>
        </w:r>
        <w:r w:rsidR="00BD1E77" w:rsidRPr="00493FC0">
          <w:rPr>
            <w:rStyle w:val="Hyperlink"/>
            <w:rFonts w:ascii="Arial" w:eastAsiaTheme="minorHAnsi" w:hAnsi="Arial" w:cs="Arial"/>
            <w:sz w:val="22"/>
          </w:rPr>
          <w:t>Blood management s</w:t>
        </w:r>
        <w:r w:rsidRPr="00493FC0">
          <w:rPr>
            <w:rStyle w:val="Hyperlink"/>
            <w:rFonts w:ascii="Arial" w:eastAsiaTheme="minorHAnsi" w:hAnsi="Arial" w:cs="Arial"/>
            <w:sz w:val="22"/>
          </w:rPr>
          <w:t>tandard</w:t>
        </w:r>
      </w:hyperlink>
      <w:r w:rsidRPr="00BD1E77">
        <w:rPr>
          <w:rFonts w:ascii="Arial" w:eastAsiaTheme="minorHAnsi" w:hAnsi="Arial" w:cs="Arial"/>
          <w:sz w:val="22"/>
        </w:rPr>
        <w:t xml:space="preserve"> </w:t>
      </w:r>
      <w:r w:rsidR="00493FC0">
        <w:rPr>
          <w:rFonts w:ascii="Arial" w:eastAsiaTheme="minorHAnsi" w:hAnsi="Arial" w:cs="Arial"/>
          <w:sz w:val="22"/>
        </w:rPr>
        <w:t>&lt;</w:t>
      </w:r>
      <w:r w:rsidR="00493FC0" w:rsidRPr="00493FC0">
        <w:rPr>
          <w:rFonts w:ascii="Arial" w:eastAsiaTheme="minorHAnsi" w:hAnsi="Arial" w:cs="Arial"/>
          <w:sz w:val="22"/>
        </w:rPr>
        <w:t xml:space="preserve">https://www.safetyandquality.gov.au/sites/default/files/2019-04/National-Safety-and-Quality-Health-Service-Standards-second-edition.pdf </w:t>
      </w:r>
      <w:r w:rsidR="00493FC0">
        <w:rPr>
          <w:rFonts w:ascii="Arial" w:eastAsiaTheme="minorHAnsi" w:hAnsi="Arial" w:cs="Arial"/>
          <w:sz w:val="22"/>
        </w:rPr>
        <w:t>&gt;</w:t>
      </w:r>
      <w:r w:rsidRPr="00BD1E77">
        <w:rPr>
          <w:rFonts w:ascii="Arial" w:eastAsiaTheme="minorHAnsi" w:hAnsi="Arial" w:cs="Arial"/>
          <w:sz w:val="22"/>
        </w:rPr>
        <w:t xml:space="preserve"> criteria:</w:t>
      </w:r>
    </w:p>
    <w:p w14:paraId="637004A5" w14:textId="046C769B" w:rsidR="00A97E77" w:rsidRPr="00CD3CA0" w:rsidRDefault="00594305" w:rsidP="00CD3CA0">
      <w:pPr>
        <w:spacing w:after="120" w:line="276" w:lineRule="auto"/>
        <w:ind w:left="284" w:right="423"/>
        <w:rPr>
          <w:rFonts w:ascii="Arial" w:eastAsiaTheme="minorHAnsi" w:hAnsi="Arial" w:cs="Arial"/>
          <w:i/>
          <w:iCs/>
          <w:sz w:val="22"/>
        </w:rPr>
      </w:pPr>
      <w:r w:rsidRPr="00CD3CA0">
        <w:rPr>
          <w:rFonts w:ascii="Arial" w:eastAsiaTheme="minorHAnsi" w:hAnsi="Arial" w:cs="Arial"/>
          <w:i/>
          <w:iCs/>
          <w:sz w:val="22"/>
        </w:rPr>
        <w:t>Clinical governance and quality improvement to support blood management</w:t>
      </w:r>
      <w:r w:rsidR="000F6E38" w:rsidRPr="00CD3CA0">
        <w:rPr>
          <w:rFonts w:ascii="Arial" w:eastAsiaTheme="minorHAnsi" w:hAnsi="Arial" w:cs="Arial"/>
          <w:i/>
          <w:iCs/>
          <w:sz w:val="22"/>
        </w:rPr>
        <w:t xml:space="preserve"> &amp; managing the availability and safety of blood and blood products - </w:t>
      </w:r>
      <w:r w:rsidR="00E83EAC" w:rsidRPr="00CD3CA0">
        <w:rPr>
          <w:rFonts w:ascii="Arial" w:eastAsiaTheme="minorHAnsi" w:hAnsi="Arial" w:cs="Arial"/>
          <w:i/>
          <w:iCs/>
          <w:sz w:val="22"/>
        </w:rPr>
        <w:t>Action</w:t>
      </w:r>
      <w:r w:rsidR="000F6E38" w:rsidRPr="00CD3CA0">
        <w:rPr>
          <w:rFonts w:ascii="Arial" w:eastAsiaTheme="minorHAnsi" w:hAnsi="Arial" w:cs="Arial"/>
          <w:i/>
          <w:iCs/>
          <w:sz w:val="22"/>
        </w:rPr>
        <w:t>s</w:t>
      </w:r>
      <w:r w:rsidR="00E83EAC" w:rsidRPr="00CD3CA0">
        <w:rPr>
          <w:rFonts w:ascii="Arial" w:eastAsiaTheme="minorHAnsi" w:hAnsi="Arial" w:cs="Arial"/>
          <w:i/>
          <w:iCs/>
          <w:sz w:val="22"/>
        </w:rPr>
        <w:t>: 7.2</w:t>
      </w:r>
      <w:r w:rsidR="000F6E38" w:rsidRPr="00CD3CA0">
        <w:rPr>
          <w:rFonts w:ascii="Arial" w:eastAsiaTheme="minorHAnsi" w:hAnsi="Arial" w:cs="Arial"/>
          <w:i/>
          <w:iCs/>
          <w:sz w:val="22"/>
        </w:rPr>
        <w:t xml:space="preserve">, </w:t>
      </w:r>
      <w:r w:rsidR="0082005F" w:rsidRPr="00CD3CA0">
        <w:rPr>
          <w:rFonts w:ascii="Arial" w:eastAsiaTheme="minorHAnsi" w:hAnsi="Arial" w:cs="Arial"/>
          <w:i/>
          <w:iCs/>
          <w:sz w:val="22"/>
        </w:rPr>
        <w:t xml:space="preserve">7.9 </w:t>
      </w:r>
      <w:r w:rsidR="000F6E38" w:rsidRPr="00CD3CA0">
        <w:rPr>
          <w:rFonts w:ascii="Arial" w:eastAsiaTheme="minorHAnsi" w:hAnsi="Arial" w:cs="Arial"/>
          <w:i/>
          <w:iCs/>
          <w:sz w:val="22"/>
        </w:rPr>
        <w:t xml:space="preserve">&amp; </w:t>
      </w:r>
      <w:r w:rsidR="00E83EAC" w:rsidRPr="00CD3CA0">
        <w:rPr>
          <w:rFonts w:ascii="Arial" w:eastAsiaTheme="minorHAnsi" w:hAnsi="Arial" w:cs="Arial"/>
          <w:i/>
          <w:iCs/>
          <w:sz w:val="22"/>
        </w:rPr>
        <w:t>7.10</w:t>
      </w:r>
      <w:r w:rsidR="000F6E38" w:rsidRPr="00CD3CA0">
        <w:rPr>
          <w:rFonts w:ascii="Arial" w:eastAsiaTheme="minorHAnsi" w:hAnsi="Arial" w:cs="Arial"/>
          <w:i/>
          <w:iCs/>
          <w:sz w:val="22"/>
        </w:rPr>
        <w:t>.</w:t>
      </w:r>
    </w:p>
    <w:p w14:paraId="0E8F0DDE" w14:textId="3639A240" w:rsidR="00493FC0" w:rsidRDefault="00A97E77" w:rsidP="00493FC0">
      <w:pPr>
        <w:spacing w:after="120" w:line="276" w:lineRule="auto"/>
        <w:ind w:left="284" w:right="423"/>
        <w:rPr>
          <w:rFonts w:ascii="Arial" w:eastAsiaTheme="minorHAnsi" w:hAnsi="Arial" w:cs="Arial"/>
          <w:sz w:val="22"/>
        </w:rPr>
      </w:pPr>
      <w:r w:rsidRPr="00493FC0">
        <w:rPr>
          <w:rFonts w:ascii="Arial" w:eastAsiaTheme="minorHAnsi" w:hAnsi="Arial" w:cs="Arial"/>
          <w:sz w:val="22"/>
        </w:rPr>
        <w:t xml:space="preserve">The tool is designed to determine the crossmatch:transfusion ratio for the area audited. </w:t>
      </w:r>
      <w:r w:rsidR="00493FC0">
        <w:rPr>
          <w:rFonts w:ascii="Arial" w:eastAsiaTheme="minorHAnsi" w:hAnsi="Arial" w:cs="Arial"/>
          <w:sz w:val="22"/>
        </w:rPr>
        <w:t>C</w:t>
      </w:r>
      <w:r w:rsidRPr="00493FC0">
        <w:rPr>
          <w:rFonts w:ascii="Arial" w:eastAsiaTheme="minorHAnsi" w:hAnsi="Arial" w:cs="Arial"/>
          <w:sz w:val="22"/>
        </w:rPr>
        <w:t xml:space="preserve">rossmatched </w:t>
      </w:r>
      <w:r w:rsidR="00493FC0">
        <w:rPr>
          <w:rFonts w:ascii="Arial" w:eastAsiaTheme="minorHAnsi" w:hAnsi="Arial" w:cs="Arial"/>
          <w:sz w:val="22"/>
        </w:rPr>
        <w:t>red blood cells (RBC)</w:t>
      </w:r>
      <w:r w:rsidR="00493FC0" w:rsidRPr="00493FC0">
        <w:rPr>
          <w:rFonts w:ascii="Arial" w:eastAsiaTheme="minorHAnsi" w:hAnsi="Arial" w:cs="Arial"/>
          <w:sz w:val="22"/>
        </w:rPr>
        <w:t xml:space="preserve"> </w:t>
      </w:r>
      <w:r w:rsidR="00493FC0">
        <w:rPr>
          <w:rFonts w:ascii="Arial" w:eastAsiaTheme="minorHAnsi" w:hAnsi="Arial" w:cs="Arial"/>
          <w:sz w:val="22"/>
        </w:rPr>
        <w:t xml:space="preserve">may </w:t>
      </w:r>
      <w:r w:rsidRPr="00493FC0">
        <w:rPr>
          <w:rFonts w:ascii="Arial" w:eastAsiaTheme="minorHAnsi" w:hAnsi="Arial" w:cs="Arial"/>
          <w:sz w:val="22"/>
        </w:rPr>
        <w:t xml:space="preserve">remain in blood fridges allocated to the patient for whom they were requested for up to 3 days. After this period the laboratory can accept the </w:t>
      </w:r>
      <w:r w:rsidR="00493FC0">
        <w:rPr>
          <w:rFonts w:ascii="Arial" w:eastAsiaTheme="minorHAnsi" w:hAnsi="Arial" w:cs="Arial"/>
          <w:sz w:val="22"/>
        </w:rPr>
        <w:t>RBC</w:t>
      </w:r>
      <w:r w:rsidR="00493FC0" w:rsidRPr="00493FC0">
        <w:rPr>
          <w:rFonts w:ascii="Arial" w:eastAsiaTheme="minorHAnsi" w:hAnsi="Arial" w:cs="Arial"/>
          <w:sz w:val="22"/>
        </w:rPr>
        <w:t xml:space="preserve"> </w:t>
      </w:r>
      <w:r w:rsidRPr="00493FC0">
        <w:rPr>
          <w:rFonts w:ascii="Arial" w:eastAsiaTheme="minorHAnsi" w:hAnsi="Arial" w:cs="Arial"/>
          <w:sz w:val="22"/>
        </w:rPr>
        <w:t xml:space="preserve">back into their inventory </w:t>
      </w:r>
      <w:r w:rsidR="00493FC0" w:rsidRPr="00493FC0">
        <w:rPr>
          <w:rFonts w:ascii="Arial" w:eastAsiaTheme="minorHAnsi" w:hAnsi="Arial" w:cs="Arial"/>
          <w:sz w:val="22"/>
        </w:rPr>
        <w:t>if</w:t>
      </w:r>
      <w:r w:rsidRPr="00493FC0">
        <w:rPr>
          <w:rFonts w:ascii="Arial" w:eastAsiaTheme="minorHAnsi" w:hAnsi="Arial" w:cs="Arial"/>
          <w:sz w:val="22"/>
        </w:rPr>
        <w:t xml:space="preserve"> they have been stored and handled correctly and are within expiry. </w:t>
      </w:r>
    </w:p>
    <w:p w14:paraId="75FB0B09" w14:textId="33C1E274" w:rsidR="00A97E77" w:rsidRPr="00493FC0" w:rsidRDefault="00A97E77" w:rsidP="00CD3CA0">
      <w:pPr>
        <w:spacing w:after="120" w:line="276" w:lineRule="auto"/>
        <w:ind w:left="284" w:right="423"/>
        <w:rPr>
          <w:rFonts w:ascii="Arial" w:eastAsiaTheme="minorHAnsi" w:hAnsi="Arial" w:cs="Arial"/>
          <w:sz w:val="22"/>
        </w:rPr>
      </w:pPr>
      <w:r w:rsidRPr="00493FC0">
        <w:rPr>
          <w:rFonts w:ascii="Arial" w:eastAsiaTheme="minorHAnsi" w:hAnsi="Arial" w:cs="Arial"/>
          <w:sz w:val="22"/>
        </w:rPr>
        <w:t>The benefits of reducing the crossmatch:transfusion ratio include:</w:t>
      </w:r>
    </w:p>
    <w:p w14:paraId="3AE34B0F" w14:textId="6422D99E" w:rsidR="00A97E77" w:rsidRPr="00493FC0" w:rsidRDefault="00A97E77" w:rsidP="00CD3CA0">
      <w:pPr>
        <w:pStyle w:val="ListParagraph"/>
        <w:numPr>
          <w:ilvl w:val="0"/>
          <w:numId w:val="29"/>
        </w:numPr>
        <w:spacing w:after="120" w:line="276" w:lineRule="auto"/>
        <w:ind w:right="423"/>
        <w:rPr>
          <w:rFonts w:ascii="Arial" w:eastAsiaTheme="minorHAnsi" w:hAnsi="Arial" w:cs="Arial"/>
          <w:sz w:val="22"/>
        </w:rPr>
      </w:pPr>
      <w:r w:rsidRPr="00493FC0">
        <w:rPr>
          <w:rFonts w:ascii="Arial" w:eastAsiaTheme="minorHAnsi" w:hAnsi="Arial" w:cs="Arial"/>
          <w:sz w:val="22"/>
        </w:rPr>
        <w:t xml:space="preserve">reduced numbers of </w:t>
      </w:r>
      <w:r w:rsidR="00493FC0">
        <w:rPr>
          <w:rFonts w:ascii="Arial" w:eastAsiaTheme="minorHAnsi" w:hAnsi="Arial" w:cs="Arial"/>
          <w:sz w:val="22"/>
        </w:rPr>
        <w:t>RBC</w:t>
      </w:r>
      <w:r w:rsidRPr="00493FC0">
        <w:rPr>
          <w:rFonts w:ascii="Arial" w:eastAsiaTheme="minorHAnsi" w:hAnsi="Arial" w:cs="Arial"/>
          <w:sz w:val="22"/>
        </w:rPr>
        <w:t xml:space="preserve"> stored in the blood fridge, which may reduce the risk of collecting the wrong </w:t>
      </w:r>
      <w:r w:rsidR="00493FC0">
        <w:rPr>
          <w:rFonts w:ascii="Arial" w:eastAsiaTheme="minorHAnsi" w:hAnsi="Arial" w:cs="Arial"/>
          <w:sz w:val="22"/>
        </w:rPr>
        <w:t>RBC</w:t>
      </w:r>
      <w:r w:rsidRPr="00493FC0">
        <w:rPr>
          <w:rFonts w:ascii="Arial" w:eastAsiaTheme="minorHAnsi" w:hAnsi="Arial" w:cs="Arial"/>
          <w:sz w:val="22"/>
        </w:rPr>
        <w:t xml:space="preserve"> in error </w:t>
      </w:r>
    </w:p>
    <w:p w14:paraId="3CC362C7" w14:textId="206AE2DA" w:rsidR="00A97E77" w:rsidRPr="00493FC0" w:rsidRDefault="00A97E77" w:rsidP="00CD3CA0">
      <w:pPr>
        <w:pStyle w:val="ListParagraph"/>
        <w:numPr>
          <w:ilvl w:val="0"/>
          <w:numId w:val="29"/>
        </w:numPr>
        <w:spacing w:after="120" w:line="276" w:lineRule="auto"/>
        <w:ind w:right="423"/>
        <w:rPr>
          <w:rFonts w:ascii="Arial" w:eastAsiaTheme="minorHAnsi" w:hAnsi="Arial" w:cs="Arial"/>
          <w:sz w:val="22"/>
        </w:rPr>
      </w:pPr>
      <w:r w:rsidRPr="00493FC0">
        <w:rPr>
          <w:rFonts w:ascii="Arial" w:eastAsiaTheme="minorHAnsi" w:hAnsi="Arial" w:cs="Arial"/>
          <w:sz w:val="22"/>
        </w:rPr>
        <w:t xml:space="preserve">reducing the workload on hospital staff required to accept, and document </w:t>
      </w:r>
      <w:r w:rsidR="00493FC0">
        <w:rPr>
          <w:rFonts w:ascii="Arial" w:eastAsiaTheme="minorHAnsi" w:hAnsi="Arial" w:cs="Arial"/>
          <w:sz w:val="22"/>
        </w:rPr>
        <w:t>RBC</w:t>
      </w:r>
      <w:r w:rsidRPr="00493FC0">
        <w:rPr>
          <w:rFonts w:ascii="Arial" w:eastAsiaTheme="minorHAnsi" w:hAnsi="Arial" w:cs="Arial"/>
          <w:sz w:val="22"/>
        </w:rPr>
        <w:t xml:space="preserve"> into the blood fridge register, monitor and return unused </w:t>
      </w:r>
      <w:r w:rsidR="00493FC0">
        <w:rPr>
          <w:rFonts w:ascii="Arial" w:eastAsiaTheme="minorHAnsi" w:hAnsi="Arial" w:cs="Arial"/>
          <w:sz w:val="22"/>
        </w:rPr>
        <w:t>RBC</w:t>
      </w:r>
    </w:p>
    <w:p w14:paraId="631B69AB" w14:textId="07E55D1A" w:rsidR="005F2CF5" w:rsidRPr="00493FC0" w:rsidRDefault="00A97E77" w:rsidP="00CD3CA0">
      <w:pPr>
        <w:pStyle w:val="ListParagraph"/>
        <w:numPr>
          <w:ilvl w:val="0"/>
          <w:numId w:val="29"/>
        </w:numPr>
        <w:spacing w:after="120" w:line="276" w:lineRule="auto"/>
        <w:ind w:right="423"/>
        <w:rPr>
          <w:rFonts w:ascii="Arial" w:eastAsiaTheme="minorHAnsi" w:hAnsi="Arial" w:cs="Arial"/>
          <w:b/>
          <w:sz w:val="22"/>
        </w:rPr>
      </w:pPr>
      <w:r w:rsidRPr="00493FC0">
        <w:rPr>
          <w:rFonts w:ascii="Arial" w:eastAsiaTheme="minorHAnsi" w:hAnsi="Arial" w:cs="Arial"/>
          <w:sz w:val="22"/>
        </w:rPr>
        <w:t xml:space="preserve">more effective </w:t>
      </w:r>
      <w:r w:rsidR="00493FC0">
        <w:rPr>
          <w:rFonts w:ascii="Arial" w:eastAsiaTheme="minorHAnsi" w:hAnsi="Arial" w:cs="Arial"/>
          <w:sz w:val="22"/>
        </w:rPr>
        <w:t xml:space="preserve">and efficient RBC inventory </w:t>
      </w:r>
      <w:r w:rsidRPr="00493FC0">
        <w:rPr>
          <w:rFonts w:ascii="Arial" w:eastAsiaTheme="minorHAnsi" w:hAnsi="Arial" w:cs="Arial"/>
          <w:sz w:val="22"/>
        </w:rPr>
        <w:t xml:space="preserve">management in the transfusion laboratory to help minimise waste. </w:t>
      </w:r>
    </w:p>
    <w:p w14:paraId="2DB1A16F" w14:textId="67FD218E" w:rsidR="00A97E77" w:rsidRPr="00BD1E77" w:rsidRDefault="00A97E77" w:rsidP="00BD1E77">
      <w:pPr>
        <w:spacing w:after="120" w:line="276" w:lineRule="auto"/>
        <w:ind w:left="284" w:right="423"/>
        <w:rPr>
          <w:rFonts w:ascii="Arial" w:eastAsiaTheme="minorHAnsi" w:hAnsi="Arial" w:cs="Arial"/>
          <w:b/>
          <w:sz w:val="22"/>
        </w:rPr>
      </w:pPr>
      <w:r w:rsidRPr="00BD1E77">
        <w:rPr>
          <w:rFonts w:ascii="Arial" w:eastAsiaTheme="minorHAnsi" w:hAnsi="Arial" w:cs="Arial"/>
          <w:b/>
          <w:sz w:val="22"/>
        </w:rPr>
        <w:t>How to use the tool</w:t>
      </w:r>
    </w:p>
    <w:p w14:paraId="128AF0C6" w14:textId="7C52CAC3" w:rsidR="00A97E77" w:rsidRPr="00BD1E77" w:rsidRDefault="00A97E77" w:rsidP="00BD1E77">
      <w:pPr>
        <w:spacing w:after="120" w:line="276" w:lineRule="auto"/>
        <w:ind w:left="284" w:right="423"/>
        <w:rPr>
          <w:rFonts w:ascii="Arial" w:eastAsiaTheme="minorHAnsi" w:hAnsi="Arial" w:cs="Arial"/>
          <w:sz w:val="22"/>
        </w:rPr>
      </w:pPr>
      <w:r w:rsidRPr="00BD1E77">
        <w:rPr>
          <w:rFonts w:ascii="Arial" w:eastAsiaTheme="minorHAnsi" w:hAnsi="Arial" w:cs="Arial"/>
          <w:sz w:val="22"/>
        </w:rPr>
        <w:t xml:space="preserve">The audit tool is designed to be used in conjunction with the blood fridge register. Together these will assist in establishing and documenting the number of </w:t>
      </w:r>
      <w:r w:rsidR="00493FC0">
        <w:rPr>
          <w:rFonts w:ascii="Arial" w:eastAsiaTheme="minorHAnsi" w:hAnsi="Arial" w:cs="Arial"/>
          <w:sz w:val="22"/>
        </w:rPr>
        <w:t>RBC</w:t>
      </w:r>
      <w:r w:rsidRPr="00BD1E77">
        <w:rPr>
          <w:rFonts w:ascii="Arial" w:eastAsiaTheme="minorHAnsi" w:hAnsi="Arial" w:cs="Arial"/>
          <w:sz w:val="22"/>
        </w:rPr>
        <w:t>:</w:t>
      </w:r>
    </w:p>
    <w:p w14:paraId="7743A069" w14:textId="10E067C1" w:rsidR="00A97E77" w:rsidRPr="000F6E38" w:rsidRDefault="00A97E77" w:rsidP="000F6E38">
      <w:pPr>
        <w:pStyle w:val="ListParagraph"/>
        <w:numPr>
          <w:ilvl w:val="0"/>
          <w:numId w:val="30"/>
        </w:numPr>
        <w:spacing w:after="120" w:line="276" w:lineRule="auto"/>
        <w:ind w:right="423"/>
        <w:rPr>
          <w:rFonts w:ascii="Arial" w:eastAsiaTheme="minorHAnsi" w:hAnsi="Arial" w:cs="Arial"/>
          <w:sz w:val="22"/>
        </w:rPr>
      </w:pPr>
      <w:r w:rsidRPr="000F6E38">
        <w:rPr>
          <w:rFonts w:ascii="Arial" w:eastAsiaTheme="minorHAnsi" w:hAnsi="Arial" w:cs="Arial"/>
          <w:sz w:val="22"/>
        </w:rPr>
        <w:t xml:space="preserve">stored in the </w:t>
      </w:r>
      <w:r w:rsidR="00493FC0" w:rsidRPr="000F6E38">
        <w:rPr>
          <w:rFonts w:ascii="Arial" w:eastAsiaTheme="minorHAnsi" w:hAnsi="Arial" w:cs="Arial"/>
          <w:sz w:val="22"/>
        </w:rPr>
        <w:t>blood fridge</w:t>
      </w:r>
    </w:p>
    <w:p w14:paraId="786DDD18" w14:textId="0B08C5D9" w:rsidR="00A97E77" w:rsidRPr="000F6E38" w:rsidRDefault="00A97E77" w:rsidP="000F6E38">
      <w:pPr>
        <w:pStyle w:val="ListParagraph"/>
        <w:numPr>
          <w:ilvl w:val="0"/>
          <w:numId w:val="30"/>
        </w:numPr>
        <w:spacing w:after="120" w:line="276" w:lineRule="auto"/>
        <w:ind w:right="423"/>
        <w:rPr>
          <w:rFonts w:ascii="Arial" w:eastAsiaTheme="minorHAnsi" w:hAnsi="Arial" w:cs="Arial"/>
          <w:sz w:val="22"/>
        </w:rPr>
      </w:pPr>
      <w:r w:rsidRPr="000F6E38">
        <w:rPr>
          <w:rFonts w:ascii="Arial" w:eastAsiaTheme="minorHAnsi" w:hAnsi="Arial" w:cs="Arial"/>
          <w:sz w:val="22"/>
        </w:rPr>
        <w:t xml:space="preserve">transfused </w:t>
      </w:r>
    </w:p>
    <w:p w14:paraId="29C7D2CA" w14:textId="77777777" w:rsidR="00A97E77" w:rsidRPr="000F6E38" w:rsidRDefault="00A97E77" w:rsidP="000F6E38">
      <w:pPr>
        <w:pStyle w:val="ListParagraph"/>
        <w:numPr>
          <w:ilvl w:val="0"/>
          <w:numId w:val="30"/>
        </w:numPr>
        <w:spacing w:after="120" w:line="276" w:lineRule="auto"/>
        <w:ind w:right="423"/>
        <w:rPr>
          <w:rFonts w:ascii="Arial" w:eastAsiaTheme="minorHAnsi" w:hAnsi="Arial" w:cs="Arial"/>
          <w:sz w:val="22"/>
        </w:rPr>
      </w:pPr>
      <w:r w:rsidRPr="000F6E38">
        <w:rPr>
          <w:rFonts w:ascii="Arial" w:eastAsiaTheme="minorHAnsi" w:hAnsi="Arial" w:cs="Arial"/>
          <w:sz w:val="22"/>
        </w:rPr>
        <w:t xml:space="preserve">returned to the laboratory (see example below). </w:t>
      </w:r>
    </w:p>
    <w:p w14:paraId="5D177D20" w14:textId="774CDB18" w:rsidR="00A97E77" w:rsidRPr="00BD1E77" w:rsidRDefault="00A97E77" w:rsidP="0025669E">
      <w:pPr>
        <w:spacing w:after="120" w:line="276" w:lineRule="auto"/>
        <w:ind w:left="284" w:right="423"/>
        <w:rPr>
          <w:rFonts w:ascii="Arial" w:eastAsiaTheme="minorHAnsi" w:hAnsi="Arial" w:cs="Arial"/>
          <w:sz w:val="22"/>
        </w:rPr>
      </w:pPr>
      <w:r w:rsidRPr="00BD1E77">
        <w:rPr>
          <w:rFonts w:ascii="Arial" w:eastAsiaTheme="minorHAnsi" w:hAnsi="Arial" w:cs="Arial"/>
          <w:sz w:val="22"/>
        </w:rPr>
        <w:t xml:space="preserve">The tool is simple in its design so it can be very flexible and used to audit any blood fridge as required within the health service.  It can be used to investigate all </w:t>
      </w:r>
      <w:r w:rsidR="0025669E">
        <w:rPr>
          <w:rFonts w:ascii="Arial" w:eastAsiaTheme="minorHAnsi" w:hAnsi="Arial" w:cs="Arial"/>
          <w:sz w:val="22"/>
        </w:rPr>
        <w:t xml:space="preserve">RBC </w:t>
      </w:r>
      <w:r w:rsidRPr="00BD1E77">
        <w:rPr>
          <w:rFonts w:ascii="Arial" w:eastAsiaTheme="minorHAnsi" w:hAnsi="Arial" w:cs="Arial"/>
          <w:sz w:val="22"/>
        </w:rPr>
        <w:t>entered in the blood fridge for a specified period or used to investigate a specific ward or clinical area (e.g. orthopaedic transfusion ordering practice or medical / oncology areas etc). The audit period can be determined by the user (i.e. weekly, monthly etc.) and the tool lends itself to both real time and retrospective data collection.</w:t>
      </w:r>
      <w:r w:rsidRPr="00BD1E77" w:rsidDel="007D3440">
        <w:rPr>
          <w:rFonts w:ascii="Arial" w:eastAsiaTheme="minorHAnsi" w:hAnsi="Arial" w:cs="Arial"/>
          <w:sz w:val="22"/>
        </w:rPr>
        <w:t xml:space="preserve"> </w:t>
      </w:r>
    </w:p>
    <w:p w14:paraId="69282624" w14:textId="77777777" w:rsidR="00A62D44" w:rsidRPr="004C6EEE" w:rsidRDefault="00A62D44" w:rsidP="004C6EEE">
      <w:pPr>
        <w:pStyle w:val="Sectionbreakfirstpage"/>
        <w:sectPr w:rsidR="00A62D44" w:rsidRPr="004C6EEE" w:rsidSect="00CD3CA0">
          <w:headerReference w:type="default" r:id="rId12"/>
          <w:footerReference w:type="default" r:id="rId13"/>
          <w:pgSz w:w="11906" w:h="16838" w:code="9"/>
          <w:pgMar w:top="567" w:right="851" w:bottom="1418" w:left="851" w:header="510" w:footer="397" w:gutter="0"/>
          <w:cols w:space="708"/>
          <w:docGrid w:linePitch="360"/>
        </w:sectPr>
      </w:pPr>
    </w:p>
    <w:p w14:paraId="135A024A" w14:textId="77777777" w:rsidR="00493FC0" w:rsidRDefault="00493FC0" w:rsidP="006C101B">
      <w:pPr>
        <w:rPr>
          <w:rFonts w:ascii="Arial" w:hAnsi="Arial" w:cs="Arial"/>
          <w:b/>
          <w:sz w:val="28"/>
        </w:rPr>
      </w:pPr>
    </w:p>
    <w:p w14:paraId="1B9F9E56" w14:textId="77777777" w:rsidR="00493FC0" w:rsidRDefault="00493FC0" w:rsidP="006C101B">
      <w:pPr>
        <w:rPr>
          <w:rFonts w:ascii="Arial" w:hAnsi="Arial" w:cs="Arial"/>
          <w:b/>
          <w:sz w:val="28"/>
        </w:rPr>
      </w:pPr>
    </w:p>
    <w:p w14:paraId="444C1409" w14:textId="7B0746E2" w:rsidR="006C101B" w:rsidRPr="00493FC0" w:rsidRDefault="006C101B" w:rsidP="006C101B">
      <w:pPr>
        <w:rPr>
          <w:rFonts w:ascii="Arial" w:hAnsi="Arial" w:cs="Arial"/>
          <w:b/>
          <w:sz w:val="28"/>
        </w:rPr>
      </w:pPr>
      <w:r w:rsidRPr="00493FC0">
        <w:rPr>
          <w:rFonts w:ascii="Arial" w:hAnsi="Arial" w:cs="Arial"/>
          <w:b/>
          <w:sz w:val="28"/>
        </w:rPr>
        <w:t>Audit tool</w:t>
      </w:r>
      <w:r w:rsidR="0025669E">
        <w:rPr>
          <w:rFonts w:ascii="Arial" w:hAnsi="Arial" w:cs="Arial"/>
          <w:b/>
          <w:sz w:val="28"/>
        </w:rPr>
        <w:tab/>
      </w:r>
    </w:p>
    <w:p w14:paraId="35A978C2" w14:textId="77777777" w:rsidR="00525BE1" w:rsidRPr="00CA6FD0" w:rsidRDefault="00525BE1" w:rsidP="006C101B">
      <w:pPr>
        <w:rPr>
          <w:rFonts w:ascii="Arial" w:hAnsi="Arial" w:cs="Arial"/>
          <w:b/>
        </w:rPr>
      </w:pPr>
    </w:p>
    <w:p w14:paraId="78C3D773" w14:textId="54E5B6CF" w:rsidR="006C101B" w:rsidRPr="00493FC0" w:rsidRDefault="006C101B" w:rsidP="006C101B">
      <w:pPr>
        <w:spacing w:after="120"/>
        <w:jc w:val="both"/>
        <w:rPr>
          <w:rFonts w:ascii="Arial" w:hAnsi="Arial" w:cs="Arial"/>
          <w:b/>
          <w:sz w:val="24"/>
          <w:szCs w:val="24"/>
        </w:rPr>
      </w:pPr>
      <w:r w:rsidRPr="00493FC0">
        <w:rPr>
          <w:rFonts w:ascii="Arial" w:hAnsi="Arial" w:cs="Arial"/>
          <w:b/>
          <w:sz w:val="24"/>
          <w:szCs w:val="24"/>
        </w:rPr>
        <w:t>Clinical speciality/ ward area</w:t>
      </w:r>
      <w:r w:rsidRPr="00493FC0">
        <w:rPr>
          <w:rFonts w:ascii="Arial" w:hAnsi="Arial" w:cs="Arial"/>
        </w:rPr>
        <w:t>:</w:t>
      </w:r>
      <w:r w:rsidRPr="00493FC0">
        <w:rPr>
          <w:rFonts w:ascii="Arial" w:hAnsi="Arial" w:cs="Arial"/>
        </w:rPr>
        <w:tab/>
      </w:r>
      <w:r w:rsidRPr="00493FC0">
        <w:rPr>
          <w:rFonts w:ascii="Arial" w:hAnsi="Arial" w:cs="Arial"/>
        </w:rPr>
        <w:tab/>
      </w:r>
      <w:r w:rsidRPr="00493FC0">
        <w:rPr>
          <w:rFonts w:ascii="Arial" w:hAnsi="Arial" w:cs="Arial"/>
        </w:rPr>
        <w:tab/>
      </w:r>
      <w:r w:rsidRPr="00493FC0">
        <w:rPr>
          <w:rFonts w:ascii="Arial" w:hAnsi="Arial" w:cs="Arial"/>
        </w:rPr>
        <w:tab/>
      </w:r>
      <w:r w:rsidRPr="00493FC0">
        <w:rPr>
          <w:rFonts w:ascii="Arial" w:hAnsi="Arial" w:cs="Arial"/>
        </w:rPr>
        <w:tab/>
        <w:t>Data collection period</w:t>
      </w:r>
      <w:r w:rsidRPr="00493FC0">
        <w:rPr>
          <w:rFonts w:ascii="Arial" w:hAnsi="Arial" w:cs="Arial"/>
        </w:rPr>
        <w:tab/>
      </w:r>
      <w:r w:rsidRPr="00493FC0">
        <w:rPr>
          <w:rFonts w:ascii="Arial" w:hAnsi="Arial" w:cs="Arial"/>
          <w:b/>
          <w:sz w:val="24"/>
          <w:szCs w:val="24"/>
        </w:rPr>
        <w:t>Start date:</w:t>
      </w:r>
      <w:r w:rsidRPr="00493FC0">
        <w:rPr>
          <w:rFonts w:ascii="Arial" w:hAnsi="Arial" w:cs="Arial"/>
          <w:b/>
          <w:sz w:val="24"/>
          <w:szCs w:val="24"/>
        </w:rPr>
        <w:tab/>
      </w:r>
      <w:r w:rsidRPr="00493FC0">
        <w:rPr>
          <w:rFonts w:ascii="Arial" w:hAnsi="Arial" w:cs="Arial"/>
          <w:b/>
          <w:sz w:val="24"/>
          <w:szCs w:val="24"/>
        </w:rPr>
        <w:tab/>
      </w:r>
      <w:r w:rsidRPr="00493FC0">
        <w:rPr>
          <w:rFonts w:ascii="Arial" w:hAnsi="Arial" w:cs="Arial"/>
          <w:b/>
          <w:sz w:val="24"/>
          <w:szCs w:val="24"/>
        </w:rPr>
        <w:tab/>
      </w:r>
      <w:r w:rsidRPr="00493FC0">
        <w:rPr>
          <w:rFonts w:ascii="Arial" w:hAnsi="Arial" w:cs="Arial"/>
          <w:b/>
          <w:sz w:val="24"/>
          <w:szCs w:val="24"/>
        </w:rPr>
        <w:tab/>
        <w:t>End date:</w:t>
      </w:r>
    </w:p>
    <w:tbl>
      <w:tblPr>
        <w:tblStyle w:val="TableGrid"/>
        <w:tblW w:w="0" w:type="auto"/>
        <w:tblLook w:val="04A0" w:firstRow="1" w:lastRow="0" w:firstColumn="1" w:lastColumn="0" w:noHBand="0" w:noVBand="1"/>
      </w:tblPr>
      <w:tblGrid>
        <w:gridCol w:w="1818"/>
        <w:gridCol w:w="1885"/>
        <w:gridCol w:w="1859"/>
        <w:gridCol w:w="1882"/>
        <w:gridCol w:w="1883"/>
        <w:gridCol w:w="2150"/>
        <w:gridCol w:w="1507"/>
        <w:gridCol w:w="1684"/>
      </w:tblGrid>
      <w:tr w:rsidR="00A97E77" w:rsidRPr="00493FC0" w14:paraId="42077D5D" w14:textId="77777777" w:rsidTr="005A2DD8">
        <w:trPr>
          <w:cantSplit/>
          <w:trHeight w:val="1113"/>
        </w:trPr>
        <w:tc>
          <w:tcPr>
            <w:tcW w:w="1818" w:type="dxa"/>
          </w:tcPr>
          <w:p w14:paraId="0C2D539D" w14:textId="77777777" w:rsidR="006C101B" w:rsidRPr="00493FC0" w:rsidRDefault="006C101B" w:rsidP="00F31E58">
            <w:pPr>
              <w:spacing w:after="120"/>
              <w:jc w:val="center"/>
              <w:rPr>
                <w:rFonts w:ascii="Arial" w:hAnsi="Arial" w:cs="Arial"/>
              </w:rPr>
            </w:pPr>
            <w:r w:rsidRPr="00493FC0">
              <w:rPr>
                <w:rFonts w:ascii="Arial" w:hAnsi="Arial" w:cs="Arial"/>
              </w:rPr>
              <w:t>Date</w:t>
            </w:r>
          </w:p>
        </w:tc>
        <w:tc>
          <w:tcPr>
            <w:tcW w:w="1885" w:type="dxa"/>
          </w:tcPr>
          <w:p w14:paraId="41ED52D3" w14:textId="77777777" w:rsidR="006C101B" w:rsidRPr="00493FC0" w:rsidRDefault="006C101B" w:rsidP="00F31E58">
            <w:pPr>
              <w:spacing w:after="120"/>
              <w:jc w:val="center"/>
              <w:rPr>
                <w:rFonts w:ascii="Arial" w:hAnsi="Arial" w:cs="Arial"/>
              </w:rPr>
            </w:pPr>
            <w:r w:rsidRPr="00493FC0">
              <w:rPr>
                <w:rFonts w:ascii="Arial" w:hAnsi="Arial" w:cs="Arial"/>
              </w:rPr>
              <w:t>Prescribing doctor</w:t>
            </w:r>
          </w:p>
        </w:tc>
        <w:tc>
          <w:tcPr>
            <w:tcW w:w="1859" w:type="dxa"/>
          </w:tcPr>
          <w:p w14:paraId="488F499C" w14:textId="77777777" w:rsidR="006C101B" w:rsidRPr="00493FC0" w:rsidRDefault="006C101B" w:rsidP="00F31E58">
            <w:pPr>
              <w:spacing w:after="120"/>
              <w:jc w:val="center"/>
              <w:rPr>
                <w:rFonts w:ascii="Arial" w:hAnsi="Arial" w:cs="Arial"/>
              </w:rPr>
            </w:pPr>
            <w:r w:rsidRPr="00493FC0">
              <w:rPr>
                <w:rFonts w:ascii="Arial" w:hAnsi="Arial" w:cs="Arial"/>
              </w:rPr>
              <w:t>Patient Name / MRN</w:t>
            </w:r>
          </w:p>
        </w:tc>
        <w:tc>
          <w:tcPr>
            <w:tcW w:w="1882" w:type="dxa"/>
          </w:tcPr>
          <w:p w14:paraId="3C07C129" w14:textId="5BFC5DD1" w:rsidR="005F2CF5" w:rsidRPr="00493FC0" w:rsidRDefault="006C101B" w:rsidP="005F2CF5">
            <w:pPr>
              <w:spacing w:after="120"/>
              <w:jc w:val="center"/>
              <w:rPr>
                <w:rFonts w:ascii="Arial" w:hAnsi="Arial" w:cs="Arial"/>
              </w:rPr>
            </w:pPr>
            <w:r w:rsidRPr="00493FC0">
              <w:rPr>
                <w:rFonts w:ascii="Arial" w:hAnsi="Arial" w:cs="Arial"/>
              </w:rPr>
              <w:t xml:space="preserve">Number of </w:t>
            </w:r>
            <w:r w:rsidR="00493FC0">
              <w:rPr>
                <w:rFonts w:ascii="Arial" w:hAnsi="Arial" w:cs="Arial"/>
              </w:rPr>
              <w:t>RBC</w:t>
            </w:r>
            <w:r w:rsidR="00493FC0" w:rsidRPr="00493FC0">
              <w:rPr>
                <w:rFonts w:ascii="Arial" w:hAnsi="Arial" w:cs="Arial"/>
              </w:rPr>
              <w:t xml:space="preserve"> signed</w:t>
            </w:r>
            <w:r w:rsidRPr="00493FC0">
              <w:rPr>
                <w:rFonts w:ascii="Arial" w:hAnsi="Arial" w:cs="Arial"/>
              </w:rPr>
              <w:t xml:space="preserve"> </w:t>
            </w:r>
            <w:r w:rsidRPr="00493FC0">
              <w:rPr>
                <w:rFonts w:ascii="Arial" w:hAnsi="Arial" w:cs="Arial"/>
                <w:b/>
              </w:rPr>
              <w:t>IN</w:t>
            </w:r>
            <w:r w:rsidRPr="00493FC0">
              <w:rPr>
                <w:rFonts w:ascii="Arial" w:hAnsi="Arial" w:cs="Arial"/>
              </w:rPr>
              <w:t xml:space="preserve"> for patient</w:t>
            </w:r>
          </w:p>
          <w:p w14:paraId="108A136B" w14:textId="06BB8B0A" w:rsidR="006C101B" w:rsidRPr="00493FC0" w:rsidRDefault="006C101B" w:rsidP="005F2CF5">
            <w:pPr>
              <w:spacing w:after="120"/>
              <w:jc w:val="center"/>
              <w:rPr>
                <w:rFonts w:ascii="Arial" w:hAnsi="Arial" w:cs="Arial"/>
                <w:b/>
                <w:sz w:val="28"/>
                <w:szCs w:val="28"/>
              </w:rPr>
            </w:pPr>
            <w:r w:rsidRPr="00BE2669">
              <w:rPr>
                <w:rFonts w:ascii="Arial" w:hAnsi="Arial" w:cs="Arial"/>
                <w:b/>
                <w:color w:val="A20000"/>
                <w:sz w:val="28"/>
                <w:szCs w:val="28"/>
              </w:rPr>
              <w:t>C</w:t>
            </w:r>
            <w:r w:rsidR="0085182B">
              <w:rPr>
                <w:rFonts w:ascii="Arial" w:hAnsi="Arial" w:cs="Arial"/>
                <w:b/>
                <w:color w:val="FF0000"/>
                <w:sz w:val="28"/>
                <w:szCs w:val="28"/>
              </w:rPr>
              <w:t xml:space="preserve"> </w:t>
            </w:r>
          </w:p>
        </w:tc>
        <w:tc>
          <w:tcPr>
            <w:tcW w:w="1883" w:type="dxa"/>
          </w:tcPr>
          <w:p w14:paraId="056ABD30" w14:textId="45016741" w:rsidR="000F6E38" w:rsidRPr="00493FC0" w:rsidRDefault="006C101B" w:rsidP="005F2CF5">
            <w:pPr>
              <w:spacing w:after="120"/>
              <w:jc w:val="center"/>
              <w:rPr>
                <w:rFonts w:ascii="Arial" w:hAnsi="Arial" w:cs="Arial"/>
              </w:rPr>
            </w:pPr>
            <w:r w:rsidRPr="00493FC0">
              <w:rPr>
                <w:rFonts w:ascii="Arial" w:hAnsi="Arial" w:cs="Arial"/>
              </w:rPr>
              <w:t xml:space="preserve">Number of </w:t>
            </w:r>
            <w:r w:rsidR="00493FC0">
              <w:rPr>
                <w:rFonts w:ascii="Arial" w:hAnsi="Arial" w:cs="Arial"/>
              </w:rPr>
              <w:t>RBC</w:t>
            </w:r>
            <w:r w:rsidRPr="00493FC0">
              <w:rPr>
                <w:rFonts w:ascii="Arial" w:hAnsi="Arial" w:cs="Arial"/>
              </w:rPr>
              <w:t xml:space="preserve"> signed </w:t>
            </w:r>
            <w:r w:rsidRPr="00493FC0">
              <w:rPr>
                <w:rFonts w:ascii="Arial" w:hAnsi="Arial" w:cs="Arial"/>
                <w:b/>
              </w:rPr>
              <w:t>OUT</w:t>
            </w:r>
            <w:r w:rsidRPr="00493FC0">
              <w:rPr>
                <w:rFonts w:ascii="Arial" w:hAnsi="Arial" w:cs="Arial"/>
              </w:rPr>
              <w:t xml:space="preserve"> for patient</w:t>
            </w:r>
          </w:p>
          <w:p w14:paraId="557A359E" w14:textId="0B74D42E" w:rsidR="006C101B" w:rsidRPr="00493FC0" w:rsidRDefault="006C101B" w:rsidP="005F2CF5">
            <w:pPr>
              <w:spacing w:after="120"/>
              <w:jc w:val="center"/>
              <w:rPr>
                <w:rFonts w:ascii="Arial" w:hAnsi="Arial" w:cs="Arial"/>
                <w:b/>
                <w:sz w:val="28"/>
                <w:szCs w:val="28"/>
              </w:rPr>
            </w:pPr>
            <w:r w:rsidRPr="00BE2669">
              <w:rPr>
                <w:rFonts w:ascii="Arial" w:hAnsi="Arial" w:cs="Arial"/>
                <w:b/>
                <w:color w:val="A20000"/>
                <w:sz w:val="28"/>
                <w:szCs w:val="28"/>
              </w:rPr>
              <w:t>T</w:t>
            </w:r>
            <w:r w:rsidR="0085182B" w:rsidRPr="00BE2669">
              <w:rPr>
                <w:rFonts w:ascii="Arial" w:hAnsi="Arial" w:cs="Arial"/>
                <w:b/>
                <w:color w:val="A20000"/>
                <w:sz w:val="28"/>
                <w:szCs w:val="28"/>
              </w:rPr>
              <w:t xml:space="preserve"> </w:t>
            </w:r>
          </w:p>
        </w:tc>
        <w:tc>
          <w:tcPr>
            <w:tcW w:w="2150" w:type="dxa"/>
          </w:tcPr>
          <w:p w14:paraId="4C67DFC4" w14:textId="5BA273BB" w:rsidR="006C101B" w:rsidRPr="00493FC0" w:rsidRDefault="006C101B" w:rsidP="00F31E58">
            <w:pPr>
              <w:spacing w:after="120"/>
              <w:jc w:val="center"/>
              <w:rPr>
                <w:rFonts w:ascii="Arial" w:hAnsi="Arial" w:cs="Arial"/>
              </w:rPr>
            </w:pPr>
            <w:r w:rsidRPr="00493FC0">
              <w:rPr>
                <w:rFonts w:ascii="Arial" w:hAnsi="Arial" w:cs="Arial"/>
              </w:rPr>
              <w:t xml:space="preserve">Number </w:t>
            </w:r>
            <w:r w:rsidR="00493FC0" w:rsidRPr="00493FC0">
              <w:rPr>
                <w:rFonts w:ascii="Arial" w:hAnsi="Arial" w:cs="Arial"/>
              </w:rPr>
              <w:t xml:space="preserve">of </w:t>
            </w:r>
            <w:r w:rsidR="00493FC0">
              <w:rPr>
                <w:rFonts w:ascii="Arial" w:hAnsi="Arial" w:cs="Arial"/>
              </w:rPr>
              <w:t>RBC</w:t>
            </w:r>
            <w:r w:rsidRPr="00493FC0">
              <w:rPr>
                <w:rFonts w:ascii="Arial" w:hAnsi="Arial" w:cs="Arial"/>
              </w:rPr>
              <w:t xml:space="preserve"> </w:t>
            </w:r>
            <w:r w:rsidRPr="00493FC0">
              <w:rPr>
                <w:rFonts w:ascii="Arial" w:hAnsi="Arial" w:cs="Arial"/>
                <w:b/>
              </w:rPr>
              <w:t>RETURNED</w:t>
            </w:r>
            <w:r w:rsidRPr="00493FC0">
              <w:rPr>
                <w:rFonts w:ascii="Arial" w:hAnsi="Arial" w:cs="Arial"/>
              </w:rPr>
              <w:t xml:space="preserve"> to pathology</w:t>
            </w:r>
          </w:p>
          <w:p w14:paraId="48003539" w14:textId="0A99F8D6" w:rsidR="006C101B" w:rsidRPr="00493FC0" w:rsidRDefault="006C101B" w:rsidP="00F31E58">
            <w:pPr>
              <w:spacing w:after="120"/>
              <w:jc w:val="center"/>
              <w:rPr>
                <w:rFonts w:ascii="Arial" w:hAnsi="Arial" w:cs="Arial"/>
                <w:b/>
                <w:sz w:val="28"/>
                <w:szCs w:val="28"/>
              </w:rPr>
            </w:pPr>
            <w:r w:rsidRPr="00BE2669">
              <w:rPr>
                <w:rFonts w:ascii="Arial" w:hAnsi="Arial" w:cs="Arial"/>
                <w:b/>
                <w:color w:val="A20000"/>
                <w:sz w:val="28"/>
                <w:szCs w:val="28"/>
              </w:rPr>
              <w:t>R</w:t>
            </w:r>
            <w:r w:rsidR="0085182B">
              <w:rPr>
                <w:rFonts w:ascii="Arial" w:hAnsi="Arial" w:cs="Arial"/>
                <w:b/>
                <w:color w:val="FF0000"/>
                <w:sz w:val="28"/>
                <w:szCs w:val="28"/>
              </w:rPr>
              <w:t xml:space="preserve"> </w:t>
            </w:r>
          </w:p>
        </w:tc>
        <w:tc>
          <w:tcPr>
            <w:tcW w:w="1507" w:type="dxa"/>
          </w:tcPr>
          <w:p w14:paraId="4B06AF70" w14:textId="77777777" w:rsidR="006C101B" w:rsidRPr="00493FC0" w:rsidRDefault="006C101B" w:rsidP="00F31E58">
            <w:pPr>
              <w:spacing w:after="120"/>
              <w:jc w:val="center"/>
              <w:rPr>
                <w:rFonts w:ascii="Arial" w:hAnsi="Arial" w:cs="Arial"/>
              </w:rPr>
            </w:pPr>
            <w:r w:rsidRPr="00493FC0">
              <w:rPr>
                <w:rFonts w:ascii="Arial" w:hAnsi="Arial" w:cs="Arial"/>
              </w:rPr>
              <w:t>Pathology provider</w:t>
            </w:r>
          </w:p>
        </w:tc>
        <w:tc>
          <w:tcPr>
            <w:tcW w:w="1684" w:type="dxa"/>
          </w:tcPr>
          <w:p w14:paraId="5A852C75" w14:textId="77777777" w:rsidR="006C101B" w:rsidRPr="00493FC0" w:rsidRDefault="006C101B" w:rsidP="00F31E58">
            <w:pPr>
              <w:spacing w:after="120"/>
              <w:jc w:val="center"/>
              <w:rPr>
                <w:rFonts w:ascii="Arial" w:hAnsi="Arial" w:cs="Arial"/>
                <w:sz w:val="48"/>
                <w:szCs w:val="48"/>
              </w:rPr>
            </w:pPr>
            <w:r w:rsidRPr="00BE2669">
              <w:rPr>
                <w:rFonts w:ascii="Arial" w:hAnsi="Arial" w:cs="Arial"/>
                <w:b/>
                <w:color w:val="A20000"/>
                <w:sz w:val="48"/>
                <w:szCs w:val="48"/>
              </w:rPr>
              <w:t>C/T</w:t>
            </w:r>
            <w:r w:rsidRPr="00BE2669">
              <w:rPr>
                <w:rFonts w:ascii="Arial" w:hAnsi="Arial" w:cs="Arial"/>
                <w:color w:val="A20000"/>
                <w:sz w:val="48"/>
                <w:szCs w:val="48"/>
              </w:rPr>
              <w:t xml:space="preserve"> </w:t>
            </w:r>
          </w:p>
        </w:tc>
      </w:tr>
      <w:tr w:rsidR="006C101B" w:rsidRPr="00493FC0" w14:paraId="1F3EBC5C" w14:textId="77777777" w:rsidTr="005A2DD8">
        <w:trPr>
          <w:cantSplit/>
          <w:trHeight w:val="650"/>
        </w:trPr>
        <w:tc>
          <w:tcPr>
            <w:tcW w:w="1818" w:type="dxa"/>
            <w:shd w:val="clear" w:color="auto" w:fill="F2F2F2" w:themeFill="background1" w:themeFillShade="F2"/>
          </w:tcPr>
          <w:p w14:paraId="3461321A" w14:textId="77777777" w:rsidR="006C101B" w:rsidRPr="00493FC0" w:rsidRDefault="006C101B" w:rsidP="00F31E58">
            <w:pPr>
              <w:spacing w:after="120"/>
              <w:jc w:val="both"/>
              <w:rPr>
                <w:rFonts w:ascii="Arial" w:hAnsi="Arial" w:cs="Arial"/>
                <w:i/>
              </w:rPr>
            </w:pPr>
            <w:r w:rsidRPr="00493FC0">
              <w:rPr>
                <w:rFonts w:ascii="Arial" w:hAnsi="Arial" w:cs="Arial"/>
                <w:i/>
              </w:rPr>
              <w:t>1/3/15</w:t>
            </w:r>
          </w:p>
        </w:tc>
        <w:tc>
          <w:tcPr>
            <w:tcW w:w="1885" w:type="dxa"/>
            <w:shd w:val="clear" w:color="auto" w:fill="F2F2F2" w:themeFill="background1" w:themeFillShade="F2"/>
          </w:tcPr>
          <w:p w14:paraId="0FCBD6B5" w14:textId="77777777" w:rsidR="006C101B" w:rsidRPr="00493FC0" w:rsidRDefault="006C101B" w:rsidP="00F31E58">
            <w:pPr>
              <w:spacing w:after="120"/>
              <w:jc w:val="both"/>
              <w:rPr>
                <w:rFonts w:ascii="Arial" w:hAnsi="Arial" w:cs="Arial"/>
                <w:i/>
              </w:rPr>
            </w:pPr>
            <w:r w:rsidRPr="00493FC0">
              <w:rPr>
                <w:rFonts w:ascii="Arial" w:hAnsi="Arial" w:cs="Arial"/>
                <w:i/>
              </w:rPr>
              <w:t>ZZZ</w:t>
            </w:r>
          </w:p>
        </w:tc>
        <w:tc>
          <w:tcPr>
            <w:tcW w:w="1859" w:type="dxa"/>
            <w:shd w:val="clear" w:color="auto" w:fill="F2F2F2" w:themeFill="background1" w:themeFillShade="F2"/>
          </w:tcPr>
          <w:p w14:paraId="19F88744" w14:textId="77777777" w:rsidR="006C101B" w:rsidRPr="00493FC0" w:rsidRDefault="006C101B" w:rsidP="00F31E58">
            <w:pPr>
              <w:spacing w:after="120"/>
              <w:jc w:val="both"/>
              <w:rPr>
                <w:rFonts w:ascii="Arial" w:hAnsi="Arial" w:cs="Arial"/>
                <w:i/>
              </w:rPr>
            </w:pPr>
            <w:r w:rsidRPr="00493FC0">
              <w:rPr>
                <w:rFonts w:ascii="Arial" w:hAnsi="Arial" w:cs="Arial"/>
                <w:i/>
              </w:rPr>
              <w:t>Simon Blood</w:t>
            </w:r>
          </w:p>
        </w:tc>
        <w:tc>
          <w:tcPr>
            <w:tcW w:w="1882" w:type="dxa"/>
            <w:shd w:val="clear" w:color="auto" w:fill="F2F2F2" w:themeFill="background1" w:themeFillShade="F2"/>
          </w:tcPr>
          <w:p w14:paraId="6E6A074E" w14:textId="77777777" w:rsidR="006C101B" w:rsidRPr="00493FC0" w:rsidRDefault="006C101B" w:rsidP="00F31E58">
            <w:pPr>
              <w:spacing w:after="120"/>
              <w:jc w:val="both"/>
              <w:rPr>
                <w:rFonts w:ascii="Arial" w:hAnsi="Arial" w:cs="Arial"/>
                <w:i/>
              </w:rPr>
            </w:pPr>
            <w:r w:rsidRPr="00493FC0">
              <w:rPr>
                <w:rFonts w:ascii="Arial" w:hAnsi="Arial" w:cs="Arial"/>
                <w:i/>
              </w:rPr>
              <w:t>6</w:t>
            </w:r>
          </w:p>
        </w:tc>
        <w:tc>
          <w:tcPr>
            <w:tcW w:w="1883" w:type="dxa"/>
            <w:shd w:val="clear" w:color="auto" w:fill="F2F2F2" w:themeFill="background1" w:themeFillShade="F2"/>
          </w:tcPr>
          <w:p w14:paraId="74A71FBD" w14:textId="77777777" w:rsidR="006C101B" w:rsidRPr="00493FC0" w:rsidRDefault="006C101B" w:rsidP="00F31E58">
            <w:pPr>
              <w:spacing w:after="120"/>
              <w:jc w:val="both"/>
              <w:rPr>
                <w:rFonts w:ascii="Arial" w:hAnsi="Arial" w:cs="Arial"/>
                <w:i/>
              </w:rPr>
            </w:pPr>
            <w:r w:rsidRPr="00493FC0">
              <w:rPr>
                <w:rFonts w:ascii="Arial" w:hAnsi="Arial" w:cs="Arial"/>
                <w:i/>
              </w:rPr>
              <w:t>2</w:t>
            </w:r>
          </w:p>
        </w:tc>
        <w:tc>
          <w:tcPr>
            <w:tcW w:w="2150" w:type="dxa"/>
            <w:shd w:val="clear" w:color="auto" w:fill="F2F2F2" w:themeFill="background1" w:themeFillShade="F2"/>
          </w:tcPr>
          <w:p w14:paraId="4A797EC9" w14:textId="77777777" w:rsidR="006C101B" w:rsidRPr="00493FC0" w:rsidRDefault="006C101B" w:rsidP="00F31E58">
            <w:pPr>
              <w:spacing w:after="120"/>
              <w:jc w:val="both"/>
              <w:rPr>
                <w:rFonts w:ascii="Arial" w:hAnsi="Arial" w:cs="Arial"/>
                <w:i/>
              </w:rPr>
            </w:pPr>
            <w:r w:rsidRPr="00493FC0">
              <w:rPr>
                <w:rFonts w:ascii="Arial" w:hAnsi="Arial" w:cs="Arial"/>
                <w:i/>
              </w:rPr>
              <w:t>4</w:t>
            </w:r>
          </w:p>
        </w:tc>
        <w:tc>
          <w:tcPr>
            <w:tcW w:w="1507" w:type="dxa"/>
            <w:shd w:val="clear" w:color="auto" w:fill="F2F2F2" w:themeFill="background1" w:themeFillShade="F2"/>
          </w:tcPr>
          <w:p w14:paraId="3201B8DE" w14:textId="77777777" w:rsidR="006C101B" w:rsidRPr="00493FC0" w:rsidRDefault="006C101B" w:rsidP="00F31E58">
            <w:pPr>
              <w:spacing w:after="120"/>
              <w:jc w:val="both"/>
              <w:rPr>
                <w:rFonts w:ascii="Arial" w:hAnsi="Arial" w:cs="Arial"/>
                <w:i/>
              </w:rPr>
            </w:pPr>
            <w:r w:rsidRPr="00493FC0">
              <w:rPr>
                <w:rFonts w:ascii="Arial" w:hAnsi="Arial" w:cs="Arial"/>
                <w:i/>
              </w:rPr>
              <w:t>H pathology</w:t>
            </w:r>
          </w:p>
        </w:tc>
        <w:tc>
          <w:tcPr>
            <w:tcW w:w="1684" w:type="dxa"/>
            <w:shd w:val="clear" w:color="auto" w:fill="F2F2F2" w:themeFill="background1" w:themeFillShade="F2"/>
          </w:tcPr>
          <w:p w14:paraId="071DD9F2" w14:textId="77777777" w:rsidR="006C101B" w:rsidRPr="00493FC0" w:rsidRDefault="006C101B" w:rsidP="00F31E58">
            <w:pPr>
              <w:spacing w:after="120"/>
              <w:jc w:val="both"/>
              <w:rPr>
                <w:rFonts w:ascii="Arial" w:hAnsi="Arial" w:cs="Arial"/>
                <w:i/>
              </w:rPr>
            </w:pPr>
            <w:r w:rsidRPr="00493FC0">
              <w:rPr>
                <w:rFonts w:ascii="Arial" w:hAnsi="Arial" w:cs="Arial"/>
                <w:i/>
              </w:rPr>
              <w:t>3/1</w:t>
            </w:r>
          </w:p>
        </w:tc>
      </w:tr>
      <w:tr w:rsidR="00A97E77" w:rsidRPr="00493FC0" w14:paraId="2E17B9FC" w14:textId="77777777" w:rsidTr="005A2DD8">
        <w:trPr>
          <w:cantSplit/>
          <w:trHeight w:val="546"/>
        </w:trPr>
        <w:tc>
          <w:tcPr>
            <w:tcW w:w="1818" w:type="dxa"/>
          </w:tcPr>
          <w:p w14:paraId="44CCC5AD" w14:textId="77777777" w:rsidR="006C101B" w:rsidRPr="00CD3CA0" w:rsidRDefault="006C101B" w:rsidP="00F31E58">
            <w:pPr>
              <w:spacing w:after="120"/>
              <w:jc w:val="both"/>
              <w:rPr>
                <w:rFonts w:ascii="Arial" w:hAnsi="Arial" w:cs="Arial"/>
              </w:rPr>
            </w:pPr>
          </w:p>
        </w:tc>
        <w:tc>
          <w:tcPr>
            <w:tcW w:w="1885" w:type="dxa"/>
          </w:tcPr>
          <w:p w14:paraId="7EC856C9" w14:textId="77777777" w:rsidR="006C101B" w:rsidRPr="00CD3CA0" w:rsidRDefault="006C101B" w:rsidP="00F31E58">
            <w:pPr>
              <w:spacing w:after="120"/>
              <w:jc w:val="both"/>
              <w:rPr>
                <w:rFonts w:ascii="Arial" w:hAnsi="Arial" w:cs="Arial"/>
              </w:rPr>
            </w:pPr>
          </w:p>
        </w:tc>
        <w:tc>
          <w:tcPr>
            <w:tcW w:w="1859" w:type="dxa"/>
          </w:tcPr>
          <w:p w14:paraId="66B64E29" w14:textId="77777777" w:rsidR="006C101B" w:rsidRPr="00CD3CA0" w:rsidRDefault="006C101B" w:rsidP="00F31E58">
            <w:pPr>
              <w:spacing w:after="120"/>
              <w:jc w:val="both"/>
              <w:rPr>
                <w:rFonts w:ascii="Arial" w:hAnsi="Arial" w:cs="Arial"/>
              </w:rPr>
            </w:pPr>
          </w:p>
        </w:tc>
        <w:tc>
          <w:tcPr>
            <w:tcW w:w="1882" w:type="dxa"/>
          </w:tcPr>
          <w:p w14:paraId="7AE15F85" w14:textId="77777777" w:rsidR="006C101B" w:rsidRPr="00CD3CA0" w:rsidRDefault="006C101B" w:rsidP="00F31E58">
            <w:pPr>
              <w:spacing w:after="120"/>
              <w:jc w:val="both"/>
              <w:rPr>
                <w:rFonts w:ascii="Arial" w:hAnsi="Arial" w:cs="Arial"/>
              </w:rPr>
            </w:pPr>
          </w:p>
        </w:tc>
        <w:tc>
          <w:tcPr>
            <w:tcW w:w="1883" w:type="dxa"/>
          </w:tcPr>
          <w:p w14:paraId="331A6F59" w14:textId="77777777" w:rsidR="006C101B" w:rsidRPr="00CD3CA0" w:rsidRDefault="006C101B" w:rsidP="00F31E58">
            <w:pPr>
              <w:spacing w:after="120"/>
              <w:jc w:val="both"/>
              <w:rPr>
                <w:rFonts w:ascii="Arial" w:hAnsi="Arial" w:cs="Arial"/>
              </w:rPr>
            </w:pPr>
          </w:p>
        </w:tc>
        <w:tc>
          <w:tcPr>
            <w:tcW w:w="2150" w:type="dxa"/>
          </w:tcPr>
          <w:p w14:paraId="182E70E4" w14:textId="77777777" w:rsidR="006C101B" w:rsidRPr="00CD3CA0" w:rsidRDefault="006C101B" w:rsidP="00F31E58">
            <w:pPr>
              <w:spacing w:after="120"/>
              <w:jc w:val="both"/>
              <w:rPr>
                <w:rFonts w:ascii="Arial" w:hAnsi="Arial" w:cs="Arial"/>
              </w:rPr>
            </w:pPr>
          </w:p>
        </w:tc>
        <w:tc>
          <w:tcPr>
            <w:tcW w:w="1507" w:type="dxa"/>
          </w:tcPr>
          <w:p w14:paraId="48ADA036" w14:textId="77777777" w:rsidR="006C101B" w:rsidRPr="00CD3CA0" w:rsidRDefault="006C101B" w:rsidP="00F31E58">
            <w:pPr>
              <w:spacing w:after="120"/>
              <w:jc w:val="both"/>
              <w:rPr>
                <w:rFonts w:ascii="Arial" w:hAnsi="Arial" w:cs="Arial"/>
              </w:rPr>
            </w:pPr>
          </w:p>
        </w:tc>
        <w:tc>
          <w:tcPr>
            <w:tcW w:w="1684" w:type="dxa"/>
          </w:tcPr>
          <w:p w14:paraId="47E81919" w14:textId="77777777" w:rsidR="006C101B" w:rsidRPr="00CD3CA0" w:rsidRDefault="006C101B" w:rsidP="00F31E58">
            <w:pPr>
              <w:spacing w:after="120"/>
              <w:jc w:val="both"/>
              <w:rPr>
                <w:rFonts w:ascii="Arial" w:hAnsi="Arial" w:cs="Arial"/>
              </w:rPr>
            </w:pPr>
          </w:p>
        </w:tc>
      </w:tr>
      <w:tr w:rsidR="00A97E77" w:rsidRPr="00493FC0" w14:paraId="4251F974" w14:textId="77777777" w:rsidTr="005A2DD8">
        <w:trPr>
          <w:cantSplit/>
          <w:trHeight w:val="568"/>
        </w:trPr>
        <w:tc>
          <w:tcPr>
            <w:tcW w:w="1818" w:type="dxa"/>
          </w:tcPr>
          <w:p w14:paraId="5F46D395" w14:textId="77777777" w:rsidR="006C101B" w:rsidRPr="00CD3CA0" w:rsidRDefault="006C101B" w:rsidP="00F31E58">
            <w:pPr>
              <w:spacing w:after="120"/>
              <w:jc w:val="both"/>
              <w:rPr>
                <w:rFonts w:ascii="Arial" w:hAnsi="Arial" w:cs="Arial"/>
              </w:rPr>
            </w:pPr>
          </w:p>
        </w:tc>
        <w:tc>
          <w:tcPr>
            <w:tcW w:w="1885" w:type="dxa"/>
          </w:tcPr>
          <w:p w14:paraId="3B2FEF91" w14:textId="77777777" w:rsidR="006C101B" w:rsidRPr="00CD3CA0" w:rsidRDefault="006C101B" w:rsidP="00F31E58">
            <w:pPr>
              <w:spacing w:after="120"/>
              <w:jc w:val="both"/>
              <w:rPr>
                <w:rFonts w:ascii="Arial" w:hAnsi="Arial" w:cs="Arial"/>
              </w:rPr>
            </w:pPr>
          </w:p>
        </w:tc>
        <w:tc>
          <w:tcPr>
            <w:tcW w:w="1859" w:type="dxa"/>
          </w:tcPr>
          <w:p w14:paraId="390671DB" w14:textId="77777777" w:rsidR="006C101B" w:rsidRPr="00CD3CA0" w:rsidRDefault="006C101B" w:rsidP="00F31E58">
            <w:pPr>
              <w:spacing w:after="120"/>
              <w:jc w:val="both"/>
              <w:rPr>
                <w:rFonts w:ascii="Arial" w:hAnsi="Arial" w:cs="Arial"/>
              </w:rPr>
            </w:pPr>
          </w:p>
        </w:tc>
        <w:tc>
          <w:tcPr>
            <w:tcW w:w="1882" w:type="dxa"/>
          </w:tcPr>
          <w:p w14:paraId="474AB2C7" w14:textId="77777777" w:rsidR="006C101B" w:rsidRPr="00CD3CA0" w:rsidRDefault="006C101B" w:rsidP="00F31E58">
            <w:pPr>
              <w:spacing w:after="120"/>
              <w:jc w:val="both"/>
              <w:rPr>
                <w:rFonts w:ascii="Arial" w:hAnsi="Arial" w:cs="Arial"/>
              </w:rPr>
            </w:pPr>
          </w:p>
        </w:tc>
        <w:tc>
          <w:tcPr>
            <w:tcW w:w="1883" w:type="dxa"/>
          </w:tcPr>
          <w:p w14:paraId="17B95C6E" w14:textId="77777777" w:rsidR="006C101B" w:rsidRPr="00CD3CA0" w:rsidRDefault="006C101B" w:rsidP="00F31E58">
            <w:pPr>
              <w:spacing w:after="120"/>
              <w:jc w:val="both"/>
              <w:rPr>
                <w:rFonts w:ascii="Arial" w:hAnsi="Arial" w:cs="Arial"/>
              </w:rPr>
            </w:pPr>
          </w:p>
        </w:tc>
        <w:tc>
          <w:tcPr>
            <w:tcW w:w="2150" w:type="dxa"/>
          </w:tcPr>
          <w:p w14:paraId="3D1B9D29" w14:textId="77777777" w:rsidR="006C101B" w:rsidRPr="00CD3CA0" w:rsidRDefault="006C101B" w:rsidP="00F31E58">
            <w:pPr>
              <w:spacing w:after="120"/>
              <w:jc w:val="both"/>
              <w:rPr>
                <w:rFonts w:ascii="Arial" w:hAnsi="Arial" w:cs="Arial"/>
              </w:rPr>
            </w:pPr>
          </w:p>
        </w:tc>
        <w:tc>
          <w:tcPr>
            <w:tcW w:w="1507" w:type="dxa"/>
          </w:tcPr>
          <w:p w14:paraId="67690662" w14:textId="77777777" w:rsidR="006C101B" w:rsidRPr="00CD3CA0" w:rsidRDefault="006C101B" w:rsidP="00F31E58">
            <w:pPr>
              <w:spacing w:after="120"/>
              <w:jc w:val="both"/>
              <w:rPr>
                <w:rFonts w:ascii="Arial" w:hAnsi="Arial" w:cs="Arial"/>
              </w:rPr>
            </w:pPr>
          </w:p>
        </w:tc>
        <w:tc>
          <w:tcPr>
            <w:tcW w:w="1684" w:type="dxa"/>
          </w:tcPr>
          <w:p w14:paraId="4326CB4C" w14:textId="77777777" w:rsidR="006C101B" w:rsidRPr="00CD3CA0" w:rsidRDefault="006C101B" w:rsidP="00F31E58">
            <w:pPr>
              <w:spacing w:after="120"/>
              <w:jc w:val="both"/>
              <w:rPr>
                <w:rFonts w:ascii="Arial" w:hAnsi="Arial" w:cs="Arial"/>
              </w:rPr>
            </w:pPr>
          </w:p>
        </w:tc>
      </w:tr>
      <w:tr w:rsidR="00A97E77" w:rsidRPr="00493FC0" w14:paraId="5C2A57B4" w14:textId="77777777" w:rsidTr="005A2DD8">
        <w:trPr>
          <w:cantSplit/>
          <w:trHeight w:val="562"/>
        </w:trPr>
        <w:tc>
          <w:tcPr>
            <w:tcW w:w="1818" w:type="dxa"/>
          </w:tcPr>
          <w:p w14:paraId="5DDB9E9F" w14:textId="77777777" w:rsidR="006C101B" w:rsidRPr="00CD3CA0" w:rsidRDefault="006C101B" w:rsidP="00F31E58">
            <w:pPr>
              <w:spacing w:after="120"/>
              <w:jc w:val="both"/>
              <w:rPr>
                <w:rFonts w:ascii="Arial" w:hAnsi="Arial" w:cs="Arial"/>
              </w:rPr>
            </w:pPr>
          </w:p>
        </w:tc>
        <w:tc>
          <w:tcPr>
            <w:tcW w:w="1885" w:type="dxa"/>
          </w:tcPr>
          <w:p w14:paraId="4D611E8A" w14:textId="77777777" w:rsidR="006C101B" w:rsidRPr="00CD3CA0" w:rsidRDefault="006C101B" w:rsidP="00F31E58">
            <w:pPr>
              <w:spacing w:after="120"/>
              <w:jc w:val="both"/>
              <w:rPr>
                <w:rFonts w:ascii="Arial" w:hAnsi="Arial" w:cs="Arial"/>
              </w:rPr>
            </w:pPr>
          </w:p>
        </w:tc>
        <w:tc>
          <w:tcPr>
            <w:tcW w:w="1859" w:type="dxa"/>
          </w:tcPr>
          <w:p w14:paraId="21DD79BD" w14:textId="77777777" w:rsidR="006C101B" w:rsidRPr="00CD3CA0" w:rsidRDefault="006C101B" w:rsidP="00F31E58">
            <w:pPr>
              <w:spacing w:after="120"/>
              <w:jc w:val="both"/>
              <w:rPr>
                <w:rFonts w:ascii="Arial" w:hAnsi="Arial" w:cs="Arial"/>
              </w:rPr>
            </w:pPr>
          </w:p>
        </w:tc>
        <w:tc>
          <w:tcPr>
            <w:tcW w:w="1882" w:type="dxa"/>
          </w:tcPr>
          <w:p w14:paraId="489406D3" w14:textId="77777777" w:rsidR="006C101B" w:rsidRPr="00CD3CA0" w:rsidRDefault="006C101B" w:rsidP="00F31E58">
            <w:pPr>
              <w:spacing w:after="120"/>
              <w:jc w:val="both"/>
              <w:rPr>
                <w:rFonts w:ascii="Arial" w:hAnsi="Arial" w:cs="Arial"/>
              </w:rPr>
            </w:pPr>
          </w:p>
        </w:tc>
        <w:tc>
          <w:tcPr>
            <w:tcW w:w="1883" w:type="dxa"/>
          </w:tcPr>
          <w:p w14:paraId="71D6AB36" w14:textId="77777777" w:rsidR="006C101B" w:rsidRPr="00CD3CA0" w:rsidRDefault="006C101B" w:rsidP="00F31E58">
            <w:pPr>
              <w:spacing w:after="120"/>
              <w:jc w:val="both"/>
              <w:rPr>
                <w:rFonts w:ascii="Arial" w:hAnsi="Arial" w:cs="Arial"/>
              </w:rPr>
            </w:pPr>
          </w:p>
        </w:tc>
        <w:tc>
          <w:tcPr>
            <w:tcW w:w="2150" w:type="dxa"/>
          </w:tcPr>
          <w:p w14:paraId="5373194C" w14:textId="77777777" w:rsidR="006C101B" w:rsidRPr="00CD3CA0" w:rsidRDefault="006C101B" w:rsidP="00F31E58">
            <w:pPr>
              <w:spacing w:after="120"/>
              <w:jc w:val="both"/>
              <w:rPr>
                <w:rFonts w:ascii="Arial" w:hAnsi="Arial" w:cs="Arial"/>
              </w:rPr>
            </w:pPr>
          </w:p>
        </w:tc>
        <w:tc>
          <w:tcPr>
            <w:tcW w:w="1507" w:type="dxa"/>
          </w:tcPr>
          <w:p w14:paraId="019E5AFF" w14:textId="77777777" w:rsidR="006C101B" w:rsidRPr="00CD3CA0" w:rsidRDefault="006C101B" w:rsidP="00F31E58">
            <w:pPr>
              <w:spacing w:after="120"/>
              <w:jc w:val="both"/>
              <w:rPr>
                <w:rFonts w:ascii="Arial" w:hAnsi="Arial" w:cs="Arial"/>
              </w:rPr>
            </w:pPr>
          </w:p>
        </w:tc>
        <w:tc>
          <w:tcPr>
            <w:tcW w:w="1684" w:type="dxa"/>
          </w:tcPr>
          <w:p w14:paraId="331588B5" w14:textId="77777777" w:rsidR="006C101B" w:rsidRPr="00CD3CA0" w:rsidRDefault="006C101B" w:rsidP="00F31E58">
            <w:pPr>
              <w:spacing w:after="120"/>
              <w:jc w:val="both"/>
              <w:rPr>
                <w:rFonts w:ascii="Arial" w:hAnsi="Arial" w:cs="Arial"/>
              </w:rPr>
            </w:pPr>
          </w:p>
        </w:tc>
      </w:tr>
      <w:tr w:rsidR="00A97E77" w:rsidRPr="00493FC0" w14:paraId="1587038E" w14:textId="77777777" w:rsidTr="005A2DD8">
        <w:trPr>
          <w:cantSplit/>
          <w:trHeight w:val="542"/>
        </w:trPr>
        <w:tc>
          <w:tcPr>
            <w:tcW w:w="1818" w:type="dxa"/>
          </w:tcPr>
          <w:p w14:paraId="5F737276" w14:textId="77777777" w:rsidR="006C101B" w:rsidRPr="00CD3CA0" w:rsidRDefault="006C101B" w:rsidP="00F31E58">
            <w:pPr>
              <w:spacing w:after="120"/>
              <w:jc w:val="both"/>
              <w:rPr>
                <w:rFonts w:ascii="Arial" w:hAnsi="Arial" w:cs="Arial"/>
              </w:rPr>
            </w:pPr>
          </w:p>
        </w:tc>
        <w:tc>
          <w:tcPr>
            <w:tcW w:w="1885" w:type="dxa"/>
          </w:tcPr>
          <w:p w14:paraId="6AFB07C2" w14:textId="77777777" w:rsidR="006C101B" w:rsidRPr="00CD3CA0" w:rsidRDefault="006C101B" w:rsidP="00F31E58">
            <w:pPr>
              <w:spacing w:after="120"/>
              <w:jc w:val="both"/>
              <w:rPr>
                <w:rFonts w:ascii="Arial" w:hAnsi="Arial" w:cs="Arial"/>
              </w:rPr>
            </w:pPr>
          </w:p>
        </w:tc>
        <w:tc>
          <w:tcPr>
            <w:tcW w:w="1859" w:type="dxa"/>
          </w:tcPr>
          <w:p w14:paraId="3B659716" w14:textId="77777777" w:rsidR="006C101B" w:rsidRPr="00CD3CA0" w:rsidRDefault="006C101B" w:rsidP="00F31E58">
            <w:pPr>
              <w:spacing w:after="120"/>
              <w:jc w:val="both"/>
              <w:rPr>
                <w:rFonts w:ascii="Arial" w:hAnsi="Arial" w:cs="Arial"/>
              </w:rPr>
            </w:pPr>
          </w:p>
        </w:tc>
        <w:tc>
          <w:tcPr>
            <w:tcW w:w="1882" w:type="dxa"/>
          </w:tcPr>
          <w:p w14:paraId="4361F957" w14:textId="77777777" w:rsidR="006C101B" w:rsidRPr="00CD3CA0" w:rsidRDefault="006C101B" w:rsidP="00F31E58">
            <w:pPr>
              <w:spacing w:after="120"/>
              <w:jc w:val="both"/>
              <w:rPr>
                <w:rFonts w:ascii="Arial" w:hAnsi="Arial" w:cs="Arial"/>
              </w:rPr>
            </w:pPr>
          </w:p>
        </w:tc>
        <w:tc>
          <w:tcPr>
            <w:tcW w:w="1883" w:type="dxa"/>
          </w:tcPr>
          <w:p w14:paraId="20A749FC" w14:textId="77777777" w:rsidR="006C101B" w:rsidRPr="00CD3CA0" w:rsidRDefault="006C101B" w:rsidP="00F31E58">
            <w:pPr>
              <w:spacing w:after="120"/>
              <w:jc w:val="both"/>
              <w:rPr>
                <w:rFonts w:ascii="Arial" w:hAnsi="Arial" w:cs="Arial"/>
              </w:rPr>
            </w:pPr>
          </w:p>
        </w:tc>
        <w:tc>
          <w:tcPr>
            <w:tcW w:w="2150" w:type="dxa"/>
          </w:tcPr>
          <w:p w14:paraId="4CCE180C" w14:textId="77777777" w:rsidR="006C101B" w:rsidRPr="00CD3CA0" w:rsidRDefault="006C101B" w:rsidP="00F31E58">
            <w:pPr>
              <w:spacing w:after="120"/>
              <w:jc w:val="both"/>
              <w:rPr>
                <w:rFonts w:ascii="Arial" w:hAnsi="Arial" w:cs="Arial"/>
              </w:rPr>
            </w:pPr>
          </w:p>
        </w:tc>
        <w:tc>
          <w:tcPr>
            <w:tcW w:w="1507" w:type="dxa"/>
          </w:tcPr>
          <w:p w14:paraId="197D537D" w14:textId="77777777" w:rsidR="006C101B" w:rsidRPr="00CD3CA0" w:rsidRDefault="006C101B" w:rsidP="00F31E58">
            <w:pPr>
              <w:spacing w:after="120"/>
              <w:jc w:val="both"/>
              <w:rPr>
                <w:rFonts w:ascii="Arial" w:hAnsi="Arial" w:cs="Arial"/>
              </w:rPr>
            </w:pPr>
          </w:p>
        </w:tc>
        <w:tc>
          <w:tcPr>
            <w:tcW w:w="1684" w:type="dxa"/>
          </w:tcPr>
          <w:p w14:paraId="77F88EB1" w14:textId="77777777" w:rsidR="006C101B" w:rsidRPr="00CD3CA0" w:rsidRDefault="006C101B" w:rsidP="00F31E58">
            <w:pPr>
              <w:spacing w:after="120"/>
              <w:jc w:val="both"/>
              <w:rPr>
                <w:rFonts w:ascii="Arial" w:hAnsi="Arial" w:cs="Arial"/>
              </w:rPr>
            </w:pPr>
          </w:p>
        </w:tc>
      </w:tr>
      <w:tr w:rsidR="00A97E77" w:rsidRPr="00493FC0" w14:paraId="4C8AD7FF" w14:textId="77777777" w:rsidTr="005A2DD8">
        <w:trPr>
          <w:cantSplit/>
          <w:trHeight w:val="542"/>
        </w:trPr>
        <w:tc>
          <w:tcPr>
            <w:tcW w:w="1818" w:type="dxa"/>
          </w:tcPr>
          <w:p w14:paraId="77A01DBF" w14:textId="77777777" w:rsidR="006C101B" w:rsidRPr="00CD3CA0" w:rsidRDefault="006C101B" w:rsidP="00F31E58">
            <w:pPr>
              <w:spacing w:after="120"/>
              <w:jc w:val="both"/>
              <w:rPr>
                <w:rFonts w:ascii="Arial" w:hAnsi="Arial" w:cs="Arial"/>
              </w:rPr>
            </w:pPr>
          </w:p>
        </w:tc>
        <w:tc>
          <w:tcPr>
            <w:tcW w:w="1885" w:type="dxa"/>
          </w:tcPr>
          <w:p w14:paraId="54A22D4F" w14:textId="77777777" w:rsidR="006C101B" w:rsidRPr="00CD3CA0" w:rsidRDefault="006C101B" w:rsidP="00F31E58">
            <w:pPr>
              <w:spacing w:after="120"/>
              <w:jc w:val="both"/>
              <w:rPr>
                <w:rFonts w:ascii="Arial" w:hAnsi="Arial" w:cs="Arial"/>
              </w:rPr>
            </w:pPr>
          </w:p>
        </w:tc>
        <w:tc>
          <w:tcPr>
            <w:tcW w:w="1859" w:type="dxa"/>
          </w:tcPr>
          <w:p w14:paraId="6CB11287" w14:textId="77777777" w:rsidR="006C101B" w:rsidRPr="00CD3CA0" w:rsidRDefault="006C101B" w:rsidP="00F31E58">
            <w:pPr>
              <w:spacing w:after="120"/>
              <w:jc w:val="both"/>
              <w:rPr>
                <w:rFonts w:ascii="Arial" w:hAnsi="Arial" w:cs="Arial"/>
              </w:rPr>
            </w:pPr>
          </w:p>
        </w:tc>
        <w:tc>
          <w:tcPr>
            <w:tcW w:w="1882" w:type="dxa"/>
          </w:tcPr>
          <w:p w14:paraId="6020B549" w14:textId="77777777" w:rsidR="006C101B" w:rsidRPr="00CD3CA0" w:rsidRDefault="006C101B" w:rsidP="00F31E58">
            <w:pPr>
              <w:spacing w:after="120"/>
              <w:jc w:val="both"/>
              <w:rPr>
                <w:rFonts w:ascii="Arial" w:hAnsi="Arial" w:cs="Arial"/>
              </w:rPr>
            </w:pPr>
          </w:p>
        </w:tc>
        <w:tc>
          <w:tcPr>
            <w:tcW w:w="1883" w:type="dxa"/>
          </w:tcPr>
          <w:p w14:paraId="61D78F41" w14:textId="77777777" w:rsidR="006C101B" w:rsidRPr="00CD3CA0" w:rsidRDefault="006C101B" w:rsidP="00F31E58">
            <w:pPr>
              <w:spacing w:after="120"/>
              <w:jc w:val="both"/>
              <w:rPr>
                <w:rFonts w:ascii="Arial" w:hAnsi="Arial" w:cs="Arial"/>
              </w:rPr>
            </w:pPr>
          </w:p>
        </w:tc>
        <w:tc>
          <w:tcPr>
            <w:tcW w:w="2150" w:type="dxa"/>
          </w:tcPr>
          <w:p w14:paraId="259F935F" w14:textId="77777777" w:rsidR="006C101B" w:rsidRPr="00CD3CA0" w:rsidRDefault="006C101B" w:rsidP="00F31E58">
            <w:pPr>
              <w:spacing w:after="120"/>
              <w:jc w:val="both"/>
              <w:rPr>
                <w:rFonts w:ascii="Arial" w:hAnsi="Arial" w:cs="Arial"/>
              </w:rPr>
            </w:pPr>
          </w:p>
        </w:tc>
        <w:tc>
          <w:tcPr>
            <w:tcW w:w="1507" w:type="dxa"/>
          </w:tcPr>
          <w:p w14:paraId="75E5666B" w14:textId="77777777" w:rsidR="006C101B" w:rsidRPr="00CD3CA0" w:rsidRDefault="006C101B" w:rsidP="00F31E58">
            <w:pPr>
              <w:spacing w:after="120"/>
              <w:jc w:val="both"/>
              <w:rPr>
                <w:rFonts w:ascii="Arial" w:hAnsi="Arial" w:cs="Arial"/>
              </w:rPr>
            </w:pPr>
          </w:p>
        </w:tc>
        <w:tc>
          <w:tcPr>
            <w:tcW w:w="1684" w:type="dxa"/>
          </w:tcPr>
          <w:p w14:paraId="7C971EF0" w14:textId="77777777" w:rsidR="006C101B" w:rsidRPr="00CD3CA0" w:rsidRDefault="006C101B" w:rsidP="00F31E58">
            <w:pPr>
              <w:spacing w:after="120"/>
              <w:jc w:val="both"/>
              <w:rPr>
                <w:rFonts w:ascii="Arial" w:hAnsi="Arial" w:cs="Arial"/>
              </w:rPr>
            </w:pPr>
          </w:p>
        </w:tc>
      </w:tr>
      <w:tr w:rsidR="00A97E77" w:rsidRPr="00493FC0" w14:paraId="56373212" w14:textId="77777777" w:rsidTr="005A2DD8">
        <w:trPr>
          <w:cantSplit/>
          <w:trHeight w:val="542"/>
        </w:trPr>
        <w:tc>
          <w:tcPr>
            <w:tcW w:w="1818" w:type="dxa"/>
          </w:tcPr>
          <w:p w14:paraId="058D2064" w14:textId="77777777" w:rsidR="006C101B" w:rsidRPr="00CD3CA0" w:rsidRDefault="006C101B" w:rsidP="00F31E58">
            <w:pPr>
              <w:spacing w:after="120"/>
              <w:jc w:val="both"/>
              <w:rPr>
                <w:rFonts w:ascii="Arial" w:hAnsi="Arial" w:cs="Arial"/>
              </w:rPr>
            </w:pPr>
          </w:p>
        </w:tc>
        <w:tc>
          <w:tcPr>
            <w:tcW w:w="1885" w:type="dxa"/>
          </w:tcPr>
          <w:p w14:paraId="12204C23" w14:textId="77777777" w:rsidR="006C101B" w:rsidRPr="00CD3CA0" w:rsidRDefault="006C101B" w:rsidP="00F31E58">
            <w:pPr>
              <w:spacing w:after="120"/>
              <w:jc w:val="both"/>
              <w:rPr>
                <w:rFonts w:ascii="Arial" w:hAnsi="Arial" w:cs="Arial"/>
              </w:rPr>
            </w:pPr>
          </w:p>
        </w:tc>
        <w:tc>
          <w:tcPr>
            <w:tcW w:w="1859" w:type="dxa"/>
          </w:tcPr>
          <w:p w14:paraId="7C1589D7" w14:textId="77777777" w:rsidR="006C101B" w:rsidRPr="00CD3CA0" w:rsidRDefault="006C101B" w:rsidP="00F31E58">
            <w:pPr>
              <w:spacing w:after="120"/>
              <w:jc w:val="both"/>
              <w:rPr>
                <w:rFonts w:ascii="Arial" w:hAnsi="Arial" w:cs="Arial"/>
              </w:rPr>
            </w:pPr>
          </w:p>
        </w:tc>
        <w:tc>
          <w:tcPr>
            <w:tcW w:w="1882" w:type="dxa"/>
          </w:tcPr>
          <w:p w14:paraId="615606F9" w14:textId="77777777" w:rsidR="006C101B" w:rsidRPr="00CD3CA0" w:rsidRDefault="006C101B" w:rsidP="00F31E58">
            <w:pPr>
              <w:spacing w:after="120"/>
              <w:jc w:val="both"/>
              <w:rPr>
                <w:rFonts w:ascii="Arial" w:hAnsi="Arial" w:cs="Arial"/>
              </w:rPr>
            </w:pPr>
          </w:p>
        </w:tc>
        <w:tc>
          <w:tcPr>
            <w:tcW w:w="1883" w:type="dxa"/>
          </w:tcPr>
          <w:p w14:paraId="3C5660B0" w14:textId="77777777" w:rsidR="006C101B" w:rsidRPr="00CD3CA0" w:rsidRDefault="006C101B" w:rsidP="00F31E58">
            <w:pPr>
              <w:spacing w:after="120"/>
              <w:jc w:val="both"/>
              <w:rPr>
                <w:rFonts w:ascii="Arial" w:hAnsi="Arial" w:cs="Arial"/>
              </w:rPr>
            </w:pPr>
          </w:p>
        </w:tc>
        <w:tc>
          <w:tcPr>
            <w:tcW w:w="2150" w:type="dxa"/>
          </w:tcPr>
          <w:p w14:paraId="58C81ECC" w14:textId="77777777" w:rsidR="006C101B" w:rsidRPr="00CD3CA0" w:rsidRDefault="006C101B" w:rsidP="00F31E58">
            <w:pPr>
              <w:spacing w:after="120"/>
              <w:jc w:val="both"/>
              <w:rPr>
                <w:rFonts w:ascii="Arial" w:hAnsi="Arial" w:cs="Arial"/>
              </w:rPr>
            </w:pPr>
          </w:p>
        </w:tc>
        <w:tc>
          <w:tcPr>
            <w:tcW w:w="1507" w:type="dxa"/>
          </w:tcPr>
          <w:p w14:paraId="1052504E" w14:textId="77777777" w:rsidR="006C101B" w:rsidRPr="00CD3CA0" w:rsidRDefault="006C101B" w:rsidP="00F31E58">
            <w:pPr>
              <w:spacing w:after="120"/>
              <w:jc w:val="both"/>
              <w:rPr>
                <w:rFonts w:ascii="Arial" w:hAnsi="Arial" w:cs="Arial"/>
              </w:rPr>
            </w:pPr>
          </w:p>
        </w:tc>
        <w:tc>
          <w:tcPr>
            <w:tcW w:w="1684" w:type="dxa"/>
          </w:tcPr>
          <w:p w14:paraId="40DF6BCB" w14:textId="77777777" w:rsidR="006C101B" w:rsidRPr="00CD3CA0" w:rsidRDefault="006C101B" w:rsidP="00F31E58">
            <w:pPr>
              <w:spacing w:after="120"/>
              <w:jc w:val="both"/>
              <w:rPr>
                <w:rFonts w:ascii="Arial" w:hAnsi="Arial" w:cs="Arial"/>
              </w:rPr>
            </w:pPr>
          </w:p>
        </w:tc>
      </w:tr>
      <w:tr w:rsidR="00A97E77" w:rsidRPr="00493FC0" w14:paraId="5C0FE267" w14:textId="77777777" w:rsidTr="005A2DD8">
        <w:trPr>
          <w:cantSplit/>
          <w:trHeight w:val="542"/>
        </w:trPr>
        <w:tc>
          <w:tcPr>
            <w:tcW w:w="1818" w:type="dxa"/>
          </w:tcPr>
          <w:p w14:paraId="1E88C8E3" w14:textId="77777777" w:rsidR="006C101B" w:rsidRPr="00CD3CA0" w:rsidRDefault="006C101B" w:rsidP="00F31E58">
            <w:pPr>
              <w:spacing w:after="120"/>
              <w:jc w:val="both"/>
              <w:rPr>
                <w:rFonts w:ascii="Arial" w:hAnsi="Arial" w:cs="Arial"/>
              </w:rPr>
            </w:pPr>
          </w:p>
        </w:tc>
        <w:tc>
          <w:tcPr>
            <w:tcW w:w="1885" w:type="dxa"/>
          </w:tcPr>
          <w:p w14:paraId="008F78F9" w14:textId="77777777" w:rsidR="006C101B" w:rsidRPr="00CD3CA0" w:rsidRDefault="006C101B" w:rsidP="00F31E58">
            <w:pPr>
              <w:spacing w:after="120"/>
              <w:jc w:val="both"/>
              <w:rPr>
                <w:rFonts w:ascii="Arial" w:hAnsi="Arial" w:cs="Arial"/>
              </w:rPr>
            </w:pPr>
          </w:p>
        </w:tc>
        <w:tc>
          <w:tcPr>
            <w:tcW w:w="1859" w:type="dxa"/>
          </w:tcPr>
          <w:p w14:paraId="1B208708" w14:textId="77777777" w:rsidR="006C101B" w:rsidRPr="00CD3CA0" w:rsidRDefault="006C101B" w:rsidP="00F31E58">
            <w:pPr>
              <w:spacing w:after="120"/>
              <w:jc w:val="both"/>
              <w:rPr>
                <w:rFonts w:ascii="Arial" w:hAnsi="Arial" w:cs="Arial"/>
              </w:rPr>
            </w:pPr>
          </w:p>
        </w:tc>
        <w:tc>
          <w:tcPr>
            <w:tcW w:w="1882" w:type="dxa"/>
          </w:tcPr>
          <w:p w14:paraId="49E8F594" w14:textId="77777777" w:rsidR="006C101B" w:rsidRPr="00CD3CA0" w:rsidRDefault="006C101B" w:rsidP="00F31E58">
            <w:pPr>
              <w:spacing w:after="120"/>
              <w:jc w:val="both"/>
              <w:rPr>
                <w:rFonts w:ascii="Arial" w:hAnsi="Arial" w:cs="Arial"/>
              </w:rPr>
            </w:pPr>
          </w:p>
        </w:tc>
        <w:tc>
          <w:tcPr>
            <w:tcW w:w="1883" w:type="dxa"/>
          </w:tcPr>
          <w:p w14:paraId="09221289" w14:textId="77777777" w:rsidR="006C101B" w:rsidRPr="00CD3CA0" w:rsidRDefault="006C101B" w:rsidP="00F31E58">
            <w:pPr>
              <w:spacing w:after="120"/>
              <w:jc w:val="both"/>
              <w:rPr>
                <w:rFonts w:ascii="Arial" w:hAnsi="Arial" w:cs="Arial"/>
              </w:rPr>
            </w:pPr>
          </w:p>
        </w:tc>
        <w:tc>
          <w:tcPr>
            <w:tcW w:w="2150" w:type="dxa"/>
          </w:tcPr>
          <w:p w14:paraId="7B2DD2CE" w14:textId="77777777" w:rsidR="006C101B" w:rsidRPr="00CD3CA0" w:rsidRDefault="006C101B" w:rsidP="00F31E58">
            <w:pPr>
              <w:spacing w:after="120"/>
              <w:jc w:val="both"/>
              <w:rPr>
                <w:rFonts w:ascii="Arial" w:hAnsi="Arial" w:cs="Arial"/>
              </w:rPr>
            </w:pPr>
          </w:p>
        </w:tc>
        <w:tc>
          <w:tcPr>
            <w:tcW w:w="1507" w:type="dxa"/>
          </w:tcPr>
          <w:p w14:paraId="27FD1C27" w14:textId="77777777" w:rsidR="006C101B" w:rsidRPr="00CD3CA0" w:rsidRDefault="006C101B" w:rsidP="00F31E58">
            <w:pPr>
              <w:spacing w:after="120"/>
              <w:jc w:val="both"/>
              <w:rPr>
                <w:rFonts w:ascii="Arial" w:hAnsi="Arial" w:cs="Arial"/>
              </w:rPr>
            </w:pPr>
          </w:p>
        </w:tc>
        <w:tc>
          <w:tcPr>
            <w:tcW w:w="1684" w:type="dxa"/>
          </w:tcPr>
          <w:p w14:paraId="342DCCA0" w14:textId="77777777" w:rsidR="006C101B" w:rsidRPr="00CD3CA0" w:rsidRDefault="006C101B" w:rsidP="00F31E58">
            <w:pPr>
              <w:spacing w:after="120"/>
              <w:jc w:val="both"/>
              <w:rPr>
                <w:rFonts w:ascii="Arial" w:hAnsi="Arial" w:cs="Arial"/>
              </w:rPr>
            </w:pPr>
          </w:p>
        </w:tc>
      </w:tr>
      <w:tr w:rsidR="00A97E77" w:rsidRPr="00493FC0" w14:paraId="05D6963C" w14:textId="77777777" w:rsidTr="005A2DD8">
        <w:trPr>
          <w:cantSplit/>
          <w:trHeight w:val="542"/>
        </w:trPr>
        <w:tc>
          <w:tcPr>
            <w:tcW w:w="1818" w:type="dxa"/>
          </w:tcPr>
          <w:p w14:paraId="686D5FCF" w14:textId="77777777" w:rsidR="006C101B" w:rsidRPr="00CD3CA0" w:rsidRDefault="006C101B" w:rsidP="00F31E58">
            <w:pPr>
              <w:spacing w:after="120"/>
              <w:jc w:val="both"/>
              <w:rPr>
                <w:rFonts w:ascii="Arial" w:hAnsi="Arial" w:cs="Arial"/>
              </w:rPr>
            </w:pPr>
          </w:p>
        </w:tc>
        <w:tc>
          <w:tcPr>
            <w:tcW w:w="1885" w:type="dxa"/>
          </w:tcPr>
          <w:p w14:paraId="47017299" w14:textId="77777777" w:rsidR="006C101B" w:rsidRPr="00CD3CA0" w:rsidRDefault="006C101B" w:rsidP="00F31E58">
            <w:pPr>
              <w:spacing w:after="120"/>
              <w:jc w:val="both"/>
              <w:rPr>
                <w:rFonts w:ascii="Arial" w:hAnsi="Arial" w:cs="Arial"/>
              </w:rPr>
            </w:pPr>
          </w:p>
        </w:tc>
        <w:tc>
          <w:tcPr>
            <w:tcW w:w="1859" w:type="dxa"/>
          </w:tcPr>
          <w:p w14:paraId="1D962EBA" w14:textId="77777777" w:rsidR="006C101B" w:rsidRPr="00CD3CA0" w:rsidRDefault="006C101B" w:rsidP="00F31E58">
            <w:pPr>
              <w:spacing w:after="120"/>
              <w:jc w:val="both"/>
              <w:rPr>
                <w:rFonts w:ascii="Arial" w:hAnsi="Arial" w:cs="Arial"/>
              </w:rPr>
            </w:pPr>
          </w:p>
        </w:tc>
        <w:tc>
          <w:tcPr>
            <w:tcW w:w="1882" w:type="dxa"/>
          </w:tcPr>
          <w:p w14:paraId="258B5290" w14:textId="77777777" w:rsidR="006C101B" w:rsidRPr="00CD3CA0" w:rsidRDefault="006C101B" w:rsidP="00F31E58">
            <w:pPr>
              <w:spacing w:after="120"/>
              <w:jc w:val="both"/>
              <w:rPr>
                <w:rFonts w:ascii="Arial" w:hAnsi="Arial" w:cs="Arial"/>
              </w:rPr>
            </w:pPr>
          </w:p>
        </w:tc>
        <w:tc>
          <w:tcPr>
            <w:tcW w:w="1883" w:type="dxa"/>
          </w:tcPr>
          <w:p w14:paraId="6CEB329B" w14:textId="77777777" w:rsidR="006C101B" w:rsidRPr="00CD3CA0" w:rsidRDefault="006C101B" w:rsidP="00F31E58">
            <w:pPr>
              <w:spacing w:after="120"/>
              <w:jc w:val="both"/>
              <w:rPr>
                <w:rFonts w:ascii="Arial" w:hAnsi="Arial" w:cs="Arial"/>
              </w:rPr>
            </w:pPr>
          </w:p>
        </w:tc>
        <w:tc>
          <w:tcPr>
            <w:tcW w:w="2150" w:type="dxa"/>
          </w:tcPr>
          <w:p w14:paraId="16014B6A" w14:textId="77777777" w:rsidR="006C101B" w:rsidRPr="00CD3CA0" w:rsidRDefault="006C101B" w:rsidP="00F31E58">
            <w:pPr>
              <w:spacing w:after="120"/>
              <w:jc w:val="both"/>
              <w:rPr>
                <w:rFonts w:ascii="Arial" w:hAnsi="Arial" w:cs="Arial"/>
              </w:rPr>
            </w:pPr>
          </w:p>
        </w:tc>
        <w:tc>
          <w:tcPr>
            <w:tcW w:w="1507" w:type="dxa"/>
          </w:tcPr>
          <w:p w14:paraId="4AB6D296" w14:textId="77777777" w:rsidR="006C101B" w:rsidRPr="00CD3CA0" w:rsidRDefault="006C101B" w:rsidP="00F31E58">
            <w:pPr>
              <w:spacing w:after="120"/>
              <w:jc w:val="both"/>
              <w:rPr>
                <w:rFonts w:ascii="Arial" w:hAnsi="Arial" w:cs="Arial"/>
              </w:rPr>
            </w:pPr>
          </w:p>
        </w:tc>
        <w:tc>
          <w:tcPr>
            <w:tcW w:w="1684" w:type="dxa"/>
          </w:tcPr>
          <w:p w14:paraId="62B99D5B" w14:textId="77777777" w:rsidR="006C101B" w:rsidRPr="00CD3CA0" w:rsidRDefault="006C101B" w:rsidP="00F31E58">
            <w:pPr>
              <w:spacing w:after="120"/>
              <w:jc w:val="both"/>
              <w:rPr>
                <w:rFonts w:ascii="Arial" w:hAnsi="Arial" w:cs="Arial"/>
              </w:rPr>
            </w:pPr>
          </w:p>
        </w:tc>
      </w:tr>
      <w:tr w:rsidR="00A97E77" w:rsidRPr="00493FC0" w14:paraId="5A8D3CFD" w14:textId="77777777" w:rsidTr="005A2DD8">
        <w:trPr>
          <w:cantSplit/>
          <w:trHeight w:val="542"/>
        </w:trPr>
        <w:tc>
          <w:tcPr>
            <w:tcW w:w="1818" w:type="dxa"/>
          </w:tcPr>
          <w:p w14:paraId="144E3E09" w14:textId="77777777" w:rsidR="006C101B" w:rsidRPr="00CD3CA0" w:rsidRDefault="006C101B" w:rsidP="00F31E58">
            <w:pPr>
              <w:spacing w:after="120"/>
              <w:jc w:val="both"/>
              <w:rPr>
                <w:rFonts w:ascii="Arial" w:hAnsi="Arial" w:cs="Arial"/>
              </w:rPr>
            </w:pPr>
          </w:p>
        </w:tc>
        <w:tc>
          <w:tcPr>
            <w:tcW w:w="1885" w:type="dxa"/>
          </w:tcPr>
          <w:p w14:paraId="18AEA8A1" w14:textId="77777777" w:rsidR="006C101B" w:rsidRPr="00CD3CA0" w:rsidRDefault="006C101B" w:rsidP="00F31E58">
            <w:pPr>
              <w:spacing w:after="120"/>
              <w:jc w:val="both"/>
              <w:rPr>
                <w:rFonts w:ascii="Arial" w:hAnsi="Arial" w:cs="Arial"/>
              </w:rPr>
            </w:pPr>
          </w:p>
        </w:tc>
        <w:tc>
          <w:tcPr>
            <w:tcW w:w="1859" w:type="dxa"/>
          </w:tcPr>
          <w:p w14:paraId="7F87D54B" w14:textId="77777777" w:rsidR="006C101B" w:rsidRPr="00CD3CA0" w:rsidRDefault="006C101B" w:rsidP="00F31E58">
            <w:pPr>
              <w:spacing w:after="120"/>
              <w:jc w:val="both"/>
              <w:rPr>
                <w:rFonts w:ascii="Arial" w:hAnsi="Arial" w:cs="Arial"/>
              </w:rPr>
            </w:pPr>
          </w:p>
        </w:tc>
        <w:tc>
          <w:tcPr>
            <w:tcW w:w="1882" w:type="dxa"/>
          </w:tcPr>
          <w:p w14:paraId="190E8FEA" w14:textId="77777777" w:rsidR="006C101B" w:rsidRPr="00CD3CA0" w:rsidRDefault="006C101B" w:rsidP="00F31E58">
            <w:pPr>
              <w:spacing w:after="120"/>
              <w:jc w:val="both"/>
              <w:rPr>
                <w:rFonts w:ascii="Arial" w:hAnsi="Arial" w:cs="Arial"/>
              </w:rPr>
            </w:pPr>
          </w:p>
        </w:tc>
        <w:tc>
          <w:tcPr>
            <w:tcW w:w="1883" w:type="dxa"/>
          </w:tcPr>
          <w:p w14:paraId="5EB3CC9D" w14:textId="77777777" w:rsidR="006C101B" w:rsidRPr="00CD3CA0" w:rsidRDefault="006C101B" w:rsidP="00F31E58">
            <w:pPr>
              <w:spacing w:after="120"/>
              <w:jc w:val="both"/>
              <w:rPr>
                <w:rFonts w:ascii="Arial" w:hAnsi="Arial" w:cs="Arial"/>
              </w:rPr>
            </w:pPr>
          </w:p>
        </w:tc>
        <w:tc>
          <w:tcPr>
            <w:tcW w:w="2150" w:type="dxa"/>
          </w:tcPr>
          <w:p w14:paraId="32BD7D40" w14:textId="77777777" w:rsidR="006C101B" w:rsidRPr="00CD3CA0" w:rsidRDefault="006C101B" w:rsidP="00F31E58">
            <w:pPr>
              <w:spacing w:after="120"/>
              <w:jc w:val="both"/>
              <w:rPr>
                <w:rFonts w:ascii="Arial" w:hAnsi="Arial" w:cs="Arial"/>
              </w:rPr>
            </w:pPr>
          </w:p>
        </w:tc>
        <w:tc>
          <w:tcPr>
            <w:tcW w:w="1507" w:type="dxa"/>
          </w:tcPr>
          <w:p w14:paraId="2A7ACE67" w14:textId="77777777" w:rsidR="006C101B" w:rsidRPr="00CD3CA0" w:rsidRDefault="006C101B" w:rsidP="00F31E58">
            <w:pPr>
              <w:spacing w:after="120"/>
              <w:jc w:val="both"/>
              <w:rPr>
                <w:rFonts w:ascii="Arial" w:hAnsi="Arial" w:cs="Arial"/>
              </w:rPr>
            </w:pPr>
          </w:p>
        </w:tc>
        <w:tc>
          <w:tcPr>
            <w:tcW w:w="1684" w:type="dxa"/>
          </w:tcPr>
          <w:p w14:paraId="444D0A34" w14:textId="77777777" w:rsidR="006C101B" w:rsidRPr="00CD3CA0" w:rsidRDefault="006C101B" w:rsidP="00F31E58">
            <w:pPr>
              <w:spacing w:after="120"/>
              <w:jc w:val="both"/>
              <w:rPr>
                <w:rFonts w:ascii="Arial" w:hAnsi="Arial" w:cs="Arial"/>
              </w:rPr>
            </w:pPr>
          </w:p>
        </w:tc>
      </w:tr>
    </w:tbl>
    <w:p w14:paraId="7769966A" w14:textId="77777777" w:rsidR="006C101B" w:rsidRPr="00493FC0" w:rsidRDefault="006C101B" w:rsidP="006C101B">
      <w:pPr>
        <w:jc w:val="both"/>
        <w:rPr>
          <w:rFonts w:ascii="Arial" w:hAnsi="Arial" w:cs="Arial"/>
          <w:b/>
          <w:sz w:val="18"/>
          <w:szCs w:val="18"/>
        </w:rPr>
      </w:pPr>
    </w:p>
    <w:p w14:paraId="28BC5EEA" w14:textId="77777777" w:rsidR="006C101B" w:rsidRPr="00493FC0" w:rsidRDefault="006C101B" w:rsidP="006C101B">
      <w:pPr>
        <w:spacing w:after="120"/>
        <w:jc w:val="both"/>
        <w:rPr>
          <w:rFonts w:ascii="Arial" w:hAnsi="Arial" w:cs="Arial"/>
          <w:b/>
          <w:sz w:val="24"/>
          <w:szCs w:val="24"/>
        </w:rPr>
      </w:pPr>
      <w:r w:rsidRPr="00493FC0">
        <w:rPr>
          <w:rFonts w:ascii="Arial" w:hAnsi="Arial" w:cs="Arial"/>
          <w:b/>
          <w:sz w:val="24"/>
          <w:szCs w:val="24"/>
        </w:rPr>
        <w:t>This audit tool is designed to determine the crossmatch to transfusion ratio.</w:t>
      </w:r>
      <w:r w:rsidRPr="00493FC0" w:rsidDel="00560F4F">
        <w:rPr>
          <w:rFonts w:ascii="Arial" w:hAnsi="Arial" w:cs="Arial"/>
          <w:b/>
          <w:sz w:val="24"/>
          <w:szCs w:val="24"/>
        </w:rPr>
        <w:t xml:space="preserve"> </w:t>
      </w:r>
    </w:p>
    <w:p w14:paraId="5D91FAF7" w14:textId="77777777" w:rsidR="006C101B" w:rsidRDefault="006C101B">
      <w:pPr>
        <w:rPr>
          <w:rFonts w:asciiTheme="minorHAnsi" w:eastAsiaTheme="minorHAnsi" w:hAnsiTheme="minorHAnsi" w:cstheme="minorBidi"/>
          <w:b/>
        </w:rPr>
      </w:pPr>
    </w:p>
    <w:p w14:paraId="2E8CAAEF" w14:textId="7FDAC245" w:rsidR="00CA6FD0" w:rsidRDefault="00525BE1" w:rsidP="00CA6FD0">
      <w:pPr>
        <w:rPr>
          <w:rFonts w:asciiTheme="minorHAnsi" w:eastAsiaTheme="minorHAnsi" w:hAnsiTheme="minorHAnsi" w:cstheme="minorBidi"/>
          <w:b/>
        </w:rPr>
      </w:pPr>
      <w:r w:rsidRPr="00B1518E">
        <w:rPr>
          <w:noProof/>
          <w:lang w:eastAsia="en-AU"/>
        </w:rPr>
        <w:drawing>
          <wp:anchor distT="0" distB="0" distL="114300" distR="114300" simplePos="0" relativeHeight="251663360" behindDoc="1" locked="1" layoutInCell="1" allowOverlap="1" wp14:anchorId="738A4D9C" wp14:editId="6A298774">
            <wp:simplePos x="0" y="0"/>
            <wp:positionH relativeFrom="page">
              <wp:align>right</wp:align>
            </wp:positionH>
            <wp:positionV relativeFrom="margin">
              <wp:posOffset>6015355</wp:posOffset>
            </wp:positionV>
            <wp:extent cx="5768340" cy="1060450"/>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4"/>
                    <a:srcRect l="23690" t="90081"/>
                    <a:stretch/>
                  </pic:blipFill>
                  <pic:spPr bwMode="auto">
                    <a:xfrm>
                      <a:off x="0" y="0"/>
                      <a:ext cx="57683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518E">
        <w:rPr>
          <w:noProof/>
          <w:lang w:eastAsia="en-AU"/>
        </w:rPr>
        <w:drawing>
          <wp:anchor distT="0" distB="0" distL="114300" distR="114300" simplePos="0" relativeHeight="251659264" behindDoc="1" locked="1" layoutInCell="1" allowOverlap="1" wp14:anchorId="2368144C" wp14:editId="563E4AF3">
            <wp:simplePos x="0" y="0"/>
            <wp:positionH relativeFrom="page">
              <wp:posOffset>0</wp:posOffset>
            </wp:positionH>
            <wp:positionV relativeFrom="page">
              <wp:posOffset>6509385</wp:posOffset>
            </wp:positionV>
            <wp:extent cx="4924425" cy="1060450"/>
            <wp:effectExtent l="0" t="0" r="9525"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rotWithShape="1">
                    <a:blip r:embed="rId14"/>
                    <a:srcRect t="90081" r="34854"/>
                    <a:stretch/>
                  </pic:blipFill>
                  <pic:spPr bwMode="auto">
                    <a:xfrm>
                      <a:off x="0" y="0"/>
                      <a:ext cx="4924425"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D8D056" w14:textId="78A996E6" w:rsidR="00CA6FD0" w:rsidRPr="00CD3CA0" w:rsidRDefault="00CA6FD0" w:rsidP="00CA6FD0">
      <w:pPr>
        <w:tabs>
          <w:tab w:val="left" w:pos="3750"/>
        </w:tabs>
        <w:rPr>
          <w:rFonts w:asciiTheme="minorHAnsi" w:eastAsiaTheme="minorHAnsi" w:hAnsiTheme="minorHAnsi" w:cstheme="minorBidi"/>
        </w:rPr>
        <w:sectPr w:rsidR="00CA6FD0" w:rsidRPr="00CD3CA0" w:rsidSect="00CD3CA0">
          <w:headerReference w:type="default" r:id="rId15"/>
          <w:footerReference w:type="default" r:id="rId16"/>
          <w:pgSz w:w="16838" w:h="11906" w:orient="landscape" w:code="9"/>
          <w:pgMar w:top="720" w:right="720" w:bottom="720" w:left="720" w:header="567" w:footer="397" w:gutter="0"/>
          <w:cols w:space="340"/>
          <w:docGrid w:linePitch="360"/>
        </w:sectPr>
      </w:pPr>
      <w:r>
        <w:rPr>
          <w:rFonts w:asciiTheme="minorHAnsi" w:eastAsiaTheme="minorHAnsi" w:hAnsiTheme="minorHAnsi" w:cstheme="minorBidi"/>
        </w:rPr>
        <w:tab/>
      </w:r>
    </w:p>
    <w:p w14:paraId="29BD48AA" w14:textId="77777777" w:rsidR="00754CD8" w:rsidRPr="005A2DD8" w:rsidRDefault="00754CD8" w:rsidP="00CD3CA0">
      <w:pPr>
        <w:spacing w:after="120" w:line="276" w:lineRule="auto"/>
        <w:rPr>
          <w:rFonts w:ascii="Arial" w:eastAsiaTheme="minorHAnsi" w:hAnsi="Arial" w:cs="Arial"/>
          <w:b/>
          <w:sz w:val="22"/>
        </w:rPr>
      </w:pPr>
      <w:r w:rsidRPr="005A2DD8">
        <w:rPr>
          <w:rFonts w:ascii="Arial" w:eastAsiaTheme="minorHAnsi" w:hAnsi="Arial" w:cs="Arial"/>
          <w:b/>
          <w:sz w:val="22"/>
        </w:rPr>
        <w:lastRenderedPageBreak/>
        <w:t xml:space="preserve">Results </w:t>
      </w:r>
    </w:p>
    <w:p w14:paraId="5D9957EE" w14:textId="7961078B" w:rsidR="00754CD8" w:rsidRPr="005A2DD8" w:rsidRDefault="00754CD8" w:rsidP="00CD3CA0">
      <w:pPr>
        <w:spacing w:after="120" w:line="276" w:lineRule="auto"/>
        <w:rPr>
          <w:rFonts w:ascii="Arial" w:eastAsiaTheme="minorHAnsi" w:hAnsi="Arial" w:cs="Arial"/>
          <w:sz w:val="22"/>
        </w:rPr>
      </w:pPr>
      <w:r w:rsidRPr="005A2DD8">
        <w:rPr>
          <w:rFonts w:ascii="Arial" w:eastAsiaTheme="minorHAnsi" w:hAnsi="Arial" w:cs="Arial"/>
          <w:sz w:val="22"/>
        </w:rPr>
        <w:t xml:space="preserve">The crossmatch:transfusion ratio is determined </w:t>
      </w:r>
      <w:r w:rsidR="0025669E" w:rsidRPr="005A2DD8">
        <w:rPr>
          <w:rFonts w:ascii="Arial" w:eastAsiaTheme="minorHAnsi" w:hAnsi="Arial" w:cs="Arial"/>
          <w:sz w:val="22"/>
        </w:rPr>
        <w:t>by documenting</w:t>
      </w:r>
      <w:r w:rsidRPr="005A2DD8">
        <w:rPr>
          <w:rFonts w:ascii="Arial" w:eastAsiaTheme="minorHAnsi" w:hAnsi="Arial" w:cs="Arial"/>
          <w:sz w:val="22"/>
        </w:rPr>
        <w:t xml:space="preserve"> </w:t>
      </w:r>
    </w:p>
    <w:p w14:paraId="5ECF2BD0" w14:textId="309F5A4A" w:rsidR="00754CD8" w:rsidRPr="00BE2669" w:rsidRDefault="00754CD8" w:rsidP="00CD3CA0">
      <w:pPr>
        <w:numPr>
          <w:ilvl w:val="0"/>
          <w:numId w:val="26"/>
        </w:numPr>
        <w:spacing w:after="120" w:line="276" w:lineRule="auto"/>
        <w:contextualSpacing/>
        <w:rPr>
          <w:rFonts w:ascii="Arial" w:eastAsiaTheme="minorHAnsi" w:hAnsi="Arial" w:cs="Arial"/>
          <w:color w:val="A20000"/>
          <w:sz w:val="22"/>
        </w:rPr>
      </w:pPr>
      <w:r w:rsidRPr="005A2DD8">
        <w:rPr>
          <w:rFonts w:ascii="Arial" w:eastAsiaTheme="minorHAnsi" w:hAnsi="Arial" w:cs="Arial"/>
          <w:sz w:val="22"/>
        </w:rPr>
        <w:t xml:space="preserve">total number of </w:t>
      </w:r>
      <w:r w:rsidR="0025669E">
        <w:rPr>
          <w:rFonts w:ascii="Arial" w:eastAsiaTheme="minorHAnsi" w:hAnsi="Arial" w:cs="Arial"/>
          <w:sz w:val="22"/>
        </w:rPr>
        <w:t>RBC</w:t>
      </w:r>
      <w:r w:rsidR="0025669E" w:rsidRPr="005A2DD8">
        <w:rPr>
          <w:rFonts w:ascii="Arial" w:eastAsiaTheme="minorHAnsi" w:hAnsi="Arial" w:cs="Arial"/>
          <w:sz w:val="22"/>
        </w:rPr>
        <w:t xml:space="preserve"> </w:t>
      </w:r>
      <w:r w:rsidRPr="005A2DD8">
        <w:rPr>
          <w:rFonts w:ascii="Arial" w:eastAsiaTheme="minorHAnsi" w:hAnsi="Arial" w:cs="Arial"/>
          <w:sz w:val="22"/>
        </w:rPr>
        <w:t xml:space="preserve">signed </w:t>
      </w:r>
      <w:r w:rsidR="0025669E" w:rsidRPr="005A2DD8">
        <w:rPr>
          <w:rFonts w:ascii="Arial" w:eastAsiaTheme="minorHAnsi" w:hAnsi="Arial" w:cs="Arial"/>
          <w:sz w:val="22"/>
        </w:rPr>
        <w:t>into blood</w:t>
      </w:r>
      <w:r w:rsidRPr="005A2DD8">
        <w:rPr>
          <w:rFonts w:ascii="Arial" w:eastAsiaTheme="minorHAnsi" w:hAnsi="Arial" w:cs="Arial"/>
          <w:sz w:val="22"/>
        </w:rPr>
        <w:t xml:space="preserve"> fridge = </w:t>
      </w:r>
      <w:r w:rsidRPr="00BE2669">
        <w:rPr>
          <w:rFonts w:ascii="Arial" w:eastAsiaTheme="minorHAnsi" w:hAnsi="Arial" w:cs="Arial"/>
          <w:color w:val="A20000"/>
          <w:sz w:val="22"/>
        </w:rPr>
        <w:t>(C)</w:t>
      </w:r>
    </w:p>
    <w:p w14:paraId="4CD0A90C" w14:textId="4E0DB412" w:rsidR="00754CD8" w:rsidRPr="005A2DD8" w:rsidRDefault="00754CD8" w:rsidP="0025669E">
      <w:pPr>
        <w:numPr>
          <w:ilvl w:val="0"/>
          <w:numId w:val="26"/>
        </w:numPr>
        <w:spacing w:after="200" w:line="276" w:lineRule="auto"/>
        <w:contextualSpacing/>
        <w:rPr>
          <w:rFonts w:ascii="Arial" w:eastAsiaTheme="minorHAnsi" w:hAnsi="Arial" w:cs="Arial"/>
          <w:sz w:val="22"/>
        </w:rPr>
      </w:pPr>
      <w:r w:rsidRPr="005A2DD8">
        <w:rPr>
          <w:rFonts w:ascii="Arial" w:eastAsiaTheme="minorHAnsi" w:hAnsi="Arial" w:cs="Arial"/>
          <w:sz w:val="22"/>
        </w:rPr>
        <w:t xml:space="preserve">total number of </w:t>
      </w:r>
      <w:r w:rsidR="0025669E">
        <w:rPr>
          <w:rFonts w:ascii="Arial" w:eastAsiaTheme="minorHAnsi" w:hAnsi="Arial" w:cs="Arial"/>
          <w:sz w:val="22"/>
        </w:rPr>
        <w:t>RBC</w:t>
      </w:r>
      <w:r w:rsidR="0025669E" w:rsidRPr="005A2DD8">
        <w:rPr>
          <w:rFonts w:ascii="Arial" w:eastAsiaTheme="minorHAnsi" w:hAnsi="Arial" w:cs="Arial"/>
          <w:sz w:val="22"/>
        </w:rPr>
        <w:t xml:space="preserve"> </w:t>
      </w:r>
      <w:r w:rsidRPr="005A2DD8">
        <w:rPr>
          <w:rFonts w:ascii="Arial" w:eastAsiaTheme="minorHAnsi" w:hAnsi="Arial" w:cs="Arial"/>
          <w:sz w:val="22"/>
        </w:rPr>
        <w:t xml:space="preserve">transfused = </w:t>
      </w:r>
      <w:r w:rsidRPr="00BE2669">
        <w:rPr>
          <w:rFonts w:ascii="Arial" w:eastAsiaTheme="minorHAnsi" w:hAnsi="Arial" w:cs="Arial"/>
          <w:color w:val="A20000"/>
          <w:sz w:val="22"/>
        </w:rPr>
        <w:t>(T)</w:t>
      </w:r>
    </w:p>
    <w:p w14:paraId="7BF20D11" w14:textId="120FFC4F" w:rsidR="00754CD8" w:rsidRPr="005A2DD8" w:rsidRDefault="00754CD8" w:rsidP="00CD3CA0">
      <w:pPr>
        <w:numPr>
          <w:ilvl w:val="0"/>
          <w:numId w:val="26"/>
        </w:numPr>
        <w:spacing w:after="120" w:line="276" w:lineRule="auto"/>
        <w:contextualSpacing/>
        <w:rPr>
          <w:rFonts w:ascii="Arial" w:eastAsiaTheme="minorHAnsi" w:hAnsi="Arial" w:cs="Arial"/>
          <w:sz w:val="22"/>
        </w:rPr>
      </w:pPr>
      <w:r w:rsidRPr="005A2DD8">
        <w:rPr>
          <w:rFonts w:ascii="Arial" w:eastAsiaTheme="minorHAnsi" w:hAnsi="Arial" w:cs="Arial"/>
          <w:sz w:val="22"/>
        </w:rPr>
        <w:t xml:space="preserve">total number of </w:t>
      </w:r>
      <w:r w:rsidR="0025669E">
        <w:rPr>
          <w:rFonts w:ascii="Arial" w:eastAsiaTheme="minorHAnsi" w:hAnsi="Arial" w:cs="Arial"/>
          <w:sz w:val="22"/>
        </w:rPr>
        <w:t>RBC</w:t>
      </w:r>
      <w:r w:rsidR="0025669E" w:rsidRPr="005A2DD8">
        <w:rPr>
          <w:rFonts w:ascii="Arial" w:eastAsiaTheme="minorHAnsi" w:hAnsi="Arial" w:cs="Arial"/>
          <w:sz w:val="22"/>
        </w:rPr>
        <w:t xml:space="preserve"> </w:t>
      </w:r>
      <w:r w:rsidRPr="005A2DD8">
        <w:rPr>
          <w:rFonts w:ascii="Arial" w:eastAsiaTheme="minorHAnsi" w:hAnsi="Arial" w:cs="Arial"/>
          <w:sz w:val="22"/>
        </w:rPr>
        <w:t xml:space="preserve">returned = </w:t>
      </w:r>
      <w:r w:rsidRPr="00BE2669">
        <w:rPr>
          <w:rFonts w:ascii="Arial" w:eastAsiaTheme="minorHAnsi" w:hAnsi="Arial" w:cs="Arial"/>
          <w:color w:val="A20000"/>
          <w:sz w:val="22"/>
        </w:rPr>
        <w:t>(R)</w:t>
      </w:r>
    </w:p>
    <w:p w14:paraId="0FEC51F8" w14:textId="5497C390" w:rsidR="00754CD8" w:rsidRPr="00BE2669" w:rsidRDefault="00E767E9" w:rsidP="00CD3CA0">
      <w:pPr>
        <w:spacing w:after="120" w:line="276" w:lineRule="auto"/>
        <w:rPr>
          <w:rFonts w:ascii="Arial" w:eastAsiaTheme="minorHAnsi" w:hAnsi="Arial" w:cs="Arial"/>
          <w:color w:val="A20000"/>
          <w:sz w:val="22"/>
        </w:rPr>
      </w:pPr>
      <w:r w:rsidRPr="005A2DD8">
        <w:rPr>
          <w:rFonts w:ascii="Arial" w:eastAsiaTheme="minorHAnsi" w:hAnsi="Arial" w:cs="Arial"/>
          <w:sz w:val="22"/>
        </w:rPr>
        <w:t>Crossmatched: transfused</w:t>
      </w:r>
      <w:r w:rsidR="00754CD8" w:rsidRPr="005A2DD8">
        <w:rPr>
          <w:rFonts w:ascii="Arial" w:eastAsiaTheme="minorHAnsi" w:hAnsi="Arial" w:cs="Arial"/>
          <w:sz w:val="22"/>
        </w:rPr>
        <w:t xml:space="preserve"> = </w:t>
      </w:r>
      <w:r w:rsidR="00754CD8" w:rsidRPr="00BE2669">
        <w:rPr>
          <w:rFonts w:ascii="Arial" w:eastAsiaTheme="minorHAnsi" w:hAnsi="Arial" w:cs="Arial"/>
          <w:color w:val="A20000"/>
          <w:sz w:val="22"/>
        </w:rPr>
        <w:t>C:T</w:t>
      </w:r>
    </w:p>
    <w:p w14:paraId="78115641" w14:textId="6E19560D" w:rsidR="00754CD8" w:rsidRPr="005A2DD8" w:rsidRDefault="00754CD8" w:rsidP="00CD3CA0">
      <w:pPr>
        <w:spacing w:after="120" w:line="276" w:lineRule="auto"/>
        <w:rPr>
          <w:rFonts w:ascii="Arial" w:eastAsiaTheme="minorHAnsi" w:hAnsi="Arial" w:cs="Arial"/>
          <w:sz w:val="22"/>
        </w:rPr>
      </w:pPr>
      <w:r w:rsidRPr="005A2DD8">
        <w:rPr>
          <w:rFonts w:ascii="Arial" w:eastAsiaTheme="minorHAnsi" w:hAnsi="Arial" w:cs="Arial"/>
          <w:sz w:val="22"/>
        </w:rPr>
        <w:t xml:space="preserve">Per cent (%) </w:t>
      </w:r>
      <w:r w:rsidR="0025669E">
        <w:rPr>
          <w:rFonts w:ascii="Arial" w:eastAsiaTheme="minorHAnsi" w:hAnsi="Arial" w:cs="Arial"/>
          <w:sz w:val="22"/>
        </w:rPr>
        <w:t>RBC</w:t>
      </w:r>
      <w:r w:rsidRPr="005A2DD8">
        <w:rPr>
          <w:rFonts w:ascii="Arial" w:eastAsiaTheme="minorHAnsi" w:hAnsi="Arial" w:cs="Arial"/>
          <w:sz w:val="22"/>
        </w:rPr>
        <w:t xml:space="preserve"> returned = </w:t>
      </w:r>
      <w:r w:rsidRPr="00BE2669">
        <w:rPr>
          <w:rFonts w:ascii="Arial" w:eastAsiaTheme="minorHAnsi" w:hAnsi="Arial" w:cs="Arial"/>
          <w:color w:val="A20000"/>
          <w:sz w:val="22"/>
        </w:rPr>
        <w:t>(R/C) x 100</w:t>
      </w:r>
    </w:p>
    <w:p w14:paraId="4C270089" w14:textId="77777777" w:rsidR="00754CD8" w:rsidRPr="005A2DD8" w:rsidRDefault="00754CD8" w:rsidP="0025669E">
      <w:pPr>
        <w:spacing w:after="120" w:line="276" w:lineRule="auto"/>
        <w:rPr>
          <w:rFonts w:ascii="Arial" w:eastAsiaTheme="minorHAnsi" w:hAnsi="Arial" w:cs="Arial"/>
          <w:b/>
          <w:sz w:val="22"/>
        </w:rPr>
      </w:pPr>
      <w:r w:rsidRPr="005A2DD8">
        <w:rPr>
          <w:rFonts w:ascii="Arial" w:eastAsiaTheme="minorHAnsi" w:hAnsi="Arial" w:cs="Arial"/>
          <w:b/>
          <w:sz w:val="22"/>
        </w:rPr>
        <w:t>Reporting these Results</w:t>
      </w:r>
    </w:p>
    <w:p w14:paraId="0F4C6A9A" w14:textId="290BF877" w:rsidR="00754CD8" w:rsidRPr="005A2DD8" w:rsidRDefault="00754CD8" w:rsidP="0025669E">
      <w:pPr>
        <w:spacing w:after="120" w:line="276" w:lineRule="auto"/>
        <w:rPr>
          <w:rFonts w:ascii="Arial" w:eastAsiaTheme="minorHAnsi" w:hAnsi="Arial" w:cs="Arial"/>
          <w:sz w:val="22"/>
        </w:rPr>
      </w:pPr>
      <w:r w:rsidRPr="005A2DD8">
        <w:rPr>
          <w:rFonts w:ascii="Arial" w:eastAsiaTheme="minorHAnsi" w:hAnsi="Arial" w:cs="Arial"/>
          <w:sz w:val="22"/>
        </w:rPr>
        <w:t xml:space="preserve">These results should be presented to the </w:t>
      </w:r>
      <w:r w:rsidR="00BD1E77">
        <w:rPr>
          <w:rFonts w:ascii="Arial" w:eastAsiaTheme="minorHAnsi" w:hAnsi="Arial" w:cs="Arial"/>
          <w:sz w:val="22"/>
        </w:rPr>
        <w:t xml:space="preserve">Blood </w:t>
      </w:r>
      <w:r w:rsidR="0085182B">
        <w:rPr>
          <w:rFonts w:ascii="Arial" w:eastAsiaTheme="minorHAnsi" w:hAnsi="Arial" w:cs="Arial"/>
          <w:sz w:val="22"/>
        </w:rPr>
        <w:t>M</w:t>
      </w:r>
      <w:r w:rsidR="00BD1E77">
        <w:rPr>
          <w:rFonts w:ascii="Arial" w:eastAsiaTheme="minorHAnsi" w:hAnsi="Arial" w:cs="Arial"/>
          <w:sz w:val="22"/>
        </w:rPr>
        <w:t>anagemen</w:t>
      </w:r>
      <w:r w:rsidR="0085182B">
        <w:rPr>
          <w:rFonts w:ascii="Arial" w:eastAsiaTheme="minorHAnsi" w:hAnsi="Arial" w:cs="Arial"/>
          <w:sz w:val="22"/>
        </w:rPr>
        <w:t>t</w:t>
      </w:r>
      <w:r w:rsidR="000F6E38">
        <w:rPr>
          <w:rFonts w:ascii="Arial" w:eastAsiaTheme="minorHAnsi" w:hAnsi="Arial" w:cs="Arial"/>
          <w:sz w:val="22"/>
        </w:rPr>
        <w:t xml:space="preserve"> </w:t>
      </w:r>
      <w:r w:rsidR="0085182B">
        <w:rPr>
          <w:rFonts w:ascii="Arial" w:eastAsiaTheme="minorHAnsi" w:hAnsi="Arial" w:cs="Arial"/>
          <w:sz w:val="22"/>
        </w:rPr>
        <w:t>C</w:t>
      </w:r>
      <w:r w:rsidRPr="005A2DD8">
        <w:rPr>
          <w:rFonts w:ascii="Arial" w:eastAsiaTheme="minorHAnsi" w:hAnsi="Arial" w:cs="Arial"/>
          <w:sz w:val="22"/>
        </w:rPr>
        <w:t>ommittee</w:t>
      </w:r>
      <w:r w:rsidR="0085182B">
        <w:rPr>
          <w:rFonts w:ascii="Arial" w:eastAsiaTheme="minorHAnsi" w:hAnsi="Arial" w:cs="Arial"/>
          <w:sz w:val="22"/>
        </w:rPr>
        <w:t xml:space="preserve"> </w:t>
      </w:r>
      <w:r w:rsidR="0085182B" w:rsidRPr="0085182B">
        <w:rPr>
          <w:rFonts w:ascii="Arial" w:eastAsiaTheme="minorHAnsi" w:hAnsi="Arial" w:cs="Arial"/>
          <w:sz w:val="22"/>
        </w:rPr>
        <w:t xml:space="preserve">(or equivalent) </w:t>
      </w:r>
      <w:r w:rsidRPr="005A2DD8">
        <w:rPr>
          <w:rFonts w:ascii="Arial" w:eastAsiaTheme="minorHAnsi" w:hAnsi="Arial" w:cs="Arial"/>
          <w:sz w:val="22"/>
        </w:rPr>
        <w:t>to</w:t>
      </w:r>
      <w:r w:rsidR="0085182B">
        <w:rPr>
          <w:rFonts w:ascii="Arial" w:eastAsiaTheme="minorHAnsi" w:hAnsi="Arial" w:cs="Arial"/>
          <w:sz w:val="22"/>
        </w:rPr>
        <w:t xml:space="preserve"> review</w:t>
      </w:r>
      <w:r w:rsidRPr="005A2DD8">
        <w:rPr>
          <w:rFonts w:ascii="Arial" w:eastAsiaTheme="minorHAnsi" w:hAnsi="Arial" w:cs="Arial"/>
          <w:sz w:val="22"/>
        </w:rPr>
        <w:t xml:space="preserve"> </w:t>
      </w:r>
      <w:r w:rsidR="00CD3CA0" w:rsidRPr="005A2DD8">
        <w:rPr>
          <w:rFonts w:ascii="Arial" w:eastAsiaTheme="minorHAnsi" w:hAnsi="Arial" w:cs="Arial"/>
          <w:sz w:val="22"/>
        </w:rPr>
        <w:t>data and</w:t>
      </w:r>
      <w:r w:rsidR="0085182B">
        <w:rPr>
          <w:rFonts w:ascii="Arial" w:eastAsiaTheme="minorHAnsi" w:hAnsi="Arial" w:cs="Arial"/>
          <w:sz w:val="22"/>
        </w:rPr>
        <w:t xml:space="preserve"> decide if any </w:t>
      </w:r>
      <w:r w:rsidRPr="005A2DD8">
        <w:rPr>
          <w:rFonts w:ascii="Arial" w:eastAsiaTheme="minorHAnsi" w:hAnsi="Arial" w:cs="Arial"/>
          <w:sz w:val="22"/>
        </w:rPr>
        <w:t xml:space="preserve">action </w:t>
      </w:r>
      <w:r w:rsidR="0085182B">
        <w:rPr>
          <w:rFonts w:ascii="Arial" w:eastAsiaTheme="minorHAnsi" w:hAnsi="Arial" w:cs="Arial"/>
          <w:sz w:val="22"/>
        </w:rPr>
        <w:t>is required</w:t>
      </w:r>
      <w:r w:rsidRPr="005A2DD8">
        <w:rPr>
          <w:rFonts w:ascii="Arial" w:eastAsiaTheme="minorHAnsi" w:hAnsi="Arial" w:cs="Arial"/>
          <w:sz w:val="22"/>
        </w:rPr>
        <w:t xml:space="preserve">. Re-audit will assist in assessing the effect of action undertaken. The following table is an example of </w:t>
      </w:r>
      <w:r w:rsidR="0025669E">
        <w:rPr>
          <w:rFonts w:ascii="Arial" w:eastAsiaTheme="minorHAnsi" w:hAnsi="Arial" w:cs="Arial"/>
          <w:sz w:val="22"/>
        </w:rPr>
        <w:t>its use</w:t>
      </w:r>
      <w:r w:rsidRPr="005A2DD8">
        <w:rPr>
          <w:rFonts w:ascii="Arial" w:eastAsiaTheme="minorHAnsi" w:hAnsi="Arial" w:cs="Arial"/>
          <w:sz w:val="22"/>
        </w:rPr>
        <w:t>.</w:t>
      </w:r>
    </w:p>
    <w:tbl>
      <w:tblPr>
        <w:tblStyle w:val="TableGrid1"/>
        <w:tblW w:w="9667" w:type="dxa"/>
        <w:tblInd w:w="534" w:type="dxa"/>
        <w:tblLook w:val="04A0" w:firstRow="1" w:lastRow="0" w:firstColumn="1" w:lastColumn="0" w:noHBand="0" w:noVBand="1"/>
      </w:tblPr>
      <w:tblGrid>
        <w:gridCol w:w="5131"/>
        <w:gridCol w:w="4536"/>
      </w:tblGrid>
      <w:tr w:rsidR="00754CD8" w:rsidRPr="00BD1E77" w14:paraId="1E469BFC" w14:textId="77777777" w:rsidTr="005A2DD8">
        <w:tc>
          <w:tcPr>
            <w:tcW w:w="5131" w:type="dxa"/>
          </w:tcPr>
          <w:p w14:paraId="01A25FD4" w14:textId="7BFAF251" w:rsidR="00754CD8" w:rsidRPr="005A2DD8" w:rsidRDefault="00754CD8" w:rsidP="00754CD8">
            <w:pPr>
              <w:spacing w:after="120"/>
              <w:rPr>
                <w:rFonts w:ascii="Arial" w:hAnsi="Arial" w:cs="Arial"/>
                <w:szCs w:val="20"/>
              </w:rPr>
            </w:pPr>
            <w:r w:rsidRPr="005A2DD8">
              <w:rPr>
                <w:rFonts w:ascii="Arial" w:hAnsi="Arial" w:cs="Arial"/>
              </w:rPr>
              <w:t>Clinical specialty/ward area audited</w:t>
            </w:r>
          </w:p>
        </w:tc>
        <w:tc>
          <w:tcPr>
            <w:tcW w:w="4536" w:type="dxa"/>
          </w:tcPr>
          <w:p w14:paraId="4D42FF3D" w14:textId="77777777" w:rsidR="00754CD8" w:rsidRPr="005A2DD8" w:rsidRDefault="00754CD8" w:rsidP="00754CD8">
            <w:pPr>
              <w:spacing w:after="120"/>
              <w:rPr>
                <w:rFonts w:ascii="Arial" w:hAnsi="Arial" w:cs="Arial"/>
                <w:szCs w:val="20"/>
              </w:rPr>
            </w:pPr>
            <w:r w:rsidRPr="005A2DD8">
              <w:rPr>
                <w:rFonts w:ascii="Arial" w:hAnsi="Arial" w:cs="Arial"/>
              </w:rPr>
              <w:t>St Elsewhere’s Main Theatres</w:t>
            </w:r>
          </w:p>
        </w:tc>
      </w:tr>
      <w:tr w:rsidR="00754CD8" w:rsidRPr="00BD1E77" w14:paraId="5972AC49" w14:textId="77777777" w:rsidTr="005A2DD8">
        <w:tc>
          <w:tcPr>
            <w:tcW w:w="5131" w:type="dxa"/>
          </w:tcPr>
          <w:p w14:paraId="15DAC2CE" w14:textId="77777777" w:rsidR="00754CD8" w:rsidRPr="005A2DD8" w:rsidRDefault="00754CD8" w:rsidP="00754CD8">
            <w:pPr>
              <w:spacing w:after="120"/>
              <w:rPr>
                <w:rFonts w:ascii="Arial" w:hAnsi="Arial" w:cs="Arial"/>
                <w:szCs w:val="20"/>
              </w:rPr>
            </w:pPr>
            <w:r w:rsidRPr="005A2DD8">
              <w:rPr>
                <w:rFonts w:ascii="Arial" w:hAnsi="Arial" w:cs="Arial"/>
              </w:rPr>
              <w:t>Time period audited</w:t>
            </w:r>
          </w:p>
        </w:tc>
        <w:tc>
          <w:tcPr>
            <w:tcW w:w="4536" w:type="dxa"/>
          </w:tcPr>
          <w:p w14:paraId="04700B6B" w14:textId="77777777" w:rsidR="00754CD8" w:rsidRPr="005A2DD8" w:rsidRDefault="00754CD8" w:rsidP="00754CD8">
            <w:pPr>
              <w:spacing w:after="120"/>
              <w:rPr>
                <w:rFonts w:ascii="Arial" w:hAnsi="Arial" w:cs="Arial"/>
                <w:szCs w:val="20"/>
              </w:rPr>
            </w:pPr>
            <w:r w:rsidRPr="005A2DD8">
              <w:rPr>
                <w:rFonts w:ascii="Arial" w:hAnsi="Arial" w:cs="Arial"/>
              </w:rPr>
              <w:t>Month of January 2015</w:t>
            </w:r>
          </w:p>
        </w:tc>
      </w:tr>
      <w:tr w:rsidR="00754CD8" w:rsidRPr="00BD1E77" w14:paraId="37387395" w14:textId="77777777" w:rsidTr="005A2DD8">
        <w:tc>
          <w:tcPr>
            <w:tcW w:w="5131" w:type="dxa"/>
          </w:tcPr>
          <w:p w14:paraId="1F485100" w14:textId="77777777" w:rsidR="00754CD8" w:rsidRPr="005A2DD8" w:rsidRDefault="00754CD8" w:rsidP="00754CD8">
            <w:pPr>
              <w:spacing w:after="120"/>
              <w:rPr>
                <w:rFonts w:ascii="Arial" w:hAnsi="Arial" w:cs="Arial"/>
                <w:szCs w:val="20"/>
              </w:rPr>
            </w:pPr>
            <w:r w:rsidRPr="005A2DD8">
              <w:rPr>
                <w:rFonts w:ascii="Arial" w:hAnsi="Arial" w:cs="Arial"/>
              </w:rPr>
              <w:t>Crossmatch:transfusion ratio</w:t>
            </w:r>
          </w:p>
        </w:tc>
        <w:tc>
          <w:tcPr>
            <w:tcW w:w="4536" w:type="dxa"/>
          </w:tcPr>
          <w:p w14:paraId="345836BB" w14:textId="6154A49F" w:rsidR="00754CD8" w:rsidRPr="005A2DD8" w:rsidRDefault="00754CD8" w:rsidP="00754CD8">
            <w:pPr>
              <w:spacing w:after="120"/>
              <w:rPr>
                <w:rFonts w:ascii="Arial" w:hAnsi="Arial" w:cs="Arial"/>
                <w:szCs w:val="20"/>
              </w:rPr>
            </w:pPr>
            <w:r w:rsidRPr="005A2DD8">
              <w:rPr>
                <w:rFonts w:ascii="Arial" w:hAnsi="Arial" w:cs="Arial"/>
              </w:rPr>
              <w:t>3</w:t>
            </w:r>
            <w:r w:rsidR="00CD3CA0">
              <w:rPr>
                <w:rFonts w:ascii="Arial" w:hAnsi="Arial" w:cs="Arial"/>
              </w:rPr>
              <w:t>:</w:t>
            </w:r>
            <w:r w:rsidRPr="005A2DD8">
              <w:rPr>
                <w:rFonts w:ascii="Arial" w:hAnsi="Arial" w:cs="Arial"/>
              </w:rPr>
              <w:t>1</w:t>
            </w:r>
          </w:p>
        </w:tc>
      </w:tr>
      <w:tr w:rsidR="00754CD8" w:rsidRPr="00BD1E77" w14:paraId="3E31C4E4" w14:textId="77777777" w:rsidTr="005A2DD8">
        <w:tc>
          <w:tcPr>
            <w:tcW w:w="5131" w:type="dxa"/>
          </w:tcPr>
          <w:p w14:paraId="0BB6F832" w14:textId="77777777" w:rsidR="00754CD8" w:rsidRPr="005A2DD8" w:rsidRDefault="00754CD8" w:rsidP="00754CD8">
            <w:pPr>
              <w:spacing w:after="120"/>
              <w:rPr>
                <w:rFonts w:ascii="Arial" w:hAnsi="Arial" w:cs="Arial"/>
                <w:szCs w:val="20"/>
              </w:rPr>
            </w:pPr>
            <w:r w:rsidRPr="005A2DD8">
              <w:rPr>
                <w:rFonts w:ascii="Arial" w:hAnsi="Arial" w:cs="Arial"/>
              </w:rPr>
              <w:t>Number of units crossmatched returned to laboratory</w:t>
            </w:r>
          </w:p>
        </w:tc>
        <w:tc>
          <w:tcPr>
            <w:tcW w:w="4536" w:type="dxa"/>
          </w:tcPr>
          <w:p w14:paraId="055C3A35" w14:textId="77777777" w:rsidR="00754CD8" w:rsidRPr="005A2DD8" w:rsidRDefault="00754CD8" w:rsidP="00754CD8">
            <w:pPr>
              <w:spacing w:after="120"/>
              <w:rPr>
                <w:rFonts w:ascii="Arial" w:hAnsi="Arial" w:cs="Arial"/>
                <w:szCs w:val="20"/>
              </w:rPr>
            </w:pPr>
            <w:r w:rsidRPr="005A2DD8">
              <w:rPr>
                <w:rFonts w:ascii="Arial" w:hAnsi="Arial" w:cs="Arial"/>
              </w:rPr>
              <w:t>93</w:t>
            </w:r>
          </w:p>
        </w:tc>
      </w:tr>
      <w:tr w:rsidR="00754CD8" w:rsidRPr="00BD1E77" w14:paraId="090EBB1C" w14:textId="77777777" w:rsidTr="005A2DD8">
        <w:tc>
          <w:tcPr>
            <w:tcW w:w="5131" w:type="dxa"/>
          </w:tcPr>
          <w:p w14:paraId="165B3D2A" w14:textId="77777777" w:rsidR="00754CD8" w:rsidRPr="005A2DD8" w:rsidRDefault="00754CD8" w:rsidP="00754CD8">
            <w:pPr>
              <w:spacing w:after="120"/>
              <w:rPr>
                <w:rFonts w:ascii="Arial" w:hAnsi="Arial" w:cs="Arial"/>
                <w:szCs w:val="20"/>
              </w:rPr>
            </w:pPr>
            <w:r w:rsidRPr="005A2DD8">
              <w:rPr>
                <w:rFonts w:ascii="Arial" w:hAnsi="Arial" w:cs="Arial"/>
              </w:rPr>
              <w:t>Recommendations</w:t>
            </w:r>
            <w:r w:rsidR="005F2CF5">
              <w:rPr>
                <w:rFonts w:ascii="Arial" w:hAnsi="Arial" w:cs="Arial"/>
                <w:szCs w:val="20"/>
              </w:rPr>
              <w:t>:</w:t>
            </w:r>
          </w:p>
        </w:tc>
        <w:tc>
          <w:tcPr>
            <w:tcW w:w="4536" w:type="dxa"/>
          </w:tcPr>
          <w:p w14:paraId="45464209" w14:textId="00C6F463" w:rsidR="00754CD8" w:rsidRPr="005A2DD8" w:rsidRDefault="00754CD8" w:rsidP="00754CD8">
            <w:pPr>
              <w:spacing w:after="120"/>
              <w:rPr>
                <w:rFonts w:ascii="Arial" w:hAnsi="Arial" w:cs="Arial"/>
                <w:szCs w:val="20"/>
              </w:rPr>
            </w:pPr>
            <w:r w:rsidRPr="005A2DD8">
              <w:rPr>
                <w:rFonts w:ascii="Arial" w:hAnsi="Arial" w:cs="Arial"/>
              </w:rPr>
              <w:t>Review Maximum Blood Order Schedule</w:t>
            </w:r>
            <w:r w:rsidR="0025669E">
              <w:rPr>
                <w:rFonts w:ascii="Arial" w:hAnsi="Arial" w:cs="Arial"/>
              </w:rPr>
              <w:t xml:space="preserve"> </w:t>
            </w:r>
            <w:r w:rsidRPr="005A2DD8">
              <w:rPr>
                <w:rFonts w:ascii="Arial" w:hAnsi="Arial" w:cs="Arial"/>
              </w:rPr>
              <w:t>(MBOS)</w:t>
            </w:r>
          </w:p>
          <w:p w14:paraId="33601B94" w14:textId="04828F9B" w:rsidR="00754CD8" w:rsidRPr="005A2DD8" w:rsidRDefault="00754CD8" w:rsidP="00754CD8">
            <w:pPr>
              <w:spacing w:after="120"/>
              <w:rPr>
                <w:rFonts w:ascii="Arial" w:hAnsi="Arial" w:cs="Arial"/>
                <w:szCs w:val="20"/>
              </w:rPr>
            </w:pPr>
            <w:r w:rsidRPr="005A2DD8">
              <w:rPr>
                <w:rFonts w:ascii="Arial" w:hAnsi="Arial" w:cs="Arial"/>
              </w:rPr>
              <w:t xml:space="preserve">Set </w:t>
            </w:r>
            <w:proofErr w:type="gramStart"/>
            <w:r w:rsidRPr="005A2DD8">
              <w:rPr>
                <w:rFonts w:ascii="Arial" w:hAnsi="Arial" w:cs="Arial"/>
              </w:rPr>
              <w:t>C</w:t>
            </w:r>
            <w:r w:rsidR="00CD3CA0">
              <w:rPr>
                <w:rFonts w:ascii="Arial" w:hAnsi="Arial" w:cs="Arial"/>
              </w:rPr>
              <w:t>:</w:t>
            </w:r>
            <w:r w:rsidRPr="005A2DD8">
              <w:rPr>
                <w:rFonts w:ascii="Arial" w:hAnsi="Arial" w:cs="Arial"/>
              </w:rPr>
              <w:t>T</w:t>
            </w:r>
            <w:proofErr w:type="gramEnd"/>
            <w:r w:rsidRPr="005A2DD8">
              <w:rPr>
                <w:rFonts w:ascii="Arial" w:hAnsi="Arial" w:cs="Arial"/>
              </w:rPr>
              <w:t xml:space="preserve"> target and monitor as a KPI</w:t>
            </w:r>
          </w:p>
        </w:tc>
      </w:tr>
    </w:tbl>
    <w:p w14:paraId="152CD972" w14:textId="77777777" w:rsidR="00754CD8" w:rsidRPr="005A2DD8" w:rsidRDefault="00754CD8" w:rsidP="00754CD8">
      <w:pPr>
        <w:spacing w:after="120" w:line="276" w:lineRule="auto"/>
        <w:rPr>
          <w:rFonts w:ascii="Arial" w:eastAsiaTheme="minorHAnsi" w:hAnsi="Arial" w:cs="Arial"/>
          <w:sz w:val="22"/>
        </w:rPr>
      </w:pPr>
    </w:p>
    <w:p w14:paraId="749EADB2" w14:textId="77777777" w:rsidR="00754CD8" w:rsidRPr="005A2DD8" w:rsidRDefault="00754CD8" w:rsidP="00754CD8">
      <w:pPr>
        <w:spacing w:after="120" w:line="276" w:lineRule="auto"/>
        <w:rPr>
          <w:rFonts w:ascii="Arial" w:eastAsiaTheme="minorHAnsi" w:hAnsi="Arial" w:cs="Arial"/>
          <w:b/>
          <w:sz w:val="22"/>
        </w:rPr>
      </w:pPr>
      <w:r w:rsidRPr="005A2DD8">
        <w:rPr>
          <w:rFonts w:ascii="Arial" w:eastAsiaTheme="minorHAnsi" w:hAnsi="Arial" w:cs="Arial"/>
          <w:b/>
          <w:sz w:val="22"/>
        </w:rPr>
        <w:t>Considerations</w:t>
      </w:r>
    </w:p>
    <w:p w14:paraId="067A8A37" w14:textId="4DE5CE02" w:rsidR="00754CD8" w:rsidRPr="005A2DD8" w:rsidRDefault="00754CD8" w:rsidP="00754CD8">
      <w:pPr>
        <w:spacing w:after="120" w:line="276" w:lineRule="auto"/>
        <w:rPr>
          <w:rFonts w:ascii="Arial" w:eastAsiaTheme="minorHAnsi" w:hAnsi="Arial" w:cs="Arial"/>
          <w:sz w:val="22"/>
        </w:rPr>
      </w:pPr>
      <w:r w:rsidRPr="005A2DD8">
        <w:rPr>
          <w:rFonts w:ascii="Arial" w:eastAsiaTheme="minorHAnsi" w:hAnsi="Arial" w:cs="Arial"/>
          <w:sz w:val="22"/>
        </w:rPr>
        <w:t>When introducing actions/strategies aimed at reducing crossmatch:transfusion ratio the following points should be considered:</w:t>
      </w:r>
    </w:p>
    <w:p w14:paraId="26151FE5" w14:textId="06CBA8F0" w:rsidR="00754CD8" w:rsidRPr="005A2DD8" w:rsidRDefault="00754CD8" w:rsidP="00754CD8">
      <w:pPr>
        <w:numPr>
          <w:ilvl w:val="0"/>
          <w:numId w:val="25"/>
        </w:numPr>
        <w:spacing w:after="120" w:line="276" w:lineRule="auto"/>
        <w:contextualSpacing/>
        <w:rPr>
          <w:rFonts w:ascii="Arial" w:eastAsiaTheme="minorHAnsi" w:hAnsi="Arial" w:cs="Arial"/>
          <w:sz w:val="22"/>
        </w:rPr>
      </w:pPr>
      <w:r w:rsidRPr="005A2DD8">
        <w:rPr>
          <w:rFonts w:ascii="Arial" w:eastAsiaTheme="minorHAnsi" w:hAnsi="Arial" w:cs="Arial"/>
          <w:sz w:val="22"/>
        </w:rPr>
        <w:t xml:space="preserve">Clinical staff require assurance that patient </w:t>
      </w:r>
      <w:r w:rsidR="0025669E">
        <w:rPr>
          <w:rFonts w:ascii="Arial" w:eastAsiaTheme="minorHAnsi" w:hAnsi="Arial" w:cs="Arial"/>
          <w:sz w:val="22"/>
        </w:rPr>
        <w:t>transfusion requirements</w:t>
      </w:r>
      <w:r w:rsidRPr="005A2DD8">
        <w:rPr>
          <w:rFonts w:ascii="Arial" w:eastAsiaTheme="minorHAnsi" w:hAnsi="Arial" w:cs="Arial"/>
          <w:sz w:val="22"/>
        </w:rPr>
        <w:t xml:space="preserve"> will be met </w:t>
      </w:r>
    </w:p>
    <w:p w14:paraId="13756BB6" w14:textId="50E8A662" w:rsidR="00754CD8" w:rsidRPr="005A2DD8" w:rsidRDefault="00BD1E77" w:rsidP="00754CD8">
      <w:pPr>
        <w:numPr>
          <w:ilvl w:val="0"/>
          <w:numId w:val="25"/>
        </w:numPr>
        <w:spacing w:after="120" w:line="276" w:lineRule="auto"/>
        <w:contextualSpacing/>
        <w:rPr>
          <w:rFonts w:ascii="Arial" w:eastAsiaTheme="minorHAnsi" w:hAnsi="Arial" w:cs="Arial"/>
          <w:sz w:val="22"/>
        </w:rPr>
      </w:pPr>
      <w:r>
        <w:rPr>
          <w:rFonts w:ascii="Arial" w:eastAsiaTheme="minorHAnsi" w:hAnsi="Arial" w:cs="Arial"/>
          <w:sz w:val="22"/>
        </w:rPr>
        <w:t>A</w:t>
      </w:r>
      <w:r w:rsidR="00754CD8" w:rsidRPr="005A2DD8">
        <w:rPr>
          <w:rFonts w:ascii="Arial" w:eastAsiaTheme="minorHAnsi" w:hAnsi="Arial" w:cs="Arial"/>
          <w:sz w:val="22"/>
        </w:rPr>
        <w:t xml:space="preserve">ssessment of previous </w:t>
      </w:r>
      <w:r w:rsidR="0025669E">
        <w:rPr>
          <w:rFonts w:ascii="Arial" w:eastAsiaTheme="minorHAnsi" w:hAnsi="Arial" w:cs="Arial"/>
          <w:sz w:val="22"/>
        </w:rPr>
        <w:t>RBC</w:t>
      </w:r>
      <w:r w:rsidR="0025669E" w:rsidRPr="005A2DD8">
        <w:rPr>
          <w:rFonts w:ascii="Arial" w:eastAsiaTheme="minorHAnsi" w:hAnsi="Arial" w:cs="Arial"/>
          <w:sz w:val="22"/>
        </w:rPr>
        <w:t xml:space="preserve"> requirements of</w:t>
      </w:r>
      <w:r w:rsidR="00754CD8" w:rsidRPr="005A2DD8">
        <w:rPr>
          <w:rFonts w:ascii="Arial" w:eastAsiaTheme="minorHAnsi" w:hAnsi="Arial" w:cs="Arial"/>
          <w:sz w:val="22"/>
        </w:rPr>
        <w:t xml:space="preserve"> particular patient groups (i.e. patients undergoing total hip replacement) can </w:t>
      </w:r>
      <w:r w:rsidR="00F51136">
        <w:rPr>
          <w:rFonts w:ascii="Arial" w:eastAsiaTheme="minorHAnsi" w:hAnsi="Arial" w:cs="Arial"/>
          <w:sz w:val="22"/>
        </w:rPr>
        <w:t>help predict</w:t>
      </w:r>
      <w:r w:rsidR="00754CD8" w:rsidRPr="005A2DD8">
        <w:rPr>
          <w:rFonts w:ascii="Arial" w:eastAsiaTheme="minorHAnsi" w:hAnsi="Arial" w:cs="Arial"/>
          <w:sz w:val="22"/>
        </w:rPr>
        <w:t xml:space="preserve"> </w:t>
      </w:r>
      <w:r w:rsidR="00F51136">
        <w:rPr>
          <w:rFonts w:ascii="Arial" w:eastAsiaTheme="minorHAnsi" w:hAnsi="Arial" w:cs="Arial"/>
          <w:sz w:val="22"/>
        </w:rPr>
        <w:t>future need</w:t>
      </w:r>
      <w:r w:rsidR="00754CD8" w:rsidRPr="005A2DD8">
        <w:rPr>
          <w:rFonts w:ascii="Arial" w:eastAsiaTheme="minorHAnsi" w:hAnsi="Arial" w:cs="Arial"/>
          <w:sz w:val="22"/>
        </w:rPr>
        <w:t xml:space="preserve"> and develop or reassess MBOS</w:t>
      </w:r>
    </w:p>
    <w:p w14:paraId="1AB1DE97" w14:textId="7A903402" w:rsidR="00754CD8" w:rsidRPr="005A2DD8" w:rsidRDefault="00754CD8" w:rsidP="00754CD8">
      <w:pPr>
        <w:numPr>
          <w:ilvl w:val="0"/>
          <w:numId w:val="25"/>
        </w:numPr>
        <w:spacing w:after="120" w:line="276" w:lineRule="auto"/>
        <w:contextualSpacing/>
        <w:rPr>
          <w:rFonts w:ascii="Arial" w:eastAsiaTheme="minorHAnsi" w:hAnsi="Arial" w:cs="Arial"/>
          <w:sz w:val="22"/>
        </w:rPr>
      </w:pPr>
      <w:r w:rsidRPr="005A2DD8">
        <w:rPr>
          <w:rFonts w:ascii="Arial" w:eastAsiaTheme="minorHAnsi" w:hAnsi="Arial" w:cs="Arial"/>
          <w:sz w:val="22"/>
        </w:rPr>
        <w:t>For patients with clinically significant red cell antibodies</w:t>
      </w:r>
      <w:r w:rsidR="0025669E">
        <w:rPr>
          <w:rFonts w:ascii="Arial" w:eastAsiaTheme="minorHAnsi" w:hAnsi="Arial" w:cs="Arial"/>
          <w:sz w:val="22"/>
        </w:rPr>
        <w:t>,</w:t>
      </w:r>
      <w:r w:rsidRPr="005A2DD8">
        <w:rPr>
          <w:rFonts w:ascii="Arial" w:eastAsiaTheme="minorHAnsi" w:hAnsi="Arial" w:cs="Arial"/>
          <w:sz w:val="22"/>
        </w:rPr>
        <w:t xml:space="preserve"> </w:t>
      </w:r>
      <w:r w:rsidR="0025669E">
        <w:rPr>
          <w:rFonts w:ascii="Arial" w:eastAsiaTheme="minorHAnsi" w:hAnsi="Arial" w:cs="Arial"/>
          <w:sz w:val="22"/>
        </w:rPr>
        <w:t>RBC</w:t>
      </w:r>
      <w:r w:rsidRPr="005A2DD8">
        <w:rPr>
          <w:rFonts w:ascii="Arial" w:eastAsiaTheme="minorHAnsi" w:hAnsi="Arial" w:cs="Arial"/>
          <w:sz w:val="22"/>
        </w:rPr>
        <w:t xml:space="preserve"> should be crossmatched even if the likelihood of bleeding is low, to ensure </w:t>
      </w:r>
      <w:r w:rsidR="0025669E">
        <w:rPr>
          <w:rFonts w:ascii="Arial" w:eastAsiaTheme="minorHAnsi" w:hAnsi="Arial" w:cs="Arial"/>
          <w:sz w:val="22"/>
        </w:rPr>
        <w:t>RBC are</w:t>
      </w:r>
      <w:r w:rsidRPr="005A2DD8">
        <w:rPr>
          <w:rFonts w:ascii="Arial" w:eastAsiaTheme="minorHAnsi" w:hAnsi="Arial" w:cs="Arial"/>
          <w:sz w:val="22"/>
        </w:rPr>
        <w:t xml:space="preserve"> available for the patient should they require </w:t>
      </w:r>
      <w:r w:rsidR="0025669E">
        <w:rPr>
          <w:rFonts w:ascii="Arial" w:eastAsiaTheme="minorHAnsi" w:hAnsi="Arial" w:cs="Arial"/>
          <w:sz w:val="22"/>
        </w:rPr>
        <w:t>it</w:t>
      </w:r>
      <w:r w:rsidR="0025669E" w:rsidRPr="005A2DD8">
        <w:rPr>
          <w:rFonts w:ascii="Arial" w:eastAsiaTheme="minorHAnsi" w:hAnsi="Arial" w:cs="Arial"/>
          <w:sz w:val="22"/>
        </w:rPr>
        <w:t xml:space="preserve"> </w:t>
      </w:r>
      <w:r w:rsidRPr="005A2DD8">
        <w:rPr>
          <w:rFonts w:ascii="Arial" w:eastAsiaTheme="minorHAnsi" w:hAnsi="Arial" w:cs="Arial"/>
          <w:sz w:val="22"/>
        </w:rPr>
        <w:t>unexpectedly</w:t>
      </w:r>
    </w:p>
    <w:p w14:paraId="34B5068C" w14:textId="32EEE86E" w:rsidR="00754CD8" w:rsidRPr="005A2DD8" w:rsidRDefault="00754CD8" w:rsidP="00754CD8">
      <w:pPr>
        <w:numPr>
          <w:ilvl w:val="0"/>
          <w:numId w:val="25"/>
        </w:numPr>
        <w:spacing w:after="120" w:line="276" w:lineRule="auto"/>
        <w:contextualSpacing/>
        <w:rPr>
          <w:rFonts w:ascii="Arial" w:eastAsiaTheme="minorHAnsi" w:hAnsi="Arial" w:cs="Arial"/>
          <w:sz w:val="22"/>
        </w:rPr>
      </w:pPr>
      <w:r w:rsidRPr="005A2DD8">
        <w:rPr>
          <w:rFonts w:ascii="Arial" w:eastAsiaTheme="minorHAnsi" w:hAnsi="Arial" w:cs="Arial"/>
          <w:sz w:val="22"/>
        </w:rPr>
        <w:t xml:space="preserve">Turn-around-times to provide compatible </w:t>
      </w:r>
      <w:r w:rsidR="0025669E">
        <w:rPr>
          <w:rFonts w:ascii="Arial" w:eastAsiaTheme="minorHAnsi" w:hAnsi="Arial" w:cs="Arial"/>
          <w:sz w:val="22"/>
        </w:rPr>
        <w:t>RBC</w:t>
      </w:r>
      <w:r w:rsidR="0025669E" w:rsidRPr="005A2DD8">
        <w:rPr>
          <w:rFonts w:ascii="Arial" w:eastAsiaTheme="minorHAnsi" w:hAnsi="Arial" w:cs="Arial"/>
          <w:sz w:val="22"/>
        </w:rPr>
        <w:t xml:space="preserve"> </w:t>
      </w:r>
      <w:r w:rsidRPr="005A2DD8">
        <w:rPr>
          <w:rFonts w:ascii="Arial" w:eastAsiaTheme="minorHAnsi" w:hAnsi="Arial" w:cs="Arial"/>
          <w:sz w:val="22"/>
        </w:rPr>
        <w:t xml:space="preserve">should be determined with each </w:t>
      </w:r>
      <w:r w:rsidR="0025669E">
        <w:rPr>
          <w:rFonts w:ascii="Arial" w:eastAsiaTheme="minorHAnsi" w:hAnsi="Arial" w:cs="Arial"/>
          <w:sz w:val="22"/>
        </w:rPr>
        <w:t xml:space="preserve">supplying transfusion </w:t>
      </w:r>
      <w:r w:rsidRPr="005A2DD8">
        <w:rPr>
          <w:rFonts w:ascii="Arial" w:eastAsiaTheme="minorHAnsi" w:hAnsi="Arial" w:cs="Arial"/>
          <w:sz w:val="22"/>
        </w:rPr>
        <w:t>laboratory</w:t>
      </w:r>
      <w:r w:rsidR="0025669E">
        <w:rPr>
          <w:rFonts w:ascii="Arial" w:eastAsiaTheme="minorHAnsi" w:hAnsi="Arial" w:cs="Arial"/>
          <w:sz w:val="22"/>
        </w:rPr>
        <w:t>.</w:t>
      </w:r>
      <w:r w:rsidRPr="005A2DD8">
        <w:rPr>
          <w:rFonts w:ascii="Arial" w:eastAsiaTheme="minorHAnsi" w:hAnsi="Arial" w:cs="Arial"/>
          <w:sz w:val="22"/>
        </w:rPr>
        <w:t xml:space="preserve"> </w:t>
      </w:r>
      <w:r w:rsidR="0025669E">
        <w:rPr>
          <w:rFonts w:ascii="Arial" w:eastAsiaTheme="minorHAnsi" w:hAnsi="Arial" w:cs="Arial"/>
          <w:sz w:val="22"/>
        </w:rPr>
        <w:t>T</w:t>
      </w:r>
      <w:r w:rsidRPr="005A2DD8">
        <w:rPr>
          <w:rFonts w:ascii="Arial" w:eastAsiaTheme="minorHAnsi" w:hAnsi="Arial" w:cs="Arial"/>
          <w:sz w:val="22"/>
        </w:rPr>
        <w:t>hese will need to be communicated effectively to clinical staff, along with the possibility of any delays and the action required in these situations</w:t>
      </w:r>
    </w:p>
    <w:p w14:paraId="1FC8EB79" w14:textId="59028CAF" w:rsidR="00754CD8" w:rsidRPr="005A2DD8" w:rsidRDefault="00754CD8" w:rsidP="00754CD8">
      <w:pPr>
        <w:numPr>
          <w:ilvl w:val="0"/>
          <w:numId w:val="25"/>
        </w:numPr>
        <w:spacing w:after="120" w:line="276" w:lineRule="auto"/>
        <w:contextualSpacing/>
        <w:rPr>
          <w:rFonts w:ascii="Arial" w:eastAsiaTheme="minorHAnsi" w:hAnsi="Arial" w:cs="Arial"/>
          <w:sz w:val="22"/>
        </w:rPr>
      </w:pPr>
      <w:r w:rsidRPr="005A2DD8">
        <w:rPr>
          <w:rFonts w:ascii="Arial" w:eastAsiaTheme="minorHAnsi" w:hAnsi="Arial" w:cs="Arial"/>
          <w:sz w:val="22"/>
        </w:rPr>
        <w:t xml:space="preserve">Emergency </w:t>
      </w:r>
      <w:r w:rsidR="0025669E">
        <w:rPr>
          <w:rFonts w:ascii="Arial" w:eastAsiaTheme="minorHAnsi" w:hAnsi="Arial" w:cs="Arial"/>
          <w:sz w:val="22"/>
        </w:rPr>
        <w:t>group O RBC</w:t>
      </w:r>
      <w:r w:rsidRPr="005A2DD8">
        <w:rPr>
          <w:rFonts w:ascii="Arial" w:eastAsiaTheme="minorHAnsi" w:hAnsi="Arial" w:cs="Arial"/>
          <w:sz w:val="22"/>
        </w:rPr>
        <w:t xml:space="preserve"> should be available for unforeseen urgent situations</w:t>
      </w:r>
    </w:p>
    <w:p w14:paraId="79FE46C9" w14:textId="3B7C1A4B" w:rsidR="00754CD8" w:rsidRPr="005A2DD8" w:rsidRDefault="00754CD8" w:rsidP="00754CD8">
      <w:pPr>
        <w:numPr>
          <w:ilvl w:val="0"/>
          <w:numId w:val="25"/>
        </w:numPr>
        <w:spacing w:after="120" w:line="276" w:lineRule="auto"/>
        <w:contextualSpacing/>
        <w:rPr>
          <w:rFonts w:ascii="Arial" w:eastAsiaTheme="minorHAnsi" w:hAnsi="Arial" w:cs="Arial"/>
          <w:sz w:val="22"/>
        </w:rPr>
      </w:pPr>
      <w:r w:rsidRPr="005A2DD8">
        <w:rPr>
          <w:rFonts w:ascii="Arial" w:eastAsiaTheme="minorHAnsi" w:hAnsi="Arial" w:cs="Arial"/>
          <w:sz w:val="22"/>
        </w:rPr>
        <w:t xml:space="preserve">Changes affecting policy and practice must be made in consultation with treating clinicians </w:t>
      </w:r>
      <w:r w:rsidR="0025669E">
        <w:rPr>
          <w:rFonts w:ascii="Arial" w:eastAsiaTheme="minorHAnsi" w:hAnsi="Arial" w:cs="Arial"/>
          <w:sz w:val="22"/>
        </w:rPr>
        <w:t>and</w:t>
      </w:r>
      <w:r w:rsidR="0025669E" w:rsidRPr="005A2DD8">
        <w:rPr>
          <w:rFonts w:ascii="Arial" w:eastAsiaTheme="minorHAnsi" w:hAnsi="Arial" w:cs="Arial"/>
          <w:sz w:val="22"/>
        </w:rPr>
        <w:t xml:space="preserve"> </w:t>
      </w:r>
      <w:r w:rsidRPr="005A2DD8">
        <w:rPr>
          <w:rFonts w:ascii="Arial" w:eastAsiaTheme="minorHAnsi" w:hAnsi="Arial" w:cs="Arial"/>
          <w:sz w:val="22"/>
        </w:rPr>
        <w:t>transfusion service provider(s).</w:t>
      </w:r>
    </w:p>
    <w:p w14:paraId="5C079CAC" w14:textId="77777777" w:rsidR="0025669E" w:rsidRDefault="0025669E" w:rsidP="00754CD8">
      <w:pPr>
        <w:spacing w:after="120" w:line="276" w:lineRule="auto"/>
        <w:rPr>
          <w:rFonts w:ascii="Arial" w:eastAsiaTheme="minorHAnsi" w:hAnsi="Arial" w:cs="Arial"/>
          <w:sz w:val="22"/>
        </w:rPr>
      </w:pPr>
    </w:p>
    <w:p w14:paraId="64A39B51" w14:textId="67212A67" w:rsidR="00754CD8" w:rsidRPr="00906490" w:rsidRDefault="00754CD8" w:rsidP="00CD3CA0">
      <w:pPr>
        <w:spacing w:after="120" w:line="276" w:lineRule="auto"/>
      </w:pPr>
      <w:r w:rsidRPr="005A2DD8">
        <w:rPr>
          <w:rFonts w:ascii="Arial" w:eastAsiaTheme="minorHAnsi" w:hAnsi="Arial" w:cs="Arial"/>
          <w:sz w:val="22"/>
        </w:rPr>
        <w:t xml:space="preserve">Further assistance is available by contacting Blood Matters: phone: 03 9694 0102 or email:  </w:t>
      </w:r>
      <w:hyperlink r:id="rId17" w:history="1">
        <w:r w:rsidRPr="005A2DD8">
          <w:rPr>
            <w:rFonts w:ascii="Arial" w:eastAsiaTheme="minorHAnsi" w:hAnsi="Arial" w:cs="Arial"/>
            <w:color w:val="0000FF" w:themeColor="hyperlink"/>
            <w:sz w:val="22"/>
            <w:u w:val="single"/>
          </w:rPr>
          <w:t>bloodmatters@redcrossblood.org.au</w:t>
        </w:r>
      </w:hyperlink>
      <w:r w:rsidRPr="005A2DD8">
        <w:rPr>
          <w:rFonts w:ascii="Arial" w:eastAsiaTheme="minorHAnsi" w:hAnsi="Arial" w:cs="Arial"/>
          <w:sz w:val="22"/>
        </w:rPr>
        <w:t xml:space="preserve">   </w:t>
      </w:r>
    </w:p>
    <w:sectPr w:rsidR="00754CD8" w:rsidRPr="00906490" w:rsidSect="00CD3CA0">
      <w:headerReference w:type="default" r:id="rId18"/>
      <w:pgSz w:w="11906" w:h="16838" w:code="9"/>
      <w:pgMar w:top="1418" w:right="851" w:bottom="1701" w:left="851" w:header="567" w:footer="39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B8C1D" w14:textId="77777777" w:rsidR="00033F5F" w:rsidRDefault="00033F5F">
      <w:r>
        <w:separator/>
      </w:r>
    </w:p>
  </w:endnote>
  <w:endnote w:type="continuationSeparator" w:id="0">
    <w:p w14:paraId="5340EB4E" w14:textId="77777777" w:rsidR="00033F5F" w:rsidRDefault="0003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AE39" w14:textId="77777777" w:rsidR="00A2260F" w:rsidRDefault="00A2260F" w:rsidP="0051568D">
    <w:pPr>
      <w:pStyle w:val="DHHSfooter"/>
    </w:pPr>
  </w:p>
  <w:p w14:paraId="1DA98DF2" w14:textId="77777777" w:rsidR="00A2260F" w:rsidRDefault="00A2260F" w:rsidP="0051568D">
    <w:pPr>
      <w:pStyle w:val="DHHSfooter"/>
    </w:pPr>
  </w:p>
  <w:p w14:paraId="099EA114" w14:textId="3F1EDA4D" w:rsidR="009D70A4" w:rsidRPr="00F65AA9" w:rsidRDefault="00391E40" w:rsidP="0051568D">
    <w:pPr>
      <w:pStyle w:val="DHHSfooter"/>
    </w:pPr>
    <w:r>
      <w:rPr>
        <w:noProof/>
        <w:lang w:eastAsia="en-AU"/>
      </w:rPr>
      <w:drawing>
        <wp:anchor distT="0" distB="0" distL="114300" distR="114300" simplePos="0" relativeHeight="251656704" behindDoc="1" locked="1" layoutInCell="1" allowOverlap="1" wp14:anchorId="671C1777" wp14:editId="52A29AB4">
          <wp:simplePos x="0" y="0"/>
          <wp:positionH relativeFrom="page">
            <wp:posOffset>3175</wp:posOffset>
          </wp:positionH>
          <wp:positionV relativeFrom="page">
            <wp:posOffset>9620250</wp:posOffset>
          </wp:positionV>
          <wp:extent cx="7559040" cy="1060450"/>
          <wp:effectExtent l="0" t="0" r="381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260F">
      <w:t>Version 3. December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2D92" w14:textId="77777777" w:rsidR="0025669E" w:rsidRDefault="0025669E" w:rsidP="0051568D">
    <w:pPr>
      <w:pStyle w:val="DHHSfooter"/>
    </w:pPr>
  </w:p>
  <w:p w14:paraId="604495F9" w14:textId="77777777" w:rsidR="0025669E" w:rsidRDefault="0025669E" w:rsidP="0051568D">
    <w:pPr>
      <w:pStyle w:val="DHHSfooter"/>
    </w:pPr>
  </w:p>
  <w:p w14:paraId="097320C4" w14:textId="1B853539" w:rsidR="009D70A4" w:rsidRPr="00A11421" w:rsidRDefault="00391E40" w:rsidP="0051568D">
    <w:pPr>
      <w:pStyle w:val="DHHSfooter"/>
    </w:pPr>
    <w:r>
      <w:rPr>
        <w:noProof/>
        <w:lang w:eastAsia="en-AU"/>
      </w:rPr>
      <w:drawing>
        <wp:anchor distT="0" distB="0" distL="114300" distR="114300" simplePos="0" relativeHeight="251657728" behindDoc="1" locked="1" layoutInCell="1" allowOverlap="1" wp14:anchorId="06EEDB51" wp14:editId="36DA277C">
          <wp:simplePos x="0" y="0"/>
          <wp:positionH relativeFrom="page">
            <wp:posOffset>13335</wp:posOffset>
          </wp:positionH>
          <wp:positionV relativeFrom="page">
            <wp:posOffset>9610090</wp:posOffset>
          </wp:positionV>
          <wp:extent cx="7559040" cy="1060450"/>
          <wp:effectExtent l="0" t="0" r="381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669E">
      <w:t>Version 3.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6884A" w14:textId="77777777" w:rsidR="00033F5F" w:rsidRDefault="00033F5F" w:rsidP="002862F1">
      <w:pPr>
        <w:spacing w:before="120"/>
      </w:pPr>
      <w:r>
        <w:separator/>
      </w:r>
    </w:p>
  </w:footnote>
  <w:footnote w:type="continuationSeparator" w:id="0">
    <w:p w14:paraId="6D52CC55" w14:textId="77777777" w:rsidR="00033F5F" w:rsidRDefault="0003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79680" w14:textId="6B24A269" w:rsidR="001A46EA" w:rsidRDefault="0014001A">
    <w:pPr>
      <w:pStyle w:val="Header"/>
    </w:pPr>
    <w:r>
      <w:rPr>
        <w:noProof/>
      </w:rPr>
      <w:drawing>
        <wp:anchor distT="0" distB="0" distL="114300" distR="114300" simplePos="0" relativeHeight="251661824" behindDoc="1" locked="1" layoutInCell="1" allowOverlap="1" wp14:anchorId="7777925F" wp14:editId="606366C3">
          <wp:simplePos x="0" y="0"/>
          <wp:positionH relativeFrom="page">
            <wp:posOffset>-2540</wp:posOffset>
          </wp:positionH>
          <wp:positionV relativeFrom="page">
            <wp:posOffset>-635</wp:posOffset>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59675"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4509873"/>
      <w:docPartObj>
        <w:docPartGallery w:val="Watermarks"/>
        <w:docPartUnique/>
      </w:docPartObj>
    </w:sdtPr>
    <w:sdtEndPr/>
    <w:sdtContent>
      <w:p w14:paraId="0C482DFE" w14:textId="5D2B8214" w:rsidR="009D70A4" w:rsidRPr="0051568D" w:rsidRDefault="00E767E9" w:rsidP="0051568D">
        <w:pPr>
          <w:pStyle w:val="DHHSheader"/>
        </w:pPr>
        <w:r>
          <w:rPr>
            <w:noProof/>
            <w:lang w:val="en-US"/>
          </w:rPr>
          <w:pict w14:anchorId="62CFD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493FC0">
          <w:rPr>
            <w:noProof/>
          </w:rPr>
          <w:drawing>
            <wp:anchor distT="0" distB="0" distL="114300" distR="114300" simplePos="0" relativeHeight="251663872" behindDoc="1" locked="1" layoutInCell="1" allowOverlap="1" wp14:anchorId="4572B0F8" wp14:editId="4315D005">
              <wp:simplePos x="0" y="0"/>
              <wp:positionH relativeFrom="page">
                <wp:posOffset>0</wp:posOffset>
              </wp:positionH>
              <wp:positionV relativeFrom="page">
                <wp:posOffset>-1905</wp:posOffset>
              </wp:positionV>
              <wp:extent cx="10687685" cy="141351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687685" cy="1413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434407"/>
      <w:docPartObj>
        <w:docPartGallery w:val="Watermarks"/>
        <w:docPartUnique/>
      </w:docPartObj>
    </w:sdtPr>
    <w:sdtEndPr/>
    <w:sdtContent>
      <w:p w14:paraId="08D35FE6" w14:textId="16C2CA71" w:rsidR="0025669E" w:rsidRPr="0051568D" w:rsidRDefault="00E767E9" w:rsidP="0051568D">
        <w:pPr>
          <w:pStyle w:val="DHHSheader"/>
        </w:pPr>
        <w:r>
          <w:rPr>
            <w:noProof/>
            <w:lang w:val="en-US"/>
          </w:rPr>
          <w:pict w14:anchorId="14678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61.85pt;height:197.95pt;rotation:315;z-index:-25164953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25669E">
          <w:rPr>
            <w:noProof/>
          </w:rPr>
          <w:drawing>
            <wp:anchor distT="0" distB="0" distL="114300" distR="114300" simplePos="0" relativeHeight="251668992" behindDoc="1" locked="1" layoutInCell="1" allowOverlap="1" wp14:anchorId="5B7F8C24" wp14:editId="029611B5">
              <wp:simplePos x="0" y="0"/>
              <wp:positionH relativeFrom="page">
                <wp:posOffset>6350</wp:posOffset>
              </wp:positionH>
              <wp:positionV relativeFrom="page">
                <wp:posOffset>-11430</wp:posOffset>
              </wp:positionV>
              <wp:extent cx="7559675" cy="1419225"/>
              <wp:effectExtent l="0" t="0" r="3175" b="0"/>
              <wp:wrapNone/>
              <wp:docPr id="2064404208" name="Picture 2064404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59675"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BFD6F758"/>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D9A5BE1"/>
    <w:multiLevelType w:val="hybridMultilevel"/>
    <w:tmpl w:val="19B48BE0"/>
    <w:lvl w:ilvl="0" w:tplc="0D60A03E">
      <w:numFmt w:val="bullet"/>
      <w:lvlText w:val="-"/>
      <w:lvlJc w:val="left"/>
      <w:pPr>
        <w:ind w:left="405" w:hanging="360"/>
      </w:pPr>
      <w:rPr>
        <w:rFonts w:ascii="Calibri" w:eastAsiaTheme="minorHAnsi" w:hAnsi="Calibri" w:cstheme="minorBidi" w:hint="default"/>
        <w:color w:val="auto"/>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15:restartNumberingAfterBreak="0">
    <w:nsid w:val="22541D9D"/>
    <w:multiLevelType w:val="hybridMultilevel"/>
    <w:tmpl w:val="88466F9A"/>
    <w:lvl w:ilvl="0" w:tplc="0C090001">
      <w:start w:val="1"/>
      <w:numFmt w:val="bullet"/>
      <w:lvlText w:val=""/>
      <w:lvlJc w:val="left"/>
      <w:pPr>
        <w:ind w:left="1876" w:hanging="360"/>
      </w:pPr>
      <w:rPr>
        <w:rFonts w:ascii="Symbol" w:hAnsi="Symbol" w:hint="default"/>
      </w:rPr>
    </w:lvl>
    <w:lvl w:ilvl="1" w:tplc="0C090003">
      <w:start w:val="1"/>
      <w:numFmt w:val="bullet"/>
      <w:lvlText w:val="o"/>
      <w:lvlJc w:val="left"/>
      <w:pPr>
        <w:ind w:left="2596" w:hanging="360"/>
      </w:pPr>
      <w:rPr>
        <w:rFonts w:ascii="Courier New" w:hAnsi="Courier New" w:cs="Courier New" w:hint="default"/>
      </w:rPr>
    </w:lvl>
    <w:lvl w:ilvl="2" w:tplc="0C090005">
      <w:start w:val="1"/>
      <w:numFmt w:val="bullet"/>
      <w:lvlText w:val=""/>
      <w:lvlJc w:val="left"/>
      <w:pPr>
        <w:ind w:left="3316" w:hanging="360"/>
      </w:pPr>
      <w:rPr>
        <w:rFonts w:ascii="Wingdings" w:hAnsi="Wingdings" w:hint="default"/>
      </w:rPr>
    </w:lvl>
    <w:lvl w:ilvl="3" w:tplc="0C090001">
      <w:start w:val="1"/>
      <w:numFmt w:val="bullet"/>
      <w:lvlText w:val=""/>
      <w:lvlJc w:val="left"/>
      <w:pPr>
        <w:ind w:left="4036" w:hanging="360"/>
      </w:pPr>
      <w:rPr>
        <w:rFonts w:ascii="Symbol" w:hAnsi="Symbol" w:hint="default"/>
      </w:rPr>
    </w:lvl>
    <w:lvl w:ilvl="4" w:tplc="0C090003">
      <w:start w:val="1"/>
      <w:numFmt w:val="bullet"/>
      <w:lvlText w:val="o"/>
      <w:lvlJc w:val="left"/>
      <w:pPr>
        <w:ind w:left="4756" w:hanging="360"/>
      </w:pPr>
      <w:rPr>
        <w:rFonts w:ascii="Courier New" w:hAnsi="Courier New" w:cs="Courier New" w:hint="default"/>
      </w:rPr>
    </w:lvl>
    <w:lvl w:ilvl="5" w:tplc="0C090005" w:tentative="1">
      <w:start w:val="1"/>
      <w:numFmt w:val="bullet"/>
      <w:lvlText w:val=""/>
      <w:lvlJc w:val="left"/>
      <w:pPr>
        <w:ind w:left="5476" w:hanging="360"/>
      </w:pPr>
      <w:rPr>
        <w:rFonts w:ascii="Wingdings" w:hAnsi="Wingdings" w:hint="default"/>
      </w:rPr>
    </w:lvl>
    <w:lvl w:ilvl="6" w:tplc="0C090001" w:tentative="1">
      <w:start w:val="1"/>
      <w:numFmt w:val="bullet"/>
      <w:lvlText w:val=""/>
      <w:lvlJc w:val="left"/>
      <w:pPr>
        <w:ind w:left="6196" w:hanging="360"/>
      </w:pPr>
      <w:rPr>
        <w:rFonts w:ascii="Symbol" w:hAnsi="Symbol" w:hint="default"/>
      </w:rPr>
    </w:lvl>
    <w:lvl w:ilvl="7" w:tplc="0C090003" w:tentative="1">
      <w:start w:val="1"/>
      <w:numFmt w:val="bullet"/>
      <w:lvlText w:val="o"/>
      <w:lvlJc w:val="left"/>
      <w:pPr>
        <w:ind w:left="6916" w:hanging="360"/>
      </w:pPr>
      <w:rPr>
        <w:rFonts w:ascii="Courier New" w:hAnsi="Courier New" w:cs="Courier New" w:hint="default"/>
      </w:rPr>
    </w:lvl>
    <w:lvl w:ilvl="8" w:tplc="0C090005" w:tentative="1">
      <w:start w:val="1"/>
      <w:numFmt w:val="bullet"/>
      <w:lvlText w:val=""/>
      <w:lvlJc w:val="left"/>
      <w:pPr>
        <w:ind w:left="7636" w:hanging="360"/>
      </w:pPr>
      <w:rPr>
        <w:rFonts w:ascii="Wingdings" w:hAnsi="Wingdings" w:hint="default"/>
      </w:rPr>
    </w:lvl>
  </w:abstractNum>
  <w:abstractNum w:abstractNumId="6" w15:restartNumberingAfterBreak="0">
    <w:nsid w:val="28BF71D6"/>
    <w:multiLevelType w:val="hybridMultilevel"/>
    <w:tmpl w:val="8856D8A6"/>
    <w:lvl w:ilvl="0" w:tplc="D180B6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EE7025C"/>
    <w:multiLevelType w:val="hybridMultilevel"/>
    <w:tmpl w:val="747C473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7B96CDA"/>
    <w:multiLevelType w:val="multilevel"/>
    <w:tmpl w:val="A22CD8F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BFD6F758"/>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71922C1"/>
    <w:multiLevelType w:val="hybridMultilevel"/>
    <w:tmpl w:val="23024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0D9021F"/>
    <w:multiLevelType w:val="hybridMultilevel"/>
    <w:tmpl w:val="2B5CE0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2C12CD4"/>
    <w:multiLevelType w:val="hybridMultilevel"/>
    <w:tmpl w:val="FD2C4D4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730D7E3C"/>
    <w:multiLevelType w:val="hybridMultilevel"/>
    <w:tmpl w:val="89FE3A86"/>
    <w:lvl w:ilvl="0" w:tplc="5BFEA294">
      <w:start w:val="1"/>
      <w:numFmt w:val="lowerLetter"/>
      <w:lvlText w:val="%1."/>
      <w:lvlJc w:val="left"/>
      <w:pPr>
        <w:ind w:left="1079" w:hanging="360"/>
      </w:pPr>
      <w:rPr>
        <w:rFonts w:hint="default"/>
      </w:rPr>
    </w:lvl>
    <w:lvl w:ilvl="1" w:tplc="0C090019" w:tentative="1">
      <w:start w:val="1"/>
      <w:numFmt w:val="lowerLetter"/>
      <w:lvlText w:val="%2."/>
      <w:lvlJc w:val="left"/>
      <w:pPr>
        <w:ind w:left="1799" w:hanging="360"/>
      </w:pPr>
    </w:lvl>
    <w:lvl w:ilvl="2" w:tplc="0C09001B" w:tentative="1">
      <w:start w:val="1"/>
      <w:numFmt w:val="lowerRoman"/>
      <w:lvlText w:val="%3."/>
      <w:lvlJc w:val="right"/>
      <w:pPr>
        <w:ind w:left="2519" w:hanging="180"/>
      </w:pPr>
    </w:lvl>
    <w:lvl w:ilvl="3" w:tplc="0C09000F" w:tentative="1">
      <w:start w:val="1"/>
      <w:numFmt w:val="decimal"/>
      <w:lvlText w:val="%4."/>
      <w:lvlJc w:val="left"/>
      <w:pPr>
        <w:ind w:left="3239" w:hanging="360"/>
      </w:pPr>
    </w:lvl>
    <w:lvl w:ilvl="4" w:tplc="0C090019" w:tentative="1">
      <w:start w:val="1"/>
      <w:numFmt w:val="lowerLetter"/>
      <w:lvlText w:val="%5."/>
      <w:lvlJc w:val="left"/>
      <w:pPr>
        <w:ind w:left="3959" w:hanging="360"/>
      </w:pPr>
    </w:lvl>
    <w:lvl w:ilvl="5" w:tplc="0C09001B" w:tentative="1">
      <w:start w:val="1"/>
      <w:numFmt w:val="lowerRoman"/>
      <w:lvlText w:val="%6."/>
      <w:lvlJc w:val="right"/>
      <w:pPr>
        <w:ind w:left="4679" w:hanging="180"/>
      </w:pPr>
    </w:lvl>
    <w:lvl w:ilvl="6" w:tplc="0C09000F" w:tentative="1">
      <w:start w:val="1"/>
      <w:numFmt w:val="decimal"/>
      <w:lvlText w:val="%7."/>
      <w:lvlJc w:val="left"/>
      <w:pPr>
        <w:ind w:left="5399" w:hanging="360"/>
      </w:pPr>
    </w:lvl>
    <w:lvl w:ilvl="7" w:tplc="0C090019" w:tentative="1">
      <w:start w:val="1"/>
      <w:numFmt w:val="lowerLetter"/>
      <w:lvlText w:val="%8."/>
      <w:lvlJc w:val="left"/>
      <w:pPr>
        <w:ind w:left="6119" w:hanging="360"/>
      </w:pPr>
    </w:lvl>
    <w:lvl w:ilvl="8" w:tplc="0C09001B" w:tentative="1">
      <w:start w:val="1"/>
      <w:numFmt w:val="lowerRoman"/>
      <w:lvlText w:val="%9."/>
      <w:lvlJc w:val="right"/>
      <w:pPr>
        <w:ind w:left="6839" w:hanging="180"/>
      </w:pPr>
    </w:lvl>
  </w:abstractNum>
  <w:num w:numId="1" w16cid:durableId="1375078662">
    <w:abstractNumId w:val="0"/>
  </w:num>
  <w:num w:numId="2" w16cid:durableId="2114350436">
    <w:abstractNumId w:val="9"/>
  </w:num>
  <w:num w:numId="3" w16cid:durableId="1216430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0834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41050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58722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5432390">
    <w:abstractNumId w:val="12"/>
  </w:num>
  <w:num w:numId="8" w16cid:durableId="1664697501">
    <w:abstractNumId w:val="8"/>
  </w:num>
  <w:num w:numId="9" w16cid:durableId="2141411444">
    <w:abstractNumId w:val="11"/>
  </w:num>
  <w:num w:numId="10" w16cid:durableId="1066534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9439842">
    <w:abstractNumId w:val="14"/>
  </w:num>
  <w:num w:numId="12" w16cid:durableId="227690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7367013">
    <w:abstractNumId w:val="10"/>
  </w:num>
  <w:num w:numId="14" w16cid:durableId="1963339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7659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2672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760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104262">
    <w:abstractNumId w:val="15"/>
  </w:num>
  <w:num w:numId="19" w16cid:durableId="635716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6417013">
    <w:abstractNumId w:val="3"/>
  </w:num>
  <w:num w:numId="21" w16cid:durableId="588662419">
    <w:abstractNumId w:val="1"/>
  </w:num>
  <w:num w:numId="22" w16cid:durableId="270630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9607938">
    <w:abstractNumId w:val="5"/>
  </w:num>
  <w:num w:numId="24" w16cid:durableId="1992708784">
    <w:abstractNumId w:val="16"/>
  </w:num>
  <w:num w:numId="25" w16cid:durableId="472596900">
    <w:abstractNumId w:val="13"/>
  </w:num>
  <w:num w:numId="26" w16cid:durableId="179394095">
    <w:abstractNumId w:val="4"/>
  </w:num>
  <w:num w:numId="27" w16cid:durableId="552696833">
    <w:abstractNumId w:val="6"/>
  </w:num>
  <w:num w:numId="28" w16cid:durableId="1084760412">
    <w:abstractNumId w:val="18"/>
  </w:num>
  <w:num w:numId="29" w16cid:durableId="881407943">
    <w:abstractNumId w:val="17"/>
  </w:num>
  <w:num w:numId="30" w16cid:durableId="130608516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5F"/>
    <w:rsid w:val="000072B6"/>
    <w:rsid w:val="0001021B"/>
    <w:rsid w:val="00011D89"/>
    <w:rsid w:val="000154FD"/>
    <w:rsid w:val="00024D89"/>
    <w:rsid w:val="000250B6"/>
    <w:rsid w:val="00033D81"/>
    <w:rsid w:val="00033F5F"/>
    <w:rsid w:val="00041BF0"/>
    <w:rsid w:val="0004536B"/>
    <w:rsid w:val="00046B68"/>
    <w:rsid w:val="000527DD"/>
    <w:rsid w:val="000548A1"/>
    <w:rsid w:val="000578B2"/>
    <w:rsid w:val="00060959"/>
    <w:rsid w:val="000663CD"/>
    <w:rsid w:val="00073087"/>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0F6E38"/>
    <w:rsid w:val="0010392D"/>
    <w:rsid w:val="0010447F"/>
    <w:rsid w:val="00104FE3"/>
    <w:rsid w:val="00120BD3"/>
    <w:rsid w:val="00122FEA"/>
    <w:rsid w:val="001232BD"/>
    <w:rsid w:val="00124ED5"/>
    <w:rsid w:val="001276FA"/>
    <w:rsid w:val="0014001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A46EA"/>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9CD"/>
    <w:rsid w:val="00210A92"/>
    <w:rsid w:val="00216C03"/>
    <w:rsid w:val="00220C04"/>
    <w:rsid w:val="00222495"/>
    <w:rsid w:val="0022278D"/>
    <w:rsid w:val="0022701F"/>
    <w:rsid w:val="002333F5"/>
    <w:rsid w:val="00233724"/>
    <w:rsid w:val="002432E1"/>
    <w:rsid w:val="00246207"/>
    <w:rsid w:val="00246C5E"/>
    <w:rsid w:val="00251343"/>
    <w:rsid w:val="002536A4"/>
    <w:rsid w:val="00254F58"/>
    <w:rsid w:val="0025669E"/>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3AE"/>
    <w:rsid w:val="003418CC"/>
    <w:rsid w:val="003459BD"/>
    <w:rsid w:val="00350D38"/>
    <w:rsid w:val="00351B36"/>
    <w:rsid w:val="00357B4E"/>
    <w:rsid w:val="003716FD"/>
    <w:rsid w:val="0037204B"/>
    <w:rsid w:val="003744CF"/>
    <w:rsid w:val="00374717"/>
    <w:rsid w:val="0037676C"/>
    <w:rsid w:val="00381043"/>
    <w:rsid w:val="003829E5"/>
    <w:rsid w:val="00391E40"/>
    <w:rsid w:val="003956CC"/>
    <w:rsid w:val="00395C9A"/>
    <w:rsid w:val="003A6B67"/>
    <w:rsid w:val="003B13B6"/>
    <w:rsid w:val="003B15E6"/>
    <w:rsid w:val="003C08A2"/>
    <w:rsid w:val="003C1496"/>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06F3"/>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3FC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0C37"/>
    <w:rsid w:val="005126D0"/>
    <w:rsid w:val="0051568D"/>
    <w:rsid w:val="00525BE1"/>
    <w:rsid w:val="00526C15"/>
    <w:rsid w:val="00536499"/>
    <w:rsid w:val="00543903"/>
    <w:rsid w:val="00543F11"/>
    <w:rsid w:val="00546305"/>
    <w:rsid w:val="00547A95"/>
    <w:rsid w:val="00572031"/>
    <w:rsid w:val="00572282"/>
    <w:rsid w:val="00576E84"/>
    <w:rsid w:val="00582B8C"/>
    <w:rsid w:val="0058444D"/>
    <w:rsid w:val="0058757E"/>
    <w:rsid w:val="00594305"/>
    <w:rsid w:val="00596A4B"/>
    <w:rsid w:val="00597507"/>
    <w:rsid w:val="005A2DD8"/>
    <w:rsid w:val="005B1C6D"/>
    <w:rsid w:val="005B21B6"/>
    <w:rsid w:val="005B3A08"/>
    <w:rsid w:val="005B7A63"/>
    <w:rsid w:val="005C0955"/>
    <w:rsid w:val="005C49DA"/>
    <w:rsid w:val="005C50F3"/>
    <w:rsid w:val="005C54B5"/>
    <w:rsid w:val="005C5D80"/>
    <w:rsid w:val="005C5D91"/>
    <w:rsid w:val="005D07B8"/>
    <w:rsid w:val="005D0CAA"/>
    <w:rsid w:val="005D6597"/>
    <w:rsid w:val="005E14E7"/>
    <w:rsid w:val="005E26A3"/>
    <w:rsid w:val="005E447E"/>
    <w:rsid w:val="005F0775"/>
    <w:rsid w:val="005F0CF5"/>
    <w:rsid w:val="005F21EB"/>
    <w:rsid w:val="005F2CF5"/>
    <w:rsid w:val="00605908"/>
    <w:rsid w:val="00610D7C"/>
    <w:rsid w:val="00613414"/>
    <w:rsid w:val="00620154"/>
    <w:rsid w:val="006220BF"/>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164B"/>
    <w:rsid w:val="0068454C"/>
    <w:rsid w:val="00691B62"/>
    <w:rsid w:val="006933B5"/>
    <w:rsid w:val="00693D14"/>
    <w:rsid w:val="006A18C2"/>
    <w:rsid w:val="006B077C"/>
    <w:rsid w:val="006B6803"/>
    <w:rsid w:val="006C101B"/>
    <w:rsid w:val="006D0F16"/>
    <w:rsid w:val="006D2A3F"/>
    <w:rsid w:val="006D2FBC"/>
    <w:rsid w:val="006E138B"/>
    <w:rsid w:val="006F1FDC"/>
    <w:rsid w:val="006F6B8C"/>
    <w:rsid w:val="007013EF"/>
    <w:rsid w:val="007173CA"/>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2B28"/>
    <w:rsid w:val="00754CD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05F"/>
    <w:rsid w:val="00820141"/>
    <w:rsid w:val="00820E0C"/>
    <w:rsid w:val="0082366F"/>
    <w:rsid w:val="008338A2"/>
    <w:rsid w:val="00841AA9"/>
    <w:rsid w:val="0085182B"/>
    <w:rsid w:val="00853EE4"/>
    <w:rsid w:val="00854079"/>
    <w:rsid w:val="00855535"/>
    <w:rsid w:val="00857C5A"/>
    <w:rsid w:val="0086255E"/>
    <w:rsid w:val="008633F0"/>
    <w:rsid w:val="00867D9D"/>
    <w:rsid w:val="00872E0A"/>
    <w:rsid w:val="00875285"/>
    <w:rsid w:val="00882EBD"/>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33FD"/>
    <w:rsid w:val="0097559F"/>
    <w:rsid w:val="009853E1"/>
    <w:rsid w:val="00986E6B"/>
    <w:rsid w:val="00991769"/>
    <w:rsid w:val="00994386"/>
    <w:rsid w:val="009A13D8"/>
    <w:rsid w:val="009A279E"/>
    <w:rsid w:val="009A4E24"/>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2260F"/>
    <w:rsid w:val="00A330BB"/>
    <w:rsid w:val="00A44882"/>
    <w:rsid w:val="00A469D7"/>
    <w:rsid w:val="00A54715"/>
    <w:rsid w:val="00A6061C"/>
    <w:rsid w:val="00A62D44"/>
    <w:rsid w:val="00A67263"/>
    <w:rsid w:val="00A7161C"/>
    <w:rsid w:val="00A77AA3"/>
    <w:rsid w:val="00A854EB"/>
    <w:rsid w:val="00A872E5"/>
    <w:rsid w:val="00A91406"/>
    <w:rsid w:val="00A96E65"/>
    <w:rsid w:val="00A97C72"/>
    <w:rsid w:val="00A97E77"/>
    <w:rsid w:val="00AA63D4"/>
    <w:rsid w:val="00AB06E8"/>
    <w:rsid w:val="00AB1CD3"/>
    <w:rsid w:val="00AB352F"/>
    <w:rsid w:val="00AC274B"/>
    <w:rsid w:val="00AC4764"/>
    <w:rsid w:val="00AC6D36"/>
    <w:rsid w:val="00AC6D57"/>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00F"/>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5E4E"/>
    <w:rsid w:val="00BB7A10"/>
    <w:rsid w:val="00BC7468"/>
    <w:rsid w:val="00BC7D4F"/>
    <w:rsid w:val="00BC7ED7"/>
    <w:rsid w:val="00BD1E77"/>
    <w:rsid w:val="00BD2850"/>
    <w:rsid w:val="00BD360B"/>
    <w:rsid w:val="00BE2669"/>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6FD0"/>
    <w:rsid w:val="00CA782F"/>
    <w:rsid w:val="00CB3285"/>
    <w:rsid w:val="00CC0C72"/>
    <w:rsid w:val="00CC2BFD"/>
    <w:rsid w:val="00CD1F98"/>
    <w:rsid w:val="00CD3476"/>
    <w:rsid w:val="00CD3CA0"/>
    <w:rsid w:val="00CD4223"/>
    <w:rsid w:val="00CD64DF"/>
    <w:rsid w:val="00CF2F50"/>
    <w:rsid w:val="00CF6198"/>
    <w:rsid w:val="00D02919"/>
    <w:rsid w:val="00D04C61"/>
    <w:rsid w:val="00D05B8D"/>
    <w:rsid w:val="00D065A2"/>
    <w:rsid w:val="00D07F00"/>
    <w:rsid w:val="00D17B72"/>
    <w:rsid w:val="00D3185C"/>
    <w:rsid w:val="00D3318E"/>
    <w:rsid w:val="00D33E72"/>
    <w:rsid w:val="00D351B1"/>
    <w:rsid w:val="00D35BD6"/>
    <w:rsid w:val="00D361B5"/>
    <w:rsid w:val="00D37223"/>
    <w:rsid w:val="00D411A2"/>
    <w:rsid w:val="00D4606D"/>
    <w:rsid w:val="00D50B9C"/>
    <w:rsid w:val="00D52D73"/>
    <w:rsid w:val="00D52E58"/>
    <w:rsid w:val="00D56B20"/>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5E51"/>
    <w:rsid w:val="00DD6628"/>
    <w:rsid w:val="00DD6945"/>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767E9"/>
    <w:rsid w:val="00E80DE3"/>
    <w:rsid w:val="00E82C55"/>
    <w:rsid w:val="00E83EAC"/>
    <w:rsid w:val="00E92AC3"/>
    <w:rsid w:val="00EB00E0"/>
    <w:rsid w:val="00EC059F"/>
    <w:rsid w:val="00EC1F24"/>
    <w:rsid w:val="00EC22F6"/>
    <w:rsid w:val="00ED5B9B"/>
    <w:rsid w:val="00ED6BAD"/>
    <w:rsid w:val="00ED7447"/>
    <w:rsid w:val="00EE1488"/>
    <w:rsid w:val="00EE3E24"/>
    <w:rsid w:val="00EE4D5D"/>
    <w:rsid w:val="00EE5131"/>
    <w:rsid w:val="00EF109B"/>
    <w:rsid w:val="00EF36AF"/>
    <w:rsid w:val="00F00652"/>
    <w:rsid w:val="00F00F9C"/>
    <w:rsid w:val="00F01E5F"/>
    <w:rsid w:val="00F02ABA"/>
    <w:rsid w:val="00F0437A"/>
    <w:rsid w:val="00F0527C"/>
    <w:rsid w:val="00F11037"/>
    <w:rsid w:val="00F16F1B"/>
    <w:rsid w:val="00F250A9"/>
    <w:rsid w:val="00F30FF4"/>
    <w:rsid w:val="00F3122E"/>
    <w:rsid w:val="00F331AD"/>
    <w:rsid w:val="00F35287"/>
    <w:rsid w:val="00F43A37"/>
    <w:rsid w:val="00F4641B"/>
    <w:rsid w:val="00F46EB8"/>
    <w:rsid w:val="00F50CD1"/>
    <w:rsid w:val="00F51136"/>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97DC7"/>
    <w:rsid w:val="00FA2C46"/>
    <w:rsid w:val="00FA3525"/>
    <w:rsid w:val="00FA5A53"/>
    <w:rsid w:val="00FB0B93"/>
    <w:rsid w:val="00FB4769"/>
    <w:rsid w:val="00FB4CDA"/>
    <w:rsid w:val="00FC0F81"/>
    <w:rsid w:val="00FC395C"/>
    <w:rsid w:val="00FD3766"/>
    <w:rsid w:val="00FD47C4"/>
    <w:rsid w:val="00FD67C0"/>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D98D46E"/>
  <w15:docId w15:val="{E6C80BC7-382C-4B79-9E99-C34AA92F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006F3"/>
    <w:rPr>
      <w:rFonts w:ascii="Cambria" w:hAnsi="Cambria"/>
      <w:lang w:eastAsia="en-US"/>
    </w:rPr>
  </w:style>
  <w:style w:type="paragraph" w:styleId="Heading1">
    <w:name w:val="heading 1"/>
    <w:next w:val="DHHSbody"/>
    <w:link w:val="Heading1Char"/>
    <w:uiPriority w:val="1"/>
    <w:qFormat/>
    <w:rsid w:val="00D351B1"/>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D351B1"/>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351B1"/>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D351B1"/>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351B1"/>
    <w:pPr>
      <w:spacing w:before="0" w:after="200"/>
      <w:outlineLvl w:val="9"/>
    </w:pPr>
  </w:style>
  <w:style w:type="character" w:customStyle="1" w:styleId="DHHSTOCheadingfactsheetChar">
    <w:name w:val="DHHS TOC heading fact sheet Char"/>
    <w:link w:val="DHHSTOCheadingfactsheet"/>
    <w:uiPriority w:val="4"/>
    <w:rsid w:val="00D351B1"/>
    <w:rPr>
      <w:rFonts w:ascii="Arial" w:hAnsi="Arial"/>
      <w:b/>
      <w:color w:val="D50032"/>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1A46EA"/>
    <w:pPr>
      <w:spacing w:line="560" w:lineRule="atLeast"/>
    </w:pPr>
    <w:rPr>
      <w:rFonts w:ascii="Arial" w:hAnsi="Arial"/>
      <w:color w:val="D50032"/>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D351B1"/>
    <w:pPr>
      <w:spacing w:before="80" w:after="60"/>
    </w:pPr>
    <w:rPr>
      <w:rFonts w:ascii="Arial" w:hAnsi="Arial"/>
      <w:b/>
      <w:color w:val="D50032"/>
      <w:lang w:eastAsia="en-US"/>
    </w:rPr>
  </w:style>
  <w:style w:type="paragraph" w:customStyle="1" w:styleId="DHHSbulletafternumbers1">
    <w:name w:val="DHHS bullet after numbers 1"/>
    <w:basedOn w:val="DHHSbody"/>
    <w:uiPriority w:val="4"/>
    <w:rsid w:val="004006F3"/>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FB0B93"/>
    <w:rPr>
      <w:rFonts w:ascii="Arial" w:hAnsi="Arial"/>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4006F3"/>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4006F3"/>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4006F3"/>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table" w:customStyle="1" w:styleId="TableGrid1">
    <w:name w:val="Table Grid1"/>
    <w:basedOn w:val="TableNormal"/>
    <w:next w:val="TableGrid"/>
    <w:uiPriority w:val="59"/>
    <w:rsid w:val="00754C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1E77"/>
    <w:rPr>
      <w:sz w:val="16"/>
      <w:szCs w:val="16"/>
    </w:rPr>
  </w:style>
  <w:style w:type="paragraph" w:styleId="CommentText">
    <w:name w:val="annotation text"/>
    <w:basedOn w:val="Normal"/>
    <w:link w:val="CommentTextChar"/>
    <w:uiPriority w:val="99"/>
    <w:semiHidden/>
    <w:unhideWhenUsed/>
    <w:rsid w:val="00BD1E77"/>
  </w:style>
  <w:style w:type="character" w:customStyle="1" w:styleId="CommentTextChar">
    <w:name w:val="Comment Text Char"/>
    <w:basedOn w:val="DefaultParagraphFont"/>
    <w:link w:val="CommentText"/>
    <w:uiPriority w:val="99"/>
    <w:semiHidden/>
    <w:rsid w:val="00BD1E7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D1E77"/>
    <w:rPr>
      <w:b/>
      <w:bCs/>
    </w:rPr>
  </w:style>
  <w:style w:type="character" w:customStyle="1" w:styleId="CommentSubjectChar">
    <w:name w:val="Comment Subject Char"/>
    <w:basedOn w:val="CommentTextChar"/>
    <w:link w:val="CommentSubject"/>
    <w:uiPriority w:val="99"/>
    <w:semiHidden/>
    <w:rsid w:val="00BD1E77"/>
    <w:rPr>
      <w:rFonts w:ascii="Cambria" w:hAnsi="Cambria"/>
      <w:b/>
      <w:bCs/>
      <w:lang w:eastAsia="en-US"/>
    </w:rPr>
  </w:style>
  <w:style w:type="paragraph" w:styleId="BalloonText">
    <w:name w:val="Balloon Text"/>
    <w:basedOn w:val="Normal"/>
    <w:link w:val="BalloonTextChar"/>
    <w:uiPriority w:val="99"/>
    <w:semiHidden/>
    <w:unhideWhenUsed/>
    <w:rsid w:val="00BD1E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E77"/>
    <w:rPr>
      <w:rFonts w:ascii="Segoe UI" w:hAnsi="Segoe UI" w:cs="Segoe UI"/>
      <w:sz w:val="18"/>
      <w:szCs w:val="18"/>
      <w:lang w:eastAsia="en-US"/>
    </w:rPr>
  </w:style>
  <w:style w:type="paragraph" w:styleId="ListParagraph">
    <w:name w:val="List Paragraph"/>
    <w:basedOn w:val="Normal"/>
    <w:uiPriority w:val="72"/>
    <w:semiHidden/>
    <w:qFormat/>
    <w:rsid w:val="0082005F"/>
    <w:pPr>
      <w:ind w:left="720"/>
      <w:contextualSpacing/>
    </w:pPr>
  </w:style>
  <w:style w:type="character" w:styleId="UnresolvedMention">
    <w:name w:val="Unresolved Mention"/>
    <w:basedOn w:val="DefaultParagraphFont"/>
    <w:uiPriority w:val="99"/>
    <w:semiHidden/>
    <w:unhideWhenUsed/>
    <w:rsid w:val="00493FC0"/>
    <w:rPr>
      <w:color w:val="605E5C"/>
      <w:shd w:val="clear" w:color="auto" w:fill="E1DFDD"/>
    </w:rPr>
  </w:style>
  <w:style w:type="paragraph" w:styleId="Revision">
    <w:name w:val="Revision"/>
    <w:hidden/>
    <w:uiPriority w:val="71"/>
    <w:semiHidden/>
    <w:rsid w:val="00493FC0"/>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bloodmatters@redcrossblood.org.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tyandquality.gov.au/sites/default/files/2019-04/National-Safety-and-Quality-Health-Service-Standards-second-editio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E405CA6F9693488D9674FA4F0A9158" ma:contentTypeVersion="7" ma:contentTypeDescription="Create a new document." ma:contentTypeScope="" ma:versionID="8fdf4caa8f6f9cc65d9a32efd458f0a3">
  <xsd:schema xmlns:xsd="http://www.w3.org/2001/XMLSchema" xmlns:xs="http://www.w3.org/2001/XMLSchema" xmlns:p="http://schemas.microsoft.com/office/2006/metadata/properties" xmlns:ns3="e3200301-e2b6-4cc4-89b7-1e7f58048995" xmlns:ns4="bf55fcd6-6c7a-4506-a863-5446a9ada152" targetNamespace="http://schemas.microsoft.com/office/2006/metadata/properties" ma:root="true" ma:fieldsID="f85f8a49687edca164f1d7ce03bb7d7a" ns3:_="" ns4:_="">
    <xsd:import namespace="e3200301-e2b6-4cc4-89b7-1e7f58048995"/>
    <xsd:import namespace="bf55fcd6-6c7a-4506-a863-5446a9ada1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00301-e2b6-4cc4-89b7-1e7f58048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55fcd6-6c7a-4506-a863-5446a9ada1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A6F34-EAFB-41A1-BE59-B573002EC835}">
  <ds:schemaRefs>
    <ds:schemaRef ds:uri="http://purl.org/dc/elements/1.1/"/>
    <ds:schemaRef ds:uri="bf55fcd6-6c7a-4506-a863-5446a9ada152"/>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e3200301-e2b6-4cc4-89b7-1e7f58048995"/>
    <ds:schemaRef ds:uri="http://www.w3.org/XML/1998/namespace"/>
  </ds:schemaRefs>
</ds:datastoreItem>
</file>

<file path=customXml/itemProps2.xml><?xml version="1.0" encoding="utf-8"?>
<ds:datastoreItem xmlns:ds="http://schemas.openxmlformats.org/officeDocument/2006/customXml" ds:itemID="{868E8EDC-80A0-43F4-A831-C162144AE3CB}">
  <ds:schemaRefs>
    <ds:schemaRef ds:uri="http://schemas.openxmlformats.org/officeDocument/2006/bibliography"/>
  </ds:schemaRefs>
</ds:datastoreItem>
</file>

<file path=customXml/itemProps3.xml><?xml version="1.0" encoding="utf-8"?>
<ds:datastoreItem xmlns:ds="http://schemas.openxmlformats.org/officeDocument/2006/customXml" ds:itemID="{5C4689C1-1C2D-44D1-9C86-0A4B275B4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00301-e2b6-4cc4-89b7-1e7f58048995"/>
    <ds:schemaRef ds:uri="bf55fcd6-6c7a-4506-a863-5446a9ada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948E3-12BB-442C-9A1E-F39DA1216840}">
  <ds:schemaRefs>
    <ds:schemaRef ds:uri="http://schemas.microsoft.com/sharepoint/v3/contenttype/forms"/>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4278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DHHS Factsheet 06 Pink 199</vt:lpstr>
    </vt:vector>
  </TitlesOfParts>
  <Company>Department of Health and Human Services</Company>
  <LinksUpToDate>false</LinksUpToDate>
  <CharactersWithSpaces>4968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tool for CT ratio</dc:title>
  <dc:creator>Blood Matters</dc:creator>
  <cp:keywords>Audit tool CT ratio</cp:keywords>
  <cp:lastModifiedBy>Rae French</cp:lastModifiedBy>
  <cp:revision>2</cp:revision>
  <cp:lastPrinted>2017-07-07T00:32:00Z</cp:lastPrinted>
  <dcterms:created xsi:type="dcterms:W3CDTF">2024-12-10T06:49:00Z</dcterms:created>
  <dcterms:modified xsi:type="dcterms:W3CDTF">2024-12-10T06:49:00Z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0x01010092E405CA6F9693488D9674FA4F0A9158</vt:lpwstr>
  </property>
</Properties>
</file>