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FBE1C" w14:textId="77777777" w:rsidR="00056EC4" w:rsidRDefault="005860C6" w:rsidP="00056EC4">
      <w:pPr>
        <w:pStyle w:val="Body"/>
      </w:pPr>
      <w:r>
        <w:rPr>
          <w:noProof/>
        </w:rPr>
        <w:drawing>
          <wp:anchor distT="0" distB="0" distL="114300" distR="114300" simplePos="0" relativeHeight="251658240" behindDoc="1" locked="1" layoutInCell="1" allowOverlap="1" wp14:anchorId="70A24EE2" wp14:editId="1DB936C7">
            <wp:simplePos x="0" y="0"/>
            <wp:positionH relativeFrom="page">
              <wp:posOffset>0</wp:posOffset>
            </wp:positionH>
            <wp:positionV relativeFrom="page">
              <wp:posOffset>0</wp:posOffset>
            </wp:positionV>
            <wp:extent cx="7560000" cy="10152000"/>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650BF519" w14:textId="77777777" w:rsidTr="00431F42">
        <w:trPr>
          <w:cantSplit/>
        </w:trPr>
        <w:tc>
          <w:tcPr>
            <w:tcW w:w="0" w:type="auto"/>
            <w:tcMar>
              <w:top w:w="0" w:type="dxa"/>
              <w:left w:w="0" w:type="dxa"/>
              <w:right w:w="0" w:type="dxa"/>
            </w:tcMar>
          </w:tcPr>
          <w:p w14:paraId="17AD0E58" w14:textId="2854BA81" w:rsidR="00AD784C" w:rsidRPr="00431F42" w:rsidRDefault="00F74C99" w:rsidP="00431F42">
            <w:pPr>
              <w:pStyle w:val="Documenttitle"/>
            </w:pPr>
            <w:r>
              <w:t>Policy for maintenance pharmacotherapy for opioid dependence (addendum)</w:t>
            </w:r>
          </w:p>
        </w:tc>
      </w:tr>
      <w:tr w:rsidR="00AD784C" w14:paraId="5D7E93B9" w14:textId="77777777" w:rsidTr="00431F42">
        <w:trPr>
          <w:cantSplit/>
        </w:trPr>
        <w:tc>
          <w:tcPr>
            <w:tcW w:w="0" w:type="auto"/>
          </w:tcPr>
          <w:p w14:paraId="16C6A397" w14:textId="5E2F3E8F" w:rsidR="00386109" w:rsidRPr="00A1389F" w:rsidRDefault="00F74C99" w:rsidP="009315BE">
            <w:pPr>
              <w:pStyle w:val="Documentsubtitle"/>
            </w:pPr>
            <w:r>
              <w:t>Long-acting injectable buprenorphine</w:t>
            </w:r>
          </w:p>
        </w:tc>
      </w:tr>
      <w:tr w:rsidR="00430393" w14:paraId="0747075F" w14:textId="77777777" w:rsidTr="00431F42">
        <w:trPr>
          <w:cantSplit/>
        </w:trPr>
        <w:tc>
          <w:tcPr>
            <w:tcW w:w="0" w:type="auto"/>
          </w:tcPr>
          <w:p w14:paraId="5BF5FF11" w14:textId="77777777" w:rsidR="00430393" w:rsidRDefault="00F74C99" w:rsidP="00430393">
            <w:pPr>
              <w:pStyle w:val="Bannermarking"/>
            </w:pPr>
            <w:fldSimple w:instr=" FILLIN  &quot;Type the protective marking&quot; \d OFFICIAL \o  \* MERGEFORMAT ">
              <w:r>
                <w:t>OFFICIAL</w:t>
              </w:r>
            </w:fldSimple>
          </w:p>
        </w:tc>
      </w:tr>
    </w:tbl>
    <w:p w14:paraId="4AF272F8" w14:textId="77777777" w:rsidR="00FE4081" w:rsidRDefault="00FE4081" w:rsidP="00FE4081">
      <w:pPr>
        <w:pStyle w:val="Body"/>
      </w:pPr>
    </w:p>
    <w:p w14:paraId="52317B6B"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54125177" w14:textId="77777777" w:rsidTr="00562507">
        <w:trPr>
          <w:cantSplit/>
          <w:trHeight w:val="5103"/>
        </w:trPr>
        <w:tc>
          <w:tcPr>
            <w:tcW w:w="9288" w:type="dxa"/>
            <w:vAlign w:val="bottom"/>
          </w:tcPr>
          <w:p w14:paraId="04013601" w14:textId="77777777" w:rsidR="009F2182" w:rsidRPr="0055119B" w:rsidRDefault="009F2182" w:rsidP="009F2182">
            <w:pPr>
              <w:pStyle w:val="Imprint"/>
            </w:pPr>
            <w:r w:rsidRPr="0055119B">
              <w:lastRenderedPageBreak/>
              <w:t>Authorised and published by the Victorian Government, 1 Treasury Place, Melbourne.</w:t>
            </w:r>
          </w:p>
          <w:p w14:paraId="3D8189E6" w14:textId="64CBE86D" w:rsidR="009F2182" w:rsidRPr="0055119B" w:rsidRDefault="009F2182" w:rsidP="009F2182">
            <w:pPr>
              <w:pStyle w:val="Imprint"/>
            </w:pPr>
            <w:r w:rsidRPr="0055119B">
              <w:t xml:space="preserve">© State of Victoria, Australia, Department </w:t>
            </w:r>
            <w:r w:rsidRPr="001B058F">
              <w:t xml:space="preserve">of </w:t>
            </w:r>
            <w:r w:rsidR="00346848">
              <w:t>Health</w:t>
            </w:r>
            <w:r w:rsidRPr="0055119B">
              <w:t xml:space="preserve">, </w:t>
            </w:r>
            <w:r w:rsidR="00B31CC2">
              <w:t>March 2021</w:t>
            </w:r>
            <w:r w:rsidRPr="0055119B">
              <w:t>.</w:t>
            </w:r>
          </w:p>
          <w:p w14:paraId="24610BAB" w14:textId="5CAACD76" w:rsidR="009F2182" w:rsidRPr="0055119B" w:rsidRDefault="009F2182" w:rsidP="009F2182">
            <w:pPr>
              <w:pStyle w:val="Imprint"/>
            </w:pPr>
            <w:bookmarkStart w:id="0" w:name="_Hlk62746129"/>
            <w:r w:rsidRPr="0055119B">
              <w:t xml:space="preserve">ISBN </w:t>
            </w:r>
            <w:r w:rsidR="00B31CC2">
              <w:rPr>
                <w:rFonts w:cs="Arial"/>
                <w:color w:val="000000"/>
              </w:rPr>
              <w:t>978-1-76096-197-8</w:t>
            </w:r>
            <w:r w:rsidRPr="00E33237">
              <w:rPr>
                <w:color w:val="004C97"/>
              </w:rPr>
              <w:t xml:space="preserve"> </w:t>
            </w:r>
            <w:r w:rsidRPr="0055119B">
              <w:t>(online/PDF/Word)</w:t>
            </w:r>
          </w:p>
          <w:p w14:paraId="3A096627" w14:textId="62F6999A" w:rsidR="009F2182" w:rsidRPr="0055119B" w:rsidRDefault="009F2182" w:rsidP="009F2182">
            <w:pPr>
              <w:pStyle w:val="Imprint"/>
            </w:pPr>
            <w:r w:rsidRPr="0055119B">
              <w:t xml:space="preserve">Available at </w:t>
            </w:r>
            <w:r w:rsidR="007D1ED2">
              <w:t>Pharmacotherapy policy in Victoria</w:t>
            </w:r>
            <w:r w:rsidRPr="0055119B">
              <w:t xml:space="preserve"> &lt;</w:t>
            </w:r>
            <w:r w:rsidR="00461DC0" w:rsidRPr="00461DC0">
              <w:t>https://www.health.vic.gov.au/drugs-and-poisons/pharmacotherapy-policy-in-victoria</w:t>
            </w:r>
            <w:r w:rsidRPr="0055119B">
              <w:t>&gt;</w:t>
            </w:r>
          </w:p>
          <w:bookmarkEnd w:id="0"/>
          <w:p w14:paraId="15A0C781" w14:textId="557FDDAC" w:rsidR="009F2182" w:rsidRDefault="009F2182" w:rsidP="009F2182">
            <w:pPr>
              <w:pStyle w:val="Body"/>
            </w:pPr>
          </w:p>
        </w:tc>
      </w:tr>
      <w:tr w:rsidR="0008204A" w14:paraId="7BC7DFEA" w14:textId="77777777" w:rsidTr="0008204A">
        <w:trPr>
          <w:cantSplit/>
        </w:trPr>
        <w:tc>
          <w:tcPr>
            <w:tcW w:w="9288" w:type="dxa"/>
          </w:tcPr>
          <w:p w14:paraId="5DCC2582" w14:textId="77777777" w:rsidR="0008204A" w:rsidRPr="0055119B" w:rsidRDefault="0008204A" w:rsidP="0008204A">
            <w:pPr>
              <w:pStyle w:val="Body"/>
            </w:pPr>
          </w:p>
        </w:tc>
      </w:tr>
    </w:tbl>
    <w:p w14:paraId="3DE5FF3B" w14:textId="77777777" w:rsidR="0008204A" w:rsidRPr="0008204A" w:rsidRDefault="0008204A" w:rsidP="0008204A">
      <w:pPr>
        <w:pStyle w:val="Body"/>
      </w:pPr>
      <w:r w:rsidRPr="0008204A">
        <w:br w:type="page"/>
      </w:r>
    </w:p>
    <w:p w14:paraId="3B7D5193" w14:textId="77777777" w:rsidR="00AD784C" w:rsidRPr="00B57329" w:rsidRDefault="00AD784C" w:rsidP="002365B4">
      <w:pPr>
        <w:pStyle w:val="TOCheadingreport"/>
      </w:pPr>
      <w:r w:rsidRPr="00B57329">
        <w:lastRenderedPageBreak/>
        <w:t>Contents</w:t>
      </w:r>
    </w:p>
    <w:p w14:paraId="558E5FE7" w14:textId="479F8165" w:rsidR="00F74C99" w:rsidRDefault="00AD784C" w:rsidP="00F74C99">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60241054" w:history="1">
        <w:r w:rsidR="00F74C99" w:rsidRPr="000E04D6">
          <w:rPr>
            <w:rStyle w:val="Hyperlink"/>
          </w:rPr>
          <w:t>Note</w:t>
        </w:r>
        <w:r w:rsidR="00F74C99">
          <w:rPr>
            <w:webHidden/>
          </w:rPr>
          <w:tab/>
        </w:r>
        <w:r w:rsidR="00F74C99">
          <w:rPr>
            <w:webHidden/>
          </w:rPr>
          <w:fldChar w:fldCharType="begin"/>
        </w:r>
        <w:r w:rsidR="00F74C99">
          <w:rPr>
            <w:webHidden/>
          </w:rPr>
          <w:instrText xml:space="preserve"> PAGEREF _Toc60241054 \h </w:instrText>
        </w:r>
        <w:r w:rsidR="00F74C99">
          <w:rPr>
            <w:webHidden/>
          </w:rPr>
        </w:r>
        <w:r w:rsidR="00F74C99">
          <w:rPr>
            <w:webHidden/>
          </w:rPr>
          <w:fldChar w:fldCharType="separate"/>
        </w:r>
        <w:r w:rsidR="001929E7">
          <w:rPr>
            <w:webHidden/>
          </w:rPr>
          <w:t>4</w:t>
        </w:r>
        <w:r w:rsidR="00F74C99">
          <w:rPr>
            <w:webHidden/>
          </w:rPr>
          <w:fldChar w:fldCharType="end"/>
        </w:r>
      </w:hyperlink>
    </w:p>
    <w:p w14:paraId="52021030" w14:textId="46280968" w:rsidR="00F74C99" w:rsidRDefault="00F74C99" w:rsidP="00F74C99">
      <w:pPr>
        <w:pStyle w:val="TOC2"/>
        <w:rPr>
          <w:rFonts w:asciiTheme="minorHAnsi" w:eastAsiaTheme="minorEastAsia" w:hAnsiTheme="minorHAnsi" w:cstheme="minorBidi"/>
          <w:sz w:val="22"/>
          <w:szCs w:val="22"/>
          <w:lang w:eastAsia="en-AU"/>
        </w:rPr>
      </w:pPr>
      <w:hyperlink w:anchor="_Toc60241055" w:history="1">
        <w:r w:rsidRPr="000E04D6">
          <w:rPr>
            <w:rStyle w:val="Hyperlink"/>
          </w:rPr>
          <w:t>Warning</w:t>
        </w:r>
        <w:r>
          <w:rPr>
            <w:webHidden/>
          </w:rPr>
          <w:tab/>
        </w:r>
        <w:r>
          <w:rPr>
            <w:webHidden/>
          </w:rPr>
          <w:fldChar w:fldCharType="begin"/>
        </w:r>
        <w:r>
          <w:rPr>
            <w:webHidden/>
          </w:rPr>
          <w:instrText xml:space="preserve"> PAGEREF _Toc60241055 \h </w:instrText>
        </w:r>
        <w:r>
          <w:rPr>
            <w:webHidden/>
          </w:rPr>
        </w:r>
        <w:r>
          <w:rPr>
            <w:webHidden/>
          </w:rPr>
          <w:fldChar w:fldCharType="separate"/>
        </w:r>
        <w:r w:rsidR="001929E7">
          <w:rPr>
            <w:webHidden/>
          </w:rPr>
          <w:t>4</w:t>
        </w:r>
        <w:r>
          <w:rPr>
            <w:webHidden/>
          </w:rPr>
          <w:fldChar w:fldCharType="end"/>
        </w:r>
      </w:hyperlink>
    </w:p>
    <w:p w14:paraId="3433D12A" w14:textId="0A572ECC" w:rsidR="00F74C99" w:rsidRDefault="00F74C99" w:rsidP="00F74C99">
      <w:pPr>
        <w:pStyle w:val="TOC1"/>
        <w:rPr>
          <w:rFonts w:asciiTheme="minorHAnsi" w:eastAsiaTheme="minorEastAsia" w:hAnsiTheme="minorHAnsi" w:cstheme="minorBidi"/>
          <w:b w:val="0"/>
          <w:sz w:val="22"/>
          <w:szCs w:val="22"/>
          <w:lang w:eastAsia="en-AU"/>
        </w:rPr>
      </w:pPr>
      <w:hyperlink w:anchor="_Toc60241056" w:history="1">
        <w:r w:rsidRPr="000E04D6">
          <w:rPr>
            <w:rStyle w:val="Hyperlink"/>
          </w:rPr>
          <w:t>Introduction</w:t>
        </w:r>
        <w:r>
          <w:rPr>
            <w:webHidden/>
          </w:rPr>
          <w:tab/>
        </w:r>
        <w:r>
          <w:rPr>
            <w:webHidden/>
          </w:rPr>
          <w:fldChar w:fldCharType="begin"/>
        </w:r>
        <w:r>
          <w:rPr>
            <w:webHidden/>
          </w:rPr>
          <w:instrText xml:space="preserve"> PAGEREF _Toc60241056 \h </w:instrText>
        </w:r>
        <w:r>
          <w:rPr>
            <w:webHidden/>
          </w:rPr>
        </w:r>
        <w:r>
          <w:rPr>
            <w:webHidden/>
          </w:rPr>
          <w:fldChar w:fldCharType="separate"/>
        </w:r>
        <w:r w:rsidR="001929E7">
          <w:rPr>
            <w:webHidden/>
          </w:rPr>
          <w:t>5</w:t>
        </w:r>
        <w:r>
          <w:rPr>
            <w:webHidden/>
          </w:rPr>
          <w:fldChar w:fldCharType="end"/>
        </w:r>
      </w:hyperlink>
    </w:p>
    <w:p w14:paraId="42EBF5ED" w14:textId="32B3847A" w:rsidR="00F74C99" w:rsidRDefault="00F74C99" w:rsidP="00F74C99">
      <w:pPr>
        <w:pStyle w:val="TOC1"/>
        <w:rPr>
          <w:rFonts w:asciiTheme="minorHAnsi" w:eastAsiaTheme="minorEastAsia" w:hAnsiTheme="minorHAnsi" w:cstheme="minorBidi"/>
          <w:b w:val="0"/>
          <w:sz w:val="22"/>
          <w:szCs w:val="22"/>
          <w:lang w:eastAsia="en-AU"/>
        </w:rPr>
      </w:pPr>
      <w:hyperlink w:anchor="_Toc60241057" w:history="1">
        <w:r w:rsidRPr="000E04D6">
          <w:rPr>
            <w:rStyle w:val="Hyperlink"/>
          </w:rPr>
          <w:t>Risks and countermeasures specific to long-acting injectable buprenorphine</w:t>
        </w:r>
        <w:r>
          <w:rPr>
            <w:webHidden/>
          </w:rPr>
          <w:tab/>
        </w:r>
        <w:r>
          <w:rPr>
            <w:webHidden/>
          </w:rPr>
          <w:fldChar w:fldCharType="begin"/>
        </w:r>
        <w:r>
          <w:rPr>
            <w:webHidden/>
          </w:rPr>
          <w:instrText xml:space="preserve"> PAGEREF _Toc60241057 \h </w:instrText>
        </w:r>
        <w:r>
          <w:rPr>
            <w:webHidden/>
          </w:rPr>
        </w:r>
        <w:r>
          <w:rPr>
            <w:webHidden/>
          </w:rPr>
          <w:fldChar w:fldCharType="separate"/>
        </w:r>
        <w:r w:rsidR="001929E7">
          <w:rPr>
            <w:webHidden/>
          </w:rPr>
          <w:t>6</w:t>
        </w:r>
        <w:r>
          <w:rPr>
            <w:webHidden/>
          </w:rPr>
          <w:fldChar w:fldCharType="end"/>
        </w:r>
      </w:hyperlink>
    </w:p>
    <w:p w14:paraId="71464B61" w14:textId="663CC6EE" w:rsidR="00F74C99" w:rsidRDefault="00F74C99" w:rsidP="00F74C99">
      <w:pPr>
        <w:pStyle w:val="TOC1"/>
        <w:rPr>
          <w:rFonts w:asciiTheme="minorHAnsi" w:eastAsiaTheme="minorEastAsia" w:hAnsiTheme="minorHAnsi" w:cstheme="minorBidi"/>
          <w:b w:val="0"/>
          <w:sz w:val="22"/>
          <w:szCs w:val="22"/>
          <w:lang w:eastAsia="en-AU"/>
        </w:rPr>
      </w:pPr>
      <w:hyperlink w:anchor="_Toc60241058" w:history="1">
        <w:r w:rsidRPr="000E04D6">
          <w:rPr>
            <w:rStyle w:val="Hyperlink"/>
            <w:lang w:eastAsia="en-AU"/>
          </w:rPr>
          <w:t>Who is eligible to prescribe and administer long-</w:t>
        </w:r>
        <w:r w:rsidRPr="000E04D6">
          <w:rPr>
            <w:rStyle w:val="Hyperlink"/>
          </w:rPr>
          <w:t>acting</w:t>
        </w:r>
        <w:r w:rsidRPr="000E04D6">
          <w:rPr>
            <w:rStyle w:val="Hyperlink"/>
            <w:lang w:eastAsia="en-AU"/>
          </w:rPr>
          <w:t xml:space="preserve"> injectable buprenorphine</w:t>
        </w:r>
        <w:r>
          <w:rPr>
            <w:webHidden/>
          </w:rPr>
          <w:tab/>
        </w:r>
        <w:r>
          <w:rPr>
            <w:webHidden/>
          </w:rPr>
          <w:fldChar w:fldCharType="begin"/>
        </w:r>
        <w:r>
          <w:rPr>
            <w:webHidden/>
          </w:rPr>
          <w:instrText xml:space="preserve"> PAGEREF _Toc60241058 \h </w:instrText>
        </w:r>
        <w:r>
          <w:rPr>
            <w:webHidden/>
          </w:rPr>
        </w:r>
        <w:r>
          <w:rPr>
            <w:webHidden/>
          </w:rPr>
          <w:fldChar w:fldCharType="separate"/>
        </w:r>
        <w:r w:rsidR="001929E7">
          <w:rPr>
            <w:webHidden/>
          </w:rPr>
          <w:t>7</w:t>
        </w:r>
        <w:r>
          <w:rPr>
            <w:webHidden/>
          </w:rPr>
          <w:fldChar w:fldCharType="end"/>
        </w:r>
      </w:hyperlink>
    </w:p>
    <w:p w14:paraId="5978F92D" w14:textId="0E9A359D" w:rsidR="005860C6" w:rsidRDefault="00F74C99" w:rsidP="00F74C99">
      <w:pPr>
        <w:pStyle w:val="TOC1"/>
      </w:pPr>
      <w:hyperlink w:anchor="_Toc60241059" w:history="1">
        <w:r w:rsidRPr="000E04D6">
          <w:rPr>
            <w:rStyle w:val="Hyperlink"/>
          </w:rPr>
          <w:t>Pharmacist administration practice standards</w:t>
        </w:r>
        <w:r>
          <w:rPr>
            <w:webHidden/>
          </w:rPr>
          <w:tab/>
        </w:r>
        <w:r>
          <w:rPr>
            <w:webHidden/>
          </w:rPr>
          <w:fldChar w:fldCharType="begin"/>
        </w:r>
        <w:r>
          <w:rPr>
            <w:webHidden/>
          </w:rPr>
          <w:instrText xml:space="preserve"> PAGEREF _Toc60241059 \h </w:instrText>
        </w:r>
        <w:r>
          <w:rPr>
            <w:webHidden/>
          </w:rPr>
        </w:r>
        <w:r>
          <w:rPr>
            <w:webHidden/>
          </w:rPr>
          <w:fldChar w:fldCharType="separate"/>
        </w:r>
        <w:r w:rsidR="001929E7">
          <w:rPr>
            <w:webHidden/>
          </w:rPr>
          <w:t>8</w:t>
        </w:r>
        <w:r>
          <w:rPr>
            <w:webHidden/>
          </w:rPr>
          <w:fldChar w:fldCharType="end"/>
        </w:r>
      </w:hyperlink>
    </w:p>
    <w:p w14:paraId="377C0860" w14:textId="31317840" w:rsidR="00F74C99" w:rsidRDefault="00F74C99" w:rsidP="00F74C99">
      <w:pPr>
        <w:pStyle w:val="TOC2"/>
        <w:rPr>
          <w:rFonts w:asciiTheme="minorHAnsi" w:eastAsiaTheme="minorEastAsia" w:hAnsiTheme="minorHAnsi" w:cstheme="minorBidi"/>
          <w:sz w:val="22"/>
          <w:szCs w:val="22"/>
          <w:lang w:eastAsia="en-AU"/>
        </w:rPr>
      </w:pPr>
      <w:hyperlink w:anchor="_Toc60241060" w:history="1">
        <w:r w:rsidRPr="000E04D6">
          <w:rPr>
            <w:rStyle w:val="Hyperlink"/>
          </w:rPr>
          <w:t>Accreditation and training</w:t>
        </w:r>
        <w:r>
          <w:rPr>
            <w:webHidden/>
          </w:rPr>
          <w:tab/>
        </w:r>
        <w:r>
          <w:rPr>
            <w:webHidden/>
          </w:rPr>
          <w:fldChar w:fldCharType="begin"/>
        </w:r>
        <w:r>
          <w:rPr>
            <w:webHidden/>
          </w:rPr>
          <w:instrText xml:space="preserve"> PAGEREF _Toc60241060 \h </w:instrText>
        </w:r>
        <w:r>
          <w:rPr>
            <w:webHidden/>
          </w:rPr>
        </w:r>
        <w:r>
          <w:rPr>
            <w:webHidden/>
          </w:rPr>
          <w:fldChar w:fldCharType="separate"/>
        </w:r>
        <w:r w:rsidR="001929E7">
          <w:rPr>
            <w:webHidden/>
          </w:rPr>
          <w:t>8</w:t>
        </w:r>
        <w:r>
          <w:rPr>
            <w:webHidden/>
          </w:rPr>
          <w:fldChar w:fldCharType="end"/>
        </w:r>
      </w:hyperlink>
    </w:p>
    <w:p w14:paraId="2C5A1402" w14:textId="701CBAB0" w:rsidR="00F74C99" w:rsidRDefault="00F74C99" w:rsidP="00F74C99">
      <w:pPr>
        <w:pStyle w:val="TOC2"/>
        <w:rPr>
          <w:rFonts w:asciiTheme="minorHAnsi" w:eastAsiaTheme="minorEastAsia" w:hAnsiTheme="minorHAnsi" w:cstheme="minorBidi"/>
          <w:sz w:val="22"/>
          <w:szCs w:val="22"/>
          <w:lang w:eastAsia="en-AU"/>
        </w:rPr>
      </w:pPr>
      <w:hyperlink w:anchor="_Toc60241061" w:history="1">
        <w:r w:rsidRPr="000E04D6">
          <w:rPr>
            <w:rStyle w:val="Hyperlink"/>
          </w:rPr>
          <w:t>Premises</w:t>
        </w:r>
        <w:r>
          <w:rPr>
            <w:webHidden/>
          </w:rPr>
          <w:tab/>
        </w:r>
        <w:r>
          <w:rPr>
            <w:webHidden/>
          </w:rPr>
          <w:fldChar w:fldCharType="begin"/>
        </w:r>
        <w:r>
          <w:rPr>
            <w:webHidden/>
          </w:rPr>
          <w:instrText xml:space="preserve"> PAGEREF _Toc60241061 \h </w:instrText>
        </w:r>
        <w:r>
          <w:rPr>
            <w:webHidden/>
          </w:rPr>
        </w:r>
        <w:r>
          <w:rPr>
            <w:webHidden/>
          </w:rPr>
          <w:fldChar w:fldCharType="separate"/>
        </w:r>
        <w:r w:rsidR="001929E7">
          <w:rPr>
            <w:webHidden/>
          </w:rPr>
          <w:t>8</w:t>
        </w:r>
        <w:r>
          <w:rPr>
            <w:webHidden/>
          </w:rPr>
          <w:fldChar w:fldCharType="end"/>
        </w:r>
      </w:hyperlink>
    </w:p>
    <w:p w14:paraId="16BE4EFF" w14:textId="4E1F1343" w:rsidR="00F74C99" w:rsidRDefault="00F74C99" w:rsidP="00F74C99">
      <w:pPr>
        <w:pStyle w:val="TOC2"/>
        <w:rPr>
          <w:rFonts w:asciiTheme="minorHAnsi" w:eastAsiaTheme="minorEastAsia" w:hAnsiTheme="minorHAnsi" w:cstheme="minorBidi"/>
          <w:sz w:val="22"/>
          <w:szCs w:val="22"/>
          <w:lang w:eastAsia="en-AU"/>
        </w:rPr>
      </w:pPr>
      <w:hyperlink w:anchor="_Toc60241062" w:history="1">
        <w:r w:rsidRPr="000E04D6">
          <w:rPr>
            <w:rStyle w:val="Hyperlink"/>
          </w:rPr>
          <w:t>Service delivery</w:t>
        </w:r>
        <w:r>
          <w:rPr>
            <w:webHidden/>
          </w:rPr>
          <w:tab/>
        </w:r>
        <w:r>
          <w:rPr>
            <w:webHidden/>
          </w:rPr>
          <w:fldChar w:fldCharType="begin"/>
        </w:r>
        <w:r>
          <w:rPr>
            <w:webHidden/>
          </w:rPr>
          <w:instrText xml:space="preserve"> PAGEREF _Toc60241062 \h </w:instrText>
        </w:r>
        <w:r>
          <w:rPr>
            <w:webHidden/>
          </w:rPr>
        </w:r>
        <w:r>
          <w:rPr>
            <w:webHidden/>
          </w:rPr>
          <w:fldChar w:fldCharType="separate"/>
        </w:r>
        <w:r w:rsidR="001929E7">
          <w:rPr>
            <w:webHidden/>
          </w:rPr>
          <w:t>9</w:t>
        </w:r>
        <w:r>
          <w:rPr>
            <w:webHidden/>
          </w:rPr>
          <w:fldChar w:fldCharType="end"/>
        </w:r>
      </w:hyperlink>
    </w:p>
    <w:p w14:paraId="1DE93DF1" w14:textId="4D08511D" w:rsidR="00F74C99" w:rsidRDefault="00F74C99" w:rsidP="00F74C99">
      <w:pPr>
        <w:pStyle w:val="TOC1"/>
        <w:rPr>
          <w:rFonts w:asciiTheme="minorHAnsi" w:eastAsiaTheme="minorEastAsia" w:hAnsiTheme="minorHAnsi" w:cstheme="minorBidi"/>
          <w:b w:val="0"/>
          <w:sz w:val="22"/>
          <w:szCs w:val="22"/>
          <w:lang w:eastAsia="en-AU"/>
        </w:rPr>
      </w:pPr>
      <w:hyperlink w:anchor="_Toc60241063" w:history="1">
        <w:r w:rsidRPr="000E04D6">
          <w:rPr>
            <w:rStyle w:val="Hyperlink"/>
            <w:lang w:eastAsia="en-AU"/>
          </w:rPr>
          <w:t>Regulatory requirements</w:t>
        </w:r>
        <w:r>
          <w:rPr>
            <w:webHidden/>
          </w:rPr>
          <w:tab/>
        </w:r>
        <w:r>
          <w:rPr>
            <w:webHidden/>
          </w:rPr>
          <w:fldChar w:fldCharType="begin"/>
        </w:r>
        <w:r>
          <w:rPr>
            <w:webHidden/>
          </w:rPr>
          <w:instrText xml:space="preserve"> PAGEREF _Toc60241063 \h </w:instrText>
        </w:r>
        <w:r>
          <w:rPr>
            <w:webHidden/>
          </w:rPr>
        </w:r>
        <w:r>
          <w:rPr>
            <w:webHidden/>
          </w:rPr>
          <w:fldChar w:fldCharType="separate"/>
        </w:r>
        <w:r w:rsidR="001929E7">
          <w:rPr>
            <w:webHidden/>
          </w:rPr>
          <w:t>11</w:t>
        </w:r>
        <w:r>
          <w:rPr>
            <w:webHidden/>
          </w:rPr>
          <w:fldChar w:fldCharType="end"/>
        </w:r>
      </w:hyperlink>
    </w:p>
    <w:p w14:paraId="17FA0DF6" w14:textId="0EA77A31" w:rsidR="00F74C99" w:rsidRDefault="00F74C99" w:rsidP="00F74C99">
      <w:pPr>
        <w:pStyle w:val="TOC2"/>
        <w:rPr>
          <w:rFonts w:asciiTheme="minorHAnsi" w:eastAsiaTheme="minorEastAsia" w:hAnsiTheme="minorHAnsi" w:cstheme="minorBidi"/>
          <w:sz w:val="22"/>
          <w:szCs w:val="22"/>
          <w:lang w:eastAsia="en-AU"/>
        </w:rPr>
      </w:pPr>
      <w:hyperlink w:anchor="_Toc60241064" w:history="1">
        <w:r w:rsidRPr="000E04D6">
          <w:rPr>
            <w:rStyle w:val="Hyperlink"/>
            <w:rFonts w:eastAsia="Calibri"/>
            <w:lang w:eastAsia="en-AU"/>
          </w:rPr>
          <w:t>Applying for a Schedule 8 treatment permit</w:t>
        </w:r>
        <w:r>
          <w:rPr>
            <w:webHidden/>
          </w:rPr>
          <w:tab/>
        </w:r>
        <w:r>
          <w:rPr>
            <w:webHidden/>
          </w:rPr>
          <w:fldChar w:fldCharType="begin"/>
        </w:r>
        <w:r>
          <w:rPr>
            <w:webHidden/>
          </w:rPr>
          <w:instrText xml:space="preserve"> PAGEREF _Toc60241064 \h </w:instrText>
        </w:r>
        <w:r>
          <w:rPr>
            <w:webHidden/>
          </w:rPr>
        </w:r>
        <w:r>
          <w:rPr>
            <w:webHidden/>
          </w:rPr>
          <w:fldChar w:fldCharType="separate"/>
        </w:r>
        <w:r w:rsidR="001929E7">
          <w:rPr>
            <w:webHidden/>
          </w:rPr>
          <w:t>11</w:t>
        </w:r>
        <w:r>
          <w:rPr>
            <w:webHidden/>
          </w:rPr>
          <w:fldChar w:fldCharType="end"/>
        </w:r>
      </w:hyperlink>
    </w:p>
    <w:p w14:paraId="6EF64DD0" w14:textId="1B0A7681" w:rsidR="00F74C99" w:rsidRDefault="00F74C99" w:rsidP="00F74C99">
      <w:pPr>
        <w:pStyle w:val="TOC2"/>
        <w:rPr>
          <w:rFonts w:asciiTheme="minorHAnsi" w:eastAsiaTheme="minorEastAsia" w:hAnsiTheme="minorHAnsi" w:cstheme="minorBidi"/>
          <w:sz w:val="22"/>
          <w:szCs w:val="22"/>
          <w:lang w:eastAsia="en-AU"/>
        </w:rPr>
      </w:pPr>
      <w:hyperlink w:anchor="_Toc60241065" w:history="1">
        <w:r w:rsidRPr="000E04D6">
          <w:rPr>
            <w:rStyle w:val="Hyperlink"/>
            <w:rFonts w:eastAsia="Calibri"/>
            <w:lang w:eastAsia="en-AU"/>
          </w:rPr>
          <w:t>Circumstances where a Schedule 8 permit is not required</w:t>
        </w:r>
        <w:r>
          <w:rPr>
            <w:webHidden/>
          </w:rPr>
          <w:tab/>
        </w:r>
        <w:r>
          <w:rPr>
            <w:webHidden/>
          </w:rPr>
          <w:fldChar w:fldCharType="begin"/>
        </w:r>
        <w:r>
          <w:rPr>
            <w:webHidden/>
          </w:rPr>
          <w:instrText xml:space="preserve"> PAGEREF _Toc60241065 \h </w:instrText>
        </w:r>
        <w:r>
          <w:rPr>
            <w:webHidden/>
          </w:rPr>
        </w:r>
        <w:r>
          <w:rPr>
            <w:webHidden/>
          </w:rPr>
          <w:fldChar w:fldCharType="separate"/>
        </w:r>
        <w:r w:rsidR="001929E7">
          <w:rPr>
            <w:webHidden/>
          </w:rPr>
          <w:t>11</w:t>
        </w:r>
        <w:r>
          <w:rPr>
            <w:webHidden/>
          </w:rPr>
          <w:fldChar w:fldCharType="end"/>
        </w:r>
      </w:hyperlink>
    </w:p>
    <w:p w14:paraId="7A140E48" w14:textId="39D354A4" w:rsidR="00F74C99" w:rsidRDefault="00F74C99" w:rsidP="00F74C99">
      <w:pPr>
        <w:pStyle w:val="TOC2"/>
        <w:rPr>
          <w:rFonts w:asciiTheme="minorHAnsi" w:eastAsiaTheme="minorEastAsia" w:hAnsiTheme="minorHAnsi" w:cstheme="minorBidi"/>
          <w:sz w:val="22"/>
          <w:szCs w:val="22"/>
          <w:lang w:eastAsia="en-AU"/>
        </w:rPr>
      </w:pPr>
      <w:hyperlink w:anchor="_Toc60241066" w:history="1">
        <w:r w:rsidRPr="000E04D6">
          <w:rPr>
            <w:rStyle w:val="Hyperlink"/>
            <w:rFonts w:eastAsia="Calibri"/>
            <w:lang w:eastAsia="en-AU"/>
          </w:rPr>
          <w:t>Record keeping</w:t>
        </w:r>
        <w:r>
          <w:rPr>
            <w:webHidden/>
          </w:rPr>
          <w:tab/>
        </w:r>
        <w:r>
          <w:rPr>
            <w:webHidden/>
          </w:rPr>
          <w:fldChar w:fldCharType="begin"/>
        </w:r>
        <w:r>
          <w:rPr>
            <w:webHidden/>
          </w:rPr>
          <w:instrText xml:space="preserve"> PAGEREF _Toc60241066 \h </w:instrText>
        </w:r>
        <w:r>
          <w:rPr>
            <w:webHidden/>
          </w:rPr>
        </w:r>
        <w:r>
          <w:rPr>
            <w:webHidden/>
          </w:rPr>
          <w:fldChar w:fldCharType="separate"/>
        </w:r>
        <w:r w:rsidR="001929E7">
          <w:rPr>
            <w:webHidden/>
          </w:rPr>
          <w:t>12</w:t>
        </w:r>
        <w:r>
          <w:rPr>
            <w:webHidden/>
          </w:rPr>
          <w:fldChar w:fldCharType="end"/>
        </w:r>
      </w:hyperlink>
    </w:p>
    <w:p w14:paraId="6E74EBBF" w14:textId="1F6115B3" w:rsidR="00F74C99" w:rsidRDefault="00F74C99" w:rsidP="00F74C99">
      <w:pPr>
        <w:pStyle w:val="TOC2"/>
        <w:rPr>
          <w:rFonts w:asciiTheme="minorHAnsi" w:eastAsiaTheme="minorEastAsia" w:hAnsiTheme="minorHAnsi" w:cstheme="minorBidi"/>
          <w:sz w:val="22"/>
          <w:szCs w:val="22"/>
          <w:lang w:eastAsia="en-AU"/>
        </w:rPr>
      </w:pPr>
      <w:hyperlink w:anchor="_Toc60241067" w:history="1">
        <w:r w:rsidRPr="000E04D6">
          <w:rPr>
            <w:rStyle w:val="Hyperlink"/>
          </w:rPr>
          <w:t>Ordering and storage</w:t>
        </w:r>
        <w:r>
          <w:rPr>
            <w:webHidden/>
          </w:rPr>
          <w:tab/>
        </w:r>
        <w:r>
          <w:rPr>
            <w:webHidden/>
          </w:rPr>
          <w:fldChar w:fldCharType="begin"/>
        </w:r>
        <w:r>
          <w:rPr>
            <w:webHidden/>
          </w:rPr>
          <w:instrText xml:space="preserve"> PAGEREF _Toc60241067 \h </w:instrText>
        </w:r>
        <w:r>
          <w:rPr>
            <w:webHidden/>
          </w:rPr>
        </w:r>
        <w:r>
          <w:rPr>
            <w:webHidden/>
          </w:rPr>
          <w:fldChar w:fldCharType="separate"/>
        </w:r>
        <w:r w:rsidR="001929E7">
          <w:rPr>
            <w:webHidden/>
          </w:rPr>
          <w:t>12</w:t>
        </w:r>
        <w:r>
          <w:rPr>
            <w:webHidden/>
          </w:rPr>
          <w:fldChar w:fldCharType="end"/>
        </w:r>
      </w:hyperlink>
    </w:p>
    <w:p w14:paraId="1684E784" w14:textId="520BC6AC" w:rsidR="00F74C99" w:rsidRDefault="00F74C99" w:rsidP="00F74C99">
      <w:pPr>
        <w:pStyle w:val="TOC1"/>
        <w:rPr>
          <w:rFonts w:asciiTheme="minorHAnsi" w:eastAsiaTheme="minorEastAsia" w:hAnsiTheme="minorHAnsi" w:cstheme="minorBidi"/>
          <w:b w:val="0"/>
          <w:sz w:val="22"/>
          <w:szCs w:val="22"/>
          <w:lang w:eastAsia="en-AU"/>
        </w:rPr>
      </w:pPr>
      <w:hyperlink w:anchor="_Toc60241068" w:history="1">
        <w:r w:rsidRPr="000E04D6">
          <w:rPr>
            <w:rStyle w:val="Hyperlink"/>
          </w:rPr>
          <w:t>Other considerations</w:t>
        </w:r>
        <w:r>
          <w:rPr>
            <w:webHidden/>
          </w:rPr>
          <w:tab/>
        </w:r>
        <w:r>
          <w:rPr>
            <w:webHidden/>
          </w:rPr>
          <w:fldChar w:fldCharType="begin"/>
        </w:r>
        <w:r>
          <w:rPr>
            <w:webHidden/>
          </w:rPr>
          <w:instrText xml:space="preserve"> PAGEREF _Toc60241068 \h </w:instrText>
        </w:r>
        <w:r>
          <w:rPr>
            <w:webHidden/>
          </w:rPr>
        </w:r>
        <w:r>
          <w:rPr>
            <w:webHidden/>
          </w:rPr>
          <w:fldChar w:fldCharType="separate"/>
        </w:r>
        <w:r w:rsidR="001929E7">
          <w:rPr>
            <w:webHidden/>
          </w:rPr>
          <w:t>14</w:t>
        </w:r>
        <w:r>
          <w:rPr>
            <w:webHidden/>
          </w:rPr>
          <w:fldChar w:fldCharType="end"/>
        </w:r>
      </w:hyperlink>
    </w:p>
    <w:p w14:paraId="03B26070" w14:textId="0A1A1A28" w:rsidR="00F74C99" w:rsidRDefault="00F74C99" w:rsidP="00F74C99">
      <w:pPr>
        <w:pStyle w:val="TOC2"/>
        <w:rPr>
          <w:rFonts w:asciiTheme="minorHAnsi" w:eastAsiaTheme="minorEastAsia" w:hAnsiTheme="minorHAnsi" w:cstheme="minorBidi"/>
          <w:sz w:val="22"/>
          <w:szCs w:val="22"/>
          <w:lang w:eastAsia="en-AU"/>
        </w:rPr>
      </w:pPr>
      <w:hyperlink w:anchor="_Toc60241069" w:history="1">
        <w:r w:rsidRPr="000E04D6">
          <w:rPr>
            <w:rStyle w:val="Hyperlink"/>
          </w:rPr>
          <w:t>Interstate and international travel by patients</w:t>
        </w:r>
        <w:r>
          <w:rPr>
            <w:webHidden/>
          </w:rPr>
          <w:tab/>
        </w:r>
        <w:r>
          <w:rPr>
            <w:webHidden/>
          </w:rPr>
          <w:fldChar w:fldCharType="begin"/>
        </w:r>
        <w:r>
          <w:rPr>
            <w:webHidden/>
          </w:rPr>
          <w:instrText xml:space="preserve"> PAGEREF _Toc60241069 \h </w:instrText>
        </w:r>
        <w:r>
          <w:rPr>
            <w:webHidden/>
          </w:rPr>
        </w:r>
        <w:r>
          <w:rPr>
            <w:webHidden/>
          </w:rPr>
          <w:fldChar w:fldCharType="separate"/>
        </w:r>
        <w:r w:rsidR="001929E7">
          <w:rPr>
            <w:webHidden/>
          </w:rPr>
          <w:t>14</w:t>
        </w:r>
        <w:r>
          <w:rPr>
            <w:webHidden/>
          </w:rPr>
          <w:fldChar w:fldCharType="end"/>
        </w:r>
      </w:hyperlink>
    </w:p>
    <w:p w14:paraId="6D2A65FA" w14:textId="50813792" w:rsidR="00F74C99" w:rsidRDefault="00F74C99" w:rsidP="00F74C99">
      <w:pPr>
        <w:pStyle w:val="TOC2"/>
        <w:rPr>
          <w:rFonts w:asciiTheme="minorHAnsi" w:eastAsiaTheme="minorEastAsia" w:hAnsiTheme="minorHAnsi" w:cstheme="minorBidi"/>
          <w:sz w:val="22"/>
          <w:szCs w:val="22"/>
          <w:lang w:eastAsia="en-AU"/>
        </w:rPr>
      </w:pPr>
      <w:hyperlink w:anchor="_Toc60241070" w:history="1">
        <w:r w:rsidRPr="000E04D6">
          <w:rPr>
            <w:rStyle w:val="Hyperlink"/>
          </w:rPr>
          <w:t>Frequency of review</w:t>
        </w:r>
        <w:r>
          <w:rPr>
            <w:webHidden/>
          </w:rPr>
          <w:tab/>
        </w:r>
        <w:r>
          <w:rPr>
            <w:webHidden/>
          </w:rPr>
          <w:fldChar w:fldCharType="begin"/>
        </w:r>
        <w:r>
          <w:rPr>
            <w:webHidden/>
          </w:rPr>
          <w:instrText xml:space="preserve"> PAGEREF _Toc60241070 \h </w:instrText>
        </w:r>
        <w:r>
          <w:rPr>
            <w:webHidden/>
          </w:rPr>
        </w:r>
        <w:r>
          <w:rPr>
            <w:webHidden/>
          </w:rPr>
          <w:fldChar w:fldCharType="separate"/>
        </w:r>
        <w:r w:rsidR="001929E7">
          <w:rPr>
            <w:webHidden/>
          </w:rPr>
          <w:t>14</w:t>
        </w:r>
        <w:r>
          <w:rPr>
            <w:webHidden/>
          </w:rPr>
          <w:fldChar w:fldCharType="end"/>
        </w:r>
      </w:hyperlink>
    </w:p>
    <w:p w14:paraId="55801B9A" w14:textId="441AF787" w:rsidR="00F74C99" w:rsidRPr="006C4F2C" w:rsidRDefault="00F74C99" w:rsidP="006C4F2C">
      <w:pPr>
        <w:pStyle w:val="TOC1"/>
        <w:rPr>
          <w:rFonts w:asciiTheme="minorHAnsi" w:eastAsiaTheme="minorEastAsia" w:hAnsiTheme="minorHAnsi" w:cstheme="minorBidi"/>
          <w:b w:val="0"/>
          <w:sz w:val="22"/>
          <w:szCs w:val="22"/>
          <w:lang w:eastAsia="en-AU"/>
        </w:rPr>
      </w:pPr>
      <w:hyperlink w:anchor="_Toc60241071" w:history="1">
        <w:r w:rsidRPr="000E04D6">
          <w:rPr>
            <w:rStyle w:val="Hyperlink"/>
          </w:rPr>
          <w:t>Appendix 1</w:t>
        </w:r>
        <w:r w:rsidR="006C4F2C">
          <w:rPr>
            <w:rStyle w:val="Hyperlink"/>
          </w:rPr>
          <w:t>: Administration record keeping template</w:t>
        </w:r>
        <w:r>
          <w:rPr>
            <w:webHidden/>
          </w:rPr>
          <w:tab/>
        </w:r>
        <w:r>
          <w:rPr>
            <w:webHidden/>
          </w:rPr>
          <w:fldChar w:fldCharType="begin"/>
        </w:r>
        <w:r>
          <w:rPr>
            <w:webHidden/>
          </w:rPr>
          <w:instrText xml:space="preserve"> PAGEREF _Toc60241071 \h </w:instrText>
        </w:r>
        <w:r>
          <w:rPr>
            <w:webHidden/>
          </w:rPr>
        </w:r>
        <w:r>
          <w:rPr>
            <w:webHidden/>
          </w:rPr>
          <w:fldChar w:fldCharType="separate"/>
        </w:r>
        <w:r w:rsidR="001929E7">
          <w:rPr>
            <w:webHidden/>
          </w:rPr>
          <w:t>15</w:t>
        </w:r>
        <w:r>
          <w:rPr>
            <w:webHidden/>
          </w:rPr>
          <w:fldChar w:fldCharType="end"/>
        </w:r>
      </w:hyperlink>
    </w:p>
    <w:p w14:paraId="40BA051C" w14:textId="77777777" w:rsidR="00F74C99" w:rsidRPr="00F74C99" w:rsidRDefault="00F74C99" w:rsidP="00F74C99">
      <w:pPr>
        <w:rPr>
          <w:rFonts w:eastAsiaTheme="minorEastAsia"/>
        </w:rPr>
      </w:pPr>
    </w:p>
    <w:p w14:paraId="10FC1DAD" w14:textId="77777777" w:rsidR="00FB1F6E" w:rsidRDefault="00AD784C" w:rsidP="00D079AA">
      <w:pPr>
        <w:pStyle w:val="Body"/>
      </w:pPr>
      <w:r>
        <w:fldChar w:fldCharType="end"/>
      </w:r>
    </w:p>
    <w:p w14:paraId="330B1FA9" w14:textId="77777777" w:rsidR="00FB1F6E" w:rsidRDefault="00FB1F6E">
      <w:pPr>
        <w:spacing w:after="0" w:line="240" w:lineRule="auto"/>
        <w:rPr>
          <w:rFonts w:eastAsia="Times"/>
        </w:rPr>
      </w:pPr>
      <w:r>
        <w:br w:type="page"/>
      </w:r>
    </w:p>
    <w:p w14:paraId="098BEA26" w14:textId="77777777" w:rsidR="00580394" w:rsidRPr="00B519CD" w:rsidRDefault="00580394" w:rsidP="007173CA">
      <w:pPr>
        <w:pStyle w:val="Body"/>
        <w:sectPr w:rsidR="00580394" w:rsidRPr="00B519CD" w:rsidSect="002C5B7C">
          <w:footerReference w:type="default" r:id="rId18"/>
          <w:pgSz w:w="11906" w:h="16838" w:code="9"/>
          <w:pgMar w:top="1701" w:right="1304" w:bottom="1418" w:left="1304" w:header="680" w:footer="851" w:gutter="0"/>
          <w:cols w:space="340"/>
          <w:docGrid w:linePitch="360"/>
        </w:sectPr>
      </w:pPr>
    </w:p>
    <w:p w14:paraId="01CA1BE1" w14:textId="77777777" w:rsidR="00F74C99" w:rsidRPr="006378DF" w:rsidRDefault="00F74C99" w:rsidP="00F74C99">
      <w:pPr>
        <w:pStyle w:val="Heading1"/>
      </w:pPr>
      <w:bookmarkStart w:id="1" w:name="_Toc60241054"/>
      <w:bookmarkStart w:id="2" w:name="_Toc256778633"/>
      <w:r w:rsidRPr="006378DF">
        <w:lastRenderedPageBreak/>
        <w:t>Note</w:t>
      </w:r>
      <w:bookmarkEnd w:id="1"/>
    </w:p>
    <w:p w14:paraId="419C29D8" w14:textId="7C809423" w:rsidR="00F74C99" w:rsidRPr="00973F96" w:rsidRDefault="00F74C99" w:rsidP="00F74C99">
      <w:pPr>
        <w:pStyle w:val="DHHSbody"/>
      </w:pPr>
      <w:r w:rsidRPr="00973F96">
        <w:t xml:space="preserve">This summary should be read in conjunction with the Victorian Department of Health’s existing </w:t>
      </w:r>
      <w:r w:rsidRPr="00973F96">
        <w:rPr>
          <w:i/>
          <w:iCs/>
        </w:rPr>
        <w:t>Policy for maintenance pharmacotherapy for opioid dependence</w:t>
      </w:r>
      <w:r w:rsidRPr="00973F96">
        <w:rPr>
          <w:i/>
        </w:rPr>
        <w:t xml:space="preserve">, updated 2016, </w:t>
      </w:r>
      <w:proofErr w:type="gramStart"/>
      <w:r w:rsidRPr="00973F96">
        <w:rPr>
          <w:iCs/>
        </w:rPr>
        <w:t>and also</w:t>
      </w:r>
      <w:proofErr w:type="gramEnd"/>
      <w:r w:rsidRPr="00973F96">
        <w:rPr>
          <w:iCs/>
        </w:rPr>
        <w:t xml:space="preserve"> the</w:t>
      </w:r>
      <w:r w:rsidRPr="00973F96">
        <w:rPr>
          <w:i/>
          <w:iCs/>
        </w:rPr>
        <w:t xml:space="preserve"> </w:t>
      </w:r>
      <w:r w:rsidR="004E445F">
        <w:rPr>
          <w:i/>
          <w:iCs/>
        </w:rPr>
        <w:t xml:space="preserve">Long-acting injectable buprenorphine: </w:t>
      </w:r>
      <w:r w:rsidRPr="00973F96">
        <w:rPr>
          <w:i/>
          <w:iCs/>
        </w:rPr>
        <w:t>Brief clinical guidelines for use in the treatment of opioid dependence</w:t>
      </w:r>
      <w:r w:rsidRPr="00973F96">
        <w:t>, December 2020.</w:t>
      </w:r>
    </w:p>
    <w:p w14:paraId="1EFE0DEA" w14:textId="77777777" w:rsidR="00F74C99" w:rsidRPr="00973F96" w:rsidRDefault="00F74C99" w:rsidP="00F74C99">
      <w:pPr>
        <w:pStyle w:val="DHHSbody"/>
      </w:pPr>
      <w:r w:rsidRPr="00973F96">
        <w:t xml:space="preserve">This summary outlines the changes to the current </w:t>
      </w:r>
      <w:r w:rsidRPr="00973F96">
        <w:rPr>
          <w:i/>
          <w:iCs/>
        </w:rPr>
        <w:t>Policy for maintenance pharmacotherapy for opioid dependence</w:t>
      </w:r>
      <w:r w:rsidRPr="00973F96">
        <w:t xml:space="preserve"> (for sublingual buprenorphine or buprenorphine/naloxone treatment) to include the requirements for using long-acting injectable buprenorphine.</w:t>
      </w:r>
    </w:p>
    <w:p w14:paraId="7ADC4295" w14:textId="59B2BF0B" w:rsidR="00F74C99" w:rsidRPr="00F74C99" w:rsidRDefault="00F74C99" w:rsidP="00F74C99">
      <w:pPr>
        <w:spacing w:after="0" w:line="240" w:lineRule="auto"/>
        <w:rPr>
          <w:rFonts w:eastAsia="Times"/>
          <w:sz w:val="20"/>
        </w:rPr>
      </w:pPr>
    </w:p>
    <w:p w14:paraId="2DD8EABC" w14:textId="77777777" w:rsidR="00F74C99" w:rsidRPr="006378DF" w:rsidRDefault="00F74C99" w:rsidP="00F74C99">
      <w:pPr>
        <w:pStyle w:val="Heading1"/>
      </w:pPr>
      <w:bookmarkStart w:id="3" w:name="_Toc60241055"/>
      <w:r w:rsidRPr="006378DF">
        <w:t>Warning</w:t>
      </w:r>
      <w:bookmarkEnd w:id="3"/>
    </w:p>
    <w:p w14:paraId="75B1EBF6" w14:textId="77777777" w:rsidR="00F74C99" w:rsidRPr="00973F96" w:rsidRDefault="00F74C99" w:rsidP="00F74C99">
      <w:pPr>
        <w:pStyle w:val="DHHSbody"/>
        <w:rPr>
          <w:b/>
          <w:color w:val="7030A0"/>
        </w:rPr>
      </w:pPr>
      <w:r w:rsidRPr="00973F96">
        <w:rPr>
          <w:b/>
        </w:rPr>
        <w:t>These preparations should never be dispensed directly to or handled by the patient or their carer(s).</w:t>
      </w:r>
    </w:p>
    <w:p w14:paraId="45B62903" w14:textId="221D7231" w:rsidR="00F74C99" w:rsidRPr="00973F96" w:rsidRDefault="00F74C99" w:rsidP="00F74C99">
      <w:pPr>
        <w:pStyle w:val="DHHSbody"/>
      </w:pPr>
      <w:r w:rsidRPr="00973F96">
        <w:t>Both</w:t>
      </w:r>
      <w:r w:rsidR="004E445F">
        <w:t xml:space="preserve"> long-acting injectable buprenorphine formulations</w:t>
      </w:r>
      <w:r w:rsidRPr="00973F96">
        <w:t xml:space="preserve"> </w:t>
      </w:r>
      <w:r w:rsidR="004E445F">
        <w:t>(</w:t>
      </w:r>
      <w:proofErr w:type="spellStart"/>
      <w:r w:rsidRPr="00973F96">
        <w:t>Buvidal</w:t>
      </w:r>
      <w:proofErr w:type="spellEnd"/>
      <w:r w:rsidRPr="00973F96">
        <w:rPr>
          <w:b/>
          <w:bCs/>
          <w:vertAlign w:val="superscript"/>
        </w:rPr>
        <w:t>®</w:t>
      </w:r>
      <w:r w:rsidRPr="00973F96">
        <w:t xml:space="preserve"> </w:t>
      </w:r>
      <w:r w:rsidR="0042655E">
        <w:t xml:space="preserve">(Weekly/Monthly) </w:t>
      </w:r>
      <w:r w:rsidRPr="00973F96">
        <w:t xml:space="preserve">and </w:t>
      </w:r>
      <w:proofErr w:type="spellStart"/>
      <w:r w:rsidRPr="00973F96">
        <w:t>Sublocade</w:t>
      </w:r>
      <w:proofErr w:type="spellEnd"/>
      <w:r w:rsidRPr="00973F96">
        <w:rPr>
          <w:b/>
          <w:bCs/>
          <w:vertAlign w:val="superscript"/>
        </w:rPr>
        <w:t>®</w:t>
      </w:r>
      <w:r w:rsidR="004E445F">
        <w:t xml:space="preserve">) </w:t>
      </w:r>
      <w:r w:rsidRPr="00973F96">
        <w:t>are for subcutaneous use only.</w:t>
      </w:r>
    </w:p>
    <w:p w14:paraId="7850409D" w14:textId="77777777" w:rsidR="00F74C99" w:rsidRPr="00973F96" w:rsidRDefault="00F74C99" w:rsidP="00F74C99">
      <w:pPr>
        <w:pStyle w:val="DHHSbody"/>
      </w:pPr>
      <w:r w:rsidRPr="00973F96">
        <w:t>There is a risk of serious harm or death if long-acting injectable buprenorphine is administered intravenously, intra-arterially, intramuscularly or intradermally (for example: pulmonary thrombosis, tissue necrosis, rhabdomyolysis).</w:t>
      </w:r>
    </w:p>
    <w:p w14:paraId="39CBAFC9" w14:textId="77777777" w:rsidR="00F74C99" w:rsidRPr="00973F96" w:rsidRDefault="00F74C99" w:rsidP="00F74C99">
      <w:pPr>
        <w:pStyle w:val="DHHSbody"/>
      </w:pPr>
      <w:proofErr w:type="spellStart"/>
      <w:r w:rsidRPr="00973F96">
        <w:t>Buvidal</w:t>
      </w:r>
      <w:proofErr w:type="spellEnd"/>
      <w:r w:rsidRPr="00973F96">
        <w:rPr>
          <w:b/>
          <w:bCs/>
          <w:vertAlign w:val="superscript"/>
        </w:rPr>
        <w:t>®</w:t>
      </w:r>
      <w:r w:rsidRPr="00973F96">
        <w:t xml:space="preserve"> absorbs water and transforms into a highly viscous gel that remains in situ. </w:t>
      </w:r>
      <w:proofErr w:type="spellStart"/>
      <w:r w:rsidRPr="00973F96">
        <w:t>Sublocade</w:t>
      </w:r>
      <w:proofErr w:type="spellEnd"/>
      <w:r w:rsidRPr="00973F96">
        <w:rPr>
          <w:b/>
          <w:bCs/>
          <w:vertAlign w:val="superscript"/>
        </w:rPr>
        <w:t>®</w:t>
      </w:r>
      <w:r w:rsidRPr="00973F96">
        <w:t xml:space="preserve"> will form a solid mass upon contact with body fluids.</w:t>
      </w:r>
    </w:p>
    <w:p w14:paraId="56238976" w14:textId="5DAE75DB" w:rsidR="00F84C73" w:rsidRDefault="00F74C99" w:rsidP="00F74C99">
      <w:pPr>
        <w:pStyle w:val="DHHSbody"/>
      </w:pPr>
      <w:r w:rsidRPr="00973F96">
        <w:t>If not injected subcutaneously, they may cause occlusion, local tissue damage and thrombo-embolic events, including life-threatening pulmonary emboli.</w:t>
      </w:r>
    </w:p>
    <w:p w14:paraId="1E592A0A" w14:textId="6AE84EC3" w:rsidR="00F74C99" w:rsidRPr="00F84C73" w:rsidRDefault="00F84C73" w:rsidP="00F84C73">
      <w:pPr>
        <w:spacing w:after="0" w:line="240" w:lineRule="auto"/>
        <w:rPr>
          <w:rFonts w:eastAsia="Times"/>
          <w:sz w:val="20"/>
        </w:rPr>
      </w:pPr>
      <w:r>
        <w:br w:type="page"/>
      </w:r>
    </w:p>
    <w:p w14:paraId="3AF90168" w14:textId="77777777" w:rsidR="00F74C99" w:rsidRPr="006378DF" w:rsidRDefault="00F74C99" w:rsidP="00F74C99">
      <w:pPr>
        <w:pStyle w:val="Heading1"/>
      </w:pPr>
      <w:bookmarkStart w:id="4" w:name="_Toc60241056"/>
      <w:r w:rsidRPr="006378DF">
        <w:lastRenderedPageBreak/>
        <w:t>Introduction</w:t>
      </w:r>
      <w:bookmarkEnd w:id="4"/>
    </w:p>
    <w:p w14:paraId="7DB7BC95" w14:textId="34DC9C7F" w:rsidR="00F74C99" w:rsidRDefault="00F74C99" w:rsidP="00F74C99">
      <w:pPr>
        <w:pStyle w:val="DHHSbody"/>
        <w:rPr>
          <w:lang w:eastAsia="en-AU"/>
        </w:rPr>
      </w:pPr>
      <w:bookmarkStart w:id="5" w:name="_Hlk5105236"/>
      <w:r w:rsidRPr="003A439E">
        <w:rPr>
          <w:lang w:eastAsia="en-AU"/>
        </w:rPr>
        <w:t>In 2019</w:t>
      </w:r>
      <w:r w:rsidRPr="004741F2">
        <w:rPr>
          <w:lang w:eastAsia="en-AU"/>
        </w:rPr>
        <w:t xml:space="preserve">, buprenorphine </w:t>
      </w:r>
      <w:r>
        <w:rPr>
          <w:lang w:eastAsia="en-AU"/>
        </w:rPr>
        <w:t>became</w:t>
      </w:r>
      <w:r w:rsidRPr="004741F2">
        <w:rPr>
          <w:lang w:eastAsia="en-AU"/>
        </w:rPr>
        <w:t xml:space="preserve"> available</w:t>
      </w:r>
      <w:r w:rsidR="0042655E">
        <w:rPr>
          <w:lang w:eastAsia="en-AU"/>
        </w:rPr>
        <w:t xml:space="preserve"> on the Pharmaceutical Benefits Scheme</w:t>
      </w:r>
      <w:r w:rsidRPr="004741F2">
        <w:rPr>
          <w:lang w:eastAsia="en-AU"/>
        </w:rPr>
        <w:t xml:space="preserve"> in Australia as a subcutaneous long-acting injection</w:t>
      </w:r>
      <w:r>
        <w:rPr>
          <w:lang w:eastAsia="en-AU"/>
        </w:rPr>
        <w:t xml:space="preserve"> with access initially restricted to specialist settings</w:t>
      </w:r>
      <w:r w:rsidRPr="004741F2">
        <w:rPr>
          <w:lang w:eastAsia="en-AU"/>
        </w:rPr>
        <w:t>.</w:t>
      </w:r>
      <w:r>
        <w:rPr>
          <w:lang w:eastAsia="en-AU"/>
        </w:rPr>
        <w:t xml:space="preserve"> In April 2020</w:t>
      </w:r>
      <w:r w:rsidR="001C7304">
        <w:rPr>
          <w:lang w:eastAsia="en-AU"/>
        </w:rPr>
        <w:t>,</w:t>
      </w:r>
      <w:r>
        <w:rPr>
          <w:lang w:eastAsia="en-AU"/>
        </w:rPr>
        <w:t xml:space="preserve"> the Therapeutic Goods Administration (TGA) approved the availability of these products to a broader group of healthcare professionals.</w:t>
      </w:r>
      <w:r w:rsidRPr="004741F2">
        <w:rPr>
          <w:lang w:eastAsia="en-AU"/>
        </w:rPr>
        <w:t xml:space="preserve"> </w:t>
      </w:r>
    </w:p>
    <w:p w14:paraId="0CCA9D1D" w14:textId="77777777" w:rsidR="00F74C99" w:rsidRDefault="00F74C99" w:rsidP="00F74C99">
      <w:pPr>
        <w:pStyle w:val="DHHSbody"/>
      </w:pPr>
      <w:r w:rsidRPr="35102D32">
        <w:rPr>
          <w:lang w:eastAsia="en-AU"/>
        </w:rPr>
        <w:t>Currently, two long-acting injectable</w:t>
      </w:r>
      <w:r>
        <w:rPr>
          <w:lang w:eastAsia="en-AU"/>
        </w:rPr>
        <w:t xml:space="preserve"> buprenorphine (LAIB)</w:t>
      </w:r>
      <w:r w:rsidRPr="35102D32">
        <w:rPr>
          <w:lang w:eastAsia="en-AU"/>
        </w:rPr>
        <w:t xml:space="preserve"> products are available for the Australian market</w:t>
      </w:r>
      <w:r>
        <w:rPr>
          <w:lang w:eastAsia="en-AU"/>
        </w:rPr>
        <w:t xml:space="preserve">.  They differ in </w:t>
      </w:r>
      <w:r w:rsidRPr="00BD2C01">
        <w:rPr>
          <w:lang w:eastAsia="en-AU"/>
        </w:rPr>
        <w:t xml:space="preserve">their </w:t>
      </w:r>
      <w:r w:rsidRPr="002E5E58">
        <w:t xml:space="preserve">formulations, administration and pharmacology.  Differences are highlighted in the </w:t>
      </w:r>
      <w:hyperlink r:id="rId19" w:history="1">
        <w:r>
          <w:rPr>
            <w:rStyle w:val="Hyperlink"/>
          </w:rPr>
          <w:t>Brief clinical guidelines for use of long-acting injectable buprenorphine in the treatment of opioid dependence</w:t>
        </w:r>
      </w:hyperlink>
      <w:r>
        <w:rPr>
          <w:lang w:eastAsia="en-AU"/>
        </w:rPr>
        <w:t>.</w:t>
      </w:r>
    </w:p>
    <w:p w14:paraId="53FA141C" w14:textId="17921A7A" w:rsidR="00F74C99" w:rsidRDefault="00F74C99" w:rsidP="003913FF">
      <w:pPr>
        <w:pStyle w:val="Bullet1"/>
        <w:rPr>
          <w:lang w:eastAsia="en-AU"/>
        </w:rPr>
      </w:pPr>
      <w:proofErr w:type="spellStart"/>
      <w:r w:rsidRPr="004741F2">
        <w:rPr>
          <w:lang w:eastAsia="en-AU"/>
        </w:rPr>
        <w:t>Buvidal</w:t>
      </w:r>
      <w:proofErr w:type="spellEnd"/>
      <w:r w:rsidRPr="008B451D">
        <w:rPr>
          <w:vertAlign w:val="superscript"/>
          <w:lang w:eastAsia="en-AU"/>
        </w:rPr>
        <w:t>®</w:t>
      </w:r>
      <w:r w:rsidRPr="004741F2">
        <w:rPr>
          <w:lang w:eastAsia="en-AU"/>
        </w:rPr>
        <w:t xml:space="preserve"> (Cam</w:t>
      </w:r>
      <w:r w:rsidR="0042655E">
        <w:rPr>
          <w:lang w:eastAsia="en-AU"/>
        </w:rPr>
        <w:t>u</w:t>
      </w:r>
      <w:r w:rsidRPr="004741F2">
        <w:rPr>
          <w:lang w:eastAsia="en-AU"/>
        </w:rPr>
        <w:t xml:space="preserve">rus Pty Ltd, Sweden, </w:t>
      </w:r>
      <w:r>
        <w:rPr>
          <w:lang w:eastAsia="en-AU"/>
        </w:rPr>
        <w:t xml:space="preserve">TGA </w:t>
      </w:r>
      <w:r w:rsidR="0042655E">
        <w:rPr>
          <w:lang w:eastAsia="en-AU"/>
        </w:rPr>
        <w:t>lifting of restricted access</w:t>
      </w:r>
      <w:r>
        <w:rPr>
          <w:lang w:eastAsia="en-AU"/>
        </w:rPr>
        <w:t xml:space="preserve"> 3 April 2020</w:t>
      </w:r>
      <w:r w:rsidRPr="004741F2">
        <w:rPr>
          <w:lang w:eastAsia="en-AU"/>
        </w:rPr>
        <w:t xml:space="preserve">) </w:t>
      </w:r>
    </w:p>
    <w:p w14:paraId="3BE26750" w14:textId="71CC2E96" w:rsidR="00F74C99" w:rsidRDefault="00F74C99" w:rsidP="119EF856">
      <w:pPr>
        <w:pStyle w:val="Bullet1"/>
        <w:rPr>
          <w:lang w:eastAsia="en-AU"/>
        </w:rPr>
      </w:pPr>
      <w:proofErr w:type="spellStart"/>
      <w:r>
        <w:t>Sublocade</w:t>
      </w:r>
      <w:proofErr w:type="spellEnd"/>
      <w:r>
        <w:t xml:space="preserve">® (Indivior Pty Ltd, USA, </w:t>
      </w:r>
      <w:bookmarkEnd w:id="5"/>
      <w:r>
        <w:t xml:space="preserve">TGA </w:t>
      </w:r>
      <w:r w:rsidR="0042655E">
        <w:t>lifting of restricted access</w:t>
      </w:r>
      <w:r>
        <w:t xml:space="preserve"> 21 April 2020).</w:t>
      </w:r>
    </w:p>
    <w:p w14:paraId="77A24C8A" w14:textId="77777777" w:rsidR="00F74C99" w:rsidRDefault="00F74C99" w:rsidP="00F74C99">
      <w:pPr>
        <w:pStyle w:val="DHHSbody"/>
        <w:rPr>
          <w:lang w:eastAsia="en-AU"/>
        </w:rPr>
      </w:pPr>
      <w:proofErr w:type="spellStart"/>
      <w:r w:rsidRPr="004741F2">
        <w:rPr>
          <w:lang w:eastAsia="en-AU"/>
        </w:rPr>
        <w:t>Buvidal</w:t>
      </w:r>
      <w:proofErr w:type="spellEnd"/>
      <w:r w:rsidRPr="004A340F">
        <w:rPr>
          <w:b/>
          <w:bCs/>
          <w:vertAlign w:val="superscript"/>
        </w:rPr>
        <w:t>®</w:t>
      </w:r>
      <w:r w:rsidRPr="004741F2">
        <w:rPr>
          <w:lang w:eastAsia="en-AU"/>
        </w:rPr>
        <w:t xml:space="preserve"> </w:t>
      </w:r>
      <w:r>
        <w:rPr>
          <w:lang w:eastAsia="en-AU"/>
        </w:rPr>
        <w:t>formulations</w:t>
      </w:r>
      <w:r w:rsidRPr="004741F2">
        <w:rPr>
          <w:lang w:eastAsia="en-AU"/>
        </w:rPr>
        <w:t xml:space="preserve"> allow for weekly or monthly dosing frequency</w:t>
      </w:r>
      <w:r>
        <w:rPr>
          <w:lang w:eastAsia="en-AU"/>
        </w:rPr>
        <w:t>.</w:t>
      </w:r>
      <w:r w:rsidRPr="004741F2">
        <w:rPr>
          <w:lang w:eastAsia="en-AU"/>
        </w:rPr>
        <w:t xml:space="preserve"> </w:t>
      </w:r>
      <w:proofErr w:type="spellStart"/>
      <w:r w:rsidRPr="004741F2">
        <w:rPr>
          <w:lang w:eastAsia="en-AU"/>
        </w:rPr>
        <w:t>Sublocade</w:t>
      </w:r>
      <w:proofErr w:type="spellEnd"/>
      <w:r w:rsidRPr="004A340F">
        <w:rPr>
          <w:b/>
          <w:bCs/>
          <w:vertAlign w:val="superscript"/>
        </w:rPr>
        <w:t>®</w:t>
      </w:r>
      <w:r w:rsidRPr="004741F2">
        <w:rPr>
          <w:lang w:eastAsia="en-AU"/>
        </w:rPr>
        <w:t xml:space="preserve"> </w:t>
      </w:r>
      <w:r>
        <w:rPr>
          <w:lang w:eastAsia="en-AU"/>
        </w:rPr>
        <w:t>formulations</w:t>
      </w:r>
      <w:r w:rsidRPr="004741F2">
        <w:rPr>
          <w:lang w:eastAsia="en-AU"/>
        </w:rPr>
        <w:t xml:space="preserve"> allow for monthly dosing only.</w:t>
      </w:r>
    </w:p>
    <w:p w14:paraId="285F3A3A" w14:textId="6E3662A1" w:rsidR="00F74C99" w:rsidRDefault="00F74C99" w:rsidP="00F74C99">
      <w:pPr>
        <w:pStyle w:val="DHHSbody"/>
        <w:rPr>
          <w:lang w:eastAsia="en-AU"/>
        </w:rPr>
      </w:pPr>
      <w:r w:rsidRPr="004741F2">
        <w:rPr>
          <w:lang w:eastAsia="en-AU"/>
        </w:rPr>
        <w:t xml:space="preserve">Weekly or monthly administration of </w:t>
      </w:r>
      <w:r>
        <w:rPr>
          <w:lang w:eastAsia="en-AU"/>
        </w:rPr>
        <w:t>LAIB</w:t>
      </w:r>
      <w:r w:rsidRPr="004741F2">
        <w:rPr>
          <w:lang w:eastAsia="en-AU"/>
        </w:rPr>
        <w:t xml:space="preserve"> negates the need for daily dosing and takeaways, and therefore reduces the frequency of supervised dosing to weekly or monthly intervals.</w:t>
      </w:r>
    </w:p>
    <w:p w14:paraId="698E79E7" w14:textId="5B905D40" w:rsidR="00F74C99" w:rsidRPr="004741F2" w:rsidRDefault="00F74C99" w:rsidP="00F74C99">
      <w:pPr>
        <w:pStyle w:val="DHHSbody"/>
        <w:rPr>
          <w:lang w:eastAsia="en-AU"/>
        </w:rPr>
      </w:pPr>
      <w:r w:rsidRPr="004741F2">
        <w:rPr>
          <w:lang w:eastAsia="en-AU"/>
        </w:rPr>
        <w:t>In turn, this potentially reduces travel</w:t>
      </w:r>
      <w:r>
        <w:rPr>
          <w:lang w:eastAsia="en-AU"/>
        </w:rPr>
        <w:t>, stigma</w:t>
      </w:r>
      <w:r w:rsidRPr="004741F2">
        <w:rPr>
          <w:lang w:eastAsia="en-AU"/>
        </w:rPr>
        <w:t xml:space="preserve"> and out of pocket expenses for </w:t>
      </w:r>
      <w:r>
        <w:rPr>
          <w:lang w:eastAsia="en-AU"/>
        </w:rPr>
        <w:t>patients</w:t>
      </w:r>
      <w:r w:rsidRPr="004741F2">
        <w:rPr>
          <w:lang w:eastAsia="en-AU"/>
        </w:rPr>
        <w:t>.</w:t>
      </w:r>
      <w:r w:rsidR="0042655E">
        <w:rPr>
          <w:lang w:eastAsia="en-AU"/>
        </w:rPr>
        <w:t xml:space="preserve"> </w:t>
      </w:r>
      <w:r>
        <w:rPr>
          <w:lang w:eastAsia="en-AU"/>
        </w:rPr>
        <w:t>Eliminating</w:t>
      </w:r>
      <w:r w:rsidRPr="004741F2">
        <w:rPr>
          <w:lang w:eastAsia="en-AU"/>
        </w:rPr>
        <w:t xml:space="preserve"> takeaway doses</w:t>
      </w:r>
      <w:r>
        <w:rPr>
          <w:lang w:eastAsia="en-AU"/>
        </w:rPr>
        <w:t xml:space="preserve"> also</w:t>
      </w:r>
      <w:r w:rsidRPr="004741F2">
        <w:rPr>
          <w:lang w:eastAsia="en-AU"/>
        </w:rPr>
        <w:t xml:space="preserve"> reduces the scope for diversion and improves child safety.</w:t>
      </w:r>
    </w:p>
    <w:p w14:paraId="19E783B0" w14:textId="77777777" w:rsidR="00F74C99" w:rsidRDefault="00F74C99" w:rsidP="00F74C99">
      <w:pPr>
        <w:pStyle w:val="DHHSbody"/>
        <w:rPr>
          <w:lang w:eastAsia="en-AU"/>
        </w:rPr>
      </w:pPr>
      <w:r w:rsidRPr="004741F2">
        <w:rPr>
          <w:lang w:eastAsia="en-AU"/>
        </w:rPr>
        <w:t xml:space="preserve">For reference, the main features of the two products are shown in </w:t>
      </w:r>
      <w:r w:rsidRPr="004D4CD9">
        <w:t>Table</w:t>
      </w:r>
      <w:r w:rsidRPr="004741F2">
        <w:rPr>
          <w:lang w:eastAsia="en-AU"/>
        </w:rPr>
        <w:t xml:space="preserve"> 1.</w:t>
      </w:r>
    </w:p>
    <w:p w14:paraId="61B3B893" w14:textId="7DA0782F" w:rsidR="00F74C99" w:rsidRPr="008B451D" w:rsidRDefault="00F74C99" w:rsidP="00B31CC2">
      <w:pPr>
        <w:pStyle w:val="DHHStablecaption"/>
        <w:tabs>
          <w:tab w:val="left" w:pos="5870"/>
        </w:tabs>
      </w:pPr>
      <w:r>
        <w:rPr>
          <w:lang w:eastAsia="en-AU"/>
        </w:rPr>
        <w:t xml:space="preserve">Table 1: Main features of </w:t>
      </w:r>
      <w:proofErr w:type="spellStart"/>
      <w:r>
        <w:rPr>
          <w:lang w:eastAsia="en-AU"/>
        </w:rPr>
        <w:t>Buvidal</w:t>
      </w:r>
      <w:proofErr w:type="spellEnd"/>
      <w:r w:rsidRPr="004A340F">
        <w:rPr>
          <w:rFonts w:eastAsia="Times"/>
          <w:b w:val="0"/>
          <w:bCs/>
          <w:vertAlign w:val="superscript"/>
        </w:rPr>
        <w:t>®</w:t>
      </w:r>
      <w:r>
        <w:rPr>
          <w:lang w:eastAsia="en-AU"/>
        </w:rPr>
        <w:t xml:space="preserve"> and </w:t>
      </w:r>
      <w:proofErr w:type="spellStart"/>
      <w:r>
        <w:rPr>
          <w:lang w:eastAsia="en-AU"/>
        </w:rPr>
        <w:t>Sublocade</w:t>
      </w:r>
      <w:proofErr w:type="spellEnd"/>
      <w:r w:rsidRPr="004A340F">
        <w:rPr>
          <w:rFonts w:eastAsia="Times"/>
          <w:b w:val="0"/>
          <w:bCs/>
          <w:vertAlign w:val="superscript"/>
        </w:rPr>
        <w:t>®</w:t>
      </w:r>
      <w:r w:rsidR="00B31CC2">
        <w:rPr>
          <w:rFonts w:eastAsia="Times"/>
          <w:b w:val="0"/>
          <w:bCs/>
          <w:vertAlign w:val="superscript"/>
        </w:rPr>
        <w:tab/>
      </w:r>
    </w:p>
    <w:tbl>
      <w:tblPr>
        <w:tblStyle w:val="TableGrid"/>
        <w:tblW w:w="0" w:type="auto"/>
        <w:tblLook w:val="04A0" w:firstRow="1" w:lastRow="0" w:firstColumn="1" w:lastColumn="0" w:noHBand="0" w:noVBand="1"/>
      </w:tblPr>
      <w:tblGrid>
        <w:gridCol w:w="2547"/>
        <w:gridCol w:w="3260"/>
        <w:gridCol w:w="3209"/>
      </w:tblGrid>
      <w:tr w:rsidR="00F74C99" w14:paraId="0915F13A" w14:textId="77777777" w:rsidTr="00F84C73">
        <w:trPr>
          <w:tblHeader/>
        </w:trPr>
        <w:tc>
          <w:tcPr>
            <w:tcW w:w="2547" w:type="dxa"/>
            <w:tcBorders>
              <w:top w:val="single" w:sz="4" w:space="0" w:color="auto"/>
            </w:tcBorders>
            <w:shd w:val="clear" w:color="auto" w:fill="DBE5F1" w:themeFill="accent1" w:themeFillTint="33"/>
          </w:tcPr>
          <w:p w14:paraId="2C680D07" w14:textId="77777777" w:rsidR="00F74C99" w:rsidRPr="00F84C73" w:rsidRDefault="00F74C99" w:rsidP="00C03E27">
            <w:pPr>
              <w:pStyle w:val="DHHStablecolhead"/>
              <w:rPr>
                <w:color w:val="000000" w:themeColor="text1"/>
              </w:rPr>
            </w:pPr>
            <w:r w:rsidRPr="00F84C73">
              <w:rPr>
                <w:color w:val="000000" w:themeColor="text1"/>
              </w:rPr>
              <w:t>Formulation</w:t>
            </w:r>
          </w:p>
        </w:tc>
        <w:tc>
          <w:tcPr>
            <w:tcW w:w="3260" w:type="dxa"/>
            <w:tcBorders>
              <w:top w:val="single" w:sz="4" w:space="0" w:color="auto"/>
            </w:tcBorders>
            <w:shd w:val="clear" w:color="auto" w:fill="DBE5F1" w:themeFill="accent1" w:themeFillTint="33"/>
          </w:tcPr>
          <w:p w14:paraId="2EC89DBC" w14:textId="77777777" w:rsidR="00F74C99" w:rsidRPr="00F84C73" w:rsidRDefault="00F74C99" w:rsidP="00C03E27">
            <w:pPr>
              <w:pStyle w:val="DHHStablecolhead"/>
              <w:rPr>
                <w:color w:val="000000" w:themeColor="text1"/>
              </w:rPr>
            </w:pPr>
            <w:proofErr w:type="spellStart"/>
            <w:r w:rsidRPr="00F84C73">
              <w:rPr>
                <w:color w:val="000000" w:themeColor="text1"/>
              </w:rPr>
              <w:t>Buvidal</w:t>
            </w:r>
            <w:proofErr w:type="spellEnd"/>
            <w:r w:rsidRPr="00F84C73">
              <w:rPr>
                <w:rFonts w:eastAsia="Times"/>
                <w:b w:val="0"/>
                <w:bCs/>
                <w:color w:val="000000" w:themeColor="text1"/>
                <w:vertAlign w:val="superscript"/>
              </w:rPr>
              <w:t>®</w:t>
            </w:r>
          </w:p>
        </w:tc>
        <w:tc>
          <w:tcPr>
            <w:tcW w:w="3209" w:type="dxa"/>
            <w:tcBorders>
              <w:top w:val="single" w:sz="4" w:space="0" w:color="auto"/>
            </w:tcBorders>
            <w:shd w:val="clear" w:color="auto" w:fill="DBE5F1" w:themeFill="accent1" w:themeFillTint="33"/>
          </w:tcPr>
          <w:p w14:paraId="6158071E" w14:textId="77777777" w:rsidR="00F74C99" w:rsidRPr="00F84C73" w:rsidRDefault="00F74C99" w:rsidP="00C03E27">
            <w:pPr>
              <w:pStyle w:val="DHHStablecolhead"/>
              <w:rPr>
                <w:color w:val="000000" w:themeColor="text1"/>
              </w:rPr>
            </w:pPr>
            <w:proofErr w:type="spellStart"/>
            <w:r w:rsidRPr="00F84C73">
              <w:rPr>
                <w:color w:val="000000" w:themeColor="text1"/>
              </w:rPr>
              <w:t>Sublocade</w:t>
            </w:r>
            <w:proofErr w:type="spellEnd"/>
            <w:r w:rsidRPr="00F84C73">
              <w:rPr>
                <w:rFonts w:eastAsia="Times"/>
                <w:b w:val="0"/>
                <w:bCs/>
                <w:color w:val="000000" w:themeColor="text1"/>
                <w:vertAlign w:val="superscript"/>
              </w:rPr>
              <w:t>®</w:t>
            </w:r>
          </w:p>
        </w:tc>
      </w:tr>
      <w:tr w:rsidR="00F74C99" w14:paraId="110BB56C" w14:textId="77777777" w:rsidTr="00F84C73">
        <w:tc>
          <w:tcPr>
            <w:tcW w:w="2547" w:type="dxa"/>
          </w:tcPr>
          <w:p w14:paraId="29D4040E" w14:textId="77777777" w:rsidR="00F74C99" w:rsidRPr="00F84C73" w:rsidRDefault="00F74C99" w:rsidP="00C03E27">
            <w:pPr>
              <w:pStyle w:val="DHHStablecolhead"/>
              <w:rPr>
                <w:color w:val="595959" w:themeColor="text1" w:themeTint="A6"/>
              </w:rPr>
            </w:pPr>
            <w:r w:rsidRPr="00F84C73">
              <w:rPr>
                <w:color w:val="595959" w:themeColor="text1" w:themeTint="A6"/>
              </w:rPr>
              <w:t>Product of description</w:t>
            </w:r>
          </w:p>
        </w:tc>
        <w:tc>
          <w:tcPr>
            <w:tcW w:w="3260" w:type="dxa"/>
          </w:tcPr>
          <w:p w14:paraId="45AC5996" w14:textId="77777777" w:rsidR="00F74C99" w:rsidRDefault="00F74C99" w:rsidP="00C03E27">
            <w:pPr>
              <w:pStyle w:val="DHHStabletext"/>
              <w:rPr>
                <w:lang w:eastAsia="en-AU"/>
              </w:rPr>
            </w:pPr>
            <w:r>
              <w:rPr>
                <w:lang w:eastAsia="en-AU"/>
              </w:rPr>
              <w:t>Buprenorphine long-acting injectable preparation for subcutaneous injection</w:t>
            </w:r>
          </w:p>
        </w:tc>
        <w:tc>
          <w:tcPr>
            <w:tcW w:w="3209" w:type="dxa"/>
          </w:tcPr>
          <w:p w14:paraId="7FF5BAC9" w14:textId="77777777" w:rsidR="00F74C99" w:rsidRDefault="00F74C99" w:rsidP="00C03E27">
            <w:pPr>
              <w:pStyle w:val="DHHStabletext"/>
              <w:rPr>
                <w:lang w:eastAsia="en-AU"/>
              </w:rPr>
            </w:pPr>
            <w:r>
              <w:rPr>
                <w:lang w:eastAsia="en-AU"/>
              </w:rPr>
              <w:t>Buprenorphine long-acting injectable preparation for subcutaneous injection</w:t>
            </w:r>
          </w:p>
        </w:tc>
      </w:tr>
      <w:tr w:rsidR="00F74C99" w14:paraId="0982F25F" w14:textId="77777777" w:rsidTr="00F84C73">
        <w:tc>
          <w:tcPr>
            <w:tcW w:w="2547" w:type="dxa"/>
          </w:tcPr>
          <w:p w14:paraId="093BA237" w14:textId="77777777" w:rsidR="00F74C99" w:rsidRPr="00F84C73" w:rsidRDefault="00F74C99" w:rsidP="00C03E27">
            <w:pPr>
              <w:pStyle w:val="DHHStablecolhead"/>
              <w:rPr>
                <w:color w:val="595959" w:themeColor="text1" w:themeTint="A6"/>
              </w:rPr>
            </w:pPr>
            <w:r w:rsidRPr="00F84C73">
              <w:rPr>
                <w:color w:val="595959" w:themeColor="text1" w:themeTint="A6"/>
              </w:rPr>
              <w:t>Dosage strengths</w:t>
            </w:r>
          </w:p>
        </w:tc>
        <w:tc>
          <w:tcPr>
            <w:tcW w:w="3260" w:type="dxa"/>
          </w:tcPr>
          <w:p w14:paraId="4FCAD160" w14:textId="77777777" w:rsidR="00F74C99" w:rsidRDefault="00F74C99" w:rsidP="00C03E27">
            <w:pPr>
              <w:pStyle w:val="DHHStabletext"/>
              <w:rPr>
                <w:lang w:eastAsia="en-AU"/>
              </w:rPr>
            </w:pPr>
            <w:proofErr w:type="spellStart"/>
            <w:r>
              <w:rPr>
                <w:lang w:eastAsia="en-AU"/>
              </w:rPr>
              <w:t>Buvidal</w:t>
            </w:r>
            <w:proofErr w:type="spellEnd"/>
            <w:r w:rsidRPr="00BD0122">
              <w:rPr>
                <w:vertAlign w:val="superscript"/>
                <w:lang w:eastAsia="en-AU"/>
              </w:rPr>
              <w:t>®</w:t>
            </w:r>
            <w:r>
              <w:rPr>
                <w:lang w:eastAsia="en-AU"/>
              </w:rPr>
              <w:t xml:space="preserve"> Weekly strengths: 8 mg, 16 mg, 24 mg, 32 mg</w:t>
            </w:r>
          </w:p>
          <w:p w14:paraId="32CF2EF6" w14:textId="77777777" w:rsidR="00F74C99" w:rsidRDefault="00F74C99" w:rsidP="00C03E27">
            <w:pPr>
              <w:pStyle w:val="DHHStabletext"/>
              <w:rPr>
                <w:lang w:eastAsia="en-AU"/>
              </w:rPr>
            </w:pPr>
            <w:proofErr w:type="spellStart"/>
            <w:r>
              <w:rPr>
                <w:lang w:eastAsia="en-AU"/>
              </w:rPr>
              <w:t>Buvidal</w:t>
            </w:r>
            <w:proofErr w:type="spellEnd"/>
            <w:r w:rsidRPr="00BD0122">
              <w:rPr>
                <w:vertAlign w:val="superscript"/>
                <w:lang w:eastAsia="en-AU"/>
              </w:rPr>
              <w:t>®</w:t>
            </w:r>
            <w:r>
              <w:rPr>
                <w:lang w:eastAsia="en-AU"/>
              </w:rPr>
              <w:t xml:space="preserve"> Monthly strengths: 64 mg, 96 mg, 128 mg</w:t>
            </w:r>
          </w:p>
        </w:tc>
        <w:tc>
          <w:tcPr>
            <w:tcW w:w="3209" w:type="dxa"/>
          </w:tcPr>
          <w:p w14:paraId="51495A19" w14:textId="6CA26AAB" w:rsidR="00F74C99" w:rsidRDefault="00F74C99" w:rsidP="00C03E27">
            <w:pPr>
              <w:pStyle w:val="DHHStabletext"/>
              <w:rPr>
                <w:lang w:eastAsia="en-AU"/>
              </w:rPr>
            </w:pPr>
            <w:r>
              <w:rPr>
                <w:lang w:eastAsia="en-AU"/>
              </w:rPr>
              <w:t>100 mg</w:t>
            </w:r>
          </w:p>
          <w:p w14:paraId="06125CE8" w14:textId="55D36E06" w:rsidR="00F74C99" w:rsidRDefault="00F74C99" w:rsidP="00C03E27">
            <w:pPr>
              <w:pStyle w:val="DHHStabletext"/>
              <w:rPr>
                <w:lang w:eastAsia="en-AU"/>
              </w:rPr>
            </w:pPr>
            <w:r>
              <w:rPr>
                <w:lang w:eastAsia="en-AU"/>
              </w:rPr>
              <w:t>300 mg</w:t>
            </w:r>
          </w:p>
        </w:tc>
      </w:tr>
      <w:tr w:rsidR="00F74C99" w14:paraId="23975B09" w14:textId="77777777" w:rsidTr="00F84C73">
        <w:tc>
          <w:tcPr>
            <w:tcW w:w="2547" w:type="dxa"/>
          </w:tcPr>
          <w:p w14:paraId="7F98E1ED" w14:textId="77777777" w:rsidR="00F74C99" w:rsidRPr="00F84C73" w:rsidRDefault="00F74C99" w:rsidP="00C03E27">
            <w:pPr>
              <w:pStyle w:val="DHHStablecolhead"/>
              <w:rPr>
                <w:color w:val="595959" w:themeColor="text1" w:themeTint="A6"/>
              </w:rPr>
            </w:pPr>
            <w:r w:rsidRPr="00F84C73">
              <w:rPr>
                <w:color w:val="595959" w:themeColor="text1" w:themeTint="A6"/>
              </w:rPr>
              <w:t>Subcutaneous injection site</w:t>
            </w:r>
          </w:p>
        </w:tc>
        <w:tc>
          <w:tcPr>
            <w:tcW w:w="3260" w:type="dxa"/>
          </w:tcPr>
          <w:p w14:paraId="272042E0" w14:textId="77777777" w:rsidR="00F74C99" w:rsidRDefault="00F74C99" w:rsidP="00C03E27">
            <w:pPr>
              <w:pStyle w:val="DHHStabletext"/>
              <w:rPr>
                <w:lang w:eastAsia="en-AU"/>
              </w:rPr>
            </w:pPr>
            <w:r>
              <w:rPr>
                <w:lang w:eastAsia="en-AU"/>
              </w:rPr>
              <w:t>Buttocks, thigh, abdomen or upper arm</w:t>
            </w:r>
          </w:p>
        </w:tc>
        <w:tc>
          <w:tcPr>
            <w:tcW w:w="3209" w:type="dxa"/>
          </w:tcPr>
          <w:p w14:paraId="1BB255EE" w14:textId="77777777" w:rsidR="00F74C99" w:rsidRDefault="00F74C99" w:rsidP="00C03E27">
            <w:pPr>
              <w:pStyle w:val="DHHStabletext"/>
              <w:rPr>
                <w:lang w:eastAsia="en-AU"/>
              </w:rPr>
            </w:pPr>
            <w:r>
              <w:rPr>
                <w:lang w:eastAsia="en-AU"/>
              </w:rPr>
              <w:t>Abdomen only</w:t>
            </w:r>
          </w:p>
        </w:tc>
      </w:tr>
      <w:tr w:rsidR="00F74C99" w14:paraId="293EB742" w14:textId="77777777" w:rsidTr="00F84C73">
        <w:tc>
          <w:tcPr>
            <w:tcW w:w="2547" w:type="dxa"/>
          </w:tcPr>
          <w:p w14:paraId="008C3E5E" w14:textId="77777777" w:rsidR="00F74C99" w:rsidRPr="00F84C73" w:rsidRDefault="00F74C99" w:rsidP="00C03E27">
            <w:pPr>
              <w:pStyle w:val="DHHStablecolhead"/>
              <w:rPr>
                <w:color w:val="595959" w:themeColor="text1" w:themeTint="A6"/>
              </w:rPr>
            </w:pPr>
            <w:r w:rsidRPr="00F84C73">
              <w:rPr>
                <w:color w:val="595959" w:themeColor="text1" w:themeTint="A6"/>
              </w:rPr>
              <w:t>Frequency of dosing</w:t>
            </w:r>
          </w:p>
        </w:tc>
        <w:tc>
          <w:tcPr>
            <w:tcW w:w="3260" w:type="dxa"/>
          </w:tcPr>
          <w:p w14:paraId="1F414450" w14:textId="77777777" w:rsidR="00F74C99" w:rsidRDefault="00F74C99" w:rsidP="00C03E27">
            <w:pPr>
              <w:pStyle w:val="DHHStabletext"/>
              <w:rPr>
                <w:lang w:eastAsia="en-AU"/>
              </w:rPr>
            </w:pPr>
            <w:r>
              <w:rPr>
                <w:lang w:eastAsia="en-AU"/>
              </w:rPr>
              <w:t>Weekly</w:t>
            </w:r>
          </w:p>
          <w:p w14:paraId="25E67254" w14:textId="77777777" w:rsidR="00F74C99" w:rsidRDefault="00F74C99" w:rsidP="00C03E27">
            <w:pPr>
              <w:pStyle w:val="DHHStabletext"/>
              <w:rPr>
                <w:lang w:eastAsia="en-AU"/>
              </w:rPr>
            </w:pPr>
            <w:r>
              <w:rPr>
                <w:lang w:eastAsia="en-AU"/>
              </w:rPr>
              <w:t>Monthly</w:t>
            </w:r>
          </w:p>
        </w:tc>
        <w:tc>
          <w:tcPr>
            <w:tcW w:w="3209" w:type="dxa"/>
          </w:tcPr>
          <w:p w14:paraId="14BCC783" w14:textId="77777777" w:rsidR="00F74C99" w:rsidRDefault="00F74C99" w:rsidP="00C03E27">
            <w:pPr>
              <w:pStyle w:val="DHHStabletext"/>
              <w:rPr>
                <w:lang w:eastAsia="en-AU"/>
              </w:rPr>
            </w:pPr>
            <w:r>
              <w:rPr>
                <w:lang w:eastAsia="en-AU"/>
              </w:rPr>
              <w:t>Monthly</w:t>
            </w:r>
          </w:p>
        </w:tc>
      </w:tr>
      <w:tr w:rsidR="00F74C99" w14:paraId="02E7BB00" w14:textId="77777777" w:rsidTr="00F84C73">
        <w:tc>
          <w:tcPr>
            <w:tcW w:w="2547" w:type="dxa"/>
          </w:tcPr>
          <w:p w14:paraId="660925D2" w14:textId="77777777" w:rsidR="00F74C99" w:rsidRPr="00F84C73" w:rsidRDefault="00F74C99" w:rsidP="00C03E27">
            <w:pPr>
              <w:pStyle w:val="DHHStablecolhead"/>
              <w:rPr>
                <w:color w:val="595959" w:themeColor="text1" w:themeTint="A6"/>
              </w:rPr>
            </w:pPr>
            <w:r w:rsidRPr="00F84C73">
              <w:rPr>
                <w:color w:val="595959" w:themeColor="text1" w:themeTint="A6"/>
              </w:rPr>
              <w:t>Transport and storage</w:t>
            </w:r>
          </w:p>
        </w:tc>
        <w:tc>
          <w:tcPr>
            <w:tcW w:w="3260" w:type="dxa"/>
          </w:tcPr>
          <w:p w14:paraId="07FCCC63" w14:textId="77777777" w:rsidR="00F74C99" w:rsidRDefault="00F74C99" w:rsidP="00C03E27">
            <w:pPr>
              <w:pStyle w:val="DHHStabletext"/>
              <w:rPr>
                <w:lang w:eastAsia="en-AU"/>
              </w:rPr>
            </w:pPr>
            <w:r>
              <w:rPr>
                <w:lang w:eastAsia="en-AU"/>
              </w:rPr>
              <w:t>Usual Schedule 8 requirements (including Schedule 8 compliant safe)</w:t>
            </w:r>
          </w:p>
          <w:p w14:paraId="08399ABB" w14:textId="77777777" w:rsidR="00F74C99" w:rsidRDefault="00F74C99" w:rsidP="00C03E27">
            <w:pPr>
              <w:pStyle w:val="DHHStabletext"/>
              <w:rPr>
                <w:lang w:eastAsia="en-AU"/>
              </w:rPr>
            </w:pPr>
            <w:r>
              <w:rPr>
                <w:lang w:eastAsia="en-AU"/>
              </w:rPr>
              <w:t>Store at room temperature (below 25</w:t>
            </w:r>
            <w:r>
              <w:rPr>
                <w:rFonts w:cs="Arial"/>
                <w:lang w:eastAsia="en-AU"/>
              </w:rPr>
              <w:t>º</w:t>
            </w:r>
            <w:r>
              <w:rPr>
                <w:lang w:eastAsia="en-AU"/>
              </w:rPr>
              <w:t>C)</w:t>
            </w:r>
          </w:p>
          <w:p w14:paraId="24F1A438" w14:textId="77777777" w:rsidR="00F74C99" w:rsidRDefault="00F74C99" w:rsidP="00C03E27">
            <w:pPr>
              <w:pStyle w:val="DHHStabletext"/>
              <w:rPr>
                <w:lang w:eastAsia="en-AU"/>
              </w:rPr>
            </w:pPr>
            <w:r>
              <w:rPr>
                <w:lang w:eastAsia="en-AU"/>
              </w:rPr>
              <w:t>Do not refrigerate</w:t>
            </w:r>
          </w:p>
        </w:tc>
        <w:tc>
          <w:tcPr>
            <w:tcW w:w="3209" w:type="dxa"/>
          </w:tcPr>
          <w:p w14:paraId="6535B93B" w14:textId="77777777" w:rsidR="00F74C99" w:rsidRDefault="00F74C99" w:rsidP="00C03E27">
            <w:pPr>
              <w:pStyle w:val="DHHStabletext"/>
              <w:rPr>
                <w:lang w:eastAsia="en-AU"/>
              </w:rPr>
            </w:pPr>
            <w:r>
              <w:rPr>
                <w:lang w:eastAsia="en-AU"/>
              </w:rPr>
              <w:t>Usual Schedule 8 requirements (including Schedule 8 refrigeration requirements)</w:t>
            </w:r>
          </w:p>
          <w:p w14:paraId="590FF1CF" w14:textId="77777777" w:rsidR="00F74C99" w:rsidRDefault="00F74C99" w:rsidP="00C03E27">
            <w:pPr>
              <w:pStyle w:val="DHHStabletext"/>
              <w:rPr>
                <w:lang w:eastAsia="en-AU"/>
              </w:rPr>
            </w:pPr>
            <w:r>
              <w:rPr>
                <w:lang w:eastAsia="en-AU"/>
              </w:rPr>
              <w:t>Requires refrigeration (2-8</w:t>
            </w:r>
            <w:r>
              <w:rPr>
                <w:rFonts w:cs="Arial"/>
                <w:lang w:eastAsia="en-AU"/>
              </w:rPr>
              <w:t>º</w:t>
            </w:r>
            <w:r>
              <w:rPr>
                <w:lang w:eastAsia="en-AU"/>
              </w:rPr>
              <w:t>C)</w:t>
            </w:r>
          </w:p>
          <w:p w14:paraId="53BC892F" w14:textId="77777777" w:rsidR="00F74C99" w:rsidRDefault="00F74C99" w:rsidP="00C03E27">
            <w:pPr>
              <w:pStyle w:val="DHHStabletext"/>
              <w:rPr>
                <w:lang w:eastAsia="en-AU"/>
              </w:rPr>
            </w:pPr>
            <w:r>
              <w:rPr>
                <w:lang w:eastAsia="en-AU"/>
              </w:rPr>
              <w:t>Can be stored at room temperature (below 25</w:t>
            </w:r>
            <w:r>
              <w:rPr>
                <w:rFonts w:cs="Arial"/>
                <w:lang w:eastAsia="en-AU"/>
              </w:rPr>
              <w:t>º</w:t>
            </w:r>
            <w:r>
              <w:rPr>
                <w:lang w:eastAsia="en-AU"/>
              </w:rPr>
              <w:t>C) for up to either 7 or 28 days prior to administration (see individual packaging for details).</w:t>
            </w:r>
          </w:p>
        </w:tc>
      </w:tr>
      <w:tr w:rsidR="00F74C99" w14:paraId="41C5752A" w14:textId="77777777" w:rsidTr="00F84C73">
        <w:tc>
          <w:tcPr>
            <w:tcW w:w="2547" w:type="dxa"/>
          </w:tcPr>
          <w:p w14:paraId="0EFDAA32" w14:textId="77777777" w:rsidR="00F74C99" w:rsidRPr="00F84C73" w:rsidRDefault="00F74C99" w:rsidP="00C03E27">
            <w:pPr>
              <w:pStyle w:val="DHHStablecolhead"/>
              <w:rPr>
                <w:color w:val="595959" w:themeColor="text1" w:themeTint="A6"/>
              </w:rPr>
            </w:pPr>
            <w:r w:rsidRPr="00F84C73">
              <w:rPr>
                <w:color w:val="595959" w:themeColor="text1" w:themeTint="A6"/>
              </w:rPr>
              <w:t>Schedule 8 treatment permit requirements</w:t>
            </w:r>
          </w:p>
        </w:tc>
        <w:tc>
          <w:tcPr>
            <w:tcW w:w="3260" w:type="dxa"/>
          </w:tcPr>
          <w:p w14:paraId="347706AD" w14:textId="77777777" w:rsidR="00F74C99" w:rsidRDefault="00F74C99" w:rsidP="00C03E27">
            <w:pPr>
              <w:pStyle w:val="DHHStabletext"/>
              <w:rPr>
                <w:lang w:eastAsia="en-AU"/>
              </w:rPr>
            </w:pPr>
            <w:r>
              <w:rPr>
                <w:lang w:eastAsia="en-AU"/>
              </w:rPr>
              <w:t>Must hold Schedule 8 permit that includes LAIB prior to prescribing/administering</w:t>
            </w:r>
          </w:p>
        </w:tc>
        <w:tc>
          <w:tcPr>
            <w:tcW w:w="3209" w:type="dxa"/>
          </w:tcPr>
          <w:p w14:paraId="5547E267" w14:textId="77777777" w:rsidR="00F74C99" w:rsidRDefault="00F74C99" w:rsidP="00C03E27">
            <w:pPr>
              <w:pStyle w:val="DHHStabletext"/>
              <w:rPr>
                <w:lang w:eastAsia="en-AU"/>
              </w:rPr>
            </w:pPr>
            <w:r>
              <w:rPr>
                <w:lang w:eastAsia="en-AU"/>
              </w:rPr>
              <w:t>Must hold Schedule 8 permit that includes LAIB prior to prescribing/administering</w:t>
            </w:r>
          </w:p>
        </w:tc>
      </w:tr>
    </w:tbl>
    <w:p w14:paraId="5767A992" w14:textId="324E7B7B" w:rsidR="00F74C99" w:rsidRDefault="00F74C99" w:rsidP="00F74C99">
      <w:pPr>
        <w:pStyle w:val="DHHSbody"/>
      </w:pPr>
    </w:p>
    <w:p w14:paraId="4F14876E" w14:textId="77777777" w:rsidR="00F74C99" w:rsidRPr="006378DF" w:rsidRDefault="00F74C99" w:rsidP="00F74C99">
      <w:pPr>
        <w:pStyle w:val="Heading1"/>
      </w:pPr>
      <w:bookmarkStart w:id="6" w:name="_Toc60241057"/>
      <w:r w:rsidRPr="006378DF">
        <w:t>Risks and countermeasures specific to long-acting injectable buprenorphine</w:t>
      </w:r>
      <w:bookmarkEnd w:id="6"/>
    </w:p>
    <w:p w14:paraId="619C6239" w14:textId="77777777" w:rsidR="00F74C99" w:rsidRDefault="00F74C99" w:rsidP="00F74C99">
      <w:pPr>
        <w:pStyle w:val="DHHSbody"/>
        <w:rPr>
          <w:lang w:eastAsia="en-AU"/>
        </w:rPr>
      </w:pPr>
      <w:r>
        <w:rPr>
          <w:lang w:eastAsia="en-AU"/>
        </w:rPr>
        <w:t>As well as the established countermeasures designed to reduce the risks of opioid agonist therapies, specific considerations when using LAIB include the following:</w:t>
      </w:r>
    </w:p>
    <w:p w14:paraId="477107B0" w14:textId="77777777" w:rsidR="00F74C99" w:rsidRPr="00747423" w:rsidRDefault="00F74C99" w:rsidP="003913FF">
      <w:pPr>
        <w:pStyle w:val="Bullet1"/>
        <w:rPr>
          <w:sz w:val="20"/>
        </w:rPr>
      </w:pPr>
      <w:r w:rsidRPr="00747423">
        <w:rPr>
          <w:sz w:val="20"/>
        </w:rPr>
        <w:t>The preparation should never be dispensed directly to or handled by the patient or their carer(s).</w:t>
      </w:r>
    </w:p>
    <w:p w14:paraId="5640C2C1" w14:textId="77777777" w:rsidR="00F74C99" w:rsidRPr="00747423" w:rsidRDefault="00F74C99" w:rsidP="003913FF">
      <w:pPr>
        <w:pStyle w:val="Bullet1"/>
        <w:rPr>
          <w:sz w:val="20"/>
        </w:rPr>
      </w:pPr>
      <w:r w:rsidRPr="00747423">
        <w:rPr>
          <w:sz w:val="20"/>
        </w:rPr>
        <w:t>Given the reduced frequency of supervised doses (reduced interaction with the pharmacist), additional clinical supervision and management may be required for some patients. Frequency of review should be considered in this context and individualised care plans made accordingly.</w:t>
      </w:r>
    </w:p>
    <w:p w14:paraId="0D7C3B76" w14:textId="77777777" w:rsidR="00F74C99" w:rsidRPr="00747423" w:rsidRDefault="00F74C99" w:rsidP="003913FF">
      <w:pPr>
        <w:pStyle w:val="Bullet1"/>
        <w:rPr>
          <w:sz w:val="20"/>
        </w:rPr>
      </w:pPr>
      <w:r w:rsidRPr="00747423">
        <w:rPr>
          <w:sz w:val="20"/>
        </w:rPr>
        <w:t>The prescribing and administration of LAIB should only be undertaken by registered health professionals who meet the requirements under the ‘Permission to prescribe and administer long-acting injectable buprenorphine’ section of this document. Patient safety and the correct administration of LAIB must be fully understood.</w:t>
      </w:r>
    </w:p>
    <w:p w14:paraId="7201CD12" w14:textId="77777777" w:rsidR="00F74C99" w:rsidRPr="00747423" w:rsidRDefault="00F74C99" w:rsidP="003913FF">
      <w:pPr>
        <w:pStyle w:val="Bullet1"/>
        <w:rPr>
          <w:sz w:val="20"/>
        </w:rPr>
      </w:pPr>
      <w:r w:rsidRPr="00747423">
        <w:rPr>
          <w:sz w:val="20"/>
        </w:rPr>
        <w:t xml:space="preserve">When doses are missed by a patient, there is greater flexibility in the time before which re-induction is required due to missed doses. </w:t>
      </w:r>
    </w:p>
    <w:p w14:paraId="4A251603" w14:textId="4D395019" w:rsidR="00F84C73" w:rsidRPr="00747423" w:rsidRDefault="00F74C99" w:rsidP="003913FF">
      <w:pPr>
        <w:pStyle w:val="Bullet1"/>
        <w:rPr>
          <w:sz w:val="20"/>
          <w:lang w:eastAsia="en-AU"/>
        </w:rPr>
      </w:pPr>
      <w:r w:rsidRPr="00747423">
        <w:rPr>
          <w:b/>
          <w:bCs/>
          <w:sz w:val="20"/>
          <w:lang w:eastAsia="en-AU"/>
        </w:rPr>
        <w:t>If a dose is missed</w:t>
      </w:r>
      <w:r w:rsidRPr="00747423">
        <w:rPr>
          <w:sz w:val="20"/>
          <w:lang w:eastAsia="en-AU"/>
        </w:rPr>
        <w:t xml:space="preserve">, the next dose should be </w:t>
      </w:r>
      <w:r w:rsidRPr="00747423">
        <w:rPr>
          <w:sz w:val="20"/>
        </w:rPr>
        <w:t>administered</w:t>
      </w:r>
      <w:r w:rsidRPr="00747423">
        <w:rPr>
          <w:sz w:val="20"/>
          <w:lang w:eastAsia="en-AU"/>
        </w:rPr>
        <w:t xml:space="preserve"> as soon as practicable. If more than 10 to 14 days have elapsed between doses of </w:t>
      </w:r>
      <w:proofErr w:type="spellStart"/>
      <w:r w:rsidRPr="00747423">
        <w:rPr>
          <w:sz w:val="20"/>
          <w:lang w:eastAsia="en-AU"/>
        </w:rPr>
        <w:t>Buvidal</w:t>
      </w:r>
      <w:proofErr w:type="spellEnd"/>
      <w:r w:rsidRPr="00747423">
        <w:rPr>
          <w:b/>
          <w:bCs/>
          <w:sz w:val="20"/>
          <w:vertAlign w:val="superscript"/>
        </w:rPr>
        <w:t>®</w:t>
      </w:r>
      <w:r w:rsidRPr="00747423">
        <w:rPr>
          <w:sz w:val="20"/>
          <w:lang w:eastAsia="en-AU"/>
        </w:rPr>
        <w:t xml:space="preserve"> Weekly, re-induction may be required. If more than eight weeks have elapsed since the last dose of </w:t>
      </w:r>
      <w:proofErr w:type="spellStart"/>
      <w:r w:rsidRPr="00747423">
        <w:rPr>
          <w:sz w:val="20"/>
          <w:lang w:eastAsia="en-AU"/>
        </w:rPr>
        <w:t>Buvidal</w:t>
      </w:r>
      <w:proofErr w:type="spellEnd"/>
      <w:r w:rsidRPr="00747423">
        <w:rPr>
          <w:b/>
          <w:bCs/>
          <w:sz w:val="20"/>
          <w:vertAlign w:val="superscript"/>
        </w:rPr>
        <w:t>®</w:t>
      </w:r>
      <w:r w:rsidRPr="00747423">
        <w:rPr>
          <w:sz w:val="20"/>
          <w:lang w:eastAsia="en-AU"/>
        </w:rPr>
        <w:t xml:space="preserve"> Monthly or </w:t>
      </w:r>
      <w:proofErr w:type="spellStart"/>
      <w:r w:rsidRPr="00747423">
        <w:rPr>
          <w:sz w:val="20"/>
          <w:lang w:eastAsia="en-AU"/>
        </w:rPr>
        <w:t>Sublocade</w:t>
      </w:r>
      <w:proofErr w:type="spellEnd"/>
      <w:r w:rsidRPr="00747423">
        <w:rPr>
          <w:b/>
          <w:bCs/>
          <w:sz w:val="20"/>
          <w:vertAlign w:val="superscript"/>
        </w:rPr>
        <w:t>®</w:t>
      </w:r>
      <w:r w:rsidRPr="00747423">
        <w:rPr>
          <w:sz w:val="20"/>
          <w:lang w:eastAsia="en-AU"/>
        </w:rPr>
        <w:t>, then re-induction may be required.</w:t>
      </w:r>
      <w:bookmarkStart w:id="7" w:name="_Hlk19178946"/>
    </w:p>
    <w:p w14:paraId="05B00841" w14:textId="6D92F686" w:rsidR="00F74C99" w:rsidRPr="00F84C73" w:rsidRDefault="00F84C73" w:rsidP="00F84C73">
      <w:pPr>
        <w:spacing w:after="0" w:line="240" w:lineRule="auto"/>
        <w:rPr>
          <w:rFonts w:eastAsia="Times"/>
          <w:sz w:val="20"/>
          <w:lang w:eastAsia="en-AU"/>
        </w:rPr>
      </w:pPr>
      <w:r>
        <w:rPr>
          <w:lang w:eastAsia="en-AU"/>
        </w:rPr>
        <w:br w:type="page"/>
      </w:r>
    </w:p>
    <w:p w14:paraId="01545D19" w14:textId="77777777" w:rsidR="00F74C99" w:rsidRPr="006378DF" w:rsidRDefault="00F74C99" w:rsidP="00F74C99">
      <w:pPr>
        <w:pStyle w:val="Heading1"/>
        <w:rPr>
          <w:lang w:eastAsia="en-AU"/>
        </w:rPr>
      </w:pPr>
      <w:bookmarkStart w:id="8" w:name="_Toc60241058"/>
      <w:bookmarkEnd w:id="7"/>
      <w:r w:rsidRPr="006378DF">
        <w:rPr>
          <w:lang w:eastAsia="en-AU"/>
        </w:rPr>
        <w:lastRenderedPageBreak/>
        <w:t>Who is eligible to prescribe and administer long-</w:t>
      </w:r>
      <w:r w:rsidRPr="006378DF">
        <w:t>acting</w:t>
      </w:r>
      <w:r w:rsidRPr="006378DF">
        <w:rPr>
          <w:lang w:eastAsia="en-AU"/>
        </w:rPr>
        <w:t xml:space="preserve"> injectable buprenorphine</w:t>
      </w:r>
      <w:bookmarkEnd w:id="8"/>
    </w:p>
    <w:p w14:paraId="1C84453A" w14:textId="77777777" w:rsidR="00F74C99" w:rsidRDefault="00F74C99" w:rsidP="00F74C99">
      <w:pPr>
        <w:pStyle w:val="DHHSbody"/>
        <w:numPr>
          <w:ilvl w:val="0"/>
          <w:numId w:val="43"/>
        </w:numPr>
        <w:rPr>
          <w:lang w:eastAsia="en-AU"/>
        </w:rPr>
      </w:pPr>
      <w:r>
        <w:rPr>
          <w:lang w:eastAsia="en-AU"/>
        </w:rPr>
        <w:t xml:space="preserve">For </w:t>
      </w:r>
      <w:r w:rsidRPr="00DA64A7">
        <w:rPr>
          <w:b/>
          <w:bCs/>
          <w:lang w:eastAsia="en-AU"/>
        </w:rPr>
        <w:t>medical</w:t>
      </w:r>
      <w:r>
        <w:rPr>
          <w:rStyle w:val="FootnoteReference"/>
          <w:b/>
          <w:bCs/>
          <w:lang w:eastAsia="en-AU"/>
        </w:rPr>
        <w:footnoteReference w:id="1"/>
      </w:r>
      <w:r w:rsidRPr="00DA64A7">
        <w:rPr>
          <w:b/>
          <w:bCs/>
          <w:lang w:eastAsia="en-AU"/>
        </w:rPr>
        <w:t xml:space="preserve"> and nurse practitioners</w:t>
      </w:r>
      <w:r>
        <w:rPr>
          <w:lang w:eastAsia="en-AU"/>
        </w:rPr>
        <w:t xml:space="preserve"> </w:t>
      </w:r>
      <w:r w:rsidRPr="00E9624C">
        <w:rPr>
          <w:lang w:eastAsia="en-AU"/>
        </w:rPr>
        <w:t xml:space="preserve">to prescribe and administer </w:t>
      </w:r>
      <w:proofErr w:type="gramStart"/>
      <w:r>
        <w:rPr>
          <w:lang w:eastAsia="en-AU"/>
        </w:rPr>
        <w:t>LAIB;</w:t>
      </w:r>
      <w:proofErr w:type="gramEnd"/>
      <w:r>
        <w:rPr>
          <w:lang w:eastAsia="en-AU"/>
        </w:rPr>
        <w:t xml:space="preserve"> </w:t>
      </w:r>
    </w:p>
    <w:p w14:paraId="19607DF1" w14:textId="77777777" w:rsidR="00F74C99" w:rsidRPr="00E9624C" w:rsidRDefault="00F74C99" w:rsidP="00F74C99">
      <w:pPr>
        <w:pStyle w:val="DHHSbody"/>
        <w:ind w:left="360"/>
        <w:rPr>
          <w:lang w:eastAsia="en-AU"/>
        </w:rPr>
      </w:pPr>
      <w:r>
        <w:rPr>
          <w:lang w:eastAsia="en-AU"/>
        </w:rPr>
        <w:t xml:space="preserve">It is </w:t>
      </w:r>
      <w:r w:rsidRPr="006E13B5">
        <w:rPr>
          <w:i/>
          <w:iCs/>
          <w:lang w:eastAsia="en-AU"/>
        </w:rPr>
        <w:t>expected</w:t>
      </w:r>
      <w:r>
        <w:rPr>
          <w:lang w:eastAsia="en-AU"/>
        </w:rPr>
        <w:t xml:space="preserve"> that</w:t>
      </w:r>
      <w:r w:rsidRPr="00E9624C">
        <w:rPr>
          <w:lang w:eastAsia="en-AU"/>
        </w:rPr>
        <w:t>:</w:t>
      </w:r>
    </w:p>
    <w:p w14:paraId="25CC4A8D" w14:textId="77777777" w:rsidR="00F74C99" w:rsidRDefault="00F74C99" w:rsidP="00F74C99">
      <w:pPr>
        <w:pStyle w:val="DHHSbullet1"/>
        <w:numPr>
          <w:ilvl w:val="0"/>
          <w:numId w:val="45"/>
        </w:numPr>
        <w:rPr>
          <w:lang w:eastAsia="en-AU"/>
        </w:rPr>
      </w:pPr>
      <w:r>
        <w:rPr>
          <w:lang w:eastAsia="en-AU"/>
        </w:rPr>
        <w:t>They are familiar with and understand Victorian pharmacotherapy guidelines, including:</w:t>
      </w:r>
    </w:p>
    <w:p w14:paraId="2954C3B3" w14:textId="77777777" w:rsidR="00F74C99" w:rsidRDefault="00F74C99" w:rsidP="00F74C99">
      <w:pPr>
        <w:pStyle w:val="DHHSbullet1"/>
        <w:numPr>
          <w:ilvl w:val="1"/>
          <w:numId w:val="45"/>
        </w:numPr>
        <w:rPr>
          <w:lang w:eastAsia="en-AU"/>
        </w:rPr>
      </w:pPr>
      <w:hyperlink r:id="rId20" w:history="1">
        <w:r>
          <w:rPr>
            <w:rStyle w:val="Hyperlink"/>
            <w:lang w:eastAsia="en-AU"/>
          </w:rPr>
          <w:t>Policy for maintenance pharmacotherapy for opioid dependence</w:t>
        </w:r>
      </w:hyperlink>
    </w:p>
    <w:p w14:paraId="33E47C43" w14:textId="77777777" w:rsidR="00F74C99" w:rsidRDefault="00F74C99" w:rsidP="00F74C99">
      <w:pPr>
        <w:pStyle w:val="DHHSbullet1"/>
        <w:numPr>
          <w:ilvl w:val="1"/>
          <w:numId w:val="45"/>
        </w:numPr>
        <w:rPr>
          <w:lang w:eastAsia="en-AU"/>
        </w:rPr>
      </w:pPr>
      <w:hyperlink r:id="rId21" w:history="1">
        <w:r>
          <w:rPr>
            <w:rStyle w:val="Hyperlink"/>
            <w:lang w:eastAsia="en-AU"/>
          </w:rPr>
          <w:t>Brief clinical guidelines for use of LAIB</w:t>
        </w:r>
      </w:hyperlink>
    </w:p>
    <w:p w14:paraId="5F7FEA72" w14:textId="77777777" w:rsidR="00F74C99" w:rsidRDefault="00F74C99" w:rsidP="00F74C99">
      <w:pPr>
        <w:pStyle w:val="DHHSbullet1"/>
        <w:numPr>
          <w:ilvl w:val="0"/>
          <w:numId w:val="45"/>
        </w:numPr>
        <w:rPr>
          <w:lang w:eastAsia="en-AU"/>
        </w:rPr>
      </w:pPr>
      <w:r>
        <w:rPr>
          <w:lang w:eastAsia="en-AU"/>
        </w:rPr>
        <w:t>They are familiar with injection technique for specific LAIB formulations:</w:t>
      </w:r>
    </w:p>
    <w:p w14:paraId="49520047" w14:textId="77777777" w:rsidR="00F74C99" w:rsidRDefault="00F74C99" w:rsidP="00F74C99">
      <w:pPr>
        <w:pStyle w:val="DHHSbullet1"/>
        <w:numPr>
          <w:ilvl w:val="1"/>
          <w:numId w:val="45"/>
        </w:numPr>
        <w:rPr>
          <w:lang w:eastAsia="en-AU"/>
        </w:rPr>
      </w:pPr>
      <w:hyperlink r:id="rId22" w:history="1">
        <w:proofErr w:type="spellStart"/>
        <w:r>
          <w:rPr>
            <w:rStyle w:val="Hyperlink"/>
            <w:lang w:eastAsia="en-AU"/>
          </w:rPr>
          <w:t>Buvidal</w:t>
        </w:r>
        <w:proofErr w:type="spellEnd"/>
        <w:r>
          <w:rPr>
            <w:rStyle w:val="Hyperlink"/>
            <w:lang w:eastAsia="en-AU"/>
          </w:rPr>
          <w:t xml:space="preserve"> administration</w:t>
        </w:r>
      </w:hyperlink>
    </w:p>
    <w:p w14:paraId="69E17251" w14:textId="4A762077" w:rsidR="00F74C99" w:rsidRDefault="00F74C99" w:rsidP="00F74C99">
      <w:pPr>
        <w:pStyle w:val="DHHSbullet1"/>
        <w:numPr>
          <w:ilvl w:val="1"/>
          <w:numId w:val="45"/>
        </w:numPr>
        <w:spacing w:after="120"/>
        <w:ind w:left="1434" w:hanging="357"/>
        <w:rPr>
          <w:lang w:eastAsia="en-AU"/>
        </w:rPr>
      </w:pPr>
      <w:hyperlink r:id="rId23" w:history="1">
        <w:proofErr w:type="spellStart"/>
        <w:r w:rsidRPr="00214A70">
          <w:rPr>
            <w:rStyle w:val="Hyperlink"/>
          </w:rPr>
          <w:t>Sublocade</w:t>
        </w:r>
        <w:proofErr w:type="spellEnd"/>
        <w:r w:rsidRPr="00214A70">
          <w:rPr>
            <w:rStyle w:val="Hyperlink"/>
          </w:rPr>
          <w:t xml:space="preserve"> administration</w:t>
        </w:r>
      </w:hyperlink>
    </w:p>
    <w:p w14:paraId="08EB750E" w14:textId="77777777" w:rsidR="00F74C99" w:rsidRDefault="00F74C99" w:rsidP="00F74C99">
      <w:pPr>
        <w:pStyle w:val="DHHSbullet1"/>
        <w:spacing w:after="120"/>
        <w:ind w:left="568"/>
        <w:rPr>
          <w:lang w:eastAsia="en-AU"/>
        </w:rPr>
      </w:pPr>
      <w:r>
        <w:rPr>
          <w:lang w:eastAsia="en-AU"/>
        </w:rPr>
        <w:t xml:space="preserve">It is </w:t>
      </w:r>
      <w:r w:rsidRPr="006E13B5">
        <w:rPr>
          <w:i/>
          <w:iCs/>
          <w:lang w:eastAsia="en-AU"/>
        </w:rPr>
        <w:t>strongly recommended</w:t>
      </w:r>
      <w:r>
        <w:rPr>
          <w:lang w:eastAsia="en-AU"/>
        </w:rPr>
        <w:t xml:space="preserve"> that:</w:t>
      </w:r>
    </w:p>
    <w:p w14:paraId="4BF65594" w14:textId="77777777" w:rsidR="00F74C99" w:rsidRDefault="00F74C99" w:rsidP="00F74C99">
      <w:pPr>
        <w:pStyle w:val="DHHSbullet1"/>
        <w:numPr>
          <w:ilvl w:val="0"/>
          <w:numId w:val="46"/>
        </w:numPr>
        <w:rPr>
          <w:lang w:eastAsia="en-AU"/>
        </w:rPr>
      </w:pPr>
      <w:r>
        <w:rPr>
          <w:lang w:eastAsia="en-AU"/>
        </w:rPr>
        <w:t xml:space="preserve">Training developed by the Royal Australian College of General Practitioners is completed: </w:t>
      </w:r>
    </w:p>
    <w:p w14:paraId="4D2AC51C" w14:textId="4B4A8CA5" w:rsidR="00F74C99" w:rsidRPr="008C4FD7" w:rsidRDefault="008C4FD7" w:rsidP="008C4FD7">
      <w:pPr>
        <w:pStyle w:val="DHHSbullet1"/>
        <w:numPr>
          <w:ilvl w:val="1"/>
          <w:numId w:val="46"/>
        </w:numPr>
        <w:ind w:left="1361" w:hanging="357"/>
        <w:rPr>
          <w:lang w:eastAsia="en-AU"/>
        </w:rPr>
      </w:pPr>
      <w:hyperlink r:id="rId24" w:history="1">
        <w:r>
          <w:rPr>
            <w:rStyle w:val="Hyperlink"/>
          </w:rPr>
          <w:t>Medication Assisted Treatment of Opioid Dependence (MATOD) - Module 1</w:t>
        </w:r>
      </w:hyperlink>
    </w:p>
    <w:p w14:paraId="3E4E191B" w14:textId="5B11FCE8" w:rsidR="00B31CC2" w:rsidRPr="008C4FD7" w:rsidRDefault="008C4FD7" w:rsidP="008C4FD7">
      <w:pPr>
        <w:pStyle w:val="ListParagraph"/>
        <w:numPr>
          <w:ilvl w:val="1"/>
          <w:numId w:val="46"/>
        </w:numPr>
        <w:spacing w:after="40" w:line="270" w:lineRule="atLeast"/>
        <w:ind w:left="1361" w:hanging="357"/>
        <w:rPr>
          <w:rFonts w:ascii="Calibri" w:hAnsi="Calibri"/>
          <w:sz w:val="20"/>
        </w:rPr>
      </w:pPr>
      <w:hyperlink r:id="rId25" w:history="1">
        <w:r>
          <w:rPr>
            <w:rStyle w:val="Hyperlink"/>
            <w:sz w:val="20"/>
          </w:rPr>
          <w:t>Medication Assisted Treatment of Opioid Dependence (MATOD) - Module 2</w:t>
        </w:r>
      </w:hyperlink>
    </w:p>
    <w:p w14:paraId="314C433D" w14:textId="47C4C517" w:rsidR="00B31CC2" w:rsidRPr="008C4FD7" w:rsidRDefault="008C4FD7" w:rsidP="008C4FD7">
      <w:pPr>
        <w:pStyle w:val="DHHSbullet1"/>
        <w:numPr>
          <w:ilvl w:val="1"/>
          <w:numId w:val="46"/>
        </w:numPr>
        <w:ind w:left="1361" w:hanging="357"/>
        <w:rPr>
          <w:lang w:eastAsia="en-AU"/>
        </w:rPr>
      </w:pPr>
      <w:hyperlink r:id="rId26" w:history="1">
        <w:r>
          <w:rPr>
            <w:rStyle w:val="Hyperlink"/>
          </w:rPr>
          <w:t>Long-Acting Injectable Buprenorphine - MATOD Module 3</w:t>
        </w:r>
      </w:hyperlink>
    </w:p>
    <w:p w14:paraId="7CD895BD" w14:textId="77777777" w:rsidR="00F74C99" w:rsidRDefault="00F74C99" w:rsidP="00F74C99">
      <w:pPr>
        <w:pStyle w:val="DHHSbullet1"/>
        <w:numPr>
          <w:ilvl w:val="0"/>
          <w:numId w:val="46"/>
        </w:numPr>
        <w:rPr>
          <w:lang w:eastAsia="en-AU"/>
        </w:rPr>
      </w:pPr>
      <w:r>
        <w:rPr>
          <w:lang w:eastAsia="en-AU"/>
        </w:rPr>
        <w:t xml:space="preserve">Practitioners new to prescribing LAIB, who are managing a complex patient, should seek addiction medicine specialist advice for support </w:t>
      </w:r>
      <w:hyperlink r:id="rId27" w:history="1">
        <w:r w:rsidRPr="004F5CF9">
          <w:rPr>
            <w:rStyle w:val="Hyperlink"/>
            <w:lang w:eastAsia="en-AU"/>
          </w:rPr>
          <w:t>https://www.dacas.org.au/</w:t>
        </w:r>
      </w:hyperlink>
      <w:r>
        <w:rPr>
          <w:lang w:eastAsia="en-AU"/>
        </w:rPr>
        <w:t xml:space="preserve"> or 1800 812 804.</w:t>
      </w:r>
      <w:bookmarkStart w:id="9" w:name="_Hlk8730892"/>
    </w:p>
    <w:p w14:paraId="1BF57A4F" w14:textId="77777777" w:rsidR="00F74C99" w:rsidRDefault="00F74C99" w:rsidP="00F74C99">
      <w:pPr>
        <w:pStyle w:val="DHHSbullet1"/>
        <w:ind w:left="644" w:firstLine="0"/>
        <w:rPr>
          <w:lang w:eastAsia="en-AU"/>
        </w:rPr>
      </w:pPr>
    </w:p>
    <w:p w14:paraId="3361EBE9" w14:textId="77777777" w:rsidR="00F74C99" w:rsidRDefault="00F74C99" w:rsidP="00F74C99">
      <w:pPr>
        <w:pStyle w:val="DHHSbullet1"/>
        <w:numPr>
          <w:ilvl w:val="0"/>
          <w:numId w:val="43"/>
        </w:numPr>
        <w:rPr>
          <w:lang w:eastAsia="en-AU"/>
        </w:rPr>
      </w:pPr>
      <w:r>
        <w:rPr>
          <w:lang w:eastAsia="en-AU"/>
        </w:rPr>
        <w:t xml:space="preserve">For </w:t>
      </w:r>
      <w:r w:rsidRPr="00DA64A7">
        <w:rPr>
          <w:b/>
          <w:bCs/>
          <w:lang w:eastAsia="en-AU"/>
        </w:rPr>
        <w:t>registered nurses</w:t>
      </w:r>
      <w:r>
        <w:rPr>
          <w:lang w:eastAsia="en-AU"/>
        </w:rPr>
        <w:t xml:space="preserve"> to administer LAIB on the order of a prescriber it is </w:t>
      </w:r>
      <w:r w:rsidRPr="006E13B5">
        <w:rPr>
          <w:i/>
          <w:iCs/>
          <w:lang w:eastAsia="en-AU"/>
        </w:rPr>
        <w:t>expected</w:t>
      </w:r>
      <w:r>
        <w:rPr>
          <w:lang w:eastAsia="en-AU"/>
        </w:rPr>
        <w:t xml:space="preserve"> that:</w:t>
      </w:r>
    </w:p>
    <w:p w14:paraId="4EA420DC" w14:textId="6B3B624F" w:rsidR="00F74C99" w:rsidRDefault="00F74C99" w:rsidP="00F74C99">
      <w:pPr>
        <w:pStyle w:val="DHHSbullet1"/>
        <w:numPr>
          <w:ilvl w:val="0"/>
          <w:numId w:val="47"/>
        </w:numPr>
        <w:rPr>
          <w:lang w:eastAsia="en-AU"/>
        </w:rPr>
      </w:pPr>
      <w:r w:rsidRPr="119EF856">
        <w:rPr>
          <w:lang w:eastAsia="en-AU"/>
        </w:rPr>
        <w:t xml:space="preserve">They are familiar with the </w:t>
      </w:r>
      <w:hyperlink r:id="rId28">
        <w:r w:rsidRPr="119EF856">
          <w:rPr>
            <w:rStyle w:val="Hyperlink"/>
          </w:rPr>
          <w:t>product information</w:t>
        </w:r>
      </w:hyperlink>
      <w:r>
        <w:t xml:space="preserve"> for </w:t>
      </w:r>
      <w:proofErr w:type="spellStart"/>
      <w:r>
        <w:t>Buvidal</w:t>
      </w:r>
      <w:proofErr w:type="spellEnd"/>
      <w:r w:rsidRPr="119EF856">
        <w:rPr>
          <w:vertAlign w:val="superscript"/>
        </w:rPr>
        <w:t>®</w:t>
      </w:r>
      <w:r>
        <w:t xml:space="preserve"> and/or </w:t>
      </w:r>
      <w:proofErr w:type="spellStart"/>
      <w:r>
        <w:t>Sublocade</w:t>
      </w:r>
      <w:proofErr w:type="spellEnd"/>
      <w:r w:rsidRPr="119EF856">
        <w:rPr>
          <w:vertAlign w:val="superscript"/>
        </w:rPr>
        <w:t>®</w:t>
      </w:r>
    </w:p>
    <w:p w14:paraId="098D8240" w14:textId="77777777" w:rsidR="00F74C99" w:rsidRDefault="00F74C99" w:rsidP="00F74C99">
      <w:pPr>
        <w:pStyle w:val="DHHSbullet1"/>
        <w:numPr>
          <w:ilvl w:val="0"/>
          <w:numId w:val="47"/>
        </w:numPr>
        <w:rPr>
          <w:lang w:eastAsia="en-AU"/>
        </w:rPr>
      </w:pPr>
      <w:r>
        <w:rPr>
          <w:lang w:eastAsia="en-AU"/>
        </w:rPr>
        <w:t>They are familiar with injection technique for specific LAIB formulations</w:t>
      </w:r>
    </w:p>
    <w:p w14:paraId="14CA7B10" w14:textId="77777777" w:rsidR="00F74C99" w:rsidRDefault="00F74C99" w:rsidP="00F74C99">
      <w:pPr>
        <w:pStyle w:val="DHHSbullet1"/>
        <w:numPr>
          <w:ilvl w:val="1"/>
          <w:numId w:val="47"/>
        </w:numPr>
        <w:rPr>
          <w:lang w:eastAsia="en-AU"/>
        </w:rPr>
      </w:pPr>
      <w:hyperlink r:id="rId29" w:history="1">
        <w:proofErr w:type="spellStart"/>
        <w:r>
          <w:rPr>
            <w:rStyle w:val="Hyperlink"/>
            <w:lang w:eastAsia="en-AU"/>
          </w:rPr>
          <w:t>Buvidal</w:t>
        </w:r>
        <w:proofErr w:type="spellEnd"/>
        <w:r>
          <w:rPr>
            <w:rStyle w:val="Hyperlink"/>
            <w:lang w:eastAsia="en-AU"/>
          </w:rPr>
          <w:t xml:space="preserve"> administration</w:t>
        </w:r>
      </w:hyperlink>
    </w:p>
    <w:p w14:paraId="36DFD5ED" w14:textId="0362C0CB" w:rsidR="00F74C99" w:rsidRDefault="00F74C99" w:rsidP="00F74C99">
      <w:pPr>
        <w:pStyle w:val="DHHSbullet1"/>
        <w:numPr>
          <w:ilvl w:val="1"/>
          <w:numId w:val="47"/>
        </w:numPr>
        <w:rPr>
          <w:lang w:eastAsia="en-AU"/>
        </w:rPr>
      </w:pPr>
      <w:hyperlink r:id="rId30" w:history="1">
        <w:proofErr w:type="spellStart"/>
        <w:r w:rsidRPr="00B00E55">
          <w:rPr>
            <w:rStyle w:val="Hyperlink"/>
          </w:rPr>
          <w:t>Sublocade</w:t>
        </w:r>
        <w:proofErr w:type="spellEnd"/>
        <w:r w:rsidRPr="00B00E55">
          <w:rPr>
            <w:rStyle w:val="Hyperlink"/>
          </w:rPr>
          <w:t xml:space="preserve"> administration</w:t>
        </w:r>
      </w:hyperlink>
    </w:p>
    <w:p w14:paraId="441EB904" w14:textId="77777777" w:rsidR="00F74C99" w:rsidRDefault="00F74C99" w:rsidP="00F74C99">
      <w:pPr>
        <w:pStyle w:val="DHHSbullet1"/>
        <w:ind w:left="0" w:firstLine="0"/>
        <w:rPr>
          <w:lang w:eastAsia="en-AU"/>
        </w:rPr>
      </w:pPr>
    </w:p>
    <w:p w14:paraId="69ACB913" w14:textId="77777777" w:rsidR="00F74C99" w:rsidRDefault="00F74C99" w:rsidP="00F74C99">
      <w:pPr>
        <w:pStyle w:val="DHHSbullet1"/>
        <w:numPr>
          <w:ilvl w:val="0"/>
          <w:numId w:val="43"/>
        </w:numPr>
        <w:rPr>
          <w:lang w:eastAsia="en-AU"/>
        </w:rPr>
      </w:pPr>
      <w:r>
        <w:rPr>
          <w:lang w:eastAsia="en-AU"/>
        </w:rPr>
        <w:t xml:space="preserve">For </w:t>
      </w:r>
      <w:r w:rsidRPr="00DA64A7">
        <w:rPr>
          <w:b/>
          <w:bCs/>
          <w:lang w:eastAsia="en-AU"/>
        </w:rPr>
        <w:t>pharmacists</w:t>
      </w:r>
      <w:r>
        <w:rPr>
          <w:lang w:eastAsia="en-AU"/>
        </w:rPr>
        <w:t xml:space="preserve"> to administer LAIB on the order of a prescriber it is </w:t>
      </w:r>
      <w:r w:rsidRPr="005D6F62">
        <w:rPr>
          <w:i/>
          <w:iCs/>
          <w:lang w:eastAsia="en-AU"/>
        </w:rPr>
        <w:t>expected</w:t>
      </w:r>
      <w:r>
        <w:rPr>
          <w:lang w:eastAsia="en-AU"/>
        </w:rPr>
        <w:t xml:space="preserve"> that:</w:t>
      </w:r>
    </w:p>
    <w:p w14:paraId="2244F9F3" w14:textId="58A52D5E" w:rsidR="00F74C99" w:rsidRDefault="00F74C99" w:rsidP="00F74C99">
      <w:pPr>
        <w:pStyle w:val="DHHSbullet1"/>
        <w:numPr>
          <w:ilvl w:val="0"/>
          <w:numId w:val="44"/>
        </w:numPr>
        <w:rPr>
          <w:lang w:eastAsia="en-AU"/>
        </w:rPr>
      </w:pPr>
      <w:r w:rsidRPr="119EF856">
        <w:rPr>
          <w:lang w:eastAsia="en-AU"/>
        </w:rPr>
        <w:t xml:space="preserve">They </w:t>
      </w:r>
      <w:r w:rsidR="3EC829CE" w:rsidRPr="119EF856">
        <w:rPr>
          <w:lang w:eastAsia="en-AU"/>
        </w:rPr>
        <w:t>are</w:t>
      </w:r>
      <w:r w:rsidR="6899B394" w:rsidRPr="119EF856">
        <w:rPr>
          <w:lang w:eastAsia="en-AU"/>
        </w:rPr>
        <w:t xml:space="preserve"> familiar with and understand requirements for</w:t>
      </w:r>
      <w:r w:rsidRPr="119EF856">
        <w:rPr>
          <w:lang w:eastAsia="en-AU"/>
        </w:rPr>
        <w:t xml:space="preserve"> pharmacotherapy program delivery by:</w:t>
      </w:r>
    </w:p>
    <w:p w14:paraId="4B35B645" w14:textId="77777777" w:rsidR="00F74C99" w:rsidRDefault="00F74C99" w:rsidP="00F74C99">
      <w:pPr>
        <w:pStyle w:val="DHHSbullet1"/>
        <w:numPr>
          <w:ilvl w:val="1"/>
          <w:numId w:val="44"/>
        </w:numPr>
        <w:rPr>
          <w:lang w:eastAsia="en-AU"/>
        </w:rPr>
      </w:pPr>
      <w:r>
        <w:rPr>
          <w:lang w:eastAsia="en-AU"/>
        </w:rPr>
        <w:t xml:space="preserve">Completing </w:t>
      </w:r>
      <w:hyperlink r:id="rId31" w:anchor="1566178353667-0df12700-d811" w:history="1">
        <w:r>
          <w:rPr>
            <w:rStyle w:val="Hyperlink"/>
          </w:rPr>
          <w:t>Victorian Opioid Pharmacotherapy Program</w:t>
        </w:r>
      </w:hyperlink>
      <w:r>
        <w:t xml:space="preserve"> training developed by the Pharmaceutical Society of Australia (PSA); or</w:t>
      </w:r>
    </w:p>
    <w:p w14:paraId="669E4A7C" w14:textId="77777777" w:rsidR="00F74C99" w:rsidRDefault="00F74C99" w:rsidP="00F74C99">
      <w:pPr>
        <w:pStyle w:val="DHHSbullet1"/>
        <w:numPr>
          <w:ilvl w:val="1"/>
          <w:numId w:val="44"/>
        </w:numPr>
        <w:rPr>
          <w:lang w:eastAsia="en-AU"/>
        </w:rPr>
      </w:pPr>
      <w:r>
        <w:rPr>
          <w:lang w:eastAsia="en-AU"/>
        </w:rPr>
        <w:t>Working as a registered pharmacist in opioid replacement therapy delivery for at least five years</w:t>
      </w:r>
    </w:p>
    <w:p w14:paraId="619C5395" w14:textId="5C3CB9CA" w:rsidR="00F74C99" w:rsidRDefault="00F74C99" w:rsidP="00F74C99">
      <w:pPr>
        <w:pStyle w:val="DHHSbullet1"/>
        <w:numPr>
          <w:ilvl w:val="0"/>
          <w:numId w:val="44"/>
        </w:numPr>
        <w:rPr>
          <w:lang w:eastAsia="en-AU"/>
        </w:rPr>
      </w:pPr>
      <w:r w:rsidRPr="119EF856">
        <w:rPr>
          <w:lang w:eastAsia="en-AU"/>
        </w:rPr>
        <w:t xml:space="preserve">They understand requirements for injection administration by completing </w:t>
      </w:r>
      <w:r w:rsidR="5667244E" w:rsidRPr="119EF856">
        <w:rPr>
          <w:lang w:eastAsia="en-AU"/>
        </w:rPr>
        <w:t xml:space="preserve">an </w:t>
      </w:r>
      <w:r w:rsidR="003913FF" w:rsidRPr="119EF856">
        <w:rPr>
          <w:lang w:eastAsia="en-AU"/>
        </w:rPr>
        <w:t>immunisation</w:t>
      </w:r>
      <w:r w:rsidR="47301EBF" w:rsidRPr="119EF856">
        <w:rPr>
          <w:lang w:eastAsia="en-AU"/>
        </w:rPr>
        <w:t xml:space="preserve"> course approved by the Department of Health (see</w:t>
      </w:r>
      <w:r w:rsidR="003913FF" w:rsidRPr="119EF856">
        <w:rPr>
          <w:lang w:eastAsia="en-AU"/>
        </w:rPr>
        <w:t xml:space="preserve"> </w:t>
      </w:r>
      <w:hyperlink r:id="rId32">
        <w:r w:rsidR="003913FF" w:rsidRPr="119EF856">
          <w:rPr>
            <w:rStyle w:val="Hyperlink"/>
          </w:rPr>
          <w:t>PSA</w:t>
        </w:r>
      </w:hyperlink>
      <w:r w:rsidR="00C708DC" w:rsidRPr="119EF856">
        <w:rPr>
          <w:lang w:eastAsia="en-AU"/>
        </w:rPr>
        <w:t xml:space="preserve"> or </w:t>
      </w:r>
      <w:hyperlink r:id="rId33">
        <w:r w:rsidR="003913FF" w:rsidRPr="119EF856">
          <w:rPr>
            <w:rStyle w:val="Hyperlink"/>
            <w:lang w:eastAsia="en-AU"/>
          </w:rPr>
          <w:t>The Pharmacy Guild of Australia</w:t>
        </w:r>
        <w:r w:rsidR="1D27A19B" w:rsidRPr="119EF856">
          <w:rPr>
            <w:rStyle w:val="Hyperlink"/>
            <w:lang w:eastAsia="en-AU"/>
          </w:rPr>
          <w:t>)</w:t>
        </w:r>
      </w:hyperlink>
      <w:r w:rsidR="003913FF" w:rsidRPr="119EF856">
        <w:rPr>
          <w:lang w:eastAsia="en-AU"/>
        </w:rPr>
        <w:t xml:space="preserve"> </w:t>
      </w:r>
    </w:p>
    <w:p w14:paraId="453F617B" w14:textId="1799CFCA" w:rsidR="00F74C99" w:rsidRDefault="00F74C99" w:rsidP="119EF856">
      <w:pPr>
        <w:pStyle w:val="DHHSbullet1"/>
        <w:numPr>
          <w:ilvl w:val="0"/>
          <w:numId w:val="44"/>
        </w:numPr>
        <w:rPr>
          <w:rFonts w:eastAsia="Arial" w:cs="Arial"/>
          <w:i/>
          <w:iCs/>
          <w:lang w:eastAsia="en-AU"/>
        </w:rPr>
      </w:pPr>
      <w:r w:rsidRPr="119EF856">
        <w:rPr>
          <w:lang w:eastAsia="en-AU"/>
        </w:rPr>
        <w:t xml:space="preserve">They understand requirements specific to LAIB by completing </w:t>
      </w:r>
      <w:hyperlink r:id="rId34">
        <w:r w:rsidR="41D337FA" w:rsidRPr="119EF856">
          <w:rPr>
            <w:rStyle w:val="Hyperlink"/>
          </w:rPr>
          <w:t>LAIB Administration by Pharmacists</w:t>
        </w:r>
      </w:hyperlink>
      <w:r w:rsidRPr="119EF856">
        <w:rPr>
          <w:lang w:eastAsia="en-AU"/>
        </w:rPr>
        <w:t xml:space="preserve"> training developed by PSA </w:t>
      </w:r>
    </w:p>
    <w:p w14:paraId="23406F56" w14:textId="5A18AE4D" w:rsidR="00F74C99" w:rsidRDefault="00F74C99" w:rsidP="00C708DC">
      <w:pPr>
        <w:pStyle w:val="DHHSbullet1"/>
        <w:spacing w:after="120"/>
        <w:ind w:left="357" w:firstLine="0"/>
        <w:rPr>
          <w:lang w:eastAsia="en-AU"/>
        </w:rPr>
      </w:pPr>
      <w:r>
        <w:rPr>
          <w:lang w:eastAsia="en-AU"/>
        </w:rPr>
        <w:t>Further detail around policy requirements for pharmacist administration of LAIB can be found in the section ‘Pharmacist administration practice standards’</w:t>
      </w:r>
    </w:p>
    <w:p w14:paraId="79FBF64D" w14:textId="77777777" w:rsidR="00F74C99" w:rsidRDefault="00F74C99" w:rsidP="00F74C99">
      <w:pPr>
        <w:pStyle w:val="DHHSbullet1"/>
        <w:ind w:left="0" w:firstLine="0"/>
        <w:rPr>
          <w:b/>
          <w:bCs/>
          <w:lang w:eastAsia="en-AU"/>
        </w:rPr>
      </w:pPr>
      <w:r w:rsidRPr="00F06DD5">
        <w:rPr>
          <w:b/>
          <w:bCs/>
          <w:lang w:eastAsia="en-AU"/>
        </w:rPr>
        <w:t>It is the responsibility of the relevant healthcare professional to complete the</w:t>
      </w:r>
      <w:r>
        <w:rPr>
          <w:b/>
          <w:bCs/>
          <w:lang w:eastAsia="en-AU"/>
        </w:rPr>
        <w:t xml:space="preserve"> expected</w:t>
      </w:r>
      <w:r w:rsidRPr="00F06DD5">
        <w:rPr>
          <w:b/>
          <w:bCs/>
          <w:lang w:eastAsia="en-AU"/>
        </w:rPr>
        <w:t xml:space="preserve"> </w:t>
      </w:r>
      <w:r>
        <w:rPr>
          <w:b/>
          <w:bCs/>
          <w:lang w:eastAsia="en-AU"/>
        </w:rPr>
        <w:t>training and</w:t>
      </w:r>
      <w:r w:rsidRPr="00F06DD5">
        <w:rPr>
          <w:b/>
          <w:bCs/>
          <w:lang w:eastAsia="en-AU"/>
        </w:rPr>
        <w:t xml:space="preserve"> </w:t>
      </w:r>
      <w:r>
        <w:rPr>
          <w:b/>
          <w:bCs/>
          <w:lang w:eastAsia="en-AU"/>
        </w:rPr>
        <w:t>product familiarisation</w:t>
      </w:r>
      <w:r w:rsidRPr="00F06DD5">
        <w:rPr>
          <w:b/>
          <w:bCs/>
          <w:lang w:eastAsia="en-AU"/>
        </w:rPr>
        <w:t xml:space="preserve"> to ensure they are practicing within their scope o</w:t>
      </w:r>
      <w:r>
        <w:rPr>
          <w:b/>
          <w:bCs/>
          <w:lang w:eastAsia="en-AU"/>
        </w:rPr>
        <w:t>f</w:t>
      </w:r>
      <w:r w:rsidRPr="00F06DD5">
        <w:rPr>
          <w:b/>
          <w:bCs/>
          <w:lang w:eastAsia="en-AU"/>
        </w:rPr>
        <w:t xml:space="preserve"> c</w:t>
      </w:r>
      <w:r>
        <w:rPr>
          <w:b/>
          <w:bCs/>
          <w:lang w:eastAsia="en-AU"/>
        </w:rPr>
        <w:t>ompetency.</w:t>
      </w:r>
    </w:p>
    <w:p w14:paraId="4D48E2EA" w14:textId="77777777" w:rsidR="00F74C99" w:rsidRPr="006378DF" w:rsidRDefault="00F74C99" w:rsidP="00F74C99">
      <w:pPr>
        <w:pStyle w:val="Heading1"/>
      </w:pPr>
      <w:bookmarkStart w:id="10" w:name="_Toc60241059"/>
      <w:bookmarkEnd w:id="9"/>
      <w:r w:rsidRPr="006378DF">
        <w:lastRenderedPageBreak/>
        <w:t>Pharmacist administration</w:t>
      </w:r>
      <w:r>
        <w:t xml:space="preserve"> practice standards</w:t>
      </w:r>
      <w:bookmarkEnd w:id="10"/>
    </w:p>
    <w:p w14:paraId="00361B41" w14:textId="77777777" w:rsidR="00F74C99" w:rsidRDefault="00F74C99" w:rsidP="00F74C99">
      <w:pPr>
        <w:pStyle w:val="DHHSbullet1"/>
        <w:spacing w:after="120"/>
        <w:ind w:left="0" w:firstLine="0"/>
        <w:rPr>
          <w:lang w:eastAsia="en-AU"/>
        </w:rPr>
      </w:pPr>
      <w:r>
        <w:rPr>
          <w:lang w:eastAsia="en-AU"/>
        </w:rPr>
        <w:t>A pharmacist may administer a Schedule 8 medication on the order of a prescriber under the Drugs, Poisons and Controlled Substances Regulations 2017.</w:t>
      </w:r>
    </w:p>
    <w:p w14:paraId="36C043D6" w14:textId="77777777" w:rsidR="00F74C99" w:rsidRDefault="00F74C99" w:rsidP="00F74C99">
      <w:pPr>
        <w:pStyle w:val="DHHSbullet1"/>
        <w:spacing w:after="120"/>
        <w:ind w:left="0" w:firstLine="0"/>
        <w:rPr>
          <w:lang w:eastAsia="en-AU"/>
        </w:rPr>
      </w:pPr>
      <w:r>
        <w:rPr>
          <w:lang w:eastAsia="en-AU"/>
        </w:rPr>
        <w:t>Pharmacists should adhere to the following practice standards to ensure patients receive safe and quality service delivery for LAIB administration within a community pharmacy or health service setting.</w:t>
      </w:r>
    </w:p>
    <w:p w14:paraId="08F73D91" w14:textId="77777777" w:rsidR="00F74C99" w:rsidRDefault="00F74C99" w:rsidP="00F74C99">
      <w:pPr>
        <w:pStyle w:val="Heading2"/>
      </w:pPr>
      <w:bookmarkStart w:id="11" w:name="_Toc60241060"/>
      <w:r>
        <w:t>Accreditation and training</w:t>
      </w:r>
      <w:bookmarkEnd w:id="11"/>
    </w:p>
    <w:p w14:paraId="100196DB" w14:textId="77777777" w:rsidR="00F74C99" w:rsidRDefault="00F74C99" w:rsidP="00F74C99">
      <w:pPr>
        <w:pStyle w:val="DHHSbullet1"/>
        <w:spacing w:after="120"/>
        <w:ind w:left="0" w:firstLine="0"/>
        <w:rPr>
          <w:lang w:eastAsia="en-AU"/>
        </w:rPr>
      </w:pPr>
      <w:r w:rsidRPr="00483818">
        <w:rPr>
          <w:lang w:eastAsia="en-AU"/>
        </w:rPr>
        <w:t xml:space="preserve">Pharmacists </w:t>
      </w:r>
      <w:r>
        <w:rPr>
          <w:lang w:eastAsia="en-AU"/>
        </w:rPr>
        <w:t>are required to meet the competencies related to pharmacotherapy program delivery, injection administration and LAIB as listed under the section ‘Who is able to prescribe or administer long-acting injectable buprenorphine’.</w:t>
      </w:r>
    </w:p>
    <w:p w14:paraId="2805055C" w14:textId="1C37FAC8" w:rsidR="00F74C99" w:rsidRPr="007647D4" w:rsidRDefault="00F74C99" w:rsidP="00F74C99">
      <w:pPr>
        <w:pStyle w:val="DHHSbullet1"/>
        <w:spacing w:after="120"/>
        <w:ind w:left="0" w:firstLine="0"/>
        <w:rPr>
          <w:rStyle w:val="normaltextrun"/>
          <w:rFonts w:cs="Arial"/>
          <w:lang w:eastAsia="en-AU"/>
        </w:rPr>
      </w:pPr>
      <w:r w:rsidRPr="008E1D8D">
        <w:rPr>
          <w:rStyle w:val="normaltextrun"/>
          <w:rFonts w:cs="Arial"/>
          <w:color w:val="000000"/>
          <w:shd w:val="clear" w:color="auto" w:fill="FFFFFF"/>
        </w:rPr>
        <w:t>In addition, </w:t>
      </w:r>
      <w:r>
        <w:rPr>
          <w:rStyle w:val="normaltextrun"/>
          <w:rFonts w:cs="Arial"/>
          <w:color w:val="000000"/>
          <w:shd w:val="clear" w:color="auto" w:fill="FFFFFF"/>
        </w:rPr>
        <w:t>after completing the required competencies, pharmacists</w:t>
      </w:r>
      <w:r w:rsidR="00275F9B">
        <w:rPr>
          <w:rStyle w:val="normaltextrun"/>
          <w:rFonts w:cs="Arial"/>
          <w:color w:val="000000"/>
          <w:shd w:val="clear" w:color="auto" w:fill="FFFFFF"/>
        </w:rPr>
        <w:t xml:space="preserve"> are </w:t>
      </w:r>
      <w:r w:rsidR="00275F9B" w:rsidRPr="00275F9B">
        <w:rPr>
          <w:rStyle w:val="normaltextrun"/>
          <w:rFonts w:cs="Arial"/>
          <w:b/>
          <w:bCs/>
          <w:i/>
          <w:iCs/>
          <w:color w:val="000000"/>
          <w:shd w:val="clear" w:color="auto" w:fill="FFFFFF"/>
        </w:rPr>
        <w:t>required</w:t>
      </w:r>
      <w:r>
        <w:rPr>
          <w:rStyle w:val="normaltextrun"/>
          <w:rFonts w:cs="Arial"/>
          <w:color w:val="000000"/>
          <w:shd w:val="clear" w:color="auto" w:fill="FFFFFF"/>
        </w:rPr>
        <w:t xml:space="preserve"> </w:t>
      </w:r>
      <w:r w:rsidR="00275F9B">
        <w:rPr>
          <w:rStyle w:val="normaltextrun"/>
          <w:rFonts w:cs="Arial"/>
          <w:color w:val="000000"/>
          <w:shd w:val="clear" w:color="auto" w:fill="FFFFFF"/>
        </w:rPr>
        <w:t xml:space="preserve">to </w:t>
      </w:r>
      <w:r>
        <w:rPr>
          <w:rStyle w:val="normaltextrun"/>
          <w:rFonts w:cs="Arial"/>
          <w:color w:val="000000"/>
          <w:shd w:val="clear" w:color="auto" w:fill="FFFFFF"/>
        </w:rPr>
        <w:t xml:space="preserve">consolidate this knowledge by administering an initial LAIB injection under the supervision of a medical or nurse practitioner. It is recommended that initial mentorship or supervision for LAIB administration is sought </w:t>
      </w:r>
      <w:r w:rsidRPr="008E1D8D">
        <w:rPr>
          <w:rStyle w:val="normaltextrun"/>
          <w:rFonts w:cs="Arial"/>
          <w:color w:val="000000"/>
          <w:shd w:val="clear" w:color="auto" w:fill="FFFFFF"/>
        </w:rPr>
        <w:t>from their regular LAIB prescriber</w:t>
      </w:r>
      <w:r>
        <w:rPr>
          <w:rStyle w:val="normaltextrun"/>
          <w:rFonts w:cs="Arial"/>
          <w:color w:val="000000"/>
          <w:shd w:val="clear" w:color="auto" w:fill="FFFFFF"/>
        </w:rPr>
        <w:t xml:space="preserve"> to consolidate collaborative practice. If this is not possible pharmacists can contact</w:t>
      </w:r>
      <w:r w:rsidRPr="008E1D8D">
        <w:rPr>
          <w:rStyle w:val="normaltextrun"/>
          <w:rFonts w:cs="Arial"/>
          <w:color w:val="000000"/>
          <w:shd w:val="clear" w:color="auto" w:fill="FFFFFF"/>
        </w:rPr>
        <w:t xml:space="preserve"> </w:t>
      </w:r>
      <w:hyperlink r:id="rId35" w:history="1">
        <w:r w:rsidRPr="008E1D8D">
          <w:rPr>
            <w:rStyle w:val="Hyperlink"/>
            <w:rFonts w:cs="Arial"/>
            <w:lang w:eastAsia="en-AU"/>
          </w:rPr>
          <w:t>aod.enquiries@dhhs.vic.gov.au</w:t>
        </w:r>
      </w:hyperlink>
      <w:r>
        <w:rPr>
          <w:rStyle w:val="Hyperlink"/>
          <w:rFonts w:cs="Arial"/>
          <w:lang w:eastAsia="en-AU"/>
        </w:rPr>
        <w:t xml:space="preserve"> </w:t>
      </w:r>
      <w:r>
        <w:rPr>
          <w:rFonts w:cs="Arial"/>
          <w:lang w:eastAsia="en-AU"/>
        </w:rPr>
        <w:t xml:space="preserve">for assistance in locating a suitable prescriber. </w:t>
      </w:r>
    </w:p>
    <w:p w14:paraId="63AB5DEE" w14:textId="77777777" w:rsidR="00F74C99" w:rsidRDefault="00F74C99" w:rsidP="00F74C99">
      <w:pPr>
        <w:pStyle w:val="DHHSbullet1"/>
        <w:spacing w:after="120"/>
        <w:ind w:left="0" w:firstLine="0"/>
        <w:rPr>
          <w:rStyle w:val="normaltextrun"/>
          <w:rFonts w:cs="Arial"/>
          <w:color w:val="000000"/>
          <w:shd w:val="clear" w:color="auto" w:fill="FFFFFF"/>
        </w:rPr>
      </w:pPr>
      <w:r>
        <w:rPr>
          <w:rStyle w:val="normaltextrun"/>
          <w:rFonts w:cs="Arial"/>
          <w:color w:val="000000"/>
          <w:shd w:val="clear" w:color="auto" w:fill="FFFFFF"/>
        </w:rPr>
        <w:t>In the future, it may be appropriate for pharmacists experienced in LAIB administration to provide peer mentorship for newly trained pharmacists.</w:t>
      </w:r>
    </w:p>
    <w:p w14:paraId="403F668D" w14:textId="77777777" w:rsidR="00F74C99" w:rsidRPr="008E1D8D" w:rsidRDefault="00F74C99" w:rsidP="00F74C99">
      <w:pPr>
        <w:pStyle w:val="DHHSbullet1"/>
        <w:spacing w:after="120"/>
        <w:ind w:left="0" w:firstLine="0"/>
        <w:rPr>
          <w:rFonts w:cs="Arial"/>
          <w:lang w:eastAsia="en-AU"/>
        </w:rPr>
      </w:pPr>
      <w:r>
        <w:rPr>
          <w:rFonts w:cs="Arial"/>
          <w:lang w:eastAsia="en-AU"/>
        </w:rPr>
        <w:t>Pharmacists administering LAIB should also be familiar with the</w:t>
      </w:r>
      <w:r w:rsidRPr="006767FD">
        <w:rPr>
          <w:rFonts w:cs="Arial"/>
          <w:lang w:eastAsia="en-AU"/>
        </w:rPr>
        <w:t xml:space="preserve"> Victorian</w:t>
      </w:r>
      <w:r w:rsidRPr="0027256E">
        <w:rPr>
          <w:rFonts w:cs="Arial"/>
          <w:i/>
          <w:iCs/>
          <w:lang w:eastAsia="en-AU"/>
        </w:rPr>
        <w:t xml:space="preserve"> Policy for maintenance pharmacotherapy for opioid dependence</w:t>
      </w:r>
      <w:r>
        <w:rPr>
          <w:rFonts w:cs="Arial"/>
          <w:lang w:eastAsia="en-AU"/>
        </w:rPr>
        <w:t xml:space="preserve"> and </w:t>
      </w:r>
      <w:r w:rsidRPr="0027256E">
        <w:rPr>
          <w:rFonts w:cs="Arial"/>
          <w:i/>
          <w:iCs/>
          <w:lang w:eastAsia="en-AU"/>
        </w:rPr>
        <w:t>Brief clinical guidelines for use of long-acting injectable buprenorphine in the treatment of opioid dependence</w:t>
      </w:r>
      <w:r>
        <w:rPr>
          <w:rFonts w:cs="Arial"/>
          <w:i/>
          <w:iCs/>
          <w:lang w:eastAsia="en-AU"/>
        </w:rPr>
        <w:t>.</w:t>
      </w:r>
    </w:p>
    <w:p w14:paraId="5B4E090F" w14:textId="77777777" w:rsidR="00F74C99" w:rsidRPr="00BA13DD" w:rsidRDefault="00F74C99" w:rsidP="00F74C99">
      <w:pPr>
        <w:pStyle w:val="Heading2"/>
      </w:pPr>
      <w:bookmarkStart w:id="12" w:name="_Toc60241061"/>
      <w:r>
        <w:t>Premises</w:t>
      </w:r>
      <w:bookmarkEnd w:id="12"/>
    </w:p>
    <w:p w14:paraId="5BBE7C7C" w14:textId="77777777" w:rsidR="00F74C99" w:rsidRPr="00DC664B" w:rsidRDefault="00F74C99" w:rsidP="00F74C99">
      <w:pPr>
        <w:pStyle w:val="DHHSbody"/>
        <w:rPr>
          <w:rFonts w:cs="Arial"/>
        </w:rPr>
      </w:pPr>
      <w:r w:rsidRPr="00DC664B">
        <w:rPr>
          <w:rFonts w:cs="Arial"/>
        </w:rPr>
        <w:t xml:space="preserve">A pharmacy </w:t>
      </w:r>
      <w:r>
        <w:rPr>
          <w:rFonts w:cs="Arial"/>
        </w:rPr>
        <w:t>providing</w:t>
      </w:r>
      <w:r w:rsidRPr="00DC664B">
        <w:rPr>
          <w:rFonts w:cs="Arial"/>
        </w:rPr>
        <w:t xml:space="preserve"> LAIB</w:t>
      </w:r>
      <w:r>
        <w:rPr>
          <w:rFonts w:cs="Arial"/>
        </w:rPr>
        <w:t xml:space="preserve"> administration services</w:t>
      </w:r>
      <w:r w:rsidRPr="00DC664B">
        <w:rPr>
          <w:rFonts w:cs="Arial"/>
        </w:rPr>
        <w:t xml:space="preserve"> must have already been granted permission to operate as a pharmacotherapy supplier</w:t>
      </w:r>
      <w:r>
        <w:rPr>
          <w:rFonts w:cs="Arial"/>
        </w:rPr>
        <w:t>. Additional requirements to operate as a LAIB administration pharmacy include:</w:t>
      </w:r>
    </w:p>
    <w:p w14:paraId="35BA7A70" w14:textId="77777777" w:rsidR="00F74C99" w:rsidRPr="008E1D8D" w:rsidRDefault="00F74C99" w:rsidP="00F74C99">
      <w:pPr>
        <w:pStyle w:val="DHHSbody"/>
        <w:rPr>
          <w:rFonts w:cs="Arial"/>
          <w:b/>
          <w:bCs/>
        </w:rPr>
      </w:pPr>
      <w:r w:rsidRPr="008E1D8D">
        <w:rPr>
          <w:rFonts w:cs="Arial"/>
          <w:b/>
          <w:bCs/>
        </w:rPr>
        <w:t>Equipment</w:t>
      </w:r>
    </w:p>
    <w:p w14:paraId="4DF7E8EA" w14:textId="77777777" w:rsidR="00F74C99" w:rsidRDefault="00F74C99" w:rsidP="00F74C99">
      <w:pPr>
        <w:pStyle w:val="DHHSbullet1"/>
        <w:spacing w:line="240" w:lineRule="auto"/>
        <w:ind w:left="0" w:firstLine="0"/>
      </w:pPr>
      <w:r>
        <w:t>Appropriate equipment for an injection administration service must be available, including:</w:t>
      </w:r>
    </w:p>
    <w:p w14:paraId="3AAF24C3" w14:textId="77777777" w:rsidR="00F74C99" w:rsidRDefault="00F74C99" w:rsidP="00F74C99">
      <w:pPr>
        <w:pStyle w:val="DHHSbullet1"/>
        <w:numPr>
          <w:ilvl w:val="0"/>
          <w:numId w:val="50"/>
        </w:numPr>
        <w:spacing w:line="240" w:lineRule="auto"/>
      </w:pPr>
      <w:r>
        <w:t xml:space="preserve">injection administration consumables i.e. hand hygiene products, gloves and alcohol </w:t>
      </w:r>
      <w:proofErr w:type="gramStart"/>
      <w:r>
        <w:t>swabs;</w:t>
      </w:r>
      <w:proofErr w:type="gramEnd"/>
    </w:p>
    <w:p w14:paraId="6C2218D1" w14:textId="77777777" w:rsidR="00F74C99" w:rsidRDefault="00F74C99" w:rsidP="00F74C99">
      <w:pPr>
        <w:pStyle w:val="DHHSbullet1"/>
        <w:numPr>
          <w:ilvl w:val="0"/>
          <w:numId w:val="50"/>
        </w:numPr>
        <w:spacing w:line="240" w:lineRule="auto"/>
      </w:pPr>
      <w:r>
        <w:t xml:space="preserve">appropriately sized sharps container to dispose of clinical waste, including used syringes and </w:t>
      </w:r>
      <w:proofErr w:type="gramStart"/>
      <w:r>
        <w:t>needles;</w:t>
      </w:r>
      <w:proofErr w:type="gramEnd"/>
    </w:p>
    <w:p w14:paraId="731EEACE" w14:textId="77777777" w:rsidR="00F74C99" w:rsidRDefault="00F74C99" w:rsidP="00F74C99">
      <w:pPr>
        <w:pStyle w:val="DHHSbullet1"/>
        <w:numPr>
          <w:ilvl w:val="0"/>
          <w:numId w:val="50"/>
        </w:numPr>
        <w:spacing w:line="240" w:lineRule="auto"/>
      </w:pPr>
      <w:r>
        <w:t>anaphylaxis response kit</w:t>
      </w:r>
      <w:r>
        <w:rPr>
          <w:rStyle w:val="FootnoteReference"/>
        </w:rPr>
        <w:footnoteReference w:id="2"/>
      </w:r>
      <w:r>
        <w:t xml:space="preserve"> and emergency protocol</w:t>
      </w:r>
      <w:r>
        <w:rPr>
          <w:rStyle w:val="FootnoteReference"/>
        </w:rPr>
        <w:footnoteReference w:id="3"/>
      </w:r>
      <w:r>
        <w:t>;</w:t>
      </w:r>
    </w:p>
    <w:p w14:paraId="0422DBCC" w14:textId="77777777" w:rsidR="00F74C99" w:rsidRDefault="00F74C99" w:rsidP="00F74C99">
      <w:pPr>
        <w:pStyle w:val="DHHSbullet1"/>
        <w:numPr>
          <w:ilvl w:val="0"/>
          <w:numId w:val="50"/>
        </w:numPr>
        <w:spacing w:line="240" w:lineRule="auto"/>
      </w:pPr>
      <w:r>
        <w:t>secure records system for documentation and storage of patient information; and</w:t>
      </w:r>
    </w:p>
    <w:p w14:paraId="4856D76F" w14:textId="77777777" w:rsidR="00F74C99" w:rsidRDefault="00F74C99" w:rsidP="00F74C99">
      <w:pPr>
        <w:pStyle w:val="DHHSbullet1"/>
        <w:numPr>
          <w:ilvl w:val="0"/>
          <w:numId w:val="50"/>
        </w:numPr>
        <w:spacing w:after="120"/>
      </w:pPr>
      <w:r>
        <w:t>schedule 8 medication storage facilities (see ‘Regulatory requirements’ for details)</w:t>
      </w:r>
    </w:p>
    <w:p w14:paraId="46938B40" w14:textId="77777777" w:rsidR="00F74C99" w:rsidRPr="008E1D8D" w:rsidRDefault="00F74C99" w:rsidP="00F74C99">
      <w:pPr>
        <w:pStyle w:val="DHHSbody"/>
        <w:rPr>
          <w:b/>
          <w:bCs/>
        </w:rPr>
      </w:pPr>
      <w:r>
        <w:rPr>
          <w:b/>
          <w:bCs/>
        </w:rPr>
        <w:t>C</w:t>
      </w:r>
      <w:r w:rsidRPr="008E1D8D">
        <w:rPr>
          <w:b/>
          <w:bCs/>
        </w:rPr>
        <w:t>onsultation space</w:t>
      </w:r>
    </w:p>
    <w:p w14:paraId="2551EC7F" w14:textId="77777777" w:rsidR="00F74C99" w:rsidRPr="006C3DB5" w:rsidRDefault="00F74C99" w:rsidP="00F74C99">
      <w:pPr>
        <w:pStyle w:val="DHHSbullet1"/>
        <w:spacing w:afterLines="40" w:after="96" w:line="240" w:lineRule="auto"/>
        <w:ind w:left="0" w:firstLine="0"/>
      </w:pPr>
      <w:r w:rsidRPr="008E1D8D">
        <w:rPr>
          <w:rFonts w:cs="Arial"/>
        </w:rPr>
        <w:t>A</w:t>
      </w:r>
      <w:r>
        <w:rPr>
          <w:rFonts w:cs="Arial"/>
        </w:rPr>
        <w:t>vailability of a</w:t>
      </w:r>
      <w:r w:rsidRPr="008E1D8D">
        <w:rPr>
          <w:rFonts w:cs="Arial"/>
        </w:rPr>
        <w:t xml:space="preserve"> dedicated room or private consultation area</w:t>
      </w:r>
      <w:r>
        <w:rPr>
          <w:rFonts w:cs="Arial"/>
        </w:rPr>
        <w:t>. The</w:t>
      </w:r>
      <w:r w:rsidRPr="008E1D8D">
        <w:rPr>
          <w:rFonts w:cs="Arial"/>
        </w:rPr>
        <w:t xml:space="preserve"> </w:t>
      </w:r>
      <w:r>
        <w:rPr>
          <w:rFonts w:cs="Arial"/>
        </w:rPr>
        <w:t xml:space="preserve">room </w:t>
      </w:r>
      <w:r w:rsidRPr="008E1D8D">
        <w:rPr>
          <w:rFonts w:cs="Arial"/>
        </w:rPr>
        <w:t>is not used as a storeroom or staffroom</w:t>
      </w:r>
      <w:r>
        <w:rPr>
          <w:rFonts w:cs="Arial"/>
        </w:rPr>
        <w:t xml:space="preserve">. </w:t>
      </w:r>
      <w:r w:rsidRPr="00C57E96">
        <w:t xml:space="preserve">The dispensary is not to be used for </w:t>
      </w:r>
      <w:r>
        <w:t>LAIB administration</w:t>
      </w:r>
      <w:r w:rsidRPr="00C57E96">
        <w:t xml:space="preserve"> services.</w:t>
      </w:r>
    </w:p>
    <w:p w14:paraId="52AAD87C" w14:textId="77777777" w:rsidR="00275F9B" w:rsidRDefault="00275F9B" w:rsidP="00F74C99">
      <w:pPr>
        <w:pStyle w:val="DHHSbullet1"/>
        <w:spacing w:afterLines="40" w:after="96" w:line="240" w:lineRule="auto"/>
      </w:pPr>
    </w:p>
    <w:p w14:paraId="52EA7A3C" w14:textId="2A9C8BC5" w:rsidR="00F74C99" w:rsidRPr="006C3DB5" w:rsidRDefault="00F74C99" w:rsidP="00F74C99">
      <w:pPr>
        <w:pStyle w:val="DHHSbullet1"/>
        <w:spacing w:afterLines="40" w:after="96" w:line="240" w:lineRule="auto"/>
      </w:pPr>
      <w:r w:rsidRPr="006C3DB5">
        <w:lastRenderedPageBreak/>
        <w:t>The room or private consultation area is to</w:t>
      </w:r>
      <w:r>
        <w:t xml:space="preserve"> contain</w:t>
      </w:r>
      <w:r w:rsidRPr="006C3DB5">
        <w:t>:</w:t>
      </w:r>
    </w:p>
    <w:p w14:paraId="08602F2F" w14:textId="77777777" w:rsidR="00F74C99" w:rsidRDefault="00F74C99" w:rsidP="00F74C99">
      <w:pPr>
        <w:pStyle w:val="DHHSbody"/>
        <w:numPr>
          <w:ilvl w:val="0"/>
          <w:numId w:val="48"/>
        </w:numPr>
        <w:spacing w:after="40" w:line="240" w:lineRule="auto"/>
      </w:pPr>
      <w:r>
        <w:t xml:space="preserve">handwashing </w:t>
      </w:r>
      <w:proofErr w:type="gramStart"/>
      <w:r>
        <w:t>facilities;</w:t>
      </w:r>
      <w:proofErr w:type="gramEnd"/>
    </w:p>
    <w:p w14:paraId="6CFEDA50" w14:textId="77777777" w:rsidR="00F74C99" w:rsidRPr="00C02F9E" w:rsidRDefault="00F74C99" w:rsidP="00F74C99">
      <w:pPr>
        <w:pStyle w:val="DHHSbody"/>
        <w:numPr>
          <w:ilvl w:val="0"/>
          <w:numId w:val="48"/>
        </w:numPr>
        <w:spacing w:after="40" w:line="240" w:lineRule="auto"/>
      </w:pPr>
      <w:r>
        <w:t>a room design</w:t>
      </w:r>
      <w:r w:rsidRPr="002056E7">
        <w:t xml:space="preserve"> such that the procedure is not visible or audible to other persons in the </w:t>
      </w:r>
      <w:proofErr w:type="gramStart"/>
      <w:r w:rsidRPr="002056E7">
        <w:t>pharmacy</w:t>
      </w:r>
      <w:r>
        <w:t>;</w:t>
      </w:r>
      <w:proofErr w:type="gramEnd"/>
      <w:r>
        <w:t xml:space="preserve"> </w:t>
      </w:r>
    </w:p>
    <w:p w14:paraId="080A30C4" w14:textId="77777777" w:rsidR="00F74C99" w:rsidRPr="006C3DB5" w:rsidRDefault="00F74C99" w:rsidP="00F74C99">
      <w:pPr>
        <w:pStyle w:val="DHHSbody"/>
        <w:numPr>
          <w:ilvl w:val="0"/>
          <w:numId w:val="48"/>
        </w:numPr>
        <w:spacing w:after="40" w:line="240" w:lineRule="auto"/>
      </w:pPr>
      <w:r>
        <w:t xml:space="preserve">a </w:t>
      </w:r>
      <w:r w:rsidRPr="00905015">
        <w:t xml:space="preserve">floor area, clear of equipment and furniture, to accommodate the </w:t>
      </w:r>
      <w:r>
        <w:t>patient</w:t>
      </w:r>
      <w:r w:rsidRPr="00905015">
        <w:t xml:space="preserve"> </w:t>
      </w:r>
      <w:r w:rsidRPr="006C3DB5">
        <w:t>and an accompanying person, and to allow the p</w:t>
      </w:r>
      <w:r>
        <w:t>harmacist</w:t>
      </w:r>
      <w:r w:rsidRPr="006C3DB5">
        <w:t xml:space="preserve"> room to </w:t>
      </w:r>
      <w:proofErr w:type="gramStart"/>
      <w:r w:rsidRPr="006C3DB5">
        <w:t>manoeuvre</w:t>
      </w:r>
      <w:r>
        <w:t>;</w:t>
      </w:r>
      <w:proofErr w:type="gramEnd"/>
    </w:p>
    <w:p w14:paraId="09FD92DE" w14:textId="77777777" w:rsidR="00F74C99" w:rsidRDefault="00F74C99" w:rsidP="00F74C99">
      <w:pPr>
        <w:pStyle w:val="DHHSbody"/>
        <w:numPr>
          <w:ilvl w:val="0"/>
          <w:numId w:val="48"/>
        </w:numPr>
        <w:spacing w:after="40" w:line="240" w:lineRule="auto"/>
      </w:pPr>
      <w:r w:rsidRPr="006C3DB5">
        <w:t xml:space="preserve">a </w:t>
      </w:r>
      <w:r>
        <w:t>work</w:t>
      </w:r>
      <w:r w:rsidRPr="006C3DB5">
        <w:t xml:space="preserve">bench of </w:t>
      </w:r>
      <w:r>
        <w:t>an adequate area</w:t>
      </w:r>
    </w:p>
    <w:p w14:paraId="5FF802F2" w14:textId="77777777" w:rsidR="00F74C99" w:rsidRPr="006C3DB5" w:rsidRDefault="00F74C99" w:rsidP="00F74C99">
      <w:pPr>
        <w:pStyle w:val="DHHSbody"/>
        <w:numPr>
          <w:ilvl w:val="0"/>
          <w:numId w:val="48"/>
        </w:numPr>
        <w:spacing w:after="40" w:line="240" w:lineRule="auto"/>
      </w:pPr>
      <w:r>
        <w:t xml:space="preserve">a chair and/or bed for the patient to sit or lie during LAIB administration; </w:t>
      </w:r>
      <w:r w:rsidRPr="006C3DB5">
        <w:t>and</w:t>
      </w:r>
    </w:p>
    <w:p w14:paraId="4895F5E0" w14:textId="77777777" w:rsidR="00F74C99" w:rsidRDefault="00F74C99" w:rsidP="00F74C99">
      <w:pPr>
        <w:pStyle w:val="DHHSbody"/>
        <w:numPr>
          <w:ilvl w:val="0"/>
          <w:numId w:val="49"/>
        </w:numPr>
        <w:rPr>
          <w:rFonts w:cs="Arial"/>
        </w:rPr>
      </w:pPr>
      <w:r>
        <w:rPr>
          <w:rFonts w:cs="Arial"/>
        </w:rPr>
        <w:t>An area within line of sight of the pharmacist for the patient to remain</w:t>
      </w:r>
      <w:r w:rsidRPr="008E1D8D">
        <w:rPr>
          <w:rFonts w:cs="Arial"/>
        </w:rPr>
        <w:t xml:space="preserve"> post injection</w:t>
      </w:r>
      <w:r>
        <w:rPr>
          <w:rFonts w:cs="Arial"/>
        </w:rPr>
        <w:t xml:space="preserve"> as required.</w:t>
      </w:r>
    </w:p>
    <w:p w14:paraId="3C0664CC" w14:textId="77777777" w:rsidR="00F74C99" w:rsidRPr="0027256E" w:rsidRDefault="00F74C99" w:rsidP="00F74C99">
      <w:pPr>
        <w:pStyle w:val="DHHSbody"/>
        <w:rPr>
          <w:rStyle w:val="eop"/>
          <w:rFonts w:cs="Arial"/>
        </w:rPr>
      </w:pPr>
      <w:r>
        <w:rPr>
          <w:rFonts w:cs="Arial"/>
        </w:rPr>
        <w:t xml:space="preserve">The consultation space and service </w:t>
      </w:r>
      <w:r w:rsidRPr="004156C9">
        <w:rPr>
          <w:rFonts w:cs="Arial"/>
        </w:rPr>
        <w:t>delivery must also consider</w:t>
      </w:r>
      <w:r>
        <w:rPr>
          <w:rFonts w:cs="Arial"/>
        </w:rPr>
        <w:t xml:space="preserve"> individual patient needs including disability and cultural safety.</w:t>
      </w:r>
    </w:p>
    <w:p w14:paraId="5C55B874" w14:textId="77777777" w:rsidR="00F74C99" w:rsidRPr="00B14FA8" w:rsidRDefault="00F74C99" w:rsidP="00F74C99">
      <w:pPr>
        <w:pStyle w:val="DHHSbody"/>
        <w:rPr>
          <w:rFonts w:cs="Arial"/>
          <w:b/>
          <w:bCs/>
        </w:rPr>
      </w:pPr>
      <w:r w:rsidRPr="00B14FA8">
        <w:rPr>
          <w:rFonts w:cs="Arial"/>
          <w:b/>
          <w:bCs/>
        </w:rPr>
        <w:t>Staffing</w:t>
      </w:r>
    </w:p>
    <w:p w14:paraId="5F922BE1" w14:textId="77777777" w:rsidR="00F74C99" w:rsidRDefault="00F74C99" w:rsidP="00F74C99">
      <w:pPr>
        <w:pStyle w:val="DHHSbody"/>
        <w:rPr>
          <w:rFonts w:cs="Arial"/>
        </w:rPr>
      </w:pPr>
      <w:r>
        <w:rPr>
          <w:rFonts w:cs="Arial"/>
        </w:rPr>
        <w:t>The p</w:t>
      </w:r>
      <w:r w:rsidRPr="008E1D8D">
        <w:rPr>
          <w:rFonts w:cs="Arial"/>
        </w:rPr>
        <w:t>harmacist must be able to leave the dispensary for the time taken to</w:t>
      </w:r>
      <w:r>
        <w:rPr>
          <w:rFonts w:cs="Arial"/>
        </w:rPr>
        <w:t xml:space="preserve"> assess the patient,</w:t>
      </w:r>
      <w:r w:rsidRPr="008E1D8D">
        <w:rPr>
          <w:rFonts w:cs="Arial"/>
        </w:rPr>
        <w:t xml:space="preserve"> administer the injection</w:t>
      </w:r>
      <w:r>
        <w:rPr>
          <w:rFonts w:cs="Arial"/>
        </w:rPr>
        <w:t xml:space="preserve"> and conduct appropriate record keeping.</w:t>
      </w:r>
    </w:p>
    <w:p w14:paraId="05AA4C9B" w14:textId="77777777" w:rsidR="00F74C99" w:rsidRPr="00E61D10" w:rsidRDefault="00F74C99" w:rsidP="00F74C99">
      <w:pPr>
        <w:pStyle w:val="DHHSbody"/>
        <w:rPr>
          <w:rFonts w:cs="Arial"/>
        </w:rPr>
      </w:pPr>
      <w:r>
        <w:rPr>
          <w:rFonts w:cs="Arial"/>
        </w:rPr>
        <w:t>When pharmacists are conducting pre-injection assessment, they must not engage in any other activity including dispensing.</w:t>
      </w:r>
    </w:p>
    <w:p w14:paraId="71497F11" w14:textId="77777777" w:rsidR="00F74C99" w:rsidRPr="00B14FA8" w:rsidRDefault="00F74C99" w:rsidP="00F74C99">
      <w:pPr>
        <w:pStyle w:val="DHHSbody"/>
        <w:rPr>
          <w:rFonts w:cs="Arial"/>
          <w:b/>
          <w:bCs/>
        </w:rPr>
      </w:pPr>
      <w:r w:rsidRPr="00B14FA8">
        <w:rPr>
          <w:rFonts w:cs="Arial"/>
          <w:b/>
          <w:bCs/>
        </w:rPr>
        <w:t>Certificate of training completion</w:t>
      </w:r>
    </w:p>
    <w:p w14:paraId="2B9CA830" w14:textId="77777777" w:rsidR="00F74C99" w:rsidRPr="00BA13DD" w:rsidRDefault="00F74C99" w:rsidP="00F74C99">
      <w:pPr>
        <w:pStyle w:val="DHHSbody"/>
        <w:rPr>
          <w:rStyle w:val="eop"/>
          <w:rFonts w:cs="Arial"/>
        </w:rPr>
      </w:pPr>
      <w:r>
        <w:rPr>
          <w:rFonts w:cs="Arial"/>
        </w:rPr>
        <w:t xml:space="preserve">A copy of the </w:t>
      </w:r>
      <w:r w:rsidRPr="005F17CA">
        <w:rPr>
          <w:rFonts w:cs="Arial"/>
          <w:i/>
          <w:iCs/>
        </w:rPr>
        <w:t xml:space="preserve">Long-acting injectable buprenorphine </w:t>
      </w:r>
      <w:r>
        <w:rPr>
          <w:rFonts w:cs="Arial"/>
          <w:i/>
          <w:iCs/>
        </w:rPr>
        <w:t>administration by</w:t>
      </w:r>
      <w:r w:rsidRPr="005F17CA">
        <w:rPr>
          <w:rFonts w:cs="Arial"/>
          <w:i/>
          <w:iCs/>
        </w:rPr>
        <w:t xml:space="preserve"> pharmacists</w:t>
      </w:r>
      <w:r>
        <w:rPr>
          <w:rFonts w:cs="Arial"/>
        </w:rPr>
        <w:t xml:space="preserve"> training certificate should be</w:t>
      </w:r>
      <w:r w:rsidRPr="008E1D8D">
        <w:rPr>
          <w:rFonts w:cs="Arial"/>
        </w:rPr>
        <w:t xml:space="preserve"> </w:t>
      </w:r>
      <w:r>
        <w:rPr>
          <w:rFonts w:cs="Arial"/>
        </w:rPr>
        <w:t>retained and made available, if requested.</w:t>
      </w:r>
    </w:p>
    <w:p w14:paraId="33ECFA67" w14:textId="77777777" w:rsidR="00F74C99" w:rsidRDefault="00F74C99" w:rsidP="00F74C99">
      <w:pPr>
        <w:pStyle w:val="Heading2"/>
      </w:pPr>
      <w:bookmarkStart w:id="13" w:name="_Toc60241062"/>
      <w:r>
        <w:t>Service delivery</w:t>
      </w:r>
      <w:bookmarkEnd w:id="13"/>
    </w:p>
    <w:p w14:paraId="254F0767" w14:textId="40D1B173" w:rsidR="00F74C99" w:rsidRDefault="00F74C99" w:rsidP="119EF856">
      <w:pPr>
        <w:pStyle w:val="paragraph"/>
        <w:spacing w:before="0" w:beforeAutospacing="0" w:after="120" w:afterAutospacing="0" w:line="270" w:lineRule="atLeast"/>
        <w:textAlignment w:val="baseline"/>
        <w:rPr>
          <w:rStyle w:val="eop"/>
          <w:rFonts w:ascii="Arial" w:hAnsi="Arial" w:cs="Arial"/>
          <w:sz w:val="20"/>
          <w:szCs w:val="20"/>
        </w:rPr>
      </w:pPr>
      <w:r w:rsidRPr="119EF856">
        <w:rPr>
          <w:rStyle w:val="eop"/>
          <w:rFonts w:ascii="Arial" w:hAnsi="Arial" w:cs="Arial"/>
          <w:sz w:val="20"/>
          <w:szCs w:val="20"/>
        </w:rPr>
        <w:t>The most appropriate time for a patient to transition to pharmacist administration should be decided by the prescriber on an individual patient basis.  Factors to be considered include patient complexity, concerns with dosing stability and potential barriers to access.</w:t>
      </w:r>
      <w:r w:rsidR="683EE1B6" w:rsidRPr="119EF856">
        <w:rPr>
          <w:rStyle w:val="eop"/>
          <w:rFonts w:ascii="Arial" w:hAnsi="Arial" w:cs="Arial"/>
          <w:sz w:val="20"/>
          <w:szCs w:val="20"/>
        </w:rPr>
        <w:t xml:space="preserve"> The patient should be fully informed about consideration and included in decision making.</w:t>
      </w:r>
    </w:p>
    <w:p w14:paraId="63DBC6EB" w14:textId="3A2424E6" w:rsidR="00F74C99" w:rsidRDefault="00DB2085" w:rsidP="00F74C99">
      <w:pPr>
        <w:pStyle w:val="paragraph"/>
        <w:spacing w:before="0" w:beforeAutospacing="0" w:after="120" w:afterAutospacing="0" w:line="270" w:lineRule="atLeast"/>
        <w:textAlignment w:val="baseline"/>
        <w:rPr>
          <w:rStyle w:val="eop"/>
          <w:rFonts w:ascii="Arial" w:hAnsi="Arial" w:cs="Arial"/>
          <w:sz w:val="20"/>
          <w:szCs w:val="20"/>
        </w:rPr>
      </w:pPr>
      <w:r>
        <w:rPr>
          <w:rStyle w:val="eop"/>
          <w:rFonts w:ascii="Arial" w:hAnsi="Arial" w:cs="Arial"/>
          <w:sz w:val="20"/>
          <w:szCs w:val="20"/>
        </w:rPr>
        <w:t>If there is a need for the</w:t>
      </w:r>
      <w:r w:rsidR="00F74C99" w:rsidRPr="009F253B">
        <w:rPr>
          <w:rStyle w:val="eop"/>
          <w:rFonts w:ascii="Arial" w:hAnsi="Arial" w:cs="Arial"/>
          <w:sz w:val="20"/>
          <w:szCs w:val="20"/>
        </w:rPr>
        <w:t xml:space="preserve"> patient </w:t>
      </w:r>
      <w:r>
        <w:rPr>
          <w:rStyle w:val="eop"/>
          <w:rFonts w:ascii="Arial" w:hAnsi="Arial" w:cs="Arial"/>
          <w:sz w:val="20"/>
          <w:szCs w:val="20"/>
        </w:rPr>
        <w:t>to</w:t>
      </w:r>
      <w:r w:rsidR="00F74C99" w:rsidRPr="009F253B">
        <w:rPr>
          <w:rStyle w:val="eop"/>
          <w:rFonts w:ascii="Arial" w:hAnsi="Arial" w:cs="Arial"/>
          <w:sz w:val="20"/>
          <w:szCs w:val="20"/>
        </w:rPr>
        <w:t xml:space="preserve"> revert to prescriber administration</w:t>
      </w:r>
      <w:r>
        <w:rPr>
          <w:rStyle w:val="eop"/>
          <w:rFonts w:ascii="Arial" w:hAnsi="Arial" w:cs="Arial"/>
          <w:sz w:val="20"/>
          <w:szCs w:val="20"/>
        </w:rPr>
        <w:t>,</w:t>
      </w:r>
      <w:r w:rsidR="00F74C99" w:rsidRPr="009F253B">
        <w:rPr>
          <w:rStyle w:val="eop"/>
          <w:rFonts w:ascii="Arial" w:hAnsi="Arial" w:cs="Arial"/>
          <w:sz w:val="20"/>
          <w:szCs w:val="20"/>
        </w:rPr>
        <w:t xml:space="preserve"> clear communication of this plan is essential between the pharmacist, prescriber and patient for</w:t>
      </w:r>
      <w:r w:rsidR="00F74C99">
        <w:rPr>
          <w:rStyle w:val="eop"/>
          <w:rFonts w:ascii="Arial" w:hAnsi="Arial" w:cs="Arial"/>
          <w:sz w:val="20"/>
          <w:szCs w:val="20"/>
        </w:rPr>
        <w:t xml:space="preserve"> safe</w:t>
      </w:r>
      <w:r w:rsidR="00F74C99" w:rsidRPr="009F253B">
        <w:rPr>
          <w:rStyle w:val="eop"/>
          <w:rFonts w:ascii="Arial" w:hAnsi="Arial" w:cs="Arial"/>
          <w:sz w:val="20"/>
          <w:szCs w:val="20"/>
        </w:rPr>
        <w:t xml:space="preserve"> coordination of care.</w:t>
      </w:r>
      <w:r w:rsidR="00F74C99">
        <w:rPr>
          <w:rStyle w:val="eop"/>
          <w:rFonts w:ascii="Arial" w:hAnsi="Arial" w:cs="Arial"/>
          <w:sz w:val="20"/>
          <w:szCs w:val="20"/>
        </w:rPr>
        <w:t xml:space="preserve"> </w:t>
      </w:r>
    </w:p>
    <w:p w14:paraId="016B10AC" w14:textId="77777777" w:rsidR="00F74C99" w:rsidRPr="004A2F74" w:rsidRDefault="00F74C99" w:rsidP="00F74C99">
      <w:pPr>
        <w:pStyle w:val="paragraph"/>
        <w:spacing w:before="0" w:beforeAutospacing="0" w:after="120" w:afterAutospacing="0" w:line="270" w:lineRule="atLeast"/>
        <w:textAlignment w:val="baseline"/>
        <w:rPr>
          <w:rStyle w:val="normaltextrun"/>
          <w:rFonts w:ascii="Arial" w:eastAsia="MS Mincho" w:hAnsi="Arial" w:cs="Arial"/>
          <w:sz w:val="20"/>
          <w:szCs w:val="20"/>
        </w:rPr>
      </w:pPr>
      <w:r w:rsidRPr="004A2F74">
        <w:rPr>
          <w:rStyle w:val="normaltextrun"/>
          <w:rFonts w:ascii="Arial" w:eastAsia="MS Mincho" w:hAnsi="Arial" w:cs="Arial"/>
          <w:sz w:val="20"/>
          <w:szCs w:val="20"/>
        </w:rPr>
        <w:t xml:space="preserve">An agreed frequency and method of communication should be established between the prescriber and pharmacist.  The agreed communication plan may vary based on clinical need (e.g. regular reporting on treatment progress versus communication on an as needed basis). </w:t>
      </w:r>
    </w:p>
    <w:p w14:paraId="036B4E29" w14:textId="77777777" w:rsidR="00F74C99" w:rsidRPr="007F1300" w:rsidRDefault="00F74C99" w:rsidP="00F74C99">
      <w:pPr>
        <w:pStyle w:val="paragraph"/>
        <w:spacing w:before="0" w:beforeAutospacing="0" w:after="120" w:afterAutospacing="0" w:line="270" w:lineRule="atLeast"/>
        <w:textAlignment w:val="baseline"/>
        <w:rPr>
          <w:rFonts w:ascii="Arial" w:hAnsi="Arial" w:cs="Arial"/>
          <w:b/>
          <w:bCs/>
          <w:sz w:val="20"/>
          <w:szCs w:val="20"/>
        </w:rPr>
      </w:pPr>
      <w:r w:rsidRPr="007F1300">
        <w:rPr>
          <w:rStyle w:val="normaltextrun"/>
          <w:rFonts w:ascii="Arial" w:eastAsia="MS Mincho" w:hAnsi="Arial" w:cs="Arial"/>
          <w:b/>
          <w:bCs/>
          <w:sz w:val="20"/>
          <w:szCs w:val="20"/>
        </w:rPr>
        <w:t>P</w:t>
      </w:r>
      <w:r>
        <w:rPr>
          <w:rStyle w:val="normaltextrun"/>
          <w:rFonts w:ascii="Arial" w:eastAsia="MS Mincho" w:hAnsi="Arial" w:cs="Arial"/>
          <w:b/>
          <w:bCs/>
          <w:sz w:val="20"/>
          <w:szCs w:val="20"/>
        </w:rPr>
        <w:t>re-injection assessment</w:t>
      </w:r>
    </w:p>
    <w:p w14:paraId="46A22CCC" w14:textId="77777777" w:rsidR="00F74C99" w:rsidRDefault="00F74C99" w:rsidP="00F74C99">
      <w:pPr>
        <w:pStyle w:val="paragraph"/>
        <w:spacing w:before="0" w:beforeAutospacing="0" w:after="120" w:afterAutospacing="0" w:line="270" w:lineRule="atLeast"/>
        <w:textAlignment w:val="baseline"/>
        <w:rPr>
          <w:rStyle w:val="normaltextrun"/>
          <w:rFonts w:ascii="Arial" w:eastAsia="MS Mincho" w:hAnsi="Arial" w:cs="Arial"/>
          <w:sz w:val="20"/>
          <w:szCs w:val="20"/>
        </w:rPr>
      </w:pPr>
      <w:r w:rsidRPr="007F1300">
        <w:rPr>
          <w:rStyle w:val="normaltextrun"/>
          <w:rFonts w:ascii="Arial" w:eastAsia="MS Mincho" w:hAnsi="Arial" w:cs="Arial"/>
          <w:sz w:val="20"/>
          <w:szCs w:val="20"/>
        </w:rPr>
        <w:t xml:space="preserve">Prior to injection administration, the pharmacist should </w:t>
      </w:r>
      <w:r>
        <w:rPr>
          <w:rStyle w:val="normaltextrun"/>
          <w:rFonts w:ascii="Arial" w:eastAsia="MS Mincho" w:hAnsi="Arial" w:cs="Arial"/>
          <w:sz w:val="20"/>
          <w:szCs w:val="20"/>
        </w:rPr>
        <w:t>provide a holistic review</w:t>
      </w:r>
      <w:r w:rsidRPr="007F1300">
        <w:rPr>
          <w:rStyle w:val="normaltextrun"/>
          <w:rFonts w:ascii="Arial" w:eastAsia="MS Mincho" w:hAnsi="Arial" w:cs="Arial"/>
          <w:sz w:val="20"/>
          <w:szCs w:val="20"/>
        </w:rPr>
        <w:t xml:space="preserve"> considering factors </w:t>
      </w:r>
      <w:r>
        <w:rPr>
          <w:rStyle w:val="normaltextrun"/>
          <w:rFonts w:ascii="Arial" w:eastAsia="MS Mincho" w:hAnsi="Arial" w:cs="Arial"/>
          <w:sz w:val="20"/>
          <w:szCs w:val="20"/>
        </w:rPr>
        <w:t>including confirmation of injection due date,</w:t>
      </w:r>
      <w:r w:rsidRPr="007F1300">
        <w:rPr>
          <w:rStyle w:val="normaltextrun"/>
          <w:rFonts w:ascii="Arial" w:eastAsia="MS Mincho" w:hAnsi="Arial" w:cs="Arial"/>
          <w:sz w:val="20"/>
          <w:szCs w:val="20"/>
        </w:rPr>
        <w:t xml:space="preserve"> </w:t>
      </w:r>
      <w:r>
        <w:rPr>
          <w:rStyle w:val="normaltextrun"/>
          <w:rFonts w:ascii="Arial" w:eastAsia="MS Mincho" w:hAnsi="Arial" w:cs="Arial"/>
          <w:sz w:val="20"/>
          <w:szCs w:val="20"/>
        </w:rPr>
        <w:t xml:space="preserve">review of previous dose adequacy, </w:t>
      </w:r>
      <w:r w:rsidRPr="007F1300">
        <w:rPr>
          <w:rStyle w:val="normaltextrun"/>
          <w:rFonts w:ascii="Arial" w:eastAsia="MS Mincho" w:hAnsi="Arial" w:cs="Arial"/>
          <w:sz w:val="20"/>
          <w:szCs w:val="20"/>
        </w:rPr>
        <w:t xml:space="preserve">any </w:t>
      </w:r>
      <w:r>
        <w:rPr>
          <w:rStyle w:val="normaltextrun"/>
          <w:rFonts w:ascii="Arial" w:eastAsia="MS Mincho" w:hAnsi="Arial" w:cs="Arial"/>
          <w:sz w:val="20"/>
          <w:szCs w:val="20"/>
        </w:rPr>
        <w:t xml:space="preserve">previous </w:t>
      </w:r>
      <w:r w:rsidRPr="007F1300">
        <w:rPr>
          <w:rStyle w:val="normaltextrun"/>
          <w:rFonts w:ascii="Arial" w:eastAsia="MS Mincho" w:hAnsi="Arial" w:cs="Arial"/>
          <w:sz w:val="20"/>
          <w:szCs w:val="20"/>
        </w:rPr>
        <w:t>adverse events</w:t>
      </w:r>
      <w:r>
        <w:rPr>
          <w:rStyle w:val="normaltextrun"/>
          <w:rFonts w:ascii="Arial" w:eastAsia="MS Mincho" w:hAnsi="Arial" w:cs="Arial"/>
          <w:sz w:val="20"/>
          <w:szCs w:val="20"/>
        </w:rPr>
        <w:t xml:space="preserve"> and general patient health and wellbeing</w:t>
      </w:r>
      <w:r w:rsidRPr="007F1300">
        <w:rPr>
          <w:rStyle w:val="normaltextrun"/>
          <w:rFonts w:ascii="Arial" w:eastAsia="MS Mincho" w:hAnsi="Arial" w:cs="Arial"/>
          <w:sz w:val="20"/>
          <w:szCs w:val="20"/>
        </w:rPr>
        <w:t>. Pre-injection observations should be documented, and any concerns escalated to the prescriber as appropriate.</w:t>
      </w:r>
    </w:p>
    <w:p w14:paraId="569D7265" w14:textId="77777777" w:rsidR="00F74C99" w:rsidRPr="00B17A7D" w:rsidRDefault="00F74C99" w:rsidP="00F74C99">
      <w:pPr>
        <w:pStyle w:val="paragraph"/>
        <w:spacing w:before="0" w:beforeAutospacing="0" w:after="120" w:afterAutospacing="0" w:line="270" w:lineRule="atLeast"/>
        <w:textAlignment w:val="baseline"/>
        <w:rPr>
          <w:rStyle w:val="normaltextrun"/>
          <w:rFonts w:ascii="Arial" w:eastAsia="MS Mincho" w:hAnsi="Arial" w:cs="Arial"/>
          <w:sz w:val="20"/>
          <w:szCs w:val="20"/>
        </w:rPr>
      </w:pPr>
      <w:r w:rsidRPr="00B17A7D">
        <w:rPr>
          <w:rStyle w:val="normaltextrun"/>
          <w:rFonts w:ascii="Arial" w:eastAsia="MS Mincho" w:hAnsi="Arial" w:cs="Arial"/>
          <w:sz w:val="20"/>
          <w:szCs w:val="20"/>
        </w:rPr>
        <w:t>Circumstances requiring escalation to the prescriber:</w:t>
      </w:r>
    </w:p>
    <w:p w14:paraId="713A76F0" w14:textId="77777777" w:rsidR="00F74C99" w:rsidRPr="00B17A7D" w:rsidRDefault="00F74C99" w:rsidP="00F74C99">
      <w:pPr>
        <w:pStyle w:val="paragraph"/>
        <w:numPr>
          <w:ilvl w:val="0"/>
          <w:numId w:val="49"/>
        </w:numPr>
        <w:spacing w:before="0" w:beforeAutospacing="0" w:after="120" w:afterAutospacing="0" w:line="270" w:lineRule="atLeast"/>
        <w:textAlignment w:val="baseline"/>
        <w:rPr>
          <w:rStyle w:val="normaltextrun"/>
          <w:rFonts w:ascii="Arial" w:eastAsia="MS Mincho" w:hAnsi="Arial" w:cs="Arial"/>
          <w:sz w:val="20"/>
          <w:szCs w:val="20"/>
        </w:rPr>
      </w:pPr>
      <w:r w:rsidRPr="00B17A7D">
        <w:rPr>
          <w:rStyle w:val="normaltextrun"/>
          <w:rFonts w:ascii="Arial" w:eastAsia="MS Mincho" w:hAnsi="Arial" w:cs="Arial"/>
          <w:sz w:val="20"/>
          <w:szCs w:val="20"/>
        </w:rPr>
        <w:t>Immediate concerns with dosing (including signs of intoxication, opioid withdrawal, presentation for dosing outside of eligible date range)</w:t>
      </w:r>
    </w:p>
    <w:p w14:paraId="6AF1C4C1" w14:textId="77777777" w:rsidR="00F74C99" w:rsidRPr="00B17A7D" w:rsidRDefault="00F74C99" w:rsidP="00F74C99">
      <w:pPr>
        <w:pStyle w:val="paragraph"/>
        <w:numPr>
          <w:ilvl w:val="0"/>
          <w:numId w:val="49"/>
        </w:numPr>
        <w:spacing w:before="0" w:beforeAutospacing="0" w:after="120" w:afterAutospacing="0" w:line="270" w:lineRule="atLeast"/>
        <w:textAlignment w:val="baseline"/>
        <w:rPr>
          <w:rStyle w:val="normaltextrun"/>
          <w:rFonts w:ascii="Arial" w:eastAsia="MS Mincho" w:hAnsi="Arial" w:cs="Arial"/>
          <w:sz w:val="20"/>
          <w:szCs w:val="20"/>
        </w:rPr>
      </w:pPr>
      <w:r w:rsidRPr="00B17A7D">
        <w:rPr>
          <w:rStyle w:val="normaltextrun"/>
          <w:rFonts w:ascii="Arial" w:eastAsia="MS Mincho" w:hAnsi="Arial" w:cs="Arial"/>
          <w:sz w:val="20"/>
          <w:szCs w:val="20"/>
        </w:rPr>
        <w:t>Significant change in mental or physical health (including pregnancy)</w:t>
      </w:r>
    </w:p>
    <w:p w14:paraId="58160BC9" w14:textId="77777777" w:rsidR="00F74C99" w:rsidRPr="00B17A7D" w:rsidRDefault="00F74C99" w:rsidP="00F74C99">
      <w:pPr>
        <w:pStyle w:val="paragraph"/>
        <w:numPr>
          <w:ilvl w:val="0"/>
          <w:numId w:val="49"/>
        </w:numPr>
        <w:spacing w:before="0" w:beforeAutospacing="0" w:after="120" w:afterAutospacing="0" w:line="270" w:lineRule="atLeast"/>
        <w:textAlignment w:val="baseline"/>
        <w:rPr>
          <w:rStyle w:val="normaltextrun"/>
          <w:rFonts w:ascii="Arial" w:eastAsia="MS Mincho" w:hAnsi="Arial" w:cs="Arial"/>
          <w:sz w:val="20"/>
          <w:szCs w:val="20"/>
        </w:rPr>
      </w:pPr>
      <w:r w:rsidRPr="00B17A7D">
        <w:rPr>
          <w:rStyle w:val="normaltextrun"/>
          <w:rFonts w:ascii="Arial" w:eastAsia="MS Mincho" w:hAnsi="Arial" w:cs="Arial"/>
          <w:sz w:val="20"/>
          <w:szCs w:val="20"/>
        </w:rPr>
        <w:t>Significant change in social circumstances</w:t>
      </w:r>
    </w:p>
    <w:p w14:paraId="60CEF89B" w14:textId="788E6975" w:rsidR="00275F9B" w:rsidRDefault="00F74C99" w:rsidP="00F74C99">
      <w:pPr>
        <w:pStyle w:val="paragraph"/>
        <w:spacing w:before="0" w:beforeAutospacing="0" w:after="120" w:afterAutospacing="0" w:line="270" w:lineRule="atLeast"/>
        <w:textAlignment w:val="baseline"/>
        <w:rPr>
          <w:rStyle w:val="normaltextrun"/>
          <w:rFonts w:ascii="Arial" w:eastAsia="MS Mincho" w:hAnsi="Arial" w:cs="Arial"/>
          <w:sz w:val="20"/>
          <w:szCs w:val="20"/>
        </w:rPr>
      </w:pPr>
      <w:r>
        <w:rPr>
          <w:rStyle w:val="normaltextrun"/>
          <w:rFonts w:ascii="Arial" w:eastAsia="MS Mincho" w:hAnsi="Arial" w:cs="Arial"/>
          <w:sz w:val="20"/>
          <w:szCs w:val="20"/>
        </w:rPr>
        <w:t>A valid prescription must also be confirmed prior to injection administration.</w:t>
      </w:r>
    </w:p>
    <w:p w14:paraId="12B30333" w14:textId="1C01D5C1" w:rsidR="00F74C99" w:rsidRPr="007F1300" w:rsidRDefault="00275F9B" w:rsidP="00275F9B">
      <w:pPr>
        <w:spacing w:after="0" w:line="240" w:lineRule="auto"/>
        <w:rPr>
          <w:rFonts w:eastAsia="MS Mincho" w:cs="Arial"/>
          <w:sz w:val="20"/>
          <w:lang w:eastAsia="en-AU"/>
        </w:rPr>
      </w:pPr>
      <w:r>
        <w:rPr>
          <w:rStyle w:val="normaltextrun"/>
          <w:rFonts w:eastAsia="MS Mincho" w:cs="Arial"/>
          <w:sz w:val="20"/>
        </w:rPr>
        <w:br w:type="page"/>
      </w:r>
    </w:p>
    <w:p w14:paraId="7F24434C" w14:textId="7F3FF7AB" w:rsidR="00F74C99" w:rsidRPr="00D127AC" w:rsidRDefault="00F74C99" w:rsidP="00F74C99">
      <w:pPr>
        <w:pStyle w:val="paragraph"/>
        <w:spacing w:before="0" w:beforeAutospacing="0" w:after="120" w:afterAutospacing="0" w:line="270" w:lineRule="atLeast"/>
        <w:textAlignment w:val="baseline"/>
        <w:rPr>
          <w:rStyle w:val="normaltextrun"/>
          <w:rFonts w:ascii="Arial" w:eastAsia="MS Mincho" w:hAnsi="Arial" w:cs="Arial"/>
          <w:sz w:val="20"/>
          <w:szCs w:val="20"/>
        </w:rPr>
      </w:pPr>
      <w:r w:rsidRPr="00D127AC">
        <w:rPr>
          <w:rStyle w:val="eop"/>
          <w:rFonts w:ascii="Arial" w:hAnsi="Arial" w:cs="Arial"/>
          <w:b/>
          <w:bCs/>
          <w:sz w:val="20"/>
          <w:szCs w:val="20"/>
        </w:rPr>
        <w:lastRenderedPageBreak/>
        <w:t>LAIB administration</w:t>
      </w:r>
    </w:p>
    <w:p w14:paraId="2D36B784" w14:textId="77777777" w:rsidR="00F74C99" w:rsidRPr="00D127AC" w:rsidRDefault="00F74C99" w:rsidP="00F74C99">
      <w:pPr>
        <w:pStyle w:val="paragraph"/>
        <w:spacing w:before="0" w:beforeAutospacing="0" w:after="120" w:afterAutospacing="0" w:line="270" w:lineRule="atLeast"/>
        <w:textAlignment w:val="baseline"/>
        <w:rPr>
          <w:rStyle w:val="normaltextrun"/>
          <w:rFonts w:ascii="Arial" w:eastAsia="MS Mincho" w:hAnsi="Arial" w:cs="Arial"/>
          <w:sz w:val="20"/>
          <w:szCs w:val="20"/>
        </w:rPr>
      </w:pPr>
      <w:r w:rsidRPr="00D127AC">
        <w:rPr>
          <w:rStyle w:val="normaltextrun"/>
          <w:rFonts w:ascii="Arial" w:eastAsia="MS Mincho" w:hAnsi="Arial" w:cs="Arial"/>
          <w:sz w:val="20"/>
          <w:szCs w:val="20"/>
        </w:rPr>
        <w:t xml:space="preserve">After pre-injection assessment is complete, the dose should be </w:t>
      </w:r>
      <w:r>
        <w:rPr>
          <w:rStyle w:val="normaltextrun"/>
          <w:rFonts w:ascii="Arial" w:eastAsia="MS Mincho" w:hAnsi="Arial" w:cs="Arial"/>
          <w:sz w:val="20"/>
          <w:szCs w:val="20"/>
        </w:rPr>
        <w:t xml:space="preserve">aseptically </w:t>
      </w:r>
      <w:r w:rsidRPr="00D127AC">
        <w:rPr>
          <w:rStyle w:val="normaltextrun"/>
          <w:rFonts w:ascii="Arial" w:eastAsia="MS Mincho" w:hAnsi="Arial" w:cs="Arial"/>
          <w:sz w:val="20"/>
          <w:szCs w:val="20"/>
        </w:rPr>
        <w:t>administered</w:t>
      </w:r>
      <w:r>
        <w:rPr>
          <w:rStyle w:val="normaltextrun"/>
          <w:rFonts w:ascii="Arial" w:eastAsia="MS Mincho" w:hAnsi="Arial" w:cs="Arial"/>
          <w:sz w:val="20"/>
          <w:szCs w:val="20"/>
        </w:rPr>
        <w:t xml:space="preserve"> using subcutaneous injection technique </w:t>
      </w:r>
      <w:r w:rsidRPr="00D127AC">
        <w:rPr>
          <w:rStyle w:val="normaltextrun"/>
          <w:rFonts w:ascii="Arial" w:eastAsia="MS Mincho" w:hAnsi="Arial" w:cs="Arial"/>
          <w:sz w:val="20"/>
          <w:szCs w:val="20"/>
        </w:rPr>
        <w:t>specific for the LAIB form</w:t>
      </w:r>
      <w:r>
        <w:rPr>
          <w:rStyle w:val="normaltextrun"/>
          <w:rFonts w:ascii="Arial" w:eastAsia="MS Mincho" w:hAnsi="Arial" w:cs="Arial"/>
          <w:sz w:val="20"/>
          <w:szCs w:val="20"/>
        </w:rPr>
        <w:t>ul</w:t>
      </w:r>
      <w:r w:rsidRPr="00D127AC">
        <w:rPr>
          <w:rStyle w:val="normaltextrun"/>
          <w:rFonts w:ascii="Arial" w:eastAsia="MS Mincho" w:hAnsi="Arial" w:cs="Arial"/>
          <w:sz w:val="20"/>
          <w:szCs w:val="20"/>
        </w:rPr>
        <w:t>ation prescribed.</w:t>
      </w:r>
    </w:p>
    <w:p w14:paraId="272B1500" w14:textId="77777777" w:rsidR="00F74C99" w:rsidRPr="00084ABB" w:rsidRDefault="00F74C99" w:rsidP="00F74C99">
      <w:pPr>
        <w:pStyle w:val="paragraph"/>
        <w:spacing w:before="0" w:beforeAutospacing="0" w:after="120" w:afterAutospacing="0" w:line="270" w:lineRule="atLeast"/>
        <w:textAlignment w:val="baseline"/>
        <w:rPr>
          <w:rStyle w:val="normaltextrun"/>
          <w:rFonts w:ascii="Arial" w:eastAsia="MS Mincho" w:hAnsi="Arial" w:cs="Arial"/>
          <w:sz w:val="20"/>
          <w:szCs w:val="20"/>
        </w:rPr>
      </w:pPr>
      <w:r w:rsidRPr="00084ABB">
        <w:rPr>
          <w:rStyle w:val="normaltextrun"/>
          <w:rFonts w:ascii="Arial" w:eastAsia="MS Mincho" w:hAnsi="Arial" w:cs="Arial"/>
          <w:sz w:val="20"/>
          <w:szCs w:val="20"/>
        </w:rPr>
        <w:t>LAIB administration </w:t>
      </w:r>
      <w:r>
        <w:rPr>
          <w:rStyle w:val="normaltextrun"/>
          <w:rFonts w:ascii="Arial" w:eastAsia="MS Mincho" w:hAnsi="Arial" w:cs="Arial"/>
          <w:sz w:val="20"/>
          <w:szCs w:val="20"/>
        </w:rPr>
        <w:t>will</w:t>
      </w:r>
      <w:r w:rsidRPr="00084ABB">
        <w:rPr>
          <w:rStyle w:val="normaltextrun"/>
          <w:rFonts w:ascii="Arial" w:eastAsia="MS Mincho" w:hAnsi="Arial" w:cs="Arial"/>
          <w:sz w:val="20"/>
          <w:szCs w:val="20"/>
        </w:rPr>
        <w:t> require the patient to expose skin and/or remove clothing. The pharmacist should ensure patient privacy is considered and </w:t>
      </w:r>
      <w:r>
        <w:rPr>
          <w:rStyle w:val="normaltextrun"/>
          <w:rFonts w:ascii="Arial" w:eastAsia="MS Mincho" w:hAnsi="Arial" w:cs="Arial"/>
          <w:sz w:val="20"/>
          <w:szCs w:val="20"/>
        </w:rPr>
        <w:t xml:space="preserve">provide </w:t>
      </w:r>
      <w:r w:rsidRPr="00084ABB">
        <w:rPr>
          <w:rStyle w:val="normaltextrun"/>
          <w:rFonts w:ascii="Arial" w:eastAsia="MS Mincho" w:hAnsi="Arial" w:cs="Arial"/>
          <w:sz w:val="20"/>
          <w:szCs w:val="20"/>
        </w:rPr>
        <w:t>the option to either sit or lie down to receive the injection.</w:t>
      </w:r>
    </w:p>
    <w:p w14:paraId="3AD176DE" w14:textId="77777777" w:rsidR="00F74C99" w:rsidRPr="00084ABB" w:rsidRDefault="00F74C99" w:rsidP="00F74C99">
      <w:pPr>
        <w:pStyle w:val="paragraph"/>
        <w:spacing w:before="0" w:beforeAutospacing="0" w:after="120" w:afterAutospacing="0" w:line="270" w:lineRule="atLeast"/>
        <w:textAlignment w:val="baseline"/>
        <w:rPr>
          <w:rStyle w:val="eop"/>
          <w:rFonts w:ascii="Arial" w:hAnsi="Arial" w:cs="Arial"/>
          <w:b/>
          <w:bCs/>
          <w:sz w:val="20"/>
          <w:szCs w:val="20"/>
        </w:rPr>
      </w:pPr>
      <w:r w:rsidRPr="00084ABB">
        <w:rPr>
          <w:rStyle w:val="normaltextrun"/>
          <w:rFonts w:ascii="Arial" w:eastAsia="MS Mincho" w:hAnsi="Arial" w:cs="Arial"/>
          <w:b/>
          <w:bCs/>
          <w:sz w:val="20"/>
          <w:szCs w:val="20"/>
        </w:rPr>
        <w:t>Post administration</w:t>
      </w:r>
      <w:r w:rsidRPr="00084ABB">
        <w:rPr>
          <w:rStyle w:val="eop"/>
          <w:rFonts w:ascii="Arial" w:hAnsi="Arial" w:cs="Arial"/>
          <w:b/>
          <w:bCs/>
          <w:sz w:val="20"/>
          <w:szCs w:val="20"/>
        </w:rPr>
        <w:t> </w:t>
      </w:r>
    </w:p>
    <w:p w14:paraId="10CA02A3" w14:textId="77777777" w:rsidR="00F74C99" w:rsidRPr="004D3EAD" w:rsidRDefault="00F74C99" w:rsidP="00F74C99">
      <w:pPr>
        <w:pStyle w:val="paragraph"/>
        <w:spacing w:before="0" w:beforeAutospacing="0" w:after="120" w:afterAutospacing="0" w:line="270" w:lineRule="atLeast"/>
        <w:textAlignment w:val="baseline"/>
        <w:rPr>
          <w:rStyle w:val="eop"/>
          <w:rFonts w:ascii="Arial" w:hAnsi="Arial" w:cs="Arial"/>
          <w:sz w:val="20"/>
          <w:szCs w:val="20"/>
        </w:rPr>
      </w:pPr>
      <w:r w:rsidRPr="004D3EAD">
        <w:rPr>
          <w:rStyle w:val="eop"/>
          <w:rFonts w:ascii="Arial" w:hAnsi="Arial" w:cs="Arial"/>
          <w:sz w:val="20"/>
          <w:szCs w:val="20"/>
        </w:rPr>
        <w:t>Brief clinical notes should be documented including site of administration to ensure this is rotated each visit.</w:t>
      </w:r>
      <w:r>
        <w:rPr>
          <w:rStyle w:val="eop"/>
          <w:rFonts w:ascii="Arial" w:hAnsi="Arial" w:cs="Arial"/>
          <w:sz w:val="20"/>
          <w:szCs w:val="20"/>
        </w:rPr>
        <w:t xml:space="preserve"> Any </w:t>
      </w:r>
      <w:r>
        <w:rPr>
          <w:rStyle w:val="normaltextrun"/>
          <w:rFonts w:ascii="Arial" w:eastAsia="MS Mincho" w:hAnsi="Arial" w:cs="Arial"/>
          <w:sz w:val="20"/>
          <w:szCs w:val="20"/>
        </w:rPr>
        <w:t xml:space="preserve">adverse events to be reported as soon as practical </w:t>
      </w:r>
      <w:hyperlink r:id="rId36" w:history="1">
        <w:r w:rsidRPr="000E1F2A">
          <w:rPr>
            <w:rStyle w:val="Hyperlink"/>
            <w:rFonts w:ascii="Arial" w:eastAsia="MS Mincho" w:hAnsi="Arial" w:cs="Arial"/>
            <w:sz w:val="20"/>
            <w:szCs w:val="20"/>
          </w:rPr>
          <w:t>www.tga.gov.au/reporting-problems</w:t>
        </w:r>
      </w:hyperlink>
      <w:r>
        <w:rPr>
          <w:rStyle w:val="Hyperlink"/>
          <w:rFonts w:ascii="Arial" w:eastAsia="MS Mincho" w:hAnsi="Arial" w:cs="Arial"/>
          <w:sz w:val="20"/>
          <w:szCs w:val="20"/>
        </w:rPr>
        <w:t>.</w:t>
      </w:r>
    </w:p>
    <w:p w14:paraId="30D3CE7B" w14:textId="77777777" w:rsidR="00F74C99" w:rsidRPr="004D3EAD" w:rsidRDefault="00F74C99" w:rsidP="00F74C99">
      <w:pPr>
        <w:pStyle w:val="paragraph"/>
        <w:spacing w:before="0" w:beforeAutospacing="0" w:after="120" w:afterAutospacing="0" w:line="270" w:lineRule="atLeast"/>
        <w:textAlignment w:val="baseline"/>
        <w:rPr>
          <w:rStyle w:val="normaltextrun"/>
          <w:rFonts w:ascii="Arial" w:eastAsia="MS Mincho" w:hAnsi="Arial" w:cs="Arial"/>
          <w:sz w:val="20"/>
          <w:szCs w:val="20"/>
        </w:rPr>
      </w:pPr>
      <w:r w:rsidRPr="004D3EAD">
        <w:rPr>
          <w:rStyle w:val="normaltextrun"/>
          <w:rFonts w:ascii="Arial" w:eastAsia="MS Mincho" w:hAnsi="Arial" w:cs="Arial"/>
          <w:sz w:val="20"/>
          <w:szCs w:val="20"/>
        </w:rPr>
        <w:t xml:space="preserve">The pharmacist should </w:t>
      </w:r>
      <w:r>
        <w:rPr>
          <w:rStyle w:val="normaltextrun"/>
          <w:rFonts w:ascii="Arial" w:eastAsia="MS Mincho" w:hAnsi="Arial" w:cs="Arial"/>
          <w:sz w:val="20"/>
          <w:szCs w:val="20"/>
        </w:rPr>
        <w:t>keep</w:t>
      </w:r>
      <w:r w:rsidRPr="004D3EAD">
        <w:rPr>
          <w:rStyle w:val="normaltextrun"/>
          <w:rFonts w:ascii="Arial" w:eastAsia="MS Mincho" w:hAnsi="Arial" w:cs="Arial"/>
          <w:sz w:val="20"/>
          <w:szCs w:val="20"/>
        </w:rPr>
        <w:t xml:space="preserve"> clinical records and communicate these with the prescriber</w:t>
      </w:r>
      <w:r>
        <w:rPr>
          <w:rStyle w:val="normaltextrun"/>
          <w:rFonts w:ascii="Arial" w:eastAsia="MS Mincho" w:hAnsi="Arial" w:cs="Arial"/>
          <w:sz w:val="20"/>
          <w:szCs w:val="20"/>
        </w:rPr>
        <w:t xml:space="preserve"> as required</w:t>
      </w:r>
      <w:r w:rsidRPr="004D3EAD">
        <w:rPr>
          <w:rStyle w:val="normaltextrun"/>
          <w:rFonts w:ascii="Arial" w:eastAsia="MS Mincho" w:hAnsi="Arial" w:cs="Arial"/>
          <w:sz w:val="20"/>
          <w:szCs w:val="20"/>
        </w:rPr>
        <w:t xml:space="preserve"> based on the agreed communication plan. </w:t>
      </w:r>
    </w:p>
    <w:p w14:paraId="48A4FF0D" w14:textId="26765CFC" w:rsidR="00F74C99" w:rsidRPr="004D3EAD" w:rsidRDefault="00F74C99" w:rsidP="00F74C99">
      <w:pPr>
        <w:pStyle w:val="paragraph"/>
        <w:spacing w:before="0" w:beforeAutospacing="0" w:after="120" w:afterAutospacing="0" w:line="270" w:lineRule="atLeast"/>
        <w:textAlignment w:val="baseline"/>
        <w:rPr>
          <w:rStyle w:val="eop"/>
          <w:rFonts w:ascii="Arial" w:eastAsia="MS Mincho" w:hAnsi="Arial" w:cs="Arial"/>
          <w:sz w:val="20"/>
          <w:szCs w:val="20"/>
        </w:rPr>
      </w:pPr>
      <w:r>
        <w:rPr>
          <w:rStyle w:val="normaltextrun"/>
          <w:rFonts w:ascii="Arial" w:eastAsia="MS Mincho" w:hAnsi="Arial" w:cs="Arial"/>
          <w:sz w:val="20"/>
          <w:szCs w:val="20"/>
        </w:rPr>
        <w:t xml:space="preserve">In certain circumstances, </w:t>
      </w:r>
      <w:r w:rsidR="00DB2085">
        <w:rPr>
          <w:rStyle w:val="normaltextrun"/>
          <w:rFonts w:ascii="Arial" w:eastAsia="MS Mincho" w:hAnsi="Arial" w:cs="Arial"/>
          <w:sz w:val="20"/>
          <w:szCs w:val="20"/>
        </w:rPr>
        <w:t>it is appropriate for the patient to</w:t>
      </w:r>
      <w:r w:rsidRPr="004D3EAD">
        <w:rPr>
          <w:rStyle w:val="normaltextrun"/>
          <w:rFonts w:ascii="Arial" w:eastAsia="MS Mincho" w:hAnsi="Arial" w:cs="Arial"/>
          <w:sz w:val="20"/>
          <w:szCs w:val="20"/>
        </w:rPr>
        <w:t> remain on the pharmacy premises for a s</w:t>
      </w:r>
      <w:r w:rsidR="00DB2085">
        <w:rPr>
          <w:rStyle w:val="normaltextrun"/>
          <w:rFonts w:ascii="Arial" w:eastAsia="MS Mincho" w:hAnsi="Arial" w:cs="Arial"/>
          <w:sz w:val="20"/>
          <w:szCs w:val="20"/>
        </w:rPr>
        <w:t>hort peri</w:t>
      </w:r>
      <w:r w:rsidRPr="004D3EAD">
        <w:rPr>
          <w:rStyle w:val="normaltextrun"/>
          <w:rFonts w:ascii="Arial" w:eastAsia="MS Mincho" w:hAnsi="Arial" w:cs="Arial"/>
          <w:sz w:val="20"/>
          <w:szCs w:val="20"/>
        </w:rPr>
        <w:t xml:space="preserve">od </w:t>
      </w:r>
      <w:r>
        <w:rPr>
          <w:rStyle w:val="normaltextrun"/>
          <w:rFonts w:ascii="Arial" w:eastAsia="MS Mincho" w:hAnsi="Arial" w:cs="Arial"/>
          <w:sz w:val="20"/>
          <w:szCs w:val="20"/>
        </w:rPr>
        <w:t>of time post administration</w:t>
      </w:r>
      <w:r w:rsidRPr="004D3EAD">
        <w:rPr>
          <w:rStyle w:val="normaltextrun"/>
          <w:rFonts w:ascii="Arial" w:eastAsia="MS Mincho" w:hAnsi="Arial" w:cs="Arial"/>
          <w:sz w:val="20"/>
          <w:szCs w:val="20"/>
        </w:rPr>
        <w:t xml:space="preserve"> to allow</w:t>
      </w:r>
      <w:r>
        <w:rPr>
          <w:rStyle w:val="normaltextrun"/>
          <w:rFonts w:ascii="Arial" w:eastAsia="MS Mincho" w:hAnsi="Arial" w:cs="Arial"/>
          <w:sz w:val="20"/>
          <w:szCs w:val="20"/>
        </w:rPr>
        <w:t xml:space="preserve"> for</w:t>
      </w:r>
      <w:r w:rsidRPr="004D3EAD">
        <w:rPr>
          <w:rStyle w:val="normaltextrun"/>
          <w:rFonts w:ascii="Arial" w:eastAsia="MS Mincho" w:hAnsi="Arial" w:cs="Arial"/>
          <w:sz w:val="20"/>
          <w:szCs w:val="20"/>
        </w:rPr>
        <w:t xml:space="preserve"> monitoring.</w:t>
      </w:r>
      <w:r>
        <w:rPr>
          <w:rStyle w:val="normaltextrun"/>
          <w:rFonts w:ascii="Arial" w:eastAsia="MS Mincho" w:hAnsi="Arial" w:cs="Arial"/>
          <w:sz w:val="20"/>
          <w:szCs w:val="20"/>
        </w:rPr>
        <w:t xml:space="preserve"> (i.e. first injection, dosing stability not established or previous adverse events)</w:t>
      </w:r>
    </w:p>
    <w:p w14:paraId="7CD982AA" w14:textId="77777777" w:rsidR="00F74C99" w:rsidRPr="00000B4C" w:rsidRDefault="00F74C99" w:rsidP="00F74C99">
      <w:pPr>
        <w:pStyle w:val="paragraph"/>
        <w:spacing w:before="0" w:beforeAutospacing="0" w:after="120" w:afterAutospacing="0" w:line="270" w:lineRule="atLeast"/>
        <w:textAlignment w:val="baseline"/>
        <w:rPr>
          <w:rStyle w:val="eop"/>
          <w:rFonts w:ascii="Arial" w:hAnsi="Arial" w:cs="Arial"/>
          <w:sz w:val="20"/>
          <w:szCs w:val="20"/>
        </w:rPr>
      </w:pPr>
      <w:r w:rsidRPr="00000B4C">
        <w:rPr>
          <w:rStyle w:val="eop"/>
          <w:rFonts w:ascii="Arial" w:hAnsi="Arial" w:cs="Arial"/>
          <w:sz w:val="20"/>
          <w:szCs w:val="20"/>
        </w:rPr>
        <w:t>Confirm with the patient when they are</w:t>
      </w:r>
      <w:r>
        <w:rPr>
          <w:rStyle w:val="eop"/>
          <w:rFonts w:ascii="Arial" w:hAnsi="Arial" w:cs="Arial"/>
          <w:sz w:val="20"/>
          <w:szCs w:val="20"/>
        </w:rPr>
        <w:t xml:space="preserve"> next</w:t>
      </w:r>
      <w:r w:rsidRPr="00000B4C">
        <w:rPr>
          <w:rStyle w:val="eop"/>
          <w:rFonts w:ascii="Arial" w:hAnsi="Arial" w:cs="Arial"/>
          <w:sz w:val="20"/>
          <w:szCs w:val="20"/>
        </w:rPr>
        <w:t xml:space="preserve"> due to attend the pharmacy for an injection.</w:t>
      </w:r>
    </w:p>
    <w:p w14:paraId="3F76B802" w14:textId="77777777" w:rsidR="00F74C99" w:rsidRDefault="00F74C99" w:rsidP="00F74C99">
      <w:pPr>
        <w:pStyle w:val="paragraph"/>
        <w:spacing w:before="0" w:beforeAutospacing="0" w:after="120" w:afterAutospacing="0" w:line="270" w:lineRule="atLeast"/>
        <w:textAlignment w:val="baseline"/>
        <w:rPr>
          <w:rFonts w:ascii="Arial" w:hAnsi="Arial" w:cs="Arial"/>
          <w:sz w:val="20"/>
          <w:szCs w:val="20"/>
        </w:rPr>
      </w:pPr>
      <w:r w:rsidRPr="00000B4C">
        <w:rPr>
          <w:rStyle w:val="eop"/>
          <w:rFonts w:ascii="Arial" w:hAnsi="Arial" w:cs="Arial"/>
          <w:sz w:val="20"/>
          <w:szCs w:val="20"/>
        </w:rPr>
        <w:t>Additional advice on record keeping is provided in the ‘Regulatory requirements’ section. A suggested record keeping template is available in Appendix 1.</w:t>
      </w:r>
    </w:p>
    <w:p w14:paraId="487DEF21" w14:textId="77777777" w:rsidR="00F74C99" w:rsidRPr="00530748" w:rsidRDefault="00F74C99" w:rsidP="00275F9B">
      <w:pPr>
        <w:pStyle w:val="paragraph"/>
        <w:spacing w:before="0" w:beforeAutospacing="0" w:after="120" w:afterAutospacing="0" w:line="270" w:lineRule="atLeast"/>
        <w:textAlignment w:val="baseline"/>
        <w:rPr>
          <w:rFonts w:ascii="Arial" w:hAnsi="Arial" w:cs="Arial"/>
          <w:b/>
          <w:bCs/>
          <w:sz w:val="20"/>
          <w:szCs w:val="20"/>
        </w:rPr>
      </w:pPr>
      <w:r w:rsidRPr="00530748">
        <w:rPr>
          <w:rStyle w:val="normaltextrun"/>
          <w:rFonts w:ascii="Arial" w:eastAsia="MS Mincho" w:hAnsi="Arial" w:cs="Arial"/>
          <w:b/>
          <w:bCs/>
          <w:sz w:val="20"/>
          <w:szCs w:val="20"/>
        </w:rPr>
        <w:t>Financial considerations</w:t>
      </w:r>
    </w:p>
    <w:p w14:paraId="224BACFE" w14:textId="06ECB7CD" w:rsidR="00F84C73" w:rsidRDefault="00F74C99" w:rsidP="119EF856">
      <w:pPr>
        <w:pStyle w:val="paragraph"/>
        <w:spacing w:before="0" w:beforeAutospacing="0" w:after="0" w:afterAutospacing="0" w:line="270" w:lineRule="atLeast"/>
        <w:textAlignment w:val="baseline"/>
        <w:rPr>
          <w:rStyle w:val="normaltextrun"/>
          <w:rFonts w:ascii="Arial" w:eastAsia="MS Mincho" w:hAnsi="Arial" w:cs="Arial"/>
          <w:sz w:val="20"/>
          <w:szCs w:val="20"/>
        </w:rPr>
      </w:pPr>
      <w:r w:rsidRPr="119EF856">
        <w:rPr>
          <w:rStyle w:val="normaltextrun"/>
          <w:rFonts w:ascii="Arial" w:eastAsia="MS Mincho" w:hAnsi="Arial" w:cs="Arial"/>
          <w:sz w:val="20"/>
          <w:szCs w:val="20"/>
        </w:rPr>
        <w:t>LAIB is subsidised under the Pharmaceutical Benefits Scheme</w:t>
      </w:r>
      <w:r w:rsidR="6C61B727" w:rsidRPr="119EF856">
        <w:rPr>
          <w:rStyle w:val="normaltextrun"/>
          <w:rFonts w:ascii="Arial" w:eastAsia="MS Mincho" w:hAnsi="Arial" w:cs="Arial"/>
          <w:sz w:val="20"/>
          <w:szCs w:val="20"/>
        </w:rPr>
        <w:t xml:space="preserve"> (PBS)</w:t>
      </w:r>
      <w:r w:rsidRPr="119EF856">
        <w:rPr>
          <w:rStyle w:val="normaltextrun"/>
          <w:rFonts w:ascii="Arial" w:eastAsia="MS Mincho" w:hAnsi="Arial" w:cs="Arial"/>
          <w:sz w:val="20"/>
          <w:szCs w:val="20"/>
        </w:rPr>
        <w:t xml:space="preserve">. </w:t>
      </w:r>
      <w:r w:rsidR="01CD06F4" w:rsidRPr="119EF856">
        <w:rPr>
          <w:rStyle w:val="normaltextrun"/>
          <w:rFonts w:ascii="Arial" w:eastAsia="MS Mincho" w:hAnsi="Arial" w:cs="Arial"/>
          <w:sz w:val="20"/>
          <w:szCs w:val="20"/>
        </w:rPr>
        <w:t xml:space="preserve">However, pharmacists are not remunerated for administering LAIB under the PBS. </w:t>
      </w:r>
      <w:r w:rsidRPr="119EF856">
        <w:rPr>
          <w:rStyle w:val="normaltextrun"/>
          <w:rFonts w:ascii="Arial" w:eastAsia="MS Mincho" w:hAnsi="Arial" w:cs="Arial"/>
          <w:sz w:val="20"/>
          <w:szCs w:val="20"/>
        </w:rPr>
        <w:t xml:space="preserve">Pharmacists may wish to charge an additional service fee for patient consultation and administration of the injection. If they wish to do so, pharmacists must advise </w:t>
      </w:r>
      <w:r w:rsidR="00275F9B" w:rsidRPr="119EF856">
        <w:rPr>
          <w:rStyle w:val="normaltextrun"/>
          <w:rFonts w:ascii="Arial" w:eastAsia="MS Mincho" w:hAnsi="Arial" w:cs="Arial"/>
          <w:sz w:val="20"/>
          <w:szCs w:val="20"/>
        </w:rPr>
        <w:t xml:space="preserve">the </w:t>
      </w:r>
      <w:r w:rsidRPr="119EF856">
        <w:rPr>
          <w:rStyle w:val="normaltextrun"/>
          <w:rFonts w:ascii="Arial" w:eastAsia="MS Mincho" w:hAnsi="Arial" w:cs="Arial"/>
          <w:sz w:val="20"/>
          <w:szCs w:val="20"/>
        </w:rPr>
        <w:t xml:space="preserve">patient of associated costs </w:t>
      </w:r>
      <w:r w:rsidRPr="119EF856">
        <w:rPr>
          <w:rStyle w:val="normaltextrun"/>
          <w:rFonts w:ascii="Arial" w:eastAsia="MS Mincho" w:hAnsi="Arial" w:cs="Arial"/>
          <w:b/>
          <w:bCs/>
          <w:sz w:val="20"/>
          <w:szCs w:val="20"/>
        </w:rPr>
        <w:t>prior</w:t>
      </w:r>
      <w:r w:rsidRPr="119EF856">
        <w:rPr>
          <w:rStyle w:val="normaltextrun"/>
          <w:rFonts w:ascii="Arial" w:eastAsia="MS Mincho" w:hAnsi="Arial" w:cs="Arial"/>
          <w:sz w:val="20"/>
          <w:szCs w:val="20"/>
        </w:rPr>
        <w:t xml:space="preserve"> to administrating LAIB. Service fees should be set at reasonable price that balances the costs associated with service delivery against potential barriers to treatment access that </w:t>
      </w:r>
      <w:r w:rsidR="00275F9B" w:rsidRPr="119EF856">
        <w:rPr>
          <w:rStyle w:val="normaltextrun"/>
          <w:rFonts w:ascii="Arial" w:eastAsia="MS Mincho" w:hAnsi="Arial" w:cs="Arial"/>
          <w:sz w:val="20"/>
          <w:szCs w:val="20"/>
        </w:rPr>
        <w:t xml:space="preserve">an </w:t>
      </w:r>
      <w:r w:rsidRPr="119EF856">
        <w:rPr>
          <w:rStyle w:val="normaltextrun"/>
          <w:rFonts w:ascii="Arial" w:eastAsia="MS Mincho" w:hAnsi="Arial" w:cs="Arial"/>
          <w:sz w:val="20"/>
          <w:szCs w:val="20"/>
        </w:rPr>
        <w:t>additional cost might impose on the patient.</w:t>
      </w:r>
    </w:p>
    <w:p w14:paraId="065E492A" w14:textId="77777777" w:rsidR="00F84C73" w:rsidRDefault="00F84C73">
      <w:pPr>
        <w:spacing w:after="0" w:line="240" w:lineRule="auto"/>
        <w:rPr>
          <w:rStyle w:val="normaltextrun"/>
          <w:rFonts w:eastAsia="MS Mincho" w:cs="Arial"/>
          <w:sz w:val="20"/>
          <w:lang w:eastAsia="en-AU"/>
        </w:rPr>
      </w:pPr>
      <w:r>
        <w:rPr>
          <w:rStyle w:val="normaltextrun"/>
          <w:rFonts w:eastAsia="MS Mincho" w:cs="Arial"/>
          <w:sz w:val="20"/>
        </w:rPr>
        <w:br w:type="page"/>
      </w:r>
    </w:p>
    <w:p w14:paraId="27604A3D" w14:textId="77777777" w:rsidR="00F74C99" w:rsidRPr="006378DF" w:rsidRDefault="00F74C99" w:rsidP="00F74C99">
      <w:pPr>
        <w:pStyle w:val="Heading1"/>
        <w:rPr>
          <w:lang w:eastAsia="en-AU"/>
        </w:rPr>
      </w:pPr>
      <w:bookmarkStart w:id="14" w:name="_Toc60241063"/>
      <w:r w:rsidRPr="006378DF">
        <w:rPr>
          <w:lang w:eastAsia="en-AU"/>
        </w:rPr>
        <w:lastRenderedPageBreak/>
        <w:t>Regulatory requirements</w:t>
      </w:r>
      <w:bookmarkEnd w:id="14"/>
    </w:p>
    <w:p w14:paraId="340CDB5B" w14:textId="77777777" w:rsidR="00F74C99" w:rsidRDefault="00F74C99" w:rsidP="00F74C99">
      <w:pPr>
        <w:pStyle w:val="Heading2"/>
        <w:rPr>
          <w:rFonts w:eastAsia="Calibri"/>
          <w:lang w:eastAsia="en-AU"/>
        </w:rPr>
      </w:pPr>
      <w:bookmarkStart w:id="15" w:name="_Toc60241064"/>
      <w:r>
        <w:rPr>
          <w:rFonts w:eastAsia="Calibri"/>
          <w:lang w:eastAsia="en-AU"/>
        </w:rPr>
        <w:t>Applying for a</w:t>
      </w:r>
      <w:r w:rsidRPr="00E9624C">
        <w:rPr>
          <w:rFonts w:eastAsia="Calibri"/>
          <w:lang w:eastAsia="en-AU"/>
        </w:rPr>
        <w:t xml:space="preserve"> </w:t>
      </w:r>
      <w:r>
        <w:rPr>
          <w:rFonts w:eastAsia="Calibri"/>
          <w:lang w:eastAsia="en-AU"/>
        </w:rPr>
        <w:t xml:space="preserve">Schedule 8 treatment </w:t>
      </w:r>
      <w:r w:rsidRPr="00E9624C">
        <w:rPr>
          <w:rFonts w:eastAsia="Calibri"/>
          <w:lang w:eastAsia="en-AU"/>
        </w:rPr>
        <w:t>permit</w:t>
      </w:r>
      <w:bookmarkEnd w:id="15"/>
    </w:p>
    <w:p w14:paraId="6C47F9B0" w14:textId="77777777" w:rsidR="00F74C99" w:rsidRDefault="00F74C99" w:rsidP="00F74C99">
      <w:pPr>
        <w:pStyle w:val="DHHSbody"/>
      </w:pPr>
      <w:r>
        <w:t xml:space="preserve">Practitioners must obtain a Schedule 8 permit from the Department of Health before prescribing pharmacotherapy for opioid use disorder (methadone, sublingual buprenorphine or LAIB). </w:t>
      </w:r>
    </w:p>
    <w:p w14:paraId="2042C7A8" w14:textId="77777777" w:rsidR="00F74C99" w:rsidRDefault="00F74C99" w:rsidP="00F74C99">
      <w:pPr>
        <w:pStyle w:val="DHHSbody"/>
      </w:pPr>
      <w:r>
        <w:t>Prescribers wishing to obtain a p</w:t>
      </w:r>
      <w:r w:rsidRPr="00007289">
        <w:t xml:space="preserve">ermit for </w:t>
      </w:r>
      <w:r>
        <w:t>LAIB</w:t>
      </w:r>
      <w:r w:rsidRPr="00007289">
        <w:t xml:space="preserve"> </w:t>
      </w:r>
      <w:r>
        <w:t>should nominate the starting drug as long-acting injectable buprenorphine</w:t>
      </w:r>
      <w:r w:rsidRPr="00007289">
        <w:t xml:space="preserve"> within the </w:t>
      </w:r>
      <w:r w:rsidRPr="00007289">
        <w:rPr>
          <w:i/>
        </w:rPr>
        <w:t xml:space="preserve">Application for a permit to treat and opioid dependent person with methadone or buprenorphine </w:t>
      </w:r>
      <w:r w:rsidRPr="000C13C4">
        <w:rPr>
          <w:iCs/>
        </w:rPr>
        <w:t xml:space="preserve">via </w:t>
      </w:r>
      <w:r>
        <w:rPr>
          <w:iCs/>
        </w:rPr>
        <w:t>an</w:t>
      </w:r>
      <w:r>
        <w:rPr>
          <w:i/>
        </w:rPr>
        <w:t xml:space="preserve"> </w:t>
      </w:r>
      <w:hyperlink r:id="rId37" w:history="1">
        <w:r>
          <w:rPr>
            <w:rStyle w:val="Hyperlink"/>
            <w:i/>
          </w:rPr>
          <w:t xml:space="preserve">online </w:t>
        </w:r>
        <w:proofErr w:type="spellStart"/>
        <w:r>
          <w:rPr>
            <w:rStyle w:val="Hyperlink"/>
            <w:i/>
          </w:rPr>
          <w:t>smartform</w:t>
        </w:r>
        <w:proofErr w:type="spellEnd"/>
      </w:hyperlink>
      <w:r w:rsidRPr="00007289">
        <w:t xml:space="preserve"> available </w:t>
      </w:r>
      <w:r>
        <w:t>on</w:t>
      </w:r>
      <w:r w:rsidRPr="00007289">
        <w:t xml:space="preserve"> the Victorian Department of Health </w:t>
      </w:r>
      <w:r>
        <w:t>website.</w:t>
      </w:r>
    </w:p>
    <w:p w14:paraId="3CF22F1B" w14:textId="77777777" w:rsidR="00F74C99" w:rsidRDefault="00F74C99" w:rsidP="00F74C99">
      <w:pPr>
        <w:pStyle w:val="DHHSbody"/>
      </w:pPr>
      <w:r>
        <w:t>Please</w:t>
      </w:r>
      <w:r w:rsidRPr="00007289">
        <w:t xml:space="preserve"> note it is </w:t>
      </w:r>
      <w:r>
        <w:t>the responsibility of a</w:t>
      </w:r>
      <w:r w:rsidRPr="00007289">
        <w:t xml:space="preserve"> </w:t>
      </w:r>
      <w:r>
        <w:t xml:space="preserve">practitioner to meet the eligibility criteria (See </w:t>
      </w:r>
      <w:r w:rsidRPr="00C83E7F">
        <w:t>‘Who is eligible to prescribe or administer long-acting injectable buprenorphine’)</w:t>
      </w:r>
      <w:r>
        <w:t xml:space="preserve"> prior to applying for a Schedule 8 treatment permit to prescribe</w:t>
      </w:r>
      <w:r w:rsidRPr="00007289">
        <w:t>.</w:t>
      </w:r>
    </w:p>
    <w:p w14:paraId="3205E5B1" w14:textId="77777777" w:rsidR="00F74C99" w:rsidRPr="00E5145E" w:rsidRDefault="00F74C99" w:rsidP="00F74C99">
      <w:pPr>
        <w:pStyle w:val="DHHSbody"/>
        <w:rPr>
          <w:b/>
          <w:bCs/>
          <w:sz w:val="24"/>
          <w:szCs w:val="24"/>
        </w:rPr>
      </w:pPr>
      <w:r w:rsidRPr="00E5145E">
        <w:rPr>
          <w:b/>
          <w:bCs/>
          <w:sz w:val="24"/>
          <w:szCs w:val="24"/>
        </w:rPr>
        <w:t>Practitioners who have completed MATOD training (module 1 and 2)</w:t>
      </w:r>
    </w:p>
    <w:p w14:paraId="27498AB3" w14:textId="0DFE2CAA" w:rsidR="00F74C99" w:rsidRDefault="00F74C99" w:rsidP="00F74C99">
      <w:pPr>
        <w:pStyle w:val="DHHSbody"/>
      </w:pPr>
      <w:r>
        <w:t>For practitioners who have completed MATOD training, t</w:t>
      </w:r>
      <w:r w:rsidRPr="00007289">
        <w:t>he</w:t>
      </w:r>
      <w:r>
        <w:t>ir LAIB</w:t>
      </w:r>
      <w:r w:rsidRPr="00007289">
        <w:t xml:space="preserve"> </w:t>
      </w:r>
      <w:r>
        <w:t>permit will include methadone and sublingual buprenorphine as well which autho</w:t>
      </w:r>
      <w:r w:rsidRPr="00007289">
        <w:t>rise</w:t>
      </w:r>
      <w:r>
        <w:t>s</w:t>
      </w:r>
      <w:r w:rsidRPr="00007289">
        <w:t xml:space="preserve"> the permit holder to prescribe methadone and sublingual buprenorphine</w:t>
      </w:r>
      <w:r>
        <w:t xml:space="preserve"> so there is no need for the practitioner to reapply </w:t>
      </w:r>
      <w:r w:rsidR="004421A0">
        <w:t>if a transition to</w:t>
      </w:r>
      <w:r>
        <w:t xml:space="preserve"> methadone or sublingual buprenorphine</w:t>
      </w:r>
      <w:r w:rsidR="004421A0">
        <w:t xml:space="preserve"> is needed</w:t>
      </w:r>
      <w:r>
        <w:t>.</w:t>
      </w:r>
    </w:p>
    <w:p w14:paraId="4B5AAEDF" w14:textId="77777777" w:rsidR="00F74C99" w:rsidRDefault="00F74C99" w:rsidP="00F74C99">
      <w:pPr>
        <w:pStyle w:val="DHHSbody"/>
        <w:rPr>
          <w:lang w:eastAsia="en-AU"/>
        </w:rPr>
      </w:pPr>
      <w:r>
        <w:rPr>
          <w:lang w:eastAsia="en-AU"/>
        </w:rPr>
        <w:t>There is no limit on the number of Schedule 8 permits a MATOD trained prescriber may hold for LAIB.</w:t>
      </w:r>
    </w:p>
    <w:p w14:paraId="70F3838A" w14:textId="77777777" w:rsidR="00F74C99" w:rsidRPr="00E5145E" w:rsidRDefault="00F74C99" w:rsidP="00F74C99">
      <w:pPr>
        <w:pStyle w:val="DHHSbody"/>
        <w:rPr>
          <w:b/>
          <w:bCs/>
          <w:sz w:val="24"/>
          <w:szCs w:val="24"/>
        </w:rPr>
      </w:pPr>
      <w:r w:rsidRPr="00E5145E">
        <w:rPr>
          <w:b/>
          <w:bCs/>
          <w:sz w:val="24"/>
          <w:szCs w:val="24"/>
        </w:rPr>
        <w:t>Practitioners who have NOT completed MATOD training</w:t>
      </w:r>
    </w:p>
    <w:p w14:paraId="490A3FDD" w14:textId="77777777" w:rsidR="00F74C99" w:rsidRDefault="00F74C99" w:rsidP="00F74C99">
      <w:pPr>
        <w:pStyle w:val="DHHSbody"/>
      </w:pPr>
      <w:r>
        <w:t xml:space="preserve">For practitioners who have not completed MATOD training, </w:t>
      </w:r>
      <w:r w:rsidRPr="00007289">
        <w:t>the</w:t>
      </w:r>
      <w:r>
        <w:t>ir LAIB</w:t>
      </w:r>
      <w:r w:rsidRPr="00007289">
        <w:t xml:space="preserve"> permit </w:t>
      </w:r>
      <w:r>
        <w:t>will include sublingual buprenorphine which autho</w:t>
      </w:r>
      <w:r w:rsidRPr="00007289">
        <w:t>rise</w:t>
      </w:r>
      <w:r>
        <w:t>s</w:t>
      </w:r>
      <w:r w:rsidRPr="00007289">
        <w:t xml:space="preserve"> the permit holder to prescribe sublingual buprenorphine</w:t>
      </w:r>
      <w:r>
        <w:t xml:space="preserve"> and LAIB for that patient, so there is no need for the practitioner to reapply to prescribe sublingual buprenorphine.</w:t>
      </w:r>
    </w:p>
    <w:p w14:paraId="2940EF82" w14:textId="77777777" w:rsidR="00F74C99" w:rsidRDefault="00F74C99" w:rsidP="00F74C99">
      <w:pPr>
        <w:pStyle w:val="DHHSbody"/>
        <w:rPr>
          <w:lang w:eastAsia="en-AU"/>
        </w:rPr>
      </w:pPr>
      <w:r>
        <w:rPr>
          <w:lang w:eastAsia="en-AU"/>
        </w:rPr>
        <w:t>Up to a total of ten (10) Schedule 8 permits for buprenorphine (sublingual and/or long-acting injectable formulations) may be issued to a practitioner without the requirement to complete MATOD training.</w:t>
      </w:r>
    </w:p>
    <w:p w14:paraId="3B31091F" w14:textId="77777777" w:rsidR="00F74C99" w:rsidRDefault="00F74C99" w:rsidP="00F74C99">
      <w:pPr>
        <w:pStyle w:val="DHHSbody"/>
        <w:rPr>
          <w:lang w:eastAsia="en-AU"/>
        </w:rPr>
      </w:pPr>
      <w:r>
        <w:rPr>
          <w:lang w:eastAsia="en-AU"/>
        </w:rPr>
        <w:t>If a patient requires transition to methadone the practitioner must complete MATOD training and apply and hold a permit for methadone or transfer the patient to a practitioner who has completed MATOD training.</w:t>
      </w:r>
    </w:p>
    <w:p w14:paraId="6337BB42" w14:textId="77777777" w:rsidR="00F74C99" w:rsidRPr="00E9624C" w:rsidRDefault="00F74C99" w:rsidP="00F74C99">
      <w:pPr>
        <w:pStyle w:val="Heading2"/>
        <w:rPr>
          <w:rFonts w:eastAsia="Calibri"/>
          <w:lang w:eastAsia="en-AU"/>
        </w:rPr>
      </w:pPr>
      <w:bookmarkStart w:id="16" w:name="_Toc60241065"/>
      <w:r w:rsidRPr="00E9624C">
        <w:rPr>
          <w:rFonts w:eastAsia="Calibri"/>
          <w:lang w:eastAsia="en-AU"/>
        </w:rPr>
        <w:t>Circumstance</w:t>
      </w:r>
      <w:r>
        <w:rPr>
          <w:rFonts w:eastAsia="Calibri"/>
          <w:lang w:eastAsia="en-AU"/>
        </w:rPr>
        <w:t>s</w:t>
      </w:r>
      <w:r w:rsidRPr="00E9624C">
        <w:rPr>
          <w:rFonts w:eastAsia="Calibri"/>
          <w:lang w:eastAsia="en-AU"/>
        </w:rPr>
        <w:t xml:space="preserve"> where a </w:t>
      </w:r>
      <w:r>
        <w:rPr>
          <w:rFonts w:eastAsia="Calibri"/>
          <w:lang w:eastAsia="en-AU"/>
        </w:rPr>
        <w:t xml:space="preserve">Schedule 8 </w:t>
      </w:r>
      <w:r w:rsidRPr="00E9624C">
        <w:rPr>
          <w:rFonts w:eastAsia="Calibri"/>
          <w:lang w:eastAsia="en-AU"/>
        </w:rPr>
        <w:t>permit is not required</w:t>
      </w:r>
      <w:bookmarkEnd w:id="16"/>
      <w:r w:rsidRPr="00E9624C">
        <w:rPr>
          <w:rFonts w:eastAsia="Calibri"/>
          <w:lang w:eastAsia="en-AU"/>
        </w:rPr>
        <w:t xml:space="preserve"> </w:t>
      </w:r>
    </w:p>
    <w:p w14:paraId="6C17BA60" w14:textId="77777777" w:rsidR="00F74C99" w:rsidRDefault="00F74C99" w:rsidP="00F74C99">
      <w:pPr>
        <w:pStyle w:val="DHHSbody"/>
        <w:rPr>
          <w:lang w:eastAsia="en-AU"/>
        </w:rPr>
      </w:pPr>
      <w:r w:rsidRPr="00E9624C">
        <w:rPr>
          <w:lang w:eastAsia="en-AU"/>
        </w:rPr>
        <w:t xml:space="preserve">There are some circumstances where a </w:t>
      </w:r>
      <w:r w:rsidRPr="004D4CD9">
        <w:t>pr</w:t>
      </w:r>
      <w:r>
        <w:t>actitione</w:t>
      </w:r>
      <w:r w:rsidRPr="004D4CD9">
        <w:t>r</w:t>
      </w:r>
      <w:r w:rsidRPr="00E9624C">
        <w:rPr>
          <w:lang w:eastAsia="en-AU"/>
        </w:rPr>
        <w:t xml:space="preserve"> does not require a permit to prescribe pharmacotherapy, including </w:t>
      </w:r>
      <w:r>
        <w:rPr>
          <w:lang w:eastAsia="en-AU"/>
        </w:rPr>
        <w:t>LAIB</w:t>
      </w:r>
      <w:r w:rsidRPr="00E9624C">
        <w:rPr>
          <w:lang w:eastAsia="en-AU"/>
        </w:rPr>
        <w:t xml:space="preserve">. </w:t>
      </w:r>
    </w:p>
    <w:p w14:paraId="6555E830" w14:textId="77777777" w:rsidR="00F74C99" w:rsidRPr="00E9624C" w:rsidRDefault="00F74C99" w:rsidP="00F74C99">
      <w:pPr>
        <w:pStyle w:val="DHHSbody"/>
        <w:rPr>
          <w:lang w:eastAsia="en-AU"/>
        </w:rPr>
      </w:pPr>
      <w:bookmarkStart w:id="17" w:name="_Hlk60760632"/>
      <w:r w:rsidRPr="00E9624C">
        <w:rPr>
          <w:lang w:eastAsia="en-AU"/>
        </w:rPr>
        <w:t xml:space="preserve">A </w:t>
      </w:r>
      <w:r>
        <w:rPr>
          <w:lang w:eastAsia="en-AU"/>
        </w:rPr>
        <w:t xml:space="preserve">Schedule 8 </w:t>
      </w:r>
      <w:r w:rsidRPr="00E9624C">
        <w:rPr>
          <w:lang w:eastAsia="en-AU"/>
        </w:rPr>
        <w:t>permit is not required where a pr</w:t>
      </w:r>
      <w:r>
        <w:rPr>
          <w:lang w:eastAsia="en-AU"/>
        </w:rPr>
        <w:t>actitione</w:t>
      </w:r>
      <w:r w:rsidRPr="00E9624C">
        <w:rPr>
          <w:lang w:eastAsia="en-AU"/>
        </w:rPr>
        <w:t>r is treating a patient if that patient is:</w:t>
      </w:r>
    </w:p>
    <w:p w14:paraId="2BB96842" w14:textId="77777777" w:rsidR="00F74C99" w:rsidRPr="00D710C6" w:rsidRDefault="00F74C99" w:rsidP="003913FF">
      <w:pPr>
        <w:pStyle w:val="Bullet1"/>
        <w:rPr>
          <w:sz w:val="20"/>
        </w:rPr>
      </w:pPr>
      <w:r w:rsidRPr="00D710C6">
        <w:rPr>
          <w:sz w:val="20"/>
        </w:rPr>
        <w:t>an inpatient being treated in a hospital or a patient being treated in an emergency department (ED) of a hospital, for the period in hospital and a period not exceeding seven days after that person’s discharge from hospital</w:t>
      </w:r>
    </w:p>
    <w:p w14:paraId="02E17842" w14:textId="77777777" w:rsidR="00F74C99" w:rsidRPr="00D710C6" w:rsidRDefault="00F74C99" w:rsidP="003913FF">
      <w:pPr>
        <w:pStyle w:val="Bullet1"/>
        <w:rPr>
          <w:sz w:val="20"/>
        </w:rPr>
      </w:pPr>
      <w:r w:rsidRPr="00D710C6">
        <w:rPr>
          <w:sz w:val="20"/>
        </w:rPr>
        <w:t>a prisoner being treated in a prison for the period in prison and a period not exceeding seven days after that prisoner’s release from custody</w:t>
      </w:r>
    </w:p>
    <w:p w14:paraId="1ECF2C02" w14:textId="77777777" w:rsidR="00F74C99" w:rsidRPr="00D710C6" w:rsidRDefault="00F74C99" w:rsidP="004421A0">
      <w:pPr>
        <w:pStyle w:val="Bullet1"/>
        <w:rPr>
          <w:sz w:val="20"/>
        </w:rPr>
      </w:pPr>
      <w:r w:rsidRPr="00D710C6">
        <w:rPr>
          <w:sz w:val="20"/>
        </w:rPr>
        <w:t>a resident being treated in an aged care service.</w:t>
      </w:r>
    </w:p>
    <w:p w14:paraId="0CD80CC4" w14:textId="77777777" w:rsidR="00F74C99" w:rsidRDefault="00F74C99" w:rsidP="00F74C99">
      <w:pPr>
        <w:pStyle w:val="DHHSbody"/>
        <w:rPr>
          <w:lang w:eastAsia="en-AU"/>
        </w:rPr>
      </w:pPr>
      <w:r w:rsidRPr="00E9624C">
        <w:rPr>
          <w:lang w:eastAsia="en-AU"/>
        </w:rPr>
        <w:t xml:space="preserve">If </w:t>
      </w:r>
      <w:r>
        <w:rPr>
          <w:lang w:eastAsia="en-AU"/>
        </w:rPr>
        <w:t>the LAIB treatment duration exceeds seven days after the patient is discharged from hospital or ED</w:t>
      </w:r>
      <w:r w:rsidRPr="00E9624C">
        <w:rPr>
          <w:lang w:eastAsia="en-AU"/>
        </w:rPr>
        <w:t>,</w:t>
      </w:r>
      <w:r>
        <w:rPr>
          <w:lang w:eastAsia="en-AU"/>
        </w:rPr>
        <w:t xml:space="preserve"> or released from prison, (i.e. patient is administered monthly LAIB whilst in hospital or prison)</w:t>
      </w:r>
      <w:r w:rsidRPr="00E9624C">
        <w:rPr>
          <w:lang w:eastAsia="en-AU"/>
        </w:rPr>
        <w:t xml:space="preserve"> </w:t>
      </w:r>
      <w:r>
        <w:rPr>
          <w:lang w:eastAsia="en-AU"/>
        </w:rPr>
        <w:t xml:space="preserve">a Schedule 8 permit is required. </w:t>
      </w:r>
    </w:p>
    <w:bookmarkEnd w:id="17"/>
    <w:p w14:paraId="576E82FC" w14:textId="77777777" w:rsidR="00F74C99" w:rsidRDefault="00F74C99" w:rsidP="00F74C99">
      <w:pPr>
        <w:pStyle w:val="DHHSbody"/>
        <w:rPr>
          <w:lang w:eastAsia="en-AU"/>
        </w:rPr>
      </w:pPr>
      <w:r>
        <w:rPr>
          <w:lang w:eastAsia="en-AU"/>
        </w:rPr>
        <w:lastRenderedPageBreak/>
        <w:t xml:space="preserve">In addition, if LAIB is initiated in hospital or prison </w:t>
      </w:r>
      <w:r w:rsidRPr="005C7BA8">
        <w:rPr>
          <w:b/>
          <w:bCs/>
          <w:lang w:eastAsia="en-AU"/>
        </w:rPr>
        <w:t xml:space="preserve">the </w:t>
      </w:r>
      <w:r>
        <w:rPr>
          <w:b/>
          <w:bCs/>
          <w:lang w:eastAsia="en-AU"/>
        </w:rPr>
        <w:t xml:space="preserve">patient’s </w:t>
      </w:r>
      <w:r w:rsidRPr="005C7BA8">
        <w:rPr>
          <w:b/>
          <w:bCs/>
          <w:lang w:eastAsia="en-AU"/>
        </w:rPr>
        <w:t xml:space="preserve">usual </w:t>
      </w:r>
      <w:r>
        <w:rPr>
          <w:b/>
          <w:bCs/>
          <w:lang w:eastAsia="en-AU"/>
        </w:rPr>
        <w:t xml:space="preserve">MATOD </w:t>
      </w:r>
      <w:r w:rsidRPr="005C7BA8">
        <w:rPr>
          <w:b/>
          <w:bCs/>
          <w:lang w:eastAsia="en-AU"/>
        </w:rPr>
        <w:t xml:space="preserve">prescriber should be notified of </w:t>
      </w:r>
      <w:r>
        <w:rPr>
          <w:b/>
          <w:bCs/>
          <w:lang w:eastAsia="en-AU"/>
        </w:rPr>
        <w:t>LAIB</w:t>
      </w:r>
      <w:r w:rsidRPr="005C7BA8">
        <w:rPr>
          <w:b/>
          <w:bCs/>
          <w:lang w:eastAsia="en-AU"/>
        </w:rPr>
        <w:t xml:space="preserve"> administration to ensure the safety of the patient </w:t>
      </w:r>
      <w:r w:rsidRPr="005C7BA8">
        <w:rPr>
          <w:lang w:eastAsia="en-AU"/>
        </w:rPr>
        <w:t>once discharged into the community.</w:t>
      </w:r>
    </w:p>
    <w:p w14:paraId="45A3D7D6" w14:textId="77777777" w:rsidR="00F74C99" w:rsidRDefault="00F74C99" w:rsidP="00F74C99">
      <w:pPr>
        <w:pStyle w:val="DHHSbody"/>
        <w:rPr>
          <w:lang w:eastAsia="en-AU"/>
        </w:rPr>
      </w:pPr>
      <w:r w:rsidRPr="00E9624C">
        <w:rPr>
          <w:lang w:eastAsia="en-AU"/>
        </w:rPr>
        <w:t xml:space="preserve">Note that </w:t>
      </w:r>
      <w:r>
        <w:rPr>
          <w:lang w:eastAsia="en-AU"/>
        </w:rPr>
        <w:t>LAIB</w:t>
      </w:r>
      <w:r w:rsidRPr="00E9624C">
        <w:rPr>
          <w:lang w:eastAsia="en-AU"/>
        </w:rPr>
        <w:t xml:space="preserve"> will </w:t>
      </w:r>
      <w:r w:rsidRPr="008B451D">
        <w:rPr>
          <w:b/>
          <w:bCs/>
          <w:iCs/>
          <w:lang w:eastAsia="en-AU"/>
        </w:rPr>
        <w:t>not</w:t>
      </w:r>
      <w:r w:rsidRPr="00E9624C">
        <w:rPr>
          <w:lang w:eastAsia="en-AU"/>
        </w:rPr>
        <w:t xml:space="preserve"> </w:t>
      </w:r>
      <w:r w:rsidRPr="008B451D">
        <w:rPr>
          <w:color w:val="000000" w:themeColor="text1"/>
          <w:lang w:eastAsia="en-AU"/>
        </w:rPr>
        <w:t xml:space="preserve">always </w:t>
      </w:r>
      <w:r w:rsidRPr="00E9624C">
        <w:rPr>
          <w:lang w:eastAsia="en-AU"/>
        </w:rPr>
        <w:t>be captured on SafeScript</w:t>
      </w:r>
      <w:r>
        <w:rPr>
          <w:lang w:eastAsia="en-AU"/>
        </w:rPr>
        <w:t>,</w:t>
      </w:r>
      <w:r w:rsidRPr="00E9624C">
        <w:rPr>
          <w:lang w:eastAsia="en-AU"/>
        </w:rPr>
        <w:t xml:space="preserve"> as i</w:t>
      </w:r>
      <w:r>
        <w:rPr>
          <w:lang w:eastAsia="en-AU"/>
        </w:rPr>
        <w:t>t may</w:t>
      </w:r>
      <w:r w:rsidRPr="00E9624C">
        <w:rPr>
          <w:lang w:eastAsia="en-AU"/>
        </w:rPr>
        <w:t xml:space="preserve"> not be dispensed by pharmacies</w:t>
      </w:r>
      <w:r>
        <w:rPr>
          <w:lang w:eastAsia="en-AU"/>
        </w:rPr>
        <w:t>.</w:t>
      </w:r>
      <w:r w:rsidRPr="00E9624C">
        <w:rPr>
          <w:lang w:eastAsia="en-AU"/>
        </w:rPr>
        <w:t xml:space="preserve"> </w:t>
      </w:r>
      <w:r>
        <w:rPr>
          <w:lang w:eastAsia="en-AU"/>
        </w:rPr>
        <w:t>In this case, t</w:t>
      </w:r>
      <w:r w:rsidRPr="00E9624C">
        <w:rPr>
          <w:lang w:eastAsia="en-AU"/>
        </w:rPr>
        <w:t xml:space="preserve">he </w:t>
      </w:r>
      <w:r>
        <w:rPr>
          <w:lang w:eastAsia="en-AU"/>
        </w:rPr>
        <w:t xml:space="preserve">Schedule 8 LAIB </w:t>
      </w:r>
      <w:r w:rsidRPr="00E9624C">
        <w:rPr>
          <w:lang w:eastAsia="en-AU"/>
        </w:rPr>
        <w:t xml:space="preserve">permit </w:t>
      </w:r>
      <w:r>
        <w:rPr>
          <w:lang w:eastAsia="en-AU"/>
        </w:rPr>
        <w:t xml:space="preserve">may be </w:t>
      </w:r>
      <w:r w:rsidRPr="00E9624C">
        <w:rPr>
          <w:lang w:eastAsia="en-AU"/>
        </w:rPr>
        <w:t xml:space="preserve">the sole means </w:t>
      </w:r>
      <w:r w:rsidRPr="004D4CD9">
        <w:t>of</w:t>
      </w:r>
      <w:r w:rsidRPr="00E9624C">
        <w:rPr>
          <w:lang w:eastAsia="en-AU"/>
        </w:rPr>
        <w:t xml:space="preserve"> indicating that the patient may have been administered </w:t>
      </w:r>
      <w:r>
        <w:rPr>
          <w:lang w:eastAsia="en-AU"/>
        </w:rPr>
        <w:t>LAIB</w:t>
      </w:r>
      <w:r w:rsidRPr="00E9624C">
        <w:rPr>
          <w:lang w:eastAsia="en-AU"/>
        </w:rPr>
        <w:t>.</w:t>
      </w:r>
    </w:p>
    <w:p w14:paraId="399C01DD" w14:textId="77777777" w:rsidR="00F74C99" w:rsidRPr="00DC552D" w:rsidRDefault="00F74C99" w:rsidP="00F74C99">
      <w:pPr>
        <w:pStyle w:val="Heading2"/>
        <w:rPr>
          <w:rFonts w:eastAsia="Calibri"/>
          <w:lang w:eastAsia="en-AU"/>
        </w:rPr>
      </w:pPr>
      <w:bookmarkStart w:id="18" w:name="_Toc60241066"/>
      <w:r>
        <w:rPr>
          <w:rFonts w:eastAsia="Calibri"/>
          <w:lang w:eastAsia="en-AU"/>
        </w:rPr>
        <w:t>Record keeping</w:t>
      </w:r>
      <w:bookmarkEnd w:id="18"/>
    </w:p>
    <w:p w14:paraId="31003BF3" w14:textId="77777777" w:rsidR="00F74C99" w:rsidRDefault="00F74C99" w:rsidP="00F74C99">
      <w:pPr>
        <w:pStyle w:val="DHHSbody"/>
      </w:pPr>
      <w:r>
        <w:t>A practitioner must record in the patient’s file a record of prescription, including the patient’s name and address, date of prescribing and date of administration, and the drug name (including the brand name), strength and the interval in which the injections are to be administered.</w:t>
      </w:r>
    </w:p>
    <w:p w14:paraId="7108A9BF" w14:textId="77777777" w:rsidR="00F74C99" w:rsidRDefault="00F74C99" w:rsidP="00F74C99">
      <w:pPr>
        <w:pStyle w:val="DHHSbody"/>
      </w:pPr>
      <w:r>
        <w:t>If a LAIB prescription is for pharmacist administration, written instructions must be provided by the prescriber authorising this action (i.e. “to be administered at XX pharmacy”) in addition to other usual requirements for pharmacotherapy prescriptions.</w:t>
      </w:r>
    </w:p>
    <w:p w14:paraId="746507BC" w14:textId="77777777" w:rsidR="00F74C99" w:rsidRDefault="00F74C99" w:rsidP="00F74C99">
      <w:pPr>
        <w:pStyle w:val="DHHSbody"/>
      </w:pPr>
      <w:r>
        <w:t xml:space="preserve">A registered nurse or pharmacist who is administering LAIB must record in the patient’s file the date of administration, the drug name (including the brand name), strength and dosing interval. A record of the injection site and additional relevant notes should also be made. Any issues arising must be communicated with the prescriber. See Appendix 1 for an example of an administration record keeping template. </w:t>
      </w:r>
    </w:p>
    <w:p w14:paraId="62E6A12B" w14:textId="77777777" w:rsidR="00F74C99" w:rsidRDefault="00F74C99" w:rsidP="00F74C99">
      <w:pPr>
        <w:pStyle w:val="Heading2"/>
      </w:pPr>
      <w:bookmarkStart w:id="19" w:name="_Toc60241067"/>
      <w:r>
        <w:t>Ordering and storage</w:t>
      </w:r>
      <w:bookmarkEnd w:id="19"/>
    </w:p>
    <w:p w14:paraId="44C1E1C9" w14:textId="77777777" w:rsidR="00F74C99" w:rsidRDefault="00F74C99" w:rsidP="00F74C99">
      <w:pPr>
        <w:pStyle w:val="DHHSbody"/>
      </w:pPr>
      <w:r>
        <w:t>LAIB can be supplied to an individual pharmacist, medical or nurse practitioner or to the health service, holding a health services permit (HSP). In hospitals, larger primary health clinics, or clinics with changing staff an HSP is the most applicable permit type.</w:t>
      </w:r>
    </w:p>
    <w:p w14:paraId="5CFFBCD3" w14:textId="77777777" w:rsidR="00F74C99" w:rsidRDefault="00F74C99" w:rsidP="00F74C99">
      <w:pPr>
        <w:pStyle w:val="DHHSbody"/>
      </w:pPr>
      <w:r>
        <w:t xml:space="preserve">A HSP is issued under the </w:t>
      </w:r>
      <w:r w:rsidRPr="00D07284">
        <w:rPr>
          <w:i/>
          <w:iCs/>
        </w:rPr>
        <w:t>Drugs, Poisons and Controlled Substances Act (1981)</w:t>
      </w:r>
      <w:r>
        <w:rPr>
          <w:i/>
          <w:iCs/>
        </w:rPr>
        <w:t xml:space="preserve"> </w:t>
      </w:r>
      <w:r w:rsidRPr="00AE7435">
        <w:t>and can be applied for online via</w:t>
      </w:r>
      <w:r>
        <w:t xml:space="preserve"> </w:t>
      </w:r>
      <w:hyperlink r:id="rId38" w:history="1">
        <w:r>
          <w:rPr>
            <w:rStyle w:val="Hyperlink"/>
          </w:rPr>
          <w:t>Application for new licence or permit online form</w:t>
        </w:r>
      </w:hyperlink>
    </w:p>
    <w:p w14:paraId="59FBDE91" w14:textId="77777777" w:rsidR="00F74C99" w:rsidRDefault="00F74C99" w:rsidP="00F74C99">
      <w:pPr>
        <w:pStyle w:val="Heading3"/>
      </w:pPr>
      <w:r>
        <w:t>Supply directly to an individual practitioner or health service</w:t>
      </w:r>
    </w:p>
    <w:p w14:paraId="2E963A71" w14:textId="77777777" w:rsidR="00F74C99" w:rsidRDefault="00F74C99" w:rsidP="00F74C99">
      <w:pPr>
        <w:pStyle w:val="DHHSbullet1"/>
        <w:ind w:left="0" w:firstLine="0"/>
      </w:pPr>
      <w:r>
        <w:t xml:space="preserve">Individual practitioners and health services which hold an HSP that authorises them to possess Schedule 8 drugs </w:t>
      </w:r>
      <w:proofErr w:type="gramStart"/>
      <w:r>
        <w:t>are able to</w:t>
      </w:r>
      <w:proofErr w:type="gramEnd"/>
      <w:r>
        <w:t xml:space="preserve"> order and store LAIB onsite in a compliant safe.</w:t>
      </w:r>
    </w:p>
    <w:p w14:paraId="544CCBC1" w14:textId="77777777" w:rsidR="00F74C99" w:rsidRPr="00D710C6" w:rsidRDefault="00F74C99" w:rsidP="003913FF">
      <w:pPr>
        <w:pStyle w:val="Bullet1"/>
        <w:rPr>
          <w:sz w:val="20"/>
        </w:rPr>
      </w:pPr>
      <w:r w:rsidRPr="00D710C6">
        <w:rPr>
          <w:sz w:val="20"/>
        </w:rPr>
        <w:t>An account must be opened with the appropriate wholesaler.</w:t>
      </w:r>
    </w:p>
    <w:p w14:paraId="213188A0" w14:textId="77777777" w:rsidR="00F74C99" w:rsidRPr="00D710C6" w:rsidRDefault="00F74C99" w:rsidP="003913FF">
      <w:pPr>
        <w:pStyle w:val="Bullet1"/>
        <w:rPr>
          <w:sz w:val="20"/>
        </w:rPr>
      </w:pPr>
      <w:r w:rsidRPr="00D710C6">
        <w:rPr>
          <w:sz w:val="20"/>
        </w:rPr>
        <w:t>Compliant Schedule 8 record keeping processes must be implemented and maintained.</w:t>
      </w:r>
    </w:p>
    <w:p w14:paraId="6CC25537" w14:textId="2B743F1B" w:rsidR="00BC0341" w:rsidRPr="00D710C6" w:rsidRDefault="00F74C99" w:rsidP="003913FF">
      <w:pPr>
        <w:pStyle w:val="Bullet1"/>
        <w:rPr>
          <w:sz w:val="20"/>
        </w:rPr>
      </w:pPr>
      <w:r w:rsidRPr="00D710C6">
        <w:rPr>
          <w:sz w:val="20"/>
        </w:rPr>
        <w:t>A Schedule 8 medicines compliant safe must be installed</w:t>
      </w:r>
      <w:r w:rsidR="00BC0341" w:rsidRPr="00D710C6">
        <w:rPr>
          <w:sz w:val="20"/>
        </w:rPr>
        <w:t xml:space="preserve"> according to requirements under the Drugs, Poisons and Controlled Substances Regulations 2017</w:t>
      </w:r>
    </w:p>
    <w:p w14:paraId="04532FFB" w14:textId="7D4C6E8F" w:rsidR="00F74C99" w:rsidRPr="00D710C6" w:rsidRDefault="00F74C99" w:rsidP="003913FF">
      <w:pPr>
        <w:pStyle w:val="Bullet1"/>
        <w:rPr>
          <w:sz w:val="20"/>
        </w:rPr>
      </w:pPr>
      <w:r w:rsidRPr="00D710C6">
        <w:rPr>
          <w:sz w:val="20"/>
        </w:rPr>
        <w:t xml:space="preserve">A refrigerated Schedule 8 compliant safe may be required for </w:t>
      </w:r>
      <w:proofErr w:type="spellStart"/>
      <w:r w:rsidRPr="00D710C6">
        <w:rPr>
          <w:sz w:val="20"/>
        </w:rPr>
        <w:t>Sublocade</w:t>
      </w:r>
      <w:proofErr w:type="spellEnd"/>
      <w:r w:rsidRPr="00D710C6">
        <w:rPr>
          <w:sz w:val="20"/>
        </w:rPr>
        <w:t>® depending on duration of storage (either &gt; 7 days or &gt;28 days as specifi</w:t>
      </w:r>
      <w:r w:rsidR="00BC0341" w:rsidRPr="00D710C6">
        <w:rPr>
          <w:sz w:val="20"/>
        </w:rPr>
        <w:t>ed</w:t>
      </w:r>
      <w:r w:rsidRPr="00D710C6">
        <w:rPr>
          <w:sz w:val="20"/>
        </w:rPr>
        <w:t xml:space="preserve"> on individual packaging instructions).</w:t>
      </w:r>
    </w:p>
    <w:p w14:paraId="06645919" w14:textId="77777777" w:rsidR="00F74C99" w:rsidRDefault="00F74C99" w:rsidP="00F74C99">
      <w:pPr>
        <w:pStyle w:val="DHHSbullet1"/>
        <w:ind w:left="0" w:firstLine="0"/>
      </w:pPr>
      <w:r>
        <w:t>Compliance with the possession, storage, use, recording of transactions and other requirements are primarily the responsibility of the permit holder.</w:t>
      </w:r>
    </w:p>
    <w:p w14:paraId="52BACE4D" w14:textId="77777777" w:rsidR="00F74C99" w:rsidRDefault="00F74C99" w:rsidP="00F74C99">
      <w:pPr>
        <w:pStyle w:val="Heading3"/>
      </w:pPr>
      <w:r>
        <w:t>Supply via p</w:t>
      </w:r>
      <w:r w:rsidRPr="0029180F">
        <w:t>harmacy</w:t>
      </w:r>
      <w:r>
        <w:t>-</w:t>
      </w:r>
      <w:r w:rsidRPr="0029180F">
        <w:t>based delivery</w:t>
      </w:r>
    </w:p>
    <w:p w14:paraId="63893EFB" w14:textId="77777777" w:rsidR="00F74C99" w:rsidRDefault="00F74C99" w:rsidP="00F74C99">
      <w:pPr>
        <w:pStyle w:val="DHHSbullet1"/>
        <w:ind w:left="0" w:firstLine="0"/>
        <w:rPr>
          <w:rFonts w:cs="Arial"/>
        </w:rPr>
      </w:pPr>
      <w:r w:rsidRPr="00E5145E">
        <w:rPr>
          <w:rFonts w:cs="Arial"/>
        </w:rPr>
        <w:t xml:space="preserve">Health services without an HSP may </w:t>
      </w:r>
      <w:proofErr w:type="gramStart"/>
      <w:r w:rsidRPr="00E5145E">
        <w:rPr>
          <w:rFonts w:cs="Arial"/>
        </w:rPr>
        <w:t>make arrangements</w:t>
      </w:r>
      <w:proofErr w:type="gramEnd"/>
      <w:r w:rsidRPr="00E5145E">
        <w:rPr>
          <w:rFonts w:cs="Arial"/>
        </w:rPr>
        <w:t xml:space="preserve"> for supply via</w:t>
      </w:r>
      <w:r>
        <w:rPr>
          <w:rFonts w:cs="Arial"/>
        </w:rPr>
        <w:t xml:space="preserve"> </w:t>
      </w:r>
      <w:r w:rsidRPr="00E5145E">
        <w:rPr>
          <w:rFonts w:cs="Arial"/>
        </w:rPr>
        <w:t>pharmacy delivery to coincide with scheduled LAIB administration. This arrangement does not allow for storage onsite at the health service premises.</w:t>
      </w:r>
    </w:p>
    <w:p w14:paraId="23420950" w14:textId="77777777" w:rsidR="00F74C99" w:rsidRDefault="00F74C99" w:rsidP="003913FF">
      <w:pPr>
        <w:pStyle w:val="Bullet1"/>
      </w:pPr>
      <w:r>
        <w:lastRenderedPageBreak/>
        <w:t>Delivery may only occur through pharmacies which are approved pharmacotherapy suppliers</w:t>
      </w:r>
    </w:p>
    <w:p w14:paraId="376C0BA5" w14:textId="77777777" w:rsidR="00F74C99" w:rsidRPr="00E5145E" w:rsidRDefault="00F74C99" w:rsidP="003913FF">
      <w:pPr>
        <w:pStyle w:val="Bullet1"/>
      </w:pPr>
      <w:r w:rsidRPr="00E5145E">
        <w:t xml:space="preserve">Pharmacies will need </w:t>
      </w:r>
      <w:bookmarkStart w:id="20" w:name="_Hlk37166945"/>
      <w:r w:rsidRPr="00E5145E">
        <w:t>to contact the pharmaceutical company/</w:t>
      </w:r>
      <w:proofErr w:type="spellStart"/>
      <w:r w:rsidRPr="00E5145E">
        <w:t>ies</w:t>
      </w:r>
      <w:proofErr w:type="spellEnd"/>
      <w:r>
        <w:t xml:space="preserve"> </w:t>
      </w:r>
      <w:r w:rsidRPr="00E5145E">
        <w:t>to open an account with the appropriate distributor/wholesaler to order LAIB</w:t>
      </w:r>
      <w:bookmarkEnd w:id="20"/>
      <w:r w:rsidRPr="00E5145E">
        <w:t>.</w:t>
      </w:r>
    </w:p>
    <w:p w14:paraId="47077AA7" w14:textId="77777777" w:rsidR="00F74C99" w:rsidRPr="00E5145E" w:rsidRDefault="00F74C99" w:rsidP="003913FF">
      <w:pPr>
        <w:pStyle w:val="Bullet1"/>
      </w:pPr>
      <w:r w:rsidRPr="00E5145E">
        <w:t xml:space="preserve">Pharmacies can </w:t>
      </w:r>
      <w:proofErr w:type="gramStart"/>
      <w:r w:rsidRPr="00E5145E">
        <w:t>make arrangements</w:t>
      </w:r>
      <w:proofErr w:type="gramEnd"/>
      <w:r w:rsidRPr="00E5145E">
        <w:t xml:space="preserve"> to deliver LAIB (with health services or an individual practitioner) dispensed for individual patients who are schedule for administration</w:t>
      </w:r>
    </w:p>
    <w:p w14:paraId="04F93DFA" w14:textId="653D648C" w:rsidR="00F74C99" w:rsidRPr="00E5145E" w:rsidRDefault="00BC0341" w:rsidP="003913FF">
      <w:pPr>
        <w:pStyle w:val="Bullet1"/>
      </w:pPr>
      <w:r>
        <w:t>T</w:t>
      </w:r>
      <w:r w:rsidR="00F74C99" w:rsidRPr="00E5145E">
        <w:t xml:space="preserve">o facilitate pharmacy </w:t>
      </w:r>
      <w:r>
        <w:t>medication delivery</w:t>
      </w:r>
      <w:r w:rsidR="00F74C99" w:rsidRPr="00E5145E">
        <w:t xml:space="preserve"> (dispensing these medications) </w:t>
      </w:r>
      <w:r w:rsidR="00F74C99">
        <w:t xml:space="preserve">the </w:t>
      </w:r>
      <w:r w:rsidR="00F74C99" w:rsidRPr="00E5145E">
        <w:t>patient</w:t>
      </w:r>
      <w:r w:rsidR="00F74C99">
        <w:t xml:space="preserve"> or prescriber will need to present or send a </w:t>
      </w:r>
      <w:r w:rsidR="00F74C99" w:rsidRPr="00E5145E">
        <w:t xml:space="preserve">valid </w:t>
      </w:r>
      <w:r w:rsidR="00F74C99">
        <w:t>pre</w:t>
      </w:r>
      <w:r w:rsidR="00F74C99" w:rsidRPr="00E5145E">
        <w:t>script</w:t>
      </w:r>
      <w:r w:rsidR="00F74C99">
        <w:t>ion</w:t>
      </w:r>
      <w:r w:rsidR="00F74C99" w:rsidRPr="00E5145E">
        <w:t xml:space="preserve"> to the pharmacy and pay any dispensing fee to the pharmacy as agreed</w:t>
      </w:r>
      <w:r w:rsidR="00F74C99">
        <w:t>.</w:t>
      </w:r>
    </w:p>
    <w:p w14:paraId="68CB431C" w14:textId="77777777" w:rsidR="00F74C99" w:rsidRPr="00E5145E" w:rsidRDefault="00F74C99" w:rsidP="003913FF">
      <w:pPr>
        <w:pStyle w:val="Bullet1"/>
        <w:rPr>
          <w:b/>
        </w:rPr>
      </w:pPr>
      <w:r w:rsidRPr="00E5145E">
        <w:t>The pharmacy will</w:t>
      </w:r>
      <w:r>
        <w:t xml:space="preserve"> </w:t>
      </w:r>
      <w:r w:rsidRPr="00E5145E">
        <w:t xml:space="preserve">arrange for the LAIB to be delivered to or picked up by the practitioner. LAIB </w:t>
      </w:r>
      <w:r w:rsidRPr="00E5145E">
        <w:rPr>
          <w:b/>
        </w:rPr>
        <w:t>should never be dispensed directly to or handled by the patient or their carer(s).</w:t>
      </w:r>
    </w:p>
    <w:p w14:paraId="236FAAE4" w14:textId="2CAD252D" w:rsidR="00973088" w:rsidRDefault="00973088" w:rsidP="00973088">
      <w:pPr>
        <w:rPr>
          <w:rFonts w:ascii="Calibri" w:hAnsi="Calibri"/>
          <w:sz w:val="22"/>
        </w:rPr>
      </w:pPr>
      <w:r>
        <w:t>Refer to the Department of Health website for f</w:t>
      </w:r>
      <w:r w:rsidR="00F74C99">
        <w:t xml:space="preserve">urther details on </w:t>
      </w:r>
      <w:hyperlink r:id="rId39" w:history="1">
        <w:r>
          <w:rPr>
            <w:rStyle w:val="Hyperlink"/>
          </w:rPr>
          <w:t>drugs of dependence guidance</w:t>
        </w:r>
      </w:hyperlink>
      <w:r>
        <w:t xml:space="preserve">, including </w:t>
      </w:r>
      <w:hyperlink r:id="rId40" w:history="1">
        <w:r>
          <w:rPr>
            <w:rStyle w:val="Hyperlink"/>
          </w:rPr>
          <w:t>refrigeration storage</w:t>
        </w:r>
      </w:hyperlink>
      <w:r>
        <w:t>.</w:t>
      </w:r>
    </w:p>
    <w:p w14:paraId="1CDDE69E" w14:textId="0DFBC519" w:rsidR="00973088" w:rsidRDefault="00973088" w:rsidP="00F74C99">
      <w:pPr>
        <w:pStyle w:val="DHHSbody"/>
        <w:rPr>
          <w:rStyle w:val="Hyperlink"/>
        </w:rPr>
      </w:pPr>
    </w:p>
    <w:p w14:paraId="3FC83662" w14:textId="77777777" w:rsidR="00F84C73" w:rsidRDefault="00F84C73">
      <w:pPr>
        <w:spacing w:after="0" w:line="240" w:lineRule="auto"/>
        <w:rPr>
          <w:rStyle w:val="Hyperlink"/>
          <w:rFonts w:eastAsia="Times"/>
          <w:sz w:val="20"/>
        </w:rPr>
      </w:pPr>
      <w:r>
        <w:rPr>
          <w:rStyle w:val="Hyperlink"/>
        </w:rPr>
        <w:br w:type="page"/>
      </w:r>
    </w:p>
    <w:p w14:paraId="18C9F48A" w14:textId="77777777" w:rsidR="00F74C99" w:rsidRPr="006378DF" w:rsidRDefault="00F74C99" w:rsidP="00F74C99">
      <w:pPr>
        <w:pStyle w:val="Heading1"/>
      </w:pPr>
      <w:bookmarkStart w:id="21" w:name="_Toc60241068"/>
      <w:r w:rsidRPr="006378DF">
        <w:lastRenderedPageBreak/>
        <w:t>Other considerations</w:t>
      </w:r>
      <w:bookmarkEnd w:id="21"/>
    </w:p>
    <w:p w14:paraId="16B71CB0" w14:textId="77777777" w:rsidR="00F74C99" w:rsidRPr="006378DF" w:rsidRDefault="00F74C99" w:rsidP="00F74C99">
      <w:pPr>
        <w:pStyle w:val="Heading2"/>
      </w:pPr>
      <w:bookmarkStart w:id="22" w:name="_Toc60241069"/>
      <w:r w:rsidRPr="006378DF">
        <w:t>Interstate and international travel by patients</w:t>
      </w:r>
      <w:bookmarkEnd w:id="22"/>
    </w:p>
    <w:p w14:paraId="09D45B84" w14:textId="77777777" w:rsidR="00F74C99" w:rsidRDefault="00F74C99" w:rsidP="00F74C99">
      <w:pPr>
        <w:pStyle w:val="DHHSbody"/>
        <w:rPr>
          <w:lang w:eastAsia="en-AU"/>
        </w:rPr>
      </w:pPr>
      <w:r>
        <w:rPr>
          <w:lang w:eastAsia="en-AU"/>
        </w:rPr>
        <w:t>LAIB may not be available in all areas of Australia or in all countries of the world. Patients are advised not to travel interstate or internationally for longer than the duration of the LAIB formulation (s</w:t>
      </w:r>
      <w:r w:rsidRPr="00097EBF">
        <w:rPr>
          <w:lang w:eastAsia="en-AU"/>
        </w:rPr>
        <w:t>ee</w:t>
      </w:r>
      <w:r w:rsidRPr="003A0E19">
        <w:rPr>
          <w:i/>
          <w:lang w:eastAsia="en-AU"/>
        </w:rPr>
        <w:t xml:space="preserve"> Clinical </w:t>
      </w:r>
      <w:r>
        <w:rPr>
          <w:i/>
          <w:lang w:eastAsia="en-AU"/>
        </w:rPr>
        <w:t>g</w:t>
      </w:r>
      <w:r w:rsidRPr="003A0E19">
        <w:rPr>
          <w:i/>
          <w:lang w:eastAsia="en-AU"/>
        </w:rPr>
        <w:t xml:space="preserve">uidelines for </w:t>
      </w:r>
      <w:r w:rsidRPr="001B3C73">
        <w:rPr>
          <w:i/>
          <w:lang w:eastAsia="en-AU"/>
        </w:rPr>
        <w:t xml:space="preserve">use of </w:t>
      </w:r>
      <w:r w:rsidRPr="00771F08">
        <w:rPr>
          <w:i/>
          <w:lang w:eastAsia="en-AU"/>
        </w:rPr>
        <w:t>long</w:t>
      </w:r>
      <w:r>
        <w:rPr>
          <w:i/>
          <w:lang w:eastAsia="en-AU"/>
        </w:rPr>
        <w:t>-</w:t>
      </w:r>
      <w:r w:rsidRPr="00771F08">
        <w:rPr>
          <w:i/>
          <w:lang w:eastAsia="en-AU"/>
        </w:rPr>
        <w:t>acting injectable</w:t>
      </w:r>
      <w:r>
        <w:rPr>
          <w:lang w:eastAsia="en-AU"/>
        </w:rPr>
        <w:t xml:space="preserve"> </w:t>
      </w:r>
      <w:r w:rsidRPr="003A0E19">
        <w:rPr>
          <w:i/>
          <w:lang w:eastAsia="en-AU"/>
        </w:rPr>
        <w:t>buprenorphine in the treatment of opioid dependence</w:t>
      </w:r>
      <w:r>
        <w:rPr>
          <w:lang w:eastAsia="en-AU"/>
        </w:rPr>
        <w:t>) unless prior arrangements can be made with a local practitioner.</w:t>
      </w:r>
    </w:p>
    <w:p w14:paraId="32C786AF" w14:textId="77777777" w:rsidR="00F74C99" w:rsidRDefault="00F74C99" w:rsidP="00F74C99">
      <w:pPr>
        <w:pStyle w:val="DHHSbody"/>
        <w:rPr>
          <w:lang w:eastAsia="en-AU"/>
        </w:rPr>
      </w:pPr>
      <w:r>
        <w:rPr>
          <w:lang w:eastAsia="en-AU"/>
        </w:rPr>
        <w:t>If travel is necessary beyond this timeframe, and a local practitioner cannot be found to prescribe and administer LAIB, conversion to sublingual buprenorphine/naloxone will be required.</w:t>
      </w:r>
    </w:p>
    <w:p w14:paraId="2B86B61A" w14:textId="77777777" w:rsidR="00F74C99" w:rsidRDefault="00F74C99" w:rsidP="00F74C99">
      <w:pPr>
        <w:rPr>
          <w:rFonts w:eastAsia="Times"/>
          <w:lang w:eastAsia="en-AU"/>
        </w:rPr>
      </w:pPr>
      <w:r w:rsidRPr="002209BC">
        <w:rPr>
          <w:rFonts w:eastAsia="Times"/>
          <w:lang w:eastAsia="en-AU"/>
        </w:rPr>
        <w:t xml:space="preserve">The </w:t>
      </w:r>
      <w:r w:rsidRPr="008962C5">
        <w:rPr>
          <w:rFonts w:eastAsia="Times"/>
          <w:lang w:eastAsia="en-AU"/>
        </w:rPr>
        <w:t>preparation should never be dispensed directly to or handled by the patient or their carer(s</w:t>
      </w:r>
      <w:r>
        <w:rPr>
          <w:rFonts w:eastAsia="Times"/>
          <w:lang w:eastAsia="en-AU"/>
        </w:rPr>
        <w:t>), even for interstate or international travel.</w:t>
      </w:r>
    </w:p>
    <w:p w14:paraId="6A04C4B5" w14:textId="77777777" w:rsidR="00F74C99" w:rsidRPr="006378DF" w:rsidRDefault="00F74C99" w:rsidP="00F74C99">
      <w:pPr>
        <w:pStyle w:val="Heading2"/>
      </w:pPr>
      <w:bookmarkStart w:id="23" w:name="_Toc60241070"/>
      <w:r w:rsidRPr="006378DF">
        <w:t>Frequency of review</w:t>
      </w:r>
      <w:bookmarkEnd w:id="23"/>
    </w:p>
    <w:p w14:paraId="53FB359C" w14:textId="77777777" w:rsidR="00F74C99" w:rsidRDefault="00F74C99" w:rsidP="00F74C99">
      <w:pPr>
        <w:pStyle w:val="DHHSbody"/>
        <w:rPr>
          <w:lang w:eastAsia="en-AU"/>
        </w:rPr>
      </w:pPr>
      <w:r w:rsidRPr="00E9624C">
        <w:rPr>
          <w:lang w:eastAsia="en-AU"/>
        </w:rPr>
        <w:t xml:space="preserve">For </w:t>
      </w:r>
      <w:r>
        <w:rPr>
          <w:lang w:eastAsia="en-AU"/>
        </w:rPr>
        <w:t>LAIB</w:t>
      </w:r>
      <w:r w:rsidRPr="00E9624C">
        <w:rPr>
          <w:lang w:eastAsia="en-AU"/>
        </w:rPr>
        <w:t xml:space="preserve">, the frequency of review will vary between </w:t>
      </w:r>
      <w:r>
        <w:rPr>
          <w:lang w:eastAsia="en-AU"/>
        </w:rPr>
        <w:t>patients</w:t>
      </w:r>
      <w:r w:rsidRPr="00E9624C">
        <w:rPr>
          <w:lang w:eastAsia="en-AU"/>
        </w:rPr>
        <w:t xml:space="preserve">. </w:t>
      </w:r>
    </w:p>
    <w:p w14:paraId="6744840D" w14:textId="77777777" w:rsidR="00F74C99" w:rsidRDefault="00F74C99" w:rsidP="00F74C99">
      <w:pPr>
        <w:pStyle w:val="DHHSbody"/>
        <w:rPr>
          <w:lang w:eastAsia="en-AU"/>
        </w:rPr>
      </w:pPr>
      <w:r w:rsidRPr="00E9624C">
        <w:rPr>
          <w:lang w:eastAsia="en-AU"/>
        </w:rPr>
        <w:t xml:space="preserve">One option may be to use the weekly formulation of </w:t>
      </w:r>
      <w:proofErr w:type="spellStart"/>
      <w:r w:rsidRPr="00E9624C">
        <w:rPr>
          <w:lang w:eastAsia="en-AU"/>
        </w:rPr>
        <w:t>Buvidal</w:t>
      </w:r>
      <w:proofErr w:type="spellEnd"/>
      <w:r w:rsidRPr="004A340F">
        <w:rPr>
          <w:b/>
          <w:bCs/>
          <w:vertAlign w:val="superscript"/>
        </w:rPr>
        <w:t>®</w:t>
      </w:r>
      <w:r w:rsidRPr="00E9624C">
        <w:rPr>
          <w:lang w:eastAsia="en-AU"/>
        </w:rPr>
        <w:t xml:space="preserve"> when commencing treatment, for the first two to four weeks until </w:t>
      </w:r>
      <w:r w:rsidRPr="004D4CD9">
        <w:t>clinicians</w:t>
      </w:r>
      <w:r w:rsidRPr="00E9624C">
        <w:rPr>
          <w:lang w:eastAsia="en-AU"/>
        </w:rPr>
        <w:t xml:space="preserve"> and </w:t>
      </w:r>
      <w:r>
        <w:rPr>
          <w:lang w:eastAsia="en-AU"/>
        </w:rPr>
        <w:t>patients</w:t>
      </w:r>
      <w:r w:rsidRPr="00E9624C">
        <w:rPr>
          <w:lang w:eastAsia="en-AU"/>
        </w:rPr>
        <w:t xml:space="preserve"> are familiar with the treatment. For monthly </w:t>
      </w:r>
      <w:r>
        <w:rPr>
          <w:lang w:eastAsia="en-AU"/>
        </w:rPr>
        <w:t>LAIB</w:t>
      </w:r>
      <w:r w:rsidRPr="00E9624C">
        <w:rPr>
          <w:lang w:eastAsia="en-AU"/>
        </w:rPr>
        <w:t xml:space="preserve">, </w:t>
      </w:r>
      <w:r>
        <w:rPr>
          <w:lang w:eastAsia="en-AU"/>
        </w:rPr>
        <w:t>prescribers</w:t>
      </w:r>
      <w:r w:rsidRPr="00E9624C">
        <w:rPr>
          <w:lang w:eastAsia="en-AU"/>
        </w:rPr>
        <w:t xml:space="preserve"> may schedule more frequent reviews at commencement of opioid agonist treatment or during periods of clinical instability.</w:t>
      </w:r>
    </w:p>
    <w:p w14:paraId="4A8AD385" w14:textId="1377C47F" w:rsidR="00F84C73" w:rsidRDefault="00F74C99" w:rsidP="00F74C99">
      <w:pPr>
        <w:pStyle w:val="DHHSbody"/>
        <w:rPr>
          <w:lang w:eastAsia="en-AU"/>
        </w:rPr>
      </w:pPr>
      <w:r>
        <w:rPr>
          <w:lang w:eastAsia="en-AU"/>
        </w:rPr>
        <w:t>Prescribers should consider the timing of reviews for patients who are prescribed LAIB. The frequency of review should be in keeping with the general guidelines for reviews of patients participating in a pharmacotherapy program.</w:t>
      </w:r>
    </w:p>
    <w:p w14:paraId="74B9F95A" w14:textId="77777777" w:rsidR="00F84C73" w:rsidRDefault="00F84C73">
      <w:pPr>
        <w:spacing w:after="0" w:line="240" w:lineRule="auto"/>
        <w:rPr>
          <w:rFonts w:eastAsia="Times"/>
          <w:sz w:val="20"/>
          <w:lang w:eastAsia="en-AU"/>
        </w:rPr>
      </w:pPr>
      <w:r>
        <w:rPr>
          <w:lang w:eastAsia="en-AU"/>
        </w:rPr>
        <w:br w:type="page"/>
      </w:r>
    </w:p>
    <w:p w14:paraId="6EEB2739" w14:textId="77777777" w:rsidR="00F74C99" w:rsidRDefault="00F74C99" w:rsidP="00F74C99">
      <w:pPr>
        <w:pStyle w:val="Heading1"/>
      </w:pPr>
      <w:bookmarkStart w:id="24" w:name="_Toc60241071"/>
      <w:r>
        <w:lastRenderedPageBreak/>
        <w:t>Appendix 1</w:t>
      </w:r>
      <w:bookmarkEnd w:id="24"/>
      <w:r>
        <w:t xml:space="preserve"> </w:t>
      </w:r>
    </w:p>
    <w:p w14:paraId="4E4C9FF4" w14:textId="77777777" w:rsidR="00F74C99" w:rsidRPr="00C83E7F" w:rsidRDefault="00F74C99" w:rsidP="00F74C99">
      <w:pPr>
        <w:pStyle w:val="Heading2"/>
      </w:pPr>
      <w:bookmarkStart w:id="25" w:name="_Toc60241072"/>
      <w:r>
        <w:t>LAIB administration record keeping template</w:t>
      </w:r>
      <w:bookmarkEnd w:id="25"/>
    </w:p>
    <w:tbl>
      <w:tblPr>
        <w:tblStyle w:val="TableGrid"/>
        <w:tblW w:w="0" w:type="auto"/>
        <w:tblLook w:val="04A0" w:firstRow="1" w:lastRow="0" w:firstColumn="1" w:lastColumn="0" w:noHBand="0" w:noVBand="1"/>
      </w:tblPr>
      <w:tblGrid>
        <w:gridCol w:w="4590"/>
        <w:gridCol w:w="4590"/>
      </w:tblGrid>
      <w:tr w:rsidR="00F74C99" w14:paraId="01A1F399" w14:textId="77777777" w:rsidTr="00F74C99">
        <w:tc>
          <w:tcPr>
            <w:tcW w:w="9180" w:type="dxa"/>
            <w:gridSpan w:val="2"/>
            <w:shd w:val="clear" w:color="auto" w:fill="DBE5F1" w:themeFill="accent1" w:themeFillTint="33"/>
            <w:vAlign w:val="center"/>
          </w:tcPr>
          <w:p w14:paraId="6CA1435B" w14:textId="77777777" w:rsidR="00F74C99" w:rsidRPr="00C44144" w:rsidRDefault="00F74C99" w:rsidP="00C03E27">
            <w:pPr>
              <w:pStyle w:val="DHHSbody"/>
              <w:spacing w:before="40" w:after="40" w:line="360" w:lineRule="auto"/>
              <w:rPr>
                <w:b/>
                <w:bCs/>
              </w:rPr>
            </w:pPr>
            <w:r w:rsidRPr="00C44144">
              <w:rPr>
                <w:b/>
                <w:bCs/>
              </w:rPr>
              <w:t xml:space="preserve">Patient </w:t>
            </w:r>
            <w:r>
              <w:rPr>
                <w:b/>
                <w:bCs/>
              </w:rPr>
              <w:t>details</w:t>
            </w:r>
          </w:p>
        </w:tc>
      </w:tr>
      <w:tr w:rsidR="00F74C99" w14:paraId="644D71F3" w14:textId="77777777" w:rsidTr="00C03E27">
        <w:tc>
          <w:tcPr>
            <w:tcW w:w="9180" w:type="dxa"/>
            <w:gridSpan w:val="2"/>
            <w:vAlign w:val="center"/>
          </w:tcPr>
          <w:p w14:paraId="3D0AD9AC" w14:textId="77777777" w:rsidR="00F74C99" w:rsidRPr="00BC235D" w:rsidRDefault="00F74C99" w:rsidP="00C03E27">
            <w:pPr>
              <w:pStyle w:val="DHHSbody"/>
              <w:spacing w:before="40" w:after="40" w:line="360" w:lineRule="auto"/>
            </w:pPr>
            <w:r w:rsidRPr="00BC235D">
              <w:t>Name:</w:t>
            </w:r>
          </w:p>
        </w:tc>
      </w:tr>
      <w:tr w:rsidR="00F74C99" w14:paraId="0D88212E" w14:textId="77777777" w:rsidTr="00C03E27">
        <w:tc>
          <w:tcPr>
            <w:tcW w:w="9180" w:type="dxa"/>
            <w:gridSpan w:val="2"/>
            <w:vAlign w:val="center"/>
          </w:tcPr>
          <w:p w14:paraId="0A19741D" w14:textId="77777777" w:rsidR="00F74C99" w:rsidRPr="00BC235D" w:rsidRDefault="00F74C99" w:rsidP="00C03E27">
            <w:pPr>
              <w:pStyle w:val="DHHSbody"/>
              <w:spacing w:before="40" w:after="40" w:line="360" w:lineRule="auto"/>
            </w:pPr>
            <w:r w:rsidRPr="00BC235D">
              <w:t>Address:</w:t>
            </w:r>
          </w:p>
        </w:tc>
      </w:tr>
      <w:tr w:rsidR="00F84C73" w14:paraId="17FB8FE1" w14:textId="77777777" w:rsidTr="00281356">
        <w:tc>
          <w:tcPr>
            <w:tcW w:w="4590" w:type="dxa"/>
            <w:vAlign w:val="center"/>
          </w:tcPr>
          <w:p w14:paraId="3DC592A8" w14:textId="77777777" w:rsidR="00F84C73" w:rsidRPr="00BC235D" w:rsidRDefault="00F84C73" w:rsidP="00C03E27">
            <w:pPr>
              <w:pStyle w:val="DHHSbody"/>
              <w:spacing w:before="40" w:after="40" w:line="360" w:lineRule="auto"/>
            </w:pPr>
            <w:r w:rsidRPr="00BC235D">
              <w:t>Date of birth:</w:t>
            </w:r>
          </w:p>
        </w:tc>
        <w:tc>
          <w:tcPr>
            <w:tcW w:w="4590" w:type="dxa"/>
            <w:vAlign w:val="center"/>
          </w:tcPr>
          <w:p w14:paraId="3A6D8E5E" w14:textId="3BA63E8B" w:rsidR="00F84C73" w:rsidRPr="00BC235D" w:rsidRDefault="00F84C73" w:rsidP="00C03E27">
            <w:pPr>
              <w:pStyle w:val="DHHSbody"/>
              <w:spacing w:before="40" w:after="40" w:line="360" w:lineRule="auto"/>
            </w:pPr>
            <w:r>
              <w:t>Phone number:</w:t>
            </w:r>
          </w:p>
        </w:tc>
      </w:tr>
      <w:tr w:rsidR="00F74C99" w14:paraId="48A489F5" w14:textId="77777777" w:rsidTr="00F74C99">
        <w:tc>
          <w:tcPr>
            <w:tcW w:w="9180" w:type="dxa"/>
            <w:gridSpan w:val="2"/>
            <w:shd w:val="clear" w:color="auto" w:fill="DBE5F1" w:themeFill="accent1" w:themeFillTint="33"/>
            <w:vAlign w:val="center"/>
          </w:tcPr>
          <w:p w14:paraId="4DA4DC4E" w14:textId="77777777" w:rsidR="00F74C99" w:rsidRPr="00BC235D" w:rsidRDefault="00F74C99" w:rsidP="00C03E27">
            <w:pPr>
              <w:pStyle w:val="DHHSbody"/>
              <w:spacing w:before="40" w:after="40" w:line="360" w:lineRule="auto"/>
              <w:rPr>
                <w:b/>
                <w:bCs/>
              </w:rPr>
            </w:pPr>
            <w:r w:rsidRPr="00BC235D">
              <w:rPr>
                <w:b/>
                <w:bCs/>
              </w:rPr>
              <w:t>Prescriber details</w:t>
            </w:r>
          </w:p>
        </w:tc>
      </w:tr>
      <w:tr w:rsidR="00F74C99" w14:paraId="0F64C258" w14:textId="77777777" w:rsidTr="00C03E27">
        <w:tc>
          <w:tcPr>
            <w:tcW w:w="9180" w:type="dxa"/>
            <w:gridSpan w:val="2"/>
            <w:vAlign w:val="center"/>
          </w:tcPr>
          <w:p w14:paraId="6B4D4BE0" w14:textId="77777777" w:rsidR="00F74C99" w:rsidRDefault="00F74C99" w:rsidP="00C03E27">
            <w:pPr>
              <w:pStyle w:val="DHHSbody"/>
              <w:spacing w:before="40" w:after="40" w:line="360" w:lineRule="auto"/>
            </w:pPr>
            <w:r>
              <w:t>Name:</w:t>
            </w:r>
          </w:p>
        </w:tc>
      </w:tr>
      <w:tr w:rsidR="00F74C99" w14:paraId="0425DDBA" w14:textId="77777777" w:rsidTr="00C03E27">
        <w:tc>
          <w:tcPr>
            <w:tcW w:w="9180" w:type="dxa"/>
            <w:gridSpan w:val="2"/>
            <w:vAlign w:val="center"/>
          </w:tcPr>
          <w:p w14:paraId="27806816" w14:textId="77777777" w:rsidR="00F74C99" w:rsidRDefault="00F74C99" w:rsidP="00C03E27">
            <w:pPr>
              <w:pStyle w:val="DHHSbody"/>
              <w:spacing w:before="40" w:after="40" w:line="360" w:lineRule="auto"/>
            </w:pPr>
            <w:r>
              <w:t>Clinic Address:</w:t>
            </w:r>
          </w:p>
        </w:tc>
      </w:tr>
      <w:tr w:rsidR="00F74C99" w14:paraId="15FA9B9F" w14:textId="77777777" w:rsidTr="00C03E27">
        <w:tc>
          <w:tcPr>
            <w:tcW w:w="9180" w:type="dxa"/>
            <w:gridSpan w:val="2"/>
            <w:vAlign w:val="center"/>
          </w:tcPr>
          <w:p w14:paraId="3BB7D1DB" w14:textId="77777777" w:rsidR="00F74C99" w:rsidRDefault="00F74C99" w:rsidP="00C03E27">
            <w:pPr>
              <w:pStyle w:val="DHHSbody"/>
              <w:spacing w:before="40" w:after="40" w:line="360" w:lineRule="auto"/>
            </w:pPr>
            <w:r>
              <w:t>Phone number:</w:t>
            </w:r>
          </w:p>
        </w:tc>
      </w:tr>
      <w:tr w:rsidR="00F74C99" w14:paraId="52074C42" w14:textId="77777777" w:rsidTr="00F74C99">
        <w:tc>
          <w:tcPr>
            <w:tcW w:w="9180" w:type="dxa"/>
            <w:gridSpan w:val="2"/>
            <w:shd w:val="clear" w:color="auto" w:fill="DBE5F1" w:themeFill="accent1" w:themeFillTint="33"/>
            <w:vAlign w:val="center"/>
          </w:tcPr>
          <w:p w14:paraId="4A30ED2A" w14:textId="77777777" w:rsidR="00F74C99" w:rsidRPr="00BC235D" w:rsidRDefault="00F74C99" w:rsidP="00C03E27">
            <w:pPr>
              <w:pStyle w:val="DHHSbody"/>
              <w:spacing w:before="40" w:after="40" w:line="360" w:lineRule="auto"/>
              <w:rPr>
                <w:b/>
                <w:bCs/>
              </w:rPr>
            </w:pPr>
            <w:r w:rsidRPr="00BC235D">
              <w:rPr>
                <w:b/>
                <w:bCs/>
              </w:rPr>
              <w:t>Administering health professional</w:t>
            </w:r>
            <w:r>
              <w:rPr>
                <w:b/>
                <w:bCs/>
              </w:rPr>
              <w:t xml:space="preserve"> details</w:t>
            </w:r>
          </w:p>
        </w:tc>
      </w:tr>
      <w:tr w:rsidR="00F74C99" w14:paraId="51FFF0D6" w14:textId="77777777" w:rsidTr="00C03E27">
        <w:tc>
          <w:tcPr>
            <w:tcW w:w="9180" w:type="dxa"/>
            <w:gridSpan w:val="2"/>
            <w:vAlign w:val="center"/>
          </w:tcPr>
          <w:p w14:paraId="7D055E4F" w14:textId="77777777" w:rsidR="00F74C99" w:rsidRDefault="00F74C99" w:rsidP="00C03E27">
            <w:pPr>
              <w:pStyle w:val="DHHSbody"/>
              <w:spacing w:before="40" w:after="40" w:line="360" w:lineRule="auto"/>
            </w:pPr>
            <w:r>
              <w:t>Name:</w:t>
            </w:r>
          </w:p>
        </w:tc>
      </w:tr>
      <w:tr w:rsidR="00F74C99" w14:paraId="0E9ED098" w14:textId="77777777" w:rsidTr="00C03E27">
        <w:tc>
          <w:tcPr>
            <w:tcW w:w="9180" w:type="dxa"/>
            <w:gridSpan w:val="2"/>
            <w:vAlign w:val="center"/>
          </w:tcPr>
          <w:p w14:paraId="62C7308F" w14:textId="77777777" w:rsidR="00F74C99" w:rsidRDefault="00F74C99" w:rsidP="00C03E27">
            <w:pPr>
              <w:pStyle w:val="DHHSbody"/>
              <w:spacing w:before="40" w:after="40" w:line="360" w:lineRule="auto"/>
            </w:pPr>
            <w:r>
              <w:t>Qualification:</w:t>
            </w:r>
          </w:p>
        </w:tc>
      </w:tr>
      <w:tr w:rsidR="00F74C99" w14:paraId="560655A9" w14:textId="77777777" w:rsidTr="00C03E27">
        <w:tc>
          <w:tcPr>
            <w:tcW w:w="4590" w:type="dxa"/>
            <w:vAlign w:val="center"/>
          </w:tcPr>
          <w:p w14:paraId="7DB5073F" w14:textId="77777777" w:rsidR="00F74C99" w:rsidRDefault="00F74C99" w:rsidP="00C03E27">
            <w:pPr>
              <w:pStyle w:val="DHHSbody"/>
              <w:spacing w:before="40" w:after="40" w:line="360" w:lineRule="auto"/>
            </w:pPr>
            <w:r>
              <w:t>Signature:</w:t>
            </w:r>
          </w:p>
        </w:tc>
        <w:tc>
          <w:tcPr>
            <w:tcW w:w="4590" w:type="dxa"/>
            <w:vAlign w:val="center"/>
          </w:tcPr>
          <w:p w14:paraId="24E3E649" w14:textId="77777777" w:rsidR="00F74C99" w:rsidRDefault="00F74C99" w:rsidP="00C03E27">
            <w:pPr>
              <w:pStyle w:val="DHHSbody"/>
              <w:spacing w:before="40" w:after="40" w:line="360" w:lineRule="auto"/>
            </w:pPr>
            <w:r>
              <w:t>Date:</w:t>
            </w:r>
          </w:p>
        </w:tc>
      </w:tr>
      <w:tr w:rsidR="00F74C99" w14:paraId="46C8F50B" w14:textId="77777777" w:rsidTr="00F74C99">
        <w:tc>
          <w:tcPr>
            <w:tcW w:w="9180" w:type="dxa"/>
            <w:gridSpan w:val="2"/>
            <w:shd w:val="clear" w:color="auto" w:fill="DBE5F1" w:themeFill="accent1" w:themeFillTint="33"/>
            <w:vAlign w:val="center"/>
          </w:tcPr>
          <w:p w14:paraId="4C1117C0" w14:textId="77777777" w:rsidR="00F74C99" w:rsidRPr="00B57A75" w:rsidRDefault="00F74C99" w:rsidP="00C03E27">
            <w:pPr>
              <w:pStyle w:val="DHHSbody"/>
              <w:spacing w:before="40" w:after="40" w:line="360" w:lineRule="auto"/>
              <w:rPr>
                <w:b/>
                <w:bCs/>
              </w:rPr>
            </w:pPr>
            <w:r w:rsidRPr="00B57A75">
              <w:rPr>
                <w:b/>
                <w:bCs/>
              </w:rPr>
              <w:t>LAIB administration details</w:t>
            </w:r>
          </w:p>
        </w:tc>
      </w:tr>
      <w:tr w:rsidR="00F74C99" w14:paraId="53F12C86" w14:textId="77777777" w:rsidTr="00C03E27">
        <w:tc>
          <w:tcPr>
            <w:tcW w:w="9180" w:type="dxa"/>
            <w:gridSpan w:val="2"/>
            <w:vAlign w:val="center"/>
          </w:tcPr>
          <w:p w14:paraId="266D8E19" w14:textId="77777777" w:rsidR="00F74C99" w:rsidRDefault="00F74C99" w:rsidP="00C03E27">
            <w:pPr>
              <w:pStyle w:val="DHHSbody"/>
              <w:spacing w:before="40" w:after="40" w:line="360" w:lineRule="auto"/>
            </w:pPr>
            <w:r>
              <w:t xml:space="preserve">Brand (circle formulation):  </w:t>
            </w:r>
            <w:proofErr w:type="spellStart"/>
            <w:r>
              <w:t>Buvidal</w:t>
            </w:r>
            <w:proofErr w:type="spellEnd"/>
            <w:r w:rsidRPr="00B57A75">
              <w:rPr>
                <w:vertAlign w:val="superscript"/>
              </w:rPr>
              <w:t>®</w:t>
            </w:r>
            <w:r>
              <w:t xml:space="preserve"> / </w:t>
            </w:r>
            <w:proofErr w:type="spellStart"/>
            <w:r>
              <w:t>Sublocade</w:t>
            </w:r>
            <w:proofErr w:type="spellEnd"/>
            <w:r w:rsidRPr="00B57A75">
              <w:rPr>
                <w:vertAlign w:val="superscript"/>
              </w:rPr>
              <w:t>®</w:t>
            </w:r>
          </w:p>
        </w:tc>
      </w:tr>
      <w:tr w:rsidR="00F74C99" w14:paraId="231D63AC" w14:textId="77777777" w:rsidTr="00C03E27">
        <w:tc>
          <w:tcPr>
            <w:tcW w:w="9180" w:type="dxa"/>
            <w:gridSpan w:val="2"/>
            <w:vAlign w:val="center"/>
          </w:tcPr>
          <w:p w14:paraId="6645E98B" w14:textId="77777777" w:rsidR="00F74C99" w:rsidRDefault="00F74C99" w:rsidP="00C03E27">
            <w:pPr>
              <w:pStyle w:val="DHHSbody"/>
              <w:spacing w:before="40" w:after="40" w:line="360" w:lineRule="auto"/>
            </w:pPr>
            <w:r>
              <w:t>Dose strength:</w:t>
            </w:r>
          </w:p>
        </w:tc>
      </w:tr>
      <w:tr w:rsidR="00F74C99" w14:paraId="5181A590" w14:textId="77777777" w:rsidTr="00C03E27">
        <w:tc>
          <w:tcPr>
            <w:tcW w:w="9180" w:type="dxa"/>
            <w:gridSpan w:val="2"/>
            <w:vAlign w:val="center"/>
          </w:tcPr>
          <w:p w14:paraId="39857FB9" w14:textId="77777777" w:rsidR="00F74C99" w:rsidRDefault="00F74C99" w:rsidP="00C03E27">
            <w:pPr>
              <w:pStyle w:val="DHHSbody"/>
              <w:spacing w:before="40" w:after="40" w:line="360" w:lineRule="auto"/>
            </w:pPr>
            <w:r>
              <w:t>Dose frequency:</w:t>
            </w:r>
          </w:p>
        </w:tc>
      </w:tr>
      <w:tr w:rsidR="00F74C99" w14:paraId="62845859" w14:textId="77777777" w:rsidTr="00C03E27">
        <w:tc>
          <w:tcPr>
            <w:tcW w:w="9180" w:type="dxa"/>
            <w:gridSpan w:val="2"/>
            <w:vAlign w:val="center"/>
          </w:tcPr>
          <w:p w14:paraId="75B9587B" w14:textId="77777777" w:rsidR="00F74C99" w:rsidRDefault="00F74C99" w:rsidP="00C03E27">
            <w:pPr>
              <w:pStyle w:val="DHHSbody"/>
              <w:spacing w:before="40" w:after="40" w:line="360" w:lineRule="auto"/>
            </w:pPr>
            <w:r>
              <w:t>Injection site:</w:t>
            </w:r>
          </w:p>
        </w:tc>
      </w:tr>
      <w:tr w:rsidR="00F74C99" w14:paraId="3040601A" w14:textId="77777777" w:rsidTr="00C03E27">
        <w:trPr>
          <w:trHeight w:val="2130"/>
        </w:trPr>
        <w:tc>
          <w:tcPr>
            <w:tcW w:w="9180" w:type="dxa"/>
            <w:gridSpan w:val="2"/>
            <w:vAlign w:val="center"/>
          </w:tcPr>
          <w:p w14:paraId="0A3E3D4E" w14:textId="77777777" w:rsidR="00F74C99" w:rsidRDefault="00F74C99" w:rsidP="00C03E27">
            <w:pPr>
              <w:pStyle w:val="DHHSbody"/>
              <w:spacing w:before="40" w:after="40" w:line="360" w:lineRule="auto"/>
              <w:rPr>
                <w:b/>
                <w:bCs/>
              </w:rPr>
            </w:pPr>
            <w:r>
              <w:rPr>
                <w:b/>
                <w:bCs/>
              </w:rPr>
              <w:t>Clinical assessment n</w:t>
            </w:r>
            <w:r w:rsidRPr="00B57A75">
              <w:rPr>
                <w:b/>
                <w:bCs/>
              </w:rPr>
              <w:t>otes</w:t>
            </w:r>
            <w:r>
              <w:rPr>
                <w:b/>
                <w:bCs/>
              </w:rPr>
              <w:t>:</w:t>
            </w:r>
          </w:p>
          <w:p w14:paraId="10C28D31" w14:textId="77777777" w:rsidR="00F74C99" w:rsidRDefault="00F74C99" w:rsidP="00C03E27">
            <w:pPr>
              <w:pStyle w:val="DHHSbody"/>
              <w:spacing w:before="40" w:after="40" w:line="360" w:lineRule="auto"/>
              <w:rPr>
                <w:b/>
                <w:bCs/>
              </w:rPr>
            </w:pPr>
          </w:p>
          <w:p w14:paraId="12AF3897" w14:textId="77777777" w:rsidR="00F74C99" w:rsidRDefault="00F74C99" w:rsidP="00C03E27">
            <w:pPr>
              <w:pStyle w:val="DHHSbody"/>
              <w:spacing w:before="40" w:after="40" w:line="360" w:lineRule="auto"/>
              <w:rPr>
                <w:b/>
                <w:bCs/>
              </w:rPr>
            </w:pPr>
          </w:p>
          <w:p w14:paraId="671ABDA3" w14:textId="77777777" w:rsidR="00F74C99" w:rsidRDefault="00F74C99" w:rsidP="00C03E27">
            <w:pPr>
              <w:pStyle w:val="DHHSbody"/>
              <w:spacing w:before="40" w:after="40" w:line="360" w:lineRule="auto"/>
              <w:rPr>
                <w:b/>
                <w:bCs/>
              </w:rPr>
            </w:pPr>
          </w:p>
          <w:p w14:paraId="07EA0CAE" w14:textId="77777777" w:rsidR="00F74C99" w:rsidRDefault="00F74C99" w:rsidP="00C03E27">
            <w:pPr>
              <w:pStyle w:val="DHHSbody"/>
              <w:spacing w:before="40" w:after="40" w:line="360" w:lineRule="auto"/>
              <w:rPr>
                <w:b/>
                <w:bCs/>
              </w:rPr>
            </w:pPr>
          </w:p>
          <w:p w14:paraId="38F5295B" w14:textId="77777777" w:rsidR="00F74C99" w:rsidRDefault="00F74C99" w:rsidP="00C03E27">
            <w:pPr>
              <w:pStyle w:val="DHHSbody"/>
              <w:spacing w:before="40" w:after="40" w:line="360" w:lineRule="auto"/>
            </w:pPr>
          </w:p>
        </w:tc>
      </w:tr>
      <w:tr w:rsidR="00F74C99" w14:paraId="7799392D" w14:textId="77777777" w:rsidTr="00C03E27">
        <w:trPr>
          <w:trHeight w:val="1059"/>
        </w:trPr>
        <w:tc>
          <w:tcPr>
            <w:tcW w:w="9180" w:type="dxa"/>
            <w:gridSpan w:val="2"/>
          </w:tcPr>
          <w:p w14:paraId="30B38955" w14:textId="77777777" w:rsidR="00F74C99" w:rsidRDefault="00F74C99" w:rsidP="00C03E27">
            <w:pPr>
              <w:pStyle w:val="DHHSbody"/>
              <w:spacing w:before="40" w:after="40" w:line="360" w:lineRule="auto"/>
              <w:rPr>
                <w:b/>
                <w:bCs/>
              </w:rPr>
            </w:pPr>
            <w:r w:rsidRPr="00FD62F3">
              <w:rPr>
                <w:b/>
                <w:bCs/>
              </w:rPr>
              <w:t>Communication with prescriber:</w:t>
            </w:r>
          </w:p>
          <w:p w14:paraId="72A84B15" w14:textId="77777777" w:rsidR="00F74C99" w:rsidRDefault="00F74C99" w:rsidP="00C03E27">
            <w:pPr>
              <w:pStyle w:val="DHHSbody"/>
              <w:spacing w:before="40" w:after="40" w:line="360" w:lineRule="auto"/>
              <w:rPr>
                <w:b/>
                <w:bCs/>
              </w:rPr>
            </w:pPr>
          </w:p>
          <w:p w14:paraId="3D55503A" w14:textId="77777777" w:rsidR="00F74C99" w:rsidRDefault="00F74C99" w:rsidP="00C03E27">
            <w:pPr>
              <w:pStyle w:val="DHHSbody"/>
              <w:spacing w:before="40" w:after="40" w:line="360" w:lineRule="auto"/>
              <w:rPr>
                <w:b/>
                <w:bCs/>
              </w:rPr>
            </w:pPr>
          </w:p>
          <w:p w14:paraId="0CF3949E" w14:textId="77777777" w:rsidR="00F74C99" w:rsidRPr="00CD65F0" w:rsidRDefault="00F74C99" w:rsidP="00C03E27">
            <w:pPr>
              <w:pStyle w:val="DHHSbody"/>
              <w:spacing w:before="40" w:after="40" w:line="360" w:lineRule="auto"/>
              <w:rPr>
                <w:b/>
                <w:bCs/>
              </w:rPr>
            </w:pPr>
          </w:p>
        </w:tc>
      </w:tr>
      <w:tr w:rsidR="00F74C99" w14:paraId="6CF5F931" w14:textId="77777777" w:rsidTr="00C03E27">
        <w:tc>
          <w:tcPr>
            <w:tcW w:w="9180" w:type="dxa"/>
            <w:gridSpan w:val="2"/>
          </w:tcPr>
          <w:p w14:paraId="4C337400" w14:textId="77777777" w:rsidR="00F74C99" w:rsidRDefault="00F74C99" w:rsidP="00C03E27">
            <w:pPr>
              <w:pStyle w:val="DHHSbody"/>
              <w:spacing w:before="40" w:after="40" w:line="360" w:lineRule="auto"/>
            </w:pPr>
            <w:r>
              <w:t>Next dose due:</w:t>
            </w:r>
          </w:p>
        </w:tc>
      </w:tr>
      <w:bookmarkEnd w:id="2"/>
    </w:tbl>
    <w:p w14:paraId="32E4050B" w14:textId="457E9657" w:rsidR="00EB4BC7" w:rsidRDefault="00EB4BC7" w:rsidP="00F84C73">
      <w:pPr>
        <w:pStyle w:val="Quotetext"/>
        <w:ind w:left="0"/>
      </w:pPr>
    </w:p>
    <w:sectPr w:rsidR="00EB4BC7" w:rsidSect="002C5B7C">
      <w:headerReference w:type="even" r:id="rId41"/>
      <w:headerReference w:type="default" r:id="rId42"/>
      <w:footerReference w:type="even" r:id="rId43"/>
      <w:footerReference w:type="default" r:id="rId44"/>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0D93F" w14:textId="77777777" w:rsidR="005949B7" w:rsidRDefault="005949B7">
      <w:r>
        <w:separator/>
      </w:r>
    </w:p>
    <w:p w14:paraId="01CAFD1D" w14:textId="77777777" w:rsidR="005949B7" w:rsidRDefault="005949B7"/>
  </w:endnote>
  <w:endnote w:type="continuationSeparator" w:id="0">
    <w:p w14:paraId="7F6FAE6D" w14:textId="77777777" w:rsidR="005949B7" w:rsidRDefault="005949B7">
      <w:r>
        <w:continuationSeparator/>
      </w:r>
    </w:p>
    <w:p w14:paraId="7A83838E" w14:textId="77777777" w:rsidR="005949B7" w:rsidRDefault="00594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752E8" w14:textId="77777777" w:rsidR="00EB4BC7" w:rsidRDefault="00EB4BC7">
    <w:pPr>
      <w:pStyle w:val="Footer"/>
    </w:pPr>
    <w:r>
      <w:rPr>
        <w:noProof/>
      </w:rPr>
      <mc:AlternateContent>
        <mc:Choice Requires="wps">
          <w:drawing>
            <wp:anchor distT="0" distB="0" distL="114300" distR="114300" simplePos="0" relativeHeight="251654656" behindDoc="0" locked="0" layoutInCell="0" allowOverlap="1" wp14:anchorId="07000D64" wp14:editId="280E656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1A2A18"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000D64"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4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1C1A2A18"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C7E29" w14:textId="77777777" w:rsidR="00431A70" w:rsidRDefault="00EB4BC7">
    <w:pPr>
      <w:pStyle w:val="Footer"/>
    </w:pPr>
    <w:r>
      <w:rPr>
        <w:noProof/>
        <w:lang w:eastAsia="en-AU"/>
      </w:rPr>
      <mc:AlternateContent>
        <mc:Choice Requires="wps">
          <w:drawing>
            <wp:anchor distT="0" distB="0" distL="114300" distR="114300" simplePos="0" relativeHeight="251652608" behindDoc="0" locked="0" layoutInCell="0" allowOverlap="1" wp14:anchorId="4B561E54" wp14:editId="41D64F89">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0235BB"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561E54"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26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70235BB"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EAF25" w14:textId="77777777" w:rsidR="00EB4BC7" w:rsidRDefault="00EB4BC7">
    <w:pPr>
      <w:pStyle w:val="Footer"/>
    </w:pPr>
    <w:r>
      <w:rPr>
        <w:noProof/>
      </w:rPr>
      <mc:AlternateContent>
        <mc:Choice Requires="wps">
          <w:drawing>
            <wp:anchor distT="0" distB="0" distL="114300" distR="114300" simplePos="0" relativeHeight="251653632" behindDoc="0" locked="0" layoutInCell="0" allowOverlap="1" wp14:anchorId="55B61E80" wp14:editId="46BCE546">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629E0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B61E80"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36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1629E0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C567E" w14:textId="77777777" w:rsidR="00431A70" w:rsidRDefault="00EB4BC7">
    <w:pPr>
      <w:pStyle w:val="Footer"/>
    </w:pPr>
    <w:r>
      <w:rPr>
        <w:noProof/>
      </w:rPr>
      <mc:AlternateContent>
        <mc:Choice Requires="wps">
          <w:drawing>
            <wp:anchor distT="0" distB="0" distL="114300" distR="114300" simplePos="0" relativeHeight="251655680" behindDoc="0" locked="0" layoutInCell="0" allowOverlap="1" wp14:anchorId="57B480ED" wp14:editId="42C2DD6A">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AA8A7D"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B480ED"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66AA8A7D"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EBBEC" w14:textId="77777777" w:rsidR="00D63636" w:rsidRDefault="00544135">
    <w:pPr>
      <w:pStyle w:val="Footer"/>
    </w:pPr>
    <w:r>
      <w:rPr>
        <w:noProof/>
        <w:lang w:eastAsia="en-AU"/>
      </w:rPr>
      <w:drawing>
        <wp:anchor distT="0" distB="0" distL="114300" distR="114300" simplePos="0" relativeHeight="251658752" behindDoc="1" locked="1" layoutInCell="1" allowOverlap="1" wp14:anchorId="1513D7DA" wp14:editId="354C739A">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57728" behindDoc="0" locked="0" layoutInCell="0" allowOverlap="1" wp14:anchorId="50FBB7A2" wp14:editId="63C08FC6">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7B4CA5"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FBB7A2"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17B4CA5"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D406C" w14:textId="77777777" w:rsidR="00431A70" w:rsidRDefault="00EB4BC7">
    <w:pPr>
      <w:pStyle w:val="Footer"/>
    </w:pPr>
    <w:r>
      <w:rPr>
        <w:noProof/>
        <w:lang w:eastAsia="en-AU"/>
      </w:rPr>
      <mc:AlternateContent>
        <mc:Choice Requires="wps">
          <w:drawing>
            <wp:anchor distT="0" distB="0" distL="114300" distR="114300" simplePos="0" relativeHeight="251656704" behindDoc="0" locked="0" layoutInCell="0" allowOverlap="1" wp14:anchorId="6D589B88" wp14:editId="7B53B33A">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8E345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589B88"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0E8E345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9776" behindDoc="1" locked="1" layoutInCell="1" allowOverlap="1" wp14:anchorId="550FBDF7" wp14:editId="57F79D59">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E75B9" w14:textId="77777777" w:rsidR="005949B7" w:rsidRDefault="005949B7" w:rsidP="00207717">
      <w:pPr>
        <w:spacing w:before="120"/>
      </w:pPr>
      <w:r>
        <w:separator/>
      </w:r>
    </w:p>
  </w:footnote>
  <w:footnote w:type="continuationSeparator" w:id="0">
    <w:p w14:paraId="690BB77F" w14:textId="77777777" w:rsidR="005949B7" w:rsidRDefault="005949B7">
      <w:r>
        <w:continuationSeparator/>
      </w:r>
    </w:p>
    <w:p w14:paraId="018B7C73" w14:textId="77777777" w:rsidR="005949B7" w:rsidRDefault="005949B7"/>
  </w:footnote>
  <w:footnote w:id="1">
    <w:p w14:paraId="1B214FD7" w14:textId="3D2B0242" w:rsidR="00F74C99" w:rsidRDefault="00F74C99" w:rsidP="00F74C99">
      <w:pPr>
        <w:pStyle w:val="FootnoteText"/>
      </w:pPr>
      <w:r>
        <w:rPr>
          <w:rStyle w:val="FootnoteReference"/>
        </w:rPr>
        <w:footnoteRef/>
      </w:r>
      <w:r>
        <w:t xml:space="preserve"> Training requirements for Addiction Medicine Specialists are beyond the scope of this guideline. Eligibility to prescribe</w:t>
      </w:r>
      <w:r w:rsidR="003913FF">
        <w:t>/administer</w:t>
      </w:r>
      <w:r>
        <w:t xml:space="preserve"> pharmacotherapy is established through completion of a speciality training program.</w:t>
      </w:r>
    </w:p>
  </w:footnote>
  <w:footnote w:id="2">
    <w:p w14:paraId="4C38443F" w14:textId="77777777" w:rsidR="00F74C99" w:rsidRDefault="00F74C99" w:rsidP="00F74C99">
      <w:pPr>
        <w:pStyle w:val="FootnoteText"/>
      </w:pPr>
      <w:r>
        <w:rPr>
          <w:rStyle w:val="FootnoteReference"/>
        </w:rPr>
        <w:footnoteRef/>
      </w:r>
      <w:r>
        <w:t xml:space="preserve"> Example kit </w:t>
      </w:r>
      <w:hyperlink r:id="rId1" w:history="1">
        <w:r>
          <w:rPr>
            <w:rStyle w:val="Hyperlink"/>
          </w:rPr>
          <w:t>https://immunisationhandbook.health.gov.au/resources/publications/preparing-an-anaphylaxis-response-kit</w:t>
        </w:r>
      </w:hyperlink>
    </w:p>
  </w:footnote>
  <w:footnote w:id="3">
    <w:p w14:paraId="259EF2AA" w14:textId="77777777" w:rsidR="00F74C99" w:rsidRDefault="00F74C99" w:rsidP="00F74C99">
      <w:pPr>
        <w:pStyle w:val="FootnoteText"/>
      </w:pPr>
      <w:r>
        <w:rPr>
          <w:rStyle w:val="FootnoteReference"/>
        </w:rPr>
        <w:footnoteRef/>
      </w:r>
      <w:r>
        <w:t xml:space="preserve"> Example protocol </w:t>
      </w:r>
      <w:hyperlink r:id="rId2" w:history="1">
        <w:r>
          <w:rPr>
            <w:rStyle w:val="Hyperlink"/>
          </w:rPr>
          <w:t>https://www.nps.org.au/australian-prescriber/articles/anaphylaxis-emergency-management-for-health-professionals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51656" w14:textId="77777777" w:rsidR="001929E7" w:rsidRDefault="001929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A5A3B" w14:textId="77777777" w:rsidR="001929E7" w:rsidRDefault="001929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EF76A" w14:textId="77777777" w:rsidR="001929E7" w:rsidRDefault="001929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35EAB" w14:textId="152A0C5A" w:rsidR="00431A70" w:rsidRDefault="00C60411">
    <w:pPr>
      <w:pStyle w:val="Header"/>
    </w:pPr>
    <w:r w:rsidRPr="00DE6C85">
      <w:rPr>
        <w:b/>
        <w:bCs/>
      </w:rPr>
      <w:fldChar w:fldCharType="begin"/>
    </w:r>
    <w:r w:rsidRPr="00DE6C85">
      <w:rPr>
        <w:b/>
        <w:bCs/>
      </w:rPr>
      <w:instrText xml:space="preserve"> PAGE </w:instrText>
    </w:r>
    <w:r w:rsidRPr="00DE6C85">
      <w:rPr>
        <w:b/>
        <w:bCs/>
      </w:rPr>
      <w:fldChar w:fldCharType="separate"/>
    </w:r>
    <w:r w:rsidR="119EF856">
      <w:rPr>
        <w:b/>
        <w:bCs/>
      </w:rPr>
      <w:t>11</w:t>
    </w:r>
    <w:r w:rsidRPr="00DE6C85">
      <w:rPr>
        <w:b/>
        <w:bCs/>
      </w:rPr>
      <w:fldChar w:fldCharType="end"/>
    </w:r>
    <w:r w:rsidR="00FD1751">
      <w:rPr>
        <w:b/>
        <w:bCs/>
        <w:noProof/>
      </w:rPr>
      <w:drawing>
        <wp:anchor distT="0" distB="0" distL="114300" distR="114300" simplePos="0" relativeHeight="251660800" behindDoc="1" locked="1" layoutInCell="1" allowOverlap="1" wp14:anchorId="48B4F2C4" wp14:editId="60D21913">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119EF856">
      <w:t>Long-acting injectable buprenorphine policy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5A4BC" w14:textId="74BF64D4" w:rsidR="00562811" w:rsidRPr="0051568D" w:rsidRDefault="00FD1751" w:rsidP="0017674D">
    <w:pPr>
      <w:pStyle w:val="Header"/>
    </w:pPr>
    <w:r>
      <w:rPr>
        <w:noProof/>
      </w:rPr>
      <w:drawing>
        <wp:anchor distT="0" distB="0" distL="114300" distR="114300" simplePos="0" relativeHeight="251661824" behindDoc="1" locked="1" layoutInCell="1" allowOverlap="1" wp14:anchorId="7718DFDE" wp14:editId="10512C0E">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119EF856">
      <w:t>Long-acting injectable buprenorphine policy</w:t>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119EF856" w:rsidRPr="00DE6C85">
      <w:rPr>
        <w:b/>
        <w:bCs/>
      </w:rPr>
      <w:t>2</w:t>
    </w:r>
    <w:r w:rsidR="0056281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D2A8F2FE"/>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8312ECAA"/>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8AA4157C"/>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1AD0F0D0"/>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7B0871F4"/>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AB0A1B58"/>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18F00008"/>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DABE69B4"/>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8AB2475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4875F86"/>
    <w:multiLevelType w:val="hybridMultilevel"/>
    <w:tmpl w:val="772EC46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9D1EC9"/>
    <w:multiLevelType w:val="hybridMultilevel"/>
    <w:tmpl w:val="BF6E5F7A"/>
    <w:lvl w:ilvl="0" w:tplc="2DBCD01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85FA4614">
      <w:numFmt w:val="bullet"/>
      <w:lvlText w:val="-"/>
      <w:lvlJc w:val="left"/>
      <w:pPr>
        <w:ind w:left="2340" w:hanging="360"/>
      </w:pPr>
      <w:rPr>
        <w:rFonts w:ascii="Arial" w:eastAsia="Times" w:hAnsi="Arial" w:cs="Arial" w:hint="default"/>
      </w:rPr>
    </w:lvl>
    <w:lvl w:ilvl="3" w:tplc="6A5EF642">
      <w:start w:val="1"/>
      <w:numFmt w:val="decimal"/>
      <w:lvlText w:val="%4."/>
      <w:lvlJc w:val="left"/>
      <w:pPr>
        <w:ind w:left="2880" w:hanging="360"/>
      </w:pPr>
      <w:rPr>
        <w:rFonts w:hint="default"/>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D51B47"/>
    <w:multiLevelType w:val="multilevel"/>
    <w:tmpl w:val="4B4E7622"/>
    <w:numStyleLink w:val="ZZNumbers"/>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8723F2D"/>
    <w:multiLevelType w:val="hybridMultilevel"/>
    <w:tmpl w:val="F09634A0"/>
    <w:lvl w:ilvl="0" w:tplc="A9801D5E">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hybridMultilevel"/>
    <w:tmpl w:val="986E24B0"/>
    <w:styleLink w:val="ZZNumberslowerroman"/>
    <w:lvl w:ilvl="0" w:tplc="64127C02">
      <w:start w:val="1"/>
      <w:numFmt w:val="lowerRoman"/>
      <w:pStyle w:val="Numberlowerroman"/>
      <w:lvlText w:val="(%1)"/>
      <w:lvlJc w:val="left"/>
      <w:pPr>
        <w:tabs>
          <w:tab w:val="num" w:pos="397"/>
        </w:tabs>
        <w:ind w:left="397" w:hanging="397"/>
      </w:pPr>
      <w:rPr>
        <w:rFonts w:hint="default"/>
      </w:rPr>
    </w:lvl>
    <w:lvl w:ilvl="1" w:tplc="EF80A23E">
      <w:start w:val="1"/>
      <w:numFmt w:val="lowerRoman"/>
      <w:pStyle w:val="Numberlowerromanindent"/>
      <w:lvlText w:val="(%2)"/>
      <w:lvlJc w:val="left"/>
      <w:pPr>
        <w:tabs>
          <w:tab w:val="num" w:pos="794"/>
        </w:tabs>
        <w:ind w:left="794" w:hanging="397"/>
      </w:pPr>
      <w:rPr>
        <w:rFonts w:hint="default"/>
      </w:rPr>
    </w:lvl>
    <w:lvl w:ilvl="2" w:tplc="9D94E18A">
      <w:start w:val="1"/>
      <w:numFmt w:val="none"/>
      <w:lvlRestart w:val="0"/>
      <w:lvlText w:val=""/>
      <w:lvlJc w:val="left"/>
      <w:pPr>
        <w:ind w:left="0" w:firstLine="0"/>
      </w:pPr>
      <w:rPr>
        <w:rFonts w:hint="default"/>
      </w:rPr>
    </w:lvl>
    <w:lvl w:ilvl="3" w:tplc="EAC0631C">
      <w:start w:val="1"/>
      <w:numFmt w:val="none"/>
      <w:lvlRestart w:val="0"/>
      <w:lvlText w:val=""/>
      <w:lvlJc w:val="left"/>
      <w:pPr>
        <w:ind w:left="0" w:firstLine="0"/>
      </w:pPr>
      <w:rPr>
        <w:rFonts w:hint="default"/>
      </w:rPr>
    </w:lvl>
    <w:lvl w:ilvl="4" w:tplc="BCD0F172">
      <w:start w:val="1"/>
      <w:numFmt w:val="none"/>
      <w:lvlRestart w:val="0"/>
      <w:lvlText w:val=""/>
      <w:lvlJc w:val="left"/>
      <w:pPr>
        <w:ind w:left="0" w:firstLine="0"/>
      </w:pPr>
      <w:rPr>
        <w:rFonts w:hint="default"/>
      </w:rPr>
    </w:lvl>
    <w:lvl w:ilvl="5" w:tplc="381C01A4">
      <w:start w:val="1"/>
      <w:numFmt w:val="none"/>
      <w:lvlRestart w:val="0"/>
      <w:lvlText w:val=""/>
      <w:lvlJc w:val="left"/>
      <w:pPr>
        <w:ind w:left="0" w:firstLine="0"/>
      </w:pPr>
      <w:rPr>
        <w:rFonts w:hint="default"/>
      </w:rPr>
    </w:lvl>
    <w:lvl w:ilvl="6" w:tplc="2F6CB2E4">
      <w:start w:val="1"/>
      <w:numFmt w:val="none"/>
      <w:lvlRestart w:val="0"/>
      <w:lvlText w:val=""/>
      <w:lvlJc w:val="left"/>
      <w:pPr>
        <w:ind w:left="0" w:firstLine="0"/>
      </w:pPr>
      <w:rPr>
        <w:rFonts w:hint="default"/>
      </w:rPr>
    </w:lvl>
    <w:lvl w:ilvl="7" w:tplc="6D442EA8">
      <w:start w:val="1"/>
      <w:numFmt w:val="none"/>
      <w:lvlRestart w:val="0"/>
      <w:lvlText w:val=""/>
      <w:lvlJc w:val="left"/>
      <w:pPr>
        <w:ind w:left="0" w:firstLine="0"/>
      </w:pPr>
      <w:rPr>
        <w:rFonts w:hint="default"/>
      </w:rPr>
    </w:lvl>
    <w:lvl w:ilvl="8" w:tplc="5DA637D4">
      <w:start w:val="1"/>
      <w:numFmt w:val="none"/>
      <w:lvlRestart w:val="0"/>
      <w:lvlText w:val=""/>
      <w:lvlJc w:val="left"/>
      <w:pPr>
        <w:ind w:left="0" w:firstLine="0"/>
      </w:pPr>
      <w:rPr>
        <w:rFonts w:hint="default"/>
      </w:rPr>
    </w:lvl>
  </w:abstractNum>
  <w:abstractNum w:abstractNumId="24" w15:restartNumberingAfterBreak="0">
    <w:nsid w:val="41D972C6"/>
    <w:multiLevelType w:val="hybridMultilevel"/>
    <w:tmpl w:val="B4BACC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1A7012"/>
    <w:multiLevelType w:val="hybridMultilevel"/>
    <w:tmpl w:val="4FBC38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ECF26C8"/>
    <w:multiLevelType w:val="hybridMultilevel"/>
    <w:tmpl w:val="0F86F7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41611C2"/>
    <w:multiLevelType w:val="hybridMultilevel"/>
    <w:tmpl w:val="350ED9F2"/>
    <w:styleLink w:val="ZZTablebullets"/>
    <w:lvl w:ilvl="0" w:tplc="A30EEA60">
      <w:start w:val="1"/>
      <w:numFmt w:val="bullet"/>
      <w:pStyle w:val="Tablebullet1"/>
      <w:lvlText w:val="•"/>
      <w:lvlJc w:val="left"/>
      <w:pPr>
        <w:ind w:left="227" w:hanging="227"/>
      </w:pPr>
      <w:rPr>
        <w:rFonts w:ascii="Calibri" w:hAnsi="Calibri" w:hint="default"/>
      </w:rPr>
    </w:lvl>
    <w:lvl w:ilvl="1" w:tplc="EE92E8B0">
      <w:start w:val="1"/>
      <w:numFmt w:val="bullet"/>
      <w:lvlRestart w:val="0"/>
      <w:pStyle w:val="Tablebullet2"/>
      <w:lvlText w:val="–"/>
      <w:lvlJc w:val="left"/>
      <w:pPr>
        <w:tabs>
          <w:tab w:val="num" w:pos="227"/>
        </w:tabs>
        <w:ind w:left="454" w:hanging="227"/>
      </w:pPr>
      <w:rPr>
        <w:rFonts w:ascii="Calibri" w:hAnsi="Calibri" w:hint="default"/>
      </w:rPr>
    </w:lvl>
    <w:lvl w:ilvl="2" w:tplc="368E4E3A">
      <w:start w:val="1"/>
      <w:numFmt w:val="none"/>
      <w:lvlRestart w:val="0"/>
      <w:lvlText w:val=""/>
      <w:lvlJc w:val="left"/>
      <w:pPr>
        <w:ind w:left="0" w:firstLine="0"/>
      </w:pPr>
      <w:rPr>
        <w:rFonts w:hint="default"/>
      </w:rPr>
    </w:lvl>
    <w:lvl w:ilvl="3" w:tplc="72D02724">
      <w:start w:val="1"/>
      <w:numFmt w:val="none"/>
      <w:lvlRestart w:val="0"/>
      <w:lvlText w:val=""/>
      <w:lvlJc w:val="left"/>
      <w:pPr>
        <w:ind w:left="0" w:firstLine="0"/>
      </w:pPr>
      <w:rPr>
        <w:rFonts w:hint="default"/>
      </w:rPr>
    </w:lvl>
    <w:lvl w:ilvl="4" w:tplc="FF6A39E4">
      <w:start w:val="1"/>
      <w:numFmt w:val="none"/>
      <w:lvlRestart w:val="0"/>
      <w:lvlText w:val=""/>
      <w:lvlJc w:val="left"/>
      <w:pPr>
        <w:ind w:left="0" w:firstLine="0"/>
      </w:pPr>
      <w:rPr>
        <w:rFonts w:hint="default"/>
      </w:rPr>
    </w:lvl>
    <w:lvl w:ilvl="5" w:tplc="4FE0CCA8">
      <w:start w:val="1"/>
      <w:numFmt w:val="none"/>
      <w:lvlRestart w:val="0"/>
      <w:lvlText w:val=""/>
      <w:lvlJc w:val="left"/>
      <w:pPr>
        <w:ind w:left="0" w:firstLine="0"/>
      </w:pPr>
      <w:rPr>
        <w:rFonts w:hint="default"/>
      </w:rPr>
    </w:lvl>
    <w:lvl w:ilvl="6" w:tplc="E362CED8">
      <w:start w:val="1"/>
      <w:numFmt w:val="none"/>
      <w:lvlRestart w:val="0"/>
      <w:lvlText w:val=""/>
      <w:lvlJc w:val="left"/>
      <w:pPr>
        <w:ind w:left="0" w:firstLine="0"/>
      </w:pPr>
      <w:rPr>
        <w:rFonts w:hint="default"/>
      </w:rPr>
    </w:lvl>
    <w:lvl w:ilvl="7" w:tplc="BCE67400">
      <w:start w:val="1"/>
      <w:numFmt w:val="none"/>
      <w:lvlRestart w:val="0"/>
      <w:lvlText w:val=""/>
      <w:lvlJc w:val="left"/>
      <w:pPr>
        <w:ind w:left="0" w:firstLine="0"/>
      </w:pPr>
      <w:rPr>
        <w:rFonts w:hint="default"/>
      </w:rPr>
    </w:lvl>
    <w:lvl w:ilvl="8" w:tplc="99282834">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909C206E"/>
    <w:styleLink w:val="ZZBullets"/>
    <w:lvl w:ilvl="0">
      <w:start w:val="1"/>
      <w:numFmt w:val="bullet"/>
      <w:pStyle w:val="Bullet1"/>
      <w:lvlText w:val="•"/>
      <w:lvlJc w:val="left"/>
      <w:pPr>
        <w:ind w:left="284" w:hanging="284"/>
      </w:pPr>
      <w:rPr>
        <w:rFonts w:ascii="Calibri" w:hAnsi="Calibri" w:hint="default"/>
      </w:rPr>
    </w:lvl>
    <w:lvl w:ilvl="1">
      <w:start w:val="1"/>
      <w:numFmt w:val="bullet"/>
      <w:pStyle w:val="Bullet2"/>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97D4BFA"/>
    <w:multiLevelType w:val="hybridMultilevel"/>
    <w:tmpl w:val="522CD4C4"/>
    <w:lvl w:ilvl="0" w:tplc="15EAF7F0">
      <w:start w:val="1"/>
      <w:numFmt w:val="lowerLetter"/>
      <w:lvlText w:val="(%1)"/>
      <w:lvlJc w:val="left"/>
      <w:pPr>
        <w:ind w:left="644" w:hanging="360"/>
      </w:pPr>
      <w:rPr>
        <w:rFonts w:hint="default"/>
      </w:rPr>
    </w:lvl>
    <w:lvl w:ilvl="1" w:tplc="0C09001B">
      <w:start w:val="1"/>
      <w:numFmt w:val="lowerRoman"/>
      <w:lvlText w:val="%2."/>
      <w:lvlJc w:val="righ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DEE7382"/>
    <w:multiLevelType w:val="hybridMultilevel"/>
    <w:tmpl w:val="9A10EECA"/>
    <w:lvl w:ilvl="0" w:tplc="A9801D5E">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687607">
    <w:abstractNumId w:val="10"/>
  </w:num>
  <w:num w:numId="2" w16cid:durableId="1361009287">
    <w:abstractNumId w:val="22"/>
  </w:num>
  <w:num w:numId="3" w16cid:durableId="20408177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93029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74072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53347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6553104">
    <w:abstractNumId w:val="29"/>
  </w:num>
  <w:num w:numId="8" w16cid:durableId="1723289672">
    <w:abstractNumId w:val="19"/>
  </w:num>
  <w:num w:numId="9" w16cid:durableId="281150246">
    <w:abstractNumId w:val="28"/>
  </w:num>
  <w:num w:numId="10" w16cid:durableId="5887816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4464917">
    <w:abstractNumId w:val="31"/>
  </w:num>
  <w:num w:numId="12" w16cid:durableId="15930072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0603554">
    <w:abstractNumId w:val="23"/>
  </w:num>
  <w:num w:numId="14" w16cid:durableId="15875743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90652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7577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83558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7359930">
    <w:abstractNumId w:val="33"/>
  </w:num>
  <w:num w:numId="19" w16cid:durableId="9001673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3737677">
    <w:abstractNumId w:val="15"/>
  </w:num>
  <w:num w:numId="21" w16cid:durableId="1907184313">
    <w:abstractNumId w:val="12"/>
  </w:num>
  <w:num w:numId="22" w16cid:durableId="1753696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8807551">
    <w:abstractNumId w:val="16"/>
  </w:num>
  <w:num w:numId="24" w16cid:durableId="2056151647">
    <w:abstractNumId w:val="34"/>
  </w:num>
  <w:num w:numId="25" w16cid:durableId="1648516297">
    <w:abstractNumId w:val="32"/>
  </w:num>
  <w:num w:numId="26" w16cid:durableId="1700005919">
    <w:abstractNumId w:val="25"/>
  </w:num>
  <w:num w:numId="27" w16cid:durableId="1928073604">
    <w:abstractNumId w:val="11"/>
  </w:num>
  <w:num w:numId="28" w16cid:durableId="692347233">
    <w:abstractNumId w:val="35"/>
  </w:num>
  <w:num w:numId="29" w16cid:durableId="1131704722">
    <w:abstractNumId w:val="9"/>
  </w:num>
  <w:num w:numId="30" w16cid:durableId="1015498736">
    <w:abstractNumId w:val="7"/>
  </w:num>
  <w:num w:numId="31" w16cid:durableId="917860383">
    <w:abstractNumId w:val="6"/>
  </w:num>
  <w:num w:numId="32" w16cid:durableId="306864028">
    <w:abstractNumId w:val="5"/>
  </w:num>
  <w:num w:numId="33" w16cid:durableId="1583106294">
    <w:abstractNumId w:val="4"/>
  </w:num>
  <w:num w:numId="34" w16cid:durableId="1970939814">
    <w:abstractNumId w:val="8"/>
  </w:num>
  <w:num w:numId="35" w16cid:durableId="1184127430">
    <w:abstractNumId w:val="3"/>
  </w:num>
  <w:num w:numId="36" w16cid:durableId="1559167018">
    <w:abstractNumId w:val="2"/>
  </w:num>
  <w:num w:numId="37" w16cid:durableId="1506937382">
    <w:abstractNumId w:val="1"/>
  </w:num>
  <w:num w:numId="38" w16cid:durableId="828131831">
    <w:abstractNumId w:val="0"/>
  </w:num>
  <w:num w:numId="39" w16cid:durableId="12075989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16713323">
    <w:abstractNumId w:val="21"/>
  </w:num>
  <w:num w:numId="41" w16cid:durableId="1361273316">
    <w:abstractNumId w:val="18"/>
  </w:num>
  <w:num w:numId="42" w16cid:durableId="15245900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8501390">
    <w:abstractNumId w:val="13"/>
  </w:num>
  <w:num w:numId="44" w16cid:durableId="1997146383">
    <w:abstractNumId w:val="36"/>
  </w:num>
  <w:num w:numId="45" w16cid:durableId="1885290535">
    <w:abstractNumId w:val="20"/>
  </w:num>
  <w:num w:numId="46" w16cid:durableId="722489320">
    <w:abstractNumId w:val="30"/>
  </w:num>
  <w:num w:numId="47" w16cid:durableId="1847865388">
    <w:abstractNumId w:val="17"/>
  </w:num>
  <w:num w:numId="48" w16cid:durableId="1506632037">
    <w:abstractNumId w:val="26"/>
  </w:num>
  <w:num w:numId="49" w16cid:durableId="146165238">
    <w:abstractNumId w:val="27"/>
  </w:num>
  <w:num w:numId="50" w16cid:durableId="1513035951">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99"/>
    <w:rsid w:val="00000719"/>
    <w:rsid w:val="00002D68"/>
    <w:rsid w:val="000033F7"/>
    <w:rsid w:val="00003403"/>
    <w:rsid w:val="00005347"/>
    <w:rsid w:val="000072B6"/>
    <w:rsid w:val="0001021B"/>
    <w:rsid w:val="00011D89"/>
    <w:rsid w:val="000154FD"/>
    <w:rsid w:val="00022271"/>
    <w:rsid w:val="000231EA"/>
    <w:rsid w:val="000235E8"/>
    <w:rsid w:val="00024D89"/>
    <w:rsid w:val="000250B6"/>
    <w:rsid w:val="00030CDD"/>
    <w:rsid w:val="00033D81"/>
    <w:rsid w:val="00033DC9"/>
    <w:rsid w:val="00037366"/>
    <w:rsid w:val="00041BF0"/>
    <w:rsid w:val="00042C8A"/>
    <w:rsid w:val="00045262"/>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2F50"/>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9E7"/>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7304"/>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4A70"/>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5F9B"/>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46848"/>
    <w:rsid w:val="00350D38"/>
    <w:rsid w:val="00351B36"/>
    <w:rsid w:val="00357B4E"/>
    <w:rsid w:val="003716FD"/>
    <w:rsid w:val="0037204B"/>
    <w:rsid w:val="003744CF"/>
    <w:rsid w:val="00374717"/>
    <w:rsid w:val="0037676C"/>
    <w:rsid w:val="00381043"/>
    <w:rsid w:val="003829E5"/>
    <w:rsid w:val="00386109"/>
    <w:rsid w:val="00386944"/>
    <w:rsid w:val="003913FF"/>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2A4"/>
    <w:rsid w:val="003F5CB9"/>
    <w:rsid w:val="004013C7"/>
    <w:rsid w:val="00401FCF"/>
    <w:rsid w:val="00406285"/>
    <w:rsid w:val="004115A2"/>
    <w:rsid w:val="004148F9"/>
    <w:rsid w:val="0042084E"/>
    <w:rsid w:val="00421EEF"/>
    <w:rsid w:val="00424D65"/>
    <w:rsid w:val="0042655E"/>
    <w:rsid w:val="00430393"/>
    <w:rsid w:val="00431806"/>
    <w:rsid w:val="00431A70"/>
    <w:rsid w:val="00431F42"/>
    <w:rsid w:val="004421A0"/>
    <w:rsid w:val="00442C6C"/>
    <w:rsid w:val="00443CBE"/>
    <w:rsid w:val="00443E8A"/>
    <w:rsid w:val="004441BC"/>
    <w:rsid w:val="004468B4"/>
    <w:rsid w:val="00446D86"/>
    <w:rsid w:val="0045230A"/>
    <w:rsid w:val="00454AD0"/>
    <w:rsid w:val="00457337"/>
    <w:rsid w:val="00461DC0"/>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45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60C6"/>
    <w:rsid w:val="0058757E"/>
    <w:rsid w:val="005949B7"/>
    <w:rsid w:val="00596A4B"/>
    <w:rsid w:val="00597507"/>
    <w:rsid w:val="005A479D"/>
    <w:rsid w:val="005A5D08"/>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6803"/>
    <w:rsid w:val="006C4F2C"/>
    <w:rsid w:val="006D0F16"/>
    <w:rsid w:val="006D2A3F"/>
    <w:rsid w:val="006D2FBC"/>
    <w:rsid w:val="006D6E34"/>
    <w:rsid w:val="006E138B"/>
    <w:rsid w:val="006E1867"/>
    <w:rsid w:val="006F0330"/>
    <w:rsid w:val="006F1FDC"/>
    <w:rsid w:val="006F6B8C"/>
    <w:rsid w:val="007013EF"/>
    <w:rsid w:val="00701E18"/>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47423"/>
    <w:rsid w:val="00747548"/>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814"/>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1ED2"/>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ACC"/>
    <w:rsid w:val="00894BC4"/>
    <w:rsid w:val="00896890"/>
    <w:rsid w:val="008A28A8"/>
    <w:rsid w:val="008A5B32"/>
    <w:rsid w:val="008B2029"/>
    <w:rsid w:val="008B2EE4"/>
    <w:rsid w:val="008B3821"/>
    <w:rsid w:val="008B4D3D"/>
    <w:rsid w:val="008B57C7"/>
    <w:rsid w:val="008C2F92"/>
    <w:rsid w:val="008C3546"/>
    <w:rsid w:val="008C4FD7"/>
    <w:rsid w:val="008C589D"/>
    <w:rsid w:val="008C6D51"/>
    <w:rsid w:val="008C7679"/>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3088"/>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B7E5C"/>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0E55"/>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1CC2"/>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B7A10"/>
    <w:rsid w:val="00BC0341"/>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3E27"/>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08DC"/>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0C6"/>
    <w:rsid w:val="00D714CC"/>
    <w:rsid w:val="00D75EA7"/>
    <w:rsid w:val="00D81ADF"/>
    <w:rsid w:val="00D81F21"/>
    <w:rsid w:val="00D864F2"/>
    <w:rsid w:val="00D943F8"/>
    <w:rsid w:val="00D95470"/>
    <w:rsid w:val="00D96B55"/>
    <w:rsid w:val="00DA2619"/>
    <w:rsid w:val="00DA4239"/>
    <w:rsid w:val="00DA588C"/>
    <w:rsid w:val="00DA65DE"/>
    <w:rsid w:val="00DB0B61"/>
    <w:rsid w:val="00DB1474"/>
    <w:rsid w:val="00DB2085"/>
    <w:rsid w:val="00DB2962"/>
    <w:rsid w:val="00DB52FB"/>
    <w:rsid w:val="00DB6A4A"/>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37FC"/>
    <w:rsid w:val="00E261B3"/>
    <w:rsid w:val="00E26818"/>
    <w:rsid w:val="00E27FFC"/>
    <w:rsid w:val="00E30B15"/>
    <w:rsid w:val="00E33237"/>
    <w:rsid w:val="00E40181"/>
    <w:rsid w:val="00E42AE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4C99"/>
    <w:rsid w:val="00F76CAB"/>
    <w:rsid w:val="00F772C6"/>
    <w:rsid w:val="00F815B5"/>
    <w:rsid w:val="00F84C73"/>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1751"/>
    <w:rsid w:val="00FD3766"/>
    <w:rsid w:val="00FD3D05"/>
    <w:rsid w:val="00FD47C4"/>
    <w:rsid w:val="00FE2DCF"/>
    <w:rsid w:val="00FE3FA7"/>
    <w:rsid w:val="00FE4081"/>
    <w:rsid w:val="00FF2A4E"/>
    <w:rsid w:val="00FF2FCE"/>
    <w:rsid w:val="00FF4F7D"/>
    <w:rsid w:val="00FF6D9D"/>
    <w:rsid w:val="00FF7620"/>
    <w:rsid w:val="00FF7DD5"/>
    <w:rsid w:val="01CD06F4"/>
    <w:rsid w:val="08DD2DE2"/>
    <w:rsid w:val="0A78FE43"/>
    <w:rsid w:val="119EF856"/>
    <w:rsid w:val="1D27A19B"/>
    <w:rsid w:val="1DDB950E"/>
    <w:rsid w:val="1E72F954"/>
    <w:rsid w:val="20633ADC"/>
    <w:rsid w:val="21BED9AB"/>
    <w:rsid w:val="29620FB4"/>
    <w:rsid w:val="2CB66F40"/>
    <w:rsid w:val="3EC829CE"/>
    <w:rsid w:val="41D337FA"/>
    <w:rsid w:val="47301EBF"/>
    <w:rsid w:val="48703121"/>
    <w:rsid w:val="4ABBFC76"/>
    <w:rsid w:val="4E376537"/>
    <w:rsid w:val="5667244E"/>
    <w:rsid w:val="60DD1C55"/>
    <w:rsid w:val="683EE1B6"/>
    <w:rsid w:val="6899B394"/>
    <w:rsid w:val="69CCE06A"/>
    <w:rsid w:val="6C61B727"/>
    <w:rsid w:val="6E88591B"/>
    <w:rsid w:val="7F1890B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4C9750"/>
  <w15:docId w15:val="{06D012D8-B08D-4CD8-9FB3-D2B0296E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F74C99"/>
    <w:pPr>
      <w:spacing w:after="120" w:line="270" w:lineRule="atLeast"/>
    </w:pPr>
    <w:rPr>
      <w:rFonts w:ascii="Arial" w:eastAsia="Times" w:hAnsi="Arial"/>
      <w:lang w:eastAsia="en-US"/>
    </w:rPr>
  </w:style>
  <w:style w:type="paragraph" w:customStyle="1" w:styleId="DHHSbullet1">
    <w:name w:val="DHHS bullet 1"/>
    <w:basedOn w:val="DHHSbody"/>
    <w:qFormat/>
    <w:rsid w:val="00F74C99"/>
    <w:pPr>
      <w:spacing w:after="40"/>
      <w:ind w:left="284" w:hanging="284"/>
    </w:pPr>
  </w:style>
  <w:style w:type="paragraph" w:customStyle="1" w:styleId="DHHSnumberloweralpha">
    <w:name w:val="DHHS number lower alpha"/>
    <w:basedOn w:val="DHHSbody"/>
    <w:uiPriority w:val="3"/>
    <w:rsid w:val="00F74C99"/>
    <w:pPr>
      <w:numPr>
        <w:ilvl w:val="2"/>
        <w:numId w:val="41"/>
      </w:numPr>
    </w:pPr>
  </w:style>
  <w:style w:type="paragraph" w:customStyle="1" w:styleId="DHHSnumberloweralphaindent">
    <w:name w:val="DHHS number lower alpha indent"/>
    <w:basedOn w:val="DHHSbody"/>
    <w:uiPriority w:val="3"/>
    <w:rsid w:val="00F74C99"/>
    <w:pPr>
      <w:numPr>
        <w:ilvl w:val="3"/>
        <w:numId w:val="41"/>
      </w:numPr>
    </w:pPr>
  </w:style>
  <w:style w:type="paragraph" w:customStyle="1" w:styleId="DHHStablecaption">
    <w:name w:val="DHHS table caption"/>
    <w:next w:val="DHHSbody"/>
    <w:uiPriority w:val="3"/>
    <w:qFormat/>
    <w:rsid w:val="00F74C99"/>
    <w:pPr>
      <w:keepNext/>
      <w:keepLines/>
      <w:spacing w:before="240" w:after="120" w:line="240" w:lineRule="atLeast"/>
    </w:pPr>
    <w:rPr>
      <w:rFonts w:ascii="Arial" w:hAnsi="Arial"/>
      <w:b/>
      <w:lang w:eastAsia="en-US"/>
    </w:rPr>
  </w:style>
  <w:style w:type="paragraph" w:customStyle="1" w:styleId="DHHSbullet2">
    <w:name w:val="DHHS bullet 2"/>
    <w:basedOn w:val="DHHSbody"/>
    <w:uiPriority w:val="2"/>
    <w:qFormat/>
    <w:rsid w:val="00F74C99"/>
    <w:pPr>
      <w:spacing w:after="40"/>
      <w:ind w:left="567" w:hanging="283"/>
    </w:pPr>
  </w:style>
  <w:style w:type="paragraph" w:customStyle="1" w:styleId="DHHSnumberdigit">
    <w:name w:val="DHHS number digit"/>
    <w:basedOn w:val="DHHSbody"/>
    <w:uiPriority w:val="2"/>
    <w:rsid w:val="00F74C99"/>
    <w:pPr>
      <w:numPr>
        <w:numId w:val="41"/>
      </w:numPr>
    </w:pPr>
  </w:style>
  <w:style w:type="paragraph" w:customStyle="1" w:styleId="DHHSbullet1lastline">
    <w:name w:val="DHHS bullet 1 last line"/>
    <w:basedOn w:val="DHHSbullet1"/>
    <w:qFormat/>
    <w:rsid w:val="00F74C99"/>
    <w:pPr>
      <w:spacing w:after="120"/>
    </w:pPr>
  </w:style>
  <w:style w:type="paragraph" w:customStyle="1" w:styleId="DHHSbullet2lastline">
    <w:name w:val="DHHS bullet 2 last line"/>
    <w:basedOn w:val="DHHSbullet2"/>
    <w:uiPriority w:val="2"/>
    <w:qFormat/>
    <w:rsid w:val="00F74C99"/>
    <w:pPr>
      <w:spacing w:after="120"/>
    </w:pPr>
  </w:style>
  <w:style w:type="paragraph" w:customStyle="1" w:styleId="DHHStablebullet">
    <w:name w:val="DHHS table bullet"/>
    <w:basedOn w:val="Normal"/>
    <w:uiPriority w:val="3"/>
    <w:qFormat/>
    <w:rsid w:val="00F74C99"/>
    <w:pPr>
      <w:spacing w:before="80" w:after="60" w:line="240" w:lineRule="auto"/>
      <w:ind w:left="227" w:hanging="227"/>
    </w:pPr>
    <w:rPr>
      <w:sz w:val="20"/>
    </w:rPr>
  </w:style>
  <w:style w:type="paragraph" w:customStyle="1" w:styleId="DHHSbulletindent">
    <w:name w:val="DHHS bullet indent"/>
    <w:basedOn w:val="DHHSbody"/>
    <w:uiPriority w:val="4"/>
    <w:rsid w:val="00F74C99"/>
    <w:pPr>
      <w:spacing w:after="40"/>
      <w:ind w:left="680" w:hanging="283"/>
    </w:pPr>
  </w:style>
  <w:style w:type="paragraph" w:customStyle="1" w:styleId="DHHSbulletindentlastline">
    <w:name w:val="DHHS bullet indent last line"/>
    <w:basedOn w:val="DHHSbody"/>
    <w:uiPriority w:val="4"/>
    <w:rsid w:val="00F74C99"/>
    <w:pPr>
      <w:ind w:left="680" w:hanging="283"/>
    </w:pPr>
  </w:style>
  <w:style w:type="numbering" w:customStyle="1" w:styleId="ZZNumbers">
    <w:name w:val="ZZ Numbers"/>
    <w:rsid w:val="00F74C99"/>
    <w:pPr>
      <w:numPr>
        <w:numId w:val="40"/>
      </w:numPr>
    </w:pPr>
  </w:style>
  <w:style w:type="paragraph" w:customStyle="1" w:styleId="DHHSnumberlowerroman">
    <w:name w:val="DHHS number lower roman"/>
    <w:basedOn w:val="DHHSbody"/>
    <w:uiPriority w:val="3"/>
    <w:rsid w:val="00F74C99"/>
    <w:pPr>
      <w:numPr>
        <w:ilvl w:val="4"/>
        <w:numId w:val="41"/>
      </w:numPr>
    </w:pPr>
  </w:style>
  <w:style w:type="paragraph" w:customStyle="1" w:styleId="DHHSnumberlowerromanindent">
    <w:name w:val="DHHS number lower roman indent"/>
    <w:basedOn w:val="DHHSbody"/>
    <w:uiPriority w:val="3"/>
    <w:rsid w:val="00F74C99"/>
    <w:pPr>
      <w:numPr>
        <w:ilvl w:val="5"/>
        <w:numId w:val="41"/>
      </w:numPr>
    </w:pPr>
  </w:style>
  <w:style w:type="paragraph" w:customStyle="1" w:styleId="DHHSnumberdigitindent">
    <w:name w:val="DHHS number digit indent"/>
    <w:basedOn w:val="DHHSnumberloweralphaindent"/>
    <w:uiPriority w:val="3"/>
    <w:rsid w:val="00F74C99"/>
    <w:pPr>
      <w:numPr>
        <w:ilvl w:val="1"/>
      </w:numPr>
    </w:pPr>
  </w:style>
  <w:style w:type="paragraph" w:customStyle="1" w:styleId="DHHStabletext">
    <w:name w:val="DHHS table text"/>
    <w:uiPriority w:val="3"/>
    <w:qFormat/>
    <w:rsid w:val="00F74C99"/>
    <w:pPr>
      <w:spacing w:before="80" w:after="60"/>
    </w:pPr>
    <w:rPr>
      <w:rFonts w:ascii="Arial" w:hAnsi="Arial"/>
      <w:lang w:eastAsia="en-US"/>
    </w:rPr>
  </w:style>
  <w:style w:type="paragraph" w:customStyle="1" w:styleId="DHHStablecolhead">
    <w:name w:val="DHHS table col head"/>
    <w:uiPriority w:val="3"/>
    <w:qFormat/>
    <w:rsid w:val="00F74C99"/>
    <w:pPr>
      <w:spacing w:before="80" w:after="60"/>
    </w:pPr>
    <w:rPr>
      <w:rFonts w:ascii="Arial" w:hAnsi="Arial"/>
      <w:b/>
      <w:color w:val="201547"/>
      <w:lang w:eastAsia="en-US"/>
    </w:rPr>
  </w:style>
  <w:style w:type="character" w:customStyle="1" w:styleId="normaltextrun">
    <w:name w:val="normaltextrun"/>
    <w:basedOn w:val="DefaultParagraphFont"/>
    <w:rsid w:val="00F74C99"/>
  </w:style>
  <w:style w:type="character" w:customStyle="1" w:styleId="eop">
    <w:name w:val="eop"/>
    <w:basedOn w:val="DefaultParagraphFont"/>
    <w:rsid w:val="00F74C99"/>
  </w:style>
  <w:style w:type="paragraph" w:customStyle="1" w:styleId="paragraph">
    <w:name w:val="paragraph"/>
    <w:basedOn w:val="Normal"/>
    <w:rsid w:val="00F74C99"/>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72"/>
    <w:semiHidden/>
    <w:qFormat/>
    <w:rsid w:val="00B31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0369569">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283115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1230770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urldefense.proofpoint.com/v2/url?u=https-3A__www1.racgp.org.au_events_booking_registration-3Feventid-3DVIC2122-5F03&amp;d=DwMF-g&amp;c=JnBkUqWXzx2bz-3a05d47Q&amp;r=XDVp9OAHoxuZlYhcu9eUNBqm2Ml5K_HlGKBvj6pV1NufThDMAbAoac_LRabpiAOR&amp;m=qlzrLXlIBSOh6TtJxWngMWJcAlfFL5z2KYDJJ-2gLUQ&amp;s=Oyz6xY_Ap0hjcMuqgmj9WE8uN6MInARzOQO0uVxHBQM&amp;e=" TargetMode="External"/><Relationship Id="rId39" Type="http://schemas.openxmlformats.org/officeDocument/2006/relationships/hyperlink" Target="https://www2.health.vic.gov.au/public-health/drugs-and-poisons/pharmacotherapy/pharmacotherapy-policy-in-victoria" TargetMode="External"/><Relationship Id="rId3" Type="http://schemas.openxmlformats.org/officeDocument/2006/relationships/customXml" Target="../customXml/item3.xml"/><Relationship Id="rId21" Type="http://schemas.openxmlformats.org/officeDocument/2006/relationships/hyperlink" Target="https://www2.health.vic.gov.au/about/publications/policiesandguidelines/policy-for-maintenance-pharmacotherapy-for-opioid-dependence" TargetMode="External"/><Relationship Id="rId34" Type="http://schemas.openxmlformats.org/officeDocument/2006/relationships/hyperlink" Target="https://www.psa.org.au/practice-support-industry/victorian-opioid-pharmacotherapy-program/" TargetMode="External"/><Relationship Id="rId42"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urldefense.proofpoint.com/v2/url?u=https-3A__www1.racgp.org.au_events_booking_registration-3Feventid-3DVIC2021-5F29&amp;d=DwMF-g&amp;c=JnBkUqWXzx2bz-3a05d47Q&amp;r=XDVp9OAHoxuZlYhcu9eUNBqm2Ml5K_HlGKBvj6pV1NufThDMAbAoac_LRabpiAOR&amp;m=qlzrLXlIBSOh6TtJxWngMWJcAlfFL5z2KYDJJ-2gLUQ&amp;s=XM2xUIDpuJeSmioEwZhYlKRo4VCtzwEVVW7ze50fhlU&amp;e=" TargetMode="External"/><Relationship Id="rId33" Type="http://schemas.openxmlformats.org/officeDocument/2006/relationships/hyperlink" Target="https://www.pharmacyguild.edu.au/immunisation/" TargetMode="External"/><Relationship Id="rId38" Type="http://schemas.openxmlformats.org/officeDocument/2006/relationships/hyperlink" Target="https://forms.business.gov.au/smartforms/landing.htm?formCode=licence-or-permit-a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2.health.vic.gov.au/about/publications/policiesandguidelines/policy-for-maintenance-pharmacotherapy-for-opioid-dependence" TargetMode="External"/><Relationship Id="rId29" Type="http://schemas.openxmlformats.org/officeDocument/2006/relationships/hyperlink" Target="http://buvidal.com.au/"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1.racgp.org.au/events/booking/registration?eventid=VIC1617_86" TargetMode="External"/><Relationship Id="rId32" Type="http://schemas.openxmlformats.org/officeDocument/2006/relationships/hyperlink" Target="https://www.psa.org.au/practice-support-industry/programs/immunisation/" TargetMode="External"/><Relationship Id="rId37" Type="http://schemas.openxmlformats.org/officeDocument/2006/relationships/hyperlink" Target="https://forms.business.gov.au/smartforms/servlet/SmartForm.html?formCode=application-for-ort" TargetMode="External"/><Relationship Id="rId40" Type="http://schemas.openxmlformats.org/officeDocument/2006/relationships/hyperlink" Target="https://www2.health.vic.gov.au/public-health/drugs-and-poisons/documents-forms-print-or-download"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vimeo.com/739679556/b3af84fe7e?share=copy" TargetMode="External"/><Relationship Id="rId28" Type="http://schemas.openxmlformats.org/officeDocument/2006/relationships/hyperlink" Target="https://www.ebs.tga.gov.au/ebs/picmi/picmirepository.nsf/PICMI?OpenForm&amp;t=&amp;q=buprenorphine" TargetMode="External"/><Relationship Id="rId36" Type="http://schemas.openxmlformats.org/officeDocument/2006/relationships/hyperlink" Target="http://www.tga.gov.au/reporting-problems" TargetMode="External"/><Relationship Id="rId10" Type="http://schemas.openxmlformats.org/officeDocument/2006/relationships/endnotes" Target="endnotes.xml"/><Relationship Id="rId19" Type="http://schemas.openxmlformats.org/officeDocument/2006/relationships/hyperlink" Target="https://www2.health.vic.gov.au/public-health/drugs-and-poisons/pharmacotherapy" TargetMode="External"/><Relationship Id="rId31" Type="http://schemas.openxmlformats.org/officeDocument/2006/relationships/hyperlink" Target="https://www.psa.org.au/practice-support-industry/victorian-opioid-pharmacotherapy-program/" TargetMode="External"/><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buvidal.com.au/" TargetMode="External"/><Relationship Id="rId27" Type="http://schemas.openxmlformats.org/officeDocument/2006/relationships/hyperlink" Target="https://www.dacas.org.au/" TargetMode="External"/><Relationship Id="rId30" Type="http://schemas.openxmlformats.org/officeDocument/2006/relationships/hyperlink" Target="https://vimeo.com/739679556/b3af84fe7e?share=copy" TargetMode="External"/><Relationship Id="rId35" Type="http://schemas.openxmlformats.org/officeDocument/2006/relationships/hyperlink" Target="mailto:aod.enquiries@dhhs.vic.gov.au" TargetMode="External"/><Relationship Id="rId43" Type="http://schemas.openxmlformats.org/officeDocument/2006/relationships/footer" Target="footer5.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nps.org.au/australian-prescriber/articles/anaphylaxis-emergency-management-for-health-professionals" TargetMode="External"/><Relationship Id="rId1" Type="http://schemas.openxmlformats.org/officeDocument/2006/relationships/hyperlink" Target="https://immunisationhandbook.health.gov.au/resources/publications/preparing-an-anaphylaxis-response-kit"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F618E9F59464DBF3F0BF993FA354C" ma:contentTypeVersion="14" ma:contentTypeDescription="Create a new document." ma:contentTypeScope="" ma:versionID="3ff01750008edbda2bdf73b211d197d4">
  <xsd:schema xmlns:xsd="http://www.w3.org/2001/XMLSchema" xmlns:xs="http://www.w3.org/2001/XMLSchema" xmlns:p="http://schemas.microsoft.com/office/2006/metadata/properties" xmlns:ns2="19f7974c-0c34-49f0-9a2d-d02be9954bd9" xmlns:ns3="62f43d48-83d1-4cc5-8354-567fc18d73e0" targetNamespace="http://schemas.microsoft.com/office/2006/metadata/properties" ma:root="true" ma:fieldsID="601bb7d3d9f7a97473fb6e01f0554720" ns2:_="" ns3:_="">
    <xsd:import namespace="19f7974c-0c34-49f0-9a2d-d02be9954bd9"/>
    <xsd:import namespace="62f43d48-83d1-4cc5-8354-567fc18d73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7974c-0c34-49f0-9a2d-d02be9954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f43d48-83d1-4cc5-8354-567fc18d73e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add1658-900d-4f72-aa14-05b15e1c86d5}" ma:internalName="TaxCatchAll" ma:showField="CatchAllData" ma:web="62f43d48-83d1-4cc5-8354-567fc18d7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f43d48-83d1-4cc5-8354-567fc18d73e0" xsi:nil="true"/>
    <lcf76f155ced4ddcb4097134ff3c332f xmlns="19f7974c-0c34-49f0-9a2d-d02be9954bd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8C9E3-84E2-4C11-AD02-83F30AF1D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7974c-0c34-49f0-9a2d-d02be9954bd9"/>
    <ds:schemaRef ds:uri="62f43d48-83d1-4cc5-8354-567fc18d7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62f43d48-83d1-4cc5-8354-567fc18d73e0"/>
    <ds:schemaRef ds:uri="19f7974c-0c34-49f0-9a2d-d02be9954bd9"/>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4052</Words>
  <Characters>24236</Characters>
  <Application>Microsoft Office Word</Application>
  <DocSecurity>0</DocSecurity>
  <Lines>504</Lines>
  <Paragraphs>317</Paragraphs>
  <ScaleCrop>false</ScaleCrop>
  <HeadingPairs>
    <vt:vector size="2" baseType="variant">
      <vt:variant>
        <vt:lpstr>Title</vt:lpstr>
      </vt:variant>
      <vt:variant>
        <vt:i4>1</vt:i4>
      </vt:variant>
    </vt:vector>
  </HeadingPairs>
  <TitlesOfParts>
    <vt:vector size="1" baseType="lpstr">
      <vt:lpstr>Pharmacotherapy Policy Addendum - Long-acting Injectable Buprenorphine 2021</vt:lpstr>
    </vt:vector>
  </TitlesOfParts>
  <Company>Victoria State Government, Department of Health</Company>
  <LinksUpToDate>false</LinksUpToDate>
  <CharactersWithSpaces>27971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Pharmacotherapy Policy Addendum - Long-acting Injectable Buprenorphine 2021</dc:title>
  <dc:subject/>
  <dc:creator>Mental health and wellbeing</dc:creator>
  <cp:keywords/>
  <dc:description/>
  <cp:lastModifiedBy>Tyler McPherson (Health)</cp:lastModifiedBy>
  <cp:revision>4</cp:revision>
  <cp:lastPrinted>2021-03-25T00:15:00Z</cp:lastPrinted>
  <dcterms:created xsi:type="dcterms:W3CDTF">2025-01-21T00:06:00Z</dcterms:created>
  <dcterms:modified xsi:type="dcterms:W3CDTF">2025-01-24T00:33:00Z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0x010100838F618E9F59464DBF3F0BF993FA354C</vt:lpwstr>
  </property>
  <property fmtid="{D5CDD505-2E9C-101B-9397-08002B2CF9AE}" pid="4" name="version">
    <vt:lpwstr>22 October 2020</vt:lpwstr>
  </property>
  <property fmtid="{D5CDD505-2E9C-101B-9397-08002B2CF9AE}" pid="5" name="TemplateVersion">
    <vt:i4>1</vt:i4>
  </property>
  <property fmtid="{D5CDD505-2E9C-101B-9397-08002B2CF9AE}" pid="6" name="DocumentSetDescription">
    <vt:lpwstr/>
  </property>
  <property fmtid="{D5CDD505-2E9C-101B-9397-08002B2CF9AE}" pid="7" name="MSIP_Label_43e64453-338c-4f93-8a4d-0039a0a41f2a_Enabled">
    <vt:lpwstr>true</vt:lpwstr>
  </property>
  <property fmtid="{D5CDD505-2E9C-101B-9397-08002B2CF9AE}" pid="8" name="MSIP_Label_43e64453-338c-4f93-8a4d-0039a0a41f2a_SetDate">
    <vt:lpwstr>2021-03-25T00:15:49Z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63f486b4-8569-4046-8df0-77b8936f4c9d</vt:lpwstr>
  </property>
  <property fmtid="{D5CDD505-2E9C-101B-9397-08002B2CF9AE}" pid="13" name="MSIP_Label_43e64453-338c-4f93-8a4d-0039a0a41f2a_ContentBits">
    <vt:lpwstr>2</vt:lpwstr>
  </property>
  <property fmtid="{D5CDD505-2E9C-101B-9397-08002B2CF9AE}" pid="14" name="GrammarlyDocumentId">
    <vt:lpwstr>ab0ea1f691593ed6b9d9ba509a65a2008cc487fcd0c0c54b9e0076e6868d0c0d</vt:lpwstr>
  </property>
</Properties>
</file>