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9F2C0"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686475D8" wp14:editId="7109C1E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47028BFD"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DD4BEF" w14:textId="77777777" w:rsidTr="00B07FF7">
        <w:trPr>
          <w:trHeight w:val="622"/>
        </w:trPr>
        <w:tc>
          <w:tcPr>
            <w:tcW w:w="10348" w:type="dxa"/>
            <w:tcMar>
              <w:top w:w="1531" w:type="dxa"/>
              <w:left w:w="0" w:type="dxa"/>
              <w:right w:w="0" w:type="dxa"/>
            </w:tcMar>
          </w:tcPr>
          <w:p w14:paraId="47C13364" w14:textId="1D7CE715" w:rsidR="003B5733" w:rsidRPr="003B5733" w:rsidRDefault="003618E0" w:rsidP="003B5733">
            <w:pPr>
              <w:pStyle w:val="Documenttitle"/>
            </w:pPr>
            <w:r>
              <w:t xml:space="preserve">Requirements for Independent Dosimetric Auditing of Linear Accelerators </w:t>
            </w:r>
          </w:p>
        </w:tc>
      </w:tr>
      <w:tr w:rsidR="003B5733" w14:paraId="193D4FC9" w14:textId="77777777" w:rsidTr="00B07FF7">
        <w:tc>
          <w:tcPr>
            <w:tcW w:w="10348" w:type="dxa"/>
          </w:tcPr>
          <w:p w14:paraId="19B6EA0A" w14:textId="0C5BA8AF" w:rsidR="003B5733" w:rsidRPr="00A1389F" w:rsidRDefault="003618E0" w:rsidP="005F44C0">
            <w:pPr>
              <w:pStyle w:val="Documentsubtitle"/>
            </w:pPr>
            <w:r>
              <w:t>Management licence condition M1737</w:t>
            </w:r>
          </w:p>
        </w:tc>
      </w:tr>
      <w:tr w:rsidR="003B5733" w14:paraId="5CE82CEF" w14:textId="77777777" w:rsidTr="00B07FF7">
        <w:tc>
          <w:tcPr>
            <w:tcW w:w="10348" w:type="dxa"/>
          </w:tcPr>
          <w:p w14:paraId="602A96CD" w14:textId="77777777" w:rsidR="003B5733" w:rsidRPr="001E5058" w:rsidRDefault="002A0E63" w:rsidP="001E5058">
            <w:pPr>
              <w:pStyle w:val="Bannermarking"/>
            </w:pPr>
            <w:fldSimple w:instr=" FILLIN  &quot;Type the protective marking&quot; \d OFFICIAL \o  \* MERGEFORMAT ">
              <w:r w:rsidR="003618E0">
                <w:t>OFFICIAL</w:t>
              </w:r>
            </w:fldSimple>
          </w:p>
        </w:tc>
      </w:tr>
    </w:tbl>
    <w:p w14:paraId="0F663C99" w14:textId="2310B65A" w:rsidR="007173CA" w:rsidRDefault="007173CA" w:rsidP="00D079AA">
      <w:pPr>
        <w:pStyle w:val="Body"/>
      </w:pPr>
    </w:p>
    <w:p w14:paraId="602F6D81"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21FD9861" w14:textId="05E13A93" w:rsidR="00C51F0A" w:rsidRPr="00A71CE4" w:rsidRDefault="003618E0" w:rsidP="00C51F0A">
      <w:pPr>
        <w:pStyle w:val="Heading1"/>
        <w:spacing w:before="0"/>
      </w:pPr>
      <w:r>
        <w:t>Introduction</w:t>
      </w:r>
    </w:p>
    <w:p w14:paraId="406F9449" w14:textId="7AEADFEF" w:rsidR="003618E0" w:rsidRDefault="003618E0" w:rsidP="00C51F0A">
      <w:pPr>
        <w:pStyle w:val="Body"/>
      </w:pPr>
      <w:bookmarkStart w:id="0" w:name="_Toc66711981"/>
      <w:r>
        <w:t xml:space="preserve">The Victorian Radiation Act 2005 (the Act) has the objective of protecting the health and safety of persons and the environment from the harmful effects of radiation. The Department of Health </w:t>
      </w:r>
      <w:r w:rsidR="00627F89">
        <w:t xml:space="preserve">(Department) </w:t>
      </w:r>
      <w:r>
        <w:t>administers this legislation. The Act seeks to fulfil this objective by establishing a licensing framework to regulate the conduct of radiation practices and the use of radiation sources. Any person who conducts a radiation practice must hold a management licence (unless exempted from that requirement). The management licence holder must comply with every condition of their licence.</w:t>
      </w:r>
    </w:p>
    <w:p w14:paraId="5C7249EC" w14:textId="1E22480A" w:rsidR="003618E0" w:rsidRDefault="003618E0" w:rsidP="00C51F0A">
      <w:pPr>
        <w:pStyle w:val="Body"/>
      </w:pPr>
      <w:r>
        <w:t>Management licence condition M1737 requires compliance with the requirements specified in this document. This document outlines dosimetric auditing requirements for linear accelerators used for therapeutic purposes. The audits specified in this document must be conducted at the specified frequencies by an independent auditor recognised by the department. Auditors recognised by the department for the purpose of the requirements specified in this document are listed in Appendix A.</w:t>
      </w:r>
    </w:p>
    <w:p w14:paraId="2432635A" w14:textId="79C2CC32" w:rsidR="003618E0" w:rsidRDefault="003618E0" w:rsidP="00C51F0A">
      <w:pPr>
        <w:pStyle w:val="Body"/>
      </w:pPr>
      <w:r>
        <w:t>The dosimetric auditing requirements are divided into three audit levels:</w:t>
      </w:r>
    </w:p>
    <w:p w14:paraId="32182B0C" w14:textId="77777777" w:rsidR="003618E0" w:rsidRDefault="003618E0" w:rsidP="00C51F0A">
      <w:pPr>
        <w:pStyle w:val="Body"/>
      </w:pPr>
      <w:r w:rsidRPr="003618E0">
        <w:rPr>
          <w:b/>
          <w:bCs/>
        </w:rPr>
        <w:t>Level I</w:t>
      </w:r>
      <w:r>
        <w:t xml:space="preserve"> audit is an audit of absorbed dose to water per monitor unit for mega-Voltage photon and electron beams under reference conditions using Optically Stimulated Luminescence Dosimeters (OSLD) or equivalent audit kit mailed to the site by the auditor. The OSLD is irradiated by local staff in accordance with specified protocol and returned to the auditor for analysis. </w:t>
      </w:r>
    </w:p>
    <w:p w14:paraId="2F05DB37" w14:textId="0EB7893A" w:rsidR="003618E0" w:rsidRDefault="003618E0" w:rsidP="00C51F0A">
      <w:pPr>
        <w:pStyle w:val="Body"/>
      </w:pPr>
      <w:r w:rsidRPr="003618E0">
        <w:rPr>
          <w:b/>
          <w:bCs/>
        </w:rPr>
        <w:t xml:space="preserve">Level </w:t>
      </w:r>
      <w:proofErr w:type="spellStart"/>
      <w:r w:rsidRPr="003618E0">
        <w:rPr>
          <w:b/>
          <w:bCs/>
        </w:rPr>
        <w:t>Ib</w:t>
      </w:r>
      <w:proofErr w:type="spellEnd"/>
      <w:r>
        <w:t xml:space="preserve"> audit is an audit of absorbed dose to water per monitor unit, for mega-voltage photon and electron beams, under reference conditions using reference class electrometer, ionisation chambers and a water phantom. The determination is made using the IAEA TRS-398 Code of Practice or equivalent international protocol. This audit is conducted on-site by the auditor. </w:t>
      </w:r>
    </w:p>
    <w:p w14:paraId="5A6DCD9C" w14:textId="77777777" w:rsidR="003618E0" w:rsidRDefault="003618E0" w:rsidP="00C51F0A">
      <w:pPr>
        <w:pStyle w:val="Body"/>
      </w:pPr>
      <w:r w:rsidRPr="003618E0">
        <w:rPr>
          <w:b/>
          <w:bCs/>
        </w:rPr>
        <w:t>Level II</w:t>
      </w:r>
      <w:r>
        <w:t xml:space="preserve"> audit is an audit of absorbed dose to water, for selected mega-voltage photon beams, within a simple phantom geometry. This is an audit of the beam model within a treatment planning system, where the phantom CT is supplied to the facility for treatment planning and delivery. This audit is conducted on-site by the auditor. </w:t>
      </w:r>
    </w:p>
    <w:p w14:paraId="41209AAB" w14:textId="64382EF1" w:rsidR="003618E0" w:rsidRDefault="003618E0" w:rsidP="00C51F0A">
      <w:pPr>
        <w:pStyle w:val="Body"/>
      </w:pPr>
      <w:r w:rsidRPr="003618E0">
        <w:rPr>
          <w:b/>
          <w:bCs/>
        </w:rPr>
        <w:t>Level III</w:t>
      </w:r>
      <w:r>
        <w:t xml:space="preserve"> audit is an audit of absorbed dose to water delivered to selected points within an anthropomorphic phantom. This is an end-to-end audit where the phantom undergoes all steps within the radiotherapy treatment chain. This audit is conducted on-site by the auditor.</w:t>
      </w:r>
    </w:p>
    <w:p w14:paraId="473802D5" w14:textId="29283FF9" w:rsidR="00C51F0A" w:rsidRPr="00B57329" w:rsidRDefault="003618E0" w:rsidP="00C51F0A">
      <w:pPr>
        <w:pStyle w:val="Heading1"/>
      </w:pPr>
      <w:bookmarkStart w:id="1" w:name="_Toc66712323"/>
      <w:r>
        <w:lastRenderedPageBreak/>
        <w:t>Scope</w:t>
      </w:r>
      <w:bookmarkEnd w:id="0"/>
      <w:bookmarkEnd w:id="1"/>
      <w:r w:rsidR="00C51F0A">
        <w:t xml:space="preserve"> </w:t>
      </w:r>
      <w:bookmarkStart w:id="2" w:name="_Hlk63948051"/>
    </w:p>
    <w:bookmarkEnd w:id="2"/>
    <w:p w14:paraId="62755D2D" w14:textId="0FFF8AFC" w:rsidR="003618E0" w:rsidRDefault="003618E0" w:rsidP="00C51F0A">
      <w:pPr>
        <w:pStyle w:val="Body"/>
      </w:pPr>
      <w:r>
        <w:t>This document forms a condition of licence which applies to all management licence holders authorised to possess a linear accelerator for therapeutic purposes and where condition M1737 has been imposed on the authorisation.</w:t>
      </w:r>
    </w:p>
    <w:p w14:paraId="75B4201B" w14:textId="233CF10A" w:rsidR="009970DD" w:rsidRDefault="003618E0" w:rsidP="00E479C4">
      <w:pPr>
        <w:pStyle w:val="Heading1"/>
      </w:pPr>
      <w:r>
        <w:t xml:space="preserve">Mandatory requirements </w:t>
      </w:r>
    </w:p>
    <w:p w14:paraId="6F59897C" w14:textId="38702181" w:rsidR="009970DD" w:rsidRDefault="009920FA" w:rsidP="00627F89">
      <w:pPr>
        <w:pStyle w:val="Numberdigit"/>
        <w:numPr>
          <w:ilvl w:val="0"/>
          <w:numId w:val="40"/>
        </w:numPr>
      </w:pPr>
      <w:r>
        <w:t>The management licence holder must ensure that dosimetric audits</w:t>
      </w:r>
      <w:r w:rsidR="00E479C4">
        <w:rPr>
          <w:rStyle w:val="FootnoteReference"/>
        </w:rPr>
        <w:footnoteReference w:id="1"/>
      </w:r>
      <w:r w:rsidR="00E479C4" w:rsidRPr="002365B4">
        <w:t>.</w:t>
      </w:r>
      <w:r>
        <w:t xml:space="preserve">of linear accelerators are conducted by an independent auditor in accordance with the following requirements: </w:t>
      </w:r>
    </w:p>
    <w:p w14:paraId="33097CF1" w14:textId="46FD76FF" w:rsidR="009920FA" w:rsidRDefault="009920FA" w:rsidP="009970DD">
      <w:pPr>
        <w:pStyle w:val="Numberloweralphaindent"/>
      </w:pPr>
      <w:r>
        <w:t xml:space="preserve">Level </w:t>
      </w:r>
      <w:proofErr w:type="spellStart"/>
      <w:r>
        <w:t>Ib</w:t>
      </w:r>
      <w:proofErr w:type="spellEnd"/>
      <w:r>
        <w:t xml:space="preserve"> audit of all linear accelerators must be performed upon commissioning and prior to patient treatment</w:t>
      </w:r>
      <w:r w:rsidR="00E479C4">
        <w:rPr>
          <w:rStyle w:val="FootnoteReference"/>
        </w:rPr>
        <w:footnoteReference w:id="2"/>
      </w:r>
      <w:proofErr w:type="gramStart"/>
      <w:r w:rsidR="00E479C4" w:rsidRPr="002365B4">
        <w:t>.</w:t>
      </w:r>
      <w:r>
        <w:t xml:space="preserve"> ;</w:t>
      </w:r>
      <w:proofErr w:type="gramEnd"/>
    </w:p>
    <w:p w14:paraId="4FF284FA" w14:textId="1875D2E0" w:rsidR="009920FA" w:rsidRDefault="009920FA" w:rsidP="009970DD">
      <w:pPr>
        <w:pStyle w:val="Numberloweralphaindent"/>
      </w:pPr>
      <w:r>
        <w:t>Level III audit of at least one linear accelerator at a new site must be performed upon commissioning and prior to patient treatment</w:t>
      </w:r>
      <w:r w:rsidR="00E479C4">
        <w:rPr>
          <w:vertAlign w:val="superscript"/>
        </w:rPr>
        <w:t xml:space="preserve"> </w:t>
      </w:r>
      <w:r w:rsidR="00E479C4">
        <w:rPr>
          <w:rStyle w:val="FootnoteReference"/>
        </w:rPr>
        <w:footnoteReference w:id="3"/>
      </w:r>
      <w:r>
        <w:t xml:space="preserve"> ;</w:t>
      </w:r>
    </w:p>
    <w:p w14:paraId="01BE2DB3" w14:textId="77777777" w:rsidR="00627F89" w:rsidRDefault="00627F89" w:rsidP="009970DD">
      <w:pPr>
        <w:pStyle w:val="Numberloweralphaindent"/>
      </w:pPr>
      <w:r>
        <w:t xml:space="preserve">Level I audit must be performed at intervals not exceeding 2 years on all linear </w:t>
      </w:r>
      <w:proofErr w:type="gramStart"/>
      <w:r>
        <w:t>accelerators;</w:t>
      </w:r>
      <w:proofErr w:type="gramEnd"/>
    </w:p>
    <w:p w14:paraId="5D6D3167" w14:textId="77777777" w:rsidR="00627F89" w:rsidRDefault="00627F89" w:rsidP="009970DD">
      <w:pPr>
        <w:pStyle w:val="Numberloweralphaindent"/>
      </w:pPr>
      <w:r>
        <w:t xml:space="preserve">Level II audit must be performed at intervals not exceeding 4 years on at least one linear accelerator at a </w:t>
      </w:r>
      <w:proofErr w:type="gramStart"/>
      <w:r>
        <w:t>site;</w:t>
      </w:r>
      <w:proofErr w:type="gramEnd"/>
    </w:p>
    <w:p w14:paraId="23207FE7" w14:textId="389E7405" w:rsidR="00627F89" w:rsidRDefault="00627F89" w:rsidP="009970DD">
      <w:pPr>
        <w:pStyle w:val="Numberloweralphaindent"/>
      </w:pPr>
      <w:r>
        <w:t>Level III audit must be performed at intervals not exceeding 4 years on at least one linear accelerator at a site; and</w:t>
      </w:r>
    </w:p>
    <w:p w14:paraId="31D5C85F" w14:textId="5CAA63BD" w:rsidR="00E479C4" w:rsidRDefault="00E479C4" w:rsidP="009970DD">
      <w:pPr>
        <w:pStyle w:val="Numberloweralphaindent"/>
      </w:pPr>
      <w:r>
        <w:t>The audits must be performed by a service provider that is recognised by the department. A list of recognised service providers is provided in Appendix A</w:t>
      </w:r>
    </w:p>
    <w:p w14:paraId="578B37F3" w14:textId="4798D131" w:rsidR="00E479C4" w:rsidRDefault="00627F89" w:rsidP="00E479C4">
      <w:pPr>
        <w:pStyle w:val="Numberdigit"/>
      </w:pPr>
      <w:r>
        <w:t>Following an audit that indicates that the radiation dose delivery performance of a linear accelerator does not meet the relevant criteria in Appendix B, the management licence holder must:</w:t>
      </w:r>
    </w:p>
    <w:p w14:paraId="0F6B0B64" w14:textId="77777777" w:rsidR="00E479C4" w:rsidRDefault="00E479C4" w:rsidP="00E479C4">
      <w:pPr>
        <w:pStyle w:val="Numberloweralphaindent"/>
        <w:numPr>
          <w:ilvl w:val="1"/>
          <w:numId w:val="43"/>
        </w:numPr>
      </w:pPr>
      <w:r>
        <w:t>Take action to ensure the radiation dose delivery performance meets the relevant criteria specified in Appendix B; and</w:t>
      </w:r>
    </w:p>
    <w:p w14:paraId="3EF394A4" w14:textId="1C5D2086" w:rsidR="00627F89" w:rsidRDefault="00E479C4" w:rsidP="00E479C4">
      <w:pPr>
        <w:pStyle w:val="Numberloweralphaindent"/>
        <w:numPr>
          <w:ilvl w:val="1"/>
          <w:numId w:val="43"/>
        </w:numPr>
      </w:pPr>
      <w:r>
        <w:t>Ensure that the radiation dose delivery performance is verified by a recognised auditor to satisfy the criteria specified in Appendix B within 3 months of the audit unless clinical use of the treatment beams that failed to meet the criteria in Appendix B has ceased.</w:t>
      </w:r>
    </w:p>
    <w:p w14:paraId="47EB3B05" w14:textId="77777777" w:rsidR="00627F89" w:rsidRDefault="00627F89" w:rsidP="00627F89">
      <w:pPr>
        <w:pStyle w:val="Numberdigit"/>
      </w:pPr>
      <w:r>
        <w:t>The management licence holder must follow any recommendation of the auditor to partially or completely cease treatment following an audit unless otherwise advised by the Department.</w:t>
      </w:r>
    </w:p>
    <w:p w14:paraId="52DAAB77" w14:textId="6D1319F6" w:rsidR="00627F89" w:rsidRDefault="00627F89" w:rsidP="00627F89">
      <w:pPr>
        <w:pStyle w:val="Numberdigit"/>
      </w:pPr>
      <w:r>
        <w:t>The management licence holder must retain the following records for each linear accelerator for a minimum of 20 years after the decommissioning of the linear accelerator:</w:t>
      </w:r>
    </w:p>
    <w:p w14:paraId="0D900EA8" w14:textId="77777777" w:rsidR="00627F89" w:rsidRDefault="00627F89" w:rsidP="00E479C4">
      <w:pPr>
        <w:pStyle w:val="Numberloweralphaindent"/>
        <w:numPr>
          <w:ilvl w:val="1"/>
          <w:numId w:val="44"/>
        </w:numPr>
      </w:pPr>
      <w:r>
        <w:t xml:space="preserve">Audit results provided by the </w:t>
      </w:r>
      <w:proofErr w:type="gramStart"/>
      <w:r>
        <w:t>auditor;</w:t>
      </w:r>
      <w:proofErr w:type="gramEnd"/>
      <w:r>
        <w:t xml:space="preserve"> </w:t>
      </w:r>
    </w:p>
    <w:p w14:paraId="3F9A0FD7" w14:textId="77777777" w:rsidR="00627F89" w:rsidRDefault="00627F89" w:rsidP="009970DD">
      <w:pPr>
        <w:pStyle w:val="Numberloweralphaindent"/>
      </w:pPr>
      <w:r>
        <w:t xml:space="preserve">The recommendations made by the auditor; and </w:t>
      </w:r>
    </w:p>
    <w:p w14:paraId="7C7B6709" w14:textId="4FD262A3" w:rsidR="00627F89" w:rsidRDefault="00627F89" w:rsidP="009970DD">
      <w:pPr>
        <w:pStyle w:val="Numberloweralphaindent"/>
      </w:pPr>
      <w:r>
        <w:t xml:space="preserve">Implementation of recommendations made by the auditor. </w:t>
      </w:r>
    </w:p>
    <w:p w14:paraId="551ED943" w14:textId="268D326C" w:rsidR="00627F89" w:rsidRDefault="00627F89" w:rsidP="00627F89">
      <w:pPr>
        <w:pStyle w:val="Numberloweralpha"/>
        <w:numPr>
          <w:ilvl w:val="0"/>
          <w:numId w:val="0"/>
        </w:numPr>
        <w:ind w:left="397" w:hanging="397"/>
      </w:pPr>
    </w:p>
    <w:p w14:paraId="208D7446" w14:textId="14AD13C3" w:rsidR="00FA1019" w:rsidRDefault="00FA1019" w:rsidP="00FA1019">
      <w:pPr>
        <w:pStyle w:val="Heading1"/>
      </w:pPr>
      <w:r>
        <w:lastRenderedPageBreak/>
        <w:t>Appendix A: Recognised auditors</w:t>
      </w:r>
    </w:p>
    <w:p w14:paraId="22C1AB7A" w14:textId="4EDBD3C4" w:rsidR="00FA1019" w:rsidRDefault="00FA1019" w:rsidP="00C51F0A">
      <w:pPr>
        <w:pStyle w:val="Tablecaption"/>
      </w:pPr>
    </w:p>
    <w:tbl>
      <w:tblPr>
        <w:tblStyle w:val="TableGrid"/>
        <w:tblW w:w="9493" w:type="dxa"/>
        <w:tblLook w:val="06A0" w:firstRow="1" w:lastRow="0" w:firstColumn="1" w:lastColumn="0" w:noHBand="1" w:noVBand="1"/>
      </w:tblPr>
      <w:tblGrid>
        <w:gridCol w:w="3681"/>
        <w:gridCol w:w="5812"/>
      </w:tblGrid>
      <w:tr w:rsidR="00FA1019" w14:paraId="633E60CC" w14:textId="77777777" w:rsidTr="00FA1019">
        <w:trPr>
          <w:tblHeader/>
        </w:trPr>
        <w:tc>
          <w:tcPr>
            <w:tcW w:w="3681" w:type="dxa"/>
            <w:shd w:val="clear" w:color="auto" w:fill="FBD4B4" w:themeFill="accent6" w:themeFillTint="66"/>
          </w:tcPr>
          <w:p w14:paraId="474A0F6B" w14:textId="1CE1CA2D" w:rsidR="00FA1019" w:rsidRDefault="00FA1019" w:rsidP="00904CCD">
            <w:pPr>
              <w:pStyle w:val="Tablecolhead"/>
            </w:pPr>
            <w:r>
              <w:t>Name of auditor</w:t>
            </w:r>
          </w:p>
        </w:tc>
        <w:tc>
          <w:tcPr>
            <w:tcW w:w="5812" w:type="dxa"/>
            <w:shd w:val="clear" w:color="auto" w:fill="FBD4B4" w:themeFill="accent6" w:themeFillTint="66"/>
          </w:tcPr>
          <w:p w14:paraId="160BF18D" w14:textId="03C2F758" w:rsidR="00FA1019" w:rsidRDefault="00FA1019" w:rsidP="00904CCD">
            <w:pPr>
              <w:pStyle w:val="Tablecolhead"/>
            </w:pPr>
            <w:r>
              <w:t>Contact details</w:t>
            </w:r>
          </w:p>
        </w:tc>
      </w:tr>
      <w:tr w:rsidR="00FA1019" w14:paraId="2ADB4F50" w14:textId="77777777" w:rsidTr="00FA1019">
        <w:tc>
          <w:tcPr>
            <w:tcW w:w="3681" w:type="dxa"/>
          </w:tcPr>
          <w:p w14:paraId="530E65A9" w14:textId="77777777" w:rsidR="00FA1019" w:rsidRDefault="00FA1019" w:rsidP="00904CCD">
            <w:pPr>
              <w:pStyle w:val="Tabletext"/>
            </w:pPr>
            <w:r>
              <w:t>Australian Clinical Dosimetry Service</w:t>
            </w:r>
          </w:p>
          <w:p w14:paraId="4BB6258D" w14:textId="6A5EDFE1" w:rsidR="00FA1019" w:rsidRDefault="00FA1019" w:rsidP="00904CCD">
            <w:pPr>
              <w:pStyle w:val="Tabletext"/>
            </w:pPr>
            <w:r>
              <w:t>Australian Radiation Protection and Nuclear Safety Agency</w:t>
            </w:r>
          </w:p>
          <w:p w14:paraId="47E9DE47" w14:textId="7D4B457F" w:rsidR="00FA1019" w:rsidRDefault="00FA1019" w:rsidP="00904CCD">
            <w:pPr>
              <w:pStyle w:val="Tabletext"/>
            </w:pPr>
            <w:r>
              <w:t xml:space="preserve"> </w:t>
            </w:r>
          </w:p>
        </w:tc>
        <w:tc>
          <w:tcPr>
            <w:tcW w:w="5812" w:type="dxa"/>
          </w:tcPr>
          <w:p w14:paraId="3E4F4842" w14:textId="77777777" w:rsidR="00FA1019" w:rsidRDefault="00FA1019" w:rsidP="00FA1019">
            <w:pPr>
              <w:pStyle w:val="Tablebullet2"/>
              <w:numPr>
                <w:ilvl w:val="0"/>
                <w:numId w:val="0"/>
              </w:numPr>
            </w:pPr>
            <w:r>
              <w:t>Address: 619 Lower Plenty Road, Yallambie VIC 3085</w:t>
            </w:r>
          </w:p>
          <w:p w14:paraId="004E844F" w14:textId="23500DC2" w:rsidR="00FA1019" w:rsidRDefault="00FA1019" w:rsidP="00FA1019">
            <w:pPr>
              <w:pStyle w:val="Tablebullet2"/>
              <w:numPr>
                <w:ilvl w:val="0"/>
                <w:numId w:val="0"/>
              </w:numPr>
            </w:pPr>
            <w:r>
              <w:t xml:space="preserve">Ph: 03 9433 2220 Email: </w:t>
            </w:r>
            <w:hyperlink r:id="rId19" w:history="1">
              <w:r w:rsidRPr="00135F70">
                <w:rPr>
                  <w:rStyle w:val="Hyperlink"/>
                </w:rPr>
                <w:t>acds@arpansa.gov.au</w:t>
              </w:r>
            </w:hyperlink>
            <w:r>
              <w:t xml:space="preserve"> </w:t>
            </w:r>
          </w:p>
          <w:p w14:paraId="6051F8E6" w14:textId="77777777" w:rsidR="00FA1019" w:rsidRDefault="00FA1019" w:rsidP="00FA1019">
            <w:pPr>
              <w:pStyle w:val="Tablebullet2"/>
              <w:numPr>
                <w:ilvl w:val="0"/>
                <w:numId w:val="0"/>
              </w:numPr>
              <w:ind w:left="454" w:hanging="227"/>
            </w:pPr>
          </w:p>
          <w:p w14:paraId="1C09618C" w14:textId="1054AFFB" w:rsidR="00FA1019" w:rsidRDefault="00FA1019" w:rsidP="00FA1019">
            <w:pPr>
              <w:pStyle w:val="Tablebullet2"/>
              <w:numPr>
                <w:ilvl w:val="0"/>
                <w:numId w:val="0"/>
              </w:numPr>
            </w:pPr>
            <w:r>
              <w:t xml:space="preserve">Web: </w:t>
            </w:r>
            <w:hyperlink r:id="rId20" w:history="1">
              <w:r w:rsidRPr="00135F70">
                <w:rPr>
                  <w:rStyle w:val="Hyperlink"/>
                </w:rPr>
                <w:t>http://www.arpansa.gov.au/Services/ACDS/index.cfm</w:t>
              </w:r>
            </w:hyperlink>
          </w:p>
          <w:p w14:paraId="43017B13" w14:textId="05795D9F" w:rsidR="00FA1019" w:rsidRDefault="00FA1019" w:rsidP="00FA1019">
            <w:pPr>
              <w:pStyle w:val="Tablebullet2"/>
              <w:numPr>
                <w:ilvl w:val="0"/>
                <w:numId w:val="0"/>
              </w:numPr>
            </w:pPr>
          </w:p>
        </w:tc>
      </w:tr>
    </w:tbl>
    <w:p w14:paraId="6257DB52" w14:textId="5F85BFD0" w:rsidR="00FA1019" w:rsidRDefault="00FA1019" w:rsidP="00FA1019">
      <w:pPr>
        <w:pStyle w:val="Body"/>
      </w:pPr>
    </w:p>
    <w:p w14:paraId="291C8567" w14:textId="4636770A" w:rsidR="00FA1019" w:rsidRDefault="00FA1019" w:rsidP="00FA1019">
      <w:pPr>
        <w:pStyle w:val="Body"/>
      </w:pPr>
    </w:p>
    <w:p w14:paraId="3281A46F" w14:textId="328DFC15" w:rsidR="00FA1019" w:rsidRDefault="00FA1019" w:rsidP="00FA1019">
      <w:pPr>
        <w:pStyle w:val="Body"/>
      </w:pPr>
    </w:p>
    <w:p w14:paraId="0C0C8F98" w14:textId="3360DF84" w:rsidR="00FA1019" w:rsidRDefault="00FA1019" w:rsidP="00FA1019">
      <w:pPr>
        <w:pStyle w:val="Body"/>
      </w:pPr>
    </w:p>
    <w:p w14:paraId="266B8F71" w14:textId="076A9648" w:rsidR="00713886" w:rsidRDefault="00713886" w:rsidP="00FA1019">
      <w:pPr>
        <w:pStyle w:val="Body"/>
      </w:pPr>
    </w:p>
    <w:p w14:paraId="1F13EC6D" w14:textId="5A61C1C6" w:rsidR="00713886" w:rsidRDefault="00713886" w:rsidP="00FA1019">
      <w:pPr>
        <w:pStyle w:val="Body"/>
      </w:pPr>
    </w:p>
    <w:p w14:paraId="7353C143" w14:textId="6F2A1C9A" w:rsidR="00713886" w:rsidRDefault="00713886" w:rsidP="00FA1019">
      <w:pPr>
        <w:pStyle w:val="Body"/>
      </w:pPr>
    </w:p>
    <w:p w14:paraId="3D982420" w14:textId="10AEB3EC" w:rsidR="00713886" w:rsidRDefault="00713886" w:rsidP="00FA1019">
      <w:pPr>
        <w:pStyle w:val="Body"/>
      </w:pPr>
    </w:p>
    <w:p w14:paraId="1939257A" w14:textId="405F6A66" w:rsidR="00713886" w:rsidRDefault="00713886" w:rsidP="00FA1019">
      <w:pPr>
        <w:pStyle w:val="Body"/>
      </w:pPr>
    </w:p>
    <w:p w14:paraId="2781A3EC" w14:textId="337A588C" w:rsidR="00713886" w:rsidRDefault="00713886" w:rsidP="00FA1019">
      <w:pPr>
        <w:pStyle w:val="Body"/>
      </w:pPr>
    </w:p>
    <w:p w14:paraId="77A3B518" w14:textId="5E67496F" w:rsidR="00713886" w:rsidRDefault="00713886" w:rsidP="00FA1019">
      <w:pPr>
        <w:pStyle w:val="Body"/>
      </w:pPr>
    </w:p>
    <w:p w14:paraId="3B7920EF" w14:textId="30F14319" w:rsidR="00713886" w:rsidRDefault="00713886" w:rsidP="00FA1019">
      <w:pPr>
        <w:pStyle w:val="Body"/>
      </w:pPr>
    </w:p>
    <w:p w14:paraId="32A7DA7E" w14:textId="6C75E764" w:rsidR="00713886" w:rsidRDefault="00713886" w:rsidP="00FA1019">
      <w:pPr>
        <w:pStyle w:val="Body"/>
      </w:pPr>
    </w:p>
    <w:p w14:paraId="023ADC72" w14:textId="2727B14C" w:rsidR="00713886" w:rsidRDefault="00713886" w:rsidP="00FA1019">
      <w:pPr>
        <w:pStyle w:val="Body"/>
      </w:pPr>
    </w:p>
    <w:p w14:paraId="38C966B6" w14:textId="21762425" w:rsidR="00713886" w:rsidRDefault="00713886" w:rsidP="00FA1019">
      <w:pPr>
        <w:pStyle w:val="Body"/>
      </w:pPr>
    </w:p>
    <w:p w14:paraId="4C55529E" w14:textId="004F5390" w:rsidR="00713886" w:rsidRDefault="00713886" w:rsidP="00FA1019">
      <w:pPr>
        <w:pStyle w:val="Body"/>
      </w:pPr>
    </w:p>
    <w:p w14:paraId="7E457ED2" w14:textId="4B1F3161" w:rsidR="00713886" w:rsidRDefault="00713886" w:rsidP="00FA1019">
      <w:pPr>
        <w:pStyle w:val="Body"/>
      </w:pPr>
    </w:p>
    <w:p w14:paraId="06B63E78" w14:textId="1887281C" w:rsidR="00713886" w:rsidRDefault="00713886" w:rsidP="00FA1019">
      <w:pPr>
        <w:pStyle w:val="Body"/>
      </w:pPr>
    </w:p>
    <w:p w14:paraId="141A7B96" w14:textId="5703F2EC" w:rsidR="00713886" w:rsidRDefault="00713886" w:rsidP="00FA1019">
      <w:pPr>
        <w:pStyle w:val="Body"/>
      </w:pPr>
    </w:p>
    <w:p w14:paraId="4D8B21DF" w14:textId="6D9F558E" w:rsidR="00713886" w:rsidRDefault="00713886" w:rsidP="00FA1019">
      <w:pPr>
        <w:pStyle w:val="Body"/>
      </w:pPr>
    </w:p>
    <w:p w14:paraId="14A217DC" w14:textId="2979FC5C" w:rsidR="00713886" w:rsidRDefault="00713886" w:rsidP="00FA1019">
      <w:pPr>
        <w:pStyle w:val="Body"/>
      </w:pPr>
    </w:p>
    <w:p w14:paraId="47D31A0E" w14:textId="089B739D" w:rsidR="00713886" w:rsidRDefault="00713886" w:rsidP="00FA1019">
      <w:pPr>
        <w:pStyle w:val="Body"/>
      </w:pPr>
    </w:p>
    <w:p w14:paraId="4EAF106C" w14:textId="2D15D687" w:rsidR="00713886" w:rsidRDefault="00713886" w:rsidP="00FA1019">
      <w:pPr>
        <w:pStyle w:val="Body"/>
      </w:pPr>
    </w:p>
    <w:p w14:paraId="39D3C3F9" w14:textId="0C11F383" w:rsidR="00713886" w:rsidRDefault="00713886" w:rsidP="00FA1019">
      <w:pPr>
        <w:pStyle w:val="Body"/>
      </w:pPr>
    </w:p>
    <w:p w14:paraId="27B7AA14" w14:textId="4C0491AA" w:rsidR="00713886" w:rsidRDefault="00713886" w:rsidP="00FA1019">
      <w:pPr>
        <w:pStyle w:val="Body"/>
      </w:pPr>
    </w:p>
    <w:p w14:paraId="6654FCC6" w14:textId="657225D9" w:rsidR="00713886" w:rsidRDefault="00713886" w:rsidP="00FA1019">
      <w:pPr>
        <w:pStyle w:val="Body"/>
      </w:pPr>
    </w:p>
    <w:p w14:paraId="6722E194" w14:textId="4034CC3F" w:rsidR="00713886" w:rsidRDefault="00713886" w:rsidP="00FA1019">
      <w:pPr>
        <w:pStyle w:val="Body"/>
      </w:pPr>
    </w:p>
    <w:p w14:paraId="6DE4F3C2" w14:textId="6F602D7C" w:rsidR="00713886" w:rsidRDefault="00713886" w:rsidP="00713886">
      <w:pPr>
        <w:pStyle w:val="Heading1"/>
      </w:pPr>
      <w:r>
        <w:lastRenderedPageBreak/>
        <w:t>Appendix B: Dose delivery performance criteria</w:t>
      </w:r>
    </w:p>
    <w:p w14:paraId="67E0049A" w14:textId="1C90F164" w:rsidR="00C51F0A" w:rsidRDefault="00C51F0A" w:rsidP="00C51F0A">
      <w:pPr>
        <w:pStyle w:val="Tablecaption"/>
      </w:pPr>
    </w:p>
    <w:tbl>
      <w:tblPr>
        <w:tblStyle w:val="TableGrid"/>
        <w:tblW w:w="10194" w:type="dxa"/>
        <w:tblLook w:val="06A0" w:firstRow="1" w:lastRow="0" w:firstColumn="1" w:lastColumn="0" w:noHBand="1" w:noVBand="1"/>
      </w:tblPr>
      <w:tblGrid>
        <w:gridCol w:w="2055"/>
        <w:gridCol w:w="1768"/>
        <w:gridCol w:w="1842"/>
        <w:gridCol w:w="1701"/>
        <w:gridCol w:w="2828"/>
      </w:tblGrid>
      <w:tr w:rsidR="00713886" w14:paraId="3A72C377" w14:textId="1762FE24" w:rsidTr="003D242E">
        <w:trPr>
          <w:tblHeader/>
        </w:trPr>
        <w:tc>
          <w:tcPr>
            <w:tcW w:w="2055" w:type="dxa"/>
            <w:vMerge w:val="restart"/>
          </w:tcPr>
          <w:p w14:paraId="181D8202" w14:textId="2708192D" w:rsidR="00713886" w:rsidRPr="00CB3285" w:rsidRDefault="00713886" w:rsidP="00713886">
            <w:pPr>
              <w:pStyle w:val="Tablecolhead"/>
              <w:jc w:val="center"/>
            </w:pPr>
            <w:r>
              <w:t>Audit</w:t>
            </w:r>
          </w:p>
        </w:tc>
        <w:tc>
          <w:tcPr>
            <w:tcW w:w="8139" w:type="dxa"/>
            <w:gridSpan w:val="4"/>
          </w:tcPr>
          <w:p w14:paraId="4BBC59E8" w14:textId="54ED19EA" w:rsidR="00713886" w:rsidRPr="00D53AC6" w:rsidRDefault="00713886" w:rsidP="00713886">
            <w:pPr>
              <w:pStyle w:val="Tablecolhead"/>
              <w:jc w:val="center"/>
            </w:pPr>
            <w:r>
              <w:t>Deviation</w:t>
            </w:r>
          </w:p>
        </w:tc>
      </w:tr>
      <w:tr w:rsidR="00713886" w14:paraId="25415E97" w14:textId="13D20747" w:rsidTr="00713886">
        <w:tc>
          <w:tcPr>
            <w:tcW w:w="2055" w:type="dxa"/>
            <w:vMerge/>
          </w:tcPr>
          <w:p w14:paraId="1C6CA74B" w14:textId="73E8AF8A" w:rsidR="00713886" w:rsidRDefault="00713886" w:rsidP="00207189">
            <w:pPr>
              <w:pStyle w:val="Tabletext"/>
            </w:pPr>
          </w:p>
        </w:tc>
        <w:tc>
          <w:tcPr>
            <w:tcW w:w="1768" w:type="dxa"/>
          </w:tcPr>
          <w:p w14:paraId="24F1D8E7" w14:textId="0B7966D8" w:rsidR="00713886" w:rsidRDefault="00713886" w:rsidP="00713886">
            <w:pPr>
              <w:pStyle w:val="Tablecolhead"/>
              <w:jc w:val="center"/>
            </w:pPr>
            <w:r>
              <w:t>Photo beam</w:t>
            </w:r>
          </w:p>
        </w:tc>
        <w:tc>
          <w:tcPr>
            <w:tcW w:w="1842" w:type="dxa"/>
          </w:tcPr>
          <w:p w14:paraId="3B19B1EB" w14:textId="753955DF" w:rsidR="00713886" w:rsidRDefault="00713886" w:rsidP="00713886">
            <w:pPr>
              <w:pStyle w:val="Tablecolhead"/>
              <w:jc w:val="center"/>
            </w:pPr>
            <w:r>
              <w:t>Electron beam</w:t>
            </w:r>
          </w:p>
        </w:tc>
        <w:tc>
          <w:tcPr>
            <w:tcW w:w="1701" w:type="dxa"/>
          </w:tcPr>
          <w:p w14:paraId="0D37804A" w14:textId="625FD7CC" w:rsidR="00713886" w:rsidRDefault="00713886" w:rsidP="00713886">
            <w:pPr>
              <w:pStyle w:val="Tablecolhead"/>
              <w:jc w:val="center"/>
            </w:pPr>
            <w:r>
              <w:t>3DCRT</w:t>
            </w:r>
          </w:p>
        </w:tc>
        <w:tc>
          <w:tcPr>
            <w:tcW w:w="2828" w:type="dxa"/>
          </w:tcPr>
          <w:p w14:paraId="51B713FE" w14:textId="77777777" w:rsidR="00713886" w:rsidRDefault="00713886" w:rsidP="00713886">
            <w:pPr>
              <w:pStyle w:val="Tablecolhead"/>
              <w:jc w:val="center"/>
            </w:pPr>
            <w:r>
              <w:t>IMRT &amp; IMRT FFF</w:t>
            </w:r>
          </w:p>
          <w:p w14:paraId="7B6DFB24" w14:textId="3468005D" w:rsidR="00713886" w:rsidRDefault="00713886" w:rsidP="00713886">
            <w:pPr>
              <w:pStyle w:val="Tablecolhead"/>
              <w:jc w:val="center"/>
            </w:pPr>
            <w:r>
              <w:t>VMAT &amp; VMAT FFF</w:t>
            </w:r>
          </w:p>
        </w:tc>
      </w:tr>
      <w:tr w:rsidR="00713886" w14:paraId="22CE85B3" w14:textId="454897CD" w:rsidTr="00713886">
        <w:trPr>
          <w:trHeight w:val="756"/>
        </w:trPr>
        <w:tc>
          <w:tcPr>
            <w:tcW w:w="2055" w:type="dxa"/>
          </w:tcPr>
          <w:p w14:paraId="57D69A2D" w14:textId="728C8106" w:rsidR="00713886" w:rsidRPr="002365B4" w:rsidRDefault="00713886" w:rsidP="0090483D">
            <w:pPr>
              <w:pStyle w:val="Tabletext6pt"/>
              <w:jc w:val="center"/>
            </w:pPr>
            <w:r>
              <w:t>Level I</w:t>
            </w:r>
          </w:p>
        </w:tc>
        <w:tc>
          <w:tcPr>
            <w:tcW w:w="1768" w:type="dxa"/>
          </w:tcPr>
          <w:p w14:paraId="26DC2625" w14:textId="2727D904" w:rsidR="00713886" w:rsidRPr="002365B4" w:rsidRDefault="00713886" w:rsidP="0090483D">
            <w:pPr>
              <w:pStyle w:val="Tabletext6pt"/>
              <w:jc w:val="center"/>
            </w:pPr>
            <w:r>
              <w:t>≤ 5.0%</w:t>
            </w:r>
          </w:p>
        </w:tc>
        <w:tc>
          <w:tcPr>
            <w:tcW w:w="1842" w:type="dxa"/>
          </w:tcPr>
          <w:p w14:paraId="0FCBECEB" w14:textId="5241D1C4" w:rsidR="00713886" w:rsidRPr="00924D74" w:rsidRDefault="00713886" w:rsidP="0090483D">
            <w:pPr>
              <w:pStyle w:val="Tablebullet2"/>
              <w:numPr>
                <w:ilvl w:val="0"/>
                <w:numId w:val="0"/>
              </w:numPr>
              <w:jc w:val="center"/>
            </w:pPr>
            <w:r>
              <w:t>≤ 5.0%</w:t>
            </w:r>
          </w:p>
        </w:tc>
        <w:tc>
          <w:tcPr>
            <w:tcW w:w="1701" w:type="dxa"/>
          </w:tcPr>
          <w:p w14:paraId="22C60C31" w14:textId="4B5D909F" w:rsidR="00713886" w:rsidRPr="00924D74" w:rsidRDefault="0090483D" w:rsidP="0090483D">
            <w:pPr>
              <w:pStyle w:val="Tablebullet1"/>
              <w:numPr>
                <w:ilvl w:val="0"/>
                <w:numId w:val="0"/>
              </w:numPr>
              <w:jc w:val="center"/>
            </w:pPr>
            <w:r>
              <w:t>-</w:t>
            </w:r>
          </w:p>
        </w:tc>
        <w:tc>
          <w:tcPr>
            <w:tcW w:w="2828" w:type="dxa"/>
          </w:tcPr>
          <w:p w14:paraId="0CF479E7" w14:textId="18697471" w:rsidR="00713886" w:rsidRPr="00924D74" w:rsidRDefault="0090483D" w:rsidP="0090483D">
            <w:pPr>
              <w:pStyle w:val="Tablebullet1"/>
              <w:numPr>
                <w:ilvl w:val="0"/>
                <w:numId w:val="0"/>
              </w:numPr>
              <w:jc w:val="center"/>
            </w:pPr>
            <w:r>
              <w:t>-</w:t>
            </w:r>
          </w:p>
        </w:tc>
      </w:tr>
      <w:tr w:rsidR="00713886" w14:paraId="1061F8E6" w14:textId="19F55203" w:rsidTr="0090483D">
        <w:trPr>
          <w:trHeight w:val="734"/>
        </w:trPr>
        <w:tc>
          <w:tcPr>
            <w:tcW w:w="2055" w:type="dxa"/>
          </w:tcPr>
          <w:p w14:paraId="22198D61" w14:textId="4DE8B499" w:rsidR="00713886" w:rsidRPr="002365B4" w:rsidRDefault="00713886" w:rsidP="0090483D">
            <w:pPr>
              <w:pStyle w:val="Tabletext6pt"/>
              <w:jc w:val="center"/>
            </w:pPr>
            <w:r>
              <w:t xml:space="preserve">Level </w:t>
            </w:r>
            <w:proofErr w:type="spellStart"/>
            <w:r>
              <w:t>Ib</w:t>
            </w:r>
            <w:proofErr w:type="spellEnd"/>
          </w:p>
        </w:tc>
        <w:tc>
          <w:tcPr>
            <w:tcW w:w="1768" w:type="dxa"/>
          </w:tcPr>
          <w:p w14:paraId="495178F0" w14:textId="249A884E" w:rsidR="00713886" w:rsidRPr="002365B4" w:rsidRDefault="0090483D" w:rsidP="0090483D">
            <w:pPr>
              <w:pStyle w:val="Tabletext6pt"/>
              <w:jc w:val="center"/>
            </w:pPr>
            <w:r>
              <w:t>≤ 3.0%</w:t>
            </w:r>
          </w:p>
        </w:tc>
        <w:tc>
          <w:tcPr>
            <w:tcW w:w="1842" w:type="dxa"/>
          </w:tcPr>
          <w:p w14:paraId="55995997" w14:textId="624E2C8B" w:rsidR="00713886" w:rsidRDefault="0090483D" w:rsidP="0090483D">
            <w:pPr>
              <w:pStyle w:val="Tablebullet1"/>
              <w:numPr>
                <w:ilvl w:val="0"/>
                <w:numId w:val="0"/>
              </w:numPr>
              <w:jc w:val="center"/>
            </w:pPr>
            <w:r>
              <w:t>≤ 3.5%</w:t>
            </w:r>
          </w:p>
        </w:tc>
        <w:tc>
          <w:tcPr>
            <w:tcW w:w="1701" w:type="dxa"/>
          </w:tcPr>
          <w:p w14:paraId="770EDDDA" w14:textId="5F81FA3A" w:rsidR="00713886" w:rsidRDefault="0090483D" w:rsidP="0090483D">
            <w:pPr>
              <w:pStyle w:val="Tablebullet1"/>
              <w:numPr>
                <w:ilvl w:val="0"/>
                <w:numId w:val="0"/>
              </w:numPr>
              <w:jc w:val="center"/>
            </w:pPr>
            <w:r>
              <w:t>-</w:t>
            </w:r>
          </w:p>
        </w:tc>
        <w:tc>
          <w:tcPr>
            <w:tcW w:w="2828" w:type="dxa"/>
          </w:tcPr>
          <w:p w14:paraId="7357EE51" w14:textId="20A4BFB6" w:rsidR="00713886" w:rsidRDefault="0090483D" w:rsidP="0090483D">
            <w:pPr>
              <w:pStyle w:val="Tablebullet1"/>
              <w:numPr>
                <w:ilvl w:val="0"/>
                <w:numId w:val="0"/>
              </w:numPr>
              <w:jc w:val="center"/>
            </w:pPr>
            <w:r>
              <w:t>-</w:t>
            </w:r>
          </w:p>
        </w:tc>
      </w:tr>
      <w:tr w:rsidR="00713886" w14:paraId="1D9DD565" w14:textId="0F5E803B" w:rsidTr="00713886">
        <w:trPr>
          <w:trHeight w:val="756"/>
        </w:trPr>
        <w:tc>
          <w:tcPr>
            <w:tcW w:w="2055" w:type="dxa"/>
          </w:tcPr>
          <w:p w14:paraId="3E37DA5A" w14:textId="023F6D92" w:rsidR="00713886" w:rsidRPr="002365B4" w:rsidRDefault="00713886" w:rsidP="0090483D">
            <w:pPr>
              <w:pStyle w:val="Tabletext6pt"/>
              <w:jc w:val="center"/>
            </w:pPr>
            <w:r>
              <w:t>Level II</w:t>
            </w:r>
          </w:p>
        </w:tc>
        <w:tc>
          <w:tcPr>
            <w:tcW w:w="1768" w:type="dxa"/>
          </w:tcPr>
          <w:p w14:paraId="2C7773D2" w14:textId="77777777" w:rsidR="00713886" w:rsidRDefault="00713886" w:rsidP="0090483D">
            <w:pPr>
              <w:pStyle w:val="Tabletext6pt"/>
              <w:jc w:val="center"/>
            </w:pPr>
          </w:p>
          <w:p w14:paraId="73F3E513" w14:textId="77777777" w:rsidR="0090483D" w:rsidRDefault="0090483D" w:rsidP="0090483D">
            <w:pPr>
              <w:pStyle w:val="Tabletext6pt"/>
              <w:jc w:val="center"/>
            </w:pPr>
          </w:p>
          <w:p w14:paraId="7FC07978" w14:textId="6EA7EF6D" w:rsidR="0090483D" w:rsidRPr="002365B4" w:rsidRDefault="0090483D" w:rsidP="0090483D">
            <w:pPr>
              <w:pStyle w:val="Tabletext6pt"/>
              <w:jc w:val="center"/>
            </w:pPr>
            <w:r>
              <w:t>-</w:t>
            </w:r>
          </w:p>
        </w:tc>
        <w:tc>
          <w:tcPr>
            <w:tcW w:w="1842" w:type="dxa"/>
          </w:tcPr>
          <w:p w14:paraId="7E7709F0" w14:textId="77777777" w:rsidR="00713886" w:rsidRDefault="00713886" w:rsidP="0090483D">
            <w:pPr>
              <w:pStyle w:val="Tablebullet1"/>
              <w:numPr>
                <w:ilvl w:val="0"/>
                <w:numId w:val="0"/>
              </w:numPr>
              <w:jc w:val="center"/>
            </w:pPr>
          </w:p>
          <w:p w14:paraId="265CA6A0" w14:textId="77777777" w:rsidR="0090483D" w:rsidRDefault="0090483D" w:rsidP="0090483D">
            <w:pPr>
              <w:pStyle w:val="Tablebullet1"/>
              <w:numPr>
                <w:ilvl w:val="0"/>
                <w:numId w:val="0"/>
              </w:numPr>
              <w:jc w:val="center"/>
            </w:pPr>
          </w:p>
          <w:p w14:paraId="1600FB70" w14:textId="4B71009F" w:rsidR="0090483D" w:rsidRDefault="0090483D" w:rsidP="0090483D">
            <w:pPr>
              <w:pStyle w:val="Tablebullet1"/>
              <w:numPr>
                <w:ilvl w:val="0"/>
                <w:numId w:val="0"/>
              </w:numPr>
              <w:jc w:val="center"/>
            </w:pPr>
            <w:r>
              <w:t>-</w:t>
            </w:r>
          </w:p>
        </w:tc>
        <w:tc>
          <w:tcPr>
            <w:tcW w:w="1701" w:type="dxa"/>
          </w:tcPr>
          <w:p w14:paraId="455C12FF" w14:textId="77777777" w:rsidR="0090483D" w:rsidRDefault="0090483D" w:rsidP="0090483D">
            <w:pPr>
              <w:pStyle w:val="Tablebullet1"/>
              <w:numPr>
                <w:ilvl w:val="0"/>
                <w:numId w:val="0"/>
              </w:numPr>
              <w:jc w:val="center"/>
            </w:pPr>
          </w:p>
          <w:p w14:paraId="6FD092C5" w14:textId="77777777" w:rsidR="0090483D" w:rsidRDefault="0090483D" w:rsidP="0090483D">
            <w:pPr>
              <w:pStyle w:val="Tablebullet1"/>
              <w:numPr>
                <w:ilvl w:val="0"/>
                <w:numId w:val="0"/>
              </w:numPr>
              <w:jc w:val="center"/>
            </w:pPr>
          </w:p>
          <w:p w14:paraId="3EBAC17E" w14:textId="7851A915" w:rsidR="00713886" w:rsidRDefault="00713886" w:rsidP="0090483D">
            <w:pPr>
              <w:pStyle w:val="Tablebullet1"/>
              <w:numPr>
                <w:ilvl w:val="0"/>
                <w:numId w:val="0"/>
              </w:numPr>
              <w:jc w:val="center"/>
            </w:pPr>
            <w:r>
              <w:t>≤ 5.0%</w:t>
            </w:r>
          </w:p>
        </w:tc>
        <w:tc>
          <w:tcPr>
            <w:tcW w:w="2828" w:type="dxa"/>
          </w:tcPr>
          <w:p w14:paraId="6A6EF063" w14:textId="77777777" w:rsidR="00713886" w:rsidRDefault="0090483D" w:rsidP="0090483D">
            <w:pPr>
              <w:pStyle w:val="Tablebullet1"/>
              <w:numPr>
                <w:ilvl w:val="0"/>
                <w:numId w:val="0"/>
              </w:numPr>
              <w:jc w:val="center"/>
            </w:pPr>
            <w:r>
              <w:t>≤ 5.0%</w:t>
            </w:r>
          </w:p>
          <w:p w14:paraId="69F88FF4" w14:textId="77777777" w:rsidR="0090483D" w:rsidRDefault="0090483D" w:rsidP="0090483D">
            <w:pPr>
              <w:pStyle w:val="Tablebullet1"/>
              <w:numPr>
                <w:ilvl w:val="0"/>
                <w:numId w:val="0"/>
              </w:numPr>
              <w:jc w:val="center"/>
            </w:pPr>
            <w:r>
              <w:t xml:space="preserve">or </w:t>
            </w:r>
          </w:p>
          <w:p w14:paraId="3B8C66B2" w14:textId="536968E8" w:rsidR="0090483D" w:rsidRPr="0090483D" w:rsidRDefault="0090483D" w:rsidP="0090483D">
            <w:pPr>
              <w:pStyle w:val="Tablebullet1"/>
              <w:numPr>
                <w:ilvl w:val="0"/>
                <w:numId w:val="0"/>
              </w:numPr>
              <w:jc w:val="center"/>
              <w:rPr>
                <w:vertAlign w:val="superscript"/>
              </w:rPr>
            </w:pPr>
            <w:r>
              <w:t>Gamma criteria</w:t>
            </w:r>
            <w:r>
              <w:rPr>
                <w:vertAlign w:val="superscript"/>
              </w:rPr>
              <w:t>+</w:t>
            </w:r>
          </w:p>
          <w:p w14:paraId="5A14DD15" w14:textId="77777777" w:rsidR="0090483D" w:rsidRDefault="0090483D" w:rsidP="0090483D">
            <w:pPr>
              <w:pStyle w:val="Tablebullet1"/>
              <w:numPr>
                <w:ilvl w:val="0"/>
                <w:numId w:val="0"/>
              </w:numPr>
              <w:jc w:val="center"/>
            </w:pPr>
            <w:r>
              <w:t xml:space="preserve"> γ ≤ 1 at 3%/3mm </w:t>
            </w:r>
          </w:p>
          <w:p w14:paraId="59047F35" w14:textId="77777777" w:rsidR="0090483D" w:rsidRDefault="0090483D" w:rsidP="0090483D">
            <w:pPr>
              <w:pStyle w:val="Tablebullet1"/>
              <w:numPr>
                <w:ilvl w:val="0"/>
                <w:numId w:val="0"/>
              </w:numPr>
              <w:jc w:val="center"/>
            </w:pPr>
            <w:r>
              <w:t>for ≥ 90% points</w:t>
            </w:r>
          </w:p>
          <w:p w14:paraId="376A1301" w14:textId="6D7267C9" w:rsidR="0090483D" w:rsidRDefault="0090483D" w:rsidP="0090483D">
            <w:pPr>
              <w:pStyle w:val="Tablebullet1"/>
              <w:numPr>
                <w:ilvl w:val="0"/>
                <w:numId w:val="0"/>
              </w:numPr>
              <w:jc w:val="center"/>
            </w:pPr>
          </w:p>
        </w:tc>
      </w:tr>
      <w:tr w:rsidR="00713886" w14:paraId="1F092B48" w14:textId="7B67D059" w:rsidTr="00713886">
        <w:trPr>
          <w:trHeight w:val="756"/>
        </w:trPr>
        <w:tc>
          <w:tcPr>
            <w:tcW w:w="2055" w:type="dxa"/>
          </w:tcPr>
          <w:p w14:paraId="1CABE922" w14:textId="03618DE2" w:rsidR="00713886" w:rsidRPr="002365B4" w:rsidRDefault="00713886" w:rsidP="0090483D">
            <w:pPr>
              <w:pStyle w:val="Tabletext6pt"/>
              <w:jc w:val="center"/>
            </w:pPr>
            <w:r>
              <w:t>Level III</w:t>
            </w:r>
          </w:p>
        </w:tc>
        <w:tc>
          <w:tcPr>
            <w:tcW w:w="1768" w:type="dxa"/>
          </w:tcPr>
          <w:p w14:paraId="119E8177" w14:textId="49540298" w:rsidR="00713886" w:rsidRDefault="00713886" w:rsidP="0090483D">
            <w:pPr>
              <w:pStyle w:val="Tabletext6pt"/>
              <w:jc w:val="center"/>
            </w:pPr>
          </w:p>
          <w:p w14:paraId="36F4604E" w14:textId="77777777" w:rsidR="0090483D" w:rsidRDefault="0090483D" w:rsidP="0090483D">
            <w:pPr>
              <w:pStyle w:val="Tabletext6pt"/>
              <w:jc w:val="center"/>
            </w:pPr>
          </w:p>
          <w:p w14:paraId="0A1B6F2F" w14:textId="08D97332" w:rsidR="0090483D" w:rsidRPr="002365B4" w:rsidRDefault="0090483D" w:rsidP="0090483D">
            <w:pPr>
              <w:pStyle w:val="Tabletext6pt"/>
              <w:jc w:val="center"/>
            </w:pPr>
            <w:r>
              <w:t>-</w:t>
            </w:r>
          </w:p>
        </w:tc>
        <w:tc>
          <w:tcPr>
            <w:tcW w:w="1842" w:type="dxa"/>
          </w:tcPr>
          <w:p w14:paraId="3D297D4F" w14:textId="77777777" w:rsidR="00713886" w:rsidRDefault="00713886" w:rsidP="0090483D">
            <w:pPr>
              <w:pStyle w:val="Tablebullet1"/>
              <w:numPr>
                <w:ilvl w:val="0"/>
                <w:numId w:val="0"/>
              </w:numPr>
              <w:ind w:left="227" w:hanging="227"/>
              <w:jc w:val="center"/>
            </w:pPr>
          </w:p>
          <w:p w14:paraId="03F398E4" w14:textId="77777777" w:rsidR="0090483D" w:rsidRDefault="0090483D" w:rsidP="0090483D">
            <w:pPr>
              <w:pStyle w:val="Tablebullet1"/>
              <w:numPr>
                <w:ilvl w:val="0"/>
                <w:numId w:val="0"/>
              </w:numPr>
              <w:ind w:left="227" w:hanging="227"/>
              <w:jc w:val="center"/>
            </w:pPr>
          </w:p>
          <w:p w14:paraId="59850988" w14:textId="333D14CE" w:rsidR="0090483D" w:rsidRDefault="0090483D" w:rsidP="0090483D">
            <w:pPr>
              <w:pStyle w:val="Tablebullet1"/>
              <w:numPr>
                <w:ilvl w:val="0"/>
                <w:numId w:val="0"/>
              </w:numPr>
              <w:ind w:left="227" w:hanging="227"/>
              <w:jc w:val="center"/>
            </w:pPr>
            <w:r>
              <w:t>-</w:t>
            </w:r>
          </w:p>
        </w:tc>
        <w:tc>
          <w:tcPr>
            <w:tcW w:w="1701" w:type="dxa"/>
          </w:tcPr>
          <w:p w14:paraId="7E268777" w14:textId="77777777" w:rsidR="0090483D" w:rsidRDefault="0090483D" w:rsidP="0090483D">
            <w:pPr>
              <w:pStyle w:val="Tablebullet1"/>
              <w:numPr>
                <w:ilvl w:val="0"/>
                <w:numId w:val="0"/>
              </w:numPr>
              <w:jc w:val="center"/>
            </w:pPr>
          </w:p>
          <w:p w14:paraId="5FCB8DBB" w14:textId="2F9B916B" w:rsidR="00713886" w:rsidRDefault="0090483D" w:rsidP="0090483D">
            <w:pPr>
              <w:pStyle w:val="Tablebullet1"/>
              <w:numPr>
                <w:ilvl w:val="0"/>
                <w:numId w:val="0"/>
              </w:numPr>
              <w:jc w:val="center"/>
            </w:pPr>
            <w:r>
              <w:t>≤ 5.0%</w:t>
            </w:r>
          </w:p>
        </w:tc>
        <w:tc>
          <w:tcPr>
            <w:tcW w:w="2828" w:type="dxa"/>
          </w:tcPr>
          <w:p w14:paraId="71D9E11C" w14:textId="77777777" w:rsidR="0090483D" w:rsidRDefault="0090483D" w:rsidP="0090483D">
            <w:pPr>
              <w:pStyle w:val="Tablebullet1"/>
              <w:numPr>
                <w:ilvl w:val="0"/>
                <w:numId w:val="0"/>
              </w:numPr>
              <w:jc w:val="center"/>
            </w:pPr>
            <w:r>
              <w:t>≤ 5.0%</w:t>
            </w:r>
          </w:p>
          <w:p w14:paraId="4E9DE76E" w14:textId="77777777" w:rsidR="0090483D" w:rsidRDefault="0090483D" w:rsidP="0090483D">
            <w:pPr>
              <w:pStyle w:val="Tablebullet1"/>
              <w:numPr>
                <w:ilvl w:val="0"/>
                <w:numId w:val="0"/>
              </w:numPr>
              <w:jc w:val="center"/>
            </w:pPr>
            <w:r>
              <w:t xml:space="preserve">or </w:t>
            </w:r>
          </w:p>
          <w:p w14:paraId="1AC45555" w14:textId="77777777" w:rsidR="0090483D" w:rsidRPr="0090483D" w:rsidRDefault="0090483D" w:rsidP="0090483D">
            <w:pPr>
              <w:pStyle w:val="Tablebullet1"/>
              <w:numPr>
                <w:ilvl w:val="0"/>
                <w:numId w:val="0"/>
              </w:numPr>
              <w:jc w:val="center"/>
              <w:rPr>
                <w:vertAlign w:val="superscript"/>
              </w:rPr>
            </w:pPr>
            <w:r>
              <w:t>Gamma criteria</w:t>
            </w:r>
            <w:r>
              <w:rPr>
                <w:vertAlign w:val="superscript"/>
              </w:rPr>
              <w:t>+</w:t>
            </w:r>
          </w:p>
          <w:p w14:paraId="790A66B5" w14:textId="77777777" w:rsidR="0090483D" w:rsidRDefault="0090483D" w:rsidP="0090483D">
            <w:pPr>
              <w:pStyle w:val="Tablebullet1"/>
              <w:numPr>
                <w:ilvl w:val="0"/>
                <w:numId w:val="0"/>
              </w:numPr>
              <w:jc w:val="center"/>
            </w:pPr>
            <w:r>
              <w:t xml:space="preserve"> γ ≤ 1 at 3%/3mm </w:t>
            </w:r>
          </w:p>
          <w:p w14:paraId="1F131CE0" w14:textId="77777777" w:rsidR="0090483D" w:rsidRDefault="0090483D" w:rsidP="0090483D">
            <w:pPr>
              <w:pStyle w:val="Tablebullet1"/>
              <w:numPr>
                <w:ilvl w:val="0"/>
                <w:numId w:val="0"/>
              </w:numPr>
              <w:jc w:val="center"/>
            </w:pPr>
            <w:r>
              <w:t>for ≥ 90% points</w:t>
            </w:r>
          </w:p>
          <w:p w14:paraId="58B0CF01" w14:textId="6E5945DB" w:rsidR="00713886" w:rsidRDefault="00713886" w:rsidP="0090483D">
            <w:pPr>
              <w:pStyle w:val="Tablebullet1"/>
              <w:numPr>
                <w:ilvl w:val="0"/>
                <w:numId w:val="0"/>
              </w:numPr>
              <w:jc w:val="center"/>
            </w:pPr>
          </w:p>
        </w:tc>
      </w:tr>
    </w:tbl>
    <w:p w14:paraId="67EBEBF5" w14:textId="418BF137" w:rsidR="00C51F0A" w:rsidRPr="0090483D" w:rsidRDefault="0090483D" w:rsidP="00C51F0A">
      <w:pPr>
        <w:pStyle w:val="Tablefigurenote"/>
        <w:rPr>
          <w:vertAlign w:val="superscript"/>
        </w:rPr>
      </w:pPr>
      <w:r>
        <w:rPr>
          <w:vertAlign w:val="superscript"/>
        </w:rPr>
        <w:t xml:space="preserve">+ </w:t>
      </w:r>
      <w:r>
        <w:t>Global gamma with absolute dose comparison, threshold set to 10-20%.</w:t>
      </w:r>
    </w:p>
    <w:p w14:paraId="60A5425D" w14:textId="42D2354A" w:rsidR="00200176" w:rsidRDefault="00200176" w:rsidP="00200176">
      <w:pPr>
        <w:pStyle w:val="Body"/>
      </w:pPr>
    </w:p>
    <w:p w14:paraId="155320DE" w14:textId="312094FA" w:rsidR="0090483D" w:rsidRDefault="0090483D" w:rsidP="00200176">
      <w:pPr>
        <w:pStyle w:val="Body"/>
      </w:pPr>
    </w:p>
    <w:p w14:paraId="4A001ABA" w14:textId="77777777" w:rsidR="0090483D" w:rsidRPr="00200176" w:rsidRDefault="0090483D"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77CEFEFC" w14:textId="77777777" w:rsidTr="00EC40D5">
        <w:tc>
          <w:tcPr>
            <w:tcW w:w="10194" w:type="dxa"/>
          </w:tcPr>
          <w:p w14:paraId="3EEFD396" w14:textId="0496DD16" w:rsidR="0055119B" w:rsidRPr="0055119B" w:rsidRDefault="0055119B" w:rsidP="0055119B">
            <w:pPr>
              <w:pStyle w:val="Accessibilitypara"/>
            </w:pPr>
            <w:bookmarkStart w:id="3" w:name="_Hlk37240926"/>
            <w:r w:rsidRPr="0055119B">
              <w:t>To receive this document in another format</w:t>
            </w:r>
            <w:r>
              <w:t>,</w:t>
            </w:r>
            <w:r w:rsidRPr="0055119B">
              <w:t xml:space="preserve"> </w:t>
            </w:r>
            <w:hyperlink r:id="rId21" w:history="1">
              <w:r w:rsidRPr="0090483D">
                <w:rPr>
                  <w:rStyle w:val="Hyperlink"/>
                </w:rPr>
                <w:t xml:space="preserve">email </w:t>
              </w:r>
              <w:r w:rsidR="0090483D" w:rsidRPr="0090483D">
                <w:rPr>
                  <w:rStyle w:val="Hyperlink"/>
                </w:rPr>
                <w:t>Radiation Team</w:t>
              </w:r>
            </w:hyperlink>
            <w:r w:rsidRPr="0090483D">
              <w:t xml:space="preserve"> </w:t>
            </w:r>
            <w:r w:rsidRPr="0055119B">
              <w:t>&lt;</w:t>
            </w:r>
            <w:r w:rsidR="0090483D" w:rsidRPr="0090483D">
              <w:t>Radiation.Safety@health.vic.gov.au</w:t>
            </w:r>
            <w:r w:rsidRPr="0055119B">
              <w:t>&gt;.</w:t>
            </w:r>
          </w:p>
          <w:p w14:paraId="1194E741" w14:textId="77777777" w:rsidR="0055119B" w:rsidRPr="0055119B" w:rsidRDefault="0055119B" w:rsidP="00E33237">
            <w:pPr>
              <w:pStyle w:val="Imprint"/>
            </w:pPr>
            <w:r w:rsidRPr="0055119B">
              <w:t>Authorised and published by the Victorian Government, 1 Treasury Place, Melbourne.</w:t>
            </w:r>
          </w:p>
          <w:p w14:paraId="18786036" w14:textId="6ADCAFD6"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90483D">
              <w:rPr>
                <w:color w:val="004C97"/>
              </w:rPr>
              <w:t>January 2022</w:t>
            </w:r>
            <w:r w:rsidRPr="0055119B">
              <w:t>.</w:t>
            </w:r>
          </w:p>
          <w:p w14:paraId="2A9303C6" w14:textId="1649967D" w:rsidR="0055119B" w:rsidRPr="0090483D" w:rsidRDefault="0055119B" w:rsidP="00E33237">
            <w:pPr>
              <w:pStyle w:val="Imprint"/>
              <w:rPr>
                <w:color w:val="auto"/>
              </w:rPr>
            </w:pPr>
            <w:r w:rsidRPr="0055119B">
              <w:t>Available at</w:t>
            </w:r>
            <w:r w:rsidR="0090483D">
              <w:t xml:space="preserve"> </w:t>
            </w:r>
            <w:hyperlink r:id="rId22" w:history="1">
              <w:r w:rsidR="0090483D" w:rsidRPr="0090483D">
                <w:rPr>
                  <w:rStyle w:val="Hyperlink"/>
                </w:rPr>
                <w:t xml:space="preserve">Radiation website </w:t>
              </w:r>
              <w:r w:rsidRPr="0090483D">
                <w:rPr>
                  <w:rStyle w:val="Hyperlink"/>
                </w:rPr>
                <w:t xml:space="preserve"> </w:t>
              </w:r>
              <w:r w:rsidR="0090483D" w:rsidRPr="0090483D">
                <w:rPr>
                  <w:rStyle w:val="Hyperlink"/>
                </w:rPr>
                <w:t xml:space="preserve"> </w:t>
              </w:r>
            </w:hyperlink>
            <w:r w:rsidRPr="0090483D">
              <w:rPr>
                <w:color w:val="auto"/>
              </w:rPr>
              <w:t xml:space="preserve"> &lt;</w:t>
            </w:r>
            <w:r w:rsidR="0090483D" w:rsidRPr="0090483D">
              <w:rPr>
                <w:color w:val="auto"/>
              </w:rPr>
              <w:t>https://www.health.vic.gov.au/radiation/dosimetric-auditing-requirements-are-applied-as-a-condition-of-management-licence</w:t>
            </w:r>
            <w:r w:rsidRPr="0090483D">
              <w:rPr>
                <w:color w:val="auto"/>
              </w:rPr>
              <w:t>&gt;</w:t>
            </w:r>
          </w:p>
          <w:p w14:paraId="65047A26" w14:textId="000ACCB3" w:rsidR="0055119B" w:rsidRDefault="0090483D" w:rsidP="00E33237">
            <w:pPr>
              <w:pStyle w:val="Imprint"/>
            </w:pPr>
            <w:r>
              <w:t xml:space="preserve"> </w:t>
            </w:r>
          </w:p>
        </w:tc>
      </w:tr>
      <w:bookmarkEnd w:id="3"/>
    </w:tbl>
    <w:p w14:paraId="5B18FB10" w14:textId="77777777" w:rsidR="00162CA9" w:rsidRDefault="00162CA9" w:rsidP="00162CA9">
      <w:pPr>
        <w:pStyle w:val="Body"/>
      </w:pPr>
    </w:p>
    <w:sectPr w:rsidR="00162CA9" w:rsidSect="00E62622">
      <w:foot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6C5CC" w14:textId="77777777" w:rsidR="003618E0" w:rsidRDefault="003618E0">
      <w:r>
        <w:separator/>
      </w:r>
    </w:p>
  </w:endnote>
  <w:endnote w:type="continuationSeparator" w:id="0">
    <w:p w14:paraId="3620B95B" w14:textId="77777777" w:rsidR="003618E0" w:rsidRDefault="0036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59A08" w14:textId="77777777" w:rsidR="002A0E63" w:rsidRDefault="002A0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D72B3"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8A0CD59" wp14:editId="7BF2C78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BDCFA48" wp14:editId="577A623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BB38A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DCFA4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FBB38A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78C1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D16AB74" wp14:editId="39BC41F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37CA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16AB74"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78837CA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B1E63"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063B0C0E" wp14:editId="224A237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0028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3B0C0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7460028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A8A84" w14:textId="77777777" w:rsidR="003618E0" w:rsidRDefault="003618E0" w:rsidP="002862F1">
      <w:pPr>
        <w:spacing w:before="120"/>
      </w:pPr>
      <w:r>
        <w:separator/>
      </w:r>
    </w:p>
  </w:footnote>
  <w:footnote w:type="continuationSeparator" w:id="0">
    <w:p w14:paraId="27547A3E" w14:textId="77777777" w:rsidR="003618E0" w:rsidRDefault="003618E0">
      <w:r>
        <w:continuationSeparator/>
      </w:r>
    </w:p>
  </w:footnote>
  <w:footnote w:id="1">
    <w:p w14:paraId="71E9FBDC" w14:textId="1DC59BAE" w:rsidR="00E479C4" w:rsidRPr="00152329" w:rsidRDefault="00E479C4" w:rsidP="00FA1019">
      <w:pPr>
        <w:pStyle w:val="FootnoteText"/>
      </w:pPr>
      <w:r>
        <w:rPr>
          <w:rStyle w:val="FootnoteReference"/>
        </w:rPr>
        <w:footnoteRef/>
      </w:r>
      <w:r>
        <w:t xml:space="preserve"> An audit is considered conducted when the results of the audit are available</w:t>
      </w:r>
      <w:r w:rsidR="00FA1019">
        <w:t>.</w:t>
      </w:r>
    </w:p>
  </w:footnote>
  <w:footnote w:id="2">
    <w:p w14:paraId="78370F79" w14:textId="1A38EE13" w:rsidR="00E479C4" w:rsidRPr="00152329" w:rsidRDefault="00E479C4" w:rsidP="00FA1019">
      <w:pPr>
        <w:pStyle w:val="FootnoteText"/>
        <w:spacing w:before="0" w:after="0"/>
      </w:pPr>
      <w:r>
        <w:rPr>
          <w:rStyle w:val="FootnoteReference"/>
        </w:rPr>
        <w:footnoteRef/>
      </w:r>
      <w:r>
        <w:t xml:space="preserve"> This requirement does not apply to linear accelerators commissioned before 3 July 2017.</w:t>
      </w:r>
    </w:p>
  </w:footnote>
  <w:footnote w:id="3">
    <w:p w14:paraId="0177FC4D" w14:textId="385486D6" w:rsidR="00E479C4" w:rsidRPr="00152329" w:rsidRDefault="00E479C4" w:rsidP="00FA1019">
      <w:pPr>
        <w:pStyle w:val="FootnoteText"/>
        <w:spacing w:before="0" w:after="0"/>
      </w:pPr>
      <w:r>
        <w:rPr>
          <w:rStyle w:val="FootnoteReference"/>
        </w:rPr>
        <w:footnoteRef/>
      </w:r>
      <w:r>
        <w:t xml:space="preserve"> An audit is considered conducted when the results of the audit are available</w:t>
      </w:r>
      <w:r w:rsidR="00FA101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37C4F" w14:textId="77777777" w:rsidR="002A0E63" w:rsidRDefault="002A0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CE6A4"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443FD" w14:textId="77777777" w:rsidR="002A0E63" w:rsidRDefault="002A0E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728C4" w14:textId="0365A7DF" w:rsidR="00E261B3" w:rsidRPr="0051568D" w:rsidRDefault="003618E0" w:rsidP="0011701A">
    <w:pPr>
      <w:pStyle w:val="Header"/>
    </w:pPr>
    <w:r>
      <w:t>Requirements for Independent Dosimteric Auditing of Linear Accelerators- Management Licence condition M1737</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964"/>
        </w:tabs>
        <w:ind w:left="96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20322733">
    <w:abstractNumId w:val="10"/>
  </w:num>
  <w:num w:numId="2" w16cid:durableId="611479703">
    <w:abstractNumId w:val="17"/>
  </w:num>
  <w:num w:numId="3" w16cid:durableId="8428217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7649944">
    <w:abstractNumId w:val="17"/>
  </w:num>
  <w:num w:numId="5" w16cid:durableId="16380297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27828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5632389">
    <w:abstractNumId w:val="21"/>
  </w:num>
  <w:num w:numId="8" w16cid:durableId="1268464033">
    <w:abstractNumId w:val="16"/>
  </w:num>
  <w:num w:numId="9" w16cid:durableId="498618735">
    <w:abstractNumId w:val="20"/>
  </w:num>
  <w:num w:numId="10" w16cid:durableId="10788633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6832969">
    <w:abstractNumId w:val="22"/>
  </w:num>
  <w:num w:numId="12" w16cid:durableId="2818061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6966838">
    <w:abstractNumId w:val="18"/>
  </w:num>
  <w:num w:numId="14" w16cid:durableId="1995602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78089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70947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7049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1939939">
    <w:abstractNumId w:val="24"/>
  </w:num>
  <w:num w:numId="19" w16cid:durableId="20795928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9081258">
    <w:abstractNumId w:val="14"/>
  </w:num>
  <w:num w:numId="21" w16cid:durableId="1000087975">
    <w:abstractNumId w:val="12"/>
  </w:num>
  <w:num w:numId="22" w16cid:durableId="593278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3127402">
    <w:abstractNumId w:val="15"/>
  </w:num>
  <w:num w:numId="24" w16cid:durableId="422187680">
    <w:abstractNumId w:val="25"/>
  </w:num>
  <w:num w:numId="25" w16cid:durableId="727070867">
    <w:abstractNumId w:val="23"/>
  </w:num>
  <w:num w:numId="26" w16cid:durableId="1763184983">
    <w:abstractNumId w:val="19"/>
  </w:num>
  <w:num w:numId="27" w16cid:durableId="935135495">
    <w:abstractNumId w:val="11"/>
  </w:num>
  <w:num w:numId="28" w16cid:durableId="747312625">
    <w:abstractNumId w:val="26"/>
  </w:num>
  <w:num w:numId="29" w16cid:durableId="1532110156">
    <w:abstractNumId w:val="9"/>
  </w:num>
  <w:num w:numId="30" w16cid:durableId="1950239086">
    <w:abstractNumId w:val="7"/>
  </w:num>
  <w:num w:numId="31" w16cid:durableId="1304890078">
    <w:abstractNumId w:val="6"/>
  </w:num>
  <w:num w:numId="32" w16cid:durableId="1334188103">
    <w:abstractNumId w:val="5"/>
  </w:num>
  <w:num w:numId="33" w16cid:durableId="14112286">
    <w:abstractNumId w:val="4"/>
  </w:num>
  <w:num w:numId="34" w16cid:durableId="1606112839">
    <w:abstractNumId w:val="8"/>
  </w:num>
  <w:num w:numId="35" w16cid:durableId="920020750">
    <w:abstractNumId w:val="3"/>
  </w:num>
  <w:num w:numId="36" w16cid:durableId="272714542">
    <w:abstractNumId w:val="2"/>
  </w:num>
  <w:num w:numId="37" w16cid:durableId="25756276">
    <w:abstractNumId w:val="1"/>
  </w:num>
  <w:num w:numId="38" w16cid:durableId="1100300249">
    <w:abstractNumId w:val="0"/>
  </w:num>
  <w:num w:numId="39" w16cid:durableId="20287537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19419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043467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5455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91411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616663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E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72A"/>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075"/>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5EE"/>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0E63"/>
    <w:rsid w:val="002A483C"/>
    <w:rsid w:val="002B0C7C"/>
    <w:rsid w:val="002B1729"/>
    <w:rsid w:val="002B36C7"/>
    <w:rsid w:val="002B4DD4"/>
    <w:rsid w:val="002B5277"/>
    <w:rsid w:val="002B5375"/>
    <w:rsid w:val="002B77C1"/>
    <w:rsid w:val="002C0ED7"/>
    <w:rsid w:val="002C16D8"/>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618E0"/>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27F89"/>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3886"/>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83D"/>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0FA"/>
    <w:rsid w:val="0099232C"/>
    <w:rsid w:val="00994386"/>
    <w:rsid w:val="009970DD"/>
    <w:rsid w:val="009A13D8"/>
    <w:rsid w:val="009A279E"/>
    <w:rsid w:val="009A3015"/>
    <w:rsid w:val="009A3490"/>
    <w:rsid w:val="009B0A6F"/>
    <w:rsid w:val="009B0A94"/>
    <w:rsid w:val="009B2AE8"/>
    <w:rsid w:val="009B59E9"/>
    <w:rsid w:val="009B70AA"/>
    <w:rsid w:val="009C5E77"/>
    <w:rsid w:val="009C7A7E"/>
    <w:rsid w:val="009D0137"/>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3AB6"/>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79C4"/>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10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2929DF5"/>
  <w15:docId w15:val="{80F0F400-37A8-4628-A4CF-516EA166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4"/>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4"/>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4"/>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4"/>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72"/>
    <w:semiHidden/>
    <w:qFormat/>
    <w:rsid w:val="00627F89"/>
    <w:pPr>
      <w:ind w:left="720"/>
      <w:contextualSpacing/>
    </w:pPr>
  </w:style>
  <w:style w:type="numbering" w:customStyle="1" w:styleId="ZZNumbersloweralpha1">
    <w:name w:val="ZZ Numbers lower alpha1"/>
    <w:basedOn w:val="NoList"/>
    <w:rsid w:val="00627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Radiation.Safety@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rpansa.gov.au/Services/ACDS/index.cf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acds@arpans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radiation/dosimetric-auditing-requirements-are-applied-as-a-condition-of-management-licen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922</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Requirements for Independent Dosimetric Auditing of Linear Accelerators</vt:lpstr>
    </vt:vector>
  </TitlesOfParts>
  <Manager/>
  <Company>Victoria State Government, Department of Health</Company>
  <LinksUpToDate>false</LinksUpToDate>
  <CharactersWithSpaces>6440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Independent Dosimetric Auditing of Linear Accelerators</dc:title>
  <dc:subject>Requirements for Independent Dosimetric Auditing of Linear Accelerators </dc:subject>
  <dc:creator>Health Regulator</dc:creator>
  <cp:keywords/>
  <dc:description/>
  <cp:lastModifiedBy>Violette Lazanas (Health)</cp:lastModifiedBy>
  <cp:revision>3</cp:revision>
  <cp:lastPrinted>2020-03-30T03:28:00Z</cp:lastPrinted>
  <dcterms:created xsi:type="dcterms:W3CDTF">2024-12-12T00:52:00Z</dcterms:created>
  <dcterms:modified xsi:type="dcterms:W3CDTF">2024-12-12T00:53:00Z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2022-02-04T05:41:56Z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