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28" w:rsidRPr="00E754FD" w:rsidRDefault="00540C28" w:rsidP="00027E2D">
      <w:pPr>
        <w:pStyle w:val="Heading1"/>
        <w:spacing w:before="0"/>
        <w:rPr>
          <w:rFonts w:ascii="Arial" w:eastAsia="Arial" w:hAnsi="Arial" w:cs="Arial"/>
          <w:color w:val="101A41"/>
          <w:sz w:val="40"/>
          <w:szCs w:val="40"/>
          <w:lang w:eastAsia="zh-CN"/>
        </w:rPr>
      </w:pPr>
      <w:r>
        <w:rPr>
          <w:rFonts w:ascii="Arial" w:hAnsi="Arial" w:eastAsia="Arial"/>
          <w:color w:val="101A41"/>
          <w:sz w:val="40"/>
          <w:lang w:eastAsia="zh-CN"/>
        </w:rPr>
        <w:t xml:space="preserve">记录16：测量酿造软饮料酒精含量的沸点测定仪准度检查</w:t>
      </w:r>
    </w:p>
    <w:p w:rsidR="00540C28" w:rsidRPr="00027E2D" w:rsidRDefault="00540C28" w:rsidP="00E754FD">
      <w:pPr>
        <w:spacing w:after="120" w:line="270" w:lineRule="atLeast"/>
        <w:rPr>
          <w:rFonts w:ascii="Arial" w:eastAsia="Arial" w:hAnsi="Arial" w:cs="Times New Roman"/>
          <w:sz w:val="18"/>
          <w:szCs w:val="18"/>
          <w:highlight w:val="white"/>
          <w:lang w:eastAsia="zh-CN"/>
        </w:rPr>
      </w:pPr>
      <w:r>
        <w:rPr>
          <w:rFonts w:ascii="Arial" w:hAnsi="Arial" w:eastAsia="Arial"/>
          <w:sz w:val="18"/>
          <w:highlight w:val="white"/>
          <w:lang w:eastAsia="zh-CN"/>
        </w:rPr>
        <w:t xml:space="preserve">如果一个日历年的酿造软饮料产量不到100,000升，可以使用沸点测定仪和公式来测量酿造软饮料的酒精含量，前提是该方法得到以下测试过程的支持。</w:t>
      </w:r>
    </w:p>
    <w:p w:rsidR="00540C28" w:rsidRPr="00027E2D" w:rsidRDefault="00540C28" w:rsidP="00E754FD">
      <w:pPr>
        <w:spacing w:after="120" w:line="270" w:lineRule="atLeast"/>
        <w:rPr>
          <w:rFonts w:ascii="Arial" w:eastAsia="Arial" w:hAnsi="Arial" w:cs="Times New Roman"/>
          <w:sz w:val="18"/>
          <w:szCs w:val="18"/>
          <w:highlight w:val="white"/>
          <w:lang w:eastAsia="zh-CN"/>
        </w:rPr>
      </w:pPr>
      <w:r>
        <w:rPr>
          <w:rFonts w:ascii="Arial" w:hAnsi="Arial" w:eastAsia="Arial"/>
          <w:sz w:val="18"/>
          <w:highlight w:val="white"/>
          <w:lang w:eastAsia="zh-CN"/>
        </w:rPr>
        <w:t xml:space="preserve">测试沸点测定仪准度所采用的步骤为：</w:t>
      </w:r>
    </w:p>
    <w:p w:rsidR="00540C28" w:rsidRPr="00027E2D" w:rsidRDefault="00540C28" w:rsidP="00540C28">
      <w:pPr>
        <w:pStyle w:val="DHHSnumberdigit"/>
        <w:rPr>
          <w:sz w:val="18"/>
          <w:szCs w:val="18"/>
          <w:highlight w:val="white"/>
          <w:lang w:eastAsia="zh-CN"/>
          <w:rFonts/>
        </w:rPr>
      </w:pPr>
      <w:r>
        <w:rPr>
          <w:sz w:val="18"/>
          <w:highlight w:val="white"/>
          <w:lang w:eastAsia="zh-CN"/>
          <w:rFonts/>
        </w:rPr>
        <w:t xml:space="preserve">在此写下你使用比重计和公式计算产品酒精含量的做法及任何计算方法和公式。</w:t>
      </w:r>
    </w:p>
    <w:p w:rsidR="00540C28" w:rsidRPr="00027E2D" w:rsidRDefault="00540C28" w:rsidP="00540C28">
      <w:pPr>
        <w:pStyle w:val="DHHSnumberdigit"/>
        <w:rPr>
          <w:sz w:val="18"/>
          <w:szCs w:val="18"/>
          <w:highlight w:val="white"/>
          <w:lang w:eastAsia="zh-CN"/>
          <w:rFonts/>
        </w:rPr>
      </w:pPr>
      <w:r>
        <w:rPr>
          <w:sz w:val="18"/>
          <w:highlight w:val="white"/>
          <w:lang w:eastAsia="zh-CN"/>
          <w:rFonts/>
        </w:rPr>
        <w:t xml:space="preserve">提供三个同期生产批次的三份样品（即，一共九次测试）的分析证书，其中声明产品酒精含量，包括测试结果差异。</w:t>
      </w:r>
      <w:r>
        <w:rPr>
          <w:sz w:val="18"/>
          <w:highlight w:val="white"/>
          <w:lang w:eastAsia="zh-CN"/>
          <w:rFonts/>
        </w:rPr>
        <w:t xml:space="preserve">证书必须由NATA认证的实验室出具。</w:t>
      </w:r>
    </w:p>
    <w:p w:rsidR="00540C28" w:rsidRPr="00027E2D" w:rsidRDefault="00540C28" w:rsidP="00540C28">
      <w:pPr>
        <w:pStyle w:val="DHHSnumberdigit"/>
        <w:rPr>
          <w:sz w:val="18"/>
          <w:szCs w:val="18"/>
          <w:highlight w:val="white"/>
          <w:lang w:eastAsia="zh-CN"/>
          <w:rFonts/>
        </w:rPr>
      </w:pPr>
      <w:r>
        <w:rPr>
          <w:sz w:val="18"/>
          <w:highlight w:val="white"/>
          <w:lang w:eastAsia="zh-CN"/>
          <w:rFonts/>
        </w:rPr>
        <w:t xml:space="preserve">针对同一批次的产品，将你的沸点测定仪检测结果与实验室分析证书上的结果进行比较，以验证你的测试流程。</w:t>
      </w:r>
    </w:p>
    <w:p w:rsidR="00540C28" w:rsidRPr="00027E2D" w:rsidRDefault="00540C28" w:rsidP="00540C28">
      <w:pPr>
        <w:pStyle w:val="DHHSnumberdigit"/>
        <w:rPr>
          <w:sz w:val="18"/>
          <w:szCs w:val="18"/>
          <w:highlight w:val="white"/>
          <w:lang w:eastAsia="zh-CN"/>
          <w:rFonts/>
        </w:rPr>
      </w:pPr>
      <w:r>
        <w:rPr>
          <w:sz w:val="18"/>
          <w:highlight w:val="white"/>
          <w:lang w:eastAsia="zh-CN"/>
          <w:rFonts/>
        </w:rPr>
        <w:t xml:space="preserve">测试结果须每年验证。</w:t>
      </w:r>
    </w:p>
    <w:tbl>
      <w:tblPr>
        <w:tblW w:w="10065" w:type="dxa"/>
        <w:tblInd w:w="100"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10065"/>
      </w:tblGrid>
      <w:tr w:rsidR="00540C28" w:rsidRPr="00540C28" w:rsidTr="00411586">
        <w:tc>
          <w:tcPr>
            <w:tcW w:w="10065" w:type="dxa"/>
            <w:shd w:val="clear" w:color="auto" w:fill="auto"/>
            <w:tcMar>
              <w:top w:w="100" w:type="dxa"/>
              <w:left w:w="100" w:type="dxa"/>
              <w:bottom w:w="100" w:type="dxa"/>
              <w:right w:w="100" w:type="dxa"/>
            </w:tcMar>
          </w:tcPr>
          <w:p w:rsidR="00540C28" w:rsidRPr="00027E2D" w:rsidRDefault="00540C28" w:rsidP="00540C28">
            <w:pPr>
              <w:spacing w:before="80" w:after="60" w:line="240" w:lineRule="auto"/>
              <w:rPr>
                <w:rFonts w:ascii="Arial" w:eastAsia="Arial" w:hAnsi="Arial" w:cs="Times New Roman"/>
                <w:b/>
                <w:color w:val="FFFFFF"/>
                <w:sz w:val="18"/>
                <w:szCs w:val="18"/>
                <w:lang w:eastAsia="zh-CN"/>
              </w:rPr>
            </w:pPr>
            <w:r>
              <w:rPr>
                <w:rFonts w:ascii="Arial" w:hAnsi="Arial" w:eastAsia="Arial"/>
                <w:b w:val="true"/>
                <w:color w:val="101A41"/>
                <w:sz w:val="18"/>
                <w:lang w:eastAsia="zh-CN"/>
              </w:rPr>
              <w:t xml:space="preserve">在此写下你使用沸点测定仪和公式计算产品酒精含量的做法及任何计算方法和公式。</w:t>
            </w: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color w:val="FFFFFF"/>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rPr>
          <w:trHeight w:val="185"/>
        </w:trPr>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rPr>
          <w:trHeight w:val="185"/>
        </w:trPr>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r w:rsidR="00540C28" w:rsidRPr="00540C28" w:rsidTr="00411586">
        <w:trPr>
          <w:trHeight w:val="185"/>
        </w:trPr>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Arial" w:hAnsi="Arial" w:cs="Arial"/>
                <w:sz w:val="20"/>
                <w:szCs w:val="20"/>
                <w:highlight w:val="white"/>
                <w:lang w:eastAsia="zh-CN"/>
              </w:rPr>
            </w:pPr>
          </w:p>
        </w:tc>
      </w:tr>
    </w:tbl>
    <w:p w:rsidR="00540C28" w:rsidRPr="00540C28" w:rsidRDefault="0045744C" w:rsidP="0045744C">
      <w:pPr>
        <w:keepNext/>
        <w:keepLines/>
        <w:spacing w:after="90" w:line="320" w:lineRule="atLeast"/>
        <w:outlineLvl w:val="1"/>
        <w:rPr>
          <w:rFonts w:ascii="Arial" w:eastAsia="Arial" w:hAnsi="Arial" w:cs="Arial"/>
          <w:sz w:val="20"/>
          <w:szCs w:val="20"/>
          <w:lang w:eastAsia="zh-CN"/>
        </w:rPr>
      </w:pPr>
      <w:r>
        <w:rPr>
          <w:rFonts w:ascii="Arial" w:hAnsi="Arial" w:eastAsia="Arial"/>
          <w:sz w:val="20"/>
          <w:lang w:eastAsia="zh-CN"/>
        </w:rPr>
        <w:t xml:space="preserve"> </w:t>
      </w:r>
    </w:p>
    <w:p w:rsidR="00540C28" w:rsidRPr="00E754FD" w:rsidRDefault="00540C28" w:rsidP="00027E2D">
      <w:pPr>
        <w:pStyle w:val="Heading1"/>
        <w:spacing w:before="0"/>
        <w:rPr>
          <w:rFonts w:ascii="Arial" w:eastAsia="Arial" w:hAnsi="Arial" w:cs="Arial"/>
          <w:sz w:val="40"/>
          <w:szCs w:val="40"/>
          <w:lang w:eastAsia="zh-CN"/>
        </w:rPr>
      </w:pPr>
      <w:r w:rsidRPr="00540C28">
        <w:rPr>
          <w:lang w:eastAsia="zh-CN"/>
          <w:rFonts/>
        </w:rPr>
        <w:br w:type="page"/>
      </w:r>
      <w:r>
        <w:rPr>
          <w:rFonts w:ascii="Arial" w:hAnsi="Arial" w:eastAsia="Arial"/>
          <w:color w:val="101A41"/>
          <w:sz w:val="40"/>
          <w:lang w:eastAsia="zh-CN"/>
        </w:rPr>
        <w:t xml:space="preserve">记录16：测量酿造软饮料酒精含量的沸点测定仪准度检查</w:t>
      </w:r>
    </w:p>
    <w:p w:rsidR="00540C28" w:rsidRPr="00027E2D" w:rsidRDefault="00540C28" w:rsidP="00E754FD">
      <w:pPr>
        <w:spacing w:after="120" w:line="270" w:lineRule="atLeast"/>
        <w:rPr>
          <w:rFonts w:ascii="Arial" w:eastAsia="Arial" w:hAnsi="Arial" w:cs="Times New Roman"/>
          <w:sz w:val="18"/>
          <w:szCs w:val="18"/>
          <w:lang w:eastAsia="zh-CN"/>
        </w:rPr>
      </w:pPr>
      <w:r>
        <w:rPr>
          <w:rFonts w:ascii="Arial" w:hAnsi="Arial" w:eastAsia="Arial"/>
          <w:sz w:val="18"/>
          <w:lang w:eastAsia="zh-CN"/>
        </w:rPr>
        <w:t xml:space="preserve">使用本记录验证测试方法，每年重做。</w:t>
      </w:r>
      <w:r>
        <w:rPr>
          <w:rFonts w:ascii="Arial" w:hAnsi="Arial" w:eastAsia="Arial"/>
          <w:sz w:val="18"/>
          <w:lang w:eastAsia="zh-CN"/>
        </w:rPr>
        <w:t xml:space="preserve">必须测试三个同期生产批次的三份样品（即，一共九次测试）</w:t>
      </w:r>
    </w:p>
    <w:tbl>
      <w:tblPr>
        <w:tblW w:w="10207" w:type="dxa"/>
        <w:tblInd w:w="-42"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709"/>
        <w:gridCol w:w="1276"/>
        <w:gridCol w:w="1276"/>
        <w:gridCol w:w="709"/>
        <w:gridCol w:w="425"/>
        <w:gridCol w:w="1134"/>
        <w:gridCol w:w="1134"/>
        <w:gridCol w:w="992"/>
        <w:gridCol w:w="1276"/>
        <w:gridCol w:w="1276"/>
      </w:tblGrid>
      <w:tr w:rsidR="00540C28" w:rsidRPr="00540C28" w:rsidTr="00411586">
        <w:trPr>
          <w:trHeight w:val="440"/>
        </w:trPr>
        <w:tc>
          <w:tcPr>
            <w:tcW w:w="3970" w:type="dxa"/>
            <w:gridSpan w:val="4"/>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这些结果是哪一年的？</w:t>
            </w:r>
          </w:p>
        </w:tc>
        <w:tc>
          <w:tcPr>
            <w:tcW w:w="6237" w:type="dxa"/>
            <w:gridSpan w:val="6"/>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20"/>
                <w:szCs w:val="20"/>
                <w:lang w:eastAsia="zh-CN"/>
              </w:rPr>
            </w:pPr>
          </w:p>
        </w:tc>
      </w:tr>
      <w:tr w:rsidR="00540C28" w:rsidRPr="00540C28" w:rsidTr="00411586">
        <w:trPr>
          <w:trHeight w:val="440"/>
        </w:trPr>
        <w:tc>
          <w:tcPr>
            <w:tcW w:w="709"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测试#</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日期</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批号</w:t>
            </w:r>
          </w:p>
        </w:tc>
        <w:tc>
          <w:tcPr>
            <w:tcW w:w="2268" w:type="dxa"/>
            <w:gridSpan w:val="3"/>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结果A：</w:t>
            </w:r>
            <w:r>
              <w:rPr>
                <w:rFonts w:ascii="Arial" w:hAnsi="Arial" w:eastAsia="Arial"/>
                <w:b w:val="true"/>
                <w:color w:val="101A41"/>
                <w:sz w:val="18"/>
                <w:lang w:eastAsia="zh-CN"/>
              </w:rPr>
              <w:t xml:space="preserve"> </w:t>
            </w:r>
          </w:p>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沸点测定仪和公式确定的酒精含量（%）</w:t>
            </w:r>
          </w:p>
        </w:tc>
        <w:tc>
          <w:tcPr>
            <w:tcW w:w="2126"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结果B：</w:t>
            </w:r>
            <w:r>
              <w:rPr>
                <w:rFonts w:ascii="Arial" w:hAnsi="Arial" w:eastAsia="Arial"/>
                <w:b w:val="true"/>
                <w:color w:val="101A41"/>
                <w:sz w:val="18"/>
                <w:lang w:eastAsia="zh-CN"/>
              </w:rPr>
              <w:t xml:space="preserve"> </w:t>
            </w:r>
          </w:p>
          <w:p w:rsidR="00540C28" w:rsidRPr="00E754FD"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NATA认证实验室确定的酒精含量（%）*</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差异：结果A和B之间的差异</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差异是否超过0.3%？</w:t>
            </w:r>
          </w:p>
          <w:p w:rsidR="00540C28" w:rsidRPr="00411586" w:rsidRDefault="00540C28" w:rsidP="00540C28">
            <w:pPr>
              <w:spacing w:before="80" w:after="6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是或否？</w:t>
            </w:r>
          </w:p>
        </w:tc>
      </w:tr>
      <w:tr w:rsidR="00540C28" w:rsidRPr="00540C28" w:rsidTr="00411586">
        <w:trPr>
          <w:trHeight w:val="358"/>
        </w:trPr>
        <w:tc>
          <w:tcPr>
            <w:tcW w:w="709"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r>
              <w:rPr>
                <w:rFonts w:ascii="Arial" w:hAnsi="Arial" w:eastAsia="Arial"/>
                <w:color w:val="101A41"/>
                <w:sz w:val="18"/>
                <w:highlight w:val="white"/>
                <w:lang w:eastAsia="zh-CN"/>
              </w:rPr>
              <w:t xml:space="preserve">1</w:t>
            </w: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样品1</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样品1</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38"/>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样品2</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样品2</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46"/>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样品3</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样品3</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40"/>
        </w:trPr>
        <w:tc>
          <w:tcPr>
            <w:tcW w:w="709"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r>
              <w:rPr>
                <w:rFonts w:ascii="Arial" w:hAnsi="Arial" w:eastAsia="Arial"/>
                <w:color w:val="101A41"/>
                <w:sz w:val="18"/>
                <w:highlight w:val="white"/>
                <w:lang w:eastAsia="zh-CN"/>
              </w:rPr>
              <w:t xml:space="preserve">2</w:t>
            </w: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样品1</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样品1</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48"/>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样品2</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样品2</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42"/>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样品3</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样品3</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64"/>
        </w:trPr>
        <w:tc>
          <w:tcPr>
            <w:tcW w:w="709"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r>
              <w:rPr>
                <w:rFonts w:ascii="Arial" w:hAnsi="Arial" w:eastAsia="Arial"/>
                <w:color w:val="101A41"/>
                <w:sz w:val="18"/>
                <w:highlight w:val="white"/>
                <w:lang w:eastAsia="zh-CN"/>
              </w:rPr>
              <w:t xml:space="preserve">3</w:t>
            </w: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样品1</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样品1</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44"/>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样品2</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样品2</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338"/>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20"/>
                <w:szCs w:val="20"/>
                <w:highlight w:val="white"/>
                <w:lang w:eastAsia="zh-CN"/>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样品3</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color w:val="101A41"/>
                <w:sz w:val="18"/>
                <w:szCs w:val="18"/>
                <w:highlight w:val="white"/>
                <w:lang w:eastAsia="zh-CN"/>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Arial" w:hAnsi="Arial" w:cs="Times New Roman"/>
                <w:b/>
                <w:color w:val="101A41"/>
                <w:sz w:val="18"/>
                <w:szCs w:val="18"/>
                <w:lang w:eastAsia="zh-CN"/>
              </w:rPr>
            </w:pPr>
            <w:r>
              <w:rPr>
                <w:rFonts w:ascii="Arial" w:hAnsi="Arial" w:eastAsia="Arial"/>
                <w:b w:val="true"/>
                <w:color w:val="101A41"/>
                <w:sz w:val="18"/>
                <w:lang w:eastAsia="zh-CN"/>
              </w:rPr>
              <w:t xml:space="preserve">样品3</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Arial" w:hAnsi="Arial" w:cs="Arial"/>
                <w:color w:val="101A41"/>
                <w:sz w:val="20"/>
                <w:szCs w:val="20"/>
                <w:highlight w:val="white"/>
                <w:lang w:eastAsia="zh-CN"/>
              </w:rPr>
            </w:pPr>
          </w:p>
        </w:tc>
      </w:tr>
      <w:tr w:rsidR="00540C28" w:rsidRPr="00540C28" w:rsidTr="00411586">
        <w:trPr>
          <w:trHeight w:val="1012"/>
        </w:trPr>
        <w:tc>
          <w:tcPr>
            <w:tcW w:w="10207" w:type="dxa"/>
            <w:gridSpan w:val="10"/>
            <w:shd w:val="clear" w:color="auto" w:fill="auto"/>
            <w:tcMar>
              <w:top w:w="100" w:type="dxa"/>
              <w:left w:w="100" w:type="dxa"/>
              <w:bottom w:w="100" w:type="dxa"/>
              <w:right w:w="100" w:type="dxa"/>
            </w:tcMar>
          </w:tcPr>
          <w:p w:rsidR="00540C28" w:rsidRPr="00411586" w:rsidRDefault="00540C28" w:rsidP="00540C28">
            <w:pPr>
              <w:spacing w:before="80" w:after="120" w:line="240" w:lineRule="auto"/>
              <w:rPr>
                <w:rFonts w:ascii="Arial" w:eastAsia="Arial" w:hAnsi="Arial" w:cs="Times New Roman"/>
                <w:color w:val="000000" w:themeColor="text1"/>
                <w:sz w:val="18"/>
                <w:szCs w:val="18"/>
                <w:highlight w:val="white"/>
                <w:lang w:eastAsia="zh-CN"/>
              </w:rPr>
            </w:pPr>
            <w:r>
              <w:rPr>
                <w:rFonts w:ascii="Arial" w:hAnsi="Arial" w:eastAsia="Arial"/>
                <w:color w:val="000000" w:themeColor="text1"/>
                <w:sz w:val="18"/>
                <w:highlight w:val="white"/>
                <w:lang w:eastAsia="zh-CN"/>
              </w:rPr>
              <w:t xml:space="preserve">表中九份样品是否有任何测试结果差异超过0.3%？</w:t>
            </w:r>
            <w:r>
              <w:rPr>
                <w:rFonts w:ascii="Arial" w:hAnsi="Arial" w:eastAsia="Arial"/>
                <w:color w:val="000000" w:themeColor="text1"/>
                <w:sz w:val="18"/>
                <w:highlight w:val="white"/>
                <w:lang w:eastAsia="zh-CN"/>
              </w:rPr>
              <w:t xml:space="preserve"> </w:t>
            </w:r>
          </w:p>
          <w:p w:rsidR="00540C28" w:rsidRPr="00411586" w:rsidRDefault="00540C28" w:rsidP="00540C28">
            <w:pPr>
              <w:spacing w:before="80" w:after="120" w:line="240" w:lineRule="auto"/>
              <w:rPr>
                <w:rFonts w:ascii="Arial" w:eastAsia="Arial" w:hAnsi="Arial" w:cs="Times New Roman"/>
                <w:color w:val="000000" w:themeColor="text1"/>
                <w:sz w:val="18"/>
                <w:szCs w:val="18"/>
                <w:highlight w:val="white"/>
                <w:lang w:eastAsia="zh-CN"/>
              </w:rPr>
            </w:pPr>
            <w:r>
              <w:rPr>
                <w:rFonts w:ascii="Arial" w:hAnsi="Arial" w:eastAsia="Arial"/>
                <w:b w:val="true"/>
                <w:color w:val="000000" w:themeColor="text1"/>
                <w:sz w:val="18"/>
                <w:highlight w:val="white"/>
                <w:lang w:eastAsia="zh-CN"/>
              </w:rPr>
              <w:t xml:space="preserve">是或否？</w:t>
            </w:r>
            <w:r w:rsidRPr="00411586">
              <w:rPr>
                <w:rFonts w:ascii="Arial" w:hAnsi="Arial" w:eastAsia="Arial"/>
                <w:color w:val="000000" w:themeColor="text1"/>
                <w:sz w:val="18"/>
                <w:szCs w:val="18"/>
                <w:highlight w:val="white"/>
                <w:lang w:eastAsia="zh-CN"/>
              </w:rPr>
              <w:t xml:space="preserve"> 如果是，就需要重复验证程序。</w:t>
            </w:r>
          </w:p>
          <w:p w:rsidR="00540C28" w:rsidRPr="00411586" w:rsidRDefault="00540C28" w:rsidP="00540C28">
            <w:pPr>
              <w:spacing w:before="240" w:after="120" w:line="240" w:lineRule="auto"/>
              <w:rPr>
                <w:rFonts w:ascii="Arial" w:eastAsia="Arial" w:hAnsi="Arial" w:cs="Times New Roman"/>
                <w:color w:val="101A41"/>
                <w:sz w:val="18"/>
                <w:szCs w:val="18"/>
                <w:highlight w:val="white"/>
                <w:lang w:eastAsia="zh-CN"/>
              </w:rPr>
            </w:pPr>
            <w:r>
              <w:rPr>
                <w:rFonts w:ascii="Arial" w:hAnsi="Arial" w:eastAsia="Arial"/>
                <w:color w:val="000000" w:themeColor="text1"/>
                <w:sz w:val="18"/>
                <w:highlight w:val="white"/>
                <w:lang w:eastAsia="zh-CN"/>
              </w:rPr>
              <w:t xml:space="preserve">* 分析证书必须附在本记录上。</w:t>
            </w:r>
          </w:p>
        </w:tc>
      </w:tr>
    </w:tbl>
    <w:p w:rsidR="00540C28" w:rsidRPr="00540C28" w:rsidRDefault="00540C28" w:rsidP="00540C28">
      <w:pPr>
        <w:spacing w:after="120" w:line="270" w:lineRule="atLeast"/>
        <w:rPr>
          <w:rFonts w:ascii="Arial" w:eastAsia="Arial" w:hAnsi="Arial" w:cs="Arial"/>
          <w:sz w:val="20"/>
          <w:szCs w:val="20"/>
          <w:lang w:eastAsia="zh-CN"/>
        </w:rPr>
      </w:pPr>
    </w:p>
    <w:p w:rsidR="000826AA" w:rsidRDefault="00E754FD" w:rsidP="00540C28"/>
    <w:sectPr w:rsidR="000826AA" w:rsidSect="00540C2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E2D" w:rsidRDefault="00027E2D" w:rsidP="00027E2D">
      <w:pPr>
        <w:spacing w:after="0" w:line="240" w:lineRule="auto"/>
      </w:pPr>
      <w:r>
        <w:rPr>
          <w:lang w:eastAsia="zh-CN"/>
          <w:rFonts/>
        </w:rPr>
        <w:separator/>
      </w:r>
    </w:p>
  </w:endnote>
  <w:endnote w:type="continuationSeparator" w:id="0">
    <w:p w:rsidR="00027E2D" w:rsidRDefault="00027E2D" w:rsidP="00027E2D">
      <w:pPr>
        <w:spacing w:after="0" w:line="240" w:lineRule="auto"/>
      </w:pPr>
      <w:r>
        <w:rPr>
          <w:lang w:eastAsia="zh-CN"/>
          <w:rFont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FD" w:rsidRDefault="00E754FD">
    <w:pPr>
      <w:pStyle w:val="Footer"/>
    </w:pPr>
    <w:r>
      <w:rPr>
        <w:lang w:eastAsia="zh-CN"/>
        <w:rFonts/>
      </w:rPr>
      <w:drawing>
        <wp:anchor distT="0" distB="0" distL="114300" distR="114300" simplePos="0" relativeHeight="251659264" behindDoc="1" locked="0" layoutInCell="1" allowOverlap="1" wp14:anchorId="22679168" wp14:editId="7A41FD5F">
          <wp:simplePos x="0" y="0"/>
          <wp:positionH relativeFrom="column">
            <wp:posOffset>-457200</wp:posOffset>
          </wp:positionH>
          <wp:positionV relativeFrom="paragraph">
            <wp:posOffset>-18415</wp:posOffset>
          </wp:positionV>
          <wp:extent cx="7559040" cy="792480"/>
          <wp:effectExtent l="0" t="0" r="3810" b="7620"/>
          <wp:wrapTight wrapText="bothSides">
            <wp:wrapPolygon edited="0">
              <wp:start x="0" y="0"/>
              <wp:lineTo x="0" y="21288"/>
              <wp:lineTo x="21556" y="21288"/>
              <wp:lineTo x="215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792480"/>
                  </a:xfrm>
                  <a:prstGeom prst="rect">
                    <a:avLst/>
                  </a:prstGeom>
                </pic:spPr>
              </pic:pic>
            </a:graphicData>
          </a:graphic>
          <wp14:sizeRelH relativeFrom="page">
            <wp14:pctWidth>0</wp14:pctWidth>
          </wp14:sizeRelH>
          <wp14:sizeRelV relativeFrom="page">
            <wp14:pctHeight>0</wp14:pctHeight>
          </wp14:sizeRelV>
        </wp:anchor>
      </w:drawing>
    </w:r>
  </w:p>
  <w:p w:rsidR="00027E2D" w:rsidRDefault="00027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E2D" w:rsidRDefault="00027E2D" w:rsidP="00027E2D">
      <w:pPr>
        <w:spacing w:after="0" w:line="240" w:lineRule="auto"/>
      </w:pPr>
      <w:r>
        <w:rPr>
          <w:lang w:eastAsia="zh-CN"/>
          <w:rFonts/>
        </w:rPr>
        <w:separator/>
      </w:r>
    </w:p>
  </w:footnote>
  <w:footnote w:type="continuationSeparator" w:id="0">
    <w:p w:rsidR="00027E2D" w:rsidRDefault="00027E2D" w:rsidP="00027E2D">
      <w:pPr>
        <w:spacing w:after="0" w:line="240" w:lineRule="auto"/>
      </w:pPr>
      <w:r>
        <w:rPr>
          <w:lang w:eastAsia="zh-CN"/>
          <w:rFont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D" w:rsidRDefault="00027E2D">
    <w:pPr>
      <w:pStyle w:val="Header"/>
    </w:pPr>
    <w:r>
      <w:rPr>
        <w:lang w:eastAsia="zh-CN"/>
        <w:rFonts/>
      </w:rPr>
      <w:t xml:space="preserve">记录16：测量酿造软饮料酒精含量的沸点测定仪准度检查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C28"/>
    <w:rsid w:val="00027E2D"/>
    <w:rsid w:val="002A2E30"/>
    <w:rsid w:val="00411586"/>
    <w:rsid w:val="0045744C"/>
    <w:rsid w:val="00540C28"/>
    <w:rsid w:val="005D5BA6"/>
    <w:rsid w:val="00E754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Arial" w:hAnsi="Arial" w:cs="Times New Roman"/>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Arial" w:hAnsi="Arial" w:cs="Times New Roman"/>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Arial" w:hAnsi="Arial" w:cs="Times New Roman"/>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Arial" w:hAnsi="Arial" w:cs="Times New Roman"/>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Arial" w:hAnsi="Arial" w:cs="Times New Roman"/>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eastAsia="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eastAsia="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Times" w:hAnsi="Arial" w:cs="Times New Roman"/>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Times" w:hAnsi="Arial" w:cs="Times New Roman"/>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Times" w:hAnsi="Arial" w:cs="Times New Roman"/>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Times" w:hAnsi="Arial" w:cs="Times New Roman"/>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Times" w:hAnsi="Arial" w:cs="Times New Roman"/>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Kuan Kathyrine (DHHS)</cp:lastModifiedBy>
  <cp:revision>5</cp:revision>
  <dcterms:created xsi:type="dcterms:W3CDTF">2017-10-10T05:18:00Z</dcterms:created>
  <dcterms:modified xsi:type="dcterms:W3CDTF">2017-10-30T00:54:00Z</dcterms:modified>
</cp:coreProperties>
</file>