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9D6" w:rsidRPr="00D335AF" w:rsidRDefault="004C766A" w:rsidP="00D335AF">
      <w:pPr>
        <w:pStyle w:val="Heading1"/>
        <w:spacing w:before="0"/>
        <w:rPr>
          <w:rFonts w:ascii="Arial" w:eastAsia="Arial" w:hAnsi="Arial" w:cs="Arial"/>
          <w:color w:val="101A41"/>
          <w:sz w:val="40"/>
          <w:szCs w:val="40"/>
        </w:rPr>
      </w:pPr>
      <w:r>
        <w:rPr>
          <w:rFonts w:ascii="Arial" w:eastAsia="Arial" w:hAnsi="Arial"/>
          <w:color w:val="101A41"/>
          <w:sz w:val="40"/>
        </w:rPr>
        <w:t>记录15：如何测量酿造软饮料的酒精含量</w:t>
      </w:r>
    </w:p>
    <w:p w:rsidR="004C766A" w:rsidRPr="00E80461" w:rsidRDefault="004C766A" w:rsidP="00E80461">
      <w:pPr>
        <w:spacing w:before="240" w:after="120" w:line="270" w:lineRule="atLeast"/>
        <w:rPr>
          <w:rFonts w:ascii="Arial" w:eastAsia="Arial" w:hAnsi="Arial" w:cs="Times New Roman"/>
          <w:sz w:val="18"/>
          <w:szCs w:val="18"/>
          <w:highlight w:val="white"/>
        </w:rPr>
      </w:pPr>
      <w:r>
        <w:rPr>
          <w:rFonts w:ascii="Arial" w:eastAsia="Arial" w:hAnsi="Arial"/>
          <w:sz w:val="18"/>
          <w:highlight w:val="white"/>
        </w:rPr>
        <w:t>产品酒精*含量的允许测试方法（校准到20⁰C）为：</w:t>
      </w:r>
    </w:p>
    <w:p w:rsidR="004C766A" w:rsidRPr="00E80461" w:rsidRDefault="004C766A" w:rsidP="004C766A">
      <w:pPr>
        <w:pStyle w:val="ListParagraph"/>
        <w:numPr>
          <w:ilvl w:val="0"/>
          <w:numId w:val="2"/>
        </w:numPr>
        <w:rPr>
          <w:rFonts w:ascii="Arial" w:eastAsia="Arial" w:hAnsi="Arial" w:cs="Arial"/>
          <w:sz w:val="18"/>
          <w:szCs w:val="18"/>
          <w:highlight w:val="white"/>
        </w:rPr>
      </w:pPr>
      <w:r>
        <w:rPr>
          <w:rFonts w:ascii="Arial" w:eastAsia="Arial" w:hAnsi="Arial"/>
          <w:sz w:val="18"/>
          <w:highlight w:val="white"/>
        </w:rPr>
        <w:t>气相色谱法</w:t>
      </w:r>
    </w:p>
    <w:p w:rsidR="004C766A" w:rsidRPr="00E80461" w:rsidRDefault="004C766A" w:rsidP="004C766A">
      <w:pPr>
        <w:pStyle w:val="ListParagraph"/>
        <w:numPr>
          <w:ilvl w:val="0"/>
          <w:numId w:val="2"/>
        </w:numPr>
        <w:rPr>
          <w:rFonts w:ascii="Arial" w:eastAsia="Arial" w:hAnsi="Arial" w:cs="Arial"/>
          <w:sz w:val="18"/>
          <w:szCs w:val="18"/>
          <w:highlight w:val="white"/>
        </w:rPr>
      </w:pPr>
      <w:r>
        <w:rPr>
          <w:rFonts w:ascii="Arial" w:eastAsia="Arial" w:hAnsi="Arial"/>
          <w:sz w:val="18"/>
          <w:highlight w:val="white"/>
        </w:rPr>
        <w:t>近红外光谱法</w:t>
      </w:r>
    </w:p>
    <w:p w:rsidR="004C766A" w:rsidRPr="00E80461" w:rsidRDefault="004C766A" w:rsidP="004C766A">
      <w:pPr>
        <w:pStyle w:val="ListParagraph"/>
        <w:numPr>
          <w:ilvl w:val="0"/>
          <w:numId w:val="2"/>
        </w:numPr>
        <w:rPr>
          <w:rFonts w:ascii="Arial" w:eastAsia="Arial" w:hAnsi="Arial" w:cs="Arial"/>
          <w:sz w:val="18"/>
          <w:szCs w:val="18"/>
          <w:highlight w:val="white"/>
        </w:rPr>
      </w:pPr>
      <w:r>
        <w:rPr>
          <w:rFonts w:ascii="Arial" w:eastAsia="Arial" w:hAnsi="Arial"/>
          <w:sz w:val="18"/>
          <w:highlight w:val="white"/>
        </w:rPr>
        <w:t>蒸馏后对蒸馏液进行重量测定或使用密度计测量</w:t>
      </w:r>
    </w:p>
    <w:p w:rsidR="004C766A" w:rsidRPr="00E80461" w:rsidRDefault="004C766A" w:rsidP="004C766A">
      <w:pPr>
        <w:pStyle w:val="ListParagraph"/>
        <w:numPr>
          <w:ilvl w:val="0"/>
          <w:numId w:val="2"/>
        </w:numPr>
        <w:rPr>
          <w:rFonts w:ascii="Arial" w:eastAsia="Arial" w:hAnsi="Arial" w:cs="Arial"/>
          <w:sz w:val="18"/>
          <w:szCs w:val="18"/>
          <w:highlight w:val="white"/>
        </w:rPr>
      </w:pPr>
      <w:r>
        <w:rPr>
          <w:rFonts w:ascii="Arial" w:eastAsia="Arial" w:hAnsi="Arial"/>
          <w:sz w:val="18"/>
          <w:highlight w:val="white"/>
        </w:rPr>
        <w:t>任何其它采用有记录的测试过程稳定获得相似结果的方法，且测试结果与国家权威测试机构协会认证实验室获得的结果进行了比较。（如果酿造软饮料年产量不到100,000升，可以用沸点测定仪测酒精含量，使用</w:t>
      </w:r>
      <w:r w:rsidRPr="00E80461">
        <w:rPr>
          <w:rFonts w:ascii="Arial" w:eastAsia="Arial" w:hAnsi="Arial"/>
          <w:b/>
          <w:sz w:val="18"/>
          <w:szCs w:val="18"/>
          <w:highlight w:val="white"/>
        </w:rPr>
        <w:t>记录16</w:t>
      </w:r>
      <w:r>
        <w:rPr>
          <w:rFonts w:ascii="Arial" w:eastAsia="Arial" w:hAnsi="Arial"/>
          <w:sz w:val="18"/>
          <w:highlight w:val="white"/>
        </w:rPr>
        <w:t>验证你的过程。这项记录必须每年重做。）</w:t>
      </w:r>
    </w:p>
    <w:p w:rsidR="004C766A" w:rsidRPr="00E80461" w:rsidRDefault="004C766A" w:rsidP="004C766A">
      <w:pPr>
        <w:spacing w:after="120" w:line="270" w:lineRule="atLeast"/>
        <w:rPr>
          <w:rFonts w:ascii="Arial" w:eastAsia="Arial" w:hAnsi="Arial" w:cs="Times New Roman"/>
          <w:sz w:val="18"/>
          <w:szCs w:val="18"/>
          <w:highlight w:val="white"/>
        </w:rPr>
      </w:pPr>
      <w:r>
        <w:rPr>
          <w:rFonts w:ascii="Arial" w:eastAsia="Arial" w:hAnsi="Arial"/>
          <w:sz w:val="18"/>
          <w:highlight w:val="white"/>
        </w:rPr>
        <w:t>测量酒精含量的仪器和过程必须能够获得与实际酒精含量误差+/- 0.3%的结果。</w:t>
      </w:r>
    </w:p>
    <w:p w:rsidR="004C766A" w:rsidRPr="00E80461" w:rsidRDefault="004C766A" w:rsidP="004C766A">
      <w:pPr>
        <w:spacing w:after="120" w:line="270" w:lineRule="atLeast"/>
        <w:rPr>
          <w:rFonts w:ascii="Arial" w:eastAsia="Arial" w:hAnsi="Arial" w:cs="Times New Roman"/>
          <w:sz w:val="18"/>
          <w:szCs w:val="18"/>
        </w:rPr>
      </w:pPr>
      <w:r>
        <w:rPr>
          <w:rFonts w:ascii="Arial" w:eastAsia="Arial" w:hAnsi="Arial"/>
          <w:sz w:val="18"/>
        </w:rPr>
        <w:t>*“酒精”一词是指乙醇（ethyl alcohol或ethanol）。</w:t>
      </w:r>
    </w:p>
    <w:tbl>
      <w:tblPr>
        <w:tblW w:w="10065" w:type="dxa"/>
        <w:tblInd w:w="100"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Look w:val="0600"/>
      </w:tblPr>
      <w:tblGrid>
        <w:gridCol w:w="4962"/>
        <w:gridCol w:w="5103"/>
      </w:tblGrid>
      <w:tr w:rsidR="004C766A" w:rsidRPr="004C766A" w:rsidTr="00D73A83">
        <w:tc>
          <w:tcPr>
            <w:tcW w:w="10065" w:type="dxa"/>
            <w:gridSpan w:val="2"/>
            <w:tcBorders>
              <w:top w:val="single" w:sz="8" w:space="0" w:color="53565A"/>
              <w:bottom w:val="single" w:sz="8" w:space="0" w:color="A6A6A6"/>
            </w:tcBorders>
            <w:shd w:val="clear" w:color="auto" w:fill="auto"/>
            <w:tcMar>
              <w:top w:w="100" w:type="dxa"/>
              <w:left w:w="100" w:type="dxa"/>
              <w:bottom w:w="100" w:type="dxa"/>
              <w:right w:w="100" w:type="dxa"/>
            </w:tcMar>
            <w:vAlign w:val="center"/>
          </w:tcPr>
          <w:p w:rsidR="004C766A" w:rsidRPr="00E80461" w:rsidRDefault="004C766A" w:rsidP="004C766A">
            <w:pPr>
              <w:spacing w:before="80" w:after="60" w:line="240" w:lineRule="auto"/>
              <w:rPr>
                <w:rFonts w:ascii="Arial" w:eastAsia="Arial" w:hAnsi="Arial" w:cs="Times New Roman"/>
                <w:b/>
                <w:color w:val="FFFFFF"/>
                <w:sz w:val="18"/>
                <w:szCs w:val="18"/>
              </w:rPr>
            </w:pPr>
            <w:r>
              <w:rPr>
                <w:rFonts w:ascii="Arial" w:eastAsia="Arial" w:hAnsi="Arial"/>
                <w:b/>
                <w:color w:val="101A41"/>
                <w:sz w:val="18"/>
              </w:rPr>
              <w:t xml:space="preserve">勾选用于测试产品酒精含量的方法？ </w:t>
            </w:r>
          </w:p>
        </w:tc>
      </w:tr>
      <w:tr w:rsidR="004C766A" w:rsidRPr="004C766A" w:rsidTr="006373DB">
        <w:trPr>
          <w:trHeight w:val="454"/>
        </w:trPr>
        <w:tc>
          <w:tcPr>
            <w:tcW w:w="4962" w:type="dxa"/>
            <w:tcBorders>
              <w:bottom w:val="nil"/>
              <w:right w:val="nil"/>
            </w:tcBorders>
            <w:shd w:val="clear" w:color="auto" w:fill="auto"/>
            <w:tcMar>
              <w:top w:w="100" w:type="dxa"/>
              <w:left w:w="100" w:type="dxa"/>
              <w:bottom w:w="100" w:type="dxa"/>
              <w:right w:w="100" w:type="dxa"/>
            </w:tcMar>
            <w:vAlign w:val="center"/>
          </w:tcPr>
          <w:p w:rsidR="004C766A" w:rsidRPr="00E80461" w:rsidRDefault="0041079C" w:rsidP="004C766A">
            <w:pPr>
              <w:spacing w:before="80" w:after="60" w:line="240" w:lineRule="auto"/>
              <w:rPr>
                <w:rFonts w:ascii="Arial" w:eastAsia="Arial" w:hAnsi="Arial" w:cs="Times New Roman"/>
                <w:sz w:val="18"/>
                <w:szCs w:val="18"/>
              </w:rPr>
            </w:pPr>
            <w:r w:rsidRPr="0041079C">
              <w:rPr>
                <w:rFonts w:ascii="Arial" w:eastAsia="Arial" w:hAnsi="Arial"/>
                <w:b/>
                <w:color w:val="201547"/>
                <w:sz w:val="18"/>
                <w:szCs w:val="18"/>
              </w:rPr>
              <w:pict>
                <v:rect id="Rectangle 5" o:spid="_x0000_s1026" style="position:absolute;margin-left:2.25pt;margin-top:.75pt;width:18.3pt;height:16.8pt;z-index:2516613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" filled="f" strokecolor="#201547" strokeweight=".25pt">
                  <v:path arrowok="t"/>
                </v:rect>
              </w:pict>
            </w:r>
            <w:r w:rsidR="004C766A" w:rsidRPr="00E80461">
              <w:rPr>
                <w:rFonts w:ascii="Arial" w:eastAsia="Arial" w:hAnsi="Arial"/>
                <w:sz w:val="18"/>
                <w:szCs w:val="18"/>
                <w:highlight w:val="white"/>
              </w:rPr>
              <w:tab/>
            </w:r>
            <w:r w:rsidR="004C766A">
              <w:rPr>
                <w:rFonts w:ascii="Arial" w:eastAsia="Arial" w:hAnsi="Arial"/>
                <w:sz w:val="18"/>
                <w:highlight w:val="white"/>
              </w:rPr>
              <w:t>气相色谱法</w:t>
            </w:r>
          </w:p>
        </w:tc>
        <w:tc>
          <w:tcPr>
            <w:tcW w:w="5103" w:type="dxa"/>
            <w:tcBorders>
              <w:left w:val="nil"/>
              <w:bottom w:val="nil"/>
              <w:right w:val="single" w:sz="8" w:space="0" w:color="A6A6A6"/>
            </w:tcBorders>
            <w:shd w:val="clear" w:color="auto" w:fill="auto"/>
            <w:vAlign w:val="center"/>
          </w:tcPr>
          <w:p w:rsidR="004C766A" w:rsidRPr="00E80461" w:rsidRDefault="0041079C" w:rsidP="004C766A">
            <w:pPr>
              <w:spacing w:before="80" w:after="60" w:line="240" w:lineRule="auto"/>
              <w:rPr>
                <w:rFonts w:ascii="Arial" w:eastAsia="Arial" w:hAnsi="Arial" w:cs="Arial"/>
                <w:b/>
                <w:color w:val="201547"/>
                <w:sz w:val="18"/>
                <w:szCs w:val="18"/>
                <w:highlight w:val="white"/>
              </w:rPr>
            </w:pPr>
            <w:r w:rsidRPr="0041079C">
              <w:rPr>
                <w:rFonts w:ascii="Arial" w:eastAsia="Arial" w:hAnsi="Arial"/>
                <w:b/>
                <w:color w:val="201547"/>
                <w:sz w:val="18"/>
                <w:szCs w:val="18"/>
              </w:rPr>
              <w:pict>
                <v:rect id="Rectangle 4" o:spid="_x0000_s1030" style="position:absolute;margin-left:4.4pt;margin-top:.4pt;width:18.3pt;height:16.8pt;z-index:2516623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" filled="f" strokecolor="#201547" strokeweight=".25pt">
                  <v:path arrowok="t"/>
                </v:rect>
              </w:pict>
            </w:r>
            <w:r w:rsidR="004C766A" w:rsidRPr="00E80461">
              <w:rPr>
                <w:rFonts w:ascii="Arial" w:eastAsia="Arial" w:hAnsi="Arial"/>
                <w:b/>
                <w:color w:val="201547"/>
                <w:sz w:val="18"/>
                <w:szCs w:val="18"/>
                <w:highlight w:val="white"/>
              </w:rPr>
              <w:tab/>
            </w:r>
            <w:r w:rsidR="004C766A">
              <w:rPr>
                <w:rFonts w:ascii="Arial" w:eastAsia="Arial" w:hAnsi="Arial"/>
                <w:sz w:val="18"/>
                <w:highlight w:val="white"/>
              </w:rPr>
              <w:t>近红外光谱法</w:t>
            </w:r>
          </w:p>
        </w:tc>
      </w:tr>
      <w:tr w:rsidR="004C766A" w:rsidRPr="004C766A" w:rsidTr="006373DB">
        <w:trPr>
          <w:trHeight w:val="705"/>
        </w:trPr>
        <w:tc>
          <w:tcPr>
            <w:tcW w:w="4962" w:type="dxa"/>
            <w:tcBorders>
              <w:top w:val="nil"/>
              <w:bottom w:val="nil"/>
              <w:right w:val="nil"/>
            </w:tcBorders>
            <w:shd w:val="clear" w:color="auto" w:fill="auto"/>
            <w:tcMar>
              <w:top w:w="100" w:type="dxa"/>
              <w:left w:w="100" w:type="dxa"/>
              <w:bottom w:w="100" w:type="dxa"/>
              <w:right w:w="100" w:type="dxa"/>
            </w:tcMar>
            <w:vAlign w:val="center"/>
          </w:tcPr>
          <w:p w:rsidR="004C766A" w:rsidRPr="00E80461" w:rsidRDefault="0041079C" w:rsidP="004C766A">
            <w:pPr>
              <w:spacing w:before="80" w:after="60" w:line="240" w:lineRule="auto"/>
              <w:rPr>
                <w:rFonts w:ascii="Arial" w:eastAsia="Arial" w:hAnsi="Arial" w:cs="Times New Roman"/>
                <w:sz w:val="18"/>
                <w:szCs w:val="18"/>
              </w:rPr>
            </w:pPr>
            <w:r w:rsidRPr="0041079C">
              <w:rPr>
                <w:rFonts w:ascii="Arial" w:eastAsia="Arial" w:hAnsi="Arial"/>
                <w:b/>
                <w:color w:val="201547"/>
                <w:sz w:val="18"/>
                <w:szCs w:val="18"/>
              </w:rPr>
              <w:pict>
                <v:rect id="Rectangle 3" o:spid="_x0000_s1029" style="position:absolute;margin-left:2.7pt;margin-top:5.45pt;width:18.3pt;height:16.8pt;z-index:2516602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" filled="f" strokecolor="#201547" strokeweight=".25pt">
                  <v:path arrowok="t"/>
                </v:rect>
              </w:pict>
            </w:r>
            <w:r w:rsidR="004C766A" w:rsidRPr="00E80461">
              <w:rPr>
                <w:rFonts w:ascii="Arial" w:eastAsia="Arial" w:hAnsi="Arial"/>
                <w:sz w:val="18"/>
                <w:szCs w:val="18"/>
                <w:highlight w:val="white"/>
              </w:rPr>
              <w:tab/>
            </w:r>
            <w:r w:rsidR="004C766A">
              <w:rPr>
                <w:rFonts w:ascii="Arial" w:eastAsia="Arial" w:hAnsi="Arial"/>
                <w:sz w:val="18"/>
                <w:highlight w:val="white"/>
              </w:rPr>
              <w:t>蒸馏后对蒸馏液进行重量测定</w:t>
            </w:r>
          </w:p>
        </w:tc>
        <w:tc>
          <w:tcPr>
            <w:tcW w:w="5103" w:type="dxa"/>
            <w:tcBorders>
              <w:top w:val="nil"/>
              <w:left w:val="nil"/>
              <w:bottom w:val="nil"/>
              <w:right w:val="single" w:sz="8" w:space="0" w:color="A6A6A6"/>
            </w:tcBorders>
            <w:shd w:val="clear" w:color="auto" w:fill="auto"/>
            <w:vAlign w:val="center"/>
          </w:tcPr>
          <w:p w:rsidR="004C766A" w:rsidRPr="00E80461" w:rsidRDefault="0041079C" w:rsidP="004C766A">
            <w:pPr>
              <w:widowControl w:val="0"/>
              <w:spacing w:after="0" w:line="240" w:lineRule="auto"/>
              <w:rPr>
                <w:rFonts w:ascii="Arial" w:eastAsia="Arial" w:hAnsi="Arial" w:cs="Arial"/>
                <w:sz w:val="18"/>
                <w:szCs w:val="18"/>
                <w:highlight w:val="white"/>
              </w:rPr>
            </w:pPr>
            <w:r w:rsidRPr="0041079C">
              <w:rPr>
                <w:rFonts w:ascii="Cambria" w:eastAsia="Cambria" w:hAnsi="Cambria"/>
                <w:sz w:val="18"/>
                <w:szCs w:val="18"/>
              </w:rPr>
              <w:pict>
                <v:rect id="Rectangle 2" o:spid="_x0000_s1028" style="position:absolute;margin-left:3.95pt;margin-top:-1.45pt;width:18.3pt;height:16.8pt;z-index:2516633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" filled="f" strokecolor="#201547" strokeweight=".25pt">
                  <v:path arrowok="t"/>
                </v:rect>
              </w:pict>
            </w:r>
            <w:r w:rsidR="004C766A" w:rsidRPr="00E80461">
              <w:rPr>
                <w:rFonts w:ascii="Arial" w:eastAsia="Arial" w:hAnsi="Arial"/>
                <w:sz w:val="18"/>
                <w:szCs w:val="18"/>
                <w:highlight w:val="white"/>
              </w:rPr>
              <w:tab/>
            </w:r>
            <w:r w:rsidR="004C766A">
              <w:rPr>
                <w:rFonts w:ascii="Arial" w:eastAsia="Arial" w:hAnsi="Arial"/>
                <w:sz w:val="18"/>
                <w:highlight w:val="white"/>
              </w:rPr>
              <w:t>沸点测定仪：填写</w:t>
            </w:r>
            <w:r w:rsidR="004C766A" w:rsidRPr="00E80461">
              <w:rPr>
                <w:rFonts w:ascii="Arial" w:eastAsia="Arial" w:hAnsi="Arial"/>
                <w:b/>
                <w:sz w:val="18"/>
                <w:szCs w:val="18"/>
                <w:highlight w:val="white"/>
              </w:rPr>
              <w:t>记录16</w:t>
            </w:r>
            <w:r w:rsidR="004C766A" w:rsidRPr="00E80461">
              <w:rPr>
                <w:rFonts w:ascii="Arial" w:eastAsia="Arial" w:hAnsi="Arial"/>
                <w:sz w:val="18"/>
                <w:szCs w:val="18"/>
                <w:highlight w:val="white"/>
              </w:rPr>
              <w:tab/>
            </w:r>
          </w:p>
        </w:tc>
      </w:tr>
      <w:tr w:rsidR="004C766A" w:rsidRPr="004C766A" w:rsidTr="006373DB">
        <w:trPr>
          <w:trHeight w:val="521"/>
        </w:trPr>
        <w:tc>
          <w:tcPr>
            <w:tcW w:w="4962" w:type="dxa"/>
            <w:tcBorders>
              <w:top w:val="nil"/>
              <w:right w:val="nil"/>
            </w:tcBorders>
            <w:shd w:val="clear" w:color="auto" w:fill="auto"/>
            <w:tcMar>
              <w:top w:w="100" w:type="dxa"/>
              <w:left w:w="100" w:type="dxa"/>
              <w:bottom w:w="100" w:type="dxa"/>
              <w:right w:w="100" w:type="dxa"/>
            </w:tcMar>
            <w:vAlign w:val="center"/>
          </w:tcPr>
          <w:p w:rsidR="004C766A" w:rsidRPr="00E80461" w:rsidRDefault="0041079C" w:rsidP="004C766A">
            <w:pPr>
              <w:spacing w:before="80" w:after="60" w:line="240" w:lineRule="auto"/>
              <w:rPr>
                <w:rFonts w:ascii="Arial" w:eastAsia="Arial" w:hAnsi="Arial" w:cs="Times New Roman"/>
                <w:sz w:val="18"/>
                <w:szCs w:val="18"/>
              </w:rPr>
            </w:pPr>
            <w:r w:rsidRPr="0041079C">
              <w:rPr>
                <w:rFonts w:ascii="Arial" w:eastAsia="Arial" w:hAnsi="Arial"/>
                <w:b/>
                <w:color w:val="201547"/>
                <w:sz w:val="18"/>
                <w:szCs w:val="18"/>
              </w:rPr>
              <w:pict>
                <v:rect id="Rectangle 1" o:spid="_x0000_s1027" style="position:absolute;margin-left:1.7pt;margin-top:4.45pt;width:18.3pt;height:16.8pt;z-index:2516592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" filled="f" strokecolor="#201547" strokeweight=".25pt">
                  <v:path arrowok="t"/>
                </v:rect>
              </w:pict>
            </w:r>
            <w:r w:rsidR="004C766A" w:rsidRPr="00E80461">
              <w:rPr>
                <w:rFonts w:ascii="Arial" w:eastAsia="Arial" w:hAnsi="Arial"/>
                <w:sz w:val="18"/>
                <w:szCs w:val="18"/>
                <w:highlight w:val="white"/>
              </w:rPr>
              <w:tab/>
            </w:r>
            <w:r w:rsidR="004C766A">
              <w:rPr>
                <w:rFonts w:ascii="Arial" w:eastAsia="Arial" w:hAnsi="Arial"/>
                <w:sz w:val="18"/>
                <w:highlight w:val="white"/>
              </w:rPr>
              <w:t>其它：填写下表</w:t>
            </w:r>
            <w:r w:rsidR="002B4EAF">
              <w:rPr>
                <w:rFonts w:ascii="Arial" w:eastAsia="SimSun" w:hAnsi="Arial" w:hint="eastAsia"/>
                <w:sz w:val="18"/>
                <w:szCs w:val="18"/>
                <w:highlight w:val="white"/>
              </w:rPr>
              <w:t>，</w:t>
            </w:r>
            <w:r w:rsidR="004C766A">
              <w:rPr>
                <w:rFonts w:ascii="Arial" w:eastAsia="Arial" w:hAnsi="Arial"/>
                <w:sz w:val="18"/>
                <w:highlight w:val="white"/>
              </w:rPr>
              <w:t>并将分析证书附在本记录上</w:t>
            </w:r>
          </w:p>
        </w:tc>
        <w:tc>
          <w:tcPr>
            <w:tcW w:w="5103" w:type="dxa"/>
            <w:tcBorders>
              <w:top w:val="nil"/>
              <w:left w:val="nil"/>
              <w:right w:val="single" w:sz="8" w:space="0" w:color="A6A6A6"/>
            </w:tcBorders>
            <w:shd w:val="clear" w:color="auto" w:fill="auto"/>
            <w:vAlign w:val="center"/>
          </w:tcPr>
          <w:p w:rsidR="004C766A" w:rsidRPr="00E80461" w:rsidRDefault="004C766A" w:rsidP="004C766A">
            <w:pPr>
              <w:widowControl w:val="0"/>
              <w:spacing w:after="0" w:line="240" w:lineRule="auto"/>
              <w:rPr>
                <w:rFonts w:ascii="Arial" w:eastAsia="Arial" w:hAnsi="Arial" w:cs="Arial"/>
                <w:sz w:val="18"/>
                <w:szCs w:val="18"/>
                <w:highlight w:val="white"/>
              </w:rPr>
            </w:pPr>
          </w:p>
        </w:tc>
      </w:tr>
      <w:tr w:rsidR="004C766A" w:rsidRPr="004C766A" w:rsidTr="00D73A83">
        <w:tc>
          <w:tcPr>
            <w:tcW w:w="4962" w:type="dxa"/>
            <w:shd w:val="clear" w:color="auto" w:fill="auto"/>
            <w:tcMar>
              <w:top w:w="100" w:type="dxa"/>
              <w:left w:w="100" w:type="dxa"/>
              <w:bottom w:w="100" w:type="dxa"/>
              <w:right w:w="100" w:type="dxa"/>
            </w:tcMar>
            <w:vAlign w:val="center"/>
          </w:tcPr>
          <w:p w:rsidR="004C766A" w:rsidRPr="00D73A83" w:rsidRDefault="004C766A" w:rsidP="004C766A">
            <w:pPr>
              <w:spacing w:before="80" w:after="60" w:line="240" w:lineRule="auto"/>
              <w:rPr>
                <w:rFonts w:ascii="Arial" w:eastAsia="Arial" w:hAnsi="Arial" w:cs="Times New Roman"/>
                <w:b/>
                <w:color w:val="101A41"/>
                <w:sz w:val="18"/>
                <w:szCs w:val="18"/>
              </w:rPr>
            </w:pPr>
            <w:r>
              <w:rPr>
                <w:rFonts w:ascii="Arial" w:eastAsia="Arial" w:hAnsi="Arial"/>
                <w:b/>
                <w:color w:val="101A41"/>
                <w:sz w:val="18"/>
              </w:rPr>
              <w:t xml:space="preserve">测量误差是多少？ </w:t>
            </w:r>
          </w:p>
        </w:tc>
        <w:tc>
          <w:tcPr>
            <w:tcW w:w="5103" w:type="dxa"/>
            <w:tcBorders>
              <w:right w:val="single" w:sz="8" w:space="0" w:color="A6A6A6"/>
            </w:tcBorders>
            <w:shd w:val="clear" w:color="auto" w:fill="auto"/>
            <w:vAlign w:val="center"/>
          </w:tcPr>
          <w:p w:rsidR="004C766A" w:rsidRPr="00D73A83" w:rsidRDefault="004C766A" w:rsidP="004C766A">
            <w:pPr>
              <w:widowControl w:val="0"/>
              <w:spacing w:after="0" w:line="240" w:lineRule="auto"/>
              <w:rPr>
                <w:rFonts w:ascii="Arial" w:eastAsia="Arial" w:hAnsi="Arial" w:cs="Arial"/>
                <w:color w:val="101A41"/>
                <w:sz w:val="18"/>
                <w:szCs w:val="18"/>
                <w:highlight w:val="white"/>
              </w:rPr>
            </w:pPr>
          </w:p>
        </w:tc>
      </w:tr>
      <w:tr w:rsidR="004C766A" w:rsidRPr="004C766A" w:rsidTr="00D73A83">
        <w:tc>
          <w:tcPr>
            <w:tcW w:w="10065" w:type="dxa"/>
            <w:gridSpan w:val="2"/>
            <w:tcBorders>
              <w:bottom w:val="single" w:sz="8" w:space="0" w:color="A6A6A6"/>
              <w:right w:val="single" w:sz="8" w:space="0" w:color="A6A6A6"/>
            </w:tcBorders>
            <w:shd w:val="clear" w:color="auto" w:fill="auto"/>
            <w:tcMar>
              <w:top w:w="100" w:type="dxa"/>
              <w:left w:w="100" w:type="dxa"/>
              <w:bottom w:w="100" w:type="dxa"/>
              <w:right w:w="100" w:type="dxa"/>
            </w:tcMar>
            <w:vAlign w:val="center"/>
          </w:tcPr>
          <w:p w:rsidR="004C766A" w:rsidRPr="00D73A83" w:rsidRDefault="004C766A" w:rsidP="004C766A">
            <w:pPr>
              <w:spacing w:before="80" w:after="60" w:line="240" w:lineRule="auto"/>
              <w:rPr>
                <w:rFonts w:ascii="Arial" w:eastAsia="Arial" w:hAnsi="Arial" w:cs="Times New Roman"/>
                <w:b/>
                <w:color w:val="101A41"/>
                <w:sz w:val="18"/>
                <w:szCs w:val="18"/>
              </w:rPr>
            </w:pPr>
            <w:r>
              <w:rPr>
                <w:rFonts w:ascii="Arial" w:eastAsia="Arial" w:hAnsi="Arial"/>
                <w:b/>
                <w:color w:val="101A41"/>
                <w:sz w:val="18"/>
              </w:rPr>
              <w:t>如果采用任何其它方法，在此详细记录你的测试过程。</w:t>
            </w:r>
          </w:p>
        </w:tc>
      </w:tr>
      <w:tr w:rsidR="004C766A" w:rsidRPr="004C766A"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rsidR="004C766A" w:rsidRPr="004C766A" w:rsidRDefault="004C766A" w:rsidP="004C766A">
            <w:pPr>
              <w:widowControl w:val="0"/>
              <w:spacing w:after="0" w:line="240" w:lineRule="auto"/>
              <w:rPr>
                <w:rFonts w:ascii="Arial" w:eastAsia="Arial" w:hAnsi="Arial" w:cs="Arial"/>
                <w:sz w:val="20"/>
                <w:szCs w:val="20"/>
                <w:highlight w:val="white"/>
              </w:rPr>
            </w:pPr>
          </w:p>
        </w:tc>
      </w:tr>
      <w:tr w:rsidR="004C766A" w:rsidRPr="004C766A"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rsidR="004C766A" w:rsidRPr="004C766A" w:rsidRDefault="004C766A" w:rsidP="004C766A">
            <w:pPr>
              <w:widowControl w:val="0"/>
              <w:spacing w:after="0" w:line="240" w:lineRule="auto"/>
              <w:rPr>
                <w:rFonts w:ascii="Arial" w:eastAsia="Arial" w:hAnsi="Arial" w:cs="Arial"/>
                <w:sz w:val="20"/>
                <w:szCs w:val="20"/>
                <w:highlight w:val="white"/>
              </w:rPr>
            </w:pPr>
          </w:p>
        </w:tc>
      </w:tr>
      <w:tr w:rsidR="004C766A" w:rsidRPr="004C766A"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rsidR="004C766A" w:rsidRPr="004C766A" w:rsidRDefault="004C766A" w:rsidP="004C766A">
            <w:pPr>
              <w:widowControl w:val="0"/>
              <w:spacing w:after="0" w:line="240" w:lineRule="auto"/>
              <w:rPr>
                <w:rFonts w:ascii="Arial" w:eastAsia="Arial" w:hAnsi="Arial" w:cs="Arial"/>
                <w:sz w:val="20"/>
                <w:szCs w:val="20"/>
                <w:highlight w:val="white"/>
              </w:rPr>
            </w:pPr>
          </w:p>
        </w:tc>
      </w:tr>
      <w:tr w:rsidR="004C766A" w:rsidRPr="004C766A"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rsidR="004C766A" w:rsidRPr="004C766A" w:rsidRDefault="004C766A" w:rsidP="004C766A">
            <w:pPr>
              <w:widowControl w:val="0"/>
              <w:spacing w:after="0" w:line="240" w:lineRule="auto"/>
              <w:rPr>
                <w:rFonts w:ascii="Arial" w:eastAsia="Arial" w:hAnsi="Arial" w:cs="Arial"/>
                <w:sz w:val="20"/>
                <w:szCs w:val="20"/>
                <w:highlight w:val="white"/>
              </w:rPr>
            </w:pPr>
          </w:p>
        </w:tc>
      </w:tr>
      <w:tr w:rsidR="004C766A" w:rsidRPr="004C766A"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rsidR="004C766A" w:rsidRPr="004C766A" w:rsidRDefault="004C766A" w:rsidP="004C766A">
            <w:pPr>
              <w:widowControl w:val="0"/>
              <w:spacing w:after="0" w:line="240" w:lineRule="auto"/>
              <w:rPr>
                <w:rFonts w:ascii="Arial" w:eastAsia="Arial" w:hAnsi="Arial" w:cs="Arial"/>
                <w:sz w:val="20"/>
                <w:szCs w:val="20"/>
                <w:highlight w:val="white"/>
              </w:rPr>
            </w:pPr>
          </w:p>
        </w:tc>
      </w:tr>
      <w:tr w:rsidR="004C766A" w:rsidRPr="004C766A"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rsidR="004C766A" w:rsidRPr="004C766A" w:rsidRDefault="004C766A" w:rsidP="004C766A">
            <w:pPr>
              <w:widowControl w:val="0"/>
              <w:spacing w:after="0" w:line="240" w:lineRule="auto"/>
              <w:rPr>
                <w:rFonts w:ascii="Arial" w:eastAsia="Arial" w:hAnsi="Arial" w:cs="Arial"/>
                <w:sz w:val="20"/>
                <w:szCs w:val="20"/>
                <w:highlight w:val="white"/>
              </w:rPr>
            </w:pPr>
          </w:p>
        </w:tc>
      </w:tr>
      <w:tr w:rsidR="004C766A" w:rsidRPr="004C766A"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rsidR="004C766A" w:rsidRPr="004C766A" w:rsidRDefault="004C766A" w:rsidP="004C766A">
            <w:pPr>
              <w:widowControl w:val="0"/>
              <w:spacing w:after="0" w:line="240" w:lineRule="auto"/>
              <w:rPr>
                <w:rFonts w:ascii="Arial" w:eastAsia="Arial" w:hAnsi="Arial" w:cs="Arial"/>
                <w:sz w:val="20"/>
                <w:szCs w:val="20"/>
                <w:highlight w:val="white"/>
              </w:rPr>
            </w:pPr>
          </w:p>
        </w:tc>
      </w:tr>
      <w:tr w:rsidR="004C766A" w:rsidRPr="004C766A"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rsidR="004C766A" w:rsidRPr="004C766A" w:rsidRDefault="004C766A" w:rsidP="004C766A">
            <w:pPr>
              <w:widowControl w:val="0"/>
              <w:spacing w:after="0" w:line="240" w:lineRule="auto"/>
              <w:rPr>
                <w:rFonts w:ascii="Arial" w:eastAsia="Arial" w:hAnsi="Arial" w:cs="Arial"/>
                <w:sz w:val="20"/>
                <w:szCs w:val="20"/>
                <w:highlight w:val="white"/>
              </w:rPr>
            </w:pPr>
          </w:p>
        </w:tc>
      </w:tr>
      <w:tr w:rsidR="004C766A" w:rsidRPr="004C766A"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rsidR="004C766A" w:rsidRPr="004C766A" w:rsidRDefault="004C766A" w:rsidP="004C766A">
            <w:pPr>
              <w:widowControl w:val="0"/>
              <w:spacing w:after="0" w:line="240" w:lineRule="auto"/>
              <w:rPr>
                <w:rFonts w:ascii="Arial" w:eastAsia="Arial" w:hAnsi="Arial" w:cs="Arial"/>
                <w:sz w:val="20"/>
                <w:szCs w:val="20"/>
                <w:highlight w:val="white"/>
              </w:rPr>
            </w:pPr>
          </w:p>
        </w:tc>
      </w:tr>
    </w:tbl>
    <w:p w:rsidR="000826AA" w:rsidRDefault="003C14B6"/>
    <w:sectPr w:rsidR="000826AA" w:rsidSect="004C766A">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4B6" w:rsidRDefault="003C14B6" w:rsidP="004C766A">
      <w:pPr>
        <w:spacing w:after="0" w:line="240" w:lineRule="auto"/>
      </w:pPr>
      <w:r>
        <w:separator/>
      </w:r>
    </w:p>
  </w:endnote>
  <w:endnote w:type="continuationSeparator" w:id="0">
    <w:p w:rsidR="003C14B6" w:rsidRDefault="003C14B6" w:rsidP="004C76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F12" w:rsidRDefault="00D335AF">
    <w:pPr>
      <w:pStyle w:val="Footer"/>
    </w:pPr>
    <w:r>
      <w:rPr>
        <w:noProof/>
      </w:rPr>
      <w:drawing>
        <wp:anchor distT="0" distB="0" distL="114300" distR="114300" simplePos="0" relativeHeight="251659264" behindDoc="1" locked="0" layoutInCell="1" allowOverlap="1">
          <wp:simplePos x="0" y="0"/>
          <wp:positionH relativeFrom="column">
            <wp:posOffset>-457200</wp:posOffset>
          </wp:positionH>
          <wp:positionV relativeFrom="paragraph">
            <wp:posOffset>7620</wp:posOffset>
          </wp:positionV>
          <wp:extent cx="7559040" cy="792480"/>
          <wp:effectExtent l="0" t="0" r="3810" b="7620"/>
          <wp:wrapTight wrapText="bothSides">
            <wp:wrapPolygon edited="0">
              <wp:start x="0" y="0"/>
              <wp:lineTo x="0" y="21288"/>
              <wp:lineTo x="21556" y="21288"/>
              <wp:lineTo x="2155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 logo.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59040" cy="792480"/>
                  </a:xfrm>
                  <a:prstGeom prst="rect">
                    <a:avLst/>
                  </a:prstGeom>
                </pic:spPr>
              </pic:pic>
            </a:graphicData>
          </a:graphic>
        </wp:anchor>
      </w:drawing>
    </w:r>
  </w:p>
  <w:p w:rsidR="00D335AF" w:rsidRDefault="00D335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4B6" w:rsidRDefault="003C14B6" w:rsidP="004C766A">
      <w:pPr>
        <w:spacing w:after="0" w:line="240" w:lineRule="auto"/>
      </w:pPr>
      <w:r>
        <w:separator/>
      </w:r>
    </w:p>
  </w:footnote>
  <w:footnote w:type="continuationSeparator" w:id="0">
    <w:p w:rsidR="003C14B6" w:rsidRDefault="003C14B6" w:rsidP="004C76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D6" w:rsidRDefault="00B009D6">
    <w:pPr>
      <w:pStyle w:val="Header"/>
    </w:pPr>
    <w:r>
      <w:t>记录15：如何测量酿造软饮料的酒精含量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BA1E5A"/>
    <w:multiLevelType w:val="multilevel"/>
    <w:tmpl w:val="82C2F15C"/>
    <w:styleLink w:val="ZZBullets"/>
    <w:lvl w:ilvl="0">
      <w:start w:val="1"/>
      <w:numFmt w:val="bullet"/>
      <w:pStyle w:val="DHHSbullet1"/>
      <w:lvlText w:val="•"/>
      <w:lvlJc w:val="left"/>
      <w:pPr>
        <w:ind w:left="284" w:hanging="284"/>
      </w:pPr>
      <w:rPr>
        <w:rFonts w:ascii="Calibri" w:eastAsia="Calibri" w:hAnsi="Calibri" w:hint="default"/>
      </w:rPr>
    </w:lvl>
    <w:lvl w:ilvl="1">
      <w:start w:val="1"/>
      <w:numFmt w:val="bullet"/>
      <w:lvlRestart w:val="0"/>
      <w:pStyle w:val="DHHSbullet1lastline"/>
      <w:lvlText w:val="•"/>
      <w:lvlJc w:val="left"/>
      <w:pPr>
        <w:ind w:left="284" w:hanging="284"/>
      </w:pPr>
      <w:rPr>
        <w:rFonts w:ascii="Calibri" w:eastAsia="Calibri" w:hAnsi="Calibri" w:hint="default"/>
      </w:rPr>
    </w:lvl>
    <w:lvl w:ilvl="2">
      <w:start w:val="1"/>
      <w:numFmt w:val="bullet"/>
      <w:lvlRestart w:val="0"/>
      <w:pStyle w:val="DHHSbullet2"/>
      <w:lvlText w:val="–"/>
      <w:lvlJc w:val="left"/>
      <w:pPr>
        <w:ind w:left="567" w:hanging="283"/>
      </w:pPr>
      <w:rPr>
        <w:rFonts w:ascii="Arial" w:eastAsia="Arial" w:hAnsi="Arial" w:hint="default"/>
      </w:rPr>
    </w:lvl>
    <w:lvl w:ilvl="3">
      <w:start w:val="1"/>
      <w:numFmt w:val="bullet"/>
      <w:lvlRestart w:val="0"/>
      <w:pStyle w:val="DHHSbullet2lastline"/>
      <w:lvlText w:val="–"/>
      <w:lvlJc w:val="left"/>
      <w:pPr>
        <w:ind w:left="567" w:hanging="283"/>
      </w:pPr>
      <w:rPr>
        <w:rFonts w:ascii="Arial" w:eastAsia="Arial" w:hAnsi="Arial" w:hint="default"/>
      </w:rPr>
    </w:lvl>
    <w:lvl w:ilvl="4">
      <w:start w:val="1"/>
      <w:numFmt w:val="bullet"/>
      <w:lvlRestart w:val="0"/>
      <w:pStyle w:val="DHHSbulletindent"/>
      <w:lvlText w:val="•"/>
      <w:lvlJc w:val="left"/>
      <w:pPr>
        <w:ind w:left="680" w:hanging="283"/>
      </w:pPr>
      <w:rPr>
        <w:rFonts w:ascii="Calibri" w:eastAsia="Calibri" w:hAnsi="Calibri" w:hint="default"/>
      </w:rPr>
    </w:lvl>
    <w:lvl w:ilvl="5">
      <w:start w:val="1"/>
      <w:numFmt w:val="bullet"/>
      <w:lvlRestart w:val="0"/>
      <w:pStyle w:val="DHHSbulletindentlastline"/>
      <w:lvlText w:val="•"/>
      <w:lvlJc w:val="left"/>
      <w:pPr>
        <w:ind w:left="680" w:hanging="283"/>
      </w:pPr>
      <w:rPr>
        <w:rFonts w:ascii="Calibri" w:eastAsia="Calibri" w:hAnsi="Calibri" w:hint="default"/>
      </w:rPr>
    </w:lvl>
    <w:lvl w:ilvl="6">
      <w:start w:val="1"/>
      <w:numFmt w:val="bullet"/>
      <w:lvlRestart w:val="0"/>
      <w:pStyle w:val="DHHStablebullet"/>
      <w:lvlText w:val="•"/>
      <w:lvlJc w:val="left"/>
      <w:pPr>
        <w:ind w:left="227" w:hanging="227"/>
      </w:pPr>
      <w:rPr>
        <w:rFonts w:ascii="Calibri" w:eastAsia="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nsid w:val="62C566E2"/>
    <w:multiLevelType w:val="hybridMultilevel"/>
    <w:tmpl w:val="66F2DF74"/>
    <w:lvl w:ilvl="0" w:tplc="0C090001">
      <w:start w:val="1"/>
      <w:numFmt w:val="bullet"/>
      <w:lvlText w:val=""/>
      <w:lvlJc w:val="left"/>
      <w:pPr>
        <w:ind w:left="360" w:hanging="360"/>
      </w:pPr>
      <w:rPr>
        <w:rFonts w:ascii="Symbol" w:eastAsia="Symbol" w:hAnsi="Symbol" w:hint="default"/>
      </w:rPr>
    </w:lvl>
    <w:lvl w:ilvl="1" w:tplc="0C090003" w:tentative="1">
      <w:start w:val="1"/>
      <w:numFmt w:val="bullet"/>
      <w:lvlText w:val="o"/>
      <w:lvlJc w:val="left"/>
      <w:pPr>
        <w:ind w:left="1080" w:hanging="360"/>
      </w:pPr>
      <w:rPr>
        <w:rFonts w:ascii="Courier New" w:eastAsia="Courier New" w:hAnsi="Courier New" w:cs="Courier New" w:hint="default"/>
      </w:rPr>
    </w:lvl>
    <w:lvl w:ilvl="2" w:tplc="0C090005" w:tentative="1">
      <w:start w:val="1"/>
      <w:numFmt w:val="bullet"/>
      <w:lvlText w:val=""/>
      <w:lvlJc w:val="left"/>
      <w:pPr>
        <w:ind w:left="1800" w:hanging="360"/>
      </w:pPr>
      <w:rPr>
        <w:rFonts w:ascii="Wingdings" w:eastAsia="Wingdings" w:hAnsi="Wingdings" w:hint="default"/>
      </w:rPr>
    </w:lvl>
    <w:lvl w:ilvl="3" w:tplc="0C090001" w:tentative="1">
      <w:start w:val="1"/>
      <w:numFmt w:val="bullet"/>
      <w:lvlText w:val=""/>
      <w:lvlJc w:val="left"/>
      <w:pPr>
        <w:ind w:left="2520" w:hanging="360"/>
      </w:pPr>
      <w:rPr>
        <w:rFonts w:ascii="Symbol" w:eastAsia="Symbol" w:hAnsi="Symbol" w:hint="default"/>
      </w:rPr>
    </w:lvl>
    <w:lvl w:ilvl="4" w:tplc="0C090003" w:tentative="1">
      <w:start w:val="1"/>
      <w:numFmt w:val="bullet"/>
      <w:lvlText w:val="o"/>
      <w:lvlJc w:val="left"/>
      <w:pPr>
        <w:ind w:left="3240" w:hanging="360"/>
      </w:pPr>
      <w:rPr>
        <w:rFonts w:ascii="Courier New" w:eastAsia="Courier New" w:hAnsi="Courier New" w:cs="Courier New" w:hint="default"/>
      </w:rPr>
    </w:lvl>
    <w:lvl w:ilvl="5" w:tplc="0C090005" w:tentative="1">
      <w:start w:val="1"/>
      <w:numFmt w:val="bullet"/>
      <w:lvlText w:val=""/>
      <w:lvlJc w:val="left"/>
      <w:pPr>
        <w:ind w:left="3960" w:hanging="360"/>
      </w:pPr>
      <w:rPr>
        <w:rFonts w:ascii="Wingdings" w:eastAsia="Wingdings" w:hAnsi="Wingdings" w:hint="default"/>
      </w:rPr>
    </w:lvl>
    <w:lvl w:ilvl="6" w:tplc="0C090001" w:tentative="1">
      <w:start w:val="1"/>
      <w:numFmt w:val="bullet"/>
      <w:lvlText w:val=""/>
      <w:lvlJc w:val="left"/>
      <w:pPr>
        <w:ind w:left="4680" w:hanging="360"/>
      </w:pPr>
      <w:rPr>
        <w:rFonts w:ascii="Symbol" w:eastAsia="Symbol" w:hAnsi="Symbol" w:hint="default"/>
      </w:rPr>
    </w:lvl>
    <w:lvl w:ilvl="7" w:tplc="0C090003" w:tentative="1">
      <w:start w:val="1"/>
      <w:numFmt w:val="bullet"/>
      <w:lvlText w:val="o"/>
      <w:lvlJc w:val="left"/>
      <w:pPr>
        <w:ind w:left="5400" w:hanging="360"/>
      </w:pPr>
      <w:rPr>
        <w:rFonts w:ascii="Courier New" w:eastAsia="Courier New" w:hAnsi="Courier New" w:cs="Courier New" w:hint="default"/>
      </w:rPr>
    </w:lvl>
    <w:lvl w:ilvl="8" w:tplc="0C090005" w:tentative="1">
      <w:start w:val="1"/>
      <w:numFmt w:val="bullet"/>
      <w:lvlText w:val=""/>
      <w:lvlJc w:val="left"/>
      <w:pPr>
        <w:ind w:left="6120" w:hanging="360"/>
      </w:pPr>
      <w:rPr>
        <w:rFonts w:ascii="Wingdings" w:eastAsia="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4C766A"/>
    <w:rsid w:val="002A2E30"/>
    <w:rsid w:val="002B4EAF"/>
    <w:rsid w:val="003C14B6"/>
    <w:rsid w:val="0041079C"/>
    <w:rsid w:val="00427B2E"/>
    <w:rsid w:val="004C766A"/>
    <w:rsid w:val="005D5BA6"/>
    <w:rsid w:val="00B009D6"/>
    <w:rsid w:val="00D335AF"/>
    <w:rsid w:val="00D73A83"/>
    <w:rsid w:val="00E80461"/>
    <w:rsid w:val="00E86B41"/>
    <w:rsid w:val="00FC7F12"/>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79C"/>
  </w:style>
  <w:style w:type="paragraph" w:styleId="Heading1">
    <w:name w:val="heading 1"/>
    <w:basedOn w:val="Normal"/>
    <w:next w:val="Normal"/>
    <w:link w:val="Heading1Char"/>
    <w:uiPriority w:val="9"/>
    <w:qFormat/>
    <w:rsid w:val="00B009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ullet1">
    <w:name w:val="DHHS bullet 1"/>
    <w:basedOn w:val="Normal"/>
    <w:qFormat/>
    <w:rsid w:val="004C766A"/>
    <w:pPr>
      <w:numPr>
        <w:numId w:val="1"/>
      </w:numPr>
      <w:spacing w:after="40" w:line="270" w:lineRule="atLeast"/>
    </w:pPr>
    <w:rPr>
      <w:rFonts w:ascii="Arial" w:eastAsia="Arial" w:hAnsi="Arial" w:cs="Times New Roman"/>
      <w:sz w:val="20"/>
      <w:szCs w:val="20"/>
    </w:rPr>
  </w:style>
  <w:style w:type="paragraph" w:customStyle="1" w:styleId="DHHSbullet2">
    <w:name w:val="DHHS bullet 2"/>
    <w:basedOn w:val="Normal"/>
    <w:uiPriority w:val="2"/>
    <w:qFormat/>
    <w:rsid w:val="004C766A"/>
    <w:pPr>
      <w:numPr>
        <w:ilvl w:val="2"/>
        <w:numId w:val="1"/>
      </w:numPr>
      <w:spacing w:after="40" w:line="270" w:lineRule="atLeast"/>
    </w:pPr>
    <w:rPr>
      <w:rFonts w:ascii="Arial" w:eastAsia="Arial" w:hAnsi="Arial" w:cs="Times New Roman"/>
      <w:sz w:val="20"/>
      <w:szCs w:val="20"/>
    </w:rPr>
  </w:style>
  <w:style w:type="paragraph" w:customStyle="1" w:styleId="DHHSbullet1lastline">
    <w:name w:val="DHHS bullet 1 last line"/>
    <w:basedOn w:val="DHHSbullet1"/>
    <w:qFormat/>
    <w:rsid w:val="004C766A"/>
    <w:pPr>
      <w:numPr>
        <w:ilvl w:val="1"/>
      </w:numPr>
      <w:spacing w:after="120"/>
    </w:pPr>
  </w:style>
  <w:style w:type="paragraph" w:customStyle="1" w:styleId="DHHSbullet2lastline">
    <w:name w:val="DHHS bullet 2 last line"/>
    <w:basedOn w:val="DHHSbullet2"/>
    <w:uiPriority w:val="2"/>
    <w:qFormat/>
    <w:rsid w:val="004C766A"/>
    <w:pPr>
      <w:numPr>
        <w:ilvl w:val="3"/>
      </w:numPr>
      <w:spacing w:after="120"/>
    </w:pPr>
  </w:style>
  <w:style w:type="paragraph" w:customStyle="1" w:styleId="DHHStablebullet">
    <w:name w:val="DHHS table bullet"/>
    <w:basedOn w:val="Normal"/>
    <w:uiPriority w:val="3"/>
    <w:qFormat/>
    <w:rsid w:val="004C766A"/>
    <w:pPr>
      <w:numPr>
        <w:ilvl w:val="6"/>
        <w:numId w:val="1"/>
      </w:numPr>
      <w:spacing w:before="80" w:after="60" w:line="240" w:lineRule="auto"/>
    </w:pPr>
    <w:rPr>
      <w:rFonts w:ascii="Arial" w:eastAsia="Arial" w:hAnsi="Arial" w:cs="Times New Roman"/>
      <w:sz w:val="20"/>
      <w:szCs w:val="20"/>
    </w:rPr>
  </w:style>
  <w:style w:type="numbering" w:customStyle="1" w:styleId="ZZBullets">
    <w:name w:val="ZZ Bullets"/>
    <w:rsid w:val="004C766A"/>
    <w:pPr>
      <w:numPr>
        <w:numId w:val="1"/>
      </w:numPr>
    </w:pPr>
  </w:style>
  <w:style w:type="paragraph" w:customStyle="1" w:styleId="DHHSbulletindent">
    <w:name w:val="DHHS bullet indent"/>
    <w:basedOn w:val="Normal"/>
    <w:uiPriority w:val="4"/>
    <w:rsid w:val="004C766A"/>
    <w:pPr>
      <w:numPr>
        <w:ilvl w:val="4"/>
        <w:numId w:val="1"/>
      </w:numPr>
      <w:spacing w:after="40" w:line="270" w:lineRule="atLeast"/>
    </w:pPr>
    <w:rPr>
      <w:rFonts w:ascii="Arial" w:eastAsia="Arial" w:hAnsi="Arial" w:cs="Times New Roman"/>
      <w:sz w:val="20"/>
      <w:szCs w:val="20"/>
    </w:rPr>
  </w:style>
  <w:style w:type="paragraph" w:customStyle="1" w:styleId="DHHSbulletindentlastline">
    <w:name w:val="DHHS bullet indent last line"/>
    <w:basedOn w:val="Normal"/>
    <w:uiPriority w:val="4"/>
    <w:rsid w:val="004C766A"/>
    <w:pPr>
      <w:numPr>
        <w:ilvl w:val="5"/>
        <w:numId w:val="1"/>
      </w:numPr>
      <w:spacing w:after="120" w:line="270" w:lineRule="atLeast"/>
    </w:pPr>
    <w:rPr>
      <w:rFonts w:ascii="Arial" w:eastAsia="Arial" w:hAnsi="Arial" w:cs="Times New Roman"/>
      <w:sz w:val="20"/>
      <w:szCs w:val="20"/>
    </w:rPr>
  </w:style>
  <w:style w:type="paragraph" w:styleId="ListParagraph">
    <w:name w:val="List Paragraph"/>
    <w:basedOn w:val="Normal"/>
    <w:uiPriority w:val="34"/>
    <w:qFormat/>
    <w:rsid w:val="004C766A"/>
    <w:pPr>
      <w:ind w:left="720"/>
      <w:contextualSpacing/>
    </w:pPr>
  </w:style>
  <w:style w:type="paragraph" w:styleId="Header">
    <w:name w:val="header"/>
    <w:basedOn w:val="Normal"/>
    <w:link w:val="HeaderChar"/>
    <w:uiPriority w:val="99"/>
    <w:unhideWhenUsed/>
    <w:rsid w:val="004C7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66A"/>
  </w:style>
  <w:style w:type="paragraph" w:styleId="Footer">
    <w:name w:val="footer"/>
    <w:basedOn w:val="Normal"/>
    <w:link w:val="FooterChar"/>
    <w:uiPriority w:val="99"/>
    <w:unhideWhenUsed/>
    <w:rsid w:val="004C7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66A"/>
  </w:style>
  <w:style w:type="character" w:customStyle="1" w:styleId="Heading1Char">
    <w:name w:val="Heading 1 Char"/>
    <w:basedOn w:val="DefaultParagraphFont"/>
    <w:link w:val="Heading1"/>
    <w:uiPriority w:val="9"/>
    <w:rsid w:val="00B009D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C7F12"/>
    <w:pPr>
      <w:spacing w:after="0" w:line="240" w:lineRule="auto"/>
    </w:pPr>
    <w:rPr>
      <w:rFonts w:ascii="Tahoma" w:eastAsia="Tahoma" w:hAnsi="Tahoma" w:cs="Tahoma"/>
      <w:sz w:val="16"/>
      <w:szCs w:val="16"/>
    </w:rPr>
  </w:style>
  <w:style w:type="character" w:customStyle="1" w:styleId="BalloonTextChar">
    <w:name w:val="Balloon Text Char"/>
    <w:basedOn w:val="DefaultParagraphFont"/>
    <w:link w:val="BalloonText"/>
    <w:uiPriority w:val="99"/>
    <w:semiHidden/>
    <w:rsid w:val="00FC7F12"/>
    <w:rPr>
      <w:rFonts w:ascii="Tahoma" w:eastAsia="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09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ullet1">
    <w:name w:val="DHHS bullet 1"/>
    <w:basedOn w:val="Normal"/>
    <w:qFormat/>
    <w:rsid w:val="004C766A"/>
    <w:pPr>
      <w:numPr>
        <w:numId w:val="1"/>
      </w:numPr>
      <w:spacing w:after="40" w:line="270" w:lineRule="atLeast"/>
    </w:pPr>
    <w:rPr>
      <w:rFonts w:ascii="Arial" w:eastAsia="Times" w:hAnsi="Arial" w:cs="Times New Roman"/>
      <w:sz w:val="20"/>
      <w:szCs w:val="20"/>
    </w:rPr>
  </w:style>
  <w:style w:type="paragraph" w:customStyle="1" w:styleId="DHHSbullet2">
    <w:name w:val="DHHS bullet 2"/>
    <w:basedOn w:val="Normal"/>
    <w:uiPriority w:val="2"/>
    <w:qFormat/>
    <w:rsid w:val="004C766A"/>
    <w:pPr>
      <w:numPr>
        <w:ilvl w:val="2"/>
        <w:numId w:val="1"/>
      </w:numPr>
      <w:spacing w:after="40" w:line="270" w:lineRule="atLeast"/>
    </w:pPr>
    <w:rPr>
      <w:rFonts w:ascii="Arial" w:eastAsia="Times" w:hAnsi="Arial" w:cs="Times New Roman"/>
      <w:sz w:val="20"/>
      <w:szCs w:val="20"/>
    </w:rPr>
  </w:style>
  <w:style w:type="paragraph" w:customStyle="1" w:styleId="DHHSbullet1lastline">
    <w:name w:val="DHHS bullet 1 last line"/>
    <w:basedOn w:val="DHHSbullet1"/>
    <w:qFormat/>
    <w:rsid w:val="004C766A"/>
    <w:pPr>
      <w:numPr>
        <w:ilvl w:val="1"/>
      </w:numPr>
      <w:spacing w:after="120"/>
    </w:pPr>
  </w:style>
  <w:style w:type="paragraph" w:customStyle="1" w:styleId="DHHSbullet2lastline">
    <w:name w:val="DHHS bullet 2 last line"/>
    <w:basedOn w:val="DHHSbullet2"/>
    <w:uiPriority w:val="2"/>
    <w:qFormat/>
    <w:rsid w:val="004C766A"/>
    <w:pPr>
      <w:numPr>
        <w:ilvl w:val="3"/>
      </w:numPr>
      <w:spacing w:after="120"/>
    </w:pPr>
  </w:style>
  <w:style w:type="paragraph" w:customStyle="1" w:styleId="DHHStablebullet">
    <w:name w:val="DHHS table bullet"/>
    <w:basedOn w:val="Normal"/>
    <w:uiPriority w:val="3"/>
    <w:qFormat/>
    <w:rsid w:val="004C766A"/>
    <w:pPr>
      <w:numPr>
        <w:ilvl w:val="6"/>
        <w:numId w:val="1"/>
      </w:numPr>
      <w:spacing w:before="80" w:after="60" w:line="240" w:lineRule="auto"/>
    </w:pPr>
    <w:rPr>
      <w:rFonts w:ascii="Arial" w:eastAsia="Times New Roman" w:hAnsi="Arial" w:cs="Times New Roman"/>
      <w:sz w:val="20"/>
      <w:szCs w:val="20"/>
    </w:rPr>
  </w:style>
  <w:style w:type="numbering" w:customStyle="1" w:styleId="ZZBullets">
    <w:name w:val="ZZ Bullets"/>
    <w:rsid w:val="004C766A"/>
    <w:pPr>
      <w:numPr>
        <w:numId w:val="1"/>
      </w:numPr>
    </w:pPr>
  </w:style>
  <w:style w:type="paragraph" w:customStyle="1" w:styleId="DHHSbulletindent">
    <w:name w:val="DHHS bullet indent"/>
    <w:basedOn w:val="Normal"/>
    <w:uiPriority w:val="4"/>
    <w:rsid w:val="004C766A"/>
    <w:pPr>
      <w:numPr>
        <w:ilvl w:val="4"/>
        <w:numId w:val="1"/>
      </w:numPr>
      <w:spacing w:after="40" w:line="270" w:lineRule="atLeast"/>
    </w:pPr>
    <w:rPr>
      <w:rFonts w:ascii="Arial" w:eastAsia="Times" w:hAnsi="Arial" w:cs="Times New Roman"/>
      <w:sz w:val="20"/>
      <w:szCs w:val="20"/>
    </w:rPr>
  </w:style>
  <w:style w:type="paragraph" w:customStyle="1" w:styleId="DHHSbulletindentlastline">
    <w:name w:val="DHHS bullet indent last line"/>
    <w:basedOn w:val="Normal"/>
    <w:uiPriority w:val="4"/>
    <w:rsid w:val="004C766A"/>
    <w:pPr>
      <w:numPr>
        <w:ilvl w:val="5"/>
        <w:numId w:val="1"/>
      </w:numPr>
      <w:spacing w:after="120" w:line="270" w:lineRule="atLeast"/>
    </w:pPr>
    <w:rPr>
      <w:rFonts w:ascii="Arial" w:eastAsia="Times" w:hAnsi="Arial" w:cs="Times New Roman"/>
      <w:sz w:val="20"/>
      <w:szCs w:val="20"/>
    </w:rPr>
  </w:style>
  <w:style w:type="paragraph" w:styleId="ListParagraph">
    <w:name w:val="List Paragraph"/>
    <w:basedOn w:val="Normal"/>
    <w:uiPriority w:val="34"/>
    <w:qFormat/>
    <w:rsid w:val="004C766A"/>
    <w:pPr>
      <w:ind w:left="720"/>
      <w:contextualSpacing/>
    </w:pPr>
  </w:style>
  <w:style w:type="paragraph" w:styleId="Header">
    <w:name w:val="header"/>
    <w:basedOn w:val="Normal"/>
    <w:link w:val="HeaderChar"/>
    <w:uiPriority w:val="99"/>
    <w:unhideWhenUsed/>
    <w:rsid w:val="004C7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66A"/>
  </w:style>
  <w:style w:type="paragraph" w:styleId="Footer">
    <w:name w:val="footer"/>
    <w:basedOn w:val="Normal"/>
    <w:link w:val="FooterChar"/>
    <w:uiPriority w:val="99"/>
    <w:unhideWhenUsed/>
    <w:rsid w:val="004C7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66A"/>
  </w:style>
  <w:style w:type="character" w:customStyle="1" w:styleId="Heading1Char">
    <w:name w:val="Heading 1 Char"/>
    <w:basedOn w:val="DefaultParagraphFont"/>
    <w:link w:val="Heading1"/>
    <w:uiPriority w:val="9"/>
    <w:rsid w:val="00B009D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C7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F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Cambria"/>
        <a:cs typeface=""/>
        <a:font script="Hang" typeface="맑은 고딕"/>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Calibri"/>
        <a:cs typeface=""/>
        <a:font script="Hang" typeface="맑은 고딕"/>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 Kathyrine (DHHS)</dc:creator>
  <cp:lastModifiedBy>User</cp:lastModifiedBy>
  <cp:revision>3</cp:revision>
  <dcterms:created xsi:type="dcterms:W3CDTF">2020-06-09T11:11:00Z</dcterms:created>
  <dcterms:modified xsi:type="dcterms:W3CDTF">2020-06-09T11:12:00Z</dcterms:modified>
</cp:coreProperties>
</file>